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1F2FDA" w:rsidRPr="005216DF">
      <w:pPr>
        <w:ind w:left="2880" w:firstLine="720"/>
        <w:rPr>
          <w:b/>
          <w:szCs w:val="24"/>
        </w:rPr>
      </w:pPr>
      <w:bookmarkStart w:id="0" w:name="_GoBack"/>
      <w:bookmarkEnd w:id="0"/>
      <w:r w:rsidRPr="005216DF">
        <w:rPr>
          <w:b/>
          <w:szCs w:val="24"/>
        </w:rPr>
        <w:t>BEFORE</w:t>
      </w:r>
    </w:p>
    <w:p w:rsidR="001F2FDA">
      <w:pPr>
        <w:jc w:val="center"/>
        <w:rPr>
          <w:b/>
          <w:szCs w:val="24"/>
        </w:rPr>
      </w:pPr>
      <w:r w:rsidRPr="005216DF">
        <w:rPr>
          <w:b/>
          <w:szCs w:val="24"/>
        </w:rPr>
        <w:t>THE PUBLIC UTILITIES COMMISSION OF OHIO</w:t>
      </w:r>
    </w:p>
    <w:p w:rsidR="001F2FDA">
      <w:pPr>
        <w:jc w:val="center"/>
        <w:rPr>
          <w:b/>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1F2FDA">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1F2FDA" w:rsidRPr="00204DE6" w:rsidP="001F2FDA">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204DE6">
              <w:rPr>
                <w:rFonts w:ascii="Times New Roman" w:eastAsia="Times New Roman" w:hAnsi="Times New Roman" w:cs="Times New Roman"/>
                <w:sz w:val="24"/>
                <w:szCs w:val="24"/>
                <w:lang w:val="en-US" w:eastAsia="en-US" w:bidi="ar-SA"/>
              </w:rPr>
              <w:t>In the Matter of the Application of Ohio Edison Company, the Cleveland Electric Illuminating Company, and the Toledo Edison Company for Approval of their Energy Efficiency and Peak Demand Reduction Program Portfolio Plans for 2017 through 2019.</w:t>
            </w:r>
          </w:p>
        </w:tc>
        <w:tc>
          <w:tcPr>
            <w:tcW w:w="360" w:type="dxa"/>
            <w:shd w:val="clear" w:color="auto" w:fill="auto"/>
          </w:tcPr>
          <w:p w:rsidR="001F2FDA"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1F2FDA"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1F2FDA"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1F2FDA"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1F2FDA"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1F2FDA"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1F2FDA"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tc>
        <w:tc>
          <w:tcPr>
            <w:tcW w:w="4400" w:type="dxa"/>
            <w:shd w:val="clear" w:color="auto" w:fill="auto"/>
          </w:tcPr>
          <w:p w:rsidR="001F2FDA"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F2FDA" w:rsidRPr="00204DE6" w:rsidP="001F2FDA">
            <w:pPr>
              <w:spacing w:after="0" w:line="240" w:lineRule="auto"/>
              <w:rPr>
                <w:rStyle w:val="DefaultParagraphFont"/>
                <w:rFonts w:ascii="Times New Roman" w:eastAsia="Times New Roman" w:hAnsi="Times New Roman" w:cs="Times New Roman"/>
                <w:sz w:val="24"/>
                <w:szCs w:val="24"/>
                <w:lang w:val="en-US" w:eastAsia="en-US" w:bidi="ar-SA"/>
              </w:rPr>
            </w:pPr>
          </w:p>
          <w:p w:rsidR="001F2FDA" w:rsidRPr="00204DE6" w:rsidP="001F2FDA">
            <w:pPr>
              <w:spacing w:after="0" w:line="240" w:lineRule="auto"/>
              <w:rPr>
                <w:rStyle w:val="DefaultParagraphFont"/>
                <w:rFonts w:ascii="Times New Roman" w:eastAsia="Times New Roman" w:hAnsi="Times New Roman" w:cs="Times New Roman"/>
                <w:sz w:val="24"/>
                <w:szCs w:val="24"/>
                <w:lang w:val="en-US" w:eastAsia="en-US" w:bidi="ar-SA"/>
              </w:rPr>
            </w:pPr>
          </w:p>
          <w:p w:rsidR="001F2FDA" w:rsidRPr="00204DE6" w:rsidP="001F2FDA">
            <w:pPr>
              <w:spacing w:after="0" w:line="240" w:lineRule="auto"/>
              <w:rPr>
                <w:rStyle w:val="DefaultParagraphFont"/>
                <w:rFonts w:ascii="Times New Roman" w:eastAsia="Times New Roman" w:hAnsi="Times New Roman" w:cs="Times New Roman"/>
                <w:i/>
                <w:sz w:val="24"/>
                <w:szCs w:val="24"/>
                <w:lang w:val="en-US" w:eastAsia="en-US" w:bidi="ar-SA"/>
              </w:rPr>
            </w:pPr>
            <w:r w:rsidRPr="00204DE6">
              <w:rPr>
                <w:rFonts w:ascii="Times New Roman" w:eastAsia="Times New Roman" w:hAnsi="Times New Roman" w:cs="Times New Roman"/>
                <w:sz w:val="24"/>
                <w:szCs w:val="24"/>
                <w:lang w:val="en-US" w:eastAsia="en-US" w:bidi="ar-SA"/>
              </w:rPr>
              <w:t>Case No. 16-743-EL-POR</w:t>
            </w:r>
          </w:p>
          <w:p w:rsidR="001F2FDA"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1F2FDA" w:rsidRPr="005216DF">
      <w:pPr>
        <w:jc w:val="both"/>
        <w:rPr>
          <w:szCs w:val="24"/>
        </w:rPr>
      </w:pPr>
    </w:p>
    <w:p w:rsidR="001F2FDA" w:rsidRPr="005216DF">
      <w:pPr>
        <w:pBdr>
          <w:top w:val="single" w:sz="12" w:space="1" w:color="auto"/>
        </w:pBdr>
        <w:jc w:val="center"/>
        <w:rPr>
          <w:szCs w:val="24"/>
        </w:rPr>
      </w:pPr>
    </w:p>
    <w:p w:rsidR="001F2FDA" w:rsidP="001F2FDA">
      <w:pPr>
        <w:tabs>
          <w:tab w:val="left" w:pos="-720"/>
        </w:tabs>
        <w:suppressAutoHyphens/>
        <w:jc w:val="center"/>
        <w:rPr>
          <w:b/>
          <w:spacing w:val="-3"/>
          <w:szCs w:val="24"/>
        </w:rPr>
      </w:pPr>
      <w:r>
        <w:rPr>
          <w:b/>
          <w:spacing w:val="-3"/>
          <w:szCs w:val="24"/>
        </w:rPr>
        <w:t>POST-HEARING BRIEF</w:t>
      </w:r>
    </w:p>
    <w:p w:rsidR="001F2FDA" w:rsidP="001F2FDA">
      <w:pPr>
        <w:tabs>
          <w:tab w:val="left" w:pos="-720"/>
        </w:tabs>
        <w:suppressAutoHyphens/>
        <w:jc w:val="center"/>
        <w:rPr>
          <w:b/>
          <w:spacing w:val="-3"/>
          <w:szCs w:val="24"/>
        </w:rPr>
      </w:pPr>
      <w:r>
        <w:rPr>
          <w:b/>
          <w:spacing w:val="-3"/>
          <w:szCs w:val="24"/>
        </w:rPr>
        <w:t>BY</w:t>
      </w:r>
    </w:p>
    <w:p w:rsidR="001F2FDA" w:rsidRPr="005216DF">
      <w:pPr>
        <w:tabs>
          <w:tab w:val="left" w:pos="-720"/>
        </w:tabs>
        <w:suppressAutoHyphens/>
        <w:jc w:val="center"/>
        <w:rPr>
          <w:b/>
          <w:spacing w:val="-3"/>
          <w:szCs w:val="24"/>
        </w:rPr>
      </w:pPr>
      <w:r w:rsidRPr="005216DF">
        <w:rPr>
          <w:b/>
          <w:spacing w:val="-3"/>
          <w:szCs w:val="24"/>
        </w:rPr>
        <w:t>THE OFFICE OF THE OHIO CONSUMERS</w:t>
      </w:r>
      <w:r w:rsidR="0082545D">
        <w:rPr>
          <w:b/>
          <w:spacing w:val="-3"/>
          <w:szCs w:val="24"/>
        </w:rPr>
        <w:t>'</w:t>
      </w:r>
      <w:r w:rsidRPr="005216DF">
        <w:rPr>
          <w:b/>
          <w:spacing w:val="-3"/>
          <w:szCs w:val="24"/>
        </w:rPr>
        <w:t xml:space="preserve"> COUNSEL</w:t>
      </w:r>
    </w:p>
    <w:p w:rsidR="001F2FDA" w:rsidRPr="005216DF">
      <w:pPr>
        <w:pBdr>
          <w:bottom w:val="single" w:sz="12" w:space="1" w:color="auto"/>
        </w:pBdr>
        <w:tabs>
          <w:tab w:val="left" w:pos="-720"/>
        </w:tabs>
        <w:suppressAutoHyphens/>
        <w:jc w:val="center"/>
        <w:rPr>
          <w:b/>
          <w:spacing w:val="-3"/>
          <w:szCs w:val="24"/>
        </w:rPr>
      </w:pPr>
    </w:p>
    <w:p w:rsidR="001F2FDA" w:rsidRPr="005216DF">
      <w:pPr>
        <w:tabs>
          <w:tab w:val="left" w:pos="4320"/>
        </w:tabs>
        <w:rPr>
          <w:szCs w:val="24"/>
        </w:rPr>
      </w:pPr>
    </w:p>
    <w:p w:rsidR="00997A88" w:rsidP="00997A88">
      <w:pPr>
        <w:ind w:firstLine="4320"/>
        <w:rPr>
          <w:szCs w:val="24"/>
        </w:rPr>
      </w:pPr>
    </w:p>
    <w:p w:rsidR="00997A88" w:rsidP="00997A88">
      <w:pPr>
        <w:ind w:firstLine="4320"/>
        <w:rPr>
          <w:szCs w:val="24"/>
        </w:rPr>
      </w:pPr>
    </w:p>
    <w:p w:rsidR="0002569A" w:rsidP="00997A88">
      <w:pPr>
        <w:ind w:firstLine="4320"/>
        <w:rPr>
          <w:szCs w:val="24"/>
        </w:rPr>
      </w:pPr>
    </w:p>
    <w:p w:rsidR="0002569A" w:rsidP="00997A88">
      <w:pPr>
        <w:ind w:firstLine="4320"/>
        <w:rPr>
          <w:szCs w:val="24"/>
        </w:rPr>
      </w:pPr>
    </w:p>
    <w:p w:rsidR="0002569A" w:rsidP="00997A88">
      <w:pPr>
        <w:ind w:firstLine="4320"/>
        <w:rPr>
          <w:szCs w:val="24"/>
        </w:rPr>
      </w:pPr>
    </w:p>
    <w:p w:rsidR="00997A88" w:rsidRPr="00DD3C2C" w:rsidP="00997A88">
      <w:pPr>
        <w:ind w:firstLine="4320"/>
        <w:rPr>
          <w:szCs w:val="24"/>
        </w:rPr>
      </w:pPr>
      <w:r w:rsidRPr="00DD3C2C">
        <w:rPr>
          <w:szCs w:val="24"/>
        </w:rPr>
        <w:t>BRUCE WESTON (0016973)</w:t>
      </w:r>
    </w:p>
    <w:p w:rsidR="00997A88" w:rsidRPr="00DD3C2C" w:rsidP="00997A88">
      <w:pPr>
        <w:tabs>
          <w:tab w:val="left" w:pos="4320"/>
        </w:tabs>
        <w:ind w:left="4320"/>
        <w:rPr>
          <w:szCs w:val="24"/>
        </w:rPr>
      </w:pPr>
      <w:r w:rsidRPr="00DD3C2C">
        <w:rPr>
          <w:szCs w:val="24"/>
        </w:rPr>
        <w:t>OHIO CONSUMERS</w:t>
      </w:r>
      <w:r w:rsidR="0082545D">
        <w:rPr>
          <w:szCs w:val="24"/>
        </w:rPr>
        <w:t>'</w:t>
      </w:r>
      <w:r w:rsidRPr="00DD3C2C">
        <w:rPr>
          <w:szCs w:val="24"/>
        </w:rPr>
        <w:t xml:space="preserve"> COUNSEL</w:t>
      </w:r>
    </w:p>
    <w:p w:rsidR="00997A88" w:rsidRPr="00DD3C2C" w:rsidP="00997A88">
      <w:pPr>
        <w:tabs>
          <w:tab w:val="left" w:pos="4320"/>
        </w:tabs>
        <w:ind w:left="4320"/>
        <w:rPr>
          <w:szCs w:val="24"/>
        </w:rPr>
      </w:pPr>
    </w:p>
    <w:p w:rsidR="00997A88" w:rsidRPr="00DD3C2C" w:rsidP="00997A88">
      <w:pPr>
        <w:tabs>
          <w:tab w:val="left" w:pos="4320"/>
        </w:tabs>
        <w:ind w:left="4320"/>
        <w:rPr>
          <w:szCs w:val="24"/>
        </w:rPr>
      </w:pPr>
      <w:r w:rsidRPr="00DD3C2C">
        <w:rPr>
          <w:szCs w:val="24"/>
        </w:rPr>
        <w:t>Christopher Healey (0086027)</w:t>
      </w:r>
      <w:r w:rsidRPr="00DD3C2C">
        <w:rPr>
          <w:szCs w:val="24"/>
        </w:rPr>
        <w:br/>
        <w:t>Counsel of Record</w:t>
      </w:r>
    </w:p>
    <w:p w:rsidR="00997A88" w:rsidRPr="00DD3C2C" w:rsidP="00997A88">
      <w:pPr>
        <w:tabs>
          <w:tab w:val="left" w:pos="4320"/>
        </w:tabs>
        <w:ind w:left="4320"/>
        <w:rPr>
          <w:szCs w:val="24"/>
        </w:rPr>
      </w:pPr>
    </w:p>
    <w:p w:rsidR="00997A88" w:rsidRPr="00DD3C2C" w:rsidP="00997A88">
      <w:pPr>
        <w:ind w:left="4320"/>
        <w:rPr>
          <w:b/>
          <w:szCs w:val="24"/>
        </w:rPr>
      </w:pPr>
      <w:r w:rsidRPr="00DD3C2C">
        <w:rPr>
          <w:b/>
          <w:szCs w:val="24"/>
        </w:rPr>
        <w:t>Office of the Ohio Consumers</w:t>
      </w:r>
      <w:r w:rsidR="0082545D">
        <w:rPr>
          <w:b/>
          <w:szCs w:val="24"/>
        </w:rPr>
        <w:t>'</w:t>
      </w:r>
      <w:r w:rsidRPr="00DD3C2C">
        <w:rPr>
          <w:b/>
          <w:szCs w:val="24"/>
        </w:rPr>
        <w:t xml:space="preserve"> Counsel</w:t>
      </w:r>
    </w:p>
    <w:p w:rsidR="00997A88" w:rsidRPr="00DD3C2C" w:rsidP="00997A88">
      <w:pPr>
        <w:ind w:left="4320"/>
        <w:rPr>
          <w:szCs w:val="24"/>
        </w:rPr>
      </w:pPr>
      <w:r w:rsidRPr="00DD3C2C">
        <w:rPr>
          <w:szCs w:val="24"/>
        </w:rPr>
        <w:t>10 West Broad Street, Suite 1800</w:t>
      </w:r>
    </w:p>
    <w:p w:rsidR="00997A88" w:rsidRPr="00DD3C2C" w:rsidP="00997A88">
      <w:pPr>
        <w:ind w:left="4320"/>
        <w:rPr>
          <w:szCs w:val="24"/>
        </w:rPr>
      </w:pPr>
      <w:r w:rsidRPr="00DD3C2C">
        <w:rPr>
          <w:szCs w:val="24"/>
        </w:rPr>
        <w:t>Columbus, Ohio 43215-3485</w:t>
      </w:r>
    </w:p>
    <w:p w:rsidR="00997A88" w:rsidRPr="00DD3C2C" w:rsidP="00997A88">
      <w:pPr>
        <w:autoSpaceDE w:val="0"/>
        <w:autoSpaceDN w:val="0"/>
        <w:adjustRightInd w:val="0"/>
        <w:ind w:left="3600" w:firstLine="720"/>
        <w:rPr>
          <w:szCs w:val="24"/>
        </w:rPr>
      </w:pPr>
      <w:r>
        <w:rPr>
          <w:szCs w:val="24"/>
        </w:rPr>
        <w:t>Telephone: (614) 466-9571</w:t>
      </w:r>
    </w:p>
    <w:p w:rsidR="00997A88" w:rsidRPr="00DD3C2C" w:rsidP="00997A88">
      <w:pPr>
        <w:ind w:left="4320"/>
        <w:rPr>
          <w:szCs w:val="24"/>
        </w:rPr>
      </w:pPr>
      <w:r>
        <w:fldChar w:fldCharType="begin"/>
      </w:r>
      <w:r>
        <w:instrText xml:space="preserve"> HYPERLINK "mailto:christopher.healey@occ.ohio.gov" </w:instrText>
      </w:r>
      <w:r>
        <w:fldChar w:fldCharType="separate"/>
      </w:r>
      <w:r w:rsidRPr="00DD3C2C">
        <w:rPr>
          <w:rStyle w:val="Hyperlink"/>
          <w:szCs w:val="24"/>
        </w:rPr>
        <w:t>christopher.healey@occ.ohio.gov</w:t>
      </w:r>
      <w:r>
        <w:fldChar w:fldCharType="end"/>
      </w:r>
    </w:p>
    <w:p w:rsidR="00997A88" w:rsidRPr="00DD3C2C" w:rsidP="00997A88">
      <w:pPr>
        <w:ind w:left="4320"/>
        <w:rPr>
          <w:szCs w:val="24"/>
        </w:rPr>
      </w:pPr>
      <w:r w:rsidRPr="00DD3C2C">
        <w:rPr>
          <w:szCs w:val="24"/>
        </w:rPr>
        <w:t>(</w:t>
      </w:r>
      <w:r w:rsidR="00CE0FD6">
        <w:rPr>
          <w:szCs w:val="24"/>
        </w:rPr>
        <w:t>Will</w:t>
      </w:r>
      <w:r w:rsidRPr="00DD3C2C">
        <w:rPr>
          <w:szCs w:val="24"/>
        </w:rPr>
        <w:t xml:space="preserve"> accept email service)</w:t>
      </w:r>
    </w:p>
    <w:p w:rsidR="00997A88" w:rsidRPr="00DD3C2C" w:rsidP="00997A88">
      <w:pPr>
        <w:ind w:left="4320"/>
        <w:rPr>
          <w:szCs w:val="24"/>
        </w:rPr>
      </w:pPr>
    </w:p>
    <w:p w:rsidR="00997A88" w:rsidRPr="00DD3C2C" w:rsidP="00997A88">
      <w:pPr>
        <w:ind w:left="4320"/>
        <w:rPr>
          <w:szCs w:val="24"/>
        </w:rPr>
      </w:pPr>
    </w:p>
    <w:p w:rsidR="00997A88" w:rsidRPr="00DD3C2C" w:rsidP="00997A88">
      <w:pPr>
        <w:ind w:left="4320"/>
        <w:rPr>
          <w:szCs w:val="24"/>
        </w:rPr>
      </w:pPr>
      <w:r w:rsidRPr="00DD3C2C">
        <w:rPr>
          <w:szCs w:val="24"/>
        </w:rPr>
        <w:t>Dane Stinson (0019101)</w:t>
      </w:r>
    </w:p>
    <w:p w:rsidR="00997A88" w:rsidRPr="00DD3C2C" w:rsidP="00997A88">
      <w:pPr>
        <w:ind w:left="4320"/>
        <w:rPr>
          <w:szCs w:val="24"/>
        </w:rPr>
      </w:pPr>
      <w:r w:rsidRPr="00DD3C2C">
        <w:rPr>
          <w:szCs w:val="24"/>
        </w:rPr>
        <w:t>Bricker &amp; Eckler LLP</w:t>
      </w:r>
    </w:p>
    <w:p w:rsidR="00997A88" w:rsidRPr="00DD3C2C" w:rsidP="00997A88">
      <w:pPr>
        <w:ind w:left="4320"/>
        <w:rPr>
          <w:szCs w:val="24"/>
        </w:rPr>
      </w:pPr>
      <w:r w:rsidRPr="00DD3C2C">
        <w:rPr>
          <w:szCs w:val="24"/>
        </w:rPr>
        <w:t>100 South Third Street</w:t>
      </w:r>
    </w:p>
    <w:p w:rsidR="00997A88" w:rsidRPr="00DD3C2C" w:rsidP="00997A88">
      <w:pPr>
        <w:ind w:left="4320"/>
        <w:rPr>
          <w:szCs w:val="24"/>
        </w:rPr>
      </w:pPr>
      <w:r w:rsidRPr="00DD3C2C">
        <w:rPr>
          <w:szCs w:val="24"/>
        </w:rPr>
        <w:t>Columbus, Ohio 43215</w:t>
      </w:r>
    </w:p>
    <w:p w:rsidR="00997A88" w:rsidRPr="00DD3C2C" w:rsidP="00997A88">
      <w:pPr>
        <w:ind w:left="4320"/>
        <w:rPr>
          <w:szCs w:val="24"/>
        </w:rPr>
      </w:pPr>
      <w:r w:rsidRPr="00DD3C2C">
        <w:rPr>
          <w:szCs w:val="24"/>
        </w:rPr>
        <w:t>Telephone: (614) 227-4854</w:t>
      </w:r>
    </w:p>
    <w:p w:rsidR="00997A88" w:rsidRPr="00DD3C2C" w:rsidP="00997A88">
      <w:pPr>
        <w:ind w:left="4320"/>
        <w:rPr>
          <w:szCs w:val="24"/>
        </w:rPr>
      </w:pPr>
      <w:r>
        <w:fldChar w:fldCharType="begin"/>
      </w:r>
      <w:r>
        <w:instrText xml:space="preserve"> HYPERLINK "mailto:dstinson@bricker.com" </w:instrText>
      </w:r>
      <w:r>
        <w:fldChar w:fldCharType="separate"/>
      </w:r>
      <w:r w:rsidRPr="00DD3C2C">
        <w:rPr>
          <w:rStyle w:val="Hyperlink"/>
          <w:szCs w:val="24"/>
        </w:rPr>
        <w:t>dstinson@bricker.com</w:t>
      </w:r>
      <w:r>
        <w:fldChar w:fldCharType="end"/>
      </w:r>
      <w:r w:rsidRPr="00DD3C2C">
        <w:rPr>
          <w:szCs w:val="24"/>
        </w:rPr>
        <w:t xml:space="preserve"> </w:t>
      </w:r>
    </w:p>
    <w:p w:rsidR="00997A88" w:rsidP="00997A88">
      <w:pPr>
        <w:ind w:left="4320"/>
        <w:rPr>
          <w:szCs w:val="24"/>
        </w:rPr>
      </w:pPr>
      <w:r w:rsidRPr="00DD3C2C">
        <w:rPr>
          <w:szCs w:val="24"/>
        </w:rPr>
        <w:t>(</w:t>
      </w:r>
      <w:r w:rsidR="00CE0FD6">
        <w:rPr>
          <w:szCs w:val="24"/>
        </w:rPr>
        <w:t>Will</w:t>
      </w:r>
      <w:r w:rsidRPr="00DD3C2C">
        <w:rPr>
          <w:szCs w:val="24"/>
        </w:rPr>
        <w:t xml:space="preserve"> accept email service)</w:t>
      </w:r>
    </w:p>
    <w:p w:rsidR="00997A88" w:rsidP="00997A88">
      <w:pPr>
        <w:ind w:left="4320"/>
        <w:rPr>
          <w:szCs w:val="24"/>
        </w:rPr>
      </w:pPr>
    </w:p>
    <w:p w:rsidR="000B2633" w:rsidP="00997A88">
      <w:pPr>
        <w:ind w:left="4320"/>
        <w:rPr>
          <w:szCs w:val="24"/>
        </w:rPr>
        <w:sectPr w:rsidSect="0002569A">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r>
        <w:rPr>
          <w:szCs w:val="24"/>
        </w:rPr>
        <w:t>Outside Counsel for the Office of the Ohio Consumers</w:t>
      </w:r>
      <w:r w:rsidR="0082545D">
        <w:rPr>
          <w:szCs w:val="24"/>
        </w:rPr>
        <w:t>'</w:t>
      </w:r>
      <w:r>
        <w:rPr>
          <w:szCs w:val="24"/>
        </w:rPr>
        <w:t xml:space="preserve"> Counsel</w:t>
      </w:r>
    </w:p>
    <w:p w:rsidR="0002569A" w:rsidRPr="000B2633" w:rsidP="00997A88">
      <w:pPr>
        <w:spacing w:after="200" w:line="276" w:lineRule="auto"/>
        <w:jc w:val="center"/>
        <w:rPr>
          <w:rFonts w:eastAsiaTheme="minorHAnsi"/>
          <w:b/>
        </w:rPr>
      </w:pPr>
      <w:r w:rsidRPr="000B2633">
        <w:rPr>
          <w:rFonts w:eastAsiaTheme="minorHAnsi"/>
          <w:b/>
        </w:rPr>
        <w:t>TABLE OF CONTENTS</w:t>
      </w:r>
    </w:p>
    <w:p w:rsidR="00350235" w:rsidRPr="000B2633">
      <w:pPr>
        <w:spacing w:after="200" w:line="276" w:lineRule="auto"/>
        <w:rPr>
          <w:rFonts w:eastAsiaTheme="minorHAnsi"/>
          <w:b/>
        </w:rPr>
      </w:pPr>
      <w:r w:rsidRPr="000B2633">
        <w:rPr>
          <w:rFonts w:eastAsiaTheme="minorHAnsi"/>
        </w:rPr>
        <w:tab/>
      </w:r>
      <w:r w:rsidRPr="000B2633">
        <w:rPr>
          <w:rFonts w:eastAsiaTheme="minorHAnsi"/>
        </w:rPr>
        <w:tab/>
      </w:r>
      <w:r w:rsidRPr="000B2633" w:rsidR="00574CF4">
        <w:rPr>
          <w:rFonts w:eastAsiaTheme="minorHAnsi"/>
        </w:rPr>
        <w:tab/>
      </w:r>
      <w:r w:rsidRPr="000B2633" w:rsidR="00574CF4">
        <w:rPr>
          <w:rFonts w:eastAsiaTheme="minorHAnsi"/>
        </w:rPr>
        <w:tab/>
      </w:r>
      <w:r w:rsidRPr="000B2633" w:rsidR="00574CF4">
        <w:rPr>
          <w:rFonts w:eastAsiaTheme="minorHAnsi"/>
        </w:rPr>
        <w:tab/>
      </w:r>
      <w:r w:rsidRPr="000B2633" w:rsidR="00574CF4">
        <w:rPr>
          <w:rFonts w:eastAsiaTheme="minorHAnsi"/>
        </w:rPr>
        <w:tab/>
      </w:r>
      <w:r w:rsidRPr="000B2633" w:rsidR="00574CF4">
        <w:rPr>
          <w:rFonts w:eastAsiaTheme="minorHAnsi"/>
        </w:rPr>
        <w:tab/>
      </w:r>
      <w:r w:rsidRPr="000B2633" w:rsidR="00574CF4">
        <w:rPr>
          <w:rFonts w:eastAsiaTheme="minorHAnsi"/>
        </w:rPr>
        <w:tab/>
      </w:r>
      <w:r w:rsidRPr="000B2633" w:rsidR="00574CF4">
        <w:rPr>
          <w:rFonts w:eastAsiaTheme="minorHAnsi"/>
        </w:rPr>
        <w:tab/>
      </w:r>
      <w:r w:rsidRPr="000B2633" w:rsidR="00574CF4">
        <w:rPr>
          <w:rFonts w:eastAsiaTheme="minorHAnsi"/>
        </w:rPr>
        <w:tab/>
      </w:r>
      <w:r w:rsidRPr="000B2633" w:rsidR="00574CF4">
        <w:rPr>
          <w:rFonts w:eastAsiaTheme="minorHAnsi"/>
        </w:rPr>
        <w:tab/>
      </w:r>
      <w:r w:rsidRPr="000B2633" w:rsidR="00574CF4">
        <w:rPr>
          <w:rFonts w:eastAsiaTheme="minorHAnsi"/>
          <w:b/>
        </w:rPr>
        <w:t>PAGE</w:t>
      </w:r>
    </w:p>
    <w:p w:rsidR="00146AC0">
      <w:pPr>
        <w:pStyle w:val="TOC1"/>
        <w:rPr>
          <w:rFonts w:asciiTheme="minorHAnsi" w:eastAsiaTheme="minorEastAsia" w:hAnsiTheme="minorHAnsi" w:cstheme="minorBidi"/>
          <w:caps w:val="0"/>
          <w:noProof/>
          <w:sz w:val="22"/>
          <w:szCs w:val="22"/>
        </w:rPr>
      </w:pPr>
      <w:r>
        <w:rPr>
          <w:rFonts w:ascii="TimesNewRomanPSMT" w:hAnsi="TimesNewRomanPSMT" w:eastAsiaTheme="minorHAnsi" w:cs="TimesNewRomanPSMT"/>
          <w:caps w:val="0"/>
        </w:rPr>
        <w:fldChar w:fldCharType="begin"/>
      </w:r>
      <w:r>
        <w:rPr>
          <w:rFonts w:ascii="TimesNewRomanPSMT" w:hAnsi="TimesNewRomanPSMT" w:eastAsiaTheme="minorHAnsi" w:cs="TimesNewRomanPSMT"/>
          <w:caps w:val="0"/>
        </w:rPr>
        <w:instrText xml:space="preserve"> TOC \o "1-5" \h \z \u </w:instrText>
      </w:r>
      <w:r>
        <w:rPr>
          <w:rFonts w:ascii="TimesNewRomanPSMT" w:hAnsi="TimesNewRomanPSMT" w:eastAsiaTheme="minorHAnsi" w:cs="TimesNewRomanPSMT"/>
          <w:caps w:val="0"/>
        </w:rPr>
        <w:fldChar w:fldCharType="separate"/>
      </w:r>
      <w:r>
        <w:fldChar w:fldCharType="begin"/>
      </w:r>
      <w:r>
        <w:instrText xml:space="preserve"> HYPERLINK \l "_Toc475451042" </w:instrText>
      </w:r>
      <w:r>
        <w:fldChar w:fldCharType="separate"/>
      </w:r>
      <w:r w:rsidRPr="009D3BD3">
        <w:rPr>
          <w:rStyle w:val="Hyperlink"/>
          <w:noProof/>
        </w:rPr>
        <w:t>I.</w:t>
      </w:r>
      <w:r>
        <w:rPr>
          <w:rFonts w:asciiTheme="minorHAnsi" w:eastAsiaTheme="minorEastAsia" w:hAnsiTheme="minorHAnsi" w:cstheme="minorBidi"/>
          <w:caps w:val="0"/>
          <w:noProof/>
          <w:sz w:val="22"/>
          <w:szCs w:val="22"/>
        </w:rPr>
        <w:tab/>
      </w:r>
      <w:r w:rsidRPr="009D3BD3">
        <w:rPr>
          <w:rStyle w:val="Hyperlink"/>
          <w:noProof/>
        </w:rPr>
        <w:t>BACKGROUND</w:t>
      </w:r>
      <w:r>
        <w:rPr>
          <w:noProof/>
          <w:webHidden/>
        </w:rPr>
        <w:tab/>
      </w:r>
      <w:r>
        <w:rPr>
          <w:noProof/>
          <w:webHidden/>
        </w:rPr>
        <w:fldChar w:fldCharType="begin"/>
      </w:r>
      <w:r>
        <w:rPr>
          <w:noProof/>
          <w:webHidden/>
        </w:rPr>
        <w:instrText xml:space="preserve"> PAGEREF _Toc475451042 \h </w:instrText>
      </w:r>
      <w:r>
        <w:rPr>
          <w:noProof/>
          <w:webHidden/>
        </w:rPr>
        <w:fldChar w:fldCharType="separate"/>
      </w:r>
      <w:r>
        <w:rPr>
          <w:noProof/>
          <w:webHidden/>
        </w:rPr>
        <w:t>2</w:t>
      </w:r>
      <w:r>
        <w:rPr>
          <w:noProof/>
          <w:webHidden/>
        </w:rPr>
        <w:fldChar w:fldCharType="end"/>
      </w:r>
      <w:r>
        <w:fldChar w:fldCharType="end"/>
      </w:r>
    </w:p>
    <w:p w:rsidR="00146AC0">
      <w:pPr>
        <w:pStyle w:val="TOC1"/>
        <w:rPr>
          <w:rFonts w:asciiTheme="minorHAnsi" w:eastAsiaTheme="minorEastAsia" w:hAnsiTheme="minorHAnsi" w:cstheme="minorBidi"/>
          <w:caps w:val="0"/>
          <w:noProof/>
          <w:sz w:val="22"/>
          <w:szCs w:val="22"/>
        </w:rPr>
      </w:pPr>
      <w:r>
        <w:fldChar w:fldCharType="begin"/>
      </w:r>
      <w:r>
        <w:instrText xml:space="preserve"> HYPERLINK \l "_Toc475451043" </w:instrText>
      </w:r>
      <w:r>
        <w:fldChar w:fldCharType="separate"/>
      </w:r>
      <w:r w:rsidRPr="009D3BD3">
        <w:rPr>
          <w:rStyle w:val="Hyperlink"/>
          <w:noProof/>
        </w:rPr>
        <w:t>II.</w:t>
      </w:r>
      <w:r>
        <w:rPr>
          <w:rFonts w:asciiTheme="minorHAnsi" w:eastAsiaTheme="minorEastAsia" w:hAnsiTheme="minorHAnsi" w:cstheme="minorBidi"/>
          <w:caps w:val="0"/>
          <w:noProof/>
          <w:sz w:val="22"/>
          <w:szCs w:val="22"/>
        </w:rPr>
        <w:tab/>
      </w:r>
      <w:r w:rsidRPr="009D3BD3">
        <w:rPr>
          <w:rStyle w:val="Hyperlink"/>
          <w:noProof/>
        </w:rPr>
        <w:t>BURDEN OF PROOF AND STANDARD OF REVIEW</w:t>
      </w:r>
      <w:r>
        <w:rPr>
          <w:noProof/>
          <w:webHidden/>
        </w:rPr>
        <w:tab/>
      </w:r>
      <w:r>
        <w:rPr>
          <w:noProof/>
          <w:webHidden/>
        </w:rPr>
        <w:fldChar w:fldCharType="begin"/>
      </w:r>
      <w:r>
        <w:rPr>
          <w:noProof/>
          <w:webHidden/>
        </w:rPr>
        <w:instrText xml:space="preserve"> PAGEREF _Toc475451043 \h </w:instrText>
      </w:r>
      <w:r>
        <w:rPr>
          <w:noProof/>
          <w:webHidden/>
        </w:rPr>
        <w:fldChar w:fldCharType="separate"/>
      </w:r>
      <w:r>
        <w:rPr>
          <w:noProof/>
          <w:webHidden/>
        </w:rPr>
        <w:t>6</w:t>
      </w:r>
      <w:r>
        <w:rPr>
          <w:noProof/>
          <w:webHidden/>
        </w:rPr>
        <w:fldChar w:fldCharType="end"/>
      </w:r>
      <w:r>
        <w:fldChar w:fldCharType="end"/>
      </w:r>
    </w:p>
    <w:p w:rsidR="00146AC0">
      <w:pPr>
        <w:pStyle w:val="TOC1"/>
        <w:rPr>
          <w:rFonts w:asciiTheme="minorHAnsi" w:eastAsiaTheme="minorEastAsia" w:hAnsiTheme="minorHAnsi" w:cstheme="minorBidi"/>
          <w:caps w:val="0"/>
          <w:noProof/>
          <w:sz w:val="22"/>
          <w:szCs w:val="22"/>
        </w:rPr>
      </w:pPr>
      <w:r>
        <w:fldChar w:fldCharType="begin"/>
      </w:r>
      <w:r>
        <w:instrText xml:space="preserve"> HYPERLINK \l "_Toc475451044" </w:instrText>
      </w:r>
      <w:r>
        <w:fldChar w:fldCharType="separate"/>
      </w:r>
      <w:r w:rsidRPr="009D3BD3">
        <w:rPr>
          <w:rStyle w:val="Hyperlink"/>
          <w:noProof/>
        </w:rPr>
        <w:t>III.</w:t>
      </w:r>
      <w:r>
        <w:rPr>
          <w:rFonts w:asciiTheme="minorHAnsi" w:eastAsiaTheme="minorEastAsia" w:hAnsiTheme="minorHAnsi" w:cstheme="minorBidi"/>
          <w:caps w:val="0"/>
          <w:noProof/>
          <w:sz w:val="22"/>
          <w:szCs w:val="22"/>
        </w:rPr>
        <w:tab/>
      </w:r>
      <w:r w:rsidRPr="009D3BD3">
        <w:rPr>
          <w:rStyle w:val="Hyperlink"/>
          <w:noProof/>
        </w:rPr>
        <w:t>ARGUMENT</w:t>
      </w:r>
      <w:r>
        <w:rPr>
          <w:noProof/>
          <w:webHidden/>
        </w:rPr>
        <w:tab/>
      </w:r>
      <w:r>
        <w:rPr>
          <w:noProof/>
          <w:webHidden/>
        </w:rPr>
        <w:fldChar w:fldCharType="begin"/>
      </w:r>
      <w:r>
        <w:rPr>
          <w:noProof/>
          <w:webHidden/>
        </w:rPr>
        <w:instrText xml:space="preserve"> PAGEREF _Toc475451044 \h </w:instrText>
      </w:r>
      <w:r>
        <w:rPr>
          <w:noProof/>
          <w:webHidden/>
        </w:rPr>
        <w:fldChar w:fldCharType="separate"/>
      </w:r>
      <w:r>
        <w:rPr>
          <w:noProof/>
          <w:webHidden/>
        </w:rPr>
        <w:t>7</w:t>
      </w:r>
      <w:r>
        <w:rPr>
          <w:noProof/>
          <w:webHidden/>
        </w:rPr>
        <w:fldChar w:fldCharType="end"/>
      </w:r>
      <w:r>
        <w:fldChar w:fldCharType="end"/>
      </w:r>
    </w:p>
    <w:p w:rsidR="00146AC0">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"_Toc475451045" </w:instrText>
      </w:r>
      <w:r>
        <w:fldChar w:fldCharType="separate"/>
      </w:r>
      <w:r w:rsidRPr="009D3BD3">
        <w:rPr>
          <w:rStyle w:val="Hyperlink"/>
          <w:noProof/>
        </w:rPr>
        <w:t>A.</w:t>
      </w:r>
      <w:r>
        <w:rPr>
          <w:rFonts w:asciiTheme="minorHAnsi" w:eastAsiaTheme="minorEastAsia" w:hAnsiTheme="minorHAnsi" w:cstheme="minorBidi"/>
          <w:noProof/>
          <w:sz w:val="22"/>
          <w:szCs w:val="22"/>
        </w:rPr>
        <w:tab/>
      </w:r>
      <w:r w:rsidRPr="009D3BD3">
        <w:rPr>
          <w:rStyle w:val="Hyperlink"/>
          <w:noProof/>
        </w:rPr>
        <w:t>The Settlement does not benefit customers or the public interest.</w:t>
      </w:r>
      <w:r>
        <w:rPr>
          <w:noProof/>
          <w:webHidden/>
        </w:rPr>
        <w:tab/>
      </w:r>
      <w:r>
        <w:rPr>
          <w:noProof/>
          <w:webHidden/>
        </w:rPr>
        <w:fldChar w:fldCharType="begin"/>
      </w:r>
      <w:r>
        <w:rPr>
          <w:noProof/>
          <w:webHidden/>
        </w:rPr>
        <w:instrText xml:space="preserve"> PAGEREF _Toc475451045 \h </w:instrText>
      </w:r>
      <w:r>
        <w:rPr>
          <w:noProof/>
          <w:webHidden/>
        </w:rPr>
        <w:fldChar w:fldCharType="separate"/>
      </w:r>
      <w:r>
        <w:rPr>
          <w:noProof/>
          <w:webHidden/>
        </w:rPr>
        <w:t>7</w:t>
      </w:r>
      <w:r>
        <w:rPr>
          <w:noProof/>
          <w:webHidden/>
        </w:rPr>
        <w:fldChar w:fldCharType="end"/>
      </w:r>
      <w:r>
        <w:fldChar w:fldCharType="end"/>
      </w:r>
    </w:p>
    <w:p w:rsidR="00146AC0">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"_Toc475451046" </w:instrText>
      </w:r>
      <w:r>
        <w:fldChar w:fldCharType="separate"/>
      </w:r>
      <w:r w:rsidRPr="009D3BD3">
        <w:rPr>
          <w:rStyle w:val="Hyperlink"/>
          <w:noProof/>
        </w:rPr>
        <w:t>1.</w:t>
      </w:r>
      <w:r>
        <w:rPr>
          <w:rFonts w:asciiTheme="minorHAnsi" w:eastAsiaTheme="minorEastAsia" w:hAnsiTheme="minorHAnsi" w:cstheme="minorBidi"/>
          <w:noProof/>
          <w:sz w:val="22"/>
          <w:szCs w:val="22"/>
        </w:rPr>
        <w:tab/>
      </w:r>
      <w:r w:rsidRPr="009D3BD3">
        <w:rPr>
          <w:rStyle w:val="Hyperlink"/>
          <w:noProof/>
        </w:rPr>
        <w:t>The PUCO should approve an $80.1 million annual cost cap to limit the amount that customers will pay for energy efficiency program costs and utility profits (shared savings).</w:t>
      </w:r>
      <w:r>
        <w:rPr>
          <w:noProof/>
          <w:webHidden/>
        </w:rPr>
        <w:tab/>
      </w:r>
      <w:r>
        <w:rPr>
          <w:noProof/>
          <w:webHidden/>
        </w:rPr>
        <w:fldChar w:fldCharType="begin"/>
      </w:r>
      <w:r>
        <w:rPr>
          <w:noProof/>
          <w:webHidden/>
        </w:rPr>
        <w:instrText xml:space="preserve"> PAGEREF _Toc475451046 \h </w:instrText>
      </w:r>
      <w:r>
        <w:rPr>
          <w:noProof/>
          <w:webHidden/>
        </w:rPr>
        <w:fldChar w:fldCharType="separate"/>
      </w:r>
      <w:r>
        <w:rPr>
          <w:noProof/>
          <w:webHidden/>
        </w:rPr>
        <w:t>7</w:t>
      </w:r>
      <w:r>
        <w:rPr>
          <w:noProof/>
          <w:webHidden/>
        </w:rPr>
        <w:fldChar w:fldCharType="end"/>
      </w:r>
      <w:r>
        <w:fldChar w:fldCharType="end"/>
      </w:r>
    </w:p>
    <w:p w:rsidR="00146AC0">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"_Toc475451047" </w:instrText>
      </w:r>
      <w:r>
        <w:fldChar w:fldCharType="separate"/>
      </w:r>
      <w:r w:rsidRPr="009D3BD3">
        <w:rPr>
          <w:rStyle w:val="Hyperlink"/>
          <w:noProof/>
        </w:rPr>
        <w:t>a.</w:t>
      </w:r>
      <w:r>
        <w:rPr>
          <w:rFonts w:asciiTheme="minorHAnsi" w:eastAsiaTheme="minorEastAsia" w:hAnsiTheme="minorHAnsi" w:cstheme="minorBidi"/>
          <w:noProof/>
          <w:sz w:val="22"/>
          <w:szCs w:val="22"/>
        </w:rPr>
        <w:tab/>
      </w:r>
      <w:r w:rsidRPr="009D3BD3">
        <w:rPr>
          <w:rStyle w:val="Hyperlink"/>
          <w:noProof/>
        </w:rPr>
        <w:t>An annual cap on program costs and shared savings benefits customers by lowering the amount that they pay for energy efficiency.</w:t>
      </w:r>
      <w:r>
        <w:rPr>
          <w:noProof/>
          <w:webHidden/>
        </w:rPr>
        <w:tab/>
      </w:r>
      <w:r>
        <w:rPr>
          <w:noProof/>
          <w:webHidden/>
        </w:rPr>
        <w:fldChar w:fldCharType="begin"/>
      </w:r>
      <w:r>
        <w:rPr>
          <w:noProof/>
          <w:webHidden/>
        </w:rPr>
        <w:instrText xml:space="preserve"> PAGEREF _Toc475451047 \h </w:instrText>
      </w:r>
      <w:r>
        <w:rPr>
          <w:noProof/>
          <w:webHidden/>
        </w:rPr>
        <w:fldChar w:fldCharType="separate"/>
      </w:r>
      <w:r>
        <w:rPr>
          <w:noProof/>
          <w:webHidden/>
        </w:rPr>
        <w:t>7</w:t>
      </w:r>
      <w:r>
        <w:rPr>
          <w:noProof/>
          <w:webHidden/>
        </w:rPr>
        <w:fldChar w:fldCharType="end"/>
      </w:r>
      <w:r>
        <w:fldChar w:fldCharType="end"/>
      </w:r>
    </w:p>
    <w:p w:rsidR="00146AC0">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"_Toc475451048" </w:instrText>
      </w:r>
      <w:r>
        <w:fldChar w:fldCharType="separate"/>
      </w:r>
      <w:r w:rsidRPr="009D3BD3">
        <w:rPr>
          <w:rStyle w:val="Hyperlink"/>
          <w:noProof/>
        </w:rPr>
        <w:t>b.</w:t>
      </w:r>
      <w:r>
        <w:rPr>
          <w:rFonts w:asciiTheme="minorHAnsi" w:eastAsiaTheme="minorEastAsia" w:hAnsiTheme="minorHAnsi" w:cstheme="minorBidi"/>
          <w:noProof/>
          <w:sz w:val="22"/>
          <w:szCs w:val="22"/>
        </w:rPr>
        <w:tab/>
      </w:r>
      <w:r w:rsidRPr="009D3BD3">
        <w:rPr>
          <w:rStyle w:val="Hyperlink"/>
          <w:noProof/>
        </w:rPr>
        <w:t>FirstEnergy can achieve its statutory minimum energy savings under an $80.1 million cost cap.</w:t>
      </w:r>
      <w:r>
        <w:rPr>
          <w:noProof/>
          <w:webHidden/>
        </w:rPr>
        <w:tab/>
      </w:r>
      <w:r>
        <w:rPr>
          <w:noProof/>
          <w:webHidden/>
        </w:rPr>
        <w:fldChar w:fldCharType="begin"/>
      </w:r>
      <w:r>
        <w:rPr>
          <w:noProof/>
          <w:webHidden/>
        </w:rPr>
        <w:instrText xml:space="preserve"> PAGEREF _Toc475451048 \h </w:instrText>
      </w:r>
      <w:r>
        <w:rPr>
          <w:noProof/>
          <w:webHidden/>
        </w:rPr>
        <w:fldChar w:fldCharType="separate"/>
      </w:r>
      <w:r>
        <w:rPr>
          <w:noProof/>
          <w:webHidden/>
        </w:rPr>
        <w:t>9</w:t>
      </w:r>
      <w:r>
        <w:rPr>
          <w:noProof/>
          <w:webHidden/>
        </w:rPr>
        <w:fldChar w:fldCharType="end"/>
      </w:r>
      <w:r>
        <w:fldChar w:fldCharType="end"/>
      </w:r>
    </w:p>
    <w:p w:rsidR="00146AC0">
      <w:pPr>
        <w:pStyle w:val="TOC5"/>
        <w:tabs>
          <w:tab w:val="left" w:pos="3600"/>
        </w:tabs>
        <w:rPr>
          <w:rFonts w:asciiTheme="minorHAnsi" w:eastAsiaTheme="minorEastAsia" w:hAnsiTheme="minorHAnsi" w:cstheme="minorBidi"/>
          <w:noProof/>
          <w:sz w:val="22"/>
          <w:szCs w:val="22"/>
        </w:rPr>
      </w:pPr>
      <w:r>
        <w:fldChar w:fldCharType="begin"/>
      </w:r>
      <w:r>
        <w:instrText xml:space="preserve"> HYPERLINK \l "_Toc475451049" </w:instrText>
      </w:r>
      <w:r>
        <w:fldChar w:fldCharType="separate"/>
      </w:r>
      <w:r w:rsidRPr="009D3BD3">
        <w:rPr>
          <w:rStyle w:val="Hyperlink"/>
          <w:noProof/>
        </w:rPr>
        <w:t>i.</w:t>
      </w:r>
      <w:r>
        <w:rPr>
          <w:rFonts w:asciiTheme="minorHAnsi" w:eastAsiaTheme="minorEastAsia" w:hAnsiTheme="minorHAnsi" w:cstheme="minorBidi"/>
          <w:noProof/>
          <w:sz w:val="22"/>
          <w:szCs w:val="22"/>
        </w:rPr>
        <w:tab/>
      </w:r>
      <w:r w:rsidRPr="009D3BD3">
        <w:rPr>
          <w:rStyle w:val="Hyperlink"/>
          <w:noProof/>
        </w:rPr>
        <w:t>Nonresidential customer opt-outs could significantly reduce the Companies' statutory benchmarks, which would lower the cost of compliance that customers pay.</w:t>
      </w:r>
      <w:r>
        <w:rPr>
          <w:noProof/>
          <w:webHidden/>
        </w:rPr>
        <w:tab/>
      </w:r>
      <w:r>
        <w:rPr>
          <w:noProof/>
          <w:webHidden/>
        </w:rPr>
        <w:fldChar w:fldCharType="begin"/>
      </w:r>
      <w:r>
        <w:rPr>
          <w:noProof/>
          <w:webHidden/>
        </w:rPr>
        <w:instrText xml:space="preserve"> PAGEREF _Toc475451049 \h </w:instrText>
      </w:r>
      <w:r>
        <w:rPr>
          <w:noProof/>
          <w:webHidden/>
        </w:rPr>
        <w:fldChar w:fldCharType="separate"/>
      </w:r>
      <w:r>
        <w:rPr>
          <w:noProof/>
          <w:webHidden/>
        </w:rPr>
        <w:t>9</w:t>
      </w:r>
      <w:r>
        <w:rPr>
          <w:noProof/>
          <w:webHidden/>
        </w:rPr>
        <w:fldChar w:fldCharType="end"/>
      </w:r>
      <w:r>
        <w:fldChar w:fldCharType="end"/>
      </w:r>
    </w:p>
    <w:p w:rsidR="00146AC0">
      <w:pPr>
        <w:pStyle w:val="TOC5"/>
        <w:tabs>
          <w:tab w:val="left" w:pos="3600"/>
        </w:tabs>
        <w:rPr>
          <w:rFonts w:asciiTheme="minorHAnsi" w:eastAsiaTheme="minorEastAsia" w:hAnsiTheme="minorHAnsi" w:cstheme="minorBidi"/>
          <w:noProof/>
          <w:sz w:val="22"/>
          <w:szCs w:val="22"/>
        </w:rPr>
      </w:pPr>
      <w:r>
        <w:fldChar w:fldCharType="begin"/>
      </w:r>
      <w:r>
        <w:instrText xml:space="preserve"> HYPERLINK \l "_Toc475451050" </w:instrText>
      </w:r>
      <w:r>
        <w:fldChar w:fldCharType="separate"/>
      </w:r>
      <w:r w:rsidRPr="009D3BD3">
        <w:rPr>
          <w:rStyle w:val="Hyperlink"/>
          <w:noProof/>
        </w:rPr>
        <w:t>ii.</w:t>
      </w:r>
      <w:r>
        <w:rPr>
          <w:rFonts w:asciiTheme="minorHAnsi" w:eastAsiaTheme="minorEastAsia" w:hAnsiTheme="minorHAnsi" w:cstheme="minorBidi"/>
          <w:noProof/>
          <w:sz w:val="22"/>
          <w:szCs w:val="22"/>
        </w:rPr>
        <w:tab/>
      </w:r>
      <w:r w:rsidRPr="009D3BD3">
        <w:rPr>
          <w:rStyle w:val="Hyperlink"/>
          <w:noProof/>
        </w:rPr>
        <w:t>FirstEnergy's historical energy efficiency results demonstrate that FirstEnergy can achieve its statutory benchmark energy savings at a cost to customers that is below an $80.1 million annual limit.</w:t>
      </w:r>
      <w:r>
        <w:rPr>
          <w:noProof/>
          <w:webHidden/>
        </w:rPr>
        <w:tab/>
      </w:r>
      <w:r>
        <w:rPr>
          <w:noProof/>
          <w:webHidden/>
        </w:rPr>
        <w:fldChar w:fldCharType="begin"/>
      </w:r>
      <w:r>
        <w:rPr>
          <w:noProof/>
          <w:webHidden/>
        </w:rPr>
        <w:instrText xml:space="preserve"> PAGEREF _Toc475451050 \h </w:instrText>
      </w:r>
      <w:r>
        <w:rPr>
          <w:noProof/>
          <w:webHidden/>
        </w:rPr>
        <w:fldChar w:fldCharType="separate"/>
      </w:r>
      <w:r>
        <w:rPr>
          <w:noProof/>
          <w:webHidden/>
        </w:rPr>
        <w:t>14</w:t>
      </w:r>
      <w:r>
        <w:rPr>
          <w:noProof/>
          <w:webHidden/>
        </w:rPr>
        <w:fldChar w:fldCharType="end"/>
      </w:r>
      <w:r>
        <w:fldChar w:fldCharType="end"/>
      </w:r>
    </w:p>
    <w:p w:rsidR="00146AC0">
      <w:pPr>
        <w:pStyle w:val="TOC5"/>
        <w:tabs>
          <w:tab w:val="left" w:pos="3600"/>
        </w:tabs>
        <w:rPr>
          <w:rFonts w:asciiTheme="minorHAnsi" w:eastAsiaTheme="minorEastAsia" w:hAnsiTheme="minorHAnsi" w:cstheme="minorBidi"/>
          <w:noProof/>
          <w:sz w:val="22"/>
          <w:szCs w:val="22"/>
        </w:rPr>
      </w:pPr>
      <w:r>
        <w:fldChar w:fldCharType="begin"/>
      </w:r>
      <w:r>
        <w:instrText xml:space="preserve"> HYPERLINK \l "_Toc475451051" </w:instrText>
      </w:r>
      <w:r>
        <w:fldChar w:fldCharType="separate"/>
      </w:r>
      <w:r w:rsidRPr="009D3BD3">
        <w:rPr>
          <w:rStyle w:val="Hyperlink"/>
          <w:noProof/>
        </w:rPr>
        <w:t>iii.</w:t>
      </w:r>
      <w:r>
        <w:rPr>
          <w:rFonts w:asciiTheme="minorHAnsi" w:eastAsiaTheme="minorEastAsia" w:hAnsiTheme="minorHAnsi" w:cstheme="minorBidi"/>
          <w:noProof/>
          <w:sz w:val="22"/>
          <w:szCs w:val="22"/>
        </w:rPr>
        <w:tab/>
      </w:r>
      <w:r w:rsidRPr="009D3BD3">
        <w:rPr>
          <w:rStyle w:val="Hyperlink"/>
          <w:noProof/>
        </w:rPr>
        <w:t>PJM revenues will effectively increase the cost cap by $2-$2.5 million a year. This will further enhance the Companies' ability to meet their benchmarks under the cost cap.</w:t>
      </w:r>
      <w:r>
        <w:rPr>
          <w:noProof/>
          <w:webHidden/>
        </w:rPr>
        <w:tab/>
      </w:r>
      <w:r>
        <w:rPr>
          <w:noProof/>
          <w:webHidden/>
        </w:rPr>
        <w:fldChar w:fldCharType="begin"/>
      </w:r>
      <w:r>
        <w:rPr>
          <w:noProof/>
          <w:webHidden/>
        </w:rPr>
        <w:instrText xml:space="preserve"> PAGEREF _Toc475451051 \h </w:instrText>
      </w:r>
      <w:r>
        <w:rPr>
          <w:noProof/>
          <w:webHidden/>
        </w:rPr>
        <w:fldChar w:fldCharType="separate"/>
      </w:r>
      <w:r>
        <w:rPr>
          <w:noProof/>
          <w:webHidden/>
        </w:rPr>
        <w:t>16</w:t>
      </w:r>
      <w:r>
        <w:rPr>
          <w:noProof/>
          <w:webHidden/>
        </w:rPr>
        <w:fldChar w:fldCharType="end"/>
      </w:r>
      <w:r>
        <w:fldChar w:fldCharType="end"/>
      </w:r>
    </w:p>
    <w:p w:rsidR="00146AC0">
      <w:pPr>
        <w:pStyle w:val="TOC5"/>
        <w:tabs>
          <w:tab w:val="left" w:pos="3600"/>
        </w:tabs>
        <w:rPr>
          <w:rFonts w:asciiTheme="minorHAnsi" w:eastAsiaTheme="minorEastAsia" w:hAnsiTheme="minorHAnsi" w:cstheme="minorBidi"/>
          <w:noProof/>
          <w:sz w:val="22"/>
          <w:szCs w:val="22"/>
        </w:rPr>
      </w:pPr>
      <w:r>
        <w:fldChar w:fldCharType="begin"/>
      </w:r>
      <w:r>
        <w:instrText xml:space="preserve"> HYPERLINK \l "_Toc475451052" </w:instrText>
      </w:r>
      <w:r>
        <w:fldChar w:fldCharType="separate"/>
      </w:r>
      <w:r w:rsidRPr="009D3BD3">
        <w:rPr>
          <w:rStyle w:val="Hyperlink"/>
          <w:noProof/>
        </w:rPr>
        <w:t>iv.</w:t>
      </w:r>
      <w:r>
        <w:rPr>
          <w:rFonts w:asciiTheme="minorHAnsi" w:eastAsiaTheme="minorEastAsia" w:hAnsiTheme="minorHAnsi" w:cstheme="minorBidi"/>
          <w:noProof/>
          <w:sz w:val="22"/>
          <w:szCs w:val="22"/>
        </w:rPr>
        <w:tab/>
      </w:r>
      <w:r w:rsidRPr="009D3BD3">
        <w:rPr>
          <w:rStyle w:val="Hyperlink"/>
          <w:noProof/>
        </w:rPr>
        <w:t xml:space="preserve">FirstEnergy is not </w:t>
      </w:r>
      <w:r w:rsidRPr="009D3BD3">
        <w:rPr>
          <w:rStyle w:val="Hyperlink"/>
          <w:i/>
          <w:noProof/>
        </w:rPr>
        <w:t>entitled</w:t>
      </w:r>
      <w:r w:rsidRPr="009D3BD3">
        <w:rPr>
          <w:rStyle w:val="Hyperlink"/>
          <w:noProof/>
        </w:rPr>
        <w:t xml:space="preserve"> to shared savings. If FirstEnergy spends the entire $80.1 million on program costs as opposed to shared savings, then customers would benefit even more from FirstEnergy's programs.</w:t>
      </w:r>
      <w:r>
        <w:rPr>
          <w:noProof/>
          <w:webHidden/>
        </w:rPr>
        <w:tab/>
      </w:r>
      <w:r>
        <w:rPr>
          <w:noProof/>
          <w:webHidden/>
        </w:rPr>
        <w:fldChar w:fldCharType="begin"/>
      </w:r>
      <w:r>
        <w:rPr>
          <w:noProof/>
          <w:webHidden/>
        </w:rPr>
        <w:instrText xml:space="preserve"> PAGEREF _Toc475451052 \h </w:instrText>
      </w:r>
      <w:r>
        <w:rPr>
          <w:noProof/>
          <w:webHidden/>
        </w:rPr>
        <w:fldChar w:fldCharType="separate"/>
      </w:r>
      <w:r>
        <w:rPr>
          <w:noProof/>
          <w:webHidden/>
        </w:rPr>
        <w:t>17</w:t>
      </w:r>
      <w:r>
        <w:rPr>
          <w:noProof/>
          <w:webHidden/>
        </w:rPr>
        <w:fldChar w:fldCharType="end"/>
      </w:r>
      <w:r>
        <w:fldChar w:fldCharType="end"/>
      </w:r>
    </w:p>
    <w:p w:rsidR="00146AC0">
      <w:pPr>
        <w:pStyle w:val="TOC5"/>
        <w:tabs>
          <w:tab w:val="left" w:pos="3600"/>
        </w:tabs>
        <w:rPr>
          <w:rFonts w:asciiTheme="minorHAnsi" w:eastAsiaTheme="minorEastAsia" w:hAnsiTheme="minorHAnsi" w:cstheme="minorBidi"/>
          <w:noProof/>
          <w:sz w:val="22"/>
          <w:szCs w:val="22"/>
        </w:rPr>
      </w:pPr>
      <w:r>
        <w:fldChar w:fldCharType="begin"/>
      </w:r>
      <w:r>
        <w:instrText xml:space="preserve"> HYPERLINK \l "_Toc475451053" </w:instrText>
      </w:r>
      <w:r>
        <w:fldChar w:fldCharType="separate"/>
      </w:r>
      <w:r w:rsidRPr="009D3BD3">
        <w:rPr>
          <w:rStyle w:val="Hyperlink"/>
          <w:noProof/>
        </w:rPr>
        <w:t>v.</w:t>
      </w:r>
      <w:r>
        <w:rPr>
          <w:rFonts w:asciiTheme="minorHAnsi" w:eastAsiaTheme="minorEastAsia" w:hAnsiTheme="minorHAnsi" w:cstheme="minorBidi"/>
          <w:noProof/>
          <w:sz w:val="22"/>
          <w:szCs w:val="22"/>
        </w:rPr>
        <w:tab/>
      </w:r>
      <w:r w:rsidRPr="009D3BD3">
        <w:rPr>
          <w:rStyle w:val="Hyperlink"/>
          <w:noProof/>
        </w:rPr>
        <w:t>There are numerous ways that FirstEnergy could adjust its portfolio to achieve its statutory minimum energy savings under the $80.1 million cost cap.</w:t>
      </w:r>
      <w:r>
        <w:rPr>
          <w:noProof/>
          <w:webHidden/>
        </w:rPr>
        <w:tab/>
      </w:r>
      <w:r>
        <w:rPr>
          <w:noProof/>
          <w:webHidden/>
        </w:rPr>
        <w:fldChar w:fldCharType="begin"/>
      </w:r>
      <w:r>
        <w:rPr>
          <w:noProof/>
          <w:webHidden/>
        </w:rPr>
        <w:instrText xml:space="preserve"> PAGEREF _Toc475451053 \h </w:instrText>
      </w:r>
      <w:r>
        <w:rPr>
          <w:noProof/>
          <w:webHidden/>
        </w:rPr>
        <w:fldChar w:fldCharType="separate"/>
      </w:r>
      <w:r>
        <w:rPr>
          <w:noProof/>
          <w:webHidden/>
        </w:rPr>
        <w:t>19</w:t>
      </w:r>
      <w:r>
        <w:rPr>
          <w:noProof/>
          <w:webHidden/>
        </w:rPr>
        <w:fldChar w:fldCharType="end"/>
      </w:r>
      <w:r>
        <w:fldChar w:fldCharType="end"/>
      </w:r>
    </w:p>
    <w:p w:rsidR="00146AC0">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"_Toc475451054" </w:instrText>
      </w:r>
      <w:r>
        <w:fldChar w:fldCharType="separate"/>
      </w:r>
      <w:r w:rsidRPr="009D3BD3">
        <w:rPr>
          <w:rStyle w:val="Hyperlink"/>
          <w:noProof/>
        </w:rPr>
        <w:t>c.</w:t>
      </w:r>
      <w:r>
        <w:rPr>
          <w:rFonts w:asciiTheme="minorHAnsi" w:eastAsiaTheme="minorEastAsia" w:hAnsiTheme="minorHAnsi" w:cstheme="minorBidi"/>
          <w:noProof/>
          <w:sz w:val="22"/>
          <w:szCs w:val="22"/>
        </w:rPr>
        <w:tab/>
      </w:r>
      <w:r w:rsidRPr="009D3BD3">
        <w:rPr>
          <w:rStyle w:val="Hyperlink"/>
          <w:noProof/>
        </w:rPr>
        <w:t>No party to this proceeding has disputed that there should be limits on the amount that FirstEnergy can charge customers for energy efficiency program costs and utility profits (shared savings).</w:t>
      </w:r>
      <w:r>
        <w:rPr>
          <w:noProof/>
          <w:webHidden/>
        </w:rPr>
        <w:tab/>
      </w:r>
      <w:r>
        <w:rPr>
          <w:noProof/>
          <w:webHidden/>
        </w:rPr>
        <w:fldChar w:fldCharType="begin"/>
      </w:r>
      <w:r>
        <w:rPr>
          <w:noProof/>
          <w:webHidden/>
        </w:rPr>
        <w:instrText xml:space="preserve"> PAGEREF _Toc475451054 \h </w:instrText>
      </w:r>
      <w:r>
        <w:rPr>
          <w:noProof/>
          <w:webHidden/>
        </w:rPr>
        <w:fldChar w:fldCharType="separate"/>
      </w:r>
      <w:r>
        <w:rPr>
          <w:noProof/>
          <w:webHidden/>
        </w:rPr>
        <w:t>22</w:t>
      </w:r>
      <w:r>
        <w:rPr>
          <w:noProof/>
          <w:webHidden/>
        </w:rPr>
        <w:fldChar w:fldCharType="end"/>
      </w:r>
      <w:r>
        <w:fldChar w:fldCharType="end"/>
      </w:r>
    </w:p>
    <w:p w:rsidR="00146AC0">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"_Toc475451055" </w:instrText>
      </w:r>
      <w:r>
        <w:fldChar w:fldCharType="separate"/>
      </w:r>
      <w:r w:rsidRPr="009D3BD3">
        <w:rPr>
          <w:rStyle w:val="Hyperlink"/>
          <w:noProof/>
        </w:rPr>
        <w:t>2.</w:t>
      </w:r>
      <w:r>
        <w:rPr>
          <w:rFonts w:asciiTheme="minorHAnsi" w:eastAsiaTheme="minorEastAsia" w:hAnsiTheme="minorHAnsi" w:cstheme="minorBidi"/>
          <w:noProof/>
          <w:sz w:val="22"/>
          <w:szCs w:val="22"/>
        </w:rPr>
        <w:tab/>
      </w:r>
      <w:r w:rsidRPr="009D3BD3">
        <w:rPr>
          <w:rStyle w:val="Hyperlink"/>
          <w:noProof/>
        </w:rPr>
        <w:t>The Settlement would make it easier for FirstEnergy to charge customers for profit (shared savings) without any reciprocal benefit to customers.</w:t>
      </w:r>
      <w:r>
        <w:rPr>
          <w:noProof/>
          <w:webHidden/>
        </w:rPr>
        <w:tab/>
      </w:r>
      <w:r>
        <w:rPr>
          <w:noProof/>
          <w:webHidden/>
        </w:rPr>
        <w:fldChar w:fldCharType="begin"/>
      </w:r>
      <w:r>
        <w:rPr>
          <w:noProof/>
          <w:webHidden/>
        </w:rPr>
        <w:instrText xml:space="preserve"> PAGEREF _Toc475451055 \h </w:instrText>
      </w:r>
      <w:r>
        <w:rPr>
          <w:noProof/>
          <w:webHidden/>
        </w:rPr>
        <w:fldChar w:fldCharType="separate"/>
      </w:r>
      <w:r>
        <w:rPr>
          <w:noProof/>
          <w:webHidden/>
        </w:rPr>
        <w:t>24</w:t>
      </w:r>
      <w:r>
        <w:rPr>
          <w:noProof/>
          <w:webHidden/>
        </w:rPr>
        <w:fldChar w:fldCharType="end"/>
      </w:r>
      <w:r>
        <w:fldChar w:fldCharType="end"/>
      </w:r>
    </w:p>
    <w:p w:rsidR="00146AC0">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"_Toc475451056" </w:instrText>
      </w:r>
      <w:r>
        <w:fldChar w:fldCharType="separate"/>
      </w:r>
      <w:r w:rsidRPr="009D3BD3">
        <w:rPr>
          <w:rStyle w:val="Hyperlink"/>
          <w:noProof/>
        </w:rPr>
        <w:t>a.</w:t>
      </w:r>
      <w:r>
        <w:rPr>
          <w:rFonts w:asciiTheme="minorHAnsi" w:eastAsiaTheme="minorEastAsia" w:hAnsiTheme="minorHAnsi" w:cstheme="minorBidi"/>
          <w:noProof/>
          <w:sz w:val="22"/>
          <w:szCs w:val="22"/>
        </w:rPr>
        <w:tab/>
      </w:r>
      <w:r w:rsidRPr="009D3BD3">
        <w:rPr>
          <w:rStyle w:val="Hyperlink"/>
          <w:noProof/>
        </w:rPr>
        <w:t>The Settlement would require customers to pay the maximum level of profit (shared savings) to FirstEnergy in 2017, even if FirstEnergy does not meet its statutory benchmark. This does not benefit customers or the public interest.</w:t>
      </w:r>
      <w:r>
        <w:rPr>
          <w:noProof/>
          <w:webHidden/>
        </w:rPr>
        <w:tab/>
      </w:r>
      <w:r>
        <w:rPr>
          <w:noProof/>
          <w:webHidden/>
        </w:rPr>
        <w:fldChar w:fldCharType="begin"/>
      </w:r>
      <w:r>
        <w:rPr>
          <w:noProof/>
          <w:webHidden/>
        </w:rPr>
        <w:instrText xml:space="preserve"> PAGEREF _Toc475451056 \h </w:instrText>
      </w:r>
      <w:r>
        <w:rPr>
          <w:noProof/>
          <w:webHidden/>
        </w:rPr>
        <w:fldChar w:fldCharType="separate"/>
      </w:r>
      <w:r>
        <w:rPr>
          <w:noProof/>
          <w:webHidden/>
        </w:rPr>
        <w:t>24</w:t>
      </w:r>
      <w:r>
        <w:rPr>
          <w:noProof/>
          <w:webHidden/>
        </w:rPr>
        <w:fldChar w:fldCharType="end"/>
      </w:r>
      <w:r>
        <w:fldChar w:fldCharType="end"/>
      </w:r>
    </w:p>
    <w:p w:rsidR="00146AC0">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"_Toc475451057" </w:instrText>
      </w:r>
      <w:r>
        <w:fldChar w:fldCharType="separate"/>
      </w:r>
      <w:r w:rsidRPr="009D3BD3">
        <w:rPr>
          <w:rStyle w:val="Hyperlink"/>
          <w:noProof/>
        </w:rPr>
        <w:t>b.</w:t>
      </w:r>
      <w:r>
        <w:rPr>
          <w:rFonts w:asciiTheme="minorHAnsi" w:eastAsiaTheme="minorEastAsia" w:hAnsiTheme="minorHAnsi" w:cstheme="minorBidi"/>
          <w:noProof/>
          <w:sz w:val="22"/>
          <w:szCs w:val="22"/>
        </w:rPr>
        <w:tab/>
      </w:r>
      <w:r w:rsidRPr="009D3BD3">
        <w:rPr>
          <w:rStyle w:val="Hyperlink"/>
          <w:noProof/>
        </w:rPr>
        <w:t>FirstEnergy claims that it should be eligible for profit (shared savings) by achieving 14% below the statutory minimum in 2017 because of the alleged delay in the procedural schedule in this case. Any such delay does not justify a reduction in the threshold for shared savings.</w:t>
      </w:r>
      <w:r>
        <w:rPr>
          <w:noProof/>
          <w:webHidden/>
        </w:rPr>
        <w:tab/>
      </w:r>
      <w:r>
        <w:rPr>
          <w:noProof/>
          <w:webHidden/>
        </w:rPr>
        <w:fldChar w:fldCharType="begin"/>
      </w:r>
      <w:r>
        <w:rPr>
          <w:noProof/>
          <w:webHidden/>
        </w:rPr>
        <w:instrText xml:space="preserve"> PAGEREF _Toc475451057 \h </w:instrText>
      </w:r>
      <w:r>
        <w:rPr>
          <w:noProof/>
          <w:webHidden/>
        </w:rPr>
        <w:fldChar w:fldCharType="separate"/>
      </w:r>
      <w:r>
        <w:rPr>
          <w:noProof/>
          <w:webHidden/>
        </w:rPr>
        <w:t>25</w:t>
      </w:r>
      <w:r>
        <w:rPr>
          <w:noProof/>
          <w:webHidden/>
        </w:rPr>
        <w:fldChar w:fldCharType="end"/>
      </w:r>
      <w:r>
        <w:fldChar w:fldCharType="end"/>
      </w:r>
    </w:p>
    <w:p w:rsidR="00146AC0">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"_Toc475451058" </w:instrText>
      </w:r>
      <w:r>
        <w:fldChar w:fldCharType="separate"/>
      </w:r>
      <w:r w:rsidRPr="009D3BD3">
        <w:rPr>
          <w:rStyle w:val="Hyperlink"/>
          <w:noProof/>
        </w:rPr>
        <w:t>c.</w:t>
      </w:r>
      <w:r>
        <w:rPr>
          <w:rFonts w:asciiTheme="minorHAnsi" w:eastAsiaTheme="minorEastAsia" w:hAnsiTheme="minorHAnsi" w:cstheme="minorBidi"/>
          <w:noProof/>
          <w:sz w:val="22"/>
          <w:szCs w:val="22"/>
        </w:rPr>
        <w:tab/>
      </w:r>
      <w:r w:rsidRPr="009D3BD3">
        <w:rPr>
          <w:rStyle w:val="Hyperlink"/>
          <w:noProof/>
        </w:rPr>
        <w:t>FirstEnergy will have ample opportunity to achieve its statutorily mandated energy savings in 2017.</w:t>
      </w:r>
      <w:r>
        <w:rPr>
          <w:noProof/>
          <w:webHidden/>
        </w:rPr>
        <w:tab/>
      </w:r>
      <w:r>
        <w:rPr>
          <w:noProof/>
          <w:webHidden/>
        </w:rPr>
        <w:fldChar w:fldCharType="begin"/>
      </w:r>
      <w:r>
        <w:rPr>
          <w:noProof/>
          <w:webHidden/>
        </w:rPr>
        <w:instrText xml:space="preserve"> PAGEREF _Toc475451058 \h </w:instrText>
      </w:r>
      <w:r>
        <w:rPr>
          <w:noProof/>
          <w:webHidden/>
        </w:rPr>
        <w:fldChar w:fldCharType="separate"/>
      </w:r>
      <w:r>
        <w:rPr>
          <w:noProof/>
          <w:webHidden/>
        </w:rPr>
        <w:t>27</w:t>
      </w:r>
      <w:r>
        <w:rPr>
          <w:noProof/>
          <w:webHidden/>
        </w:rPr>
        <w:fldChar w:fldCharType="end"/>
      </w:r>
      <w:r>
        <w:fldChar w:fldCharType="end"/>
      </w:r>
    </w:p>
    <w:p w:rsidR="00146AC0">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"_Toc475451059" </w:instrText>
      </w:r>
      <w:r>
        <w:fldChar w:fldCharType="separate"/>
      </w:r>
      <w:r w:rsidRPr="009D3BD3">
        <w:rPr>
          <w:rStyle w:val="Hyperlink"/>
          <w:noProof/>
        </w:rPr>
        <w:t>3.</w:t>
      </w:r>
      <w:r>
        <w:rPr>
          <w:rFonts w:asciiTheme="minorHAnsi" w:eastAsiaTheme="minorEastAsia" w:hAnsiTheme="minorHAnsi" w:cstheme="minorBidi"/>
          <w:noProof/>
          <w:sz w:val="22"/>
          <w:szCs w:val="22"/>
        </w:rPr>
        <w:tab/>
      </w:r>
      <w:r w:rsidRPr="009D3BD3">
        <w:rPr>
          <w:rStyle w:val="Hyperlink"/>
          <w:noProof/>
        </w:rPr>
        <w:t>The proposed shared savings mechanism would cause customers to pay excessive profits to FirstEnergy.</w:t>
      </w:r>
      <w:r>
        <w:rPr>
          <w:noProof/>
          <w:webHidden/>
        </w:rPr>
        <w:tab/>
      </w:r>
      <w:r>
        <w:rPr>
          <w:noProof/>
          <w:webHidden/>
        </w:rPr>
        <w:fldChar w:fldCharType="begin"/>
      </w:r>
      <w:r>
        <w:rPr>
          <w:noProof/>
          <w:webHidden/>
        </w:rPr>
        <w:instrText xml:space="preserve"> PAGEREF _Toc475451059 \h </w:instrText>
      </w:r>
      <w:r>
        <w:rPr>
          <w:noProof/>
          <w:webHidden/>
        </w:rPr>
        <w:fldChar w:fldCharType="separate"/>
      </w:r>
      <w:r>
        <w:rPr>
          <w:noProof/>
          <w:webHidden/>
        </w:rPr>
        <w:t>28</w:t>
      </w:r>
      <w:r>
        <w:rPr>
          <w:noProof/>
          <w:webHidden/>
        </w:rPr>
        <w:fldChar w:fldCharType="end"/>
      </w:r>
      <w:r>
        <w:fldChar w:fldCharType="end"/>
      </w:r>
    </w:p>
    <w:p w:rsidR="00146AC0">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"_Toc475451060" </w:instrText>
      </w:r>
      <w:r>
        <w:fldChar w:fldCharType="separate"/>
      </w:r>
      <w:r w:rsidRPr="009D3BD3">
        <w:rPr>
          <w:rStyle w:val="Hyperlink"/>
          <w:noProof/>
        </w:rPr>
        <w:t>a.</w:t>
      </w:r>
      <w:r>
        <w:rPr>
          <w:rFonts w:asciiTheme="minorHAnsi" w:eastAsiaTheme="minorEastAsia" w:hAnsiTheme="minorHAnsi" w:cstheme="minorBidi"/>
          <w:noProof/>
          <w:sz w:val="22"/>
          <w:szCs w:val="22"/>
        </w:rPr>
        <w:tab/>
      </w:r>
      <w:r w:rsidRPr="009D3BD3">
        <w:rPr>
          <w:rStyle w:val="Hyperlink"/>
          <w:noProof/>
        </w:rPr>
        <w:t>Each of the three FirstEnergy Companies should have its own annual cap on shared savings that customers must fund.</w:t>
      </w:r>
      <w:r>
        <w:rPr>
          <w:noProof/>
          <w:webHidden/>
        </w:rPr>
        <w:tab/>
      </w:r>
      <w:r>
        <w:rPr>
          <w:noProof/>
          <w:webHidden/>
        </w:rPr>
        <w:fldChar w:fldCharType="begin"/>
      </w:r>
      <w:r>
        <w:rPr>
          <w:noProof/>
          <w:webHidden/>
        </w:rPr>
        <w:instrText xml:space="preserve"> PAGEREF _Toc475451060 \h </w:instrText>
      </w:r>
      <w:r>
        <w:rPr>
          <w:noProof/>
          <w:webHidden/>
        </w:rPr>
        <w:fldChar w:fldCharType="separate"/>
      </w:r>
      <w:r>
        <w:rPr>
          <w:noProof/>
          <w:webHidden/>
        </w:rPr>
        <w:t>28</w:t>
      </w:r>
      <w:r>
        <w:rPr>
          <w:noProof/>
          <w:webHidden/>
        </w:rPr>
        <w:fldChar w:fldCharType="end"/>
      </w:r>
      <w:r>
        <w:fldChar w:fldCharType="end"/>
      </w:r>
    </w:p>
    <w:p w:rsidR="00146AC0">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"_Toc475451061" </w:instrText>
      </w:r>
      <w:r>
        <w:fldChar w:fldCharType="separate"/>
      </w:r>
      <w:r w:rsidRPr="009D3BD3">
        <w:rPr>
          <w:rStyle w:val="Hyperlink"/>
          <w:noProof/>
        </w:rPr>
        <w:t>b.</w:t>
      </w:r>
      <w:r>
        <w:rPr>
          <w:rFonts w:asciiTheme="minorHAnsi" w:eastAsiaTheme="minorEastAsia" w:hAnsiTheme="minorHAnsi" w:cstheme="minorBidi"/>
          <w:noProof/>
          <w:sz w:val="22"/>
          <w:szCs w:val="22"/>
        </w:rPr>
        <w:tab/>
      </w:r>
      <w:r w:rsidRPr="009D3BD3">
        <w:rPr>
          <w:rStyle w:val="Hyperlink"/>
          <w:noProof/>
        </w:rPr>
        <w:t>Customers should not pay higher profit (shared savings) to FirstEnergy as a result of the Energy Special Improvement District and Mercantile Customer Programs because FirstEnergy is not responsible for any of the savings from these programs.</w:t>
      </w:r>
      <w:r>
        <w:rPr>
          <w:noProof/>
          <w:webHidden/>
        </w:rPr>
        <w:tab/>
      </w:r>
      <w:r>
        <w:rPr>
          <w:noProof/>
          <w:webHidden/>
        </w:rPr>
        <w:fldChar w:fldCharType="begin"/>
      </w:r>
      <w:r>
        <w:rPr>
          <w:noProof/>
          <w:webHidden/>
        </w:rPr>
        <w:instrText xml:space="preserve"> PAGEREF _Toc475451061 \h </w:instrText>
      </w:r>
      <w:r>
        <w:rPr>
          <w:noProof/>
          <w:webHidden/>
        </w:rPr>
        <w:fldChar w:fldCharType="separate"/>
      </w:r>
      <w:r>
        <w:rPr>
          <w:noProof/>
          <w:webHidden/>
        </w:rPr>
        <w:t>31</w:t>
      </w:r>
      <w:r>
        <w:rPr>
          <w:noProof/>
          <w:webHidden/>
        </w:rPr>
        <w:fldChar w:fldCharType="end"/>
      </w:r>
      <w:r>
        <w:fldChar w:fldCharType="end"/>
      </w:r>
    </w:p>
    <w:p w:rsidR="00146AC0">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"_Toc475451062" </w:instrText>
      </w:r>
      <w:r>
        <w:fldChar w:fldCharType="separate"/>
      </w:r>
      <w:r w:rsidRPr="009D3BD3">
        <w:rPr>
          <w:rStyle w:val="Hyperlink"/>
          <w:noProof/>
        </w:rPr>
        <w:t>c.</w:t>
      </w:r>
      <w:r>
        <w:rPr>
          <w:rFonts w:asciiTheme="minorHAnsi" w:eastAsiaTheme="minorEastAsia" w:hAnsiTheme="minorHAnsi" w:cstheme="minorBidi"/>
          <w:noProof/>
          <w:sz w:val="22"/>
          <w:szCs w:val="22"/>
        </w:rPr>
        <w:tab/>
      </w:r>
      <w:r w:rsidRPr="009D3BD3">
        <w:rPr>
          <w:rStyle w:val="Hyperlink"/>
          <w:noProof/>
        </w:rPr>
        <w:t>The Settlement requires customers to pay for programs that target 594,000 MWh in energy savings per year. Thus, customers should not pay profit (shared savings) to FirstEnergy if FirstEnergy's programs achieve only the statutory minimum savings of about 530,000 MWh.</w:t>
      </w:r>
      <w:r>
        <w:rPr>
          <w:noProof/>
          <w:webHidden/>
        </w:rPr>
        <w:tab/>
      </w:r>
      <w:r>
        <w:rPr>
          <w:noProof/>
          <w:webHidden/>
        </w:rPr>
        <w:fldChar w:fldCharType="begin"/>
      </w:r>
      <w:r>
        <w:rPr>
          <w:noProof/>
          <w:webHidden/>
        </w:rPr>
        <w:instrText xml:space="preserve"> PAGEREF _Toc475451062 \h </w:instrText>
      </w:r>
      <w:r>
        <w:rPr>
          <w:noProof/>
          <w:webHidden/>
        </w:rPr>
        <w:fldChar w:fldCharType="separate"/>
      </w:r>
      <w:r>
        <w:rPr>
          <w:noProof/>
          <w:webHidden/>
        </w:rPr>
        <w:t>33</w:t>
      </w:r>
      <w:r>
        <w:rPr>
          <w:noProof/>
          <w:webHidden/>
        </w:rPr>
        <w:fldChar w:fldCharType="end"/>
      </w:r>
      <w:r>
        <w:fldChar w:fldCharType="end"/>
      </w:r>
    </w:p>
    <w:p w:rsidR="00146AC0">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"_Toc475451063" </w:instrText>
      </w:r>
      <w:r>
        <w:fldChar w:fldCharType="separate"/>
      </w:r>
      <w:r w:rsidRPr="009D3BD3">
        <w:rPr>
          <w:rStyle w:val="Hyperlink"/>
          <w:noProof/>
        </w:rPr>
        <w:t>B.</w:t>
      </w:r>
      <w:r>
        <w:rPr>
          <w:rFonts w:asciiTheme="minorHAnsi" w:eastAsiaTheme="minorEastAsia" w:hAnsiTheme="minorHAnsi" w:cstheme="minorBidi"/>
          <w:noProof/>
          <w:sz w:val="22"/>
          <w:szCs w:val="22"/>
        </w:rPr>
        <w:tab/>
      </w:r>
      <w:r w:rsidRPr="009D3BD3">
        <w:rPr>
          <w:rStyle w:val="Hyperlink"/>
          <w:noProof/>
        </w:rPr>
        <w:t>The Settlement should be rejected because the signatory parties are not diverse.</w:t>
      </w:r>
      <w:r>
        <w:rPr>
          <w:noProof/>
          <w:webHidden/>
        </w:rPr>
        <w:tab/>
      </w:r>
      <w:r>
        <w:rPr>
          <w:noProof/>
          <w:webHidden/>
        </w:rPr>
        <w:fldChar w:fldCharType="begin"/>
      </w:r>
      <w:r>
        <w:rPr>
          <w:noProof/>
          <w:webHidden/>
        </w:rPr>
        <w:instrText xml:space="preserve"> PAGEREF _Toc475451063 \h </w:instrText>
      </w:r>
      <w:r>
        <w:rPr>
          <w:noProof/>
          <w:webHidden/>
        </w:rPr>
        <w:fldChar w:fldCharType="separate"/>
      </w:r>
      <w:r>
        <w:rPr>
          <w:noProof/>
          <w:webHidden/>
        </w:rPr>
        <w:t>34</w:t>
      </w:r>
      <w:r>
        <w:rPr>
          <w:noProof/>
          <w:webHidden/>
        </w:rPr>
        <w:fldChar w:fldCharType="end"/>
      </w:r>
      <w:r>
        <w:fldChar w:fldCharType="end"/>
      </w:r>
    </w:p>
    <w:p w:rsidR="00146AC0">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"_Toc475451064" </w:instrText>
      </w:r>
      <w:r>
        <w:fldChar w:fldCharType="separate"/>
      </w:r>
      <w:r w:rsidRPr="009D3BD3">
        <w:rPr>
          <w:rStyle w:val="Hyperlink"/>
          <w:noProof/>
        </w:rPr>
        <w:t>C.</w:t>
      </w:r>
      <w:r>
        <w:rPr>
          <w:rFonts w:asciiTheme="minorHAnsi" w:eastAsiaTheme="minorEastAsia" w:hAnsiTheme="minorHAnsi" w:cstheme="minorBidi"/>
          <w:noProof/>
          <w:sz w:val="22"/>
          <w:szCs w:val="22"/>
        </w:rPr>
        <w:tab/>
      </w:r>
      <w:r w:rsidRPr="009D3BD3">
        <w:rPr>
          <w:rStyle w:val="Hyperlink"/>
          <w:noProof/>
        </w:rPr>
        <w:t>The Settlement violates regulatory principles and practices.</w:t>
      </w:r>
      <w:r>
        <w:rPr>
          <w:noProof/>
          <w:webHidden/>
        </w:rPr>
        <w:tab/>
      </w:r>
      <w:r>
        <w:rPr>
          <w:noProof/>
          <w:webHidden/>
        </w:rPr>
        <w:fldChar w:fldCharType="begin"/>
      </w:r>
      <w:r>
        <w:rPr>
          <w:noProof/>
          <w:webHidden/>
        </w:rPr>
        <w:instrText xml:space="preserve"> PAGEREF _Toc475451064 \h </w:instrText>
      </w:r>
      <w:r>
        <w:rPr>
          <w:noProof/>
          <w:webHidden/>
        </w:rPr>
        <w:fldChar w:fldCharType="separate"/>
      </w:r>
      <w:r>
        <w:rPr>
          <w:noProof/>
          <w:webHidden/>
        </w:rPr>
        <w:t>37</w:t>
      </w:r>
      <w:r>
        <w:rPr>
          <w:noProof/>
          <w:webHidden/>
        </w:rPr>
        <w:fldChar w:fldCharType="end"/>
      </w:r>
      <w:r>
        <w:fldChar w:fldCharType="end"/>
      </w:r>
    </w:p>
    <w:p w:rsidR="00146AC0">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"_Toc475451065" </w:instrText>
      </w:r>
      <w:r>
        <w:fldChar w:fldCharType="separate"/>
      </w:r>
      <w:r w:rsidRPr="009D3BD3">
        <w:rPr>
          <w:rStyle w:val="Hyperlink"/>
          <w:noProof/>
        </w:rPr>
        <w:t>1.</w:t>
      </w:r>
      <w:r>
        <w:rPr>
          <w:rFonts w:asciiTheme="minorHAnsi" w:eastAsiaTheme="minorEastAsia" w:hAnsiTheme="minorHAnsi" w:cstheme="minorBidi"/>
          <w:noProof/>
          <w:sz w:val="22"/>
          <w:szCs w:val="22"/>
        </w:rPr>
        <w:tab/>
      </w:r>
      <w:r w:rsidRPr="009D3BD3">
        <w:rPr>
          <w:rStyle w:val="Hyperlink"/>
          <w:noProof/>
        </w:rPr>
        <w:t>The Settlement violates the PUCO's October 12, 2016 Entry on Rehearing in FirstEnergy's ESP IV case.</w:t>
      </w:r>
      <w:r>
        <w:rPr>
          <w:noProof/>
          <w:webHidden/>
        </w:rPr>
        <w:tab/>
      </w:r>
      <w:r>
        <w:rPr>
          <w:noProof/>
          <w:webHidden/>
        </w:rPr>
        <w:fldChar w:fldCharType="begin"/>
      </w:r>
      <w:r>
        <w:rPr>
          <w:noProof/>
          <w:webHidden/>
        </w:rPr>
        <w:instrText xml:space="preserve"> PAGEREF _Toc475451065 \h </w:instrText>
      </w:r>
      <w:r>
        <w:rPr>
          <w:noProof/>
          <w:webHidden/>
        </w:rPr>
        <w:fldChar w:fldCharType="separate"/>
      </w:r>
      <w:r>
        <w:rPr>
          <w:noProof/>
          <w:webHidden/>
        </w:rPr>
        <w:t>37</w:t>
      </w:r>
      <w:r>
        <w:rPr>
          <w:noProof/>
          <w:webHidden/>
        </w:rPr>
        <w:fldChar w:fldCharType="end"/>
      </w:r>
      <w:r>
        <w:fldChar w:fldCharType="end"/>
      </w:r>
    </w:p>
    <w:p w:rsidR="00146AC0">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"_Toc475451066" </w:instrText>
      </w:r>
      <w:r>
        <w:fldChar w:fldCharType="separate"/>
      </w:r>
      <w:r w:rsidRPr="009D3BD3">
        <w:rPr>
          <w:rStyle w:val="Hyperlink"/>
          <w:noProof/>
        </w:rPr>
        <w:t>2.</w:t>
      </w:r>
      <w:r>
        <w:rPr>
          <w:rFonts w:asciiTheme="minorHAnsi" w:eastAsiaTheme="minorEastAsia" w:hAnsiTheme="minorHAnsi" w:cstheme="minorBidi"/>
          <w:noProof/>
          <w:sz w:val="22"/>
          <w:szCs w:val="22"/>
        </w:rPr>
        <w:tab/>
      </w:r>
      <w:r w:rsidRPr="009D3BD3">
        <w:rPr>
          <w:rStyle w:val="Hyperlink"/>
          <w:noProof/>
        </w:rPr>
        <w:t>The Settlement violates the regulatory principle that a utility should only be permitted to charge customers for profit (shared savings) if it exceeds the statutory minimum energy savings.</w:t>
      </w:r>
      <w:r>
        <w:rPr>
          <w:noProof/>
          <w:webHidden/>
        </w:rPr>
        <w:tab/>
      </w:r>
      <w:r>
        <w:rPr>
          <w:noProof/>
          <w:webHidden/>
        </w:rPr>
        <w:fldChar w:fldCharType="begin"/>
      </w:r>
      <w:r>
        <w:rPr>
          <w:noProof/>
          <w:webHidden/>
        </w:rPr>
        <w:instrText xml:space="preserve"> PAGEREF _Toc475451066 \h </w:instrText>
      </w:r>
      <w:r>
        <w:rPr>
          <w:noProof/>
          <w:webHidden/>
        </w:rPr>
        <w:fldChar w:fldCharType="separate"/>
      </w:r>
      <w:r>
        <w:rPr>
          <w:noProof/>
          <w:webHidden/>
        </w:rPr>
        <w:t>39</w:t>
      </w:r>
      <w:r>
        <w:rPr>
          <w:noProof/>
          <w:webHidden/>
        </w:rPr>
        <w:fldChar w:fldCharType="end"/>
      </w:r>
      <w:r>
        <w:fldChar w:fldCharType="end"/>
      </w:r>
    </w:p>
    <w:p w:rsidR="00146AC0">
      <w:pPr>
        <w:pStyle w:val="TOC1"/>
        <w:rPr>
          <w:rFonts w:asciiTheme="minorHAnsi" w:eastAsiaTheme="minorEastAsia" w:hAnsiTheme="minorHAnsi" w:cstheme="minorBidi"/>
          <w:caps w:val="0"/>
          <w:noProof/>
          <w:sz w:val="22"/>
          <w:szCs w:val="22"/>
        </w:rPr>
      </w:pPr>
      <w:r>
        <w:fldChar w:fldCharType="begin"/>
      </w:r>
      <w:r>
        <w:instrText xml:space="preserve"> HYPERLINK \l "_Toc475451067" </w:instrText>
      </w:r>
      <w:r>
        <w:fldChar w:fldCharType="separate"/>
      </w:r>
      <w:r w:rsidRPr="009D3BD3">
        <w:rPr>
          <w:rStyle w:val="Hyperlink"/>
          <w:noProof/>
        </w:rPr>
        <w:t>IV.</w:t>
      </w:r>
      <w:r>
        <w:rPr>
          <w:rFonts w:asciiTheme="minorHAnsi" w:eastAsiaTheme="minorEastAsia" w:hAnsiTheme="minorHAnsi" w:cstheme="minorBidi"/>
          <w:caps w:val="0"/>
          <w:noProof/>
          <w:sz w:val="22"/>
          <w:szCs w:val="22"/>
        </w:rPr>
        <w:tab/>
      </w:r>
      <w:r w:rsidRPr="009D3BD3">
        <w:rPr>
          <w:rStyle w:val="Hyperlink"/>
          <w:noProof/>
        </w:rPr>
        <w:t>CONCLUSION</w:t>
      </w:r>
      <w:r>
        <w:rPr>
          <w:noProof/>
          <w:webHidden/>
        </w:rPr>
        <w:tab/>
      </w:r>
      <w:r>
        <w:rPr>
          <w:noProof/>
          <w:webHidden/>
        </w:rPr>
        <w:fldChar w:fldCharType="begin"/>
      </w:r>
      <w:r>
        <w:rPr>
          <w:noProof/>
          <w:webHidden/>
        </w:rPr>
        <w:instrText xml:space="preserve"> PAGEREF _Toc475451067 \h </w:instrText>
      </w:r>
      <w:r>
        <w:rPr>
          <w:noProof/>
          <w:webHidden/>
        </w:rPr>
        <w:fldChar w:fldCharType="separate"/>
      </w:r>
      <w:r>
        <w:rPr>
          <w:noProof/>
          <w:webHidden/>
        </w:rPr>
        <w:t>39</w:t>
      </w:r>
      <w:r>
        <w:rPr>
          <w:noProof/>
          <w:webHidden/>
        </w:rPr>
        <w:fldChar w:fldCharType="end"/>
      </w:r>
      <w:r>
        <w:fldChar w:fldCharType="end"/>
      </w:r>
    </w:p>
    <w:p w:rsidR="0002569A">
      <w:pPr>
        <w:spacing w:after="200" w:line="276" w:lineRule="auto"/>
        <w:rPr>
          <w:rFonts w:ascii="TimesNewRomanPSMT" w:hAnsi="TimesNewRomanPSMT" w:eastAsiaTheme="minorHAnsi" w:cs="TimesNewRomanPSMT"/>
          <w:b/>
        </w:rPr>
      </w:pPr>
      <w:r>
        <w:rPr>
          <w:rFonts w:ascii="TimesNewRomanPSMT" w:hAnsi="TimesNewRomanPSMT" w:eastAsiaTheme="minorHAnsi" w:cs="TimesNewRomanPSMT"/>
          <w:caps/>
        </w:rPr>
        <w:fldChar w:fldCharType="end"/>
      </w:r>
      <w:r>
        <w:rPr>
          <w:rFonts w:ascii="TimesNewRomanPSMT" w:hAnsi="TimesNewRomanPSMT" w:eastAsiaTheme="minorHAnsi" w:cs="TimesNewRomanPSMT"/>
        </w:rPr>
        <w:tab/>
      </w:r>
      <w:r>
        <w:rPr>
          <w:rFonts w:ascii="TimesNewRomanPSMT" w:hAnsi="TimesNewRomanPSMT" w:eastAsiaTheme="minorHAnsi" w:cs="TimesNewRomanPSMT"/>
        </w:rPr>
        <w:tab/>
      </w:r>
      <w:r>
        <w:rPr>
          <w:rFonts w:ascii="TimesNewRomanPSMT" w:hAnsi="TimesNewRomanPSMT" w:eastAsiaTheme="minorHAnsi" w:cs="TimesNewRomanPSMT"/>
        </w:rPr>
        <w:tab/>
      </w:r>
      <w:r>
        <w:rPr>
          <w:rFonts w:ascii="TimesNewRomanPSMT" w:hAnsi="TimesNewRomanPSMT" w:eastAsiaTheme="minorHAnsi" w:cs="TimesNewRomanPSMT"/>
        </w:rPr>
        <w:tab/>
      </w:r>
      <w:r>
        <w:rPr>
          <w:rFonts w:ascii="TimesNewRomanPSMT" w:hAnsi="TimesNewRomanPSMT" w:eastAsiaTheme="minorHAnsi" w:cs="TimesNewRomanPSMT"/>
        </w:rPr>
        <w:tab/>
      </w:r>
      <w:r>
        <w:rPr>
          <w:rFonts w:ascii="TimesNewRomanPSMT" w:hAnsi="TimesNewRomanPSMT" w:eastAsiaTheme="minorHAnsi" w:cs="TimesNewRomanPSMT"/>
        </w:rPr>
        <w:tab/>
      </w:r>
      <w:r>
        <w:rPr>
          <w:rFonts w:ascii="TimesNewRomanPSMT" w:hAnsi="TimesNewRomanPSMT" w:eastAsiaTheme="minorHAnsi" w:cs="TimesNewRomanPSMT"/>
        </w:rPr>
        <w:tab/>
      </w:r>
      <w:r>
        <w:rPr>
          <w:rFonts w:ascii="TimesNewRomanPSMT" w:hAnsi="TimesNewRomanPSMT" w:eastAsiaTheme="minorHAnsi" w:cs="TimesNewRomanPSMT"/>
        </w:rPr>
        <w:tab/>
      </w:r>
      <w:r>
        <w:rPr>
          <w:rFonts w:ascii="TimesNewRomanPSMT" w:hAnsi="TimesNewRomanPSMT" w:eastAsiaTheme="minorHAnsi" w:cs="TimesNewRomanPSMT"/>
        </w:rPr>
        <w:tab/>
      </w:r>
    </w:p>
    <w:p w:rsidR="0002569A" w:rsidRPr="0002569A">
      <w:pPr>
        <w:spacing w:after="200" w:line="276" w:lineRule="auto"/>
        <w:rPr>
          <w:rFonts w:ascii="TimesNewRomanPSMT" w:hAnsi="TimesNewRomanPSMT" w:eastAsiaTheme="minorHAnsi" w:cs="TimesNewRomanPSMT"/>
          <w:b/>
        </w:rPr>
      </w:pPr>
    </w:p>
    <w:p w:rsidR="00997A88">
      <w:pPr>
        <w:spacing w:after="200" w:line="276" w:lineRule="auto"/>
        <w:rPr>
          <w:rFonts w:ascii="TimesNewRomanPSMT" w:hAnsi="TimesNewRomanPSMT" w:eastAsiaTheme="minorHAnsi" w:cs="TimesNewRomanPSMT"/>
        </w:rPr>
      </w:pPr>
    </w:p>
    <w:p w:rsidR="000B2633">
      <w:pPr>
        <w:spacing w:after="200" w:line="276" w:lineRule="auto"/>
        <w:rPr>
          <w:rFonts w:ascii="TimesNewRomanPSMT" w:hAnsi="TimesNewRomanPSMT" w:eastAsiaTheme="minorHAnsi" w:cs="TimesNewRomanPSMT"/>
        </w:rPr>
        <w:sectPr w:rsidSect="0002569A">
          <w:headerReference w:type="even" r:id="rId11"/>
          <w:headerReference w:type="default" r:id="rId12"/>
          <w:footerReference w:type="default" r:id="rId13"/>
          <w:headerReference w:type="first" r:id="rId14"/>
          <w:pgSz w:w="12240" w:h="15840"/>
          <w:pgMar w:top="1440" w:right="1800" w:bottom="1440" w:left="1800" w:header="720" w:footer="720" w:gutter="0"/>
          <w:pgNumType w:fmt="lowerRoman" w:start="1"/>
          <w:cols w:space="720"/>
          <w:docGrid w:linePitch="360"/>
        </w:sectPr>
      </w:pPr>
      <w:r>
        <w:rPr>
          <w:rFonts w:ascii="TimesNewRomanPSMT" w:hAnsi="TimesNewRomanPSMT" w:eastAsiaTheme="minorHAnsi" w:cs="TimesNewRomanPSMT"/>
        </w:rPr>
        <w:br w:type="page"/>
      </w:r>
    </w:p>
    <w:p w:rsidR="00997A88" w:rsidRPr="005216DF" w:rsidP="00997A88">
      <w:pPr>
        <w:ind w:left="2880" w:firstLine="720"/>
        <w:rPr>
          <w:b/>
          <w:szCs w:val="24"/>
        </w:rPr>
      </w:pPr>
      <w:r w:rsidRPr="005216DF">
        <w:rPr>
          <w:b/>
          <w:szCs w:val="24"/>
        </w:rPr>
        <w:t>BEFORE</w:t>
      </w:r>
    </w:p>
    <w:p w:rsidR="00997A88" w:rsidP="00997A88">
      <w:pPr>
        <w:jc w:val="center"/>
        <w:rPr>
          <w:b/>
          <w:szCs w:val="24"/>
        </w:rPr>
      </w:pPr>
      <w:r w:rsidRPr="005216DF">
        <w:rPr>
          <w:b/>
          <w:szCs w:val="24"/>
        </w:rPr>
        <w:t>THE PUBLIC UTILITIES COMMISSION OF OHIO</w:t>
      </w:r>
    </w:p>
    <w:p w:rsidR="00997A88" w:rsidP="00997A88">
      <w:pPr>
        <w:jc w:val="center"/>
        <w:rPr>
          <w:b/>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1F2FDA">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997A88" w:rsidRPr="00204DE6" w:rsidP="001F2FDA">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204DE6">
              <w:rPr>
                <w:rFonts w:ascii="Times New Roman" w:eastAsia="Times New Roman" w:hAnsi="Times New Roman" w:cs="Times New Roman"/>
                <w:sz w:val="24"/>
                <w:szCs w:val="24"/>
                <w:lang w:val="en-US" w:eastAsia="en-US" w:bidi="ar-SA"/>
              </w:rPr>
              <w:t>In the Matter of the Application of Ohio Edison Company, the Cleveland Electric Illuminating Company, and the Toledo Edison Company for Approval of their Energy Efficiency and Peak Demand Reduction Program Portfolio Plans for 2017 through 2019.</w:t>
            </w:r>
          </w:p>
        </w:tc>
        <w:tc>
          <w:tcPr>
            <w:tcW w:w="360" w:type="dxa"/>
            <w:shd w:val="clear" w:color="auto" w:fill="auto"/>
          </w:tcPr>
          <w:p w:rsidR="00997A88"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997A88"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997A88"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997A88"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997A88"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997A88"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997A88"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tc>
        <w:tc>
          <w:tcPr>
            <w:tcW w:w="4400" w:type="dxa"/>
            <w:shd w:val="clear" w:color="auto" w:fill="auto"/>
          </w:tcPr>
          <w:p w:rsidR="00997A88"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97A88" w:rsidRPr="00204DE6" w:rsidP="001F2FDA">
            <w:pPr>
              <w:spacing w:after="0" w:line="240" w:lineRule="auto"/>
              <w:rPr>
                <w:rStyle w:val="DefaultParagraphFont"/>
                <w:rFonts w:ascii="Times New Roman" w:eastAsia="Times New Roman" w:hAnsi="Times New Roman" w:cs="Times New Roman"/>
                <w:sz w:val="24"/>
                <w:szCs w:val="24"/>
                <w:lang w:val="en-US" w:eastAsia="en-US" w:bidi="ar-SA"/>
              </w:rPr>
            </w:pPr>
          </w:p>
          <w:p w:rsidR="00997A88" w:rsidRPr="00204DE6" w:rsidP="001F2FDA">
            <w:pPr>
              <w:spacing w:after="0" w:line="240" w:lineRule="auto"/>
              <w:rPr>
                <w:rStyle w:val="DefaultParagraphFont"/>
                <w:rFonts w:ascii="Times New Roman" w:eastAsia="Times New Roman" w:hAnsi="Times New Roman" w:cs="Times New Roman"/>
                <w:sz w:val="24"/>
                <w:szCs w:val="24"/>
                <w:lang w:val="en-US" w:eastAsia="en-US" w:bidi="ar-SA"/>
              </w:rPr>
            </w:pPr>
          </w:p>
          <w:p w:rsidR="00997A88" w:rsidRPr="00204DE6" w:rsidP="001F2FDA">
            <w:pPr>
              <w:spacing w:after="0" w:line="240" w:lineRule="auto"/>
              <w:rPr>
                <w:rStyle w:val="DefaultParagraphFont"/>
                <w:rFonts w:ascii="Times New Roman" w:eastAsia="Times New Roman" w:hAnsi="Times New Roman" w:cs="Times New Roman"/>
                <w:i/>
                <w:sz w:val="24"/>
                <w:szCs w:val="24"/>
                <w:lang w:val="en-US" w:eastAsia="en-US" w:bidi="ar-SA"/>
              </w:rPr>
            </w:pPr>
            <w:r w:rsidRPr="00204DE6">
              <w:rPr>
                <w:rFonts w:ascii="Times New Roman" w:eastAsia="Times New Roman" w:hAnsi="Times New Roman" w:cs="Times New Roman"/>
                <w:sz w:val="24"/>
                <w:szCs w:val="24"/>
                <w:lang w:val="en-US" w:eastAsia="en-US" w:bidi="ar-SA"/>
              </w:rPr>
              <w:t>Case No. 16-743-EL-POR</w:t>
            </w:r>
          </w:p>
          <w:p w:rsidR="00997A88" w:rsidRPr="00204DE6" w:rsidP="001F2FD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997A88" w:rsidRPr="005216DF" w:rsidP="00997A88">
      <w:pPr>
        <w:jc w:val="both"/>
        <w:rPr>
          <w:szCs w:val="24"/>
        </w:rPr>
      </w:pPr>
    </w:p>
    <w:p w:rsidR="00997A88" w:rsidRPr="005216DF" w:rsidP="00997A88">
      <w:pPr>
        <w:pBdr>
          <w:top w:val="single" w:sz="12" w:space="1" w:color="auto"/>
        </w:pBdr>
        <w:jc w:val="center"/>
        <w:rPr>
          <w:szCs w:val="24"/>
        </w:rPr>
      </w:pPr>
    </w:p>
    <w:p w:rsidR="00997A88" w:rsidP="00997A88">
      <w:pPr>
        <w:tabs>
          <w:tab w:val="left" w:pos="-720"/>
        </w:tabs>
        <w:suppressAutoHyphens/>
        <w:jc w:val="center"/>
        <w:rPr>
          <w:b/>
          <w:spacing w:val="-3"/>
          <w:szCs w:val="24"/>
        </w:rPr>
      </w:pPr>
      <w:r>
        <w:rPr>
          <w:b/>
          <w:spacing w:val="-3"/>
          <w:szCs w:val="24"/>
        </w:rPr>
        <w:t>POST HEARING BRIEF</w:t>
      </w:r>
    </w:p>
    <w:p w:rsidR="00997A88" w:rsidP="00997A88">
      <w:pPr>
        <w:tabs>
          <w:tab w:val="left" w:pos="-720"/>
        </w:tabs>
        <w:suppressAutoHyphens/>
        <w:jc w:val="center"/>
        <w:rPr>
          <w:b/>
          <w:spacing w:val="-3"/>
          <w:szCs w:val="24"/>
        </w:rPr>
      </w:pPr>
      <w:r>
        <w:rPr>
          <w:b/>
          <w:spacing w:val="-3"/>
          <w:szCs w:val="24"/>
        </w:rPr>
        <w:t>BY</w:t>
      </w:r>
    </w:p>
    <w:p w:rsidR="00997A88" w:rsidRPr="005216DF" w:rsidP="00997A88">
      <w:pPr>
        <w:tabs>
          <w:tab w:val="left" w:pos="-720"/>
        </w:tabs>
        <w:suppressAutoHyphens/>
        <w:jc w:val="center"/>
        <w:rPr>
          <w:b/>
          <w:spacing w:val="-3"/>
          <w:szCs w:val="24"/>
        </w:rPr>
      </w:pPr>
      <w:r w:rsidRPr="005216DF">
        <w:rPr>
          <w:b/>
          <w:spacing w:val="-3"/>
          <w:szCs w:val="24"/>
        </w:rPr>
        <w:t>THE OFFICE OF THE OHIO CONSUMERS</w:t>
      </w:r>
      <w:r w:rsidR="0082545D">
        <w:rPr>
          <w:b/>
          <w:spacing w:val="-3"/>
          <w:szCs w:val="24"/>
        </w:rPr>
        <w:t>'</w:t>
      </w:r>
      <w:r w:rsidRPr="005216DF">
        <w:rPr>
          <w:b/>
          <w:spacing w:val="-3"/>
          <w:szCs w:val="24"/>
        </w:rPr>
        <w:t xml:space="preserve"> COUNSEL</w:t>
      </w:r>
    </w:p>
    <w:p w:rsidR="00997A88" w:rsidRPr="005216DF" w:rsidP="00997A88">
      <w:pPr>
        <w:pBdr>
          <w:bottom w:val="single" w:sz="12" w:space="1" w:color="auto"/>
        </w:pBdr>
        <w:tabs>
          <w:tab w:val="left" w:pos="-720"/>
        </w:tabs>
        <w:suppressAutoHyphens/>
        <w:jc w:val="center"/>
        <w:rPr>
          <w:b/>
          <w:spacing w:val="-3"/>
          <w:szCs w:val="24"/>
        </w:rPr>
      </w:pPr>
    </w:p>
    <w:p w:rsidR="008B5572" w:rsidP="005452D4">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Electric energy efficiency </w:t>
      </w:r>
      <w:r w:rsidR="00303276">
        <w:rPr>
          <w:rFonts w:ascii="Times New Roman" w:hAnsi="Times New Roman" w:cs="Times New Roman"/>
        </w:rPr>
        <w:t xml:space="preserve">programs </w:t>
      </w:r>
      <w:r w:rsidR="00D8526D">
        <w:rPr>
          <w:rFonts w:ascii="Times New Roman" w:hAnsi="Times New Roman" w:cs="Times New Roman"/>
        </w:rPr>
        <w:t>can</w:t>
      </w:r>
      <w:r w:rsidR="003C5F70">
        <w:rPr>
          <w:rFonts w:ascii="Times New Roman" w:hAnsi="Times New Roman" w:cs="Times New Roman"/>
        </w:rPr>
        <w:t xml:space="preserve"> </w:t>
      </w:r>
      <w:r>
        <w:rPr>
          <w:rFonts w:ascii="Times New Roman" w:hAnsi="Times New Roman" w:cs="Times New Roman"/>
        </w:rPr>
        <w:t xml:space="preserve">benefit electric utility customers. </w:t>
      </w:r>
      <w:r w:rsidR="00851593">
        <w:rPr>
          <w:rFonts w:ascii="Times New Roman" w:hAnsi="Times New Roman" w:cs="Times New Roman"/>
        </w:rPr>
        <w:t>But</w:t>
      </w:r>
      <w:r w:rsidR="00B80557">
        <w:rPr>
          <w:rFonts w:ascii="Times New Roman" w:hAnsi="Times New Roman" w:cs="Times New Roman"/>
        </w:rPr>
        <w:t xml:space="preserve"> FirstEnergy</w:t>
      </w:r>
      <w:r w:rsidR="0082545D">
        <w:rPr>
          <w:rFonts w:ascii="Times New Roman" w:hAnsi="Times New Roman" w:cs="Times New Roman"/>
        </w:rPr>
        <w:t>'</w:t>
      </w:r>
      <w:r w:rsidR="00B80557">
        <w:rPr>
          <w:rFonts w:ascii="Times New Roman" w:hAnsi="Times New Roman" w:cs="Times New Roman"/>
        </w:rPr>
        <w:t>s</w:t>
      </w:r>
      <w:r w:rsidR="00851593">
        <w:rPr>
          <w:rFonts w:ascii="Times New Roman" w:hAnsi="Times New Roman" w:cs="Times New Roman"/>
        </w:rPr>
        <w:t xml:space="preserve"> </w:t>
      </w:r>
      <w:r w:rsidR="005452D4">
        <w:rPr>
          <w:rFonts w:ascii="Times New Roman" w:hAnsi="Times New Roman" w:cs="Times New Roman"/>
        </w:rPr>
        <w:t xml:space="preserve">proposed </w:t>
      </w:r>
      <w:r w:rsidR="00851593">
        <w:rPr>
          <w:rFonts w:ascii="Times New Roman" w:hAnsi="Times New Roman" w:cs="Times New Roman"/>
        </w:rPr>
        <w:t xml:space="preserve">utility-administered energy efficiency programs are </w:t>
      </w:r>
      <w:r w:rsidR="0074514F">
        <w:rPr>
          <w:rFonts w:ascii="Times New Roman" w:hAnsi="Times New Roman" w:cs="Times New Roman"/>
        </w:rPr>
        <w:t xml:space="preserve">unnecessarily </w:t>
      </w:r>
      <w:r w:rsidR="00851593">
        <w:rPr>
          <w:rFonts w:ascii="Times New Roman" w:hAnsi="Times New Roman" w:cs="Times New Roman"/>
        </w:rPr>
        <w:t>expensive</w:t>
      </w:r>
      <w:r w:rsidR="00B80557">
        <w:rPr>
          <w:rFonts w:ascii="Times New Roman" w:hAnsi="Times New Roman" w:cs="Times New Roman"/>
        </w:rPr>
        <w:t xml:space="preserve"> for customers</w:t>
      </w:r>
      <w:r w:rsidR="00851593">
        <w:rPr>
          <w:rFonts w:ascii="Times New Roman" w:hAnsi="Times New Roman" w:cs="Times New Roman"/>
        </w:rPr>
        <w:t xml:space="preserve">. </w:t>
      </w:r>
      <w:r w:rsidR="00D91321">
        <w:rPr>
          <w:rFonts w:ascii="Times New Roman" w:hAnsi="Times New Roman" w:cs="Times New Roman"/>
        </w:rPr>
        <w:t xml:space="preserve">Under </w:t>
      </w:r>
      <w:r w:rsidR="009535E4">
        <w:rPr>
          <w:rFonts w:ascii="Times New Roman" w:hAnsi="Times New Roman" w:cs="Times New Roman"/>
        </w:rPr>
        <w:t>FirstEnergy</w:t>
      </w:r>
      <w:r w:rsidR="0082545D">
        <w:rPr>
          <w:rFonts w:ascii="Times New Roman" w:hAnsi="Times New Roman" w:cs="Times New Roman"/>
        </w:rPr>
        <w:t>'</w:t>
      </w:r>
      <w:r w:rsidR="009535E4">
        <w:rPr>
          <w:rFonts w:ascii="Times New Roman" w:hAnsi="Times New Roman" w:cs="Times New Roman"/>
        </w:rPr>
        <w:t xml:space="preserve">s </w:t>
      </w:r>
      <w:r w:rsidR="00D91321">
        <w:rPr>
          <w:rFonts w:ascii="Times New Roman" w:hAnsi="Times New Roman" w:cs="Times New Roman"/>
        </w:rPr>
        <w:t>settlement in this case</w:t>
      </w:r>
      <w:r w:rsidR="009535E4">
        <w:rPr>
          <w:rFonts w:ascii="Times New Roman" w:hAnsi="Times New Roman" w:cs="Times New Roman"/>
        </w:rPr>
        <w:t xml:space="preserve"> (which the PUCO Staff and the Consumers</w:t>
      </w:r>
      <w:r w:rsidR="0082545D">
        <w:rPr>
          <w:rFonts w:ascii="Times New Roman" w:hAnsi="Times New Roman" w:cs="Times New Roman"/>
        </w:rPr>
        <w:t>'</w:t>
      </w:r>
      <w:r w:rsidR="009535E4">
        <w:rPr>
          <w:rFonts w:ascii="Times New Roman" w:hAnsi="Times New Roman" w:cs="Times New Roman"/>
        </w:rPr>
        <w:t xml:space="preserve"> Counsel did not sign)</w:t>
      </w:r>
      <w:r w:rsidR="007B520C">
        <w:rPr>
          <w:rFonts w:ascii="Times New Roman" w:hAnsi="Times New Roman" w:cs="Times New Roman"/>
        </w:rPr>
        <w:t>,</w:t>
      </w:r>
      <w:r>
        <w:rPr>
          <w:rStyle w:val="FootnoteReference"/>
          <w:rFonts w:ascii="Times New Roman" w:hAnsi="Times New Roman" w:cs="Times New Roman"/>
        </w:rPr>
        <w:footnoteReference w:id="2"/>
      </w:r>
      <w:r>
        <w:rPr>
          <w:rFonts w:ascii="Times New Roman" w:hAnsi="Times New Roman" w:cs="Times New Roman"/>
        </w:rPr>
        <w:t xml:space="preserve"> customers </w:t>
      </w:r>
      <w:r w:rsidR="007B520C">
        <w:rPr>
          <w:rFonts w:ascii="Times New Roman" w:hAnsi="Times New Roman" w:cs="Times New Roman"/>
        </w:rPr>
        <w:t>c</w:t>
      </w:r>
      <w:r>
        <w:rPr>
          <w:rFonts w:ascii="Times New Roman" w:hAnsi="Times New Roman" w:cs="Times New Roman"/>
        </w:rPr>
        <w:t>ould pay hundreds of millions of dollars for FirstEnergy</w:t>
      </w:r>
      <w:r w:rsidR="0082545D">
        <w:rPr>
          <w:rFonts w:ascii="Times New Roman" w:hAnsi="Times New Roman" w:cs="Times New Roman"/>
        </w:rPr>
        <w:t>'</w:t>
      </w:r>
      <w:r>
        <w:rPr>
          <w:rFonts w:ascii="Times New Roman" w:hAnsi="Times New Roman" w:cs="Times New Roman"/>
        </w:rPr>
        <w:t>s energy efficiency</w:t>
      </w:r>
      <w:r w:rsidR="000B56DA">
        <w:rPr>
          <w:rFonts w:ascii="Times New Roman" w:hAnsi="Times New Roman" w:cs="Times New Roman"/>
        </w:rPr>
        <w:t xml:space="preserve"> programs</w:t>
      </w:r>
      <w:r w:rsidR="007B520C">
        <w:rPr>
          <w:rFonts w:ascii="Times New Roman" w:hAnsi="Times New Roman" w:cs="Times New Roman"/>
        </w:rPr>
        <w:t xml:space="preserve"> over the next three years</w:t>
      </w:r>
      <w:r w:rsidR="00D91321">
        <w:rPr>
          <w:rFonts w:ascii="Times New Roman" w:hAnsi="Times New Roman" w:cs="Times New Roman"/>
        </w:rPr>
        <w:t>:</w:t>
      </w:r>
      <w:r>
        <w:rPr>
          <w:rFonts w:ascii="Times New Roman" w:hAnsi="Times New Roman" w:cs="Times New Roman"/>
        </w:rPr>
        <w:t xml:space="preserve"> $286.5 million in program costs and nearly</w:t>
      </w:r>
      <w:r w:rsidR="000B56DA">
        <w:rPr>
          <w:rFonts w:ascii="Times New Roman" w:hAnsi="Times New Roman" w:cs="Times New Roman"/>
        </w:rPr>
        <w:t xml:space="preserve"> $47 million in utility profits—a total of more than $111 million per year.</w:t>
      </w:r>
      <w:r>
        <w:rPr>
          <w:rStyle w:val="FootnoteReference"/>
          <w:rFonts w:ascii="Times New Roman" w:hAnsi="Times New Roman" w:cs="Times New Roman"/>
        </w:rPr>
        <w:footnoteReference w:id="3"/>
      </w:r>
      <w:r w:rsidR="00B80557">
        <w:rPr>
          <w:rFonts w:ascii="Times New Roman" w:hAnsi="Times New Roman" w:cs="Times New Roman"/>
        </w:rPr>
        <w:t xml:space="preserve"> That is too much in program co</w:t>
      </w:r>
      <w:r w:rsidR="009535E4">
        <w:rPr>
          <w:rFonts w:ascii="Times New Roman" w:hAnsi="Times New Roman" w:cs="Times New Roman"/>
        </w:rPr>
        <w:t>sts for customers to pay. I</w:t>
      </w:r>
      <w:r w:rsidR="00B80557">
        <w:rPr>
          <w:rFonts w:ascii="Times New Roman" w:hAnsi="Times New Roman" w:cs="Times New Roman"/>
        </w:rPr>
        <w:t>t</w:t>
      </w:r>
      <w:r w:rsidR="009535E4">
        <w:rPr>
          <w:rFonts w:ascii="Times New Roman" w:hAnsi="Times New Roman" w:cs="Times New Roman"/>
        </w:rPr>
        <w:t xml:space="preserve"> also</w:t>
      </w:r>
      <w:r w:rsidR="00B80557">
        <w:rPr>
          <w:rFonts w:ascii="Times New Roman" w:hAnsi="Times New Roman" w:cs="Times New Roman"/>
        </w:rPr>
        <w:t xml:space="preserve"> is too much in profit</w:t>
      </w:r>
      <w:r w:rsidR="009535E4">
        <w:rPr>
          <w:rFonts w:ascii="Times New Roman" w:hAnsi="Times New Roman" w:cs="Times New Roman"/>
        </w:rPr>
        <w:t xml:space="preserve"> </w:t>
      </w:r>
      <w:r w:rsidR="00B80557">
        <w:rPr>
          <w:rFonts w:ascii="Times New Roman" w:hAnsi="Times New Roman" w:cs="Times New Roman"/>
        </w:rPr>
        <w:t>for customers to pay</w:t>
      </w:r>
      <w:r w:rsidR="009535E4">
        <w:rPr>
          <w:rFonts w:ascii="Times New Roman" w:hAnsi="Times New Roman" w:cs="Times New Roman"/>
        </w:rPr>
        <w:t xml:space="preserve"> to FirstEnergy</w:t>
      </w:r>
      <w:r w:rsidR="00B80557">
        <w:rPr>
          <w:rFonts w:ascii="Times New Roman" w:hAnsi="Times New Roman" w:cs="Times New Roman"/>
        </w:rPr>
        <w:t>.</w:t>
      </w:r>
    </w:p>
    <w:p w:rsidR="000B2633" w:rsidP="001811F3">
      <w:pPr>
        <w:pStyle w:val="Footer"/>
        <w:tabs>
          <w:tab w:val="clear" w:pos="4320"/>
          <w:tab w:val="clear" w:pos="8640"/>
        </w:tabs>
        <w:spacing w:before="100" w:beforeAutospacing="1" w:line="480" w:lineRule="auto"/>
        <w:ind w:firstLine="720"/>
        <w:contextualSpacing/>
        <w:rPr>
          <w:rFonts w:ascii="Times New Roman" w:hAnsi="Times New Roman" w:cs="Times New Roman"/>
        </w:rPr>
        <w:sectPr w:rsidSect="0002569A">
          <w:headerReference w:type="even" r:id="rId15"/>
          <w:headerReference w:type="default" r:id="rId16"/>
          <w:footerReference w:type="default" r:id="rId17"/>
          <w:headerReference w:type="first" r:id="rId18"/>
          <w:pgSz w:w="12240" w:h="15840"/>
          <w:pgMar w:top="1440" w:right="1800" w:bottom="1440" w:left="1800" w:header="720" w:footer="720" w:gutter="0"/>
          <w:pgNumType w:start="1"/>
          <w:cols w:space="720"/>
          <w:docGrid w:linePitch="360"/>
        </w:sectPr>
      </w:pPr>
      <w:r>
        <w:rPr>
          <w:rFonts w:ascii="Times New Roman" w:hAnsi="Times New Roman" w:cs="Times New Roman"/>
        </w:rPr>
        <w:t>J</w:t>
      </w:r>
      <w:r w:rsidR="009535E4">
        <w:rPr>
          <w:rFonts w:ascii="Times New Roman" w:hAnsi="Times New Roman" w:cs="Times New Roman"/>
        </w:rPr>
        <w:t>ust last month</w:t>
      </w:r>
      <w:r w:rsidR="005452D4">
        <w:rPr>
          <w:rFonts w:ascii="Times New Roman" w:hAnsi="Times New Roman" w:cs="Times New Roman"/>
        </w:rPr>
        <w:t>,</w:t>
      </w:r>
      <w:r w:rsidR="009535E4">
        <w:rPr>
          <w:rFonts w:ascii="Times New Roman" w:hAnsi="Times New Roman" w:cs="Times New Roman"/>
        </w:rPr>
        <w:t xml:space="preserve"> t</w:t>
      </w:r>
      <w:r w:rsidR="00303276">
        <w:rPr>
          <w:rFonts w:ascii="Times New Roman" w:hAnsi="Times New Roman" w:cs="Times New Roman"/>
        </w:rPr>
        <w:t xml:space="preserve">he </w:t>
      </w:r>
      <w:r w:rsidR="00B80557">
        <w:rPr>
          <w:rFonts w:ascii="Times New Roman" w:hAnsi="Times New Roman" w:cs="Times New Roman"/>
        </w:rPr>
        <w:t>Public Utilities Commission of Ohio (</w:t>
      </w:r>
      <w:r w:rsidR="0082545D">
        <w:rPr>
          <w:rFonts w:ascii="Times New Roman" w:hAnsi="Times New Roman" w:cs="Times New Roman"/>
        </w:rPr>
        <w:t>"</w:t>
      </w:r>
      <w:r w:rsidR="00303276">
        <w:rPr>
          <w:rFonts w:ascii="Times New Roman" w:hAnsi="Times New Roman" w:cs="Times New Roman"/>
        </w:rPr>
        <w:t>PUCO</w:t>
      </w:r>
      <w:r w:rsidR="0082545D">
        <w:rPr>
          <w:rFonts w:ascii="Times New Roman" w:hAnsi="Times New Roman" w:cs="Times New Roman"/>
        </w:rPr>
        <w:t>"</w:t>
      </w:r>
      <w:r w:rsidR="00B80557">
        <w:rPr>
          <w:rFonts w:ascii="Times New Roman" w:hAnsi="Times New Roman" w:cs="Times New Roman"/>
        </w:rPr>
        <w:t>)</w:t>
      </w:r>
      <w:r w:rsidR="009535E4">
        <w:rPr>
          <w:rFonts w:ascii="Times New Roman" w:hAnsi="Times New Roman" w:cs="Times New Roman"/>
        </w:rPr>
        <w:t xml:space="preserve"> addressed the need for limits on what customers pay to utilities for energy efficiency. The PUCO stated: </w:t>
      </w:r>
      <w:r w:rsidR="0082545D">
        <w:rPr>
          <w:rFonts w:ascii="Times New Roman" w:hAnsi="Times New Roman" w:cs="Times New Roman"/>
        </w:rPr>
        <w:t>"</w:t>
      </w:r>
      <w:r w:rsidR="005452D4">
        <w:rPr>
          <w:rFonts w:ascii="Times New Roman" w:hAnsi="Times New Roman" w:cs="Times New Roman"/>
        </w:rPr>
        <w:t xml:space="preserve">The addition of an annual cost cap is a reasonable response to concerns which have been raised regarding potential increases in the costs of the EE/PDR programs, and the annual cost cap should incent AEP Ohio to manage the costs of the programs in the </w:t>
      </w:r>
    </w:p>
    <w:p w:rsidR="00856533" w:rsidRPr="000B56DA" w:rsidP="000B2633">
      <w:pPr>
        <w:pStyle w:val="Footer"/>
        <w:tabs>
          <w:tab w:val="clear" w:pos="4320"/>
          <w:tab w:val="clear" w:pos="8640"/>
        </w:tabs>
        <w:spacing w:before="100" w:beforeAutospacing="1" w:line="480" w:lineRule="auto"/>
        <w:contextualSpacing/>
        <w:rPr>
          <w:rFonts w:ascii="Times New Roman" w:hAnsi="Times New Roman" w:cs="Times New Roman"/>
        </w:rPr>
      </w:pPr>
      <w:r>
        <w:rPr>
          <w:rFonts w:ascii="Times New Roman" w:hAnsi="Times New Roman" w:cs="Times New Roman"/>
        </w:rPr>
        <w:t xml:space="preserve">most efficient manner possible. In light of the importance of the annual cost cap, the Commission notes that </w:t>
      </w:r>
      <w:r w:rsidR="009535E4">
        <w:rPr>
          <w:rFonts w:ascii="Times New Roman" w:hAnsi="Times New Roman" w:cs="Times New Roman"/>
        </w:rPr>
        <w:t xml:space="preserve">we will be reluctant to approve stipulations in other program portfolio cases which do not include a similar cap on </w:t>
      </w:r>
      <w:r>
        <w:rPr>
          <w:rFonts w:ascii="Times New Roman" w:hAnsi="Times New Roman" w:cs="Times New Roman"/>
        </w:rPr>
        <w:t xml:space="preserve">EE/PDR </w:t>
      </w:r>
      <w:r w:rsidR="009535E4">
        <w:rPr>
          <w:rFonts w:ascii="Times New Roman" w:hAnsi="Times New Roman" w:cs="Times New Roman"/>
        </w:rPr>
        <w:t>program costs.</w:t>
      </w:r>
      <w:r w:rsidR="009A68EB">
        <w:rPr>
          <w:rFonts w:ascii="Times New Roman" w:hAnsi="Times New Roman" w:cs="Times New Roman"/>
        </w:rPr>
        <w:t>"</w:t>
      </w:r>
      <w:r>
        <w:rPr>
          <w:rStyle w:val="FootnoteReference"/>
          <w:rFonts w:ascii="Times New Roman" w:hAnsi="Times New Roman" w:cs="Times New Roman"/>
        </w:rPr>
        <w:footnoteReference w:id="4"/>
      </w:r>
      <w:r w:rsidR="00303276">
        <w:rPr>
          <w:rFonts w:ascii="Times New Roman" w:hAnsi="Times New Roman" w:cs="Times New Roman"/>
        </w:rPr>
        <w:t xml:space="preserve"> </w:t>
      </w:r>
    </w:p>
    <w:p w:rsidR="00856533"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Consistent with this ruling, </w:t>
      </w:r>
      <w:r w:rsidR="000B56DA">
        <w:rPr>
          <w:rFonts w:ascii="Times New Roman" w:hAnsi="Times New Roman" w:cs="Times New Roman"/>
        </w:rPr>
        <w:t xml:space="preserve">the PUCO should </w:t>
      </w:r>
      <w:r>
        <w:rPr>
          <w:rFonts w:ascii="Times New Roman" w:hAnsi="Times New Roman" w:cs="Times New Roman"/>
        </w:rPr>
        <w:t>modify the Settlement in FirstEnergy</w:t>
      </w:r>
      <w:r w:rsidR="0082545D">
        <w:rPr>
          <w:rFonts w:ascii="Times New Roman" w:hAnsi="Times New Roman" w:cs="Times New Roman"/>
        </w:rPr>
        <w:t>'</w:t>
      </w:r>
      <w:r>
        <w:rPr>
          <w:rFonts w:ascii="Times New Roman" w:hAnsi="Times New Roman" w:cs="Times New Roman"/>
        </w:rPr>
        <w:t xml:space="preserve">s case to require an annual </w:t>
      </w:r>
      <w:r w:rsidR="0082545D">
        <w:rPr>
          <w:rFonts w:ascii="Times New Roman" w:hAnsi="Times New Roman" w:cs="Times New Roman"/>
        </w:rPr>
        <w:t>"</w:t>
      </w:r>
      <w:r>
        <w:rPr>
          <w:rFonts w:ascii="Times New Roman" w:hAnsi="Times New Roman" w:cs="Times New Roman"/>
        </w:rPr>
        <w:t>cost cap</w:t>
      </w:r>
      <w:r w:rsidR="0082545D">
        <w:rPr>
          <w:rFonts w:ascii="Times New Roman" w:hAnsi="Times New Roman" w:cs="Times New Roman"/>
        </w:rPr>
        <w:t>"</w:t>
      </w:r>
      <w:r>
        <w:rPr>
          <w:rFonts w:ascii="Times New Roman" w:hAnsi="Times New Roman" w:cs="Times New Roman"/>
        </w:rPr>
        <w:t xml:space="preserve"> on the total program costs and shared savings that customers will pay. The PUCO Staff and </w:t>
      </w:r>
      <w:r w:rsidR="009535E4">
        <w:rPr>
          <w:rFonts w:ascii="Times New Roman" w:hAnsi="Times New Roman" w:cs="Times New Roman"/>
        </w:rPr>
        <w:t>the Office of the Ohio Consumers</w:t>
      </w:r>
      <w:r w:rsidR="0082545D">
        <w:rPr>
          <w:rFonts w:ascii="Times New Roman" w:hAnsi="Times New Roman" w:cs="Times New Roman"/>
        </w:rPr>
        <w:t>'</w:t>
      </w:r>
      <w:r w:rsidR="009535E4">
        <w:rPr>
          <w:rFonts w:ascii="Times New Roman" w:hAnsi="Times New Roman" w:cs="Times New Roman"/>
        </w:rPr>
        <w:t xml:space="preserve"> Counsel (</w:t>
      </w:r>
      <w:r w:rsidR="0082545D">
        <w:rPr>
          <w:rFonts w:ascii="Times New Roman" w:hAnsi="Times New Roman" w:cs="Times New Roman"/>
        </w:rPr>
        <w:t>"</w:t>
      </w:r>
      <w:r>
        <w:rPr>
          <w:rFonts w:ascii="Times New Roman" w:hAnsi="Times New Roman" w:cs="Times New Roman"/>
        </w:rPr>
        <w:t>OCC</w:t>
      </w:r>
      <w:r w:rsidR="0082545D">
        <w:rPr>
          <w:rFonts w:ascii="Times New Roman" w:hAnsi="Times New Roman" w:cs="Times New Roman"/>
        </w:rPr>
        <w:t>"</w:t>
      </w:r>
      <w:r w:rsidR="009535E4">
        <w:rPr>
          <w:rFonts w:ascii="Times New Roman" w:hAnsi="Times New Roman" w:cs="Times New Roman"/>
        </w:rPr>
        <w:t>)</w:t>
      </w:r>
      <w:r>
        <w:rPr>
          <w:rFonts w:ascii="Times New Roman" w:hAnsi="Times New Roman" w:cs="Times New Roman"/>
        </w:rPr>
        <w:t xml:space="preserve"> have proposed an annual cap of 3% of each </w:t>
      </w:r>
      <w:r w:rsidR="009535E4">
        <w:rPr>
          <w:rFonts w:ascii="Times New Roman" w:hAnsi="Times New Roman" w:cs="Times New Roman"/>
        </w:rPr>
        <w:t>FirstEnergy u</w:t>
      </w:r>
      <w:r w:rsidR="00534AF9">
        <w:rPr>
          <w:rFonts w:ascii="Times New Roman" w:hAnsi="Times New Roman" w:cs="Times New Roman"/>
        </w:rPr>
        <w:t>tility</w:t>
      </w:r>
      <w:r w:rsidR="0082545D">
        <w:rPr>
          <w:rFonts w:ascii="Times New Roman" w:hAnsi="Times New Roman" w:cs="Times New Roman"/>
        </w:rPr>
        <w:t>'</w:t>
      </w:r>
      <w:r w:rsidR="00534AF9">
        <w:rPr>
          <w:rFonts w:ascii="Times New Roman" w:hAnsi="Times New Roman" w:cs="Times New Roman"/>
        </w:rPr>
        <w:t xml:space="preserve">s </w:t>
      </w:r>
      <w:r>
        <w:rPr>
          <w:rFonts w:ascii="Times New Roman" w:hAnsi="Times New Roman" w:cs="Times New Roman"/>
        </w:rPr>
        <w:t>total sales to ultimate customers.</w:t>
      </w:r>
      <w:r>
        <w:rPr>
          <w:rStyle w:val="FootnoteReference"/>
          <w:rFonts w:ascii="Times New Roman" w:hAnsi="Times New Roman" w:cs="Times New Roman"/>
        </w:rPr>
        <w:footnoteReference w:id="5"/>
      </w:r>
      <w:r>
        <w:rPr>
          <w:rFonts w:ascii="Times New Roman" w:hAnsi="Times New Roman" w:cs="Times New Roman"/>
        </w:rPr>
        <w:t xml:space="preserve"> This would</w:t>
      </w:r>
      <w:r w:rsidR="003C5F70">
        <w:rPr>
          <w:rFonts w:ascii="Times New Roman" w:hAnsi="Times New Roman" w:cs="Times New Roman"/>
        </w:rPr>
        <w:t xml:space="preserve"> </w:t>
      </w:r>
      <w:r>
        <w:rPr>
          <w:rFonts w:ascii="Times New Roman" w:hAnsi="Times New Roman" w:cs="Times New Roman"/>
        </w:rPr>
        <w:t xml:space="preserve">limit customer energy efficiency charges to </w:t>
      </w:r>
      <w:r w:rsidR="007B520C">
        <w:rPr>
          <w:rFonts w:ascii="Times New Roman" w:hAnsi="Times New Roman" w:cs="Times New Roman"/>
        </w:rPr>
        <w:t xml:space="preserve">about </w:t>
      </w:r>
      <w:r>
        <w:rPr>
          <w:rFonts w:ascii="Times New Roman" w:hAnsi="Times New Roman" w:cs="Times New Roman"/>
        </w:rPr>
        <w:t>$80.1 million per year, instead of the $111 million annual charge proposed in the Settlement.</w:t>
      </w:r>
    </w:p>
    <w:p w:rsidR="00E735ED"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This</w:t>
      </w:r>
      <w:r w:rsidR="00856533">
        <w:rPr>
          <w:rFonts w:ascii="Times New Roman" w:hAnsi="Times New Roman" w:cs="Times New Roman"/>
        </w:rPr>
        <w:t xml:space="preserve"> $80.1 million annual cost cap </w:t>
      </w:r>
      <w:r w:rsidR="000B56DA">
        <w:rPr>
          <w:rFonts w:ascii="Times New Roman" w:hAnsi="Times New Roman" w:cs="Times New Roman"/>
        </w:rPr>
        <w:t xml:space="preserve">would provide </w:t>
      </w:r>
      <w:r w:rsidR="009535E4">
        <w:rPr>
          <w:rFonts w:ascii="Times New Roman" w:hAnsi="Times New Roman" w:cs="Times New Roman"/>
        </w:rPr>
        <w:t xml:space="preserve">more of </w:t>
      </w:r>
      <w:r w:rsidR="000B56DA">
        <w:rPr>
          <w:rFonts w:ascii="Times New Roman" w:hAnsi="Times New Roman" w:cs="Times New Roman"/>
        </w:rPr>
        <w:t>the protection that Ohioans need and des</w:t>
      </w:r>
      <w:r w:rsidR="00856533">
        <w:rPr>
          <w:rFonts w:ascii="Times New Roman" w:hAnsi="Times New Roman" w:cs="Times New Roman"/>
        </w:rPr>
        <w:t>erve—protection that the Settlement</w:t>
      </w:r>
      <w:r w:rsidR="00303276">
        <w:rPr>
          <w:rFonts w:ascii="Times New Roman" w:hAnsi="Times New Roman" w:cs="Times New Roman"/>
        </w:rPr>
        <w:t xml:space="preserve"> lacks</w:t>
      </w:r>
      <w:r w:rsidR="00856533">
        <w:rPr>
          <w:rFonts w:ascii="Times New Roman" w:hAnsi="Times New Roman" w:cs="Times New Roman"/>
        </w:rPr>
        <w:t>.</w:t>
      </w:r>
    </w:p>
    <w:p w:rsidR="0002569A" w:rsidP="0002569A">
      <w:pPr>
        <w:pStyle w:val="Footer"/>
        <w:tabs>
          <w:tab w:val="clear" w:pos="4320"/>
          <w:tab w:val="clear" w:pos="8640"/>
        </w:tabs>
        <w:spacing w:before="100" w:beforeAutospacing="1"/>
        <w:ind w:firstLine="720"/>
        <w:contextualSpacing/>
        <w:rPr>
          <w:rFonts w:ascii="Times New Roman" w:hAnsi="Times New Roman" w:cs="Times New Roman"/>
        </w:rPr>
      </w:pPr>
    </w:p>
    <w:p w:rsidR="00916A58" w:rsidRPr="00916A58" w:rsidP="000F5657">
      <w:pPr>
        <w:pStyle w:val="Heading1"/>
      </w:pPr>
      <w:bookmarkStart w:id="1" w:name="_Toc475451042"/>
      <w:r>
        <w:t>I.</w:t>
      </w:r>
      <w:r>
        <w:tab/>
        <w:t>BACKGROUND</w:t>
      </w:r>
      <w:bookmarkEnd w:id="1"/>
    </w:p>
    <w:p w:rsidR="00916A58"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Ohio electric distribution utilities</w:t>
      </w:r>
      <w:r w:rsidR="00534AF9">
        <w:rPr>
          <w:rFonts w:ascii="Times New Roman" w:hAnsi="Times New Roman" w:cs="Times New Roman"/>
        </w:rPr>
        <w:t xml:space="preserve"> </w:t>
      </w:r>
      <w:r>
        <w:rPr>
          <w:rFonts w:ascii="Times New Roman" w:hAnsi="Times New Roman" w:cs="Times New Roman"/>
        </w:rPr>
        <w:t>were required, beginning in 2009, to offer energy efficiency programs to their customers.</w:t>
      </w:r>
      <w:r>
        <w:rPr>
          <w:rStyle w:val="FootnoteReference"/>
          <w:rFonts w:ascii="Times New Roman" w:hAnsi="Times New Roman" w:cs="Times New Roman"/>
        </w:rPr>
        <w:footnoteReference w:id="6"/>
      </w:r>
      <w:r>
        <w:rPr>
          <w:rFonts w:ascii="Times New Roman" w:hAnsi="Times New Roman" w:cs="Times New Roman"/>
        </w:rPr>
        <w:t xml:space="preserve"> In each of 2017, 2018, and 2019, the </w:t>
      </w:r>
      <w:r w:rsidR="009772D9">
        <w:rPr>
          <w:rFonts w:ascii="Times New Roman" w:hAnsi="Times New Roman" w:cs="Times New Roman"/>
        </w:rPr>
        <w:t xml:space="preserve">electric </w:t>
      </w:r>
      <w:r w:rsidR="009A68EB">
        <w:rPr>
          <w:rFonts w:ascii="Times New Roman" w:hAnsi="Times New Roman" w:cs="Times New Roman"/>
        </w:rPr>
        <w:t xml:space="preserve">distribution </w:t>
      </w:r>
      <w:r>
        <w:rPr>
          <w:rFonts w:ascii="Times New Roman" w:hAnsi="Times New Roman" w:cs="Times New Roman"/>
        </w:rPr>
        <w:t>utility</w:t>
      </w:r>
      <w:r w:rsidR="0082545D">
        <w:rPr>
          <w:rFonts w:ascii="Times New Roman" w:hAnsi="Times New Roman" w:cs="Times New Roman"/>
        </w:rPr>
        <w:t>'</w:t>
      </w:r>
      <w:r>
        <w:rPr>
          <w:rFonts w:ascii="Times New Roman" w:hAnsi="Times New Roman" w:cs="Times New Roman"/>
        </w:rPr>
        <w:t xml:space="preserve">s programs must meet an annual energy savings </w:t>
      </w:r>
      <w:r w:rsidR="0082545D">
        <w:rPr>
          <w:rFonts w:ascii="Times New Roman" w:hAnsi="Times New Roman" w:cs="Times New Roman"/>
        </w:rPr>
        <w:t>"</w:t>
      </w:r>
      <w:r>
        <w:rPr>
          <w:rFonts w:ascii="Times New Roman" w:hAnsi="Times New Roman" w:cs="Times New Roman"/>
        </w:rPr>
        <w:t>benchmark</w:t>
      </w:r>
      <w:r w:rsidR="0082545D">
        <w:rPr>
          <w:rFonts w:ascii="Times New Roman" w:hAnsi="Times New Roman" w:cs="Times New Roman"/>
        </w:rPr>
        <w:t>"</w:t>
      </w:r>
      <w:r w:rsidR="002A197A">
        <w:rPr>
          <w:rFonts w:ascii="Times New Roman" w:hAnsi="Times New Roman" w:cs="Times New Roman"/>
        </w:rPr>
        <w:t xml:space="preserve"> or </w:t>
      </w:r>
      <w:r w:rsidR="0082545D">
        <w:rPr>
          <w:rFonts w:ascii="Times New Roman" w:hAnsi="Times New Roman" w:cs="Times New Roman"/>
        </w:rPr>
        <w:t>"</w:t>
      </w:r>
      <w:r w:rsidR="002A197A">
        <w:rPr>
          <w:rFonts w:ascii="Times New Roman" w:hAnsi="Times New Roman" w:cs="Times New Roman"/>
        </w:rPr>
        <w:t>statutory minimum</w:t>
      </w:r>
      <w:r w:rsidR="0082545D">
        <w:rPr>
          <w:rFonts w:ascii="Times New Roman" w:hAnsi="Times New Roman" w:cs="Times New Roman"/>
        </w:rPr>
        <w:t>"</w:t>
      </w:r>
      <w:r>
        <w:rPr>
          <w:rFonts w:ascii="Times New Roman" w:hAnsi="Times New Roman" w:cs="Times New Roman"/>
        </w:rPr>
        <w:t xml:space="preserve"> of 1.0% of the utility</w:t>
      </w:r>
      <w:r w:rsidR="0082545D">
        <w:rPr>
          <w:rFonts w:ascii="Times New Roman" w:hAnsi="Times New Roman" w:cs="Times New Roman"/>
        </w:rPr>
        <w:t>'</w:t>
      </w:r>
      <w:r>
        <w:rPr>
          <w:rFonts w:ascii="Times New Roman" w:hAnsi="Times New Roman" w:cs="Times New Roman"/>
        </w:rPr>
        <w:t xml:space="preserve">s </w:t>
      </w:r>
      <w:r w:rsidR="0082545D">
        <w:rPr>
          <w:rFonts w:ascii="Times New Roman" w:hAnsi="Times New Roman" w:cs="Times New Roman"/>
        </w:rPr>
        <w:t>"</w:t>
      </w:r>
      <w:r>
        <w:rPr>
          <w:rFonts w:ascii="Times New Roman" w:hAnsi="Times New Roman" w:cs="Times New Roman"/>
        </w:rPr>
        <w:t>baseline.</w:t>
      </w:r>
      <w:r w:rsidR="0082545D">
        <w:rPr>
          <w:rFonts w:ascii="Times New Roman" w:hAnsi="Times New Roman" w:cs="Times New Roman"/>
        </w:rPr>
        <w:t>"</w:t>
      </w:r>
      <w:r>
        <w:rPr>
          <w:rStyle w:val="FootnoteReference"/>
          <w:rFonts w:ascii="Times New Roman" w:hAnsi="Times New Roman" w:cs="Times New Roman"/>
        </w:rPr>
        <w:footnoteReference w:id="7"/>
      </w:r>
      <w:r>
        <w:rPr>
          <w:rFonts w:ascii="Times New Roman" w:hAnsi="Times New Roman" w:cs="Times New Roman"/>
        </w:rPr>
        <w:t xml:space="preserve"> The baseline is the average of the total kilowatt hours the utility sold in the preceding three calendar years, subject to certain adjustments.</w:t>
      </w:r>
      <w:r>
        <w:rPr>
          <w:rStyle w:val="FootnoteReference"/>
          <w:rFonts w:ascii="Times New Roman" w:hAnsi="Times New Roman" w:cs="Times New Roman"/>
        </w:rPr>
        <w:footnoteReference w:id="8"/>
      </w:r>
    </w:p>
    <w:p w:rsidR="00916A58"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Consistent with R.C. 4928.66, FirstEnergy filed an application</w:t>
      </w:r>
      <w:r w:rsidR="002A197A">
        <w:rPr>
          <w:rFonts w:ascii="Times New Roman" w:hAnsi="Times New Roman" w:cs="Times New Roman"/>
        </w:rPr>
        <w:t xml:space="preserve"> </w:t>
      </w:r>
      <w:r w:rsidR="0024281A">
        <w:rPr>
          <w:rFonts w:ascii="Times New Roman" w:hAnsi="Times New Roman" w:cs="Times New Roman"/>
        </w:rPr>
        <w:t xml:space="preserve">in this proceeding </w:t>
      </w:r>
      <w:r w:rsidR="002A197A">
        <w:rPr>
          <w:rFonts w:ascii="Times New Roman" w:hAnsi="Times New Roman" w:cs="Times New Roman"/>
        </w:rPr>
        <w:t xml:space="preserve">(the </w:t>
      </w:r>
      <w:r w:rsidR="0082545D">
        <w:rPr>
          <w:rFonts w:ascii="Times New Roman" w:hAnsi="Times New Roman" w:cs="Times New Roman"/>
        </w:rPr>
        <w:t>"</w:t>
      </w:r>
      <w:r w:rsidR="002A197A">
        <w:rPr>
          <w:rFonts w:ascii="Times New Roman" w:hAnsi="Times New Roman" w:cs="Times New Roman"/>
        </w:rPr>
        <w:t>Application</w:t>
      </w:r>
      <w:r w:rsidR="0082545D">
        <w:rPr>
          <w:rFonts w:ascii="Times New Roman" w:hAnsi="Times New Roman" w:cs="Times New Roman"/>
        </w:rPr>
        <w:t>"</w:t>
      </w:r>
      <w:r w:rsidR="002A197A">
        <w:rPr>
          <w:rFonts w:ascii="Times New Roman" w:hAnsi="Times New Roman" w:cs="Times New Roman"/>
        </w:rPr>
        <w:t>)</w:t>
      </w:r>
      <w:r>
        <w:rPr>
          <w:rFonts w:ascii="Times New Roman" w:hAnsi="Times New Roman" w:cs="Times New Roman"/>
        </w:rPr>
        <w:t xml:space="preserve"> seeking approval of a portfolio of energy efficiency </w:t>
      </w:r>
      <w:r w:rsidR="002A197A">
        <w:rPr>
          <w:rFonts w:ascii="Times New Roman" w:hAnsi="Times New Roman" w:cs="Times New Roman"/>
        </w:rPr>
        <w:t>programs for the years 2017, 2018, and 2019.</w:t>
      </w:r>
      <w:r>
        <w:rPr>
          <w:rStyle w:val="FootnoteReference"/>
          <w:rFonts w:ascii="Times New Roman" w:hAnsi="Times New Roman" w:cs="Times New Roman"/>
        </w:rPr>
        <w:footnoteReference w:id="9"/>
      </w:r>
      <w:r w:rsidR="002A197A">
        <w:rPr>
          <w:rFonts w:ascii="Times New Roman" w:hAnsi="Times New Roman" w:cs="Times New Roman"/>
        </w:rPr>
        <w:t xml:space="preserve"> The Application proposed an array of energy efficiency programs that targeted energy savings of about 2.4 million MWh over three years at a cost to FirstEnergy</w:t>
      </w:r>
      <w:r w:rsidR="0082545D">
        <w:rPr>
          <w:rFonts w:ascii="Times New Roman" w:hAnsi="Times New Roman" w:cs="Times New Roman"/>
        </w:rPr>
        <w:t>'</w:t>
      </w:r>
      <w:r w:rsidR="002A197A">
        <w:rPr>
          <w:rFonts w:ascii="Times New Roman" w:hAnsi="Times New Roman" w:cs="Times New Roman"/>
        </w:rPr>
        <w:t xml:space="preserve">s customers of </w:t>
      </w:r>
      <w:r w:rsidR="007B520C">
        <w:rPr>
          <w:rFonts w:ascii="Times New Roman" w:hAnsi="Times New Roman" w:cs="Times New Roman"/>
        </w:rPr>
        <w:t>about</w:t>
      </w:r>
      <w:r w:rsidR="002A197A">
        <w:rPr>
          <w:rFonts w:ascii="Times New Roman" w:hAnsi="Times New Roman" w:cs="Times New Roman"/>
        </w:rPr>
        <w:t xml:space="preserve"> $</w:t>
      </w:r>
      <w:r w:rsidR="0024281A">
        <w:rPr>
          <w:rFonts w:ascii="Times New Roman" w:hAnsi="Times New Roman" w:cs="Times New Roman"/>
        </w:rPr>
        <w:t>458</w:t>
      </w:r>
      <w:r w:rsidR="002A197A">
        <w:rPr>
          <w:rFonts w:ascii="Times New Roman" w:hAnsi="Times New Roman" w:cs="Times New Roman"/>
        </w:rPr>
        <w:t xml:space="preserve"> million.</w:t>
      </w:r>
      <w:r>
        <w:rPr>
          <w:rStyle w:val="FootnoteReference"/>
          <w:rFonts w:ascii="Times New Roman" w:hAnsi="Times New Roman" w:cs="Times New Roman"/>
        </w:rPr>
        <w:footnoteReference w:id="10"/>
      </w:r>
    </w:p>
    <w:p w:rsidR="0024281A"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Certain details related to FirstEnergy</w:t>
      </w:r>
      <w:r w:rsidR="0082545D">
        <w:rPr>
          <w:rFonts w:ascii="Times New Roman" w:hAnsi="Times New Roman" w:cs="Times New Roman"/>
        </w:rPr>
        <w:t>'</w:t>
      </w:r>
      <w:r>
        <w:rPr>
          <w:rFonts w:ascii="Times New Roman" w:hAnsi="Times New Roman" w:cs="Times New Roman"/>
        </w:rPr>
        <w:t>s energy efficiency portfolio, however, were and continue to be litigated in another PUCO proceeding. In FirstEnergy</w:t>
      </w:r>
      <w:r w:rsidR="0082545D">
        <w:rPr>
          <w:rFonts w:ascii="Times New Roman" w:hAnsi="Times New Roman" w:cs="Times New Roman"/>
        </w:rPr>
        <w:t>'</w:t>
      </w:r>
      <w:r>
        <w:rPr>
          <w:rFonts w:ascii="Times New Roman" w:hAnsi="Times New Roman" w:cs="Times New Roman"/>
        </w:rPr>
        <w:t>s fourth electric security plan case,</w:t>
      </w:r>
      <w:r>
        <w:rPr>
          <w:rStyle w:val="FootnoteReference"/>
          <w:rFonts w:ascii="Times New Roman" w:hAnsi="Times New Roman" w:cs="Times New Roman"/>
        </w:rPr>
        <w:footnoteReference w:id="11"/>
      </w:r>
      <w:r>
        <w:rPr>
          <w:rFonts w:ascii="Times New Roman" w:hAnsi="Times New Roman" w:cs="Times New Roman"/>
        </w:rPr>
        <w:t xml:space="preserve"> FirstEnergy agreed, in a settlement, (a) </w:t>
      </w:r>
      <w:r w:rsidR="007B520C">
        <w:rPr>
          <w:rFonts w:ascii="Times New Roman" w:hAnsi="Times New Roman" w:cs="Times New Roman"/>
        </w:rPr>
        <w:t xml:space="preserve">to </w:t>
      </w:r>
      <w:r>
        <w:rPr>
          <w:rFonts w:ascii="Times New Roman" w:hAnsi="Times New Roman" w:cs="Times New Roman"/>
        </w:rPr>
        <w:t xml:space="preserve">reactivate in 2017 energy efficiency programs that it had suspended for 2015 and 2016, and (b) to </w:t>
      </w:r>
      <w:r w:rsidR="0082545D">
        <w:rPr>
          <w:rFonts w:ascii="Times New Roman" w:hAnsi="Times New Roman" w:cs="Times New Roman"/>
        </w:rPr>
        <w:t>"</w:t>
      </w:r>
      <w:r>
        <w:rPr>
          <w:rFonts w:ascii="Times New Roman" w:hAnsi="Times New Roman" w:cs="Times New Roman"/>
        </w:rPr>
        <w:t>strive to achieve over 800,000 MWh of energy efficiency annually, subject to customer opt outs.</w:t>
      </w:r>
      <w:r w:rsidR="0082545D">
        <w:rPr>
          <w:rFonts w:ascii="Times New Roman" w:hAnsi="Times New Roman" w:cs="Times New Roman"/>
        </w:rPr>
        <w:t>"</w:t>
      </w:r>
      <w:r>
        <w:rPr>
          <w:rStyle w:val="FootnoteReference"/>
          <w:rFonts w:ascii="Times New Roman" w:hAnsi="Times New Roman" w:cs="Times New Roman"/>
        </w:rPr>
        <w:footnoteReference w:id="12"/>
      </w:r>
      <w:r>
        <w:rPr>
          <w:rFonts w:ascii="Times New Roman" w:hAnsi="Times New Roman" w:cs="Times New Roman"/>
        </w:rPr>
        <w:t xml:space="preserve"> In exchange, the other parties</w:t>
      </w:r>
      <w:r w:rsidR="003C5F70">
        <w:rPr>
          <w:rFonts w:ascii="Times New Roman" w:hAnsi="Times New Roman" w:cs="Times New Roman"/>
        </w:rPr>
        <w:t xml:space="preserve"> </w:t>
      </w:r>
      <w:r>
        <w:rPr>
          <w:rFonts w:ascii="Times New Roman" w:hAnsi="Times New Roman" w:cs="Times New Roman"/>
        </w:rPr>
        <w:t>to this ESP IV settlement</w:t>
      </w:r>
      <w:r w:rsidR="00AE3CD0">
        <w:rPr>
          <w:rFonts w:ascii="Times New Roman" w:hAnsi="Times New Roman" w:cs="Times New Roman"/>
        </w:rPr>
        <w:t xml:space="preserve"> (but not OCC)</w:t>
      </w:r>
      <w:r>
        <w:rPr>
          <w:rFonts w:ascii="Times New Roman" w:hAnsi="Times New Roman" w:cs="Times New Roman"/>
        </w:rPr>
        <w:t xml:space="preserve"> agreed that FirstEnergy could increase the amount of shared savings that FirstEnergy could collect from customers from $10 million a year after tax (about $15.6 million in actual customer payments) to $25 million a year after tax (about $39 million in actual customer payments).</w:t>
      </w:r>
      <w:r>
        <w:rPr>
          <w:rStyle w:val="FootnoteReference"/>
          <w:rFonts w:ascii="Times New Roman" w:hAnsi="Times New Roman" w:cs="Times New Roman"/>
        </w:rPr>
        <w:footnoteReference w:id="13"/>
      </w:r>
      <w:r w:rsidR="00154702">
        <w:rPr>
          <w:rFonts w:ascii="Times New Roman" w:hAnsi="Times New Roman" w:cs="Times New Roman"/>
        </w:rPr>
        <w:t xml:space="preserve"> The Application reflected this agreement by targeting 805,557 MWh in energy savings per year and providing a $25 million after-tax shared savings cap.</w:t>
      </w:r>
      <w:r>
        <w:rPr>
          <w:rStyle w:val="FootnoteReference"/>
          <w:rFonts w:ascii="Times New Roman" w:hAnsi="Times New Roman" w:cs="Times New Roman"/>
        </w:rPr>
        <w:footnoteReference w:id="14"/>
      </w:r>
    </w:p>
    <w:p w:rsidR="00916A58"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Subsequently, however, the PUCO modified the ESP IV settlement to require FirstEnergy to substantially reduce the amount that it can charge customers for energy efficiency. First, </w:t>
      </w:r>
      <w:r w:rsidR="009772D9">
        <w:rPr>
          <w:rFonts w:ascii="Times New Roman" w:hAnsi="Times New Roman" w:cs="Times New Roman"/>
        </w:rPr>
        <w:t>the PUCO ruled that FirstEnergy could not charge customers higher profits (shared savings) as a result of energy savings that they achieved on their own.</w:t>
      </w:r>
      <w:r>
        <w:rPr>
          <w:rStyle w:val="FootnoteReference"/>
          <w:rFonts w:ascii="Times New Roman" w:hAnsi="Times New Roman" w:cs="Times New Roman"/>
        </w:rPr>
        <w:footnoteReference w:id="15"/>
      </w:r>
      <w:r w:rsidR="009772D9">
        <w:rPr>
          <w:rFonts w:ascii="Times New Roman" w:hAnsi="Times New Roman" w:cs="Times New Roman"/>
        </w:rPr>
        <w:t xml:space="preserve"> Second, </w:t>
      </w:r>
      <w:r>
        <w:rPr>
          <w:rFonts w:ascii="Times New Roman" w:hAnsi="Times New Roman" w:cs="Times New Roman"/>
        </w:rPr>
        <w:t xml:space="preserve">the PUCO ruled that FirstEnergy could not charge customers $39 million a year in </w:t>
      </w:r>
      <w:r w:rsidR="00AD13FF">
        <w:rPr>
          <w:rFonts w:ascii="Times New Roman" w:hAnsi="Times New Roman" w:cs="Times New Roman"/>
        </w:rPr>
        <w:t>profits for energy efficiency. Instead, the annual limit on shared savings would remain $15.6 million per year ($10 million per year after taxes).</w:t>
      </w:r>
      <w:r>
        <w:rPr>
          <w:rStyle w:val="FootnoteReference"/>
          <w:rFonts w:ascii="Times New Roman" w:hAnsi="Times New Roman" w:cs="Times New Roman"/>
        </w:rPr>
        <w:footnoteReference w:id="16"/>
      </w:r>
      <w:r w:rsidR="00AD13FF">
        <w:rPr>
          <w:rFonts w:ascii="Times New Roman" w:hAnsi="Times New Roman" w:cs="Times New Roman"/>
        </w:rPr>
        <w:t xml:space="preserve"> </w:t>
      </w:r>
      <w:r w:rsidR="009772D9">
        <w:rPr>
          <w:rFonts w:ascii="Times New Roman" w:hAnsi="Times New Roman" w:cs="Times New Roman"/>
        </w:rPr>
        <w:t>Third</w:t>
      </w:r>
      <w:r w:rsidR="00AD13FF">
        <w:rPr>
          <w:rFonts w:ascii="Times New Roman" w:hAnsi="Times New Roman" w:cs="Times New Roman"/>
        </w:rPr>
        <w:t xml:space="preserve">, the PUCO ruled that FirstEnergy could not charge customers for programs that target 800,000 MWh in energy savings per year. Instead, FirstEnergy is </w:t>
      </w:r>
      <w:r w:rsidR="0082545D">
        <w:rPr>
          <w:rFonts w:ascii="Times New Roman" w:hAnsi="Times New Roman" w:cs="Times New Roman"/>
        </w:rPr>
        <w:t>"</w:t>
      </w:r>
      <w:r w:rsidR="00AD13FF">
        <w:rPr>
          <w:rFonts w:ascii="Times New Roman" w:hAnsi="Times New Roman" w:cs="Times New Roman"/>
        </w:rPr>
        <w:t>expected in the energy efficiency program portfolio plans to budget for the annual statutory energy efficiency mandate rather than the [800,000 MWh] goal.</w:t>
      </w:r>
      <w:r w:rsidR="0082545D">
        <w:rPr>
          <w:rFonts w:ascii="Times New Roman" w:hAnsi="Times New Roman" w:cs="Times New Roman"/>
        </w:rPr>
        <w:t>"</w:t>
      </w:r>
      <w:r>
        <w:rPr>
          <w:rStyle w:val="FootnoteReference"/>
          <w:rFonts w:ascii="Times New Roman" w:hAnsi="Times New Roman" w:cs="Times New Roman"/>
        </w:rPr>
        <w:footnoteReference w:id="17"/>
      </w:r>
    </w:p>
    <w:p w:rsidR="009772D9"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Following the PUCO</w:t>
      </w:r>
      <w:r w:rsidR="0082545D">
        <w:rPr>
          <w:rFonts w:ascii="Times New Roman" w:hAnsi="Times New Roman" w:cs="Times New Roman"/>
        </w:rPr>
        <w:t>'</w:t>
      </w:r>
      <w:r>
        <w:rPr>
          <w:rFonts w:ascii="Times New Roman" w:hAnsi="Times New Roman" w:cs="Times New Roman"/>
        </w:rPr>
        <w:t xml:space="preserve">s Fifth Entry on Rehearing in the ESP IV Case, FirstEnergy modified the energy efficiency portfolio that it filed in its Application. The modified portfolio was attached to </w:t>
      </w:r>
      <w:r w:rsidR="007B520C">
        <w:rPr>
          <w:rFonts w:ascii="Times New Roman" w:hAnsi="Times New Roman" w:cs="Times New Roman"/>
        </w:rPr>
        <w:t>the</w:t>
      </w:r>
      <w:r>
        <w:rPr>
          <w:rFonts w:ascii="Times New Roman" w:hAnsi="Times New Roman" w:cs="Times New Roman"/>
        </w:rPr>
        <w:t xml:space="preserve"> </w:t>
      </w:r>
      <w:r w:rsidR="008B5572">
        <w:rPr>
          <w:rFonts w:ascii="Times New Roman" w:hAnsi="Times New Roman" w:cs="Times New Roman"/>
        </w:rPr>
        <w:t>Settlement</w:t>
      </w:r>
      <w:r>
        <w:rPr>
          <w:rFonts w:ascii="Times New Roman" w:hAnsi="Times New Roman" w:cs="Times New Roman"/>
        </w:rPr>
        <w:t xml:space="preserve"> between FirstEnergy and several parties to this energy efficiency portfolio case. Among other things, the Settlement (a) prohibits FirstEnergy from charging customers higher profits as a result of energy savings they achieve on their own,</w:t>
      </w:r>
      <w:r>
        <w:rPr>
          <w:rStyle w:val="FootnoteReference"/>
          <w:rFonts w:ascii="Times New Roman" w:hAnsi="Times New Roman" w:cs="Times New Roman"/>
        </w:rPr>
        <w:footnoteReference w:id="18"/>
      </w:r>
      <w:r>
        <w:rPr>
          <w:rFonts w:ascii="Times New Roman" w:hAnsi="Times New Roman" w:cs="Times New Roman"/>
        </w:rPr>
        <w:t xml:space="preserve"> (b) lowers the annual cap on shared savings from $25 million after tax to $10 million after tax,</w:t>
      </w:r>
      <w:r>
        <w:rPr>
          <w:rStyle w:val="FootnoteReference"/>
          <w:rFonts w:ascii="Times New Roman" w:hAnsi="Times New Roman" w:cs="Times New Roman"/>
        </w:rPr>
        <w:footnoteReference w:id="19"/>
      </w:r>
      <w:r>
        <w:rPr>
          <w:rFonts w:ascii="Times New Roman" w:hAnsi="Times New Roman" w:cs="Times New Roman"/>
        </w:rPr>
        <w:t xml:space="preserve"> and (c) reduces the scope of the portfolio to target 1.78 million MWh over three years instead of 2.4 million MWh.</w:t>
      </w:r>
      <w:r>
        <w:rPr>
          <w:rStyle w:val="FootnoteReference"/>
          <w:rFonts w:ascii="Times New Roman" w:hAnsi="Times New Roman" w:cs="Times New Roman"/>
        </w:rPr>
        <w:footnoteReference w:id="20"/>
      </w:r>
    </w:p>
    <w:p w:rsidR="00185269"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The PUCO Staff, OCC, and the Ohio Hospital Association oppose the Settlement. FirstEnergy, Energy Management Solutions, Inc., EnerNOC, Ohio Partners for Affordable Energy, IGS Energy</w:t>
      </w:r>
      <w:r w:rsidR="00167215">
        <w:rPr>
          <w:rFonts w:ascii="Times New Roman" w:hAnsi="Times New Roman" w:cs="Times New Roman"/>
        </w:rPr>
        <w:t>, and four environmental parties</w:t>
      </w:r>
      <w:r>
        <w:rPr>
          <w:rFonts w:ascii="Times New Roman" w:hAnsi="Times New Roman" w:cs="Times New Roman"/>
        </w:rPr>
        <w:t xml:space="preserve"> support the Settlement (the </w:t>
      </w:r>
      <w:r w:rsidR="0082545D">
        <w:rPr>
          <w:rFonts w:ascii="Times New Roman" w:hAnsi="Times New Roman" w:cs="Times New Roman"/>
        </w:rPr>
        <w:t>"</w:t>
      </w:r>
      <w:r>
        <w:rPr>
          <w:rFonts w:ascii="Times New Roman" w:hAnsi="Times New Roman" w:cs="Times New Roman"/>
        </w:rPr>
        <w:t>Signatory Parties</w:t>
      </w:r>
      <w:r w:rsidR="0082545D">
        <w:rPr>
          <w:rFonts w:ascii="Times New Roman" w:hAnsi="Times New Roman" w:cs="Times New Roman"/>
        </w:rPr>
        <w:t>"</w:t>
      </w:r>
      <w:r>
        <w:rPr>
          <w:rFonts w:ascii="Times New Roman" w:hAnsi="Times New Roman" w:cs="Times New Roman"/>
        </w:rPr>
        <w:t>).</w:t>
      </w:r>
      <w:r w:rsidR="007B520C">
        <w:rPr>
          <w:rFonts w:ascii="Times New Roman" w:hAnsi="Times New Roman" w:cs="Times New Roman"/>
        </w:rPr>
        <w:t xml:space="preserve"> The Ohio Manufacturers</w:t>
      </w:r>
      <w:r w:rsidR="0082545D">
        <w:rPr>
          <w:rFonts w:ascii="Times New Roman" w:hAnsi="Times New Roman" w:cs="Times New Roman"/>
        </w:rPr>
        <w:t>'</w:t>
      </w:r>
      <w:r w:rsidR="007B520C">
        <w:rPr>
          <w:rFonts w:ascii="Times New Roman" w:hAnsi="Times New Roman" w:cs="Times New Roman"/>
        </w:rPr>
        <w:t xml:space="preserve"> Association, the Kroger Co., and Industrial Energy Users-Ohio are not Signatory Parties but do not oppose the Settlement.</w:t>
      </w:r>
    </w:p>
    <w:p w:rsidR="006C1D46"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The PUCO Staff and OCC filed testimony opposing the Settlement.</w:t>
      </w:r>
      <w:r>
        <w:rPr>
          <w:rStyle w:val="FootnoteReference"/>
          <w:rFonts w:ascii="Times New Roman" w:hAnsi="Times New Roman" w:cs="Times New Roman"/>
        </w:rPr>
        <w:footnoteReference w:id="21"/>
      </w:r>
      <w:r>
        <w:rPr>
          <w:rFonts w:ascii="Times New Roman" w:hAnsi="Times New Roman" w:cs="Times New Roman"/>
        </w:rPr>
        <w:t xml:space="preserve"> The crux of their respective positions is that the Settlement would permit FirstEnergy to charge customers too much for energy efficiency. </w:t>
      </w:r>
      <w:r>
        <w:rPr>
          <w:rFonts w:ascii="Times New Roman" w:hAnsi="Times New Roman" w:cs="Times New Roman"/>
        </w:rPr>
        <w:t xml:space="preserve">The PUCO Staff and OCC witnesses also </w:t>
      </w:r>
      <w:r w:rsidR="00774576">
        <w:rPr>
          <w:rFonts w:ascii="Times New Roman" w:hAnsi="Times New Roman" w:cs="Times New Roman"/>
        </w:rPr>
        <w:t xml:space="preserve">testified </w:t>
      </w:r>
      <w:r>
        <w:rPr>
          <w:rFonts w:ascii="Times New Roman" w:hAnsi="Times New Roman" w:cs="Times New Roman"/>
        </w:rPr>
        <w:t>that the Settlement</w:t>
      </w:r>
      <w:r w:rsidR="0082545D">
        <w:rPr>
          <w:rFonts w:ascii="Times New Roman" w:hAnsi="Times New Roman" w:cs="Times New Roman"/>
        </w:rPr>
        <w:t>'</w:t>
      </w:r>
      <w:r>
        <w:rPr>
          <w:rFonts w:ascii="Times New Roman" w:hAnsi="Times New Roman" w:cs="Times New Roman"/>
        </w:rPr>
        <w:t>s proposal to charge customers for shared savings would need to be modified to protect customers from paying excessive profits to FirstEnergy. In response, FirstEnergy and the environmental parties submitted rebuttal testimony challenging the PUCO Staff</w:t>
      </w:r>
      <w:r w:rsidR="0082545D">
        <w:rPr>
          <w:rFonts w:ascii="Times New Roman" w:hAnsi="Times New Roman" w:cs="Times New Roman"/>
        </w:rPr>
        <w:t>'</w:t>
      </w:r>
      <w:r>
        <w:rPr>
          <w:rFonts w:ascii="Times New Roman" w:hAnsi="Times New Roman" w:cs="Times New Roman"/>
        </w:rPr>
        <w:t>s and OCC</w:t>
      </w:r>
      <w:r w:rsidR="0082545D">
        <w:rPr>
          <w:rFonts w:ascii="Times New Roman" w:hAnsi="Times New Roman" w:cs="Times New Roman"/>
        </w:rPr>
        <w:t>'</w:t>
      </w:r>
      <w:r>
        <w:rPr>
          <w:rFonts w:ascii="Times New Roman" w:hAnsi="Times New Roman" w:cs="Times New Roman"/>
        </w:rPr>
        <w:t>s proposal for an annual cap on the amount of program costs and shared savings that customers would pay.</w:t>
      </w:r>
      <w:r>
        <w:rPr>
          <w:rStyle w:val="FootnoteReference"/>
          <w:rFonts w:ascii="Times New Roman" w:hAnsi="Times New Roman" w:cs="Times New Roman"/>
        </w:rPr>
        <w:footnoteReference w:id="22"/>
      </w:r>
    </w:p>
    <w:p w:rsidR="006C1D46"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The PUCO should adopt the PUCO Staff</w:t>
      </w:r>
      <w:r w:rsidR="0082545D">
        <w:rPr>
          <w:rFonts w:ascii="Times New Roman" w:hAnsi="Times New Roman" w:cs="Times New Roman"/>
        </w:rPr>
        <w:t>'</w:t>
      </w:r>
      <w:r>
        <w:rPr>
          <w:rFonts w:ascii="Times New Roman" w:hAnsi="Times New Roman" w:cs="Times New Roman"/>
        </w:rPr>
        <w:t>s and OCC</w:t>
      </w:r>
      <w:r w:rsidR="0082545D">
        <w:rPr>
          <w:rFonts w:ascii="Times New Roman" w:hAnsi="Times New Roman" w:cs="Times New Roman"/>
        </w:rPr>
        <w:t>'</w:t>
      </w:r>
      <w:r>
        <w:rPr>
          <w:rFonts w:ascii="Times New Roman" w:hAnsi="Times New Roman" w:cs="Times New Roman"/>
        </w:rPr>
        <w:t>s recommendation for an annual $80.1 million cap on total program costs and shared savings as set forth in the testimony of PUCO Staff witness Patrick Donlon and the testimony of OCC witness Richard Spellman. The PUCO should also modify FirstEnergy</w:t>
      </w:r>
      <w:r w:rsidR="0082545D">
        <w:rPr>
          <w:rFonts w:ascii="Times New Roman" w:hAnsi="Times New Roman" w:cs="Times New Roman"/>
        </w:rPr>
        <w:t>'</w:t>
      </w:r>
      <w:r>
        <w:rPr>
          <w:rFonts w:ascii="Times New Roman" w:hAnsi="Times New Roman" w:cs="Times New Roman"/>
        </w:rPr>
        <w:t>s proposed shared savings mechanism to prevent FirstEnergy from profiting excessively from energy efficiency at customer expense.</w:t>
      </w:r>
    </w:p>
    <w:p w:rsidR="0002569A" w:rsidP="0002569A">
      <w:pPr>
        <w:pStyle w:val="Footer"/>
        <w:tabs>
          <w:tab w:val="clear" w:pos="4320"/>
          <w:tab w:val="clear" w:pos="8640"/>
        </w:tabs>
        <w:spacing w:before="100" w:beforeAutospacing="1"/>
        <w:ind w:firstLine="720"/>
        <w:contextualSpacing/>
        <w:rPr>
          <w:rFonts w:ascii="Times New Roman" w:hAnsi="Times New Roman" w:cs="Times New Roman"/>
        </w:rPr>
      </w:pPr>
    </w:p>
    <w:p w:rsidR="00997A88" w:rsidRPr="00997A88" w:rsidP="000F5657">
      <w:pPr>
        <w:pStyle w:val="Heading1"/>
      </w:pPr>
      <w:bookmarkStart w:id="2" w:name="_Toc475451043"/>
      <w:r>
        <w:t>I</w:t>
      </w:r>
      <w:r w:rsidR="00916A58">
        <w:t>I</w:t>
      </w:r>
      <w:r>
        <w:t>.</w:t>
      </w:r>
      <w:r>
        <w:tab/>
        <w:t>BURDEN OF PROOF AND STANDARD OF REVIEW</w:t>
      </w:r>
      <w:bookmarkEnd w:id="2"/>
    </w:p>
    <w:p w:rsidR="00997A88" w:rsidP="008B3AA4">
      <w:pPr>
        <w:autoSpaceDE w:val="0"/>
        <w:autoSpaceDN w:val="0"/>
        <w:adjustRightInd w:val="0"/>
        <w:spacing w:line="480" w:lineRule="auto"/>
        <w:ind w:firstLine="720"/>
      </w:pPr>
      <w:r>
        <w:t>In PUCO proceedings, the applicant bears the burden of proof</w:t>
      </w:r>
      <w:r>
        <w:t>.</w:t>
      </w:r>
      <w:r>
        <w:rPr>
          <w:rStyle w:val="FootnoteReference"/>
        </w:rPr>
        <w:footnoteReference w:id="23"/>
      </w:r>
      <w:r>
        <w:t xml:space="preserve"> </w:t>
      </w:r>
      <w:r w:rsidR="008B3AA4">
        <w:t xml:space="preserve">In the context of a </w:t>
      </w:r>
      <w:r w:rsidR="00673BFB">
        <w:t>s</w:t>
      </w:r>
      <w:r w:rsidR="008B3AA4">
        <w:t xml:space="preserve">ettlement, </w:t>
      </w:r>
      <w:r w:rsidR="00E03320">
        <w:t xml:space="preserve">the signatory parties </w:t>
      </w:r>
      <w:r w:rsidR="0082545D">
        <w:t>"</w:t>
      </w:r>
      <w:r w:rsidR="00E03320">
        <w:t>bear the burden to support the stipulation</w:t>
      </w:r>
      <w:r w:rsidR="0082545D">
        <w:t>"</w:t>
      </w:r>
      <w:r w:rsidR="00E03320">
        <w:t xml:space="preserve"> and must </w:t>
      </w:r>
      <w:r w:rsidR="0082545D">
        <w:t>"</w:t>
      </w:r>
      <w:r w:rsidR="00E03320">
        <w:t>demonstrate that the stipulation is reasonable and satisfies the Commission</w:t>
      </w:r>
      <w:r w:rsidR="0082545D">
        <w:t>'</w:t>
      </w:r>
      <w:r w:rsidR="00E03320">
        <w:t>s three-part test.</w:t>
      </w:r>
      <w:r w:rsidR="0082545D">
        <w:t>"</w:t>
      </w:r>
      <w:r>
        <w:rPr>
          <w:rStyle w:val="FootnoteReference"/>
        </w:rPr>
        <w:footnoteReference w:id="24"/>
      </w:r>
      <w:r w:rsidR="008B3AA4">
        <w:t xml:space="preserve"> And in electric energy efficiency cases, </w:t>
      </w:r>
      <w:r w:rsidR="00673BFB">
        <w:t xml:space="preserve">whether there is a settlement or not, </w:t>
      </w:r>
      <w:r w:rsidR="008B3AA4">
        <w:t>the utility must prove that its proposed energy efficiency program portfolio is consistent with State policy under R.C. 4928.02 and satisfies the requirements of R.C. 4928.66.</w:t>
      </w:r>
      <w:r>
        <w:rPr>
          <w:rStyle w:val="FootnoteReference"/>
        </w:rPr>
        <w:footnoteReference w:id="25"/>
      </w:r>
    </w:p>
    <w:p w:rsidR="00997A88" w:rsidP="00997A88">
      <w:pPr>
        <w:autoSpaceDE w:val="0"/>
        <w:autoSpaceDN w:val="0"/>
        <w:adjustRightInd w:val="0"/>
        <w:spacing w:line="480" w:lineRule="auto"/>
        <w:ind w:firstLine="720"/>
      </w:pPr>
      <w:r>
        <w:t>In</w:t>
      </w:r>
      <w:r w:rsidR="00E03320">
        <w:t xml:space="preserve"> PUCO </w:t>
      </w:r>
      <w:r w:rsidR="00673BFB">
        <w:t>proceedings</w:t>
      </w:r>
      <w:r>
        <w:t>, a settlement is merely a recommendation to the PUCO on behalf of the settling parties.</w:t>
      </w:r>
      <w:r>
        <w:rPr>
          <w:rStyle w:val="FootnoteReference"/>
        </w:rPr>
        <w:footnoteReference w:id="26"/>
      </w:r>
      <w:r w:rsidR="008F147B">
        <w:t xml:space="preserve"> </w:t>
      </w:r>
      <w:r>
        <w:t>A settlement is not binding on the PUCO,</w:t>
      </w:r>
      <w:r>
        <w:rPr>
          <w:rStyle w:val="FootnoteReference"/>
        </w:rPr>
        <w:footnoteReference w:id="27"/>
      </w:r>
      <w:r>
        <w:t xml:space="preserve"> and the PUCO has the discretion to give each settlement the weight that </w:t>
      </w:r>
      <w:r w:rsidR="008F147B">
        <w:t xml:space="preserve">the PUCO believes it deserves. </w:t>
      </w:r>
      <w:r>
        <w:t>The recommendations provided in a settlement do not trump the argum</w:t>
      </w:r>
      <w:r w:rsidR="008F147B">
        <w:t xml:space="preserve">ents of non-signatory parties. </w:t>
      </w:r>
      <w:r>
        <w:t xml:space="preserve">Nor do they alter the role of the PUCO as a regulator that must </w:t>
      </w:r>
      <w:r w:rsidR="0082545D">
        <w:t>"</w:t>
      </w:r>
      <w:r>
        <w:t>determine what is just and reasonable from the evidence presented at the hearing.</w:t>
      </w:r>
      <w:r w:rsidR="0082545D">
        <w:t>"</w:t>
      </w:r>
      <w:r>
        <w:rPr>
          <w:rStyle w:val="FootnoteReference"/>
        </w:rPr>
        <w:footnoteReference w:id="28"/>
      </w:r>
    </w:p>
    <w:p w:rsidR="00997A88" w:rsidRPr="009B66B4" w:rsidP="00997A88">
      <w:pPr>
        <w:autoSpaceDE w:val="0"/>
        <w:autoSpaceDN w:val="0"/>
        <w:adjustRightInd w:val="0"/>
        <w:spacing w:line="480" w:lineRule="auto"/>
        <w:ind w:firstLine="720"/>
      </w:pPr>
      <w:r>
        <w:t>In evaluating settlements, the ultimate issue for the PUCO</w:t>
      </w:r>
      <w:r w:rsidR="0082545D">
        <w:t>'</w:t>
      </w:r>
      <w:r>
        <w:t xml:space="preserve">s consideration is whether the agreement </w:t>
      </w:r>
      <w:r w:rsidR="0082545D">
        <w:t>"</w:t>
      </w:r>
      <w:r>
        <w:t>is reasonable and should be adopted.</w:t>
      </w:r>
      <w:r w:rsidR="0082545D">
        <w:t>"</w:t>
      </w:r>
      <w:r>
        <w:rPr>
          <w:rStyle w:val="FootnoteReference"/>
        </w:rPr>
        <w:footnoteReference w:id="29"/>
      </w:r>
      <w:r>
        <w:t xml:space="preserve"> In answering this question, the PUCO has adopted the following three-prong test:</w:t>
      </w:r>
      <w:r>
        <w:rPr>
          <w:vertAlign w:val="superscript"/>
        </w:rPr>
        <w:footnoteReference w:id="30"/>
      </w:r>
    </w:p>
    <w:p w:rsidR="00997A88" w:rsidRPr="00752251" w:rsidP="00997A88">
      <w:pPr>
        <w:numPr>
          <w:ilvl w:val="0"/>
          <w:numId w:val="26"/>
        </w:numPr>
        <w:autoSpaceDE w:val="0"/>
        <w:autoSpaceDN w:val="0"/>
        <w:adjustRightInd w:val="0"/>
        <w:spacing w:after="240"/>
        <w:ind w:left="2160" w:right="720" w:hanging="720"/>
        <w:rPr>
          <w:szCs w:val="24"/>
        </w:rPr>
      </w:pPr>
      <w:r w:rsidRPr="00752251">
        <w:rPr>
          <w:szCs w:val="24"/>
        </w:rPr>
        <w:t>Is the settlement a product of serious bargaining among capable, knowledgeable parties?</w:t>
      </w:r>
    </w:p>
    <w:p w:rsidR="00997A88" w:rsidRPr="00752251" w:rsidP="00997A88">
      <w:pPr>
        <w:numPr>
          <w:ilvl w:val="0"/>
          <w:numId w:val="26"/>
        </w:numPr>
        <w:autoSpaceDE w:val="0"/>
        <w:autoSpaceDN w:val="0"/>
        <w:adjustRightInd w:val="0"/>
        <w:spacing w:after="240"/>
        <w:ind w:left="2160" w:right="720" w:hanging="720"/>
        <w:rPr>
          <w:szCs w:val="24"/>
        </w:rPr>
      </w:pPr>
      <w:r w:rsidRPr="00752251">
        <w:rPr>
          <w:szCs w:val="24"/>
        </w:rPr>
        <w:t xml:space="preserve">Does the settlement, as a package, benefit </w:t>
      </w:r>
      <w:r>
        <w:rPr>
          <w:szCs w:val="24"/>
        </w:rPr>
        <w:t>customers</w:t>
      </w:r>
      <w:r w:rsidRPr="00752251">
        <w:rPr>
          <w:szCs w:val="24"/>
        </w:rPr>
        <w:t xml:space="preserve"> and the public interest?</w:t>
      </w:r>
    </w:p>
    <w:p w:rsidR="00997A88" w:rsidRPr="00752251" w:rsidP="00997A88">
      <w:pPr>
        <w:numPr>
          <w:ilvl w:val="0"/>
          <w:numId w:val="26"/>
        </w:numPr>
        <w:spacing w:after="240"/>
        <w:ind w:left="2160" w:hanging="720"/>
      </w:pPr>
      <w:r w:rsidRPr="00752251">
        <w:rPr>
          <w:szCs w:val="24"/>
        </w:rPr>
        <w:t>Does the settlement package violate any important regulatory principle or practice?</w:t>
      </w:r>
    </w:p>
    <w:p w:rsidR="000F5657" w:rsidP="000F5657">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w:t>
      </w:r>
      <w:r w:rsidRPr="008F147B" w:rsidR="00997A88">
        <w:rPr>
          <w:rFonts w:ascii="Times New Roman" w:hAnsi="Times New Roman" w:cs="Times New Roman"/>
        </w:rPr>
        <w:t xml:space="preserve">he PUCO has often taken into account the diversity of interests among the </w:t>
      </w:r>
      <w:r w:rsidR="00A21363">
        <w:rPr>
          <w:rFonts w:ascii="Times New Roman" w:hAnsi="Times New Roman" w:cs="Times New Roman"/>
        </w:rPr>
        <w:t>s</w:t>
      </w:r>
      <w:r w:rsidRPr="008F147B" w:rsidR="00997A88">
        <w:rPr>
          <w:rFonts w:ascii="Times New Roman" w:hAnsi="Times New Roman" w:cs="Times New Roman"/>
        </w:rPr>
        <w:t xml:space="preserve">ignatory </w:t>
      </w:r>
      <w:r w:rsidR="00A21363">
        <w:rPr>
          <w:rFonts w:ascii="Times New Roman" w:hAnsi="Times New Roman" w:cs="Times New Roman"/>
        </w:rPr>
        <w:t>p</w:t>
      </w:r>
      <w:r w:rsidRPr="008F147B" w:rsidR="00997A88">
        <w:rPr>
          <w:rFonts w:ascii="Times New Roman" w:hAnsi="Times New Roman" w:cs="Times New Roman"/>
        </w:rPr>
        <w:t>arties, finding that diversity of interests is indicative of serious bargaining.</w:t>
      </w:r>
      <w:r>
        <w:rPr>
          <w:rStyle w:val="FootnoteReference"/>
          <w:rFonts w:ascii="Times New Roman" w:hAnsi="Times New Roman" w:cs="Times New Roman"/>
        </w:rPr>
        <w:footnoteReference w:id="31"/>
      </w:r>
    </w:p>
    <w:p w:rsidR="00146AC0" w:rsidRPr="008F147B" w:rsidP="00BC06F4">
      <w:pPr>
        <w:pStyle w:val="Footer"/>
        <w:tabs>
          <w:tab w:val="clear" w:pos="4320"/>
          <w:tab w:val="clear" w:pos="8640"/>
        </w:tabs>
        <w:spacing w:before="100" w:beforeAutospacing="1"/>
        <w:ind w:firstLine="720"/>
        <w:contextualSpacing/>
        <w:rPr>
          <w:rFonts w:ascii="Times New Roman" w:hAnsi="Times New Roman" w:cs="Times New Roman"/>
        </w:rPr>
      </w:pPr>
    </w:p>
    <w:p w:rsidR="00997A88" w:rsidP="000F5657">
      <w:pPr>
        <w:pStyle w:val="Heading1"/>
      </w:pPr>
      <w:bookmarkStart w:id="3" w:name="_Toc475451044"/>
      <w:r>
        <w:t>I</w:t>
      </w:r>
      <w:r w:rsidR="00916A58">
        <w:t>I</w:t>
      </w:r>
      <w:r>
        <w:t>I.</w:t>
      </w:r>
      <w:r>
        <w:tab/>
        <w:t>ARGUMENT</w:t>
      </w:r>
      <w:bookmarkEnd w:id="3"/>
    </w:p>
    <w:p w:rsidR="00997A88" w:rsidRPr="006F1BD0" w:rsidP="000F5657">
      <w:pPr>
        <w:pStyle w:val="Heading2"/>
      </w:pPr>
      <w:bookmarkStart w:id="4" w:name="_Toc475451045"/>
      <w:r>
        <w:t>A</w:t>
      </w:r>
      <w:r w:rsidRPr="006F1BD0" w:rsidR="006F1BD0">
        <w:t>.</w:t>
      </w:r>
      <w:r w:rsidRPr="006F1BD0" w:rsidR="006F1BD0">
        <w:tab/>
        <w:t>The Settlement does not benefit customers or the public interest.</w:t>
      </w:r>
      <w:bookmarkEnd w:id="4"/>
    </w:p>
    <w:p w:rsidR="00997A88" w:rsidP="000F5657">
      <w:pPr>
        <w:pStyle w:val="Heading3"/>
      </w:pPr>
      <w:bookmarkStart w:id="5" w:name="_Toc475451046"/>
      <w:r>
        <w:t>1</w:t>
      </w:r>
      <w:r w:rsidR="00412C29">
        <w:t>.</w:t>
      </w:r>
      <w:r w:rsidR="00412C29">
        <w:tab/>
      </w:r>
      <w:r w:rsidRPr="00412C29" w:rsidR="00412C29">
        <w:t xml:space="preserve">The PUCO should </w:t>
      </w:r>
      <w:r w:rsidR="001B5C3D">
        <w:t>approve</w:t>
      </w:r>
      <w:r w:rsidRPr="00412C29" w:rsidR="001B5C3D">
        <w:t xml:space="preserve"> </w:t>
      </w:r>
      <w:r w:rsidRPr="00412C29" w:rsidR="00412C29">
        <w:t>a</w:t>
      </w:r>
      <w:r w:rsidR="003E3C08">
        <w:t>n $80.1 million annual</w:t>
      </w:r>
      <w:r w:rsidRPr="00412C29" w:rsidR="00412C29">
        <w:t xml:space="preserve"> cost cap to limit the amount that customers will pay for energy efficiency program costs and utility profits (shared savings).</w:t>
      </w:r>
      <w:bookmarkEnd w:id="5"/>
    </w:p>
    <w:p w:rsidR="00CB2E95" w:rsidRPr="00CB2E95" w:rsidP="000F5657">
      <w:pPr>
        <w:pStyle w:val="Heading4"/>
      </w:pPr>
      <w:bookmarkStart w:id="6" w:name="_Toc475451047"/>
      <w:r>
        <w:t>a.</w:t>
      </w:r>
      <w:r>
        <w:tab/>
      </w:r>
      <w:r w:rsidR="00CF054E">
        <w:t xml:space="preserve">An annual cap on program costs and shared savings benefits customers </w:t>
      </w:r>
      <w:r w:rsidR="0061215B">
        <w:t xml:space="preserve">by lowering the amount that they </w:t>
      </w:r>
      <w:r w:rsidR="00D27221">
        <w:t>pay</w:t>
      </w:r>
      <w:r w:rsidR="0061215B">
        <w:t xml:space="preserve"> </w:t>
      </w:r>
      <w:r w:rsidR="004B33A4">
        <w:t>for energy efficiency</w:t>
      </w:r>
      <w:r w:rsidR="00CF054E">
        <w:t>.</w:t>
      </w:r>
      <w:bookmarkEnd w:id="6"/>
    </w:p>
    <w:p w:rsidR="004B33A4" w:rsidP="004B33A4">
      <w:pPr>
        <w:pStyle w:val="Footer"/>
        <w:tabs>
          <w:tab w:val="clear" w:pos="4320"/>
          <w:tab w:val="clear" w:pos="8640"/>
        </w:tabs>
        <w:spacing w:line="480" w:lineRule="auto"/>
        <w:ind w:firstLine="720"/>
        <w:rPr>
          <w:rFonts w:ascii="Times New Roman" w:hAnsi="Times New Roman" w:cs="Times New Roman"/>
        </w:rPr>
      </w:pPr>
      <w:r>
        <w:rPr>
          <w:rFonts w:ascii="Times New Roman" w:hAnsi="Times New Roman" w:cs="Times New Roman"/>
        </w:rPr>
        <w:t>Energy efficiency is important. It is also</w:t>
      </w:r>
      <w:r>
        <w:rPr>
          <w:rFonts w:ascii="Times New Roman" w:hAnsi="Times New Roman" w:cs="Times New Roman"/>
        </w:rPr>
        <w:t xml:space="preserve"> important to place limits on the amount that FirstEnergy can charge customers</w:t>
      </w:r>
      <w:r>
        <w:rPr>
          <w:rFonts w:ascii="Times New Roman" w:hAnsi="Times New Roman" w:cs="Times New Roman"/>
        </w:rPr>
        <w:t xml:space="preserve"> for energy efficiency</w:t>
      </w:r>
      <w:r>
        <w:rPr>
          <w:rFonts w:ascii="Times New Roman" w:hAnsi="Times New Roman" w:cs="Times New Roman"/>
        </w:rPr>
        <w:t>.</w:t>
      </w:r>
    </w:p>
    <w:p w:rsidR="004B33A4" w:rsidP="004B33A4">
      <w:pPr>
        <w:pStyle w:val="Footer"/>
        <w:tabs>
          <w:tab w:val="clear" w:pos="4320"/>
          <w:tab w:val="clear" w:pos="8640"/>
        </w:tabs>
        <w:spacing w:line="480" w:lineRule="auto"/>
        <w:ind w:firstLine="720"/>
        <w:rPr>
          <w:rFonts w:ascii="Times New Roman" w:hAnsi="Times New Roman" w:cs="Times New Roman"/>
        </w:rPr>
      </w:pPr>
      <w:r>
        <w:rPr>
          <w:rFonts w:ascii="Times New Roman" w:hAnsi="Times New Roman" w:cs="Times New Roman"/>
        </w:rPr>
        <w:t>The cost of energy efficiency in Ohio is rising.</w:t>
      </w:r>
      <w:r>
        <w:rPr>
          <w:rStyle w:val="FootnoteReference"/>
          <w:rFonts w:ascii="Times New Roman" w:hAnsi="Times New Roman" w:cs="Times New Roman"/>
        </w:rPr>
        <w:footnoteReference w:id="32"/>
      </w:r>
      <w:r>
        <w:rPr>
          <w:rFonts w:ascii="Times New Roman" w:hAnsi="Times New Roman" w:cs="Times New Roman"/>
        </w:rPr>
        <w:t xml:space="preserve"> </w:t>
      </w:r>
      <w:r w:rsidR="00713780">
        <w:rPr>
          <w:rFonts w:ascii="Times New Roman" w:hAnsi="Times New Roman" w:cs="Times New Roman"/>
        </w:rPr>
        <w:t xml:space="preserve">The energy efficiency rider for each of the three FirstEnergy </w:t>
      </w:r>
      <w:r w:rsidR="0046415C">
        <w:rPr>
          <w:rFonts w:ascii="Times New Roman" w:hAnsi="Times New Roman" w:cs="Times New Roman"/>
        </w:rPr>
        <w:t>c</w:t>
      </w:r>
      <w:r w:rsidR="00713780">
        <w:rPr>
          <w:rFonts w:ascii="Times New Roman" w:hAnsi="Times New Roman" w:cs="Times New Roman"/>
        </w:rPr>
        <w:t>ompanies</w:t>
      </w:r>
      <w:r>
        <w:rPr>
          <w:rStyle w:val="FootnoteReference"/>
          <w:rFonts w:ascii="Times New Roman" w:hAnsi="Times New Roman" w:cs="Times New Roman"/>
        </w:rPr>
        <w:footnoteReference w:id="33"/>
      </w:r>
      <w:r w:rsidR="00713780">
        <w:rPr>
          <w:rFonts w:ascii="Times New Roman" w:hAnsi="Times New Roman" w:cs="Times New Roman"/>
        </w:rPr>
        <w:t xml:space="preserve"> is now one of the highest riders on customers</w:t>
      </w:r>
      <w:r w:rsidR="0082545D">
        <w:rPr>
          <w:rFonts w:ascii="Times New Roman" w:hAnsi="Times New Roman" w:cs="Times New Roman"/>
        </w:rPr>
        <w:t>'</w:t>
      </w:r>
      <w:r w:rsidR="00713780">
        <w:rPr>
          <w:rFonts w:ascii="Times New Roman" w:hAnsi="Times New Roman" w:cs="Times New Roman"/>
        </w:rPr>
        <w:t xml:space="preserve"> bills.</w:t>
      </w:r>
      <w:r>
        <w:rPr>
          <w:rStyle w:val="FootnoteReference"/>
          <w:rFonts w:ascii="Times New Roman" w:hAnsi="Times New Roman" w:cs="Times New Roman"/>
        </w:rPr>
        <w:footnoteReference w:id="34"/>
      </w:r>
      <w:r w:rsidR="00713780">
        <w:rPr>
          <w:rFonts w:ascii="Times New Roman" w:hAnsi="Times New Roman" w:cs="Times New Roman"/>
        </w:rPr>
        <w:t xml:space="preserve"> As PUCO Staff witness Donlon testified, there is </w:t>
      </w:r>
      <w:r w:rsidR="0082545D">
        <w:rPr>
          <w:rFonts w:ascii="Times New Roman" w:hAnsi="Times New Roman" w:cs="Times New Roman"/>
        </w:rPr>
        <w:t>"</w:t>
      </w:r>
      <w:r w:rsidR="00713780">
        <w:rPr>
          <w:rFonts w:ascii="Times New Roman" w:hAnsi="Times New Roman" w:cs="Times New Roman"/>
        </w:rPr>
        <w:t>concern[] with the overall costs of programs that are being passed back for customers to pay.</w:t>
      </w:r>
      <w:r w:rsidR="0082545D">
        <w:rPr>
          <w:rFonts w:ascii="Times New Roman" w:hAnsi="Times New Roman" w:cs="Times New Roman"/>
        </w:rPr>
        <w:t>"</w:t>
      </w:r>
      <w:r>
        <w:rPr>
          <w:rStyle w:val="FootnoteReference"/>
          <w:rFonts w:ascii="Times New Roman" w:hAnsi="Times New Roman" w:cs="Times New Roman"/>
        </w:rPr>
        <w:footnoteReference w:id="35"/>
      </w:r>
    </w:p>
    <w:p w:rsidR="004B33A4" w:rsidP="004B33A4">
      <w:pPr>
        <w:pStyle w:val="Footer"/>
        <w:tabs>
          <w:tab w:val="clear" w:pos="4320"/>
          <w:tab w:val="clear" w:pos="8640"/>
        </w:tabs>
        <w:spacing w:line="480" w:lineRule="auto"/>
        <w:ind w:firstLine="720"/>
        <w:rPr>
          <w:rFonts w:ascii="Times New Roman" w:hAnsi="Times New Roman" w:cs="Times New Roman"/>
        </w:rPr>
      </w:pPr>
      <w:r>
        <w:rPr>
          <w:rFonts w:ascii="Times New Roman" w:hAnsi="Times New Roman" w:cs="Times New Roman"/>
        </w:rPr>
        <w:t>An</w:t>
      </w:r>
      <w:r w:rsidR="00713780">
        <w:rPr>
          <w:rFonts w:ascii="Times New Roman" w:hAnsi="Times New Roman" w:cs="Times New Roman"/>
        </w:rPr>
        <w:t xml:space="preserve"> annual cap of $80.1 million would protect customers from these rising energy efficiency costs.</w:t>
      </w:r>
      <w:r>
        <w:rPr>
          <w:rStyle w:val="FootnoteReference"/>
          <w:rFonts w:ascii="Times New Roman" w:hAnsi="Times New Roman" w:cs="Times New Roman"/>
        </w:rPr>
        <w:footnoteReference w:id="36"/>
      </w:r>
      <w:r w:rsidR="00713780">
        <w:rPr>
          <w:rFonts w:ascii="Times New Roman" w:hAnsi="Times New Roman" w:cs="Times New Roman"/>
        </w:rPr>
        <w:t xml:space="preserve"> It would </w:t>
      </w:r>
      <w:r w:rsidR="0082545D">
        <w:rPr>
          <w:rFonts w:ascii="Times New Roman" w:hAnsi="Times New Roman" w:cs="Times New Roman"/>
        </w:rPr>
        <w:t>"</w:t>
      </w:r>
      <w:r w:rsidR="00713780">
        <w:rPr>
          <w:rFonts w:ascii="Times New Roman" w:hAnsi="Times New Roman" w:cs="Times New Roman"/>
        </w:rPr>
        <w:t>encourage FirstEnergy to spend customer funds as wisely as possible.</w:t>
      </w:r>
      <w:r w:rsidR="0082545D">
        <w:rPr>
          <w:rFonts w:ascii="Times New Roman" w:hAnsi="Times New Roman" w:cs="Times New Roman"/>
        </w:rPr>
        <w:t>"</w:t>
      </w:r>
      <w:r>
        <w:rPr>
          <w:rStyle w:val="FootnoteReference"/>
          <w:rFonts w:ascii="Times New Roman" w:hAnsi="Times New Roman" w:cs="Times New Roman"/>
        </w:rPr>
        <w:footnoteReference w:id="37"/>
      </w:r>
      <w:r w:rsidR="00713780">
        <w:rPr>
          <w:rFonts w:ascii="Times New Roman" w:hAnsi="Times New Roman" w:cs="Times New Roman"/>
        </w:rPr>
        <w:t xml:space="preserve"> It would allow </w:t>
      </w:r>
      <w:r w:rsidR="0082545D">
        <w:rPr>
          <w:rFonts w:ascii="Times New Roman" w:hAnsi="Times New Roman" w:cs="Times New Roman"/>
        </w:rPr>
        <w:t>"</w:t>
      </w:r>
      <w:r w:rsidR="00713780">
        <w:rPr>
          <w:rFonts w:ascii="Times New Roman" w:hAnsi="Times New Roman" w:cs="Times New Roman"/>
        </w:rPr>
        <w:t>substantial financial support for energy efficiency measures and programs</w:t>
      </w:r>
      <w:r w:rsidR="0082545D">
        <w:rPr>
          <w:rFonts w:ascii="Times New Roman" w:hAnsi="Times New Roman" w:cs="Times New Roman"/>
        </w:rPr>
        <w:t>"</w:t>
      </w:r>
      <w:r w:rsidR="00713780">
        <w:rPr>
          <w:rFonts w:ascii="Times New Roman" w:hAnsi="Times New Roman" w:cs="Times New Roman"/>
        </w:rPr>
        <w:t xml:space="preserve"> while at the same time providing </w:t>
      </w:r>
      <w:r w:rsidR="0082545D">
        <w:rPr>
          <w:rFonts w:ascii="Times New Roman" w:hAnsi="Times New Roman" w:cs="Times New Roman"/>
        </w:rPr>
        <w:t>"</w:t>
      </w:r>
      <w:r w:rsidR="00713780">
        <w:rPr>
          <w:rFonts w:ascii="Times New Roman" w:hAnsi="Times New Roman" w:cs="Times New Roman"/>
        </w:rPr>
        <w:t>an upper limit to rate impacts on customers of utility-administered energy efficiency programs.</w:t>
      </w:r>
      <w:r w:rsidR="0082545D">
        <w:rPr>
          <w:rFonts w:ascii="Times New Roman" w:hAnsi="Times New Roman" w:cs="Times New Roman"/>
        </w:rPr>
        <w:t>"</w:t>
      </w:r>
      <w:r>
        <w:rPr>
          <w:rStyle w:val="FootnoteReference"/>
          <w:rFonts w:ascii="Times New Roman" w:hAnsi="Times New Roman" w:cs="Times New Roman"/>
        </w:rPr>
        <w:footnoteReference w:id="38"/>
      </w:r>
      <w:r w:rsidR="00522EB4">
        <w:rPr>
          <w:rFonts w:ascii="Times New Roman" w:hAnsi="Times New Roman" w:cs="Times New Roman"/>
        </w:rPr>
        <w:t xml:space="preserve"> It would require FirstEnergy </w:t>
      </w:r>
      <w:r w:rsidR="0082545D">
        <w:rPr>
          <w:rFonts w:ascii="Times New Roman" w:hAnsi="Times New Roman" w:cs="Times New Roman"/>
        </w:rPr>
        <w:t>"</w:t>
      </w:r>
      <w:r w:rsidR="00522EB4">
        <w:rPr>
          <w:rFonts w:ascii="Times New Roman" w:hAnsi="Times New Roman" w:cs="Times New Roman"/>
        </w:rPr>
        <w:t>to pick the most cost effective and efficient means of achieving their benchmarks, thus avoiding unnecessary charges to customers.</w:t>
      </w:r>
      <w:r w:rsidR="0082545D">
        <w:rPr>
          <w:rFonts w:ascii="Times New Roman" w:hAnsi="Times New Roman" w:cs="Times New Roman"/>
        </w:rPr>
        <w:t>"</w:t>
      </w:r>
      <w:r>
        <w:rPr>
          <w:rStyle w:val="FootnoteReference"/>
          <w:rFonts w:ascii="Times New Roman" w:hAnsi="Times New Roman" w:cs="Times New Roman"/>
        </w:rPr>
        <w:footnoteReference w:id="39"/>
      </w:r>
      <w:r w:rsidR="00522EB4">
        <w:rPr>
          <w:rFonts w:ascii="Times New Roman" w:hAnsi="Times New Roman" w:cs="Times New Roman"/>
        </w:rPr>
        <w:t xml:space="preserve"> And it would </w:t>
      </w:r>
      <w:r w:rsidR="0082545D">
        <w:rPr>
          <w:rFonts w:ascii="Times New Roman" w:hAnsi="Times New Roman" w:cs="Times New Roman"/>
        </w:rPr>
        <w:t>"</w:t>
      </w:r>
      <w:r w:rsidR="00522EB4">
        <w:rPr>
          <w:rFonts w:ascii="Times New Roman" w:hAnsi="Times New Roman" w:cs="Times New Roman"/>
        </w:rPr>
        <w:t>provide some price assurances to customers while still supporting energy efficiency and allowing the utilities to meet or exceed their statutory mandate levels.</w:t>
      </w:r>
      <w:r w:rsidR="0082545D">
        <w:rPr>
          <w:rFonts w:ascii="Times New Roman" w:hAnsi="Times New Roman" w:cs="Times New Roman"/>
        </w:rPr>
        <w:t>"</w:t>
      </w:r>
      <w:r>
        <w:rPr>
          <w:rStyle w:val="FootnoteReference"/>
          <w:rFonts w:ascii="Times New Roman" w:hAnsi="Times New Roman" w:cs="Times New Roman"/>
        </w:rPr>
        <w:footnoteReference w:id="40"/>
      </w:r>
    </w:p>
    <w:p w:rsidR="00A37237" w:rsidP="004B33A4">
      <w:pPr>
        <w:pStyle w:val="Footer"/>
        <w:tabs>
          <w:tab w:val="clear" w:pos="4320"/>
          <w:tab w:val="clear" w:pos="8640"/>
        </w:tabs>
        <w:spacing w:line="480" w:lineRule="auto"/>
        <w:ind w:firstLine="720"/>
        <w:rPr>
          <w:rFonts w:ascii="Times New Roman" w:hAnsi="Times New Roman" w:cs="Times New Roman"/>
        </w:rPr>
      </w:pPr>
      <w:r>
        <w:rPr>
          <w:rFonts w:ascii="Times New Roman" w:hAnsi="Times New Roman" w:cs="Times New Roman"/>
        </w:rPr>
        <w:t xml:space="preserve">The PUCO should </w:t>
      </w:r>
      <w:r w:rsidR="005813C5">
        <w:rPr>
          <w:rFonts w:ascii="Times New Roman" w:hAnsi="Times New Roman" w:cs="Times New Roman"/>
        </w:rPr>
        <w:t xml:space="preserve">protect customers from paying too much for energy efficiency. It should </w:t>
      </w:r>
      <w:r>
        <w:rPr>
          <w:rFonts w:ascii="Times New Roman" w:hAnsi="Times New Roman" w:cs="Times New Roman"/>
        </w:rPr>
        <w:t>modify the Settlement to require an annual limit of $80.1 million on total program costs and utility profits (shared savings).</w:t>
      </w:r>
    </w:p>
    <w:p w:rsidR="00412C29" w:rsidP="000F5657">
      <w:pPr>
        <w:pStyle w:val="Heading4"/>
      </w:pPr>
      <w:bookmarkStart w:id="7" w:name="_Toc475451048"/>
      <w:r>
        <w:t>b</w:t>
      </w:r>
      <w:r w:rsidR="003E3C08">
        <w:t>.</w:t>
      </w:r>
      <w:r w:rsidR="003E3C08">
        <w:tab/>
        <w:t>FirstEnergy can achieve its statutory minimum energy savings under an $80.1 million cost cap.</w:t>
      </w:r>
      <w:bookmarkEnd w:id="7"/>
    </w:p>
    <w:p w:rsidR="00D27221" w:rsidRPr="00D27221" w:rsidP="00D27221">
      <w:pPr>
        <w:pStyle w:val="Footer"/>
        <w:tabs>
          <w:tab w:val="clear" w:pos="4320"/>
          <w:tab w:val="clear" w:pos="8640"/>
        </w:tabs>
        <w:spacing w:line="480" w:lineRule="auto"/>
        <w:ind w:firstLine="720"/>
        <w:rPr>
          <w:rFonts w:ascii="Times New Roman" w:hAnsi="Times New Roman" w:cs="Times New Roman"/>
        </w:rPr>
      </w:pPr>
      <w:r>
        <w:rPr>
          <w:rFonts w:ascii="Times New Roman" w:hAnsi="Times New Roman" w:cs="Times New Roman"/>
        </w:rPr>
        <w:t>FirstEnergy claims that it is not possible for it to achieve its statutory minimum energy savings under the PUCO Staff</w:t>
      </w:r>
      <w:r w:rsidR="0082545D">
        <w:rPr>
          <w:rFonts w:ascii="Times New Roman" w:hAnsi="Times New Roman" w:cs="Times New Roman"/>
        </w:rPr>
        <w:t>'</w:t>
      </w:r>
      <w:r>
        <w:rPr>
          <w:rFonts w:ascii="Times New Roman" w:hAnsi="Times New Roman" w:cs="Times New Roman"/>
        </w:rPr>
        <w:t>s and OCC</w:t>
      </w:r>
      <w:r w:rsidR="0082545D">
        <w:rPr>
          <w:rFonts w:ascii="Times New Roman" w:hAnsi="Times New Roman" w:cs="Times New Roman"/>
        </w:rPr>
        <w:t>'</w:t>
      </w:r>
      <w:r>
        <w:rPr>
          <w:rFonts w:ascii="Times New Roman" w:hAnsi="Times New Roman" w:cs="Times New Roman"/>
        </w:rPr>
        <w:t>s proposed $80.1 million annual cost cap. The record does not support FirstEnergy</w:t>
      </w:r>
      <w:r w:rsidR="0082545D">
        <w:rPr>
          <w:rFonts w:ascii="Times New Roman" w:hAnsi="Times New Roman" w:cs="Times New Roman"/>
        </w:rPr>
        <w:t>'</w:t>
      </w:r>
      <w:r>
        <w:rPr>
          <w:rFonts w:ascii="Times New Roman" w:hAnsi="Times New Roman" w:cs="Times New Roman"/>
        </w:rPr>
        <w:t>s claim.</w:t>
      </w:r>
    </w:p>
    <w:p w:rsidR="00412C29" w:rsidRPr="003E3C08" w:rsidP="000F5657">
      <w:pPr>
        <w:pStyle w:val="Heading5"/>
      </w:pPr>
      <w:bookmarkStart w:id="8" w:name="_Toc475451049"/>
      <w:r>
        <w:t>i.</w:t>
      </w:r>
      <w:r w:rsidR="003E3C08">
        <w:tab/>
        <w:t>Nonresidential customer opt-outs could significantly reduce the Companies</w:t>
      </w:r>
      <w:r w:rsidR="0082545D">
        <w:t>'</w:t>
      </w:r>
      <w:r w:rsidR="003E3C08">
        <w:t xml:space="preserve"> statutory benchmarks, which would lower the cost of compliance</w:t>
      </w:r>
      <w:r w:rsidR="009A68EB">
        <w:t xml:space="preserve"> that customers pay</w:t>
      </w:r>
      <w:r w:rsidR="003E3C08">
        <w:t>.</w:t>
      </w:r>
      <w:bookmarkEnd w:id="8"/>
    </w:p>
    <w:p w:rsidR="007819F9"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The significance of nonresidential customer opt-outs cannot be ignored</w:t>
      </w:r>
      <w:r w:rsidR="009A68EB">
        <w:rPr>
          <w:rFonts w:ascii="Times New Roman" w:hAnsi="Times New Roman" w:cs="Times New Roman"/>
        </w:rPr>
        <w:t>. B</w:t>
      </w:r>
      <w:r>
        <w:rPr>
          <w:rFonts w:ascii="Times New Roman" w:hAnsi="Times New Roman" w:cs="Times New Roman"/>
        </w:rPr>
        <w:t xml:space="preserve">ut that is what FirstEnergy has done. </w:t>
      </w:r>
      <w:r w:rsidR="0065303E">
        <w:rPr>
          <w:rFonts w:ascii="Times New Roman" w:hAnsi="Times New Roman" w:cs="Times New Roman"/>
        </w:rPr>
        <w:t>In the Settlement, FirstEnergy calculated its annual benchmarks by assuming there will be no nonresidential customer opt outs.</w:t>
      </w:r>
      <w:r>
        <w:rPr>
          <w:rStyle w:val="FootnoteReference"/>
          <w:rFonts w:ascii="Times New Roman" w:hAnsi="Times New Roman" w:cs="Times New Roman"/>
        </w:rPr>
        <w:footnoteReference w:id="41"/>
      </w:r>
      <w:r w:rsidR="0065303E">
        <w:rPr>
          <w:rFonts w:ascii="Times New Roman" w:hAnsi="Times New Roman" w:cs="Times New Roman"/>
        </w:rPr>
        <w:t xml:space="preserve"> FirstEnergy created a program budget—which customers pay—based on these benchmarks.</w:t>
      </w:r>
      <w:r>
        <w:rPr>
          <w:rStyle w:val="FootnoteReference"/>
          <w:rFonts w:ascii="Times New Roman" w:hAnsi="Times New Roman" w:cs="Times New Roman"/>
        </w:rPr>
        <w:footnoteReference w:id="42"/>
      </w:r>
      <w:r w:rsidR="0065303E">
        <w:rPr>
          <w:rFonts w:ascii="Times New Roman" w:hAnsi="Times New Roman" w:cs="Times New Roman"/>
        </w:rPr>
        <w:t xml:space="preserve"> But if nonresidential customer opt-outs were taken into account, the benchmarks would be lower, and the amount that customers would have to pay for energy efficiency would be lower as well.</w:t>
      </w:r>
    </w:p>
    <w:p w:rsidR="00412C29"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When Senate Bill 221 first established energy savings benchmarks for the State of Ohio in 2008, the PUCO </w:t>
      </w:r>
      <w:r w:rsidR="003E22D6">
        <w:rPr>
          <w:rFonts w:ascii="Times New Roman" w:hAnsi="Times New Roman" w:cs="Times New Roman"/>
        </w:rPr>
        <w:t>was given</w:t>
      </w:r>
      <w:r>
        <w:rPr>
          <w:rFonts w:ascii="Times New Roman" w:hAnsi="Times New Roman" w:cs="Times New Roman"/>
        </w:rPr>
        <w:t xml:space="preserve"> the authority to exempt certain mercantile customers from paying for energy efficiency programs.</w:t>
      </w:r>
      <w:r>
        <w:rPr>
          <w:rStyle w:val="FootnoteReference"/>
          <w:rFonts w:ascii="Times New Roman" w:hAnsi="Times New Roman" w:cs="Times New Roman"/>
        </w:rPr>
        <w:footnoteReference w:id="43"/>
      </w:r>
      <w:r>
        <w:rPr>
          <w:rFonts w:ascii="Times New Roman" w:hAnsi="Times New Roman" w:cs="Times New Roman"/>
        </w:rPr>
        <w:t xml:space="preserve"> In 2014, the General Assembly passed Senate Bill 310 (</w:t>
      </w:r>
      <w:r w:rsidR="0082545D">
        <w:rPr>
          <w:rFonts w:ascii="Times New Roman" w:hAnsi="Times New Roman" w:cs="Times New Roman"/>
        </w:rPr>
        <w:t>"</w:t>
      </w:r>
      <w:r>
        <w:rPr>
          <w:rFonts w:ascii="Times New Roman" w:hAnsi="Times New Roman" w:cs="Times New Roman"/>
        </w:rPr>
        <w:t>SB 310</w:t>
      </w:r>
      <w:r w:rsidR="0082545D">
        <w:rPr>
          <w:rFonts w:ascii="Times New Roman" w:hAnsi="Times New Roman" w:cs="Times New Roman"/>
        </w:rPr>
        <w:t>"</w:t>
      </w:r>
      <w:r>
        <w:rPr>
          <w:rFonts w:ascii="Times New Roman" w:hAnsi="Times New Roman" w:cs="Times New Roman"/>
        </w:rPr>
        <w:t>).</w:t>
      </w:r>
      <w:r>
        <w:rPr>
          <w:rStyle w:val="FootnoteReference"/>
          <w:rFonts w:ascii="Times New Roman" w:hAnsi="Times New Roman" w:cs="Times New Roman"/>
        </w:rPr>
        <w:footnoteReference w:id="44"/>
      </w:r>
      <w:r>
        <w:rPr>
          <w:rFonts w:ascii="Times New Roman" w:hAnsi="Times New Roman" w:cs="Times New Roman"/>
        </w:rPr>
        <w:t xml:space="preserve"> SB 310 added two new avenues for nonresidential customer opt-outs.</w:t>
      </w:r>
    </w:p>
    <w:p w:rsidR="00BB76B3"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First, section </w:t>
      </w:r>
      <w:r w:rsidR="003E22D6">
        <w:rPr>
          <w:rFonts w:ascii="Times New Roman" w:hAnsi="Times New Roman" w:cs="Times New Roman"/>
        </w:rPr>
        <w:t xml:space="preserve">8 </w:t>
      </w:r>
      <w:r>
        <w:rPr>
          <w:rFonts w:ascii="Times New Roman" w:hAnsi="Times New Roman" w:cs="Times New Roman"/>
        </w:rPr>
        <w:t>of SB 310 permitted customers to opt out of a utility</w:t>
      </w:r>
      <w:r w:rsidR="0082545D">
        <w:rPr>
          <w:rFonts w:ascii="Times New Roman" w:hAnsi="Times New Roman" w:cs="Times New Roman"/>
        </w:rPr>
        <w:t>'</w:t>
      </w:r>
      <w:r>
        <w:rPr>
          <w:rFonts w:ascii="Times New Roman" w:hAnsi="Times New Roman" w:cs="Times New Roman"/>
        </w:rPr>
        <w:t>s amended portfolio beginning January 1, 2015.</w:t>
      </w:r>
      <w:r>
        <w:rPr>
          <w:rStyle w:val="FootnoteReference"/>
          <w:rFonts w:ascii="Times New Roman" w:hAnsi="Times New Roman" w:cs="Times New Roman"/>
        </w:rPr>
        <w:footnoteReference w:id="45"/>
      </w:r>
      <w:r>
        <w:rPr>
          <w:rFonts w:ascii="Times New Roman" w:hAnsi="Times New Roman" w:cs="Times New Roman"/>
        </w:rPr>
        <w:t xml:space="preserve"> </w:t>
      </w:r>
      <w:r w:rsidR="003E22D6">
        <w:rPr>
          <w:rFonts w:ascii="Times New Roman" w:hAnsi="Times New Roman" w:cs="Times New Roman"/>
        </w:rPr>
        <w:t>FirstEnergy amended its portfolio,</w:t>
      </w:r>
      <w:r>
        <w:rPr>
          <w:rStyle w:val="FootnoteReference"/>
          <w:rFonts w:ascii="Times New Roman" w:hAnsi="Times New Roman" w:cs="Times New Roman"/>
        </w:rPr>
        <w:footnoteReference w:id="46"/>
      </w:r>
      <w:r w:rsidR="003E22D6">
        <w:rPr>
          <w:rFonts w:ascii="Times New Roman" w:hAnsi="Times New Roman" w:cs="Times New Roman"/>
        </w:rPr>
        <w:t xml:space="preserve"> so its nonresidential customers were permitted to opt out under SB 310 section 8. SB 310 </w:t>
      </w:r>
      <w:r w:rsidR="00927205">
        <w:rPr>
          <w:rFonts w:ascii="Times New Roman" w:hAnsi="Times New Roman" w:cs="Times New Roman"/>
        </w:rPr>
        <w:t xml:space="preserve">also </w:t>
      </w:r>
      <w:r w:rsidR="003E22D6">
        <w:rPr>
          <w:rFonts w:ascii="Times New Roman" w:hAnsi="Times New Roman" w:cs="Times New Roman"/>
        </w:rPr>
        <w:t xml:space="preserve">added a new </w:t>
      </w:r>
      <w:r w:rsidR="00C82611">
        <w:rPr>
          <w:rFonts w:ascii="Times New Roman" w:hAnsi="Times New Roman" w:cs="Times New Roman"/>
        </w:rPr>
        <w:t xml:space="preserve">opt-out </w:t>
      </w:r>
      <w:r w:rsidR="003E22D6">
        <w:rPr>
          <w:rFonts w:ascii="Times New Roman" w:hAnsi="Times New Roman" w:cs="Times New Roman"/>
        </w:rPr>
        <w:t xml:space="preserve">section to R.C. Chapter 4928. This new section, R.C. 4928.6611, permits nonresidential customers to </w:t>
      </w:r>
      <w:r w:rsidR="0082545D">
        <w:rPr>
          <w:rFonts w:ascii="Times New Roman" w:hAnsi="Times New Roman" w:cs="Times New Roman"/>
        </w:rPr>
        <w:t>"</w:t>
      </w:r>
      <w:r w:rsidR="003E22D6">
        <w:rPr>
          <w:rFonts w:ascii="Times New Roman" w:hAnsi="Times New Roman" w:cs="Times New Roman"/>
        </w:rPr>
        <w:t>opt out of the opportunity and ability to obtain direct benefits from the utility</w:t>
      </w:r>
      <w:r w:rsidR="0082545D">
        <w:rPr>
          <w:rFonts w:ascii="Times New Roman" w:hAnsi="Times New Roman" w:cs="Times New Roman"/>
        </w:rPr>
        <w:t>'</w:t>
      </w:r>
      <w:r w:rsidR="003E22D6">
        <w:rPr>
          <w:rFonts w:ascii="Times New Roman" w:hAnsi="Times New Roman" w:cs="Times New Roman"/>
        </w:rPr>
        <w:t>s portfolio plan.</w:t>
      </w:r>
      <w:r w:rsidR="0082545D">
        <w:rPr>
          <w:rFonts w:ascii="Times New Roman" w:hAnsi="Times New Roman" w:cs="Times New Roman"/>
        </w:rPr>
        <w:t>"</w:t>
      </w:r>
    </w:p>
    <w:p w:rsidR="003E22D6"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In summary, from 2008 to 2014, nonresidential customers could request to opt out of a utility</w:t>
      </w:r>
      <w:r w:rsidR="0082545D">
        <w:rPr>
          <w:rFonts w:ascii="Times New Roman" w:hAnsi="Times New Roman" w:cs="Times New Roman"/>
        </w:rPr>
        <w:t>'</w:t>
      </w:r>
      <w:r>
        <w:rPr>
          <w:rFonts w:ascii="Times New Roman" w:hAnsi="Times New Roman" w:cs="Times New Roman"/>
        </w:rPr>
        <w:t>s portfolio plan under R.C. 4928(A)(2)(c). From 2015 to 2016, nonresidential customers could opt out under section 8 of SB 310 and could also continue to opt out under R.C. 4928(A)(2)(c). And beginning January 1, 2017, nonresidential customers can opt out under R.C. 4928.6611 and can continue to opt out under R.C. 4928(A)(2)(c).</w:t>
      </w:r>
    </w:p>
    <w:p w:rsidR="003E22D6"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Nonresidential customer opt outs impact compliance with Ohio</w:t>
      </w:r>
      <w:r w:rsidR="0082545D">
        <w:rPr>
          <w:rFonts w:ascii="Times New Roman" w:hAnsi="Times New Roman" w:cs="Times New Roman"/>
        </w:rPr>
        <w:t>'</w:t>
      </w:r>
      <w:r>
        <w:rPr>
          <w:rFonts w:ascii="Times New Roman" w:hAnsi="Times New Roman" w:cs="Times New Roman"/>
        </w:rPr>
        <w:t>s energy savings mandates. By law, e</w:t>
      </w:r>
      <w:r w:rsidR="00D12998">
        <w:rPr>
          <w:rFonts w:ascii="Times New Roman" w:hAnsi="Times New Roman" w:cs="Times New Roman"/>
        </w:rPr>
        <w:t xml:space="preserve">ach </w:t>
      </w:r>
      <w:r>
        <w:rPr>
          <w:rFonts w:ascii="Times New Roman" w:hAnsi="Times New Roman" w:cs="Times New Roman"/>
        </w:rPr>
        <w:t xml:space="preserve">Ohio electric </w:t>
      </w:r>
      <w:r w:rsidR="009A68EB">
        <w:rPr>
          <w:rFonts w:ascii="Times New Roman" w:hAnsi="Times New Roman" w:cs="Times New Roman"/>
        </w:rPr>
        <w:t xml:space="preserve">distribution </w:t>
      </w:r>
      <w:r>
        <w:rPr>
          <w:rFonts w:ascii="Times New Roman" w:hAnsi="Times New Roman" w:cs="Times New Roman"/>
        </w:rPr>
        <w:t>utility</w:t>
      </w:r>
      <w:r w:rsidR="0061355E">
        <w:rPr>
          <w:rFonts w:ascii="Times New Roman" w:hAnsi="Times New Roman" w:cs="Times New Roman"/>
        </w:rPr>
        <w:t xml:space="preserve"> is required to achieve energy savings of 1.0% of its baseline in 2017, 2018, and 2019.</w:t>
      </w:r>
      <w:r>
        <w:rPr>
          <w:rStyle w:val="FootnoteReference"/>
          <w:rFonts w:ascii="Times New Roman" w:hAnsi="Times New Roman" w:cs="Times New Roman"/>
        </w:rPr>
        <w:footnoteReference w:id="47"/>
      </w:r>
      <w:r w:rsidR="0061355E">
        <w:rPr>
          <w:rFonts w:ascii="Times New Roman" w:hAnsi="Times New Roman" w:cs="Times New Roman"/>
        </w:rPr>
        <w:t xml:space="preserve"> </w:t>
      </w:r>
      <w:r>
        <w:rPr>
          <w:rFonts w:ascii="Times New Roman" w:hAnsi="Times New Roman" w:cs="Times New Roman"/>
        </w:rPr>
        <w:t>I</w:t>
      </w:r>
      <w:r w:rsidR="0061355E">
        <w:rPr>
          <w:rFonts w:ascii="Times New Roman" w:hAnsi="Times New Roman" w:cs="Times New Roman"/>
        </w:rPr>
        <w:t xml:space="preserve">f an electric </w:t>
      </w:r>
      <w:r w:rsidR="009A68EB">
        <w:rPr>
          <w:rFonts w:ascii="Times New Roman" w:hAnsi="Times New Roman" w:cs="Times New Roman"/>
        </w:rPr>
        <w:t xml:space="preserve">distribution </w:t>
      </w:r>
      <w:r w:rsidR="0061355E">
        <w:rPr>
          <w:rFonts w:ascii="Times New Roman" w:hAnsi="Times New Roman" w:cs="Times New Roman"/>
        </w:rPr>
        <w:t xml:space="preserve">utility has a baseline of 20,000,000 MWH for 2017, </w:t>
      </w:r>
      <w:r>
        <w:rPr>
          <w:rFonts w:ascii="Times New Roman" w:hAnsi="Times New Roman" w:cs="Times New Roman"/>
        </w:rPr>
        <w:t xml:space="preserve">for example, </w:t>
      </w:r>
      <w:r w:rsidR="0061355E">
        <w:rPr>
          <w:rFonts w:ascii="Times New Roman" w:hAnsi="Times New Roman" w:cs="Times New Roman"/>
        </w:rPr>
        <w:t>then it must achieve energy savings in 2017 of 200,000 MWh. The baseline is the average of the utility</w:t>
      </w:r>
      <w:r w:rsidR="0082545D">
        <w:rPr>
          <w:rFonts w:ascii="Times New Roman" w:hAnsi="Times New Roman" w:cs="Times New Roman"/>
        </w:rPr>
        <w:t>'</w:t>
      </w:r>
      <w:r w:rsidR="0061355E">
        <w:rPr>
          <w:rFonts w:ascii="Times New Roman" w:hAnsi="Times New Roman" w:cs="Times New Roman"/>
        </w:rPr>
        <w:t>s three previous years</w:t>
      </w:r>
      <w:r w:rsidR="0082545D">
        <w:rPr>
          <w:rFonts w:ascii="Times New Roman" w:hAnsi="Times New Roman" w:cs="Times New Roman"/>
        </w:rPr>
        <w:t>'</w:t>
      </w:r>
      <w:r w:rsidR="0061355E">
        <w:rPr>
          <w:rFonts w:ascii="Times New Roman" w:hAnsi="Times New Roman" w:cs="Times New Roman"/>
        </w:rPr>
        <w:t xml:space="preserve"> energy sales, subject to certain adjustments.</w:t>
      </w:r>
      <w:r>
        <w:rPr>
          <w:rStyle w:val="FootnoteReference"/>
          <w:rFonts w:ascii="Times New Roman" w:hAnsi="Times New Roman" w:cs="Times New Roman"/>
        </w:rPr>
        <w:footnoteReference w:id="48"/>
      </w:r>
      <w:r w:rsidR="0061355E">
        <w:rPr>
          <w:rFonts w:ascii="Times New Roman" w:hAnsi="Times New Roman" w:cs="Times New Roman"/>
        </w:rPr>
        <w:t xml:space="preserve"> One of those adjustments </w:t>
      </w:r>
      <w:r w:rsidR="00AE3CD0">
        <w:rPr>
          <w:rFonts w:ascii="Times New Roman" w:hAnsi="Times New Roman" w:cs="Times New Roman"/>
        </w:rPr>
        <w:t xml:space="preserve">is to reduce the baseline to account </w:t>
      </w:r>
      <w:r w:rsidR="0061355E">
        <w:rPr>
          <w:rFonts w:ascii="Times New Roman" w:hAnsi="Times New Roman" w:cs="Times New Roman"/>
        </w:rPr>
        <w:t>for nonresidential customer opt-outs.</w:t>
      </w:r>
    </w:p>
    <w:p w:rsidR="0061355E"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When a nonresidential customer opts out, its energy usage is subtracted from the utility</w:t>
      </w:r>
      <w:r w:rsidR="0082545D">
        <w:rPr>
          <w:rFonts w:ascii="Times New Roman" w:hAnsi="Times New Roman" w:cs="Times New Roman"/>
        </w:rPr>
        <w:t>'</w:t>
      </w:r>
      <w:r>
        <w:rPr>
          <w:rFonts w:ascii="Times New Roman" w:hAnsi="Times New Roman" w:cs="Times New Roman"/>
        </w:rPr>
        <w:t>s sales for purposes of calculating the baseline.</w:t>
      </w:r>
      <w:r>
        <w:rPr>
          <w:rStyle w:val="FootnoteReference"/>
          <w:rFonts w:ascii="Times New Roman" w:hAnsi="Times New Roman" w:cs="Times New Roman"/>
        </w:rPr>
        <w:footnoteReference w:id="49"/>
      </w:r>
      <w:r>
        <w:rPr>
          <w:rFonts w:ascii="Times New Roman" w:hAnsi="Times New Roman" w:cs="Times New Roman"/>
        </w:rPr>
        <w:t xml:space="preserve"> </w:t>
      </w:r>
      <w:r w:rsidR="00C82611">
        <w:rPr>
          <w:rFonts w:ascii="Times New Roman" w:hAnsi="Times New Roman" w:cs="Times New Roman"/>
        </w:rPr>
        <w:t>For instance</w:t>
      </w:r>
      <w:r>
        <w:rPr>
          <w:rFonts w:ascii="Times New Roman" w:hAnsi="Times New Roman" w:cs="Times New Roman"/>
        </w:rPr>
        <w:t>, if a nonresidential customer uses 500 MWh and opts out of the utility</w:t>
      </w:r>
      <w:r w:rsidR="0082545D">
        <w:rPr>
          <w:rFonts w:ascii="Times New Roman" w:hAnsi="Times New Roman" w:cs="Times New Roman"/>
        </w:rPr>
        <w:t>'</w:t>
      </w:r>
      <w:r>
        <w:rPr>
          <w:rFonts w:ascii="Times New Roman" w:hAnsi="Times New Roman" w:cs="Times New Roman"/>
        </w:rPr>
        <w:t>s energy efficiency portfolio, 500 MWh is subtracted from the utility</w:t>
      </w:r>
      <w:r w:rsidR="0082545D">
        <w:rPr>
          <w:rFonts w:ascii="Times New Roman" w:hAnsi="Times New Roman" w:cs="Times New Roman"/>
        </w:rPr>
        <w:t>'</w:t>
      </w:r>
      <w:r>
        <w:rPr>
          <w:rFonts w:ascii="Times New Roman" w:hAnsi="Times New Roman" w:cs="Times New Roman"/>
        </w:rPr>
        <w:t>s energy sales.</w:t>
      </w:r>
      <w:r>
        <w:rPr>
          <w:rStyle w:val="FootnoteReference"/>
          <w:rFonts w:ascii="Times New Roman" w:hAnsi="Times New Roman" w:cs="Times New Roman"/>
        </w:rPr>
        <w:footnoteReference w:id="50"/>
      </w:r>
      <w:r>
        <w:rPr>
          <w:rFonts w:ascii="Times New Roman" w:hAnsi="Times New Roman" w:cs="Times New Roman"/>
        </w:rPr>
        <w:t xml:space="preserve"> And because the benchmark is </w:t>
      </w:r>
      <w:r w:rsidR="00E03320">
        <w:rPr>
          <w:rFonts w:ascii="Times New Roman" w:hAnsi="Times New Roman" w:cs="Times New Roman"/>
        </w:rPr>
        <w:t>1% of</w:t>
      </w:r>
      <w:r>
        <w:rPr>
          <w:rFonts w:ascii="Times New Roman" w:hAnsi="Times New Roman" w:cs="Times New Roman"/>
        </w:rPr>
        <w:t xml:space="preserve"> the baseline, a reduction in the baseline also reduces the benchmark. In the example above, a 500 MWh reduction in the baseline would result in a 5 MWh reduction in the annual benchmark.</w:t>
      </w:r>
      <w:r>
        <w:rPr>
          <w:rStyle w:val="FootnoteReference"/>
          <w:rFonts w:ascii="Times New Roman" w:hAnsi="Times New Roman" w:cs="Times New Roman"/>
        </w:rPr>
        <w:footnoteReference w:id="51"/>
      </w:r>
    </w:p>
    <w:p w:rsidR="00E03320" w:rsidRPr="002858D1" w:rsidP="00997A88">
      <w:pPr>
        <w:pStyle w:val="Footer"/>
        <w:tabs>
          <w:tab w:val="clear" w:pos="4320"/>
          <w:tab w:val="clear" w:pos="8640"/>
        </w:tabs>
        <w:spacing w:before="100" w:beforeAutospacing="1" w:line="480" w:lineRule="auto"/>
        <w:ind w:firstLine="720"/>
        <w:contextualSpacing/>
        <w:rPr>
          <w:rFonts w:ascii="Times New Roman" w:hAnsi="Times New Roman" w:cs="Times New Roman"/>
          <w:sz w:val="20"/>
          <w:szCs w:val="20"/>
        </w:rPr>
      </w:pPr>
      <w:r>
        <w:rPr>
          <w:rFonts w:ascii="Times New Roman" w:hAnsi="Times New Roman" w:cs="Times New Roman"/>
        </w:rPr>
        <w:t>FirstEnergy</w:t>
      </w:r>
      <w:r w:rsidR="0082545D">
        <w:rPr>
          <w:rFonts w:ascii="Times New Roman" w:hAnsi="Times New Roman" w:cs="Times New Roman"/>
        </w:rPr>
        <w:t>'</w:t>
      </w:r>
      <w:r>
        <w:rPr>
          <w:rFonts w:ascii="Times New Roman" w:hAnsi="Times New Roman" w:cs="Times New Roman"/>
        </w:rPr>
        <w:t xml:space="preserve">s most recent annual report shows that nonresidential customer opt outs were significant in 2012, 2013, and 2014. </w:t>
      </w:r>
      <w:r w:rsidR="00E2669A">
        <w:rPr>
          <w:rFonts w:ascii="Times New Roman" w:hAnsi="Times New Roman" w:cs="Times New Roman"/>
        </w:rPr>
        <w:t>Between 2012 and 2014, Ohio Edison</w:t>
      </w:r>
      <w:r w:rsidR="0082545D">
        <w:rPr>
          <w:rFonts w:ascii="Times New Roman" w:hAnsi="Times New Roman" w:cs="Times New Roman"/>
        </w:rPr>
        <w:t>'</w:t>
      </w:r>
      <w:r w:rsidR="00E2669A">
        <w:rPr>
          <w:rFonts w:ascii="Times New Roman" w:hAnsi="Times New Roman" w:cs="Times New Roman"/>
        </w:rPr>
        <w:t>s total sales were between 24 and 25 million MWh per year.</w:t>
      </w:r>
      <w:r>
        <w:rPr>
          <w:rStyle w:val="FootnoteReference"/>
          <w:rFonts w:ascii="Times New Roman" w:hAnsi="Times New Roman" w:cs="Times New Roman"/>
        </w:rPr>
        <w:footnoteReference w:id="52"/>
      </w:r>
      <w:r w:rsidR="00E2669A">
        <w:rPr>
          <w:rFonts w:ascii="Times New Roman" w:hAnsi="Times New Roman" w:cs="Times New Roman"/>
        </w:rPr>
        <w:t xml:space="preserve"> Nonresidential customers with total usage of about 2 million MWh opted out in each of 2012, 2013, and 2014.</w:t>
      </w:r>
      <w:r>
        <w:rPr>
          <w:rStyle w:val="FootnoteReference"/>
          <w:rFonts w:ascii="Times New Roman" w:hAnsi="Times New Roman" w:cs="Times New Roman"/>
        </w:rPr>
        <w:footnoteReference w:id="53"/>
      </w:r>
      <w:r w:rsidR="00E2669A">
        <w:rPr>
          <w:rFonts w:ascii="Times New Roman" w:hAnsi="Times New Roman" w:cs="Times New Roman"/>
        </w:rPr>
        <w:t xml:space="preserve"> Thus, nonresidential customer opt outs reduced the 2015 baseline</w:t>
      </w:r>
      <w:r>
        <w:rPr>
          <w:rStyle w:val="FootnoteReference"/>
          <w:rFonts w:ascii="Times New Roman" w:hAnsi="Times New Roman" w:cs="Times New Roman"/>
        </w:rPr>
        <w:footnoteReference w:id="54"/>
      </w:r>
      <w:r w:rsidR="00E2669A">
        <w:rPr>
          <w:rFonts w:ascii="Times New Roman" w:hAnsi="Times New Roman" w:cs="Times New Roman"/>
        </w:rPr>
        <w:t xml:space="preserve"> by about 8% for Ohio Edison. Cleveland Electric</w:t>
      </w:r>
      <w:r w:rsidR="0082545D">
        <w:rPr>
          <w:rFonts w:ascii="Times New Roman" w:hAnsi="Times New Roman" w:cs="Times New Roman"/>
        </w:rPr>
        <w:t>'</w:t>
      </w:r>
      <w:r w:rsidR="00E2669A">
        <w:rPr>
          <w:rFonts w:ascii="Times New Roman" w:hAnsi="Times New Roman" w:cs="Times New Roman"/>
        </w:rPr>
        <w:t>s opt-out results for 2012 to</w:t>
      </w:r>
      <w:r>
        <w:rPr>
          <w:rFonts w:ascii="Times New Roman" w:hAnsi="Times New Roman" w:cs="Times New Roman"/>
        </w:rPr>
        <w:t xml:space="preserve"> 2014 were similar, with an opt-</w:t>
      </w:r>
      <w:r w:rsidR="00E2669A">
        <w:rPr>
          <w:rFonts w:ascii="Times New Roman" w:hAnsi="Times New Roman" w:cs="Times New Roman"/>
        </w:rPr>
        <w:t>out rate of about 7 to 8% of total energy sales.</w:t>
      </w:r>
      <w:r>
        <w:rPr>
          <w:rStyle w:val="FootnoteReference"/>
          <w:rFonts w:ascii="Times New Roman" w:hAnsi="Times New Roman" w:cs="Times New Roman"/>
        </w:rPr>
        <w:footnoteReference w:id="55"/>
      </w:r>
      <w:r w:rsidR="00E2669A">
        <w:rPr>
          <w:rFonts w:ascii="Times New Roman" w:hAnsi="Times New Roman" w:cs="Times New Roman"/>
        </w:rPr>
        <w:t xml:space="preserve"> Toledo Edison, </w:t>
      </w:r>
      <w:r w:rsidR="00DB270D">
        <w:rPr>
          <w:rFonts w:ascii="Times New Roman" w:hAnsi="Times New Roman" w:cs="Times New Roman"/>
        </w:rPr>
        <w:t>in contrast</w:t>
      </w:r>
      <w:r w:rsidR="00C82611">
        <w:rPr>
          <w:rFonts w:ascii="Times New Roman" w:hAnsi="Times New Roman" w:cs="Times New Roman"/>
        </w:rPr>
        <w:t>, experienced a much higher opt-</w:t>
      </w:r>
      <w:r w:rsidR="00E2669A">
        <w:rPr>
          <w:rFonts w:ascii="Times New Roman" w:hAnsi="Times New Roman" w:cs="Times New Roman"/>
        </w:rPr>
        <w:t>out rate. In each of 2012, 2013, and 2014, Toledo Edison had total sales of around 10 million MWh.</w:t>
      </w:r>
      <w:r>
        <w:rPr>
          <w:rStyle w:val="FootnoteReference"/>
          <w:rFonts w:ascii="Times New Roman" w:hAnsi="Times New Roman" w:cs="Times New Roman"/>
        </w:rPr>
        <w:footnoteReference w:id="56"/>
      </w:r>
      <w:r w:rsidR="00DB270D">
        <w:rPr>
          <w:rFonts w:ascii="Times New Roman" w:hAnsi="Times New Roman" w:cs="Times New Roman"/>
        </w:rPr>
        <w:t xml:space="preserve"> But nonresidential customers with a total usage of </w:t>
      </w:r>
      <w:r w:rsidR="00E2669A">
        <w:rPr>
          <w:rFonts w:ascii="Times New Roman" w:hAnsi="Times New Roman" w:cs="Times New Roman"/>
        </w:rPr>
        <w:t>around 3 million MWh</w:t>
      </w:r>
      <w:r w:rsidR="00DB270D">
        <w:rPr>
          <w:rFonts w:ascii="Times New Roman" w:hAnsi="Times New Roman" w:cs="Times New Roman"/>
        </w:rPr>
        <w:t xml:space="preserve"> opted out</w:t>
      </w:r>
      <w:r w:rsidR="00E2669A">
        <w:rPr>
          <w:rFonts w:ascii="Times New Roman" w:hAnsi="Times New Roman" w:cs="Times New Roman"/>
        </w:rPr>
        <w:t xml:space="preserve"> in each of 2012, 2013, or 2014. For Toledo Edison, therefore, opt-outs reduced the baseline by nearly 30% for 2015. The following tables summarize the opt-out results for each of the three FirstEnergy Companies for 2012, 2013, and 2014:</w:t>
      </w:r>
      <w:r>
        <w:rPr>
          <w:rStyle w:val="FootnoteReference"/>
          <w:rFonts w:ascii="Times New Roman" w:hAnsi="Times New Roman" w:cs="Times New Roman"/>
        </w:rPr>
        <w:footnoteReference w:id="57"/>
      </w:r>
    </w:p>
    <w:tbl>
      <w:tblPr>
        <w:tblW w:w="5907" w:type="dxa"/>
        <w:tblInd w:w="1372" w:type="dxa"/>
        <w:tblCellMar>
          <w:top w:w="0" w:type="dxa"/>
          <w:left w:w="108" w:type="dxa"/>
          <w:bottom w:w="0" w:type="dxa"/>
          <w:right w:w="108" w:type="dxa"/>
        </w:tblCellMar>
        <w:tblLook w:val="04A0"/>
      </w:tblPr>
      <w:tblGrid>
        <w:gridCol w:w="1062"/>
        <w:gridCol w:w="960"/>
        <w:gridCol w:w="1218"/>
        <w:gridCol w:w="1107"/>
        <w:gridCol w:w="1560"/>
      </w:tblGrid>
      <w:tr w:rsidTr="00116D03">
        <w:tblPrEx>
          <w:tblW w:w="5907" w:type="dxa"/>
          <w:tblInd w:w="1372" w:type="dxa"/>
          <w:tblCellMar>
            <w:top w:w="0" w:type="dxa"/>
            <w:left w:w="108" w:type="dxa"/>
            <w:bottom w:w="0" w:type="dxa"/>
            <w:right w:w="108" w:type="dxa"/>
          </w:tblCellMar>
          <w:tblLook w:val="04A0"/>
        </w:tblPrEx>
        <w:trPr>
          <w:trHeight w:val="315"/>
        </w:trPr>
        <w:tc>
          <w:tcPr>
            <w:tcW w:w="1062" w:type="dxa"/>
            <w:tcBorders>
              <w:top w:val="single" w:sz="8" w:space="0" w:color="auto"/>
              <w:left w:val="single" w:sz="8" w:space="0" w:color="auto"/>
              <w:bottom w:val="nil"/>
              <w:right w:val="single" w:sz="4" w:space="0" w:color="auto"/>
            </w:tcBorders>
            <w:shd w:val="clear" w:color="auto" w:fill="auto"/>
            <w:noWrap/>
            <w:vAlign w:val="bottom"/>
            <w:hideMark/>
          </w:tcPr>
          <w:p w:rsidR="00116D03" w:rsidRPr="002858D1" w:rsidP="00116D03">
            <w:pPr>
              <w:spacing w:after="0" w:line="240" w:lineRule="auto"/>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sz w:val="20"/>
                <w:szCs w:val="20"/>
                <w:lang w:val="en-US" w:eastAsia="en-US" w:bidi="ar-SA"/>
              </w:rPr>
              <w:br w:type="page"/>
            </w:r>
            <w:r w:rsidRPr="002858D1">
              <w:rPr>
                <w:rFonts w:ascii="Times New Roman" w:eastAsia="Times New Roman" w:hAnsi="Times New Roman" w:cs="Times New Roman"/>
                <w:color w:val="000000"/>
                <w:sz w:val="20"/>
                <w:szCs w:val="20"/>
                <w:lang w:val="en-US" w:eastAsia="en-US" w:bidi="ar-SA"/>
              </w:rPr>
              <w:t>Company</w:t>
            </w:r>
          </w:p>
        </w:tc>
        <w:tc>
          <w:tcPr>
            <w:tcW w:w="960" w:type="dxa"/>
            <w:tcBorders>
              <w:top w:val="single" w:sz="8" w:space="0" w:color="auto"/>
              <w:left w:val="nil"/>
              <w:bottom w:val="nil"/>
              <w:right w:val="single" w:sz="4"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Year</w:t>
            </w:r>
          </w:p>
        </w:tc>
        <w:tc>
          <w:tcPr>
            <w:tcW w:w="1218" w:type="dxa"/>
            <w:tcBorders>
              <w:top w:val="single" w:sz="8" w:space="0" w:color="auto"/>
              <w:left w:val="nil"/>
              <w:bottom w:val="nil"/>
              <w:right w:val="single" w:sz="4"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Sales (MWh)</w:t>
            </w:r>
          </w:p>
        </w:tc>
        <w:tc>
          <w:tcPr>
            <w:tcW w:w="1107" w:type="dxa"/>
            <w:tcBorders>
              <w:top w:val="single" w:sz="8" w:space="0" w:color="auto"/>
              <w:left w:val="nil"/>
              <w:bottom w:val="nil"/>
              <w:right w:val="single" w:sz="4"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Opt Outs (MWh)</w:t>
            </w:r>
          </w:p>
        </w:tc>
        <w:tc>
          <w:tcPr>
            <w:tcW w:w="1560" w:type="dxa"/>
            <w:tcBorders>
              <w:top w:val="single" w:sz="8" w:space="0" w:color="auto"/>
              <w:left w:val="nil"/>
              <w:bottom w:val="nil"/>
              <w:right w:val="single" w:sz="8"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Opt Outs as % of Total Sales</w:t>
            </w:r>
          </w:p>
        </w:tc>
      </w:tr>
      <w:tr w:rsidTr="00116D03">
        <w:tblPrEx>
          <w:tblW w:w="5907" w:type="dxa"/>
          <w:tblInd w:w="1372" w:type="dxa"/>
          <w:tblCellMar>
            <w:top w:w="0" w:type="dxa"/>
            <w:left w:w="108" w:type="dxa"/>
            <w:bottom w:w="0" w:type="dxa"/>
            <w:right w:w="108" w:type="dxa"/>
          </w:tblCellMar>
          <w:tblLook w:val="04A0"/>
        </w:tblPrEx>
        <w:trPr>
          <w:trHeight w:val="300"/>
        </w:trPr>
        <w:tc>
          <w:tcPr>
            <w:tcW w:w="1062" w:type="dxa"/>
            <w:tcBorders>
              <w:top w:val="single" w:sz="8" w:space="0" w:color="auto"/>
              <w:left w:val="single" w:sz="8" w:space="0" w:color="auto"/>
              <w:bottom w:val="nil"/>
              <w:right w:val="single" w:sz="4" w:space="0" w:color="auto"/>
            </w:tcBorders>
            <w:shd w:val="clear" w:color="auto" w:fill="auto"/>
            <w:noWrap/>
            <w:vAlign w:val="bottom"/>
            <w:hideMark/>
          </w:tcPr>
          <w:p w:rsidR="00116D03" w:rsidRPr="002858D1" w:rsidP="00116D03">
            <w:pPr>
              <w:spacing w:after="0" w:line="240" w:lineRule="auto"/>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2012</w:t>
            </w:r>
          </w:p>
        </w:tc>
        <w:tc>
          <w:tcPr>
            <w:tcW w:w="1218" w:type="dxa"/>
            <w:tcBorders>
              <w:top w:val="single" w:sz="8" w:space="0" w:color="auto"/>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24,440,821</w:t>
            </w:r>
          </w:p>
        </w:tc>
        <w:tc>
          <w:tcPr>
            <w:tcW w:w="1107" w:type="dxa"/>
            <w:tcBorders>
              <w:top w:val="single" w:sz="8" w:space="0" w:color="auto"/>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1,957,610</w:t>
            </w:r>
          </w:p>
        </w:tc>
        <w:tc>
          <w:tcPr>
            <w:tcW w:w="1560" w:type="dxa"/>
            <w:tcBorders>
              <w:top w:val="single" w:sz="8" w:space="0" w:color="auto"/>
              <w:left w:val="nil"/>
              <w:bottom w:val="single" w:sz="4" w:space="0" w:color="auto"/>
              <w:right w:val="single" w:sz="8"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8.01%</w:t>
            </w:r>
          </w:p>
        </w:tc>
      </w:tr>
      <w:tr w:rsidTr="00116D03">
        <w:tblPrEx>
          <w:tblW w:w="5907" w:type="dxa"/>
          <w:tblInd w:w="1372" w:type="dxa"/>
          <w:tblCellMar>
            <w:top w:w="0" w:type="dxa"/>
            <w:left w:w="108" w:type="dxa"/>
            <w:bottom w:w="0" w:type="dxa"/>
            <w:right w:w="108" w:type="dxa"/>
          </w:tblCellMar>
          <w:tblLook w:val="04A0"/>
        </w:tblPrEx>
        <w:trPr>
          <w:trHeight w:val="300"/>
        </w:trPr>
        <w:tc>
          <w:tcPr>
            <w:tcW w:w="1062" w:type="dxa"/>
            <w:tcBorders>
              <w:top w:val="nil"/>
              <w:left w:val="single" w:sz="8" w:space="0" w:color="auto"/>
              <w:bottom w:val="nil"/>
              <w:right w:val="single" w:sz="4"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OE</w:t>
            </w:r>
          </w:p>
        </w:tc>
        <w:tc>
          <w:tcPr>
            <w:tcW w:w="960" w:type="dxa"/>
            <w:tcBorders>
              <w:top w:val="nil"/>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2013</w:t>
            </w:r>
          </w:p>
        </w:tc>
        <w:tc>
          <w:tcPr>
            <w:tcW w:w="1218" w:type="dxa"/>
            <w:tcBorders>
              <w:top w:val="nil"/>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24,304,505</w:t>
            </w:r>
          </w:p>
        </w:tc>
        <w:tc>
          <w:tcPr>
            <w:tcW w:w="1107" w:type="dxa"/>
            <w:tcBorders>
              <w:top w:val="nil"/>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2,061,605</w:t>
            </w:r>
          </w:p>
        </w:tc>
        <w:tc>
          <w:tcPr>
            <w:tcW w:w="1560" w:type="dxa"/>
            <w:tcBorders>
              <w:top w:val="nil"/>
              <w:left w:val="nil"/>
              <w:bottom w:val="single" w:sz="4" w:space="0" w:color="auto"/>
              <w:right w:val="single" w:sz="8"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8.48%</w:t>
            </w:r>
          </w:p>
        </w:tc>
      </w:tr>
      <w:tr w:rsidTr="00116D03">
        <w:tblPrEx>
          <w:tblW w:w="5907" w:type="dxa"/>
          <w:tblInd w:w="1372" w:type="dxa"/>
          <w:tblCellMar>
            <w:top w:w="0" w:type="dxa"/>
            <w:left w:w="108" w:type="dxa"/>
            <w:bottom w:w="0" w:type="dxa"/>
            <w:right w:w="108" w:type="dxa"/>
          </w:tblCellMar>
          <w:tblLook w:val="04A0"/>
        </w:tblPrEx>
        <w:trPr>
          <w:trHeight w:val="315"/>
        </w:trPr>
        <w:tc>
          <w:tcPr>
            <w:tcW w:w="1062" w:type="dxa"/>
            <w:tcBorders>
              <w:top w:val="nil"/>
              <w:left w:val="single" w:sz="8" w:space="0" w:color="auto"/>
              <w:bottom w:val="single" w:sz="8" w:space="0" w:color="auto"/>
              <w:right w:val="single" w:sz="4"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2014</w:t>
            </w:r>
          </w:p>
        </w:tc>
        <w:tc>
          <w:tcPr>
            <w:tcW w:w="1218" w:type="dxa"/>
            <w:tcBorders>
              <w:top w:val="nil"/>
              <w:left w:val="nil"/>
              <w:bottom w:val="single" w:sz="8"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24,927,292</w:t>
            </w:r>
          </w:p>
        </w:tc>
        <w:tc>
          <w:tcPr>
            <w:tcW w:w="1107" w:type="dxa"/>
            <w:tcBorders>
              <w:top w:val="nil"/>
              <w:left w:val="nil"/>
              <w:bottom w:val="single" w:sz="8"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2,177,644</w:t>
            </w:r>
          </w:p>
        </w:tc>
        <w:tc>
          <w:tcPr>
            <w:tcW w:w="1560" w:type="dxa"/>
            <w:tcBorders>
              <w:top w:val="nil"/>
              <w:left w:val="nil"/>
              <w:bottom w:val="single" w:sz="8" w:space="0" w:color="auto"/>
              <w:right w:val="single" w:sz="8"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8.74%</w:t>
            </w:r>
          </w:p>
        </w:tc>
      </w:tr>
    </w:tbl>
    <w:p w:rsidR="00E2669A" w:rsidRPr="002858D1" w:rsidP="00DB270D">
      <w:pPr>
        <w:pStyle w:val="Footer"/>
        <w:tabs>
          <w:tab w:val="clear" w:pos="4320"/>
          <w:tab w:val="clear" w:pos="8640"/>
        </w:tabs>
        <w:ind w:firstLine="720"/>
        <w:rPr>
          <w:rFonts w:ascii="Times New Roman" w:hAnsi="Times New Roman" w:cs="Times New Roman"/>
          <w:sz w:val="20"/>
          <w:szCs w:val="20"/>
        </w:rPr>
      </w:pPr>
    </w:p>
    <w:tbl>
      <w:tblPr>
        <w:tblW w:w="5907" w:type="dxa"/>
        <w:tblInd w:w="1372" w:type="dxa"/>
        <w:tblCellMar>
          <w:top w:w="0" w:type="dxa"/>
          <w:left w:w="108" w:type="dxa"/>
          <w:bottom w:w="0" w:type="dxa"/>
          <w:right w:w="108" w:type="dxa"/>
        </w:tblCellMar>
        <w:tblLook w:val="04A0"/>
      </w:tblPr>
      <w:tblGrid>
        <w:gridCol w:w="1062"/>
        <w:gridCol w:w="960"/>
        <w:gridCol w:w="1218"/>
        <w:gridCol w:w="1107"/>
        <w:gridCol w:w="1560"/>
      </w:tblGrid>
      <w:tr w:rsidTr="00116D03">
        <w:tblPrEx>
          <w:tblW w:w="5907" w:type="dxa"/>
          <w:tblInd w:w="1372" w:type="dxa"/>
          <w:tblCellMar>
            <w:top w:w="0" w:type="dxa"/>
            <w:left w:w="108" w:type="dxa"/>
            <w:bottom w:w="0" w:type="dxa"/>
            <w:right w:w="108" w:type="dxa"/>
          </w:tblCellMar>
          <w:tblLook w:val="04A0"/>
        </w:tblPrEx>
        <w:trPr>
          <w:trHeight w:val="315"/>
        </w:trPr>
        <w:tc>
          <w:tcPr>
            <w:tcW w:w="1062" w:type="dxa"/>
            <w:tcBorders>
              <w:top w:val="single" w:sz="8" w:space="0" w:color="auto"/>
              <w:left w:val="single" w:sz="8" w:space="0" w:color="auto"/>
              <w:bottom w:val="nil"/>
              <w:right w:val="single" w:sz="4" w:space="0" w:color="auto"/>
            </w:tcBorders>
            <w:shd w:val="clear" w:color="auto" w:fill="auto"/>
            <w:noWrap/>
            <w:vAlign w:val="bottom"/>
            <w:hideMark/>
          </w:tcPr>
          <w:p w:rsidR="00116D03" w:rsidRPr="002858D1" w:rsidP="00116D03">
            <w:pPr>
              <w:spacing w:after="0" w:line="240" w:lineRule="auto"/>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Company</w:t>
            </w:r>
          </w:p>
        </w:tc>
        <w:tc>
          <w:tcPr>
            <w:tcW w:w="960" w:type="dxa"/>
            <w:tcBorders>
              <w:top w:val="single" w:sz="8" w:space="0" w:color="auto"/>
              <w:left w:val="nil"/>
              <w:bottom w:val="nil"/>
              <w:right w:val="single" w:sz="4"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Year</w:t>
            </w:r>
          </w:p>
        </w:tc>
        <w:tc>
          <w:tcPr>
            <w:tcW w:w="1218" w:type="dxa"/>
            <w:tcBorders>
              <w:top w:val="single" w:sz="8" w:space="0" w:color="auto"/>
              <w:left w:val="nil"/>
              <w:bottom w:val="nil"/>
              <w:right w:val="single" w:sz="4"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Sales (MWh)</w:t>
            </w:r>
          </w:p>
        </w:tc>
        <w:tc>
          <w:tcPr>
            <w:tcW w:w="1107" w:type="dxa"/>
            <w:tcBorders>
              <w:top w:val="single" w:sz="8" w:space="0" w:color="auto"/>
              <w:left w:val="nil"/>
              <w:bottom w:val="nil"/>
              <w:right w:val="single" w:sz="4"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Opt Outs (MWh)</w:t>
            </w:r>
          </w:p>
        </w:tc>
        <w:tc>
          <w:tcPr>
            <w:tcW w:w="1560" w:type="dxa"/>
            <w:tcBorders>
              <w:top w:val="single" w:sz="8" w:space="0" w:color="auto"/>
              <w:left w:val="nil"/>
              <w:bottom w:val="nil"/>
              <w:right w:val="single" w:sz="8"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Opt Outs as % of Total Sales</w:t>
            </w:r>
          </w:p>
        </w:tc>
      </w:tr>
      <w:tr w:rsidTr="00116D03">
        <w:tblPrEx>
          <w:tblW w:w="5907" w:type="dxa"/>
          <w:tblInd w:w="1372" w:type="dxa"/>
          <w:tblCellMar>
            <w:top w:w="0" w:type="dxa"/>
            <w:left w:w="108" w:type="dxa"/>
            <w:bottom w:w="0" w:type="dxa"/>
            <w:right w:w="108" w:type="dxa"/>
          </w:tblCellMar>
          <w:tblLook w:val="04A0"/>
        </w:tblPrEx>
        <w:trPr>
          <w:trHeight w:val="300"/>
        </w:trPr>
        <w:tc>
          <w:tcPr>
            <w:tcW w:w="1062" w:type="dxa"/>
            <w:tcBorders>
              <w:top w:val="single" w:sz="8" w:space="0" w:color="auto"/>
              <w:left w:val="single" w:sz="8" w:space="0" w:color="auto"/>
              <w:bottom w:val="nil"/>
              <w:right w:val="single" w:sz="4"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2012</w:t>
            </w:r>
          </w:p>
        </w:tc>
        <w:tc>
          <w:tcPr>
            <w:tcW w:w="1218" w:type="dxa"/>
            <w:tcBorders>
              <w:top w:val="single" w:sz="8" w:space="0" w:color="auto"/>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18,804,605</w:t>
            </w:r>
          </w:p>
        </w:tc>
        <w:tc>
          <w:tcPr>
            <w:tcW w:w="1107" w:type="dxa"/>
            <w:tcBorders>
              <w:top w:val="single" w:sz="8" w:space="0" w:color="auto"/>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1,368,544</w:t>
            </w:r>
          </w:p>
        </w:tc>
        <w:tc>
          <w:tcPr>
            <w:tcW w:w="1560" w:type="dxa"/>
            <w:tcBorders>
              <w:top w:val="single" w:sz="8" w:space="0" w:color="auto"/>
              <w:left w:val="nil"/>
              <w:bottom w:val="single" w:sz="4" w:space="0" w:color="auto"/>
              <w:right w:val="single" w:sz="8"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7.28%</w:t>
            </w:r>
          </w:p>
        </w:tc>
      </w:tr>
      <w:tr w:rsidTr="00116D03">
        <w:tblPrEx>
          <w:tblW w:w="5907" w:type="dxa"/>
          <w:tblInd w:w="1372" w:type="dxa"/>
          <w:tblCellMar>
            <w:top w:w="0" w:type="dxa"/>
            <w:left w:w="108" w:type="dxa"/>
            <w:bottom w:w="0" w:type="dxa"/>
            <w:right w:w="108" w:type="dxa"/>
          </w:tblCellMar>
          <w:tblLook w:val="04A0"/>
        </w:tblPrEx>
        <w:trPr>
          <w:trHeight w:val="300"/>
        </w:trPr>
        <w:tc>
          <w:tcPr>
            <w:tcW w:w="1062" w:type="dxa"/>
            <w:tcBorders>
              <w:top w:val="nil"/>
              <w:left w:val="single" w:sz="8" w:space="0" w:color="auto"/>
              <w:bottom w:val="nil"/>
              <w:right w:val="single" w:sz="4"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CEI</w:t>
            </w:r>
          </w:p>
        </w:tc>
        <w:tc>
          <w:tcPr>
            <w:tcW w:w="960" w:type="dxa"/>
            <w:tcBorders>
              <w:top w:val="nil"/>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2013</w:t>
            </w:r>
          </w:p>
        </w:tc>
        <w:tc>
          <w:tcPr>
            <w:tcW w:w="1218" w:type="dxa"/>
            <w:tcBorders>
              <w:top w:val="nil"/>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18,712,244</w:t>
            </w:r>
          </w:p>
        </w:tc>
        <w:tc>
          <w:tcPr>
            <w:tcW w:w="1107" w:type="dxa"/>
            <w:tcBorders>
              <w:top w:val="nil"/>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1,386,893</w:t>
            </w:r>
          </w:p>
        </w:tc>
        <w:tc>
          <w:tcPr>
            <w:tcW w:w="1560" w:type="dxa"/>
            <w:tcBorders>
              <w:top w:val="nil"/>
              <w:left w:val="nil"/>
              <w:bottom w:val="single" w:sz="4" w:space="0" w:color="auto"/>
              <w:right w:val="single" w:sz="8"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7.41%</w:t>
            </w:r>
          </w:p>
        </w:tc>
      </w:tr>
      <w:tr w:rsidTr="00116D03">
        <w:tblPrEx>
          <w:tblW w:w="5907" w:type="dxa"/>
          <w:tblInd w:w="1372" w:type="dxa"/>
          <w:tblCellMar>
            <w:top w:w="0" w:type="dxa"/>
            <w:left w:w="108" w:type="dxa"/>
            <w:bottom w:w="0" w:type="dxa"/>
            <w:right w:w="108" w:type="dxa"/>
          </w:tblCellMar>
          <w:tblLook w:val="04A0"/>
        </w:tblPrEx>
        <w:trPr>
          <w:trHeight w:val="315"/>
        </w:trPr>
        <w:tc>
          <w:tcPr>
            <w:tcW w:w="1062" w:type="dxa"/>
            <w:tcBorders>
              <w:top w:val="nil"/>
              <w:left w:val="single" w:sz="8" w:space="0" w:color="auto"/>
              <w:bottom w:val="single" w:sz="8" w:space="0" w:color="auto"/>
              <w:right w:val="single" w:sz="4"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2014</w:t>
            </w:r>
          </w:p>
        </w:tc>
        <w:tc>
          <w:tcPr>
            <w:tcW w:w="1218" w:type="dxa"/>
            <w:tcBorders>
              <w:top w:val="nil"/>
              <w:left w:val="nil"/>
              <w:bottom w:val="single" w:sz="8"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18,733,302</w:t>
            </w:r>
          </w:p>
        </w:tc>
        <w:tc>
          <w:tcPr>
            <w:tcW w:w="1107" w:type="dxa"/>
            <w:tcBorders>
              <w:top w:val="nil"/>
              <w:left w:val="nil"/>
              <w:bottom w:val="single" w:sz="8"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1,481,169</w:t>
            </w:r>
          </w:p>
        </w:tc>
        <w:tc>
          <w:tcPr>
            <w:tcW w:w="1560" w:type="dxa"/>
            <w:tcBorders>
              <w:top w:val="nil"/>
              <w:left w:val="nil"/>
              <w:bottom w:val="single" w:sz="8" w:space="0" w:color="auto"/>
              <w:right w:val="single" w:sz="8"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7.91%</w:t>
            </w:r>
          </w:p>
        </w:tc>
      </w:tr>
    </w:tbl>
    <w:p w:rsidR="00116D03" w:rsidRPr="002858D1" w:rsidP="00DB270D">
      <w:pPr>
        <w:pStyle w:val="Footer"/>
        <w:tabs>
          <w:tab w:val="clear" w:pos="4320"/>
          <w:tab w:val="clear" w:pos="8640"/>
        </w:tabs>
        <w:ind w:firstLine="720"/>
        <w:rPr>
          <w:rFonts w:ascii="Times New Roman" w:hAnsi="Times New Roman" w:cs="Times New Roman"/>
          <w:sz w:val="20"/>
          <w:szCs w:val="20"/>
        </w:rPr>
      </w:pPr>
    </w:p>
    <w:tbl>
      <w:tblPr>
        <w:tblW w:w="5907" w:type="dxa"/>
        <w:tblInd w:w="1372" w:type="dxa"/>
        <w:tblCellMar>
          <w:top w:w="0" w:type="dxa"/>
          <w:left w:w="108" w:type="dxa"/>
          <w:bottom w:w="0" w:type="dxa"/>
          <w:right w:w="108" w:type="dxa"/>
        </w:tblCellMar>
        <w:tblLook w:val="04A0"/>
      </w:tblPr>
      <w:tblGrid>
        <w:gridCol w:w="1062"/>
        <w:gridCol w:w="960"/>
        <w:gridCol w:w="1218"/>
        <w:gridCol w:w="1107"/>
        <w:gridCol w:w="1560"/>
      </w:tblGrid>
      <w:tr w:rsidTr="00116D03">
        <w:tblPrEx>
          <w:tblW w:w="5907" w:type="dxa"/>
          <w:tblInd w:w="1372" w:type="dxa"/>
          <w:tblCellMar>
            <w:top w:w="0" w:type="dxa"/>
            <w:left w:w="108" w:type="dxa"/>
            <w:bottom w:w="0" w:type="dxa"/>
            <w:right w:w="108" w:type="dxa"/>
          </w:tblCellMar>
          <w:tblLook w:val="04A0"/>
        </w:tblPrEx>
        <w:trPr>
          <w:trHeight w:val="315"/>
        </w:trPr>
        <w:tc>
          <w:tcPr>
            <w:tcW w:w="1062" w:type="dxa"/>
            <w:tcBorders>
              <w:top w:val="single" w:sz="8" w:space="0" w:color="auto"/>
              <w:left w:val="single" w:sz="8" w:space="0" w:color="auto"/>
              <w:bottom w:val="nil"/>
              <w:right w:val="single" w:sz="4" w:space="0" w:color="auto"/>
            </w:tcBorders>
            <w:shd w:val="clear" w:color="auto" w:fill="auto"/>
            <w:noWrap/>
            <w:vAlign w:val="bottom"/>
            <w:hideMark/>
          </w:tcPr>
          <w:p w:rsidR="00116D03" w:rsidRPr="002858D1" w:rsidP="00116D03">
            <w:pPr>
              <w:spacing w:after="0" w:line="240" w:lineRule="auto"/>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Company</w:t>
            </w:r>
          </w:p>
        </w:tc>
        <w:tc>
          <w:tcPr>
            <w:tcW w:w="960" w:type="dxa"/>
            <w:tcBorders>
              <w:top w:val="single" w:sz="8" w:space="0" w:color="auto"/>
              <w:left w:val="nil"/>
              <w:bottom w:val="nil"/>
              <w:right w:val="single" w:sz="4"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Year</w:t>
            </w:r>
          </w:p>
        </w:tc>
        <w:tc>
          <w:tcPr>
            <w:tcW w:w="1218" w:type="dxa"/>
            <w:tcBorders>
              <w:top w:val="single" w:sz="8" w:space="0" w:color="auto"/>
              <w:left w:val="nil"/>
              <w:bottom w:val="nil"/>
              <w:right w:val="single" w:sz="4"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Sales (MWh)</w:t>
            </w:r>
          </w:p>
        </w:tc>
        <w:tc>
          <w:tcPr>
            <w:tcW w:w="1107" w:type="dxa"/>
            <w:tcBorders>
              <w:top w:val="single" w:sz="8" w:space="0" w:color="auto"/>
              <w:left w:val="nil"/>
              <w:bottom w:val="nil"/>
              <w:right w:val="single" w:sz="4"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Opt Outs (MWh)</w:t>
            </w:r>
          </w:p>
        </w:tc>
        <w:tc>
          <w:tcPr>
            <w:tcW w:w="1560" w:type="dxa"/>
            <w:tcBorders>
              <w:top w:val="single" w:sz="8" w:space="0" w:color="auto"/>
              <w:left w:val="nil"/>
              <w:bottom w:val="nil"/>
              <w:right w:val="single" w:sz="8"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Opt Outs as % of Total Sales</w:t>
            </w:r>
          </w:p>
        </w:tc>
      </w:tr>
      <w:tr w:rsidTr="00116D03">
        <w:tblPrEx>
          <w:tblW w:w="5907" w:type="dxa"/>
          <w:tblInd w:w="1372" w:type="dxa"/>
          <w:tblCellMar>
            <w:top w:w="0" w:type="dxa"/>
            <w:left w:w="108" w:type="dxa"/>
            <w:bottom w:w="0" w:type="dxa"/>
            <w:right w:w="108" w:type="dxa"/>
          </w:tblCellMar>
          <w:tblLook w:val="04A0"/>
        </w:tblPrEx>
        <w:trPr>
          <w:trHeight w:val="300"/>
        </w:trPr>
        <w:tc>
          <w:tcPr>
            <w:tcW w:w="1062" w:type="dxa"/>
            <w:tcBorders>
              <w:top w:val="single" w:sz="8" w:space="0" w:color="auto"/>
              <w:left w:val="single" w:sz="8" w:space="0" w:color="auto"/>
              <w:bottom w:val="nil"/>
              <w:right w:val="single" w:sz="4"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2012</w:t>
            </w:r>
          </w:p>
        </w:tc>
        <w:tc>
          <w:tcPr>
            <w:tcW w:w="1218" w:type="dxa"/>
            <w:tcBorders>
              <w:top w:val="single" w:sz="8" w:space="0" w:color="auto"/>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10,381,477</w:t>
            </w:r>
          </w:p>
        </w:tc>
        <w:tc>
          <w:tcPr>
            <w:tcW w:w="1107" w:type="dxa"/>
            <w:tcBorders>
              <w:top w:val="single" w:sz="8" w:space="0" w:color="auto"/>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2,931,611</w:t>
            </w:r>
          </w:p>
        </w:tc>
        <w:tc>
          <w:tcPr>
            <w:tcW w:w="1560" w:type="dxa"/>
            <w:tcBorders>
              <w:top w:val="single" w:sz="8" w:space="0" w:color="auto"/>
              <w:left w:val="nil"/>
              <w:bottom w:val="single" w:sz="4" w:space="0" w:color="auto"/>
              <w:right w:val="single" w:sz="8"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28.24%</w:t>
            </w:r>
          </w:p>
        </w:tc>
      </w:tr>
      <w:tr w:rsidTr="00116D03">
        <w:tblPrEx>
          <w:tblW w:w="5907" w:type="dxa"/>
          <w:tblInd w:w="1372" w:type="dxa"/>
          <w:tblCellMar>
            <w:top w:w="0" w:type="dxa"/>
            <w:left w:w="108" w:type="dxa"/>
            <w:bottom w:w="0" w:type="dxa"/>
            <w:right w:w="108" w:type="dxa"/>
          </w:tblCellMar>
          <w:tblLook w:val="04A0"/>
        </w:tblPrEx>
        <w:trPr>
          <w:trHeight w:val="300"/>
        </w:trPr>
        <w:tc>
          <w:tcPr>
            <w:tcW w:w="1062" w:type="dxa"/>
            <w:tcBorders>
              <w:top w:val="nil"/>
              <w:left w:val="single" w:sz="8" w:space="0" w:color="auto"/>
              <w:bottom w:val="nil"/>
              <w:right w:val="single" w:sz="4" w:space="0" w:color="auto"/>
            </w:tcBorders>
            <w:shd w:val="clear" w:color="auto" w:fill="auto"/>
            <w:noWrap/>
            <w:vAlign w:val="bottom"/>
            <w:hideMark/>
          </w:tcPr>
          <w:p w:rsidR="00116D03" w:rsidRPr="002858D1" w:rsidP="00116D03">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TE</w:t>
            </w:r>
          </w:p>
        </w:tc>
        <w:tc>
          <w:tcPr>
            <w:tcW w:w="960" w:type="dxa"/>
            <w:tcBorders>
              <w:top w:val="nil"/>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2013</w:t>
            </w:r>
          </w:p>
        </w:tc>
        <w:tc>
          <w:tcPr>
            <w:tcW w:w="1218" w:type="dxa"/>
            <w:tcBorders>
              <w:top w:val="nil"/>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10,528,690</w:t>
            </w:r>
          </w:p>
        </w:tc>
        <w:tc>
          <w:tcPr>
            <w:tcW w:w="1107" w:type="dxa"/>
            <w:tcBorders>
              <w:top w:val="nil"/>
              <w:left w:val="nil"/>
              <w:bottom w:val="single" w:sz="4"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3,103,750</w:t>
            </w:r>
          </w:p>
        </w:tc>
        <w:tc>
          <w:tcPr>
            <w:tcW w:w="1560" w:type="dxa"/>
            <w:tcBorders>
              <w:top w:val="nil"/>
              <w:left w:val="nil"/>
              <w:bottom w:val="single" w:sz="4" w:space="0" w:color="auto"/>
              <w:right w:val="single" w:sz="8"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29.48%</w:t>
            </w:r>
          </w:p>
        </w:tc>
      </w:tr>
      <w:tr w:rsidTr="00116D03">
        <w:tblPrEx>
          <w:tblW w:w="5907" w:type="dxa"/>
          <w:tblInd w:w="1372" w:type="dxa"/>
          <w:tblCellMar>
            <w:top w:w="0" w:type="dxa"/>
            <w:left w:w="108" w:type="dxa"/>
            <w:bottom w:w="0" w:type="dxa"/>
            <w:right w:w="108" w:type="dxa"/>
          </w:tblCellMar>
          <w:tblLook w:val="04A0"/>
        </w:tblPrEx>
        <w:trPr>
          <w:trHeight w:val="315"/>
        </w:trPr>
        <w:tc>
          <w:tcPr>
            <w:tcW w:w="1062" w:type="dxa"/>
            <w:tcBorders>
              <w:top w:val="nil"/>
              <w:left w:val="single" w:sz="8" w:space="0" w:color="auto"/>
              <w:bottom w:val="single" w:sz="8" w:space="0" w:color="auto"/>
              <w:right w:val="single" w:sz="4" w:space="0" w:color="auto"/>
            </w:tcBorders>
            <w:shd w:val="clear" w:color="auto" w:fill="auto"/>
            <w:noWrap/>
            <w:vAlign w:val="bottom"/>
            <w:hideMark/>
          </w:tcPr>
          <w:p w:rsidR="00116D03" w:rsidRPr="002858D1" w:rsidP="00116D03">
            <w:pPr>
              <w:spacing w:after="0" w:line="240" w:lineRule="auto"/>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2014</w:t>
            </w:r>
          </w:p>
        </w:tc>
        <w:tc>
          <w:tcPr>
            <w:tcW w:w="1218" w:type="dxa"/>
            <w:tcBorders>
              <w:top w:val="nil"/>
              <w:left w:val="nil"/>
              <w:bottom w:val="single" w:sz="8"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10,543,885</w:t>
            </w:r>
          </w:p>
        </w:tc>
        <w:tc>
          <w:tcPr>
            <w:tcW w:w="1107" w:type="dxa"/>
            <w:tcBorders>
              <w:top w:val="nil"/>
              <w:left w:val="nil"/>
              <w:bottom w:val="single" w:sz="8" w:space="0" w:color="auto"/>
              <w:right w:val="single" w:sz="4"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3,159,742</w:t>
            </w:r>
          </w:p>
        </w:tc>
        <w:tc>
          <w:tcPr>
            <w:tcW w:w="1560" w:type="dxa"/>
            <w:tcBorders>
              <w:top w:val="nil"/>
              <w:left w:val="nil"/>
              <w:bottom w:val="single" w:sz="8" w:space="0" w:color="auto"/>
              <w:right w:val="single" w:sz="8" w:space="0" w:color="auto"/>
            </w:tcBorders>
            <w:shd w:val="clear" w:color="auto" w:fill="auto"/>
            <w:noWrap/>
            <w:vAlign w:val="bottom"/>
            <w:hideMark/>
          </w:tcPr>
          <w:p w:rsidR="00116D03" w:rsidRPr="002858D1" w:rsidP="00116D03">
            <w:pPr>
              <w:spacing w:after="0" w:line="240" w:lineRule="auto"/>
              <w:jc w:val="right"/>
              <w:rPr>
                <w:rStyle w:val="DefaultParagraphFont"/>
                <w:rFonts w:ascii="Times New Roman" w:eastAsia="Times New Roman" w:hAnsi="Times New Roman" w:cs="Times New Roman"/>
                <w:color w:val="000000"/>
                <w:sz w:val="20"/>
                <w:szCs w:val="20"/>
                <w:lang w:val="en-US" w:eastAsia="en-US" w:bidi="ar-SA"/>
              </w:rPr>
            </w:pPr>
            <w:r w:rsidRPr="002858D1">
              <w:rPr>
                <w:rFonts w:ascii="Times New Roman" w:eastAsia="Times New Roman" w:hAnsi="Times New Roman" w:cs="Times New Roman"/>
                <w:color w:val="000000"/>
                <w:sz w:val="20"/>
                <w:szCs w:val="20"/>
                <w:lang w:val="en-US" w:eastAsia="en-US" w:bidi="ar-SA"/>
              </w:rPr>
              <w:t>29.97%</w:t>
            </w:r>
          </w:p>
        </w:tc>
      </w:tr>
    </w:tbl>
    <w:p w:rsidR="00E2669A"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Nonresidential opt outs have the potential to materially impact the Companies</w:t>
      </w:r>
      <w:r w:rsidR="0082545D">
        <w:rPr>
          <w:rFonts w:ascii="Times New Roman" w:hAnsi="Times New Roman" w:cs="Times New Roman"/>
        </w:rPr>
        <w:t>'</w:t>
      </w:r>
      <w:r>
        <w:rPr>
          <w:rFonts w:ascii="Times New Roman" w:hAnsi="Times New Roman" w:cs="Times New Roman"/>
        </w:rPr>
        <w:t xml:space="preserve"> baselines and benchmarks, especially in the Toledo Edison territory. But in the Settlement, FirstEnergy </w:t>
      </w:r>
      <w:r w:rsidR="00DA0515">
        <w:rPr>
          <w:rFonts w:ascii="Times New Roman" w:hAnsi="Times New Roman" w:cs="Times New Roman"/>
        </w:rPr>
        <w:t>did not</w:t>
      </w:r>
      <w:r>
        <w:rPr>
          <w:rFonts w:ascii="Times New Roman" w:hAnsi="Times New Roman" w:cs="Times New Roman"/>
        </w:rPr>
        <w:t xml:space="preserve"> account for nonresidential opt outs.</w:t>
      </w:r>
      <w:r>
        <w:rPr>
          <w:rStyle w:val="FootnoteReference"/>
          <w:rFonts w:ascii="Times New Roman" w:hAnsi="Times New Roman" w:cs="Times New Roman"/>
        </w:rPr>
        <w:footnoteReference w:id="58"/>
      </w:r>
      <w:r w:rsidR="00DA0515">
        <w:rPr>
          <w:rFonts w:ascii="Times New Roman" w:hAnsi="Times New Roman" w:cs="Times New Roman"/>
        </w:rPr>
        <w:t xml:space="preserve"> In fact, FirstEnergy did not even </w:t>
      </w:r>
      <w:r w:rsidR="00DB270D">
        <w:rPr>
          <w:rFonts w:ascii="Times New Roman" w:hAnsi="Times New Roman" w:cs="Times New Roman"/>
        </w:rPr>
        <w:t>try</w:t>
      </w:r>
      <w:r w:rsidR="00DA0515">
        <w:rPr>
          <w:rFonts w:ascii="Times New Roman" w:hAnsi="Times New Roman" w:cs="Times New Roman"/>
        </w:rPr>
        <w:t xml:space="preserve"> to account for nonresidential customer opt outs.</w:t>
      </w:r>
      <w:r>
        <w:rPr>
          <w:rStyle w:val="FootnoteReference"/>
          <w:rFonts w:ascii="Times New Roman" w:hAnsi="Times New Roman" w:cs="Times New Roman"/>
        </w:rPr>
        <w:footnoteReference w:id="59"/>
      </w:r>
      <w:r w:rsidR="00DA0515">
        <w:rPr>
          <w:rFonts w:ascii="Times New Roman" w:hAnsi="Times New Roman" w:cs="Times New Roman"/>
        </w:rPr>
        <w:t xml:space="preserve"> Instead, FirstEnergy calculated its baselines for 2017, 2018, and 2019 with an assumption that there would be zero opt-outs.</w:t>
      </w:r>
    </w:p>
    <w:p w:rsidR="003A7D7C"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This </w:t>
      </w:r>
      <w:r w:rsidR="008D33A9">
        <w:rPr>
          <w:rFonts w:ascii="Times New Roman" w:hAnsi="Times New Roman" w:cs="Times New Roman"/>
        </w:rPr>
        <w:t xml:space="preserve">assumption is unreasonable. As </w:t>
      </w:r>
      <w:r>
        <w:rPr>
          <w:rFonts w:ascii="Times New Roman" w:hAnsi="Times New Roman" w:cs="Times New Roman"/>
        </w:rPr>
        <w:t>discussed above, the baseline for a particular year is the average of the previous three years</w:t>
      </w:r>
      <w:r w:rsidR="0082545D">
        <w:rPr>
          <w:rFonts w:ascii="Times New Roman" w:hAnsi="Times New Roman" w:cs="Times New Roman"/>
        </w:rPr>
        <w:t>'</w:t>
      </w:r>
      <w:r>
        <w:rPr>
          <w:rFonts w:ascii="Times New Roman" w:hAnsi="Times New Roman" w:cs="Times New Roman"/>
        </w:rPr>
        <w:t xml:space="preserve"> sales, subject to certain adjustments. So for 2017, the baseline would be the average sales, adjusted for opt-outs and other permissible adjustments, from 2014, 2015, and 2016. FirstEnergy has </w:t>
      </w:r>
      <w:r w:rsidRPr="00927205">
        <w:rPr>
          <w:rFonts w:ascii="Times New Roman" w:hAnsi="Times New Roman" w:cs="Times New Roman"/>
          <w:u w:val="single"/>
        </w:rPr>
        <w:t>actual</w:t>
      </w:r>
      <w:r>
        <w:rPr>
          <w:rFonts w:ascii="Times New Roman" w:hAnsi="Times New Roman" w:cs="Times New Roman"/>
        </w:rPr>
        <w:t xml:space="preserve"> opt-out data from at least 2014 and 2015. The 2014 data is found in FirstEnergy</w:t>
      </w:r>
      <w:r w:rsidR="0082545D">
        <w:rPr>
          <w:rFonts w:ascii="Times New Roman" w:hAnsi="Times New Roman" w:cs="Times New Roman"/>
        </w:rPr>
        <w:t>'</w:t>
      </w:r>
      <w:r>
        <w:rPr>
          <w:rFonts w:ascii="Times New Roman" w:hAnsi="Times New Roman" w:cs="Times New Roman"/>
        </w:rPr>
        <w:t>s 2015 Annual Report.</w:t>
      </w:r>
      <w:r>
        <w:rPr>
          <w:rStyle w:val="FootnoteReference"/>
          <w:rFonts w:ascii="Times New Roman" w:hAnsi="Times New Roman" w:cs="Times New Roman"/>
        </w:rPr>
        <w:footnoteReference w:id="60"/>
      </w:r>
      <w:r>
        <w:rPr>
          <w:rFonts w:ascii="Times New Roman" w:hAnsi="Times New Roman" w:cs="Times New Roman"/>
        </w:rPr>
        <w:t xml:space="preserve"> </w:t>
      </w:r>
      <w:r>
        <w:rPr>
          <w:rFonts w:ascii="Times New Roman" w:hAnsi="Times New Roman" w:cs="Times New Roman"/>
        </w:rPr>
        <w:t xml:space="preserve">And although </w:t>
      </w:r>
      <w:r w:rsidR="008D33A9">
        <w:rPr>
          <w:rFonts w:ascii="Times New Roman" w:hAnsi="Times New Roman" w:cs="Times New Roman"/>
        </w:rPr>
        <w:t xml:space="preserve">it may </w:t>
      </w:r>
      <w:r>
        <w:rPr>
          <w:rFonts w:ascii="Times New Roman" w:hAnsi="Times New Roman" w:cs="Times New Roman"/>
        </w:rPr>
        <w:t xml:space="preserve">not </w:t>
      </w:r>
      <w:r w:rsidR="008D33A9">
        <w:rPr>
          <w:rFonts w:ascii="Times New Roman" w:hAnsi="Times New Roman" w:cs="Times New Roman"/>
        </w:rPr>
        <w:t xml:space="preserve">be </w:t>
      </w:r>
      <w:r>
        <w:rPr>
          <w:rFonts w:ascii="Times New Roman" w:hAnsi="Times New Roman" w:cs="Times New Roman"/>
        </w:rPr>
        <w:t xml:space="preserve">publicly available, </w:t>
      </w:r>
      <w:r>
        <w:rPr>
          <w:rFonts w:ascii="Times New Roman" w:hAnsi="Times New Roman" w:cs="Times New Roman"/>
        </w:rPr>
        <w:t>FirstEnergy has actual opt-out data from 2015 as well.</w:t>
      </w:r>
      <w:r>
        <w:rPr>
          <w:rStyle w:val="FootnoteReference"/>
          <w:rFonts w:ascii="Times New Roman" w:hAnsi="Times New Roman" w:cs="Times New Roman"/>
        </w:rPr>
        <w:footnoteReference w:id="61"/>
      </w:r>
      <w:r>
        <w:rPr>
          <w:rFonts w:ascii="Times New Roman" w:hAnsi="Times New Roman" w:cs="Times New Roman"/>
        </w:rPr>
        <w:t xml:space="preserve"> FirstEnergy</w:t>
      </w:r>
      <w:r w:rsidR="0082545D">
        <w:rPr>
          <w:rFonts w:ascii="Times New Roman" w:hAnsi="Times New Roman" w:cs="Times New Roman"/>
        </w:rPr>
        <w:t>'</w:t>
      </w:r>
      <w:r>
        <w:rPr>
          <w:rFonts w:ascii="Times New Roman" w:hAnsi="Times New Roman" w:cs="Times New Roman"/>
        </w:rPr>
        <w:t xml:space="preserve">s baselines for 2017, therefore, could have incorporated </w:t>
      </w:r>
      <w:r w:rsidRPr="008D33A9">
        <w:rPr>
          <w:rFonts w:ascii="Times New Roman" w:hAnsi="Times New Roman" w:cs="Times New Roman"/>
        </w:rPr>
        <w:t>actual</w:t>
      </w:r>
      <w:r>
        <w:rPr>
          <w:rFonts w:ascii="Times New Roman" w:hAnsi="Times New Roman" w:cs="Times New Roman"/>
        </w:rPr>
        <w:t xml:space="preserve"> opt-out data from at least 2014 and 2015. </w:t>
      </w:r>
      <w:r>
        <w:rPr>
          <w:rFonts w:ascii="Times New Roman" w:hAnsi="Times New Roman" w:cs="Times New Roman"/>
        </w:rPr>
        <w:t>FirstEnergy</w:t>
      </w:r>
      <w:r w:rsidR="0082545D">
        <w:rPr>
          <w:rFonts w:ascii="Times New Roman" w:hAnsi="Times New Roman" w:cs="Times New Roman"/>
        </w:rPr>
        <w:t>'</w:t>
      </w:r>
      <w:r>
        <w:rPr>
          <w:rFonts w:ascii="Times New Roman" w:hAnsi="Times New Roman" w:cs="Times New Roman"/>
        </w:rPr>
        <w:t>s 2018 baseline (which is the average of adjusted sales from 2015, 2016, and 2017) could similarly have incorporated actual opt-out data from at least 2015.</w:t>
      </w:r>
    </w:p>
    <w:p w:rsidR="00DA0515"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But</w:t>
      </w:r>
      <w:r>
        <w:rPr>
          <w:rFonts w:ascii="Times New Roman" w:hAnsi="Times New Roman" w:cs="Times New Roman"/>
        </w:rPr>
        <w:t xml:space="preserve"> FirstEnergy </w:t>
      </w:r>
      <w:r w:rsidR="003A7D7C">
        <w:rPr>
          <w:rFonts w:ascii="Times New Roman" w:hAnsi="Times New Roman" w:cs="Times New Roman"/>
        </w:rPr>
        <w:t xml:space="preserve">calculated the 2017 and 2018 </w:t>
      </w:r>
      <w:r>
        <w:rPr>
          <w:rFonts w:ascii="Times New Roman" w:hAnsi="Times New Roman" w:cs="Times New Roman"/>
        </w:rPr>
        <w:t>baseline</w:t>
      </w:r>
      <w:r w:rsidR="003A7D7C">
        <w:rPr>
          <w:rFonts w:ascii="Times New Roman" w:hAnsi="Times New Roman" w:cs="Times New Roman"/>
        </w:rPr>
        <w:t>s</w:t>
      </w:r>
      <w:r>
        <w:rPr>
          <w:rFonts w:ascii="Times New Roman" w:hAnsi="Times New Roman" w:cs="Times New Roman"/>
        </w:rPr>
        <w:t xml:space="preserve"> assuming zero opt outs for 2014, 2015, 2016</w:t>
      </w:r>
      <w:r w:rsidR="00927205">
        <w:rPr>
          <w:rFonts w:ascii="Times New Roman" w:hAnsi="Times New Roman" w:cs="Times New Roman"/>
        </w:rPr>
        <w:t>, and 2017</w:t>
      </w:r>
      <w:r>
        <w:rPr>
          <w:rFonts w:ascii="Times New Roman" w:hAnsi="Times New Roman" w:cs="Times New Roman"/>
        </w:rPr>
        <w:t>. This assumption inflated the baseline, and accordingly, the 1.0% statutory benchmark. If nonresidential customer opt-outs were taken into account in calculating the baselines for 2017</w:t>
      </w:r>
      <w:r w:rsidR="003A7D7C">
        <w:rPr>
          <w:rFonts w:ascii="Times New Roman" w:hAnsi="Times New Roman" w:cs="Times New Roman"/>
        </w:rPr>
        <w:t xml:space="preserve"> and 2018, the baselines and benchmarks would be lower. </w:t>
      </w:r>
      <w:r w:rsidR="008D33A9">
        <w:rPr>
          <w:rFonts w:ascii="Times New Roman" w:hAnsi="Times New Roman" w:cs="Times New Roman"/>
        </w:rPr>
        <w:t xml:space="preserve">In the case of Toledo Edison in particular, where nonresidential opt-outs accounted for nearly 30% of all energy </w:t>
      </w:r>
      <w:r>
        <w:rPr>
          <w:rFonts w:ascii="Times New Roman" w:hAnsi="Times New Roman" w:cs="Times New Roman"/>
        </w:rPr>
        <w:t>usage</w:t>
      </w:r>
      <w:r w:rsidR="008D33A9">
        <w:rPr>
          <w:rFonts w:ascii="Times New Roman" w:hAnsi="Times New Roman" w:cs="Times New Roman"/>
        </w:rPr>
        <w:t xml:space="preserve">, the baselines </w:t>
      </w:r>
      <w:r w:rsidR="00C82611">
        <w:rPr>
          <w:rFonts w:ascii="Times New Roman" w:hAnsi="Times New Roman" w:cs="Times New Roman"/>
        </w:rPr>
        <w:t xml:space="preserve">and benchmarks </w:t>
      </w:r>
      <w:r w:rsidR="008D33A9">
        <w:rPr>
          <w:rFonts w:ascii="Times New Roman" w:hAnsi="Times New Roman" w:cs="Times New Roman"/>
        </w:rPr>
        <w:t>would be significantly lower.</w:t>
      </w:r>
    </w:p>
    <w:p w:rsidR="008D33A9"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FirstEnergy also erred by failing to </w:t>
      </w:r>
      <w:r w:rsidR="00B632C0">
        <w:rPr>
          <w:rFonts w:ascii="Times New Roman" w:hAnsi="Times New Roman" w:cs="Times New Roman"/>
        </w:rPr>
        <w:t>forecast</w:t>
      </w:r>
      <w:r>
        <w:rPr>
          <w:rFonts w:ascii="Times New Roman" w:hAnsi="Times New Roman" w:cs="Times New Roman"/>
        </w:rPr>
        <w:t xml:space="preserve"> opt-out data for 2016, 2017, and 2018, which could have been used to calculate more accurate baselines and benchmarks for 2017, 2018, and 2019.</w:t>
      </w:r>
      <w:r>
        <w:rPr>
          <w:rStyle w:val="FootnoteReference"/>
          <w:rFonts w:ascii="Times New Roman" w:hAnsi="Times New Roman" w:cs="Times New Roman"/>
        </w:rPr>
        <w:footnoteReference w:id="62"/>
      </w:r>
      <w:r>
        <w:rPr>
          <w:rFonts w:ascii="Times New Roman" w:hAnsi="Times New Roman" w:cs="Times New Roman"/>
        </w:rPr>
        <w:t xml:space="preserve"> Nothing prevented FirstEnergy from using historical opt-out data to estimate future customer opt outs.</w:t>
      </w:r>
      <w:r>
        <w:rPr>
          <w:rStyle w:val="FootnoteReference"/>
          <w:rFonts w:ascii="Times New Roman" w:hAnsi="Times New Roman" w:cs="Times New Roman"/>
        </w:rPr>
        <w:footnoteReference w:id="63"/>
      </w:r>
      <w:r w:rsidR="00927205">
        <w:rPr>
          <w:rFonts w:ascii="Times New Roman" w:hAnsi="Times New Roman" w:cs="Times New Roman"/>
        </w:rPr>
        <w:t xml:space="preserve"> If anything, FirstEnergy</w:t>
      </w:r>
      <w:r w:rsidR="0082545D">
        <w:rPr>
          <w:rFonts w:ascii="Times New Roman" w:hAnsi="Times New Roman" w:cs="Times New Roman"/>
        </w:rPr>
        <w:t>'</w:t>
      </w:r>
      <w:r w:rsidR="00927205">
        <w:rPr>
          <w:rFonts w:ascii="Times New Roman" w:hAnsi="Times New Roman" w:cs="Times New Roman"/>
        </w:rPr>
        <w:t>s historical opt-out data might underestimate the number of nonresidential opt-outs in 2017, 2018, and 2019, given that the new opt-out option under R.C. 4928.6611 only took effect on January 1, 2017.</w:t>
      </w:r>
      <w:r>
        <w:rPr>
          <w:rStyle w:val="FootnoteReference"/>
          <w:rFonts w:ascii="Times New Roman" w:hAnsi="Times New Roman" w:cs="Times New Roman"/>
        </w:rPr>
        <w:footnoteReference w:id="64"/>
      </w:r>
    </w:p>
    <w:p w:rsidR="008D33A9" w:rsidRPr="00DA0515"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Because</w:t>
      </w:r>
      <w:r>
        <w:rPr>
          <w:rFonts w:ascii="Times New Roman" w:hAnsi="Times New Roman" w:cs="Times New Roman"/>
        </w:rPr>
        <w:t xml:space="preserve"> FirstEnergy</w:t>
      </w:r>
      <w:r w:rsidR="0082545D">
        <w:rPr>
          <w:rFonts w:ascii="Times New Roman" w:hAnsi="Times New Roman" w:cs="Times New Roman"/>
        </w:rPr>
        <w:t>'</w:t>
      </w:r>
      <w:r>
        <w:rPr>
          <w:rFonts w:ascii="Times New Roman" w:hAnsi="Times New Roman" w:cs="Times New Roman"/>
        </w:rPr>
        <w:t>s ignore</w:t>
      </w:r>
      <w:r>
        <w:rPr>
          <w:rFonts w:ascii="Times New Roman" w:hAnsi="Times New Roman" w:cs="Times New Roman"/>
        </w:rPr>
        <w:t>d</w:t>
      </w:r>
      <w:r>
        <w:rPr>
          <w:rFonts w:ascii="Times New Roman" w:hAnsi="Times New Roman" w:cs="Times New Roman"/>
        </w:rPr>
        <w:t xml:space="preserve"> opt-out data, it overstated the amount of energy savings that the Companies need to achieve in 2017, 2018, and 2019.</w:t>
      </w:r>
      <w:r>
        <w:rPr>
          <w:rFonts w:ascii="Times New Roman" w:hAnsi="Times New Roman" w:cs="Times New Roman"/>
        </w:rPr>
        <w:t xml:space="preserve"> As a result, FirstEnergy overestimated the amount that it needs to spend on programs to satisfy its statutory mandate. In determining whether the Companies can comply with R.C. 4928.66(A)(1)(a) by achieving at least the statutory minimum energy savings, the PUCO should consider that the actual benchmarks for 2017, 2018, and 2019 will likely be materially lower than as reported by FirstEnergy in the Settlement.</w:t>
      </w:r>
    </w:p>
    <w:p w:rsidR="003E3C08" w:rsidRPr="003E3C08" w:rsidP="000F5657">
      <w:pPr>
        <w:pStyle w:val="Heading5"/>
      </w:pPr>
      <w:bookmarkStart w:id="9" w:name="_Toc475451050"/>
      <w:r>
        <w:t>ii</w:t>
      </w:r>
      <w:r>
        <w:t>.</w:t>
      </w:r>
      <w:r>
        <w:tab/>
        <w:t>FirstEnergy</w:t>
      </w:r>
      <w:r w:rsidR="0082545D">
        <w:t>'</w:t>
      </w:r>
      <w:r>
        <w:t>s historical energy efficiency results demonstrate that FirstEnergy can achieve</w:t>
      </w:r>
      <w:r w:rsidR="001B5C3D">
        <w:t xml:space="preserve"> its statutory benchmark</w:t>
      </w:r>
      <w:r>
        <w:t xml:space="preserve"> energy savings at a cost </w:t>
      </w:r>
      <w:r w:rsidR="003E5FBB">
        <w:t xml:space="preserve">to customers </w:t>
      </w:r>
      <w:r>
        <w:t xml:space="preserve">that is </w:t>
      </w:r>
      <w:r w:rsidR="001B5C3D">
        <w:t>below</w:t>
      </w:r>
      <w:r>
        <w:t xml:space="preserve"> </w:t>
      </w:r>
      <w:r w:rsidR="00E03320">
        <w:t>an</w:t>
      </w:r>
      <w:r>
        <w:t xml:space="preserve"> $80.1 million </w:t>
      </w:r>
      <w:r w:rsidR="00E03320">
        <w:t>annual limit</w:t>
      </w:r>
      <w:r>
        <w:t>.</w:t>
      </w:r>
      <w:bookmarkEnd w:id="9"/>
    </w:p>
    <w:p w:rsidR="003E3C08"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OCC witness Richard Spellman testified that FirstEnergy must achieve energy savings at a first-year cost of about 15 cents per kWh to meet its statutory minimum.</w:t>
      </w:r>
      <w:r>
        <w:rPr>
          <w:rStyle w:val="FootnoteReference"/>
          <w:rFonts w:ascii="Times New Roman" w:hAnsi="Times New Roman" w:cs="Times New Roman"/>
        </w:rPr>
        <w:footnoteReference w:id="65"/>
      </w:r>
      <w:r>
        <w:rPr>
          <w:rFonts w:ascii="Times New Roman" w:hAnsi="Times New Roman" w:cs="Times New Roman"/>
        </w:rPr>
        <w:t xml:space="preserve"> Environmental witness Chris Neme clarified that this was the combined number for the three FirstEnergy Companies.</w:t>
      </w:r>
      <w:r>
        <w:rPr>
          <w:rStyle w:val="FootnoteReference"/>
          <w:rFonts w:ascii="Times New Roman" w:hAnsi="Times New Roman" w:cs="Times New Roman"/>
        </w:rPr>
        <w:footnoteReference w:id="66"/>
      </w:r>
      <w:r>
        <w:rPr>
          <w:rFonts w:ascii="Times New Roman" w:hAnsi="Times New Roman" w:cs="Times New Roman"/>
        </w:rPr>
        <w:t xml:space="preserve"> According to Mr. Neme, Ohio Edison must achieve energy savings at a first-year cost of about 16 cents per kWh, Cleveland Electric must achieve energy savings at a first-year cost of about 15 cents per kWh, and Toledo Edison must achieve energy savings at a first-year cost of about 13 cents per kWh.</w:t>
      </w:r>
      <w:r>
        <w:rPr>
          <w:rStyle w:val="FootnoteReference"/>
          <w:rFonts w:ascii="Times New Roman" w:hAnsi="Times New Roman" w:cs="Times New Roman"/>
        </w:rPr>
        <w:footnoteReference w:id="67"/>
      </w:r>
      <w:r>
        <w:rPr>
          <w:rFonts w:ascii="Times New Roman" w:hAnsi="Times New Roman" w:cs="Times New Roman"/>
        </w:rPr>
        <w:t xml:space="preserve"> FirstEnergy</w:t>
      </w:r>
      <w:r w:rsidR="0082545D">
        <w:rPr>
          <w:rFonts w:ascii="Times New Roman" w:hAnsi="Times New Roman" w:cs="Times New Roman"/>
        </w:rPr>
        <w:t>'</w:t>
      </w:r>
      <w:r>
        <w:rPr>
          <w:rFonts w:ascii="Times New Roman" w:hAnsi="Times New Roman" w:cs="Times New Roman"/>
        </w:rPr>
        <w:t>s historical energy efficiency results confirm that each of these numbers is reasonable.</w:t>
      </w:r>
    </w:p>
    <w:p w:rsidR="009E55F7"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H</w:t>
      </w:r>
      <w:r>
        <w:rPr>
          <w:rFonts w:ascii="Times New Roman" w:hAnsi="Times New Roman" w:cs="Times New Roman"/>
        </w:rPr>
        <w:t xml:space="preserve">istorical energy efficiency results </w:t>
      </w:r>
      <w:r>
        <w:rPr>
          <w:rFonts w:ascii="Times New Roman" w:hAnsi="Times New Roman" w:cs="Times New Roman"/>
        </w:rPr>
        <w:t>can</w:t>
      </w:r>
      <w:r>
        <w:rPr>
          <w:rFonts w:ascii="Times New Roman" w:hAnsi="Times New Roman" w:cs="Times New Roman"/>
        </w:rPr>
        <w:t xml:space="preserve"> be used to assess the potential cost of compliance for 2017-2019.</w:t>
      </w:r>
      <w:r>
        <w:rPr>
          <w:rStyle w:val="FootnoteReference"/>
          <w:rFonts w:ascii="Times New Roman" w:hAnsi="Times New Roman" w:cs="Times New Roman"/>
        </w:rPr>
        <w:footnoteReference w:id="68"/>
      </w:r>
      <w:r>
        <w:rPr>
          <w:rFonts w:ascii="Times New Roman" w:hAnsi="Times New Roman" w:cs="Times New Roman"/>
        </w:rPr>
        <w:t xml:space="preserve"> </w:t>
      </w:r>
      <w:r w:rsidR="00DF6732">
        <w:rPr>
          <w:rFonts w:ascii="Times New Roman" w:hAnsi="Times New Roman" w:cs="Times New Roman"/>
        </w:rPr>
        <w:t>From 2013-2015, FirstEnergy</w:t>
      </w:r>
      <w:r w:rsidR="0082545D">
        <w:rPr>
          <w:rFonts w:ascii="Times New Roman" w:hAnsi="Times New Roman" w:cs="Times New Roman"/>
        </w:rPr>
        <w:t>'</w:t>
      </w:r>
      <w:r>
        <w:rPr>
          <w:rFonts w:ascii="Times New Roman" w:hAnsi="Times New Roman" w:cs="Times New Roman"/>
        </w:rPr>
        <w:t>s</w:t>
      </w:r>
      <w:r w:rsidR="00DF6732">
        <w:rPr>
          <w:rFonts w:ascii="Times New Roman" w:hAnsi="Times New Roman" w:cs="Times New Roman"/>
        </w:rPr>
        <w:t xml:space="preserve"> </w:t>
      </w:r>
      <w:r w:rsidR="00331451">
        <w:rPr>
          <w:rFonts w:ascii="Times New Roman" w:hAnsi="Times New Roman" w:cs="Times New Roman"/>
        </w:rPr>
        <w:t xml:space="preserve">Ohio </w:t>
      </w:r>
      <w:r w:rsidR="00DF6732">
        <w:rPr>
          <w:rFonts w:ascii="Times New Roman" w:hAnsi="Times New Roman" w:cs="Times New Roman"/>
        </w:rPr>
        <w:t>programs saved 2,107,607 MWh.</w:t>
      </w:r>
      <w:r>
        <w:rPr>
          <w:rStyle w:val="FootnoteReference"/>
          <w:rFonts w:ascii="Times New Roman" w:hAnsi="Times New Roman" w:cs="Times New Roman"/>
        </w:rPr>
        <w:footnoteReference w:id="69"/>
      </w:r>
      <w:r w:rsidR="00856145">
        <w:rPr>
          <w:rFonts w:ascii="Times New Roman" w:hAnsi="Times New Roman" w:cs="Times New Roman"/>
        </w:rPr>
        <w:t xml:space="preserve"> During that same period, the total cost of FirstEnergy</w:t>
      </w:r>
      <w:r w:rsidR="0082545D">
        <w:rPr>
          <w:rFonts w:ascii="Times New Roman" w:hAnsi="Times New Roman" w:cs="Times New Roman"/>
        </w:rPr>
        <w:t>'</w:t>
      </w:r>
      <w:r w:rsidR="00856145">
        <w:rPr>
          <w:rFonts w:ascii="Times New Roman" w:hAnsi="Times New Roman" w:cs="Times New Roman"/>
        </w:rPr>
        <w:t>s programs was about $133.8 million.</w:t>
      </w:r>
      <w:r>
        <w:rPr>
          <w:rStyle w:val="FootnoteReference"/>
          <w:rFonts w:ascii="Times New Roman" w:hAnsi="Times New Roman" w:cs="Times New Roman"/>
        </w:rPr>
        <w:footnoteReference w:id="70"/>
      </w:r>
      <w:r w:rsidR="00856145">
        <w:rPr>
          <w:rFonts w:ascii="Times New Roman" w:hAnsi="Times New Roman" w:cs="Times New Roman"/>
        </w:rPr>
        <w:t xml:space="preserve"> In this three-year period, therefore, FirstEnergy achieved first-year </w:t>
      </w:r>
      <w:r w:rsidR="00331451">
        <w:rPr>
          <w:rFonts w:ascii="Times New Roman" w:hAnsi="Times New Roman" w:cs="Times New Roman"/>
        </w:rPr>
        <w:t>energy savings at a cost of just 6.3 cents per kWh.</w:t>
      </w:r>
      <w:r>
        <w:rPr>
          <w:rStyle w:val="FootnoteReference"/>
          <w:rFonts w:ascii="Times New Roman" w:hAnsi="Times New Roman" w:cs="Times New Roman"/>
        </w:rPr>
        <w:footnoteReference w:id="71"/>
      </w:r>
      <w:r w:rsidR="00331451">
        <w:rPr>
          <w:rFonts w:ascii="Times New Roman" w:hAnsi="Times New Roman" w:cs="Times New Roman"/>
        </w:rPr>
        <w:t xml:space="preserve"> </w:t>
      </w:r>
    </w:p>
    <w:p w:rsidR="00DF6732"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In other words, from 2013-2015, FirstEnergy achieved energy savings at a cost less than half of what would be necessary to meet its statutory benchmarks under the PUCO Staff</w:t>
      </w:r>
      <w:r w:rsidR="0082545D">
        <w:rPr>
          <w:rFonts w:ascii="Times New Roman" w:hAnsi="Times New Roman" w:cs="Times New Roman"/>
        </w:rPr>
        <w:t>'</w:t>
      </w:r>
      <w:r>
        <w:rPr>
          <w:rFonts w:ascii="Times New Roman" w:hAnsi="Times New Roman" w:cs="Times New Roman"/>
        </w:rPr>
        <w:t>s proposed cost cap</w:t>
      </w:r>
      <w:r w:rsidR="00766673">
        <w:rPr>
          <w:rFonts w:ascii="Times New Roman" w:hAnsi="Times New Roman" w:cs="Times New Roman"/>
        </w:rPr>
        <w:t xml:space="preserve"> for 2017-2019</w:t>
      </w:r>
      <w:r>
        <w:rPr>
          <w:rFonts w:ascii="Times New Roman" w:hAnsi="Times New Roman" w:cs="Times New Roman"/>
        </w:rPr>
        <w:t xml:space="preserve">. </w:t>
      </w:r>
      <w:r w:rsidR="00331451">
        <w:rPr>
          <w:rFonts w:ascii="Times New Roman" w:hAnsi="Times New Roman" w:cs="Times New Roman"/>
        </w:rPr>
        <w:t>FirstEnergy could spend twice as much per first-year kWh in 2017-2019 and still achieve its s</w:t>
      </w:r>
      <w:r>
        <w:rPr>
          <w:rFonts w:ascii="Times New Roman" w:hAnsi="Times New Roman" w:cs="Times New Roman"/>
        </w:rPr>
        <w:t xml:space="preserve">tatutory minimum energy savings. The PUCO, therefore, has </w:t>
      </w:r>
      <w:r w:rsidR="00A05422">
        <w:rPr>
          <w:rFonts w:ascii="Times New Roman" w:hAnsi="Times New Roman" w:cs="Times New Roman"/>
        </w:rPr>
        <w:t>sufficient</w:t>
      </w:r>
      <w:r>
        <w:rPr>
          <w:rFonts w:ascii="Times New Roman" w:hAnsi="Times New Roman" w:cs="Times New Roman"/>
        </w:rPr>
        <w:t xml:space="preserve"> evidence to conclude that each of the FirstEnergy Companies can comply with R.C. 4928.66(A)(1)(a) under an $80.1 million per-year cost cap.</w:t>
      </w:r>
      <w:r>
        <w:rPr>
          <w:rStyle w:val="FootnoteReference"/>
          <w:rFonts w:ascii="Times New Roman" w:hAnsi="Times New Roman" w:cs="Times New Roman"/>
        </w:rPr>
        <w:footnoteReference w:id="72"/>
      </w:r>
    </w:p>
    <w:p w:rsidR="003E3C08" w:rsidRPr="003E3C08" w:rsidP="000F5657">
      <w:pPr>
        <w:pStyle w:val="Heading5"/>
      </w:pPr>
      <w:bookmarkStart w:id="10" w:name="_Toc475451051"/>
      <w:r>
        <w:t>iii</w:t>
      </w:r>
      <w:r>
        <w:t>.</w:t>
      </w:r>
      <w:r>
        <w:tab/>
        <w:t xml:space="preserve">PJM revenues will effectively increase the cost cap by </w:t>
      </w:r>
      <w:r w:rsidR="00A05422">
        <w:t>$</w:t>
      </w:r>
      <w:r w:rsidR="00E03320">
        <w:t>2-</w:t>
      </w:r>
      <w:r>
        <w:t>$2.5 million a year.</w:t>
      </w:r>
      <w:r w:rsidR="00B632C0">
        <w:t xml:space="preserve"> This will further enhance the Companies</w:t>
      </w:r>
      <w:r w:rsidR="0082545D">
        <w:t>'</w:t>
      </w:r>
      <w:r w:rsidR="00B632C0">
        <w:t xml:space="preserve"> ability to meet their benchmarks under the cost cap.</w:t>
      </w:r>
      <w:bookmarkEnd w:id="10"/>
    </w:p>
    <w:p w:rsidR="00913F45"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The Settlement requires FirstEnergy to offer eligible energy efficiency resources into PJM base residual </w:t>
      </w:r>
      <w:r w:rsidR="00E03FC3">
        <w:rPr>
          <w:rFonts w:ascii="Times New Roman" w:hAnsi="Times New Roman" w:cs="Times New Roman"/>
        </w:rPr>
        <w:t xml:space="preserve">or </w:t>
      </w:r>
      <w:r>
        <w:rPr>
          <w:rFonts w:ascii="Times New Roman" w:hAnsi="Times New Roman" w:cs="Times New Roman"/>
        </w:rPr>
        <w:t>incremental capacity auctions.</w:t>
      </w:r>
      <w:r>
        <w:rPr>
          <w:rStyle w:val="FootnoteReference"/>
          <w:rFonts w:ascii="Times New Roman" w:hAnsi="Times New Roman" w:cs="Times New Roman"/>
        </w:rPr>
        <w:footnoteReference w:id="73"/>
      </w:r>
      <w:r>
        <w:rPr>
          <w:rFonts w:ascii="Times New Roman" w:hAnsi="Times New Roman" w:cs="Times New Roman"/>
        </w:rPr>
        <w:t xml:space="preserve"> Under the PUCO Staff</w:t>
      </w:r>
      <w:r w:rsidR="0082545D">
        <w:rPr>
          <w:rFonts w:ascii="Times New Roman" w:hAnsi="Times New Roman" w:cs="Times New Roman"/>
        </w:rPr>
        <w:t>'</w:t>
      </w:r>
      <w:r>
        <w:rPr>
          <w:rFonts w:ascii="Times New Roman" w:hAnsi="Times New Roman" w:cs="Times New Roman"/>
        </w:rPr>
        <w:t xml:space="preserve">s proposal for a cost cap, any PJM revenues that FirstEnergy passes back to customers will </w:t>
      </w:r>
      <w:r w:rsidR="00E03FC3">
        <w:rPr>
          <w:rFonts w:ascii="Times New Roman" w:hAnsi="Times New Roman" w:cs="Times New Roman"/>
        </w:rPr>
        <w:t xml:space="preserve">raise </w:t>
      </w:r>
      <w:r>
        <w:rPr>
          <w:rFonts w:ascii="Times New Roman" w:hAnsi="Times New Roman" w:cs="Times New Roman"/>
        </w:rPr>
        <w:t>the $80.1 million cost cap.</w:t>
      </w:r>
      <w:r>
        <w:rPr>
          <w:rStyle w:val="FootnoteReference"/>
          <w:rFonts w:ascii="Times New Roman" w:hAnsi="Times New Roman" w:cs="Times New Roman"/>
        </w:rPr>
        <w:footnoteReference w:id="74"/>
      </w:r>
      <w:r>
        <w:rPr>
          <w:rFonts w:ascii="Times New Roman" w:hAnsi="Times New Roman" w:cs="Times New Roman"/>
        </w:rPr>
        <w:t xml:space="preserve"> That is, the cap will effectively increase by the amount of any PJM revenues passed back to customers.</w:t>
      </w:r>
      <w:r>
        <w:rPr>
          <w:rStyle w:val="FootnoteReference"/>
          <w:rFonts w:ascii="Times New Roman" w:hAnsi="Times New Roman" w:cs="Times New Roman"/>
        </w:rPr>
        <w:footnoteReference w:id="75"/>
      </w:r>
    </w:p>
    <w:p w:rsidR="00913F45"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FirstEnergy estimates that it will receive between $2 million and $2.5 million per-year in PJM revenues </w:t>
      </w:r>
      <w:r w:rsidR="00E03320">
        <w:rPr>
          <w:rFonts w:ascii="Times New Roman" w:hAnsi="Times New Roman" w:cs="Times New Roman"/>
        </w:rPr>
        <w:t>from 2017 to</w:t>
      </w:r>
      <w:r>
        <w:rPr>
          <w:rFonts w:ascii="Times New Roman" w:hAnsi="Times New Roman" w:cs="Times New Roman"/>
        </w:rPr>
        <w:t xml:space="preserve"> 2019.</w:t>
      </w:r>
      <w:r>
        <w:rPr>
          <w:rStyle w:val="FootnoteReference"/>
          <w:rFonts w:ascii="Times New Roman" w:hAnsi="Times New Roman" w:cs="Times New Roman"/>
        </w:rPr>
        <w:footnoteReference w:id="76"/>
      </w:r>
      <w:r>
        <w:rPr>
          <w:rFonts w:ascii="Times New Roman" w:hAnsi="Times New Roman" w:cs="Times New Roman"/>
        </w:rPr>
        <w:t xml:space="preserve"> </w:t>
      </w:r>
      <w:r w:rsidR="00790CE1">
        <w:rPr>
          <w:rFonts w:ascii="Times New Roman" w:hAnsi="Times New Roman" w:cs="Times New Roman"/>
        </w:rPr>
        <w:t>FirstEnergy also expects that PJM revenues resulting from the 2017-2019 programs will be higher than those resulting from its 2015-2016 programs because most of FirstEnergy</w:t>
      </w:r>
      <w:r w:rsidR="0082545D">
        <w:rPr>
          <w:rFonts w:ascii="Times New Roman" w:hAnsi="Times New Roman" w:cs="Times New Roman"/>
        </w:rPr>
        <w:t>'</w:t>
      </w:r>
      <w:r w:rsidR="00790CE1">
        <w:rPr>
          <w:rFonts w:ascii="Times New Roman" w:hAnsi="Times New Roman" w:cs="Times New Roman"/>
        </w:rPr>
        <w:t>s programs were suspended in 2015 and 2016.</w:t>
      </w:r>
      <w:r>
        <w:rPr>
          <w:rStyle w:val="FootnoteReference"/>
          <w:rFonts w:ascii="Times New Roman" w:hAnsi="Times New Roman" w:cs="Times New Roman"/>
        </w:rPr>
        <w:footnoteReference w:id="77"/>
      </w:r>
    </w:p>
    <w:p w:rsidR="00DC37A7"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An increase in the</w:t>
      </w:r>
      <w:r w:rsidR="00E03320">
        <w:rPr>
          <w:rFonts w:ascii="Times New Roman" w:hAnsi="Times New Roman" w:cs="Times New Roman"/>
        </w:rPr>
        <w:t xml:space="preserve"> cost</w:t>
      </w:r>
      <w:r>
        <w:rPr>
          <w:rFonts w:ascii="Times New Roman" w:hAnsi="Times New Roman" w:cs="Times New Roman"/>
        </w:rPr>
        <w:t xml:space="preserve"> cap of about $2 million per year </w:t>
      </w:r>
      <w:r>
        <w:rPr>
          <w:rFonts w:ascii="Times New Roman" w:hAnsi="Times New Roman" w:cs="Times New Roman"/>
        </w:rPr>
        <w:t xml:space="preserve">as a result of PJM revenues </w:t>
      </w:r>
      <w:r>
        <w:rPr>
          <w:rFonts w:ascii="Times New Roman" w:hAnsi="Times New Roman" w:cs="Times New Roman"/>
        </w:rPr>
        <w:t>is not inconsequential. Under the Settlement, FirstEnergy</w:t>
      </w:r>
      <w:r w:rsidR="0082545D">
        <w:rPr>
          <w:rFonts w:ascii="Times New Roman" w:hAnsi="Times New Roman" w:cs="Times New Roman"/>
        </w:rPr>
        <w:t>'</w:t>
      </w:r>
      <w:r>
        <w:rPr>
          <w:rFonts w:ascii="Times New Roman" w:hAnsi="Times New Roman" w:cs="Times New Roman"/>
        </w:rPr>
        <w:t>s residential behavioral program has an annual budget of $2.3 million, and it is projected to achieve 125,788 MWh in energy savings.</w:t>
      </w:r>
      <w:r>
        <w:rPr>
          <w:rStyle w:val="FootnoteReference"/>
          <w:rFonts w:ascii="Times New Roman" w:hAnsi="Times New Roman" w:cs="Times New Roman"/>
        </w:rPr>
        <w:footnoteReference w:id="78"/>
      </w:r>
      <w:r>
        <w:rPr>
          <w:rFonts w:ascii="Times New Roman" w:hAnsi="Times New Roman" w:cs="Times New Roman"/>
        </w:rPr>
        <w:t xml:space="preserve"> FirstEnergy</w:t>
      </w:r>
      <w:r w:rsidR="0082545D">
        <w:rPr>
          <w:rFonts w:ascii="Times New Roman" w:hAnsi="Times New Roman" w:cs="Times New Roman"/>
        </w:rPr>
        <w:t>'</w:t>
      </w:r>
      <w:r>
        <w:rPr>
          <w:rFonts w:ascii="Times New Roman" w:hAnsi="Times New Roman" w:cs="Times New Roman"/>
        </w:rPr>
        <w:t>s large nonresidential lighting program has a $2.1 million annual budget and is projected to save nearly 50,000 MWh.</w:t>
      </w:r>
      <w:r>
        <w:rPr>
          <w:rStyle w:val="FootnoteReference"/>
          <w:rFonts w:ascii="Times New Roman" w:hAnsi="Times New Roman" w:cs="Times New Roman"/>
        </w:rPr>
        <w:footnoteReference w:id="79"/>
      </w:r>
      <w:r w:rsidR="009A68EB">
        <w:rPr>
          <w:rFonts w:ascii="Times New Roman" w:hAnsi="Times New Roman" w:cs="Times New Roman"/>
        </w:rPr>
        <w:t xml:space="preserve"> $2 </w:t>
      </w:r>
      <w:r>
        <w:rPr>
          <w:rFonts w:ascii="Times New Roman" w:hAnsi="Times New Roman" w:cs="Times New Roman"/>
        </w:rPr>
        <w:t>million per-year could pay for the entire residential school education program.</w:t>
      </w:r>
      <w:r>
        <w:rPr>
          <w:rStyle w:val="FootnoteReference"/>
          <w:rFonts w:ascii="Times New Roman" w:hAnsi="Times New Roman" w:cs="Times New Roman"/>
        </w:rPr>
        <w:footnoteReference w:id="80"/>
      </w:r>
      <w:r w:rsidR="009A68EB">
        <w:rPr>
          <w:rFonts w:ascii="Times New Roman" w:hAnsi="Times New Roman" w:cs="Times New Roman"/>
        </w:rPr>
        <w:t xml:space="preserve"> $2 </w:t>
      </w:r>
      <w:r>
        <w:rPr>
          <w:rFonts w:ascii="Times New Roman" w:hAnsi="Times New Roman" w:cs="Times New Roman"/>
        </w:rPr>
        <w:t xml:space="preserve">million per-year could pay for </w:t>
      </w:r>
      <w:r>
        <w:rPr>
          <w:rFonts w:ascii="Times New Roman" w:hAnsi="Times New Roman" w:cs="Times New Roman"/>
        </w:rPr>
        <w:t>the small nonresidential appliance turn-in, appliances, consumer electronics, agricultural, and data center programs combined.</w:t>
      </w:r>
      <w:r>
        <w:rPr>
          <w:rStyle w:val="FootnoteReference"/>
          <w:rFonts w:ascii="Times New Roman" w:hAnsi="Times New Roman" w:cs="Times New Roman"/>
        </w:rPr>
        <w:footnoteReference w:id="81"/>
      </w:r>
    </w:p>
    <w:p w:rsidR="00790CE1"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In short, the PUCO Staff</w:t>
      </w:r>
      <w:r w:rsidR="0082545D">
        <w:rPr>
          <w:rFonts w:ascii="Times New Roman" w:hAnsi="Times New Roman" w:cs="Times New Roman"/>
        </w:rPr>
        <w:t>'</w:t>
      </w:r>
      <w:r>
        <w:rPr>
          <w:rFonts w:ascii="Times New Roman" w:hAnsi="Times New Roman" w:cs="Times New Roman"/>
        </w:rPr>
        <w:t xml:space="preserve">s proposal to increase the </w:t>
      </w:r>
      <w:r w:rsidR="00E03320">
        <w:rPr>
          <w:rFonts w:ascii="Times New Roman" w:hAnsi="Times New Roman" w:cs="Times New Roman"/>
        </w:rPr>
        <w:t>cost</w:t>
      </w:r>
      <w:r>
        <w:rPr>
          <w:rFonts w:ascii="Times New Roman" w:hAnsi="Times New Roman" w:cs="Times New Roman"/>
        </w:rPr>
        <w:t xml:space="preserve"> cap by the amount of any PJM revenues passed back to customers increases the likelihood that FirstEnergy can achieve its statutory minimum energy savings under the cap.</w:t>
      </w:r>
    </w:p>
    <w:p w:rsidR="003E3C08" w:rsidRPr="003E3C08" w:rsidP="000F5657">
      <w:pPr>
        <w:pStyle w:val="Heading5"/>
      </w:pPr>
      <w:bookmarkStart w:id="11" w:name="_Toc475451052"/>
      <w:r>
        <w:t>iv</w:t>
      </w:r>
      <w:r>
        <w:t>.</w:t>
      </w:r>
      <w:r>
        <w:tab/>
        <w:t xml:space="preserve">FirstEnergy is not </w:t>
      </w:r>
      <w:r w:rsidRPr="003E3C08">
        <w:rPr>
          <w:i/>
        </w:rPr>
        <w:t>entitled</w:t>
      </w:r>
      <w:r>
        <w:t xml:space="preserve"> to shared savings. If FirstEnergy spends the entire $80.1 million on program costs as opposed to shared savings, then customers would benefit even more from FirstEnergy</w:t>
      </w:r>
      <w:r w:rsidR="0082545D">
        <w:t>'</w:t>
      </w:r>
      <w:r>
        <w:t>s programs.</w:t>
      </w:r>
      <w:bookmarkEnd w:id="11"/>
    </w:p>
    <w:p w:rsidR="005856EC" w:rsidRPr="00E572AC" w:rsidP="005856EC">
      <w:pPr>
        <w:pStyle w:val="Footer"/>
        <w:tabs>
          <w:tab w:val="clear" w:pos="4320"/>
          <w:tab w:val="clear" w:pos="8640"/>
        </w:tabs>
        <w:spacing w:before="100" w:beforeAutospacing="1" w:line="480" w:lineRule="auto"/>
        <w:ind w:firstLine="720"/>
        <w:contextualSpacing/>
        <w:rPr>
          <w:rFonts w:ascii="Times New Roman" w:hAnsi="Times New Roman" w:cs="Times New Roman"/>
          <w:i/>
        </w:rPr>
      </w:pPr>
      <w:r>
        <w:rPr>
          <w:rFonts w:ascii="Times New Roman" w:hAnsi="Times New Roman" w:cs="Times New Roman"/>
        </w:rPr>
        <w:t>FirstEnergy</w:t>
      </w:r>
      <w:r w:rsidR="00DC37A7">
        <w:rPr>
          <w:rFonts w:ascii="Times New Roman" w:hAnsi="Times New Roman" w:cs="Times New Roman"/>
        </w:rPr>
        <w:t xml:space="preserve"> </w:t>
      </w:r>
      <w:r w:rsidR="000A262D">
        <w:rPr>
          <w:rFonts w:ascii="Times New Roman" w:hAnsi="Times New Roman" w:cs="Times New Roman"/>
        </w:rPr>
        <w:t>suggest</w:t>
      </w:r>
      <w:r>
        <w:rPr>
          <w:rFonts w:ascii="Times New Roman" w:hAnsi="Times New Roman" w:cs="Times New Roman"/>
        </w:rPr>
        <w:t>s</w:t>
      </w:r>
      <w:r w:rsidR="000A262D">
        <w:rPr>
          <w:rFonts w:ascii="Times New Roman" w:hAnsi="Times New Roman" w:cs="Times New Roman"/>
        </w:rPr>
        <w:t xml:space="preserve"> that the </w:t>
      </w:r>
      <w:r w:rsidR="00DC37A7">
        <w:rPr>
          <w:rFonts w:ascii="Times New Roman" w:hAnsi="Times New Roman" w:cs="Times New Roman"/>
        </w:rPr>
        <w:t xml:space="preserve">$80.1 million cost cap is unreasonable in part because it would be difficult for </w:t>
      </w:r>
      <w:r w:rsidR="00E03320">
        <w:rPr>
          <w:rFonts w:ascii="Times New Roman" w:hAnsi="Times New Roman" w:cs="Times New Roman"/>
        </w:rPr>
        <w:t>the Companies</w:t>
      </w:r>
      <w:r w:rsidR="00DC37A7">
        <w:rPr>
          <w:rFonts w:ascii="Times New Roman" w:hAnsi="Times New Roman" w:cs="Times New Roman"/>
        </w:rPr>
        <w:t xml:space="preserve"> to meet </w:t>
      </w:r>
      <w:r w:rsidR="00E03320">
        <w:rPr>
          <w:rFonts w:ascii="Times New Roman" w:hAnsi="Times New Roman" w:cs="Times New Roman"/>
        </w:rPr>
        <w:t>their</w:t>
      </w:r>
      <w:r w:rsidR="00DC37A7">
        <w:rPr>
          <w:rFonts w:ascii="Times New Roman" w:hAnsi="Times New Roman" w:cs="Times New Roman"/>
        </w:rPr>
        <w:t xml:space="preserve"> statutory benchmark</w:t>
      </w:r>
      <w:r w:rsidR="00E03320">
        <w:rPr>
          <w:rFonts w:ascii="Times New Roman" w:hAnsi="Times New Roman" w:cs="Times New Roman"/>
        </w:rPr>
        <w:t>s</w:t>
      </w:r>
      <w:r w:rsidR="00DC37A7">
        <w:rPr>
          <w:rFonts w:ascii="Times New Roman" w:hAnsi="Times New Roman" w:cs="Times New Roman"/>
        </w:rPr>
        <w:t xml:space="preserve"> while still achieving the maximum amount of shared savings (about $15.6 million per year).</w:t>
      </w:r>
      <w:r>
        <w:rPr>
          <w:rStyle w:val="FootnoteReference"/>
          <w:rFonts w:ascii="Times New Roman" w:hAnsi="Times New Roman" w:cs="Times New Roman"/>
        </w:rPr>
        <w:footnoteReference w:id="82"/>
      </w:r>
      <w:r w:rsidR="00DC37A7">
        <w:rPr>
          <w:rFonts w:ascii="Times New Roman" w:hAnsi="Times New Roman" w:cs="Times New Roman"/>
        </w:rPr>
        <w:t xml:space="preserve"> </w:t>
      </w:r>
      <w:r w:rsidR="00E572AC">
        <w:rPr>
          <w:rFonts w:ascii="Times New Roman" w:hAnsi="Times New Roman" w:cs="Times New Roman"/>
        </w:rPr>
        <w:t xml:space="preserve">This argument is a red herring because it wrongly assumes that FirstEnergy is </w:t>
      </w:r>
      <w:r w:rsidRPr="00E572AC" w:rsidR="00E572AC">
        <w:rPr>
          <w:rFonts w:ascii="Times New Roman" w:hAnsi="Times New Roman" w:cs="Times New Roman"/>
        </w:rPr>
        <w:t>entitled</w:t>
      </w:r>
      <w:r w:rsidR="00E572AC">
        <w:rPr>
          <w:rFonts w:ascii="Times New Roman" w:hAnsi="Times New Roman" w:cs="Times New Roman"/>
        </w:rPr>
        <w:t xml:space="preserve"> to shared savings.</w:t>
      </w:r>
      <w:r>
        <w:rPr>
          <w:rFonts w:ascii="Times New Roman" w:hAnsi="Times New Roman" w:cs="Times New Roman"/>
        </w:rPr>
        <w:t xml:space="preserve"> FirstEnergy </w:t>
      </w:r>
      <w:r w:rsidR="00E03320">
        <w:rPr>
          <w:rFonts w:ascii="Times New Roman" w:hAnsi="Times New Roman" w:cs="Times New Roman"/>
        </w:rPr>
        <w:t>may like</w:t>
      </w:r>
      <w:r>
        <w:rPr>
          <w:rFonts w:ascii="Times New Roman" w:hAnsi="Times New Roman" w:cs="Times New Roman"/>
        </w:rPr>
        <w:t xml:space="preserve"> to profit from energy efficiency programs by charging customers for shared savings,</w:t>
      </w:r>
      <w:r>
        <w:rPr>
          <w:rStyle w:val="FootnoteReference"/>
          <w:rFonts w:ascii="Times New Roman" w:hAnsi="Times New Roman" w:cs="Times New Roman"/>
        </w:rPr>
        <w:footnoteReference w:id="83"/>
      </w:r>
      <w:r>
        <w:rPr>
          <w:rFonts w:ascii="Times New Roman" w:hAnsi="Times New Roman" w:cs="Times New Roman"/>
        </w:rPr>
        <w:t xml:space="preserve"> but there is simply no entitlement to such profits.</w:t>
      </w:r>
    </w:p>
    <w:p w:rsidR="006E0403"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FirstEnergy witness </w:t>
      </w:r>
      <w:r w:rsidR="00B308EA">
        <w:rPr>
          <w:rFonts w:ascii="Times New Roman" w:hAnsi="Times New Roman" w:cs="Times New Roman"/>
        </w:rPr>
        <w:t xml:space="preserve">Edward </w:t>
      </w:r>
      <w:r>
        <w:rPr>
          <w:rFonts w:ascii="Times New Roman" w:hAnsi="Times New Roman" w:cs="Times New Roman"/>
        </w:rPr>
        <w:t xml:space="preserve">Miller, for example, claims that the PUCO </w:t>
      </w:r>
      <w:r w:rsidR="0082545D">
        <w:rPr>
          <w:rFonts w:ascii="Times New Roman" w:hAnsi="Times New Roman" w:cs="Times New Roman"/>
        </w:rPr>
        <w:t>"</w:t>
      </w:r>
      <w:r>
        <w:rPr>
          <w:rFonts w:ascii="Times New Roman" w:hAnsi="Times New Roman" w:cs="Times New Roman"/>
        </w:rPr>
        <w:t xml:space="preserve">has ruled that the Companies are at least entitled to the </w:t>
      </w:r>
      <w:r>
        <w:rPr>
          <w:rFonts w:ascii="Times New Roman" w:hAnsi="Times New Roman" w:cs="Times New Roman"/>
          <w:i/>
        </w:rPr>
        <w:t>opportunity to earn</w:t>
      </w:r>
      <w:r>
        <w:rPr>
          <w:rFonts w:ascii="Times New Roman" w:hAnsi="Times New Roman" w:cs="Times New Roman"/>
        </w:rPr>
        <w:t xml:space="preserve"> up to $10 million per year in after tax shared savings.</w:t>
      </w:r>
      <w:r w:rsidR="0082545D">
        <w:rPr>
          <w:rFonts w:ascii="Times New Roman" w:hAnsi="Times New Roman" w:cs="Times New Roman"/>
        </w:rPr>
        <w:t>"</w:t>
      </w:r>
      <w:r>
        <w:rPr>
          <w:rStyle w:val="FootnoteReference"/>
          <w:rFonts w:ascii="Times New Roman" w:hAnsi="Times New Roman" w:cs="Times New Roman"/>
        </w:rPr>
        <w:footnoteReference w:id="84"/>
      </w:r>
      <w:r>
        <w:rPr>
          <w:rFonts w:ascii="Times New Roman" w:hAnsi="Times New Roman" w:cs="Times New Roman"/>
        </w:rPr>
        <w:t xml:space="preserve"> The PUCO has made no such ruling. The PUCO has merely ruled that </w:t>
      </w:r>
      <w:r>
        <w:rPr>
          <w:rFonts w:ascii="Times New Roman" w:hAnsi="Times New Roman" w:cs="Times New Roman"/>
          <w:i/>
        </w:rPr>
        <w:t>if</w:t>
      </w:r>
      <w:r>
        <w:rPr>
          <w:rFonts w:ascii="Times New Roman" w:hAnsi="Times New Roman" w:cs="Times New Roman"/>
        </w:rPr>
        <w:t xml:space="preserve"> FirstEnergy</w:t>
      </w:r>
      <w:r w:rsidR="0082545D">
        <w:rPr>
          <w:rFonts w:ascii="Times New Roman" w:hAnsi="Times New Roman" w:cs="Times New Roman"/>
        </w:rPr>
        <w:t>'</w:t>
      </w:r>
      <w:r>
        <w:rPr>
          <w:rFonts w:ascii="Times New Roman" w:hAnsi="Times New Roman" w:cs="Times New Roman"/>
        </w:rPr>
        <w:t>s programs save enough energy at a low enough cost, FirstEnergy can charge customers up to $10 million after tax for shared savings.</w:t>
      </w:r>
      <w:r>
        <w:rPr>
          <w:rStyle w:val="FootnoteReference"/>
          <w:rFonts w:ascii="Times New Roman" w:hAnsi="Times New Roman" w:cs="Times New Roman"/>
        </w:rPr>
        <w:footnoteReference w:id="85"/>
      </w:r>
      <w:r>
        <w:rPr>
          <w:rFonts w:ascii="Times New Roman" w:hAnsi="Times New Roman" w:cs="Times New Roman"/>
        </w:rPr>
        <w:t xml:space="preserve"> </w:t>
      </w:r>
    </w:p>
    <w:p w:rsidR="006E0403"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Indeed, outside of Ohio, numerous other states have </w:t>
      </w:r>
      <w:r>
        <w:rPr>
          <w:rFonts w:ascii="Times New Roman" w:hAnsi="Times New Roman" w:cs="Times New Roman"/>
        </w:rPr>
        <w:t xml:space="preserve">recognized that it is not essential for utilities to profit from the energy efficiency programs that they offer to their customers. At least 16 other states offer energy efficiency programs with </w:t>
      </w:r>
      <w:r w:rsidRPr="000C2FE7">
        <w:rPr>
          <w:rFonts w:ascii="Times New Roman" w:hAnsi="Times New Roman" w:cs="Times New Roman"/>
          <w:u w:val="single"/>
        </w:rPr>
        <w:t>no shared savings mechanism at all</w:t>
      </w:r>
      <w:r>
        <w:rPr>
          <w:rFonts w:ascii="Times New Roman" w:hAnsi="Times New Roman" w:cs="Times New Roman"/>
        </w:rPr>
        <w:t>.</w:t>
      </w:r>
      <w:r>
        <w:rPr>
          <w:rStyle w:val="FootnoteReference"/>
          <w:rFonts w:ascii="Times New Roman" w:hAnsi="Times New Roman" w:cs="Times New Roman"/>
        </w:rPr>
        <w:footnoteReference w:id="86"/>
      </w:r>
      <w:r>
        <w:rPr>
          <w:rFonts w:ascii="Times New Roman" w:hAnsi="Times New Roman" w:cs="Times New Roman"/>
        </w:rPr>
        <w:t xml:space="preserve"> And in those states that do allow shareholder incentives, the incentive payments are typically much lower than those available in Ohio.</w:t>
      </w:r>
      <w:r>
        <w:rPr>
          <w:rStyle w:val="FootnoteReference"/>
          <w:rFonts w:ascii="Times New Roman" w:hAnsi="Times New Roman" w:cs="Times New Roman"/>
        </w:rPr>
        <w:footnoteReference w:id="87"/>
      </w:r>
    </w:p>
    <w:p w:rsidR="005856EC"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OCC Witness Spellman testified that the Companies can reasonably achieve energy savings at a cost of about 15 cents per first-year kWh, which would allow them </w:t>
      </w:r>
      <w:r w:rsidR="000C2FE7">
        <w:rPr>
          <w:rFonts w:ascii="Times New Roman" w:hAnsi="Times New Roman" w:cs="Times New Roman"/>
        </w:rPr>
        <w:t xml:space="preserve">to </w:t>
      </w:r>
      <w:r>
        <w:rPr>
          <w:rFonts w:ascii="Times New Roman" w:hAnsi="Times New Roman" w:cs="Times New Roman"/>
        </w:rPr>
        <w:t>achieve their statutory minimum energy savings under the PUCO Staff</w:t>
      </w:r>
      <w:r w:rsidR="0082545D">
        <w:rPr>
          <w:rFonts w:ascii="Times New Roman" w:hAnsi="Times New Roman" w:cs="Times New Roman"/>
        </w:rPr>
        <w:t>'</w:t>
      </w:r>
      <w:r>
        <w:rPr>
          <w:rFonts w:ascii="Times New Roman" w:hAnsi="Times New Roman" w:cs="Times New Roman"/>
        </w:rPr>
        <w:t xml:space="preserve">s proposed cost cap. FirstEnergy is not entitled to charge customers shared savings so that it can profit from energy efficiency. </w:t>
      </w:r>
      <w:r w:rsidR="00EA5D4C">
        <w:rPr>
          <w:rFonts w:ascii="Times New Roman" w:hAnsi="Times New Roman" w:cs="Times New Roman"/>
        </w:rPr>
        <w:t xml:space="preserve">Customers do not benefit from paying shared savings to FirstEnergy; FirstEnergy </w:t>
      </w:r>
      <w:r w:rsidR="00E03FC3">
        <w:rPr>
          <w:rFonts w:ascii="Times New Roman" w:hAnsi="Times New Roman" w:cs="Times New Roman"/>
        </w:rPr>
        <w:t xml:space="preserve">and its shareholders </w:t>
      </w:r>
      <w:r w:rsidR="00EA5D4C">
        <w:rPr>
          <w:rFonts w:ascii="Times New Roman" w:hAnsi="Times New Roman" w:cs="Times New Roman"/>
        </w:rPr>
        <w:t xml:space="preserve">benefit from customers paying shared savings to FirstEnergy. </w:t>
      </w:r>
      <w:r>
        <w:rPr>
          <w:rFonts w:ascii="Times New Roman" w:hAnsi="Times New Roman" w:cs="Times New Roman"/>
        </w:rPr>
        <w:t xml:space="preserve">If FirstEnergy </w:t>
      </w:r>
      <w:r w:rsidR="00EA5D4C">
        <w:rPr>
          <w:rFonts w:ascii="Times New Roman" w:hAnsi="Times New Roman" w:cs="Times New Roman"/>
        </w:rPr>
        <w:t>were to</w:t>
      </w:r>
      <w:r>
        <w:rPr>
          <w:rFonts w:ascii="Times New Roman" w:hAnsi="Times New Roman" w:cs="Times New Roman"/>
        </w:rPr>
        <w:t xml:space="preserve"> spend the entire $80.1 million annual cap on programs, then customers </w:t>
      </w:r>
      <w:r w:rsidR="00EA5D4C">
        <w:rPr>
          <w:rFonts w:ascii="Times New Roman" w:hAnsi="Times New Roman" w:cs="Times New Roman"/>
        </w:rPr>
        <w:t>would</w:t>
      </w:r>
      <w:r>
        <w:rPr>
          <w:rFonts w:ascii="Times New Roman" w:hAnsi="Times New Roman" w:cs="Times New Roman"/>
        </w:rPr>
        <w:t xml:space="preserve"> receive the benefits of $80.1 million worth of programs at a cost of 15 cents per kWh or less. </w:t>
      </w:r>
      <w:r w:rsidR="000C2FE7">
        <w:rPr>
          <w:rFonts w:ascii="Times New Roman" w:hAnsi="Times New Roman" w:cs="Times New Roman"/>
        </w:rPr>
        <w:t>This would be a good result for consumers</w:t>
      </w:r>
      <w:r>
        <w:rPr>
          <w:rFonts w:ascii="Times New Roman" w:hAnsi="Times New Roman" w:cs="Times New Roman"/>
        </w:rPr>
        <w:t>.</w:t>
      </w:r>
    </w:p>
    <w:p w:rsidR="008A1610" w:rsidRPr="008A1610" w:rsidP="000F5657">
      <w:pPr>
        <w:pStyle w:val="Heading5"/>
      </w:pPr>
      <w:bookmarkStart w:id="12" w:name="_Toc475451053"/>
      <w:r>
        <w:t>v</w:t>
      </w:r>
      <w:r>
        <w:t>.</w:t>
      </w:r>
      <w:r>
        <w:tab/>
        <w:t xml:space="preserve">There are numerous ways that FirstEnergy could </w:t>
      </w:r>
      <w:r w:rsidR="00CB2E95">
        <w:t>adjust</w:t>
      </w:r>
      <w:r>
        <w:t xml:space="preserve"> its portfolio to achieve its statutory minimum energy savings </w:t>
      </w:r>
      <w:r w:rsidR="00627195">
        <w:t>under</w:t>
      </w:r>
      <w:r>
        <w:t xml:space="preserve"> the $80.1 million cost cap.</w:t>
      </w:r>
      <w:bookmarkEnd w:id="12"/>
    </w:p>
    <w:p w:rsidR="00E423F3"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Under the PUCO Staff</w:t>
      </w:r>
      <w:r w:rsidR="0082545D">
        <w:rPr>
          <w:rFonts w:ascii="Times New Roman" w:hAnsi="Times New Roman" w:cs="Times New Roman"/>
        </w:rPr>
        <w:t>'</w:t>
      </w:r>
      <w:r>
        <w:rPr>
          <w:rFonts w:ascii="Times New Roman" w:hAnsi="Times New Roman" w:cs="Times New Roman"/>
        </w:rPr>
        <w:t>s proposal, the FirstEnergy Companies could spend up to $80.1 million per year from 2017 to 2019 ($240.3 million total) and would need to achieve 1,587,140 MWh in energy savings.</w:t>
      </w:r>
      <w:r>
        <w:rPr>
          <w:rStyle w:val="FootnoteReference"/>
          <w:rFonts w:ascii="Times New Roman" w:hAnsi="Times New Roman" w:cs="Times New Roman"/>
        </w:rPr>
        <w:footnoteReference w:id="88"/>
      </w:r>
      <w:r>
        <w:rPr>
          <w:rFonts w:ascii="Times New Roman" w:hAnsi="Times New Roman" w:cs="Times New Roman"/>
        </w:rPr>
        <w:t xml:space="preserve"> The Settlement, however, targets energy savings of 1,781,833 MWh at a cost of around $</w:t>
      </w:r>
      <w:r w:rsidR="00762CCC">
        <w:rPr>
          <w:rFonts w:ascii="Times New Roman" w:hAnsi="Times New Roman" w:cs="Times New Roman"/>
        </w:rPr>
        <w:t>286.5 million</w:t>
      </w:r>
      <w:r>
        <w:rPr>
          <w:rFonts w:ascii="Times New Roman" w:hAnsi="Times New Roman" w:cs="Times New Roman"/>
        </w:rPr>
        <w:t>.</w:t>
      </w:r>
      <w:r>
        <w:rPr>
          <w:rStyle w:val="FootnoteReference"/>
          <w:rFonts w:ascii="Times New Roman" w:hAnsi="Times New Roman" w:cs="Times New Roman"/>
        </w:rPr>
        <w:footnoteReference w:id="89"/>
      </w:r>
      <w:r>
        <w:rPr>
          <w:rFonts w:ascii="Times New Roman" w:hAnsi="Times New Roman" w:cs="Times New Roman"/>
        </w:rPr>
        <w:t xml:space="preserve"> FirstEnergy, therefore, would need to reduce the scope of its programs by about $15.4 million per year, or $46.2 million over three years</w:t>
      </w:r>
      <w:r w:rsidR="00762CCC">
        <w:rPr>
          <w:rFonts w:ascii="Times New Roman" w:hAnsi="Times New Roman" w:cs="Times New Roman"/>
        </w:rPr>
        <w:t>, to stay within the cap while still achieving at least 1,587,833 MWh in energy savings.</w:t>
      </w:r>
    </w:p>
    <w:p w:rsidR="000C2FE7"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There are numerous ways that FirstEnergy </w:t>
      </w:r>
      <w:r>
        <w:rPr>
          <w:rFonts w:ascii="Times New Roman" w:hAnsi="Times New Roman" w:cs="Times New Roman"/>
        </w:rPr>
        <w:t>could</w:t>
      </w:r>
      <w:r>
        <w:rPr>
          <w:rFonts w:ascii="Times New Roman" w:hAnsi="Times New Roman" w:cs="Times New Roman"/>
        </w:rPr>
        <w:t xml:space="preserve"> rebalance its</w:t>
      </w:r>
      <w:r>
        <w:rPr>
          <w:rFonts w:ascii="Times New Roman" w:hAnsi="Times New Roman" w:cs="Times New Roman"/>
        </w:rPr>
        <w:t xml:space="preserve"> portfolio to achieve this goal:</w:t>
      </w:r>
    </w:p>
    <w:p w:rsidR="00762CCC"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u w:val="single"/>
        </w:rPr>
        <w:t>Eliminate the small nonresidential Audits &amp; Education Program.</w:t>
      </w:r>
      <w:r>
        <w:rPr>
          <w:rFonts w:ascii="Times New Roman" w:hAnsi="Times New Roman" w:cs="Times New Roman"/>
        </w:rPr>
        <w:t xml:space="preserve"> </w:t>
      </w:r>
      <w:r>
        <w:rPr>
          <w:rFonts w:ascii="Times New Roman" w:hAnsi="Times New Roman" w:cs="Times New Roman"/>
        </w:rPr>
        <w:t>One solution would be to eliminate the small nonresidential Audits &amp; Education program. This program will cost $42.8 million over three years but will save only 100,555 MWh over that same time period.</w:t>
      </w:r>
      <w:r>
        <w:rPr>
          <w:rStyle w:val="FootnoteReference"/>
          <w:rFonts w:ascii="Times New Roman" w:hAnsi="Times New Roman" w:cs="Times New Roman"/>
        </w:rPr>
        <w:footnoteReference w:id="90"/>
      </w:r>
      <w:r>
        <w:rPr>
          <w:rFonts w:ascii="Times New Roman" w:hAnsi="Times New Roman" w:cs="Times New Roman"/>
        </w:rPr>
        <w:t xml:space="preserve"> At a cost of nearly 43 cents per first-year kWh,</w:t>
      </w:r>
      <w:r>
        <w:rPr>
          <w:rStyle w:val="FootnoteReference"/>
          <w:rFonts w:ascii="Times New Roman" w:hAnsi="Times New Roman" w:cs="Times New Roman"/>
        </w:rPr>
        <w:footnoteReference w:id="91"/>
      </w:r>
      <w:r>
        <w:rPr>
          <w:rFonts w:ascii="Times New Roman" w:hAnsi="Times New Roman" w:cs="Times New Roman"/>
        </w:rPr>
        <w:t xml:space="preserve"> this program produces relatively expensive savings. Eliminating this program from the portfolio would reduce the total cost of the portfolio from $286.5 million to $243.7 million, which is $81.2 million per year. It would also reduce the projected energy savings from 1,781,833 to 1,681,278</w:t>
      </w:r>
      <w:r w:rsidR="00672A37">
        <w:rPr>
          <w:rFonts w:ascii="Times New Roman" w:hAnsi="Times New Roman" w:cs="Times New Roman"/>
        </w:rPr>
        <w:t xml:space="preserve"> MWhs</w:t>
      </w:r>
      <w:r>
        <w:rPr>
          <w:rFonts w:ascii="Times New Roman" w:hAnsi="Times New Roman" w:cs="Times New Roman"/>
        </w:rPr>
        <w:t xml:space="preserve">, which is still substantially higher than the statutory minimum. </w:t>
      </w:r>
      <w:r w:rsidR="00D2464A">
        <w:rPr>
          <w:rFonts w:ascii="Times New Roman" w:hAnsi="Times New Roman" w:cs="Times New Roman"/>
        </w:rPr>
        <w:t>Once PJM revenues (estimated to be between $2 and $2.5 million per year) are taken into account, the $81.2 million budget would be under the PUCO Staff</w:t>
      </w:r>
      <w:r w:rsidR="0082545D">
        <w:rPr>
          <w:rFonts w:ascii="Times New Roman" w:hAnsi="Times New Roman" w:cs="Times New Roman"/>
        </w:rPr>
        <w:t>'</w:t>
      </w:r>
      <w:r w:rsidR="00D2464A">
        <w:rPr>
          <w:rFonts w:ascii="Times New Roman" w:hAnsi="Times New Roman" w:cs="Times New Roman"/>
        </w:rPr>
        <w:t>s proposed cap.</w:t>
      </w:r>
    </w:p>
    <w:p w:rsidR="002E39F1"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u w:val="single"/>
        </w:rPr>
        <w:t>Reduce spending on the residential HVAC program.</w:t>
      </w:r>
      <w:r>
        <w:rPr>
          <w:rFonts w:ascii="Times New Roman" w:hAnsi="Times New Roman" w:cs="Times New Roman"/>
        </w:rPr>
        <w:t xml:space="preserve"> </w:t>
      </w:r>
      <w:r w:rsidR="00D76F09">
        <w:rPr>
          <w:rFonts w:ascii="Times New Roman" w:hAnsi="Times New Roman" w:cs="Times New Roman"/>
        </w:rPr>
        <w:t>FirstEnergy could also adjust the portfolio to eliminate the substantial increase in cost for its residential HVAC program</w:t>
      </w:r>
      <w:r w:rsidR="007755A8">
        <w:rPr>
          <w:rFonts w:ascii="Times New Roman" w:hAnsi="Times New Roman" w:cs="Times New Roman"/>
        </w:rPr>
        <w:t xml:space="preserve"> (which provides </w:t>
      </w:r>
      <w:r w:rsidR="00074FC8">
        <w:rPr>
          <w:rFonts w:ascii="Times New Roman" w:hAnsi="Times New Roman" w:cs="Times New Roman"/>
        </w:rPr>
        <w:t>rebates to customers who purchase HVAC equipment</w:t>
      </w:r>
      <w:r w:rsidR="007755A8">
        <w:rPr>
          <w:rFonts w:ascii="Times New Roman" w:hAnsi="Times New Roman" w:cs="Times New Roman"/>
        </w:rPr>
        <w:t>)</w:t>
      </w:r>
      <w:r w:rsidR="00D76F09">
        <w:rPr>
          <w:rFonts w:ascii="Times New Roman" w:hAnsi="Times New Roman" w:cs="Times New Roman"/>
        </w:rPr>
        <w:t>. In its Application, the residential HVAC program had a budget of $8,665,309 and was projected to save 27,580 MWh of energy.</w:t>
      </w:r>
      <w:r>
        <w:rPr>
          <w:rStyle w:val="FootnoteReference"/>
          <w:rFonts w:ascii="Times New Roman" w:hAnsi="Times New Roman" w:cs="Times New Roman"/>
        </w:rPr>
        <w:footnoteReference w:id="92"/>
      </w:r>
      <w:r w:rsidR="00D76F09">
        <w:rPr>
          <w:rFonts w:ascii="Times New Roman" w:hAnsi="Times New Roman" w:cs="Times New Roman"/>
        </w:rPr>
        <w:t xml:space="preserve"> Under the Settlement, FirstEnergy increased the cost of the HVAC program by over $3.2 million.</w:t>
      </w:r>
      <w:r>
        <w:rPr>
          <w:rStyle w:val="FootnoteReference"/>
          <w:rFonts w:ascii="Times New Roman" w:hAnsi="Times New Roman" w:cs="Times New Roman"/>
        </w:rPr>
        <w:footnoteReference w:id="93"/>
      </w:r>
      <w:r w:rsidR="00D76F09">
        <w:rPr>
          <w:rFonts w:ascii="Times New Roman" w:hAnsi="Times New Roman" w:cs="Times New Roman"/>
        </w:rPr>
        <w:t xml:space="preserve"> But that additional $3.2 million is projected to increase savings under the HVAC program by just 1,291 MWh.</w:t>
      </w:r>
      <w:r>
        <w:rPr>
          <w:rStyle w:val="FootnoteReference"/>
          <w:rFonts w:ascii="Times New Roman" w:hAnsi="Times New Roman" w:cs="Times New Roman"/>
        </w:rPr>
        <w:footnoteReference w:id="94"/>
      </w:r>
      <w:r w:rsidR="00D76F09">
        <w:rPr>
          <w:rFonts w:ascii="Times New Roman" w:hAnsi="Times New Roman" w:cs="Times New Roman"/>
        </w:rPr>
        <w:t xml:space="preserve"> These additional energy savings, therefore, come at a</w:t>
      </w:r>
      <w:r w:rsidR="007755A8">
        <w:rPr>
          <w:rFonts w:ascii="Times New Roman" w:hAnsi="Times New Roman" w:cs="Times New Roman"/>
        </w:rPr>
        <w:t>n excessive</w:t>
      </w:r>
      <w:r w:rsidR="00D76F09">
        <w:rPr>
          <w:rFonts w:ascii="Times New Roman" w:hAnsi="Times New Roman" w:cs="Times New Roman"/>
        </w:rPr>
        <w:t xml:space="preserve"> cost of </w:t>
      </w:r>
      <w:r w:rsidRPr="007C0E28" w:rsidR="00D76F09">
        <w:rPr>
          <w:rFonts w:ascii="Times New Roman" w:hAnsi="Times New Roman" w:cs="Times New Roman"/>
        </w:rPr>
        <w:t>$2.48 per k</w:t>
      </w:r>
      <w:r w:rsidRPr="007C0E28" w:rsidR="007C0E28">
        <w:rPr>
          <w:rFonts w:ascii="Times New Roman" w:hAnsi="Times New Roman" w:cs="Times New Roman"/>
        </w:rPr>
        <w:t>Wh</w:t>
      </w:r>
      <w:r w:rsidR="007C0E28">
        <w:rPr>
          <w:rFonts w:ascii="Times New Roman" w:hAnsi="Times New Roman" w:cs="Times New Roman"/>
        </w:rPr>
        <w:t>.</w:t>
      </w:r>
      <w:r>
        <w:rPr>
          <w:rStyle w:val="FootnoteReference"/>
          <w:rFonts w:ascii="Times New Roman" w:hAnsi="Times New Roman" w:cs="Times New Roman"/>
        </w:rPr>
        <w:footnoteReference w:id="95"/>
      </w:r>
      <w:r w:rsidR="007C0E28">
        <w:rPr>
          <w:rFonts w:ascii="Times New Roman" w:hAnsi="Times New Roman" w:cs="Times New Roman"/>
        </w:rPr>
        <w:t xml:space="preserve"> This is </w:t>
      </w:r>
      <w:r w:rsidR="007C0E28">
        <w:rPr>
          <w:rFonts w:ascii="Times New Roman" w:hAnsi="Times New Roman" w:cs="Times New Roman"/>
          <w:i/>
        </w:rPr>
        <w:t xml:space="preserve">15 times </w:t>
      </w:r>
      <w:r w:rsidR="007C0E28">
        <w:rPr>
          <w:rFonts w:ascii="Times New Roman" w:hAnsi="Times New Roman" w:cs="Times New Roman"/>
        </w:rPr>
        <w:t>the per-kWh cost of energy savings under the entire portfolio.</w:t>
      </w:r>
      <w:r>
        <w:rPr>
          <w:rStyle w:val="FootnoteReference"/>
          <w:rFonts w:ascii="Times New Roman" w:hAnsi="Times New Roman" w:cs="Times New Roman"/>
        </w:rPr>
        <w:footnoteReference w:id="96"/>
      </w:r>
      <w:r w:rsidR="007C0E28">
        <w:rPr>
          <w:rFonts w:ascii="Times New Roman" w:hAnsi="Times New Roman" w:cs="Times New Roman"/>
        </w:rPr>
        <w:t xml:space="preserve"> Customers do not benefit from energy savings at a cost of $2.48 per kWh. If the HVAC program remains in the portfolio, FirstEnergy should scale it back to at </w:t>
      </w:r>
      <w:r w:rsidR="0016016B">
        <w:rPr>
          <w:rFonts w:ascii="Times New Roman" w:hAnsi="Times New Roman" w:cs="Times New Roman"/>
        </w:rPr>
        <w:t>most</w:t>
      </w:r>
      <w:r w:rsidR="007C0E28">
        <w:rPr>
          <w:rFonts w:ascii="Times New Roman" w:hAnsi="Times New Roman" w:cs="Times New Roman"/>
        </w:rPr>
        <w:t xml:space="preserve"> the $8,665,309 budget originally planned for in the Application.</w:t>
      </w:r>
    </w:p>
    <w:p w:rsidR="003B22A9"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u w:val="single"/>
        </w:rPr>
        <w:t>Encourage competitive bidding.</w:t>
      </w:r>
      <w:r>
        <w:rPr>
          <w:rFonts w:ascii="Times New Roman" w:hAnsi="Times New Roman" w:cs="Times New Roman"/>
        </w:rPr>
        <w:t xml:space="preserve"> </w:t>
      </w:r>
      <w:r>
        <w:rPr>
          <w:rFonts w:ascii="Times New Roman" w:hAnsi="Times New Roman" w:cs="Times New Roman"/>
        </w:rPr>
        <w:t xml:space="preserve">FirstEnergy could also reduce the cost of its programs through the use of competitive bidding. OCC witness Spellman testified that competitive bidding </w:t>
      </w:r>
      <w:r w:rsidR="0082545D">
        <w:rPr>
          <w:rFonts w:ascii="Times New Roman" w:hAnsi="Times New Roman" w:cs="Times New Roman"/>
        </w:rPr>
        <w:t>"</w:t>
      </w:r>
      <w:r>
        <w:rPr>
          <w:rFonts w:ascii="Times New Roman" w:hAnsi="Times New Roman" w:cs="Times New Roman"/>
        </w:rPr>
        <w:t>is the best way to achieve maximum savings for customers at the lowest cost.</w:t>
      </w:r>
      <w:r w:rsidR="0082545D">
        <w:rPr>
          <w:rFonts w:ascii="Times New Roman" w:hAnsi="Times New Roman" w:cs="Times New Roman"/>
        </w:rPr>
        <w:t>"</w:t>
      </w:r>
      <w:r>
        <w:rPr>
          <w:rStyle w:val="FootnoteReference"/>
          <w:rFonts w:ascii="Times New Roman" w:hAnsi="Times New Roman" w:cs="Times New Roman"/>
        </w:rPr>
        <w:footnoteReference w:id="97"/>
      </w:r>
      <w:r>
        <w:rPr>
          <w:rFonts w:ascii="Times New Roman" w:hAnsi="Times New Roman" w:cs="Times New Roman"/>
        </w:rPr>
        <w:t xml:space="preserve"> Mr. Spellman also noted that based on his 40 years of experience as an energy efficiency expert, competitive bidding is </w:t>
      </w:r>
      <w:r w:rsidR="0082545D">
        <w:rPr>
          <w:rFonts w:ascii="Times New Roman" w:hAnsi="Times New Roman" w:cs="Times New Roman"/>
        </w:rPr>
        <w:t>"</w:t>
      </w:r>
      <w:r>
        <w:rPr>
          <w:rFonts w:ascii="Times New Roman" w:hAnsi="Times New Roman" w:cs="Times New Roman"/>
        </w:rPr>
        <w:t>the best way to do business to ensure you are getting high quality, the best price, the best ideas, and innovation.</w:t>
      </w:r>
      <w:r w:rsidR="0082545D">
        <w:rPr>
          <w:rFonts w:ascii="Times New Roman" w:hAnsi="Times New Roman" w:cs="Times New Roman"/>
        </w:rPr>
        <w:t>"</w:t>
      </w:r>
      <w:r>
        <w:rPr>
          <w:rStyle w:val="FootnoteReference"/>
          <w:rFonts w:ascii="Times New Roman" w:hAnsi="Times New Roman" w:cs="Times New Roman"/>
        </w:rPr>
        <w:footnoteReference w:id="98"/>
      </w:r>
      <w:r>
        <w:rPr>
          <w:rFonts w:ascii="Times New Roman" w:hAnsi="Times New Roman" w:cs="Times New Roman"/>
        </w:rPr>
        <w:t xml:space="preserve"> He also explained how competitive bidding is consistent with the PUCO</w:t>
      </w:r>
      <w:r w:rsidR="0082545D">
        <w:rPr>
          <w:rFonts w:ascii="Times New Roman" w:hAnsi="Times New Roman" w:cs="Times New Roman"/>
        </w:rPr>
        <w:t>'</w:t>
      </w:r>
      <w:r>
        <w:rPr>
          <w:rFonts w:ascii="Times New Roman" w:hAnsi="Times New Roman" w:cs="Times New Roman"/>
        </w:rPr>
        <w:t>s core mission of providing safe and reliable electric service to Ohioans while promoting a competitive environment.</w:t>
      </w:r>
      <w:r>
        <w:rPr>
          <w:rStyle w:val="FootnoteReference"/>
          <w:rFonts w:ascii="Times New Roman" w:hAnsi="Times New Roman" w:cs="Times New Roman"/>
        </w:rPr>
        <w:footnoteReference w:id="99"/>
      </w:r>
      <w:r>
        <w:rPr>
          <w:rFonts w:ascii="Times New Roman" w:hAnsi="Times New Roman" w:cs="Times New Roman"/>
        </w:rPr>
        <w:t xml:space="preserve"> Competitive bidding, therefore, could reduce the costs that customers pay for energy efficiency and could make it easier for FirstEnergy to achieve its statutory minimum energy savings within the $80.1 million annual cost cap.</w:t>
      </w:r>
    </w:p>
    <w:p w:rsidR="00D2464A"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u w:val="single"/>
        </w:rPr>
        <w:t>Remove or scale back programs that save energy at a higher cost.</w:t>
      </w:r>
      <w:r w:rsidRPr="000C2FE7">
        <w:rPr>
          <w:rFonts w:ascii="Times New Roman" w:hAnsi="Times New Roman" w:cs="Times New Roman"/>
        </w:rPr>
        <w:t xml:space="preserve"> </w:t>
      </w:r>
      <w:r>
        <w:rPr>
          <w:rFonts w:ascii="Times New Roman" w:hAnsi="Times New Roman" w:cs="Times New Roman"/>
        </w:rPr>
        <w:t xml:space="preserve">Exhibit A to this brief provides several examples of ways that FirstEnergy could adjust its portfolio to reduce the total cost that customers pay for energy </w:t>
      </w:r>
      <w:r w:rsidRPr="009A68EB">
        <w:rPr>
          <w:rFonts w:ascii="Times New Roman" w:hAnsi="Times New Roman" w:cs="Times New Roman"/>
        </w:rPr>
        <w:t>efficiency programs while still saving enough energy to satisfy the statutory savings requirements.</w:t>
      </w:r>
      <w:r w:rsidRPr="009A68EB" w:rsidR="009A68EB">
        <w:rPr>
          <w:rFonts w:ascii="Times New Roman" w:hAnsi="Times New Roman" w:cs="Times New Roman"/>
        </w:rPr>
        <w:t xml:space="preserve"> These examples are by no means exhaustive. They are merely examples of the countless ways that FirstEnergy could modify its program mix to achieve the statutory minimum energy savings at a more reasonable cost.</w:t>
      </w:r>
      <w:r w:rsidRPr="009A68EB">
        <w:rPr>
          <w:rFonts w:ascii="Times New Roman" w:hAnsi="Times New Roman" w:cs="Times New Roman"/>
        </w:rPr>
        <w:t xml:space="preserve"> For simplic</w:t>
      </w:r>
      <w:r>
        <w:rPr>
          <w:rFonts w:ascii="Times New Roman" w:hAnsi="Times New Roman" w:cs="Times New Roman"/>
        </w:rPr>
        <w:t>ity, these examples propose elimination of individual programs. But FirstEnergy could, as it did when modifying the portfolio from the Application to the Settlement, make minor modifications on a program-by-program basis to reduce costs. This would be consistent with the PUCO</w:t>
      </w:r>
      <w:r w:rsidR="0082545D">
        <w:rPr>
          <w:rFonts w:ascii="Times New Roman" w:hAnsi="Times New Roman" w:cs="Times New Roman"/>
        </w:rPr>
        <w:t>'</w:t>
      </w:r>
      <w:r>
        <w:rPr>
          <w:rFonts w:ascii="Times New Roman" w:hAnsi="Times New Roman" w:cs="Times New Roman"/>
        </w:rPr>
        <w:t>s directive in FirstEnergy</w:t>
      </w:r>
      <w:r w:rsidR="0082545D">
        <w:rPr>
          <w:rFonts w:ascii="Times New Roman" w:hAnsi="Times New Roman" w:cs="Times New Roman"/>
        </w:rPr>
        <w:t>'</w:t>
      </w:r>
      <w:r>
        <w:rPr>
          <w:rFonts w:ascii="Times New Roman" w:hAnsi="Times New Roman" w:cs="Times New Roman"/>
        </w:rPr>
        <w:t xml:space="preserve">s </w:t>
      </w:r>
      <w:r>
        <w:rPr>
          <w:rFonts w:ascii="Times New Roman" w:hAnsi="Times New Roman" w:cs="Times New Roman"/>
        </w:rPr>
        <w:t>ESP IV Case</w:t>
      </w:r>
      <w:r>
        <w:rPr>
          <w:rFonts w:ascii="Times New Roman" w:hAnsi="Times New Roman" w:cs="Times New Roman"/>
        </w:rPr>
        <w:t xml:space="preserve"> that FirstEnergy should achieve greater energy savings </w:t>
      </w:r>
      <w:r w:rsidR="0082545D">
        <w:rPr>
          <w:rFonts w:ascii="Times New Roman" w:hAnsi="Times New Roman" w:cs="Times New Roman"/>
        </w:rPr>
        <w:t>"</w:t>
      </w:r>
      <w:r>
        <w:rPr>
          <w:rFonts w:ascii="Times New Roman" w:hAnsi="Times New Roman" w:cs="Times New Roman"/>
        </w:rPr>
        <w:t>by efficiently administering the approved programs and achieving energy savings for the least cost.</w:t>
      </w:r>
      <w:r w:rsidR="0082545D">
        <w:rPr>
          <w:rFonts w:ascii="Times New Roman" w:hAnsi="Times New Roman" w:cs="Times New Roman"/>
        </w:rPr>
        <w:t>"</w:t>
      </w:r>
      <w:r>
        <w:rPr>
          <w:rStyle w:val="FootnoteReference"/>
          <w:rFonts w:ascii="Times New Roman" w:hAnsi="Times New Roman" w:cs="Times New Roman"/>
        </w:rPr>
        <w:footnoteReference w:id="100"/>
      </w:r>
    </w:p>
    <w:p w:rsidR="005D3456" w:rsidRPr="005D3456" w:rsidP="000F5657">
      <w:pPr>
        <w:pStyle w:val="Heading4"/>
      </w:pPr>
      <w:bookmarkStart w:id="13" w:name="_Toc475451054"/>
      <w:r>
        <w:t>c.</w:t>
      </w:r>
      <w:r>
        <w:tab/>
      </w:r>
      <w:r w:rsidR="00743700">
        <w:t>No party to this proceeding has disputed that there should be limits on the amount that FirstEnergy can charge customers for energy efficiency program costs and utility profits (shared savings).</w:t>
      </w:r>
      <w:bookmarkEnd w:id="13"/>
    </w:p>
    <w:p w:rsidR="00743700"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The Settlement does not include an annual cap limiting the amount that FirstEnergy can charge customers for program costs and shared savings.</w:t>
      </w:r>
      <w:r>
        <w:rPr>
          <w:rStyle w:val="FootnoteReference"/>
          <w:rFonts w:ascii="Times New Roman" w:hAnsi="Times New Roman" w:cs="Times New Roman"/>
        </w:rPr>
        <w:footnoteReference w:id="101"/>
      </w:r>
      <w:r>
        <w:rPr>
          <w:rFonts w:ascii="Times New Roman" w:hAnsi="Times New Roman" w:cs="Times New Roman"/>
        </w:rPr>
        <w:t xml:space="preserve"> Instead, it has a three-year budget for program costs, coupled with an annual cap on shared savings.</w:t>
      </w:r>
      <w:r>
        <w:rPr>
          <w:rStyle w:val="FootnoteReference"/>
          <w:rFonts w:ascii="Times New Roman" w:hAnsi="Times New Roman" w:cs="Times New Roman"/>
        </w:rPr>
        <w:footnoteReference w:id="102"/>
      </w:r>
      <w:r>
        <w:rPr>
          <w:rFonts w:ascii="Times New Roman" w:hAnsi="Times New Roman" w:cs="Times New Roman"/>
        </w:rPr>
        <w:t xml:space="preserve"> At hearing, various witnesses quibbled over the semantic difference between a </w:t>
      </w:r>
      <w:r w:rsidR="0082545D">
        <w:rPr>
          <w:rFonts w:ascii="Times New Roman" w:hAnsi="Times New Roman" w:cs="Times New Roman"/>
        </w:rPr>
        <w:t>"</w:t>
      </w:r>
      <w:r>
        <w:rPr>
          <w:rFonts w:ascii="Times New Roman" w:hAnsi="Times New Roman" w:cs="Times New Roman"/>
        </w:rPr>
        <w:t>cost cap</w:t>
      </w:r>
      <w:r w:rsidR="0082545D">
        <w:rPr>
          <w:rFonts w:ascii="Times New Roman" w:hAnsi="Times New Roman" w:cs="Times New Roman"/>
        </w:rPr>
        <w:t>"</w:t>
      </w:r>
      <w:r>
        <w:rPr>
          <w:rFonts w:ascii="Times New Roman" w:hAnsi="Times New Roman" w:cs="Times New Roman"/>
        </w:rPr>
        <w:t xml:space="preserve"> and a </w:t>
      </w:r>
      <w:r w:rsidR="0082545D">
        <w:rPr>
          <w:rFonts w:ascii="Times New Roman" w:hAnsi="Times New Roman" w:cs="Times New Roman"/>
        </w:rPr>
        <w:t>"</w:t>
      </w:r>
      <w:r>
        <w:rPr>
          <w:rFonts w:ascii="Times New Roman" w:hAnsi="Times New Roman" w:cs="Times New Roman"/>
        </w:rPr>
        <w:t>budget.</w:t>
      </w:r>
      <w:r w:rsidR="0082545D">
        <w:rPr>
          <w:rFonts w:ascii="Times New Roman" w:hAnsi="Times New Roman" w:cs="Times New Roman"/>
        </w:rPr>
        <w:t>"</w:t>
      </w:r>
      <w:r>
        <w:rPr>
          <w:rStyle w:val="FootnoteReference"/>
          <w:rFonts w:ascii="Times New Roman" w:hAnsi="Times New Roman" w:cs="Times New Roman"/>
        </w:rPr>
        <w:footnoteReference w:id="103"/>
      </w:r>
      <w:r w:rsidR="00E00668">
        <w:rPr>
          <w:rFonts w:ascii="Times New Roman" w:hAnsi="Times New Roman" w:cs="Times New Roman"/>
        </w:rPr>
        <w:t xml:space="preserve"> But ultimately, all parties that submitted evidence in this case (FirstEnergy,</w:t>
      </w:r>
      <w:r w:rsidR="005E29C3">
        <w:rPr>
          <w:rFonts w:ascii="Times New Roman" w:hAnsi="Times New Roman" w:cs="Times New Roman"/>
        </w:rPr>
        <w:t xml:space="preserve"> the PUCO Staff, OCC, and the E</w:t>
      </w:r>
      <w:r w:rsidR="00E00668">
        <w:rPr>
          <w:rFonts w:ascii="Times New Roman" w:hAnsi="Times New Roman" w:cs="Times New Roman"/>
        </w:rPr>
        <w:t xml:space="preserve">nvironmental </w:t>
      </w:r>
      <w:r w:rsidR="005E29C3">
        <w:rPr>
          <w:rFonts w:ascii="Times New Roman" w:hAnsi="Times New Roman" w:cs="Times New Roman"/>
        </w:rPr>
        <w:t>P</w:t>
      </w:r>
      <w:r w:rsidR="00E00668">
        <w:rPr>
          <w:rFonts w:ascii="Times New Roman" w:hAnsi="Times New Roman" w:cs="Times New Roman"/>
        </w:rPr>
        <w:t>arties) agree that there should be limits on the amount that FirstEnergy can charge customers for energy efficiency program costs and shared savings:</w:t>
      </w:r>
    </w:p>
    <w:p w:rsidR="00E00668" w:rsidP="0002569A">
      <w:pPr>
        <w:pStyle w:val="Footer"/>
        <w:numPr>
          <w:ilvl w:val="0"/>
          <w:numId w:val="27"/>
        </w:numPr>
        <w:tabs>
          <w:tab w:val="clear" w:pos="4320"/>
          <w:tab w:val="clear" w:pos="8640"/>
        </w:tabs>
        <w:spacing w:after="240"/>
        <w:ind w:left="2160" w:right="720" w:hanging="720"/>
        <w:rPr>
          <w:rFonts w:ascii="Times New Roman" w:hAnsi="Times New Roman" w:cs="Times New Roman"/>
        </w:rPr>
      </w:pPr>
      <w:r>
        <w:rPr>
          <w:rFonts w:ascii="Times New Roman" w:hAnsi="Times New Roman" w:cs="Times New Roman"/>
        </w:rPr>
        <w:t xml:space="preserve">OCC and the PUCO Staff advocated for an $80.1 million </w:t>
      </w:r>
      <w:r w:rsidR="005E29C3">
        <w:rPr>
          <w:rFonts w:ascii="Times New Roman" w:hAnsi="Times New Roman" w:cs="Times New Roman"/>
        </w:rPr>
        <w:t>annual</w:t>
      </w:r>
      <w:r>
        <w:rPr>
          <w:rFonts w:ascii="Times New Roman" w:hAnsi="Times New Roman" w:cs="Times New Roman"/>
        </w:rPr>
        <w:t xml:space="preserve"> cap on energy efficiency program costs and shared savings.</w:t>
      </w:r>
      <w:r>
        <w:rPr>
          <w:rStyle w:val="FootnoteReference"/>
          <w:rFonts w:ascii="Times New Roman" w:hAnsi="Times New Roman" w:cs="Times New Roman"/>
        </w:rPr>
        <w:footnoteReference w:id="104"/>
      </w:r>
    </w:p>
    <w:p w:rsidR="00E00668" w:rsidP="0002569A">
      <w:pPr>
        <w:pStyle w:val="Footer"/>
        <w:numPr>
          <w:ilvl w:val="0"/>
          <w:numId w:val="27"/>
        </w:numPr>
        <w:tabs>
          <w:tab w:val="clear" w:pos="4320"/>
          <w:tab w:val="clear" w:pos="8640"/>
        </w:tabs>
        <w:spacing w:after="240"/>
        <w:ind w:left="2160" w:right="720" w:hanging="720"/>
        <w:rPr>
          <w:rFonts w:ascii="Times New Roman" w:hAnsi="Times New Roman" w:cs="Times New Roman"/>
        </w:rPr>
      </w:pPr>
      <w:r>
        <w:rPr>
          <w:rFonts w:ascii="Times New Roman" w:hAnsi="Times New Roman" w:cs="Times New Roman"/>
        </w:rPr>
        <w:t>The Settlement, which FirstEnergy and each of the Environmental Parties signed, includes a three-year budget and a</w:t>
      </w:r>
      <w:r w:rsidR="00D92A0A">
        <w:rPr>
          <w:rFonts w:ascii="Times New Roman" w:hAnsi="Times New Roman" w:cs="Times New Roman"/>
        </w:rPr>
        <w:t>n after-tax</w:t>
      </w:r>
      <w:r>
        <w:rPr>
          <w:rFonts w:ascii="Times New Roman" w:hAnsi="Times New Roman" w:cs="Times New Roman"/>
        </w:rPr>
        <w:t xml:space="preserve"> $10 million annual cap on shared savings.</w:t>
      </w:r>
      <w:r>
        <w:rPr>
          <w:rStyle w:val="FootnoteReference"/>
          <w:rFonts w:ascii="Times New Roman" w:hAnsi="Times New Roman" w:cs="Times New Roman"/>
        </w:rPr>
        <w:footnoteReference w:id="105"/>
      </w:r>
    </w:p>
    <w:p w:rsidR="00E00668" w:rsidP="0002569A">
      <w:pPr>
        <w:pStyle w:val="Footer"/>
        <w:numPr>
          <w:ilvl w:val="0"/>
          <w:numId w:val="27"/>
        </w:numPr>
        <w:tabs>
          <w:tab w:val="clear" w:pos="4320"/>
          <w:tab w:val="clear" w:pos="8640"/>
        </w:tabs>
        <w:spacing w:after="240"/>
        <w:ind w:left="2160" w:right="720" w:hanging="720"/>
        <w:rPr>
          <w:rFonts w:ascii="Times New Roman" w:hAnsi="Times New Roman" w:cs="Times New Roman"/>
        </w:rPr>
      </w:pPr>
      <w:r>
        <w:rPr>
          <w:rFonts w:ascii="Times New Roman" w:hAnsi="Times New Roman" w:cs="Times New Roman"/>
        </w:rPr>
        <w:t xml:space="preserve">Environmental Party witness Neme testified: </w:t>
      </w:r>
      <w:r w:rsidR="0082545D">
        <w:rPr>
          <w:rFonts w:ascii="Times New Roman" w:hAnsi="Times New Roman" w:cs="Times New Roman"/>
        </w:rPr>
        <w:t>"</w:t>
      </w:r>
      <w:r>
        <w:rPr>
          <w:rFonts w:ascii="Times New Roman" w:hAnsi="Times New Roman" w:cs="Times New Roman"/>
        </w:rPr>
        <w:t>The Commission should approve both a portfolio of energy efficiency programs and a not-to-exceed budget for spending on those programs.</w:t>
      </w:r>
      <w:r w:rsidR="0082545D">
        <w:rPr>
          <w:rFonts w:ascii="Times New Roman" w:hAnsi="Times New Roman" w:cs="Times New Roman"/>
        </w:rPr>
        <w:t>"</w:t>
      </w:r>
      <w:r>
        <w:rPr>
          <w:rStyle w:val="FootnoteReference"/>
          <w:rFonts w:ascii="Times New Roman" w:hAnsi="Times New Roman" w:cs="Times New Roman"/>
        </w:rPr>
        <w:footnoteReference w:id="106"/>
      </w:r>
    </w:p>
    <w:p w:rsidR="00E00668" w:rsidP="0002569A">
      <w:pPr>
        <w:pStyle w:val="Footer"/>
        <w:numPr>
          <w:ilvl w:val="0"/>
          <w:numId w:val="27"/>
        </w:numPr>
        <w:tabs>
          <w:tab w:val="clear" w:pos="4320"/>
          <w:tab w:val="clear" w:pos="8640"/>
        </w:tabs>
        <w:spacing w:after="240"/>
        <w:ind w:left="2160" w:right="720" w:hanging="720"/>
        <w:rPr>
          <w:rFonts w:ascii="Times New Roman" w:hAnsi="Times New Roman" w:cs="Times New Roman"/>
        </w:rPr>
      </w:pPr>
      <w:r>
        <w:rPr>
          <w:rFonts w:ascii="Times New Roman" w:hAnsi="Times New Roman" w:cs="Times New Roman"/>
        </w:rPr>
        <w:t xml:space="preserve">FirstEnergy witness Miller testified: </w:t>
      </w:r>
      <w:r w:rsidR="0082545D">
        <w:rPr>
          <w:rFonts w:ascii="Times New Roman" w:hAnsi="Times New Roman" w:cs="Times New Roman"/>
        </w:rPr>
        <w:t>"</w:t>
      </w:r>
      <w:r>
        <w:rPr>
          <w:rFonts w:ascii="Times New Roman" w:hAnsi="Times New Roman" w:cs="Times New Roman"/>
        </w:rPr>
        <w:t xml:space="preserve">the approved budget [under the Settlement] will serve as a </w:t>
      </w:r>
      <w:r w:rsidR="0082545D">
        <w:rPr>
          <w:rFonts w:ascii="Times New Roman" w:hAnsi="Times New Roman" w:cs="Times New Roman"/>
        </w:rPr>
        <w:t>'</w:t>
      </w:r>
      <w:r>
        <w:rPr>
          <w:rFonts w:ascii="Times New Roman" w:hAnsi="Times New Roman" w:cs="Times New Roman"/>
        </w:rPr>
        <w:t>cap</w:t>
      </w:r>
      <w:r w:rsidR="0082545D">
        <w:rPr>
          <w:rFonts w:ascii="Times New Roman" w:hAnsi="Times New Roman" w:cs="Times New Roman"/>
        </w:rPr>
        <w:t>'</w:t>
      </w:r>
      <w:r>
        <w:rPr>
          <w:rFonts w:ascii="Times New Roman" w:hAnsi="Times New Roman" w:cs="Times New Roman"/>
        </w:rPr>
        <w:t xml:space="preserve"> that will control the costs of the Revised Plans, including all program costs and shared savings.</w:t>
      </w:r>
      <w:r w:rsidR="0082545D">
        <w:rPr>
          <w:rFonts w:ascii="Times New Roman" w:hAnsi="Times New Roman" w:cs="Times New Roman"/>
        </w:rPr>
        <w:t>"</w:t>
      </w:r>
      <w:r>
        <w:rPr>
          <w:rStyle w:val="FootnoteReference"/>
          <w:rFonts w:ascii="Times New Roman" w:hAnsi="Times New Roman" w:cs="Times New Roman"/>
        </w:rPr>
        <w:footnoteReference w:id="107"/>
      </w:r>
    </w:p>
    <w:p w:rsidR="005E29C3"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The question, then, is not whether there should be a limit on the amount that customers pay. Instead, the question is what that limit should be.</w:t>
      </w:r>
      <w:r>
        <w:rPr>
          <w:rFonts w:ascii="Times New Roman" w:hAnsi="Times New Roman" w:cs="Times New Roman"/>
        </w:rPr>
        <w:t xml:space="preserve"> FirstEnergy and the Environmental Parties believe that the limit should be about $111 million per year.</w:t>
      </w:r>
      <w:r>
        <w:rPr>
          <w:rStyle w:val="FootnoteReference"/>
          <w:rFonts w:ascii="Times New Roman" w:hAnsi="Times New Roman" w:cs="Times New Roman"/>
        </w:rPr>
        <w:footnoteReference w:id="108"/>
      </w:r>
      <w:r>
        <w:rPr>
          <w:rFonts w:ascii="Times New Roman" w:hAnsi="Times New Roman" w:cs="Times New Roman"/>
        </w:rPr>
        <w:t xml:space="preserve"> OCC and the PUCO Staff, in contrast, have proposed an annual cap of $80.1 million, which can be increased by the amount of any PJM revenues passed back to customers.</w:t>
      </w:r>
    </w:p>
    <w:p w:rsidR="005E29C3" w:rsidP="005E29C3">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FirstEnergy</w:t>
      </w:r>
      <w:r w:rsidR="0082545D">
        <w:rPr>
          <w:rFonts w:ascii="Times New Roman" w:hAnsi="Times New Roman" w:cs="Times New Roman"/>
        </w:rPr>
        <w:t>'</w:t>
      </w:r>
      <w:r>
        <w:rPr>
          <w:rFonts w:ascii="Times New Roman" w:hAnsi="Times New Roman" w:cs="Times New Roman"/>
        </w:rPr>
        <w:t>s and the Environmental Parties</w:t>
      </w:r>
      <w:r w:rsidR="0082545D">
        <w:rPr>
          <w:rFonts w:ascii="Times New Roman" w:hAnsi="Times New Roman" w:cs="Times New Roman"/>
        </w:rPr>
        <w:t>'</w:t>
      </w:r>
      <w:r>
        <w:rPr>
          <w:rFonts w:ascii="Times New Roman" w:hAnsi="Times New Roman" w:cs="Times New Roman"/>
        </w:rPr>
        <w:t xml:space="preserve"> objections to the methodology for calculating the cap are a distraction to the real issue. Ultimately, these parties</w:t>
      </w:r>
      <w:r w:rsidR="0082545D">
        <w:rPr>
          <w:rFonts w:ascii="Times New Roman" w:hAnsi="Times New Roman" w:cs="Times New Roman"/>
        </w:rPr>
        <w:t>'</w:t>
      </w:r>
      <w:r>
        <w:rPr>
          <w:rFonts w:ascii="Times New Roman" w:hAnsi="Times New Roman" w:cs="Times New Roman"/>
        </w:rPr>
        <w:t xml:space="preserve"> objection</w:t>
      </w:r>
      <w:r w:rsidR="00982DF7">
        <w:rPr>
          <w:rFonts w:ascii="Times New Roman" w:hAnsi="Times New Roman" w:cs="Times New Roman"/>
        </w:rPr>
        <w:t>s</w:t>
      </w:r>
      <w:r>
        <w:rPr>
          <w:rFonts w:ascii="Times New Roman" w:hAnsi="Times New Roman" w:cs="Times New Roman"/>
        </w:rPr>
        <w:t xml:space="preserve"> to the PUCO Staff</w:t>
      </w:r>
      <w:r w:rsidR="0082545D">
        <w:rPr>
          <w:rFonts w:ascii="Times New Roman" w:hAnsi="Times New Roman" w:cs="Times New Roman"/>
        </w:rPr>
        <w:t>'</w:t>
      </w:r>
      <w:r>
        <w:rPr>
          <w:rFonts w:ascii="Times New Roman" w:hAnsi="Times New Roman" w:cs="Times New Roman"/>
        </w:rPr>
        <w:t xml:space="preserve">s proposed cost cap is that the </w:t>
      </w:r>
      <w:r w:rsidR="004524C0">
        <w:rPr>
          <w:rFonts w:ascii="Times New Roman" w:hAnsi="Times New Roman" w:cs="Times New Roman"/>
        </w:rPr>
        <w:t xml:space="preserve">$80.1 million </w:t>
      </w:r>
      <w:r>
        <w:rPr>
          <w:rFonts w:ascii="Times New Roman" w:hAnsi="Times New Roman" w:cs="Times New Roman"/>
        </w:rPr>
        <w:t>number is, in their opinion, too low. But $80.1 million is not too low</w:t>
      </w:r>
      <w:r w:rsidR="00414618">
        <w:rPr>
          <w:rFonts w:ascii="Times New Roman" w:hAnsi="Times New Roman" w:cs="Times New Roman"/>
        </w:rPr>
        <w:t xml:space="preserve"> for </w:t>
      </w:r>
      <w:r w:rsidR="00074FC8">
        <w:rPr>
          <w:rFonts w:ascii="Times New Roman" w:hAnsi="Times New Roman" w:cs="Times New Roman"/>
        </w:rPr>
        <w:t xml:space="preserve">the </w:t>
      </w:r>
      <w:r w:rsidR="00414618">
        <w:rPr>
          <w:rFonts w:ascii="Times New Roman" w:hAnsi="Times New Roman" w:cs="Times New Roman"/>
        </w:rPr>
        <w:t xml:space="preserve">consumers who have to pay </w:t>
      </w:r>
      <w:r w:rsidR="00074FC8">
        <w:rPr>
          <w:rFonts w:ascii="Times New Roman" w:hAnsi="Times New Roman" w:cs="Times New Roman"/>
        </w:rPr>
        <w:t>that amount</w:t>
      </w:r>
      <w:r>
        <w:rPr>
          <w:rFonts w:ascii="Times New Roman" w:hAnsi="Times New Roman" w:cs="Times New Roman"/>
        </w:rPr>
        <w:t>. OCC and the PUCO Staff have demonstrated that $80.1 million in annual spending is more than adequate for FirstEnergy to run a robust portfolio of energy efficiency programs for all customer classes. OCC and the PUCO Staff have demonstrated that FirstEnergy can meet the statutory requirements for energy savings within an $80.1 million annual budget. And OCC and the PUCO have demonstrated that an upper limit of $80.1 million per year benefits customers and the public interest by lowering the amount that customers are charged for energy efficiency on their electricity bills.</w:t>
      </w:r>
    </w:p>
    <w:p w:rsidR="005D3456"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The PUCO</w:t>
      </w:r>
      <w:r w:rsidR="0082545D">
        <w:rPr>
          <w:rFonts w:ascii="Times New Roman" w:hAnsi="Times New Roman" w:cs="Times New Roman"/>
        </w:rPr>
        <w:t>'</w:t>
      </w:r>
      <w:r>
        <w:rPr>
          <w:rFonts w:ascii="Times New Roman" w:hAnsi="Times New Roman" w:cs="Times New Roman"/>
        </w:rPr>
        <w:t>s policy for energy efficiency should support two goals</w:t>
      </w:r>
      <w:r w:rsidR="004524C0">
        <w:rPr>
          <w:rFonts w:ascii="Times New Roman" w:hAnsi="Times New Roman" w:cs="Times New Roman"/>
        </w:rPr>
        <w:t xml:space="preserve">. First, the PUCO should encourage adequate spending on energy efficiency programs to allow FirstEnergy to achieve its statutorily required energy savings. </w:t>
      </w:r>
      <w:r w:rsidRPr="000C2FE7" w:rsidR="004524C0">
        <w:rPr>
          <w:rFonts w:ascii="Times New Roman" w:hAnsi="Times New Roman" w:cs="Times New Roman"/>
        </w:rPr>
        <w:t>Second, the PUCO should limit the amount that customers can be charged for energy efficiency programs and utility profits to minimize th</w:t>
      </w:r>
      <w:r w:rsidRPr="000C2FE7">
        <w:rPr>
          <w:rFonts w:ascii="Times New Roman" w:hAnsi="Times New Roman" w:cs="Times New Roman"/>
        </w:rPr>
        <w:t>e impact on customers</w:t>
      </w:r>
      <w:r w:rsidR="0082545D">
        <w:rPr>
          <w:rFonts w:ascii="Times New Roman" w:hAnsi="Times New Roman" w:cs="Times New Roman"/>
        </w:rPr>
        <w:t>'</w:t>
      </w:r>
      <w:r w:rsidRPr="000C2FE7">
        <w:rPr>
          <w:rFonts w:ascii="Times New Roman" w:hAnsi="Times New Roman" w:cs="Times New Roman"/>
        </w:rPr>
        <w:t xml:space="preserve"> electric bills.</w:t>
      </w:r>
    </w:p>
    <w:p w:rsidR="004524C0"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The Signatory Parties proposal for $111 million in annual spending satisfies the first goal, but not the second. The PUCO Staff</w:t>
      </w:r>
      <w:r w:rsidR="0082545D">
        <w:rPr>
          <w:rFonts w:ascii="Times New Roman" w:hAnsi="Times New Roman" w:cs="Times New Roman"/>
        </w:rPr>
        <w:t>'</w:t>
      </w:r>
      <w:r>
        <w:rPr>
          <w:rFonts w:ascii="Times New Roman" w:hAnsi="Times New Roman" w:cs="Times New Roman"/>
        </w:rPr>
        <w:t>s and OCC</w:t>
      </w:r>
      <w:r w:rsidR="0082545D">
        <w:rPr>
          <w:rFonts w:ascii="Times New Roman" w:hAnsi="Times New Roman" w:cs="Times New Roman"/>
        </w:rPr>
        <w:t>'</w:t>
      </w:r>
      <w:r>
        <w:rPr>
          <w:rFonts w:ascii="Times New Roman" w:hAnsi="Times New Roman" w:cs="Times New Roman"/>
        </w:rPr>
        <w:t>s proposal satisfies both. The PUCO should limit customer charges for energy efficiency to $80.1 million per year as proposed by the PUCO Staff and OCC.</w:t>
      </w:r>
    </w:p>
    <w:p w:rsidR="00DE0C45" w:rsidP="00350235">
      <w:pPr>
        <w:pStyle w:val="Heading3"/>
      </w:pPr>
      <w:bookmarkStart w:id="14" w:name="_Toc475451055"/>
      <w:r>
        <w:t>2</w:t>
      </w:r>
      <w:r w:rsidR="00412C29">
        <w:t>.</w:t>
      </w:r>
      <w:r w:rsidR="00412C29">
        <w:tab/>
      </w:r>
      <w:r w:rsidR="006F71A5">
        <w:t xml:space="preserve">The Settlement </w:t>
      </w:r>
      <w:r w:rsidR="007E49F7">
        <w:t>would make</w:t>
      </w:r>
      <w:r>
        <w:t xml:space="preserve"> it easier for FirstEnergy to </w:t>
      </w:r>
      <w:r w:rsidR="007E49F7">
        <w:t>charge</w:t>
      </w:r>
      <w:r>
        <w:t xml:space="preserve"> </w:t>
      </w:r>
      <w:r w:rsidR="007E49F7">
        <w:t xml:space="preserve">customers for </w:t>
      </w:r>
      <w:r w:rsidR="008C5BE6">
        <w:t>profit (</w:t>
      </w:r>
      <w:r w:rsidR="007E49F7">
        <w:t>shared savings</w:t>
      </w:r>
      <w:r w:rsidR="008C5BE6">
        <w:t>)</w:t>
      </w:r>
      <w:r w:rsidR="007E49F7">
        <w:t xml:space="preserve"> </w:t>
      </w:r>
      <w:r>
        <w:t>without any reciprocal benefit to customers.</w:t>
      </w:r>
      <w:bookmarkEnd w:id="14"/>
    </w:p>
    <w:p w:rsidR="00412C29" w:rsidRPr="00412C29" w:rsidP="00CE0FD6">
      <w:pPr>
        <w:pStyle w:val="Heading4"/>
      </w:pPr>
      <w:bookmarkStart w:id="15" w:name="_Toc475451056"/>
      <w:r>
        <w:t>a.</w:t>
      </w:r>
      <w:r>
        <w:tab/>
        <w:t xml:space="preserve">The Settlement would require </w:t>
      </w:r>
      <w:r w:rsidR="006F71A5">
        <w:t xml:space="preserve">customers </w:t>
      </w:r>
      <w:r>
        <w:t xml:space="preserve">to </w:t>
      </w:r>
      <w:r w:rsidR="006F71A5">
        <w:t xml:space="preserve">pay the maximum </w:t>
      </w:r>
      <w:r w:rsidR="00471383">
        <w:t>level</w:t>
      </w:r>
      <w:r w:rsidR="006F71A5">
        <w:t xml:space="preserve"> of </w:t>
      </w:r>
      <w:r w:rsidR="008C5BE6">
        <w:t>profit (</w:t>
      </w:r>
      <w:r w:rsidR="006F71A5">
        <w:t>shared savings</w:t>
      </w:r>
      <w:r w:rsidR="008C5BE6">
        <w:t>)</w:t>
      </w:r>
      <w:r w:rsidR="006F71A5">
        <w:t xml:space="preserve"> to FirstEnergy in 2017, even if FirstEnergy does not meet its statutory benchmark. This does not benefit customers or the public interest.</w:t>
      </w:r>
      <w:bookmarkEnd w:id="15"/>
    </w:p>
    <w:p w:rsidR="00997A88"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In its Application, FirstEnergy proposed that customers pay shared savings to </w:t>
      </w:r>
      <w:r w:rsidR="0068357D">
        <w:rPr>
          <w:rFonts w:ascii="Times New Roman" w:hAnsi="Times New Roman" w:cs="Times New Roman"/>
        </w:rPr>
        <w:t>FirstEnergy</w:t>
      </w:r>
      <w:r>
        <w:rPr>
          <w:rFonts w:ascii="Times New Roman" w:hAnsi="Times New Roman" w:cs="Times New Roman"/>
        </w:rPr>
        <w:t xml:space="preserve"> i</w:t>
      </w:r>
      <w:r w:rsidR="0068357D">
        <w:rPr>
          <w:rFonts w:ascii="Times New Roman" w:hAnsi="Times New Roman" w:cs="Times New Roman"/>
        </w:rPr>
        <w:t>f</w:t>
      </w:r>
      <w:r>
        <w:rPr>
          <w:rFonts w:ascii="Times New Roman" w:hAnsi="Times New Roman" w:cs="Times New Roman"/>
        </w:rPr>
        <w:t xml:space="preserve"> it exceed</w:t>
      </w:r>
      <w:r w:rsidR="00780AD7">
        <w:rPr>
          <w:rFonts w:ascii="Times New Roman" w:hAnsi="Times New Roman" w:cs="Times New Roman"/>
        </w:rPr>
        <w:t>s</w:t>
      </w:r>
      <w:r>
        <w:rPr>
          <w:rFonts w:ascii="Times New Roman" w:hAnsi="Times New Roman" w:cs="Times New Roman"/>
        </w:rPr>
        <w:t xml:space="preserve"> the annual statutory benchmark energy savings.</w:t>
      </w:r>
      <w:r>
        <w:rPr>
          <w:rStyle w:val="FootnoteReference"/>
          <w:rFonts w:ascii="Times New Roman" w:hAnsi="Times New Roman" w:cs="Times New Roman"/>
        </w:rPr>
        <w:footnoteReference w:id="109"/>
      </w:r>
      <w:r>
        <w:rPr>
          <w:rFonts w:ascii="Times New Roman" w:hAnsi="Times New Roman" w:cs="Times New Roman"/>
        </w:rPr>
        <w:t xml:space="preserve"> The Settlement alters this for 2017. In 2017, </w:t>
      </w:r>
      <w:r w:rsidR="0068357D">
        <w:rPr>
          <w:rFonts w:ascii="Times New Roman" w:hAnsi="Times New Roman" w:cs="Times New Roman"/>
        </w:rPr>
        <w:t>each Company</w:t>
      </w:r>
      <w:r>
        <w:rPr>
          <w:rFonts w:ascii="Times New Roman" w:hAnsi="Times New Roman" w:cs="Times New Roman"/>
        </w:rPr>
        <w:t xml:space="preserve"> </w:t>
      </w:r>
      <w:r w:rsidR="0068357D">
        <w:rPr>
          <w:rFonts w:ascii="Times New Roman" w:hAnsi="Times New Roman" w:cs="Times New Roman"/>
        </w:rPr>
        <w:t>would be</w:t>
      </w:r>
      <w:r>
        <w:rPr>
          <w:rFonts w:ascii="Times New Roman" w:hAnsi="Times New Roman" w:cs="Times New Roman"/>
        </w:rPr>
        <w:t xml:space="preserve"> eligible for shared savings if its programs achieve energy savings 14% </w:t>
      </w:r>
      <w:r>
        <w:rPr>
          <w:rFonts w:ascii="Times New Roman" w:hAnsi="Times New Roman" w:cs="Times New Roman"/>
          <w:u w:val="single"/>
        </w:rPr>
        <w:t>below</w:t>
      </w:r>
      <w:r>
        <w:rPr>
          <w:rFonts w:ascii="Times New Roman" w:hAnsi="Times New Roman" w:cs="Times New Roman"/>
        </w:rPr>
        <w:t xml:space="preserve"> the statutory minimum.</w:t>
      </w:r>
      <w:r>
        <w:rPr>
          <w:rStyle w:val="FootnoteReference"/>
          <w:rFonts w:ascii="Times New Roman" w:hAnsi="Times New Roman" w:cs="Times New Roman"/>
        </w:rPr>
        <w:footnoteReference w:id="110"/>
      </w:r>
      <w:r w:rsidR="00DF47D6">
        <w:rPr>
          <w:rFonts w:ascii="Times New Roman" w:hAnsi="Times New Roman" w:cs="Times New Roman"/>
        </w:rPr>
        <w:t xml:space="preserve"> This is unreasonable. </w:t>
      </w:r>
    </w:p>
    <w:p w:rsidR="00D33687" w:rsidP="00DE0C45">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FirstEnergy witness Demiray explained how this would work</w:t>
      </w:r>
      <w:r w:rsidR="00A21363">
        <w:rPr>
          <w:rFonts w:ascii="Times New Roman" w:hAnsi="Times New Roman" w:cs="Times New Roman"/>
        </w:rPr>
        <w:t>, using Ohio Edison as an example</w:t>
      </w:r>
      <w:r>
        <w:rPr>
          <w:rFonts w:ascii="Times New Roman" w:hAnsi="Times New Roman" w:cs="Times New Roman"/>
        </w:rPr>
        <w:t>. In 2017, Ohio Edison</w:t>
      </w:r>
      <w:r w:rsidR="0082545D">
        <w:rPr>
          <w:rFonts w:ascii="Times New Roman" w:hAnsi="Times New Roman" w:cs="Times New Roman"/>
        </w:rPr>
        <w:t>'</w:t>
      </w:r>
      <w:r>
        <w:rPr>
          <w:rFonts w:ascii="Times New Roman" w:hAnsi="Times New Roman" w:cs="Times New Roman"/>
        </w:rPr>
        <w:t>s statuto</w:t>
      </w:r>
      <w:r>
        <w:rPr>
          <w:rFonts w:ascii="Times New Roman" w:hAnsi="Times New Roman" w:cs="Times New Roman"/>
        </w:rPr>
        <w:t xml:space="preserve">ry </w:t>
      </w:r>
      <w:r w:rsidR="00A21363">
        <w:rPr>
          <w:rFonts w:ascii="Times New Roman" w:hAnsi="Times New Roman" w:cs="Times New Roman"/>
        </w:rPr>
        <w:t>minimum</w:t>
      </w:r>
      <w:r>
        <w:rPr>
          <w:rFonts w:ascii="Times New Roman" w:hAnsi="Times New Roman" w:cs="Times New Roman"/>
        </w:rPr>
        <w:t xml:space="preserve"> energy savings is 241.23</w:t>
      </w:r>
      <w:r>
        <w:rPr>
          <w:rFonts w:ascii="Times New Roman" w:hAnsi="Times New Roman" w:cs="Times New Roman"/>
        </w:rPr>
        <w:t xml:space="preserve"> GWh.</w:t>
      </w:r>
      <w:r>
        <w:rPr>
          <w:rStyle w:val="FootnoteReference"/>
          <w:rFonts w:ascii="Times New Roman" w:hAnsi="Times New Roman" w:cs="Times New Roman"/>
        </w:rPr>
        <w:footnoteReference w:id="111"/>
      </w:r>
      <w:r>
        <w:rPr>
          <w:rFonts w:ascii="Times New Roman" w:hAnsi="Times New Roman" w:cs="Times New Roman"/>
        </w:rPr>
        <w:t xml:space="preserve"> Without the 14% reduction, Ohio Edison would only be eligible for shared savings if its programs achieved more than 241.23 GWh of energy savings in 2017.</w:t>
      </w:r>
      <w:r>
        <w:rPr>
          <w:rStyle w:val="FootnoteReference"/>
          <w:rFonts w:ascii="Times New Roman" w:hAnsi="Times New Roman" w:cs="Times New Roman"/>
        </w:rPr>
        <w:footnoteReference w:id="112"/>
      </w:r>
      <w:r>
        <w:rPr>
          <w:rFonts w:ascii="Times New Roman" w:hAnsi="Times New Roman" w:cs="Times New Roman"/>
        </w:rPr>
        <w:t xml:space="preserve"> But under the Settlement, Ohio Edison would be eligible for shared savings in 2017 if it achieved only 207.46 GWh of energy savings.</w:t>
      </w:r>
      <w:r>
        <w:rPr>
          <w:rStyle w:val="FootnoteReference"/>
          <w:rFonts w:ascii="Times New Roman" w:hAnsi="Times New Roman" w:cs="Times New Roman"/>
        </w:rPr>
        <w:footnoteReference w:id="113"/>
      </w:r>
      <w:r>
        <w:rPr>
          <w:rFonts w:ascii="Times New Roman" w:hAnsi="Times New Roman" w:cs="Times New Roman"/>
        </w:rPr>
        <w:t xml:space="preserve"> </w:t>
      </w:r>
      <w:r w:rsidR="00A21363">
        <w:rPr>
          <w:rFonts w:ascii="Times New Roman" w:hAnsi="Times New Roman" w:cs="Times New Roman"/>
        </w:rPr>
        <w:t>I</w:t>
      </w:r>
      <w:r>
        <w:rPr>
          <w:rFonts w:ascii="Times New Roman" w:hAnsi="Times New Roman" w:cs="Times New Roman"/>
        </w:rPr>
        <w:t xml:space="preserve">n fact, Ohio Edison would be eligible for the </w:t>
      </w:r>
      <w:r w:rsidRPr="009A68EB">
        <w:rPr>
          <w:rFonts w:ascii="Times New Roman" w:hAnsi="Times New Roman" w:cs="Times New Roman"/>
          <w:u w:val="single"/>
        </w:rPr>
        <w:t>highest possible</w:t>
      </w:r>
      <w:r>
        <w:rPr>
          <w:rFonts w:ascii="Times New Roman" w:hAnsi="Times New Roman" w:cs="Times New Roman"/>
        </w:rPr>
        <w:t xml:space="preserve"> level of shared savings if it achieved </w:t>
      </w:r>
      <w:r>
        <w:rPr>
          <w:rFonts w:ascii="Times New Roman" w:hAnsi="Times New Roman" w:cs="Times New Roman"/>
        </w:rPr>
        <w:t xml:space="preserve">238.58 GWh of energy savings in 2017—which is still below the 241.23 GWh statutory </w:t>
      </w:r>
      <w:r w:rsidR="00A21363">
        <w:rPr>
          <w:rFonts w:ascii="Times New Roman" w:hAnsi="Times New Roman" w:cs="Times New Roman"/>
        </w:rPr>
        <w:t>minimum</w:t>
      </w:r>
      <w:r>
        <w:rPr>
          <w:rFonts w:ascii="Times New Roman" w:hAnsi="Times New Roman" w:cs="Times New Roman"/>
        </w:rPr>
        <w:t>.</w:t>
      </w:r>
      <w:r>
        <w:rPr>
          <w:rStyle w:val="FootnoteReference"/>
          <w:rFonts w:ascii="Times New Roman" w:hAnsi="Times New Roman" w:cs="Times New Roman"/>
        </w:rPr>
        <w:footnoteReference w:id="114"/>
      </w:r>
      <w:r>
        <w:rPr>
          <w:rFonts w:ascii="Times New Roman" w:hAnsi="Times New Roman" w:cs="Times New Roman"/>
        </w:rPr>
        <w:t xml:space="preserve"> </w:t>
      </w:r>
      <w:r w:rsidR="000C2FE7">
        <w:rPr>
          <w:rFonts w:ascii="Times New Roman" w:hAnsi="Times New Roman" w:cs="Times New Roman"/>
        </w:rPr>
        <w:t>C</w:t>
      </w:r>
      <w:r>
        <w:rPr>
          <w:rFonts w:ascii="Times New Roman" w:hAnsi="Times New Roman" w:cs="Times New Roman"/>
        </w:rPr>
        <w:t xml:space="preserve">ustomers </w:t>
      </w:r>
      <w:r w:rsidR="000C2FE7">
        <w:rPr>
          <w:rFonts w:ascii="Times New Roman" w:hAnsi="Times New Roman" w:cs="Times New Roman"/>
        </w:rPr>
        <w:t xml:space="preserve">should not </w:t>
      </w:r>
      <w:r>
        <w:rPr>
          <w:rFonts w:ascii="Times New Roman" w:hAnsi="Times New Roman" w:cs="Times New Roman"/>
        </w:rPr>
        <w:t xml:space="preserve">pay the maximum </w:t>
      </w:r>
      <w:r w:rsidR="00A21363">
        <w:rPr>
          <w:rFonts w:ascii="Times New Roman" w:hAnsi="Times New Roman" w:cs="Times New Roman"/>
        </w:rPr>
        <w:t>level</w:t>
      </w:r>
      <w:r>
        <w:rPr>
          <w:rFonts w:ascii="Times New Roman" w:hAnsi="Times New Roman" w:cs="Times New Roman"/>
        </w:rPr>
        <w:t xml:space="preserve"> of profit to their utility when the utility fails to even achieve the statutory minimum energy savings.</w:t>
      </w:r>
    </w:p>
    <w:p w:rsidR="00471383" w:rsidP="00DE0C45">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To protect customers from unnecessary charges, t</w:t>
      </w:r>
      <w:r>
        <w:rPr>
          <w:rFonts w:ascii="Times New Roman" w:hAnsi="Times New Roman" w:cs="Times New Roman"/>
        </w:rPr>
        <w:t>he PUCO should reject the proposal in the Settlement to lower the amount of energy savings that FirstEnergy must achieve in 2017 to be eligible for shared savings.</w:t>
      </w:r>
    </w:p>
    <w:p w:rsidR="00DE0C45" w:rsidRPr="00DE0C45" w:rsidP="00350235">
      <w:pPr>
        <w:pStyle w:val="Heading4"/>
      </w:pPr>
      <w:bookmarkStart w:id="16" w:name="_Toc475451057"/>
      <w:r>
        <w:t>b.</w:t>
      </w:r>
      <w:r>
        <w:tab/>
      </w:r>
      <w:r w:rsidR="00AD510B">
        <w:t xml:space="preserve">FirstEnergy claims that it should be eligible for </w:t>
      </w:r>
      <w:r w:rsidR="00D412AF">
        <w:t>profit (</w:t>
      </w:r>
      <w:r w:rsidR="00AD510B">
        <w:t>shared savings</w:t>
      </w:r>
      <w:r w:rsidR="00D412AF">
        <w:t>)</w:t>
      </w:r>
      <w:r w:rsidR="00AD510B">
        <w:t xml:space="preserve"> by achieving 14% below the statutory </w:t>
      </w:r>
      <w:r w:rsidR="00A21363">
        <w:t>minimum</w:t>
      </w:r>
      <w:r w:rsidR="00AD510B">
        <w:t xml:space="preserve"> in 2017 because of the </w:t>
      </w:r>
      <w:r w:rsidR="003342D2">
        <w:t>alleged delay in the procedural schedule in this case. Any such delay does not justify a reduction in the threshold for shared savings.</w:t>
      </w:r>
      <w:bookmarkEnd w:id="16"/>
    </w:p>
    <w:p w:rsidR="0068357D"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According to FirstEnergy, it should be eligible for </w:t>
      </w:r>
      <w:r w:rsidR="00D412AF">
        <w:rPr>
          <w:rFonts w:ascii="Times New Roman" w:hAnsi="Times New Roman" w:cs="Times New Roman"/>
        </w:rPr>
        <w:t>profit (</w:t>
      </w:r>
      <w:r>
        <w:rPr>
          <w:rFonts w:ascii="Times New Roman" w:hAnsi="Times New Roman" w:cs="Times New Roman"/>
        </w:rPr>
        <w:t>shared savings</w:t>
      </w:r>
      <w:r w:rsidR="00D412AF">
        <w:rPr>
          <w:rFonts w:ascii="Times New Roman" w:hAnsi="Times New Roman" w:cs="Times New Roman"/>
        </w:rPr>
        <w:t>)</w:t>
      </w:r>
      <w:r>
        <w:rPr>
          <w:rFonts w:ascii="Times New Roman" w:hAnsi="Times New Roman" w:cs="Times New Roman"/>
        </w:rPr>
        <w:t xml:space="preserve"> by reaching 14% below the statutory </w:t>
      </w:r>
      <w:r w:rsidR="00A21363">
        <w:rPr>
          <w:rFonts w:ascii="Times New Roman" w:hAnsi="Times New Roman" w:cs="Times New Roman"/>
        </w:rPr>
        <w:t>minimum</w:t>
      </w:r>
      <w:r>
        <w:rPr>
          <w:rFonts w:ascii="Times New Roman" w:hAnsi="Times New Roman" w:cs="Times New Roman"/>
        </w:rPr>
        <w:t xml:space="preserve"> in 2017 because the hearing in this case was postponed on several occasions.</w:t>
      </w:r>
      <w:r>
        <w:rPr>
          <w:rStyle w:val="FootnoteReference"/>
          <w:rFonts w:ascii="Times New Roman" w:hAnsi="Times New Roman" w:cs="Times New Roman"/>
        </w:rPr>
        <w:footnoteReference w:id="115"/>
      </w:r>
      <w:r>
        <w:rPr>
          <w:rFonts w:ascii="Times New Roman" w:hAnsi="Times New Roman" w:cs="Times New Roman"/>
        </w:rPr>
        <w:t xml:space="preserve"> Any delays in the procedural schedule in this case do not justify FirstEnergy charging customers for shared savings when FirstEnergy does not achieve its statutory benchmark.</w:t>
      </w:r>
    </w:p>
    <w:p w:rsidR="009A68EB"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First, the Companies contributed to the postponement</w:t>
      </w:r>
      <w:r w:rsidR="00465340">
        <w:rPr>
          <w:rFonts w:ascii="Times New Roman" w:hAnsi="Times New Roman" w:cs="Times New Roman"/>
        </w:rPr>
        <w:t>s</w:t>
      </w:r>
      <w:r>
        <w:rPr>
          <w:rFonts w:ascii="Times New Roman" w:hAnsi="Times New Roman" w:cs="Times New Roman"/>
        </w:rPr>
        <w:t xml:space="preserve"> of the hearing in this case. On June 27, 2016, the PUCO Staff filed a motion for continuance of the hearing originally scheduled for July 25, 2016.</w:t>
      </w:r>
      <w:r>
        <w:rPr>
          <w:rStyle w:val="FootnoteReference"/>
          <w:rFonts w:ascii="Times New Roman" w:hAnsi="Times New Roman" w:cs="Times New Roman"/>
        </w:rPr>
        <w:footnoteReference w:id="116"/>
      </w:r>
      <w:r>
        <w:rPr>
          <w:rFonts w:ascii="Times New Roman" w:hAnsi="Times New Roman" w:cs="Times New Roman"/>
        </w:rPr>
        <w:t xml:space="preserve"> All parties, including FirstEnergy, agreed to Staff</w:t>
      </w:r>
      <w:r w:rsidR="0082545D">
        <w:rPr>
          <w:rFonts w:ascii="Times New Roman" w:hAnsi="Times New Roman" w:cs="Times New Roman"/>
        </w:rPr>
        <w:t>'</w:t>
      </w:r>
      <w:r>
        <w:rPr>
          <w:rFonts w:ascii="Times New Roman" w:hAnsi="Times New Roman" w:cs="Times New Roman"/>
        </w:rPr>
        <w:t>s request.</w:t>
      </w:r>
      <w:r>
        <w:rPr>
          <w:rStyle w:val="FootnoteReference"/>
          <w:rFonts w:ascii="Times New Roman" w:hAnsi="Times New Roman" w:cs="Times New Roman"/>
        </w:rPr>
        <w:footnoteReference w:id="117"/>
      </w:r>
      <w:r>
        <w:rPr>
          <w:rFonts w:ascii="Times New Roman" w:hAnsi="Times New Roman" w:cs="Times New Roman"/>
        </w:rPr>
        <w:t xml:space="preserve"> The Attorney Examiner granted the PUCO Staff</w:t>
      </w:r>
      <w:r w:rsidR="0082545D">
        <w:rPr>
          <w:rFonts w:ascii="Times New Roman" w:hAnsi="Times New Roman" w:cs="Times New Roman"/>
        </w:rPr>
        <w:t>'</w:t>
      </w:r>
      <w:r>
        <w:rPr>
          <w:rFonts w:ascii="Times New Roman" w:hAnsi="Times New Roman" w:cs="Times New Roman"/>
        </w:rPr>
        <w:t>s request for a continuance.</w:t>
      </w:r>
      <w:r>
        <w:rPr>
          <w:rStyle w:val="FootnoteReference"/>
          <w:rFonts w:ascii="Times New Roman" w:hAnsi="Times New Roman" w:cs="Times New Roman"/>
        </w:rPr>
        <w:footnoteReference w:id="118"/>
      </w:r>
      <w:r>
        <w:rPr>
          <w:rFonts w:ascii="Times New Roman" w:hAnsi="Times New Roman" w:cs="Times New Roman"/>
        </w:rPr>
        <w:t xml:space="preserve"> On September 29, 2016, the PUCO Staff filed a motion for continuance of the hearing scheduled for October 11, 2016.</w:t>
      </w:r>
      <w:r>
        <w:rPr>
          <w:rStyle w:val="FootnoteReference"/>
          <w:rFonts w:ascii="Times New Roman" w:hAnsi="Times New Roman" w:cs="Times New Roman"/>
        </w:rPr>
        <w:footnoteReference w:id="119"/>
      </w:r>
      <w:r>
        <w:rPr>
          <w:rFonts w:ascii="Times New Roman" w:hAnsi="Times New Roman" w:cs="Times New Roman"/>
        </w:rPr>
        <w:t xml:space="preserve"> </w:t>
      </w:r>
      <w:r w:rsidR="00465340">
        <w:rPr>
          <w:rFonts w:ascii="Times New Roman" w:hAnsi="Times New Roman" w:cs="Times New Roman"/>
        </w:rPr>
        <w:t xml:space="preserve">Again, </w:t>
      </w:r>
      <w:r>
        <w:rPr>
          <w:rFonts w:ascii="Times New Roman" w:hAnsi="Times New Roman" w:cs="Times New Roman"/>
        </w:rPr>
        <w:t>FirstEnergy did not file an objection to this motion.</w:t>
      </w:r>
      <w:r>
        <w:rPr>
          <w:rStyle w:val="FootnoteReference"/>
          <w:rFonts w:ascii="Times New Roman" w:hAnsi="Times New Roman" w:cs="Times New Roman"/>
        </w:rPr>
        <w:footnoteReference w:id="120"/>
      </w:r>
      <w:r>
        <w:rPr>
          <w:rFonts w:ascii="Times New Roman" w:hAnsi="Times New Roman" w:cs="Times New Roman"/>
        </w:rPr>
        <w:t xml:space="preserve"> The Attorney Examiner granted the PUCO Staff</w:t>
      </w:r>
      <w:r w:rsidR="0082545D">
        <w:rPr>
          <w:rFonts w:ascii="Times New Roman" w:hAnsi="Times New Roman" w:cs="Times New Roman"/>
        </w:rPr>
        <w:t>'</w:t>
      </w:r>
      <w:r>
        <w:rPr>
          <w:rFonts w:ascii="Times New Roman" w:hAnsi="Times New Roman" w:cs="Times New Roman"/>
        </w:rPr>
        <w:t>s request for a continuance.</w:t>
      </w:r>
      <w:r>
        <w:rPr>
          <w:rStyle w:val="FootnoteReference"/>
          <w:rFonts w:ascii="Times New Roman" w:hAnsi="Times New Roman" w:cs="Times New Roman"/>
        </w:rPr>
        <w:footnoteReference w:id="121"/>
      </w:r>
      <w:r>
        <w:rPr>
          <w:rFonts w:ascii="Times New Roman" w:hAnsi="Times New Roman" w:cs="Times New Roman"/>
        </w:rPr>
        <w:t xml:space="preserve"> The Attorney Examiner then scheduled the hearing in this case for November 21, 2016.</w:t>
      </w:r>
      <w:r>
        <w:rPr>
          <w:rStyle w:val="FootnoteReference"/>
          <w:rFonts w:ascii="Times New Roman" w:hAnsi="Times New Roman" w:cs="Times New Roman"/>
        </w:rPr>
        <w:footnoteReference w:id="122"/>
      </w:r>
      <w:r>
        <w:rPr>
          <w:rFonts w:ascii="Times New Roman" w:hAnsi="Times New Roman" w:cs="Times New Roman"/>
        </w:rPr>
        <w:t xml:space="preserve"> This time</w:t>
      </w:r>
      <w:r w:rsidR="00465340">
        <w:rPr>
          <w:rFonts w:ascii="Times New Roman" w:hAnsi="Times New Roman" w:cs="Times New Roman"/>
        </w:rPr>
        <w:t>, FirstEnergy filed a motion to continue the hearing.</w:t>
      </w:r>
      <w:r>
        <w:rPr>
          <w:rStyle w:val="FootnoteReference"/>
          <w:rFonts w:ascii="Times New Roman" w:hAnsi="Times New Roman" w:cs="Times New Roman"/>
        </w:rPr>
        <w:footnoteReference w:id="123"/>
      </w:r>
      <w:r w:rsidR="00465340">
        <w:rPr>
          <w:rFonts w:ascii="Times New Roman" w:hAnsi="Times New Roman" w:cs="Times New Roman"/>
        </w:rPr>
        <w:t xml:space="preserve"> The Attorney Examiner granted FirstEnergy</w:t>
      </w:r>
      <w:r w:rsidR="0082545D">
        <w:rPr>
          <w:rFonts w:ascii="Times New Roman" w:hAnsi="Times New Roman" w:cs="Times New Roman"/>
        </w:rPr>
        <w:t>'</w:t>
      </w:r>
      <w:r w:rsidR="00465340">
        <w:rPr>
          <w:rFonts w:ascii="Times New Roman" w:hAnsi="Times New Roman" w:cs="Times New Roman"/>
        </w:rPr>
        <w:t>s motion.</w:t>
      </w:r>
      <w:r>
        <w:rPr>
          <w:rStyle w:val="FootnoteReference"/>
          <w:rFonts w:ascii="Times New Roman" w:hAnsi="Times New Roman" w:cs="Times New Roman"/>
        </w:rPr>
        <w:footnoteReference w:id="124"/>
      </w:r>
      <w:r w:rsidR="00465340">
        <w:rPr>
          <w:rFonts w:ascii="Times New Roman" w:hAnsi="Times New Roman" w:cs="Times New Roman"/>
        </w:rPr>
        <w:t xml:space="preserve"> Finally, following the filing of the Settlement, the Attorney Examiner scheduled the hearing for January 23, 2017.</w:t>
      </w:r>
      <w:r>
        <w:rPr>
          <w:rStyle w:val="FootnoteReference"/>
          <w:rFonts w:ascii="Times New Roman" w:hAnsi="Times New Roman" w:cs="Times New Roman"/>
        </w:rPr>
        <w:footnoteReference w:id="125"/>
      </w:r>
      <w:r w:rsidR="00465340">
        <w:rPr>
          <w:rFonts w:ascii="Times New Roman" w:hAnsi="Times New Roman" w:cs="Times New Roman"/>
        </w:rPr>
        <w:t xml:space="preserve"> </w:t>
      </w:r>
    </w:p>
    <w:p w:rsidR="00465340"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FirstEnergy did not oppose any of the PUCO Staff</w:t>
      </w:r>
      <w:r w:rsidR="0082545D">
        <w:rPr>
          <w:rFonts w:ascii="Times New Roman" w:hAnsi="Times New Roman" w:cs="Times New Roman"/>
        </w:rPr>
        <w:t>'</w:t>
      </w:r>
      <w:r>
        <w:rPr>
          <w:rFonts w:ascii="Times New Roman" w:hAnsi="Times New Roman" w:cs="Times New Roman"/>
        </w:rPr>
        <w:t>s requests to continue the hearing in this case, and FirstEnergy itself asked the Attorney Examiner to postpone the hearing in November 2016.</w:t>
      </w:r>
      <w:r w:rsidR="00DF47D6">
        <w:rPr>
          <w:rFonts w:ascii="Times New Roman" w:hAnsi="Times New Roman" w:cs="Times New Roman"/>
        </w:rPr>
        <w:t xml:space="preserve"> </w:t>
      </w:r>
      <w:r>
        <w:rPr>
          <w:rFonts w:ascii="Times New Roman" w:hAnsi="Times New Roman" w:cs="Times New Roman"/>
        </w:rPr>
        <w:t>Customers should not pay higher</w:t>
      </w:r>
      <w:r w:rsidR="00D412AF">
        <w:rPr>
          <w:rFonts w:ascii="Times New Roman" w:hAnsi="Times New Roman" w:cs="Times New Roman"/>
        </w:rPr>
        <w:t xml:space="preserve"> profit</w:t>
      </w:r>
      <w:r>
        <w:rPr>
          <w:rFonts w:ascii="Times New Roman" w:hAnsi="Times New Roman" w:cs="Times New Roman"/>
        </w:rPr>
        <w:t xml:space="preserve"> </w:t>
      </w:r>
      <w:r w:rsidR="00D412AF">
        <w:rPr>
          <w:rFonts w:ascii="Times New Roman" w:hAnsi="Times New Roman" w:cs="Times New Roman"/>
        </w:rPr>
        <w:t>(</w:t>
      </w:r>
      <w:r>
        <w:rPr>
          <w:rFonts w:ascii="Times New Roman" w:hAnsi="Times New Roman" w:cs="Times New Roman"/>
        </w:rPr>
        <w:t>shared savings</w:t>
      </w:r>
      <w:r w:rsidR="00D412AF">
        <w:rPr>
          <w:rFonts w:ascii="Times New Roman" w:hAnsi="Times New Roman" w:cs="Times New Roman"/>
        </w:rPr>
        <w:t>)</w:t>
      </w:r>
      <w:r>
        <w:rPr>
          <w:rFonts w:ascii="Times New Roman" w:hAnsi="Times New Roman" w:cs="Times New Roman"/>
        </w:rPr>
        <w:t xml:space="preserve"> to FirstEnergy because of procedural delays that FirstEnergy created and consented to.</w:t>
      </w:r>
    </w:p>
    <w:p w:rsidR="00120F47"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Second, Ohio Senate Bill 310</w:t>
      </w:r>
      <w:r w:rsidR="001F2FDA">
        <w:rPr>
          <w:rFonts w:ascii="Times New Roman" w:hAnsi="Times New Roman" w:cs="Times New Roman"/>
        </w:rPr>
        <w:t xml:space="preserve"> limited the PUCO</w:t>
      </w:r>
      <w:r w:rsidR="0082545D">
        <w:rPr>
          <w:rFonts w:ascii="Times New Roman" w:hAnsi="Times New Roman" w:cs="Times New Roman"/>
        </w:rPr>
        <w:t>'</w:t>
      </w:r>
      <w:r w:rsidR="001F2FDA">
        <w:rPr>
          <w:rFonts w:ascii="Times New Roman" w:hAnsi="Times New Roman" w:cs="Times New Roman"/>
        </w:rPr>
        <w:t xml:space="preserve">s authority to take action with respect to energy efficiency portfolio plans before January 1, 2017. Section 7 of SB 310 states: </w:t>
      </w:r>
      <w:r w:rsidR="0082545D">
        <w:rPr>
          <w:rFonts w:ascii="Times New Roman" w:hAnsi="Times New Roman" w:cs="Times New Roman"/>
        </w:rPr>
        <w:t>"</w:t>
      </w:r>
      <w:r w:rsidR="001F2FDA">
        <w:rPr>
          <w:rFonts w:ascii="Times New Roman" w:hAnsi="Times New Roman" w:cs="Times New Roman"/>
        </w:rPr>
        <w:t xml:space="preserve">Prior to January 1, 2017, the Commission shall not take </w:t>
      </w:r>
      <w:r w:rsidRPr="00120F47" w:rsidR="001F2FDA">
        <w:rPr>
          <w:rFonts w:ascii="Times New Roman" w:hAnsi="Times New Roman" w:cs="Times New Roman"/>
          <w:u w:val="single"/>
        </w:rPr>
        <w:t>any action with regard to any portfolio plan or application regarding a portfolio plan</w:t>
      </w:r>
      <w:r w:rsidR="001F2FDA">
        <w:rPr>
          <w:rFonts w:ascii="Times New Roman" w:hAnsi="Times New Roman" w:cs="Times New Roman"/>
        </w:rPr>
        <w:t>, except those actions expressly authorized or required by Section 6 of this act and actions necessary to administer the implementation of existing portfolio plans.</w:t>
      </w:r>
      <w:r w:rsidR="0082545D">
        <w:rPr>
          <w:rFonts w:ascii="Times New Roman" w:hAnsi="Times New Roman" w:cs="Times New Roman"/>
        </w:rPr>
        <w:t>"</w:t>
      </w:r>
      <w:r>
        <w:rPr>
          <w:rStyle w:val="FootnoteReference"/>
          <w:rFonts w:ascii="Times New Roman" w:hAnsi="Times New Roman" w:cs="Times New Roman"/>
        </w:rPr>
        <w:footnoteReference w:id="126"/>
      </w:r>
      <w:r w:rsidR="001F2FDA">
        <w:rPr>
          <w:rFonts w:ascii="Times New Roman" w:hAnsi="Times New Roman" w:cs="Times New Roman"/>
        </w:rPr>
        <w:t xml:space="preserve"> </w:t>
      </w:r>
      <w:r>
        <w:rPr>
          <w:rFonts w:ascii="Times New Roman" w:hAnsi="Times New Roman" w:cs="Times New Roman"/>
        </w:rPr>
        <w:t>The General Assembly</w:t>
      </w:r>
      <w:r w:rsidR="0082545D">
        <w:rPr>
          <w:rFonts w:ascii="Times New Roman" w:hAnsi="Times New Roman" w:cs="Times New Roman"/>
        </w:rPr>
        <w:t>'</w:t>
      </w:r>
      <w:r>
        <w:rPr>
          <w:rFonts w:ascii="Times New Roman" w:hAnsi="Times New Roman" w:cs="Times New Roman"/>
        </w:rPr>
        <w:t>s intent is clear from the plain language of SB 310: the PUCO was not to hold a hearing or otherwise consider FirstEnergy</w:t>
      </w:r>
      <w:r w:rsidR="0082545D">
        <w:rPr>
          <w:rFonts w:ascii="Times New Roman" w:hAnsi="Times New Roman" w:cs="Times New Roman"/>
        </w:rPr>
        <w:t>'</w:t>
      </w:r>
      <w:r>
        <w:rPr>
          <w:rFonts w:ascii="Times New Roman" w:hAnsi="Times New Roman" w:cs="Times New Roman"/>
        </w:rPr>
        <w:t xml:space="preserve">s portfolio Application or Settlement in 2016. The January 23, 2017 hearing date was about as early as permitted by law. Thus, there was no </w:t>
      </w:r>
      <w:r w:rsidR="0082545D">
        <w:rPr>
          <w:rFonts w:ascii="Times New Roman" w:hAnsi="Times New Roman" w:cs="Times New Roman"/>
        </w:rPr>
        <w:t>"</w:t>
      </w:r>
      <w:r>
        <w:rPr>
          <w:rFonts w:ascii="Times New Roman" w:hAnsi="Times New Roman" w:cs="Times New Roman"/>
        </w:rPr>
        <w:t>delay</w:t>
      </w:r>
      <w:r w:rsidR="0082545D">
        <w:rPr>
          <w:rFonts w:ascii="Times New Roman" w:hAnsi="Times New Roman" w:cs="Times New Roman"/>
        </w:rPr>
        <w:t>"</w:t>
      </w:r>
      <w:r>
        <w:rPr>
          <w:rFonts w:ascii="Times New Roman" w:hAnsi="Times New Roman" w:cs="Times New Roman"/>
        </w:rPr>
        <w:t xml:space="preserve"> in the procedural schedule, and the timing of the hearing does not justify making it easier for FirstEnergy to charge customers </w:t>
      </w:r>
      <w:r w:rsidR="00A21363">
        <w:rPr>
          <w:rFonts w:ascii="Times New Roman" w:hAnsi="Times New Roman" w:cs="Times New Roman"/>
        </w:rPr>
        <w:t>for</w:t>
      </w:r>
      <w:r>
        <w:rPr>
          <w:rFonts w:ascii="Times New Roman" w:hAnsi="Times New Roman" w:cs="Times New Roman"/>
        </w:rPr>
        <w:t xml:space="preserve"> profits on energy efficiency programs.</w:t>
      </w:r>
    </w:p>
    <w:p w:rsidR="0068357D" w:rsidRPr="00465340" w:rsidP="00350235">
      <w:pPr>
        <w:pStyle w:val="Heading4"/>
      </w:pPr>
      <w:bookmarkStart w:id="17" w:name="_Toc475451058"/>
      <w:r>
        <w:t>c.</w:t>
      </w:r>
      <w:r>
        <w:tab/>
        <w:t>FirstEnergy will have ample opportunity to achieve its statutor</w:t>
      </w:r>
      <w:r w:rsidR="00120F47">
        <w:t>ily</w:t>
      </w:r>
      <w:r>
        <w:t xml:space="preserve"> mandate</w:t>
      </w:r>
      <w:r w:rsidR="00120F47">
        <w:t>d</w:t>
      </w:r>
      <w:r>
        <w:t xml:space="preserve"> energy savings in 2017.</w:t>
      </w:r>
      <w:bookmarkEnd w:id="17"/>
    </w:p>
    <w:p w:rsidR="00465340"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FirstEnergy claims that it is unlikely to achieve it statutor</w:t>
      </w:r>
      <w:r w:rsidR="003A684D">
        <w:rPr>
          <w:rFonts w:ascii="Times New Roman" w:hAnsi="Times New Roman" w:cs="Times New Roman"/>
        </w:rPr>
        <w:t>y minimum</w:t>
      </w:r>
      <w:r>
        <w:rPr>
          <w:rFonts w:ascii="Times New Roman" w:hAnsi="Times New Roman" w:cs="Times New Roman"/>
        </w:rPr>
        <w:t xml:space="preserve"> energy savings in 2017 as a result of delays in the procedural schedule.</w:t>
      </w:r>
      <w:r>
        <w:rPr>
          <w:rStyle w:val="FootnoteReference"/>
          <w:rFonts w:ascii="Times New Roman" w:hAnsi="Times New Roman" w:cs="Times New Roman"/>
        </w:rPr>
        <w:footnoteReference w:id="127"/>
      </w:r>
      <w:r w:rsidR="006623B0">
        <w:rPr>
          <w:rFonts w:ascii="Times New Roman" w:hAnsi="Times New Roman" w:cs="Times New Roman"/>
        </w:rPr>
        <w:t xml:space="preserve"> This is false for at least two reasons.</w:t>
      </w:r>
    </w:p>
    <w:p w:rsidR="006623B0"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First, several of FirstEnergy</w:t>
      </w:r>
      <w:r w:rsidR="0082545D">
        <w:rPr>
          <w:rFonts w:ascii="Times New Roman" w:hAnsi="Times New Roman" w:cs="Times New Roman"/>
        </w:rPr>
        <w:t>'</w:t>
      </w:r>
      <w:r>
        <w:rPr>
          <w:rFonts w:ascii="Times New Roman" w:hAnsi="Times New Roman" w:cs="Times New Roman"/>
        </w:rPr>
        <w:t>s 2017 programs are already active and available for customer participation. In particular, small and large nonresidential customers can participate in FirstEnergy</w:t>
      </w:r>
      <w:r w:rsidR="0082545D">
        <w:rPr>
          <w:rFonts w:ascii="Times New Roman" w:hAnsi="Times New Roman" w:cs="Times New Roman"/>
        </w:rPr>
        <w:t>'</w:t>
      </w:r>
      <w:r>
        <w:rPr>
          <w:rFonts w:ascii="Times New Roman" w:hAnsi="Times New Roman" w:cs="Times New Roman"/>
        </w:rPr>
        <w:t>s Custom and Custom Buildings programs.</w:t>
      </w:r>
      <w:r>
        <w:rPr>
          <w:rStyle w:val="FootnoteReference"/>
          <w:rFonts w:ascii="Times New Roman" w:hAnsi="Times New Roman" w:cs="Times New Roman"/>
        </w:rPr>
        <w:footnoteReference w:id="128"/>
      </w:r>
      <w:r>
        <w:rPr>
          <w:rFonts w:ascii="Times New Roman" w:hAnsi="Times New Roman" w:cs="Times New Roman"/>
        </w:rPr>
        <w:t xml:space="preserve"> </w:t>
      </w:r>
      <w:r w:rsidR="00F171CC">
        <w:rPr>
          <w:rFonts w:ascii="Times New Roman" w:hAnsi="Times New Roman" w:cs="Times New Roman"/>
        </w:rPr>
        <w:t>I</w:t>
      </w:r>
      <w:r>
        <w:rPr>
          <w:rFonts w:ascii="Times New Roman" w:hAnsi="Times New Roman" w:cs="Times New Roman"/>
        </w:rPr>
        <w:t>mportantly, these nonresidential programs are expected to achieve a substantial portion of the total energy savings in the portfolio. Combined, these programs are projected to save around 483,000 MWh over three years—over 27% of the entire energy savings under the Settlement.</w:t>
      </w:r>
      <w:r>
        <w:rPr>
          <w:rStyle w:val="FootnoteReference"/>
          <w:rFonts w:ascii="Times New Roman" w:hAnsi="Times New Roman" w:cs="Times New Roman"/>
        </w:rPr>
        <w:footnoteReference w:id="129"/>
      </w:r>
      <w:r>
        <w:rPr>
          <w:rFonts w:ascii="Times New Roman" w:hAnsi="Times New Roman" w:cs="Times New Roman"/>
        </w:rPr>
        <w:t xml:space="preserve"> Thus, even if there is </w:t>
      </w:r>
      <w:r w:rsidR="000C2FE7">
        <w:rPr>
          <w:rFonts w:ascii="Times New Roman" w:hAnsi="Times New Roman" w:cs="Times New Roman"/>
        </w:rPr>
        <w:t>a slight</w:t>
      </w:r>
      <w:r>
        <w:rPr>
          <w:rFonts w:ascii="Times New Roman" w:hAnsi="Times New Roman" w:cs="Times New Roman"/>
        </w:rPr>
        <w:t xml:space="preserve"> delay in implementing some of FirstEnergy</w:t>
      </w:r>
      <w:r w:rsidR="0082545D">
        <w:rPr>
          <w:rFonts w:ascii="Times New Roman" w:hAnsi="Times New Roman" w:cs="Times New Roman"/>
        </w:rPr>
        <w:t>'</w:t>
      </w:r>
      <w:r>
        <w:rPr>
          <w:rFonts w:ascii="Times New Roman" w:hAnsi="Times New Roman" w:cs="Times New Roman"/>
        </w:rPr>
        <w:t xml:space="preserve">s programs, other programs are already </w:t>
      </w:r>
      <w:r w:rsidR="00780AD7">
        <w:rPr>
          <w:rFonts w:ascii="Times New Roman" w:hAnsi="Times New Roman" w:cs="Times New Roman"/>
        </w:rPr>
        <w:t xml:space="preserve">resulting in </w:t>
      </w:r>
      <w:r>
        <w:rPr>
          <w:rFonts w:ascii="Times New Roman" w:hAnsi="Times New Roman" w:cs="Times New Roman"/>
        </w:rPr>
        <w:t>energy savings that count toward FirstEnergy</w:t>
      </w:r>
      <w:r w:rsidR="0082545D">
        <w:rPr>
          <w:rFonts w:ascii="Times New Roman" w:hAnsi="Times New Roman" w:cs="Times New Roman"/>
        </w:rPr>
        <w:t>'</w:t>
      </w:r>
      <w:r>
        <w:rPr>
          <w:rFonts w:ascii="Times New Roman" w:hAnsi="Times New Roman" w:cs="Times New Roman"/>
        </w:rPr>
        <w:t xml:space="preserve">s statutory </w:t>
      </w:r>
      <w:r w:rsidR="000C2FE7">
        <w:rPr>
          <w:rFonts w:ascii="Times New Roman" w:hAnsi="Times New Roman" w:cs="Times New Roman"/>
        </w:rPr>
        <w:t>benchmark</w:t>
      </w:r>
      <w:r>
        <w:rPr>
          <w:rFonts w:ascii="Times New Roman" w:hAnsi="Times New Roman" w:cs="Times New Roman"/>
        </w:rPr>
        <w:t>.</w:t>
      </w:r>
    </w:p>
    <w:p w:rsidR="00412C29"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Second, as discussed above, the Settlement (and the targeted energy savings contained therein) assumes that there will be no nonresidential customer opt-outs. Thus, while the Settlement budgets for savings of around 594,000 MWh per year,</w:t>
      </w:r>
      <w:r>
        <w:rPr>
          <w:rStyle w:val="FootnoteReference"/>
          <w:rFonts w:ascii="Times New Roman" w:hAnsi="Times New Roman" w:cs="Times New Roman"/>
        </w:rPr>
        <w:footnoteReference w:id="130"/>
      </w:r>
      <w:r>
        <w:rPr>
          <w:rFonts w:ascii="Times New Roman" w:hAnsi="Times New Roman" w:cs="Times New Roman"/>
        </w:rPr>
        <w:t xml:space="preserve"> and while FirstEnergy assumes a statutory benchmark of around 530,000 MWh per year,</w:t>
      </w:r>
      <w:r>
        <w:rPr>
          <w:rStyle w:val="FootnoteReference"/>
          <w:rFonts w:ascii="Times New Roman" w:hAnsi="Times New Roman" w:cs="Times New Roman"/>
        </w:rPr>
        <w:footnoteReference w:id="131"/>
      </w:r>
      <w:r w:rsidR="00A21363">
        <w:rPr>
          <w:rFonts w:ascii="Times New Roman" w:hAnsi="Times New Roman" w:cs="Times New Roman"/>
        </w:rPr>
        <w:t xml:space="preserve"> </w:t>
      </w:r>
      <w:r>
        <w:rPr>
          <w:rFonts w:ascii="Times New Roman" w:hAnsi="Times New Roman" w:cs="Times New Roman"/>
        </w:rPr>
        <w:t xml:space="preserve">the benchmark, after accounting for opt outs, </w:t>
      </w:r>
      <w:r w:rsidR="00A21363">
        <w:rPr>
          <w:rFonts w:ascii="Times New Roman" w:hAnsi="Times New Roman" w:cs="Times New Roman"/>
        </w:rPr>
        <w:t>could</w:t>
      </w:r>
      <w:r>
        <w:rPr>
          <w:rFonts w:ascii="Times New Roman" w:hAnsi="Times New Roman" w:cs="Times New Roman"/>
        </w:rPr>
        <w:t xml:space="preserve"> be substantially lower than 530,000 MWh per year. This undermines FirstEnergy</w:t>
      </w:r>
      <w:r w:rsidR="0082545D">
        <w:rPr>
          <w:rFonts w:ascii="Times New Roman" w:hAnsi="Times New Roman" w:cs="Times New Roman"/>
        </w:rPr>
        <w:t>'</w:t>
      </w:r>
      <w:r>
        <w:rPr>
          <w:rFonts w:ascii="Times New Roman" w:hAnsi="Times New Roman" w:cs="Times New Roman"/>
        </w:rPr>
        <w:t>s claim that it will not be able to reach the statutory mandate without using banked energy savings.</w:t>
      </w:r>
    </w:p>
    <w:p w:rsidR="00D25068"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FirstEnergy has not established that it cannot achieve its statutorily required energy savings in 2017. The PUCO should not allow FirstEnergy to charge customers for shared savings when the Companies achieve energy savings </w:t>
      </w:r>
      <w:r w:rsidR="00DF47D6">
        <w:rPr>
          <w:rFonts w:ascii="Times New Roman" w:hAnsi="Times New Roman" w:cs="Times New Roman"/>
        </w:rPr>
        <w:t>that don</w:t>
      </w:r>
      <w:r w:rsidR="0082545D">
        <w:rPr>
          <w:rFonts w:ascii="Times New Roman" w:hAnsi="Times New Roman" w:cs="Times New Roman"/>
        </w:rPr>
        <w:t>'</w:t>
      </w:r>
      <w:r w:rsidR="00DF47D6">
        <w:rPr>
          <w:rFonts w:ascii="Times New Roman" w:hAnsi="Times New Roman" w:cs="Times New Roman"/>
        </w:rPr>
        <w:t xml:space="preserve">t meet </w:t>
      </w:r>
      <w:r>
        <w:rPr>
          <w:rFonts w:ascii="Times New Roman" w:hAnsi="Times New Roman" w:cs="Times New Roman"/>
        </w:rPr>
        <w:t>the statutory benchmark.</w:t>
      </w:r>
    </w:p>
    <w:p w:rsidR="007E49F7" w:rsidRPr="007E49F7" w:rsidP="00350235">
      <w:pPr>
        <w:pStyle w:val="Heading3"/>
      </w:pPr>
      <w:bookmarkStart w:id="18" w:name="_Toc475451059"/>
      <w:r>
        <w:t>3</w:t>
      </w:r>
      <w:r>
        <w:t>.</w:t>
      </w:r>
      <w:r>
        <w:tab/>
        <w:t>The proposed shared savings mechanism would cause customers to pay excessive profits to FirstEnergy.</w:t>
      </w:r>
      <w:bookmarkEnd w:id="18"/>
    </w:p>
    <w:p w:rsidR="00C82B84" w:rsidRPr="00C82B84" w:rsidP="00350235">
      <w:pPr>
        <w:pStyle w:val="Heading4"/>
      </w:pPr>
      <w:bookmarkStart w:id="19" w:name="_Toc475451060"/>
      <w:r>
        <w:t>a</w:t>
      </w:r>
      <w:r>
        <w:t>.</w:t>
      </w:r>
      <w:r>
        <w:tab/>
        <w:t xml:space="preserve">Each of the three FirstEnergy Companies should have its own annual </w:t>
      </w:r>
      <w:r w:rsidR="00A21363">
        <w:t>cap</w:t>
      </w:r>
      <w:r>
        <w:t xml:space="preserve"> on shared savings</w:t>
      </w:r>
      <w:r w:rsidR="00DF47D6">
        <w:t xml:space="preserve"> </w:t>
      </w:r>
      <w:r w:rsidR="00074FC8">
        <w:t xml:space="preserve">that </w:t>
      </w:r>
      <w:r w:rsidR="00DF47D6">
        <w:t>customers must fund</w:t>
      </w:r>
      <w:r>
        <w:t>.</w:t>
      </w:r>
      <w:bookmarkEnd w:id="19"/>
    </w:p>
    <w:p w:rsidR="00C82B84"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The Settlement proposes a $10 million after tax ($15.6 million before tax) annual limit on the amount of </w:t>
      </w:r>
      <w:r w:rsidR="005E72B9">
        <w:rPr>
          <w:rFonts w:ascii="Times New Roman" w:hAnsi="Times New Roman" w:cs="Times New Roman"/>
        </w:rPr>
        <w:t>profit (</w:t>
      </w:r>
      <w:r>
        <w:rPr>
          <w:rFonts w:ascii="Times New Roman" w:hAnsi="Times New Roman" w:cs="Times New Roman"/>
        </w:rPr>
        <w:t>shared savings</w:t>
      </w:r>
      <w:r w:rsidR="005E72B9">
        <w:rPr>
          <w:rFonts w:ascii="Times New Roman" w:hAnsi="Times New Roman" w:cs="Times New Roman"/>
        </w:rPr>
        <w:t>)</w:t>
      </w:r>
      <w:r>
        <w:rPr>
          <w:rFonts w:ascii="Times New Roman" w:hAnsi="Times New Roman" w:cs="Times New Roman"/>
        </w:rPr>
        <w:t xml:space="preserve"> that customers </w:t>
      </w:r>
      <w:r w:rsidR="00B932E3">
        <w:rPr>
          <w:rFonts w:ascii="Times New Roman" w:hAnsi="Times New Roman" w:cs="Times New Roman"/>
        </w:rPr>
        <w:t>can</w:t>
      </w:r>
      <w:r>
        <w:rPr>
          <w:rFonts w:ascii="Times New Roman" w:hAnsi="Times New Roman" w:cs="Times New Roman"/>
        </w:rPr>
        <w:t xml:space="preserve"> pay.</w:t>
      </w:r>
      <w:r>
        <w:rPr>
          <w:rStyle w:val="FootnoteReference"/>
          <w:rFonts w:ascii="Times New Roman" w:hAnsi="Times New Roman" w:cs="Times New Roman"/>
        </w:rPr>
        <w:footnoteReference w:id="132"/>
      </w:r>
      <w:r>
        <w:rPr>
          <w:rFonts w:ascii="Times New Roman" w:hAnsi="Times New Roman" w:cs="Times New Roman"/>
        </w:rPr>
        <w:t xml:space="preserve"> This $10 million cap applies to the total shared savings paid by customers of </w:t>
      </w:r>
      <w:r w:rsidR="00B932E3">
        <w:rPr>
          <w:rFonts w:ascii="Times New Roman" w:hAnsi="Times New Roman" w:cs="Times New Roman"/>
        </w:rPr>
        <w:t>Ohio Edison, Toledo Edison, and Cleveland Electric</w:t>
      </w:r>
      <w:r>
        <w:rPr>
          <w:rFonts w:ascii="Times New Roman" w:hAnsi="Times New Roman" w:cs="Times New Roman"/>
        </w:rPr>
        <w:t xml:space="preserve"> combined.</w:t>
      </w:r>
      <w:r>
        <w:rPr>
          <w:rStyle w:val="FootnoteReference"/>
          <w:rFonts w:ascii="Times New Roman" w:hAnsi="Times New Roman" w:cs="Times New Roman"/>
        </w:rPr>
        <w:footnoteReference w:id="133"/>
      </w:r>
      <w:r w:rsidR="00B932E3">
        <w:rPr>
          <w:rFonts w:ascii="Times New Roman" w:hAnsi="Times New Roman" w:cs="Times New Roman"/>
        </w:rPr>
        <w:t xml:space="preserve"> In other words, the sum of the shared savings paid by the three Companies</w:t>
      </w:r>
      <w:r w:rsidR="0082545D">
        <w:rPr>
          <w:rFonts w:ascii="Times New Roman" w:hAnsi="Times New Roman" w:cs="Times New Roman"/>
        </w:rPr>
        <w:t>'</w:t>
      </w:r>
      <w:r w:rsidR="00646686">
        <w:rPr>
          <w:rFonts w:ascii="Times New Roman" w:hAnsi="Times New Roman" w:cs="Times New Roman"/>
        </w:rPr>
        <w:t xml:space="preserve"> </w:t>
      </w:r>
      <w:r w:rsidR="00B932E3">
        <w:rPr>
          <w:rFonts w:ascii="Times New Roman" w:hAnsi="Times New Roman" w:cs="Times New Roman"/>
        </w:rPr>
        <w:t>customers cannot exceed $10 million (after tax) per year.</w:t>
      </w:r>
      <w:r>
        <w:rPr>
          <w:rStyle w:val="FootnoteReference"/>
          <w:rFonts w:ascii="Times New Roman" w:hAnsi="Times New Roman" w:cs="Times New Roman"/>
        </w:rPr>
        <w:footnoteReference w:id="134"/>
      </w:r>
      <w:r w:rsidR="00B932E3">
        <w:rPr>
          <w:rFonts w:ascii="Times New Roman" w:hAnsi="Times New Roman" w:cs="Times New Roman"/>
        </w:rPr>
        <w:t xml:space="preserve"> </w:t>
      </w:r>
    </w:p>
    <w:p w:rsidR="00965663" w:rsidRPr="00965663" w:rsidP="00266AA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A single cap for the three Companies combined illegally </w:t>
      </w:r>
      <w:r w:rsidR="00DF47D6">
        <w:rPr>
          <w:rFonts w:ascii="Times New Roman" w:hAnsi="Times New Roman" w:cs="Times New Roman"/>
        </w:rPr>
        <w:t xml:space="preserve">and unreasonably </w:t>
      </w:r>
      <w:r>
        <w:rPr>
          <w:rFonts w:ascii="Times New Roman" w:hAnsi="Times New Roman" w:cs="Times New Roman"/>
        </w:rPr>
        <w:t xml:space="preserve">entangles the business operations of Ohio Edison, Toledo Edison, and Cleveland Electric. </w:t>
      </w:r>
      <w:r>
        <w:rPr>
          <w:rFonts w:ascii="Times New Roman" w:hAnsi="Times New Roman" w:cs="Times New Roman"/>
        </w:rPr>
        <w:t>E</w:t>
      </w:r>
      <w:r w:rsidR="00266AAE">
        <w:rPr>
          <w:rFonts w:ascii="Times New Roman" w:hAnsi="Times New Roman" w:cs="Times New Roman"/>
        </w:rPr>
        <w:t>lectric distribution utilities have exclusive service territories in Ohio.</w:t>
      </w:r>
      <w:r>
        <w:rPr>
          <w:rStyle w:val="FootnoteReference"/>
          <w:rFonts w:ascii="Times New Roman" w:hAnsi="Times New Roman" w:cs="Times New Roman"/>
        </w:rPr>
        <w:footnoteReference w:id="135"/>
      </w:r>
      <w:r>
        <w:rPr>
          <w:rFonts w:ascii="Times New Roman" w:hAnsi="Times New Roman" w:cs="Times New Roman"/>
        </w:rPr>
        <w:t xml:space="preserve"> Ohio Edison cannot collect charges from Ohioans in Toledo Edison</w:t>
      </w:r>
      <w:r w:rsidR="0082545D">
        <w:rPr>
          <w:rFonts w:ascii="Times New Roman" w:hAnsi="Times New Roman" w:cs="Times New Roman"/>
        </w:rPr>
        <w:t>'</w:t>
      </w:r>
      <w:r>
        <w:rPr>
          <w:rFonts w:ascii="Times New Roman" w:hAnsi="Times New Roman" w:cs="Times New Roman"/>
        </w:rPr>
        <w:t>s territory, for example</w:t>
      </w:r>
      <w:r w:rsidR="00266AAE">
        <w:rPr>
          <w:rFonts w:ascii="Times New Roman" w:hAnsi="Times New Roman" w:cs="Times New Roman"/>
        </w:rPr>
        <w:t>, and vice versa</w:t>
      </w:r>
      <w:r>
        <w:rPr>
          <w:rFonts w:ascii="Times New Roman" w:hAnsi="Times New Roman" w:cs="Times New Roman"/>
        </w:rPr>
        <w:t>.</w:t>
      </w:r>
      <w:r>
        <w:rPr>
          <w:rStyle w:val="FootnoteReference"/>
          <w:rFonts w:ascii="Times New Roman" w:hAnsi="Times New Roman" w:cs="Times New Roman"/>
        </w:rPr>
        <w:footnoteReference w:id="136"/>
      </w:r>
      <w:r>
        <w:rPr>
          <w:rFonts w:ascii="Times New Roman" w:hAnsi="Times New Roman" w:cs="Times New Roman"/>
        </w:rPr>
        <w:t xml:space="preserve"> </w:t>
      </w:r>
      <w:r>
        <w:rPr>
          <w:rFonts w:ascii="Times New Roman" w:hAnsi="Times New Roman" w:cs="Times New Roman"/>
        </w:rPr>
        <w:t xml:space="preserve">The Ohio energy efficiency statutes </w:t>
      </w:r>
      <w:r w:rsidR="00622E7F">
        <w:rPr>
          <w:rFonts w:ascii="Times New Roman" w:hAnsi="Times New Roman" w:cs="Times New Roman"/>
        </w:rPr>
        <w:t>similarly</w:t>
      </w:r>
      <w:r>
        <w:rPr>
          <w:rFonts w:ascii="Times New Roman" w:hAnsi="Times New Roman" w:cs="Times New Roman"/>
        </w:rPr>
        <w:t xml:space="preserve"> require each electric distribution utility (</w:t>
      </w:r>
      <w:r>
        <w:rPr>
          <w:rFonts w:ascii="Times New Roman" w:hAnsi="Times New Roman" w:cs="Times New Roman"/>
          <w:i/>
        </w:rPr>
        <w:t>i.e.</w:t>
      </w:r>
      <w:r>
        <w:rPr>
          <w:rFonts w:ascii="Times New Roman" w:hAnsi="Times New Roman" w:cs="Times New Roman"/>
        </w:rPr>
        <w:t xml:space="preserve">, Ohio Edison, Toledo Edison, and Cleveland Edison) to satisfy the energy savings and peak demand reduction requirements individually, and not as a combined </w:t>
      </w:r>
      <w:r w:rsidR="0082545D">
        <w:rPr>
          <w:rFonts w:ascii="Times New Roman" w:hAnsi="Times New Roman" w:cs="Times New Roman"/>
        </w:rPr>
        <w:t>"</w:t>
      </w:r>
      <w:r>
        <w:rPr>
          <w:rFonts w:ascii="Times New Roman" w:hAnsi="Times New Roman" w:cs="Times New Roman"/>
        </w:rPr>
        <w:t>FirstEnergy</w:t>
      </w:r>
      <w:r w:rsidR="0082545D">
        <w:rPr>
          <w:rFonts w:ascii="Times New Roman" w:hAnsi="Times New Roman" w:cs="Times New Roman"/>
        </w:rPr>
        <w:t>"</w:t>
      </w:r>
      <w:r>
        <w:rPr>
          <w:rFonts w:ascii="Times New Roman" w:hAnsi="Times New Roman" w:cs="Times New Roman"/>
        </w:rPr>
        <w:t xml:space="preserve"> entity.</w:t>
      </w:r>
      <w:r>
        <w:rPr>
          <w:rStyle w:val="FootnoteReference"/>
          <w:rFonts w:ascii="Times New Roman" w:hAnsi="Times New Roman" w:cs="Times New Roman"/>
        </w:rPr>
        <w:footnoteReference w:id="137"/>
      </w:r>
      <w:r w:rsidR="009A68EB">
        <w:rPr>
          <w:rFonts w:ascii="Times New Roman" w:hAnsi="Times New Roman" w:cs="Times New Roman"/>
        </w:rPr>
        <w:t xml:space="preserve"> The fact that Ohio Edison, Toledo Edison, and Cleveland Electric have a common parent entity does not alter their status as separate operating companies and separate business entities with separate customers, under Ohio law.</w:t>
      </w:r>
    </w:p>
    <w:p w:rsidR="00C82B84" w:rsidRPr="00D61F60"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But because the Companies have a common parent and are proposing a joint portfolio, they have proposed a single shared savings cap across the three Companies rather than an individual cap for each Company. This is unf</w:t>
      </w:r>
      <w:r w:rsidR="00D61F60">
        <w:rPr>
          <w:rFonts w:ascii="Times New Roman" w:hAnsi="Times New Roman" w:cs="Times New Roman"/>
        </w:rPr>
        <w:t>air to each Company</w:t>
      </w:r>
      <w:r w:rsidR="0082545D">
        <w:rPr>
          <w:rFonts w:ascii="Times New Roman" w:hAnsi="Times New Roman" w:cs="Times New Roman"/>
        </w:rPr>
        <w:t>'</w:t>
      </w:r>
      <w:r w:rsidR="00D61F60">
        <w:rPr>
          <w:rFonts w:ascii="Times New Roman" w:hAnsi="Times New Roman" w:cs="Times New Roman"/>
        </w:rPr>
        <w:t xml:space="preserve">s customers because it could result in one </w:t>
      </w:r>
      <w:r w:rsidR="0082545D">
        <w:rPr>
          <w:rFonts w:ascii="Times New Roman" w:hAnsi="Times New Roman" w:cs="Times New Roman"/>
        </w:rPr>
        <w:t xml:space="preserve">Company's </w:t>
      </w:r>
      <w:r w:rsidR="00D61F60">
        <w:rPr>
          <w:rFonts w:ascii="Times New Roman" w:hAnsi="Times New Roman" w:cs="Times New Roman"/>
        </w:rPr>
        <w:t xml:space="preserve">customers paying more shared savings as a result of one of the </w:t>
      </w:r>
      <w:r w:rsidR="00D61F60">
        <w:rPr>
          <w:rFonts w:ascii="Times New Roman" w:hAnsi="Times New Roman" w:cs="Times New Roman"/>
          <w:i/>
        </w:rPr>
        <w:t>other</w:t>
      </w:r>
      <w:r w:rsidR="00D61F60">
        <w:rPr>
          <w:rFonts w:ascii="Times New Roman" w:hAnsi="Times New Roman" w:cs="Times New Roman"/>
        </w:rPr>
        <w:t xml:space="preserve"> </w:t>
      </w:r>
      <w:r w:rsidR="0082545D">
        <w:rPr>
          <w:rFonts w:ascii="Times New Roman" w:hAnsi="Times New Roman" w:cs="Times New Roman"/>
        </w:rPr>
        <w:t>Company's</w:t>
      </w:r>
      <w:r w:rsidR="00D61F60">
        <w:rPr>
          <w:rFonts w:ascii="Times New Roman" w:hAnsi="Times New Roman" w:cs="Times New Roman"/>
        </w:rPr>
        <w:t xml:space="preserve"> energy efficiency program performance.</w:t>
      </w:r>
    </w:p>
    <w:p w:rsidR="00F80194"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The following example demonstrates the inequity of imposing a single cap for the three FirstEnergy operating Companies.</w:t>
      </w:r>
      <w:r>
        <w:rPr>
          <w:rStyle w:val="FootnoteReference"/>
          <w:rFonts w:ascii="Times New Roman" w:hAnsi="Times New Roman" w:cs="Times New Roman"/>
        </w:rPr>
        <w:footnoteReference w:id="138"/>
      </w:r>
    </w:p>
    <w:p w:rsidR="00D61F60"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u w:val="single"/>
        </w:rPr>
        <w:t>Scenario 1.</w:t>
      </w:r>
      <w:r>
        <w:rPr>
          <w:rFonts w:ascii="Times New Roman" w:hAnsi="Times New Roman" w:cs="Times New Roman"/>
        </w:rPr>
        <w:t xml:space="preserve"> Suppose, under the proposed portfolio, that in 2018, Ohio Edison, Cleveland Electric, and Toledo Edison all meet their annual and cumulative benchmarks and are all eligible for shared savings. Suppose further that each of Ohio Edison, Cleveland Electric, and Toledo Edison would receive $10 million in shared savings for a total of $30 million. Because of the shared savings cap, however, the combined shared savings paid by customers would be reduced to $10 million.</w:t>
      </w:r>
      <w:r>
        <w:rPr>
          <w:rStyle w:val="FootnoteReference"/>
          <w:rFonts w:ascii="Times New Roman" w:hAnsi="Times New Roman" w:cs="Times New Roman"/>
        </w:rPr>
        <w:footnoteReference w:id="139"/>
      </w:r>
      <w:r>
        <w:rPr>
          <w:rFonts w:ascii="Times New Roman" w:hAnsi="Times New Roman" w:cs="Times New Roman"/>
        </w:rPr>
        <w:t xml:space="preserve"> Thus, none of the Companies would collect $10 million, but instead, each would collect somewhere around $3.3</w:t>
      </w:r>
      <w:r w:rsidR="000C2FE7">
        <w:rPr>
          <w:rFonts w:ascii="Times New Roman" w:hAnsi="Times New Roman" w:cs="Times New Roman"/>
        </w:rPr>
        <w:t>3</w:t>
      </w:r>
      <w:r>
        <w:rPr>
          <w:rFonts w:ascii="Times New Roman" w:hAnsi="Times New Roman" w:cs="Times New Roman"/>
        </w:rPr>
        <w:t xml:space="preserve"> million from its customers.</w:t>
      </w:r>
    </w:p>
    <w:p w:rsidR="000775FB"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u w:val="single"/>
        </w:rPr>
        <w:t>Scenario 2.</w:t>
      </w:r>
      <w:r>
        <w:rPr>
          <w:rFonts w:ascii="Times New Roman" w:hAnsi="Times New Roman" w:cs="Times New Roman"/>
        </w:rPr>
        <w:t xml:space="preserve"> Suppose now that Ohio Edison meets its annual and cumulative benchmarks in 2018, but Cleveland Electric and Toledo Edison do not. Suppose that Ohio Edison</w:t>
      </w:r>
      <w:r w:rsidR="0082545D">
        <w:rPr>
          <w:rFonts w:ascii="Times New Roman" w:hAnsi="Times New Roman" w:cs="Times New Roman"/>
        </w:rPr>
        <w:t>'</w:t>
      </w:r>
      <w:r>
        <w:rPr>
          <w:rFonts w:ascii="Times New Roman" w:hAnsi="Times New Roman" w:cs="Times New Roman"/>
        </w:rPr>
        <w:t>s performance is the same as in Scenario 1 such that it would receive $10 million in shared savings under the shared savings mechanism. Because Cleveland Electric and Toledo Edison did not meet their annual and cumulative benchmarks, they would not be entitled to any shared savings.</w:t>
      </w:r>
      <w:r>
        <w:rPr>
          <w:rStyle w:val="FootnoteReference"/>
          <w:rFonts w:ascii="Times New Roman" w:hAnsi="Times New Roman" w:cs="Times New Roman"/>
        </w:rPr>
        <w:footnoteReference w:id="140"/>
      </w:r>
      <w:r>
        <w:rPr>
          <w:rFonts w:ascii="Times New Roman" w:hAnsi="Times New Roman" w:cs="Times New Roman"/>
        </w:rPr>
        <w:t xml:space="preserve"> But because the total shared savings across all three Companies is less than the $10 million cap, Ohio Edison</w:t>
      </w:r>
      <w:r w:rsidR="0082545D">
        <w:rPr>
          <w:rFonts w:ascii="Times New Roman" w:hAnsi="Times New Roman" w:cs="Times New Roman"/>
        </w:rPr>
        <w:t>'</w:t>
      </w:r>
      <w:r>
        <w:rPr>
          <w:rFonts w:ascii="Times New Roman" w:hAnsi="Times New Roman" w:cs="Times New Roman"/>
        </w:rPr>
        <w:t xml:space="preserve">s customers would pay the entire $10 million to Ohio Edison. </w:t>
      </w:r>
    </w:p>
    <w:p w:rsidR="00D61F60"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In other words, under Scenario 1, Ohio Edison</w:t>
      </w:r>
      <w:r w:rsidR="0082545D">
        <w:rPr>
          <w:rFonts w:ascii="Times New Roman" w:hAnsi="Times New Roman" w:cs="Times New Roman"/>
        </w:rPr>
        <w:t>'</w:t>
      </w:r>
      <w:r>
        <w:rPr>
          <w:rFonts w:ascii="Times New Roman" w:hAnsi="Times New Roman" w:cs="Times New Roman"/>
        </w:rPr>
        <w:t>s customers would pay about $3.3</w:t>
      </w:r>
      <w:r w:rsidR="000C2FE7">
        <w:rPr>
          <w:rFonts w:ascii="Times New Roman" w:hAnsi="Times New Roman" w:cs="Times New Roman"/>
        </w:rPr>
        <w:t>3</w:t>
      </w:r>
      <w:r>
        <w:rPr>
          <w:rFonts w:ascii="Times New Roman" w:hAnsi="Times New Roman" w:cs="Times New Roman"/>
        </w:rPr>
        <w:t xml:space="preserve"> million in shared savings, and under Scenario 2, Ohio Edison</w:t>
      </w:r>
      <w:r w:rsidR="0082545D">
        <w:rPr>
          <w:rFonts w:ascii="Times New Roman" w:hAnsi="Times New Roman" w:cs="Times New Roman"/>
        </w:rPr>
        <w:t>'</w:t>
      </w:r>
      <w:r>
        <w:rPr>
          <w:rFonts w:ascii="Times New Roman" w:hAnsi="Times New Roman" w:cs="Times New Roman"/>
        </w:rPr>
        <w:t xml:space="preserve">s customers would pay $10 million in shared savings, </w:t>
      </w:r>
      <w:r>
        <w:rPr>
          <w:rFonts w:ascii="Times New Roman" w:hAnsi="Times New Roman" w:cs="Times New Roman"/>
          <w:u w:val="single"/>
        </w:rPr>
        <w:t>even though Ohio Edison</w:t>
      </w:r>
      <w:r w:rsidR="0082545D">
        <w:rPr>
          <w:rFonts w:ascii="Times New Roman" w:hAnsi="Times New Roman" w:cs="Times New Roman"/>
          <w:u w:val="single"/>
        </w:rPr>
        <w:t>'</w:t>
      </w:r>
      <w:r>
        <w:rPr>
          <w:rFonts w:ascii="Times New Roman" w:hAnsi="Times New Roman" w:cs="Times New Roman"/>
          <w:u w:val="single"/>
        </w:rPr>
        <w:t>s energy efficiency program performance was identical in both scenarios</w:t>
      </w:r>
      <w:r>
        <w:rPr>
          <w:rFonts w:ascii="Times New Roman" w:hAnsi="Times New Roman" w:cs="Times New Roman"/>
        </w:rPr>
        <w:t>.</w:t>
      </w:r>
      <w:r>
        <w:rPr>
          <w:rStyle w:val="FootnoteReference"/>
          <w:rFonts w:ascii="Times New Roman" w:hAnsi="Times New Roman" w:cs="Times New Roman"/>
        </w:rPr>
        <w:footnoteReference w:id="141"/>
      </w:r>
      <w:r>
        <w:rPr>
          <w:rFonts w:ascii="Times New Roman" w:hAnsi="Times New Roman" w:cs="Times New Roman"/>
        </w:rPr>
        <w:t xml:space="preserve"> In effect, Ohio Edison</w:t>
      </w:r>
      <w:r w:rsidR="0082545D">
        <w:rPr>
          <w:rFonts w:ascii="Times New Roman" w:hAnsi="Times New Roman" w:cs="Times New Roman"/>
        </w:rPr>
        <w:t>'</w:t>
      </w:r>
      <w:r>
        <w:rPr>
          <w:rFonts w:ascii="Times New Roman" w:hAnsi="Times New Roman" w:cs="Times New Roman"/>
        </w:rPr>
        <w:t xml:space="preserve">s customers would pay higher rates in Scenario 2 based on the business operations of Toledo Edison and Cleveland Electric. This </w:t>
      </w:r>
      <w:r w:rsidR="00CA1011">
        <w:rPr>
          <w:rFonts w:ascii="Times New Roman" w:hAnsi="Times New Roman" w:cs="Times New Roman"/>
        </w:rPr>
        <w:t xml:space="preserve">would </w:t>
      </w:r>
      <w:r>
        <w:rPr>
          <w:rFonts w:ascii="Times New Roman" w:hAnsi="Times New Roman" w:cs="Times New Roman"/>
        </w:rPr>
        <w:t>violate R.C. 4933.83</w:t>
      </w:r>
      <w:r w:rsidR="00CA1011">
        <w:rPr>
          <w:rFonts w:ascii="Times New Roman" w:hAnsi="Times New Roman" w:cs="Times New Roman"/>
        </w:rPr>
        <w:t xml:space="preserve"> and </w:t>
      </w:r>
      <w:r w:rsidR="00266AAE">
        <w:rPr>
          <w:rFonts w:ascii="Times New Roman" w:hAnsi="Times New Roman" w:cs="Times New Roman"/>
        </w:rPr>
        <w:t xml:space="preserve">would </w:t>
      </w:r>
      <w:r w:rsidR="00CA1011">
        <w:rPr>
          <w:rFonts w:ascii="Times New Roman" w:hAnsi="Times New Roman" w:cs="Times New Roman"/>
        </w:rPr>
        <w:t>illegally entangle the business operations of the three operating Companies.</w:t>
      </w:r>
    </w:p>
    <w:p w:rsidR="00CA1011" w:rsidRPr="000775FB"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The PUCO should modify the Settlement to provide the following annual after-tax shared savings caps: $4.91 million for Ohio Edison, $3.35 million for Cleveland Electric, and $1.74 million for Toledo Edison.</w:t>
      </w:r>
      <w:r>
        <w:rPr>
          <w:rStyle w:val="FootnoteReference"/>
          <w:rFonts w:ascii="Times New Roman" w:hAnsi="Times New Roman" w:cs="Times New Roman"/>
        </w:rPr>
        <w:footnoteReference w:id="142"/>
      </w:r>
      <w:r w:rsidR="00F7782D">
        <w:rPr>
          <w:rFonts w:ascii="Times New Roman" w:hAnsi="Times New Roman" w:cs="Times New Roman"/>
        </w:rPr>
        <w:t xml:space="preserve"> These caps are based on the projected energy savings for </w:t>
      </w:r>
      <w:r w:rsidR="001F55D8">
        <w:rPr>
          <w:rFonts w:ascii="Times New Roman" w:hAnsi="Times New Roman" w:cs="Times New Roman"/>
        </w:rPr>
        <w:t xml:space="preserve">each </w:t>
      </w:r>
      <w:r w:rsidR="0082545D">
        <w:rPr>
          <w:rFonts w:ascii="Times New Roman" w:hAnsi="Times New Roman" w:cs="Times New Roman"/>
        </w:rPr>
        <w:t xml:space="preserve">Company's </w:t>
      </w:r>
      <w:r w:rsidR="001F55D8">
        <w:rPr>
          <w:rFonts w:ascii="Times New Roman" w:hAnsi="Times New Roman" w:cs="Times New Roman"/>
        </w:rPr>
        <w:t>individual programs, and together, they total the same $10 million after-tax amount found in the Settlement.</w:t>
      </w:r>
      <w:r>
        <w:rPr>
          <w:rStyle w:val="FootnoteReference"/>
          <w:rFonts w:ascii="Times New Roman" w:hAnsi="Times New Roman" w:cs="Times New Roman"/>
        </w:rPr>
        <w:footnoteReference w:id="143"/>
      </w:r>
      <w:r w:rsidR="00F171CC">
        <w:rPr>
          <w:rFonts w:ascii="Times New Roman" w:hAnsi="Times New Roman" w:cs="Times New Roman"/>
        </w:rPr>
        <w:t xml:space="preserve"> This would protect customers of each Company from paying too much shared savings to their respective operating Company.</w:t>
      </w:r>
    </w:p>
    <w:p w:rsidR="00C82B84" w:rsidRPr="00C82B84" w:rsidP="00350235">
      <w:pPr>
        <w:pStyle w:val="Heading4"/>
      </w:pPr>
      <w:bookmarkStart w:id="20" w:name="_Toc475451061"/>
      <w:r>
        <w:t>b</w:t>
      </w:r>
      <w:r>
        <w:t>.</w:t>
      </w:r>
      <w:r>
        <w:tab/>
        <w:t xml:space="preserve">Customers should not pay higher </w:t>
      </w:r>
      <w:r w:rsidR="005A646E">
        <w:t>profit (</w:t>
      </w:r>
      <w:r>
        <w:t>shared savings</w:t>
      </w:r>
      <w:r w:rsidR="005A646E">
        <w:t>)</w:t>
      </w:r>
      <w:r>
        <w:t xml:space="preserve"> to FirstEnergy as a result of the E</w:t>
      </w:r>
      <w:r w:rsidR="001B5C3D">
        <w:t>nergy Special Improvement District</w:t>
      </w:r>
      <w:r>
        <w:t xml:space="preserve"> and Mercantile Customer Programs because FirstEnergy is not responsible for any of the savings from these programs.</w:t>
      </w:r>
      <w:bookmarkEnd w:id="20"/>
    </w:p>
    <w:p w:rsidR="00611A62"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FirstEnergy</w:t>
      </w:r>
      <w:r w:rsidR="0082545D">
        <w:rPr>
          <w:rFonts w:ascii="Times New Roman" w:hAnsi="Times New Roman" w:cs="Times New Roman"/>
        </w:rPr>
        <w:t>'</w:t>
      </w:r>
      <w:r>
        <w:rPr>
          <w:rFonts w:ascii="Times New Roman" w:hAnsi="Times New Roman" w:cs="Times New Roman"/>
        </w:rPr>
        <w:t xml:space="preserve">s proposed portfolio includes three </w:t>
      </w:r>
      <w:r w:rsidR="0082545D">
        <w:rPr>
          <w:rFonts w:ascii="Times New Roman" w:hAnsi="Times New Roman" w:cs="Times New Roman"/>
        </w:rPr>
        <w:t>"</w:t>
      </w:r>
      <w:r>
        <w:rPr>
          <w:rFonts w:ascii="Times New Roman" w:hAnsi="Times New Roman" w:cs="Times New Roman"/>
        </w:rPr>
        <w:t>programs</w:t>
      </w:r>
      <w:r w:rsidR="0082545D">
        <w:rPr>
          <w:rFonts w:ascii="Times New Roman" w:hAnsi="Times New Roman" w:cs="Times New Roman"/>
        </w:rPr>
        <w:t>"</w:t>
      </w:r>
      <w:r>
        <w:rPr>
          <w:rFonts w:ascii="Times New Roman" w:hAnsi="Times New Roman" w:cs="Times New Roman"/>
        </w:rPr>
        <w:t xml:space="preserve"> that merely count customer energy savings: the Customer Action Program, the Energy Special Improvement District (</w:t>
      </w:r>
      <w:r w:rsidR="0082545D">
        <w:rPr>
          <w:rFonts w:ascii="Times New Roman" w:hAnsi="Times New Roman" w:cs="Times New Roman"/>
        </w:rPr>
        <w:t>"</w:t>
      </w:r>
      <w:r>
        <w:rPr>
          <w:rFonts w:ascii="Times New Roman" w:hAnsi="Times New Roman" w:cs="Times New Roman"/>
        </w:rPr>
        <w:t>ESID</w:t>
      </w:r>
      <w:r w:rsidR="0082545D">
        <w:rPr>
          <w:rFonts w:ascii="Times New Roman" w:hAnsi="Times New Roman" w:cs="Times New Roman"/>
        </w:rPr>
        <w:t>"</w:t>
      </w:r>
      <w:r>
        <w:rPr>
          <w:rFonts w:ascii="Times New Roman" w:hAnsi="Times New Roman" w:cs="Times New Roman"/>
        </w:rPr>
        <w:t>) program, and the Mercantile Customer Program. The ESID program captures savings that townships and municipalities achieve by creating Energy Special Improvement Districts under R.C. 1710.061.</w:t>
      </w:r>
      <w:r>
        <w:rPr>
          <w:rStyle w:val="FootnoteReference"/>
          <w:rFonts w:ascii="Times New Roman" w:hAnsi="Times New Roman" w:cs="Times New Roman"/>
        </w:rPr>
        <w:footnoteReference w:id="144"/>
      </w:r>
      <w:r>
        <w:rPr>
          <w:rFonts w:ascii="Times New Roman" w:hAnsi="Times New Roman" w:cs="Times New Roman"/>
        </w:rPr>
        <w:t xml:space="preserve"> The Mercantile Customer Program captures savings from projects that mercantile customers (and not FirstEnergy) initiated and directed.</w:t>
      </w:r>
      <w:r>
        <w:rPr>
          <w:rStyle w:val="FootnoteReference"/>
          <w:rFonts w:ascii="Times New Roman" w:hAnsi="Times New Roman" w:cs="Times New Roman"/>
        </w:rPr>
        <w:footnoteReference w:id="145"/>
      </w:r>
      <w:r>
        <w:rPr>
          <w:rFonts w:ascii="Times New Roman" w:hAnsi="Times New Roman" w:cs="Times New Roman"/>
        </w:rPr>
        <w:t xml:space="preserve"> And under the Customer Action Program, FirstEnergy performs surveys and collects data on savings that customers achiev</w:t>
      </w:r>
      <w:r w:rsidR="000C2FE7">
        <w:rPr>
          <w:rFonts w:ascii="Times New Roman" w:hAnsi="Times New Roman" w:cs="Times New Roman"/>
        </w:rPr>
        <w:t>ed</w:t>
      </w:r>
      <w:r>
        <w:rPr>
          <w:rFonts w:ascii="Times New Roman" w:hAnsi="Times New Roman" w:cs="Times New Roman"/>
        </w:rPr>
        <w:t xml:space="preserve"> on their own.</w:t>
      </w:r>
      <w:r>
        <w:rPr>
          <w:rStyle w:val="FootnoteReference"/>
          <w:rFonts w:ascii="Times New Roman" w:hAnsi="Times New Roman" w:cs="Times New Roman"/>
        </w:rPr>
        <w:footnoteReference w:id="146"/>
      </w:r>
    </w:p>
    <w:p w:rsidR="00611A62"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The PUCO does not allow utilities to charge customers for shared savings based on energy savings that customers achieve on their own. In addressing FirstEnergy</w:t>
      </w:r>
      <w:r w:rsidR="0082545D">
        <w:rPr>
          <w:rFonts w:ascii="Times New Roman" w:hAnsi="Times New Roman" w:cs="Times New Roman"/>
        </w:rPr>
        <w:t>'</w:t>
      </w:r>
      <w:r>
        <w:rPr>
          <w:rFonts w:ascii="Times New Roman" w:hAnsi="Times New Roman" w:cs="Times New Roman"/>
        </w:rPr>
        <w:t xml:space="preserve">s request to charge customers shared savings for the Customer Action Program, the PUCO concluded: </w:t>
      </w:r>
      <w:r w:rsidR="0082545D">
        <w:rPr>
          <w:rFonts w:ascii="Times New Roman" w:hAnsi="Times New Roman" w:cs="Times New Roman"/>
        </w:rPr>
        <w:t>"</w:t>
      </w:r>
      <w:r>
        <w:rPr>
          <w:rFonts w:ascii="Times New Roman" w:hAnsi="Times New Roman" w:cs="Times New Roman"/>
        </w:rPr>
        <w:t>The Commission has never allowed shared savings for programs like the historic mercantile customer program which involves no action by the Companies to achieve the energy savings.</w:t>
      </w:r>
      <w:r w:rsidR="0082545D">
        <w:rPr>
          <w:rFonts w:ascii="Times New Roman" w:hAnsi="Times New Roman" w:cs="Times New Roman"/>
        </w:rPr>
        <w:t>"</w:t>
      </w:r>
      <w:r>
        <w:rPr>
          <w:rStyle w:val="FootnoteReference"/>
          <w:rFonts w:ascii="Times New Roman" w:hAnsi="Times New Roman" w:cs="Times New Roman"/>
        </w:rPr>
        <w:footnoteReference w:id="147"/>
      </w:r>
    </w:p>
    <w:p w:rsidR="00611A62"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Consistent with this </w:t>
      </w:r>
      <w:r w:rsidR="00537434">
        <w:rPr>
          <w:rFonts w:ascii="Times New Roman" w:hAnsi="Times New Roman" w:cs="Times New Roman"/>
        </w:rPr>
        <w:t>precedent</w:t>
      </w:r>
      <w:r>
        <w:rPr>
          <w:rFonts w:ascii="Times New Roman" w:hAnsi="Times New Roman" w:cs="Times New Roman"/>
        </w:rPr>
        <w:t xml:space="preserve">, the Settlement does not permit FirstEnergy to count savings from the Customer Action Program </w:t>
      </w:r>
      <w:r w:rsidR="000C2FE7">
        <w:rPr>
          <w:rFonts w:ascii="Times New Roman" w:hAnsi="Times New Roman" w:cs="Times New Roman"/>
        </w:rPr>
        <w:t>for purposes of shared savings</w:t>
      </w:r>
      <w:r>
        <w:rPr>
          <w:rFonts w:ascii="Times New Roman" w:hAnsi="Times New Roman" w:cs="Times New Roman"/>
        </w:rPr>
        <w:t>.</w:t>
      </w:r>
      <w:r>
        <w:rPr>
          <w:rStyle w:val="FootnoteReference"/>
          <w:rFonts w:ascii="Times New Roman" w:hAnsi="Times New Roman" w:cs="Times New Roman"/>
        </w:rPr>
        <w:footnoteReference w:id="148"/>
      </w:r>
      <w:r>
        <w:rPr>
          <w:rFonts w:ascii="Times New Roman" w:hAnsi="Times New Roman" w:cs="Times New Roman"/>
        </w:rPr>
        <w:t xml:space="preserve"> But the Settlement does not similarly restrict FirstEnergy</w:t>
      </w:r>
      <w:r w:rsidR="0082545D">
        <w:rPr>
          <w:rFonts w:ascii="Times New Roman" w:hAnsi="Times New Roman" w:cs="Times New Roman"/>
        </w:rPr>
        <w:t>'</w:t>
      </w:r>
      <w:r>
        <w:rPr>
          <w:rFonts w:ascii="Times New Roman" w:hAnsi="Times New Roman" w:cs="Times New Roman"/>
        </w:rPr>
        <w:t xml:space="preserve">s right to charge customers higher profits as a result of the ESID and Mercantile Customer programs. </w:t>
      </w:r>
      <w:r w:rsidR="000C2FE7">
        <w:rPr>
          <w:rFonts w:ascii="Times New Roman" w:hAnsi="Times New Roman" w:cs="Times New Roman"/>
        </w:rPr>
        <w:t>I</w:t>
      </w:r>
      <w:r>
        <w:rPr>
          <w:rFonts w:ascii="Times New Roman" w:hAnsi="Times New Roman" w:cs="Times New Roman"/>
        </w:rPr>
        <w:t>n fact, FirstEnergy witness Demiray confirmed that the Companies intend to</w:t>
      </w:r>
      <w:r w:rsidR="000C2FE7">
        <w:rPr>
          <w:rFonts w:ascii="Times New Roman" w:hAnsi="Times New Roman" w:cs="Times New Roman"/>
        </w:rPr>
        <w:t xml:space="preserve"> charge customers higher shared savings on account of </w:t>
      </w:r>
      <w:r>
        <w:rPr>
          <w:rFonts w:ascii="Times New Roman" w:hAnsi="Times New Roman" w:cs="Times New Roman"/>
        </w:rPr>
        <w:t>savings from the ESID and Mercantile Customer programs.</w:t>
      </w:r>
      <w:r>
        <w:rPr>
          <w:rStyle w:val="FootnoteReference"/>
          <w:rFonts w:ascii="Times New Roman" w:hAnsi="Times New Roman" w:cs="Times New Roman"/>
        </w:rPr>
        <w:footnoteReference w:id="149"/>
      </w:r>
    </w:p>
    <w:p w:rsidR="004B4155"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Savings from the ESID and Mercantile Customer Programs should not count for any purpose when determining how much shared savings customers will pay to FirstEnergy. </w:t>
      </w:r>
      <w:r w:rsidR="0082545D">
        <w:rPr>
          <w:rFonts w:ascii="Times New Roman" w:hAnsi="Times New Roman" w:cs="Times New Roman"/>
        </w:rPr>
        <w:t>"</w:t>
      </w:r>
      <w:r>
        <w:rPr>
          <w:rFonts w:ascii="Times New Roman" w:hAnsi="Times New Roman" w:cs="Times New Roman"/>
        </w:rPr>
        <w:t>FirstEnergy does not administer the ESID programs, does not encourage townships and municipalities to create ESIDs, and does not otherwise contribute to any of the savings achieved by these programs. FirstEnergy does not administer the Mercantile Customer Program and does not contribute to any of the savings. In each of these programs, the customer achieves savings outside of FirstEnergy</w:t>
      </w:r>
      <w:r w:rsidR="0082545D">
        <w:rPr>
          <w:rFonts w:ascii="Times New Roman" w:hAnsi="Times New Roman" w:cs="Times New Roman"/>
        </w:rPr>
        <w:t>'</w:t>
      </w:r>
      <w:r>
        <w:rPr>
          <w:rFonts w:ascii="Times New Roman" w:hAnsi="Times New Roman" w:cs="Times New Roman"/>
        </w:rPr>
        <w:t>s programs, and FirstEnergy merely counts those savings towards its benchmark and to increase its profits.</w:t>
      </w:r>
      <w:r w:rsidR="0082545D">
        <w:rPr>
          <w:rFonts w:ascii="Times New Roman" w:hAnsi="Times New Roman" w:cs="Times New Roman"/>
        </w:rPr>
        <w:t>"</w:t>
      </w:r>
      <w:r>
        <w:rPr>
          <w:rStyle w:val="FootnoteReference"/>
          <w:rFonts w:ascii="Times New Roman" w:hAnsi="Times New Roman" w:cs="Times New Roman"/>
        </w:rPr>
        <w:footnoteReference w:id="150"/>
      </w:r>
      <w:r>
        <w:rPr>
          <w:rFonts w:ascii="Times New Roman" w:hAnsi="Times New Roman" w:cs="Times New Roman"/>
        </w:rPr>
        <w:t xml:space="preserve"> Accordingly, </w:t>
      </w:r>
      <w:r w:rsidR="0082545D">
        <w:rPr>
          <w:rFonts w:ascii="Times New Roman" w:hAnsi="Times New Roman" w:cs="Times New Roman"/>
        </w:rPr>
        <w:t>"</w:t>
      </w:r>
      <w:r>
        <w:rPr>
          <w:rFonts w:ascii="Times New Roman" w:hAnsi="Times New Roman" w:cs="Times New Roman"/>
        </w:rPr>
        <w:t>the savings achieved from Historical Mercantile Projects and Energy Special Improvement Districts should [] not be used in the shared savings calculations.</w:t>
      </w:r>
      <w:r w:rsidR="0082545D">
        <w:rPr>
          <w:rFonts w:ascii="Times New Roman" w:hAnsi="Times New Roman" w:cs="Times New Roman"/>
        </w:rPr>
        <w:t>"</w:t>
      </w:r>
      <w:r>
        <w:rPr>
          <w:rStyle w:val="FootnoteReference"/>
          <w:rFonts w:ascii="Times New Roman" w:hAnsi="Times New Roman" w:cs="Times New Roman"/>
        </w:rPr>
        <w:footnoteReference w:id="151"/>
      </w:r>
    </w:p>
    <w:p w:rsidR="003464AF" w:rsidRPr="003464AF" w:rsidP="00350235">
      <w:pPr>
        <w:pStyle w:val="Heading4"/>
      </w:pPr>
      <w:bookmarkStart w:id="21" w:name="_Toc475451062"/>
      <w:r>
        <w:t>c</w:t>
      </w:r>
      <w:r>
        <w:t>.</w:t>
      </w:r>
      <w:r>
        <w:tab/>
      </w:r>
      <w:r w:rsidR="00D40975">
        <w:t xml:space="preserve">The Settlement requires customers to pay for programs that target 594,000 MWh in energy savings per year. Thus, customers should not pay </w:t>
      </w:r>
      <w:r w:rsidR="00446C37">
        <w:t>profit (</w:t>
      </w:r>
      <w:r w:rsidR="00D40975">
        <w:t>shared savings</w:t>
      </w:r>
      <w:r w:rsidR="00446C37">
        <w:t>)</w:t>
      </w:r>
      <w:r w:rsidR="00D40975">
        <w:t xml:space="preserve"> to FirstEnergy if FirstEnergy</w:t>
      </w:r>
      <w:r w:rsidR="0082545D">
        <w:t>'</w:t>
      </w:r>
      <w:r w:rsidR="00D40975">
        <w:t xml:space="preserve">s programs achieve </w:t>
      </w:r>
      <w:r w:rsidR="00EA1A99">
        <w:t xml:space="preserve">only </w:t>
      </w:r>
      <w:r w:rsidR="00D40975">
        <w:t>the statutory minimum savings of about 530,000 MWh.</w:t>
      </w:r>
      <w:bookmarkEnd w:id="21"/>
    </w:p>
    <w:p w:rsidR="00AF546D"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Under the Settlement, FirstEnergy has agreed to target energy savings of around 594,000 MWh per year.</w:t>
      </w:r>
      <w:r>
        <w:rPr>
          <w:rStyle w:val="FootnoteReference"/>
          <w:rFonts w:ascii="Times New Roman" w:hAnsi="Times New Roman" w:cs="Times New Roman"/>
        </w:rPr>
        <w:footnoteReference w:id="152"/>
      </w:r>
      <w:r>
        <w:rPr>
          <w:rFonts w:ascii="Times New Roman" w:hAnsi="Times New Roman" w:cs="Times New Roman"/>
        </w:rPr>
        <w:t xml:space="preserve"> This is substantially higher than the Companies</w:t>
      </w:r>
      <w:r w:rsidR="0082545D">
        <w:rPr>
          <w:rFonts w:ascii="Times New Roman" w:hAnsi="Times New Roman" w:cs="Times New Roman"/>
        </w:rPr>
        <w:t xml:space="preserve">' </w:t>
      </w:r>
      <w:r>
        <w:rPr>
          <w:rFonts w:ascii="Times New Roman" w:hAnsi="Times New Roman" w:cs="Times New Roman"/>
        </w:rPr>
        <w:t>combined statutory minimum energy savings of around 530,000 MWh per year.</w:t>
      </w:r>
      <w:r>
        <w:rPr>
          <w:rStyle w:val="FootnoteReference"/>
          <w:rFonts w:ascii="Times New Roman" w:hAnsi="Times New Roman" w:cs="Times New Roman"/>
        </w:rPr>
        <w:footnoteReference w:id="153"/>
      </w:r>
      <w:r>
        <w:rPr>
          <w:rFonts w:ascii="Times New Roman" w:hAnsi="Times New Roman" w:cs="Times New Roman"/>
        </w:rPr>
        <w:t xml:space="preserve"> FirstEnergy, however, proposes that it be eligible for shared savings for reaching the statutory minimum, not the </w:t>
      </w:r>
      <w:r w:rsidR="002A56E0">
        <w:rPr>
          <w:rFonts w:ascii="Times New Roman" w:hAnsi="Times New Roman" w:cs="Times New Roman"/>
        </w:rPr>
        <w:t xml:space="preserve">higher </w:t>
      </w:r>
      <w:r>
        <w:rPr>
          <w:rFonts w:ascii="Times New Roman" w:hAnsi="Times New Roman" w:cs="Times New Roman"/>
        </w:rPr>
        <w:t>594,000 MWh target.</w:t>
      </w:r>
      <w:r>
        <w:rPr>
          <w:rStyle w:val="FootnoteReference"/>
          <w:rFonts w:ascii="Times New Roman" w:hAnsi="Times New Roman" w:cs="Times New Roman"/>
        </w:rPr>
        <w:footnoteReference w:id="154"/>
      </w:r>
      <w:r>
        <w:rPr>
          <w:rFonts w:ascii="Times New Roman" w:hAnsi="Times New Roman" w:cs="Times New Roman"/>
        </w:rPr>
        <w:t xml:space="preserve"> This proposal is unreasonable.</w:t>
      </w:r>
    </w:p>
    <w:p w:rsidR="00AF546D"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If the Settlement is approved, customers will pay higher program costs to target 594,000 MWh in annual energy savings instead of the statutory benchmark of about 530,000 MWh.</w:t>
      </w:r>
      <w:r>
        <w:rPr>
          <w:rStyle w:val="FootnoteReference"/>
          <w:rFonts w:ascii="Times New Roman" w:hAnsi="Times New Roman" w:cs="Times New Roman"/>
        </w:rPr>
        <w:footnoteReference w:id="155"/>
      </w:r>
      <w:r>
        <w:rPr>
          <w:rFonts w:ascii="Times New Roman" w:hAnsi="Times New Roman" w:cs="Times New Roman"/>
        </w:rPr>
        <w:t xml:space="preserve"> Customers should not pay higher program costs for a portfolio that targets savings above the statutory minimum but then be required to pay shared savings when the Companies merely achieve that minimum. </w:t>
      </w:r>
      <w:r w:rsidR="0096029B">
        <w:rPr>
          <w:rFonts w:ascii="Times New Roman" w:hAnsi="Times New Roman" w:cs="Times New Roman"/>
        </w:rPr>
        <w:t xml:space="preserve">It is a </w:t>
      </w:r>
      <w:r w:rsidR="0082545D">
        <w:rPr>
          <w:rFonts w:ascii="Times New Roman" w:hAnsi="Times New Roman" w:cs="Times New Roman"/>
        </w:rPr>
        <w:t>"</w:t>
      </w:r>
      <w:r>
        <w:rPr>
          <w:rFonts w:ascii="Times New Roman" w:hAnsi="Times New Roman" w:cs="Times New Roman"/>
        </w:rPr>
        <w:t>fundamen</w:t>
      </w:r>
      <w:r w:rsidR="0096029B">
        <w:rPr>
          <w:rFonts w:ascii="Times New Roman" w:hAnsi="Times New Roman" w:cs="Times New Roman"/>
        </w:rPr>
        <w:t>tal principle of shared savings</w:t>
      </w:r>
      <w:r>
        <w:rPr>
          <w:rFonts w:ascii="Times New Roman" w:hAnsi="Times New Roman" w:cs="Times New Roman"/>
        </w:rPr>
        <w:t xml:space="preserve"> </w:t>
      </w:r>
      <w:r w:rsidR="0096029B">
        <w:rPr>
          <w:rFonts w:ascii="Times New Roman" w:hAnsi="Times New Roman" w:cs="Times New Roman"/>
        </w:rPr>
        <w:t xml:space="preserve">[] </w:t>
      </w:r>
      <w:r>
        <w:rPr>
          <w:rFonts w:ascii="Times New Roman" w:hAnsi="Times New Roman" w:cs="Times New Roman"/>
        </w:rPr>
        <w:t>that</w:t>
      </w:r>
      <w:r w:rsidR="0096029B">
        <w:rPr>
          <w:rFonts w:ascii="Times New Roman" w:hAnsi="Times New Roman" w:cs="Times New Roman"/>
        </w:rPr>
        <w:t xml:space="preserve"> it serves to reward only exemplary performance.</w:t>
      </w:r>
      <w:r w:rsidR="0082545D">
        <w:rPr>
          <w:rFonts w:ascii="Times New Roman" w:hAnsi="Times New Roman" w:cs="Times New Roman"/>
        </w:rPr>
        <w:t>"</w:t>
      </w:r>
      <w:r>
        <w:rPr>
          <w:rStyle w:val="FootnoteReference"/>
          <w:rFonts w:ascii="Times New Roman" w:hAnsi="Times New Roman" w:cs="Times New Roman"/>
        </w:rPr>
        <w:footnoteReference w:id="156"/>
      </w:r>
      <w:r w:rsidR="0096029B">
        <w:rPr>
          <w:rFonts w:ascii="Times New Roman" w:hAnsi="Times New Roman" w:cs="Times New Roman"/>
        </w:rPr>
        <w:t xml:space="preserve"> The Settlement, however, would reward FirstEnergy for poor performance.</w:t>
      </w:r>
      <w:r>
        <w:rPr>
          <w:rStyle w:val="FootnoteReference"/>
          <w:rFonts w:ascii="Times New Roman" w:hAnsi="Times New Roman" w:cs="Times New Roman"/>
        </w:rPr>
        <w:footnoteReference w:id="157"/>
      </w:r>
      <w:r w:rsidR="0096029B">
        <w:rPr>
          <w:rFonts w:ascii="Times New Roman" w:hAnsi="Times New Roman" w:cs="Times New Roman"/>
        </w:rPr>
        <w:t xml:space="preserve"> </w:t>
      </w:r>
      <w:r w:rsidR="0082545D">
        <w:rPr>
          <w:rFonts w:ascii="Times New Roman" w:hAnsi="Times New Roman" w:cs="Times New Roman"/>
        </w:rPr>
        <w:t>"</w:t>
      </w:r>
      <w:r w:rsidR="0096029B">
        <w:rPr>
          <w:rFonts w:ascii="Times New Roman" w:hAnsi="Times New Roman" w:cs="Times New Roman"/>
        </w:rPr>
        <w:t>There is no justification for rewarding FirstEnergy</w:t>
      </w:r>
      <w:r w:rsidR="0082545D">
        <w:rPr>
          <w:rFonts w:ascii="Times New Roman" w:hAnsi="Times New Roman" w:cs="Times New Roman"/>
        </w:rPr>
        <w:t>'</w:t>
      </w:r>
      <w:r w:rsidR="0096029B">
        <w:rPr>
          <w:rFonts w:ascii="Times New Roman" w:hAnsi="Times New Roman" w:cs="Times New Roman"/>
        </w:rPr>
        <w:t>s shareholders for implementing programs that achieve anything less than 100% of their budgeted savings targets.</w:t>
      </w:r>
      <w:r w:rsidR="0082545D">
        <w:rPr>
          <w:rFonts w:ascii="Times New Roman" w:hAnsi="Times New Roman" w:cs="Times New Roman"/>
        </w:rPr>
        <w:t>"</w:t>
      </w:r>
      <w:r>
        <w:rPr>
          <w:rStyle w:val="FootnoteReference"/>
          <w:rFonts w:ascii="Times New Roman" w:hAnsi="Times New Roman" w:cs="Times New Roman"/>
        </w:rPr>
        <w:footnoteReference w:id="158"/>
      </w:r>
    </w:p>
    <w:p w:rsidR="00AF546D"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If the PUCO approves the Settlement, the Settlement should be modified to provide that each of the Companies will not be eligible for shared savings unless it achieves energy savings greater than the budgeted savings in the Settlement. </w:t>
      </w:r>
    </w:p>
    <w:p w:rsidR="00197339" w:rsidRPr="004240C2" w:rsidP="00350235">
      <w:pPr>
        <w:pStyle w:val="Heading2"/>
      </w:pPr>
      <w:bookmarkStart w:id="22" w:name="_Toc475451063"/>
      <w:r>
        <w:t>B.</w:t>
      </w:r>
      <w:r>
        <w:tab/>
        <w:t xml:space="preserve">The </w:t>
      </w:r>
      <w:r w:rsidR="000E6FDB">
        <w:t xml:space="preserve">Settlement should be rejected because the </w:t>
      </w:r>
      <w:r>
        <w:t>signatory parties are not diverse.</w:t>
      </w:r>
      <w:bookmarkEnd w:id="22"/>
    </w:p>
    <w:p w:rsidR="00197339"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In recent decisions, the PUCO has stressed that no single party may </w:t>
      </w:r>
      <w:r w:rsidR="0082545D">
        <w:rPr>
          <w:rFonts w:ascii="Times New Roman" w:hAnsi="Times New Roman" w:cs="Times New Roman"/>
        </w:rPr>
        <w:t>"</w:t>
      </w:r>
      <w:r>
        <w:rPr>
          <w:rFonts w:ascii="Times New Roman" w:hAnsi="Times New Roman" w:cs="Times New Roman"/>
        </w:rPr>
        <w:t>veto</w:t>
      </w:r>
      <w:r w:rsidR="0082545D">
        <w:rPr>
          <w:rFonts w:ascii="Times New Roman" w:hAnsi="Times New Roman" w:cs="Times New Roman"/>
        </w:rPr>
        <w:t>"</w:t>
      </w:r>
      <w:r>
        <w:rPr>
          <w:rFonts w:ascii="Times New Roman" w:hAnsi="Times New Roman" w:cs="Times New Roman"/>
        </w:rPr>
        <w:t xml:space="preserve"> a settlement and that a diversity of interests among the signatory parties to a settlement is not strictly necessary under the PUCO</w:t>
      </w:r>
      <w:r w:rsidR="0082545D">
        <w:rPr>
          <w:rFonts w:ascii="Times New Roman" w:hAnsi="Times New Roman" w:cs="Times New Roman"/>
        </w:rPr>
        <w:t>'</w:t>
      </w:r>
      <w:r>
        <w:rPr>
          <w:rFonts w:ascii="Times New Roman" w:hAnsi="Times New Roman" w:cs="Times New Roman"/>
        </w:rPr>
        <w:t>s three-prong settlement test.</w:t>
      </w:r>
      <w:r>
        <w:rPr>
          <w:rStyle w:val="FootnoteReference"/>
          <w:rFonts w:ascii="Times New Roman" w:hAnsi="Times New Roman" w:cs="Times New Roman"/>
        </w:rPr>
        <w:footnoteReference w:id="159"/>
      </w:r>
      <w:r>
        <w:rPr>
          <w:rFonts w:ascii="Times New Roman" w:hAnsi="Times New Roman" w:cs="Times New Roman"/>
        </w:rPr>
        <w:t xml:space="preserve"> At the same time, however, it would be shortsighted, and bad regulatory policy, to conclude that the interests of the parties to a proceeding (both signatory parties and opposing parties) are irrelevant.</w:t>
      </w:r>
      <w:r w:rsidR="000536BF">
        <w:rPr>
          <w:rFonts w:ascii="Times New Roman" w:hAnsi="Times New Roman" w:cs="Times New Roman"/>
        </w:rPr>
        <w:t xml:space="preserve"> </w:t>
      </w:r>
    </w:p>
    <w:p w:rsidR="00132DF8"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Indeed, the PUCO has agreed that the</w:t>
      </w:r>
      <w:r w:rsidR="0043494A">
        <w:rPr>
          <w:rFonts w:ascii="Times New Roman" w:hAnsi="Times New Roman" w:cs="Times New Roman"/>
        </w:rPr>
        <w:t xml:space="preserve"> parties</w:t>
      </w:r>
      <w:r w:rsidR="0082545D">
        <w:rPr>
          <w:rFonts w:ascii="Times New Roman" w:hAnsi="Times New Roman" w:cs="Times New Roman"/>
        </w:rPr>
        <w:t>'</w:t>
      </w:r>
      <w:r w:rsidR="0043494A">
        <w:rPr>
          <w:rFonts w:ascii="Times New Roman" w:hAnsi="Times New Roman" w:cs="Times New Roman"/>
        </w:rPr>
        <w:t xml:space="preserve"> interests matter;</w:t>
      </w:r>
      <w:r>
        <w:rPr>
          <w:rFonts w:ascii="Times New Roman" w:hAnsi="Times New Roman" w:cs="Times New Roman"/>
        </w:rPr>
        <w:t xml:space="preserve"> </w:t>
      </w:r>
      <w:r w:rsidR="0043494A">
        <w:rPr>
          <w:rFonts w:ascii="Times New Roman" w:hAnsi="Times New Roman" w:cs="Times New Roman"/>
        </w:rPr>
        <w:t>i</w:t>
      </w:r>
      <w:r>
        <w:rPr>
          <w:rFonts w:ascii="Times New Roman" w:hAnsi="Times New Roman" w:cs="Times New Roman"/>
        </w:rPr>
        <w:t>t has frequently analyzed the diversity of the parties to a settlement and their respective interests in the case.</w:t>
      </w:r>
      <w:r>
        <w:rPr>
          <w:rStyle w:val="FootnoteReference"/>
          <w:rFonts w:ascii="Times New Roman" w:hAnsi="Times New Roman" w:cs="Times New Roman"/>
        </w:rPr>
        <w:footnoteReference w:id="160"/>
      </w:r>
      <w:r>
        <w:rPr>
          <w:rFonts w:ascii="Times New Roman" w:hAnsi="Times New Roman" w:cs="Times New Roman"/>
        </w:rPr>
        <w:t xml:space="preserve"> A settlement that has broad support from all parties should be given substantial weight by the PUCO</w:t>
      </w:r>
      <w:r>
        <w:rPr>
          <w:rFonts w:ascii="Times New Roman" w:hAnsi="Times New Roman" w:cs="Times New Roman"/>
        </w:rPr>
        <w:t xml:space="preserve">. </w:t>
      </w:r>
      <w:r w:rsidR="00470C53">
        <w:rPr>
          <w:rFonts w:ascii="Times New Roman" w:hAnsi="Times New Roman" w:cs="Times New Roman"/>
        </w:rPr>
        <w:t>Likewise, a settlement that has the support of only a few parties with narrow</w:t>
      </w:r>
      <w:r w:rsidR="00DF5513">
        <w:rPr>
          <w:rFonts w:ascii="Times New Roman" w:hAnsi="Times New Roman" w:cs="Times New Roman"/>
        </w:rPr>
        <w:t xml:space="preserve"> or special</w:t>
      </w:r>
      <w:r w:rsidR="00470C53">
        <w:rPr>
          <w:rFonts w:ascii="Times New Roman" w:hAnsi="Times New Roman" w:cs="Times New Roman"/>
        </w:rPr>
        <w:t xml:space="preserve"> interests should be more heavily scrutinized. In either case, a settlement must be evaluated based on the merits of its substance and not merely on its signatures.</w:t>
      </w:r>
    </w:p>
    <w:p w:rsidR="006D1337"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In evaluating the Settlement in this case, </w:t>
      </w:r>
      <w:r w:rsidR="00605126">
        <w:rPr>
          <w:rFonts w:ascii="Times New Roman" w:hAnsi="Times New Roman" w:cs="Times New Roman"/>
        </w:rPr>
        <w:t xml:space="preserve">the PUCO should </w:t>
      </w:r>
      <w:r w:rsidR="008A0AA4">
        <w:rPr>
          <w:rFonts w:ascii="Times New Roman" w:hAnsi="Times New Roman" w:cs="Times New Roman"/>
        </w:rPr>
        <w:t>weigh heavily that consumers—who pay for the programs—are not Signatory Parties to the Settlement. Eleven parties are Signatory Parties to the Settlement. Three of these eleven are the Companies. Another four are environmental parties with virtually identical interests</w:t>
      </w:r>
      <w:r w:rsidR="00192089">
        <w:rPr>
          <w:rFonts w:ascii="Times New Roman" w:hAnsi="Times New Roman" w:cs="Times New Roman"/>
        </w:rPr>
        <w:t xml:space="preserve"> among them</w:t>
      </w:r>
      <w:r w:rsidR="008A0AA4">
        <w:rPr>
          <w:rFonts w:ascii="Times New Roman" w:hAnsi="Times New Roman" w:cs="Times New Roman"/>
        </w:rPr>
        <w:t>.</w:t>
      </w:r>
      <w:r>
        <w:rPr>
          <w:rStyle w:val="FootnoteReference"/>
          <w:rFonts w:ascii="Times New Roman" w:hAnsi="Times New Roman" w:cs="Times New Roman"/>
        </w:rPr>
        <w:footnoteReference w:id="161"/>
      </w:r>
      <w:r w:rsidR="008A0AA4">
        <w:rPr>
          <w:rFonts w:ascii="Times New Roman" w:hAnsi="Times New Roman" w:cs="Times New Roman"/>
        </w:rPr>
        <w:t xml:space="preserve"> These environmental parties do not pay the costs of FirstEnergy</w:t>
      </w:r>
      <w:r w:rsidR="0082545D">
        <w:rPr>
          <w:rFonts w:ascii="Times New Roman" w:hAnsi="Times New Roman" w:cs="Times New Roman"/>
        </w:rPr>
        <w:t>'</w:t>
      </w:r>
      <w:r w:rsidR="008A0AA4">
        <w:rPr>
          <w:rFonts w:ascii="Times New Roman" w:hAnsi="Times New Roman" w:cs="Times New Roman"/>
        </w:rPr>
        <w:t>s energy efficiency programs</w:t>
      </w:r>
      <w:r w:rsidR="00192089">
        <w:rPr>
          <w:rFonts w:ascii="Times New Roman" w:hAnsi="Times New Roman" w:cs="Times New Roman"/>
        </w:rPr>
        <w:t xml:space="preserve"> that they support using other people</w:t>
      </w:r>
      <w:r w:rsidR="0082545D">
        <w:rPr>
          <w:rFonts w:ascii="Times New Roman" w:hAnsi="Times New Roman" w:cs="Times New Roman"/>
        </w:rPr>
        <w:t>'</w:t>
      </w:r>
      <w:r w:rsidR="00192089">
        <w:rPr>
          <w:rFonts w:ascii="Times New Roman" w:hAnsi="Times New Roman" w:cs="Times New Roman"/>
        </w:rPr>
        <w:t>s money.</w:t>
      </w:r>
      <w:r w:rsidR="008A0AA4">
        <w:rPr>
          <w:rFonts w:ascii="Times New Roman" w:hAnsi="Times New Roman" w:cs="Times New Roman"/>
        </w:rPr>
        <w:t xml:space="preserve"> </w:t>
      </w:r>
      <w:r w:rsidR="00192089">
        <w:rPr>
          <w:rFonts w:ascii="Times New Roman" w:hAnsi="Times New Roman" w:cs="Times New Roman"/>
        </w:rPr>
        <w:t>A</w:t>
      </w:r>
      <w:r w:rsidR="008A0AA4">
        <w:rPr>
          <w:rFonts w:ascii="Times New Roman" w:hAnsi="Times New Roman" w:cs="Times New Roman"/>
        </w:rPr>
        <w:t>nd they do not pay the shared savings that they are asking customers to fund.</w:t>
      </w:r>
      <w:r>
        <w:rPr>
          <w:rStyle w:val="FootnoteReference"/>
          <w:rFonts w:ascii="Times New Roman" w:hAnsi="Times New Roman" w:cs="Times New Roman"/>
        </w:rPr>
        <w:footnoteReference w:id="162"/>
      </w:r>
      <w:r w:rsidR="008A0AA4">
        <w:rPr>
          <w:rFonts w:ascii="Times New Roman" w:hAnsi="Times New Roman" w:cs="Times New Roman"/>
        </w:rPr>
        <w:t xml:space="preserve"> EnerNOC represents its interests as a provider of demand response software.</w:t>
      </w:r>
      <w:r>
        <w:rPr>
          <w:rStyle w:val="FootnoteReference"/>
          <w:rFonts w:ascii="Times New Roman" w:hAnsi="Times New Roman" w:cs="Times New Roman"/>
        </w:rPr>
        <w:footnoteReference w:id="163"/>
      </w:r>
      <w:r w:rsidR="008A0AA4">
        <w:rPr>
          <w:rFonts w:ascii="Times New Roman" w:hAnsi="Times New Roman" w:cs="Times New Roman"/>
        </w:rPr>
        <w:t xml:space="preserve"> IGS represents its interests </w:t>
      </w:r>
      <w:r w:rsidR="00F72E60">
        <w:rPr>
          <w:rFonts w:ascii="Times New Roman" w:hAnsi="Times New Roman" w:cs="Times New Roman"/>
        </w:rPr>
        <w:t xml:space="preserve">as </w:t>
      </w:r>
      <w:r w:rsidR="008A0AA4">
        <w:rPr>
          <w:rFonts w:ascii="Times New Roman" w:hAnsi="Times New Roman" w:cs="Times New Roman"/>
        </w:rPr>
        <w:t>a competitive retail electric service provider.</w:t>
      </w:r>
      <w:r>
        <w:rPr>
          <w:rStyle w:val="FootnoteReference"/>
          <w:rFonts w:ascii="Times New Roman" w:hAnsi="Times New Roman" w:cs="Times New Roman"/>
        </w:rPr>
        <w:footnoteReference w:id="164"/>
      </w:r>
      <w:r w:rsidR="008A0AA4">
        <w:rPr>
          <w:rFonts w:ascii="Times New Roman" w:hAnsi="Times New Roman" w:cs="Times New Roman"/>
        </w:rPr>
        <w:t xml:space="preserve"> Energy Management Solutions performs audits of industrial facilities</w:t>
      </w:r>
      <w:r w:rsidR="00F72E60">
        <w:rPr>
          <w:rFonts w:ascii="Times New Roman" w:hAnsi="Times New Roman" w:cs="Times New Roman"/>
        </w:rPr>
        <w:t>, and despite accepting its signature on the Settlement, FirstEnergy opposes Energy Management Solutions</w:t>
      </w:r>
      <w:r w:rsidR="0082545D">
        <w:rPr>
          <w:rFonts w:ascii="Times New Roman" w:hAnsi="Times New Roman" w:cs="Times New Roman"/>
        </w:rPr>
        <w:t>'</w:t>
      </w:r>
      <w:r w:rsidR="00F72E60">
        <w:rPr>
          <w:rFonts w:ascii="Times New Roman" w:hAnsi="Times New Roman" w:cs="Times New Roman"/>
        </w:rPr>
        <w:t xml:space="preserve"> intervention in this case.</w:t>
      </w:r>
      <w:r>
        <w:rPr>
          <w:rStyle w:val="FootnoteReference"/>
          <w:rFonts w:ascii="Times New Roman" w:hAnsi="Times New Roman" w:cs="Times New Roman"/>
        </w:rPr>
        <w:footnoteReference w:id="165"/>
      </w:r>
      <w:r w:rsidR="00F72E60">
        <w:rPr>
          <w:rFonts w:ascii="Times New Roman" w:hAnsi="Times New Roman" w:cs="Times New Roman"/>
        </w:rPr>
        <w:t xml:space="preserve"> OPAE represents its own interests</w:t>
      </w:r>
      <w:r w:rsidR="0082545D">
        <w:rPr>
          <w:rFonts w:ascii="Times New Roman" w:hAnsi="Times New Roman" w:cs="Times New Roman"/>
        </w:rPr>
        <w:t xml:space="preserve"> </w:t>
      </w:r>
      <w:r w:rsidR="00F72E60">
        <w:rPr>
          <w:rFonts w:ascii="Times New Roman" w:hAnsi="Times New Roman" w:cs="Times New Roman"/>
        </w:rPr>
        <w:t>as the provider of FirstEnergy</w:t>
      </w:r>
      <w:r w:rsidR="0082545D">
        <w:rPr>
          <w:rFonts w:ascii="Times New Roman" w:hAnsi="Times New Roman" w:cs="Times New Roman"/>
        </w:rPr>
        <w:t>'</w:t>
      </w:r>
      <w:r w:rsidR="00F72E60">
        <w:rPr>
          <w:rFonts w:ascii="Times New Roman" w:hAnsi="Times New Roman" w:cs="Times New Roman"/>
        </w:rPr>
        <w:t>s Community Connections program.</w:t>
      </w:r>
      <w:r>
        <w:rPr>
          <w:rStyle w:val="FootnoteReference"/>
          <w:rFonts w:ascii="Times New Roman" w:hAnsi="Times New Roman" w:cs="Times New Roman"/>
        </w:rPr>
        <w:footnoteReference w:id="166"/>
      </w:r>
    </w:p>
    <w:p w:rsidR="00470C53" w:rsidRPr="00F72E60" w:rsidP="00997A88">
      <w:pPr>
        <w:pStyle w:val="Footer"/>
        <w:tabs>
          <w:tab w:val="clear" w:pos="4320"/>
          <w:tab w:val="clear" w:pos="8640"/>
        </w:tabs>
        <w:spacing w:before="100" w:beforeAutospacing="1" w:line="480" w:lineRule="auto"/>
        <w:ind w:firstLine="720"/>
        <w:contextualSpacing/>
        <w:rPr>
          <w:rFonts w:ascii="Times New Roman" w:hAnsi="Times New Roman" w:cs="Times New Roman"/>
          <w:b/>
        </w:rPr>
      </w:pPr>
      <w:r>
        <w:rPr>
          <w:rFonts w:ascii="Times New Roman" w:hAnsi="Times New Roman" w:cs="Times New Roman"/>
        </w:rPr>
        <w:t xml:space="preserve">In contrast, </w:t>
      </w:r>
      <w:r w:rsidR="00192089">
        <w:rPr>
          <w:rFonts w:ascii="Times New Roman" w:hAnsi="Times New Roman" w:cs="Times New Roman"/>
        </w:rPr>
        <w:t>the Ohio Consumers</w:t>
      </w:r>
      <w:r w:rsidR="0082545D">
        <w:rPr>
          <w:rFonts w:ascii="Times New Roman" w:hAnsi="Times New Roman" w:cs="Times New Roman"/>
        </w:rPr>
        <w:t>'</w:t>
      </w:r>
      <w:r w:rsidR="00192089">
        <w:rPr>
          <w:rFonts w:ascii="Times New Roman" w:hAnsi="Times New Roman" w:cs="Times New Roman"/>
        </w:rPr>
        <w:t xml:space="preserve"> Counsel</w:t>
      </w:r>
      <w:r>
        <w:rPr>
          <w:rFonts w:ascii="Times New Roman" w:hAnsi="Times New Roman" w:cs="Times New Roman"/>
        </w:rPr>
        <w:t xml:space="preserve"> represents FirstEnergy</w:t>
      </w:r>
      <w:r w:rsidR="0082545D">
        <w:rPr>
          <w:rFonts w:ascii="Times New Roman" w:hAnsi="Times New Roman" w:cs="Times New Roman"/>
        </w:rPr>
        <w:t>'</w:t>
      </w:r>
      <w:r>
        <w:rPr>
          <w:rFonts w:ascii="Times New Roman" w:hAnsi="Times New Roman" w:cs="Times New Roman"/>
        </w:rPr>
        <w:t xml:space="preserve">s 1.9 million residential customers—customers who will pay many millions of dollars </w:t>
      </w:r>
      <w:r w:rsidR="002A56E0">
        <w:rPr>
          <w:rFonts w:ascii="Times New Roman" w:hAnsi="Times New Roman" w:cs="Times New Roman"/>
        </w:rPr>
        <w:t xml:space="preserve">to fund </w:t>
      </w:r>
      <w:r>
        <w:rPr>
          <w:rFonts w:ascii="Times New Roman" w:hAnsi="Times New Roman" w:cs="Times New Roman"/>
        </w:rPr>
        <w:t>FirstEnergy</w:t>
      </w:r>
      <w:r w:rsidR="0082545D">
        <w:rPr>
          <w:rFonts w:ascii="Times New Roman" w:hAnsi="Times New Roman" w:cs="Times New Roman"/>
        </w:rPr>
        <w:t>'</w:t>
      </w:r>
      <w:r>
        <w:rPr>
          <w:rFonts w:ascii="Times New Roman" w:hAnsi="Times New Roman" w:cs="Times New Roman"/>
        </w:rPr>
        <w:t>s energy efficiency programs and many millions of dollars in profits to FirstEnergy</w:t>
      </w:r>
      <w:r w:rsidR="0082545D">
        <w:rPr>
          <w:rFonts w:ascii="Times New Roman" w:hAnsi="Times New Roman" w:cs="Times New Roman"/>
        </w:rPr>
        <w:t>'</w:t>
      </w:r>
      <w:r>
        <w:rPr>
          <w:rFonts w:ascii="Times New Roman" w:hAnsi="Times New Roman" w:cs="Times New Roman"/>
        </w:rPr>
        <w:t xml:space="preserve">s shareholders. </w:t>
      </w:r>
      <w:r w:rsidR="00621C00">
        <w:rPr>
          <w:rFonts w:ascii="Times New Roman" w:hAnsi="Times New Roman" w:cs="Times New Roman"/>
        </w:rPr>
        <w:t xml:space="preserve">OCC </w:t>
      </w:r>
      <w:r w:rsidR="00931EE7">
        <w:rPr>
          <w:rFonts w:ascii="Times New Roman" w:hAnsi="Times New Roman" w:cs="Times New Roman"/>
        </w:rPr>
        <w:t xml:space="preserve">recommends that the PUCO reject </w:t>
      </w:r>
      <w:r w:rsidR="00621C00">
        <w:rPr>
          <w:rFonts w:ascii="Times New Roman" w:hAnsi="Times New Roman" w:cs="Times New Roman"/>
        </w:rPr>
        <w:t xml:space="preserve">the Settlement. </w:t>
      </w:r>
      <w:r w:rsidR="00537434">
        <w:rPr>
          <w:rFonts w:ascii="Times New Roman" w:hAnsi="Times New Roman" w:cs="Times New Roman"/>
        </w:rPr>
        <w:t>The</w:t>
      </w:r>
      <w:r w:rsidR="00621C00">
        <w:rPr>
          <w:rFonts w:ascii="Times New Roman" w:hAnsi="Times New Roman" w:cs="Times New Roman"/>
        </w:rPr>
        <w:t xml:space="preserve"> PUCO Staff</w:t>
      </w:r>
      <w:r w:rsidR="000536BF">
        <w:rPr>
          <w:rFonts w:ascii="Times New Roman" w:hAnsi="Times New Roman" w:cs="Times New Roman"/>
        </w:rPr>
        <w:t xml:space="preserve"> and the Ohio Hospital Association</w:t>
      </w:r>
      <w:r w:rsidR="00537434">
        <w:rPr>
          <w:rFonts w:ascii="Times New Roman" w:hAnsi="Times New Roman" w:cs="Times New Roman"/>
        </w:rPr>
        <w:t xml:space="preserve"> oppose the Settlement as well</w:t>
      </w:r>
      <w:r w:rsidR="00621C00">
        <w:rPr>
          <w:rFonts w:ascii="Times New Roman" w:hAnsi="Times New Roman" w:cs="Times New Roman"/>
        </w:rPr>
        <w:t>.</w:t>
      </w:r>
      <w:r>
        <w:rPr>
          <w:rStyle w:val="FootnoteReference"/>
          <w:rFonts w:ascii="Times New Roman" w:hAnsi="Times New Roman" w:cs="Times New Roman"/>
        </w:rPr>
        <w:footnoteReference w:id="167"/>
      </w:r>
      <w:r w:rsidR="00621C00">
        <w:rPr>
          <w:rFonts w:ascii="Times New Roman" w:hAnsi="Times New Roman" w:cs="Times New Roman"/>
        </w:rPr>
        <w:t xml:space="preserve"> </w:t>
      </w:r>
      <w:r>
        <w:rPr>
          <w:rFonts w:ascii="Times New Roman" w:hAnsi="Times New Roman" w:cs="Times New Roman"/>
        </w:rPr>
        <w:t>The other major consumer representatives (Industrial Energy Users-Ohio, Ohio Manufacture</w:t>
      </w:r>
      <w:r w:rsidR="000536BF">
        <w:rPr>
          <w:rFonts w:ascii="Times New Roman" w:hAnsi="Times New Roman" w:cs="Times New Roman"/>
        </w:rPr>
        <w:t>rs</w:t>
      </w:r>
      <w:r w:rsidR="0082545D">
        <w:rPr>
          <w:rFonts w:ascii="Times New Roman" w:hAnsi="Times New Roman" w:cs="Times New Roman"/>
        </w:rPr>
        <w:t>'</w:t>
      </w:r>
      <w:r w:rsidR="000536BF">
        <w:rPr>
          <w:rFonts w:ascii="Times New Roman" w:hAnsi="Times New Roman" w:cs="Times New Roman"/>
        </w:rPr>
        <w:t xml:space="preserve"> Association, and the Kroger Co.</w:t>
      </w:r>
      <w:r>
        <w:rPr>
          <w:rFonts w:ascii="Times New Roman" w:hAnsi="Times New Roman" w:cs="Times New Roman"/>
        </w:rPr>
        <w:t>) are not Signatory Parties to the Settlement either</w:t>
      </w:r>
      <w:r w:rsidR="001B5C3D">
        <w:rPr>
          <w:rFonts w:ascii="Times New Roman" w:hAnsi="Times New Roman" w:cs="Times New Roman"/>
        </w:rPr>
        <w:t>,</w:t>
      </w:r>
      <w:r w:rsidR="001F56D8">
        <w:rPr>
          <w:rFonts w:ascii="Times New Roman" w:hAnsi="Times New Roman" w:cs="Times New Roman"/>
        </w:rPr>
        <w:t xml:space="preserve"> even though they do not oppose it</w:t>
      </w:r>
      <w:r>
        <w:rPr>
          <w:rFonts w:ascii="Times New Roman" w:hAnsi="Times New Roman" w:cs="Times New Roman"/>
        </w:rPr>
        <w:t>.</w:t>
      </w:r>
      <w:r>
        <w:rPr>
          <w:rStyle w:val="FootnoteReference"/>
          <w:rFonts w:ascii="Times New Roman" w:hAnsi="Times New Roman" w:cs="Times New Roman"/>
        </w:rPr>
        <w:footnoteReference w:id="168"/>
      </w:r>
    </w:p>
    <w:p w:rsidR="00470C53"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OCC </w:t>
      </w:r>
      <w:r w:rsidR="00F72E60">
        <w:rPr>
          <w:rFonts w:ascii="Times New Roman" w:hAnsi="Times New Roman" w:cs="Times New Roman"/>
        </w:rPr>
        <w:t>does not suggest that the</w:t>
      </w:r>
      <w:r>
        <w:rPr>
          <w:rFonts w:ascii="Times New Roman" w:hAnsi="Times New Roman" w:cs="Times New Roman"/>
        </w:rPr>
        <w:t xml:space="preserve"> PUCO </w:t>
      </w:r>
      <w:r w:rsidR="00F72E60">
        <w:rPr>
          <w:rFonts w:ascii="Times New Roman" w:hAnsi="Times New Roman" w:cs="Times New Roman"/>
        </w:rPr>
        <w:t>should</w:t>
      </w:r>
      <w:r>
        <w:rPr>
          <w:rFonts w:ascii="Times New Roman" w:hAnsi="Times New Roman" w:cs="Times New Roman"/>
        </w:rPr>
        <w:t xml:space="preserve"> give </w:t>
      </w:r>
      <w:r w:rsidRPr="00F72E60" w:rsidR="00605126">
        <w:rPr>
          <w:rFonts w:ascii="Times New Roman" w:hAnsi="Times New Roman" w:cs="Times New Roman"/>
          <w:i/>
        </w:rPr>
        <w:t>zero</w:t>
      </w:r>
      <w:r>
        <w:rPr>
          <w:rFonts w:ascii="Times New Roman" w:hAnsi="Times New Roman" w:cs="Times New Roman"/>
        </w:rPr>
        <w:t xml:space="preserve"> weight to the </w:t>
      </w:r>
      <w:r w:rsidR="00EA1A99">
        <w:rPr>
          <w:rFonts w:ascii="Times New Roman" w:hAnsi="Times New Roman" w:cs="Times New Roman"/>
        </w:rPr>
        <w:t>S</w:t>
      </w:r>
      <w:r>
        <w:rPr>
          <w:rFonts w:ascii="Times New Roman" w:hAnsi="Times New Roman" w:cs="Times New Roman"/>
        </w:rPr>
        <w:t xml:space="preserve">ignatory </w:t>
      </w:r>
      <w:r w:rsidR="00EA1A99">
        <w:rPr>
          <w:rFonts w:ascii="Times New Roman" w:hAnsi="Times New Roman" w:cs="Times New Roman"/>
        </w:rPr>
        <w:t>P</w:t>
      </w:r>
      <w:r>
        <w:rPr>
          <w:rFonts w:ascii="Times New Roman" w:hAnsi="Times New Roman" w:cs="Times New Roman"/>
        </w:rPr>
        <w:t>arties</w:t>
      </w:r>
      <w:r w:rsidR="0082545D">
        <w:rPr>
          <w:rFonts w:ascii="Times New Roman" w:hAnsi="Times New Roman" w:cs="Times New Roman"/>
        </w:rPr>
        <w:t>'</w:t>
      </w:r>
      <w:r>
        <w:rPr>
          <w:rFonts w:ascii="Times New Roman" w:hAnsi="Times New Roman" w:cs="Times New Roman"/>
        </w:rPr>
        <w:t xml:space="preserve"> signatures merely because they </w:t>
      </w:r>
      <w:r w:rsidR="00F72E60">
        <w:rPr>
          <w:rFonts w:ascii="Times New Roman" w:hAnsi="Times New Roman" w:cs="Times New Roman"/>
        </w:rPr>
        <w:t>represent narrow interests and do not pay for FirstEnergy</w:t>
      </w:r>
      <w:r w:rsidR="0082545D">
        <w:rPr>
          <w:rFonts w:ascii="Times New Roman" w:hAnsi="Times New Roman" w:cs="Times New Roman"/>
        </w:rPr>
        <w:t>'</w:t>
      </w:r>
      <w:r w:rsidR="00F72E60">
        <w:rPr>
          <w:rFonts w:ascii="Times New Roman" w:hAnsi="Times New Roman" w:cs="Times New Roman"/>
        </w:rPr>
        <w:t>s programs</w:t>
      </w:r>
      <w:r>
        <w:rPr>
          <w:rFonts w:ascii="Times New Roman" w:hAnsi="Times New Roman" w:cs="Times New Roman"/>
        </w:rPr>
        <w:t xml:space="preserve">. But the PUCO </w:t>
      </w:r>
      <w:r w:rsidR="000536BF">
        <w:rPr>
          <w:rFonts w:ascii="Times New Roman" w:hAnsi="Times New Roman" w:cs="Times New Roman"/>
        </w:rPr>
        <w:t xml:space="preserve">should </w:t>
      </w:r>
      <w:r>
        <w:rPr>
          <w:rFonts w:ascii="Times New Roman" w:hAnsi="Times New Roman" w:cs="Times New Roman"/>
        </w:rPr>
        <w:t xml:space="preserve">consider </w:t>
      </w:r>
      <w:r w:rsidR="00621C00">
        <w:rPr>
          <w:rFonts w:ascii="Times New Roman" w:hAnsi="Times New Roman" w:cs="Times New Roman"/>
        </w:rPr>
        <w:t>the Signatory Parties</w:t>
      </w:r>
      <w:r w:rsidR="0082545D">
        <w:rPr>
          <w:rFonts w:ascii="Times New Roman" w:hAnsi="Times New Roman" w:cs="Times New Roman"/>
        </w:rPr>
        <w:t>'</w:t>
      </w:r>
      <w:r w:rsidR="00621C00">
        <w:rPr>
          <w:rFonts w:ascii="Times New Roman" w:hAnsi="Times New Roman" w:cs="Times New Roman"/>
        </w:rPr>
        <w:t xml:space="preserve"> narrow interests, as compared to the broad interests represented by the non-Signatory Parties,</w:t>
      </w:r>
      <w:r>
        <w:rPr>
          <w:rFonts w:ascii="Times New Roman" w:hAnsi="Times New Roman" w:cs="Times New Roman"/>
        </w:rPr>
        <w:t xml:space="preserve"> in deciding whether the Settlement is right for the State of Ohio and its </w:t>
      </w:r>
      <w:r w:rsidR="002A56E0">
        <w:rPr>
          <w:rFonts w:ascii="Times New Roman" w:hAnsi="Times New Roman" w:cs="Times New Roman"/>
        </w:rPr>
        <w:t>consumers</w:t>
      </w:r>
      <w:r>
        <w:rPr>
          <w:rFonts w:ascii="Times New Roman" w:hAnsi="Times New Roman" w:cs="Times New Roman"/>
        </w:rPr>
        <w:t xml:space="preserve">. The fact that </w:t>
      </w:r>
      <w:r w:rsidR="00EA1A99">
        <w:rPr>
          <w:rFonts w:ascii="Times New Roman" w:hAnsi="Times New Roman" w:cs="Times New Roman"/>
        </w:rPr>
        <w:t>S</w:t>
      </w:r>
      <w:r>
        <w:rPr>
          <w:rFonts w:ascii="Times New Roman" w:hAnsi="Times New Roman" w:cs="Times New Roman"/>
        </w:rPr>
        <w:t xml:space="preserve">ignatory </w:t>
      </w:r>
      <w:r w:rsidR="00EA1A99">
        <w:rPr>
          <w:rFonts w:ascii="Times New Roman" w:hAnsi="Times New Roman" w:cs="Times New Roman"/>
        </w:rPr>
        <w:t>P</w:t>
      </w:r>
      <w:r>
        <w:rPr>
          <w:rFonts w:ascii="Times New Roman" w:hAnsi="Times New Roman" w:cs="Times New Roman"/>
        </w:rPr>
        <w:t xml:space="preserve">arties with narrow interests approve of the Settlement does not mean that the Settlement represents sound regulatory policy. It simply means that the Settlement </w:t>
      </w:r>
      <w:r w:rsidR="00621C00">
        <w:rPr>
          <w:rFonts w:ascii="Times New Roman" w:hAnsi="Times New Roman" w:cs="Times New Roman"/>
        </w:rPr>
        <w:t>might</w:t>
      </w:r>
      <w:r>
        <w:rPr>
          <w:rFonts w:ascii="Times New Roman" w:hAnsi="Times New Roman" w:cs="Times New Roman"/>
        </w:rPr>
        <w:t xml:space="preserve"> benefit those narrow interes</w:t>
      </w:r>
      <w:r w:rsidR="00621C00">
        <w:rPr>
          <w:rFonts w:ascii="Times New Roman" w:hAnsi="Times New Roman" w:cs="Times New Roman"/>
        </w:rPr>
        <w:t>ts.</w:t>
      </w:r>
      <w:r w:rsidR="001F56D8">
        <w:rPr>
          <w:rFonts w:ascii="Times New Roman" w:hAnsi="Times New Roman" w:cs="Times New Roman"/>
        </w:rPr>
        <w:t xml:space="preserve">  </w:t>
      </w:r>
    </w:p>
    <w:p w:rsidR="00621C00"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As Ohio Supreme Court Justice Paul Pfeifer recently and aptly stated: </w:t>
      </w:r>
      <w:r w:rsidR="0082545D">
        <w:rPr>
          <w:rFonts w:ascii="Times New Roman" w:hAnsi="Times New Roman" w:cs="Times New Roman"/>
        </w:rPr>
        <w:t>"</w:t>
      </w:r>
      <w:r>
        <w:rPr>
          <w:rFonts w:ascii="Times New Roman" w:hAnsi="Times New Roman" w:cs="Times New Roman"/>
        </w:rPr>
        <w:t>[T]he purpose of the PUCO . . . is to protect the customers of public utilities.</w:t>
      </w:r>
      <w:r w:rsidR="0082545D">
        <w:rPr>
          <w:rFonts w:ascii="Times New Roman" w:hAnsi="Times New Roman" w:cs="Times New Roman"/>
        </w:rPr>
        <w:t>"</w:t>
      </w:r>
      <w:r>
        <w:rPr>
          <w:rStyle w:val="FootnoteReference"/>
          <w:rFonts w:ascii="Times New Roman" w:hAnsi="Times New Roman" w:cs="Times New Roman"/>
        </w:rPr>
        <w:footnoteReference w:id="169"/>
      </w:r>
      <w:r>
        <w:rPr>
          <w:rFonts w:ascii="Times New Roman" w:hAnsi="Times New Roman" w:cs="Times New Roman"/>
        </w:rPr>
        <w:t xml:space="preserve"> FirstEnergy</w:t>
      </w:r>
      <w:r w:rsidR="0082545D">
        <w:rPr>
          <w:rFonts w:ascii="Times New Roman" w:hAnsi="Times New Roman" w:cs="Times New Roman"/>
        </w:rPr>
        <w:t>'</w:t>
      </w:r>
      <w:r>
        <w:rPr>
          <w:rFonts w:ascii="Times New Roman" w:hAnsi="Times New Roman" w:cs="Times New Roman"/>
        </w:rPr>
        <w:t>s customers do not support the Settlement. The PUCO should protect them from paying too much for energy efficiency by modifying the Settlement to require an $80.1 million cap on annual spending for program costs and utility profits.</w:t>
      </w:r>
    </w:p>
    <w:p w:rsidR="00412C29" w:rsidP="00350235">
      <w:pPr>
        <w:pStyle w:val="Heading2"/>
      </w:pPr>
      <w:bookmarkStart w:id="23" w:name="_Toc475451064"/>
      <w:r>
        <w:t>C</w:t>
      </w:r>
      <w:r w:rsidR="004240C2">
        <w:t>.</w:t>
      </w:r>
      <w:r w:rsidR="004240C2">
        <w:tab/>
        <w:t>The Settlement violates regulatory principles and practices.</w:t>
      </w:r>
      <w:bookmarkEnd w:id="23"/>
    </w:p>
    <w:p w:rsidR="00083993" w:rsidP="00350235">
      <w:pPr>
        <w:pStyle w:val="Heading3"/>
      </w:pPr>
      <w:bookmarkStart w:id="24" w:name="_Toc475451065"/>
      <w:r>
        <w:t>1</w:t>
      </w:r>
      <w:r>
        <w:t>.</w:t>
      </w:r>
      <w:r>
        <w:tab/>
        <w:t>The Settlement violates the PUCO</w:t>
      </w:r>
      <w:r w:rsidR="0082545D">
        <w:t>'</w:t>
      </w:r>
      <w:r>
        <w:t>s October 12, 2016 Entry on Rehearing in FirstEnergy</w:t>
      </w:r>
      <w:r w:rsidR="0082545D">
        <w:t>'</w:t>
      </w:r>
      <w:r>
        <w:t>s ESP IV case.</w:t>
      </w:r>
      <w:bookmarkEnd w:id="24"/>
    </w:p>
    <w:p w:rsidR="00083993" w:rsidP="00083993">
      <w:pPr>
        <w:pStyle w:val="Footer"/>
        <w:tabs>
          <w:tab w:val="clear" w:pos="4320"/>
          <w:tab w:val="clear" w:pos="8640"/>
        </w:tabs>
        <w:spacing w:line="480" w:lineRule="auto"/>
        <w:ind w:firstLine="720"/>
        <w:rPr>
          <w:rFonts w:ascii="Times New Roman" w:hAnsi="Times New Roman" w:cs="Times New Roman"/>
        </w:rPr>
      </w:pPr>
      <w:r>
        <w:rPr>
          <w:rFonts w:ascii="Times New Roman" w:hAnsi="Times New Roman" w:cs="Times New Roman"/>
        </w:rPr>
        <w:t>In FirstEnergy</w:t>
      </w:r>
      <w:r w:rsidR="0082545D">
        <w:rPr>
          <w:rFonts w:ascii="Times New Roman" w:hAnsi="Times New Roman" w:cs="Times New Roman"/>
        </w:rPr>
        <w:t>'</w:t>
      </w:r>
      <w:r>
        <w:rPr>
          <w:rFonts w:ascii="Times New Roman" w:hAnsi="Times New Roman" w:cs="Times New Roman"/>
        </w:rPr>
        <w:t xml:space="preserve">s </w:t>
      </w:r>
      <w:r w:rsidR="00EA1A99">
        <w:rPr>
          <w:rFonts w:ascii="Times New Roman" w:hAnsi="Times New Roman" w:cs="Times New Roman"/>
        </w:rPr>
        <w:t>ESP IV Case</w:t>
      </w:r>
      <w:r>
        <w:rPr>
          <w:rFonts w:ascii="Times New Roman" w:hAnsi="Times New Roman" w:cs="Times New Roman"/>
        </w:rPr>
        <w:t xml:space="preserve">, FirstEnergy and other parties signed a settlement that required FirstEnergy to </w:t>
      </w:r>
      <w:r w:rsidR="0082545D">
        <w:rPr>
          <w:rFonts w:ascii="Times New Roman" w:hAnsi="Times New Roman" w:cs="Times New Roman"/>
        </w:rPr>
        <w:t>"</w:t>
      </w:r>
      <w:r>
        <w:rPr>
          <w:rFonts w:ascii="Times New Roman" w:hAnsi="Times New Roman" w:cs="Times New Roman"/>
        </w:rPr>
        <w:t>strive to achieve over 800,000 MWh of energy savings annually, subject to customer opt outs,</w:t>
      </w:r>
      <w:r w:rsidR="0082545D">
        <w:rPr>
          <w:rFonts w:ascii="Times New Roman" w:hAnsi="Times New Roman" w:cs="Times New Roman"/>
        </w:rPr>
        <w:t>"</w:t>
      </w:r>
      <w:r>
        <w:rPr>
          <w:rFonts w:ascii="Times New Roman" w:hAnsi="Times New Roman" w:cs="Times New Roman"/>
        </w:rPr>
        <w:t xml:space="preserve"> in this energy efficiency portfolio case.</w:t>
      </w:r>
      <w:r>
        <w:rPr>
          <w:rStyle w:val="FootnoteReference"/>
          <w:rFonts w:ascii="Times New Roman" w:hAnsi="Times New Roman" w:cs="Times New Roman"/>
        </w:rPr>
        <w:footnoteReference w:id="170"/>
      </w:r>
      <w:r>
        <w:rPr>
          <w:rFonts w:ascii="Times New Roman" w:hAnsi="Times New Roman" w:cs="Times New Roman"/>
        </w:rPr>
        <w:t xml:space="preserve"> The PUCO approved this settlement but with an important clarification regarding the 800,000 MWh energy savings target. </w:t>
      </w:r>
    </w:p>
    <w:p w:rsidR="00083993" w:rsidP="00083993">
      <w:pPr>
        <w:pStyle w:val="Footer"/>
        <w:tabs>
          <w:tab w:val="clear" w:pos="4320"/>
          <w:tab w:val="clear" w:pos="8640"/>
        </w:tabs>
        <w:spacing w:line="480" w:lineRule="auto"/>
        <w:ind w:firstLine="720"/>
        <w:rPr>
          <w:rFonts w:ascii="Times New Roman" w:hAnsi="Times New Roman" w:cs="Times New Roman"/>
        </w:rPr>
      </w:pPr>
      <w:r>
        <w:rPr>
          <w:rFonts w:ascii="Times New Roman" w:hAnsi="Times New Roman" w:cs="Times New Roman"/>
        </w:rPr>
        <w:t xml:space="preserve">The PUCO interpreted the </w:t>
      </w:r>
      <w:r w:rsidR="0082545D">
        <w:rPr>
          <w:rFonts w:ascii="Times New Roman" w:hAnsi="Times New Roman" w:cs="Times New Roman"/>
        </w:rPr>
        <w:t>"</w:t>
      </w:r>
      <w:r>
        <w:rPr>
          <w:rFonts w:ascii="Times New Roman" w:hAnsi="Times New Roman" w:cs="Times New Roman"/>
        </w:rPr>
        <w:t>strive to achieve</w:t>
      </w:r>
      <w:r w:rsidR="0082545D">
        <w:rPr>
          <w:rFonts w:ascii="Times New Roman" w:hAnsi="Times New Roman" w:cs="Times New Roman"/>
        </w:rPr>
        <w:t>"</w:t>
      </w:r>
      <w:r>
        <w:rPr>
          <w:rFonts w:ascii="Times New Roman" w:hAnsi="Times New Roman" w:cs="Times New Roman"/>
        </w:rPr>
        <w:t xml:space="preserve"> language to mean that achieving 800,000 MWh of energy savings was </w:t>
      </w:r>
      <w:r w:rsidR="0082545D">
        <w:rPr>
          <w:rFonts w:ascii="Times New Roman" w:hAnsi="Times New Roman" w:cs="Times New Roman"/>
        </w:rPr>
        <w:t>"</w:t>
      </w:r>
      <w:r>
        <w:rPr>
          <w:rFonts w:ascii="Times New Roman" w:hAnsi="Times New Roman" w:cs="Times New Roman"/>
        </w:rPr>
        <w:t>simply a goal.</w:t>
      </w:r>
      <w:r w:rsidR="0082545D">
        <w:rPr>
          <w:rFonts w:ascii="Times New Roman" w:hAnsi="Times New Roman" w:cs="Times New Roman"/>
        </w:rPr>
        <w:t>"</w:t>
      </w:r>
      <w:r>
        <w:rPr>
          <w:rStyle w:val="FootnoteReference"/>
          <w:rFonts w:ascii="Times New Roman" w:hAnsi="Times New Roman" w:cs="Times New Roman"/>
        </w:rPr>
        <w:footnoteReference w:id="171"/>
      </w:r>
      <w:r>
        <w:rPr>
          <w:rFonts w:ascii="Times New Roman" w:hAnsi="Times New Roman" w:cs="Times New Roman"/>
        </w:rPr>
        <w:t xml:space="preserve"> As the PUCO explained, FirstEnergy is </w:t>
      </w:r>
      <w:r w:rsidR="0082545D">
        <w:rPr>
          <w:rFonts w:ascii="Times New Roman" w:hAnsi="Times New Roman" w:cs="Times New Roman"/>
        </w:rPr>
        <w:t>"</w:t>
      </w:r>
      <w:r>
        <w:rPr>
          <w:rFonts w:ascii="Times New Roman" w:hAnsi="Times New Roman" w:cs="Times New Roman"/>
        </w:rPr>
        <w:t xml:space="preserve">expected in the energy efficiency portfolio plans to </w:t>
      </w:r>
      <w:r w:rsidRPr="002717F4">
        <w:rPr>
          <w:rFonts w:ascii="Times New Roman" w:hAnsi="Times New Roman" w:cs="Times New Roman"/>
          <w:u w:val="single"/>
        </w:rPr>
        <w:t>budget for the annual statutory energy efficiency mandate</w:t>
      </w:r>
      <w:r>
        <w:rPr>
          <w:rFonts w:ascii="Times New Roman" w:hAnsi="Times New Roman" w:cs="Times New Roman"/>
        </w:rPr>
        <w:t xml:space="preserve"> rather than the [800,000 MWh] goal.</w:t>
      </w:r>
      <w:r w:rsidR="0082545D">
        <w:rPr>
          <w:rFonts w:ascii="Times New Roman" w:hAnsi="Times New Roman" w:cs="Times New Roman"/>
        </w:rPr>
        <w:t>"</w:t>
      </w:r>
      <w:r>
        <w:rPr>
          <w:rStyle w:val="FootnoteReference"/>
          <w:rFonts w:ascii="Times New Roman" w:hAnsi="Times New Roman" w:cs="Times New Roman"/>
        </w:rPr>
        <w:footnoteReference w:id="172"/>
      </w:r>
      <w:r>
        <w:rPr>
          <w:rFonts w:ascii="Times New Roman" w:hAnsi="Times New Roman" w:cs="Times New Roman"/>
        </w:rPr>
        <w:t xml:space="preserve"> In other words, FirstEnergy cannot inflate its program budget to target the 800,000 MWh goal; instead, customers should only pay for programs that are designed to reach the statutory benchmark.</w:t>
      </w:r>
      <w:r>
        <w:rPr>
          <w:rStyle w:val="FootnoteReference"/>
          <w:rFonts w:ascii="Times New Roman" w:hAnsi="Times New Roman" w:cs="Times New Roman"/>
        </w:rPr>
        <w:footnoteReference w:id="173"/>
      </w:r>
      <w:r>
        <w:rPr>
          <w:rFonts w:ascii="Times New Roman" w:hAnsi="Times New Roman" w:cs="Times New Roman"/>
        </w:rPr>
        <w:t xml:space="preserve"> To strive to achieve the 800,000 MWh goal, </w:t>
      </w:r>
      <w:r w:rsidR="00EA1A99">
        <w:rPr>
          <w:rFonts w:ascii="Times New Roman" w:hAnsi="Times New Roman" w:cs="Times New Roman"/>
        </w:rPr>
        <w:t xml:space="preserve">the PUCO ruled that </w:t>
      </w:r>
      <w:r>
        <w:rPr>
          <w:rFonts w:ascii="Times New Roman" w:hAnsi="Times New Roman" w:cs="Times New Roman"/>
        </w:rPr>
        <w:t>FirstEnergy must efficiently administer its programs and achieve energy savings for the least cost.</w:t>
      </w:r>
      <w:r>
        <w:rPr>
          <w:rStyle w:val="FootnoteReference"/>
          <w:rFonts w:ascii="Times New Roman" w:hAnsi="Times New Roman" w:cs="Times New Roman"/>
        </w:rPr>
        <w:footnoteReference w:id="174"/>
      </w:r>
    </w:p>
    <w:p w:rsidR="00083993" w:rsidP="00083993">
      <w:pPr>
        <w:pStyle w:val="Footer"/>
        <w:tabs>
          <w:tab w:val="clear" w:pos="4320"/>
          <w:tab w:val="clear" w:pos="8640"/>
        </w:tabs>
        <w:spacing w:line="480" w:lineRule="auto"/>
        <w:ind w:firstLine="720"/>
        <w:rPr>
          <w:rFonts w:ascii="Times New Roman" w:hAnsi="Times New Roman" w:cs="Times New Roman"/>
        </w:rPr>
      </w:pPr>
      <w:r>
        <w:rPr>
          <w:rFonts w:ascii="Times New Roman" w:hAnsi="Times New Roman" w:cs="Times New Roman"/>
        </w:rPr>
        <w:t>PUCO Orders and Entries are effective immediately.</w:t>
      </w:r>
      <w:r>
        <w:rPr>
          <w:rStyle w:val="FootnoteReference"/>
          <w:rFonts w:ascii="Times New Roman" w:hAnsi="Times New Roman" w:cs="Times New Roman"/>
        </w:rPr>
        <w:footnoteReference w:id="175"/>
      </w:r>
      <w:r>
        <w:rPr>
          <w:rFonts w:ascii="Times New Roman" w:hAnsi="Times New Roman" w:cs="Times New Roman"/>
        </w:rPr>
        <w:t xml:space="preserve"> They remain effective while an application for rehearing is pending.</w:t>
      </w:r>
      <w:r>
        <w:rPr>
          <w:rStyle w:val="FootnoteReference"/>
          <w:rFonts w:ascii="Times New Roman" w:hAnsi="Times New Roman" w:cs="Times New Roman"/>
        </w:rPr>
        <w:footnoteReference w:id="176"/>
      </w:r>
      <w:r>
        <w:rPr>
          <w:rFonts w:ascii="Times New Roman" w:hAnsi="Times New Roman" w:cs="Times New Roman"/>
        </w:rPr>
        <w:t xml:space="preserve"> </w:t>
      </w:r>
      <w:r w:rsidR="00EA1A99">
        <w:rPr>
          <w:rFonts w:ascii="Times New Roman" w:hAnsi="Times New Roman" w:cs="Times New Roman"/>
        </w:rPr>
        <w:t>T</w:t>
      </w:r>
      <w:r w:rsidR="0009206F">
        <w:rPr>
          <w:rFonts w:ascii="Times New Roman" w:hAnsi="Times New Roman" w:cs="Times New Roman"/>
        </w:rPr>
        <w:t>here must be a fundamental regulatory principle that a s</w:t>
      </w:r>
      <w:r>
        <w:rPr>
          <w:rFonts w:ascii="Times New Roman" w:hAnsi="Times New Roman" w:cs="Times New Roman"/>
        </w:rPr>
        <w:t>ettlement cannot violate a</w:t>
      </w:r>
      <w:r w:rsidR="00EA1A99">
        <w:rPr>
          <w:rFonts w:ascii="Times New Roman" w:hAnsi="Times New Roman" w:cs="Times New Roman"/>
        </w:rPr>
        <w:t xml:space="preserve"> binding</w:t>
      </w:r>
      <w:r>
        <w:rPr>
          <w:rFonts w:ascii="Times New Roman" w:hAnsi="Times New Roman" w:cs="Times New Roman"/>
        </w:rPr>
        <w:t xml:space="preserve"> PUCO Order or Entry.</w:t>
      </w:r>
      <w:r>
        <w:rPr>
          <w:rStyle w:val="FootnoteReference"/>
          <w:rFonts w:ascii="Times New Roman" w:hAnsi="Times New Roman" w:cs="Times New Roman"/>
        </w:rPr>
        <w:footnoteReference w:id="177"/>
      </w:r>
      <w:r>
        <w:rPr>
          <w:rFonts w:ascii="Times New Roman" w:hAnsi="Times New Roman" w:cs="Times New Roman"/>
        </w:rPr>
        <w:t xml:space="preserve"> </w:t>
      </w:r>
      <w:r>
        <w:rPr>
          <w:rFonts w:ascii="Times New Roman" w:hAnsi="Times New Roman" w:cs="Times New Roman"/>
        </w:rPr>
        <w:t>The Settlement violates the PUCO</w:t>
      </w:r>
      <w:r w:rsidR="0082545D">
        <w:rPr>
          <w:rFonts w:ascii="Times New Roman" w:hAnsi="Times New Roman" w:cs="Times New Roman"/>
        </w:rPr>
        <w:t>'</w:t>
      </w:r>
      <w:r>
        <w:rPr>
          <w:rFonts w:ascii="Times New Roman" w:hAnsi="Times New Roman" w:cs="Times New Roman"/>
        </w:rPr>
        <w:t>s Entry on Rehearing because it does not budget for the statutory energy efficiency mandate—it budgets for substantially above the energy efficiency mandate.</w:t>
      </w:r>
    </w:p>
    <w:p w:rsidR="00083993" w:rsidP="00083993">
      <w:pPr>
        <w:pStyle w:val="Footer"/>
        <w:tabs>
          <w:tab w:val="clear" w:pos="4320"/>
          <w:tab w:val="clear" w:pos="8640"/>
        </w:tabs>
        <w:spacing w:line="480" w:lineRule="auto"/>
        <w:ind w:firstLine="720"/>
        <w:rPr>
          <w:rFonts w:ascii="Times New Roman" w:hAnsi="Times New Roman" w:cs="Times New Roman"/>
        </w:rPr>
      </w:pPr>
      <w:r>
        <w:rPr>
          <w:rFonts w:ascii="Times New Roman" w:hAnsi="Times New Roman" w:cs="Times New Roman"/>
        </w:rPr>
        <w:t>The combined statutory energy efficiency mandate for the three FirstEnergy Companies is 1,587 GWh from 2017 to 2019.</w:t>
      </w:r>
      <w:r>
        <w:rPr>
          <w:rStyle w:val="FootnoteReference"/>
          <w:rFonts w:ascii="Times New Roman" w:hAnsi="Times New Roman" w:cs="Times New Roman"/>
        </w:rPr>
        <w:footnoteReference w:id="178"/>
      </w:r>
      <w:r>
        <w:rPr>
          <w:rFonts w:ascii="Times New Roman" w:hAnsi="Times New Roman" w:cs="Times New Roman"/>
        </w:rPr>
        <w:t xml:space="preserve"> The Settlement, however, budgets for 1,782 GWh</w:t>
      </w:r>
      <w:r w:rsidR="00A43EEC">
        <w:rPr>
          <w:rFonts w:ascii="Times New Roman" w:hAnsi="Times New Roman" w:cs="Times New Roman"/>
        </w:rPr>
        <w:t>, more than 12% above the statutory minimum</w:t>
      </w:r>
      <w:r>
        <w:rPr>
          <w:rFonts w:ascii="Times New Roman" w:hAnsi="Times New Roman" w:cs="Times New Roman"/>
        </w:rPr>
        <w:t>.</w:t>
      </w:r>
      <w:r>
        <w:rPr>
          <w:rStyle w:val="FootnoteReference"/>
          <w:rFonts w:ascii="Times New Roman" w:hAnsi="Times New Roman" w:cs="Times New Roman"/>
        </w:rPr>
        <w:footnoteReference w:id="179"/>
      </w:r>
      <w:r>
        <w:rPr>
          <w:rFonts w:ascii="Times New Roman" w:hAnsi="Times New Roman" w:cs="Times New Roman"/>
        </w:rPr>
        <w:t xml:space="preserve"> FirstEnergy explained that it budgeted for 1,782 GWh over three years, instead of the 1,587 GWh statutory mandate, because it wanted a </w:t>
      </w:r>
      <w:r w:rsidR="0082545D">
        <w:rPr>
          <w:rFonts w:ascii="Times New Roman" w:hAnsi="Times New Roman" w:cs="Times New Roman"/>
        </w:rPr>
        <w:t>"</w:t>
      </w:r>
      <w:r>
        <w:rPr>
          <w:rFonts w:ascii="Times New Roman" w:hAnsi="Times New Roman" w:cs="Times New Roman"/>
        </w:rPr>
        <w:t>cushion</w:t>
      </w:r>
      <w:r w:rsidR="0082545D">
        <w:rPr>
          <w:rFonts w:ascii="Times New Roman" w:hAnsi="Times New Roman" w:cs="Times New Roman"/>
        </w:rPr>
        <w:t>"</w:t>
      </w:r>
      <w:r>
        <w:rPr>
          <w:rFonts w:ascii="Times New Roman" w:hAnsi="Times New Roman" w:cs="Times New Roman"/>
        </w:rPr>
        <w:t xml:space="preserve"> above the mandate.</w:t>
      </w:r>
      <w:r>
        <w:rPr>
          <w:rStyle w:val="FootnoteReference"/>
          <w:rFonts w:ascii="Times New Roman" w:hAnsi="Times New Roman" w:cs="Times New Roman"/>
        </w:rPr>
        <w:footnoteReference w:id="180"/>
      </w:r>
      <w:r>
        <w:rPr>
          <w:rFonts w:ascii="Times New Roman" w:hAnsi="Times New Roman" w:cs="Times New Roman"/>
        </w:rPr>
        <w:t xml:space="preserve"> But the ESP IV Fifth Entry on Rehearing does not state that FirstEnergy</w:t>
      </w:r>
      <w:r w:rsidR="0082545D">
        <w:rPr>
          <w:rFonts w:ascii="Times New Roman" w:hAnsi="Times New Roman" w:cs="Times New Roman"/>
        </w:rPr>
        <w:t>'</w:t>
      </w:r>
      <w:r>
        <w:rPr>
          <w:rFonts w:ascii="Times New Roman" w:hAnsi="Times New Roman" w:cs="Times New Roman"/>
        </w:rPr>
        <w:t xml:space="preserve">s portfolio can budget for the statutory mandate </w:t>
      </w:r>
      <w:r>
        <w:rPr>
          <w:rFonts w:ascii="Times New Roman" w:hAnsi="Times New Roman" w:cs="Times New Roman"/>
          <w:i/>
        </w:rPr>
        <w:t>plus a cushion</w:t>
      </w:r>
      <w:r>
        <w:rPr>
          <w:rFonts w:ascii="Times New Roman" w:hAnsi="Times New Roman" w:cs="Times New Roman"/>
        </w:rPr>
        <w:t xml:space="preserve">. It plainly states that FirstEnergy shall </w:t>
      </w:r>
      <w:r w:rsidR="0082545D">
        <w:rPr>
          <w:rFonts w:ascii="Times New Roman" w:hAnsi="Times New Roman" w:cs="Times New Roman"/>
        </w:rPr>
        <w:t>"</w:t>
      </w:r>
      <w:r>
        <w:rPr>
          <w:rFonts w:ascii="Times New Roman" w:hAnsi="Times New Roman" w:cs="Times New Roman"/>
        </w:rPr>
        <w:t>budget for the annual statutory energy efficiency mandate.</w:t>
      </w:r>
      <w:r w:rsidR="0082545D">
        <w:rPr>
          <w:rFonts w:ascii="Times New Roman" w:hAnsi="Times New Roman" w:cs="Times New Roman"/>
        </w:rPr>
        <w:t>"</w:t>
      </w:r>
      <w:r>
        <w:rPr>
          <w:rStyle w:val="FootnoteReference"/>
          <w:rFonts w:ascii="Times New Roman" w:hAnsi="Times New Roman" w:cs="Times New Roman"/>
        </w:rPr>
        <w:footnoteReference w:id="181"/>
      </w:r>
      <w:r>
        <w:rPr>
          <w:rFonts w:ascii="Times New Roman" w:hAnsi="Times New Roman" w:cs="Times New Roman"/>
        </w:rPr>
        <w:t xml:space="preserve"> The Settlement violates the ESP IV Fifth Entry on Rehearing by requiring customers to pay for programs under a budget that is substantially higher than would be necessary to achieve the statutory </w:t>
      </w:r>
      <w:r w:rsidR="00EA1A99">
        <w:rPr>
          <w:rFonts w:ascii="Times New Roman" w:hAnsi="Times New Roman" w:cs="Times New Roman"/>
        </w:rPr>
        <w:t>benchmark</w:t>
      </w:r>
      <w:r>
        <w:rPr>
          <w:rFonts w:ascii="Times New Roman" w:hAnsi="Times New Roman" w:cs="Times New Roman"/>
        </w:rPr>
        <w:t>.</w:t>
      </w:r>
    </w:p>
    <w:p w:rsidR="00083993" w:rsidRPr="001A1E22" w:rsidP="00083993">
      <w:pPr>
        <w:pStyle w:val="Footer"/>
        <w:tabs>
          <w:tab w:val="clear" w:pos="4320"/>
          <w:tab w:val="clear" w:pos="8640"/>
        </w:tabs>
        <w:spacing w:line="480" w:lineRule="auto"/>
        <w:ind w:firstLine="720"/>
        <w:rPr>
          <w:rFonts w:ascii="Times New Roman" w:hAnsi="Times New Roman" w:cs="Times New Roman"/>
          <w:u w:val="single"/>
        </w:rPr>
      </w:pPr>
      <w:r>
        <w:rPr>
          <w:rFonts w:ascii="Times New Roman" w:hAnsi="Times New Roman" w:cs="Times New Roman"/>
        </w:rPr>
        <w:t xml:space="preserve">The PUCO should not approve </w:t>
      </w:r>
      <w:r w:rsidR="00AE46CF">
        <w:rPr>
          <w:rFonts w:ascii="Times New Roman" w:hAnsi="Times New Roman" w:cs="Times New Roman"/>
        </w:rPr>
        <w:t>the</w:t>
      </w:r>
      <w:r>
        <w:rPr>
          <w:rFonts w:ascii="Times New Roman" w:hAnsi="Times New Roman" w:cs="Times New Roman"/>
        </w:rPr>
        <w:t xml:space="preserve"> Settlement </w:t>
      </w:r>
      <w:r w:rsidR="00AE46CF">
        <w:rPr>
          <w:rFonts w:ascii="Times New Roman" w:hAnsi="Times New Roman" w:cs="Times New Roman"/>
        </w:rPr>
        <w:t>because it</w:t>
      </w:r>
      <w:r>
        <w:rPr>
          <w:rFonts w:ascii="Times New Roman" w:hAnsi="Times New Roman" w:cs="Times New Roman"/>
        </w:rPr>
        <w:t xml:space="preserve"> violates the plain language of a PUCO Entry.</w:t>
      </w:r>
    </w:p>
    <w:p w:rsidR="00083993" w:rsidRPr="00F406ED" w:rsidP="00350235">
      <w:pPr>
        <w:pStyle w:val="Heading3"/>
      </w:pPr>
      <w:bookmarkStart w:id="25" w:name="_Toc475451066"/>
      <w:r>
        <w:t>2</w:t>
      </w:r>
      <w:r w:rsidR="00F406ED">
        <w:t>.</w:t>
      </w:r>
      <w:r w:rsidR="00F406ED">
        <w:tab/>
        <w:t xml:space="preserve">The Settlement violates the regulatory principle that a utility should only be permitted to charge customers for </w:t>
      </w:r>
      <w:r w:rsidR="001F56D8">
        <w:t>profit (</w:t>
      </w:r>
      <w:r w:rsidR="00F406ED">
        <w:t>shared savings</w:t>
      </w:r>
      <w:r w:rsidR="001B5C3D">
        <w:t>)</w:t>
      </w:r>
      <w:r w:rsidR="00F406ED">
        <w:t xml:space="preserve"> if it exceeds the statutory minimum energy savings.</w:t>
      </w:r>
      <w:bookmarkEnd w:id="25"/>
    </w:p>
    <w:p w:rsidR="00083993"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The Settlement would permit each of the FirstEnergy Companies to charge customers for shared savings if it achieves energy savings 14% </w:t>
      </w:r>
      <w:r w:rsidRPr="00C074A1">
        <w:rPr>
          <w:rFonts w:ascii="Times New Roman" w:hAnsi="Times New Roman" w:cs="Times New Roman"/>
        </w:rPr>
        <w:t>below</w:t>
      </w:r>
      <w:r>
        <w:rPr>
          <w:rFonts w:ascii="Times New Roman" w:hAnsi="Times New Roman" w:cs="Times New Roman"/>
        </w:rPr>
        <w:t xml:space="preserve"> the statutory minimum in 2017.</w:t>
      </w:r>
      <w:r>
        <w:rPr>
          <w:rStyle w:val="FootnoteReference"/>
          <w:rFonts w:ascii="Times New Roman" w:hAnsi="Times New Roman" w:cs="Times New Roman"/>
        </w:rPr>
        <w:footnoteReference w:id="182"/>
      </w:r>
      <w:r>
        <w:rPr>
          <w:rFonts w:ascii="Times New Roman" w:hAnsi="Times New Roman" w:cs="Times New Roman"/>
        </w:rPr>
        <w:t xml:space="preserve"> In fact, the Companies could charge customers the highest level of shared savings for achieving savings below the statutory minimum.</w:t>
      </w:r>
      <w:r>
        <w:rPr>
          <w:rStyle w:val="FootnoteReference"/>
          <w:rFonts w:ascii="Times New Roman" w:hAnsi="Times New Roman" w:cs="Times New Roman"/>
        </w:rPr>
        <w:footnoteReference w:id="183"/>
      </w:r>
      <w:r>
        <w:rPr>
          <w:rFonts w:ascii="Times New Roman" w:hAnsi="Times New Roman" w:cs="Times New Roman"/>
        </w:rPr>
        <w:t xml:space="preserve"> This violates the PUCO</w:t>
      </w:r>
      <w:r w:rsidR="0082545D">
        <w:rPr>
          <w:rFonts w:ascii="Times New Roman" w:hAnsi="Times New Roman" w:cs="Times New Roman"/>
        </w:rPr>
        <w:t>'</w:t>
      </w:r>
      <w:r>
        <w:rPr>
          <w:rFonts w:ascii="Times New Roman" w:hAnsi="Times New Roman" w:cs="Times New Roman"/>
        </w:rPr>
        <w:t xml:space="preserve">s </w:t>
      </w:r>
      <w:r w:rsidR="00EA1A99">
        <w:rPr>
          <w:rFonts w:ascii="Times New Roman" w:hAnsi="Times New Roman" w:cs="Times New Roman"/>
        </w:rPr>
        <w:t xml:space="preserve">regulatory </w:t>
      </w:r>
      <w:r>
        <w:rPr>
          <w:rFonts w:ascii="Times New Roman" w:hAnsi="Times New Roman" w:cs="Times New Roman"/>
        </w:rPr>
        <w:t xml:space="preserve">principle that a utility should only be permitted to charge customers for shared savings if it </w:t>
      </w:r>
      <w:r w:rsidRPr="00C074A1">
        <w:rPr>
          <w:rFonts w:ascii="Times New Roman" w:hAnsi="Times New Roman" w:cs="Times New Roman"/>
        </w:rPr>
        <w:t>exceeds</w:t>
      </w:r>
      <w:r>
        <w:rPr>
          <w:rFonts w:ascii="Times New Roman" w:hAnsi="Times New Roman" w:cs="Times New Roman"/>
        </w:rPr>
        <w:t xml:space="preserve"> the statutory minimum energy savings.</w:t>
      </w:r>
      <w:r>
        <w:rPr>
          <w:rStyle w:val="FootnoteReference"/>
          <w:rFonts w:ascii="Times New Roman" w:hAnsi="Times New Roman" w:cs="Times New Roman"/>
        </w:rPr>
        <w:footnoteReference w:id="184"/>
      </w:r>
    </w:p>
    <w:p w:rsidR="0002569A" w:rsidRPr="00C074A1" w:rsidP="0002569A">
      <w:pPr>
        <w:pStyle w:val="Footer"/>
        <w:tabs>
          <w:tab w:val="clear" w:pos="4320"/>
          <w:tab w:val="clear" w:pos="8640"/>
        </w:tabs>
        <w:spacing w:before="100" w:beforeAutospacing="1"/>
        <w:ind w:firstLine="720"/>
        <w:contextualSpacing/>
        <w:rPr>
          <w:rFonts w:ascii="Times New Roman" w:hAnsi="Times New Roman" w:cs="Times New Roman"/>
        </w:rPr>
      </w:pPr>
    </w:p>
    <w:p w:rsidR="00083993" w:rsidRPr="00D91321" w:rsidP="00350235">
      <w:pPr>
        <w:pStyle w:val="Heading1"/>
      </w:pPr>
      <w:bookmarkStart w:id="26" w:name="_Toc475451067"/>
      <w:r>
        <w:t>IV.</w:t>
      </w:r>
      <w:r>
        <w:tab/>
        <w:t>CONCLUSION</w:t>
      </w:r>
      <w:bookmarkEnd w:id="26"/>
    </w:p>
    <w:p w:rsidR="00083993" w:rsidP="00997A88">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Electric energy efficiency programs can benefit </w:t>
      </w:r>
      <w:r w:rsidR="003B2176">
        <w:rPr>
          <w:rFonts w:ascii="Times New Roman" w:hAnsi="Times New Roman" w:cs="Times New Roman"/>
        </w:rPr>
        <w:t xml:space="preserve">all </w:t>
      </w:r>
      <w:r>
        <w:rPr>
          <w:rFonts w:ascii="Times New Roman" w:hAnsi="Times New Roman" w:cs="Times New Roman"/>
        </w:rPr>
        <w:t>customers, including those who do not participate in the pro</w:t>
      </w:r>
      <w:r w:rsidR="003B2176">
        <w:rPr>
          <w:rFonts w:ascii="Times New Roman" w:hAnsi="Times New Roman" w:cs="Times New Roman"/>
        </w:rPr>
        <w:t xml:space="preserve">grams. </w:t>
      </w:r>
      <w:r w:rsidR="001F56D8">
        <w:rPr>
          <w:rFonts w:ascii="Times New Roman" w:hAnsi="Times New Roman" w:cs="Times New Roman"/>
        </w:rPr>
        <w:t>But</w:t>
      </w:r>
      <w:r w:rsidR="003B2176">
        <w:rPr>
          <w:rFonts w:ascii="Times New Roman" w:hAnsi="Times New Roman" w:cs="Times New Roman"/>
        </w:rPr>
        <w:t xml:space="preserve"> the PUCO should protect customers from paying too much for </w:t>
      </w:r>
      <w:r w:rsidR="001F56D8">
        <w:rPr>
          <w:rFonts w:ascii="Times New Roman" w:hAnsi="Times New Roman" w:cs="Times New Roman"/>
        </w:rPr>
        <w:t>utility-run energy efficiency programs</w:t>
      </w:r>
      <w:r w:rsidR="003B2176">
        <w:rPr>
          <w:rFonts w:ascii="Times New Roman" w:hAnsi="Times New Roman" w:cs="Times New Roman"/>
        </w:rPr>
        <w:t xml:space="preserve">. </w:t>
      </w:r>
      <w:r w:rsidR="001F56D8">
        <w:rPr>
          <w:rFonts w:ascii="Times New Roman" w:hAnsi="Times New Roman" w:cs="Times New Roman"/>
        </w:rPr>
        <w:t>FirstEnergy</w:t>
      </w:r>
      <w:r w:rsidR="0082545D">
        <w:rPr>
          <w:rFonts w:ascii="Times New Roman" w:hAnsi="Times New Roman" w:cs="Times New Roman"/>
        </w:rPr>
        <w:t>'</w:t>
      </w:r>
      <w:r w:rsidR="001F56D8">
        <w:rPr>
          <w:rFonts w:ascii="Times New Roman" w:hAnsi="Times New Roman" w:cs="Times New Roman"/>
        </w:rPr>
        <w:t xml:space="preserve">s </w:t>
      </w:r>
      <w:r w:rsidR="003B2176">
        <w:rPr>
          <w:rFonts w:ascii="Times New Roman" w:hAnsi="Times New Roman" w:cs="Times New Roman"/>
        </w:rPr>
        <w:t xml:space="preserve">Settlement would require customers to pay too much for energy efficiency. The PUCO should modify the Settlement to limit the amount of program costs and </w:t>
      </w:r>
      <w:r w:rsidR="001F56D8">
        <w:rPr>
          <w:rFonts w:ascii="Times New Roman" w:hAnsi="Times New Roman" w:cs="Times New Roman"/>
        </w:rPr>
        <w:t>profits (</w:t>
      </w:r>
      <w:r w:rsidR="003B2176">
        <w:rPr>
          <w:rFonts w:ascii="Times New Roman" w:hAnsi="Times New Roman" w:cs="Times New Roman"/>
        </w:rPr>
        <w:t>shared savings</w:t>
      </w:r>
      <w:r w:rsidR="001F56D8">
        <w:rPr>
          <w:rFonts w:ascii="Times New Roman" w:hAnsi="Times New Roman" w:cs="Times New Roman"/>
        </w:rPr>
        <w:t>)</w:t>
      </w:r>
      <w:r w:rsidR="003B2176">
        <w:rPr>
          <w:rFonts w:ascii="Times New Roman" w:hAnsi="Times New Roman" w:cs="Times New Roman"/>
        </w:rPr>
        <w:t xml:space="preserve"> that FirstEnergy</w:t>
      </w:r>
      <w:r w:rsidR="0082545D">
        <w:rPr>
          <w:rFonts w:ascii="Times New Roman" w:hAnsi="Times New Roman" w:cs="Times New Roman"/>
        </w:rPr>
        <w:t>'</w:t>
      </w:r>
      <w:r w:rsidR="003B2176">
        <w:rPr>
          <w:rFonts w:ascii="Times New Roman" w:hAnsi="Times New Roman" w:cs="Times New Roman"/>
        </w:rPr>
        <w:t xml:space="preserve">s customers will pay to FirstEnergy. </w:t>
      </w:r>
      <w:r w:rsidR="001B5C3D">
        <w:rPr>
          <w:rFonts w:ascii="Times New Roman" w:hAnsi="Times New Roman" w:cs="Times New Roman"/>
        </w:rPr>
        <w:t>A cap on FirstEnergy</w:t>
      </w:r>
      <w:r w:rsidR="0082545D">
        <w:rPr>
          <w:rFonts w:ascii="Times New Roman" w:hAnsi="Times New Roman" w:cs="Times New Roman"/>
        </w:rPr>
        <w:t>'</w:t>
      </w:r>
      <w:r w:rsidR="001B5C3D">
        <w:rPr>
          <w:rFonts w:ascii="Times New Roman" w:hAnsi="Times New Roman" w:cs="Times New Roman"/>
        </w:rPr>
        <w:t>s energy efficiency program costs and shared savin</w:t>
      </w:r>
      <w:r w:rsidR="009A68EB">
        <w:rPr>
          <w:rFonts w:ascii="Times New Roman" w:hAnsi="Times New Roman" w:cs="Times New Roman"/>
        </w:rPr>
        <w:t>gs is the most administratively-</w:t>
      </w:r>
      <w:r w:rsidR="001B5C3D">
        <w:rPr>
          <w:rFonts w:ascii="Times New Roman" w:hAnsi="Times New Roman" w:cs="Times New Roman"/>
        </w:rPr>
        <w:t xml:space="preserve">efficient method to limit these charges to consumers. </w:t>
      </w:r>
      <w:r w:rsidR="003B2176">
        <w:rPr>
          <w:rFonts w:ascii="Times New Roman" w:hAnsi="Times New Roman" w:cs="Times New Roman"/>
        </w:rPr>
        <w:t>The PUCO should adopt the PUCO Staff</w:t>
      </w:r>
      <w:r w:rsidR="0082545D">
        <w:rPr>
          <w:rFonts w:ascii="Times New Roman" w:hAnsi="Times New Roman" w:cs="Times New Roman"/>
        </w:rPr>
        <w:t>'</w:t>
      </w:r>
      <w:r w:rsidR="003B2176">
        <w:rPr>
          <w:rFonts w:ascii="Times New Roman" w:hAnsi="Times New Roman" w:cs="Times New Roman"/>
        </w:rPr>
        <w:t>s and OCC</w:t>
      </w:r>
      <w:r w:rsidR="0082545D">
        <w:rPr>
          <w:rFonts w:ascii="Times New Roman" w:hAnsi="Times New Roman" w:cs="Times New Roman"/>
        </w:rPr>
        <w:t>'</w:t>
      </w:r>
      <w:r w:rsidR="003B2176">
        <w:rPr>
          <w:rFonts w:ascii="Times New Roman" w:hAnsi="Times New Roman" w:cs="Times New Roman"/>
        </w:rPr>
        <w:t>s proposal for an $80.1 million (3% of total sales) cost cap on annual energy efficiency charges to customers.</w:t>
      </w:r>
    </w:p>
    <w:p w:rsidR="0002569A" w:rsidP="00146AC0">
      <w:pPr>
        <w:spacing w:after="200" w:line="276" w:lineRule="auto"/>
        <w:rPr>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szCs w:val="24"/>
        </w:rPr>
        <w:t>Respectfully submitted,</w:t>
      </w:r>
    </w:p>
    <w:p w:rsidR="0002569A" w:rsidRPr="00DD3C2C" w:rsidP="0002569A">
      <w:pPr>
        <w:ind w:firstLine="4320"/>
        <w:rPr>
          <w:szCs w:val="24"/>
        </w:rPr>
      </w:pPr>
      <w:r w:rsidRPr="00DD3C2C">
        <w:rPr>
          <w:szCs w:val="24"/>
        </w:rPr>
        <w:t>BRUCE WESTON (0016973)</w:t>
      </w:r>
    </w:p>
    <w:p w:rsidR="0002569A" w:rsidP="0002569A">
      <w:pPr>
        <w:tabs>
          <w:tab w:val="left" w:pos="4320"/>
        </w:tabs>
        <w:ind w:left="4320"/>
        <w:rPr>
          <w:szCs w:val="24"/>
        </w:rPr>
      </w:pPr>
      <w:r w:rsidRPr="00DD3C2C">
        <w:rPr>
          <w:szCs w:val="24"/>
        </w:rPr>
        <w:t>OHIO CONSUMERS</w:t>
      </w:r>
      <w:r w:rsidR="0082545D">
        <w:rPr>
          <w:szCs w:val="24"/>
        </w:rPr>
        <w:t>'</w:t>
      </w:r>
      <w:r w:rsidRPr="00DD3C2C">
        <w:rPr>
          <w:szCs w:val="24"/>
        </w:rPr>
        <w:t xml:space="preserve"> COUNSEL</w:t>
      </w:r>
    </w:p>
    <w:p w:rsidR="0002569A" w:rsidRPr="00DD3C2C" w:rsidP="0002569A">
      <w:pPr>
        <w:tabs>
          <w:tab w:val="left" w:pos="4320"/>
        </w:tabs>
        <w:ind w:left="4320"/>
        <w:rPr>
          <w:szCs w:val="24"/>
        </w:rPr>
      </w:pPr>
    </w:p>
    <w:p w:rsidR="0002569A" w:rsidRPr="0002569A" w:rsidP="0002569A">
      <w:pPr>
        <w:tabs>
          <w:tab w:val="left" w:pos="4320"/>
        </w:tabs>
        <w:ind w:left="4320"/>
        <w:rPr>
          <w:i/>
          <w:szCs w:val="24"/>
          <w:u w:val="single"/>
        </w:rPr>
      </w:pPr>
      <w:r>
        <w:rPr>
          <w:i/>
          <w:szCs w:val="24"/>
          <w:u w:val="single"/>
        </w:rPr>
        <w:t>/s/ Christopher Healey</w:t>
      </w:r>
      <w:r w:rsidR="009A68EB">
        <w:rPr>
          <w:i/>
          <w:szCs w:val="24"/>
          <w:u w:val="single"/>
        </w:rPr>
        <w:tab/>
      </w:r>
      <w:r w:rsidR="009A68EB">
        <w:rPr>
          <w:i/>
          <w:szCs w:val="24"/>
          <w:u w:val="single"/>
        </w:rPr>
        <w:tab/>
      </w:r>
      <w:r w:rsidR="009A68EB">
        <w:rPr>
          <w:i/>
          <w:szCs w:val="24"/>
          <w:u w:val="single"/>
        </w:rPr>
        <w:tab/>
      </w:r>
    </w:p>
    <w:p w:rsidR="0002569A" w:rsidRPr="00DD3C2C" w:rsidP="0002569A">
      <w:pPr>
        <w:tabs>
          <w:tab w:val="left" w:pos="4320"/>
        </w:tabs>
        <w:ind w:left="4320"/>
        <w:rPr>
          <w:szCs w:val="24"/>
        </w:rPr>
      </w:pPr>
      <w:r w:rsidRPr="00DD3C2C">
        <w:rPr>
          <w:szCs w:val="24"/>
        </w:rPr>
        <w:t>Christopher Healey (0086027)</w:t>
      </w:r>
      <w:r w:rsidRPr="00DD3C2C">
        <w:rPr>
          <w:szCs w:val="24"/>
        </w:rPr>
        <w:br/>
        <w:t>Counsel of Record</w:t>
      </w:r>
    </w:p>
    <w:p w:rsidR="0002569A" w:rsidRPr="00DD3C2C" w:rsidP="0002569A">
      <w:pPr>
        <w:tabs>
          <w:tab w:val="left" w:pos="4320"/>
        </w:tabs>
        <w:ind w:left="4320"/>
        <w:rPr>
          <w:szCs w:val="24"/>
        </w:rPr>
      </w:pPr>
    </w:p>
    <w:p w:rsidR="0002569A" w:rsidRPr="00DD3C2C" w:rsidP="0002569A">
      <w:pPr>
        <w:ind w:left="4320"/>
        <w:rPr>
          <w:b/>
          <w:szCs w:val="24"/>
        </w:rPr>
      </w:pPr>
      <w:r w:rsidRPr="00DD3C2C">
        <w:rPr>
          <w:b/>
          <w:szCs w:val="24"/>
        </w:rPr>
        <w:t>Office of the Ohio Consumers</w:t>
      </w:r>
      <w:r w:rsidR="0082545D">
        <w:rPr>
          <w:b/>
          <w:szCs w:val="24"/>
        </w:rPr>
        <w:t>'</w:t>
      </w:r>
      <w:r w:rsidRPr="00DD3C2C">
        <w:rPr>
          <w:b/>
          <w:szCs w:val="24"/>
        </w:rPr>
        <w:t xml:space="preserve"> Counsel</w:t>
      </w:r>
    </w:p>
    <w:p w:rsidR="0002569A" w:rsidRPr="00DD3C2C" w:rsidP="0002569A">
      <w:pPr>
        <w:ind w:left="4320"/>
        <w:rPr>
          <w:szCs w:val="24"/>
        </w:rPr>
      </w:pPr>
      <w:r w:rsidRPr="00DD3C2C">
        <w:rPr>
          <w:szCs w:val="24"/>
        </w:rPr>
        <w:t>10 West Broad Street, Suite 1800</w:t>
      </w:r>
    </w:p>
    <w:p w:rsidR="0002569A" w:rsidRPr="00DD3C2C" w:rsidP="0002569A">
      <w:pPr>
        <w:ind w:left="4320"/>
        <w:rPr>
          <w:szCs w:val="24"/>
        </w:rPr>
      </w:pPr>
      <w:r w:rsidRPr="00DD3C2C">
        <w:rPr>
          <w:szCs w:val="24"/>
        </w:rPr>
        <w:t>Columbus, Ohio 43215-3485</w:t>
      </w:r>
    </w:p>
    <w:p w:rsidR="0002569A" w:rsidRPr="00DD3C2C" w:rsidP="0002569A">
      <w:pPr>
        <w:autoSpaceDE w:val="0"/>
        <w:autoSpaceDN w:val="0"/>
        <w:adjustRightInd w:val="0"/>
        <w:ind w:left="3600" w:firstLine="720"/>
        <w:rPr>
          <w:szCs w:val="24"/>
        </w:rPr>
      </w:pPr>
      <w:r>
        <w:rPr>
          <w:szCs w:val="24"/>
        </w:rPr>
        <w:t>Telephone: (614) 466-9571</w:t>
      </w:r>
    </w:p>
    <w:p w:rsidR="0002569A" w:rsidRPr="00DD3C2C" w:rsidP="0002569A">
      <w:pPr>
        <w:ind w:left="4320"/>
        <w:rPr>
          <w:szCs w:val="24"/>
        </w:rPr>
      </w:pPr>
      <w:r>
        <w:fldChar w:fldCharType="begin"/>
      </w:r>
      <w:r>
        <w:instrText xml:space="preserve"> HYPERLINK "mailto:christopher.healey@occ.ohio.gov" </w:instrText>
      </w:r>
      <w:r>
        <w:fldChar w:fldCharType="separate"/>
      </w:r>
      <w:r w:rsidRPr="00DD3C2C">
        <w:rPr>
          <w:rStyle w:val="Hyperlink"/>
          <w:szCs w:val="24"/>
        </w:rPr>
        <w:t>christopher.healey@occ.ohio.gov</w:t>
      </w:r>
      <w:r>
        <w:fldChar w:fldCharType="end"/>
      </w:r>
    </w:p>
    <w:p w:rsidR="0002569A" w:rsidRPr="00DD3C2C" w:rsidP="0002569A">
      <w:pPr>
        <w:ind w:left="4320"/>
        <w:rPr>
          <w:szCs w:val="24"/>
        </w:rPr>
      </w:pPr>
      <w:r w:rsidRPr="00DD3C2C">
        <w:rPr>
          <w:szCs w:val="24"/>
        </w:rPr>
        <w:t>(</w:t>
      </w:r>
      <w:r w:rsidR="00146AC0">
        <w:rPr>
          <w:szCs w:val="24"/>
        </w:rPr>
        <w:t>W</w:t>
      </w:r>
      <w:r w:rsidRPr="00DD3C2C">
        <w:rPr>
          <w:szCs w:val="24"/>
        </w:rPr>
        <w:t>ill accept email service)</w:t>
      </w:r>
    </w:p>
    <w:p w:rsidR="0002569A" w:rsidRPr="00DD3C2C" w:rsidP="0002569A">
      <w:pPr>
        <w:ind w:left="4320"/>
        <w:rPr>
          <w:szCs w:val="24"/>
        </w:rPr>
      </w:pPr>
    </w:p>
    <w:p w:rsidR="0002569A" w:rsidRPr="00DD3C2C" w:rsidP="0002569A">
      <w:pPr>
        <w:ind w:left="4320"/>
        <w:rPr>
          <w:szCs w:val="24"/>
        </w:rPr>
      </w:pPr>
    </w:p>
    <w:p w:rsidR="0002569A" w:rsidRPr="00DD3C2C" w:rsidP="0002569A">
      <w:pPr>
        <w:ind w:left="4320"/>
        <w:rPr>
          <w:szCs w:val="24"/>
        </w:rPr>
      </w:pPr>
      <w:r w:rsidRPr="00DD3C2C">
        <w:rPr>
          <w:szCs w:val="24"/>
        </w:rPr>
        <w:t>Dane Stinson (0019101)</w:t>
      </w:r>
    </w:p>
    <w:p w:rsidR="0002569A" w:rsidRPr="00DD3C2C" w:rsidP="0002569A">
      <w:pPr>
        <w:ind w:left="4320"/>
        <w:rPr>
          <w:szCs w:val="24"/>
        </w:rPr>
      </w:pPr>
      <w:r w:rsidRPr="00DD3C2C">
        <w:rPr>
          <w:szCs w:val="24"/>
        </w:rPr>
        <w:t>Bricker &amp; Eckler LLP</w:t>
      </w:r>
    </w:p>
    <w:p w:rsidR="0002569A" w:rsidRPr="00DD3C2C" w:rsidP="0002569A">
      <w:pPr>
        <w:ind w:left="4320"/>
        <w:rPr>
          <w:szCs w:val="24"/>
        </w:rPr>
      </w:pPr>
      <w:r w:rsidRPr="00DD3C2C">
        <w:rPr>
          <w:szCs w:val="24"/>
        </w:rPr>
        <w:t>100 South Third Street</w:t>
      </w:r>
    </w:p>
    <w:p w:rsidR="0002569A" w:rsidRPr="00DD3C2C" w:rsidP="0002569A">
      <w:pPr>
        <w:ind w:left="4320"/>
        <w:rPr>
          <w:szCs w:val="24"/>
        </w:rPr>
      </w:pPr>
      <w:r w:rsidRPr="00DD3C2C">
        <w:rPr>
          <w:szCs w:val="24"/>
        </w:rPr>
        <w:t>Columbus, Ohio 43215</w:t>
      </w:r>
    </w:p>
    <w:p w:rsidR="0002569A" w:rsidRPr="00DD3C2C" w:rsidP="0002569A">
      <w:pPr>
        <w:ind w:left="4320"/>
        <w:rPr>
          <w:szCs w:val="24"/>
        </w:rPr>
      </w:pPr>
      <w:r w:rsidRPr="00DD3C2C">
        <w:rPr>
          <w:szCs w:val="24"/>
        </w:rPr>
        <w:t>Telephone: (614) 227-4854</w:t>
      </w:r>
    </w:p>
    <w:p w:rsidR="0002569A" w:rsidRPr="00DD3C2C" w:rsidP="0002569A">
      <w:pPr>
        <w:ind w:left="4320"/>
        <w:rPr>
          <w:szCs w:val="24"/>
        </w:rPr>
      </w:pPr>
      <w:r>
        <w:fldChar w:fldCharType="begin"/>
      </w:r>
      <w:r>
        <w:instrText xml:space="preserve"> HYPERLINK "mailto:dstinson@bricker.com" </w:instrText>
      </w:r>
      <w:r>
        <w:fldChar w:fldCharType="separate"/>
      </w:r>
      <w:r w:rsidRPr="00DD3C2C">
        <w:rPr>
          <w:rStyle w:val="Hyperlink"/>
          <w:szCs w:val="24"/>
        </w:rPr>
        <w:t>dstinson@bricker.com</w:t>
      </w:r>
      <w:r>
        <w:fldChar w:fldCharType="end"/>
      </w:r>
      <w:r w:rsidRPr="00DD3C2C">
        <w:rPr>
          <w:szCs w:val="24"/>
        </w:rPr>
        <w:t xml:space="preserve"> </w:t>
      </w:r>
    </w:p>
    <w:p w:rsidR="0002569A" w:rsidP="0002569A">
      <w:pPr>
        <w:ind w:left="4320"/>
        <w:rPr>
          <w:szCs w:val="24"/>
        </w:rPr>
      </w:pPr>
      <w:r w:rsidRPr="00DD3C2C">
        <w:rPr>
          <w:szCs w:val="24"/>
        </w:rPr>
        <w:t>(</w:t>
      </w:r>
      <w:r w:rsidR="00146AC0">
        <w:rPr>
          <w:szCs w:val="24"/>
        </w:rPr>
        <w:t>W</w:t>
      </w:r>
      <w:r w:rsidRPr="00DD3C2C">
        <w:rPr>
          <w:szCs w:val="24"/>
        </w:rPr>
        <w:t>ill accept email service)</w:t>
      </w:r>
    </w:p>
    <w:p w:rsidR="0002569A" w:rsidP="0002569A">
      <w:pPr>
        <w:ind w:left="4320"/>
        <w:rPr>
          <w:szCs w:val="24"/>
        </w:rPr>
      </w:pPr>
    </w:p>
    <w:p w:rsidR="0002569A" w:rsidP="0002569A">
      <w:pPr>
        <w:ind w:left="4320"/>
        <w:rPr>
          <w:szCs w:val="24"/>
        </w:rPr>
        <w:sectPr w:rsidSect="000B2633">
          <w:headerReference w:type="default" r:id="rId19"/>
          <w:footerReference w:type="default" r:id="rId20"/>
          <w:pgSz w:w="12240" w:h="15840"/>
          <w:pgMar w:top="1440" w:right="1800" w:bottom="1440" w:left="1800" w:header="720" w:footer="720" w:gutter="0"/>
          <w:pgNumType w:start="2"/>
          <w:cols w:space="720"/>
          <w:docGrid w:linePitch="360"/>
        </w:sectPr>
      </w:pPr>
      <w:r>
        <w:rPr>
          <w:szCs w:val="24"/>
        </w:rPr>
        <w:t>Outside Counsel for the Office of the Ohio Consumers</w:t>
      </w:r>
      <w:r w:rsidR="0082545D">
        <w:rPr>
          <w:szCs w:val="24"/>
        </w:rPr>
        <w:t>'</w:t>
      </w:r>
      <w:r>
        <w:rPr>
          <w:szCs w:val="24"/>
        </w:rPr>
        <w:t xml:space="preserve"> Counsel</w:t>
      </w:r>
    </w:p>
    <w:p w:rsidR="001F2FDA" w:rsidRPr="005216DF" w:rsidP="001F2FDA">
      <w:pPr>
        <w:ind w:left="2160" w:firstLine="720"/>
        <w:rPr>
          <w:b/>
          <w:bCs/>
          <w:szCs w:val="24"/>
          <w:u w:val="single"/>
        </w:rPr>
      </w:pPr>
      <w:r w:rsidRPr="005216DF">
        <w:rPr>
          <w:b/>
          <w:bCs/>
          <w:szCs w:val="24"/>
          <w:u w:val="single"/>
        </w:rPr>
        <w:t>CERTIFICATE OF SERVICE</w:t>
      </w:r>
    </w:p>
    <w:p w:rsidR="001F2FDA" w:rsidRPr="005216DF">
      <w:pPr>
        <w:pStyle w:val="EndnoteText"/>
        <w:widowControl/>
        <w:tabs>
          <w:tab w:val="left" w:pos="-720"/>
        </w:tabs>
        <w:suppressAutoHyphens/>
        <w:rPr>
          <w:rFonts w:ascii="Times New Roman" w:hAnsi="Times New Roman"/>
          <w:spacing w:val="-3"/>
          <w:szCs w:val="24"/>
        </w:rPr>
      </w:pPr>
    </w:p>
    <w:p w:rsidR="001F2FDA" w:rsidRPr="005216DF" w:rsidP="001F2FDA">
      <w:pPr>
        <w:tabs>
          <w:tab w:val="left" w:pos="-720"/>
        </w:tabs>
        <w:suppressAutoHyphens/>
        <w:spacing w:line="480" w:lineRule="auto"/>
        <w:ind w:firstLine="720"/>
        <w:rPr>
          <w:szCs w:val="24"/>
        </w:rPr>
      </w:pPr>
      <w:r w:rsidRPr="005216DF">
        <w:rPr>
          <w:szCs w:val="24"/>
        </w:rPr>
        <w:t xml:space="preserve">It is hereby certified that a true copy of the foregoing </w:t>
      </w:r>
      <w:r w:rsidR="00997A88">
        <w:rPr>
          <w:szCs w:val="24"/>
        </w:rPr>
        <w:t>Post-Hearing Brief</w:t>
      </w:r>
      <w:r w:rsidRPr="005216DF">
        <w:rPr>
          <w:i/>
          <w:iCs/>
          <w:szCs w:val="24"/>
        </w:rPr>
        <w:t xml:space="preserve"> </w:t>
      </w:r>
      <w:r w:rsidRPr="005216DF">
        <w:rPr>
          <w:szCs w:val="24"/>
        </w:rPr>
        <w:t xml:space="preserve">was served by electronic transmission </w:t>
      </w:r>
      <w:r>
        <w:rPr>
          <w:szCs w:val="24"/>
        </w:rPr>
        <w:t xml:space="preserve">upon the parties below this </w:t>
      </w:r>
      <w:r w:rsidR="00997A88">
        <w:rPr>
          <w:szCs w:val="24"/>
        </w:rPr>
        <w:t>21st</w:t>
      </w:r>
      <w:r>
        <w:rPr>
          <w:szCs w:val="24"/>
        </w:rPr>
        <w:t xml:space="preserve"> </w:t>
      </w:r>
      <w:r w:rsidRPr="005216DF">
        <w:rPr>
          <w:szCs w:val="24"/>
        </w:rPr>
        <w:t xml:space="preserve">day of </w:t>
      </w:r>
      <w:r w:rsidR="00997A88">
        <w:rPr>
          <w:szCs w:val="24"/>
        </w:rPr>
        <w:t>February</w:t>
      </w:r>
      <w:r w:rsidRPr="005216DF">
        <w:rPr>
          <w:szCs w:val="24"/>
        </w:rPr>
        <w:t xml:space="preserve"> 201</w:t>
      </w:r>
      <w:r>
        <w:rPr>
          <w:szCs w:val="24"/>
        </w:rPr>
        <w:t>7</w:t>
      </w:r>
      <w:r w:rsidRPr="005216DF">
        <w:rPr>
          <w:szCs w:val="24"/>
        </w:rPr>
        <w:t>.</w:t>
      </w:r>
    </w:p>
    <w:p w:rsidR="001F2FDA" w:rsidRPr="005216DF">
      <w:pPr>
        <w:pStyle w:val="EndnoteText"/>
        <w:widowControl/>
        <w:rPr>
          <w:rFonts w:ascii="Times New Roman" w:hAnsi="Times New Roman"/>
          <w:snapToGrid/>
          <w:szCs w:val="24"/>
        </w:rPr>
      </w:pPr>
    </w:p>
    <w:p w:rsidR="001F2FDA"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i/>
          <w:snapToGrid/>
          <w:szCs w:val="24"/>
          <w:u w:val="single"/>
        </w:rPr>
        <w:t xml:space="preserve">/s/ </w:t>
      </w:r>
      <w:r>
        <w:rPr>
          <w:rFonts w:ascii="Times New Roman" w:hAnsi="Times New Roman"/>
          <w:i/>
          <w:snapToGrid/>
          <w:szCs w:val="24"/>
          <w:u w:val="single"/>
        </w:rPr>
        <w:t>Christopher Healey</w:t>
      </w:r>
      <w:r>
        <w:rPr>
          <w:rFonts w:ascii="Times New Roman" w:hAnsi="Times New Roman"/>
          <w:i/>
          <w:snapToGrid/>
          <w:szCs w:val="24"/>
          <w:u w:val="single"/>
        </w:rPr>
        <w:tab/>
      </w:r>
      <w:r>
        <w:rPr>
          <w:rFonts w:ascii="Times New Roman" w:hAnsi="Times New Roman"/>
          <w:i/>
          <w:snapToGrid/>
          <w:szCs w:val="24"/>
          <w:u w:val="single"/>
        </w:rPr>
        <w:tab/>
      </w:r>
    </w:p>
    <w:p w:rsidR="001F2FDA"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Pr>
          <w:rFonts w:ascii="Times New Roman" w:hAnsi="Times New Roman"/>
          <w:snapToGrid/>
          <w:szCs w:val="24"/>
        </w:rPr>
        <w:t>Christopher Healey</w:t>
      </w:r>
    </w:p>
    <w:p w:rsidR="001F2FDA"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t>Assistant Consumers</w:t>
      </w:r>
      <w:r w:rsidR="0082545D">
        <w:rPr>
          <w:rFonts w:ascii="Times New Roman" w:hAnsi="Times New Roman"/>
          <w:snapToGrid/>
          <w:szCs w:val="24"/>
        </w:rPr>
        <w:t>'</w:t>
      </w:r>
      <w:r w:rsidRPr="005216DF">
        <w:rPr>
          <w:rFonts w:ascii="Times New Roman" w:hAnsi="Times New Roman"/>
          <w:snapToGrid/>
          <w:szCs w:val="24"/>
        </w:rPr>
        <w:t xml:space="preserve"> Counsel</w:t>
      </w:r>
    </w:p>
    <w:p w:rsidR="001F2FDA" w:rsidRPr="005216DF">
      <w:pPr>
        <w:pStyle w:val="EndnoteText"/>
        <w:widowControl/>
        <w:rPr>
          <w:rFonts w:ascii="Times New Roman" w:hAnsi="Times New Roman"/>
          <w:snapToGrid/>
          <w:szCs w:val="24"/>
        </w:rPr>
      </w:pPr>
    </w:p>
    <w:p w:rsidR="001F2FDA" w:rsidRPr="005216DF">
      <w:pPr>
        <w:pStyle w:val="EndnoteText"/>
        <w:widowControl/>
        <w:jc w:val="center"/>
        <w:rPr>
          <w:rFonts w:ascii="Times New Roman" w:hAnsi="Times New Roman"/>
          <w:b/>
          <w:bCs/>
          <w:snapToGrid/>
          <w:szCs w:val="24"/>
        </w:rPr>
      </w:pPr>
    </w:p>
    <w:p w:rsidR="001F2FDA" w:rsidRPr="00E31CBD" w:rsidP="001F2FDA">
      <w:pPr>
        <w:pStyle w:val="CommentText"/>
        <w:jc w:val="center"/>
        <w:rPr>
          <w:b/>
          <w:bCs/>
          <w:sz w:val="24"/>
          <w:szCs w:val="24"/>
          <w:u w:val="single"/>
        </w:rPr>
      </w:pPr>
      <w:r w:rsidRPr="00E31CBD">
        <w:rPr>
          <w:b/>
          <w:bCs/>
          <w:sz w:val="24"/>
          <w:szCs w:val="24"/>
          <w:u w:val="single"/>
        </w:rPr>
        <w:t>SERVICE LIST</w:t>
      </w:r>
    </w:p>
    <w:p w:rsidR="001F2FDA" w:rsidRPr="00E31CBD" w:rsidP="001F2FDA">
      <w:pPr>
        <w:pStyle w:val="CommentText"/>
        <w:jc w:val="center"/>
        <w:rPr>
          <w:b/>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680"/>
        <w:gridCol w:w="8176"/>
      </w:tblGrid>
      <w:tr w:rsidTr="001F2FDA">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1F2FDA" w:rsidRPr="00E31CBD" w:rsidP="001F2FDA">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p>
        </w:tc>
        <w:tc>
          <w:tcPr>
            <w:tcW w:w="4428" w:type="dxa"/>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43"/>
              <w:gridCol w:w="3417"/>
            </w:tblGrid>
            <w:tr w:rsidTr="001F2FDA">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1F2FDA" w:rsidRPr="00E31CBD" w:rsidP="001F2FDA">
                  <w:pPr>
                    <w:pStyle w:val="BodyText"/>
                    <w:tabs>
                      <w:tab w:val="left" w:pos="-720"/>
                    </w:tabs>
                    <w:suppressAutoHyphens/>
                    <w:spacing w:after="0" w:line="240" w:lineRule="auto"/>
                    <w:jc w:val="both"/>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"mailto:mfleisher@elpc.org" </w:instrText>
                  </w:r>
                  <w:r>
                    <w:fldChar w:fldCharType="separate"/>
                  </w:r>
                  <w:r w:rsidRPr="00E31CBD">
                    <w:rPr>
                      <w:rStyle w:val="Hyperlink"/>
                      <w:rFonts w:ascii="Times New Roman" w:eastAsia="Times New Roman" w:hAnsi="Times New Roman" w:cs="Times New Roman"/>
                      <w:color w:val="0000FF"/>
                      <w:sz w:val="24"/>
                      <w:szCs w:val="24"/>
                      <w:u w:val="single"/>
                      <w:lang w:val="en-US" w:eastAsia="en-US" w:bidi="ar-SA"/>
                    </w:rPr>
                    <w:t>mfleisher@elpc.org</w:t>
                  </w:r>
                  <w:r>
                    <w:fldChar w:fldCharType="end"/>
                  </w:r>
                </w:p>
                <w:p w:rsidR="001F2FDA" w:rsidRPr="00E31CBD" w:rsidP="001F2FDA">
                  <w:pPr>
                    <w:autoSpaceDE w:val="0"/>
                    <w:autoSpaceDN w:val="0"/>
                    <w:adjustRightInd w:val="0"/>
                    <w:spacing w:after="0" w:line="240" w:lineRule="auto"/>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"mailto:tdougherty@theOEC.org"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tdougherty@theOEC.org</w:t>
                  </w:r>
                  <w:r>
                    <w:fldChar w:fldCharType="end"/>
                  </w:r>
                </w:p>
                <w:p w:rsidR="001F2FDA" w:rsidRPr="00E31CBD" w:rsidP="001F2FDA">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"mailto:mleppla@theoec.org" </w:instrText>
                  </w:r>
                  <w:r>
                    <w:fldChar w:fldCharType="separate"/>
                  </w:r>
                  <w:r w:rsidRPr="00E31CBD">
                    <w:rPr>
                      <w:rStyle w:val="Hyperlink"/>
                      <w:rFonts w:ascii="Times New Roman" w:hAnsi="Times New Roman" w:eastAsiaTheme="minorHAnsi" w:cs="Times New Roman"/>
                      <w:color w:val="0000FF"/>
                      <w:sz w:val="24"/>
                      <w:szCs w:val="20"/>
                      <w:u w:val="single"/>
                      <w:lang w:val="en-US" w:eastAsia="en-US" w:bidi="ar-SA"/>
                    </w:rPr>
                    <w:t>mleppla@theoec.org</w:t>
                  </w:r>
                  <w:r>
                    <w:fldChar w:fldCharType="end"/>
                  </w:r>
                </w:p>
                <w:p w:rsidR="001F2FDA" w:rsidRPr="00E31CBD" w:rsidP="001F2FDA">
                  <w:pPr>
                    <w:autoSpaceDE w:val="0"/>
                    <w:autoSpaceDN w:val="0"/>
                    <w:adjustRightInd w:val="0"/>
                    <w:spacing w:after="0" w:line="240" w:lineRule="auto"/>
                    <w:rPr>
                      <w:rStyle w:val="Hyperlink"/>
                      <w:rFonts w:ascii="Times New Roman" w:eastAsia="Times New Roman" w:hAnsi="Times New Roman" w:cs="Times New Roman"/>
                      <w:bCs/>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"mailto:cmooney@ohiopartners.org" </w:instrText>
                  </w:r>
                  <w:r>
                    <w:fldChar w:fldCharType="separate"/>
                  </w:r>
                  <w:r w:rsidRPr="00E31CBD">
                    <w:rPr>
                      <w:rStyle w:val="Hyperlink"/>
                      <w:rFonts w:ascii="Times New Roman" w:eastAsia="Times New Roman" w:hAnsi="Times New Roman" w:cs="Times New Roman"/>
                      <w:bCs/>
                      <w:color w:val="0000FF"/>
                      <w:sz w:val="24"/>
                      <w:szCs w:val="20"/>
                      <w:u w:val="single"/>
                      <w:lang w:val="en-US" w:eastAsia="en-US" w:bidi="ar-SA"/>
                    </w:rPr>
                    <w:t>cmooney@ohiopartners.org</w:t>
                  </w:r>
                  <w:r>
                    <w:fldChar w:fldCharType="end"/>
                  </w:r>
                </w:p>
                <w:p w:rsidR="001F2FDA" w:rsidRPr="00E31CBD" w:rsidP="001F2FDA">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"mailto:ricks@ohanet.org"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ricks@ohanet.org</w:t>
                  </w:r>
                  <w:r>
                    <w:fldChar w:fldCharType="end"/>
                  </w:r>
                </w:p>
                <w:p w:rsidR="001F2FDA" w:rsidRPr="00E31CBD" w:rsidP="001F2FDA">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"mailto:mwarnock@bricker.com"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mwarnock@bricker.com</w:t>
                  </w:r>
                  <w:r>
                    <w:fldChar w:fldCharType="end"/>
                  </w:r>
                  <w:r w:rsidRPr="00E31CBD">
                    <w:rPr>
                      <w:rFonts w:ascii="Times New Roman" w:eastAsia="Times New Roman" w:hAnsi="Times New Roman" w:cs="Times New Roman"/>
                      <w:color w:val="0000FF"/>
                      <w:sz w:val="24"/>
                      <w:szCs w:val="20"/>
                      <w:lang w:val="en-US" w:eastAsia="en-US" w:bidi="ar-SA"/>
                    </w:rPr>
                    <w:t xml:space="preserve"> </w:t>
                  </w:r>
                </w:p>
                <w:p w:rsidR="001F2FDA" w:rsidRPr="00E31CBD" w:rsidP="001F2FDA">
                  <w:pPr>
                    <w:autoSpaceDE w:val="0"/>
                    <w:autoSpaceDN w:val="0"/>
                    <w:adjustRightInd w:val="0"/>
                    <w:spacing w:after="0" w:line="240" w:lineRule="auto"/>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"mailto:dborchers@bricker.com"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dborchers@bricker.com</w:t>
                  </w:r>
                  <w:r>
                    <w:fldChar w:fldCharType="end"/>
                  </w:r>
                </w:p>
                <w:p w:rsidR="001F2FDA" w:rsidRPr="00E31CBD" w:rsidP="001F2FDA">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"mailto:dparram@bricker.com" </w:instrText>
                  </w:r>
                  <w:r>
                    <w:fldChar w:fldCharType="separate"/>
                  </w:r>
                  <w:r w:rsidRPr="00E31CBD">
                    <w:rPr>
                      <w:rStyle w:val="Hyperlink"/>
                      <w:rFonts w:ascii="Times New Roman" w:hAnsi="Times New Roman" w:eastAsiaTheme="minorHAnsi" w:cs="Times New Roman"/>
                      <w:color w:val="0000FF"/>
                      <w:sz w:val="24"/>
                      <w:szCs w:val="20"/>
                      <w:u w:val="single"/>
                      <w:lang w:val="en-US" w:eastAsia="en-US" w:bidi="ar-SA"/>
                    </w:rPr>
                    <w:t>dparram@bricker.com</w:t>
                  </w:r>
                  <w:r>
                    <w:fldChar w:fldCharType="end"/>
                  </w:r>
                </w:p>
                <w:p w:rsidR="001F2FDA" w:rsidRPr="00E31CBD" w:rsidP="001F2FDA">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"mailto:mpritchard@mwncmh.com"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mpritchard@mwncmh.com</w:t>
                  </w:r>
                  <w:r>
                    <w:fldChar w:fldCharType="end"/>
                  </w:r>
                </w:p>
                <w:p w:rsidR="001F2FDA" w:rsidRPr="00E31CBD" w:rsidP="001F2FDA">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"mailto:sechler@carpenterlipps.com"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sechler@carpenterlipps.com</w:t>
                  </w:r>
                  <w:r>
                    <w:fldChar w:fldCharType="end"/>
                  </w:r>
                </w:p>
                <w:p w:rsidR="001F2FDA" w:rsidRPr="00E31CBD" w:rsidP="001F2FDA">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"mailto:gpoulos@enernoc.com"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gpoulos@enernoc.com</w:t>
                  </w:r>
                  <w:r>
                    <w:fldChar w:fldCharType="end"/>
                  </w:r>
                </w:p>
                <w:p w:rsidR="001F2FDA" w:rsidRPr="00E31CBD" w:rsidP="001F2FDA">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"mailto:callwein@keglerbrown.com"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callwein@keglerbrown.com</w:t>
                  </w:r>
                  <w:r>
                    <w:fldChar w:fldCharType="end"/>
                  </w:r>
                </w:p>
                <w:p w:rsidR="001F2FDA" w:rsidRPr="00E31CBD" w:rsidP="001F2FDA">
                  <w:pPr>
                    <w:autoSpaceDE w:val="0"/>
                    <w:autoSpaceDN w:val="0"/>
                    <w:adjustRightInd w:val="0"/>
                    <w:spacing w:after="0" w:line="240" w:lineRule="auto"/>
                    <w:rPr>
                      <w:rStyle w:val="Hyperlink"/>
                      <w:rFonts w:ascii="Times New Roman" w:eastAsia="Times New Roman" w:hAnsi="Times New Roman" w:cs="Times New Roman"/>
                      <w:bCs/>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"mailto:Natalia.messenger@ohioattorneygeneral.gov" </w:instrText>
                  </w:r>
                  <w:r>
                    <w:fldChar w:fldCharType="separate"/>
                  </w:r>
                  <w:r w:rsidRPr="00E31CBD">
                    <w:rPr>
                      <w:rStyle w:val="Hyperlink"/>
                      <w:rFonts w:ascii="Times New Roman" w:eastAsia="Times New Roman" w:hAnsi="Times New Roman" w:cs="Times New Roman"/>
                      <w:bCs/>
                      <w:color w:val="0000FF"/>
                      <w:sz w:val="24"/>
                      <w:szCs w:val="20"/>
                      <w:u w:val="single"/>
                      <w:lang w:val="en-US" w:eastAsia="en-US" w:bidi="ar-SA"/>
                    </w:rPr>
                    <w:t>Natalia.messenger@ohioattorneygeneral.gov</w:t>
                  </w:r>
                  <w:r>
                    <w:fldChar w:fldCharType="end"/>
                  </w:r>
                  <w:r w:rsidRPr="00E31CBD">
                    <w:rPr>
                      <w:rStyle w:val="Hyperlink"/>
                      <w:rFonts w:ascii="Times New Roman" w:eastAsia="Times New Roman" w:hAnsi="Times New Roman" w:cs="Times New Roman"/>
                      <w:bCs/>
                      <w:color w:val="0000FF"/>
                      <w:sz w:val="24"/>
                      <w:szCs w:val="20"/>
                      <w:u w:val="single"/>
                      <w:lang w:val="en-US" w:eastAsia="en-US" w:bidi="ar-SA"/>
                    </w:rPr>
                    <w:t xml:space="preserve"> </w:t>
                  </w:r>
                </w:p>
                <w:p w:rsidR="001F2FDA" w:rsidP="001F2FDA">
                  <w:pPr>
                    <w:autoSpaceDE w:val="0"/>
                    <w:autoSpaceDN w:val="0"/>
                    <w:adjustRightInd w:val="0"/>
                    <w:spacing w:after="0" w:line="240" w:lineRule="auto"/>
                    <w:rPr>
                      <w:rStyle w:val="Hyperlink"/>
                      <w:rFonts w:ascii="Times New Roman" w:eastAsia="Times New Roman" w:hAnsi="Times New Roman" w:cs="Times New Roman"/>
                      <w:bCs/>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"mailto:John.jones@ohioattorneygeneral.gov" </w:instrText>
                  </w:r>
                  <w:r>
                    <w:fldChar w:fldCharType="separate"/>
                  </w:r>
                  <w:r w:rsidRPr="00E31CBD">
                    <w:rPr>
                      <w:rStyle w:val="Hyperlink"/>
                      <w:rFonts w:ascii="Times New Roman" w:eastAsia="Times New Roman" w:hAnsi="Times New Roman" w:cs="Times New Roman"/>
                      <w:bCs/>
                      <w:color w:val="0000FF"/>
                      <w:sz w:val="24"/>
                      <w:szCs w:val="20"/>
                      <w:u w:val="single"/>
                      <w:lang w:val="en-US" w:eastAsia="en-US" w:bidi="ar-SA"/>
                    </w:rPr>
                    <w:t>John.jones@ohioattorneygeneral.gov</w:t>
                  </w:r>
                  <w:r>
                    <w:fldChar w:fldCharType="end"/>
                  </w:r>
                  <w:r w:rsidRPr="00E31CBD">
                    <w:rPr>
                      <w:rStyle w:val="Hyperlink"/>
                      <w:rFonts w:ascii="Times New Roman" w:eastAsia="Times New Roman" w:hAnsi="Times New Roman" w:cs="Times New Roman"/>
                      <w:bCs/>
                      <w:color w:val="0000FF"/>
                      <w:sz w:val="24"/>
                      <w:szCs w:val="20"/>
                      <w:u w:val="single"/>
                      <w:lang w:val="en-US" w:eastAsia="en-US" w:bidi="ar-SA"/>
                    </w:rPr>
                    <w:t xml:space="preserve"> </w:t>
                  </w:r>
                </w:p>
                <w:p w:rsidR="001F2FDA" w:rsidP="001F2FDA">
                  <w:pPr>
                    <w:autoSpaceDE w:val="0"/>
                    <w:autoSpaceDN w:val="0"/>
                    <w:adjustRightInd w:val="0"/>
                    <w:spacing w:after="0" w:line="240" w:lineRule="auto"/>
                    <w:rPr>
                      <w:rStyle w:val="Hyperlink"/>
                      <w:rFonts w:ascii="Times New Roman" w:eastAsia="Times New Roman" w:hAnsi="Times New Roman" w:cs="Times New Roman"/>
                      <w:bCs/>
                      <w:color w:val="0000FF"/>
                      <w:sz w:val="24"/>
                      <w:szCs w:val="20"/>
                      <w:u w:val="single"/>
                      <w:lang w:val="en-US" w:eastAsia="en-US" w:bidi="ar-SA"/>
                    </w:rPr>
                  </w:pPr>
                </w:p>
                <w:tbl>
                  <w:tblPr>
                    <w:tblW w:w="0" w:type="auto"/>
                    <w:tblInd w:w="0" w:type="dxa"/>
                    <w:tblCellMar>
                      <w:top w:w="0" w:type="dxa"/>
                      <w:left w:w="108" w:type="dxa"/>
                      <w:bottom w:w="0" w:type="dxa"/>
                      <w:right w:w="108" w:type="dxa"/>
                    </w:tblCellMar>
                    <w:tblLook w:val="04A0"/>
                  </w:tblPr>
                  <w:tblGrid>
                    <w:gridCol w:w="4327"/>
                  </w:tblGrid>
                  <w:tr w:rsidTr="001F2FDA">
                    <w:tblPrEx>
                      <w:tblW w:w="0" w:type="auto"/>
                      <w:tblInd w:w="0" w:type="dxa"/>
                      <w:tblCellMar>
                        <w:top w:w="0" w:type="dxa"/>
                        <w:left w:w="108" w:type="dxa"/>
                        <w:bottom w:w="0" w:type="dxa"/>
                        <w:right w:w="108" w:type="dxa"/>
                      </w:tblCellMar>
                      <w:tblLook w:val="04A0"/>
                    </w:tblPrEx>
                    <w:tc>
                      <w:tcPr>
                        <w:tcW w:w="4428" w:type="dxa"/>
                        <w:shd w:val="clear" w:color="auto" w:fill="auto"/>
                      </w:tcPr>
                      <w:p w:rsidR="001F2FDA" w:rsidRPr="00AD479C" w:rsidP="001F2FDA">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r w:rsidRPr="00AD479C">
                          <w:rPr>
                            <w:rFonts w:ascii="Times New Roman" w:eastAsia="Times New Roman" w:hAnsi="Times New Roman" w:cs="Times New Roman"/>
                            <w:sz w:val="24"/>
                            <w:szCs w:val="20"/>
                            <w:lang w:val="en-US" w:eastAsia="en-US" w:bidi="ar-SA"/>
                          </w:rPr>
                          <w:t>Attorney Examiner:</w:t>
                        </w:r>
                      </w:p>
                      <w:p w:rsidR="001F2FDA" w:rsidRPr="003E38DF" w:rsidP="001F2FDA">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0"/>
                            <w:u w:val="single"/>
                            <w:lang w:val="en-US" w:eastAsia="en-US" w:bidi="ar-SA"/>
                          </w:rPr>
                        </w:pPr>
                      </w:p>
                      <w:p w:rsidR="001F2FDA" w:rsidP="001F2FDA">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"mailto:Richard.bulgrin@puc.state.oh.us" </w:instrText>
                        </w:r>
                        <w:r>
                          <w:fldChar w:fldCharType="separate"/>
                        </w:r>
                        <w:r w:rsidRPr="00163654">
                          <w:rPr>
                            <w:rStyle w:val="Hyperlink"/>
                            <w:rFonts w:ascii="Times New Roman" w:eastAsia="Times New Roman" w:hAnsi="Times New Roman" w:cs="Times New Roman"/>
                            <w:color w:val="0000FF"/>
                            <w:sz w:val="24"/>
                            <w:szCs w:val="20"/>
                            <w:u w:val="single"/>
                            <w:lang w:val="en-US" w:eastAsia="en-US" w:bidi="ar-SA"/>
                          </w:rPr>
                          <w:t>Richard.bulgrin@puc.state.oh.us</w:t>
                        </w:r>
                        <w:r>
                          <w:fldChar w:fldCharType="end"/>
                        </w:r>
                      </w:p>
                      <w:p w:rsidR="001F2FDA" w:rsidRPr="003E38DF" w:rsidP="001F2FDA">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p>
                      <w:p w:rsidR="001F2FDA" w:rsidRPr="003E38DF" w:rsidP="001F2FDA">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p w:rsidR="001F2FDA" w:rsidRPr="003E38DF" w:rsidP="001F2FDA">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p w:rsidR="001F2FDA" w:rsidRPr="003E38DF" w:rsidP="001F2FDA">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p w:rsidR="001F2FDA" w:rsidRPr="003E38DF" w:rsidP="001F2FDA">
                        <w:pPr>
                          <w:spacing w:after="0" w:line="240" w:lineRule="auto"/>
                          <w:jc w:val="center"/>
                          <w:rPr>
                            <w:rStyle w:val="DefaultParagraphFont"/>
                            <w:rFonts w:ascii="Times New Roman" w:eastAsia="Times New Roman" w:hAnsi="Times New Roman" w:cs="Times New Roman"/>
                            <w:bCs/>
                            <w:sz w:val="24"/>
                            <w:szCs w:val="20"/>
                            <w:lang w:val="en-US" w:eastAsia="en-US" w:bidi="ar-SA"/>
                          </w:rPr>
                        </w:pPr>
                      </w:p>
                    </w:tc>
                  </w:tr>
                </w:tbl>
                <w:p w:rsidR="001F2FDA" w:rsidRPr="00E31CBD" w:rsidP="001F2FDA">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p>
              </w:tc>
              <w:tc>
                <w:tcPr>
                  <w:tcW w:w="4428" w:type="dxa"/>
                </w:tcPr>
                <w:p w:rsidR="001F2FDA" w:rsidRPr="00E31CBD" w:rsidP="001F2FDA">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"mailto:cdunn@firstenergycorp.com"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cdunn@firstenergycorp.com</w:t>
                  </w:r>
                  <w:r>
                    <w:fldChar w:fldCharType="end"/>
                  </w:r>
                </w:p>
                <w:p w:rsidR="001F2FDA" w:rsidRPr="00E31CBD" w:rsidP="001F2FDA">
                  <w:pPr>
                    <w:autoSpaceDE w:val="0"/>
                    <w:autoSpaceDN w:val="0"/>
                    <w:adjustRightInd w:val="0"/>
                    <w:spacing w:after="0" w:line="240" w:lineRule="auto"/>
                    <w:jc w:val="both"/>
                    <w:rPr>
                      <w:rStyle w:val="DefaultParagraphFont"/>
                      <w:rFonts w:ascii="Times New Roman" w:hAnsi="Times New Roman" w:eastAsiaTheme="minorHAnsi"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"mailto:eostrowski@firstenergycorp.com" </w:instrText>
                  </w:r>
                  <w:r>
                    <w:fldChar w:fldCharType="separate"/>
                  </w:r>
                  <w:r w:rsidRPr="00E31CBD">
                    <w:rPr>
                      <w:rStyle w:val="Hyperlink"/>
                      <w:rFonts w:ascii="Times New Roman" w:hAnsi="Times New Roman" w:eastAsiaTheme="minorHAnsi" w:cs="Times New Roman"/>
                      <w:color w:val="0000FF"/>
                      <w:sz w:val="24"/>
                      <w:szCs w:val="20"/>
                      <w:u w:val="single"/>
                      <w:lang w:val="en-US" w:eastAsia="en-US" w:bidi="ar-SA"/>
                    </w:rPr>
                    <w:t>eostrowski@firstenergycorp.com</w:t>
                  </w:r>
                  <w:r>
                    <w:fldChar w:fldCharType="end"/>
                  </w:r>
                </w:p>
                <w:p w:rsidR="001F2FDA" w:rsidRPr="00E31CBD" w:rsidP="001F2FDA">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rsidRPr="00E31CBD">
                    <w:rPr>
                      <w:rStyle w:val="Hyperlink"/>
                      <w:rFonts w:ascii="Times New Roman" w:eastAsia="Times New Roman" w:hAnsi="Times New Roman" w:cs="Times New Roman"/>
                      <w:color w:val="0000FF"/>
                      <w:sz w:val="24"/>
                      <w:szCs w:val="20"/>
                      <w:u w:val="single"/>
                      <w:lang w:val="en-US" w:eastAsia="en-US" w:bidi="ar-SA"/>
                    </w:rPr>
                    <w:t>leiterr@firstenergycorp.com</w:t>
                  </w:r>
                </w:p>
                <w:p w:rsidR="001F2FDA" w:rsidP="001F2FDA">
                  <w:pPr>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"mailto:Kjklaw@yahoo.com"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Kjklaw@yahoo.com</w:t>
                  </w:r>
                  <w:r>
                    <w:fldChar w:fldCharType="end"/>
                  </w:r>
                </w:p>
                <w:p w:rsidR="001F2FDA" w:rsidP="001F2FDA">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"mailto:mrgladman@jonesday.com" </w:instrText>
                  </w:r>
                  <w:r>
                    <w:fldChar w:fldCharType="separate"/>
                  </w:r>
                  <w:r w:rsidRPr="0039736F">
                    <w:rPr>
                      <w:rStyle w:val="Hyperlink"/>
                      <w:rFonts w:ascii="Times New Roman" w:eastAsia="Times New Roman" w:hAnsi="Times New Roman" w:cs="Times New Roman"/>
                      <w:color w:val="0000FF"/>
                      <w:sz w:val="24"/>
                      <w:szCs w:val="20"/>
                      <w:u w:val="single"/>
                      <w:lang w:val="en-US" w:eastAsia="en-US" w:bidi="ar-SA"/>
                    </w:rPr>
                    <w:t>mrgladman@jonesday.com</w:t>
                  </w:r>
                  <w:r>
                    <w:fldChar w:fldCharType="end"/>
                  </w:r>
                </w:p>
                <w:p w:rsidR="001F2FDA" w:rsidRPr="0039736F" w:rsidP="001F2FDA">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"mailto:stostado@jonesday.com" </w:instrText>
                  </w:r>
                  <w:r>
                    <w:fldChar w:fldCharType="separate"/>
                  </w:r>
                  <w:r>
                    <w:rPr>
                      <w:rStyle w:val="Hyperlink"/>
                      <w:rFonts w:ascii="Times New Roman" w:eastAsia="Times New Roman" w:hAnsi="Times New Roman" w:cs="Times New Roman"/>
                      <w:color w:val="0000FF"/>
                      <w:sz w:val="24"/>
                      <w:szCs w:val="20"/>
                      <w:u w:val="single"/>
                      <w:lang w:val="en-US" w:eastAsia="en-US" w:bidi="ar-SA"/>
                    </w:rPr>
                    <w:t>stostado@jonesday.com</w:t>
                  </w:r>
                  <w:r>
                    <w:fldChar w:fldCharType="end"/>
                  </w:r>
                </w:p>
                <w:p w:rsidR="001F2FDA" w:rsidRPr="00E31CBD" w:rsidP="001F2FDA">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"mailto:jfinnigan@edf.org"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jfinnigan@edf.org</w:t>
                  </w:r>
                  <w:r>
                    <w:fldChar w:fldCharType="end"/>
                  </w:r>
                </w:p>
                <w:p w:rsidR="001F2FDA" w:rsidRPr="00E31CBD" w:rsidP="001F2FDA">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"mailto:rdove@attorneydove.com"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rdove@attorneydove.com</w:t>
                  </w:r>
                  <w:r>
                    <w:fldChar w:fldCharType="end"/>
                  </w:r>
                </w:p>
                <w:p w:rsidR="001F2FDA" w:rsidRPr="00E31CBD" w:rsidP="001F2FDA">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"mailto:Bojko@carpenterlipps.com"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Bojko@carpenterlipps.com</w:t>
                  </w:r>
                  <w:r>
                    <w:fldChar w:fldCharType="end"/>
                  </w:r>
                </w:p>
                <w:p w:rsidR="001F2FDA" w:rsidRPr="00E31CBD" w:rsidP="001F2FDA">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"mailto:perko@carpenterlipps.com"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perko@carpenterlipps.com</w:t>
                  </w:r>
                  <w:r>
                    <w:fldChar w:fldCharType="end"/>
                  </w:r>
                </w:p>
                <w:p w:rsidR="001F2FDA" w:rsidRPr="00E31CBD" w:rsidP="001F2FDA">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"mailto:paul@carpenterlipps.com"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paul@carpenterlipps.com</w:t>
                  </w:r>
                  <w:r>
                    <w:fldChar w:fldCharType="end"/>
                  </w:r>
                </w:p>
                <w:p w:rsidR="001F2FDA" w:rsidRPr="00E31CBD" w:rsidP="001F2FDA">
                  <w:pPr>
                    <w:autoSpaceDE w:val="0"/>
                    <w:autoSpaceDN w:val="0"/>
                    <w:adjustRightInd w:val="0"/>
                    <w:spacing w:after="0" w:line="240" w:lineRule="auto"/>
                    <w:jc w:val="both"/>
                    <w:rPr>
                      <w:rStyle w:val="DefaultParagraphFont"/>
                      <w:rFonts w:ascii="Times New Roman" w:hAnsi="Times New Roman" w:eastAsiaTheme="minorHAnsi" w:cs="Times New Roman"/>
                      <w:color w:val="0000FF"/>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"mailto:rkelter@elpc.org" </w:instrText>
                  </w:r>
                  <w:r>
                    <w:fldChar w:fldCharType="separate"/>
                  </w:r>
                  <w:r w:rsidRPr="00E31CBD">
                    <w:rPr>
                      <w:rStyle w:val="Hyperlink"/>
                      <w:rFonts w:ascii="Times New Roman" w:hAnsi="Times New Roman" w:eastAsiaTheme="minorHAnsi" w:cs="Times New Roman"/>
                      <w:color w:val="0000FF"/>
                      <w:sz w:val="24"/>
                      <w:szCs w:val="20"/>
                      <w:u w:val="single"/>
                      <w:lang w:val="en-US" w:eastAsia="en-US" w:bidi="ar-SA"/>
                    </w:rPr>
                    <w:t>rkelter@elpc.org</w:t>
                  </w:r>
                  <w:r>
                    <w:fldChar w:fldCharType="end"/>
                  </w:r>
                </w:p>
                <w:p w:rsidR="001F2FDA" w:rsidRPr="00E31CBD" w:rsidP="001F2FDA">
                  <w:pPr>
                    <w:autoSpaceDE w:val="0"/>
                    <w:autoSpaceDN w:val="0"/>
                    <w:adjustRightInd w:val="0"/>
                    <w:spacing w:after="0" w:line="240" w:lineRule="auto"/>
                    <w:jc w:val="both"/>
                    <w:rPr>
                      <w:rStyle w:val="DefaultParagraphFont"/>
                      <w:rFonts w:ascii="Times New Roman" w:hAnsi="Times New Roman" w:eastAsiaTheme="minorHAnsi"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"mailto:joliker@igsenergy.com" </w:instrText>
                  </w:r>
                  <w:r>
                    <w:fldChar w:fldCharType="separate"/>
                  </w:r>
                  <w:r w:rsidRPr="00E31CBD">
                    <w:rPr>
                      <w:rStyle w:val="Hyperlink"/>
                      <w:rFonts w:ascii="Times New Roman" w:hAnsi="Times New Roman" w:eastAsiaTheme="minorHAnsi" w:cs="Times New Roman"/>
                      <w:color w:val="0000FF"/>
                      <w:sz w:val="24"/>
                      <w:szCs w:val="20"/>
                      <w:u w:val="single"/>
                      <w:lang w:val="en-US" w:eastAsia="en-US" w:bidi="ar-SA"/>
                    </w:rPr>
                    <w:t>joliker@igsenergy.com</w:t>
                  </w:r>
                  <w:r>
                    <w:fldChar w:fldCharType="end"/>
                  </w:r>
                </w:p>
                <w:p w:rsidR="001F2FDA" w:rsidRPr="00E31CBD" w:rsidP="001F2FDA">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"mailto:swilliams@nrdc.org"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swilliams@nrdc.org</w:t>
                  </w:r>
                  <w:r>
                    <w:fldChar w:fldCharType="end"/>
                  </w:r>
                </w:p>
              </w:tc>
            </w:tr>
          </w:tbl>
          <w:p w:rsidR="001F2FDA" w:rsidRPr="00E31CBD" w:rsidP="001F2FDA">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p>
        </w:tc>
      </w:tr>
    </w:tbl>
    <w:p w:rsidR="00D2464A">
      <w:pPr>
        <w:rPr>
          <w:szCs w:val="24"/>
        </w:rPr>
      </w:pPr>
    </w:p>
    <w:p w:rsidR="00D2464A">
      <w:pPr>
        <w:spacing w:after="200" w:line="276" w:lineRule="auto"/>
        <w:rPr>
          <w:szCs w:val="24"/>
        </w:rPr>
      </w:pPr>
      <w:r>
        <w:rPr>
          <w:szCs w:val="24"/>
        </w:rPr>
        <w:br w:type="page"/>
      </w:r>
    </w:p>
    <w:p w:rsidR="001F2FDA" w:rsidP="00D2464A">
      <w:pPr>
        <w:jc w:val="center"/>
        <w:rPr>
          <w:szCs w:val="24"/>
        </w:rPr>
      </w:pPr>
      <w:r>
        <w:rPr>
          <w:szCs w:val="24"/>
        </w:rPr>
        <w:t>Exhibit A</w:t>
      </w:r>
    </w:p>
    <w:p w:rsidR="00D2464A" w:rsidP="00D2464A">
      <w:pPr>
        <w:jc w:val="center"/>
        <w:rPr>
          <w:szCs w:val="24"/>
        </w:rPr>
      </w:pPr>
      <w:r>
        <w:rPr>
          <w:szCs w:val="24"/>
        </w:rPr>
        <w:t xml:space="preserve">Potential Adjustments to Portfolio to </w:t>
      </w:r>
      <w:r>
        <w:rPr>
          <w:szCs w:val="24"/>
        </w:rPr>
        <w:br/>
        <w:t>Reduce Costs that Consumers Pay for Energy Efficiency Programs</w:t>
      </w:r>
    </w:p>
    <w:p w:rsidR="00D14851" w:rsidP="00D2464A">
      <w:pPr>
        <w:jc w:val="center"/>
        <w:rPr>
          <w:szCs w:val="24"/>
        </w:rPr>
      </w:pPr>
    </w:p>
    <w:p w:rsidR="00D14851" w:rsidP="00D14851">
      <w:pPr>
        <w:rPr>
          <w:szCs w:val="24"/>
        </w:rPr>
      </w:pPr>
      <w:r w:rsidRPr="00D14851">
        <w:rPr>
          <w:noProof/>
        </w:rPr>
        <w:drawing>
          <wp:inline distT="0" distB="0" distL="0" distR="0">
            <wp:extent cx="5486400" cy="715943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159435"/>
                    </a:xfrm>
                    <a:prstGeom prst="rect">
                      <a:avLst/>
                    </a:prstGeom>
                    <a:noFill/>
                    <a:ln>
                      <a:noFill/>
                    </a:ln>
                  </pic:spPr>
                </pic:pic>
              </a:graphicData>
            </a:graphic>
          </wp:inline>
        </w:drawing>
      </w:r>
    </w:p>
    <w:sectPr w:rsidSect="001F2FDA">
      <w:headerReference w:type="even" r:id="rId22"/>
      <w:headerReference w:type="default" r:id="rId23"/>
      <w:footerReference w:type="default" r:id="rId24"/>
      <w:headerReference w:type="first" r:id="rI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AC0" w:rsidRPr="00667A91">
    <w:pPr>
      <w:pStyle w:val="Footer"/>
      <w:jc w:val="center"/>
      <w:rPr>
        <w:rFonts w:ascii="Times New Roman" w:hAnsi="Times New Roman" w:cs="Times New Roman"/>
      </w:rPr>
    </w:pPr>
  </w:p>
  <w:p w:rsidR="00146AC0" w:rsidRPr="00667A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E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7393972"/>
      <w:docPartObj>
        <w:docPartGallery w:val="Page Numbers (Bottom of Page)"/>
        <w:docPartUnique/>
      </w:docPartObj>
    </w:sdtPr>
    <w:sdtEndPr>
      <w:rPr>
        <w:noProof/>
      </w:rPr>
    </w:sdtEndPr>
    <w:sdtContent>
      <w:p w:rsidR="00146AC0">
        <w:pPr>
          <w:pStyle w:val="Footer"/>
          <w:jc w:val="center"/>
        </w:pPr>
        <w:r>
          <w:fldChar w:fldCharType="begin"/>
        </w:r>
        <w:r>
          <w:instrText xml:space="preserve"> PAGE   \* MERGEFORMAT </w:instrText>
        </w:r>
        <w:r>
          <w:fldChar w:fldCharType="separate"/>
        </w:r>
        <w:r w:rsidR="00BC06F4">
          <w:rPr>
            <w:noProof/>
          </w:rPr>
          <w:t>i</w:t>
        </w:r>
        <w:r>
          <w:rPr>
            <w:noProof/>
          </w:rPr>
          <w:fldChar w:fldCharType="end"/>
        </w:r>
      </w:p>
    </w:sdtContent>
  </w:sdt>
  <w:p w:rsidR="00146AC0" w:rsidRPr="00667A9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AC0">
    <w:pPr>
      <w:pStyle w:val="Footer"/>
      <w:jc w:val="center"/>
    </w:pPr>
  </w:p>
  <w:p w:rsidR="00146AC0" w:rsidRPr="00667A9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7452205"/>
      <w:docPartObj>
        <w:docPartGallery w:val="Page Numbers (Bottom of Page)"/>
        <w:docPartUnique/>
      </w:docPartObj>
    </w:sdtPr>
    <w:sdtEndPr>
      <w:rPr>
        <w:rFonts w:ascii="Times New Roman" w:hAnsi="Times New Roman" w:cs="Times New Roman"/>
        <w:noProof/>
      </w:rPr>
    </w:sdtEndPr>
    <w:sdtContent>
      <w:p w:rsidR="00146AC0" w:rsidRPr="000B2633">
        <w:pPr>
          <w:pStyle w:val="Footer"/>
          <w:jc w:val="center"/>
          <w:rPr>
            <w:rFonts w:ascii="Times New Roman" w:hAnsi="Times New Roman" w:cs="Times New Roman"/>
          </w:rPr>
        </w:pPr>
        <w:r w:rsidRPr="000B2633">
          <w:rPr>
            <w:rFonts w:ascii="Times New Roman" w:hAnsi="Times New Roman" w:cs="Times New Roman"/>
          </w:rPr>
          <w:fldChar w:fldCharType="begin"/>
        </w:r>
        <w:r w:rsidRPr="000B2633">
          <w:rPr>
            <w:rFonts w:ascii="Times New Roman" w:hAnsi="Times New Roman" w:cs="Times New Roman"/>
          </w:rPr>
          <w:instrText xml:space="preserve"> PAGE   \* MERGEFORMAT </w:instrText>
        </w:r>
        <w:r w:rsidRPr="000B2633">
          <w:rPr>
            <w:rFonts w:ascii="Times New Roman" w:hAnsi="Times New Roman" w:cs="Times New Roman"/>
          </w:rPr>
          <w:fldChar w:fldCharType="separate"/>
        </w:r>
        <w:r w:rsidR="005467CC">
          <w:rPr>
            <w:rFonts w:ascii="Times New Roman" w:hAnsi="Times New Roman" w:cs="Times New Roman"/>
            <w:noProof/>
          </w:rPr>
          <w:t>12</w:t>
        </w:r>
        <w:r w:rsidRPr="000B2633">
          <w:rPr>
            <w:rFonts w:ascii="Times New Roman" w:hAnsi="Times New Roman" w:cs="Times New Roman"/>
            <w:noProof/>
          </w:rPr>
          <w:fldChar w:fldCharType="end"/>
        </w:r>
      </w:p>
    </w:sdtContent>
  </w:sdt>
  <w:p w:rsidR="00146AC0" w:rsidRPr="00667A9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1943710"/>
      <w:docPartObj>
        <w:docPartGallery w:val="Page Numbers (Bottom of Page)"/>
        <w:docPartUnique/>
      </w:docPartObj>
    </w:sdtPr>
    <w:sdtEndPr>
      <w:rPr>
        <w:noProof/>
      </w:rPr>
    </w:sdtEndPr>
    <w:sdtContent>
      <w:p w:rsidR="00146AC0" w:rsidRPr="00667A91">
        <w:pPr>
          <w:pStyle w:val="Footer"/>
          <w:jc w:val="center"/>
        </w:pPr>
      </w:p>
    </w:sdtContent>
  </w:sdt>
  <w:p w:rsidR="00146AC0" w:rsidRPr="00667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6AC0">
      <w:r>
        <w:separator/>
      </w:r>
    </w:p>
  </w:footnote>
  <w:footnote w:type="continuationSeparator" w:id="1">
    <w:p w:rsidR="00146AC0">
      <w:r>
        <w:continuationSeparator/>
      </w:r>
    </w:p>
  </w:footnote>
  <w:footnote w:id="2">
    <w:p w:rsidR="00146AC0" w:rsidP="0082545D">
      <w:pPr>
        <w:pStyle w:val="FootnoteText"/>
        <w:spacing w:after="120"/>
      </w:pPr>
      <w:r>
        <w:rPr>
          <w:rStyle w:val="FootnoteReference"/>
        </w:rPr>
        <w:footnoteRef/>
      </w:r>
      <w:r>
        <w:t xml:space="preserve"> Joint Ex. 1 (the "Settlement").</w:t>
      </w:r>
    </w:p>
  </w:footnote>
  <w:footnote w:id="3">
    <w:p w:rsidR="00146AC0" w:rsidP="0082545D">
      <w:pPr>
        <w:pStyle w:val="FootnoteText"/>
        <w:spacing w:after="120"/>
      </w:pPr>
      <w:r>
        <w:rPr>
          <w:rStyle w:val="FootnoteReference"/>
        </w:rPr>
        <w:footnoteRef/>
      </w:r>
      <w:r>
        <w:t xml:space="preserve"> Joint Ex. 1, Exhibit A; Joint Ex. 1 § V.T.</w:t>
      </w:r>
    </w:p>
  </w:footnote>
  <w:footnote w:id="4">
    <w:p w:rsidR="00146AC0" w:rsidP="0082545D">
      <w:pPr>
        <w:pStyle w:val="FootnoteText"/>
        <w:spacing w:after="120"/>
      </w:pPr>
      <w:r>
        <w:rPr>
          <w:rStyle w:val="FootnoteReference"/>
        </w:rPr>
        <w:footnoteRef/>
      </w:r>
      <w:r>
        <w:t xml:space="preserve"> Opinion &amp; Order ¶ 32, In re Application of Ohio Power Co. for Approval of its Energy Efficiency &amp; Peak Demand Reduction Program Portfolio Plan for 2017 through 2020, Case No. 16-574-EL-POR (Jan. 18, 2017).</w:t>
      </w:r>
    </w:p>
  </w:footnote>
  <w:footnote w:id="5">
    <w:p w:rsidR="00146AC0" w:rsidP="0082545D">
      <w:pPr>
        <w:pStyle w:val="FootnoteText"/>
        <w:spacing w:after="120"/>
      </w:pPr>
      <w:r>
        <w:rPr>
          <w:rStyle w:val="FootnoteReference"/>
        </w:rPr>
        <w:footnoteRef/>
      </w:r>
      <w:r>
        <w:t xml:space="preserve"> PUCO Staff Ex. 1 (Donlon Direct); OCC Ex. 9B (Spellman Direct).</w:t>
      </w:r>
    </w:p>
  </w:footnote>
  <w:footnote w:id="6">
    <w:p w:rsidR="00146AC0" w:rsidRPr="00F6053C" w:rsidP="0082545D">
      <w:pPr>
        <w:pStyle w:val="FootnoteText"/>
        <w:spacing w:after="120"/>
      </w:pPr>
      <w:r w:rsidRPr="00F6053C">
        <w:rPr>
          <w:rStyle w:val="FootnoteReference"/>
        </w:rPr>
        <w:footnoteRef/>
      </w:r>
      <w:r w:rsidRPr="00F6053C">
        <w:t xml:space="preserve"> Ohio Revised Code (</w:t>
      </w:r>
      <w:r>
        <w:t>"</w:t>
      </w:r>
      <w:r w:rsidRPr="00F6053C">
        <w:t>R.C.</w:t>
      </w:r>
      <w:r>
        <w:t>"</w:t>
      </w:r>
      <w:r w:rsidRPr="00F6053C">
        <w:t>) 4928.66(A)(1)(a).</w:t>
      </w:r>
    </w:p>
  </w:footnote>
  <w:footnote w:id="7">
    <w:p w:rsidR="00146AC0" w:rsidRPr="00F6053C" w:rsidP="0082545D">
      <w:pPr>
        <w:pStyle w:val="FootnoteText"/>
        <w:spacing w:after="120"/>
      </w:pPr>
      <w:r w:rsidRPr="00F6053C">
        <w:rPr>
          <w:rStyle w:val="FootnoteReference"/>
        </w:rPr>
        <w:footnoteRef/>
      </w:r>
      <w:r w:rsidRPr="00F6053C">
        <w:t xml:space="preserve"> R.C. 4928.66(A)(1)(a).</w:t>
      </w:r>
    </w:p>
  </w:footnote>
  <w:footnote w:id="8">
    <w:p w:rsidR="00146AC0" w:rsidRPr="00F6053C" w:rsidP="0082545D">
      <w:pPr>
        <w:pStyle w:val="FootnoteText"/>
        <w:spacing w:after="120"/>
      </w:pPr>
      <w:r w:rsidRPr="00F6053C">
        <w:rPr>
          <w:rStyle w:val="FootnoteReference"/>
        </w:rPr>
        <w:footnoteRef/>
      </w:r>
      <w:r w:rsidRPr="00F6053C">
        <w:t xml:space="preserve"> R.C. 4928.66(A)(2)(a) (defining </w:t>
      </w:r>
      <w:r>
        <w:t>"</w:t>
      </w:r>
      <w:r w:rsidRPr="00F6053C">
        <w:t>baseline</w:t>
      </w:r>
      <w:r>
        <w:t>"</w:t>
      </w:r>
      <w:r w:rsidRPr="00F6053C">
        <w:t xml:space="preserve"> and identifying certain adjustments for nonresidential customer opt-outs and customers with reasonable arrangements); R.C. 4928.66(A)(2)(c) (identifying baseline adjustments to account for certain mercantile customers and for weather and other factors).</w:t>
      </w:r>
    </w:p>
  </w:footnote>
  <w:footnote w:id="9">
    <w:p w:rsidR="00146AC0" w:rsidRPr="00F6053C" w:rsidP="0082545D">
      <w:pPr>
        <w:pStyle w:val="FootnoteText"/>
        <w:spacing w:after="120"/>
      </w:pPr>
      <w:r w:rsidRPr="00F6053C">
        <w:rPr>
          <w:rStyle w:val="FootnoteReference"/>
        </w:rPr>
        <w:footnoteRef/>
      </w:r>
      <w:r w:rsidRPr="00F6053C">
        <w:t xml:space="preserve"> </w:t>
      </w:r>
      <w:r>
        <w:t>Joint Ex. 1, Exhibit B.</w:t>
      </w:r>
    </w:p>
  </w:footnote>
  <w:footnote w:id="10">
    <w:p w:rsidR="00146AC0" w:rsidRPr="00F6053C" w:rsidP="0082545D">
      <w:pPr>
        <w:pStyle w:val="FootnoteText"/>
        <w:spacing w:after="120"/>
      </w:pPr>
      <w:r w:rsidRPr="00F6053C">
        <w:rPr>
          <w:rStyle w:val="FootnoteReference"/>
        </w:rPr>
        <w:footnoteRef/>
      </w:r>
      <w:r w:rsidRPr="00F6053C">
        <w:t xml:space="preserve"> See Joint Ex. 1, Exhibit A ($322.9 million in program costs under the Application); OCC Ex. 6 ($39 million a year in shared savings for three years, a total of $117 million); OCC Ex. 9B, Exhibit RFS-5 ($18 million over three years for the Community Connections program).</w:t>
      </w:r>
    </w:p>
  </w:footnote>
  <w:footnote w:id="11">
    <w:p w:rsidR="00146AC0" w:rsidRPr="00F6053C" w:rsidP="0082545D">
      <w:pPr>
        <w:pStyle w:val="FootnoteText"/>
        <w:spacing w:after="120"/>
      </w:pPr>
      <w:r w:rsidRPr="00F6053C">
        <w:rPr>
          <w:rStyle w:val="FootnoteReference"/>
        </w:rPr>
        <w:footnoteRef/>
      </w:r>
      <w:r w:rsidRPr="00F6053C">
        <w:t xml:space="preserve"> Case No. 14-1297-EL-SSO (the </w:t>
      </w:r>
      <w:r>
        <w:t>"</w:t>
      </w:r>
      <w:r w:rsidRPr="00F6053C">
        <w:t>ESP IV Case</w:t>
      </w:r>
      <w:r>
        <w:t>"</w:t>
      </w:r>
      <w:r w:rsidRPr="00F6053C">
        <w:t>).</w:t>
      </w:r>
    </w:p>
  </w:footnote>
  <w:footnote w:id="12">
    <w:p w:rsidR="00146AC0" w:rsidRPr="00F6053C" w:rsidP="0082545D">
      <w:pPr>
        <w:pStyle w:val="FootnoteText"/>
        <w:spacing w:after="120"/>
      </w:pPr>
      <w:r w:rsidRPr="00F6053C">
        <w:rPr>
          <w:rStyle w:val="FootnoteReference"/>
        </w:rPr>
        <w:footnoteRef/>
      </w:r>
      <w:r w:rsidRPr="00F6053C">
        <w:t xml:space="preserve"> OCC Ex. 1 § V.E.3.</w:t>
      </w:r>
    </w:p>
  </w:footnote>
  <w:footnote w:id="13">
    <w:p w:rsidR="00146AC0" w:rsidRPr="00F6053C" w:rsidP="0082545D">
      <w:pPr>
        <w:pStyle w:val="FootnoteText"/>
        <w:spacing w:after="120"/>
      </w:pPr>
      <w:r w:rsidRPr="00F6053C">
        <w:rPr>
          <w:rStyle w:val="FootnoteReference"/>
        </w:rPr>
        <w:footnoteRef/>
      </w:r>
      <w:r w:rsidRPr="00F6053C">
        <w:t xml:space="preserve"> Id.</w:t>
      </w:r>
    </w:p>
  </w:footnote>
  <w:footnote w:id="14">
    <w:p w:rsidR="00146AC0" w:rsidRPr="00F6053C" w:rsidP="0082545D">
      <w:pPr>
        <w:pStyle w:val="FootnoteText"/>
        <w:spacing w:after="120"/>
      </w:pPr>
      <w:r w:rsidRPr="00F6053C">
        <w:rPr>
          <w:rStyle w:val="FootnoteReference"/>
        </w:rPr>
        <w:footnoteRef/>
      </w:r>
      <w:r w:rsidRPr="00F6053C">
        <w:t xml:space="preserve"> Joint Ex. 1, Exhibit A; Joint Ex. 1, Exhibit B at 106-07.</w:t>
      </w:r>
    </w:p>
  </w:footnote>
  <w:footnote w:id="15">
    <w:p w:rsidR="00146AC0" w:rsidRPr="00F6053C" w:rsidP="0082545D">
      <w:pPr>
        <w:pStyle w:val="FootnoteText"/>
        <w:spacing w:after="120"/>
      </w:pPr>
      <w:r w:rsidRPr="00F6053C">
        <w:rPr>
          <w:rStyle w:val="FootnoteReference"/>
        </w:rPr>
        <w:footnoteRef/>
      </w:r>
      <w:r w:rsidRPr="00F6053C">
        <w:t xml:space="preserve"> Fifth Entry on Rehearing ¶ 324, In re Application of Ohio Edison Co., the Cleveland Elec. Illuminating Co., &amp; the Toledo Edison Co. for Authority to Provide for a Standard Serv. Offer, Case No. 14-1297-EL-SSO (Oct. 12, 2016) (the </w:t>
      </w:r>
      <w:r>
        <w:t>"</w:t>
      </w:r>
      <w:r w:rsidRPr="00F6053C">
        <w:t>Fifth Entry on Rehearing</w:t>
      </w:r>
      <w:r>
        <w:t>"</w:t>
      </w:r>
      <w:r w:rsidRPr="00F6053C">
        <w:t>).</w:t>
      </w:r>
    </w:p>
  </w:footnote>
  <w:footnote w:id="16">
    <w:p w:rsidR="00146AC0" w:rsidRPr="00F6053C" w:rsidP="0082545D">
      <w:pPr>
        <w:pStyle w:val="FootnoteText"/>
        <w:spacing w:after="120"/>
      </w:pPr>
      <w:r w:rsidRPr="00F6053C">
        <w:rPr>
          <w:rStyle w:val="FootnoteReference"/>
        </w:rPr>
        <w:footnoteRef/>
      </w:r>
      <w:r w:rsidRPr="00F6053C">
        <w:t xml:space="preserve"> Id. ¶ 326.</w:t>
      </w:r>
    </w:p>
  </w:footnote>
  <w:footnote w:id="17">
    <w:p w:rsidR="00146AC0" w:rsidRPr="00F6053C" w:rsidP="0082545D">
      <w:pPr>
        <w:pStyle w:val="FootnoteText"/>
        <w:spacing w:after="120"/>
      </w:pPr>
      <w:r w:rsidRPr="00F6053C">
        <w:rPr>
          <w:rStyle w:val="FootnoteReference"/>
        </w:rPr>
        <w:footnoteRef/>
      </w:r>
      <w:r w:rsidRPr="00F6053C">
        <w:t xml:space="preserve"> Id. ¶ 325.</w:t>
      </w:r>
    </w:p>
  </w:footnote>
  <w:footnote w:id="18">
    <w:p w:rsidR="00146AC0" w:rsidRPr="00F6053C" w:rsidP="0082545D">
      <w:pPr>
        <w:pStyle w:val="FootnoteText"/>
        <w:spacing w:after="120"/>
      </w:pPr>
      <w:r w:rsidRPr="00F6053C">
        <w:rPr>
          <w:rStyle w:val="FootnoteReference"/>
        </w:rPr>
        <w:footnoteRef/>
      </w:r>
      <w:r w:rsidRPr="00F6053C">
        <w:t xml:space="preserve"> Joint Ex. 1 § V.T.</w:t>
      </w:r>
    </w:p>
  </w:footnote>
  <w:footnote w:id="19">
    <w:p w:rsidR="00146AC0" w:rsidRPr="00F6053C" w:rsidP="0082545D">
      <w:pPr>
        <w:pStyle w:val="FootnoteText"/>
        <w:spacing w:after="120"/>
      </w:pPr>
      <w:r w:rsidRPr="00F6053C">
        <w:rPr>
          <w:rStyle w:val="FootnoteReference"/>
        </w:rPr>
        <w:footnoteRef/>
      </w:r>
      <w:r w:rsidRPr="00F6053C">
        <w:t xml:space="preserve"> Id.</w:t>
      </w:r>
    </w:p>
  </w:footnote>
  <w:footnote w:id="20">
    <w:p w:rsidR="00146AC0" w:rsidRPr="00F6053C" w:rsidP="0082545D">
      <w:pPr>
        <w:pStyle w:val="FootnoteText"/>
        <w:spacing w:after="120"/>
      </w:pPr>
      <w:r w:rsidRPr="00F6053C">
        <w:rPr>
          <w:rStyle w:val="FootnoteReference"/>
        </w:rPr>
        <w:footnoteRef/>
      </w:r>
      <w:r w:rsidRPr="00F6053C">
        <w:t xml:space="preserve"> Id., Exhibit A.</w:t>
      </w:r>
    </w:p>
  </w:footnote>
  <w:footnote w:id="21">
    <w:p w:rsidR="00146AC0" w:rsidRPr="00F6053C" w:rsidP="0082545D">
      <w:pPr>
        <w:pStyle w:val="FootnoteText"/>
        <w:spacing w:after="120"/>
      </w:pPr>
      <w:r w:rsidRPr="00F6053C">
        <w:rPr>
          <w:rStyle w:val="FootnoteReference"/>
        </w:rPr>
        <w:footnoteRef/>
      </w:r>
      <w:r w:rsidRPr="00F6053C">
        <w:t xml:space="preserve"> PUCO Staff Ex. 1 (Donlon Direct); OCC Ex.</w:t>
      </w:r>
      <w:r>
        <w:t>9B, 9C (Spellman Direct</w:t>
      </w:r>
      <w:r w:rsidRPr="00F6053C">
        <w:t>).</w:t>
      </w:r>
    </w:p>
  </w:footnote>
  <w:footnote w:id="22">
    <w:p w:rsidR="00146AC0" w:rsidRPr="00F6053C" w:rsidP="0082545D">
      <w:pPr>
        <w:pStyle w:val="FootnoteText"/>
        <w:spacing w:after="120"/>
      </w:pPr>
      <w:r w:rsidRPr="00F6053C">
        <w:rPr>
          <w:rStyle w:val="FootnoteReference"/>
        </w:rPr>
        <w:footnoteRef/>
      </w:r>
      <w:r w:rsidRPr="00F6053C">
        <w:t xml:space="preserve"> Company Ex. 16 (Demiray Rebuttal); Company Ex. 17 (Miller Rebuttal); Environmental Ex. 1 (Neme Rebuttal).</w:t>
      </w:r>
    </w:p>
  </w:footnote>
  <w:footnote w:id="23">
    <w:p w:rsidR="00146AC0" w:rsidRPr="00F6053C" w:rsidP="0082545D">
      <w:pPr>
        <w:pStyle w:val="FootnoteText"/>
        <w:spacing w:after="120"/>
      </w:pPr>
      <w:r w:rsidRPr="00F6053C">
        <w:rPr>
          <w:rStyle w:val="FootnoteReference"/>
        </w:rPr>
        <w:footnoteRef/>
      </w:r>
      <w:r w:rsidRPr="00F6053C">
        <w:t xml:space="preserve"> In re Application of the Ottoville Mut. Tel. Co., Case No. 73-356-Y, 1973 Ohio PUC LEXIS 3, at *4 (</w:t>
      </w:r>
      <w:r>
        <w:t>"</w:t>
      </w:r>
      <w:r w:rsidRPr="00F6053C">
        <w:t>the applicant must shoulder the burden of proof in every application proceeding before the Commission</w:t>
      </w:r>
      <w:r>
        <w:t>"</w:t>
      </w:r>
      <w:r w:rsidRPr="00F6053C">
        <w:t>); In re Application of the Ohio Bell Tel. Co., No. 84-1435-TP-AIR, 1985 Ohio PUC LEXIS 7, at *79 (Dec. 10, 1985) (</w:t>
      </w:r>
      <w:r>
        <w:t>"</w:t>
      </w:r>
      <w:r w:rsidRPr="00F6053C">
        <w:t>The applicant has the burden of establishing the reasonableness of its proposals.</w:t>
      </w:r>
      <w:r>
        <w:t>"</w:t>
      </w:r>
      <w:r w:rsidRPr="00F6053C">
        <w:t>).</w:t>
      </w:r>
    </w:p>
  </w:footnote>
  <w:footnote w:id="24">
    <w:p w:rsidR="00146AC0" w:rsidRPr="00F6053C" w:rsidP="0082545D">
      <w:pPr>
        <w:pStyle w:val="FootnoteText"/>
        <w:spacing w:after="120"/>
      </w:pPr>
      <w:r w:rsidRPr="00F6053C">
        <w:rPr>
          <w:rStyle w:val="FootnoteReference"/>
        </w:rPr>
        <w:footnoteRef/>
      </w:r>
      <w:r w:rsidRPr="00F6053C">
        <w:t xml:space="preserve"> </w:t>
      </w:r>
      <w:r>
        <w:t xml:space="preserve">Opinion and Order at 18, </w:t>
      </w:r>
      <w:r w:rsidRPr="00F6053C">
        <w:t>In re Application Seeking Approval of Ohio Power Co.</w:t>
      </w:r>
      <w:r>
        <w:t>'</w:t>
      </w:r>
      <w:r w:rsidRPr="00F6053C">
        <w:t>s Proposal to Enter into an Affiliate Power Purchase Agmt. for Inclusion in the Power Purchase Agmt. Rider, No. 14-1693-EL-SSO, (Mar. 31, 2016</w:t>
      </w:r>
      <w:r>
        <w:t>)</w:t>
      </w:r>
      <w:r w:rsidRPr="00F6053C">
        <w:t>.</w:t>
      </w:r>
    </w:p>
  </w:footnote>
  <w:footnote w:id="25">
    <w:p w:rsidR="00146AC0" w:rsidRPr="00F6053C" w:rsidP="0082545D">
      <w:pPr>
        <w:pStyle w:val="FootnoteText"/>
        <w:spacing w:after="120"/>
      </w:pPr>
      <w:r w:rsidRPr="00F6053C">
        <w:rPr>
          <w:rStyle w:val="FootnoteReference"/>
        </w:rPr>
        <w:footnoteRef/>
      </w:r>
      <w:r w:rsidRPr="00F6053C">
        <w:t xml:space="preserve"> Ohio Adm. Code (</w:t>
      </w:r>
      <w:r>
        <w:t>"</w:t>
      </w:r>
      <w:r w:rsidRPr="00F6053C">
        <w:t>OAC</w:t>
      </w:r>
      <w:r>
        <w:t>"</w:t>
      </w:r>
      <w:r w:rsidRPr="00F6053C">
        <w:t>) 4901:1-39-04(E).</w:t>
      </w:r>
    </w:p>
  </w:footnote>
  <w:footnote w:id="26">
    <w:p w:rsidR="00146AC0" w:rsidRPr="00F6053C" w:rsidP="0082545D">
      <w:pPr>
        <w:pStyle w:val="FootnoteText"/>
        <w:spacing w:after="120"/>
      </w:pPr>
      <w:r w:rsidRPr="00F6053C">
        <w:rPr>
          <w:rStyle w:val="FootnoteReference"/>
        </w:rPr>
        <w:footnoteRef/>
      </w:r>
      <w:r w:rsidRPr="00F6053C">
        <w:t xml:space="preserve"> Duff v. </w:t>
      </w:r>
      <w:r>
        <w:t>PUCO</w:t>
      </w:r>
      <w:r w:rsidRPr="00F6053C">
        <w:t>, 56 Ohio St. 2d 367, 379 (1978).</w:t>
      </w:r>
    </w:p>
  </w:footnote>
  <w:footnote w:id="27">
    <w:p w:rsidR="00146AC0" w:rsidRPr="00F6053C" w:rsidP="0082545D">
      <w:pPr>
        <w:pStyle w:val="FootnoteText"/>
        <w:spacing w:after="120"/>
      </w:pPr>
      <w:r w:rsidRPr="00F6053C">
        <w:rPr>
          <w:rStyle w:val="FootnoteReference"/>
        </w:rPr>
        <w:footnoteRef/>
      </w:r>
      <w:r w:rsidRPr="00F6053C">
        <w:t xml:space="preserve"> Id.</w:t>
      </w:r>
      <w:r>
        <w:t xml:space="preserve"> </w:t>
      </w:r>
      <w:r w:rsidRPr="00F6053C">
        <w:t xml:space="preserve">See also </w:t>
      </w:r>
      <w:r>
        <w:t>OAC</w:t>
      </w:r>
      <w:r w:rsidRPr="00F6053C">
        <w:t xml:space="preserve"> 4901-1-30(E).</w:t>
      </w:r>
    </w:p>
  </w:footnote>
  <w:footnote w:id="28">
    <w:p w:rsidR="00146AC0" w:rsidRPr="00F6053C" w:rsidP="0082545D">
      <w:pPr>
        <w:pStyle w:val="FootnoteText"/>
        <w:spacing w:after="120"/>
      </w:pPr>
      <w:r w:rsidRPr="00F6053C">
        <w:rPr>
          <w:rStyle w:val="FootnoteReference"/>
        </w:rPr>
        <w:footnoteRef/>
      </w:r>
      <w:r w:rsidRPr="00F6053C">
        <w:t xml:space="preserve"> Duff, 56 Ohio St. 2d at 379.</w:t>
      </w:r>
    </w:p>
  </w:footnote>
  <w:footnote w:id="29">
    <w:p w:rsidR="00146AC0" w:rsidRPr="00F6053C" w:rsidP="0082545D">
      <w:pPr>
        <w:pStyle w:val="FootnoteText"/>
        <w:spacing w:after="120"/>
      </w:pPr>
      <w:r w:rsidRPr="00F6053C">
        <w:rPr>
          <w:rStyle w:val="FootnoteReference"/>
        </w:rPr>
        <w:footnoteRef/>
      </w:r>
      <w:r w:rsidRPr="00F6053C">
        <w:t xml:space="preserve"> Opinion &amp; Order at 9, In re Application of Vectren Energy Delivery of Ohio, Inc. for Authority to Amend its Tariffs, Case No. 04-571-GA-AIR, (Apr. 13, 2015).</w:t>
      </w:r>
    </w:p>
  </w:footnote>
  <w:footnote w:id="30">
    <w:p w:rsidR="00146AC0" w:rsidRPr="00F6053C" w:rsidP="0082545D">
      <w:pPr>
        <w:pStyle w:val="FootnoteText"/>
        <w:spacing w:after="120"/>
      </w:pPr>
      <w:r w:rsidRPr="00F6053C">
        <w:rPr>
          <w:rStyle w:val="FootnoteReference"/>
        </w:rPr>
        <w:footnoteRef/>
      </w:r>
      <w:r w:rsidRPr="00F6053C">
        <w:t xml:space="preserve"> Consumers</w:t>
      </w:r>
      <w:r>
        <w:t>'</w:t>
      </w:r>
      <w:r w:rsidRPr="00F6053C">
        <w:t xml:space="preserve"> Counsel v. Pub. Util. Comm., 64 Ohio St.</w:t>
      </w:r>
      <w:r>
        <w:t xml:space="preserve"> </w:t>
      </w:r>
      <w:r w:rsidRPr="00F6053C">
        <w:t>3d 123, 126 (1992).</w:t>
      </w:r>
    </w:p>
  </w:footnote>
  <w:footnote w:id="31">
    <w:p w:rsidR="00146AC0" w:rsidRPr="00F6053C" w:rsidP="0082545D">
      <w:pPr>
        <w:pStyle w:val="FootnoteText"/>
        <w:spacing w:after="120"/>
      </w:pPr>
      <w:r w:rsidRPr="00F6053C">
        <w:rPr>
          <w:rStyle w:val="FootnoteReference"/>
        </w:rPr>
        <w:footnoteRef/>
      </w:r>
      <w:r w:rsidRPr="00F6053C">
        <w:t xml:space="preserve"> See, e.g., In re Application of the Dayton Power &amp; Light Co. for Approval to Modify its Competitive Bid True-up Rider, Case No. 14-563-EL-RDR (Sep. 9, 2015); In re Application of the Columbus S. Power Co. &amp; Ohio Power Co., Case No. 05-376- EL-UNC (Feb. 11, 2015); In re Application of Columbus S. Power Co. &amp; Ohio Power Co., for an Increase in Electric Distrib. Rates, Case No. 11-351-EL-AIR (Dec. 14, 2011); In re Application of Ohio Edison Co., The Cleveland Elec. Illuminating Co. &amp; The Toledo Edison Co. for Authority to Provide a Standard Serv. Offer, Case No. 14-1297-EL-SSO (Mar. 31, 2016).</w:t>
      </w:r>
    </w:p>
  </w:footnote>
  <w:footnote w:id="32">
    <w:p w:rsidR="00146AC0" w:rsidRPr="00F6053C" w:rsidP="0082545D">
      <w:pPr>
        <w:pStyle w:val="FootnoteText"/>
        <w:spacing w:after="120"/>
      </w:pPr>
      <w:r w:rsidRPr="00F6053C">
        <w:rPr>
          <w:rStyle w:val="FootnoteReference"/>
        </w:rPr>
        <w:footnoteRef/>
      </w:r>
      <w:r w:rsidRPr="00F6053C">
        <w:t xml:space="preserve"> PUCO Staff Ex. 1 (Donlon Direct) at 5:105.</w:t>
      </w:r>
    </w:p>
  </w:footnote>
  <w:footnote w:id="33">
    <w:p w:rsidR="00146AC0" w:rsidP="0082545D">
      <w:pPr>
        <w:pStyle w:val="FootnoteText"/>
        <w:spacing w:after="120"/>
      </w:pPr>
      <w:r>
        <w:rPr>
          <w:rStyle w:val="FootnoteReference"/>
        </w:rPr>
        <w:footnoteRef/>
      </w:r>
      <w:r>
        <w:t xml:space="preserve"> Each of the Ohio Edison Company, the Toledo Edison Company, and the Cleveland Electric Illuminating Company shall be referred to as a "Company."</w:t>
      </w:r>
    </w:p>
  </w:footnote>
  <w:footnote w:id="34">
    <w:p w:rsidR="00146AC0" w:rsidRPr="00F6053C" w:rsidP="0082545D">
      <w:pPr>
        <w:pStyle w:val="FootnoteText"/>
        <w:spacing w:after="120"/>
      </w:pPr>
      <w:r w:rsidRPr="00F6053C">
        <w:rPr>
          <w:rStyle w:val="FootnoteReference"/>
        </w:rPr>
        <w:footnoteRef/>
      </w:r>
      <w:r w:rsidRPr="00F6053C">
        <w:t xml:space="preserve"> PUCO Staff Ex. 1 (Donlon Direct) at 5:104-07; Tr. II at 328:9-23 (Donlon).</w:t>
      </w:r>
    </w:p>
  </w:footnote>
  <w:footnote w:id="35">
    <w:p w:rsidR="00146AC0" w:rsidRPr="00F6053C" w:rsidP="0082545D">
      <w:pPr>
        <w:pStyle w:val="FootnoteText"/>
        <w:spacing w:after="120"/>
      </w:pPr>
      <w:r w:rsidRPr="00F6053C">
        <w:rPr>
          <w:rStyle w:val="FootnoteReference"/>
        </w:rPr>
        <w:footnoteRef/>
      </w:r>
      <w:r w:rsidRPr="00F6053C">
        <w:t xml:space="preserve"> Tr. II at 364:6-8 (Donlon).</w:t>
      </w:r>
    </w:p>
  </w:footnote>
  <w:footnote w:id="36">
    <w:p w:rsidR="00146AC0" w:rsidRPr="00F6053C" w:rsidP="0082545D">
      <w:pPr>
        <w:pStyle w:val="FootnoteText"/>
        <w:spacing w:after="120"/>
      </w:pPr>
      <w:r w:rsidRPr="00F6053C">
        <w:rPr>
          <w:rStyle w:val="FootnoteReference"/>
        </w:rPr>
        <w:footnoteRef/>
      </w:r>
      <w:r w:rsidRPr="00F6053C">
        <w:t xml:space="preserve"> PUCO Staff Ex. 1 (Donlon Direct) at 7:149-155 (</w:t>
      </w:r>
      <w:r>
        <w:t>"</w:t>
      </w:r>
      <w:r w:rsidRPr="00F6053C">
        <w:t>A cost cap on program costs and shared savings would control the cost of energy efficiency.</w:t>
      </w:r>
      <w:r>
        <w:t>"</w:t>
      </w:r>
      <w:r w:rsidRPr="00F6053C">
        <w:t>).</w:t>
      </w:r>
    </w:p>
  </w:footnote>
  <w:footnote w:id="37">
    <w:p w:rsidR="00146AC0" w:rsidRPr="00F6053C" w:rsidP="0082545D">
      <w:pPr>
        <w:pStyle w:val="FootnoteText"/>
        <w:spacing w:after="120"/>
      </w:pPr>
      <w:r w:rsidRPr="00F6053C">
        <w:rPr>
          <w:rStyle w:val="FootnoteReference"/>
        </w:rPr>
        <w:footnoteRef/>
      </w:r>
      <w:r w:rsidRPr="00F6053C">
        <w:t xml:space="preserve"> OCC Ex. 9B (Spellman Direct) at 15:9-11.</w:t>
      </w:r>
    </w:p>
  </w:footnote>
  <w:footnote w:id="38">
    <w:p w:rsidR="00146AC0" w:rsidRPr="00F6053C" w:rsidP="0082545D">
      <w:pPr>
        <w:pStyle w:val="FootnoteText"/>
        <w:spacing w:after="120"/>
      </w:pPr>
      <w:r w:rsidRPr="00F6053C">
        <w:rPr>
          <w:rStyle w:val="FootnoteReference"/>
        </w:rPr>
        <w:footnoteRef/>
      </w:r>
      <w:r w:rsidRPr="00F6053C">
        <w:t xml:space="preserve"> OCC Ex. 9B (Spellman Direct) at 15:12-17.</w:t>
      </w:r>
    </w:p>
  </w:footnote>
  <w:footnote w:id="39">
    <w:p w:rsidR="00146AC0" w:rsidRPr="00F6053C" w:rsidP="0082545D">
      <w:pPr>
        <w:pStyle w:val="FootnoteText"/>
        <w:spacing w:after="120"/>
      </w:pPr>
      <w:r w:rsidRPr="00F6053C">
        <w:rPr>
          <w:rStyle w:val="FootnoteReference"/>
        </w:rPr>
        <w:footnoteRef/>
      </w:r>
      <w:r w:rsidRPr="00F6053C">
        <w:t xml:space="preserve"> PUCO Staff Ex. 1 (Donlon Direct) at 7:152-54.</w:t>
      </w:r>
    </w:p>
  </w:footnote>
  <w:footnote w:id="40">
    <w:p w:rsidR="00146AC0" w:rsidRPr="00F6053C" w:rsidP="0082545D">
      <w:pPr>
        <w:pStyle w:val="FootnoteText"/>
        <w:spacing w:after="120"/>
      </w:pPr>
      <w:r w:rsidRPr="00F6053C">
        <w:rPr>
          <w:rStyle w:val="FootnoteReference"/>
        </w:rPr>
        <w:footnoteRef/>
      </w:r>
      <w:r w:rsidRPr="00F6053C">
        <w:t xml:space="preserve"> PUCO Staff Ex. 1 (Donlon Direct) at 5:108-10.</w:t>
      </w:r>
    </w:p>
  </w:footnote>
  <w:footnote w:id="41">
    <w:p w:rsidR="00146AC0" w:rsidP="0082545D">
      <w:pPr>
        <w:pStyle w:val="FootnoteText"/>
        <w:spacing w:after="120"/>
      </w:pPr>
      <w:r>
        <w:rPr>
          <w:rStyle w:val="FootnoteReference"/>
        </w:rPr>
        <w:footnoteRef/>
      </w:r>
      <w:r>
        <w:t xml:space="preserve"> Joint Ex. 1, Exhibit B at 2.</w:t>
      </w:r>
    </w:p>
  </w:footnote>
  <w:footnote w:id="42">
    <w:p w:rsidR="00146AC0" w:rsidP="0082545D">
      <w:pPr>
        <w:pStyle w:val="FootnoteText"/>
        <w:spacing w:after="120"/>
      </w:pPr>
      <w:r>
        <w:rPr>
          <w:rStyle w:val="FootnoteReference"/>
        </w:rPr>
        <w:footnoteRef/>
      </w:r>
      <w:r>
        <w:t xml:space="preserve"> Joint Ex. 1, Exhibit A.</w:t>
      </w:r>
    </w:p>
  </w:footnote>
  <w:footnote w:id="43">
    <w:p w:rsidR="00146AC0" w:rsidRPr="00F6053C" w:rsidP="0082545D">
      <w:pPr>
        <w:pStyle w:val="FootnoteText"/>
        <w:spacing w:after="120"/>
      </w:pPr>
      <w:r w:rsidRPr="00F6053C">
        <w:rPr>
          <w:rStyle w:val="FootnoteReference"/>
        </w:rPr>
        <w:footnoteRef/>
      </w:r>
      <w:r w:rsidRPr="00F6053C">
        <w:t xml:space="preserve"> R.C. 4928.66(A)(2)(c) (effective July 31, 2008).</w:t>
      </w:r>
    </w:p>
  </w:footnote>
  <w:footnote w:id="44">
    <w:p w:rsidR="00146AC0" w:rsidRPr="00F6053C" w:rsidP="0082545D">
      <w:pPr>
        <w:pStyle w:val="FootnoteText"/>
        <w:spacing w:after="120"/>
      </w:pPr>
      <w:r w:rsidRPr="00F6053C">
        <w:rPr>
          <w:rStyle w:val="FootnoteReference"/>
        </w:rPr>
        <w:footnoteRef/>
      </w:r>
      <w:r w:rsidRPr="00F6053C">
        <w:t xml:space="preserve"> </w:t>
      </w:r>
      <w:r>
        <w:fldChar w:fldCharType="begin"/>
      </w:r>
      <w:r>
        <w:instrText xml:space="preserve"> HYPERLINK "http://archives.legislature.state.oh.us/bills.cfm?ID=130_SB_310" </w:instrText>
      </w:r>
      <w:r>
        <w:fldChar w:fldCharType="separate"/>
      </w:r>
      <w:r w:rsidRPr="00F6053C">
        <w:rPr>
          <w:rStyle w:val="Hyperlink"/>
        </w:rPr>
        <w:t>http://archives.legislature.state.oh.us/bills.cfm?ID=130_SB_310</w:t>
      </w:r>
      <w:r>
        <w:fldChar w:fldCharType="end"/>
      </w:r>
      <w:r w:rsidRPr="00F6053C">
        <w:t xml:space="preserve"> </w:t>
      </w:r>
    </w:p>
  </w:footnote>
  <w:footnote w:id="45">
    <w:p w:rsidR="00146AC0" w:rsidRPr="00F6053C" w:rsidP="0082545D">
      <w:pPr>
        <w:pStyle w:val="FootnoteText"/>
        <w:spacing w:after="120"/>
      </w:pPr>
      <w:r w:rsidRPr="00F6053C">
        <w:rPr>
          <w:rStyle w:val="FootnoteReference"/>
        </w:rPr>
        <w:footnoteRef/>
      </w:r>
      <w:r w:rsidRPr="00F6053C">
        <w:t xml:space="preserve"> SB 310, Section 8.</w:t>
      </w:r>
    </w:p>
  </w:footnote>
  <w:footnote w:id="46">
    <w:p w:rsidR="00146AC0" w:rsidRPr="00F6053C" w:rsidP="0082545D">
      <w:pPr>
        <w:pStyle w:val="FootnoteText"/>
        <w:spacing w:after="120"/>
      </w:pPr>
      <w:r w:rsidRPr="00F6053C">
        <w:rPr>
          <w:rStyle w:val="FootnoteReference"/>
        </w:rPr>
        <w:footnoteRef/>
      </w:r>
      <w:r w:rsidRPr="00F6053C">
        <w:t xml:space="preserve"> Tr. I at 66:2-13 (Miller).</w:t>
      </w:r>
    </w:p>
  </w:footnote>
  <w:footnote w:id="47">
    <w:p w:rsidR="00146AC0" w:rsidRPr="00F6053C" w:rsidP="0082545D">
      <w:pPr>
        <w:pStyle w:val="FootnoteText"/>
        <w:spacing w:after="120"/>
      </w:pPr>
      <w:r w:rsidRPr="00F6053C">
        <w:rPr>
          <w:rStyle w:val="FootnoteReference"/>
        </w:rPr>
        <w:footnoteRef/>
      </w:r>
      <w:r w:rsidRPr="00F6053C">
        <w:t xml:space="preserve"> R.C. 4928.66(A)(1)(a).</w:t>
      </w:r>
    </w:p>
  </w:footnote>
  <w:footnote w:id="48">
    <w:p w:rsidR="00146AC0" w:rsidRPr="00F6053C" w:rsidP="0082545D">
      <w:pPr>
        <w:pStyle w:val="FootnoteText"/>
        <w:spacing w:after="120"/>
      </w:pPr>
      <w:r w:rsidRPr="00F6053C">
        <w:rPr>
          <w:rStyle w:val="FootnoteReference"/>
        </w:rPr>
        <w:footnoteRef/>
      </w:r>
      <w:r w:rsidRPr="00F6053C">
        <w:t xml:space="preserve"> R.C. 4928.66(A)(1)(a); R.C. 4928.66(A)(2)(a)</w:t>
      </w:r>
      <w:r>
        <w:t>.</w:t>
      </w:r>
    </w:p>
  </w:footnote>
  <w:footnote w:id="49">
    <w:p w:rsidR="00146AC0" w:rsidRPr="00F6053C" w:rsidP="0082545D">
      <w:pPr>
        <w:pStyle w:val="FootnoteText"/>
        <w:spacing w:after="120"/>
      </w:pPr>
      <w:r w:rsidRPr="00F6053C">
        <w:rPr>
          <w:rStyle w:val="FootnoteReference"/>
        </w:rPr>
        <w:footnoteRef/>
      </w:r>
      <w:r w:rsidRPr="00F6053C">
        <w:t xml:space="preserve"> R.C. 4928.66(A)(1)(a); R.C. 4928.66(A)(2)(a); Company Ex. 1, Exhibit. DJM A-2.</w:t>
      </w:r>
    </w:p>
  </w:footnote>
  <w:footnote w:id="50">
    <w:p w:rsidR="00146AC0" w:rsidRPr="00F6053C" w:rsidP="0082545D">
      <w:pPr>
        <w:pStyle w:val="FootnoteText"/>
        <w:spacing w:after="120"/>
      </w:pPr>
      <w:r w:rsidRPr="00F6053C">
        <w:rPr>
          <w:rStyle w:val="FootnoteReference"/>
        </w:rPr>
        <w:footnoteRef/>
      </w:r>
      <w:r w:rsidRPr="00F6053C">
        <w:t xml:space="preserve"> Tr. I at 18:2-10 (Mullins).</w:t>
      </w:r>
    </w:p>
  </w:footnote>
  <w:footnote w:id="51">
    <w:p w:rsidR="00146AC0" w:rsidRPr="00F6053C" w:rsidP="0082545D">
      <w:pPr>
        <w:pStyle w:val="FootnoteText"/>
        <w:spacing w:after="120"/>
      </w:pPr>
      <w:r w:rsidRPr="00F6053C">
        <w:rPr>
          <w:rStyle w:val="FootnoteReference"/>
        </w:rPr>
        <w:footnoteRef/>
      </w:r>
      <w:r w:rsidRPr="00F6053C">
        <w:t xml:space="preserve"> Tr. I at 18:11-14 (Mullins).</w:t>
      </w:r>
    </w:p>
  </w:footnote>
  <w:footnote w:id="52">
    <w:p w:rsidR="00146AC0" w:rsidRPr="00F6053C" w:rsidP="0082545D">
      <w:pPr>
        <w:pStyle w:val="FootnoteText"/>
        <w:spacing w:after="120"/>
      </w:pPr>
      <w:r w:rsidRPr="00F6053C">
        <w:rPr>
          <w:rStyle w:val="FootnoteReference"/>
        </w:rPr>
        <w:footnoteRef/>
      </w:r>
      <w:r w:rsidRPr="00F6053C">
        <w:t xml:space="preserve"> See Energy Efficiency and Peak Demand Reduction Program Portfolio Status Report to the Public Utilities Commission of Ohio for the Period January 1, 2015 to December 31, 2015 at Exhibit 1 (May 12, 2016), Case No. 16-941-EL-EEC, available at </w:t>
      </w:r>
      <w:r>
        <w:fldChar w:fldCharType="begin"/>
      </w:r>
      <w:r>
        <w:instrText xml:space="preserve"> HYPERLINK "http://dis.puc.state.oh.us/DocumentRecord.aspx?DocID=4e204199-e503-49e0-956e-42082e420bb7" </w:instrText>
      </w:r>
      <w:r>
        <w:fldChar w:fldCharType="separate"/>
      </w:r>
      <w:r w:rsidRPr="00F6053C">
        <w:rPr>
          <w:rStyle w:val="Hyperlink"/>
        </w:rPr>
        <w:t>http://dis.puc.state.oh.us/DocumentRecord.aspx?DocID=4e204199-e503-49e0-956e-42082e420bb7</w:t>
      </w:r>
      <w:r>
        <w:fldChar w:fldCharType="end"/>
      </w:r>
      <w:r w:rsidRPr="00F6053C">
        <w:t xml:space="preserve"> (the </w:t>
      </w:r>
      <w:r>
        <w:t>"</w:t>
      </w:r>
      <w:r w:rsidRPr="00F6053C">
        <w:t>2015 Annual Report</w:t>
      </w:r>
      <w:r>
        <w:t>"</w:t>
      </w:r>
      <w:r w:rsidRPr="00F6053C">
        <w:t>). The Attorney Examiner took administrative notice of the 2015 Annual Report. See Tr. V at 581:18-25.</w:t>
      </w:r>
    </w:p>
  </w:footnote>
  <w:footnote w:id="53">
    <w:p w:rsidR="00146AC0" w:rsidRPr="00F6053C" w:rsidP="0082545D">
      <w:pPr>
        <w:pStyle w:val="FootnoteText"/>
        <w:spacing w:after="120"/>
      </w:pPr>
      <w:r w:rsidRPr="00F6053C">
        <w:rPr>
          <w:rStyle w:val="FootnoteReference"/>
        </w:rPr>
        <w:footnoteRef/>
      </w:r>
      <w:r w:rsidRPr="00F6053C">
        <w:t xml:space="preserve"> Id.</w:t>
      </w:r>
    </w:p>
  </w:footnote>
  <w:footnote w:id="54">
    <w:p w:rsidR="00146AC0" w:rsidRPr="00F6053C" w:rsidP="0082545D">
      <w:pPr>
        <w:pStyle w:val="FootnoteText"/>
        <w:spacing w:after="120"/>
      </w:pPr>
      <w:r w:rsidRPr="00F6053C">
        <w:rPr>
          <w:rStyle w:val="FootnoteReference"/>
        </w:rPr>
        <w:footnoteRef/>
      </w:r>
      <w:r w:rsidRPr="00F6053C">
        <w:t xml:space="preserve"> It is the 2015 baseline because the 2015 baseline is based on the previous three years</w:t>
      </w:r>
      <w:r>
        <w:t>'</w:t>
      </w:r>
      <w:r w:rsidRPr="00F6053C">
        <w:t xml:space="preserve"> sales, </w:t>
      </w:r>
      <w:r w:rsidRPr="00E03320">
        <w:rPr>
          <w:i/>
        </w:rPr>
        <w:t>i.e.</w:t>
      </w:r>
      <w:r w:rsidRPr="00F6053C">
        <w:t>, 2012, 2013, and 2014.</w:t>
      </w:r>
    </w:p>
  </w:footnote>
  <w:footnote w:id="55">
    <w:p w:rsidR="00146AC0" w:rsidRPr="00F6053C" w:rsidP="0082545D">
      <w:pPr>
        <w:pStyle w:val="FootnoteText"/>
        <w:spacing w:after="120"/>
      </w:pPr>
      <w:r w:rsidRPr="00F6053C">
        <w:rPr>
          <w:rStyle w:val="FootnoteReference"/>
        </w:rPr>
        <w:footnoteRef/>
      </w:r>
      <w:r w:rsidRPr="00F6053C">
        <w:t xml:space="preserve"> </w:t>
      </w:r>
      <w:r>
        <w:t>2015 Annual Report.</w:t>
      </w:r>
    </w:p>
  </w:footnote>
  <w:footnote w:id="56">
    <w:p w:rsidR="00146AC0" w:rsidRPr="00F6053C" w:rsidP="0082545D">
      <w:pPr>
        <w:pStyle w:val="FootnoteText"/>
        <w:spacing w:after="120"/>
      </w:pPr>
      <w:r w:rsidRPr="00F6053C">
        <w:rPr>
          <w:rStyle w:val="FootnoteReference"/>
        </w:rPr>
        <w:footnoteRef/>
      </w:r>
      <w:r w:rsidRPr="00F6053C">
        <w:t xml:space="preserve"> Id.</w:t>
      </w:r>
    </w:p>
  </w:footnote>
  <w:footnote w:id="57">
    <w:p w:rsidR="00146AC0" w:rsidRPr="00F6053C" w:rsidP="0082545D">
      <w:pPr>
        <w:pStyle w:val="FootnoteText"/>
        <w:spacing w:after="120"/>
      </w:pPr>
      <w:r w:rsidRPr="00F6053C">
        <w:rPr>
          <w:rStyle w:val="FootnoteReference"/>
        </w:rPr>
        <w:footnoteRef/>
      </w:r>
      <w:r w:rsidRPr="00F6053C">
        <w:t xml:space="preserve"> Id.</w:t>
      </w:r>
    </w:p>
  </w:footnote>
  <w:footnote w:id="58">
    <w:p w:rsidR="00146AC0" w:rsidRPr="00F6053C" w:rsidP="0082545D">
      <w:pPr>
        <w:pStyle w:val="FootnoteText"/>
        <w:spacing w:after="120"/>
      </w:pPr>
      <w:r w:rsidRPr="00F6053C">
        <w:rPr>
          <w:rStyle w:val="FootnoteReference"/>
        </w:rPr>
        <w:footnoteRef/>
      </w:r>
      <w:r w:rsidRPr="00F6053C">
        <w:t xml:space="preserve"> See Joint Ex. 1, Exhibit B at 2 (providing tables with each Company</w:t>
      </w:r>
      <w:r>
        <w:t>'</w:t>
      </w:r>
      <w:r w:rsidRPr="00F6053C">
        <w:t>s benchmark, but noting that the benchmarks do not include opt outs); Tr. I at 24:8-11 (Mullins).</w:t>
      </w:r>
    </w:p>
  </w:footnote>
  <w:footnote w:id="59">
    <w:p w:rsidR="00146AC0" w:rsidRPr="00F6053C" w:rsidP="0082545D">
      <w:pPr>
        <w:pStyle w:val="FootnoteText"/>
        <w:spacing w:after="120"/>
      </w:pPr>
      <w:r w:rsidRPr="00F6053C">
        <w:rPr>
          <w:rStyle w:val="FootnoteReference"/>
        </w:rPr>
        <w:footnoteRef/>
      </w:r>
      <w:r w:rsidRPr="00F6053C">
        <w:t xml:space="preserve"> Tr. I at 19:15-19 (</w:t>
      </w:r>
      <w:r>
        <w:t>"</w:t>
      </w:r>
      <w:r w:rsidRPr="00F6053C">
        <w:t>Q: . . . [D]id the companies attempt to forecast the number of opt-outs there would be in 2017, 2018, or 2019? A: No, we did not.</w:t>
      </w:r>
      <w:r>
        <w:t>"</w:t>
      </w:r>
      <w:r w:rsidRPr="00F6053C">
        <w:t>) (Mullins).</w:t>
      </w:r>
    </w:p>
  </w:footnote>
  <w:footnote w:id="60">
    <w:p w:rsidR="00146AC0" w:rsidRPr="00F6053C" w:rsidP="0082545D">
      <w:pPr>
        <w:pStyle w:val="FootnoteText"/>
        <w:spacing w:after="120"/>
      </w:pPr>
      <w:r w:rsidRPr="00F6053C">
        <w:rPr>
          <w:rStyle w:val="FootnoteReference"/>
        </w:rPr>
        <w:footnoteRef/>
      </w:r>
      <w:r w:rsidRPr="00F6053C">
        <w:t xml:space="preserve"> See 2015 Annual Report at Exhibit 1 (showing 2,177,644 MWh in opt-outs for Ohio Edison for 2014; 1,4871,169 MWH in opt-outs for Cleveland Electric for 2014; and 3,159,742 MWh in opt-outs for Toledo Edison for 2014).</w:t>
      </w:r>
    </w:p>
  </w:footnote>
  <w:footnote w:id="61">
    <w:p w:rsidR="00146AC0" w:rsidRPr="00F6053C" w:rsidP="0082545D">
      <w:pPr>
        <w:pStyle w:val="FootnoteText"/>
        <w:spacing w:after="120"/>
      </w:pPr>
      <w:r w:rsidRPr="00F6053C">
        <w:rPr>
          <w:rStyle w:val="FootnoteReference"/>
        </w:rPr>
        <w:footnoteRef/>
      </w:r>
      <w:r w:rsidRPr="00F6053C">
        <w:t xml:space="preserve"> Tr. V at 588:15-16 (Miller) (</w:t>
      </w:r>
      <w:r>
        <w:t>"</w:t>
      </w:r>
      <w:r w:rsidRPr="00F6053C">
        <w:t>The companies have data for opt outs from 2015.</w:t>
      </w:r>
      <w:r>
        <w:t>"</w:t>
      </w:r>
      <w:r w:rsidRPr="00F6053C">
        <w:t>).</w:t>
      </w:r>
    </w:p>
  </w:footnote>
  <w:footnote w:id="62">
    <w:p w:rsidR="00146AC0" w:rsidRPr="00F6053C" w:rsidP="0082545D">
      <w:pPr>
        <w:pStyle w:val="FootnoteText"/>
        <w:spacing w:after="120"/>
      </w:pPr>
      <w:r w:rsidRPr="00F6053C">
        <w:rPr>
          <w:rStyle w:val="FootnoteReference"/>
        </w:rPr>
        <w:footnoteRef/>
      </w:r>
      <w:r w:rsidRPr="00F6053C">
        <w:t xml:space="preserve"> Tr. I at 19:15-19 (Mullins) (</w:t>
      </w:r>
      <w:r>
        <w:t>"</w:t>
      </w:r>
      <w:r w:rsidRPr="00F6053C">
        <w:t>Q: . . . [D]id the companies attempt to forecast the number of opt-outs there would be in 2017, 2018, or 2019? A: No, we did not.</w:t>
      </w:r>
      <w:r>
        <w:t>"</w:t>
      </w:r>
      <w:r w:rsidRPr="00F6053C">
        <w:t>).</w:t>
      </w:r>
    </w:p>
  </w:footnote>
  <w:footnote w:id="63">
    <w:p w:rsidR="00146AC0" w:rsidRPr="00F6053C" w:rsidP="0082545D">
      <w:pPr>
        <w:pStyle w:val="FootnoteText"/>
        <w:spacing w:after="120"/>
      </w:pPr>
      <w:r w:rsidRPr="00F6053C">
        <w:rPr>
          <w:rStyle w:val="FootnoteReference"/>
        </w:rPr>
        <w:footnoteRef/>
      </w:r>
      <w:r w:rsidRPr="00F6053C">
        <w:t xml:space="preserve"> Tr. I at 19:15-25 (Mullins).</w:t>
      </w:r>
    </w:p>
  </w:footnote>
  <w:footnote w:id="64">
    <w:p w:rsidR="00146AC0" w:rsidRPr="00F6053C" w:rsidP="0082545D">
      <w:pPr>
        <w:pStyle w:val="FootnoteText"/>
        <w:spacing w:after="120"/>
      </w:pPr>
      <w:r w:rsidRPr="00F6053C">
        <w:rPr>
          <w:rStyle w:val="FootnoteReference"/>
        </w:rPr>
        <w:footnoteRef/>
      </w:r>
      <w:r w:rsidRPr="00F6053C">
        <w:t xml:space="preserve"> R.C. 4928.6611.</w:t>
      </w:r>
    </w:p>
  </w:footnote>
  <w:footnote w:id="65">
    <w:p w:rsidR="00146AC0" w:rsidRPr="00F6053C" w:rsidP="0082545D">
      <w:pPr>
        <w:pStyle w:val="FootnoteText"/>
        <w:spacing w:after="120"/>
      </w:pPr>
      <w:r w:rsidRPr="00F6053C">
        <w:rPr>
          <w:rStyle w:val="FootnoteReference"/>
        </w:rPr>
        <w:footnoteRef/>
      </w:r>
      <w:r w:rsidRPr="00F6053C">
        <w:t xml:space="preserve"> OCC Ex. 9B (Spellman Direct) at 17:4-8.</w:t>
      </w:r>
    </w:p>
  </w:footnote>
  <w:footnote w:id="66">
    <w:p w:rsidR="00146AC0" w:rsidRPr="00F6053C" w:rsidP="0082545D">
      <w:pPr>
        <w:pStyle w:val="FootnoteText"/>
        <w:spacing w:after="120"/>
      </w:pPr>
      <w:r w:rsidRPr="00F6053C">
        <w:rPr>
          <w:rStyle w:val="FootnoteReference"/>
        </w:rPr>
        <w:footnoteRef/>
      </w:r>
      <w:r w:rsidRPr="00F6053C">
        <w:t xml:space="preserve"> Environmental Ex. 1 (Neme Direct) at 16.</w:t>
      </w:r>
    </w:p>
  </w:footnote>
  <w:footnote w:id="67">
    <w:p w:rsidR="00146AC0" w:rsidRPr="00F6053C" w:rsidP="0082545D">
      <w:pPr>
        <w:pStyle w:val="FootnoteText"/>
        <w:spacing w:after="120"/>
      </w:pPr>
      <w:r w:rsidRPr="00F6053C">
        <w:rPr>
          <w:rStyle w:val="FootnoteReference"/>
        </w:rPr>
        <w:footnoteRef/>
      </w:r>
      <w:r w:rsidRPr="00F6053C">
        <w:t xml:space="preserve"> Environmental Ex. 1 (Neme Direct) at 16.</w:t>
      </w:r>
    </w:p>
  </w:footnote>
  <w:footnote w:id="68">
    <w:p w:rsidR="00146AC0" w:rsidRPr="00F6053C" w:rsidP="0082545D">
      <w:pPr>
        <w:pStyle w:val="FootnoteText"/>
        <w:spacing w:after="120"/>
      </w:pPr>
      <w:r w:rsidRPr="00F6053C">
        <w:rPr>
          <w:rStyle w:val="FootnoteReference"/>
        </w:rPr>
        <w:footnoteRef/>
      </w:r>
      <w:r w:rsidRPr="00F6053C">
        <w:t xml:space="preserve"> Tr. II at 338:19-341:7.</w:t>
      </w:r>
    </w:p>
  </w:footnote>
  <w:footnote w:id="69">
    <w:p w:rsidR="00146AC0" w:rsidRPr="00F6053C" w:rsidP="0082545D">
      <w:pPr>
        <w:pStyle w:val="FootnoteText"/>
        <w:spacing w:after="120"/>
      </w:pPr>
      <w:r w:rsidRPr="00F6053C">
        <w:rPr>
          <w:rStyle w:val="FootnoteReference"/>
        </w:rPr>
        <w:footnoteRef/>
      </w:r>
      <w:r w:rsidRPr="00F6053C">
        <w:t xml:space="preserve"> 2015 Annual Report at Table 2-2.</w:t>
      </w:r>
    </w:p>
  </w:footnote>
  <w:footnote w:id="70">
    <w:p w:rsidR="00146AC0" w:rsidRPr="00F6053C" w:rsidP="0082545D">
      <w:pPr>
        <w:pStyle w:val="FootnoteText"/>
        <w:spacing w:after="120"/>
      </w:pPr>
      <w:r w:rsidRPr="00F6053C">
        <w:rPr>
          <w:rStyle w:val="FootnoteReference"/>
        </w:rPr>
        <w:footnoteRef/>
      </w:r>
      <w:r w:rsidRPr="00F6053C">
        <w:t xml:space="preserve"> 2015 Annual Report at Table 3-1 (adding up all the numbers from Table 3-1 </w:t>
      </w:r>
    </w:p>
  </w:footnote>
  <w:footnote w:id="71">
    <w:p w:rsidR="00146AC0" w:rsidRPr="00F6053C" w:rsidP="0082545D">
      <w:pPr>
        <w:pStyle w:val="FootnoteText"/>
        <w:spacing w:after="120"/>
      </w:pPr>
      <w:r w:rsidRPr="00F6053C">
        <w:rPr>
          <w:rStyle w:val="FootnoteReference"/>
        </w:rPr>
        <w:footnoteRef/>
      </w:r>
      <w:r w:rsidRPr="00F6053C">
        <w:t xml:space="preserve"> $133.8 million divided by 2,107,607 MWh.</w:t>
      </w:r>
    </w:p>
  </w:footnote>
  <w:footnote w:id="72">
    <w:p w:rsidR="00146AC0" w:rsidRPr="00F6053C" w:rsidP="0082545D">
      <w:pPr>
        <w:pStyle w:val="FootnoteText"/>
        <w:spacing w:after="120"/>
      </w:pPr>
      <w:r w:rsidRPr="00F6053C">
        <w:rPr>
          <w:rStyle w:val="FootnoteReference"/>
        </w:rPr>
        <w:footnoteRef/>
      </w:r>
      <w:r w:rsidRPr="00F6053C">
        <w:t xml:space="preserve"> See PUCO Staff Ex. 1 (Donlon Direct) at 5 (testifying that FirstEnergy can meet or exceed their statutory benchmark under the PUCO Staff</w:t>
      </w:r>
      <w:r>
        <w:t>'</w:t>
      </w:r>
      <w:r w:rsidRPr="00F6053C">
        <w:t>s proposed cost cap); Tr. 459:16-19 (Donlon) (</w:t>
      </w:r>
      <w:r>
        <w:t>"</w:t>
      </w:r>
      <w:r w:rsidRPr="00F6053C">
        <w:t>it is actually Staff</w:t>
      </w:r>
      <w:r>
        <w:t>'</w:t>
      </w:r>
      <w:r w:rsidRPr="00F6053C">
        <w:t>s belief that the company can achieve the mandate and all that they need to under the cap with their current plan</w:t>
      </w:r>
      <w:r>
        <w:t>"</w:t>
      </w:r>
      <w:r w:rsidRPr="00F6053C">
        <w:t>); Tr. 462:17-20 (Donlon).</w:t>
      </w:r>
    </w:p>
  </w:footnote>
  <w:footnote w:id="73">
    <w:p w:rsidR="00146AC0" w:rsidRPr="00F6053C" w:rsidP="0082545D">
      <w:pPr>
        <w:pStyle w:val="FootnoteText"/>
        <w:spacing w:after="120"/>
      </w:pPr>
      <w:r w:rsidRPr="00F6053C">
        <w:rPr>
          <w:rStyle w:val="FootnoteReference"/>
        </w:rPr>
        <w:footnoteRef/>
      </w:r>
      <w:r w:rsidRPr="00F6053C">
        <w:t xml:space="preserve"> Joint Ex. 1 § V.Q.</w:t>
      </w:r>
    </w:p>
  </w:footnote>
  <w:footnote w:id="74">
    <w:p w:rsidR="00146AC0" w:rsidRPr="00F6053C" w:rsidP="0082545D">
      <w:pPr>
        <w:pStyle w:val="FootnoteText"/>
        <w:spacing w:after="120"/>
      </w:pPr>
      <w:r w:rsidRPr="00F6053C">
        <w:rPr>
          <w:rStyle w:val="FootnoteReference"/>
        </w:rPr>
        <w:footnoteRef/>
      </w:r>
      <w:r w:rsidRPr="00F6053C">
        <w:t xml:space="preserve"> PUCO Staff Ex. 1 at 7:138-47.</w:t>
      </w:r>
    </w:p>
  </w:footnote>
  <w:footnote w:id="75">
    <w:p w:rsidR="00146AC0" w:rsidRPr="00F6053C" w:rsidP="0082545D">
      <w:pPr>
        <w:pStyle w:val="FootnoteText"/>
        <w:spacing w:after="120"/>
      </w:pPr>
      <w:r w:rsidRPr="00F6053C">
        <w:rPr>
          <w:rStyle w:val="FootnoteReference"/>
        </w:rPr>
        <w:footnoteRef/>
      </w:r>
      <w:r w:rsidRPr="00F6053C">
        <w:t xml:space="preserve"> Tr. II at 323:6-11 (Donlon); Tr. IV at 510:2-6 (Neme).</w:t>
      </w:r>
    </w:p>
  </w:footnote>
  <w:footnote w:id="76">
    <w:p w:rsidR="00146AC0" w:rsidRPr="00F6053C" w:rsidP="0082545D">
      <w:pPr>
        <w:pStyle w:val="FootnoteText"/>
        <w:spacing w:after="120"/>
      </w:pPr>
      <w:r w:rsidRPr="00F6053C">
        <w:rPr>
          <w:rStyle w:val="FootnoteReference"/>
        </w:rPr>
        <w:footnoteRef/>
      </w:r>
      <w:r w:rsidRPr="00F6053C">
        <w:t xml:space="preserve"> Tr. V at 629:11-22 (Miller).</w:t>
      </w:r>
    </w:p>
  </w:footnote>
  <w:footnote w:id="77">
    <w:p w:rsidR="00146AC0" w:rsidRPr="00F6053C" w:rsidP="0082545D">
      <w:pPr>
        <w:pStyle w:val="FootnoteText"/>
        <w:spacing w:after="120"/>
      </w:pPr>
      <w:r w:rsidRPr="00F6053C">
        <w:rPr>
          <w:rStyle w:val="FootnoteReference"/>
        </w:rPr>
        <w:footnoteRef/>
      </w:r>
      <w:r w:rsidRPr="00F6053C">
        <w:t xml:space="preserve"> Tr. V at 572:2-7 (Miller).</w:t>
      </w:r>
    </w:p>
  </w:footnote>
  <w:footnote w:id="78">
    <w:p w:rsidR="00146AC0" w:rsidRPr="00F6053C" w:rsidP="0082545D">
      <w:pPr>
        <w:pStyle w:val="FootnoteText"/>
        <w:spacing w:after="120"/>
      </w:pPr>
      <w:r w:rsidRPr="00F6053C">
        <w:rPr>
          <w:rStyle w:val="FootnoteReference"/>
        </w:rPr>
        <w:footnoteRef/>
      </w:r>
      <w:r w:rsidRPr="00F6053C">
        <w:t xml:space="preserve"> Joint Ex. 1, Exhibit A.</w:t>
      </w:r>
    </w:p>
  </w:footnote>
  <w:footnote w:id="79">
    <w:p w:rsidR="00146AC0" w:rsidRPr="00F6053C" w:rsidP="0082545D">
      <w:pPr>
        <w:pStyle w:val="FootnoteText"/>
        <w:spacing w:after="120"/>
      </w:pPr>
      <w:r w:rsidRPr="00F6053C">
        <w:rPr>
          <w:rStyle w:val="FootnoteReference"/>
        </w:rPr>
        <w:footnoteRef/>
      </w:r>
      <w:r w:rsidRPr="00F6053C">
        <w:t xml:space="preserve"> Id.</w:t>
      </w:r>
    </w:p>
  </w:footnote>
  <w:footnote w:id="80">
    <w:p w:rsidR="00146AC0" w:rsidRPr="00F6053C" w:rsidP="0082545D">
      <w:pPr>
        <w:pStyle w:val="FootnoteText"/>
        <w:spacing w:after="120"/>
      </w:pPr>
      <w:r w:rsidRPr="00F6053C">
        <w:rPr>
          <w:rStyle w:val="FootnoteReference"/>
        </w:rPr>
        <w:footnoteRef/>
      </w:r>
      <w:r w:rsidRPr="00F6053C">
        <w:t xml:space="preserve"> Id.</w:t>
      </w:r>
    </w:p>
  </w:footnote>
  <w:footnote w:id="81">
    <w:p w:rsidR="00146AC0" w:rsidRPr="00F6053C" w:rsidP="0082545D">
      <w:pPr>
        <w:pStyle w:val="FootnoteText"/>
        <w:spacing w:after="120"/>
      </w:pPr>
      <w:r w:rsidRPr="00F6053C">
        <w:rPr>
          <w:rStyle w:val="FootnoteReference"/>
        </w:rPr>
        <w:footnoteRef/>
      </w:r>
      <w:r w:rsidRPr="00F6053C">
        <w:t xml:space="preserve"> Id.</w:t>
      </w:r>
    </w:p>
  </w:footnote>
  <w:footnote w:id="82">
    <w:p w:rsidR="00146AC0" w:rsidRPr="00F6053C" w:rsidP="0082545D">
      <w:pPr>
        <w:pStyle w:val="FootnoteText"/>
        <w:spacing w:after="120"/>
      </w:pPr>
      <w:r w:rsidRPr="00F6053C">
        <w:rPr>
          <w:rStyle w:val="FootnoteReference"/>
        </w:rPr>
        <w:footnoteRef/>
      </w:r>
      <w:r w:rsidRPr="00F6053C">
        <w:t xml:space="preserve"> Company Ex. 17 (Miller Rebuttal) at 4:18-22 (stating that the proposed cost cap would make it </w:t>
      </w:r>
      <w:r>
        <w:t>"</w:t>
      </w:r>
      <w:r w:rsidRPr="00F6053C">
        <w:t>nearly impossible</w:t>
      </w:r>
      <w:r>
        <w:t>"</w:t>
      </w:r>
      <w:r w:rsidRPr="00F6053C">
        <w:t xml:space="preserve"> for FirstEnergy to collect the maximum amount of shared savings); Tr. V at 580:17-581:5 (Miller).</w:t>
      </w:r>
    </w:p>
  </w:footnote>
  <w:footnote w:id="83">
    <w:p w:rsidR="00146AC0" w:rsidP="0082545D">
      <w:pPr>
        <w:pStyle w:val="FootnoteText"/>
        <w:spacing w:after="120"/>
      </w:pPr>
      <w:r>
        <w:rPr>
          <w:rStyle w:val="FootnoteReference"/>
        </w:rPr>
        <w:footnoteRef/>
      </w:r>
      <w:r>
        <w:t xml:space="preserve"> Environmental Ex. 1 (Neme Rebuttal) at 15:229-30 ("the Companies, understandably, will endeavor to achieve the maximum shareholder incentive levels that they can").</w:t>
      </w:r>
    </w:p>
  </w:footnote>
  <w:footnote w:id="84">
    <w:p w:rsidR="00146AC0" w:rsidRPr="00F6053C" w:rsidP="0082545D">
      <w:pPr>
        <w:pStyle w:val="FootnoteText"/>
        <w:spacing w:after="120"/>
      </w:pPr>
      <w:r w:rsidRPr="00F6053C">
        <w:rPr>
          <w:rStyle w:val="FootnoteReference"/>
        </w:rPr>
        <w:footnoteRef/>
      </w:r>
      <w:r w:rsidRPr="00F6053C">
        <w:t xml:space="preserve"> Company Ex. 17 (Miller Rebuttal) at 10:4-7.</w:t>
      </w:r>
    </w:p>
  </w:footnote>
  <w:footnote w:id="85">
    <w:p w:rsidR="00146AC0" w:rsidRPr="00F6053C" w:rsidP="0082545D">
      <w:pPr>
        <w:pStyle w:val="FootnoteText"/>
        <w:spacing w:after="120"/>
      </w:pPr>
      <w:r w:rsidRPr="00F6053C">
        <w:rPr>
          <w:rStyle w:val="FootnoteReference"/>
        </w:rPr>
        <w:footnoteRef/>
      </w:r>
      <w:r w:rsidRPr="00F6053C">
        <w:t xml:space="preserve"> Opinion and Order at 95, </w:t>
      </w:r>
      <w:r>
        <w:t>ESP IV Case</w:t>
      </w:r>
      <w:r w:rsidRPr="00F6053C">
        <w:t xml:space="preserve"> (Mar. 31, 2016) (discussing the cap on shared savings but at no point ruling that FirstEnergy is entitled to any shared savings); Fifth Entry on Rehearing ¶ 326</w:t>
      </w:r>
      <w:r>
        <w:t>, ESP IV Case</w:t>
      </w:r>
      <w:r w:rsidRPr="00F6053C">
        <w:t xml:space="preserve"> (ruling that the shared savings cap shall be $10 million after tax for 2017, 2018, and 2019, but never stating that FirstEnergy is entitled to any shared savings).</w:t>
      </w:r>
    </w:p>
  </w:footnote>
  <w:footnote w:id="86">
    <w:p w:rsidR="00146AC0" w:rsidRPr="00F6053C" w:rsidP="0082545D">
      <w:pPr>
        <w:pStyle w:val="FootnoteText"/>
        <w:spacing w:after="120"/>
      </w:pPr>
      <w:r w:rsidRPr="00F6053C">
        <w:rPr>
          <w:rStyle w:val="FootnoteReference"/>
        </w:rPr>
        <w:footnoteRef/>
      </w:r>
      <w:r w:rsidRPr="00F6053C">
        <w:t xml:space="preserve"> OCC Ex. 9B (Spellman Direct) at 40:8-9.</w:t>
      </w:r>
    </w:p>
  </w:footnote>
  <w:footnote w:id="87">
    <w:p w:rsidR="00146AC0" w:rsidRPr="00F6053C" w:rsidP="0082545D">
      <w:pPr>
        <w:pStyle w:val="FootnoteText"/>
        <w:spacing w:after="120"/>
      </w:pPr>
      <w:r w:rsidRPr="00F6053C">
        <w:rPr>
          <w:rStyle w:val="FootnoteReference"/>
        </w:rPr>
        <w:footnoteRef/>
      </w:r>
      <w:r w:rsidRPr="00F6053C">
        <w:t xml:space="preserve"> OCC Ex. 9B (Spellman Direct), Exhibit RFS-2.</w:t>
      </w:r>
    </w:p>
  </w:footnote>
  <w:footnote w:id="88">
    <w:p w:rsidR="00146AC0" w:rsidRPr="00F6053C" w:rsidP="0082545D">
      <w:pPr>
        <w:pStyle w:val="FootnoteText"/>
        <w:spacing w:after="120"/>
      </w:pPr>
      <w:r w:rsidRPr="00F6053C">
        <w:rPr>
          <w:rStyle w:val="FootnoteReference"/>
        </w:rPr>
        <w:footnoteRef/>
      </w:r>
      <w:r w:rsidRPr="00F6053C">
        <w:t xml:space="preserve"> Company Ex. 1, Exhibit DJM-A2. This assumes no opt outs and no PJM revenues. Once those are taken into account, the required energy savings is lower and the annual spending limit is higher, each of which makes statutory compliance less costly.</w:t>
      </w:r>
    </w:p>
  </w:footnote>
  <w:footnote w:id="89">
    <w:p w:rsidR="00146AC0" w:rsidRPr="00F6053C" w:rsidP="0082545D">
      <w:pPr>
        <w:pStyle w:val="FootnoteText"/>
        <w:spacing w:after="120"/>
        <w:rPr>
          <w:b/>
        </w:rPr>
      </w:pPr>
      <w:r w:rsidRPr="00F6053C">
        <w:rPr>
          <w:rStyle w:val="FootnoteReference"/>
        </w:rPr>
        <w:footnoteRef/>
      </w:r>
      <w:r w:rsidRPr="00F6053C">
        <w:t xml:space="preserve"> Joint Ex. 1, Exhibit A; Environmental. Ex. 1 (Neme) at 14:210; OCC Ex. 9B (Spellman Direct) at 7:4.</w:t>
      </w:r>
    </w:p>
  </w:footnote>
  <w:footnote w:id="90">
    <w:p w:rsidR="00146AC0" w:rsidRPr="00F6053C" w:rsidP="0082545D">
      <w:pPr>
        <w:pStyle w:val="FootnoteText"/>
        <w:spacing w:after="120"/>
      </w:pPr>
      <w:r w:rsidRPr="00F6053C">
        <w:rPr>
          <w:rStyle w:val="FootnoteReference"/>
        </w:rPr>
        <w:footnoteRef/>
      </w:r>
      <w:r w:rsidRPr="00F6053C">
        <w:t xml:space="preserve"> Joint Ex. 1, Exhibit A.</w:t>
      </w:r>
    </w:p>
  </w:footnote>
  <w:footnote w:id="91">
    <w:p w:rsidR="00146AC0" w:rsidRPr="00F6053C" w:rsidP="0082545D">
      <w:pPr>
        <w:pStyle w:val="FootnoteText"/>
        <w:spacing w:after="120"/>
      </w:pPr>
      <w:r w:rsidRPr="00F6053C">
        <w:rPr>
          <w:rStyle w:val="FootnoteReference"/>
        </w:rPr>
        <w:footnoteRef/>
      </w:r>
      <w:r w:rsidRPr="00F6053C">
        <w:t xml:space="preserve"> $42.8 million divided by 100,555 MWh.</w:t>
      </w:r>
    </w:p>
  </w:footnote>
  <w:footnote w:id="92">
    <w:p w:rsidR="00146AC0" w:rsidRPr="00F6053C" w:rsidP="0082545D">
      <w:pPr>
        <w:pStyle w:val="FootnoteText"/>
        <w:spacing w:after="120"/>
      </w:pPr>
      <w:r w:rsidRPr="00F6053C">
        <w:rPr>
          <w:rStyle w:val="FootnoteReference"/>
        </w:rPr>
        <w:footnoteRef/>
      </w:r>
      <w:r w:rsidRPr="00F6053C">
        <w:t xml:space="preserve"> Joint Ex. 1, Exhibit A.</w:t>
      </w:r>
    </w:p>
  </w:footnote>
  <w:footnote w:id="93">
    <w:p w:rsidR="00146AC0" w:rsidRPr="00F6053C" w:rsidP="0082545D">
      <w:pPr>
        <w:pStyle w:val="FootnoteText"/>
        <w:spacing w:after="120"/>
      </w:pPr>
      <w:r w:rsidRPr="00F6053C">
        <w:rPr>
          <w:rStyle w:val="FootnoteReference"/>
        </w:rPr>
        <w:footnoteRef/>
      </w:r>
      <w:r w:rsidRPr="00F6053C">
        <w:t xml:space="preserve"> Id.</w:t>
      </w:r>
    </w:p>
  </w:footnote>
  <w:footnote w:id="94">
    <w:p w:rsidR="00146AC0" w:rsidRPr="00F6053C" w:rsidP="0082545D">
      <w:pPr>
        <w:pStyle w:val="FootnoteText"/>
        <w:spacing w:after="120"/>
      </w:pPr>
      <w:r w:rsidRPr="00F6053C">
        <w:rPr>
          <w:rStyle w:val="FootnoteReference"/>
        </w:rPr>
        <w:footnoteRef/>
      </w:r>
      <w:r w:rsidRPr="00F6053C">
        <w:t xml:space="preserve"> Id.</w:t>
      </w:r>
    </w:p>
  </w:footnote>
  <w:footnote w:id="95">
    <w:p w:rsidR="00146AC0" w:rsidRPr="00F6053C" w:rsidP="0082545D">
      <w:pPr>
        <w:pStyle w:val="FootnoteText"/>
        <w:spacing w:after="120"/>
      </w:pPr>
      <w:r w:rsidRPr="00F6053C">
        <w:rPr>
          <w:rStyle w:val="FootnoteReference"/>
        </w:rPr>
        <w:footnoteRef/>
      </w:r>
      <w:r w:rsidRPr="00F6053C">
        <w:t xml:space="preserve"> Tr. I at 83:3-21 (Miller).</w:t>
      </w:r>
    </w:p>
  </w:footnote>
  <w:footnote w:id="96">
    <w:p w:rsidR="00146AC0" w:rsidRPr="00F6053C" w:rsidP="0082545D">
      <w:pPr>
        <w:pStyle w:val="FootnoteText"/>
        <w:spacing w:after="120"/>
      </w:pPr>
      <w:r w:rsidRPr="00F6053C">
        <w:rPr>
          <w:rStyle w:val="FootnoteReference"/>
        </w:rPr>
        <w:footnoteRef/>
      </w:r>
      <w:r w:rsidRPr="00F6053C">
        <w:t xml:space="preserve"> Tr. I at 83:3-21 (Miller).</w:t>
      </w:r>
    </w:p>
  </w:footnote>
  <w:footnote w:id="97">
    <w:p w:rsidR="00146AC0" w:rsidRPr="00F6053C" w:rsidP="0082545D">
      <w:pPr>
        <w:pStyle w:val="FootnoteText"/>
        <w:spacing w:after="120"/>
      </w:pPr>
      <w:r w:rsidRPr="00F6053C">
        <w:rPr>
          <w:rStyle w:val="FootnoteReference"/>
        </w:rPr>
        <w:footnoteRef/>
      </w:r>
      <w:r w:rsidRPr="00F6053C">
        <w:t xml:space="preserve"> OCC Ex. 9B (Spellman Direct) at 69:9-10.</w:t>
      </w:r>
    </w:p>
  </w:footnote>
  <w:footnote w:id="98">
    <w:p w:rsidR="00146AC0" w:rsidRPr="00F6053C" w:rsidP="0082545D">
      <w:pPr>
        <w:pStyle w:val="FootnoteText"/>
        <w:spacing w:after="120"/>
      </w:pPr>
      <w:r w:rsidRPr="00F6053C">
        <w:rPr>
          <w:rStyle w:val="FootnoteReference"/>
        </w:rPr>
        <w:footnoteRef/>
      </w:r>
      <w:r w:rsidRPr="00F6053C">
        <w:t xml:space="preserve"> Tr. II at 305:15-306:14 (Spellman).</w:t>
      </w:r>
    </w:p>
  </w:footnote>
  <w:footnote w:id="99">
    <w:p w:rsidR="00146AC0" w:rsidRPr="00F6053C" w:rsidP="0082545D">
      <w:pPr>
        <w:pStyle w:val="FootnoteText"/>
        <w:spacing w:after="120"/>
      </w:pPr>
      <w:r w:rsidRPr="00F6053C">
        <w:rPr>
          <w:rStyle w:val="FootnoteReference"/>
        </w:rPr>
        <w:footnoteRef/>
      </w:r>
      <w:r w:rsidRPr="00F6053C">
        <w:t xml:space="preserve"> Tr. II at 306:2-10 (Spellman).</w:t>
      </w:r>
    </w:p>
  </w:footnote>
  <w:footnote w:id="100">
    <w:p w:rsidR="00146AC0" w:rsidRPr="00F6053C" w:rsidP="0082545D">
      <w:pPr>
        <w:pStyle w:val="FootnoteText"/>
        <w:spacing w:after="120"/>
      </w:pPr>
      <w:r w:rsidRPr="00F6053C">
        <w:rPr>
          <w:rStyle w:val="FootnoteReference"/>
        </w:rPr>
        <w:footnoteRef/>
      </w:r>
      <w:r w:rsidRPr="00F6053C">
        <w:t xml:space="preserve"> Fifth Entry on Rehearing ¶ 325, ESP IV Case (Oct. 12, 2016).</w:t>
      </w:r>
    </w:p>
  </w:footnote>
  <w:footnote w:id="101">
    <w:p w:rsidR="00146AC0" w:rsidRPr="00F6053C" w:rsidP="0082545D">
      <w:pPr>
        <w:pStyle w:val="FootnoteText"/>
        <w:spacing w:after="120"/>
      </w:pPr>
      <w:r w:rsidRPr="00F6053C">
        <w:rPr>
          <w:rStyle w:val="FootnoteReference"/>
        </w:rPr>
        <w:footnoteRef/>
      </w:r>
      <w:r w:rsidRPr="00F6053C">
        <w:t xml:space="preserve"> See generally Joint Ex. 1.</w:t>
      </w:r>
    </w:p>
  </w:footnote>
  <w:footnote w:id="102">
    <w:p w:rsidR="00146AC0" w:rsidRPr="00F6053C" w:rsidP="0082545D">
      <w:pPr>
        <w:pStyle w:val="FootnoteText"/>
        <w:spacing w:after="120"/>
      </w:pPr>
      <w:r w:rsidRPr="00F6053C">
        <w:rPr>
          <w:rStyle w:val="FootnoteReference"/>
        </w:rPr>
        <w:footnoteRef/>
      </w:r>
      <w:r w:rsidRPr="00F6053C">
        <w:t xml:space="preserve"> Joint Ex. 1, Exhibit A (budget); Joint Ex. 1 § V.T ($10 million annual cap on shared savings).</w:t>
      </w:r>
    </w:p>
  </w:footnote>
  <w:footnote w:id="103">
    <w:p w:rsidR="00146AC0" w:rsidRPr="00F6053C" w:rsidP="0082545D">
      <w:pPr>
        <w:pStyle w:val="FootnoteText"/>
        <w:spacing w:after="120"/>
      </w:pPr>
      <w:r w:rsidRPr="00F6053C">
        <w:rPr>
          <w:rStyle w:val="FootnoteReference"/>
        </w:rPr>
        <w:footnoteRef/>
      </w:r>
      <w:r w:rsidRPr="00F6053C">
        <w:t xml:space="preserve"> Tr. V at 574:9-576:1 (Miller); Tr. IV at 523:10-524:3 (Neme); Tr. IV at 523:14-15 (objection from FirstEnergy counsel that the meaning of the word </w:t>
      </w:r>
      <w:r>
        <w:t>"</w:t>
      </w:r>
      <w:r w:rsidRPr="00F6053C">
        <w:t>cap</w:t>
      </w:r>
      <w:r>
        <w:t>"</w:t>
      </w:r>
      <w:r w:rsidRPr="00F6053C">
        <w:t xml:space="preserve"> is unclear); Tr. IV at 523:16-17 (response from OCC counsel that the word </w:t>
      </w:r>
      <w:r>
        <w:t>"</w:t>
      </w:r>
      <w:r w:rsidRPr="00F6053C">
        <w:t>cap</w:t>
      </w:r>
      <w:r>
        <w:t>"</w:t>
      </w:r>
      <w:r w:rsidRPr="00F6053C">
        <w:t xml:space="preserve"> is a standard English word).</w:t>
      </w:r>
    </w:p>
  </w:footnote>
  <w:footnote w:id="104">
    <w:p w:rsidR="00146AC0" w:rsidRPr="00F6053C" w:rsidP="0082545D">
      <w:pPr>
        <w:pStyle w:val="FootnoteText"/>
        <w:spacing w:after="120"/>
      </w:pPr>
      <w:r w:rsidRPr="00F6053C">
        <w:rPr>
          <w:rStyle w:val="FootnoteReference"/>
        </w:rPr>
        <w:footnoteRef/>
      </w:r>
      <w:r w:rsidRPr="00F6053C">
        <w:t xml:space="preserve"> OCC Ex. 9B (Spellman Direct) at 14-23; PUCO Staff Ex. 1 (Donlon Direct) at 3-7.</w:t>
      </w:r>
    </w:p>
  </w:footnote>
  <w:footnote w:id="105">
    <w:p w:rsidR="00146AC0" w:rsidRPr="00F6053C" w:rsidP="0082545D">
      <w:pPr>
        <w:pStyle w:val="FootnoteText"/>
        <w:spacing w:after="120"/>
      </w:pPr>
      <w:r w:rsidRPr="00F6053C">
        <w:rPr>
          <w:rStyle w:val="FootnoteReference"/>
        </w:rPr>
        <w:footnoteRef/>
      </w:r>
      <w:r w:rsidRPr="00F6053C">
        <w:t xml:space="preserve"> Joint Ex. 1.</w:t>
      </w:r>
    </w:p>
  </w:footnote>
  <w:footnote w:id="106">
    <w:p w:rsidR="00146AC0" w:rsidRPr="00F6053C" w:rsidP="0082545D">
      <w:pPr>
        <w:pStyle w:val="FootnoteText"/>
        <w:spacing w:after="120"/>
      </w:pPr>
      <w:r w:rsidRPr="00F6053C">
        <w:rPr>
          <w:rStyle w:val="FootnoteReference"/>
        </w:rPr>
        <w:footnoteRef/>
      </w:r>
      <w:r w:rsidRPr="00F6053C">
        <w:t xml:space="preserve"> Environmental Ex. 1 (Neme Rebuttal) at 32:503-04.</w:t>
      </w:r>
    </w:p>
  </w:footnote>
  <w:footnote w:id="107">
    <w:p w:rsidR="00146AC0" w:rsidRPr="00F6053C" w:rsidP="0082545D">
      <w:pPr>
        <w:pStyle w:val="FootnoteText"/>
        <w:spacing w:after="120"/>
      </w:pPr>
      <w:r w:rsidRPr="00F6053C">
        <w:rPr>
          <w:rStyle w:val="FootnoteReference"/>
        </w:rPr>
        <w:footnoteRef/>
      </w:r>
      <w:r w:rsidRPr="00F6053C">
        <w:t xml:space="preserve"> Company Ex. 17 (Miller Rebuttal) at 4:9-10.</w:t>
      </w:r>
    </w:p>
  </w:footnote>
  <w:footnote w:id="108">
    <w:p w:rsidR="00146AC0" w:rsidRPr="00F6053C" w:rsidP="0082545D">
      <w:pPr>
        <w:pStyle w:val="FootnoteText"/>
        <w:spacing w:after="120"/>
      </w:pPr>
      <w:r w:rsidRPr="00F6053C">
        <w:rPr>
          <w:rStyle w:val="FootnoteReference"/>
        </w:rPr>
        <w:footnoteRef/>
      </w:r>
      <w:r w:rsidRPr="00F6053C">
        <w:t xml:space="preserve"> Joint Ex. 1; Tr. IV at 523:3-8 (Neme).</w:t>
      </w:r>
    </w:p>
  </w:footnote>
  <w:footnote w:id="109">
    <w:p w:rsidR="00146AC0" w:rsidRPr="00F6053C" w:rsidP="0082545D">
      <w:pPr>
        <w:pStyle w:val="FootnoteText"/>
        <w:spacing w:after="120"/>
      </w:pPr>
      <w:r w:rsidRPr="00F6053C">
        <w:rPr>
          <w:rStyle w:val="FootnoteReference"/>
        </w:rPr>
        <w:footnoteRef/>
      </w:r>
      <w:r>
        <w:t xml:space="preserve"> Joint Ex. 1, Exhibit B at 106-07.</w:t>
      </w:r>
    </w:p>
  </w:footnote>
  <w:footnote w:id="110">
    <w:p w:rsidR="00146AC0" w:rsidRPr="00F6053C" w:rsidP="0082545D">
      <w:pPr>
        <w:pStyle w:val="FootnoteText"/>
        <w:spacing w:after="120"/>
      </w:pPr>
      <w:r w:rsidRPr="00F6053C">
        <w:rPr>
          <w:rStyle w:val="FootnoteReference"/>
        </w:rPr>
        <w:footnoteRef/>
      </w:r>
      <w:r w:rsidRPr="00F6053C">
        <w:t xml:space="preserve"> Joint Ex. 1 § V.R.</w:t>
      </w:r>
    </w:p>
  </w:footnote>
  <w:footnote w:id="111">
    <w:p w:rsidR="00146AC0" w:rsidRPr="00F6053C" w:rsidP="0082545D">
      <w:pPr>
        <w:pStyle w:val="FootnoteText"/>
        <w:spacing w:after="120"/>
      </w:pPr>
      <w:r w:rsidRPr="00F6053C">
        <w:rPr>
          <w:rStyle w:val="FootnoteReference"/>
        </w:rPr>
        <w:footnoteRef/>
      </w:r>
      <w:r w:rsidRPr="00F6053C">
        <w:t xml:space="preserve"> Company Ex. 6 </w:t>
      </w:r>
      <w:r>
        <w:t xml:space="preserve">(Demiray Direct) </w:t>
      </w:r>
      <w:r w:rsidRPr="00F6053C">
        <w:t>at 6:10-12; Company Ex. 1 at Exhibit DJM-A2.</w:t>
      </w:r>
    </w:p>
  </w:footnote>
  <w:footnote w:id="112">
    <w:p w:rsidR="00146AC0" w:rsidRPr="00F6053C" w:rsidP="0082545D">
      <w:pPr>
        <w:pStyle w:val="FootnoteText"/>
        <w:spacing w:after="120"/>
      </w:pPr>
      <w:r w:rsidRPr="00F6053C">
        <w:rPr>
          <w:rStyle w:val="FootnoteReference"/>
        </w:rPr>
        <w:footnoteRef/>
      </w:r>
      <w:r w:rsidRPr="00F6053C">
        <w:t xml:space="preserve"> Joint Ex. 1, Exhibit B at 106.</w:t>
      </w:r>
    </w:p>
  </w:footnote>
  <w:footnote w:id="113">
    <w:p w:rsidR="00146AC0" w:rsidRPr="00F6053C" w:rsidP="0082545D">
      <w:pPr>
        <w:pStyle w:val="FootnoteText"/>
        <w:spacing w:after="120"/>
      </w:pPr>
      <w:r w:rsidRPr="00F6053C">
        <w:rPr>
          <w:rStyle w:val="FootnoteReference"/>
        </w:rPr>
        <w:footnoteRef/>
      </w:r>
      <w:r w:rsidRPr="00F6053C">
        <w:t xml:space="preserve"> Company Ex. 6</w:t>
      </w:r>
      <w:r>
        <w:t xml:space="preserve"> (Demiray Direct)</w:t>
      </w:r>
      <w:r w:rsidRPr="00F6053C">
        <w:t xml:space="preserve"> at 6:12-14.</w:t>
      </w:r>
    </w:p>
  </w:footnote>
  <w:footnote w:id="114">
    <w:p w:rsidR="00146AC0" w:rsidRPr="00F6053C" w:rsidP="0082545D">
      <w:pPr>
        <w:pStyle w:val="FootnoteText"/>
        <w:spacing w:after="120"/>
      </w:pPr>
      <w:r w:rsidRPr="00F6053C">
        <w:rPr>
          <w:rStyle w:val="FootnoteReference"/>
        </w:rPr>
        <w:footnoteRef/>
      </w:r>
      <w:r w:rsidRPr="00F6053C">
        <w:t xml:space="preserve"> Tr. I at 151:1-14 (Demiray).</w:t>
      </w:r>
    </w:p>
  </w:footnote>
  <w:footnote w:id="115">
    <w:p w:rsidR="00146AC0" w:rsidRPr="00F6053C" w:rsidP="0082545D">
      <w:pPr>
        <w:pStyle w:val="FootnoteText"/>
        <w:spacing w:after="120"/>
      </w:pPr>
      <w:r w:rsidRPr="00F6053C">
        <w:rPr>
          <w:rStyle w:val="FootnoteReference"/>
        </w:rPr>
        <w:footnoteRef/>
      </w:r>
      <w:r w:rsidRPr="00F6053C">
        <w:t xml:space="preserve"> Company Ex. 5</w:t>
      </w:r>
      <w:r>
        <w:t xml:space="preserve"> (Miller Direct)</w:t>
      </w:r>
      <w:r w:rsidRPr="00F6053C">
        <w:t xml:space="preserve"> at 18:14-15.</w:t>
      </w:r>
    </w:p>
  </w:footnote>
  <w:footnote w:id="116">
    <w:p w:rsidR="00146AC0" w:rsidRPr="00F6053C" w:rsidP="0082545D">
      <w:pPr>
        <w:pStyle w:val="FootnoteText"/>
        <w:spacing w:after="120"/>
      </w:pPr>
      <w:r w:rsidRPr="00F6053C">
        <w:rPr>
          <w:rStyle w:val="FootnoteReference"/>
        </w:rPr>
        <w:footnoteRef/>
      </w:r>
      <w:r w:rsidRPr="00F6053C">
        <w:t xml:space="preserve"> OCC Ex. 3.</w:t>
      </w:r>
    </w:p>
  </w:footnote>
  <w:footnote w:id="117">
    <w:p w:rsidR="00146AC0" w:rsidRPr="00F6053C" w:rsidP="0082545D">
      <w:pPr>
        <w:pStyle w:val="FootnoteText"/>
        <w:spacing w:after="120"/>
      </w:pPr>
      <w:r w:rsidRPr="00F6053C">
        <w:rPr>
          <w:rStyle w:val="FootnoteReference"/>
        </w:rPr>
        <w:footnoteRef/>
      </w:r>
      <w:r w:rsidRPr="00F6053C">
        <w:t xml:space="preserve"> Entry ¶ 4 (June 28, 2016).</w:t>
      </w:r>
    </w:p>
  </w:footnote>
  <w:footnote w:id="118">
    <w:p w:rsidR="00146AC0" w:rsidRPr="00F6053C" w:rsidP="0082545D">
      <w:pPr>
        <w:pStyle w:val="FootnoteText"/>
        <w:spacing w:after="120"/>
      </w:pPr>
      <w:r w:rsidRPr="00F6053C">
        <w:rPr>
          <w:rStyle w:val="FootnoteReference"/>
        </w:rPr>
        <w:footnoteRef/>
      </w:r>
      <w:r w:rsidRPr="00F6053C">
        <w:t xml:space="preserve"> Id.</w:t>
      </w:r>
    </w:p>
  </w:footnote>
  <w:footnote w:id="119">
    <w:p w:rsidR="00146AC0" w:rsidRPr="00F6053C" w:rsidP="0082545D">
      <w:pPr>
        <w:pStyle w:val="FootnoteText"/>
        <w:spacing w:after="120"/>
      </w:pPr>
      <w:r w:rsidRPr="00F6053C">
        <w:rPr>
          <w:rStyle w:val="FootnoteReference"/>
        </w:rPr>
        <w:footnoteRef/>
      </w:r>
      <w:r w:rsidRPr="00F6053C">
        <w:t xml:space="preserve"> OCC Ex. 3.</w:t>
      </w:r>
    </w:p>
  </w:footnote>
  <w:footnote w:id="120">
    <w:p w:rsidR="00146AC0" w:rsidRPr="00F6053C" w:rsidP="0082545D">
      <w:pPr>
        <w:pStyle w:val="FootnoteText"/>
        <w:spacing w:after="120"/>
      </w:pPr>
      <w:r w:rsidRPr="00F6053C">
        <w:rPr>
          <w:rStyle w:val="FootnoteReference"/>
        </w:rPr>
        <w:footnoteRef/>
      </w:r>
      <w:r w:rsidRPr="00F6053C">
        <w:t xml:space="preserve"> Id.</w:t>
      </w:r>
    </w:p>
  </w:footnote>
  <w:footnote w:id="121">
    <w:p w:rsidR="00146AC0" w:rsidRPr="00F6053C" w:rsidP="0082545D">
      <w:pPr>
        <w:pStyle w:val="FootnoteText"/>
        <w:spacing w:after="120"/>
      </w:pPr>
      <w:r w:rsidRPr="00F6053C">
        <w:rPr>
          <w:rStyle w:val="FootnoteReference"/>
        </w:rPr>
        <w:footnoteRef/>
      </w:r>
      <w:r w:rsidRPr="00F6053C">
        <w:t xml:space="preserve"> Entry (Sept. 30, 2016).</w:t>
      </w:r>
    </w:p>
  </w:footnote>
  <w:footnote w:id="122">
    <w:p w:rsidR="00146AC0" w:rsidRPr="00F6053C" w:rsidP="0082545D">
      <w:pPr>
        <w:pStyle w:val="FootnoteText"/>
        <w:spacing w:after="120"/>
      </w:pPr>
      <w:r w:rsidRPr="00F6053C">
        <w:rPr>
          <w:rStyle w:val="FootnoteReference"/>
        </w:rPr>
        <w:footnoteRef/>
      </w:r>
      <w:r w:rsidRPr="00F6053C">
        <w:t xml:space="preserve"> OCC Ex. 3.</w:t>
      </w:r>
    </w:p>
  </w:footnote>
  <w:footnote w:id="123">
    <w:p w:rsidR="00146AC0" w:rsidRPr="00F6053C" w:rsidP="0082545D">
      <w:pPr>
        <w:pStyle w:val="FootnoteText"/>
        <w:spacing w:after="120"/>
      </w:pPr>
      <w:r w:rsidRPr="00F6053C">
        <w:rPr>
          <w:rStyle w:val="FootnoteReference"/>
        </w:rPr>
        <w:footnoteRef/>
      </w:r>
      <w:r w:rsidRPr="00F6053C">
        <w:t xml:space="preserve"> Id.</w:t>
      </w:r>
    </w:p>
  </w:footnote>
  <w:footnote w:id="124">
    <w:p w:rsidR="00146AC0" w:rsidRPr="00F6053C" w:rsidP="0082545D">
      <w:pPr>
        <w:pStyle w:val="FootnoteText"/>
        <w:spacing w:after="120"/>
      </w:pPr>
      <w:r w:rsidRPr="00F6053C">
        <w:rPr>
          <w:rStyle w:val="FootnoteReference"/>
        </w:rPr>
        <w:footnoteRef/>
      </w:r>
      <w:r w:rsidRPr="00F6053C">
        <w:t xml:space="preserve"> Entry (Nov. 22, 2016).</w:t>
      </w:r>
    </w:p>
  </w:footnote>
  <w:footnote w:id="125">
    <w:p w:rsidR="00146AC0" w:rsidRPr="00F6053C" w:rsidP="0082545D">
      <w:pPr>
        <w:pStyle w:val="FootnoteText"/>
        <w:spacing w:after="120"/>
      </w:pPr>
      <w:r w:rsidRPr="00F6053C">
        <w:rPr>
          <w:rStyle w:val="FootnoteReference"/>
        </w:rPr>
        <w:footnoteRef/>
      </w:r>
      <w:r w:rsidRPr="00F6053C">
        <w:t xml:space="preserve"> Entry (Dec. 14, 2016).</w:t>
      </w:r>
    </w:p>
  </w:footnote>
  <w:footnote w:id="126">
    <w:p w:rsidR="00146AC0" w:rsidRPr="00F6053C" w:rsidP="0082545D">
      <w:pPr>
        <w:pStyle w:val="FootnoteText"/>
        <w:spacing w:after="120"/>
      </w:pPr>
      <w:r w:rsidRPr="00F6053C">
        <w:rPr>
          <w:rStyle w:val="FootnoteReference"/>
        </w:rPr>
        <w:footnoteRef/>
      </w:r>
      <w:r w:rsidRPr="00F6053C">
        <w:t xml:space="preserve"> Emphasis added.</w:t>
      </w:r>
    </w:p>
  </w:footnote>
  <w:footnote w:id="127">
    <w:p w:rsidR="00146AC0" w:rsidRPr="00F6053C" w:rsidP="0082545D">
      <w:pPr>
        <w:pStyle w:val="FootnoteText"/>
        <w:spacing w:after="120"/>
      </w:pPr>
      <w:r w:rsidRPr="00F6053C">
        <w:rPr>
          <w:rStyle w:val="FootnoteReference"/>
        </w:rPr>
        <w:footnoteRef/>
      </w:r>
      <w:r w:rsidRPr="00F6053C">
        <w:t xml:space="preserve"> Company Ex. 5</w:t>
      </w:r>
      <w:r>
        <w:t xml:space="preserve"> (Demiray Direct)</w:t>
      </w:r>
      <w:r w:rsidRPr="00F6053C">
        <w:t xml:space="preserve"> at 18:22-6:1.</w:t>
      </w:r>
    </w:p>
  </w:footnote>
  <w:footnote w:id="128">
    <w:p w:rsidR="00146AC0" w:rsidRPr="00F6053C" w:rsidP="0082545D">
      <w:pPr>
        <w:pStyle w:val="FootnoteText"/>
        <w:spacing w:after="120"/>
      </w:pPr>
      <w:r w:rsidRPr="00F6053C">
        <w:rPr>
          <w:rStyle w:val="FootnoteReference"/>
        </w:rPr>
        <w:footnoteRef/>
      </w:r>
      <w:r>
        <w:t xml:space="preserve"> OCC Ex. 4;</w:t>
      </w:r>
      <w:r w:rsidRPr="00F6053C">
        <w:t xml:space="preserve"> Tr. I at 92:23-96:14 (Miller).</w:t>
      </w:r>
    </w:p>
  </w:footnote>
  <w:footnote w:id="129">
    <w:p w:rsidR="00146AC0" w:rsidRPr="00F6053C" w:rsidP="0082545D">
      <w:pPr>
        <w:pStyle w:val="FootnoteText"/>
        <w:spacing w:after="120"/>
      </w:pPr>
      <w:r w:rsidRPr="00F6053C">
        <w:rPr>
          <w:rStyle w:val="FootnoteReference"/>
        </w:rPr>
        <w:footnoteRef/>
      </w:r>
      <w:r w:rsidRPr="00F6053C">
        <w:t xml:space="preserve"> Tr. I at 88:6-12 (Miller).</w:t>
      </w:r>
    </w:p>
  </w:footnote>
  <w:footnote w:id="130">
    <w:p w:rsidR="00146AC0" w:rsidRPr="00F6053C" w:rsidP="0082545D">
      <w:pPr>
        <w:pStyle w:val="FootnoteText"/>
        <w:spacing w:after="120"/>
      </w:pPr>
      <w:r w:rsidRPr="00F6053C">
        <w:rPr>
          <w:rStyle w:val="FootnoteReference"/>
        </w:rPr>
        <w:footnoteRef/>
      </w:r>
      <w:r w:rsidRPr="00F6053C">
        <w:t xml:space="preserve"> Joint Ex. 1, Exhibit A.</w:t>
      </w:r>
    </w:p>
  </w:footnote>
  <w:footnote w:id="131">
    <w:p w:rsidR="00146AC0" w:rsidRPr="00F6053C" w:rsidP="0082545D">
      <w:pPr>
        <w:pStyle w:val="FootnoteText"/>
        <w:spacing w:after="120"/>
      </w:pPr>
      <w:r w:rsidRPr="00F6053C">
        <w:rPr>
          <w:rStyle w:val="FootnoteReference"/>
        </w:rPr>
        <w:footnoteRef/>
      </w:r>
      <w:r w:rsidRPr="00F6053C">
        <w:t xml:space="preserve"> Company Ex. 1, Exhibit DJM-A2.</w:t>
      </w:r>
    </w:p>
  </w:footnote>
  <w:footnote w:id="132">
    <w:p w:rsidR="00146AC0" w:rsidRPr="00F6053C" w:rsidP="0082545D">
      <w:pPr>
        <w:pStyle w:val="FootnoteText"/>
        <w:spacing w:after="120"/>
      </w:pPr>
      <w:r w:rsidRPr="00F6053C">
        <w:rPr>
          <w:rStyle w:val="FootnoteReference"/>
        </w:rPr>
        <w:footnoteRef/>
      </w:r>
      <w:r w:rsidRPr="00F6053C">
        <w:t xml:space="preserve"> Joint Ex. 1, § V.T.</w:t>
      </w:r>
    </w:p>
  </w:footnote>
  <w:footnote w:id="133">
    <w:p w:rsidR="00146AC0" w:rsidRPr="00F6053C" w:rsidP="0082545D">
      <w:pPr>
        <w:pStyle w:val="FootnoteText"/>
        <w:spacing w:after="120"/>
      </w:pPr>
      <w:r w:rsidRPr="00F6053C">
        <w:rPr>
          <w:rStyle w:val="FootnoteReference"/>
        </w:rPr>
        <w:footnoteRef/>
      </w:r>
      <w:r w:rsidRPr="00F6053C">
        <w:t xml:space="preserve"> Tr. I at 145:2-5 (Demiray).</w:t>
      </w:r>
    </w:p>
  </w:footnote>
  <w:footnote w:id="134">
    <w:p w:rsidR="00146AC0" w:rsidRPr="00F6053C" w:rsidP="0082545D">
      <w:pPr>
        <w:pStyle w:val="FootnoteText"/>
        <w:spacing w:after="120"/>
      </w:pPr>
      <w:r w:rsidRPr="00F6053C">
        <w:rPr>
          <w:rStyle w:val="FootnoteReference"/>
        </w:rPr>
        <w:footnoteRef/>
      </w:r>
      <w:r w:rsidRPr="00F6053C">
        <w:t xml:space="preserve"> Tr. I at 146:4-9 (Demiray).</w:t>
      </w:r>
    </w:p>
  </w:footnote>
  <w:footnote w:id="135">
    <w:p w:rsidR="00146AC0" w:rsidRPr="00F6053C" w:rsidP="0082545D">
      <w:pPr>
        <w:pStyle w:val="FootnoteText"/>
        <w:spacing w:after="120"/>
      </w:pPr>
      <w:r w:rsidRPr="00F6053C">
        <w:rPr>
          <w:rStyle w:val="FootnoteReference"/>
        </w:rPr>
        <w:footnoteRef/>
      </w:r>
      <w:r w:rsidRPr="00F6053C">
        <w:t xml:space="preserve"> R.C. 4933.8</w:t>
      </w:r>
      <w:r>
        <w:t>1-4933.8</w:t>
      </w:r>
      <w:r w:rsidRPr="00F6053C">
        <w:t>3.</w:t>
      </w:r>
    </w:p>
  </w:footnote>
  <w:footnote w:id="136">
    <w:p w:rsidR="00146AC0" w:rsidRPr="00F6053C" w:rsidP="0082545D">
      <w:pPr>
        <w:pStyle w:val="FootnoteText"/>
        <w:spacing w:after="120"/>
      </w:pPr>
      <w:r w:rsidRPr="00F6053C">
        <w:rPr>
          <w:rStyle w:val="FootnoteReference"/>
        </w:rPr>
        <w:footnoteRef/>
      </w:r>
      <w:r w:rsidRPr="00F6053C">
        <w:t xml:space="preserve"> Id.</w:t>
      </w:r>
    </w:p>
  </w:footnote>
  <w:footnote w:id="137">
    <w:p w:rsidR="00146AC0" w:rsidP="0082545D">
      <w:pPr>
        <w:pStyle w:val="FootnoteText"/>
        <w:spacing w:after="120"/>
      </w:pPr>
      <w:r>
        <w:rPr>
          <w:rStyle w:val="FootnoteReference"/>
        </w:rPr>
        <w:footnoteRef/>
      </w:r>
      <w:r>
        <w:t xml:space="preserve"> R.C. 4928.66(A)(1) (providing energy savings and demand reduction requirements for each "electric distribution utility"); R.C. 4928.66(A)(2) (requiring energy savings baselines to be calculated for each "electric distribution utility"); R.C. 4928.66(C) (providing for penalties for failure to achieve the required benchmark energy savings by each "electric distribution utility"). See also R.C. 4928.01(A)(6) (defining "electric distribution utility" to include only an "electric utility"); R.C. 4928.01(A)(11) (defining "electric utility" as a company with a certified territory); R.C. 4928.01(A)(3) (defining "certified territory" as that established under R.C. 4933.81 to 4933.90).</w:t>
      </w:r>
    </w:p>
  </w:footnote>
  <w:footnote w:id="138">
    <w:p w:rsidR="00146AC0" w:rsidRPr="00F6053C" w:rsidP="0082545D">
      <w:pPr>
        <w:pStyle w:val="FootnoteText"/>
        <w:spacing w:after="120"/>
      </w:pPr>
      <w:r w:rsidRPr="00F6053C">
        <w:rPr>
          <w:rStyle w:val="FootnoteReference"/>
        </w:rPr>
        <w:footnoteRef/>
      </w:r>
      <w:r w:rsidRPr="00F6053C">
        <w:t xml:space="preserve"> See OCC Ex. 9B (Spellman Direct) at 61:2-62:4.</w:t>
      </w:r>
    </w:p>
  </w:footnote>
  <w:footnote w:id="139">
    <w:p w:rsidR="00146AC0" w:rsidRPr="00F6053C" w:rsidP="0082545D">
      <w:pPr>
        <w:pStyle w:val="FootnoteText"/>
        <w:spacing w:after="120"/>
      </w:pPr>
      <w:r w:rsidRPr="00F6053C">
        <w:rPr>
          <w:rStyle w:val="FootnoteReference"/>
        </w:rPr>
        <w:footnoteRef/>
      </w:r>
      <w:r w:rsidRPr="00F6053C">
        <w:t xml:space="preserve"> For purposes of simplicity, this example ignores the fact that shared savings is paid on an after-tax basis. The underlying principle of this argument does not rely on tax issues.</w:t>
      </w:r>
    </w:p>
  </w:footnote>
  <w:footnote w:id="140">
    <w:p w:rsidR="00146AC0" w:rsidRPr="00F6053C" w:rsidP="0082545D">
      <w:pPr>
        <w:pStyle w:val="FootnoteText"/>
        <w:spacing w:after="120"/>
      </w:pPr>
      <w:r w:rsidRPr="00F6053C">
        <w:rPr>
          <w:rStyle w:val="FootnoteReference"/>
        </w:rPr>
        <w:footnoteRef/>
      </w:r>
      <w:r w:rsidRPr="00F6053C">
        <w:t xml:space="preserve"> Tr. I at 147:23-148:6 (Demiray) (confirming that one Company could qualify for shared savings in a given year even if the other two did not).</w:t>
      </w:r>
    </w:p>
  </w:footnote>
  <w:footnote w:id="141">
    <w:p w:rsidR="00146AC0" w:rsidRPr="00F6053C" w:rsidP="0082545D">
      <w:pPr>
        <w:pStyle w:val="FootnoteText"/>
        <w:spacing w:after="120"/>
      </w:pPr>
      <w:r w:rsidRPr="00F6053C">
        <w:rPr>
          <w:rStyle w:val="FootnoteReference"/>
        </w:rPr>
        <w:footnoteRef/>
      </w:r>
      <w:r w:rsidRPr="00F6053C">
        <w:t xml:space="preserve"> See Tr. I at 147:23-148:6 (Demiray) (confirming that it is possible for one of the Company</w:t>
      </w:r>
      <w:r>
        <w:t>'</w:t>
      </w:r>
      <w:r w:rsidRPr="00F6053C">
        <w:t>s customers to pay the entire $10 million after tax shared savings amount).</w:t>
      </w:r>
    </w:p>
  </w:footnote>
  <w:footnote w:id="142">
    <w:p w:rsidR="00146AC0" w:rsidRPr="00F6053C" w:rsidP="0082545D">
      <w:pPr>
        <w:pStyle w:val="FootnoteText"/>
        <w:spacing w:after="120"/>
      </w:pPr>
      <w:r w:rsidRPr="00F6053C">
        <w:rPr>
          <w:rStyle w:val="FootnoteReference"/>
        </w:rPr>
        <w:footnoteRef/>
      </w:r>
      <w:r w:rsidRPr="00F6053C">
        <w:t xml:space="preserve"> See OCC Ex. 9B (Spellman Direct) at 62.</w:t>
      </w:r>
    </w:p>
  </w:footnote>
  <w:footnote w:id="143">
    <w:p w:rsidR="00146AC0" w:rsidRPr="00F6053C" w:rsidP="0082545D">
      <w:pPr>
        <w:pStyle w:val="FootnoteText"/>
        <w:spacing w:after="120"/>
      </w:pPr>
      <w:r w:rsidRPr="00F6053C">
        <w:rPr>
          <w:rStyle w:val="FootnoteReference"/>
        </w:rPr>
        <w:footnoteRef/>
      </w:r>
      <w:r w:rsidRPr="00F6053C">
        <w:t xml:space="preserve"> OCC Ex. 9B (Spellman Direct) at Exhibit RFS-3.</w:t>
      </w:r>
    </w:p>
  </w:footnote>
  <w:footnote w:id="144">
    <w:p w:rsidR="00146AC0" w:rsidRPr="00F6053C" w:rsidP="0082545D">
      <w:pPr>
        <w:pStyle w:val="FootnoteText"/>
        <w:spacing w:after="120"/>
      </w:pPr>
      <w:r w:rsidRPr="00F6053C">
        <w:rPr>
          <w:rStyle w:val="FootnoteReference"/>
        </w:rPr>
        <w:footnoteRef/>
      </w:r>
      <w:r w:rsidRPr="00F6053C">
        <w:t xml:space="preserve"> OCC Ex. 9B (Spellman Direct) at 51:19-52:1.</w:t>
      </w:r>
    </w:p>
  </w:footnote>
  <w:footnote w:id="145">
    <w:p w:rsidR="00146AC0" w:rsidRPr="00F6053C" w:rsidP="0082545D">
      <w:pPr>
        <w:pStyle w:val="FootnoteText"/>
        <w:spacing w:after="120"/>
      </w:pPr>
      <w:r w:rsidRPr="00F6053C">
        <w:rPr>
          <w:rStyle w:val="FootnoteReference"/>
        </w:rPr>
        <w:footnoteRef/>
      </w:r>
      <w:r w:rsidRPr="00F6053C">
        <w:t xml:space="preserve"> OCC Ex. 9B (Spellman Direct) at 52:4-5.</w:t>
      </w:r>
    </w:p>
  </w:footnote>
  <w:footnote w:id="146">
    <w:p w:rsidR="00146AC0" w:rsidRPr="00F6053C" w:rsidP="0082545D">
      <w:pPr>
        <w:pStyle w:val="FootnoteText"/>
        <w:spacing w:after="120"/>
      </w:pPr>
      <w:r w:rsidRPr="00F6053C">
        <w:rPr>
          <w:rStyle w:val="FootnoteReference"/>
        </w:rPr>
        <w:footnoteRef/>
      </w:r>
      <w:r w:rsidRPr="00F6053C">
        <w:t xml:space="preserve"> OCC Ex. 9A (Initial Spellman Direct) at 41:9-13.</w:t>
      </w:r>
    </w:p>
  </w:footnote>
  <w:footnote w:id="147">
    <w:p w:rsidR="00146AC0" w:rsidRPr="00F6053C" w:rsidP="0082545D">
      <w:pPr>
        <w:pStyle w:val="FootnoteText"/>
        <w:spacing w:after="120"/>
      </w:pPr>
      <w:r w:rsidRPr="00F6053C">
        <w:rPr>
          <w:rStyle w:val="FootnoteReference"/>
        </w:rPr>
        <w:footnoteRef/>
      </w:r>
      <w:r w:rsidRPr="00F6053C">
        <w:t xml:space="preserve"> Fifth Entry on Rehearing ¶ 324, ESP IV Case.</w:t>
      </w:r>
    </w:p>
  </w:footnote>
  <w:footnote w:id="148">
    <w:p w:rsidR="00146AC0" w:rsidRPr="00F6053C" w:rsidP="0082545D">
      <w:pPr>
        <w:pStyle w:val="FootnoteText"/>
        <w:spacing w:after="120"/>
      </w:pPr>
      <w:r w:rsidRPr="00F6053C">
        <w:rPr>
          <w:rStyle w:val="FootnoteReference"/>
        </w:rPr>
        <w:footnoteRef/>
      </w:r>
      <w:r w:rsidRPr="00F6053C">
        <w:t xml:space="preserve"> Joint Ex. 1 § V.R.</w:t>
      </w:r>
    </w:p>
  </w:footnote>
  <w:footnote w:id="149">
    <w:p w:rsidR="00146AC0" w:rsidRPr="00F6053C" w:rsidP="0082545D">
      <w:pPr>
        <w:pStyle w:val="FootnoteText"/>
        <w:spacing w:after="120"/>
      </w:pPr>
      <w:r w:rsidRPr="00F6053C">
        <w:rPr>
          <w:rStyle w:val="FootnoteReference"/>
        </w:rPr>
        <w:footnoteRef/>
      </w:r>
      <w:r w:rsidRPr="00F6053C">
        <w:t xml:space="preserve"> Tr. I at 162:15-20 (Demiray).</w:t>
      </w:r>
    </w:p>
  </w:footnote>
  <w:footnote w:id="150">
    <w:p w:rsidR="00146AC0" w:rsidRPr="00F6053C" w:rsidP="0082545D">
      <w:pPr>
        <w:pStyle w:val="FootnoteText"/>
        <w:spacing w:after="120"/>
      </w:pPr>
      <w:r w:rsidRPr="00F6053C">
        <w:rPr>
          <w:rStyle w:val="FootnoteReference"/>
        </w:rPr>
        <w:footnoteRef/>
      </w:r>
      <w:r w:rsidRPr="00F6053C">
        <w:t xml:space="preserve"> OCC Ex. 9B (Spellman Direct) at 55:10-16.</w:t>
      </w:r>
    </w:p>
  </w:footnote>
  <w:footnote w:id="151">
    <w:p w:rsidR="00146AC0" w:rsidRPr="00F6053C" w:rsidP="0082545D">
      <w:pPr>
        <w:pStyle w:val="FootnoteText"/>
        <w:spacing w:after="120"/>
      </w:pPr>
      <w:r w:rsidRPr="00F6053C">
        <w:rPr>
          <w:rStyle w:val="FootnoteReference"/>
        </w:rPr>
        <w:footnoteRef/>
      </w:r>
      <w:r w:rsidRPr="00F6053C">
        <w:t xml:space="preserve"> PUCO Staff Ex. 1 (Donlon Direct) at 11:217-19.</w:t>
      </w:r>
    </w:p>
  </w:footnote>
  <w:footnote w:id="152">
    <w:p w:rsidR="00146AC0" w:rsidRPr="00F6053C" w:rsidP="0082545D">
      <w:pPr>
        <w:pStyle w:val="FootnoteText"/>
        <w:spacing w:after="120"/>
      </w:pPr>
      <w:r w:rsidRPr="00F6053C">
        <w:rPr>
          <w:rStyle w:val="FootnoteReference"/>
        </w:rPr>
        <w:footnoteRef/>
      </w:r>
      <w:r w:rsidRPr="00F6053C">
        <w:t xml:space="preserve"> Joint Ex. 1, Exhibit A.</w:t>
      </w:r>
    </w:p>
  </w:footnote>
  <w:footnote w:id="153">
    <w:p w:rsidR="00146AC0" w:rsidRPr="00F6053C" w:rsidP="0082545D">
      <w:pPr>
        <w:pStyle w:val="FootnoteText"/>
        <w:spacing w:after="120"/>
      </w:pPr>
      <w:r w:rsidRPr="00F6053C">
        <w:rPr>
          <w:rStyle w:val="FootnoteReference"/>
        </w:rPr>
        <w:footnoteRef/>
      </w:r>
      <w:r w:rsidRPr="00F6053C">
        <w:t xml:space="preserve"> Company Ex. 1, Exhibit DJM-A2.</w:t>
      </w:r>
    </w:p>
  </w:footnote>
  <w:footnote w:id="154">
    <w:p w:rsidR="00146AC0" w:rsidRPr="00F6053C" w:rsidP="0082545D">
      <w:pPr>
        <w:pStyle w:val="FootnoteText"/>
        <w:spacing w:after="120"/>
      </w:pPr>
      <w:r w:rsidRPr="00F6053C">
        <w:rPr>
          <w:rStyle w:val="FootnoteReference"/>
        </w:rPr>
        <w:footnoteRef/>
      </w:r>
      <w:r w:rsidRPr="00F6053C">
        <w:t xml:space="preserve"> Joint Ex. 1 § V.R; Joint Ex. 1, Exhibit B at 105-06.</w:t>
      </w:r>
    </w:p>
  </w:footnote>
  <w:footnote w:id="155">
    <w:p w:rsidR="00146AC0" w:rsidRPr="00F6053C" w:rsidP="00146AC0">
      <w:pPr>
        <w:pStyle w:val="FootnoteText"/>
        <w:spacing w:after="120"/>
      </w:pPr>
      <w:r w:rsidRPr="00F6053C">
        <w:rPr>
          <w:rStyle w:val="FootnoteReference"/>
        </w:rPr>
        <w:footnoteRef/>
      </w:r>
      <w:r w:rsidRPr="00F6053C">
        <w:t xml:space="preserve"> OCC Ex. 9B (Spellman Direct) at 33:14-15 (</w:t>
      </w:r>
      <w:r>
        <w:t>"</w:t>
      </w:r>
      <w:r w:rsidRPr="00F6053C">
        <w:t>a portfolio that targets 600,000 MWh per year will have higher program costs than a portfolio that targets under 530,000 MWh per year</w:t>
      </w:r>
      <w:r>
        <w:t>"</w:t>
      </w:r>
      <w:r w:rsidRPr="00F6053C">
        <w:t>); 34:17-19 (</w:t>
      </w:r>
      <w:r>
        <w:t>"</w:t>
      </w:r>
      <w:r w:rsidRPr="00F6053C">
        <w:t>FirstEnergy has budgeted for programs to reach nearly 600,000 MWh, and customers will pay the increased program costs associated with that budget</w:t>
      </w:r>
      <w:r>
        <w:t>"</w:t>
      </w:r>
      <w:r w:rsidRPr="00F6053C">
        <w:t>).</w:t>
      </w:r>
    </w:p>
  </w:footnote>
  <w:footnote w:id="156">
    <w:p w:rsidR="00146AC0" w:rsidP="00146AC0">
      <w:pPr>
        <w:pStyle w:val="FootnoteText"/>
        <w:spacing w:after="120"/>
      </w:pPr>
      <w:r>
        <w:rPr>
          <w:rStyle w:val="FootnoteReference"/>
        </w:rPr>
        <w:footnoteRef/>
      </w:r>
      <w:r>
        <w:t xml:space="preserve"> OCC Ex. 9B (Spellman Direct) at 34:21-22.</w:t>
      </w:r>
    </w:p>
  </w:footnote>
  <w:footnote w:id="157">
    <w:p w:rsidR="00146AC0" w:rsidRPr="00F6053C" w:rsidP="00146AC0">
      <w:pPr>
        <w:pStyle w:val="FootnoteText"/>
        <w:spacing w:after="120"/>
      </w:pPr>
      <w:r w:rsidRPr="00F6053C">
        <w:rPr>
          <w:rStyle w:val="FootnoteReference"/>
        </w:rPr>
        <w:footnoteRef/>
      </w:r>
      <w:r w:rsidRPr="00F6053C">
        <w:t xml:space="preserve"> Id. at 34:22-35:1.</w:t>
      </w:r>
    </w:p>
  </w:footnote>
  <w:footnote w:id="158">
    <w:p w:rsidR="00146AC0" w:rsidRPr="00F6053C" w:rsidP="00146AC0">
      <w:pPr>
        <w:pStyle w:val="FootnoteText"/>
        <w:spacing w:after="120"/>
      </w:pPr>
      <w:r w:rsidRPr="00F6053C">
        <w:rPr>
          <w:rStyle w:val="FootnoteReference"/>
        </w:rPr>
        <w:footnoteRef/>
      </w:r>
      <w:r w:rsidRPr="00F6053C">
        <w:t xml:space="preserve"> Id. at 35:1-3.</w:t>
      </w:r>
    </w:p>
  </w:footnote>
  <w:footnote w:id="159">
    <w:p w:rsidR="00146AC0" w:rsidRPr="00F6053C" w:rsidP="00146AC0">
      <w:pPr>
        <w:pStyle w:val="FootnoteText"/>
        <w:spacing w:after="120"/>
      </w:pPr>
      <w:r w:rsidRPr="00F6053C">
        <w:rPr>
          <w:rStyle w:val="FootnoteReference"/>
        </w:rPr>
        <w:footnoteRef/>
      </w:r>
      <w:r w:rsidRPr="00F6053C">
        <w:t xml:space="preserve"> See, e.g., Opinion &amp; Order ¶ 18, In re Application of Globe Metallurgical, Inc. for Approval of a Unique Arrangement, Case No. 16-737-EL-AEC (Oct. 26, 2016); Fifth Entry on Rehearing ¶ 225, ESP IV Case.</w:t>
      </w:r>
    </w:p>
  </w:footnote>
  <w:footnote w:id="160">
    <w:p w:rsidR="00146AC0" w:rsidRPr="00F6053C" w:rsidP="0082545D">
      <w:pPr>
        <w:pStyle w:val="FootnoteText"/>
        <w:spacing w:after="120"/>
      </w:pPr>
      <w:r w:rsidRPr="00F6053C">
        <w:rPr>
          <w:rStyle w:val="FootnoteReference"/>
        </w:rPr>
        <w:footnoteRef/>
      </w:r>
      <w:r w:rsidRPr="00F6053C">
        <w:t xml:space="preserve"> See, e.g., In re Application of the Dayton Power &amp; Light Co. for Approval to Modify its Competitive Bid True-up Rider, Case No. 14-563-EL-RDR (Sep. 9, 2015); In re Application of the Columbus S. Power Co. &amp; Ohio Power Co., Case No. 05-376- EL-UNC (Feb. 11, 2015); In re Application of Columbus S. Power Co. &amp; Ohio Power Co., for an Increase in Electric Distrib. Rates, Case No. 11-351-EL-AIR (Dec. 14, 2011); In re Application of Ohio Edison Co., The Cleveland Elec. Illuminating Co. &amp; The Toledo Edison Co. for Authority to Provide a Standard Serv. Offer, Case No. 14-1297-EL-SSO (Mar. 31, 2016).</w:t>
      </w:r>
    </w:p>
  </w:footnote>
  <w:footnote w:id="161">
    <w:p w:rsidR="00146AC0" w:rsidRPr="00F6053C" w:rsidP="0082545D">
      <w:pPr>
        <w:pStyle w:val="FootnoteText"/>
        <w:spacing w:after="120"/>
      </w:pPr>
      <w:r w:rsidRPr="00F6053C">
        <w:rPr>
          <w:rStyle w:val="FootnoteReference"/>
        </w:rPr>
        <w:footnoteRef/>
      </w:r>
      <w:r w:rsidRPr="00F6053C">
        <w:t xml:space="preserve"> OCC Ex. 9B (Spellman Direct) at 71:12-72:2.</w:t>
      </w:r>
    </w:p>
  </w:footnote>
  <w:footnote w:id="162">
    <w:p w:rsidR="00146AC0" w:rsidRPr="00F6053C" w:rsidP="0082545D">
      <w:pPr>
        <w:pStyle w:val="FootnoteText"/>
        <w:spacing w:after="120"/>
      </w:pPr>
      <w:r w:rsidRPr="00F6053C">
        <w:rPr>
          <w:rStyle w:val="FootnoteReference"/>
        </w:rPr>
        <w:footnoteRef/>
      </w:r>
      <w:r w:rsidRPr="00F6053C">
        <w:t xml:space="preserve"> Id.</w:t>
      </w:r>
    </w:p>
  </w:footnote>
  <w:footnote w:id="163">
    <w:p w:rsidR="00146AC0" w:rsidRPr="00F6053C" w:rsidP="0082545D">
      <w:pPr>
        <w:pStyle w:val="FootnoteText"/>
        <w:spacing w:after="120"/>
      </w:pPr>
      <w:r w:rsidRPr="00F6053C">
        <w:rPr>
          <w:rStyle w:val="FootnoteReference"/>
        </w:rPr>
        <w:footnoteRef/>
      </w:r>
      <w:r w:rsidRPr="00F6053C">
        <w:t xml:space="preserve"> Id.</w:t>
      </w:r>
    </w:p>
  </w:footnote>
  <w:footnote w:id="164">
    <w:p w:rsidR="00146AC0" w:rsidRPr="00F6053C" w:rsidP="0082545D">
      <w:pPr>
        <w:pStyle w:val="FootnoteText"/>
        <w:spacing w:after="120"/>
      </w:pPr>
      <w:r w:rsidRPr="00F6053C">
        <w:rPr>
          <w:rStyle w:val="FootnoteReference"/>
        </w:rPr>
        <w:footnoteRef/>
      </w:r>
      <w:r w:rsidRPr="00F6053C">
        <w:t xml:space="preserve"> Id.</w:t>
      </w:r>
    </w:p>
  </w:footnote>
  <w:footnote w:id="165">
    <w:p w:rsidR="00146AC0" w:rsidRPr="00F6053C" w:rsidP="0082545D">
      <w:pPr>
        <w:pStyle w:val="FootnoteText"/>
        <w:spacing w:after="120"/>
      </w:pPr>
      <w:r w:rsidRPr="00F6053C">
        <w:rPr>
          <w:rStyle w:val="FootnoteReference"/>
        </w:rPr>
        <w:footnoteRef/>
      </w:r>
      <w:r w:rsidRPr="00F6053C">
        <w:t xml:space="preserve"> Id.</w:t>
      </w:r>
    </w:p>
  </w:footnote>
  <w:footnote w:id="166">
    <w:p w:rsidR="00146AC0" w:rsidRPr="00F6053C" w:rsidP="0082545D">
      <w:pPr>
        <w:pStyle w:val="FootnoteText"/>
        <w:spacing w:after="120"/>
      </w:pPr>
      <w:r w:rsidRPr="00F6053C">
        <w:rPr>
          <w:rStyle w:val="FootnoteReference"/>
        </w:rPr>
        <w:footnoteRef/>
      </w:r>
      <w:r w:rsidRPr="00F6053C">
        <w:t xml:space="preserve"> Id.</w:t>
      </w:r>
    </w:p>
  </w:footnote>
  <w:footnote w:id="167">
    <w:p w:rsidR="00146AC0" w:rsidRPr="00F6053C" w:rsidP="0082545D">
      <w:pPr>
        <w:pStyle w:val="FootnoteText"/>
        <w:spacing w:after="120"/>
      </w:pPr>
      <w:r w:rsidRPr="00F6053C">
        <w:rPr>
          <w:rStyle w:val="FootnoteReference"/>
        </w:rPr>
        <w:footnoteRef/>
      </w:r>
      <w:r w:rsidRPr="00F6053C">
        <w:t xml:space="preserve"> Id.</w:t>
      </w:r>
    </w:p>
  </w:footnote>
  <w:footnote w:id="168">
    <w:p w:rsidR="00146AC0" w:rsidRPr="00F6053C" w:rsidP="0082545D">
      <w:pPr>
        <w:pStyle w:val="FootnoteText"/>
        <w:spacing w:after="120"/>
      </w:pPr>
      <w:r w:rsidRPr="00F6053C">
        <w:rPr>
          <w:rStyle w:val="FootnoteReference"/>
        </w:rPr>
        <w:footnoteRef/>
      </w:r>
      <w:r w:rsidRPr="00F6053C">
        <w:t xml:space="preserve"> Id.</w:t>
      </w:r>
    </w:p>
  </w:footnote>
  <w:footnote w:id="169">
    <w:p w:rsidR="00146AC0" w:rsidRPr="00F6053C" w:rsidP="0082545D">
      <w:pPr>
        <w:pStyle w:val="FootnoteText"/>
        <w:spacing w:after="120"/>
      </w:pPr>
      <w:r w:rsidRPr="00F6053C">
        <w:rPr>
          <w:rStyle w:val="FootnoteReference"/>
        </w:rPr>
        <w:footnoteRef/>
      </w:r>
      <w:r w:rsidRPr="00F6053C">
        <w:t xml:space="preserve"> Ohio Consumers</w:t>
      </w:r>
      <w:r>
        <w:t>'</w:t>
      </w:r>
      <w:r w:rsidRPr="00F6053C">
        <w:t xml:space="preserve"> Counsel v. PUCO, 121 Ohio St. 3d 362, 372 (Pfeifer, J. dissenting).</w:t>
      </w:r>
    </w:p>
  </w:footnote>
  <w:footnote w:id="170">
    <w:p w:rsidR="00146AC0" w:rsidRPr="00F6053C" w:rsidP="0082545D">
      <w:pPr>
        <w:pStyle w:val="FootnoteText"/>
        <w:spacing w:after="120"/>
      </w:pPr>
      <w:r w:rsidRPr="00F6053C">
        <w:rPr>
          <w:rStyle w:val="FootnoteReference"/>
        </w:rPr>
        <w:footnoteRef/>
      </w:r>
      <w:r w:rsidRPr="00F6053C">
        <w:t xml:space="preserve"> OCC Ex. 1 (ESP IV Stipulation) § V.E.3.b.</w:t>
      </w:r>
    </w:p>
  </w:footnote>
  <w:footnote w:id="171">
    <w:p w:rsidR="00146AC0" w:rsidRPr="00F6053C" w:rsidP="0082545D">
      <w:pPr>
        <w:pStyle w:val="FootnoteText"/>
        <w:spacing w:after="120"/>
      </w:pPr>
      <w:r w:rsidRPr="00F6053C">
        <w:rPr>
          <w:rStyle w:val="FootnoteReference"/>
        </w:rPr>
        <w:footnoteRef/>
      </w:r>
      <w:r w:rsidRPr="00F6053C">
        <w:t xml:space="preserve"> Fifth Entry on Rehearing ¶ 325, ESP IV Case (Oct. 12, 2016).</w:t>
      </w:r>
    </w:p>
  </w:footnote>
  <w:footnote w:id="172">
    <w:p w:rsidR="00146AC0" w:rsidRPr="00F6053C" w:rsidP="0082545D">
      <w:pPr>
        <w:pStyle w:val="FootnoteText"/>
        <w:spacing w:after="120"/>
      </w:pPr>
      <w:r w:rsidRPr="00F6053C">
        <w:rPr>
          <w:rStyle w:val="FootnoteReference"/>
        </w:rPr>
        <w:footnoteRef/>
      </w:r>
      <w:r w:rsidRPr="00F6053C">
        <w:t xml:space="preserve"> Id. (emphasis added).</w:t>
      </w:r>
    </w:p>
  </w:footnote>
  <w:footnote w:id="173">
    <w:p w:rsidR="00146AC0" w:rsidRPr="00F6053C" w:rsidP="0082545D">
      <w:pPr>
        <w:pStyle w:val="FootnoteText"/>
        <w:spacing w:after="120"/>
      </w:pPr>
      <w:r w:rsidRPr="00F6053C">
        <w:rPr>
          <w:rStyle w:val="FootnoteReference"/>
        </w:rPr>
        <w:footnoteRef/>
      </w:r>
      <w:r w:rsidRPr="00F6053C">
        <w:t xml:space="preserve"> Id. </w:t>
      </w:r>
    </w:p>
  </w:footnote>
  <w:footnote w:id="174">
    <w:p w:rsidR="00146AC0" w:rsidRPr="00F6053C" w:rsidP="0082545D">
      <w:pPr>
        <w:pStyle w:val="FootnoteText"/>
        <w:spacing w:after="120"/>
      </w:pPr>
      <w:r w:rsidRPr="00F6053C">
        <w:rPr>
          <w:rStyle w:val="FootnoteReference"/>
        </w:rPr>
        <w:footnoteRef/>
      </w:r>
      <w:r w:rsidRPr="00F6053C">
        <w:t xml:space="preserve"> Id.</w:t>
      </w:r>
      <w:r w:rsidR="00BC06F4">
        <w:t xml:space="preserve">  (“The Commission expects the goal to be achieved by efficiently administering the approved programs and achieving energy savings for the least cost rather than by setting the program budget to the stipulated goal.”)</w:t>
      </w:r>
    </w:p>
  </w:footnote>
  <w:footnote w:id="175">
    <w:p w:rsidR="00146AC0" w:rsidRPr="00F6053C" w:rsidP="0082545D">
      <w:pPr>
        <w:pStyle w:val="FootnoteText"/>
        <w:spacing w:after="120"/>
      </w:pPr>
      <w:r w:rsidRPr="00F6053C">
        <w:rPr>
          <w:rStyle w:val="FootnoteReference"/>
        </w:rPr>
        <w:footnoteRef/>
      </w:r>
      <w:r w:rsidRPr="00F6053C">
        <w:t xml:space="preserve"> R.C. 4903.15.</w:t>
      </w:r>
    </w:p>
  </w:footnote>
  <w:footnote w:id="176">
    <w:p w:rsidR="00146AC0" w:rsidRPr="00F6053C" w:rsidP="0082545D">
      <w:pPr>
        <w:pStyle w:val="FootnoteText"/>
        <w:spacing w:after="120"/>
      </w:pPr>
      <w:r w:rsidRPr="00F6053C">
        <w:rPr>
          <w:rStyle w:val="FootnoteReference"/>
        </w:rPr>
        <w:footnoteRef/>
      </w:r>
      <w:r w:rsidRPr="00F6053C">
        <w:t xml:space="preserve"> R.C. 4903.10(B).</w:t>
      </w:r>
    </w:p>
  </w:footnote>
  <w:footnote w:id="177">
    <w:p w:rsidR="00146AC0" w:rsidRPr="00F6053C" w:rsidP="0082545D">
      <w:pPr>
        <w:pStyle w:val="FootnoteText"/>
        <w:tabs>
          <w:tab w:val="left" w:pos="1800"/>
        </w:tabs>
        <w:spacing w:after="120"/>
      </w:pPr>
      <w:r w:rsidRPr="00F6053C">
        <w:rPr>
          <w:rStyle w:val="FootnoteReference"/>
        </w:rPr>
        <w:footnoteRef/>
      </w:r>
      <w:r w:rsidRPr="00F6053C">
        <w:t xml:space="preserve"> R.C. 4903.10(B) (the fact that an application for rehearing is pending </w:t>
      </w:r>
      <w:r>
        <w:t>"</w:t>
      </w:r>
      <w:r w:rsidRPr="00F6053C">
        <w:t>shall not excuse any person from complying with the order</w:t>
      </w:r>
      <w:r>
        <w:t>"</w:t>
      </w:r>
      <w:r w:rsidRPr="00F6053C">
        <w:t>).</w:t>
      </w:r>
    </w:p>
  </w:footnote>
  <w:footnote w:id="178">
    <w:p w:rsidR="00146AC0" w:rsidRPr="00F6053C" w:rsidP="0082545D">
      <w:pPr>
        <w:pStyle w:val="FootnoteText"/>
        <w:spacing w:after="120"/>
      </w:pPr>
      <w:r w:rsidRPr="00F6053C">
        <w:rPr>
          <w:rStyle w:val="FootnoteReference"/>
        </w:rPr>
        <w:footnoteRef/>
      </w:r>
      <w:r w:rsidRPr="00F6053C">
        <w:t xml:space="preserve"> The combined baselines for all three Companies for 2017, 2018, and 2019 are 53,523 GWh; 52,799 GWh; and 52,393 GWh, for a total of 158,714 GWh. See Company Ex. 1, Exhibit DJM-A2, Column 8. The statutory mandate for 2017, 2018, and 2019 is 1.0% of the baseline. See R.C. 4298.66(A). 1% of 158,714 GWh is 1,587 GWh.</w:t>
      </w:r>
    </w:p>
  </w:footnote>
  <w:footnote w:id="179">
    <w:p w:rsidR="00146AC0" w:rsidRPr="00F6053C" w:rsidP="0082545D">
      <w:pPr>
        <w:pStyle w:val="FootnoteText"/>
        <w:spacing w:after="120"/>
      </w:pPr>
      <w:r w:rsidRPr="00F6053C">
        <w:rPr>
          <w:rStyle w:val="FootnoteReference"/>
        </w:rPr>
        <w:footnoteRef/>
      </w:r>
      <w:r w:rsidRPr="00F6053C">
        <w:t xml:space="preserve"> Joint Ex. 1, Exhibit A (1,781,833 MWh targeted from 2017-2019 for all three Companies combined).</w:t>
      </w:r>
    </w:p>
  </w:footnote>
  <w:footnote w:id="180">
    <w:p w:rsidR="00146AC0" w:rsidRPr="00F6053C" w:rsidP="0082545D">
      <w:pPr>
        <w:pStyle w:val="FootnoteText"/>
        <w:spacing w:after="120"/>
      </w:pPr>
      <w:r w:rsidRPr="00F6053C">
        <w:rPr>
          <w:rStyle w:val="FootnoteReference"/>
        </w:rPr>
        <w:footnoteRef/>
      </w:r>
      <w:r w:rsidRPr="00F6053C">
        <w:t xml:space="preserve"> Tr. I at 71:9-13 (Miller).</w:t>
      </w:r>
    </w:p>
  </w:footnote>
  <w:footnote w:id="181">
    <w:p w:rsidR="00146AC0" w:rsidRPr="00F6053C" w:rsidP="0082545D">
      <w:pPr>
        <w:pStyle w:val="FootnoteText"/>
        <w:spacing w:after="120"/>
      </w:pPr>
      <w:r w:rsidRPr="00F6053C">
        <w:rPr>
          <w:rStyle w:val="FootnoteReference"/>
        </w:rPr>
        <w:footnoteRef/>
      </w:r>
      <w:r w:rsidRPr="00F6053C">
        <w:t xml:space="preserve"> Fifth Entry on Rehearing ¶ 325, ESP IV Case (Oct. 12, 2016).</w:t>
      </w:r>
    </w:p>
  </w:footnote>
  <w:footnote w:id="182">
    <w:p w:rsidR="00146AC0" w:rsidRPr="00F6053C" w:rsidP="0082545D">
      <w:pPr>
        <w:pStyle w:val="FootnoteText"/>
        <w:spacing w:after="120"/>
      </w:pPr>
      <w:r w:rsidRPr="00F6053C">
        <w:rPr>
          <w:rStyle w:val="FootnoteReference"/>
        </w:rPr>
        <w:footnoteRef/>
      </w:r>
      <w:r w:rsidRPr="00F6053C">
        <w:t xml:space="preserve"> Joint Ex. 1 § V.R.</w:t>
      </w:r>
    </w:p>
  </w:footnote>
  <w:footnote w:id="183">
    <w:p w:rsidR="00146AC0" w:rsidRPr="00F6053C" w:rsidP="0082545D">
      <w:pPr>
        <w:pStyle w:val="FootnoteText"/>
        <w:spacing w:after="120"/>
        <w:rPr>
          <w:b/>
        </w:rPr>
      </w:pPr>
      <w:r w:rsidRPr="00F6053C">
        <w:rPr>
          <w:rStyle w:val="FootnoteReference"/>
        </w:rPr>
        <w:footnoteRef/>
      </w:r>
      <w:r w:rsidRPr="00F6053C">
        <w:t xml:space="preserve"> </w:t>
      </w:r>
      <w:r>
        <w:t>See section III.A.ii.a above.</w:t>
      </w:r>
    </w:p>
  </w:footnote>
  <w:footnote w:id="184">
    <w:p w:rsidR="00146AC0" w:rsidRPr="00F6053C" w:rsidP="0082545D">
      <w:pPr>
        <w:pStyle w:val="FootnoteText"/>
        <w:spacing w:after="120"/>
      </w:pPr>
      <w:r w:rsidRPr="00F6053C">
        <w:rPr>
          <w:rStyle w:val="FootnoteReference"/>
        </w:rPr>
        <w:footnoteRef/>
      </w:r>
      <w:r w:rsidRPr="00F6053C">
        <w:t xml:space="preserve"> PUCO Staff Ex. 1 (Donlon Direct) at 8:165-167 (</w:t>
      </w:r>
      <w:r>
        <w:t>"</w:t>
      </w:r>
      <w:r w:rsidRPr="00F6053C">
        <w:t>Shared savings is a Commission-created incentive mechanism to encourage the Companies to exceed the state-mandated level of energy efficiency in a cost effective manner.</w:t>
      </w:r>
      <w:r>
        <w:t>"</w:t>
      </w:r>
      <w:r w:rsidRPr="00F6053C">
        <w:t>); 9:190-10:198.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E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A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AC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AC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E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A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A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A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A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A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D2AA6EEA"/>
    <w:lvl w:ilvl="0">
      <w:start w:val="1"/>
      <w:numFmt w:val="decimal"/>
      <w:lvlText w:val="%1."/>
      <w:lvlJc w:val="left"/>
      <w:pPr>
        <w:tabs>
          <w:tab w:val="num" w:pos="1080"/>
        </w:tabs>
        <w:ind w:left="1080" w:hanging="360"/>
      </w:pPr>
    </w:lvl>
  </w:abstractNum>
  <w:abstractNum w:abstractNumId="1">
    <w:nsid w:val="FFFFFF7F"/>
    <w:multiLevelType w:val="singleLevel"/>
    <w:tmpl w:val="4C1E9440"/>
    <w:lvl w:ilvl="0">
      <w:start w:val="1"/>
      <w:numFmt w:val="decimal"/>
      <w:lvlText w:val="%1."/>
      <w:lvlJc w:val="left"/>
      <w:pPr>
        <w:tabs>
          <w:tab w:val="num" w:pos="720"/>
        </w:tabs>
        <w:ind w:left="720" w:hanging="360"/>
      </w:pPr>
    </w:lvl>
  </w:abstractNum>
  <w:abstractNum w:abstractNumId="2">
    <w:nsid w:val="FFFFFF80"/>
    <w:multiLevelType w:val="singleLevel"/>
    <w:tmpl w:val="05C221D6"/>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00005658"/>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CC14983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86B68DB4"/>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7598B8F0"/>
    <w:lvl w:ilvl="0">
      <w:start w:val="1"/>
      <w:numFmt w:val="decimal"/>
      <w:lvlText w:val="%1."/>
      <w:lvlJc w:val="left"/>
      <w:pPr>
        <w:tabs>
          <w:tab w:val="num" w:pos="360"/>
        </w:tabs>
        <w:ind w:left="360" w:hanging="360"/>
      </w:pPr>
    </w:lvl>
  </w:abstractNum>
  <w:abstractNum w:abstractNumId="7">
    <w:nsid w:val="FFFFFF89"/>
    <w:multiLevelType w:val="singleLevel"/>
    <w:tmpl w:val="4D4A9FCA"/>
    <w:lvl w:ilvl="0">
      <w:start w:val="1"/>
      <w:numFmt w:val="bullet"/>
      <w:lvlText w:val=""/>
      <w:lvlJc w:val="left"/>
      <w:pPr>
        <w:tabs>
          <w:tab w:val="num" w:pos="360"/>
        </w:tabs>
        <w:ind w:left="360" w:hanging="360"/>
      </w:pPr>
      <w:rPr>
        <w:rFonts w:ascii="Symbol" w:hAnsi="Symbol" w:hint="default"/>
      </w:rPr>
    </w:lvl>
  </w:abstractNum>
  <w:abstractNum w:abstractNumId="8">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D7B6992"/>
    <w:multiLevelType w:val="hybridMultilevel"/>
    <w:tmpl w:val="A87C306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2">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F74287D"/>
    <w:multiLevelType w:val="hybridMultilevel"/>
    <w:tmpl w:val="1760228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6">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9"/>
  </w:num>
  <w:num w:numId="3">
    <w:abstractNumId w:val="25"/>
  </w:num>
  <w:num w:numId="4">
    <w:abstractNumId w:val="13"/>
  </w:num>
  <w:num w:numId="5">
    <w:abstractNumId w:val="16"/>
  </w:num>
  <w:num w:numId="6">
    <w:abstractNumId w:val="22"/>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9"/>
  </w:num>
  <w:num w:numId="16">
    <w:abstractNumId w:val="18"/>
  </w:num>
  <w:num w:numId="17">
    <w:abstractNumId w:val="20"/>
  </w:num>
  <w:num w:numId="18">
    <w:abstractNumId w:val="21"/>
  </w:num>
  <w:num w:numId="19">
    <w:abstractNumId w:val="12"/>
  </w:num>
  <w:num w:numId="20">
    <w:abstractNumId w:val="24"/>
  </w:num>
  <w:num w:numId="21">
    <w:abstractNumId w:val="15"/>
  </w:num>
  <w:num w:numId="22">
    <w:abstractNumId w:val="26"/>
  </w:num>
  <w:num w:numId="23">
    <w:abstractNumId w:val="8"/>
  </w:num>
  <w:num w:numId="24">
    <w:abstractNumId w:val="14"/>
  </w:num>
  <w:num w:numId="25">
    <w:abstractNumId w:val="10"/>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0F5657"/>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0F5657"/>
    <w:pPr>
      <w:keepNext/>
      <w:spacing w:after="240"/>
      <w:ind w:left="1440" w:right="72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unhideWhenUsed/>
    <w:qFormat/>
    <w:rsid w:val="000F5657"/>
    <w:pPr>
      <w:keepNext/>
      <w:keepLines/>
      <w:spacing w:after="240"/>
      <w:ind w:left="2160" w:right="810" w:hanging="720"/>
      <w:outlineLvl w:val="2"/>
    </w:pPr>
    <w:rPr>
      <w:rFonts w:ascii="Times New Roman Bold" w:hAnsi="Times New Roman Bold" w:eastAsiaTheme="majorEastAsia" w:cstheme="majorBidi"/>
      <w:b/>
      <w:bCs/>
    </w:rPr>
  </w:style>
  <w:style w:type="paragraph" w:styleId="Heading4">
    <w:name w:val="heading 4"/>
    <w:basedOn w:val="Normal"/>
    <w:next w:val="Normal"/>
    <w:link w:val="Heading4Char"/>
    <w:autoRedefine/>
    <w:uiPriority w:val="9"/>
    <w:unhideWhenUsed/>
    <w:qFormat/>
    <w:rsid w:val="00CE0FD6"/>
    <w:pPr>
      <w:keepNext/>
      <w:keepLines/>
      <w:spacing w:after="240"/>
      <w:ind w:left="288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autoRedefine/>
    <w:uiPriority w:val="9"/>
    <w:unhideWhenUsed/>
    <w:qFormat/>
    <w:rsid w:val="000F5657"/>
    <w:pPr>
      <w:keepNext/>
      <w:keepLines/>
      <w:spacing w:after="240"/>
      <w:ind w:left="3600" w:right="720" w:hanging="720"/>
      <w:outlineLvl w:val="4"/>
    </w:pPr>
    <w:rPr>
      <w:rFonts w:ascii="Times New Roman Bold" w:hAnsi="Times New Roman Bold"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657"/>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0F5657"/>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0F5657"/>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350235"/>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350235"/>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uiPriority w:val="59"/>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E0FD6"/>
    <w:rPr>
      <w:rFonts w:ascii="Times New Roman Bold" w:hAnsi="Times New Roman Bold" w:eastAsiaTheme="majorEastAsia" w:cstheme="majorBidi"/>
      <w:b/>
      <w:bCs/>
      <w:iCs/>
      <w:sz w:val="24"/>
      <w:szCs w:val="20"/>
    </w:rPr>
  </w:style>
  <w:style w:type="character" w:customStyle="1" w:styleId="Heading5Char">
    <w:name w:val="Heading 5 Char"/>
    <w:basedOn w:val="DefaultParagraphFont"/>
    <w:link w:val="Heading5"/>
    <w:uiPriority w:val="9"/>
    <w:rsid w:val="000F5657"/>
    <w:rPr>
      <w:rFonts w:ascii="Times New Roman Bold" w:hAnsi="Times New Roman Bold" w:eastAsiaTheme="majorEastAsia" w:cstheme="majorBidi"/>
      <w:b/>
      <w:sz w:val="24"/>
      <w:szCs w:val="20"/>
    </w:rPr>
  </w:style>
  <w:style w:type="paragraph" w:styleId="TOC3">
    <w:name w:val="toc 3"/>
    <w:basedOn w:val="Normal"/>
    <w:next w:val="Normal"/>
    <w:autoRedefine/>
    <w:uiPriority w:val="39"/>
    <w:unhideWhenUsed/>
    <w:qFormat/>
    <w:rsid w:val="00350235"/>
    <w:pPr>
      <w:tabs>
        <w:tab w:val="decimal" w:leader="dot" w:pos="8640"/>
      </w:tabs>
      <w:spacing w:after="240"/>
      <w:ind w:left="2160" w:hanging="720"/>
      <w:outlineLvl w:val="2"/>
    </w:pPr>
  </w:style>
  <w:style w:type="paragraph" w:styleId="TOC4">
    <w:name w:val="toc 4"/>
    <w:basedOn w:val="Normal"/>
    <w:next w:val="Normal"/>
    <w:autoRedefine/>
    <w:uiPriority w:val="39"/>
    <w:unhideWhenUsed/>
    <w:qFormat/>
    <w:rsid w:val="00350235"/>
    <w:pPr>
      <w:tabs>
        <w:tab w:val="decimal" w:leader="dot" w:pos="8640"/>
      </w:tabs>
      <w:spacing w:after="240"/>
      <w:ind w:left="2880" w:hanging="720"/>
    </w:pPr>
  </w:style>
  <w:style w:type="paragraph" w:styleId="TOC5">
    <w:name w:val="toc 5"/>
    <w:basedOn w:val="Normal"/>
    <w:next w:val="Normal"/>
    <w:autoRedefine/>
    <w:uiPriority w:val="39"/>
    <w:unhideWhenUsed/>
    <w:qFormat/>
    <w:rsid w:val="00CE0FD6"/>
    <w:pPr>
      <w:tabs>
        <w:tab w:val="decimal" w:leader="dot" w:pos="8640"/>
      </w:tabs>
      <w:spacing w:after="240"/>
      <w:ind w:left="3600" w:hanging="72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footer" Target="footer5.xml" /><Relationship Id="rId18" Type="http://schemas.openxmlformats.org/officeDocument/2006/relationships/header" Target="header9.xml" /><Relationship Id="rId19" Type="http://schemas.openxmlformats.org/officeDocument/2006/relationships/header" Target="header10.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image" Target="media/image1.emf" /><Relationship Id="rId22" Type="http://schemas.openxmlformats.org/officeDocument/2006/relationships/header" Target="header11.xml" /><Relationship Id="rId23" Type="http://schemas.openxmlformats.org/officeDocument/2006/relationships/header" Target="header12.xml" /><Relationship Id="rId24" Type="http://schemas.openxmlformats.org/officeDocument/2006/relationships/footer" Target="footer7.xml" /><Relationship Id="rId25" Type="http://schemas.openxmlformats.org/officeDocument/2006/relationships/header" Target="header13.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9682</Words>
  <Characters>55188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FE 16-743 - Initial Post-Hearing Brief.DOCX</vt:lpstr>
    </vt:vector>
  </TitlesOfParts>
  <Company/>
  <LinksUpToDate>false</LinksUpToDate>
  <CharactersWithSpaces>64741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2017-02-21T19:51:10Z</dcterms:created>
  <dcterms:modified xsi:type="dcterms:W3CDTF">2017-02-21T19:51:10Z</dcterms:modified>
</cp:coreProperties>
</file>