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D8B06" w14:textId="77777777" w:rsidR="0018700C" w:rsidRPr="00521673" w:rsidRDefault="0018700C" w:rsidP="00C028C0">
      <w:pPr>
        <w:pStyle w:val="Title"/>
        <w:widowControl w:val="0"/>
        <w:rPr>
          <w:rFonts w:ascii="Arial" w:hAnsi="Arial" w:cs="Arial"/>
          <w:szCs w:val="24"/>
        </w:rPr>
      </w:pPr>
      <w:bookmarkStart w:id="0" w:name="_GoBack"/>
      <w:bookmarkEnd w:id="0"/>
      <w:r w:rsidRPr="00521673">
        <w:rPr>
          <w:rFonts w:ascii="Arial" w:hAnsi="Arial" w:cs="Arial"/>
          <w:szCs w:val="24"/>
        </w:rPr>
        <w:t>BEFORE</w:t>
      </w:r>
    </w:p>
    <w:p w14:paraId="7CEB6C46" w14:textId="77777777" w:rsidR="0018700C" w:rsidRPr="00521673" w:rsidRDefault="0018700C" w:rsidP="0018700C">
      <w:pPr>
        <w:widowControl w:val="0"/>
        <w:jc w:val="center"/>
        <w:rPr>
          <w:rFonts w:ascii="Arial" w:hAnsi="Arial" w:cs="Arial"/>
          <w:b/>
          <w:sz w:val="24"/>
          <w:szCs w:val="24"/>
        </w:rPr>
      </w:pPr>
      <w:r w:rsidRPr="00521673">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18700C" w:rsidRPr="00521673" w14:paraId="1656B593" w14:textId="77777777" w:rsidTr="00CA5A1B">
        <w:trPr>
          <w:trHeight w:val="1288"/>
          <w:jc w:val="center"/>
        </w:trPr>
        <w:tc>
          <w:tcPr>
            <w:tcW w:w="4769" w:type="dxa"/>
          </w:tcPr>
          <w:p w14:paraId="6EA5A673" w14:textId="77777777" w:rsidR="00521673" w:rsidRPr="00521673" w:rsidRDefault="00521673" w:rsidP="00521673">
            <w:pPr>
              <w:autoSpaceDE w:val="0"/>
              <w:autoSpaceDN w:val="0"/>
              <w:adjustRightInd w:val="0"/>
              <w:spacing w:after="0" w:line="240" w:lineRule="auto"/>
              <w:rPr>
                <w:rFonts w:ascii="Arial" w:hAnsi="Arial" w:cs="Arial"/>
                <w:sz w:val="24"/>
                <w:szCs w:val="24"/>
              </w:rPr>
            </w:pPr>
            <w:r w:rsidRPr="00521673">
              <w:rPr>
                <w:rFonts w:ascii="Arial" w:hAnsi="Arial" w:cs="Arial"/>
                <w:sz w:val="24"/>
                <w:szCs w:val="24"/>
              </w:rPr>
              <w:t>In the Matter of the Commission’s Review</w:t>
            </w:r>
          </w:p>
          <w:p w14:paraId="63EF6EB4" w14:textId="77777777" w:rsidR="00521673" w:rsidRPr="00521673" w:rsidRDefault="00521673" w:rsidP="00521673">
            <w:pPr>
              <w:autoSpaceDE w:val="0"/>
              <w:autoSpaceDN w:val="0"/>
              <w:adjustRightInd w:val="0"/>
              <w:spacing w:after="0" w:line="240" w:lineRule="auto"/>
              <w:rPr>
                <w:rFonts w:ascii="Arial" w:hAnsi="Arial" w:cs="Arial"/>
                <w:sz w:val="24"/>
                <w:szCs w:val="24"/>
              </w:rPr>
            </w:pPr>
            <w:r w:rsidRPr="00521673">
              <w:rPr>
                <w:rFonts w:ascii="Arial" w:hAnsi="Arial" w:cs="Arial"/>
                <w:sz w:val="24"/>
                <w:szCs w:val="24"/>
              </w:rPr>
              <w:t>of Customer Rate Impacts from Ohio</w:t>
            </w:r>
          </w:p>
          <w:p w14:paraId="7376E301" w14:textId="77777777" w:rsidR="00521673" w:rsidRPr="00521673" w:rsidRDefault="00521673" w:rsidP="00521673">
            <w:pPr>
              <w:autoSpaceDE w:val="0"/>
              <w:autoSpaceDN w:val="0"/>
              <w:adjustRightInd w:val="0"/>
              <w:spacing w:after="0" w:line="240" w:lineRule="auto"/>
              <w:rPr>
                <w:rFonts w:ascii="Arial" w:hAnsi="Arial" w:cs="Arial"/>
                <w:sz w:val="24"/>
                <w:szCs w:val="24"/>
              </w:rPr>
            </w:pPr>
            <w:r w:rsidRPr="00521673">
              <w:rPr>
                <w:rFonts w:ascii="Arial" w:hAnsi="Arial" w:cs="Arial"/>
                <w:sz w:val="24"/>
                <w:szCs w:val="24"/>
              </w:rPr>
              <w:t>Power Company’s Transition to Market</w:t>
            </w:r>
          </w:p>
          <w:p w14:paraId="32EF819E" w14:textId="77777777" w:rsidR="0018700C" w:rsidRPr="00521673" w:rsidRDefault="00521673" w:rsidP="00521673">
            <w:pPr>
              <w:widowControl w:val="0"/>
              <w:spacing w:after="0" w:line="240" w:lineRule="auto"/>
              <w:rPr>
                <w:rFonts w:ascii="Arial" w:hAnsi="Arial" w:cs="Arial"/>
                <w:sz w:val="24"/>
                <w:szCs w:val="24"/>
              </w:rPr>
            </w:pPr>
            <w:r w:rsidRPr="00521673">
              <w:rPr>
                <w:rFonts w:ascii="Arial" w:hAnsi="Arial" w:cs="Arial"/>
                <w:sz w:val="24"/>
                <w:szCs w:val="24"/>
              </w:rPr>
              <w:t>Based Rates.</w:t>
            </w:r>
          </w:p>
          <w:p w14:paraId="294C65BD" w14:textId="77777777" w:rsidR="00521673" w:rsidRPr="00521673" w:rsidRDefault="00521673" w:rsidP="00521673">
            <w:pPr>
              <w:widowControl w:val="0"/>
              <w:spacing w:after="0" w:line="240" w:lineRule="auto"/>
              <w:rPr>
                <w:rFonts w:ascii="Arial" w:hAnsi="Arial" w:cs="Arial"/>
                <w:sz w:val="24"/>
                <w:szCs w:val="24"/>
              </w:rPr>
            </w:pPr>
          </w:p>
        </w:tc>
        <w:tc>
          <w:tcPr>
            <w:tcW w:w="634" w:type="dxa"/>
          </w:tcPr>
          <w:p w14:paraId="72E7C73E" w14:textId="77777777" w:rsidR="0018700C" w:rsidRPr="00521673" w:rsidRDefault="0018700C" w:rsidP="00CA5A1B">
            <w:pPr>
              <w:widowControl w:val="0"/>
              <w:spacing w:after="0" w:line="240" w:lineRule="auto"/>
              <w:jc w:val="center"/>
              <w:rPr>
                <w:rFonts w:ascii="Arial" w:hAnsi="Arial" w:cs="Arial"/>
                <w:sz w:val="24"/>
                <w:szCs w:val="24"/>
              </w:rPr>
            </w:pPr>
            <w:r w:rsidRPr="00521673">
              <w:rPr>
                <w:rFonts w:ascii="Arial" w:hAnsi="Arial" w:cs="Arial"/>
                <w:sz w:val="24"/>
                <w:szCs w:val="24"/>
              </w:rPr>
              <w:t>)</w:t>
            </w:r>
          </w:p>
          <w:p w14:paraId="40D38F95" w14:textId="77777777" w:rsidR="0018700C" w:rsidRPr="00521673" w:rsidRDefault="0018700C" w:rsidP="00CA5A1B">
            <w:pPr>
              <w:widowControl w:val="0"/>
              <w:spacing w:after="0" w:line="240" w:lineRule="auto"/>
              <w:jc w:val="center"/>
              <w:rPr>
                <w:rFonts w:ascii="Arial" w:hAnsi="Arial" w:cs="Arial"/>
                <w:sz w:val="24"/>
                <w:szCs w:val="24"/>
              </w:rPr>
            </w:pPr>
            <w:r w:rsidRPr="00521673">
              <w:rPr>
                <w:rFonts w:ascii="Arial" w:hAnsi="Arial" w:cs="Arial"/>
                <w:sz w:val="24"/>
                <w:szCs w:val="24"/>
              </w:rPr>
              <w:t>)</w:t>
            </w:r>
          </w:p>
          <w:p w14:paraId="0F381CED" w14:textId="77777777" w:rsidR="0018700C" w:rsidRPr="00521673" w:rsidRDefault="0018700C" w:rsidP="00CA5A1B">
            <w:pPr>
              <w:widowControl w:val="0"/>
              <w:spacing w:after="0" w:line="240" w:lineRule="auto"/>
              <w:jc w:val="center"/>
              <w:rPr>
                <w:rFonts w:ascii="Arial" w:hAnsi="Arial" w:cs="Arial"/>
                <w:sz w:val="24"/>
                <w:szCs w:val="24"/>
              </w:rPr>
            </w:pPr>
            <w:r w:rsidRPr="00521673">
              <w:rPr>
                <w:rFonts w:ascii="Arial" w:hAnsi="Arial" w:cs="Arial"/>
                <w:sz w:val="24"/>
                <w:szCs w:val="24"/>
              </w:rPr>
              <w:t>)</w:t>
            </w:r>
          </w:p>
        </w:tc>
        <w:tc>
          <w:tcPr>
            <w:tcW w:w="3954" w:type="dxa"/>
          </w:tcPr>
          <w:p w14:paraId="76BA62BF" w14:textId="77777777" w:rsidR="0018700C" w:rsidRPr="00521673" w:rsidRDefault="0018700C" w:rsidP="00CA5A1B">
            <w:pPr>
              <w:widowControl w:val="0"/>
              <w:spacing w:after="0" w:line="240" w:lineRule="auto"/>
              <w:rPr>
                <w:rFonts w:ascii="Arial" w:hAnsi="Arial" w:cs="Arial"/>
                <w:sz w:val="24"/>
                <w:szCs w:val="24"/>
              </w:rPr>
            </w:pPr>
          </w:p>
          <w:p w14:paraId="676B317F" w14:textId="77777777" w:rsidR="0018700C" w:rsidRPr="00521673" w:rsidRDefault="00521673" w:rsidP="00CA5A1B">
            <w:pPr>
              <w:widowControl w:val="0"/>
              <w:spacing w:after="0" w:line="240" w:lineRule="auto"/>
              <w:rPr>
                <w:rFonts w:ascii="Arial" w:hAnsi="Arial" w:cs="Arial"/>
                <w:sz w:val="24"/>
                <w:szCs w:val="24"/>
              </w:rPr>
            </w:pPr>
            <w:r w:rsidRPr="00521673">
              <w:rPr>
                <w:rFonts w:ascii="Arial" w:hAnsi="Arial" w:cs="Arial"/>
                <w:sz w:val="24"/>
                <w:szCs w:val="24"/>
              </w:rPr>
              <w:t>Case No. 13-1530-EL-UNC</w:t>
            </w:r>
          </w:p>
        </w:tc>
      </w:tr>
    </w:tbl>
    <w:p w14:paraId="1780731D" w14:textId="77777777" w:rsidR="0018700C" w:rsidRPr="00696012" w:rsidRDefault="0018700C" w:rsidP="0018700C">
      <w:pPr>
        <w:pStyle w:val="Footer"/>
        <w:pBdr>
          <w:top w:val="single" w:sz="12" w:space="1" w:color="auto"/>
          <w:bottom w:val="single" w:sz="12" w:space="1" w:color="auto"/>
        </w:pBdr>
        <w:tabs>
          <w:tab w:val="left" w:pos="4320"/>
        </w:tabs>
        <w:rPr>
          <w:rFonts w:ascii="Arial" w:hAnsi="Arial" w:cs="Arial"/>
          <w:sz w:val="24"/>
          <w:szCs w:val="24"/>
        </w:rPr>
      </w:pPr>
    </w:p>
    <w:p w14:paraId="35CCE78B" w14:textId="77777777" w:rsidR="0018700C" w:rsidRPr="00696012" w:rsidRDefault="0018700C" w:rsidP="0018700C">
      <w:pPr>
        <w:pStyle w:val="Footer"/>
        <w:pBdr>
          <w:top w:val="single" w:sz="12" w:space="1" w:color="auto"/>
          <w:bottom w:val="single" w:sz="12" w:space="1" w:color="auto"/>
        </w:pBdr>
        <w:tabs>
          <w:tab w:val="left" w:pos="4320"/>
        </w:tabs>
        <w:jc w:val="center"/>
        <w:rPr>
          <w:rFonts w:ascii="Arial" w:hAnsi="Arial" w:cs="Arial"/>
          <w:b/>
          <w:sz w:val="24"/>
          <w:szCs w:val="24"/>
        </w:rPr>
      </w:pPr>
      <w:r w:rsidRPr="00696012">
        <w:rPr>
          <w:rFonts w:ascii="Arial" w:hAnsi="Arial" w:cs="Arial"/>
          <w:b/>
          <w:sz w:val="24"/>
          <w:szCs w:val="24"/>
        </w:rPr>
        <w:t xml:space="preserve">COMMENTS OF INTERSTATE GAS SUPPLY, INC </w:t>
      </w:r>
    </w:p>
    <w:p w14:paraId="10DB8854" w14:textId="77777777" w:rsidR="0018700C" w:rsidRPr="00696012" w:rsidRDefault="0018700C" w:rsidP="0018700C">
      <w:pPr>
        <w:pStyle w:val="Footer"/>
        <w:pBdr>
          <w:top w:val="single" w:sz="12" w:space="1" w:color="auto"/>
          <w:bottom w:val="single" w:sz="12" w:space="1" w:color="auto"/>
        </w:pBdr>
        <w:tabs>
          <w:tab w:val="left" w:pos="4320"/>
        </w:tabs>
        <w:rPr>
          <w:rFonts w:ascii="Arial" w:hAnsi="Arial" w:cs="Arial"/>
          <w:sz w:val="24"/>
          <w:szCs w:val="24"/>
        </w:rPr>
      </w:pPr>
    </w:p>
    <w:p w14:paraId="5109C745" w14:textId="77777777" w:rsidR="0018700C" w:rsidRDefault="0018700C" w:rsidP="0018700C"/>
    <w:p w14:paraId="7F2E8A37" w14:textId="77777777" w:rsidR="0018700C" w:rsidRDefault="0018700C" w:rsidP="0018700C">
      <w:pPr>
        <w:pStyle w:val="ListParagraph"/>
        <w:numPr>
          <w:ilvl w:val="0"/>
          <w:numId w:val="1"/>
        </w:numPr>
        <w:spacing w:line="480" w:lineRule="auto"/>
        <w:jc w:val="both"/>
        <w:rPr>
          <w:rFonts w:ascii="Arial" w:hAnsi="Arial" w:cs="Arial"/>
          <w:b/>
          <w:sz w:val="24"/>
          <w:szCs w:val="24"/>
        </w:rPr>
      </w:pPr>
      <w:r w:rsidRPr="0050475B">
        <w:rPr>
          <w:rFonts w:ascii="Arial" w:hAnsi="Arial" w:cs="Arial"/>
          <w:b/>
          <w:sz w:val="24"/>
          <w:szCs w:val="24"/>
        </w:rPr>
        <w:t>INTRODUCTION</w:t>
      </w:r>
    </w:p>
    <w:p w14:paraId="37794C41" w14:textId="77777777" w:rsidR="00983B86" w:rsidRDefault="00D846EA" w:rsidP="00983B86">
      <w:pPr>
        <w:spacing w:line="480" w:lineRule="auto"/>
        <w:ind w:firstLine="360"/>
        <w:jc w:val="both"/>
        <w:rPr>
          <w:rFonts w:ascii="Arial" w:hAnsi="Arial" w:cs="Arial"/>
          <w:sz w:val="24"/>
          <w:szCs w:val="24"/>
        </w:rPr>
      </w:pPr>
      <w:r w:rsidRPr="00D846EA">
        <w:rPr>
          <w:rFonts w:ascii="Arial" w:hAnsi="Arial" w:cs="Arial"/>
          <w:sz w:val="24"/>
          <w:szCs w:val="24"/>
        </w:rPr>
        <w:t>O</w:t>
      </w:r>
      <w:r w:rsidR="008803D7" w:rsidRPr="00D846EA">
        <w:rPr>
          <w:rFonts w:ascii="Arial" w:hAnsi="Arial" w:cs="Arial"/>
          <w:sz w:val="24"/>
          <w:szCs w:val="24"/>
        </w:rPr>
        <w:t>n June 27, 2013,</w:t>
      </w:r>
      <w:r w:rsidRPr="00D846EA">
        <w:rPr>
          <w:rFonts w:ascii="Arial" w:hAnsi="Arial" w:cs="Arial"/>
          <w:sz w:val="24"/>
          <w:szCs w:val="24"/>
        </w:rPr>
        <w:t xml:space="preserve"> the Commission issued and Entry in the above captioned proceeding</w:t>
      </w:r>
      <w:r w:rsidR="008803D7" w:rsidRPr="00D846EA">
        <w:rPr>
          <w:rFonts w:ascii="Arial" w:hAnsi="Arial" w:cs="Arial"/>
          <w:sz w:val="24"/>
          <w:szCs w:val="24"/>
        </w:rPr>
        <w:t xml:space="preserve"> </w:t>
      </w:r>
      <w:r w:rsidRPr="00D846EA">
        <w:rPr>
          <w:rFonts w:ascii="Arial" w:hAnsi="Arial" w:cs="Arial"/>
          <w:sz w:val="24"/>
          <w:szCs w:val="24"/>
        </w:rPr>
        <w:t>requesting comments of interested parties</w:t>
      </w:r>
      <w:r w:rsidR="00251EDC">
        <w:rPr>
          <w:rFonts w:ascii="Arial" w:hAnsi="Arial" w:cs="Arial"/>
          <w:sz w:val="24"/>
          <w:szCs w:val="24"/>
        </w:rPr>
        <w:t xml:space="preserve"> on how to avoid adverse customer</w:t>
      </w:r>
      <w:r w:rsidR="00C22603">
        <w:rPr>
          <w:rFonts w:ascii="Arial" w:hAnsi="Arial" w:cs="Arial"/>
          <w:sz w:val="24"/>
          <w:szCs w:val="24"/>
        </w:rPr>
        <w:t xml:space="preserve"> rate</w:t>
      </w:r>
      <w:r w:rsidR="00251EDC">
        <w:rPr>
          <w:rFonts w:ascii="Arial" w:hAnsi="Arial" w:cs="Arial"/>
          <w:sz w:val="24"/>
          <w:szCs w:val="24"/>
        </w:rPr>
        <w:t xml:space="preserve"> impacts as AEP-Ohio </w:t>
      </w:r>
      <w:r w:rsidR="00AF7BF7">
        <w:rPr>
          <w:rFonts w:ascii="Arial" w:hAnsi="Arial" w:cs="Arial"/>
          <w:sz w:val="24"/>
          <w:szCs w:val="24"/>
        </w:rPr>
        <w:t xml:space="preserve">(“AEP”) </w:t>
      </w:r>
      <w:r w:rsidR="00251EDC">
        <w:rPr>
          <w:rFonts w:ascii="Arial" w:hAnsi="Arial" w:cs="Arial"/>
          <w:sz w:val="24"/>
          <w:szCs w:val="24"/>
        </w:rPr>
        <w:t>transitions to market based rates</w:t>
      </w:r>
      <w:r w:rsidR="00A44463">
        <w:rPr>
          <w:rFonts w:ascii="Arial" w:hAnsi="Arial" w:cs="Arial"/>
          <w:sz w:val="24"/>
          <w:szCs w:val="24"/>
        </w:rPr>
        <w:t>.</w:t>
      </w:r>
      <w:r w:rsidRPr="00D846EA">
        <w:rPr>
          <w:rFonts w:ascii="Arial" w:hAnsi="Arial" w:cs="Arial"/>
          <w:sz w:val="24"/>
          <w:szCs w:val="24"/>
        </w:rPr>
        <w:t xml:space="preserve"> </w:t>
      </w:r>
      <w:r w:rsidR="00983B86">
        <w:rPr>
          <w:rFonts w:ascii="Arial" w:hAnsi="Arial" w:cs="Arial"/>
          <w:sz w:val="24"/>
          <w:szCs w:val="24"/>
        </w:rPr>
        <w:t>Specifically, the Commission requested comments on, without limitation: “</w:t>
      </w:r>
      <w:r w:rsidR="00983B86" w:rsidRPr="00983B86">
        <w:rPr>
          <w:rFonts w:ascii="Arial" w:hAnsi="Arial" w:cs="Arial"/>
          <w:sz w:val="24"/>
          <w:szCs w:val="24"/>
        </w:rPr>
        <w:t>cross subsidies among</w:t>
      </w:r>
      <w:r w:rsidR="00983B86">
        <w:rPr>
          <w:rFonts w:ascii="Arial" w:hAnsi="Arial" w:cs="Arial"/>
          <w:sz w:val="24"/>
          <w:szCs w:val="24"/>
        </w:rPr>
        <w:t xml:space="preserve"> tariff classes; phase-outs of </w:t>
      </w:r>
      <w:r w:rsidR="00983B86" w:rsidRPr="00983B86">
        <w:rPr>
          <w:rFonts w:ascii="Arial" w:hAnsi="Arial" w:cs="Arial"/>
          <w:sz w:val="24"/>
          <w:szCs w:val="24"/>
        </w:rPr>
        <w:t>historic rate design mechanism</w:t>
      </w:r>
      <w:r w:rsidR="00983B86">
        <w:rPr>
          <w:rFonts w:ascii="Arial" w:hAnsi="Arial" w:cs="Arial"/>
          <w:sz w:val="24"/>
          <w:szCs w:val="24"/>
        </w:rPr>
        <w:t xml:space="preserve">s; methodologies to transition </w:t>
      </w:r>
      <w:r w:rsidR="00983B86" w:rsidRPr="00983B86">
        <w:rPr>
          <w:rFonts w:ascii="Arial" w:hAnsi="Arial" w:cs="Arial"/>
          <w:sz w:val="24"/>
          <w:szCs w:val="24"/>
        </w:rPr>
        <w:t>to market based rates; and po</w:t>
      </w:r>
      <w:r w:rsidR="00983B86">
        <w:rPr>
          <w:rFonts w:ascii="Arial" w:hAnsi="Arial" w:cs="Arial"/>
          <w:sz w:val="24"/>
          <w:szCs w:val="24"/>
        </w:rPr>
        <w:t xml:space="preserve">tential impacts on high winter </w:t>
      </w:r>
      <w:r w:rsidR="00983B86" w:rsidRPr="00983B86">
        <w:rPr>
          <w:rFonts w:ascii="Arial" w:hAnsi="Arial" w:cs="Arial"/>
          <w:sz w:val="24"/>
          <w:szCs w:val="24"/>
        </w:rPr>
        <w:t>usage customers.</w:t>
      </w:r>
      <w:r w:rsidR="00983B86">
        <w:rPr>
          <w:rFonts w:ascii="Arial" w:hAnsi="Arial" w:cs="Arial"/>
          <w:sz w:val="24"/>
          <w:szCs w:val="24"/>
        </w:rPr>
        <w:t>”</w:t>
      </w:r>
    </w:p>
    <w:p w14:paraId="436F1F39" w14:textId="6CE230AD" w:rsidR="00831492" w:rsidRDefault="00831492" w:rsidP="00C028C0">
      <w:pPr>
        <w:spacing w:line="480" w:lineRule="auto"/>
        <w:ind w:firstLine="360"/>
        <w:jc w:val="both"/>
        <w:rPr>
          <w:rFonts w:ascii="Arial" w:hAnsi="Arial" w:cs="Arial"/>
          <w:sz w:val="24"/>
          <w:szCs w:val="24"/>
        </w:rPr>
      </w:pPr>
      <w:r>
        <w:rPr>
          <w:rFonts w:ascii="Arial" w:hAnsi="Arial" w:cs="Arial"/>
          <w:sz w:val="24"/>
          <w:szCs w:val="24"/>
        </w:rPr>
        <w:t xml:space="preserve">Interstate Gas Supply, Inc. (“IGS Energy” or “IGS”) is a competitive retail electric and natural gas supplier serving over 1,000,000 customers in 11 states.  </w:t>
      </w:r>
      <w:r w:rsidR="00C028C0">
        <w:rPr>
          <w:rFonts w:ascii="Arial" w:hAnsi="Arial" w:cs="Arial"/>
          <w:sz w:val="24"/>
          <w:szCs w:val="24"/>
        </w:rPr>
        <w:t>IGS is also an active participant in numerous regulatory proceedings</w:t>
      </w:r>
      <w:r w:rsidR="00C22603">
        <w:rPr>
          <w:rFonts w:ascii="Arial" w:hAnsi="Arial" w:cs="Arial"/>
          <w:sz w:val="24"/>
          <w:szCs w:val="24"/>
        </w:rPr>
        <w:t xml:space="preserve"> in competitive utility service territories</w:t>
      </w:r>
      <w:r w:rsidR="00C028C0">
        <w:rPr>
          <w:rFonts w:ascii="Arial" w:hAnsi="Arial" w:cs="Arial"/>
          <w:sz w:val="24"/>
          <w:szCs w:val="24"/>
        </w:rPr>
        <w:t xml:space="preserve"> throughout the country and thus has unique insights on </w:t>
      </w:r>
      <w:r w:rsidR="00983B86">
        <w:rPr>
          <w:rFonts w:ascii="Arial" w:hAnsi="Arial" w:cs="Arial"/>
          <w:sz w:val="24"/>
          <w:szCs w:val="24"/>
        </w:rPr>
        <w:t>structuring</w:t>
      </w:r>
      <w:r w:rsidR="00C028C0">
        <w:rPr>
          <w:rFonts w:ascii="Arial" w:hAnsi="Arial" w:cs="Arial"/>
          <w:sz w:val="24"/>
          <w:szCs w:val="24"/>
        </w:rPr>
        <w:t xml:space="preserve"> competitive</w:t>
      </w:r>
      <w:r w:rsidR="00983B86">
        <w:rPr>
          <w:rFonts w:ascii="Arial" w:hAnsi="Arial" w:cs="Arial"/>
          <w:sz w:val="24"/>
          <w:szCs w:val="24"/>
        </w:rPr>
        <w:t xml:space="preserve"> energy market</w:t>
      </w:r>
      <w:r w:rsidR="00FD78F8">
        <w:rPr>
          <w:rFonts w:ascii="Arial" w:hAnsi="Arial" w:cs="Arial"/>
          <w:sz w:val="24"/>
          <w:szCs w:val="24"/>
        </w:rPr>
        <w:t>s</w:t>
      </w:r>
      <w:r w:rsidR="00983B86">
        <w:rPr>
          <w:rFonts w:ascii="Arial" w:hAnsi="Arial" w:cs="Arial"/>
          <w:sz w:val="24"/>
          <w:szCs w:val="24"/>
        </w:rPr>
        <w:t xml:space="preserve"> so as to</w:t>
      </w:r>
      <w:r w:rsidR="00C028C0">
        <w:rPr>
          <w:rFonts w:ascii="Arial" w:hAnsi="Arial" w:cs="Arial"/>
          <w:sz w:val="24"/>
          <w:szCs w:val="24"/>
        </w:rPr>
        <w:t xml:space="preserve"> benefit all customers.  </w:t>
      </w:r>
      <w:r w:rsidR="00983B86">
        <w:rPr>
          <w:rFonts w:ascii="Arial" w:hAnsi="Arial" w:cs="Arial"/>
          <w:sz w:val="24"/>
          <w:szCs w:val="24"/>
        </w:rPr>
        <w:t xml:space="preserve">IGS also filed testimony in the most recent </w:t>
      </w:r>
      <w:r w:rsidR="00AF7BF7">
        <w:rPr>
          <w:rFonts w:ascii="Arial" w:hAnsi="Arial" w:cs="Arial"/>
          <w:sz w:val="24"/>
          <w:szCs w:val="24"/>
        </w:rPr>
        <w:t>AEP</w:t>
      </w:r>
      <w:r w:rsidR="00983B86">
        <w:rPr>
          <w:rFonts w:ascii="Arial" w:hAnsi="Arial" w:cs="Arial"/>
          <w:sz w:val="24"/>
          <w:szCs w:val="24"/>
        </w:rPr>
        <w:t xml:space="preserve"> ESP proceeding</w:t>
      </w:r>
      <w:r w:rsidR="00FD78F8">
        <w:rPr>
          <w:rFonts w:ascii="Arial" w:hAnsi="Arial" w:cs="Arial"/>
          <w:sz w:val="24"/>
          <w:szCs w:val="24"/>
        </w:rPr>
        <w:t xml:space="preserve"> (PUCO </w:t>
      </w:r>
      <w:r w:rsidR="00FD78F8" w:rsidRPr="00860436">
        <w:rPr>
          <w:rFonts w:ascii="Arial" w:hAnsi="Arial" w:cs="Arial"/>
          <w:sz w:val="24"/>
          <w:szCs w:val="24"/>
        </w:rPr>
        <w:t>Case No. 11-346-EL-SSO</w:t>
      </w:r>
      <w:r w:rsidR="00FD78F8">
        <w:rPr>
          <w:rFonts w:ascii="Arial" w:hAnsi="Arial" w:cs="Arial"/>
          <w:sz w:val="24"/>
          <w:szCs w:val="24"/>
        </w:rPr>
        <w:t xml:space="preserve"> “AEP ESP Case”)</w:t>
      </w:r>
      <w:r w:rsidR="00983B86">
        <w:rPr>
          <w:rFonts w:ascii="Arial" w:hAnsi="Arial" w:cs="Arial"/>
          <w:sz w:val="24"/>
          <w:szCs w:val="24"/>
        </w:rPr>
        <w:t xml:space="preserve"> an</w:t>
      </w:r>
      <w:r w:rsidR="00681E68">
        <w:rPr>
          <w:rFonts w:ascii="Arial" w:hAnsi="Arial" w:cs="Arial"/>
          <w:sz w:val="24"/>
          <w:szCs w:val="24"/>
        </w:rPr>
        <w:t>d</w:t>
      </w:r>
      <w:r w:rsidR="00983B86">
        <w:rPr>
          <w:rFonts w:ascii="Arial" w:hAnsi="Arial" w:cs="Arial"/>
          <w:sz w:val="24"/>
          <w:szCs w:val="24"/>
        </w:rPr>
        <w:t xml:space="preserve"> is familiar with </w:t>
      </w:r>
      <w:r w:rsidR="00AF7BF7">
        <w:rPr>
          <w:rFonts w:ascii="Arial" w:hAnsi="Arial" w:cs="Arial"/>
          <w:sz w:val="24"/>
          <w:szCs w:val="24"/>
        </w:rPr>
        <w:t>AEP</w:t>
      </w:r>
      <w:r w:rsidR="00983B86">
        <w:rPr>
          <w:rFonts w:ascii="Arial" w:hAnsi="Arial" w:cs="Arial"/>
          <w:sz w:val="24"/>
          <w:szCs w:val="24"/>
        </w:rPr>
        <w:t>’s continuing transition to fully competiti</w:t>
      </w:r>
      <w:r w:rsidR="00881CBF">
        <w:rPr>
          <w:rFonts w:ascii="Arial" w:hAnsi="Arial" w:cs="Arial"/>
          <w:sz w:val="24"/>
          <w:szCs w:val="24"/>
        </w:rPr>
        <w:t>ve electric markets</w:t>
      </w:r>
      <w:r w:rsidR="00983B86">
        <w:rPr>
          <w:rFonts w:ascii="Arial" w:hAnsi="Arial" w:cs="Arial"/>
          <w:sz w:val="24"/>
          <w:szCs w:val="24"/>
        </w:rPr>
        <w:t>.</w:t>
      </w:r>
    </w:p>
    <w:p w14:paraId="190D9DBC" w14:textId="3C724333" w:rsidR="00881CBF" w:rsidRDefault="00881CBF" w:rsidP="00C028C0">
      <w:pPr>
        <w:spacing w:line="480" w:lineRule="auto"/>
        <w:ind w:firstLine="360"/>
        <w:jc w:val="both"/>
        <w:rPr>
          <w:rFonts w:ascii="Arial" w:hAnsi="Arial" w:cs="Arial"/>
          <w:sz w:val="24"/>
          <w:szCs w:val="24"/>
        </w:rPr>
      </w:pPr>
      <w:r>
        <w:rPr>
          <w:rFonts w:ascii="Arial" w:hAnsi="Arial" w:cs="Arial"/>
          <w:sz w:val="24"/>
          <w:szCs w:val="24"/>
        </w:rPr>
        <w:lastRenderedPageBreak/>
        <w:t xml:space="preserve">In its testimony filed in the </w:t>
      </w:r>
      <w:r w:rsidR="00FD78F8">
        <w:rPr>
          <w:rFonts w:ascii="Arial" w:hAnsi="Arial" w:cs="Arial"/>
          <w:sz w:val="24"/>
          <w:szCs w:val="24"/>
        </w:rPr>
        <w:t>AEP ESP Case</w:t>
      </w:r>
      <w:r>
        <w:rPr>
          <w:rFonts w:ascii="Arial" w:hAnsi="Arial" w:cs="Arial"/>
          <w:sz w:val="24"/>
          <w:szCs w:val="24"/>
        </w:rPr>
        <w:t>, IGS Energy proposed conducting retail auction</w:t>
      </w:r>
      <w:r w:rsidR="00E6329E">
        <w:rPr>
          <w:rFonts w:ascii="Arial" w:hAnsi="Arial" w:cs="Arial"/>
          <w:sz w:val="24"/>
          <w:szCs w:val="24"/>
        </w:rPr>
        <w:t>s</w:t>
      </w:r>
      <w:r>
        <w:rPr>
          <w:rFonts w:ascii="Arial" w:hAnsi="Arial" w:cs="Arial"/>
          <w:sz w:val="24"/>
          <w:szCs w:val="24"/>
        </w:rPr>
        <w:t xml:space="preserve"> in order to serve AEP’s</w:t>
      </w:r>
      <w:r w:rsidR="005F5B06">
        <w:rPr>
          <w:rFonts w:ascii="Arial" w:hAnsi="Arial" w:cs="Arial"/>
          <w:sz w:val="24"/>
          <w:szCs w:val="24"/>
        </w:rPr>
        <w:t xml:space="preserve"> remaining</w:t>
      </w:r>
      <w:r>
        <w:rPr>
          <w:rFonts w:ascii="Arial" w:hAnsi="Arial" w:cs="Arial"/>
          <w:sz w:val="24"/>
          <w:szCs w:val="24"/>
        </w:rPr>
        <w:t xml:space="preserve"> </w:t>
      </w:r>
      <w:r w:rsidR="00AF7BF7">
        <w:rPr>
          <w:rFonts w:ascii="Arial" w:hAnsi="Arial" w:cs="Arial"/>
          <w:sz w:val="24"/>
          <w:szCs w:val="24"/>
        </w:rPr>
        <w:t xml:space="preserve">standard service offer (“SSO”) </w:t>
      </w:r>
      <w:r>
        <w:rPr>
          <w:rFonts w:ascii="Arial" w:hAnsi="Arial" w:cs="Arial"/>
          <w:sz w:val="24"/>
          <w:szCs w:val="24"/>
        </w:rPr>
        <w:t>customers.</w:t>
      </w:r>
      <w:r>
        <w:rPr>
          <w:rStyle w:val="FootnoteReference"/>
          <w:rFonts w:ascii="Arial" w:hAnsi="Arial" w:cs="Arial"/>
          <w:sz w:val="24"/>
          <w:szCs w:val="24"/>
        </w:rPr>
        <w:footnoteReference w:id="1"/>
      </w:r>
      <w:r>
        <w:rPr>
          <w:rFonts w:ascii="Arial" w:hAnsi="Arial" w:cs="Arial"/>
          <w:sz w:val="24"/>
          <w:szCs w:val="24"/>
        </w:rPr>
        <w:t xml:space="preserve">  </w:t>
      </w:r>
      <w:r w:rsidR="005F5B06">
        <w:rPr>
          <w:rFonts w:ascii="Arial" w:hAnsi="Arial" w:cs="Arial"/>
          <w:sz w:val="24"/>
          <w:szCs w:val="24"/>
        </w:rPr>
        <w:t>In these comments</w:t>
      </w:r>
      <w:r w:rsidR="00AF7BF7">
        <w:rPr>
          <w:rFonts w:ascii="Arial" w:hAnsi="Arial" w:cs="Arial"/>
          <w:sz w:val="24"/>
          <w:szCs w:val="24"/>
        </w:rPr>
        <w:t>,</w:t>
      </w:r>
      <w:r w:rsidR="005F5B06">
        <w:rPr>
          <w:rFonts w:ascii="Arial" w:hAnsi="Arial" w:cs="Arial"/>
          <w:sz w:val="24"/>
          <w:szCs w:val="24"/>
        </w:rPr>
        <w:t xml:space="preserve"> IGS will further explain the mechanics of a retail auction</w:t>
      </w:r>
      <w:r w:rsidR="00E6329E">
        <w:rPr>
          <w:rFonts w:ascii="Arial" w:hAnsi="Arial" w:cs="Arial"/>
          <w:sz w:val="24"/>
          <w:szCs w:val="24"/>
        </w:rPr>
        <w:t xml:space="preserve"> proposal, and explain why such a proposal could mitigate an</w:t>
      </w:r>
      <w:r w:rsidR="00B80CA3">
        <w:rPr>
          <w:rFonts w:ascii="Arial" w:hAnsi="Arial" w:cs="Arial"/>
          <w:sz w:val="24"/>
          <w:szCs w:val="24"/>
        </w:rPr>
        <w:t>y</w:t>
      </w:r>
      <w:r w:rsidR="00E6329E">
        <w:rPr>
          <w:rFonts w:ascii="Arial" w:hAnsi="Arial" w:cs="Arial"/>
          <w:sz w:val="24"/>
          <w:szCs w:val="24"/>
        </w:rPr>
        <w:t xml:space="preserve"> adverse rate impacts as AEP transitions to greater competition.</w:t>
      </w:r>
      <w:r w:rsidR="007B1C33">
        <w:rPr>
          <w:rFonts w:ascii="Arial" w:hAnsi="Arial" w:cs="Arial"/>
          <w:sz w:val="24"/>
          <w:szCs w:val="24"/>
        </w:rPr>
        <w:t xml:space="preserve">  As such</w:t>
      </w:r>
      <w:r w:rsidR="00B80CA3">
        <w:rPr>
          <w:rFonts w:ascii="Arial" w:hAnsi="Arial" w:cs="Arial"/>
          <w:sz w:val="24"/>
          <w:szCs w:val="24"/>
        </w:rPr>
        <w:t>,</w:t>
      </w:r>
      <w:r w:rsidR="007B1C33">
        <w:rPr>
          <w:rFonts w:ascii="Arial" w:hAnsi="Arial" w:cs="Arial"/>
          <w:sz w:val="24"/>
          <w:szCs w:val="24"/>
        </w:rPr>
        <w:t xml:space="preserve"> </w:t>
      </w:r>
      <w:r w:rsidR="00B80CA3">
        <w:rPr>
          <w:rFonts w:ascii="Arial" w:hAnsi="Arial" w:cs="Arial"/>
          <w:sz w:val="24"/>
          <w:szCs w:val="24"/>
        </w:rPr>
        <w:t xml:space="preserve">consistent with its Order </w:t>
      </w:r>
      <w:r w:rsidR="00FD78F8">
        <w:rPr>
          <w:rFonts w:ascii="Arial" w:hAnsi="Arial" w:cs="Arial"/>
          <w:sz w:val="24"/>
          <w:szCs w:val="24"/>
        </w:rPr>
        <w:t>issued</w:t>
      </w:r>
      <w:r w:rsidR="00B80CA3">
        <w:rPr>
          <w:rFonts w:ascii="Arial" w:hAnsi="Arial" w:cs="Arial"/>
          <w:sz w:val="24"/>
          <w:szCs w:val="24"/>
        </w:rPr>
        <w:t xml:space="preserve"> in the </w:t>
      </w:r>
      <w:r w:rsidR="00FD78F8">
        <w:rPr>
          <w:rFonts w:ascii="Arial" w:hAnsi="Arial" w:cs="Arial"/>
          <w:sz w:val="24"/>
          <w:szCs w:val="24"/>
        </w:rPr>
        <w:t>AEP ESP Case</w:t>
      </w:r>
      <w:r w:rsidR="00B80CA3">
        <w:rPr>
          <w:rFonts w:ascii="Arial" w:hAnsi="Arial" w:cs="Arial"/>
          <w:sz w:val="24"/>
          <w:szCs w:val="24"/>
        </w:rPr>
        <w:t xml:space="preserve">, </w:t>
      </w:r>
      <w:r w:rsidR="007B1C33">
        <w:rPr>
          <w:rFonts w:ascii="Arial" w:hAnsi="Arial" w:cs="Arial"/>
          <w:sz w:val="24"/>
          <w:szCs w:val="24"/>
        </w:rPr>
        <w:t>the Commission should imple</w:t>
      </w:r>
      <w:r w:rsidR="00FD78F8">
        <w:rPr>
          <w:rFonts w:ascii="Arial" w:hAnsi="Arial" w:cs="Arial"/>
          <w:sz w:val="24"/>
          <w:szCs w:val="24"/>
        </w:rPr>
        <w:t xml:space="preserve">ment </w:t>
      </w:r>
      <w:r w:rsidR="00681E68">
        <w:rPr>
          <w:rFonts w:ascii="Arial" w:hAnsi="Arial" w:cs="Arial"/>
          <w:sz w:val="24"/>
          <w:szCs w:val="24"/>
        </w:rPr>
        <w:t xml:space="preserve">a </w:t>
      </w:r>
      <w:r w:rsidR="00FD78F8">
        <w:rPr>
          <w:rFonts w:ascii="Arial" w:hAnsi="Arial" w:cs="Arial"/>
          <w:sz w:val="24"/>
          <w:szCs w:val="24"/>
        </w:rPr>
        <w:t>retail auction to serve AEP’s</w:t>
      </w:r>
      <w:r w:rsidR="007B1C33">
        <w:rPr>
          <w:rFonts w:ascii="Arial" w:hAnsi="Arial" w:cs="Arial"/>
          <w:sz w:val="24"/>
          <w:szCs w:val="24"/>
        </w:rPr>
        <w:t xml:space="preserve"> remaining SSO</w:t>
      </w:r>
      <w:r w:rsidR="00FD78F8">
        <w:rPr>
          <w:rFonts w:ascii="Arial" w:hAnsi="Arial" w:cs="Arial"/>
          <w:sz w:val="24"/>
          <w:szCs w:val="24"/>
        </w:rPr>
        <w:t xml:space="preserve"> customers</w:t>
      </w:r>
      <w:r w:rsidR="007B1C33">
        <w:rPr>
          <w:rFonts w:ascii="Arial" w:hAnsi="Arial" w:cs="Arial"/>
          <w:sz w:val="24"/>
          <w:szCs w:val="24"/>
        </w:rPr>
        <w:t>, as more fully explained herein.</w:t>
      </w:r>
    </w:p>
    <w:p w14:paraId="3A68E879" w14:textId="77777777" w:rsidR="00E6329E" w:rsidRDefault="00E6329E" w:rsidP="00E6329E">
      <w:pPr>
        <w:pStyle w:val="ListParagraph"/>
        <w:numPr>
          <w:ilvl w:val="0"/>
          <w:numId w:val="1"/>
        </w:numPr>
        <w:spacing w:line="480" w:lineRule="auto"/>
        <w:jc w:val="both"/>
        <w:rPr>
          <w:rFonts w:ascii="Arial" w:hAnsi="Arial" w:cs="Arial"/>
          <w:b/>
          <w:sz w:val="24"/>
          <w:szCs w:val="24"/>
        </w:rPr>
      </w:pPr>
      <w:r>
        <w:rPr>
          <w:rFonts w:ascii="Arial" w:hAnsi="Arial" w:cs="Arial"/>
          <w:b/>
          <w:sz w:val="24"/>
          <w:szCs w:val="24"/>
        </w:rPr>
        <w:t>COMMENTS</w:t>
      </w:r>
    </w:p>
    <w:p w14:paraId="65AB461E" w14:textId="5DD4B6F7" w:rsidR="00944805" w:rsidRDefault="00944805" w:rsidP="00944805">
      <w:pPr>
        <w:spacing w:line="480" w:lineRule="auto"/>
        <w:ind w:firstLine="360"/>
        <w:jc w:val="both"/>
        <w:rPr>
          <w:rFonts w:ascii="Arial" w:hAnsi="Arial" w:cs="Arial"/>
          <w:sz w:val="24"/>
          <w:szCs w:val="24"/>
        </w:rPr>
      </w:pPr>
      <w:r w:rsidRPr="00860436">
        <w:rPr>
          <w:rFonts w:ascii="Arial" w:hAnsi="Arial" w:cs="Arial"/>
          <w:sz w:val="24"/>
          <w:szCs w:val="24"/>
        </w:rPr>
        <w:t>On August 8, 2012, the Commission issued an Opinion and Order in</w:t>
      </w:r>
      <w:r w:rsidR="00FD78F8">
        <w:rPr>
          <w:rFonts w:ascii="Arial" w:hAnsi="Arial" w:cs="Arial"/>
          <w:sz w:val="24"/>
          <w:szCs w:val="24"/>
        </w:rPr>
        <w:t xml:space="preserve"> the AEP ESP Case </w:t>
      </w:r>
      <w:r w:rsidR="00860436">
        <w:rPr>
          <w:rFonts w:ascii="Arial" w:hAnsi="Arial" w:cs="Arial"/>
          <w:sz w:val="24"/>
          <w:szCs w:val="24"/>
        </w:rPr>
        <w:t>approving AEP’s ESP Application with some modifications</w:t>
      </w:r>
      <w:r w:rsidR="00FD78F8">
        <w:rPr>
          <w:rFonts w:ascii="Arial" w:hAnsi="Arial" w:cs="Arial"/>
          <w:sz w:val="24"/>
          <w:szCs w:val="24"/>
        </w:rPr>
        <w:t xml:space="preserve"> (“AEP ESP Order”)</w:t>
      </w:r>
      <w:r w:rsidR="00860436">
        <w:rPr>
          <w:rFonts w:ascii="Arial" w:hAnsi="Arial" w:cs="Arial"/>
          <w:sz w:val="24"/>
          <w:szCs w:val="24"/>
        </w:rPr>
        <w:t>.  The AEP ESP Order</w:t>
      </w:r>
      <w:r w:rsidR="00200A81">
        <w:rPr>
          <w:rFonts w:ascii="Arial" w:hAnsi="Arial" w:cs="Arial"/>
          <w:sz w:val="24"/>
          <w:szCs w:val="24"/>
        </w:rPr>
        <w:t xml:space="preserve"> </w:t>
      </w:r>
      <w:r w:rsidR="00860436">
        <w:rPr>
          <w:rFonts w:ascii="Arial" w:hAnsi="Arial" w:cs="Arial"/>
          <w:sz w:val="24"/>
          <w:szCs w:val="24"/>
        </w:rPr>
        <w:t xml:space="preserve">sets forth the construct under which AEP’s </w:t>
      </w:r>
      <w:r w:rsidR="00AF7BF7">
        <w:rPr>
          <w:rFonts w:ascii="Arial" w:hAnsi="Arial" w:cs="Arial"/>
          <w:sz w:val="24"/>
          <w:szCs w:val="24"/>
        </w:rPr>
        <w:t xml:space="preserve">SSO </w:t>
      </w:r>
      <w:r w:rsidR="00860436">
        <w:rPr>
          <w:rFonts w:ascii="Arial" w:hAnsi="Arial" w:cs="Arial"/>
          <w:sz w:val="24"/>
          <w:szCs w:val="24"/>
        </w:rPr>
        <w:t>price is established for AEP’s SSO customers.</w:t>
      </w:r>
      <w:r w:rsidR="00200A81">
        <w:rPr>
          <w:rStyle w:val="FootnoteReference"/>
          <w:rFonts w:ascii="Arial" w:hAnsi="Arial" w:cs="Arial"/>
          <w:sz w:val="24"/>
          <w:szCs w:val="24"/>
        </w:rPr>
        <w:footnoteReference w:id="2"/>
      </w:r>
      <w:r w:rsidR="00860436">
        <w:rPr>
          <w:rFonts w:ascii="Arial" w:hAnsi="Arial" w:cs="Arial"/>
          <w:sz w:val="24"/>
          <w:szCs w:val="24"/>
        </w:rPr>
        <w:t xml:space="preserve"> </w:t>
      </w:r>
      <w:r w:rsidR="00D81358">
        <w:rPr>
          <w:rFonts w:ascii="Arial" w:hAnsi="Arial" w:cs="Arial"/>
          <w:sz w:val="24"/>
          <w:szCs w:val="24"/>
        </w:rPr>
        <w:t>Further, beginning June 1, 2014, the Commission ordered that 60% of AEP’s SSO rate will be established by an energy</w:t>
      </w:r>
      <w:r w:rsidR="00AF7BF7">
        <w:rPr>
          <w:rFonts w:ascii="Arial" w:hAnsi="Arial" w:cs="Arial"/>
          <w:sz w:val="24"/>
          <w:szCs w:val="24"/>
        </w:rPr>
        <w:t>-</w:t>
      </w:r>
      <w:r w:rsidR="00D81358">
        <w:rPr>
          <w:rFonts w:ascii="Arial" w:hAnsi="Arial" w:cs="Arial"/>
          <w:sz w:val="24"/>
          <w:szCs w:val="24"/>
        </w:rPr>
        <w:t>only auction, to be blended in with AEP’s current SSO rate structure.  Beginning January 1, 2015</w:t>
      </w:r>
      <w:r w:rsidR="00AF7BF7">
        <w:rPr>
          <w:rFonts w:ascii="Arial" w:hAnsi="Arial" w:cs="Arial"/>
          <w:sz w:val="24"/>
          <w:szCs w:val="24"/>
        </w:rPr>
        <w:t>,</w:t>
      </w:r>
      <w:r w:rsidR="00D81358">
        <w:rPr>
          <w:rFonts w:ascii="Arial" w:hAnsi="Arial" w:cs="Arial"/>
          <w:sz w:val="24"/>
          <w:szCs w:val="24"/>
        </w:rPr>
        <w:t xml:space="preserve"> 100% of AEP’s SSO rate will be establish</w:t>
      </w:r>
      <w:r w:rsidR="00AF7BF7">
        <w:rPr>
          <w:rFonts w:ascii="Arial" w:hAnsi="Arial" w:cs="Arial"/>
          <w:sz w:val="24"/>
          <w:szCs w:val="24"/>
        </w:rPr>
        <w:t>ed</w:t>
      </w:r>
      <w:r w:rsidR="00D81358">
        <w:rPr>
          <w:rFonts w:ascii="Arial" w:hAnsi="Arial" w:cs="Arial"/>
          <w:sz w:val="24"/>
          <w:szCs w:val="24"/>
        </w:rPr>
        <w:t xml:space="preserve"> by an energy</w:t>
      </w:r>
      <w:r w:rsidR="00AF7BF7">
        <w:rPr>
          <w:rFonts w:ascii="Arial" w:hAnsi="Arial" w:cs="Arial"/>
          <w:sz w:val="24"/>
          <w:szCs w:val="24"/>
        </w:rPr>
        <w:t>-</w:t>
      </w:r>
      <w:r w:rsidR="00D81358">
        <w:rPr>
          <w:rFonts w:ascii="Arial" w:hAnsi="Arial" w:cs="Arial"/>
          <w:sz w:val="24"/>
          <w:szCs w:val="24"/>
        </w:rPr>
        <w:t>only auction</w:t>
      </w:r>
      <w:r w:rsidR="00AF7BF7">
        <w:rPr>
          <w:rFonts w:ascii="Arial" w:hAnsi="Arial" w:cs="Arial"/>
          <w:sz w:val="24"/>
          <w:szCs w:val="24"/>
        </w:rPr>
        <w:t>,</w:t>
      </w:r>
      <w:r w:rsidR="00D81358">
        <w:rPr>
          <w:rFonts w:ascii="Arial" w:hAnsi="Arial" w:cs="Arial"/>
          <w:sz w:val="24"/>
          <w:szCs w:val="24"/>
        </w:rPr>
        <w:t xml:space="preserve"> and beginning June 1, 2015</w:t>
      </w:r>
      <w:r w:rsidR="00AF7BF7">
        <w:rPr>
          <w:rFonts w:ascii="Arial" w:hAnsi="Arial" w:cs="Arial"/>
          <w:sz w:val="24"/>
          <w:szCs w:val="24"/>
        </w:rPr>
        <w:t>,</w:t>
      </w:r>
      <w:r w:rsidR="00D81358">
        <w:rPr>
          <w:rFonts w:ascii="Arial" w:hAnsi="Arial" w:cs="Arial"/>
          <w:sz w:val="24"/>
          <w:szCs w:val="24"/>
        </w:rPr>
        <w:t xml:space="preserve"> AEP’s SSO rate will be established 100% by an energy and capacity auction.</w:t>
      </w:r>
      <w:r w:rsidR="00D81358">
        <w:rPr>
          <w:rStyle w:val="FootnoteReference"/>
          <w:rFonts w:ascii="Arial" w:hAnsi="Arial" w:cs="Arial"/>
          <w:sz w:val="24"/>
          <w:szCs w:val="24"/>
        </w:rPr>
        <w:footnoteReference w:id="3"/>
      </w:r>
    </w:p>
    <w:p w14:paraId="76ADD6C5" w14:textId="77777777" w:rsidR="002E79A3" w:rsidRDefault="00724CA7" w:rsidP="00944805">
      <w:pPr>
        <w:spacing w:line="480" w:lineRule="auto"/>
        <w:ind w:firstLine="360"/>
        <w:jc w:val="both"/>
        <w:rPr>
          <w:rFonts w:ascii="Arial" w:hAnsi="Arial" w:cs="Arial"/>
          <w:sz w:val="24"/>
          <w:szCs w:val="24"/>
        </w:rPr>
      </w:pPr>
      <w:r>
        <w:rPr>
          <w:rFonts w:ascii="Arial" w:hAnsi="Arial" w:cs="Arial"/>
          <w:sz w:val="24"/>
          <w:szCs w:val="24"/>
        </w:rPr>
        <w:lastRenderedPageBreak/>
        <w:t xml:space="preserve">In </w:t>
      </w:r>
      <w:r w:rsidR="00D73B2E">
        <w:rPr>
          <w:rFonts w:ascii="Arial" w:hAnsi="Arial" w:cs="Arial"/>
          <w:sz w:val="24"/>
          <w:szCs w:val="24"/>
        </w:rPr>
        <w:t xml:space="preserve">the </w:t>
      </w:r>
      <w:r>
        <w:rPr>
          <w:rFonts w:ascii="Arial" w:hAnsi="Arial" w:cs="Arial"/>
          <w:sz w:val="24"/>
          <w:szCs w:val="24"/>
        </w:rPr>
        <w:t xml:space="preserve">AEP ESP </w:t>
      </w:r>
      <w:r w:rsidR="00FD78F8">
        <w:rPr>
          <w:rFonts w:ascii="Arial" w:hAnsi="Arial" w:cs="Arial"/>
          <w:sz w:val="24"/>
          <w:szCs w:val="24"/>
        </w:rPr>
        <w:t>Order</w:t>
      </w:r>
      <w:r w:rsidR="00AF7BF7">
        <w:rPr>
          <w:rFonts w:ascii="Arial" w:hAnsi="Arial" w:cs="Arial"/>
          <w:sz w:val="24"/>
          <w:szCs w:val="24"/>
        </w:rPr>
        <w:t>,</w:t>
      </w:r>
      <w:r>
        <w:rPr>
          <w:rFonts w:ascii="Arial" w:hAnsi="Arial" w:cs="Arial"/>
          <w:sz w:val="24"/>
          <w:szCs w:val="24"/>
        </w:rPr>
        <w:t xml:space="preserve"> the Commission also established a mechanism by which AEP can recover AEP’s alleged capacity costs from CRES suppliers.  The Commission determined that CRES providers should pay PJM market capacity rates throughout the ESP period.  However, the Commission determined that AEP should be allowed to recover $188 per megawatt day (“MW-Day”) for the capacity needed to meet shopping customer’s requirements during the ESP period.</w:t>
      </w:r>
      <w:r w:rsidR="009638E9">
        <w:rPr>
          <w:rStyle w:val="FootnoteReference"/>
          <w:rFonts w:ascii="Arial" w:hAnsi="Arial" w:cs="Arial"/>
          <w:sz w:val="24"/>
          <w:szCs w:val="24"/>
        </w:rPr>
        <w:footnoteReference w:id="4"/>
      </w:r>
      <w:r>
        <w:rPr>
          <w:rFonts w:ascii="Arial" w:hAnsi="Arial" w:cs="Arial"/>
          <w:sz w:val="24"/>
          <w:szCs w:val="24"/>
        </w:rPr>
        <w:t xml:space="preserve">  </w:t>
      </w:r>
      <w:r w:rsidR="009638E9">
        <w:rPr>
          <w:rFonts w:ascii="Arial" w:hAnsi="Arial" w:cs="Arial"/>
          <w:sz w:val="24"/>
          <w:szCs w:val="24"/>
        </w:rPr>
        <w:t>The Commission ordered that</w:t>
      </w:r>
      <w:r w:rsidR="00D73B2E">
        <w:rPr>
          <w:rFonts w:ascii="Arial" w:hAnsi="Arial" w:cs="Arial"/>
          <w:sz w:val="24"/>
          <w:szCs w:val="24"/>
        </w:rPr>
        <w:t xml:space="preserve"> the</w:t>
      </w:r>
      <w:r>
        <w:rPr>
          <w:rFonts w:ascii="Arial" w:hAnsi="Arial" w:cs="Arial"/>
          <w:sz w:val="24"/>
          <w:szCs w:val="24"/>
        </w:rPr>
        <w:t xml:space="preserve"> difference between the capacity prices paid by CRES suppliers and the $188</w:t>
      </w:r>
      <w:r w:rsidR="009638E9">
        <w:rPr>
          <w:rFonts w:ascii="Arial" w:hAnsi="Arial" w:cs="Arial"/>
          <w:sz w:val="24"/>
          <w:szCs w:val="24"/>
        </w:rPr>
        <w:t xml:space="preserve"> per MW-Day should be recovered by AEP after the ESP period, thus deferring a significant amount of money </w:t>
      </w:r>
      <w:r w:rsidR="007B1C33">
        <w:rPr>
          <w:rFonts w:ascii="Arial" w:hAnsi="Arial" w:cs="Arial"/>
          <w:sz w:val="24"/>
          <w:szCs w:val="24"/>
        </w:rPr>
        <w:t>to be recovered from AEP</w:t>
      </w:r>
      <w:r w:rsidR="009638E9">
        <w:rPr>
          <w:rFonts w:ascii="Arial" w:hAnsi="Arial" w:cs="Arial"/>
          <w:sz w:val="24"/>
          <w:szCs w:val="24"/>
        </w:rPr>
        <w:t xml:space="preserve"> customers at a later date (“AEP Deferral”).</w:t>
      </w:r>
      <w:r w:rsidR="009638E9">
        <w:rPr>
          <w:rStyle w:val="FootnoteReference"/>
          <w:rFonts w:ascii="Arial" w:hAnsi="Arial" w:cs="Arial"/>
          <w:sz w:val="24"/>
          <w:szCs w:val="24"/>
        </w:rPr>
        <w:footnoteReference w:id="5"/>
      </w:r>
    </w:p>
    <w:p w14:paraId="061536A9" w14:textId="447BFB1F" w:rsidR="007B1C33" w:rsidRDefault="007B1C33" w:rsidP="007B1C33">
      <w:pPr>
        <w:pStyle w:val="ListParagraph"/>
        <w:numPr>
          <w:ilvl w:val="0"/>
          <w:numId w:val="7"/>
        </w:numPr>
        <w:spacing w:line="480" w:lineRule="auto"/>
        <w:jc w:val="both"/>
        <w:rPr>
          <w:rFonts w:ascii="Arial" w:hAnsi="Arial" w:cs="Arial"/>
          <w:b/>
          <w:sz w:val="24"/>
          <w:szCs w:val="24"/>
        </w:rPr>
      </w:pPr>
      <w:r>
        <w:rPr>
          <w:rFonts w:ascii="Arial" w:hAnsi="Arial" w:cs="Arial"/>
          <w:b/>
          <w:sz w:val="24"/>
          <w:szCs w:val="24"/>
        </w:rPr>
        <w:t>Retail Auction</w:t>
      </w:r>
      <w:r w:rsidR="00AF7BF7">
        <w:rPr>
          <w:rFonts w:ascii="Arial" w:hAnsi="Arial" w:cs="Arial"/>
          <w:b/>
          <w:sz w:val="24"/>
          <w:szCs w:val="24"/>
        </w:rPr>
        <w:t>s</w:t>
      </w:r>
      <w:r w:rsidR="00B80CA3">
        <w:rPr>
          <w:rFonts w:ascii="Arial" w:hAnsi="Arial" w:cs="Arial"/>
          <w:b/>
          <w:sz w:val="24"/>
          <w:szCs w:val="24"/>
        </w:rPr>
        <w:t xml:space="preserve"> Should </w:t>
      </w:r>
      <w:r w:rsidR="00AF7BF7">
        <w:rPr>
          <w:rFonts w:ascii="Arial" w:hAnsi="Arial" w:cs="Arial"/>
          <w:b/>
          <w:sz w:val="24"/>
          <w:szCs w:val="24"/>
        </w:rPr>
        <w:t>B</w:t>
      </w:r>
      <w:r w:rsidR="00B80CA3">
        <w:rPr>
          <w:rFonts w:ascii="Arial" w:hAnsi="Arial" w:cs="Arial"/>
          <w:b/>
          <w:sz w:val="24"/>
          <w:szCs w:val="24"/>
        </w:rPr>
        <w:t xml:space="preserve">e Adopted to </w:t>
      </w:r>
      <w:r w:rsidR="00A422A5">
        <w:rPr>
          <w:rFonts w:ascii="Arial" w:hAnsi="Arial" w:cs="Arial"/>
          <w:b/>
          <w:sz w:val="24"/>
          <w:szCs w:val="24"/>
        </w:rPr>
        <w:t>Serve AEP’s SSO Load</w:t>
      </w:r>
      <w:r w:rsidR="00B80CA3">
        <w:rPr>
          <w:rFonts w:ascii="Arial" w:hAnsi="Arial" w:cs="Arial"/>
          <w:b/>
          <w:sz w:val="24"/>
          <w:szCs w:val="24"/>
        </w:rPr>
        <w:t>.</w:t>
      </w:r>
    </w:p>
    <w:p w14:paraId="76DEA4DE" w14:textId="24FC4EEF" w:rsidR="00D81358" w:rsidRDefault="007B1C33" w:rsidP="00944805">
      <w:pPr>
        <w:spacing w:line="480" w:lineRule="auto"/>
        <w:ind w:firstLine="360"/>
        <w:jc w:val="both"/>
        <w:rPr>
          <w:rFonts w:ascii="Arial" w:hAnsi="Arial" w:cs="Arial"/>
          <w:sz w:val="24"/>
          <w:szCs w:val="24"/>
        </w:rPr>
      </w:pPr>
      <w:r>
        <w:rPr>
          <w:rFonts w:ascii="Arial" w:hAnsi="Arial" w:cs="Arial"/>
          <w:sz w:val="24"/>
          <w:szCs w:val="24"/>
        </w:rPr>
        <w:t>In th</w:t>
      </w:r>
      <w:r w:rsidR="0095649E">
        <w:rPr>
          <w:rFonts w:ascii="Arial" w:hAnsi="Arial" w:cs="Arial"/>
          <w:sz w:val="24"/>
          <w:szCs w:val="24"/>
        </w:rPr>
        <w:t>e</w:t>
      </w:r>
      <w:r>
        <w:rPr>
          <w:rFonts w:ascii="Arial" w:hAnsi="Arial" w:cs="Arial"/>
          <w:sz w:val="24"/>
          <w:szCs w:val="24"/>
        </w:rPr>
        <w:t xml:space="preserve"> AEP ESP </w:t>
      </w:r>
      <w:r w:rsidR="00FD78F8">
        <w:rPr>
          <w:rFonts w:ascii="Arial" w:hAnsi="Arial" w:cs="Arial"/>
          <w:sz w:val="24"/>
          <w:szCs w:val="24"/>
        </w:rPr>
        <w:t>Case</w:t>
      </w:r>
      <w:r w:rsidR="00AF7BF7">
        <w:rPr>
          <w:rFonts w:ascii="Arial" w:hAnsi="Arial" w:cs="Arial"/>
          <w:sz w:val="24"/>
          <w:szCs w:val="24"/>
        </w:rPr>
        <w:t>,</w:t>
      </w:r>
      <w:r>
        <w:rPr>
          <w:rFonts w:ascii="Arial" w:hAnsi="Arial" w:cs="Arial"/>
          <w:sz w:val="24"/>
          <w:szCs w:val="24"/>
        </w:rPr>
        <w:t xml:space="preserve"> IGS filed </w:t>
      </w:r>
      <w:r w:rsidR="00AF7BF7">
        <w:rPr>
          <w:rFonts w:ascii="Arial" w:hAnsi="Arial" w:cs="Arial"/>
          <w:sz w:val="24"/>
          <w:szCs w:val="24"/>
        </w:rPr>
        <w:t xml:space="preserve">the </w:t>
      </w:r>
      <w:r>
        <w:rPr>
          <w:rFonts w:ascii="Arial" w:hAnsi="Arial" w:cs="Arial"/>
          <w:sz w:val="24"/>
          <w:szCs w:val="24"/>
        </w:rPr>
        <w:t xml:space="preserve">direct testimony of Vincent Parisi </w:t>
      </w:r>
      <w:r w:rsidR="000C4A92" w:rsidRPr="007B1C33">
        <w:rPr>
          <w:rFonts w:ascii="Arial" w:hAnsi="Arial" w:cs="Arial"/>
          <w:sz w:val="24"/>
          <w:szCs w:val="24"/>
        </w:rPr>
        <w:t>which</w:t>
      </w:r>
      <w:r w:rsidR="000C4A92">
        <w:rPr>
          <w:rFonts w:ascii="Arial" w:hAnsi="Arial" w:cs="Arial"/>
          <w:sz w:val="24"/>
          <w:szCs w:val="24"/>
        </w:rPr>
        <w:t>,</w:t>
      </w:r>
      <w:r w:rsidR="000C4A92" w:rsidRPr="007B1C33">
        <w:rPr>
          <w:rFonts w:ascii="Arial" w:hAnsi="Arial" w:cs="Arial"/>
          <w:sz w:val="24"/>
          <w:szCs w:val="24"/>
        </w:rPr>
        <w:t xml:space="preserve"> among other things, propos</w:t>
      </w:r>
      <w:r w:rsidR="00AF7BF7">
        <w:rPr>
          <w:rFonts w:ascii="Arial" w:hAnsi="Arial" w:cs="Arial"/>
          <w:sz w:val="24"/>
          <w:szCs w:val="24"/>
        </w:rPr>
        <w:t>ed</w:t>
      </w:r>
      <w:r w:rsidR="000C4A92" w:rsidRPr="007B1C33">
        <w:rPr>
          <w:rFonts w:ascii="Arial" w:hAnsi="Arial" w:cs="Arial"/>
          <w:sz w:val="24"/>
          <w:szCs w:val="24"/>
        </w:rPr>
        <w:t xml:space="preserve"> </w:t>
      </w:r>
      <w:r w:rsidR="00AF7BF7">
        <w:rPr>
          <w:rFonts w:ascii="Arial" w:hAnsi="Arial" w:cs="Arial"/>
          <w:sz w:val="24"/>
          <w:szCs w:val="24"/>
        </w:rPr>
        <w:t xml:space="preserve">that </w:t>
      </w:r>
      <w:r w:rsidR="000C4A92">
        <w:rPr>
          <w:rFonts w:ascii="Arial" w:hAnsi="Arial" w:cs="Arial"/>
          <w:sz w:val="24"/>
          <w:szCs w:val="24"/>
        </w:rPr>
        <w:t>AEP conduct a retail auction to serve its SSO load.</w:t>
      </w:r>
      <w:r>
        <w:rPr>
          <w:rStyle w:val="FootnoteReference"/>
          <w:rFonts w:ascii="Arial" w:hAnsi="Arial" w:cs="Arial"/>
          <w:sz w:val="24"/>
          <w:szCs w:val="24"/>
        </w:rPr>
        <w:footnoteReference w:id="6"/>
      </w:r>
      <w:r w:rsidR="00B80CA3">
        <w:rPr>
          <w:rFonts w:ascii="Arial" w:hAnsi="Arial" w:cs="Arial"/>
          <w:sz w:val="24"/>
          <w:szCs w:val="24"/>
        </w:rPr>
        <w:t xml:space="preserve">  </w:t>
      </w:r>
      <w:r w:rsidR="00436187">
        <w:rPr>
          <w:rFonts w:ascii="Arial" w:hAnsi="Arial" w:cs="Arial"/>
          <w:sz w:val="24"/>
          <w:szCs w:val="24"/>
        </w:rPr>
        <w:t>W</w:t>
      </w:r>
      <w:r w:rsidR="0095649E">
        <w:rPr>
          <w:rFonts w:ascii="Arial" w:hAnsi="Arial" w:cs="Arial"/>
          <w:sz w:val="24"/>
          <w:szCs w:val="24"/>
        </w:rPr>
        <w:t>hile</w:t>
      </w:r>
      <w:r w:rsidR="00B80CA3">
        <w:rPr>
          <w:rFonts w:ascii="Arial" w:hAnsi="Arial" w:cs="Arial"/>
          <w:sz w:val="24"/>
          <w:szCs w:val="24"/>
        </w:rPr>
        <w:t xml:space="preserve"> </w:t>
      </w:r>
      <w:r w:rsidR="0095649E">
        <w:rPr>
          <w:rFonts w:ascii="Arial" w:hAnsi="Arial" w:cs="Arial"/>
          <w:sz w:val="24"/>
          <w:szCs w:val="24"/>
        </w:rPr>
        <w:t>some of the details</w:t>
      </w:r>
      <w:r w:rsidR="00B80CA3">
        <w:rPr>
          <w:rFonts w:ascii="Arial" w:hAnsi="Arial" w:cs="Arial"/>
          <w:sz w:val="24"/>
          <w:szCs w:val="24"/>
        </w:rPr>
        <w:t xml:space="preserve"> </w:t>
      </w:r>
      <w:r w:rsidR="0095649E">
        <w:rPr>
          <w:rFonts w:ascii="Arial" w:hAnsi="Arial" w:cs="Arial"/>
          <w:sz w:val="24"/>
          <w:szCs w:val="24"/>
        </w:rPr>
        <w:t xml:space="preserve">of the </w:t>
      </w:r>
      <w:r w:rsidR="00B80CA3">
        <w:rPr>
          <w:rFonts w:ascii="Arial" w:hAnsi="Arial" w:cs="Arial"/>
          <w:sz w:val="24"/>
          <w:szCs w:val="24"/>
        </w:rPr>
        <w:t>retail auction proposal</w:t>
      </w:r>
      <w:r w:rsidR="0095649E">
        <w:rPr>
          <w:rFonts w:ascii="Arial" w:hAnsi="Arial" w:cs="Arial"/>
          <w:sz w:val="24"/>
          <w:szCs w:val="24"/>
        </w:rPr>
        <w:t xml:space="preserve"> set forth by Mr. Parisi</w:t>
      </w:r>
      <w:r w:rsidR="00B80CA3">
        <w:rPr>
          <w:rFonts w:ascii="Arial" w:hAnsi="Arial" w:cs="Arial"/>
          <w:sz w:val="24"/>
          <w:szCs w:val="24"/>
        </w:rPr>
        <w:t xml:space="preserve"> </w:t>
      </w:r>
      <w:r w:rsidR="00935793">
        <w:rPr>
          <w:rFonts w:ascii="Arial" w:hAnsi="Arial" w:cs="Arial"/>
          <w:sz w:val="24"/>
          <w:szCs w:val="24"/>
        </w:rPr>
        <w:t>are flexible and can be determined at a later date</w:t>
      </w:r>
      <w:r w:rsidR="00B80CA3">
        <w:rPr>
          <w:rFonts w:ascii="Arial" w:hAnsi="Arial" w:cs="Arial"/>
          <w:sz w:val="24"/>
          <w:szCs w:val="24"/>
        </w:rPr>
        <w:t xml:space="preserve">, two fundamental </w:t>
      </w:r>
      <w:r w:rsidR="0095649E">
        <w:rPr>
          <w:rFonts w:ascii="Arial" w:hAnsi="Arial" w:cs="Arial"/>
          <w:sz w:val="24"/>
          <w:szCs w:val="24"/>
        </w:rPr>
        <w:t>attributes</w:t>
      </w:r>
      <w:r w:rsidR="00B80CA3">
        <w:rPr>
          <w:rFonts w:ascii="Arial" w:hAnsi="Arial" w:cs="Arial"/>
          <w:sz w:val="24"/>
          <w:szCs w:val="24"/>
        </w:rPr>
        <w:t xml:space="preserve"> of the retail auction </w:t>
      </w:r>
      <w:r w:rsidR="00AF7BF7">
        <w:rPr>
          <w:rFonts w:ascii="Arial" w:hAnsi="Arial" w:cs="Arial"/>
          <w:sz w:val="24"/>
          <w:szCs w:val="24"/>
        </w:rPr>
        <w:t xml:space="preserve">would </w:t>
      </w:r>
      <w:r w:rsidR="00B80CA3">
        <w:rPr>
          <w:rFonts w:ascii="Arial" w:hAnsi="Arial" w:cs="Arial"/>
          <w:sz w:val="24"/>
          <w:szCs w:val="24"/>
        </w:rPr>
        <w:t>bring great value to AEP customers. First</w:t>
      </w:r>
      <w:r w:rsidR="0095649E">
        <w:rPr>
          <w:rFonts w:ascii="Arial" w:hAnsi="Arial" w:cs="Arial"/>
          <w:sz w:val="24"/>
          <w:szCs w:val="24"/>
        </w:rPr>
        <w:t>,</w:t>
      </w:r>
      <w:r w:rsidR="00B80CA3">
        <w:rPr>
          <w:rFonts w:ascii="Arial" w:hAnsi="Arial" w:cs="Arial"/>
          <w:sz w:val="24"/>
          <w:szCs w:val="24"/>
        </w:rPr>
        <w:t xml:space="preserve"> </w:t>
      </w:r>
      <w:r w:rsidR="0095649E">
        <w:rPr>
          <w:rFonts w:ascii="Arial" w:hAnsi="Arial" w:cs="Arial"/>
          <w:sz w:val="24"/>
          <w:szCs w:val="24"/>
        </w:rPr>
        <w:t>a</w:t>
      </w:r>
      <w:r w:rsidR="00B80CA3">
        <w:rPr>
          <w:rFonts w:ascii="Arial" w:hAnsi="Arial" w:cs="Arial"/>
          <w:sz w:val="24"/>
          <w:szCs w:val="24"/>
        </w:rPr>
        <w:t xml:space="preserve"> retail auction </w:t>
      </w:r>
      <w:r w:rsidR="00AF7BF7">
        <w:rPr>
          <w:rFonts w:ascii="Arial" w:hAnsi="Arial" w:cs="Arial"/>
          <w:sz w:val="24"/>
          <w:szCs w:val="24"/>
        </w:rPr>
        <w:t xml:space="preserve">would </w:t>
      </w:r>
      <w:r w:rsidR="0095649E">
        <w:rPr>
          <w:rFonts w:ascii="Arial" w:hAnsi="Arial" w:cs="Arial"/>
          <w:sz w:val="24"/>
          <w:szCs w:val="24"/>
        </w:rPr>
        <w:t>further the Commission</w:t>
      </w:r>
      <w:r w:rsidR="00AF7BF7">
        <w:rPr>
          <w:rFonts w:ascii="Arial" w:hAnsi="Arial" w:cs="Arial"/>
          <w:sz w:val="24"/>
          <w:szCs w:val="24"/>
        </w:rPr>
        <w:t>’s</w:t>
      </w:r>
      <w:r w:rsidR="0095649E">
        <w:rPr>
          <w:rFonts w:ascii="Arial" w:hAnsi="Arial" w:cs="Arial"/>
          <w:sz w:val="24"/>
          <w:szCs w:val="24"/>
        </w:rPr>
        <w:t xml:space="preserve"> stated goal of transitioning to fully compet</w:t>
      </w:r>
      <w:r w:rsidR="00AF7BF7">
        <w:rPr>
          <w:rFonts w:ascii="Arial" w:hAnsi="Arial" w:cs="Arial"/>
          <w:sz w:val="24"/>
          <w:szCs w:val="24"/>
        </w:rPr>
        <w:t>it</w:t>
      </w:r>
      <w:r w:rsidR="0095649E">
        <w:rPr>
          <w:rFonts w:ascii="Arial" w:hAnsi="Arial" w:cs="Arial"/>
          <w:sz w:val="24"/>
          <w:szCs w:val="24"/>
        </w:rPr>
        <w:t>ive</w:t>
      </w:r>
      <w:r w:rsidR="00935793">
        <w:rPr>
          <w:rFonts w:ascii="Arial" w:hAnsi="Arial" w:cs="Arial"/>
          <w:sz w:val="24"/>
          <w:szCs w:val="24"/>
        </w:rPr>
        <w:t xml:space="preserve"> markets</w:t>
      </w:r>
      <w:r w:rsidR="00681E68">
        <w:rPr>
          <w:rFonts w:ascii="Arial" w:hAnsi="Arial" w:cs="Arial"/>
          <w:sz w:val="24"/>
          <w:szCs w:val="24"/>
        </w:rPr>
        <w:t xml:space="preserve"> for the benefit of all </w:t>
      </w:r>
      <w:r w:rsidR="000C4A92">
        <w:rPr>
          <w:rFonts w:ascii="Arial" w:hAnsi="Arial" w:cs="Arial"/>
          <w:sz w:val="24"/>
          <w:szCs w:val="24"/>
        </w:rPr>
        <w:t>customers. Second</w:t>
      </w:r>
      <w:r w:rsidR="005F27B8">
        <w:rPr>
          <w:rFonts w:ascii="Arial" w:hAnsi="Arial" w:cs="Arial"/>
          <w:sz w:val="24"/>
          <w:szCs w:val="24"/>
        </w:rPr>
        <w:t>,</w:t>
      </w:r>
      <w:r w:rsidR="0095649E">
        <w:rPr>
          <w:rFonts w:ascii="Arial" w:hAnsi="Arial" w:cs="Arial"/>
          <w:sz w:val="24"/>
          <w:szCs w:val="24"/>
        </w:rPr>
        <w:t xml:space="preserve"> the funds generated </w:t>
      </w:r>
      <w:r w:rsidR="00AF7BF7">
        <w:rPr>
          <w:rFonts w:ascii="Arial" w:hAnsi="Arial" w:cs="Arial"/>
          <w:sz w:val="24"/>
          <w:szCs w:val="24"/>
        </w:rPr>
        <w:t xml:space="preserve">by </w:t>
      </w:r>
      <w:r w:rsidR="0095649E">
        <w:rPr>
          <w:rFonts w:ascii="Arial" w:hAnsi="Arial" w:cs="Arial"/>
          <w:sz w:val="24"/>
          <w:szCs w:val="24"/>
        </w:rPr>
        <w:t xml:space="preserve">a retail auction could be used to pay down the significant AEP Deferral approved by the Commission, </w:t>
      </w:r>
      <w:r w:rsidR="00AF7BF7">
        <w:rPr>
          <w:rFonts w:ascii="Arial" w:hAnsi="Arial" w:cs="Arial"/>
          <w:sz w:val="24"/>
          <w:szCs w:val="24"/>
        </w:rPr>
        <w:t xml:space="preserve">a burden that </w:t>
      </w:r>
      <w:r w:rsidR="0095649E">
        <w:rPr>
          <w:rFonts w:ascii="Arial" w:hAnsi="Arial" w:cs="Arial"/>
          <w:sz w:val="24"/>
          <w:szCs w:val="24"/>
        </w:rPr>
        <w:t xml:space="preserve">all ratepayers will </w:t>
      </w:r>
      <w:r w:rsidR="00AF7BF7">
        <w:rPr>
          <w:rFonts w:ascii="Arial" w:hAnsi="Arial" w:cs="Arial"/>
          <w:sz w:val="24"/>
          <w:szCs w:val="24"/>
        </w:rPr>
        <w:t xml:space="preserve">bear </w:t>
      </w:r>
      <w:r w:rsidR="0095649E">
        <w:rPr>
          <w:rFonts w:ascii="Arial" w:hAnsi="Arial" w:cs="Arial"/>
          <w:sz w:val="24"/>
          <w:szCs w:val="24"/>
        </w:rPr>
        <w:t xml:space="preserve">after AEP’s ESP period expires. </w:t>
      </w:r>
    </w:p>
    <w:p w14:paraId="5667D0AF" w14:textId="546756CE" w:rsidR="007040A8" w:rsidRDefault="0095649E" w:rsidP="007040A8">
      <w:pPr>
        <w:spacing w:line="480" w:lineRule="auto"/>
        <w:ind w:firstLine="360"/>
        <w:jc w:val="both"/>
        <w:rPr>
          <w:rFonts w:ascii="Arial" w:hAnsi="Arial" w:cs="Arial"/>
          <w:sz w:val="24"/>
          <w:szCs w:val="24"/>
        </w:rPr>
      </w:pPr>
      <w:r w:rsidRPr="007040A8">
        <w:rPr>
          <w:rFonts w:ascii="Arial" w:hAnsi="Arial" w:cs="Arial"/>
          <w:sz w:val="24"/>
          <w:szCs w:val="24"/>
        </w:rPr>
        <w:lastRenderedPageBreak/>
        <w:t>Mr. Parisi</w:t>
      </w:r>
      <w:r w:rsidR="00AF7BF7">
        <w:rPr>
          <w:rFonts w:ascii="Arial" w:hAnsi="Arial" w:cs="Arial"/>
          <w:sz w:val="24"/>
          <w:szCs w:val="24"/>
        </w:rPr>
        <w:t xml:space="preserve"> explained that</w:t>
      </w:r>
      <w:r w:rsidR="00935793" w:rsidRPr="007040A8">
        <w:rPr>
          <w:rFonts w:ascii="Arial" w:hAnsi="Arial" w:cs="Arial"/>
          <w:sz w:val="24"/>
          <w:szCs w:val="24"/>
        </w:rPr>
        <w:t xml:space="preserve"> in </w:t>
      </w:r>
      <w:r w:rsidR="00A422A5">
        <w:rPr>
          <w:rFonts w:ascii="Arial" w:hAnsi="Arial" w:cs="Arial"/>
          <w:sz w:val="24"/>
          <w:szCs w:val="24"/>
        </w:rPr>
        <w:t>a retail auction</w:t>
      </w:r>
      <w:r w:rsidR="00935793" w:rsidRPr="007040A8">
        <w:rPr>
          <w:rFonts w:ascii="Arial" w:hAnsi="Arial" w:cs="Arial"/>
          <w:sz w:val="24"/>
          <w:szCs w:val="24"/>
        </w:rPr>
        <w:t xml:space="preserve"> </w:t>
      </w:r>
      <w:r w:rsidR="007040A8" w:rsidRPr="007040A8">
        <w:rPr>
          <w:rFonts w:ascii="Arial" w:hAnsi="Arial" w:cs="Arial"/>
          <w:sz w:val="24"/>
          <w:szCs w:val="24"/>
        </w:rPr>
        <w:t xml:space="preserve">CRES suppliers bid a dollar amount per customer to serve SSO customers. The auction itself would be an ascending clock auction, where qualified </w:t>
      </w:r>
      <w:r w:rsidR="004C2A94">
        <w:rPr>
          <w:rFonts w:ascii="Arial" w:hAnsi="Arial" w:cs="Arial"/>
          <w:sz w:val="24"/>
          <w:szCs w:val="24"/>
        </w:rPr>
        <w:t>CRES suppliers</w:t>
      </w:r>
      <w:r w:rsidR="007040A8" w:rsidRPr="007040A8">
        <w:rPr>
          <w:rFonts w:ascii="Arial" w:hAnsi="Arial" w:cs="Arial"/>
          <w:sz w:val="24"/>
          <w:szCs w:val="24"/>
        </w:rPr>
        <w:t xml:space="preserve"> bid </w:t>
      </w:r>
      <w:r w:rsidR="004C2A94">
        <w:rPr>
          <w:rFonts w:ascii="Arial" w:hAnsi="Arial" w:cs="Arial"/>
          <w:sz w:val="24"/>
          <w:szCs w:val="24"/>
        </w:rPr>
        <w:t>on</w:t>
      </w:r>
      <w:r w:rsidR="007040A8" w:rsidRPr="007040A8">
        <w:rPr>
          <w:rFonts w:ascii="Arial" w:hAnsi="Arial" w:cs="Arial"/>
          <w:sz w:val="24"/>
          <w:szCs w:val="24"/>
        </w:rPr>
        <w:t xml:space="preserve"> the number of tranches they would be willing to serve at the auction</w:t>
      </w:r>
      <w:r w:rsidR="00AF7BF7">
        <w:rPr>
          <w:rFonts w:ascii="Arial" w:hAnsi="Arial" w:cs="Arial"/>
          <w:sz w:val="24"/>
          <w:szCs w:val="24"/>
        </w:rPr>
        <w:t>’s</w:t>
      </w:r>
      <w:r w:rsidR="007040A8" w:rsidRPr="007040A8">
        <w:rPr>
          <w:rFonts w:ascii="Arial" w:hAnsi="Arial" w:cs="Arial"/>
          <w:sz w:val="24"/>
          <w:szCs w:val="24"/>
        </w:rPr>
        <w:t xml:space="preserve"> pre-determined</w:t>
      </w:r>
      <w:r w:rsidR="007040A8">
        <w:rPr>
          <w:rFonts w:ascii="Arial" w:hAnsi="Arial" w:cs="Arial"/>
          <w:sz w:val="24"/>
          <w:szCs w:val="24"/>
        </w:rPr>
        <w:t xml:space="preserve"> SSO</w:t>
      </w:r>
      <w:r w:rsidR="007040A8" w:rsidRPr="007040A8">
        <w:rPr>
          <w:rFonts w:ascii="Arial" w:hAnsi="Arial" w:cs="Arial"/>
          <w:sz w:val="24"/>
          <w:szCs w:val="24"/>
        </w:rPr>
        <w:t xml:space="preserve"> price.  </w:t>
      </w:r>
      <w:r w:rsidR="004C2A94">
        <w:rPr>
          <w:rFonts w:ascii="Arial" w:hAnsi="Arial" w:cs="Arial"/>
          <w:sz w:val="24"/>
          <w:szCs w:val="24"/>
        </w:rPr>
        <w:t>During the auction, the dollar amount per customer would increase incrementally, until the amount of tranc</w:t>
      </w:r>
      <w:r w:rsidR="00AF7BF7">
        <w:rPr>
          <w:rFonts w:ascii="Arial" w:hAnsi="Arial" w:cs="Arial"/>
          <w:sz w:val="24"/>
          <w:szCs w:val="24"/>
        </w:rPr>
        <w:t>h</w:t>
      </w:r>
      <w:r w:rsidR="004C2A94">
        <w:rPr>
          <w:rFonts w:ascii="Arial" w:hAnsi="Arial" w:cs="Arial"/>
          <w:sz w:val="24"/>
          <w:szCs w:val="24"/>
        </w:rPr>
        <w:t xml:space="preserve">es CRES suppliers are willing to serve equals the number of tranches available to be won in the auction. </w:t>
      </w:r>
      <w:r w:rsidR="007040A8">
        <w:rPr>
          <w:rFonts w:ascii="Arial" w:hAnsi="Arial" w:cs="Arial"/>
          <w:sz w:val="24"/>
          <w:szCs w:val="24"/>
        </w:rPr>
        <w:t>The SSO price itself could be structured as a fixed rate for a</w:t>
      </w:r>
      <w:r w:rsidR="004C2A94">
        <w:rPr>
          <w:rFonts w:ascii="Arial" w:hAnsi="Arial" w:cs="Arial"/>
          <w:sz w:val="24"/>
          <w:szCs w:val="24"/>
        </w:rPr>
        <w:t xml:space="preserve"> fixed period of time (</w:t>
      </w:r>
      <w:r w:rsidR="004C2A94" w:rsidRPr="00BA4783">
        <w:rPr>
          <w:rFonts w:ascii="Arial" w:hAnsi="Arial" w:cs="Arial"/>
          <w:i/>
          <w:sz w:val="24"/>
          <w:szCs w:val="24"/>
        </w:rPr>
        <w:t>e.g.</w:t>
      </w:r>
      <w:r w:rsidR="00AF7BF7">
        <w:rPr>
          <w:rFonts w:ascii="Arial" w:hAnsi="Arial" w:cs="Arial"/>
          <w:sz w:val="24"/>
          <w:szCs w:val="24"/>
        </w:rPr>
        <w:t>,</w:t>
      </w:r>
      <w:r w:rsidR="004C2A94">
        <w:rPr>
          <w:rFonts w:ascii="Arial" w:hAnsi="Arial" w:cs="Arial"/>
          <w:sz w:val="24"/>
          <w:szCs w:val="24"/>
        </w:rPr>
        <w:t xml:space="preserve"> one</w:t>
      </w:r>
      <w:r w:rsidR="007040A8">
        <w:rPr>
          <w:rFonts w:ascii="Arial" w:hAnsi="Arial" w:cs="Arial"/>
          <w:sz w:val="24"/>
          <w:szCs w:val="24"/>
        </w:rPr>
        <w:t xml:space="preserve"> year</w:t>
      </w:r>
      <w:r w:rsidR="004C2A94">
        <w:rPr>
          <w:rFonts w:ascii="Arial" w:hAnsi="Arial" w:cs="Arial"/>
          <w:sz w:val="24"/>
          <w:szCs w:val="24"/>
        </w:rPr>
        <w:t>)</w:t>
      </w:r>
      <w:r w:rsidR="007040A8">
        <w:rPr>
          <w:rFonts w:ascii="Arial" w:hAnsi="Arial" w:cs="Arial"/>
          <w:sz w:val="24"/>
          <w:szCs w:val="24"/>
        </w:rPr>
        <w:t xml:space="preserve"> or a variation on that theme.</w:t>
      </w:r>
      <w:r w:rsidR="00436187">
        <w:rPr>
          <w:rStyle w:val="FootnoteReference"/>
          <w:rFonts w:ascii="Arial" w:hAnsi="Arial" w:cs="Arial"/>
          <w:sz w:val="24"/>
          <w:szCs w:val="24"/>
        </w:rPr>
        <w:footnoteReference w:id="7"/>
      </w:r>
      <w:r w:rsidR="007040A8">
        <w:rPr>
          <w:rFonts w:ascii="Arial" w:hAnsi="Arial" w:cs="Arial"/>
          <w:sz w:val="24"/>
          <w:szCs w:val="24"/>
        </w:rPr>
        <w:t xml:space="preserve"> </w:t>
      </w:r>
    </w:p>
    <w:p w14:paraId="67BDA31D" w14:textId="01898014" w:rsidR="004C2A94" w:rsidRDefault="007040A8" w:rsidP="00D41752">
      <w:pPr>
        <w:spacing w:line="480" w:lineRule="auto"/>
        <w:ind w:firstLine="360"/>
        <w:jc w:val="both"/>
        <w:rPr>
          <w:rFonts w:ascii="Arial" w:hAnsi="Arial" w:cs="Arial"/>
          <w:sz w:val="24"/>
          <w:szCs w:val="24"/>
        </w:rPr>
      </w:pPr>
      <w:r>
        <w:rPr>
          <w:rFonts w:ascii="Arial" w:hAnsi="Arial" w:cs="Arial"/>
          <w:sz w:val="24"/>
          <w:szCs w:val="24"/>
        </w:rPr>
        <w:t>After the fixed</w:t>
      </w:r>
      <w:r w:rsidR="00AF7BF7">
        <w:rPr>
          <w:rFonts w:ascii="Arial" w:hAnsi="Arial" w:cs="Arial"/>
          <w:sz w:val="24"/>
          <w:szCs w:val="24"/>
        </w:rPr>
        <w:t>-</w:t>
      </w:r>
      <w:r>
        <w:rPr>
          <w:rFonts w:ascii="Arial" w:hAnsi="Arial" w:cs="Arial"/>
          <w:sz w:val="24"/>
          <w:szCs w:val="24"/>
        </w:rPr>
        <w:t>price period</w:t>
      </w:r>
      <w:r w:rsidR="00AF7BF7">
        <w:rPr>
          <w:rFonts w:ascii="Arial" w:hAnsi="Arial" w:cs="Arial"/>
          <w:sz w:val="24"/>
          <w:szCs w:val="24"/>
        </w:rPr>
        <w:t>,</w:t>
      </w:r>
      <w:r w:rsidR="00436187">
        <w:rPr>
          <w:rFonts w:ascii="Arial" w:hAnsi="Arial" w:cs="Arial"/>
          <w:sz w:val="24"/>
          <w:szCs w:val="24"/>
        </w:rPr>
        <w:t xml:space="preserve"> SSO</w:t>
      </w:r>
      <w:r>
        <w:rPr>
          <w:rFonts w:ascii="Arial" w:hAnsi="Arial" w:cs="Arial"/>
          <w:sz w:val="24"/>
          <w:szCs w:val="24"/>
        </w:rPr>
        <w:t xml:space="preserve"> customers would continue to receive </w:t>
      </w:r>
      <w:r w:rsidR="00AF7BF7">
        <w:rPr>
          <w:rFonts w:ascii="Arial" w:hAnsi="Arial" w:cs="Arial"/>
          <w:sz w:val="24"/>
          <w:szCs w:val="24"/>
        </w:rPr>
        <w:t xml:space="preserve">SSO service </w:t>
      </w:r>
      <w:r>
        <w:rPr>
          <w:rFonts w:ascii="Arial" w:hAnsi="Arial" w:cs="Arial"/>
          <w:sz w:val="24"/>
          <w:szCs w:val="24"/>
        </w:rPr>
        <w:t xml:space="preserve">from the winning supplier, until they choose to leave the SSO for another product in the market.  The rate that SSO customers would receive from the winning </w:t>
      </w:r>
      <w:r w:rsidR="004E2208">
        <w:rPr>
          <w:rFonts w:ascii="Arial" w:hAnsi="Arial" w:cs="Arial"/>
          <w:sz w:val="24"/>
          <w:szCs w:val="24"/>
        </w:rPr>
        <w:t xml:space="preserve">CRES </w:t>
      </w:r>
      <w:r>
        <w:rPr>
          <w:rFonts w:ascii="Arial" w:hAnsi="Arial" w:cs="Arial"/>
          <w:sz w:val="24"/>
          <w:szCs w:val="24"/>
        </w:rPr>
        <w:t xml:space="preserve">supplier after the fixed price period would be </w:t>
      </w:r>
      <w:r w:rsidR="009C4E6C">
        <w:rPr>
          <w:rFonts w:ascii="Arial" w:hAnsi="Arial" w:cs="Arial"/>
          <w:sz w:val="24"/>
          <w:szCs w:val="24"/>
        </w:rPr>
        <w:t>the specific supplier</w:t>
      </w:r>
      <w:r w:rsidR="00EB6740">
        <w:rPr>
          <w:rFonts w:ascii="Arial" w:hAnsi="Arial" w:cs="Arial"/>
          <w:sz w:val="24"/>
          <w:szCs w:val="24"/>
        </w:rPr>
        <w:t>’</w:t>
      </w:r>
      <w:r w:rsidR="009C4E6C">
        <w:rPr>
          <w:rFonts w:ascii="Arial" w:hAnsi="Arial" w:cs="Arial"/>
          <w:sz w:val="24"/>
          <w:szCs w:val="24"/>
        </w:rPr>
        <w:t>s generally available</w:t>
      </w:r>
      <w:r w:rsidR="00AF7BF7">
        <w:rPr>
          <w:rFonts w:ascii="Arial" w:hAnsi="Arial" w:cs="Arial"/>
          <w:sz w:val="24"/>
          <w:szCs w:val="24"/>
        </w:rPr>
        <w:t xml:space="preserve"> and</w:t>
      </w:r>
      <w:r w:rsidR="009C4E6C">
        <w:rPr>
          <w:rFonts w:ascii="Arial" w:hAnsi="Arial" w:cs="Arial"/>
          <w:sz w:val="24"/>
          <w:szCs w:val="24"/>
        </w:rPr>
        <w:t xml:space="preserve"> </w:t>
      </w:r>
      <w:r w:rsidR="00AF7BF7">
        <w:rPr>
          <w:rFonts w:ascii="Arial" w:hAnsi="Arial" w:cs="Arial"/>
          <w:sz w:val="24"/>
          <w:szCs w:val="24"/>
        </w:rPr>
        <w:t xml:space="preserve">publicly </w:t>
      </w:r>
      <w:r w:rsidR="009C4E6C">
        <w:rPr>
          <w:rFonts w:ascii="Arial" w:hAnsi="Arial" w:cs="Arial"/>
          <w:sz w:val="24"/>
          <w:szCs w:val="24"/>
        </w:rPr>
        <w:t xml:space="preserve">posted monthly variable rate </w:t>
      </w:r>
      <w:r w:rsidR="004C2A94">
        <w:rPr>
          <w:rFonts w:ascii="Arial" w:hAnsi="Arial" w:cs="Arial"/>
          <w:sz w:val="24"/>
          <w:szCs w:val="24"/>
        </w:rPr>
        <w:t>(“MVR”)</w:t>
      </w:r>
      <w:r w:rsidR="009C4E6C">
        <w:rPr>
          <w:rFonts w:ascii="Arial" w:hAnsi="Arial" w:cs="Arial"/>
          <w:sz w:val="24"/>
          <w:szCs w:val="24"/>
        </w:rPr>
        <w:t>.</w:t>
      </w:r>
      <w:r>
        <w:rPr>
          <w:rFonts w:ascii="Arial" w:hAnsi="Arial" w:cs="Arial"/>
          <w:sz w:val="24"/>
          <w:szCs w:val="24"/>
        </w:rPr>
        <w:t xml:space="preserve"> The CRES supplier’s SSO rate </w:t>
      </w:r>
      <w:r w:rsidR="004C2A94">
        <w:rPr>
          <w:rFonts w:ascii="Arial" w:hAnsi="Arial" w:cs="Arial"/>
          <w:sz w:val="24"/>
          <w:szCs w:val="24"/>
        </w:rPr>
        <w:t>during the fixed</w:t>
      </w:r>
      <w:r w:rsidR="00AF7BF7">
        <w:rPr>
          <w:rFonts w:ascii="Arial" w:hAnsi="Arial" w:cs="Arial"/>
          <w:sz w:val="24"/>
          <w:szCs w:val="24"/>
        </w:rPr>
        <w:t>-</w:t>
      </w:r>
      <w:r w:rsidR="004C2A94">
        <w:rPr>
          <w:rFonts w:ascii="Arial" w:hAnsi="Arial" w:cs="Arial"/>
          <w:sz w:val="24"/>
          <w:szCs w:val="24"/>
        </w:rPr>
        <w:t>price period</w:t>
      </w:r>
      <w:r>
        <w:rPr>
          <w:rFonts w:ascii="Arial" w:hAnsi="Arial" w:cs="Arial"/>
          <w:sz w:val="24"/>
          <w:szCs w:val="24"/>
        </w:rPr>
        <w:t xml:space="preserve"> and </w:t>
      </w:r>
      <w:r w:rsidR="00436187">
        <w:rPr>
          <w:rFonts w:ascii="Arial" w:hAnsi="Arial" w:cs="Arial"/>
          <w:sz w:val="24"/>
          <w:szCs w:val="24"/>
        </w:rPr>
        <w:t xml:space="preserve">beyond </w:t>
      </w:r>
      <w:r>
        <w:rPr>
          <w:rFonts w:ascii="Arial" w:hAnsi="Arial" w:cs="Arial"/>
          <w:sz w:val="24"/>
          <w:szCs w:val="24"/>
        </w:rPr>
        <w:t>would be p</w:t>
      </w:r>
      <w:r w:rsidR="00681E68">
        <w:rPr>
          <w:rFonts w:ascii="Arial" w:hAnsi="Arial" w:cs="Arial"/>
          <w:sz w:val="24"/>
          <w:szCs w:val="24"/>
        </w:rPr>
        <w:t>ublished on the PUCO Apples-to-</w:t>
      </w:r>
      <w:r w:rsidR="00D41752">
        <w:rPr>
          <w:rFonts w:ascii="Arial" w:hAnsi="Arial" w:cs="Arial"/>
          <w:sz w:val="24"/>
          <w:szCs w:val="24"/>
        </w:rPr>
        <w:t>A</w:t>
      </w:r>
      <w:r>
        <w:rPr>
          <w:rFonts w:ascii="Arial" w:hAnsi="Arial" w:cs="Arial"/>
          <w:sz w:val="24"/>
          <w:szCs w:val="24"/>
        </w:rPr>
        <w:t xml:space="preserve">pples website, transparent to all.  Further, the list of customers receiving the SSO rate would be available to </w:t>
      </w:r>
      <w:r w:rsidR="00456777">
        <w:rPr>
          <w:rFonts w:ascii="Arial" w:hAnsi="Arial" w:cs="Arial"/>
          <w:sz w:val="24"/>
          <w:szCs w:val="24"/>
        </w:rPr>
        <w:t xml:space="preserve">all </w:t>
      </w:r>
      <w:r>
        <w:rPr>
          <w:rFonts w:ascii="Arial" w:hAnsi="Arial" w:cs="Arial"/>
          <w:sz w:val="24"/>
          <w:szCs w:val="24"/>
        </w:rPr>
        <w:t>CRES</w:t>
      </w:r>
      <w:r w:rsidR="004E2208">
        <w:rPr>
          <w:rFonts w:ascii="Arial" w:hAnsi="Arial" w:cs="Arial"/>
          <w:sz w:val="24"/>
          <w:szCs w:val="24"/>
        </w:rPr>
        <w:t xml:space="preserve"> suppliers</w:t>
      </w:r>
      <w:r>
        <w:rPr>
          <w:rFonts w:ascii="Arial" w:hAnsi="Arial" w:cs="Arial"/>
          <w:sz w:val="24"/>
          <w:szCs w:val="24"/>
        </w:rPr>
        <w:t xml:space="preserve"> </w:t>
      </w:r>
      <w:r w:rsidR="004C2A94">
        <w:rPr>
          <w:rFonts w:ascii="Arial" w:hAnsi="Arial" w:cs="Arial"/>
          <w:sz w:val="24"/>
          <w:szCs w:val="24"/>
        </w:rPr>
        <w:t>so that other competitive offers can easily be made to those customers</w:t>
      </w:r>
      <w:r>
        <w:rPr>
          <w:rFonts w:ascii="Arial" w:hAnsi="Arial" w:cs="Arial"/>
          <w:sz w:val="24"/>
          <w:szCs w:val="24"/>
        </w:rPr>
        <w:t>.</w:t>
      </w:r>
      <w:r w:rsidR="004C2A94">
        <w:rPr>
          <w:rFonts w:ascii="Arial" w:hAnsi="Arial" w:cs="Arial"/>
          <w:sz w:val="24"/>
          <w:szCs w:val="24"/>
        </w:rPr>
        <w:t xml:space="preserve"> </w:t>
      </w:r>
    </w:p>
    <w:p w14:paraId="71276BB2" w14:textId="11A8DD38" w:rsidR="0095649E" w:rsidRDefault="004C2A94" w:rsidP="007040A8">
      <w:pPr>
        <w:spacing w:line="480" w:lineRule="auto"/>
        <w:ind w:firstLine="360"/>
        <w:jc w:val="both"/>
        <w:rPr>
          <w:rFonts w:ascii="Arial" w:hAnsi="Arial" w:cs="Arial"/>
          <w:sz w:val="24"/>
          <w:szCs w:val="24"/>
        </w:rPr>
      </w:pPr>
      <w:r>
        <w:rPr>
          <w:rFonts w:ascii="Arial" w:hAnsi="Arial" w:cs="Arial"/>
          <w:sz w:val="24"/>
          <w:szCs w:val="24"/>
        </w:rPr>
        <w:t>T</w:t>
      </w:r>
      <w:r w:rsidR="007040A8">
        <w:rPr>
          <w:rFonts w:ascii="Arial" w:hAnsi="Arial" w:cs="Arial"/>
          <w:sz w:val="24"/>
          <w:szCs w:val="24"/>
        </w:rPr>
        <w:t>he SSO product would have no cancellation fee</w:t>
      </w:r>
      <w:r w:rsidR="00AF7BF7">
        <w:rPr>
          <w:rFonts w:ascii="Arial" w:hAnsi="Arial" w:cs="Arial"/>
          <w:sz w:val="24"/>
          <w:szCs w:val="24"/>
        </w:rPr>
        <w:t>,</w:t>
      </w:r>
      <w:r w:rsidR="007040A8">
        <w:rPr>
          <w:rFonts w:ascii="Arial" w:hAnsi="Arial" w:cs="Arial"/>
          <w:sz w:val="24"/>
          <w:szCs w:val="24"/>
        </w:rPr>
        <w:t xml:space="preserve"> and customers woul</w:t>
      </w:r>
      <w:r w:rsidR="002B50F5">
        <w:rPr>
          <w:rFonts w:ascii="Arial" w:hAnsi="Arial" w:cs="Arial"/>
          <w:sz w:val="24"/>
          <w:szCs w:val="24"/>
        </w:rPr>
        <w:t xml:space="preserve">d be free to come and go at any </w:t>
      </w:r>
      <w:r w:rsidR="007040A8">
        <w:rPr>
          <w:rFonts w:ascii="Arial" w:hAnsi="Arial" w:cs="Arial"/>
          <w:sz w:val="24"/>
          <w:szCs w:val="24"/>
        </w:rPr>
        <w:t>time from the SSO product, just as they are today</w:t>
      </w:r>
      <w:r w:rsidR="00935793">
        <w:rPr>
          <w:rFonts w:ascii="Arial" w:hAnsi="Arial" w:cs="Arial"/>
          <w:sz w:val="24"/>
          <w:szCs w:val="24"/>
        </w:rPr>
        <w:t>.</w:t>
      </w:r>
      <w:r>
        <w:rPr>
          <w:rFonts w:ascii="Arial" w:hAnsi="Arial" w:cs="Arial"/>
          <w:sz w:val="24"/>
          <w:szCs w:val="24"/>
        </w:rPr>
        <w:t xml:space="preserve">  In instance</w:t>
      </w:r>
      <w:r w:rsidR="0083289D">
        <w:rPr>
          <w:rFonts w:ascii="Arial" w:hAnsi="Arial" w:cs="Arial"/>
          <w:sz w:val="24"/>
          <w:szCs w:val="24"/>
        </w:rPr>
        <w:t>s</w:t>
      </w:r>
      <w:r>
        <w:rPr>
          <w:rFonts w:ascii="Arial" w:hAnsi="Arial" w:cs="Arial"/>
          <w:sz w:val="24"/>
          <w:szCs w:val="24"/>
        </w:rPr>
        <w:t xml:space="preserve"> where a customer</w:t>
      </w:r>
      <w:r w:rsidR="00EB6740">
        <w:rPr>
          <w:rFonts w:ascii="Arial" w:hAnsi="Arial" w:cs="Arial"/>
          <w:sz w:val="24"/>
          <w:szCs w:val="24"/>
        </w:rPr>
        <w:t xml:space="preserve"> does not elect a supplier, </w:t>
      </w:r>
      <w:r w:rsidR="0095731D">
        <w:rPr>
          <w:rFonts w:ascii="Arial" w:hAnsi="Arial" w:cs="Arial"/>
          <w:sz w:val="24"/>
          <w:szCs w:val="24"/>
        </w:rPr>
        <w:t xml:space="preserve">or </w:t>
      </w:r>
      <w:r>
        <w:rPr>
          <w:rFonts w:ascii="Arial" w:hAnsi="Arial" w:cs="Arial"/>
          <w:sz w:val="24"/>
          <w:szCs w:val="24"/>
        </w:rPr>
        <w:t xml:space="preserve">opts-in to the SSO product, the customer would be randomly assigned to a CRES </w:t>
      </w:r>
      <w:r w:rsidR="00AF7BF7">
        <w:rPr>
          <w:rFonts w:ascii="Arial" w:hAnsi="Arial" w:cs="Arial"/>
          <w:sz w:val="24"/>
          <w:szCs w:val="24"/>
        </w:rPr>
        <w:t xml:space="preserve">supplier </w:t>
      </w:r>
      <w:r w:rsidR="0013541D">
        <w:rPr>
          <w:rFonts w:ascii="Arial" w:hAnsi="Arial" w:cs="Arial"/>
          <w:sz w:val="24"/>
          <w:szCs w:val="24"/>
        </w:rPr>
        <w:t>(not necessarily a retail auction winner)</w:t>
      </w:r>
      <w:r>
        <w:rPr>
          <w:rFonts w:ascii="Arial" w:hAnsi="Arial" w:cs="Arial"/>
          <w:sz w:val="24"/>
          <w:szCs w:val="24"/>
        </w:rPr>
        <w:t xml:space="preserve"> at its </w:t>
      </w:r>
      <w:r w:rsidR="00201481">
        <w:rPr>
          <w:rFonts w:ascii="Arial" w:hAnsi="Arial" w:cs="Arial"/>
          <w:sz w:val="24"/>
          <w:szCs w:val="24"/>
        </w:rPr>
        <w:t xml:space="preserve">generally available </w:t>
      </w:r>
      <w:r w:rsidR="00681E68">
        <w:rPr>
          <w:rFonts w:ascii="Arial" w:hAnsi="Arial" w:cs="Arial"/>
          <w:sz w:val="24"/>
          <w:szCs w:val="24"/>
        </w:rPr>
        <w:t>MVR</w:t>
      </w:r>
      <w:r w:rsidR="00967216">
        <w:rPr>
          <w:rFonts w:ascii="Arial" w:hAnsi="Arial" w:cs="Arial"/>
          <w:sz w:val="24"/>
          <w:szCs w:val="24"/>
        </w:rPr>
        <w:t xml:space="preserve"> rate </w:t>
      </w:r>
      <w:r w:rsidR="00D41752">
        <w:rPr>
          <w:rFonts w:ascii="Arial" w:hAnsi="Arial" w:cs="Arial"/>
          <w:sz w:val="24"/>
          <w:szCs w:val="24"/>
        </w:rPr>
        <w:t>published on the PUCO A</w:t>
      </w:r>
      <w:r>
        <w:rPr>
          <w:rFonts w:ascii="Arial" w:hAnsi="Arial" w:cs="Arial"/>
          <w:sz w:val="24"/>
          <w:szCs w:val="24"/>
        </w:rPr>
        <w:t>ppl</w:t>
      </w:r>
      <w:r w:rsidR="00D41752">
        <w:rPr>
          <w:rFonts w:ascii="Arial" w:hAnsi="Arial" w:cs="Arial"/>
          <w:sz w:val="24"/>
          <w:szCs w:val="24"/>
        </w:rPr>
        <w:t>es-to-A</w:t>
      </w:r>
      <w:r>
        <w:rPr>
          <w:rFonts w:ascii="Arial" w:hAnsi="Arial" w:cs="Arial"/>
          <w:sz w:val="24"/>
          <w:szCs w:val="24"/>
        </w:rPr>
        <w:t xml:space="preserve">pples </w:t>
      </w:r>
      <w:r>
        <w:rPr>
          <w:rFonts w:ascii="Arial" w:hAnsi="Arial" w:cs="Arial"/>
          <w:sz w:val="24"/>
          <w:szCs w:val="24"/>
        </w:rPr>
        <w:lastRenderedPageBreak/>
        <w:t>website.</w:t>
      </w:r>
      <w:r w:rsidR="0083289D">
        <w:rPr>
          <w:rFonts w:ascii="Arial" w:hAnsi="Arial" w:cs="Arial"/>
          <w:sz w:val="24"/>
          <w:szCs w:val="24"/>
        </w:rPr>
        <w:t xml:space="preserve">  Further, opt-out government aggregations would be eligible to serve all SSO customers remaining on the SSO rate, just as they are today. </w:t>
      </w:r>
    </w:p>
    <w:p w14:paraId="485F182A" w14:textId="77777777" w:rsidR="00ED6640" w:rsidRPr="002A77F8" w:rsidRDefault="00ED6640" w:rsidP="00ED6640">
      <w:pPr>
        <w:pStyle w:val="ListParagraph"/>
        <w:numPr>
          <w:ilvl w:val="0"/>
          <w:numId w:val="7"/>
        </w:numPr>
        <w:spacing w:line="480" w:lineRule="auto"/>
        <w:jc w:val="both"/>
        <w:rPr>
          <w:rFonts w:ascii="Arial" w:hAnsi="Arial" w:cs="Arial"/>
          <w:b/>
          <w:sz w:val="24"/>
          <w:szCs w:val="24"/>
        </w:rPr>
      </w:pPr>
      <w:r>
        <w:rPr>
          <w:rFonts w:ascii="Arial" w:hAnsi="Arial" w:cs="Arial"/>
          <w:b/>
          <w:sz w:val="24"/>
          <w:szCs w:val="24"/>
        </w:rPr>
        <w:t>Retail Auctions Are Permissible Under Ohio Law.</w:t>
      </w:r>
    </w:p>
    <w:p w14:paraId="032EE92A" w14:textId="77777777" w:rsidR="00ED6640" w:rsidRPr="002A77F8" w:rsidRDefault="00ED6640" w:rsidP="00ED6640">
      <w:pPr>
        <w:spacing w:line="480" w:lineRule="auto"/>
        <w:ind w:firstLine="360"/>
        <w:jc w:val="both"/>
        <w:rPr>
          <w:rFonts w:ascii="Arial" w:hAnsi="Arial" w:cs="Arial"/>
          <w:sz w:val="24"/>
          <w:szCs w:val="24"/>
        </w:rPr>
      </w:pPr>
      <w:r>
        <w:rPr>
          <w:rFonts w:ascii="Arial" w:hAnsi="Arial" w:cs="Arial"/>
          <w:sz w:val="24"/>
          <w:szCs w:val="24"/>
        </w:rPr>
        <w:t>The retail auction model proposed by IGS is clearly permissible under Ohio law. R.C.</w:t>
      </w:r>
      <w:r w:rsidRPr="00E44C2E">
        <w:rPr>
          <w:rFonts w:ascii="Arial" w:hAnsi="Arial" w:cs="Arial"/>
          <w:sz w:val="24"/>
          <w:szCs w:val="24"/>
        </w:rPr>
        <w:t xml:space="preserve"> 4928.141</w:t>
      </w:r>
      <w:r>
        <w:rPr>
          <w:rFonts w:ascii="Arial" w:hAnsi="Arial" w:cs="Arial"/>
          <w:sz w:val="24"/>
          <w:szCs w:val="24"/>
        </w:rPr>
        <w:t>(A)</w:t>
      </w:r>
      <w:r w:rsidRPr="00E44C2E">
        <w:rPr>
          <w:rFonts w:ascii="Arial" w:hAnsi="Arial" w:cs="Arial"/>
          <w:sz w:val="24"/>
          <w:szCs w:val="24"/>
        </w:rPr>
        <w:t xml:space="preserve"> states that an EDU shall provide customer</w:t>
      </w:r>
      <w:r>
        <w:rPr>
          <w:rFonts w:ascii="Arial" w:hAnsi="Arial" w:cs="Arial"/>
          <w:sz w:val="24"/>
          <w:szCs w:val="24"/>
        </w:rPr>
        <w:t>s the option of</w:t>
      </w:r>
      <w:r w:rsidRPr="00E44C2E">
        <w:rPr>
          <w:rFonts w:ascii="Arial" w:hAnsi="Arial" w:cs="Arial"/>
          <w:sz w:val="24"/>
          <w:szCs w:val="24"/>
        </w:rPr>
        <w:t xml:space="preserve"> a “</w:t>
      </w:r>
      <w:r w:rsidRPr="00E44C2E">
        <w:rPr>
          <w:rFonts w:ascii="Arial" w:hAnsi="Arial" w:cs="Arial"/>
          <w:color w:val="000000"/>
          <w:sz w:val="24"/>
          <w:szCs w:val="24"/>
          <w:shd w:val="clear" w:color="auto" w:fill="FFFFFF"/>
        </w:rPr>
        <w:t>standard service offer</w:t>
      </w:r>
      <w:r>
        <w:rPr>
          <w:rFonts w:ascii="Arial" w:hAnsi="Arial" w:cs="Arial"/>
          <w:color w:val="000000"/>
          <w:sz w:val="24"/>
          <w:szCs w:val="24"/>
          <w:shd w:val="clear" w:color="auto" w:fill="FFFFFF"/>
        </w:rPr>
        <w:t xml:space="preserve"> </w:t>
      </w:r>
      <w:r w:rsidRPr="00E44C2E">
        <w:rPr>
          <w:rFonts w:ascii="Arial" w:hAnsi="Arial" w:cs="Arial"/>
          <w:color w:val="000000"/>
          <w:sz w:val="24"/>
          <w:szCs w:val="24"/>
          <w:shd w:val="clear" w:color="auto" w:fill="FFFFFF"/>
        </w:rPr>
        <w:t>of all competitive retail electric services necessary to maintain essential electric service to consumers.”</w:t>
      </w:r>
      <w:r>
        <w:rPr>
          <w:rFonts w:ascii="Arial" w:hAnsi="Arial" w:cs="Arial"/>
          <w:color w:val="000000"/>
          <w:sz w:val="24"/>
          <w:szCs w:val="24"/>
          <w:shd w:val="clear" w:color="auto" w:fill="FFFFFF"/>
        </w:rPr>
        <w:t xml:space="preserve">  R.C. </w:t>
      </w:r>
      <w:r w:rsidRPr="00E44C2E">
        <w:rPr>
          <w:rFonts w:ascii="Arial" w:hAnsi="Arial" w:cs="Arial"/>
          <w:sz w:val="24"/>
          <w:szCs w:val="24"/>
        </w:rPr>
        <w:t>4928.141</w:t>
      </w:r>
      <w:r>
        <w:rPr>
          <w:rFonts w:ascii="Arial" w:hAnsi="Arial" w:cs="Arial"/>
          <w:sz w:val="24"/>
          <w:szCs w:val="24"/>
        </w:rPr>
        <w:t>(A)</w:t>
      </w:r>
      <w:r>
        <w:rPr>
          <w:rFonts w:ascii="Arial" w:hAnsi="Arial" w:cs="Arial"/>
          <w:color w:val="000000"/>
          <w:sz w:val="24"/>
          <w:szCs w:val="24"/>
          <w:shd w:val="clear" w:color="auto" w:fill="FFFFFF"/>
        </w:rPr>
        <w:t xml:space="preserve"> then states that an EDU’s SSO must be approved in accordance with either R.C. 4928.142 or R.C. 4928.143.</w:t>
      </w:r>
    </w:p>
    <w:p w14:paraId="39B3A4EF" w14:textId="77777777" w:rsidR="00ED6640" w:rsidRDefault="00ED6640" w:rsidP="00ED6640">
      <w:pPr>
        <w:spacing w:line="480" w:lineRule="auto"/>
        <w:ind w:firstLine="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R.C. 4928.142 identifies a competitive bidding process (often referred to as a market rate offer or MRO) as a means to establish an SSO.  However, nothing in R.C. 4928.142 limits the competitive bidding process to a wholesale auction, nor does R.C. 4928.142 require that customers be automatically enrolled in the SSO generation service upon enrollment in EDU distribution service.</w:t>
      </w:r>
    </w:p>
    <w:p w14:paraId="3BCB32E7" w14:textId="77777777" w:rsidR="00ED6640" w:rsidRDefault="00ED6640" w:rsidP="00ED6640">
      <w:pPr>
        <w:spacing w:line="480" w:lineRule="auto"/>
        <w:ind w:firstLine="360"/>
        <w:jc w:val="both"/>
        <w:rPr>
          <w:rFonts w:ascii="Arial" w:hAnsi="Arial" w:cs="Arial"/>
          <w:color w:val="000000"/>
          <w:sz w:val="24"/>
          <w:szCs w:val="24"/>
          <w:shd w:val="clear" w:color="auto" w:fill="FFFFFF"/>
        </w:rPr>
      </w:pPr>
      <w:r w:rsidRPr="00650672">
        <w:rPr>
          <w:rFonts w:ascii="Arial" w:hAnsi="Arial" w:cs="Arial"/>
          <w:color w:val="000000"/>
          <w:sz w:val="24"/>
          <w:szCs w:val="24"/>
          <w:shd w:val="clear" w:color="auto" w:fill="FFFFFF"/>
        </w:rPr>
        <w:t xml:space="preserve">Ohio law also allows an SSO rate to be established </w:t>
      </w:r>
      <w:r>
        <w:rPr>
          <w:rFonts w:ascii="Arial" w:hAnsi="Arial" w:cs="Arial"/>
          <w:color w:val="000000"/>
          <w:sz w:val="24"/>
          <w:szCs w:val="24"/>
          <w:shd w:val="clear" w:color="auto" w:fill="FFFFFF"/>
        </w:rPr>
        <w:t xml:space="preserve">through an ESP </w:t>
      </w:r>
      <w:r w:rsidRPr="00650672">
        <w:rPr>
          <w:rFonts w:ascii="Arial" w:hAnsi="Arial" w:cs="Arial"/>
          <w:color w:val="000000"/>
          <w:sz w:val="24"/>
          <w:szCs w:val="24"/>
          <w:shd w:val="clear" w:color="auto" w:fill="FFFFFF"/>
        </w:rPr>
        <w:t xml:space="preserve">under R.C. 4928.143. </w:t>
      </w:r>
      <w:r>
        <w:rPr>
          <w:rFonts w:ascii="Arial" w:hAnsi="Arial" w:cs="Arial"/>
          <w:color w:val="000000"/>
          <w:sz w:val="24"/>
          <w:szCs w:val="24"/>
          <w:shd w:val="clear" w:color="auto" w:fill="FFFFFF"/>
        </w:rPr>
        <w:t xml:space="preserve"> Al</w:t>
      </w:r>
      <w:r w:rsidRPr="00650672">
        <w:rPr>
          <w:rFonts w:ascii="Arial" w:hAnsi="Arial" w:cs="Arial"/>
          <w:color w:val="000000"/>
          <w:sz w:val="24"/>
          <w:szCs w:val="24"/>
          <w:shd w:val="clear" w:color="auto" w:fill="FFFFFF"/>
        </w:rPr>
        <w:t>l</w:t>
      </w:r>
      <w:r>
        <w:rPr>
          <w:rFonts w:ascii="Arial" w:hAnsi="Arial" w:cs="Arial"/>
          <w:color w:val="000000"/>
          <w:sz w:val="24"/>
          <w:szCs w:val="24"/>
          <w:shd w:val="clear" w:color="auto" w:fill="FFFFFF"/>
        </w:rPr>
        <w:t xml:space="preserve"> current EDU SSOs have been approved by the Commission under the ESP construct. </w:t>
      </w:r>
      <w:r w:rsidRPr="00650672">
        <w:rPr>
          <w:rFonts w:ascii="Arial" w:hAnsi="Arial" w:cs="Arial"/>
          <w:color w:val="000000"/>
          <w:sz w:val="24"/>
          <w:szCs w:val="24"/>
          <w:shd w:val="clear" w:color="auto" w:fill="FFFFFF"/>
        </w:rPr>
        <w:t xml:space="preserve"> An ESP provides the Commission with even more flexibility than an MRO</w:t>
      </w:r>
      <w:r>
        <w:rPr>
          <w:rFonts w:ascii="Arial" w:hAnsi="Arial" w:cs="Arial"/>
          <w:color w:val="000000"/>
          <w:sz w:val="24"/>
          <w:szCs w:val="24"/>
          <w:shd w:val="clear" w:color="auto" w:fill="FFFFFF"/>
        </w:rPr>
        <w:t xml:space="preserve"> </w:t>
      </w:r>
      <w:r w:rsidRPr="00650672">
        <w:rPr>
          <w:rFonts w:ascii="Arial" w:hAnsi="Arial" w:cs="Arial"/>
          <w:color w:val="000000"/>
          <w:sz w:val="24"/>
          <w:szCs w:val="24"/>
          <w:shd w:val="clear" w:color="auto" w:fill="FFFFFF"/>
        </w:rPr>
        <w:t>to establish an SSO.  R.C. 4928.143(B)(1) provides “an electric security plan shall include provisions relating to the supply and pricing of electric generation service.”</w:t>
      </w:r>
      <w:r>
        <w:rPr>
          <w:rFonts w:ascii="Arial" w:hAnsi="Arial" w:cs="Arial"/>
          <w:color w:val="000000"/>
          <w:sz w:val="24"/>
          <w:szCs w:val="24"/>
          <w:shd w:val="clear" w:color="auto" w:fill="FFFFFF"/>
        </w:rPr>
        <w:t xml:space="preserve"> </w:t>
      </w:r>
      <w:r w:rsidRPr="00650672">
        <w:rPr>
          <w:rFonts w:ascii="Arial" w:hAnsi="Arial" w:cs="Arial"/>
          <w:color w:val="000000"/>
          <w:sz w:val="24"/>
          <w:szCs w:val="24"/>
          <w:shd w:val="clear" w:color="auto" w:fill="FFFFFF"/>
        </w:rPr>
        <w:t>R.C. 4928.143(B)(</w:t>
      </w:r>
      <w:r>
        <w:rPr>
          <w:rFonts w:ascii="Arial" w:hAnsi="Arial" w:cs="Arial"/>
          <w:color w:val="000000"/>
          <w:sz w:val="24"/>
          <w:szCs w:val="24"/>
          <w:shd w:val="clear" w:color="auto" w:fill="FFFFFF"/>
        </w:rPr>
        <w:t>2</w:t>
      </w:r>
      <w:r w:rsidRPr="0065067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permits a number of items that </w:t>
      </w:r>
      <w:r>
        <w:rPr>
          <w:rFonts w:ascii="Arial" w:hAnsi="Arial" w:cs="Arial"/>
          <w:i/>
          <w:color w:val="000000"/>
          <w:sz w:val="24"/>
          <w:szCs w:val="24"/>
          <w:shd w:val="clear" w:color="auto" w:fill="FFFFFF"/>
        </w:rPr>
        <w:t xml:space="preserve">may </w:t>
      </w:r>
      <w:r>
        <w:rPr>
          <w:rFonts w:ascii="Arial" w:hAnsi="Arial" w:cs="Arial"/>
          <w:color w:val="000000"/>
          <w:sz w:val="24"/>
          <w:szCs w:val="24"/>
          <w:shd w:val="clear" w:color="auto" w:fill="FFFFFF"/>
        </w:rPr>
        <w:t xml:space="preserve">be included in the ESP, </w:t>
      </w:r>
      <w:r>
        <w:rPr>
          <w:rFonts w:ascii="Arial" w:hAnsi="Arial" w:cs="Arial"/>
          <w:i/>
          <w:color w:val="000000"/>
          <w:sz w:val="24"/>
          <w:szCs w:val="24"/>
          <w:shd w:val="clear" w:color="auto" w:fill="FFFFFF"/>
        </w:rPr>
        <w:t xml:space="preserve">without </w:t>
      </w:r>
      <w:r>
        <w:rPr>
          <w:rFonts w:ascii="Arial" w:hAnsi="Arial" w:cs="Arial"/>
          <w:color w:val="000000"/>
          <w:sz w:val="24"/>
          <w:szCs w:val="24"/>
          <w:shd w:val="clear" w:color="auto" w:fill="FFFFFF"/>
        </w:rPr>
        <w:t xml:space="preserve">limitation.  But nothing in R.C. </w:t>
      </w:r>
      <w:r w:rsidRPr="00650672">
        <w:rPr>
          <w:rFonts w:ascii="Arial" w:hAnsi="Arial" w:cs="Arial"/>
          <w:color w:val="000000"/>
          <w:sz w:val="24"/>
          <w:szCs w:val="24"/>
          <w:shd w:val="clear" w:color="auto" w:fill="FFFFFF"/>
        </w:rPr>
        <w:t>4928.143</w:t>
      </w:r>
      <w:r>
        <w:rPr>
          <w:rFonts w:ascii="Arial" w:hAnsi="Arial" w:cs="Arial"/>
          <w:color w:val="000000"/>
          <w:sz w:val="24"/>
          <w:szCs w:val="24"/>
          <w:shd w:val="clear" w:color="auto" w:fill="FFFFFF"/>
        </w:rPr>
        <w:t xml:space="preserve"> requires a wholesale auction to establish the SSO, nor does this section require that customers be automatically enrolled in the SSO upon enrollment in EDU distribution service.  </w:t>
      </w:r>
    </w:p>
    <w:p w14:paraId="7D6C9CBC" w14:textId="77777777" w:rsidR="00ED6640" w:rsidRDefault="00ED6640" w:rsidP="00ED6640">
      <w:pPr>
        <w:spacing w:line="480" w:lineRule="auto"/>
        <w:ind w:firstLine="360"/>
        <w:jc w:val="both"/>
        <w:rPr>
          <w:rFonts w:ascii="Arial" w:hAnsi="Arial" w:cs="Arial"/>
          <w:sz w:val="24"/>
          <w:szCs w:val="24"/>
        </w:rPr>
      </w:pPr>
      <w:r>
        <w:rPr>
          <w:rFonts w:ascii="Arial" w:hAnsi="Arial" w:cs="Arial"/>
          <w:color w:val="000000"/>
          <w:sz w:val="24"/>
          <w:szCs w:val="24"/>
          <w:shd w:val="clear" w:color="auto" w:fill="FFFFFF"/>
        </w:rPr>
        <w:lastRenderedPageBreak/>
        <w:t xml:space="preserve">Essentially, these statutes </w:t>
      </w:r>
      <w:r>
        <w:rPr>
          <w:rFonts w:ascii="Arial" w:hAnsi="Arial" w:cs="Arial"/>
          <w:sz w:val="24"/>
          <w:szCs w:val="24"/>
        </w:rPr>
        <w:t>establish that an SSO must be available to customers, and they provide a means by which an EDU may receive SSO approval.  But these statutes give the Commission great discretion to determine how the SSO is structured.</w:t>
      </w:r>
      <w:r>
        <w:rPr>
          <w:rFonts w:ascii="Arial" w:hAnsi="Arial" w:cs="Arial"/>
          <w:color w:val="000000"/>
          <w:sz w:val="24"/>
          <w:szCs w:val="24"/>
          <w:shd w:val="clear" w:color="auto" w:fill="FFFFFF"/>
        </w:rPr>
        <w:t xml:space="preserve">  </w:t>
      </w:r>
      <w:r>
        <w:rPr>
          <w:rFonts w:ascii="Arial" w:hAnsi="Arial" w:cs="Arial"/>
          <w:sz w:val="24"/>
          <w:szCs w:val="24"/>
        </w:rPr>
        <w:t>Ohio law does not lock the Commission into the current subsidized wholesale default SSO structure.  Ohio law allows for great flexibility for an SSO.  This flexibility was built in intentionally, because with the enactment of SB 3 and then SB 221, it was understood that Ohio electric markets would continually evolve to allow greater and greater competition. This regulatory flexibility also accords with the policy of the State to “[r]</w:t>
      </w:r>
      <w:r w:rsidRPr="009E03FA">
        <w:rPr>
          <w:rFonts w:ascii="Arial" w:hAnsi="Arial" w:cs="Arial"/>
          <w:sz w:val="24"/>
          <w:szCs w:val="24"/>
        </w:rPr>
        <w:t>ecognize the continuing emergence of competitive electricity markets through the development and implementation of flexible regulatory treatment</w:t>
      </w:r>
      <w:r>
        <w:rPr>
          <w:rFonts w:ascii="Arial" w:hAnsi="Arial" w:cs="Arial"/>
          <w:sz w:val="24"/>
          <w:szCs w:val="24"/>
        </w:rPr>
        <w:t>.”  R.C. 4928.02(G).</w:t>
      </w:r>
    </w:p>
    <w:p w14:paraId="25B2687C" w14:textId="36877840" w:rsidR="00ED6640" w:rsidRPr="00ED6640" w:rsidRDefault="00ED6640" w:rsidP="00ED6640">
      <w:pPr>
        <w:spacing w:line="480" w:lineRule="auto"/>
        <w:ind w:firstLine="360"/>
        <w:jc w:val="both"/>
        <w:rPr>
          <w:rFonts w:ascii="Arial" w:hAnsi="Arial" w:cs="Arial"/>
          <w:color w:val="000000"/>
          <w:sz w:val="24"/>
          <w:szCs w:val="24"/>
          <w:shd w:val="clear" w:color="auto" w:fill="FFFFFF"/>
        </w:rPr>
      </w:pPr>
      <w:r>
        <w:rPr>
          <w:rFonts w:ascii="Arial" w:hAnsi="Arial" w:cs="Arial"/>
          <w:sz w:val="24"/>
          <w:szCs w:val="24"/>
        </w:rPr>
        <w:t>The Commission has already exercised its great regulatory flexibility to require divestiture of all electric generation assets for three major Ohio electric EDUs (and soon all four).</w:t>
      </w:r>
      <w:r>
        <w:rPr>
          <w:rStyle w:val="FootnoteReference"/>
          <w:rFonts w:ascii="Arial" w:hAnsi="Arial" w:cs="Arial"/>
          <w:sz w:val="24"/>
          <w:szCs w:val="24"/>
        </w:rPr>
        <w:footnoteReference w:id="8"/>
      </w:r>
      <w:r>
        <w:rPr>
          <w:rFonts w:ascii="Arial" w:hAnsi="Arial" w:cs="Arial"/>
          <w:sz w:val="24"/>
          <w:szCs w:val="24"/>
        </w:rPr>
        <w:t xml:space="preserve">  Currently FirstEnergy Ohio and Duke Energy Ohio no longer provide SSO generation service, but rather both utilities solicit competitive suppliers via competitive bidding process to serve the SSO.  The Commission also ordered AEP to transition to a competitive bidding process to serve its SSO product, and soon AEP’s SSO product will be served entirely by competitive energy suppliers.</w:t>
      </w:r>
      <w:r>
        <w:rPr>
          <w:rStyle w:val="FootnoteReference"/>
          <w:rFonts w:ascii="Arial" w:hAnsi="Arial" w:cs="Arial"/>
          <w:sz w:val="24"/>
          <w:szCs w:val="24"/>
        </w:rPr>
        <w:footnoteReference w:id="9"/>
      </w:r>
      <w:r>
        <w:rPr>
          <w:rFonts w:ascii="Arial" w:hAnsi="Arial" w:cs="Arial"/>
          <w:sz w:val="24"/>
          <w:szCs w:val="24"/>
        </w:rPr>
        <w:t xml:space="preserve">  In other words, the Commission has already authorized competitive suppliers to serve the SSO product. The retail auction proposed by IGS would merely continue the Commission’s policy to serve SSO </w:t>
      </w:r>
      <w:r>
        <w:rPr>
          <w:rFonts w:ascii="Arial" w:hAnsi="Arial" w:cs="Arial"/>
          <w:sz w:val="24"/>
          <w:szCs w:val="24"/>
        </w:rPr>
        <w:lastRenderedPageBreak/>
        <w:t xml:space="preserve">customers via competitive suppliers—while spurring retail market development and directly funding the AEP deferral.  </w:t>
      </w:r>
    </w:p>
    <w:p w14:paraId="105B758A" w14:textId="21B25408" w:rsidR="00800737" w:rsidRPr="00800737" w:rsidRDefault="00800737" w:rsidP="00800737">
      <w:pPr>
        <w:pStyle w:val="ListParagraph"/>
        <w:numPr>
          <w:ilvl w:val="0"/>
          <w:numId w:val="7"/>
        </w:numPr>
        <w:spacing w:line="480" w:lineRule="auto"/>
        <w:jc w:val="both"/>
        <w:rPr>
          <w:rFonts w:ascii="Arial" w:hAnsi="Arial" w:cs="Arial"/>
          <w:b/>
          <w:sz w:val="24"/>
          <w:szCs w:val="24"/>
        </w:rPr>
      </w:pPr>
      <w:r>
        <w:rPr>
          <w:rFonts w:ascii="Arial" w:hAnsi="Arial" w:cs="Arial"/>
          <w:b/>
          <w:sz w:val="24"/>
          <w:szCs w:val="24"/>
        </w:rPr>
        <w:t>Retail Auction</w:t>
      </w:r>
      <w:r w:rsidR="00AF7BF7">
        <w:rPr>
          <w:rFonts w:ascii="Arial" w:hAnsi="Arial" w:cs="Arial"/>
          <w:b/>
          <w:sz w:val="24"/>
          <w:szCs w:val="24"/>
        </w:rPr>
        <w:t>s</w:t>
      </w:r>
      <w:r>
        <w:rPr>
          <w:rFonts w:ascii="Arial" w:hAnsi="Arial" w:cs="Arial"/>
          <w:b/>
          <w:sz w:val="24"/>
          <w:szCs w:val="24"/>
        </w:rPr>
        <w:t xml:space="preserve"> </w:t>
      </w:r>
      <w:r w:rsidR="00AF7BF7">
        <w:rPr>
          <w:rFonts w:ascii="Arial" w:hAnsi="Arial" w:cs="Arial"/>
          <w:b/>
          <w:sz w:val="24"/>
          <w:szCs w:val="24"/>
        </w:rPr>
        <w:t xml:space="preserve">Are </w:t>
      </w:r>
      <w:r>
        <w:rPr>
          <w:rFonts w:ascii="Arial" w:hAnsi="Arial" w:cs="Arial"/>
          <w:b/>
          <w:sz w:val="24"/>
          <w:szCs w:val="24"/>
        </w:rPr>
        <w:t xml:space="preserve">Consistent </w:t>
      </w:r>
      <w:r w:rsidR="00AF7BF7">
        <w:rPr>
          <w:rFonts w:ascii="Arial" w:hAnsi="Arial" w:cs="Arial"/>
          <w:b/>
          <w:sz w:val="24"/>
          <w:szCs w:val="24"/>
        </w:rPr>
        <w:t>w</w:t>
      </w:r>
      <w:r>
        <w:rPr>
          <w:rFonts w:ascii="Arial" w:hAnsi="Arial" w:cs="Arial"/>
          <w:b/>
          <w:sz w:val="24"/>
          <w:szCs w:val="24"/>
        </w:rPr>
        <w:t>ith the AEP ESP Order.</w:t>
      </w:r>
    </w:p>
    <w:p w14:paraId="1FB8FBF0" w14:textId="2500610B" w:rsidR="004C2A94" w:rsidRPr="004C2A94" w:rsidRDefault="004C2A94" w:rsidP="007040A8">
      <w:pPr>
        <w:spacing w:line="480" w:lineRule="auto"/>
        <w:ind w:firstLine="360"/>
        <w:jc w:val="both"/>
        <w:rPr>
          <w:rFonts w:ascii="Arial" w:hAnsi="Arial" w:cs="Arial"/>
          <w:sz w:val="24"/>
          <w:szCs w:val="24"/>
        </w:rPr>
      </w:pPr>
      <w:r>
        <w:rPr>
          <w:rFonts w:ascii="Arial" w:hAnsi="Arial" w:cs="Arial"/>
          <w:sz w:val="24"/>
          <w:szCs w:val="24"/>
        </w:rPr>
        <w:t>The retail auction proposal described above is also consistent with AEP’s ESP Order.  As already noted</w:t>
      </w:r>
      <w:r w:rsidR="00A422A5">
        <w:rPr>
          <w:rFonts w:ascii="Arial" w:hAnsi="Arial" w:cs="Arial"/>
          <w:sz w:val="24"/>
          <w:szCs w:val="24"/>
        </w:rPr>
        <w:t xml:space="preserve">, starting June 1, 2014, 60% of AEP’s SSO load is scheduled to be served </w:t>
      </w:r>
      <w:r w:rsidR="00AF7BF7">
        <w:rPr>
          <w:rFonts w:ascii="Arial" w:hAnsi="Arial" w:cs="Arial"/>
          <w:sz w:val="24"/>
          <w:szCs w:val="24"/>
        </w:rPr>
        <w:t xml:space="preserve">through </w:t>
      </w:r>
      <w:r w:rsidR="00A422A5">
        <w:rPr>
          <w:rFonts w:ascii="Arial" w:hAnsi="Arial" w:cs="Arial"/>
          <w:sz w:val="24"/>
          <w:szCs w:val="24"/>
        </w:rPr>
        <w:t>an energy</w:t>
      </w:r>
      <w:r w:rsidR="00AF7BF7">
        <w:rPr>
          <w:rFonts w:ascii="Arial" w:hAnsi="Arial" w:cs="Arial"/>
          <w:sz w:val="24"/>
          <w:szCs w:val="24"/>
        </w:rPr>
        <w:t>-</w:t>
      </w:r>
      <w:r w:rsidR="00A422A5">
        <w:rPr>
          <w:rFonts w:ascii="Arial" w:hAnsi="Arial" w:cs="Arial"/>
          <w:sz w:val="24"/>
          <w:szCs w:val="24"/>
        </w:rPr>
        <w:t>only auction.  Therefore</w:t>
      </w:r>
      <w:r w:rsidR="00F62397">
        <w:rPr>
          <w:rFonts w:ascii="Arial" w:hAnsi="Arial" w:cs="Arial"/>
          <w:sz w:val="24"/>
          <w:szCs w:val="24"/>
        </w:rPr>
        <w:t>,</w:t>
      </w:r>
      <w:r w:rsidR="00A422A5">
        <w:rPr>
          <w:rFonts w:ascii="Arial" w:hAnsi="Arial" w:cs="Arial"/>
          <w:sz w:val="24"/>
          <w:szCs w:val="24"/>
        </w:rPr>
        <w:t xml:space="preserve"> on June 1, 2014, consistent with AEP’s ESP Order, 60% of the remain</w:t>
      </w:r>
      <w:r w:rsidR="00436187">
        <w:rPr>
          <w:rFonts w:ascii="Arial" w:hAnsi="Arial" w:cs="Arial"/>
          <w:sz w:val="24"/>
          <w:szCs w:val="24"/>
        </w:rPr>
        <w:t>ing</w:t>
      </w:r>
      <w:r w:rsidR="00A422A5">
        <w:rPr>
          <w:rFonts w:ascii="Arial" w:hAnsi="Arial" w:cs="Arial"/>
          <w:sz w:val="24"/>
          <w:szCs w:val="24"/>
        </w:rPr>
        <w:t xml:space="preserve"> SSO customers could</w:t>
      </w:r>
      <w:r w:rsidR="00DB32B9">
        <w:rPr>
          <w:rFonts w:ascii="Arial" w:hAnsi="Arial" w:cs="Arial"/>
          <w:sz w:val="24"/>
          <w:szCs w:val="24"/>
        </w:rPr>
        <w:t xml:space="preserve"> randomly</w:t>
      </w:r>
      <w:r w:rsidR="00A422A5">
        <w:rPr>
          <w:rFonts w:ascii="Arial" w:hAnsi="Arial" w:cs="Arial"/>
          <w:sz w:val="24"/>
          <w:szCs w:val="24"/>
        </w:rPr>
        <w:t xml:space="preserve"> be assigned to be served </w:t>
      </w:r>
      <w:r w:rsidR="00DB32B9">
        <w:rPr>
          <w:rFonts w:ascii="Arial" w:hAnsi="Arial" w:cs="Arial"/>
          <w:sz w:val="24"/>
          <w:szCs w:val="24"/>
        </w:rPr>
        <w:t>by a</w:t>
      </w:r>
      <w:r w:rsidR="00A422A5">
        <w:rPr>
          <w:rFonts w:ascii="Arial" w:hAnsi="Arial" w:cs="Arial"/>
          <w:sz w:val="24"/>
          <w:szCs w:val="24"/>
        </w:rPr>
        <w:t xml:space="preserve"> retail auction, and the remaining 40% of the SSO customers would remain on AEP’s current SSO rate.  On January 1, 2015</w:t>
      </w:r>
      <w:r w:rsidR="00AF7BF7">
        <w:rPr>
          <w:rFonts w:ascii="Arial" w:hAnsi="Arial" w:cs="Arial"/>
          <w:sz w:val="24"/>
          <w:szCs w:val="24"/>
        </w:rPr>
        <w:t>,</w:t>
      </w:r>
      <w:r w:rsidR="00A422A5">
        <w:rPr>
          <w:rFonts w:ascii="Arial" w:hAnsi="Arial" w:cs="Arial"/>
          <w:sz w:val="24"/>
          <w:szCs w:val="24"/>
        </w:rPr>
        <w:t xml:space="preserve"> the remain</w:t>
      </w:r>
      <w:r w:rsidR="00D73B2E">
        <w:rPr>
          <w:rFonts w:ascii="Arial" w:hAnsi="Arial" w:cs="Arial"/>
          <w:sz w:val="24"/>
          <w:szCs w:val="24"/>
        </w:rPr>
        <w:t>ing</w:t>
      </w:r>
      <w:r w:rsidR="00A422A5">
        <w:rPr>
          <w:rFonts w:ascii="Arial" w:hAnsi="Arial" w:cs="Arial"/>
          <w:sz w:val="24"/>
          <w:szCs w:val="24"/>
        </w:rPr>
        <w:t xml:space="preserve"> 40% of AEP’s SSO customers could be</w:t>
      </w:r>
      <w:r w:rsidR="00D73B2E">
        <w:rPr>
          <w:rFonts w:ascii="Arial" w:hAnsi="Arial" w:cs="Arial"/>
          <w:sz w:val="24"/>
          <w:szCs w:val="24"/>
        </w:rPr>
        <w:t>gin receiving SSO service via the retail auction mechanism.   On June 1, 2015</w:t>
      </w:r>
      <w:r w:rsidR="00AF7BF7">
        <w:rPr>
          <w:rFonts w:ascii="Arial" w:hAnsi="Arial" w:cs="Arial"/>
          <w:sz w:val="24"/>
          <w:szCs w:val="24"/>
        </w:rPr>
        <w:t>,</w:t>
      </w:r>
      <w:r w:rsidR="00D73B2E">
        <w:rPr>
          <w:rFonts w:ascii="Arial" w:hAnsi="Arial" w:cs="Arial"/>
          <w:sz w:val="24"/>
          <w:szCs w:val="24"/>
        </w:rPr>
        <w:t xml:space="preserve"> retail auction suppliers would then have the responsibility for procuring capacity for their SSO customers, and thus the capacity prices for CRES suppliers would be reflected in the SSO price.  In the alternative, if the Commission does not wish to have a period where some SSO customers are served by a retail auction and some are not, the Commission could simply select a date to conduct a retail auction to serve 100% of the SSO load (e.g. June 1, 2015).</w:t>
      </w:r>
      <w:r w:rsidR="00A422A5">
        <w:rPr>
          <w:rFonts w:ascii="Arial" w:hAnsi="Arial" w:cs="Arial"/>
          <w:sz w:val="24"/>
          <w:szCs w:val="24"/>
        </w:rPr>
        <w:t xml:space="preserve"> </w:t>
      </w:r>
    </w:p>
    <w:p w14:paraId="16A5E0A2" w14:textId="77777777" w:rsidR="00182291" w:rsidRDefault="00182291" w:rsidP="00182291">
      <w:pPr>
        <w:pStyle w:val="ListParagraph"/>
        <w:numPr>
          <w:ilvl w:val="0"/>
          <w:numId w:val="7"/>
        </w:numPr>
        <w:spacing w:line="480" w:lineRule="auto"/>
        <w:jc w:val="both"/>
        <w:rPr>
          <w:rFonts w:ascii="Arial" w:hAnsi="Arial" w:cs="Arial"/>
          <w:b/>
          <w:sz w:val="24"/>
          <w:szCs w:val="24"/>
        </w:rPr>
      </w:pPr>
      <w:r>
        <w:rPr>
          <w:rFonts w:ascii="Arial" w:hAnsi="Arial" w:cs="Arial"/>
          <w:b/>
          <w:sz w:val="24"/>
          <w:szCs w:val="24"/>
        </w:rPr>
        <w:t>Retail Auction</w:t>
      </w:r>
      <w:r w:rsidR="00AF7BF7">
        <w:rPr>
          <w:rFonts w:ascii="Arial" w:hAnsi="Arial" w:cs="Arial"/>
          <w:b/>
          <w:sz w:val="24"/>
          <w:szCs w:val="24"/>
        </w:rPr>
        <w:t>s</w:t>
      </w:r>
      <w:r>
        <w:rPr>
          <w:rFonts w:ascii="Arial" w:hAnsi="Arial" w:cs="Arial"/>
          <w:b/>
          <w:sz w:val="24"/>
          <w:szCs w:val="24"/>
        </w:rPr>
        <w:t xml:space="preserve"> Will Benefit Customers and Continue Ohio Down the Path of Full </w:t>
      </w:r>
      <w:r w:rsidR="00936C30">
        <w:rPr>
          <w:rFonts w:ascii="Arial" w:hAnsi="Arial" w:cs="Arial"/>
          <w:b/>
          <w:sz w:val="24"/>
          <w:szCs w:val="24"/>
        </w:rPr>
        <w:t xml:space="preserve">Retail </w:t>
      </w:r>
      <w:r>
        <w:rPr>
          <w:rFonts w:ascii="Arial" w:hAnsi="Arial" w:cs="Arial"/>
          <w:b/>
          <w:sz w:val="24"/>
          <w:szCs w:val="24"/>
        </w:rPr>
        <w:t>Competition</w:t>
      </w:r>
      <w:r w:rsidR="00967216">
        <w:rPr>
          <w:rFonts w:ascii="Arial" w:hAnsi="Arial" w:cs="Arial"/>
          <w:b/>
          <w:sz w:val="24"/>
          <w:szCs w:val="24"/>
        </w:rPr>
        <w:t>.</w:t>
      </w:r>
    </w:p>
    <w:p w14:paraId="74A77466" w14:textId="2C8E7FFC" w:rsidR="00217B95" w:rsidRDefault="00182291" w:rsidP="00217B95">
      <w:pPr>
        <w:spacing w:line="480" w:lineRule="auto"/>
        <w:ind w:firstLine="360"/>
        <w:jc w:val="both"/>
        <w:rPr>
          <w:rFonts w:ascii="Arial" w:hAnsi="Arial" w:cs="Arial"/>
          <w:sz w:val="24"/>
          <w:szCs w:val="24"/>
        </w:rPr>
      </w:pPr>
      <w:r w:rsidRPr="00182291">
        <w:rPr>
          <w:rFonts w:ascii="Arial" w:hAnsi="Arial" w:cs="Arial"/>
          <w:sz w:val="24"/>
          <w:szCs w:val="24"/>
        </w:rPr>
        <w:t>Con</w:t>
      </w:r>
      <w:r>
        <w:rPr>
          <w:rFonts w:ascii="Arial" w:hAnsi="Arial" w:cs="Arial"/>
          <w:sz w:val="24"/>
          <w:szCs w:val="24"/>
        </w:rPr>
        <w:t>ducting a retail auction to serve the SSO will benefit all customers and continue Ohio down the path of full retail electric competition. R.C. 4928.02(G) states that it is the State</w:t>
      </w:r>
      <w:r w:rsidR="00AF7BF7">
        <w:rPr>
          <w:rFonts w:ascii="Arial" w:hAnsi="Arial" w:cs="Arial"/>
          <w:sz w:val="24"/>
          <w:szCs w:val="24"/>
        </w:rPr>
        <w:t>’s</w:t>
      </w:r>
      <w:r>
        <w:rPr>
          <w:rFonts w:ascii="Arial" w:hAnsi="Arial" w:cs="Arial"/>
          <w:sz w:val="24"/>
          <w:szCs w:val="24"/>
        </w:rPr>
        <w:t xml:space="preserve"> policy to “[r]</w:t>
      </w:r>
      <w:r w:rsidRPr="009E03FA">
        <w:rPr>
          <w:rFonts w:ascii="Arial" w:hAnsi="Arial" w:cs="Arial"/>
          <w:sz w:val="24"/>
          <w:szCs w:val="24"/>
        </w:rPr>
        <w:t>ecognize the continuing emergence of competitive electricity markets through the development and implementation of flexible regulatory treatment</w:t>
      </w:r>
      <w:r>
        <w:rPr>
          <w:rFonts w:ascii="Arial" w:hAnsi="Arial" w:cs="Arial"/>
          <w:sz w:val="24"/>
          <w:szCs w:val="24"/>
        </w:rPr>
        <w:t xml:space="preserve">.” </w:t>
      </w:r>
      <w:r>
        <w:rPr>
          <w:rFonts w:ascii="Arial" w:hAnsi="Arial" w:cs="Arial"/>
          <w:sz w:val="24"/>
          <w:szCs w:val="24"/>
        </w:rPr>
        <w:lastRenderedPageBreak/>
        <w:t>Ohio encourages the emergence of competitive electric markets because Ohio</w:t>
      </w:r>
      <w:r w:rsidR="00DB0013">
        <w:rPr>
          <w:rFonts w:ascii="Arial" w:hAnsi="Arial" w:cs="Arial"/>
          <w:sz w:val="24"/>
          <w:szCs w:val="24"/>
        </w:rPr>
        <w:t>’s</w:t>
      </w:r>
      <w:r>
        <w:rPr>
          <w:rFonts w:ascii="Arial" w:hAnsi="Arial" w:cs="Arial"/>
          <w:sz w:val="24"/>
          <w:szCs w:val="24"/>
        </w:rPr>
        <w:t xml:space="preserve"> legislature wisely recognize</w:t>
      </w:r>
      <w:r w:rsidR="00DB0013">
        <w:rPr>
          <w:rFonts w:ascii="Arial" w:hAnsi="Arial" w:cs="Arial"/>
          <w:sz w:val="24"/>
          <w:szCs w:val="24"/>
        </w:rPr>
        <w:t>d</w:t>
      </w:r>
      <w:r>
        <w:rPr>
          <w:rFonts w:ascii="Arial" w:hAnsi="Arial" w:cs="Arial"/>
          <w:sz w:val="24"/>
          <w:szCs w:val="24"/>
        </w:rPr>
        <w:t xml:space="preserve"> that greater competition in the electric markets brings benefits to customers.  </w:t>
      </w:r>
      <w:r w:rsidR="00800737">
        <w:rPr>
          <w:rFonts w:ascii="Arial" w:hAnsi="Arial" w:cs="Arial"/>
          <w:sz w:val="24"/>
          <w:szCs w:val="24"/>
        </w:rPr>
        <w:t>C</w:t>
      </w:r>
      <w:r>
        <w:rPr>
          <w:rFonts w:ascii="Arial" w:hAnsi="Arial" w:cs="Arial"/>
          <w:sz w:val="24"/>
          <w:szCs w:val="24"/>
        </w:rPr>
        <w:t xml:space="preserve">ompetition forces those that are serving electric customers to be more efficient, transparent and to bring greater value to customers.  Further, the more customers are engaged in the market, the more </w:t>
      </w:r>
      <w:r w:rsidR="00217B95">
        <w:rPr>
          <w:rFonts w:ascii="Arial" w:hAnsi="Arial" w:cs="Arial"/>
          <w:sz w:val="24"/>
          <w:szCs w:val="24"/>
        </w:rPr>
        <w:t>customer</w:t>
      </w:r>
      <w:r w:rsidR="002A133E">
        <w:rPr>
          <w:rFonts w:ascii="Arial" w:hAnsi="Arial" w:cs="Arial"/>
          <w:sz w:val="24"/>
          <w:szCs w:val="24"/>
        </w:rPr>
        <w:t xml:space="preserve"> </w:t>
      </w:r>
      <w:r>
        <w:rPr>
          <w:rFonts w:ascii="Arial" w:hAnsi="Arial" w:cs="Arial"/>
          <w:sz w:val="24"/>
          <w:szCs w:val="24"/>
        </w:rPr>
        <w:t xml:space="preserve">preferences are known in the marketplace and the more suppliers must adapt to meet those preferences.  This is why </w:t>
      </w:r>
      <w:r w:rsidR="00DB0013">
        <w:rPr>
          <w:rFonts w:ascii="Arial" w:hAnsi="Arial" w:cs="Arial"/>
          <w:sz w:val="24"/>
          <w:szCs w:val="24"/>
        </w:rPr>
        <w:t xml:space="preserve">engaging </w:t>
      </w:r>
      <w:r w:rsidR="00ED6640">
        <w:rPr>
          <w:rFonts w:ascii="Arial" w:hAnsi="Arial" w:cs="Arial"/>
          <w:sz w:val="24"/>
          <w:szCs w:val="24"/>
        </w:rPr>
        <w:t>a customer at the retail level is</w:t>
      </w:r>
      <w:r w:rsidR="00D65445">
        <w:rPr>
          <w:rFonts w:ascii="Arial" w:hAnsi="Arial" w:cs="Arial"/>
          <w:sz w:val="24"/>
          <w:szCs w:val="24"/>
        </w:rPr>
        <w:t xml:space="preserve"> necessary for customers to receive the full </w:t>
      </w:r>
      <w:r w:rsidR="002A133E">
        <w:rPr>
          <w:rFonts w:ascii="Arial" w:hAnsi="Arial" w:cs="Arial"/>
          <w:sz w:val="24"/>
          <w:szCs w:val="24"/>
        </w:rPr>
        <w:t>benefits of competition.</w:t>
      </w:r>
    </w:p>
    <w:p w14:paraId="57296D2E" w14:textId="63451B8B" w:rsidR="00182291" w:rsidRDefault="002A133E" w:rsidP="00182291">
      <w:pPr>
        <w:spacing w:line="480" w:lineRule="auto"/>
        <w:ind w:firstLine="360"/>
        <w:jc w:val="both"/>
        <w:rPr>
          <w:rFonts w:ascii="Arial" w:hAnsi="Arial" w:cs="Arial"/>
          <w:sz w:val="24"/>
          <w:szCs w:val="24"/>
        </w:rPr>
      </w:pPr>
      <w:r>
        <w:rPr>
          <w:rFonts w:ascii="Arial" w:hAnsi="Arial" w:cs="Arial"/>
          <w:sz w:val="24"/>
          <w:szCs w:val="24"/>
        </w:rPr>
        <w:t>Retail auctions will bring customers one step close</w:t>
      </w:r>
      <w:r w:rsidR="00BC1694">
        <w:rPr>
          <w:rFonts w:ascii="Arial" w:hAnsi="Arial" w:cs="Arial"/>
          <w:sz w:val="24"/>
          <w:szCs w:val="24"/>
        </w:rPr>
        <w:t>r</w:t>
      </w:r>
      <w:r>
        <w:rPr>
          <w:rFonts w:ascii="Arial" w:hAnsi="Arial" w:cs="Arial"/>
          <w:sz w:val="24"/>
          <w:szCs w:val="24"/>
        </w:rPr>
        <w:t xml:space="preserve"> to full engagement in the retail market.  Under the retail auction proposal, all customers will receive service</w:t>
      </w:r>
      <w:r w:rsidR="00182291">
        <w:rPr>
          <w:rFonts w:ascii="Arial" w:hAnsi="Arial" w:cs="Arial"/>
          <w:sz w:val="24"/>
          <w:szCs w:val="24"/>
        </w:rPr>
        <w:t xml:space="preserve"> </w:t>
      </w:r>
      <w:r>
        <w:rPr>
          <w:rFonts w:ascii="Arial" w:hAnsi="Arial" w:cs="Arial"/>
          <w:sz w:val="24"/>
          <w:szCs w:val="24"/>
        </w:rPr>
        <w:t>directly from a supplier that is competing in the marketplace.  Further, under the retail auction model</w:t>
      </w:r>
      <w:r w:rsidR="00DB0013">
        <w:rPr>
          <w:rFonts w:ascii="Arial" w:hAnsi="Arial" w:cs="Arial"/>
          <w:sz w:val="24"/>
          <w:szCs w:val="24"/>
        </w:rPr>
        <w:t>,</w:t>
      </w:r>
      <w:r>
        <w:rPr>
          <w:rFonts w:ascii="Arial" w:hAnsi="Arial" w:cs="Arial"/>
          <w:sz w:val="24"/>
          <w:szCs w:val="24"/>
        </w:rPr>
        <w:t xml:space="preserve"> incoming customers will no longer be automatically assigned to SSO service.  Rather, new customers </w:t>
      </w:r>
      <w:r w:rsidR="0095731D">
        <w:rPr>
          <w:rFonts w:ascii="Arial" w:hAnsi="Arial" w:cs="Arial"/>
          <w:sz w:val="24"/>
          <w:szCs w:val="24"/>
        </w:rPr>
        <w:t xml:space="preserve">will have the option to select a competitive supplier upon enrollment with EDU electric distribution service or alternatively be assigned to the </w:t>
      </w:r>
      <w:r w:rsidR="00DB0013">
        <w:rPr>
          <w:rFonts w:ascii="Arial" w:hAnsi="Arial" w:cs="Arial"/>
          <w:sz w:val="24"/>
          <w:szCs w:val="24"/>
        </w:rPr>
        <w:t xml:space="preserve">CRES supplier’s </w:t>
      </w:r>
      <w:r w:rsidR="0095731D">
        <w:rPr>
          <w:rFonts w:ascii="Arial" w:hAnsi="Arial" w:cs="Arial"/>
          <w:sz w:val="24"/>
          <w:szCs w:val="24"/>
        </w:rPr>
        <w:t>SSO service</w:t>
      </w:r>
      <w:r w:rsidR="00BE2D65">
        <w:rPr>
          <w:rFonts w:ascii="Arial" w:hAnsi="Arial" w:cs="Arial"/>
          <w:sz w:val="24"/>
          <w:szCs w:val="24"/>
        </w:rPr>
        <w:t>.</w:t>
      </w:r>
      <w:r w:rsidR="00B56A21">
        <w:rPr>
          <w:rStyle w:val="FootnoteReference"/>
          <w:rFonts w:ascii="Arial" w:hAnsi="Arial" w:cs="Arial"/>
          <w:sz w:val="24"/>
          <w:szCs w:val="24"/>
        </w:rPr>
        <w:footnoteReference w:id="10"/>
      </w:r>
      <w:r w:rsidR="0095731D">
        <w:rPr>
          <w:rFonts w:ascii="Arial" w:hAnsi="Arial" w:cs="Arial"/>
          <w:sz w:val="24"/>
          <w:szCs w:val="24"/>
        </w:rPr>
        <w:t xml:space="preserve">  Further, those customers that receive the SSO service will experience electric rates more reflective of those available in the retail market.</w:t>
      </w:r>
      <w:r w:rsidR="008312D5">
        <w:rPr>
          <w:rFonts w:ascii="Arial" w:hAnsi="Arial" w:cs="Arial"/>
          <w:sz w:val="24"/>
          <w:szCs w:val="24"/>
        </w:rPr>
        <w:t xml:space="preserve">  </w:t>
      </w:r>
    </w:p>
    <w:p w14:paraId="6B4E6EED" w14:textId="4F30E1B6" w:rsidR="00BC1694" w:rsidRDefault="00DB0013" w:rsidP="00B56A21">
      <w:pPr>
        <w:spacing w:line="480" w:lineRule="auto"/>
        <w:ind w:firstLine="360"/>
        <w:jc w:val="both"/>
        <w:rPr>
          <w:rFonts w:ascii="Arial" w:hAnsi="Arial" w:cs="Arial"/>
          <w:sz w:val="24"/>
          <w:szCs w:val="24"/>
        </w:rPr>
      </w:pPr>
      <w:r>
        <w:rPr>
          <w:rFonts w:ascii="Arial" w:hAnsi="Arial" w:cs="Arial"/>
          <w:sz w:val="24"/>
          <w:szCs w:val="24"/>
        </w:rPr>
        <w:t>While a retail auction would continue to spur competitive growth, it would not change the menu of options available to customers</w:t>
      </w:r>
      <w:r w:rsidR="000A3869">
        <w:rPr>
          <w:rFonts w:ascii="Arial" w:hAnsi="Arial" w:cs="Arial"/>
          <w:sz w:val="24"/>
          <w:szCs w:val="24"/>
        </w:rPr>
        <w:t>.</w:t>
      </w:r>
      <w:r w:rsidR="00BC1694">
        <w:rPr>
          <w:rFonts w:ascii="Arial" w:hAnsi="Arial" w:cs="Arial"/>
          <w:sz w:val="24"/>
          <w:szCs w:val="24"/>
        </w:rPr>
        <w:t xml:space="preserve"> </w:t>
      </w:r>
      <w:r w:rsidR="008312D5">
        <w:rPr>
          <w:rFonts w:ascii="Arial" w:hAnsi="Arial" w:cs="Arial"/>
          <w:sz w:val="24"/>
          <w:szCs w:val="24"/>
        </w:rPr>
        <w:t>U</w:t>
      </w:r>
      <w:r w:rsidR="00B56A21">
        <w:rPr>
          <w:rFonts w:ascii="Arial" w:hAnsi="Arial" w:cs="Arial"/>
          <w:sz w:val="24"/>
          <w:szCs w:val="24"/>
        </w:rPr>
        <w:t>nder IGS’ proposed retail auction model</w:t>
      </w:r>
      <w:r>
        <w:rPr>
          <w:rFonts w:ascii="Arial" w:hAnsi="Arial" w:cs="Arial"/>
          <w:sz w:val="24"/>
          <w:szCs w:val="24"/>
        </w:rPr>
        <w:t>,</w:t>
      </w:r>
      <w:r w:rsidR="00B56A21">
        <w:rPr>
          <w:rFonts w:ascii="Arial" w:hAnsi="Arial" w:cs="Arial"/>
          <w:sz w:val="24"/>
          <w:szCs w:val="24"/>
        </w:rPr>
        <w:t xml:space="preserve"> </w:t>
      </w:r>
      <w:r w:rsidR="00BC1694">
        <w:rPr>
          <w:rFonts w:ascii="Arial" w:hAnsi="Arial" w:cs="Arial"/>
          <w:sz w:val="24"/>
          <w:szCs w:val="24"/>
        </w:rPr>
        <w:t xml:space="preserve">an SSO product </w:t>
      </w:r>
      <w:r>
        <w:rPr>
          <w:rFonts w:ascii="Arial" w:hAnsi="Arial" w:cs="Arial"/>
          <w:sz w:val="24"/>
          <w:szCs w:val="24"/>
        </w:rPr>
        <w:t xml:space="preserve">remains available </w:t>
      </w:r>
      <w:r w:rsidR="00BC1694">
        <w:rPr>
          <w:rFonts w:ascii="Arial" w:hAnsi="Arial" w:cs="Arial"/>
          <w:sz w:val="24"/>
          <w:szCs w:val="24"/>
        </w:rPr>
        <w:t xml:space="preserve">for customers </w:t>
      </w:r>
      <w:r w:rsidR="004E2208">
        <w:rPr>
          <w:rFonts w:ascii="Arial" w:hAnsi="Arial" w:cs="Arial"/>
          <w:sz w:val="24"/>
          <w:szCs w:val="24"/>
        </w:rPr>
        <w:t>to</w:t>
      </w:r>
      <w:r w:rsidR="00BE2D65">
        <w:rPr>
          <w:rFonts w:ascii="Arial" w:hAnsi="Arial" w:cs="Arial"/>
          <w:sz w:val="24"/>
          <w:szCs w:val="24"/>
        </w:rPr>
        <w:t xml:space="preserve"> enroll</w:t>
      </w:r>
      <w:r w:rsidR="004E2208">
        <w:rPr>
          <w:rFonts w:ascii="Arial" w:hAnsi="Arial" w:cs="Arial"/>
          <w:sz w:val="24"/>
          <w:szCs w:val="24"/>
        </w:rPr>
        <w:t xml:space="preserve"> in</w:t>
      </w:r>
      <w:r w:rsidR="00BE2D65">
        <w:rPr>
          <w:rFonts w:ascii="Arial" w:hAnsi="Arial" w:cs="Arial"/>
          <w:sz w:val="24"/>
          <w:szCs w:val="24"/>
        </w:rPr>
        <w:t xml:space="preserve"> </w:t>
      </w:r>
      <w:r w:rsidR="00BC1694">
        <w:rPr>
          <w:rFonts w:ascii="Arial" w:hAnsi="Arial" w:cs="Arial"/>
          <w:sz w:val="24"/>
          <w:szCs w:val="24"/>
        </w:rPr>
        <w:t xml:space="preserve">at any time.  Further, SSO </w:t>
      </w:r>
      <w:r w:rsidR="00936C30">
        <w:rPr>
          <w:rFonts w:ascii="Arial" w:hAnsi="Arial" w:cs="Arial"/>
          <w:sz w:val="24"/>
          <w:szCs w:val="24"/>
        </w:rPr>
        <w:t>prices</w:t>
      </w:r>
      <w:r w:rsidR="00BC1694">
        <w:rPr>
          <w:rFonts w:ascii="Arial" w:hAnsi="Arial" w:cs="Arial"/>
          <w:sz w:val="24"/>
          <w:szCs w:val="24"/>
        </w:rPr>
        <w:t xml:space="preserve"> will </w:t>
      </w:r>
      <w:r w:rsidR="00B56A21">
        <w:rPr>
          <w:rFonts w:ascii="Arial" w:hAnsi="Arial" w:cs="Arial"/>
          <w:sz w:val="24"/>
          <w:szCs w:val="24"/>
        </w:rPr>
        <w:t>always</w:t>
      </w:r>
      <w:r w:rsidR="00217B95">
        <w:rPr>
          <w:rFonts w:ascii="Arial" w:hAnsi="Arial" w:cs="Arial"/>
          <w:sz w:val="24"/>
          <w:szCs w:val="24"/>
        </w:rPr>
        <w:t xml:space="preserve"> be</w:t>
      </w:r>
      <w:r w:rsidR="00681E68">
        <w:rPr>
          <w:rFonts w:ascii="Arial" w:hAnsi="Arial" w:cs="Arial"/>
          <w:sz w:val="24"/>
          <w:szCs w:val="24"/>
        </w:rPr>
        <w:t xml:space="preserve"> published on the PUCO Apples-to-</w:t>
      </w:r>
      <w:r w:rsidR="00B56A21">
        <w:rPr>
          <w:rFonts w:ascii="Arial" w:hAnsi="Arial" w:cs="Arial"/>
          <w:sz w:val="24"/>
          <w:szCs w:val="24"/>
        </w:rPr>
        <w:t>Apples website,</w:t>
      </w:r>
      <w:r w:rsidR="00BC1694">
        <w:rPr>
          <w:rFonts w:ascii="Arial" w:hAnsi="Arial" w:cs="Arial"/>
          <w:sz w:val="24"/>
          <w:szCs w:val="24"/>
        </w:rPr>
        <w:t xml:space="preserve"> transparent to </w:t>
      </w:r>
      <w:r w:rsidR="00BC1694">
        <w:rPr>
          <w:rFonts w:ascii="Arial" w:hAnsi="Arial" w:cs="Arial"/>
          <w:sz w:val="24"/>
          <w:szCs w:val="24"/>
        </w:rPr>
        <w:lastRenderedPageBreak/>
        <w:t>all</w:t>
      </w:r>
      <w:r w:rsidR="00936C30">
        <w:rPr>
          <w:rFonts w:ascii="Arial" w:hAnsi="Arial" w:cs="Arial"/>
          <w:sz w:val="24"/>
          <w:szCs w:val="24"/>
        </w:rPr>
        <w:t>,</w:t>
      </w:r>
      <w:r w:rsidR="00BC1694">
        <w:rPr>
          <w:rFonts w:ascii="Arial" w:hAnsi="Arial" w:cs="Arial"/>
          <w:sz w:val="24"/>
          <w:szCs w:val="24"/>
        </w:rPr>
        <w:t xml:space="preserve"> including custom</w:t>
      </w:r>
      <w:r w:rsidR="00936C30">
        <w:rPr>
          <w:rFonts w:ascii="Arial" w:hAnsi="Arial" w:cs="Arial"/>
          <w:sz w:val="24"/>
          <w:szCs w:val="24"/>
        </w:rPr>
        <w:t>ers and the Commission</w:t>
      </w:r>
      <w:r w:rsidR="00B56A21">
        <w:rPr>
          <w:rFonts w:ascii="Arial" w:hAnsi="Arial" w:cs="Arial"/>
          <w:sz w:val="24"/>
          <w:szCs w:val="24"/>
        </w:rPr>
        <w:t>.</w:t>
      </w:r>
      <w:r w:rsidR="00936C30">
        <w:rPr>
          <w:rFonts w:ascii="Arial" w:hAnsi="Arial" w:cs="Arial"/>
          <w:sz w:val="24"/>
          <w:szCs w:val="24"/>
        </w:rPr>
        <w:t xml:space="preserve"> </w:t>
      </w:r>
      <w:r>
        <w:rPr>
          <w:rFonts w:ascii="Arial" w:hAnsi="Arial" w:cs="Arial"/>
          <w:sz w:val="24"/>
          <w:szCs w:val="24"/>
        </w:rPr>
        <w:t>And because t</w:t>
      </w:r>
      <w:r w:rsidR="00BC1694">
        <w:rPr>
          <w:rFonts w:ascii="Arial" w:hAnsi="Arial" w:cs="Arial"/>
          <w:sz w:val="24"/>
          <w:szCs w:val="24"/>
        </w:rPr>
        <w:t>he SSO product will not contain cancellation fees</w:t>
      </w:r>
      <w:r>
        <w:rPr>
          <w:rFonts w:ascii="Arial" w:hAnsi="Arial" w:cs="Arial"/>
          <w:sz w:val="24"/>
          <w:szCs w:val="24"/>
        </w:rPr>
        <w:t xml:space="preserve">, </w:t>
      </w:r>
      <w:r w:rsidR="00BC1694">
        <w:rPr>
          <w:rFonts w:ascii="Arial" w:hAnsi="Arial" w:cs="Arial"/>
          <w:sz w:val="24"/>
          <w:szCs w:val="24"/>
        </w:rPr>
        <w:t xml:space="preserve">customers are free to switch to and from the SSO product </w:t>
      </w:r>
      <w:r w:rsidR="00F62397">
        <w:rPr>
          <w:rFonts w:ascii="Arial" w:hAnsi="Arial" w:cs="Arial"/>
          <w:sz w:val="24"/>
          <w:szCs w:val="24"/>
        </w:rPr>
        <w:t>at any time</w:t>
      </w:r>
      <w:r w:rsidR="00BC1694">
        <w:rPr>
          <w:rFonts w:ascii="Arial" w:hAnsi="Arial" w:cs="Arial"/>
          <w:sz w:val="24"/>
          <w:szCs w:val="24"/>
        </w:rPr>
        <w:t xml:space="preserve">. </w:t>
      </w:r>
      <w:r w:rsidR="0049628F">
        <w:rPr>
          <w:rFonts w:ascii="Arial" w:hAnsi="Arial" w:cs="Arial"/>
          <w:sz w:val="24"/>
          <w:szCs w:val="24"/>
        </w:rPr>
        <w:t>Finally, if an SSO supplier post</w:t>
      </w:r>
      <w:r>
        <w:rPr>
          <w:rFonts w:ascii="Arial" w:hAnsi="Arial" w:cs="Arial"/>
          <w:sz w:val="24"/>
          <w:szCs w:val="24"/>
        </w:rPr>
        <w:t>s</w:t>
      </w:r>
      <w:r w:rsidR="0049628F">
        <w:rPr>
          <w:rFonts w:ascii="Arial" w:hAnsi="Arial" w:cs="Arial"/>
          <w:sz w:val="24"/>
          <w:szCs w:val="24"/>
        </w:rPr>
        <w:t xml:space="preserve"> </w:t>
      </w:r>
      <w:r>
        <w:rPr>
          <w:rFonts w:ascii="Arial" w:hAnsi="Arial" w:cs="Arial"/>
          <w:sz w:val="24"/>
          <w:szCs w:val="24"/>
        </w:rPr>
        <w:t xml:space="preserve">an </w:t>
      </w:r>
      <w:r w:rsidR="0049628F">
        <w:rPr>
          <w:rFonts w:ascii="Arial" w:hAnsi="Arial" w:cs="Arial"/>
          <w:sz w:val="24"/>
          <w:szCs w:val="24"/>
        </w:rPr>
        <w:t xml:space="preserve">MVR </w:t>
      </w:r>
      <w:r>
        <w:rPr>
          <w:rFonts w:ascii="Arial" w:hAnsi="Arial" w:cs="Arial"/>
          <w:sz w:val="24"/>
          <w:szCs w:val="24"/>
        </w:rPr>
        <w:t xml:space="preserve">that is out of step with prevailing </w:t>
      </w:r>
      <w:r w:rsidR="0049628F">
        <w:rPr>
          <w:rFonts w:ascii="Arial" w:hAnsi="Arial" w:cs="Arial"/>
          <w:sz w:val="24"/>
          <w:szCs w:val="24"/>
        </w:rPr>
        <w:t xml:space="preserve">market prices, other CRES </w:t>
      </w:r>
      <w:r>
        <w:rPr>
          <w:rFonts w:ascii="Arial" w:hAnsi="Arial" w:cs="Arial"/>
          <w:sz w:val="24"/>
          <w:szCs w:val="24"/>
        </w:rPr>
        <w:t xml:space="preserve">suppliers </w:t>
      </w:r>
      <w:r w:rsidR="0049628F">
        <w:rPr>
          <w:rFonts w:ascii="Arial" w:hAnsi="Arial" w:cs="Arial"/>
          <w:sz w:val="24"/>
          <w:szCs w:val="24"/>
        </w:rPr>
        <w:t xml:space="preserve">will see that price and immediately </w:t>
      </w:r>
      <w:r>
        <w:rPr>
          <w:rFonts w:ascii="Arial" w:hAnsi="Arial" w:cs="Arial"/>
          <w:sz w:val="24"/>
          <w:szCs w:val="24"/>
        </w:rPr>
        <w:t xml:space="preserve">present customers with </w:t>
      </w:r>
      <w:r w:rsidR="0049628F">
        <w:rPr>
          <w:rFonts w:ascii="Arial" w:hAnsi="Arial" w:cs="Arial"/>
          <w:sz w:val="24"/>
          <w:szCs w:val="24"/>
        </w:rPr>
        <w:t xml:space="preserve">lower offers, </w:t>
      </w:r>
      <w:r>
        <w:rPr>
          <w:rFonts w:ascii="Arial" w:hAnsi="Arial" w:cs="Arial"/>
          <w:sz w:val="24"/>
          <w:szCs w:val="24"/>
        </w:rPr>
        <w:t xml:space="preserve">with ready </w:t>
      </w:r>
      <w:r w:rsidR="0049628F">
        <w:rPr>
          <w:rFonts w:ascii="Arial" w:hAnsi="Arial" w:cs="Arial"/>
          <w:sz w:val="24"/>
          <w:szCs w:val="24"/>
        </w:rPr>
        <w:t xml:space="preserve">access </w:t>
      </w:r>
      <w:r>
        <w:rPr>
          <w:rFonts w:ascii="Arial" w:hAnsi="Arial" w:cs="Arial"/>
          <w:sz w:val="24"/>
          <w:szCs w:val="24"/>
        </w:rPr>
        <w:t xml:space="preserve">ensured </w:t>
      </w:r>
      <w:r w:rsidR="0049628F">
        <w:rPr>
          <w:rFonts w:ascii="Arial" w:hAnsi="Arial" w:cs="Arial"/>
          <w:sz w:val="24"/>
          <w:szCs w:val="24"/>
        </w:rPr>
        <w:t xml:space="preserve">through their remaining on the customer list.  </w:t>
      </w:r>
    </w:p>
    <w:p w14:paraId="3B02658C" w14:textId="4129DF10" w:rsidR="001A4977" w:rsidRDefault="00217B95" w:rsidP="00967216">
      <w:pPr>
        <w:spacing w:line="480" w:lineRule="auto"/>
        <w:ind w:firstLine="360"/>
        <w:jc w:val="both"/>
        <w:rPr>
          <w:rFonts w:ascii="Arial" w:hAnsi="Arial" w:cs="Arial"/>
          <w:sz w:val="24"/>
          <w:szCs w:val="24"/>
        </w:rPr>
      </w:pPr>
      <w:r>
        <w:rPr>
          <w:rFonts w:ascii="Arial" w:hAnsi="Arial" w:cs="Arial"/>
          <w:sz w:val="24"/>
          <w:szCs w:val="24"/>
        </w:rPr>
        <w:t>In today’s electric markets, t</w:t>
      </w:r>
      <w:r w:rsidR="00936C30">
        <w:rPr>
          <w:rFonts w:ascii="Arial" w:hAnsi="Arial" w:cs="Arial"/>
          <w:sz w:val="24"/>
          <w:szCs w:val="24"/>
        </w:rPr>
        <w:t>here are many products, beyond traditional electric commodity service, that have great potential to transform</w:t>
      </w:r>
      <w:r w:rsidR="008312D5">
        <w:rPr>
          <w:rFonts w:ascii="Arial" w:hAnsi="Arial" w:cs="Arial"/>
          <w:sz w:val="24"/>
          <w:szCs w:val="24"/>
        </w:rPr>
        <w:t xml:space="preserve"> </w:t>
      </w:r>
      <w:r w:rsidR="00936C30">
        <w:rPr>
          <w:rFonts w:ascii="Arial" w:hAnsi="Arial" w:cs="Arial"/>
          <w:sz w:val="24"/>
          <w:szCs w:val="24"/>
        </w:rPr>
        <w:t>the way customers use energy</w:t>
      </w:r>
      <w:r w:rsidR="0021395E" w:rsidRPr="0021395E">
        <w:rPr>
          <w:rFonts w:ascii="Arial" w:hAnsi="Arial" w:cs="Arial"/>
          <w:sz w:val="24"/>
          <w:szCs w:val="24"/>
        </w:rPr>
        <w:t xml:space="preserve"> </w:t>
      </w:r>
      <w:r w:rsidR="0021395E">
        <w:rPr>
          <w:rFonts w:ascii="Arial" w:hAnsi="Arial" w:cs="Arial"/>
          <w:sz w:val="24"/>
          <w:szCs w:val="24"/>
        </w:rPr>
        <w:t>for the better</w:t>
      </w:r>
      <w:r w:rsidR="00936C30">
        <w:rPr>
          <w:rFonts w:ascii="Arial" w:hAnsi="Arial" w:cs="Arial"/>
          <w:sz w:val="24"/>
          <w:szCs w:val="24"/>
        </w:rPr>
        <w:t>.</w:t>
      </w:r>
      <w:r w:rsidRPr="00217B95">
        <w:rPr>
          <w:rFonts w:ascii="Arial" w:hAnsi="Arial" w:cs="Arial"/>
          <w:sz w:val="20"/>
          <w:szCs w:val="20"/>
        </w:rPr>
        <w:t xml:space="preserve"> </w:t>
      </w:r>
      <w:r w:rsidRPr="00217B95">
        <w:rPr>
          <w:rFonts w:ascii="Arial" w:hAnsi="Arial" w:cs="Arial"/>
          <w:sz w:val="24"/>
          <w:szCs w:val="24"/>
        </w:rPr>
        <w:t>These include smart thermostats, time-of-use rates, distributed electric generation, demand response,</w:t>
      </w:r>
      <w:r>
        <w:rPr>
          <w:rFonts w:ascii="Arial" w:hAnsi="Arial" w:cs="Arial"/>
          <w:sz w:val="24"/>
          <w:szCs w:val="24"/>
        </w:rPr>
        <w:t xml:space="preserve"> combined heat and power</w:t>
      </w:r>
      <w:r w:rsidR="0021395E">
        <w:rPr>
          <w:rFonts w:ascii="Arial" w:hAnsi="Arial" w:cs="Arial"/>
          <w:sz w:val="24"/>
          <w:szCs w:val="24"/>
        </w:rPr>
        <w:t>,</w:t>
      </w:r>
      <w:r>
        <w:rPr>
          <w:rFonts w:ascii="Arial" w:hAnsi="Arial" w:cs="Arial"/>
          <w:sz w:val="24"/>
          <w:szCs w:val="24"/>
        </w:rPr>
        <w:t xml:space="preserve"> and</w:t>
      </w:r>
      <w:r w:rsidRPr="00217B95">
        <w:rPr>
          <w:rFonts w:ascii="Arial" w:hAnsi="Arial" w:cs="Arial"/>
          <w:sz w:val="24"/>
          <w:szCs w:val="24"/>
        </w:rPr>
        <w:t xml:space="preserve"> battery storage</w:t>
      </w:r>
      <w:r>
        <w:rPr>
          <w:rFonts w:ascii="Arial" w:hAnsi="Arial" w:cs="Arial"/>
          <w:sz w:val="24"/>
          <w:szCs w:val="24"/>
        </w:rPr>
        <w:t xml:space="preserve"> technology</w:t>
      </w:r>
      <w:r w:rsidRPr="00217B95">
        <w:rPr>
          <w:rFonts w:ascii="Arial" w:hAnsi="Arial" w:cs="Arial"/>
          <w:sz w:val="24"/>
          <w:szCs w:val="24"/>
        </w:rPr>
        <w:t>, to name a few.</w:t>
      </w:r>
      <w:r>
        <w:rPr>
          <w:rStyle w:val="FootnoteReference"/>
          <w:rFonts w:ascii="Arial" w:hAnsi="Arial" w:cs="Arial"/>
          <w:sz w:val="24"/>
          <w:szCs w:val="24"/>
        </w:rPr>
        <w:footnoteReference w:id="11"/>
      </w:r>
      <w:r>
        <w:rPr>
          <w:rFonts w:ascii="Arial" w:hAnsi="Arial" w:cs="Arial"/>
          <w:sz w:val="24"/>
          <w:szCs w:val="24"/>
        </w:rPr>
        <w:t xml:space="preserve"> </w:t>
      </w:r>
      <w:r w:rsidR="00936C30">
        <w:rPr>
          <w:rFonts w:ascii="Arial" w:hAnsi="Arial" w:cs="Arial"/>
          <w:sz w:val="24"/>
          <w:szCs w:val="24"/>
        </w:rPr>
        <w:t>However,</w:t>
      </w:r>
      <w:r>
        <w:rPr>
          <w:rFonts w:ascii="Arial" w:hAnsi="Arial" w:cs="Arial"/>
          <w:sz w:val="24"/>
          <w:szCs w:val="24"/>
        </w:rPr>
        <w:t xml:space="preserve"> widespread adoption of</w:t>
      </w:r>
      <w:r w:rsidR="005F27B8">
        <w:rPr>
          <w:rFonts w:ascii="Arial" w:hAnsi="Arial" w:cs="Arial"/>
          <w:sz w:val="24"/>
          <w:szCs w:val="24"/>
        </w:rPr>
        <w:t xml:space="preserve"> these</w:t>
      </w:r>
      <w:r>
        <w:rPr>
          <w:rFonts w:ascii="Arial" w:hAnsi="Arial" w:cs="Arial"/>
          <w:sz w:val="24"/>
          <w:szCs w:val="24"/>
        </w:rPr>
        <w:t xml:space="preserve"> alternative products</w:t>
      </w:r>
      <w:r w:rsidR="0021395E">
        <w:rPr>
          <w:rFonts w:ascii="Arial" w:hAnsi="Arial" w:cs="Arial"/>
          <w:sz w:val="24"/>
          <w:szCs w:val="24"/>
        </w:rPr>
        <w:t>—and the consequent increased incentive for technical and economic innovation—</w:t>
      </w:r>
      <w:r w:rsidR="001A4977">
        <w:rPr>
          <w:rFonts w:ascii="Arial" w:hAnsi="Arial" w:cs="Arial"/>
          <w:sz w:val="24"/>
          <w:szCs w:val="24"/>
        </w:rPr>
        <w:t>is hindered because many customers</w:t>
      </w:r>
      <w:r>
        <w:rPr>
          <w:rFonts w:ascii="Arial" w:hAnsi="Arial" w:cs="Arial"/>
          <w:sz w:val="24"/>
          <w:szCs w:val="24"/>
        </w:rPr>
        <w:t xml:space="preserve"> view electricity</w:t>
      </w:r>
      <w:r w:rsidR="0016189F">
        <w:rPr>
          <w:rFonts w:ascii="Arial" w:hAnsi="Arial" w:cs="Arial"/>
          <w:sz w:val="24"/>
          <w:szCs w:val="24"/>
        </w:rPr>
        <w:t xml:space="preserve"> generation</w:t>
      </w:r>
      <w:r>
        <w:rPr>
          <w:rFonts w:ascii="Arial" w:hAnsi="Arial" w:cs="Arial"/>
          <w:sz w:val="24"/>
          <w:szCs w:val="24"/>
        </w:rPr>
        <w:t xml:space="preserve"> as</w:t>
      </w:r>
      <w:r w:rsidR="001A4977">
        <w:rPr>
          <w:rFonts w:ascii="Arial" w:hAnsi="Arial" w:cs="Arial"/>
          <w:sz w:val="24"/>
          <w:szCs w:val="24"/>
        </w:rPr>
        <w:t xml:space="preserve"> </w:t>
      </w:r>
      <w:r w:rsidR="0021395E">
        <w:rPr>
          <w:rFonts w:ascii="Arial" w:hAnsi="Arial" w:cs="Arial"/>
          <w:sz w:val="24"/>
          <w:szCs w:val="24"/>
        </w:rPr>
        <w:t xml:space="preserve">nothing more than </w:t>
      </w:r>
      <w:r>
        <w:rPr>
          <w:rFonts w:ascii="Arial" w:hAnsi="Arial" w:cs="Arial"/>
          <w:sz w:val="24"/>
          <w:szCs w:val="24"/>
        </w:rPr>
        <w:t xml:space="preserve">a </w:t>
      </w:r>
      <w:r w:rsidR="001A4977">
        <w:rPr>
          <w:rFonts w:ascii="Arial" w:hAnsi="Arial" w:cs="Arial"/>
          <w:sz w:val="24"/>
          <w:szCs w:val="24"/>
        </w:rPr>
        <w:t xml:space="preserve">commodity </w:t>
      </w:r>
      <w:r>
        <w:rPr>
          <w:rFonts w:ascii="Arial" w:hAnsi="Arial" w:cs="Arial"/>
          <w:sz w:val="24"/>
          <w:szCs w:val="24"/>
        </w:rPr>
        <w:t xml:space="preserve">service provided </w:t>
      </w:r>
      <w:r w:rsidR="0021395E">
        <w:rPr>
          <w:rFonts w:ascii="Arial" w:hAnsi="Arial" w:cs="Arial"/>
          <w:sz w:val="24"/>
          <w:szCs w:val="24"/>
        </w:rPr>
        <w:t xml:space="preserve">by a distant </w:t>
      </w:r>
      <w:r>
        <w:rPr>
          <w:rFonts w:ascii="Arial" w:hAnsi="Arial" w:cs="Arial"/>
          <w:sz w:val="24"/>
          <w:szCs w:val="24"/>
        </w:rPr>
        <w:t>utility</w:t>
      </w:r>
      <w:r w:rsidR="001A4977">
        <w:rPr>
          <w:rFonts w:ascii="Arial" w:hAnsi="Arial" w:cs="Arial"/>
          <w:sz w:val="24"/>
          <w:szCs w:val="24"/>
        </w:rPr>
        <w:t>, rather than a service where they have dynamic choices available to them</w:t>
      </w:r>
      <w:r>
        <w:rPr>
          <w:rFonts w:ascii="Arial" w:hAnsi="Arial" w:cs="Arial"/>
          <w:sz w:val="24"/>
          <w:szCs w:val="24"/>
        </w:rPr>
        <w:t>.</w:t>
      </w:r>
      <w:r w:rsidR="001A4977">
        <w:rPr>
          <w:rFonts w:ascii="Arial" w:hAnsi="Arial" w:cs="Arial"/>
          <w:sz w:val="24"/>
          <w:szCs w:val="24"/>
        </w:rPr>
        <w:t xml:space="preserve">  This sense of apathy towards electricity is largely due to the fact that for </w:t>
      </w:r>
      <w:r w:rsidR="0021395E">
        <w:rPr>
          <w:rFonts w:ascii="Arial" w:hAnsi="Arial" w:cs="Arial"/>
          <w:sz w:val="24"/>
          <w:szCs w:val="24"/>
        </w:rPr>
        <w:t xml:space="preserve">decades </w:t>
      </w:r>
      <w:r w:rsidR="001A4977">
        <w:rPr>
          <w:rFonts w:ascii="Arial" w:hAnsi="Arial" w:cs="Arial"/>
          <w:sz w:val="24"/>
          <w:szCs w:val="24"/>
        </w:rPr>
        <w:t xml:space="preserve">customers </w:t>
      </w:r>
      <w:r w:rsidR="0021395E">
        <w:rPr>
          <w:rFonts w:ascii="Arial" w:hAnsi="Arial" w:cs="Arial"/>
          <w:sz w:val="24"/>
          <w:szCs w:val="24"/>
        </w:rPr>
        <w:t xml:space="preserve">had no </w:t>
      </w:r>
      <w:r w:rsidR="001A4977">
        <w:rPr>
          <w:rFonts w:ascii="Arial" w:hAnsi="Arial" w:cs="Arial"/>
          <w:sz w:val="24"/>
          <w:szCs w:val="24"/>
        </w:rPr>
        <w:t>choice for electric service</w:t>
      </w:r>
      <w:r w:rsidR="0021395E">
        <w:rPr>
          <w:rFonts w:ascii="Arial" w:hAnsi="Arial" w:cs="Arial"/>
          <w:sz w:val="24"/>
          <w:szCs w:val="24"/>
        </w:rPr>
        <w:t xml:space="preserve">—even now, </w:t>
      </w:r>
      <w:r w:rsidR="001A4977">
        <w:rPr>
          <w:rFonts w:ascii="Arial" w:hAnsi="Arial" w:cs="Arial"/>
          <w:sz w:val="24"/>
          <w:szCs w:val="24"/>
        </w:rPr>
        <w:t>when customers do have a choice, they are largely incentivized to remain disengaged in the market.</w:t>
      </w:r>
      <w:r w:rsidR="0021395E">
        <w:rPr>
          <w:rFonts w:ascii="Arial" w:hAnsi="Arial" w:cs="Arial"/>
          <w:sz w:val="24"/>
          <w:szCs w:val="24"/>
        </w:rPr>
        <w:t xml:space="preserve">  </w:t>
      </w:r>
    </w:p>
    <w:p w14:paraId="65FE719E" w14:textId="7B54B158" w:rsidR="001A4977" w:rsidRDefault="00217B95" w:rsidP="00967216">
      <w:pPr>
        <w:spacing w:line="480" w:lineRule="auto"/>
        <w:ind w:firstLine="360"/>
        <w:jc w:val="both"/>
        <w:rPr>
          <w:rFonts w:ascii="Arial" w:hAnsi="Arial" w:cs="Arial"/>
          <w:sz w:val="24"/>
          <w:szCs w:val="24"/>
        </w:rPr>
      </w:pPr>
      <w:r>
        <w:rPr>
          <w:rFonts w:ascii="Arial" w:hAnsi="Arial" w:cs="Arial"/>
          <w:sz w:val="24"/>
          <w:szCs w:val="24"/>
        </w:rPr>
        <w:t xml:space="preserve"> </w:t>
      </w:r>
      <w:r w:rsidR="001A4977">
        <w:rPr>
          <w:rFonts w:ascii="Arial" w:hAnsi="Arial" w:cs="Arial"/>
          <w:sz w:val="24"/>
          <w:szCs w:val="24"/>
        </w:rPr>
        <w:t xml:space="preserve">Proof that engagement </w:t>
      </w:r>
      <w:r w:rsidR="0021395E">
        <w:rPr>
          <w:rFonts w:ascii="Arial" w:hAnsi="Arial" w:cs="Arial"/>
          <w:sz w:val="24"/>
          <w:szCs w:val="24"/>
        </w:rPr>
        <w:t>spurs</w:t>
      </w:r>
      <w:r w:rsidR="001A4977">
        <w:rPr>
          <w:rFonts w:ascii="Arial" w:hAnsi="Arial" w:cs="Arial"/>
          <w:sz w:val="24"/>
          <w:szCs w:val="24"/>
        </w:rPr>
        <w:t xml:space="preserve"> innovation can be seen </w:t>
      </w:r>
      <w:r w:rsidR="0021395E">
        <w:rPr>
          <w:rFonts w:ascii="Arial" w:hAnsi="Arial" w:cs="Arial"/>
          <w:sz w:val="24"/>
          <w:szCs w:val="24"/>
        </w:rPr>
        <w:t xml:space="preserve">in </w:t>
      </w:r>
      <w:r w:rsidR="001A4977">
        <w:rPr>
          <w:rFonts w:ascii="Arial" w:hAnsi="Arial" w:cs="Arial"/>
          <w:sz w:val="24"/>
          <w:szCs w:val="24"/>
        </w:rPr>
        <w:t>the telecommunications industry</w:t>
      </w:r>
      <w:r w:rsidR="007564BC">
        <w:rPr>
          <w:rFonts w:ascii="Arial" w:hAnsi="Arial" w:cs="Arial"/>
          <w:sz w:val="24"/>
          <w:szCs w:val="24"/>
        </w:rPr>
        <w:t>.</w:t>
      </w:r>
      <w:r w:rsidR="0021395E">
        <w:rPr>
          <w:rFonts w:ascii="Arial" w:hAnsi="Arial" w:cs="Arial"/>
          <w:sz w:val="24"/>
          <w:szCs w:val="24"/>
        </w:rPr>
        <w:t xml:space="preserve"> Begun over twenty years ago, t</w:t>
      </w:r>
      <w:r w:rsidR="00E44673">
        <w:rPr>
          <w:rFonts w:ascii="Arial" w:hAnsi="Arial" w:cs="Arial"/>
          <w:sz w:val="24"/>
          <w:szCs w:val="24"/>
        </w:rPr>
        <w:t xml:space="preserve">he restructuring of the telecommunications industry </w:t>
      </w:r>
      <w:r w:rsidR="0021395E">
        <w:rPr>
          <w:rFonts w:ascii="Arial" w:hAnsi="Arial" w:cs="Arial"/>
          <w:sz w:val="24"/>
          <w:szCs w:val="24"/>
        </w:rPr>
        <w:t xml:space="preserve">has </w:t>
      </w:r>
      <w:r w:rsidR="00E44673">
        <w:rPr>
          <w:rFonts w:ascii="Arial" w:hAnsi="Arial" w:cs="Arial"/>
          <w:sz w:val="24"/>
          <w:szCs w:val="24"/>
        </w:rPr>
        <w:t>led to increased customer engagement and</w:t>
      </w:r>
      <w:r w:rsidR="00BF6FAF">
        <w:rPr>
          <w:rFonts w:ascii="Arial" w:hAnsi="Arial" w:cs="Arial"/>
          <w:sz w:val="24"/>
          <w:szCs w:val="24"/>
        </w:rPr>
        <w:t>,</w:t>
      </w:r>
      <w:r w:rsidR="00E44673">
        <w:rPr>
          <w:rFonts w:ascii="Arial" w:hAnsi="Arial" w:cs="Arial"/>
          <w:sz w:val="24"/>
          <w:szCs w:val="24"/>
        </w:rPr>
        <w:t xml:space="preserve"> not surprisingly</w:t>
      </w:r>
      <w:r w:rsidR="00BF6FAF">
        <w:rPr>
          <w:rFonts w:ascii="Arial" w:hAnsi="Arial" w:cs="Arial"/>
          <w:sz w:val="24"/>
          <w:szCs w:val="24"/>
        </w:rPr>
        <w:t>,</w:t>
      </w:r>
      <w:r w:rsidR="00E44673">
        <w:rPr>
          <w:rFonts w:ascii="Arial" w:hAnsi="Arial" w:cs="Arial"/>
          <w:sz w:val="24"/>
          <w:szCs w:val="24"/>
        </w:rPr>
        <w:t xml:space="preserve"> </w:t>
      </w:r>
      <w:r w:rsidR="0021395E">
        <w:rPr>
          <w:rFonts w:ascii="Arial" w:hAnsi="Arial" w:cs="Arial"/>
          <w:sz w:val="24"/>
          <w:szCs w:val="24"/>
        </w:rPr>
        <w:t xml:space="preserve">dramatic </w:t>
      </w:r>
      <w:r w:rsidR="00E44673">
        <w:rPr>
          <w:rFonts w:ascii="Arial" w:hAnsi="Arial" w:cs="Arial"/>
          <w:sz w:val="24"/>
          <w:szCs w:val="24"/>
        </w:rPr>
        <w:lastRenderedPageBreak/>
        <w:t>innovation</w:t>
      </w:r>
      <w:r w:rsidR="0021395E">
        <w:rPr>
          <w:rFonts w:ascii="Arial" w:hAnsi="Arial" w:cs="Arial"/>
          <w:sz w:val="24"/>
          <w:szCs w:val="24"/>
        </w:rPr>
        <w:t xml:space="preserve">, such that </w:t>
      </w:r>
      <w:r w:rsidR="00E44673">
        <w:rPr>
          <w:rFonts w:ascii="Arial" w:hAnsi="Arial" w:cs="Arial"/>
          <w:sz w:val="24"/>
          <w:szCs w:val="24"/>
        </w:rPr>
        <w:t xml:space="preserve">products and services </w:t>
      </w:r>
      <w:r w:rsidR="0021395E">
        <w:rPr>
          <w:rFonts w:ascii="Arial" w:hAnsi="Arial" w:cs="Arial"/>
          <w:sz w:val="24"/>
          <w:szCs w:val="24"/>
        </w:rPr>
        <w:t xml:space="preserve">that </w:t>
      </w:r>
      <w:r w:rsidR="00E44673">
        <w:rPr>
          <w:rFonts w:ascii="Arial" w:hAnsi="Arial" w:cs="Arial"/>
          <w:sz w:val="24"/>
          <w:szCs w:val="24"/>
        </w:rPr>
        <w:t xml:space="preserve">could not even have been imagined </w:t>
      </w:r>
      <w:r w:rsidR="002B50F5">
        <w:rPr>
          <w:rFonts w:ascii="Arial" w:hAnsi="Arial" w:cs="Arial"/>
          <w:sz w:val="24"/>
          <w:szCs w:val="24"/>
        </w:rPr>
        <w:t xml:space="preserve">only </w:t>
      </w:r>
      <w:r w:rsidR="00E44673">
        <w:rPr>
          <w:rFonts w:ascii="Arial" w:hAnsi="Arial" w:cs="Arial"/>
          <w:sz w:val="24"/>
          <w:szCs w:val="24"/>
        </w:rPr>
        <w:t>twenty years ago</w:t>
      </w:r>
      <w:r w:rsidR="0021395E">
        <w:rPr>
          <w:rFonts w:ascii="Arial" w:hAnsi="Arial" w:cs="Arial"/>
          <w:sz w:val="24"/>
          <w:szCs w:val="24"/>
        </w:rPr>
        <w:t xml:space="preserve"> have become commonplace</w:t>
      </w:r>
      <w:r w:rsidR="00E44673">
        <w:rPr>
          <w:rFonts w:ascii="Arial" w:hAnsi="Arial" w:cs="Arial"/>
          <w:sz w:val="24"/>
          <w:szCs w:val="24"/>
        </w:rPr>
        <w:t xml:space="preserve">.  </w:t>
      </w:r>
    </w:p>
    <w:p w14:paraId="6D59985B" w14:textId="7C76AF9C" w:rsidR="00182291" w:rsidRPr="00182291" w:rsidRDefault="00967216" w:rsidP="00967216">
      <w:pPr>
        <w:spacing w:line="480" w:lineRule="auto"/>
        <w:ind w:firstLine="360"/>
        <w:jc w:val="both"/>
        <w:rPr>
          <w:rFonts w:ascii="Arial" w:hAnsi="Arial" w:cs="Arial"/>
          <w:sz w:val="24"/>
          <w:szCs w:val="24"/>
        </w:rPr>
      </w:pPr>
      <w:r>
        <w:rPr>
          <w:rFonts w:ascii="Arial" w:hAnsi="Arial" w:cs="Arial"/>
          <w:sz w:val="24"/>
          <w:szCs w:val="24"/>
        </w:rPr>
        <w:t xml:space="preserve">In </w:t>
      </w:r>
      <w:r w:rsidR="0016189F">
        <w:rPr>
          <w:rFonts w:ascii="Arial" w:hAnsi="Arial" w:cs="Arial"/>
          <w:sz w:val="24"/>
          <w:szCs w:val="24"/>
        </w:rPr>
        <w:t>all other markets for products and service</w:t>
      </w:r>
      <w:r>
        <w:rPr>
          <w:rFonts w:ascii="Arial" w:hAnsi="Arial" w:cs="Arial"/>
          <w:sz w:val="24"/>
          <w:szCs w:val="24"/>
        </w:rPr>
        <w:t>s</w:t>
      </w:r>
      <w:r w:rsidR="0016189F">
        <w:rPr>
          <w:rFonts w:ascii="Arial" w:hAnsi="Arial" w:cs="Arial"/>
          <w:sz w:val="24"/>
          <w:szCs w:val="24"/>
        </w:rPr>
        <w:t xml:space="preserve">, innovation </w:t>
      </w:r>
      <w:r w:rsidR="0021395E">
        <w:rPr>
          <w:rFonts w:ascii="Arial" w:hAnsi="Arial" w:cs="Arial"/>
          <w:sz w:val="24"/>
          <w:szCs w:val="24"/>
        </w:rPr>
        <w:t xml:space="preserve">springs from </w:t>
      </w:r>
      <w:r w:rsidR="0016189F">
        <w:rPr>
          <w:rFonts w:ascii="Arial" w:hAnsi="Arial" w:cs="Arial"/>
          <w:sz w:val="24"/>
          <w:szCs w:val="24"/>
        </w:rPr>
        <w:t>customer engagement and competition in the market place</w:t>
      </w:r>
      <w:r w:rsidR="0021395E">
        <w:rPr>
          <w:rFonts w:ascii="Arial" w:hAnsi="Arial" w:cs="Arial"/>
          <w:sz w:val="24"/>
          <w:szCs w:val="24"/>
        </w:rPr>
        <w:t xml:space="preserve">; it is not hammered out in </w:t>
      </w:r>
      <w:r w:rsidR="0016189F">
        <w:rPr>
          <w:rFonts w:ascii="Arial" w:hAnsi="Arial" w:cs="Arial"/>
          <w:sz w:val="24"/>
          <w:szCs w:val="24"/>
        </w:rPr>
        <w:t>regulatory proceeding</w:t>
      </w:r>
      <w:r w:rsidR="0021395E">
        <w:rPr>
          <w:rFonts w:ascii="Arial" w:hAnsi="Arial" w:cs="Arial"/>
          <w:sz w:val="24"/>
          <w:szCs w:val="24"/>
        </w:rPr>
        <w:t>s</w:t>
      </w:r>
      <w:r w:rsidR="0016189F">
        <w:rPr>
          <w:rFonts w:ascii="Arial" w:hAnsi="Arial" w:cs="Arial"/>
          <w:sz w:val="24"/>
          <w:szCs w:val="24"/>
        </w:rPr>
        <w:t>.</w:t>
      </w:r>
      <w:r w:rsidR="00217B95">
        <w:rPr>
          <w:rFonts w:ascii="Arial" w:hAnsi="Arial" w:cs="Arial"/>
          <w:sz w:val="24"/>
          <w:szCs w:val="24"/>
        </w:rPr>
        <w:t xml:space="preserve"> </w:t>
      </w:r>
      <w:r w:rsidR="005F27B8">
        <w:rPr>
          <w:rFonts w:ascii="Arial" w:hAnsi="Arial" w:cs="Arial"/>
          <w:sz w:val="24"/>
          <w:szCs w:val="24"/>
        </w:rPr>
        <w:t>If</w:t>
      </w:r>
      <w:r>
        <w:rPr>
          <w:rFonts w:ascii="Arial" w:hAnsi="Arial" w:cs="Arial"/>
          <w:sz w:val="24"/>
          <w:szCs w:val="24"/>
        </w:rPr>
        <w:t xml:space="preserve"> electric generation service</w:t>
      </w:r>
      <w:r w:rsidR="005F27B8">
        <w:rPr>
          <w:rFonts w:ascii="Arial" w:hAnsi="Arial" w:cs="Arial"/>
          <w:sz w:val="24"/>
          <w:szCs w:val="24"/>
        </w:rPr>
        <w:t xml:space="preserve"> is to evolve into a robust competitive market</w:t>
      </w:r>
      <w:r>
        <w:rPr>
          <w:rFonts w:ascii="Arial" w:hAnsi="Arial" w:cs="Arial"/>
          <w:sz w:val="24"/>
          <w:szCs w:val="24"/>
        </w:rPr>
        <w:t xml:space="preserve">, the Commission must take steps to increase customer engagement on the retail level.  </w:t>
      </w:r>
      <w:r w:rsidR="0016189F">
        <w:rPr>
          <w:rFonts w:ascii="Arial" w:hAnsi="Arial" w:cs="Arial"/>
          <w:sz w:val="24"/>
          <w:szCs w:val="24"/>
        </w:rPr>
        <w:t xml:space="preserve">Adopting retail auctions would </w:t>
      </w:r>
      <w:r w:rsidR="0021395E">
        <w:rPr>
          <w:rFonts w:ascii="Arial" w:hAnsi="Arial" w:cs="Arial"/>
          <w:sz w:val="24"/>
          <w:szCs w:val="24"/>
        </w:rPr>
        <w:t xml:space="preserve">move </w:t>
      </w:r>
      <w:r w:rsidR="0016189F">
        <w:rPr>
          <w:rFonts w:ascii="Arial" w:hAnsi="Arial" w:cs="Arial"/>
          <w:sz w:val="24"/>
          <w:szCs w:val="24"/>
        </w:rPr>
        <w:t xml:space="preserve">Ohio electric markets one step closer to that </w:t>
      </w:r>
      <w:r w:rsidR="0021395E">
        <w:rPr>
          <w:rFonts w:ascii="Arial" w:hAnsi="Arial" w:cs="Arial"/>
          <w:sz w:val="24"/>
          <w:szCs w:val="24"/>
        </w:rPr>
        <w:t>goal</w:t>
      </w:r>
      <w:r w:rsidR="00217B95">
        <w:rPr>
          <w:rFonts w:ascii="Arial" w:hAnsi="Arial" w:cs="Arial"/>
          <w:sz w:val="24"/>
          <w:szCs w:val="24"/>
        </w:rPr>
        <w:t xml:space="preserve">.  </w:t>
      </w:r>
    </w:p>
    <w:p w14:paraId="2136D2B9" w14:textId="703BFEF6" w:rsidR="00182291" w:rsidRDefault="00182291" w:rsidP="00182291">
      <w:pPr>
        <w:pStyle w:val="ListParagraph"/>
        <w:numPr>
          <w:ilvl w:val="0"/>
          <w:numId w:val="7"/>
        </w:numPr>
        <w:spacing w:line="480" w:lineRule="auto"/>
        <w:jc w:val="both"/>
        <w:rPr>
          <w:rFonts w:ascii="Arial" w:hAnsi="Arial" w:cs="Arial"/>
          <w:b/>
          <w:sz w:val="24"/>
          <w:szCs w:val="24"/>
        </w:rPr>
      </w:pPr>
      <w:r>
        <w:rPr>
          <w:rFonts w:ascii="Arial" w:hAnsi="Arial" w:cs="Arial"/>
          <w:b/>
          <w:sz w:val="24"/>
          <w:szCs w:val="24"/>
        </w:rPr>
        <w:t xml:space="preserve">Proceeds </w:t>
      </w:r>
      <w:r w:rsidR="0021395E">
        <w:rPr>
          <w:rFonts w:ascii="Arial" w:hAnsi="Arial" w:cs="Arial"/>
          <w:b/>
          <w:sz w:val="24"/>
          <w:szCs w:val="24"/>
        </w:rPr>
        <w:t>f</w:t>
      </w:r>
      <w:r>
        <w:rPr>
          <w:rFonts w:ascii="Arial" w:hAnsi="Arial" w:cs="Arial"/>
          <w:b/>
          <w:sz w:val="24"/>
          <w:szCs w:val="24"/>
        </w:rPr>
        <w:t>rom a Retail Auction Could Help AEP Customers Avoid Significant Rate Impacts as AEP Transitions to Market Based Rates.</w:t>
      </w:r>
    </w:p>
    <w:p w14:paraId="4F3EB9D4" w14:textId="023A0A42" w:rsidR="0021395E" w:rsidRDefault="00967216" w:rsidP="002A77F8">
      <w:pPr>
        <w:spacing w:line="480" w:lineRule="auto"/>
        <w:ind w:firstLine="360"/>
        <w:jc w:val="both"/>
        <w:rPr>
          <w:rFonts w:ascii="Arial" w:hAnsi="Arial" w:cs="Arial"/>
          <w:sz w:val="24"/>
          <w:szCs w:val="24"/>
        </w:rPr>
      </w:pPr>
      <w:r>
        <w:rPr>
          <w:rFonts w:ascii="Arial" w:hAnsi="Arial" w:cs="Arial"/>
          <w:sz w:val="24"/>
          <w:szCs w:val="24"/>
        </w:rPr>
        <w:t xml:space="preserve">Not only </w:t>
      </w:r>
      <w:r w:rsidR="0021395E">
        <w:rPr>
          <w:rFonts w:ascii="Arial" w:hAnsi="Arial" w:cs="Arial"/>
          <w:sz w:val="24"/>
          <w:szCs w:val="24"/>
        </w:rPr>
        <w:t xml:space="preserve">are </w:t>
      </w:r>
      <w:r>
        <w:rPr>
          <w:rFonts w:ascii="Arial" w:hAnsi="Arial" w:cs="Arial"/>
          <w:sz w:val="24"/>
          <w:szCs w:val="24"/>
        </w:rPr>
        <w:t>retail auction</w:t>
      </w:r>
      <w:r w:rsidR="0021395E">
        <w:rPr>
          <w:rFonts w:ascii="Arial" w:hAnsi="Arial" w:cs="Arial"/>
          <w:sz w:val="24"/>
          <w:szCs w:val="24"/>
        </w:rPr>
        <w:t>s</w:t>
      </w:r>
      <w:r>
        <w:rPr>
          <w:rFonts w:ascii="Arial" w:hAnsi="Arial" w:cs="Arial"/>
          <w:sz w:val="24"/>
          <w:szCs w:val="24"/>
        </w:rPr>
        <w:t xml:space="preserve"> beneficial to customers in </w:t>
      </w:r>
      <w:r w:rsidR="0021395E">
        <w:rPr>
          <w:rFonts w:ascii="Arial" w:hAnsi="Arial" w:cs="Arial"/>
          <w:sz w:val="24"/>
          <w:szCs w:val="24"/>
        </w:rPr>
        <w:t xml:space="preserve">their </w:t>
      </w:r>
      <w:r>
        <w:rPr>
          <w:rFonts w:ascii="Arial" w:hAnsi="Arial" w:cs="Arial"/>
          <w:sz w:val="24"/>
          <w:szCs w:val="24"/>
        </w:rPr>
        <w:t xml:space="preserve">own right, </w:t>
      </w:r>
      <w:r w:rsidR="0021395E">
        <w:rPr>
          <w:rFonts w:ascii="Arial" w:hAnsi="Arial" w:cs="Arial"/>
          <w:sz w:val="24"/>
          <w:szCs w:val="24"/>
        </w:rPr>
        <w:t xml:space="preserve">they </w:t>
      </w:r>
      <w:r>
        <w:rPr>
          <w:rFonts w:ascii="Arial" w:hAnsi="Arial" w:cs="Arial"/>
          <w:sz w:val="24"/>
          <w:szCs w:val="24"/>
        </w:rPr>
        <w:t xml:space="preserve">also </w:t>
      </w:r>
      <w:r w:rsidR="0021395E">
        <w:rPr>
          <w:rFonts w:ascii="Arial" w:hAnsi="Arial" w:cs="Arial"/>
          <w:sz w:val="24"/>
          <w:szCs w:val="24"/>
        </w:rPr>
        <w:t xml:space="preserve">have </w:t>
      </w:r>
      <w:r>
        <w:rPr>
          <w:rFonts w:ascii="Arial" w:hAnsi="Arial" w:cs="Arial"/>
          <w:sz w:val="24"/>
          <w:szCs w:val="24"/>
        </w:rPr>
        <w:t>the immediate</w:t>
      </w:r>
      <w:r w:rsidR="0021395E">
        <w:rPr>
          <w:rFonts w:ascii="Arial" w:hAnsi="Arial" w:cs="Arial"/>
          <w:sz w:val="24"/>
          <w:szCs w:val="24"/>
        </w:rPr>
        <w:t xml:space="preserve"> concrete</w:t>
      </w:r>
      <w:r>
        <w:rPr>
          <w:rFonts w:ascii="Arial" w:hAnsi="Arial" w:cs="Arial"/>
          <w:sz w:val="24"/>
          <w:szCs w:val="24"/>
        </w:rPr>
        <w:t xml:space="preserve"> benefit of mitigating the adverse rate impact </w:t>
      </w:r>
      <w:r w:rsidR="0021395E">
        <w:rPr>
          <w:rFonts w:ascii="Arial" w:hAnsi="Arial" w:cs="Arial"/>
          <w:sz w:val="24"/>
          <w:szCs w:val="24"/>
        </w:rPr>
        <w:t xml:space="preserve">that </w:t>
      </w:r>
      <w:r>
        <w:rPr>
          <w:rFonts w:ascii="Arial" w:hAnsi="Arial" w:cs="Arial"/>
          <w:sz w:val="24"/>
          <w:szCs w:val="24"/>
        </w:rPr>
        <w:t xml:space="preserve">customers will </w:t>
      </w:r>
      <w:r w:rsidR="0021395E">
        <w:rPr>
          <w:rFonts w:ascii="Arial" w:hAnsi="Arial" w:cs="Arial"/>
          <w:sz w:val="24"/>
          <w:szCs w:val="24"/>
        </w:rPr>
        <w:t xml:space="preserve">certainly </w:t>
      </w:r>
      <w:r>
        <w:rPr>
          <w:rFonts w:ascii="Arial" w:hAnsi="Arial" w:cs="Arial"/>
          <w:sz w:val="24"/>
          <w:szCs w:val="24"/>
        </w:rPr>
        <w:t xml:space="preserve">face as a result of the </w:t>
      </w:r>
      <w:r w:rsidR="0021395E">
        <w:rPr>
          <w:rFonts w:ascii="Arial" w:hAnsi="Arial" w:cs="Arial"/>
          <w:sz w:val="24"/>
          <w:szCs w:val="24"/>
        </w:rPr>
        <w:t xml:space="preserve">looming </w:t>
      </w:r>
      <w:r>
        <w:rPr>
          <w:rFonts w:ascii="Arial" w:hAnsi="Arial" w:cs="Arial"/>
          <w:sz w:val="24"/>
          <w:szCs w:val="24"/>
        </w:rPr>
        <w:t xml:space="preserve">AEP deferral. </w:t>
      </w:r>
    </w:p>
    <w:p w14:paraId="346BE3D1" w14:textId="3D1C87EB" w:rsidR="00935793" w:rsidRDefault="00182291" w:rsidP="002A77F8">
      <w:pPr>
        <w:spacing w:line="480" w:lineRule="auto"/>
        <w:ind w:firstLine="360"/>
        <w:jc w:val="both"/>
        <w:rPr>
          <w:rFonts w:ascii="Arial" w:hAnsi="Arial" w:cs="Arial"/>
          <w:sz w:val="24"/>
          <w:szCs w:val="24"/>
        </w:rPr>
      </w:pPr>
      <w:r>
        <w:rPr>
          <w:rFonts w:ascii="Arial" w:hAnsi="Arial" w:cs="Arial"/>
          <w:sz w:val="24"/>
          <w:szCs w:val="24"/>
        </w:rPr>
        <w:t>The stated purpose of this proceeding is to find means by which AEP customers can avoid adverse rate impacts as AEP transitions to market based rates.  Unfortunately</w:t>
      </w:r>
      <w:r w:rsidR="00D41752">
        <w:rPr>
          <w:rFonts w:ascii="Arial" w:hAnsi="Arial" w:cs="Arial"/>
          <w:sz w:val="24"/>
          <w:szCs w:val="24"/>
        </w:rPr>
        <w:t>,</w:t>
      </w:r>
      <w:r>
        <w:rPr>
          <w:rFonts w:ascii="Arial" w:hAnsi="Arial" w:cs="Arial"/>
          <w:sz w:val="24"/>
          <w:szCs w:val="24"/>
        </w:rPr>
        <w:t xml:space="preserve"> the </w:t>
      </w:r>
      <w:r w:rsidR="00023C95">
        <w:rPr>
          <w:rFonts w:ascii="Arial" w:hAnsi="Arial" w:cs="Arial"/>
          <w:sz w:val="24"/>
          <w:szCs w:val="24"/>
        </w:rPr>
        <w:t xml:space="preserve">bill for the </w:t>
      </w:r>
      <w:r>
        <w:rPr>
          <w:rFonts w:ascii="Arial" w:hAnsi="Arial" w:cs="Arial"/>
          <w:sz w:val="24"/>
          <w:szCs w:val="24"/>
        </w:rPr>
        <w:t xml:space="preserve">AEP Deferral </w:t>
      </w:r>
      <w:r w:rsidR="00023C95">
        <w:rPr>
          <w:rFonts w:ascii="Arial" w:hAnsi="Arial" w:cs="Arial"/>
          <w:sz w:val="24"/>
          <w:szCs w:val="24"/>
        </w:rPr>
        <w:t xml:space="preserve">is soon coming due, and it </w:t>
      </w:r>
      <w:r>
        <w:rPr>
          <w:rFonts w:ascii="Arial" w:hAnsi="Arial" w:cs="Arial"/>
          <w:sz w:val="24"/>
          <w:szCs w:val="24"/>
        </w:rPr>
        <w:t xml:space="preserve">will have adverse impacts on all AEP customers. </w:t>
      </w:r>
      <w:r w:rsidRPr="00436187">
        <w:rPr>
          <w:rFonts w:ascii="Arial" w:hAnsi="Arial" w:cs="Arial"/>
          <w:sz w:val="24"/>
          <w:szCs w:val="24"/>
        </w:rPr>
        <w:t xml:space="preserve">As </w:t>
      </w:r>
      <w:r>
        <w:rPr>
          <w:rFonts w:ascii="Arial" w:hAnsi="Arial" w:cs="Arial"/>
          <w:sz w:val="24"/>
          <w:szCs w:val="24"/>
        </w:rPr>
        <w:t>described above, the retail auction will raise significant funds from CRES suppliers</w:t>
      </w:r>
      <w:r w:rsidR="00023C95">
        <w:rPr>
          <w:rFonts w:ascii="Arial" w:hAnsi="Arial" w:cs="Arial"/>
          <w:sz w:val="24"/>
          <w:szCs w:val="24"/>
        </w:rPr>
        <w:t xml:space="preserve">, as they </w:t>
      </w:r>
      <w:r>
        <w:rPr>
          <w:rFonts w:ascii="Arial" w:hAnsi="Arial" w:cs="Arial"/>
          <w:sz w:val="24"/>
          <w:szCs w:val="24"/>
        </w:rPr>
        <w:t xml:space="preserve">bid a per dollar amount to serve SSO customers.  </w:t>
      </w:r>
      <w:r w:rsidR="00023C95">
        <w:rPr>
          <w:rFonts w:ascii="Arial" w:hAnsi="Arial" w:cs="Arial"/>
          <w:sz w:val="24"/>
          <w:szCs w:val="24"/>
        </w:rPr>
        <w:t>M</w:t>
      </w:r>
      <w:r>
        <w:rPr>
          <w:rFonts w:ascii="Arial" w:hAnsi="Arial" w:cs="Arial"/>
          <w:sz w:val="24"/>
          <w:szCs w:val="24"/>
        </w:rPr>
        <w:t xml:space="preserve">oney raised </w:t>
      </w:r>
      <w:r w:rsidR="00023C95">
        <w:rPr>
          <w:rFonts w:ascii="Arial" w:hAnsi="Arial" w:cs="Arial"/>
          <w:sz w:val="24"/>
          <w:szCs w:val="24"/>
        </w:rPr>
        <w:t xml:space="preserve">by </w:t>
      </w:r>
      <w:r>
        <w:rPr>
          <w:rFonts w:ascii="Arial" w:hAnsi="Arial" w:cs="Arial"/>
          <w:sz w:val="24"/>
          <w:szCs w:val="24"/>
        </w:rPr>
        <w:t xml:space="preserve">the auction could be used to pay down the deferral AEP customers will face after the ESP period.  </w:t>
      </w:r>
      <w:r w:rsidR="002A77F8">
        <w:rPr>
          <w:rFonts w:ascii="Arial" w:hAnsi="Arial" w:cs="Arial"/>
          <w:sz w:val="24"/>
          <w:szCs w:val="24"/>
        </w:rPr>
        <w:t xml:space="preserve">As such, the structure </w:t>
      </w:r>
      <w:r w:rsidR="00023C95">
        <w:rPr>
          <w:rFonts w:ascii="Arial" w:hAnsi="Arial" w:cs="Arial"/>
          <w:sz w:val="24"/>
          <w:szCs w:val="24"/>
        </w:rPr>
        <w:t xml:space="preserve">and timing </w:t>
      </w:r>
      <w:r w:rsidR="002A77F8">
        <w:rPr>
          <w:rFonts w:ascii="Arial" w:hAnsi="Arial" w:cs="Arial"/>
          <w:sz w:val="24"/>
          <w:szCs w:val="24"/>
        </w:rPr>
        <w:t>of the AEP ESP</w:t>
      </w:r>
      <w:r w:rsidR="00681E68">
        <w:rPr>
          <w:rFonts w:ascii="Arial" w:hAnsi="Arial" w:cs="Arial"/>
          <w:sz w:val="24"/>
          <w:szCs w:val="24"/>
        </w:rPr>
        <w:t>,</w:t>
      </w:r>
      <w:r w:rsidR="002A77F8">
        <w:rPr>
          <w:rFonts w:ascii="Arial" w:hAnsi="Arial" w:cs="Arial"/>
          <w:sz w:val="24"/>
          <w:szCs w:val="24"/>
        </w:rPr>
        <w:t xml:space="preserve"> </w:t>
      </w:r>
      <w:r w:rsidR="00F62397">
        <w:rPr>
          <w:rFonts w:ascii="Arial" w:hAnsi="Arial" w:cs="Arial"/>
          <w:sz w:val="24"/>
          <w:szCs w:val="24"/>
        </w:rPr>
        <w:t xml:space="preserve">presents an excellent opportunity to conduct </w:t>
      </w:r>
      <w:r w:rsidR="00BF6FAF">
        <w:rPr>
          <w:rFonts w:ascii="Arial" w:hAnsi="Arial" w:cs="Arial"/>
          <w:sz w:val="24"/>
          <w:szCs w:val="24"/>
        </w:rPr>
        <w:t xml:space="preserve">a </w:t>
      </w:r>
      <w:r w:rsidR="002A77F8">
        <w:rPr>
          <w:rFonts w:ascii="Arial" w:hAnsi="Arial" w:cs="Arial"/>
          <w:sz w:val="24"/>
          <w:szCs w:val="24"/>
        </w:rPr>
        <w:t>retail auction in order to pay down the looming AEP deferral.</w:t>
      </w:r>
    </w:p>
    <w:p w14:paraId="1CA450B0" w14:textId="77777777" w:rsidR="002E179D" w:rsidRPr="00935793" w:rsidRDefault="002E179D" w:rsidP="002A77F8">
      <w:pPr>
        <w:spacing w:line="480" w:lineRule="auto"/>
        <w:ind w:firstLine="360"/>
        <w:jc w:val="both"/>
        <w:rPr>
          <w:rFonts w:ascii="Arial" w:hAnsi="Arial" w:cs="Arial"/>
          <w:sz w:val="24"/>
          <w:szCs w:val="24"/>
        </w:rPr>
      </w:pPr>
    </w:p>
    <w:p w14:paraId="520FBBD5" w14:textId="77777777" w:rsidR="00800737" w:rsidRPr="00BF6FAF" w:rsidRDefault="00800737" w:rsidP="00BF6FAF">
      <w:pPr>
        <w:pStyle w:val="ListParagraph"/>
        <w:numPr>
          <w:ilvl w:val="0"/>
          <w:numId w:val="1"/>
        </w:numPr>
        <w:spacing w:line="480" w:lineRule="auto"/>
        <w:jc w:val="both"/>
        <w:rPr>
          <w:rFonts w:ascii="Arial" w:hAnsi="Arial" w:cs="Arial"/>
          <w:b/>
          <w:sz w:val="24"/>
          <w:szCs w:val="24"/>
        </w:rPr>
      </w:pPr>
      <w:r w:rsidRPr="00BF6FAF">
        <w:rPr>
          <w:rFonts w:ascii="Arial" w:hAnsi="Arial" w:cs="Arial"/>
          <w:b/>
          <w:sz w:val="24"/>
          <w:szCs w:val="24"/>
        </w:rPr>
        <w:lastRenderedPageBreak/>
        <w:t>CONCLUSION</w:t>
      </w:r>
    </w:p>
    <w:p w14:paraId="40A5C3A7" w14:textId="65EB74DA" w:rsidR="00BC1295" w:rsidRPr="00BF6FAF" w:rsidRDefault="003B0374" w:rsidP="00BF6FAF">
      <w:pPr>
        <w:spacing w:line="480" w:lineRule="auto"/>
        <w:ind w:firstLine="360"/>
        <w:jc w:val="both"/>
        <w:rPr>
          <w:rFonts w:ascii="Arial" w:hAnsi="Arial" w:cs="Arial"/>
          <w:sz w:val="24"/>
          <w:szCs w:val="24"/>
        </w:rPr>
      </w:pPr>
      <w:r>
        <w:rPr>
          <w:rFonts w:ascii="Arial" w:hAnsi="Arial" w:cs="Arial"/>
          <w:sz w:val="24"/>
          <w:szCs w:val="24"/>
        </w:rPr>
        <w:t>The</w:t>
      </w:r>
      <w:r w:rsidR="00800737" w:rsidRPr="00800737">
        <w:rPr>
          <w:rFonts w:ascii="Arial" w:hAnsi="Arial" w:cs="Arial"/>
          <w:sz w:val="24"/>
          <w:szCs w:val="24"/>
        </w:rPr>
        <w:t xml:space="preserve"> AEP ESP Order</w:t>
      </w:r>
      <w:r>
        <w:rPr>
          <w:rFonts w:ascii="Arial" w:hAnsi="Arial" w:cs="Arial"/>
          <w:sz w:val="24"/>
          <w:szCs w:val="24"/>
        </w:rPr>
        <w:t xml:space="preserve"> was a great step t</w:t>
      </w:r>
      <w:r w:rsidR="0094708B">
        <w:rPr>
          <w:rFonts w:ascii="Arial" w:hAnsi="Arial" w:cs="Arial"/>
          <w:sz w:val="24"/>
          <w:szCs w:val="24"/>
        </w:rPr>
        <w:t>owards</w:t>
      </w:r>
      <w:r>
        <w:rPr>
          <w:rFonts w:ascii="Arial" w:hAnsi="Arial" w:cs="Arial"/>
          <w:sz w:val="24"/>
          <w:szCs w:val="24"/>
        </w:rPr>
        <w:t xml:space="preserve"> furthering Ohio’s electric markets down the path of competition; however, th</w:t>
      </w:r>
      <w:r w:rsidR="0094708B">
        <w:rPr>
          <w:rFonts w:ascii="Arial" w:hAnsi="Arial" w:cs="Arial"/>
          <w:sz w:val="24"/>
          <w:szCs w:val="24"/>
        </w:rPr>
        <w:t>ere</w:t>
      </w:r>
      <w:r>
        <w:rPr>
          <w:rFonts w:ascii="Arial" w:hAnsi="Arial" w:cs="Arial"/>
          <w:sz w:val="24"/>
          <w:szCs w:val="24"/>
        </w:rPr>
        <w:t xml:space="preserve"> are</w:t>
      </w:r>
      <w:r w:rsidR="0094708B">
        <w:rPr>
          <w:rFonts w:ascii="Arial" w:hAnsi="Arial" w:cs="Arial"/>
          <w:sz w:val="24"/>
          <w:szCs w:val="24"/>
        </w:rPr>
        <w:t xml:space="preserve"> still</w:t>
      </w:r>
      <w:r>
        <w:rPr>
          <w:rFonts w:ascii="Arial" w:hAnsi="Arial" w:cs="Arial"/>
          <w:sz w:val="24"/>
          <w:szCs w:val="24"/>
        </w:rPr>
        <w:t xml:space="preserve"> far too few</w:t>
      </w:r>
      <w:r w:rsidR="0094708B">
        <w:rPr>
          <w:rFonts w:ascii="Arial" w:hAnsi="Arial" w:cs="Arial"/>
          <w:sz w:val="24"/>
          <w:szCs w:val="24"/>
        </w:rPr>
        <w:t xml:space="preserve"> AEP</w:t>
      </w:r>
      <w:r>
        <w:rPr>
          <w:rFonts w:ascii="Arial" w:hAnsi="Arial" w:cs="Arial"/>
          <w:sz w:val="24"/>
          <w:szCs w:val="24"/>
        </w:rPr>
        <w:t xml:space="preserve"> customers engaged</w:t>
      </w:r>
      <w:r w:rsidR="0094708B">
        <w:rPr>
          <w:rFonts w:ascii="Arial" w:hAnsi="Arial" w:cs="Arial"/>
          <w:sz w:val="24"/>
          <w:szCs w:val="24"/>
        </w:rPr>
        <w:t xml:space="preserve"> </w:t>
      </w:r>
      <w:r w:rsidR="00620908">
        <w:rPr>
          <w:rFonts w:ascii="Arial" w:hAnsi="Arial" w:cs="Arial"/>
          <w:sz w:val="24"/>
          <w:szCs w:val="24"/>
        </w:rPr>
        <w:t xml:space="preserve">in </w:t>
      </w:r>
      <w:r w:rsidR="0094708B">
        <w:rPr>
          <w:rFonts w:ascii="Arial" w:hAnsi="Arial" w:cs="Arial"/>
          <w:sz w:val="24"/>
          <w:szCs w:val="24"/>
        </w:rPr>
        <w:t>the market</w:t>
      </w:r>
      <w:r>
        <w:rPr>
          <w:rFonts w:ascii="Arial" w:hAnsi="Arial" w:cs="Arial"/>
          <w:sz w:val="24"/>
          <w:szCs w:val="24"/>
        </w:rPr>
        <w:t xml:space="preserve">.  IGS Energy has proposed a retail auction that will continue AEP down the path </w:t>
      </w:r>
      <w:r w:rsidR="0094708B">
        <w:rPr>
          <w:rFonts w:ascii="Arial" w:hAnsi="Arial" w:cs="Arial"/>
          <w:sz w:val="24"/>
          <w:szCs w:val="24"/>
        </w:rPr>
        <w:t>to full customer engagement in the retail electric markets</w:t>
      </w:r>
      <w:r w:rsidR="00620908">
        <w:rPr>
          <w:rFonts w:ascii="Arial" w:hAnsi="Arial" w:cs="Arial"/>
          <w:sz w:val="24"/>
          <w:szCs w:val="24"/>
        </w:rPr>
        <w:t xml:space="preserve">, with </w:t>
      </w:r>
      <w:r>
        <w:rPr>
          <w:rFonts w:ascii="Arial" w:hAnsi="Arial" w:cs="Arial"/>
          <w:sz w:val="24"/>
          <w:szCs w:val="24"/>
        </w:rPr>
        <w:t>the added benefit of significantly mitigat</w:t>
      </w:r>
      <w:r w:rsidR="00620908">
        <w:rPr>
          <w:rFonts w:ascii="Arial" w:hAnsi="Arial" w:cs="Arial"/>
          <w:sz w:val="24"/>
          <w:szCs w:val="24"/>
        </w:rPr>
        <w:t>ing</w:t>
      </w:r>
      <w:r>
        <w:rPr>
          <w:rFonts w:ascii="Arial" w:hAnsi="Arial" w:cs="Arial"/>
          <w:sz w:val="24"/>
          <w:szCs w:val="24"/>
        </w:rPr>
        <w:t xml:space="preserve"> the adverse rate impact AEP customers will face on</w:t>
      </w:r>
      <w:r w:rsidR="0094708B">
        <w:rPr>
          <w:rFonts w:ascii="Arial" w:hAnsi="Arial" w:cs="Arial"/>
          <w:sz w:val="24"/>
          <w:szCs w:val="24"/>
        </w:rPr>
        <w:t>c</w:t>
      </w:r>
      <w:r>
        <w:rPr>
          <w:rFonts w:ascii="Arial" w:hAnsi="Arial" w:cs="Arial"/>
          <w:sz w:val="24"/>
          <w:szCs w:val="24"/>
        </w:rPr>
        <w:t xml:space="preserve">e the AEP </w:t>
      </w:r>
      <w:r w:rsidR="0094708B">
        <w:rPr>
          <w:rFonts w:ascii="Arial" w:hAnsi="Arial" w:cs="Arial"/>
          <w:sz w:val="24"/>
          <w:szCs w:val="24"/>
        </w:rPr>
        <w:t>Deferral</w:t>
      </w:r>
      <w:r>
        <w:rPr>
          <w:rFonts w:ascii="Arial" w:hAnsi="Arial" w:cs="Arial"/>
          <w:sz w:val="24"/>
          <w:szCs w:val="24"/>
        </w:rPr>
        <w:t xml:space="preserve"> </w:t>
      </w:r>
      <w:r w:rsidR="002B50F5">
        <w:rPr>
          <w:rFonts w:ascii="Arial" w:hAnsi="Arial" w:cs="Arial"/>
          <w:sz w:val="24"/>
          <w:szCs w:val="24"/>
        </w:rPr>
        <w:t>comes due</w:t>
      </w:r>
      <w:r>
        <w:rPr>
          <w:rFonts w:ascii="Arial" w:hAnsi="Arial" w:cs="Arial"/>
          <w:sz w:val="24"/>
          <w:szCs w:val="24"/>
        </w:rPr>
        <w:t>.  As such</w:t>
      </w:r>
      <w:r w:rsidR="0094708B">
        <w:rPr>
          <w:rFonts w:ascii="Arial" w:hAnsi="Arial" w:cs="Arial"/>
          <w:sz w:val="24"/>
          <w:szCs w:val="24"/>
        </w:rPr>
        <w:t>,</w:t>
      </w:r>
      <w:r w:rsidR="00B503D4">
        <w:rPr>
          <w:rFonts w:ascii="Arial" w:hAnsi="Arial" w:cs="Arial"/>
          <w:sz w:val="24"/>
          <w:szCs w:val="24"/>
        </w:rPr>
        <w:t xml:space="preserve"> at the conclusion of this proceeding,</w:t>
      </w:r>
      <w:r>
        <w:rPr>
          <w:rFonts w:ascii="Arial" w:hAnsi="Arial" w:cs="Arial"/>
          <w:sz w:val="24"/>
          <w:szCs w:val="24"/>
        </w:rPr>
        <w:t xml:space="preserve"> the Commission </w:t>
      </w:r>
      <w:r w:rsidR="0094708B">
        <w:rPr>
          <w:rFonts w:ascii="Arial" w:hAnsi="Arial" w:cs="Arial"/>
          <w:sz w:val="24"/>
          <w:szCs w:val="24"/>
        </w:rPr>
        <w:t>should</w:t>
      </w:r>
      <w:r w:rsidR="00BC1295" w:rsidRPr="00BC1295">
        <w:rPr>
          <w:rFonts w:ascii="Arial" w:hAnsi="Arial" w:cs="Arial"/>
          <w:sz w:val="24"/>
          <w:szCs w:val="24"/>
        </w:rPr>
        <w:t xml:space="preserve"> </w:t>
      </w:r>
      <w:r w:rsidR="00107E88">
        <w:rPr>
          <w:rFonts w:ascii="Arial" w:hAnsi="Arial" w:cs="Arial"/>
          <w:sz w:val="24"/>
          <w:szCs w:val="24"/>
        </w:rPr>
        <w:t>i</w:t>
      </w:r>
      <w:r w:rsidR="0094708B" w:rsidRPr="00BC1295">
        <w:rPr>
          <w:rFonts w:ascii="Arial" w:hAnsi="Arial" w:cs="Arial"/>
          <w:sz w:val="24"/>
          <w:szCs w:val="24"/>
        </w:rPr>
        <w:t xml:space="preserve">ssue an order </w:t>
      </w:r>
      <w:r w:rsidR="008F08C4">
        <w:rPr>
          <w:rFonts w:ascii="Arial" w:hAnsi="Arial" w:cs="Arial"/>
          <w:sz w:val="24"/>
          <w:szCs w:val="24"/>
        </w:rPr>
        <w:t>initiating a collaborative for interested parties to establish the details for AEP to conduct a retail auction for its remaining SSO customers</w:t>
      </w:r>
      <w:r w:rsidR="00B503D4">
        <w:rPr>
          <w:rFonts w:ascii="Arial" w:hAnsi="Arial" w:cs="Arial"/>
          <w:sz w:val="24"/>
          <w:szCs w:val="24"/>
        </w:rPr>
        <w:t>, with the intent that such retail auctions be conducted</w:t>
      </w:r>
      <w:r w:rsidR="008F08C4">
        <w:rPr>
          <w:rFonts w:ascii="Arial" w:hAnsi="Arial" w:cs="Arial"/>
          <w:sz w:val="24"/>
          <w:szCs w:val="24"/>
        </w:rPr>
        <w:t xml:space="preserve"> on or before the end of the ESP period</w:t>
      </w:r>
      <w:r w:rsidR="0094708B" w:rsidRPr="00BC1295">
        <w:rPr>
          <w:rFonts w:ascii="Arial" w:hAnsi="Arial" w:cs="Arial"/>
          <w:sz w:val="24"/>
          <w:szCs w:val="24"/>
        </w:rPr>
        <w:t>.</w:t>
      </w:r>
      <w:r w:rsidRPr="00BC1295">
        <w:rPr>
          <w:rFonts w:ascii="Arial" w:hAnsi="Arial" w:cs="Arial"/>
          <w:sz w:val="24"/>
          <w:szCs w:val="24"/>
        </w:rPr>
        <w:t xml:space="preserve">  </w:t>
      </w:r>
      <w:r w:rsidR="00800737" w:rsidRPr="00BC1295">
        <w:rPr>
          <w:rFonts w:ascii="Arial" w:hAnsi="Arial" w:cs="Arial"/>
          <w:sz w:val="24"/>
          <w:szCs w:val="24"/>
        </w:rPr>
        <w:t xml:space="preserve">  </w:t>
      </w:r>
    </w:p>
    <w:p w14:paraId="324FBF60" w14:textId="77777777" w:rsidR="00ED2F19" w:rsidRDefault="00ED2F19" w:rsidP="00ED2F19">
      <w:pPr>
        <w:spacing w:after="0" w:line="240" w:lineRule="auto"/>
        <w:ind w:left="5040"/>
        <w:rPr>
          <w:rFonts w:ascii="Arial" w:hAnsi="Arial" w:cs="Arial"/>
          <w:sz w:val="24"/>
          <w:szCs w:val="24"/>
        </w:rPr>
      </w:pPr>
      <w:r>
        <w:rPr>
          <w:rFonts w:ascii="Arial" w:hAnsi="Arial" w:cs="Arial"/>
          <w:sz w:val="24"/>
          <w:szCs w:val="24"/>
        </w:rPr>
        <w:t>Respectfully submitted,</w:t>
      </w:r>
    </w:p>
    <w:p w14:paraId="386D9A52" w14:textId="77777777" w:rsidR="00ED2F19" w:rsidRDefault="00ED2F19" w:rsidP="00ED2F19">
      <w:pPr>
        <w:spacing w:after="0" w:line="240" w:lineRule="auto"/>
        <w:ind w:left="5040"/>
        <w:rPr>
          <w:rFonts w:ascii="Arial" w:hAnsi="Arial" w:cs="Arial"/>
          <w:sz w:val="24"/>
          <w:szCs w:val="24"/>
        </w:rPr>
      </w:pPr>
    </w:p>
    <w:p w14:paraId="5FC60A76" w14:textId="77777777" w:rsidR="00ED2F19" w:rsidRDefault="00ED2F19" w:rsidP="00ED2F19">
      <w:pPr>
        <w:spacing w:after="0" w:line="240" w:lineRule="auto"/>
        <w:ind w:left="5040"/>
        <w:rPr>
          <w:rFonts w:ascii="Arial" w:hAnsi="Arial" w:cs="Arial"/>
          <w:sz w:val="24"/>
          <w:szCs w:val="24"/>
        </w:rPr>
      </w:pPr>
    </w:p>
    <w:p w14:paraId="4B8C466E" w14:textId="77777777" w:rsidR="00ED2F19" w:rsidRDefault="00ED2F19" w:rsidP="00ED2F19">
      <w:pPr>
        <w:spacing w:after="0" w:line="240" w:lineRule="auto"/>
        <w:ind w:left="5040"/>
        <w:rPr>
          <w:rFonts w:ascii="Arial" w:hAnsi="Arial" w:cs="Arial"/>
          <w:sz w:val="24"/>
          <w:szCs w:val="24"/>
          <w:u w:val="single"/>
        </w:rPr>
      </w:pPr>
    </w:p>
    <w:p w14:paraId="53C802F6" w14:textId="77777777" w:rsidR="002E179D" w:rsidRPr="002E179D" w:rsidRDefault="002E179D" w:rsidP="002E179D">
      <w:pPr>
        <w:tabs>
          <w:tab w:val="left" w:pos="-1440"/>
          <w:tab w:val="left" w:pos="-720"/>
          <w:tab w:val="left" w:pos="5040"/>
          <w:tab w:val="center" w:pos="7200"/>
          <w:tab w:val="right" w:pos="9360"/>
        </w:tabs>
        <w:ind w:firstLine="5040"/>
        <w:rPr>
          <w:rFonts w:ascii="Arial" w:hAnsi="Arial" w:cs="Arial"/>
          <w:sz w:val="24"/>
          <w:szCs w:val="24"/>
        </w:rPr>
      </w:pPr>
      <w:r w:rsidRPr="002E179D">
        <w:rPr>
          <w:rFonts w:ascii="Arial" w:hAnsi="Arial" w:cs="Arial"/>
          <w:sz w:val="24"/>
          <w:szCs w:val="24"/>
          <w:u w:val="single"/>
        </w:rPr>
        <w:t xml:space="preserve">  /s/ Matthew White</w:t>
      </w:r>
      <w:r w:rsidRPr="002E179D">
        <w:rPr>
          <w:rFonts w:ascii="Arial" w:hAnsi="Arial" w:cs="Arial"/>
          <w:sz w:val="24"/>
          <w:szCs w:val="24"/>
          <w:u w:val="single"/>
        </w:rPr>
        <w:tab/>
      </w:r>
    </w:p>
    <w:p w14:paraId="6A39C188" w14:textId="77777777" w:rsidR="00ED2F19" w:rsidRPr="002E179D" w:rsidRDefault="00ED2F19" w:rsidP="002E179D">
      <w:pPr>
        <w:spacing w:after="0" w:line="240" w:lineRule="auto"/>
        <w:ind w:left="4320" w:firstLine="720"/>
        <w:rPr>
          <w:rFonts w:ascii="Arial" w:hAnsi="Arial" w:cs="Arial"/>
          <w:sz w:val="24"/>
          <w:szCs w:val="24"/>
        </w:rPr>
      </w:pPr>
      <w:r w:rsidRPr="002E179D">
        <w:rPr>
          <w:rFonts w:ascii="Arial" w:hAnsi="Arial" w:cs="Arial"/>
          <w:sz w:val="24"/>
          <w:szCs w:val="24"/>
        </w:rPr>
        <w:t>Vincent Parisi (073283)</w:t>
      </w:r>
    </w:p>
    <w:p w14:paraId="44C26429" w14:textId="77777777" w:rsidR="00ED2F19" w:rsidRPr="002E179D" w:rsidRDefault="00ED2F19" w:rsidP="00ED2F19">
      <w:pPr>
        <w:spacing w:after="0" w:line="240" w:lineRule="auto"/>
        <w:ind w:left="5040"/>
        <w:rPr>
          <w:rFonts w:ascii="Arial" w:hAnsi="Arial" w:cs="Arial"/>
          <w:sz w:val="24"/>
          <w:szCs w:val="24"/>
        </w:rPr>
      </w:pPr>
      <w:r w:rsidRPr="002E179D">
        <w:rPr>
          <w:rFonts w:ascii="Arial" w:hAnsi="Arial" w:cs="Arial"/>
          <w:sz w:val="24"/>
          <w:szCs w:val="24"/>
        </w:rPr>
        <w:t>Email: vparisi@igsenergy.com</w:t>
      </w:r>
    </w:p>
    <w:p w14:paraId="708945FE" w14:textId="77777777" w:rsidR="00ED2F19" w:rsidRPr="002E179D" w:rsidRDefault="00ED2F19" w:rsidP="00ED2F19">
      <w:pPr>
        <w:spacing w:after="0" w:line="240" w:lineRule="auto"/>
        <w:ind w:left="5040"/>
        <w:rPr>
          <w:rFonts w:ascii="Arial" w:hAnsi="Arial" w:cs="Arial"/>
          <w:sz w:val="24"/>
          <w:szCs w:val="24"/>
        </w:rPr>
      </w:pPr>
      <w:r w:rsidRPr="002E179D">
        <w:rPr>
          <w:rFonts w:ascii="Arial" w:hAnsi="Arial" w:cs="Arial"/>
          <w:sz w:val="24"/>
          <w:szCs w:val="24"/>
        </w:rPr>
        <w:t>Matthew White (0082859)</w:t>
      </w:r>
    </w:p>
    <w:p w14:paraId="3F3CFD12" w14:textId="77777777" w:rsidR="00ED2F19" w:rsidRPr="002E179D" w:rsidRDefault="00ED2F19" w:rsidP="00ED2F19">
      <w:pPr>
        <w:spacing w:after="0" w:line="240" w:lineRule="auto"/>
        <w:ind w:left="5040"/>
        <w:rPr>
          <w:rFonts w:ascii="Arial" w:hAnsi="Arial" w:cs="Arial"/>
          <w:sz w:val="24"/>
          <w:szCs w:val="24"/>
        </w:rPr>
      </w:pPr>
      <w:r w:rsidRPr="002E179D">
        <w:rPr>
          <w:rFonts w:ascii="Arial" w:hAnsi="Arial" w:cs="Arial"/>
          <w:sz w:val="24"/>
          <w:szCs w:val="24"/>
        </w:rPr>
        <w:t>Email: mswhite@igsenergy.com</w:t>
      </w:r>
    </w:p>
    <w:p w14:paraId="21C576CE" w14:textId="77777777" w:rsidR="00ED2F19" w:rsidRPr="002E179D" w:rsidRDefault="00ED2F19" w:rsidP="00ED2F19">
      <w:pPr>
        <w:spacing w:after="0" w:line="240" w:lineRule="auto"/>
        <w:ind w:left="5040"/>
        <w:rPr>
          <w:rFonts w:ascii="Arial" w:hAnsi="Arial" w:cs="Arial"/>
          <w:sz w:val="24"/>
          <w:szCs w:val="24"/>
        </w:rPr>
      </w:pPr>
      <w:r w:rsidRPr="002E179D">
        <w:rPr>
          <w:rFonts w:ascii="Arial" w:hAnsi="Arial" w:cs="Arial"/>
          <w:sz w:val="24"/>
          <w:szCs w:val="24"/>
        </w:rPr>
        <w:t>Interstate Gas Supply, Inc.</w:t>
      </w:r>
    </w:p>
    <w:p w14:paraId="2F6B7974" w14:textId="77777777" w:rsidR="00ED2F19" w:rsidRPr="002E179D" w:rsidRDefault="00ED2F19" w:rsidP="00ED2F19">
      <w:pPr>
        <w:spacing w:after="0" w:line="240" w:lineRule="auto"/>
        <w:ind w:left="5040"/>
        <w:rPr>
          <w:rFonts w:ascii="Arial" w:hAnsi="Arial" w:cs="Arial"/>
          <w:sz w:val="24"/>
          <w:szCs w:val="24"/>
        </w:rPr>
      </w:pPr>
      <w:r w:rsidRPr="002E179D">
        <w:rPr>
          <w:rFonts w:ascii="Arial" w:hAnsi="Arial" w:cs="Arial"/>
          <w:sz w:val="24"/>
          <w:szCs w:val="24"/>
        </w:rPr>
        <w:t>6100 Emerald Parkway</w:t>
      </w:r>
    </w:p>
    <w:p w14:paraId="491F2EF5" w14:textId="77777777" w:rsidR="00ED2F19" w:rsidRPr="002E179D" w:rsidRDefault="00ED2F19" w:rsidP="00ED2F19">
      <w:pPr>
        <w:spacing w:after="0" w:line="240" w:lineRule="auto"/>
        <w:ind w:left="5040"/>
        <w:rPr>
          <w:rFonts w:ascii="Arial" w:hAnsi="Arial" w:cs="Arial"/>
          <w:sz w:val="24"/>
          <w:szCs w:val="24"/>
        </w:rPr>
      </w:pPr>
      <w:r w:rsidRPr="002E179D">
        <w:rPr>
          <w:rFonts w:ascii="Arial" w:hAnsi="Arial" w:cs="Arial"/>
          <w:sz w:val="24"/>
          <w:szCs w:val="24"/>
        </w:rPr>
        <w:t>Dublin, Ohio 43016</w:t>
      </w:r>
    </w:p>
    <w:p w14:paraId="4C594259" w14:textId="77777777" w:rsidR="00ED2F19" w:rsidRPr="002E179D" w:rsidRDefault="00ED2F19" w:rsidP="00ED2F19">
      <w:pPr>
        <w:spacing w:after="0" w:line="240" w:lineRule="auto"/>
        <w:ind w:left="5040"/>
        <w:rPr>
          <w:rFonts w:ascii="Arial" w:hAnsi="Arial" w:cs="Arial"/>
          <w:sz w:val="24"/>
          <w:szCs w:val="24"/>
        </w:rPr>
      </w:pPr>
      <w:r w:rsidRPr="002E179D">
        <w:rPr>
          <w:rFonts w:ascii="Arial" w:hAnsi="Arial" w:cs="Arial"/>
          <w:sz w:val="24"/>
          <w:szCs w:val="24"/>
        </w:rPr>
        <w:t>Telephone:</w:t>
      </w:r>
      <w:r w:rsidRPr="002E179D">
        <w:rPr>
          <w:rFonts w:ascii="Arial" w:hAnsi="Arial" w:cs="Arial"/>
          <w:sz w:val="24"/>
          <w:szCs w:val="24"/>
        </w:rPr>
        <w:tab/>
        <w:t>(614) 659-5000</w:t>
      </w:r>
    </w:p>
    <w:p w14:paraId="175325E7" w14:textId="77777777" w:rsidR="00ED2F19" w:rsidRPr="002E179D" w:rsidRDefault="00ED2F19" w:rsidP="00ED2F19">
      <w:pPr>
        <w:spacing w:after="0" w:line="240" w:lineRule="auto"/>
        <w:ind w:left="5040"/>
        <w:rPr>
          <w:rFonts w:ascii="Arial" w:hAnsi="Arial" w:cs="Arial"/>
          <w:sz w:val="24"/>
          <w:szCs w:val="24"/>
        </w:rPr>
      </w:pPr>
      <w:r w:rsidRPr="002E179D">
        <w:rPr>
          <w:rFonts w:ascii="Arial" w:hAnsi="Arial" w:cs="Arial"/>
          <w:sz w:val="24"/>
          <w:szCs w:val="24"/>
        </w:rPr>
        <w:t>Facsimile:</w:t>
      </w:r>
      <w:r w:rsidRPr="002E179D">
        <w:rPr>
          <w:rFonts w:ascii="Arial" w:hAnsi="Arial" w:cs="Arial"/>
          <w:sz w:val="24"/>
          <w:szCs w:val="24"/>
        </w:rPr>
        <w:tab/>
        <w:t>(614) 659-5073</w:t>
      </w:r>
    </w:p>
    <w:p w14:paraId="6BE1D307" w14:textId="77777777" w:rsidR="00ED2F19" w:rsidRPr="002E179D" w:rsidRDefault="00ED2F19" w:rsidP="00ED2F19">
      <w:pPr>
        <w:spacing w:after="0" w:line="240" w:lineRule="auto"/>
        <w:ind w:left="4320" w:firstLine="720"/>
        <w:rPr>
          <w:rFonts w:ascii="Arial" w:hAnsi="Arial" w:cs="Arial"/>
          <w:b/>
          <w:i/>
          <w:sz w:val="24"/>
          <w:szCs w:val="24"/>
        </w:rPr>
      </w:pPr>
      <w:r w:rsidRPr="002E179D">
        <w:rPr>
          <w:rFonts w:ascii="Arial" w:hAnsi="Arial" w:cs="Arial"/>
          <w:b/>
          <w:i/>
          <w:sz w:val="24"/>
          <w:szCs w:val="24"/>
        </w:rPr>
        <w:t xml:space="preserve">Attorneys for </w:t>
      </w:r>
    </w:p>
    <w:p w14:paraId="516991A7" w14:textId="77777777" w:rsidR="00ED2F19" w:rsidRPr="002E179D" w:rsidRDefault="00ED2F19" w:rsidP="00ED2F19">
      <w:pPr>
        <w:spacing w:after="0" w:line="240" w:lineRule="auto"/>
        <w:ind w:left="5040"/>
        <w:rPr>
          <w:rFonts w:ascii="Arial" w:hAnsi="Arial" w:cs="Arial"/>
          <w:sz w:val="24"/>
          <w:szCs w:val="24"/>
        </w:rPr>
      </w:pPr>
      <w:r w:rsidRPr="002E179D">
        <w:rPr>
          <w:rFonts w:ascii="Arial" w:hAnsi="Arial" w:cs="Arial"/>
          <w:b/>
          <w:i/>
          <w:sz w:val="24"/>
          <w:szCs w:val="24"/>
        </w:rPr>
        <w:t>Interstate Gas Supply, Inc.</w:t>
      </w:r>
    </w:p>
    <w:p w14:paraId="5A0592E7" w14:textId="77777777" w:rsidR="00F36F51" w:rsidRPr="00A4060F" w:rsidRDefault="00F36F51" w:rsidP="00F36F51">
      <w:pPr>
        <w:spacing w:line="480" w:lineRule="auto"/>
        <w:ind w:firstLine="360"/>
        <w:jc w:val="both"/>
        <w:rPr>
          <w:rFonts w:ascii="Arial" w:hAnsi="Arial" w:cs="Arial"/>
          <w:sz w:val="24"/>
          <w:szCs w:val="24"/>
        </w:rPr>
      </w:pPr>
    </w:p>
    <w:p w14:paraId="22E17C97" w14:textId="0DEA62F1" w:rsidR="002E179D" w:rsidRDefault="002E179D">
      <w:pPr>
        <w:rPr>
          <w:rFonts w:ascii="Arial" w:hAnsi="Arial" w:cs="Arial"/>
          <w:b/>
          <w:sz w:val="24"/>
          <w:szCs w:val="24"/>
        </w:rPr>
      </w:pPr>
      <w:r>
        <w:rPr>
          <w:rFonts w:ascii="Arial" w:hAnsi="Arial" w:cs="Arial"/>
          <w:b/>
          <w:sz w:val="24"/>
          <w:szCs w:val="24"/>
        </w:rPr>
        <w:br w:type="page"/>
      </w:r>
    </w:p>
    <w:p w14:paraId="1DD98485" w14:textId="77777777" w:rsidR="002E179D" w:rsidRPr="002E179D" w:rsidRDefault="002E179D" w:rsidP="002E179D">
      <w:pPr>
        <w:tabs>
          <w:tab w:val="left" w:pos="2160"/>
          <w:tab w:val="left" w:pos="2280"/>
        </w:tabs>
        <w:jc w:val="center"/>
        <w:rPr>
          <w:rFonts w:ascii="Arial" w:eastAsia="Times New Roman" w:hAnsi="Arial" w:cs="Arial"/>
          <w:b/>
          <w:bCs/>
          <w:smallCaps/>
          <w:sz w:val="24"/>
          <w:szCs w:val="24"/>
          <w:u w:val="single"/>
        </w:rPr>
      </w:pPr>
      <w:r w:rsidRPr="002E179D">
        <w:rPr>
          <w:rFonts w:ascii="Arial" w:eastAsia="Times New Roman" w:hAnsi="Arial" w:cs="Arial"/>
          <w:b/>
          <w:bCs/>
          <w:smallCaps/>
          <w:sz w:val="24"/>
          <w:szCs w:val="24"/>
          <w:u w:val="single"/>
        </w:rPr>
        <w:lastRenderedPageBreak/>
        <w:t>Certificate of Service</w:t>
      </w:r>
    </w:p>
    <w:p w14:paraId="3CBD9A83" w14:textId="77777777" w:rsidR="002E179D" w:rsidRPr="002E179D" w:rsidRDefault="002E179D" w:rsidP="002E179D">
      <w:pPr>
        <w:spacing w:line="480" w:lineRule="auto"/>
        <w:ind w:firstLine="720"/>
        <w:rPr>
          <w:rFonts w:ascii="Arial" w:eastAsia="Times New Roman" w:hAnsi="Arial" w:cs="Arial"/>
          <w:sz w:val="24"/>
          <w:szCs w:val="24"/>
        </w:rPr>
      </w:pPr>
    </w:p>
    <w:p w14:paraId="6D007D56" w14:textId="19E58A01" w:rsidR="002E179D" w:rsidRPr="002E179D" w:rsidRDefault="002E179D" w:rsidP="002E179D">
      <w:pPr>
        <w:spacing w:line="480" w:lineRule="auto"/>
        <w:ind w:firstLine="720"/>
        <w:jc w:val="both"/>
        <w:rPr>
          <w:rFonts w:ascii="Arial" w:eastAsia="Times New Roman" w:hAnsi="Arial" w:cs="Arial"/>
          <w:sz w:val="24"/>
          <w:szCs w:val="24"/>
        </w:rPr>
      </w:pPr>
      <w:r w:rsidRPr="002E179D">
        <w:rPr>
          <w:rFonts w:ascii="Arial" w:eastAsia="Times New Roman" w:hAnsi="Arial" w:cs="Arial"/>
          <w:sz w:val="24"/>
          <w:szCs w:val="24"/>
        </w:rPr>
        <w:t>I hereby certify that a copy of the foregoing</w:t>
      </w:r>
      <w:r w:rsidRPr="002E179D">
        <w:rPr>
          <w:rFonts w:ascii="Arial" w:eastAsia="Times New Roman" w:hAnsi="Arial" w:cs="Arial"/>
          <w:smallCaps/>
          <w:sz w:val="24"/>
          <w:szCs w:val="24"/>
        </w:rPr>
        <w:t xml:space="preserve"> </w:t>
      </w:r>
      <w:r w:rsidRPr="002E179D">
        <w:rPr>
          <w:rFonts w:ascii="Arial" w:eastAsia="Times New Roman" w:hAnsi="Arial" w:cs="Arial"/>
          <w:i/>
          <w:sz w:val="24"/>
          <w:szCs w:val="24"/>
        </w:rPr>
        <w:t>Comments of</w:t>
      </w:r>
      <w:r w:rsidRPr="002E179D">
        <w:rPr>
          <w:rFonts w:ascii="Arial" w:eastAsia="Times New Roman" w:hAnsi="Arial" w:cs="Arial"/>
          <w:i/>
          <w:iCs/>
          <w:sz w:val="24"/>
          <w:szCs w:val="24"/>
        </w:rPr>
        <w:t xml:space="preserve"> Interstate Gas Supply, Inc. </w:t>
      </w:r>
      <w:r w:rsidRPr="002E179D">
        <w:rPr>
          <w:rFonts w:ascii="Arial" w:eastAsia="Times New Roman" w:hAnsi="Arial" w:cs="Arial"/>
          <w:sz w:val="24"/>
          <w:szCs w:val="24"/>
        </w:rPr>
        <w:t>was served upon the following parties of record this 12</w:t>
      </w:r>
      <w:r w:rsidRPr="002E179D">
        <w:rPr>
          <w:rFonts w:ascii="Arial" w:eastAsia="Times New Roman" w:hAnsi="Arial" w:cs="Arial"/>
          <w:sz w:val="24"/>
          <w:szCs w:val="24"/>
          <w:vertAlign w:val="superscript"/>
        </w:rPr>
        <w:t>th</w:t>
      </w:r>
      <w:r w:rsidRPr="002E179D">
        <w:rPr>
          <w:rFonts w:ascii="Arial" w:eastAsia="Times New Roman" w:hAnsi="Arial" w:cs="Arial"/>
          <w:sz w:val="24"/>
          <w:szCs w:val="24"/>
        </w:rPr>
        <w:t xml:space="preserve"> day of August 2013, </w:t>
      </w:r>
      <w:r w:rsidRPr="002E179D">
        <w:rPr>
          <w:rFonts w:ascii="Arial" w:eastAsia="Times New Roman" w:hAnsi="Arial" w:cs="Arial"/>
          <w:i/>
          <w:sz w:val="24"/>
          <w:szCs w:val="24"/>
        </w:rPr>
        <w:t>via</w:t>
      </w:r>
      <w:r w:rsidRPr="002E179D">
        <w:rPr>
          <w:rFonts w:ascii="Arial" w:eastAsia="Times New Roman" w:hAnsi="Arial" w:cs="Arial"/>
          <w:sz w:val="24"/>
          <w:szCs w:val="24"/>
        </w:rPr>
        <w:t xml:space="preserve"> electronic transmission</w:t>
      </w:r>
    </w:p>
    <w:p w14:paraId="73E2767D" w14:textId="4E069229" w:rsidR="00A4060F" w:rsidRPr="002E179D" w:rsidRDefault="002E179D" w:rsidP="002E179D">
      <w:pPr>
        <w:tabs>
          <w:tab w:val="left" w:pos="-1440"/>
          <w:tab w:val="left" w:pos="-720"/>
          <w:tab w:val="left" w:pos="5040"/>
          <w:tab w:val="center" w:pos="7200"/>
        </w:tabs>
        <w:ind w:firstLine="5040"/>
        <w:rPr>
          <w:rFonts w:ascii="Arial" w:hAnsi="Arial" w:cs="Arial"/>
          <w:b/>
          <w:sz w:val="24"/>
          <w:szCs w:val="24"/>
        </w:rPr>
      </w:pPr>
      <w:r w:rsidRPr="002E179D">
        <w:rPr>
          <w:rFonts w:ascii="Arial" w:hAnsi="Arial" w:cs="Arial"/>
          <w:sz w:val="24"/>
          <w:szCs w:val="24"/>
        </w:rPr>
        <w:tab/>
      </w:r>
    </w:p>
    <w:tbl>
      <w:tblPr>
        <w:tblW w:w="0" w:type="auto"/>
        <w:tblLook w:val="01E0" w:firstRow="1" w:lastRow="1" w:firstColumn="1" w:lastColumn="1" w:noHBand="0" w:noVBand="0"/>
      </w:tblPr>
      <w:tblGrid>
        <w:gridCol w:w="4428"/>
        <w:gridCol w:w="4428"/>
      </w:tblGrid>
      <w:tr w:rsidR="002E179D" w:rsidRPr="002E179D" w14:paraId="1B62147B" w14:textId="77777777" w:rsidTr="00E760EC">
        <w:tc>
          <w:tcPr>
            <w:tcW w:w="4428" w:type="dxa"/>
            <w:shd w:val="clear" w:color="auto" w:fill="auto"/>
          </w:tcPr>
          <w:p w14:paraId="0AF1F817" w14:textId="77777777" w:rsidR="002E179D" w:rsidRPr="002E179D" w:rsidRDefault="002E179D" w:rsidP="002E179D">
            <w:pPr>
              <w:autoSpaceDE w:val="0"/>
              <w:autoSpaceDN w:val="0"/>
              <w:adjustRightInd w:val="0"/>
              <w:spacing w:line="240" w:lineRule="auto"/>
              <w:rPr>
                <w:rFonts w:ascii="Arial" w:hAnsi="Arial" w:cs="Arial"/>
                <w:bCs/>
                <w:sz w:val="24"/>
                <w:szCs w:val="24"/>
              </w:rPr>
            </w:pPr>
            <w:r w:rsidRPr="002E179D">
              <w:rPr>
                <w:rFonts w:ascii="Arial" w:hAnsi="Arial" w:cs="Arial"/>
                <w:bCs/>
                <w:sz w:val="24"/>
                <w:szCs w:val="24"/>
              </w:rPr>
              <w:t>Werner Margard</w:t>
            </w:r>
          </w:p>
          <w:p w14:paraId="7FC746F8" w14:textId="77777777" w:rsidR="002E179D" w:rsidRPr="002E179D" w:rsidRDefault="002E179D" w:rsidP="002E179D">
            <w:pPr>
              <w:autoSpaceDE w:val="0"/>
              <w:autoSpaceDN w:val="0"/>
              <w:adjustRightInd w:val="0"/>
              <w:spacing w:line="240" w:lineRule="auto"/>
              <w:rPr>
                <w:rFonts w:ascii="Arial" w:hAnsi="Arial" w:cs="Arial"/>
                <w:bCs/>
                <w:sz w:val="24"/>
                <w:szCs w:val="24"/>
              </w:rPr>
            </w:pPr>
            <w:r w:rsidRPr="002E179D">
              <w:rPr>
                <w:rFonts w:ascii="Arial" w:hAnsi="Arial" w:cs="Arial"/>
                <w:bCs/>
                <w:sz w:val="24"/>
                <w:szCs w:val="24"/>
              </w:rPr>
              <w:t>Steven Beeler</w:t>
            </w:r>
          </w:p>
          <w:p w14:paraId="1AFA9647" w14:textId="77777777" w:rsidR="002E179D" w:rsidRPr="002E179D" w:rsidRDefault="002E179D" w:rsidP="002E179D">
            <w:pPr>
              <w:autoSpaceDE w:val="0"/>
              <w:autoSpaceDN w:val="0"/>
              <w:adjustRightInd w:val="0"/>
              <w:spacing w:line="240" w:lineRule="auto"/>
              <w:rPr>
                <w:rFonts w:ascii="Arial" w:hAnsi="Arial" w:cs="Arial"/>
                <w:bCs/>
                <w:sz w:val="24"/>
                <w:szCs w:val="24"/>
              </w:rPr>
            </w:pPr>
            <w:r w:rsidRPr="002E179D">
              <w:rPr>
                <w:rFonts w:ascii="Arial" w:hAnsi="Arial" w:cs="Arial"/>
                <w:bCs/>
                <w:sz w:val="24"/>
                <w:szCs w:val="24"/>
              </w:rPr>
              <w:t>Public Utilities Commission of Ohio</w:t>
            </w:r>
          </w:p>
          <w:p w14:paraId="1A63D0C7" w14:textId="77777777" w:rsidR="002E179D" w:rsidRPr="002E179D" w:rsidRDefault="002E179D" w:rsidP="002E179D">
            <w:pPr>
              <w:autoSpaceDE w:val="0"/>
              <w:autoSpaceDN w:val="0"/>
              <w:adjustRightInd w:val="0"/>
              <w:spacing w:line="240" w:lineRule="auto"/>
              <w:rPr>
                <w:rFonts w:ascii="Arial" w:hAnsi="Arial" w:cs="Arial"/>
                <w:bCs/>
                <w:sz w:val="24"/>
                <w:szCs w:val="24"/>
              </w:rPr>
            </w:pPr>
            <w:r w:rsidRPr="002E179D">
              <w:rPr>
                <w:rFonts w:ascii="Arial" w:hAnsi="Arial" w:cs="Arial"/>
                <w:bCs/>
                <w:sz w:val="24"/>
                <w:szCs w:val="24"/>
              </w:rPr>
              <w:t>180 E. Broad St., 6</w:t>
            </w:r>
            <w:r w:rsidRPr="002E179D">
              <w:rPr>
                <w:rFonts w:ascii="Arial" w:hAnsi="Arial" w:cs="Arial"/>
                <w:bCs/>
                <w:sz w:val="24"/>
                <w:szCs w:val="24"/>
                <w:vertAlign w:val="superscript"/>
              </w:rPr>
              <w:t>th</w:t>
            </w:r>
            <w:r w:rsidRPr="002E179D">
              <w:rPr>
                <w:rFonts w:ascii="Arial" w:hAnsi="Arial" w:cs="Arial"/>
                <w:bCs/>
                <w:sz w:val="24"/>
                <w:szCs w:val="24"/>
              </w:rPr>
              <w:t xml:space="preserve"> Fl.</w:t>
            </w:r>
          </w:p>
          <w:p w14:paraId="024D1180" w14:textId="77777777" w:rsidR="002E179D" w:rsidRPr="002E179D" w:rsidRDefault="002E179D" w:rsidP="002E179D">
            <w:pPr>
              <w:autoSpaceDE w:val="0"/>
              <w:autoSpaceDN w:val="0"/>
              <w:adjustRightInd w:val="0"/>
              <w:spacing w:line="240" w:lineRule="auto"/>
              <w:rPr>
                <w:rFonts w:ascii="Arial" w:hAnsi="Arial" w:cs="Arial"/>
                <w:bCs/>
                <w:sz w:val="24"/>
                <w:szCs w:val="24"/>
              </w:rPr>
            </w:pPr>
            <w:r w:rsidRPr="002E179D">
              <w:rPr>
                <w:rFonts w:ascii="Arial" w:hAnsi="Arial" w:cs="Arial"/>
                <w:bCs/>
                <w:sz w:val="24"/>
                <w:szCs w:val="24"/>
              </w:rPr>
              <w:t>Columbus, OH 43215</w:t>
            </w:r>
          </w:p>
          <w:p w14:paraId="61A51F9C" w14:textId="77777777" w:rsidR="002E179D" w:rsidRPr="002E179D" w:rsidRDefault="000F4EE5" w:rsidP="002E179D">
            <w:pPr>
              <w:autoSpaceDE w:val="0"/>
              <w:autoSpaceDN w:val="0"/>
              <w:adjustRightInd w:val="0"/>
              <w:spacing w:line="240" w:lineRule="auto"/>
              <w:rPr>
                <w:rFonts w:ascii="Arial" w:hAnsi="Arial" w:cs="Arial"/>
                <w:bCs/>
                <w:sz w:val="24"/>
                <w:szCs w:val="24"/>
              </w:rPr>
            </w:pPr>
            <w:hyperlink r:id="rId9" w:history="1">
              <w:r w:rsidR="002E179D" w:rsidRPr="002E179D">
                <w:rPr>
                  <w:rStyle w:val="Hyperlink"/>
                  <w:rFonts w:ascii="Arial" w:hAnsi="Arial" w:cs="Arial"/>
                  <w:bCs/>
                  <w:sz w:val="24"/>
                  <w:szCs w:val="24"/>
                </w:rPr>
                <w:t>Werner.margard@puc.state.oh.us</w:t>
              </w:r>
            </w:hyperlink>
          </w:p>
          <w:p w14:paraId="16BA81C9" w14:textId="77777777" w:rsidR="002E179D" w:rsidRPr="002E179D" w:rsidRDefault="000F4EE5" w:rsidP="002E179D">
            <w:pPr>
              <w:autoSpaceDE w:val="0"/>
              <w:autoSpaceDN w:val="0"/>
              <w:adjustRightInd w:val="0"/>
              <w:spacing w:line="240" w:lineRule="auto"/>
              <w:rPr>
                <w:rFonts w:ascii="Arial" w:hAnsi="Arial" w:cs="Arial"/>
                <w:bCs/>
                <w:sz w:val="24"/>
                <w:szCs w:val="24"/>
              </w:rPr>
            </w:pPr>
            <w:hyperlink r:id="rId10" w:history="1">
              <w:r w:rsidR="002E179D" w:rsidRPr="002E179D">
                <w:rPr>
                  <w:rStyle w:val="Hyperlink"/>
                  <w:rFonts w:ascii="Arial" w:hAnsi="Arial" w:cs="Arial"/>
                  <w:bCs/>
                  <w:sz w:val="24"/>
                  <w:szCs w:val="24"/>
                </w:rPr>
                <w:t>Steven.beeler@puc.state.oh.us</w:t>
              </w:r>
            </w:hyperlink>
          </w:p>
          <w:p w14:paraId="0C11CBE6" w14:textId="77777777" w:rsidR="002E179D" w:rsidRPr="002E179D" w:rsidRDefault="002E179D" w:rsidP="002E179D">
            <w:pPr>
              <w:autoSpaceDE w:val="0"/>
              <w:autoSpaceDN w:val="0"/>
              <w:adjustRightInd w:val="0"/>
              <w:spacing w:line="240" w:lineRule="auto"/>
              <w:rPr>
                <w:rFonts w:ascii="Arial" w:hAnsi="Arial" w:cs="Arial"/>
                <w:bCs/>
                <w:sz w:val="24"/>
                <w:szCs w:val="24"/>
              </w:rPr>
            </w:pPr>
          </w:p>
          <w:p w14:paraId="21C7DBCC" w14:textId="77777777" w:rsidR="002E179D" w:rsidRPr="002E179D" w:rsidRDefault="002E179D" w:rsidP="002E179D">
            <w:pPr>
              <w:autoSpaceDE w:val="0"/>
              <w:autoSpaceDN w:val="0"/>
              <w:adjustRightInd w:val="0"/>
              <w:spacing w:line="240" w:lineRule="auto"/>
              <w:rPr>
                <w:rFonts w:ascii="Arial" w:hAnsi="Arial" w:cs="Arial"/>
                <w:bCs/>
                <w:sz w:val="24"/>
                <w:szCs w:val="24"/>
              </w:rPr>
            </w:pPr>
          </w:p>
          <w:p w14:paraId="5F489DED" w14:textId="77777777" w:rsidR="002E179D" w:rsidRPr="002E179D" w:rsidRDefault="002E179D" w:rsidP="002E179D">
            <w:pPr>
              <w:autoSpaceDE w:val="0"/>
              <w:autoSpaceDN w:val="0"/>
              <w:adjustRightInd w:val="0"/>
              <w:spacing w:line="240" w:lineRule="auto"/>
              <w:rPr>
                <w:rFonts w:ascii="Arial" w:hAnsi="Arial" w:cs="Arial"/>
                <w:bCs/>
                <w:sz w:val="24"/>
                <w:szCs w:val="24"/>
              </w:rPr>
            </w:pPr>
          </w:p>
        </w:tc>
        <w:tc>
          <w:tcPr>
            <w:tcW w:w="4428" w:type="dxa"/>
            <w:shd w:val="clear" w:color="auto" w:fill="auto"/>
          </w:tcPr>
          <w:p w14:paraId="78709900" w14:textId="77777777" w:rsidR="002E179D" w:rsidRPr="002E179D" w:rsidRDefault="002E179D" w:rsidP="002E179D">
            <w:pPr>
              <w:autoSpaceDE w:val="0"/>
              <w:autoSpaceDN w:val="0"/>
              <w:adjustRightInd w:val="0"/>
              <w:spacing w:line="240" w:lineRule="auto"/>
              <w:rPr>
                <w:rFonts w:ascii="Arial" w:hAnsi="Arial" w:cs="Arial"/>
                <w:sz w:val="24"/>
                <w:szCs w:val="24"/>
              </w:rPr>
            </w:pPr>
            <w:r w:rsidRPr="002E179D">
              <w:rPr>
                <w:rFonts w:ascii="Arial" w:hAnsi="Arial" w:cs="Arial"/>
                <w:sz w:val="24"/>
                <w:szCs w:val="24"/>
              </w:rPr>
              <w:t>Steven T. Nourse</w:t>
            </w:r>
          </w:p>
          <w:p w14:paraId="3D53BF1F" w14:textId="12AA88B1" w:rsidR="002E179D" w:rsidRPr="002E179D" w:rsidRDefault="002E179D" w:rsidP="002E179D">
            <w:pPr>
              <w:autoSpaceDE w:val="0"/>
              <w:autoSpaceDN w:val="0"/>
              <w:adjustRightInd w:val="0"/>
              <w:spacing w:line="240" w:lineRule="auto"/>
              <w:rPr>
                <w:rFonts w:ascii="Arial" w:hAnsi="Arial" w:cs="Arial"/>
                <w:sz w:val="24"/>
                <w:szCs w:val="24"/>
              </w:rPr>
            </w:pPr>
            <w:r w:rsidRPr="002E179D">
              <w:rPr>
                <w:rFonts w:ascii="Arial" w:hAnsi="Arial" w:cs="Arial"/>
                <w:sz w:val="24"/>
                <w:szCs w:val="24"/>
              </w:rPr>
              <w:t>Matthew J. Satterwhite</w:t>
            </w:r>
          </w:p>
          <w:p w14:paraId="50D7D643" w14:textId="77777777" w:rsidR="002E179D" w:rsidRPr="002E179D" w:rsidRDefault="002E179D" w:rsidP="002E179D">
            <w:pPr>
              <w:autoSpaceDE w:val="0"/>
              <w:autoSpaceDN w:val="0"/>
              <w:adjustRightInd w:val="0"/>
              <w:spacing w:line="240" w:lineRule="auto"/>
              <w:rPr>
                <w:rFonts w:ascii="Arial" w:hAnsi="Arial" w:cs="Arial"/>
                <w:sz w:val="24"/>
                <w:szCs w:val="24"/>
              </w:rPr>
            </w:pPr>
            <w:r w:rsidRPr="002E179D">
              <w:rPr>
                <w:rFonts w:ascii="Arial" w:hAnsi="Arial" w:cs="Arial"/>
                <w:sz w:val="24"/>
                <w:szCs w:val="24"/>
              </w:rPr>
              <w:t>Yazen Alami</w:t>
            </w:r>
          </w:p>
          <w:p w14:paraId="0343A58E" w14:textId="77777777" w:rsidR="002E179D" w:rsidRPr="002E179D" w:rsidRDefault="002E179D" w:rsidP="002E179D">
            <w:pPr>
              <w:autoSpaceDE w:val="0"/>
              <w:autoSpaceDN w:val="0"/>
              <w:adjustRightInd w:val="0"/>
              <w:spacing w:line="240" w:lineRule="auto"/>
              <w:rPr>
                <w:rFonts w:ascii="Arial" w:hAnsi="Arial" w:cs="Arial"/>
                <w:sz w:val="24"/>
                <w:szCs w:val="24"/>
              </w:rPr>
            </w:pPr>
            <w:r w:rsidRPr="002E179D">
              <w:rPr>
                <w:rFonts w:ascii="Arial" w:hAnsi="Arial" w:cs="Arial"/>
                <w:sz w:val="24"/>
                <w:szCs w:val="24"/>
              </w:rPr>
              <w:t>AEP Service Corporation</w:t>
            </w:r>
          </w:p>
          <w:p w14:paraId="5532EA90" w14:textId="77777777" w:rsidR="002E179D" w:rsidRPr="002E179D" w:rsidRDefault="002E179D" w:rsidP="002E179D">
            <w:pPr>
              <w:autoSpaceDE w:val="0"/>
              <w:autoSpaceDN w:val="0"/>
              <w:adjustRightInd w:val="0"/>
              <w:spacing w:line="240" w:lineRule="auto"/>
              <w:rPr>
                <w:rFonts w:ascii="Arial" w:hAnsi="Arial" w:cs="Arial"/>
                <w:sz w:val="24"/>
                <w:szCs w:val="24"/>
              </w:rPr>
            </w:pPr>
            <w:r w:rsidRPr="002E179D">
              <w:rPr>
                <w:rFonts w:ascii="Arial" w:hAnsi="Arial" w:cs="Arial"/>
                <w:sz w:val="24"/>
                <w:szCs w:val="24"/>
              </w:rPr>
              <w:t>1 Riverside Plaza, 29th Floor</w:t>
            </w:r>
          </w:p>
          <w:p w14:paraId="1D5D7613" w14:textId="77777777" w:rsidR="002E179D" w:rsidRPr="002E179D" w:rsidRDefault="002E179D" w:rsidP="002E179D">
            <w:pPr>
              <w:autoSpaceDE w:val="0"/>
              <w:autoSpaceDN w:val="0"/>
              <w:adjustRightInd w:val="0"/>
              <w:spacing w:line="240" w:lineRule="auto"/>
              <w:rPr>
                <w:rFonts w:ascii="Arial" w:hAnsi="Arial" w:cs="Arial"/>
                <w:sz w:val="24"/>
                <w:szCs w:val="24"/>
              </w:rPr>
            </w:pPr>
            <w:r w:rsidRPr="002E179D">
              <w:rPr>
                <w:rFonts w:ascii="Arial" w:hAnsi="Arial" w:cs="Arial"/>
                <w:sz w:val="24"/>
                <w:szCs w:val="24"/>
              </w:rPr>
              <w:t>Columbus, OH 43215</w:t>
            </w:r>
          </w:p>
          <w:p w14:paraId="258786A1" w14:textId="77777777" w:rsidR="002E179D" w:rsidRPr="002E179D" w:rsidRDefault="000F4EE5" w:rsidP="002E179D">
            <w:pPr>
              <w:autoSpaceDE w:val="0"/>
              <w:autoSpaceDN w:val="0"/>
              <w:adjustRightInd w:val="0"/>
              <w:spacing w:line="240" w:lineRule="auto"/>
              <w:rPr>
                <w:rFonts w:ascii="Arial" w:hAnsi="Arial" w:cs="Arial"/>
                <w:sz w:val="24"/>
                <w:szCs w:val="24"/>
              </w:rPr>
            </w:pPr>
            <w:hyperlink r:id="rId11" w:history="1">
              <w:r w:rsidR="002E179D" w:rsidRPr="002E179D">
                <w:rPr>
                  <w:rStyle w:val="Hyperlink"/>
                  <w:rFonts w:ascii="Arial" w:hAnsi="Arial" w:cs="Arial"/>
                  <w:sz w:val="24"/>
                  <w:szCs w:val="24"/>
                </w:rPr>
                <w:t>stnourse@aep.com</w:t>
              </w:r>
            </w:hyperlink>
          </w:p>
          <w:p w14:paraId="5B448C27" w14:textId="77777777" w:rsidR="002E179D" w:rsidRPr="002E179D" w:rsidRDefault="000F4EE5" w:rsidP="002E179D">
            <w:pPr>
              <w:autoSpaceDE w:val="0"/>
              <w:autoSpaceDN w:val="0"/>
              <w:adjustRightInd w:val="0"/>
              <w:spacing w:line="240" w:lineRule="auto"/>
              <w:rPr>
                <w:rFonts w:ascii="Arial" w:hAnsi="Arial" w:cs="Arial"/>
                <w:sz w:val="24"/>
                <w:szCs w:val="24"/>
              </w:rPr>
            </w:pPr>
            <w:hyperlink r:id="rId12" w:history="1">
              <w:r w:rsidR="002E179D" w:rsidRPr="002E179D">
                <w:rPr>
                  <w:rStyle w:val="Hyperlink"/>
                  <w:rFonts w:ascii="Arial" w:hAnsi="Arial" w:cs="Arial"/>
                  <w:sz w:val="24"/>
                  <w:szCs w:val="24"/>
                </w:rPr>
                <w:t>mjsatterwhite@aep.com</w:t>
              </w:r>
            </w:hyperlink>
          </w:p>
          <w:p w14:paraId="6FC1A0D0" w14:textId="77777777" w:rsidR="002E179D" w:rsidRPr="002E179D" w:rsidRDefault="000F4EE5" w:rsidP="002E179D">
            <w:pPr>
              <w:pStyle w:val="BodyText"/>
              <w:spacing w:line="240" w:lineRule="auto"/>
              <w:rPr>
                <w:rFonts w:ascii="Arial" w:hAnsi="Arial" w:cs="Arial"/>
                <w:sz w:val="24"/>
                <w:szCs w:val="24"/>
              </w:rPr>
            </w:pPr>
            <w:hyperlink r:id="rId13" w:history="1">
              <w:r w:rsidR="002E179D" w:rsidRPr="002E179D">
                <w:rPr>
                  <w:rStyle w:val="Hyperlink"/>
                  <w:rFonts w:ascii="Arial" w:hAnsi="Arial" w:cs="Arial"/>
                  <w:sz w:val="24"/>
                  <w:szCs w:val="24"/>
                </w:rPr>
                <w:t>yalami@aep.com</w:t>
              </w:r>
            </w:hyperlink>
          </w:p>
          <w:p w14:paraId="724333EF" w14:textId="77777777" w:rsidR="002E179D" w:rsidRPr="002E179D" w:rsidRDefault="002E179D" w:rsidP="002E179D">
            <w:pPr>
              <w:pStyle w:val="BodyText"/>
              <w:spacing w:line="240" w:lineRule="auto"/>
              <w:rPr>
                <w:rFonts w:ascii="Arial" w:hAnsi="Arial" w:cs="Arial"/>
                <w:sz w:val="24"/>
                <w:szCs w:val="24"/>
              </w:rPr>
            </w:pPr>
          </w:p>
          <w:p w14:paraId="172C5914" w14:textId="77777777" w:rsidR="002E179D" w:rsidRPr="002E179D" w:rsidRDefault="002E179D" w:rsidP="002E179D">
            <w:pPr>
              <w:pStyle w:val="BodyText"/>
              <w:spacing w:line="240" w:lineRule="auto"/>
              <w:rPr>
                <w:rFonts w:ascii="Arial" w:hAnsi="Arial" w:cs="Arial"/>
                <w:bCs/>
                <w:sz w:val="24"/>
                <w:szCs w:val="24"/>
              </w:rPr>
            </w:pPr>
          </w:p>
        </w:tc>
      </w:tr>
    </w:tbl>
    <w:p w14:paraId="3F756A12" w14:textId="77777777" w:rsidR="00A4060F" w:rsidRPr="00A4060F" w:rsidRDefault="00A4060F" w:rsidP="00A4060F">
      <w:pPr>
        <w:spacing w:line="480" w:lineRule="auto"/>
        <w:jc w:val="both"/>
        <w:rPr>
          <w:rFonts w:ascii="Arial" w:hAnsi="Arial" w:cs="Arial"/>
          <w:b/>
          <w:sz w:val="24"/>
          <w:szCs w:val="24"/>
        </w:rPr>
      </w:pPr>
    </w:p>
    <w:p w14:paraId="16731DBE" w14:textId="15EC1312" w:rsidR="00700B44" w:rsidRDefault="002E179D" w:rsidP="002E179D">
      <w:pPr>
        <w:ind w:left="5040" w:firstLine="720"/>
      </w:pPr>
      <w:r w:rsidRPr="002E179D">
        <w:rPr>
          <w:rFonts w:ascii="Arial" w:hAnsi="Arial" w:cs="Arial"/>
          <w:sz w:val="24"/>
          <w:szCs w:val="24"/>
          <w:u w:val="single"/>
        </w:rPr>
        <w:t>/s/ Matthew White</w:t>
      </w:r>
      <w:r w:rsidRPr="002E179D">
        <w:rPr>
          <w:rFonts w:ascii="Arial" w:hAnsi="Arial" w:cs="Arial"/>
          <w:sz w:val="24"/>
          <w:szCs w:val="24"/>
          <w:u w:val="single"/>
        </w:rPr>
        <w:tab/>
      </w:r>
    </w:p>
    <w:sectPr w:rsidR="00700B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DC39A" w14:textId="77777777" w:rsidR="00023C95" w:rsidRDefault="00023C95" w:rsidP="00A4060F">
      <w:pPr>
        <w:spacing w:after="0" w:line="240" w:lineRule="auto"/>
      </w:pPr>
      <w:r>
        <w:separator/>
      </w:r>
    </w:p>
  </w:endnote>
  <w:endnote w:type="continuationSeparator" w:id="0">
    <w:p w14:paraId="2BC3AF80" w14:textId="77777777" w:rsidR="00023C95" w:rsidRDefault="00023C95" w:rsidP="00A4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659985"/>
      <w:docPartObj>
        <w:docPartGallery w:val="Page Numbers (Bottom of Page)"/>
        <w:docPartUnique/>
      </w:docPartObj>
    </w:sdtPr>
    <w:sdtEndPr>
      <w:rPr>
        <w:noProof/>
      </w:rPr>
    </w:sdtEndPr>
    <w:sdtContent>
      <w:p w14:paraId="1A26686A" w14:textId="77777777" w:rsidR="00023C95" w:rsidRDefault="00023C95">
        <w:pPr>
          <w:pStyle w:val="Footer"/>
          <w:jc w:val="center"/>
        </w:pPr>
        <w:r>
          <w:fldChar w:fldCharType="begin"/>
        </w:r>
        <w:r>
          <w:instrText xml:space="preserve"> PAGE   \* MERGEFORMAT </w:instrText>
        </w:r>
        <w:r>
          <w:fldChar w:fldCharType="separate"/>
        </w:r>
        <w:r w:rsidR="000F4EE5">
          <w:rPr>
            <w:noProof/>
          </w:rPr>
          <w:t>1</w:t>
        </w:r>
        <w:r>
          <w:rPr>
            <w:noProof/>
          </w:rPr>
          <w:fldChar w:fldCharType="end"/>
        </w:r>
      </w:p>
    </w:sdtContent>
  </w:sdt>
  <w:p w14:paraId="4E805EA8" w14:textId="77777777" w:rsidR="00023C95" w:rsidRDefault="00023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78510" w14:textId="77777777" w:rsidR="00023C95" w:rsidRDefault="00023C95" w:rsidP="00A4060F">
      <w:pPr>
        <w:spacing w:after="0" w:line="240" w:lineRule="auto"/>
      </w:pPr>
      <w:r>
        <w:separator/>
      </w:r>
    </w:p>
  </w:footnote>
  <w:footnote w:type="continuationSeparator" w:id="0">
    <w:p w14:paraId="054114A1" w14:textId="77777777" w:rsidR="00023C95" w:rsidRDefault="00023C95" w:rsidP="00A4060F">
      <w:pPr>
        <w:spacing w:after="0" w:line="240" w:lineRule="auto"/>
      </w:pPr>
      <w:r>
        <w:continuationSeparator/>
      </w:r>
    </w:p>
  </w:footnote>
  <w:footnote w:id="1">
    <w:p w14:paraId="0C7EC35A" w14:textId="0C1C1A68" w:rsidR="00023C95" w:rsidRPr="00D81358" w:rsidRDefault="00023C95">
      <w:pPr>
        <w:pStyle w:val="FootnoteText"/>
      </w:pPr>
      <w:r w:rsidRPr="00D81358">
        <w:rPr>
          <w:rStyle w:val="FootnoteReference"/>
        </w:rPr>
        <w:footnoteRef/>
      </w:r>
      <w:r w:rsidRPr="00D81358">
        <w:t xml:space="preserve"> </w:t>
      </w:r>
      <w:r w:rsidR="0083289D" w:rsidRPr="0083289D">
        <w:rPr>
          <w:rFonts w:cs="Arial"/>
        </w:rPr>
        <w:t xml:space="preserve">PUCO Case No. 11-346-EL-SSO, </w:t>
      </w:r>
      <w:r w:rsidR="0083289D" w:rsidRPr="0083289D">
        <w:rPr>
          <w:rFonts w:cs="Arial"/>
          <w:color w:val="232323"/>
        </w:rPr>
        <w:t>Direct Testimony of Vincent Parisi</w:t>
      </w:r>
      <w:r w:rsidR="0083289D" w:rsidRPr="0083289D">
        <w:rPr>
          <w:rStyle w:val="apple-converted-space"/>
          <w:rFonts w:cs="Arial"/>
          <w:color w:val="232323"/>
        </w:rPr>
        <w:t> (May 4, 2012) at 21-24.</w:t>
      </w:r>
    </w:p>
  </w:footnote>
  <w:footnote w:id="2">
    <w:p w14:paraId="7618FFC0" w14:textId="14EECD87" w:rsidR="00023C95" w:rsidRDefault="00023C95">
      <w:pPr>
        <w:pStyle w:val="FootnoteText"/>
      </w:pPr>
      <w:r w:rsidRPr="00D81358">
        <w:rPr>
          <w:rStyle w:val="FootnoteReference"/>
        </w:rPr>
        <w:footnoteRef/>
      </w:r>
      <w:r w:rsidRPr="00D81358">
        <w:t xml:space="preserve"> </w:t>
      </w:r>
      <w:r>
        <w:t>W</w:t>
      </w:r>
      <w:r w:rsidRPr="00D81358">
        <w:t xml:space="preserve">hen IGS </w:t>
      </w:r>
      <w:r>
        <w:t>refers</w:t>
      </w:r>
      <w:r w:rsidRPr="00D81358">
        <w:t xml:space="preserve"> to AEP’s SSO rate in this proceeding, IGS is referring to the charges that are bypassble to shopping customers, and does not include non-bypassable charges that must be paid for by all</w:t>
      </w:r>
      <w:r>
        <w:t xml:space="preserve"> AEP distribution</w:t>
      </w:r>
      <w:r w:rsidRPr="00D81358">
        <w:t xml:space="preserve"> customers. </w:t>
      </w:r>
      <w:r w:rsidRPr="00D81358">
        <w:rPr>
          <w:rFonts w:cs="Arial"/>
        </w:rPr>
        <w:t>In accordance with AEP ESP Order, AEP’s current SSO rate consists of four components: AEP’s base generation rates which are frozen throughout the ESP period;</w:t>
      </w:r>
      <w:r w:rsidRPr="00D81358">
        <w:rPr>
          <w:rStyle w:val="FootnoteReference"/>
          <w:rFonts w:cs="Arial"/>
        </w:rPr>
        <w:t xml:space="preserve"> </w:t>
      </w:r>
      <w:r w:rsidRPr="00D81358">
        <w:rPr>
          <w:rFonts w:cs="Arial"/>
        </w:rPr>
        <w:t>a fuel adjustment clause (“Rider FAC”) which encompasses the variable costs to provide energy to SSO customers;</w:t>
      </w:r>
      <w:r w:rsidRPr="00D81358">
        <w:rPr>
          <w:rStyle w:val="FootnoteReference"/>
          <w:rFonts w:cs="Arial"/>
        </w:rPr>
        <w:t xml:space="preserve"> </w:t>
      </w:r>
      <w:r w:rsidRPr="00D81358">
        <w:rPr>
          <w:rFonts w:cs="Arial"/>
        </w:rPr>
        <w:t>an alternative energy rider (“Rider AER”); and a transmission cost recovery rider (“Rider TCRR”)</w:t>
      </w:r>
      <w:r>
        <w:rPr>
          <w:rFonts w:cs="Arial"/>
        </w:rPr>
        <w:t>.</w:t>
      </w:r>
      <w:r>
        <w:rPr>
          <w:rFonts w:ascii="Arial" w:hAnsi="Arial" w:cs="Arial"/>
          <w:sz w:val="24"/>
          <w:szCs w:val="24"/>
        </w:rPr>
        <w:t xml:space="preserve">   </w:t>
      </w:r>
    </w:p>
  </w:footnote>
  <w:footnote w:id="3">
    <w:p w14:paraId="38186176" w14:textId="77777777" w:rsidR="00023C95" w:rsidRDefault="00023C95">
      <w:pPr>
        <w:pStyle w:val="FootnoteText"/>
      </w:pPr>
      <w:r>
        <w:rPr>
          <w:rStyle w:val="FootnoteReference"/>
        </w:rPr>
        <w:footnoteRef/>
      </w:r>
      <w:r>
        <w:t xml:space="preserve"> AEP ESP Order at 38-40.</w:t>
      </w:r>
    </w:p>
  </w:footnote>
  <w:footnote w:id="4">
    <w:p w14:paraId="1A5FB753" w14:textId="284F70F6" w:rsidR="00023C95" w:rsidRDefault="00023C95">
      <w:pPr>
        <w:pStyle w:val="FootnoteText"/>
      </w:pPr>
      <w:r>
        <w:rPr>
          <w:rStyle w:val="FootnoteReference"/>
        </w:rPr>
        <w:footnoteRef/>
      </w:r>
      <w:r>
        <w:t xml:space="preserve"> Id. at 50-52</w:t>
      </w:r>
    </w:p>
  </w:footnote>
  <w:footnote w:id="5">
    <w:p w14:paraId="65089B41" w14:textId="77777777" w:rsidR="00023C95" w:rsidRDefault="00023C95">
      <w:pPr>
        <w:pStyle w:val="FootnoteText"/>
      </w:pPr>
      <w:r>
        <w:rPr>
          <w:rStyle w:val="FootnoteReference"/>
        </w:rPr>
        <w:footnoteRef/>
      </w:r>
      <w:r>
        <w:t xml:space="preserve"> While the majority of the AEP deferral will be recovered from AEP customers after the ESP period,  $1.00 per MWH recovered through the Commission approved Rider RSR is currently being applied towards paying down the AEP deferral.  Id at 36. </w:t>
      </w:r>
    </w:p>
  </w:footnote>
  <w:footnote w:id="6">
    <w:p w14:paraId="1638FDFC" w14:textId="77777777" w:rsidR="00023C95" w:rsidRDefault="00023C95">
      <w:pPr>
        <w:pStyle w:val="FootnoteText"/>
      </w:pPr>
      <w:r>
        <w:rPr>
          <w:rStyle w:val="FootnoteReference"/>
        </w:rPr>
        <w:footnoteRef/>
      </w:r>
      <w:r>
        <w:t xml:space="preserve"> Direct Testimony of Vincent Parisi, at 21-24 (May 4, 2013); PUCO Case No. 11-0346-EL-SSO.</w:t>
      </w:r>
    </w:p>
  </w:footnote>
  <w:footnote w:id="7">
    <w:p w14:paraId="23745935" w14:textId="77777777" w:rsidR="00023C95" w:rsidRDefault="00023C95">
      <w:pPr>
        <w:pStyle w:val="FootnoteText"/>
      </w:pPr>
      <w:r>
        <w:rPr>
          <w:rStyle w:val="FootnoteReference"/>
        </w:rPr>
        <w:footnoteRef/>
      </w:r>
      <w:r>
        <w:t xml:space="preserve"> Id.</w:t>
      </w:r>
    </w:p>
  </w:footnote>
  <w:footnote w:id="8">
    <w:p w14:paraId="20DC1199" w14:textId="77777777" w:rsidR="00ED6640" w:rsidRDefault="00ED6640" w:rsidP="00ED6640">
      <w:pPr>
        <w:pStyle w:val="FootnoteText"/>
      </w:pPr>
      <w:r>
        <w:rPr>
          <w:rStyle w:val="FootnoteReference"/>
        </w:rPr>
        <w:footnoteRef/>
      </w:r>
      <w:r>
        <w:t xml:space="preserve"> FirstEnergy Ohio and Duke Energy Ohio have both divested their electric generation assets.  AEP Ohio was ordered to divest all of its electric generation assets in the AEP ESP Case.  Dayton Power and Light (“DP&amp;L”) has filed an ESP application at the Commission requesting permission to divest all of its electric generation assets.  DP&amp;L application is currently under review but IGS expects that DP&amp;L’s request to divest its generation assets will also be approved given the Commission’s approval of divestiture for other Ohio utilities.</w:t>
      </w:r>
    </w:p>
  </w:footnote>
  <w:footnote w:id="9">
    <w:p w14:paraId="359BD6AD" w14:textId="77777777" w:rsidR="00ED6640" w:rsidRDefault="00ED6640" w:rsidP="00ED6640">
      <w:pPr>
        <w:pStyle w:val="FootnoteText"/>
      </w:pPr>
      <w:r>
        <w:rPr>
          <w:rStyle w:val="FootnoteReference"/>
        </w:rPr>
        <w:footnoteRef/>
      </w:r>
      <w:r>
        <w:t xml:space="preserve"> See AEP ESP Order.</w:t>
      </w:r>
    </w:p>
  </w:footnote>
  <w:footnote w:id="10">
    <w:p w14:paraId="418F039F" w14:textId="6B2ED3F7" w:rsidR="00023C95" w:rsidRDefault="00023C95">
      <w:pPr>
        <w:pStyle w:val="FootnoteText"/>
      </w:pPr>
      <w:r w:rsidRPr="008312D5">
        <w:rPr>
          <w:rStyle w:val="FootnoteReference"/>
        </w:rPr>
        <w:footnoteRef/>
      </w:r>
      <w:r w:rsidRPr="008312D5">
        <w:rPr>
          <w:rFonts w:cs="Arial"/>
        </w:rPr>
        <w:t>Under the current SSO model all new customers are assigned to the EDU SSO generation product immediately upon enrollment for electric distribution service and must remain on the SSO product</w:t>
      </w:r>
      <w:r w:rsidR="00DB32B9">
        <w:rPr>
          <w:rFonts w:cs="Arial"/>
        </w:rPr>
        <w:t xml:space="preserve"> for a minimum period of time.  Further</w:t>
      </w:r>
      <w:r w:rsidR="007564BC">
        <w:rPr>
          <w:rFonts w:cs="Arial"/>
        </w:rPr>
        <w:t>,</w:t>
      </w:r>
      <w:r w:rsidR="00DB32B9">
        <w:rPr>
          <w:rFonts w:cs="Arial"/>
        </w:rPr>
        <w:t xml:space="preserve"> customers remain on the SSO indefinitely</w:t>
      </w:r>
      <w:r w:rsidRPr="008312D5">
        <w:rPr>
          <w:rFonts w:cs="Arial"/>
        </w:rPr>
        <w:t xml:space="preserve"> until and unless they affirmatively choose to leave SSO service.  Customer inertia, status quo bias</w:t>
      </w:r>
      <w:r>
        <w:rPr>
          <w:rFonts w:cs="Arial"/>
        </w:rPr>
        <w:t>,</w:t>
      </w:r>
      <w:r w:rsidRPr="008312D5">
        <w:rPr>
          <w:rFonts w:cs="Arial"/>
        </w:rPr>
        <w:t xml:space="preserve"> and myriad other factors cause many customers to remain on the SSO, not out of an affirmative choice, but simply because that is the product that they were assigned</w:t>
      </w:r>
      <w:r w:rsidR="00DB32B9">
        <w:rPr>
          <w:rFonts w:ascii="Arial" w:hAnsi="Arial" w:cs="Arial"/>
          <w:sz w:val="24"/>
          <w:szCs w:val="24"/>
        </w:rPr>
        <w:t>.</w:t>
      </w:r>
    </w:p>
  </w:footnote>
  <w:footnote w:id="11">
    <w:p w14:paraId="268ABB89" w14:textId="601C4E88" w:rsidR="00023C95" w:rsidRPr="00217B95" w:rsidRDefault="00023C95">
      <w:pPr>
        <w:pStyle w:val="FootnoteText"/>
        <w:rPr>
          <w:rFonts w:ascii="Arial" w:hAnsi="Arial" w:cs="Arial"/>
        </w:rPr>
      </w:pPr>
      <w:r w:rsidRPr="00217B95">
        <w:rPr>
          <w:rStyle w:val="FootnoteReference"/>
          <w:rFonts w:ascii="Arial" w:hAnsi="Arial" w:cs="Arial"/>
        </w:rPr>
        <w:footnoteRef/>
      </w:r>
      <w:r w:rsidRPr="00217B95">
        <w:rPr>
          <w:rFonts w:ascii="Arial" w:hAnsi="Arial" w:cs="Arial"/>
        </w:rPr>
        <w:t xml:space="preserve"> </w:t>
      </w:r>
      <w:r>
        <w:rPr>
          <w:rFonts w:ascii="Arial" w:hAnsi="Arial" w:cs="Arial"/>
        </w:rPr>
        <w:t xml:space="preserve">And this, of course, does not account for electric </w:t>
      </w:r>
      <w:r w:rsidRPr="00217B95">
        <w:rPr>
          <w:rFonts w:ascii="Arial" w:hAnsi="Arial" w:cs="Arial"/>
        </w:rPr>
        <w:t xml:space="preserve">products that have </w:t>
      </w:r>
      <w:r>
        <w:rPr>
          <w:rFonts w:ascii="Arial" w:hAnsi="Arial" w:cs="Arial"/>
        </w:rPr>
        <w:t xml:space="preserve">not </w:t>
      </w:r>
      <w:r w:rsidRPr="00217B95">
        <w:rPr>
          <w:rFonts w:ascii="Arial" w:hAnsi="Arial" w:cs="Arial"/>
        </w:rPr>
        <w:t xml:space="preserve">yet </w:t>
      </w:r>
      <w:r>
        <w:rPr>
          <w:rFonts w:ascii="Arial" w:hAnsi="Arial" w:cs="Arial"/>
        </w:rPr>
        <w:t xml:space="preserve">been </w:t>
      </w:r>
      <w:r w:rsidRPr="00217B95">
        <w:rPr>
          <w:rFonts w:ascii="Arial" w:hAnsi="Arial" w:cs="Arial"/>
        </w:rPr>
        <w:t xml:space="preserve">imagined, but </w:t>
      </w:r>
      <w:r>
        <w:rPr>
          <w:rFonts w:ascii="Arial" w:hAnsi="Arial" w:cs="Arial"/>
        </w:rPr>
        <w:t xml:space="preserve">could </w:t>
      </w:r>
      <w:r w:rsidRPr="00217B95">
        <w:rPr>
          <w:rFonts w:ascii="Arial" w:hAnsi="Arial" w:cs="Arial"/>
        </w:rPr>
        <w:t xml:space="preserve">one day </w:t>
      </w:r>
      <w:r w:rsidR="00F5133A">
        <w:rPr>
          <w:rFonts w:ascii="Arial" w:hAnsi="Arial" w:cs="Arial"/>
        </w:rPr>
        <w:t>dramatically change</w:t>
      </w:r>
      <w:r w:rsidRPr="00217B95">
        <w:rPr>
          <w:rFonts w:ascii="Arial" w:hAnsi="Arial" w:cs="Arial"/>
        </w:rPr>
        <w:t xml:space="preserve"> the way </w:t>
      </w:r>
      <w:r>
        <w:rPr>
          <w:rFonts w:ascii="Arial" w:hAnsi="Arial" w:cs="Arial"/>
        </w:rPr>
        <w:t>customers use electricity</w:t>
      </w:r>
      <w:r w:rsidR="00F5133A">
        <w:rPr>
          <w:rFonts w:ascii="Arial" w:hAnsi="Arial" w:cs="Arial"/>
        </w:rPr>
        <w:t xml:space="preserve"> for the better</w:t>
      </w:r>
      <w:r w:rsidRPr="00217B95">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788"/>
    <w:multiLevelType w:val="hybridMultilevel"/>
    <w:tmpl w:val="A3686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91242"/>
    <w:multiLevelType w:val="hybridMultilevel"/>
    <w:tmpl w:val="41F6E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E24FA"/>
    <w:multiLevelType w:val="hybridMultilevel"/>
    <w:tmpl w:val="27FC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04B8B"/>
    <w:multiLevelType w:val="hybridMultilevel"/>
    <w:tmpl w:val="FC7E288E"/>
    <w:lvl w:ilvl="0" w:tplc="67908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40780"/>
    <w:multiLevelType w:val="hybridMultilevel"/>
    <w:tmpl w:val="B1CC7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E34E9"/>
    <w:multiLevelType w:val="hybridMultilevel"/>
    <w:tmpl w:val="8D9AB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07017"/>
    <w:multiLevelType w:val="hybridMultilevel"/>
    <w:tmpl w:val="93B2B210"/>
    <w:lvl w:ilvl="0" w:tplc="B574C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7F51EA"/>
    <w:multiLevelType w:val="hybridMultilevel"/>
    <w:tmpl w:val="A3707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D842DC"/>
    <w:multiLevelType w:val="hybridMultilevel"/>
    <w:tmpl w:val="8558F290"/>
    <w:lvl w:ilvl="0" w:tplc="28C8E9D4">
      <w:start w:val="1"/>
      <w:numFmt w:val="upperRoman"/>
      <w:lvlText w:val="%1."/>
      <w:lvlJc w:val="left"/>
      <w:pPr>
        <w:ind w:left="1080" w:hanging="720"/>
      </w:pPr>
      <w:rPr>
        <w:rFonts w:hint="default"/>
      </w:rPr>
    </w:lvl>
    <w:lvl w:ilvl="1" w:tplc="EDE64F56">
      <w:start w:val="1"/>
      <w:numFmt w:val="lowerLetter"/>
      <w:lvlText w:val="%2."/>
      <w:lvlJc w:val="left"/>
      <w:pPr>
        <w:ind w:left="1440" w:hanging="360"/>
      </w:pPr>
    </w:lvl>
    <w:lvl w:ilvl="2" w:tplc="11AE8AAA">
      <w:start w:val="1"/>
      <w:numFmt w:val="lowerRoman"/>
      <w:lvlText w:val="%3."/>
      <w:lvlJc w:val="right"/>
      <w:pPr>
        <w:ind w:left="2160" w:hanging="180"/>
      </w:pPr>
    </w:lvl>
    <w:lvl w:ilvl="3" w:tplc="1A7A0E12">
      <w:start w:val="1"/>
      <w:numFmt w:val="decimal"/>
      <w:lvlText w:val="%4."/>
      <w:lvlJc w:val="left"/>
      <w:pPr>
        <w:ind w:left="2880" w:hanging="360"/>
      </w:pPr>
    </w:lvl>
    <w:lvl w:ilvl="4" w:tplc="2A520354">
      <w:start w:val="1"/>
      <w:numFmt w:val="lowerLetter"/>
      <w:lvlText w:val="%5."/>
      <w:lvlJc w:val="left"/>
      <w:pPr>
        <w:ind w:left="3600" w:hanging="360"/>
      </w:pPr>
    </w:lvl>
    <w:lvl w:ilvl="5" w:tplc="11B8308E">
      <w:start w:val="1"/>
      <w:numFmt w:val="lowerRoman"/>
      <w:lvlText w:val="%6."/>
      <w:lvlJc w:val="right"/>
      <w:pPr>
        <w:ind w:left="4320" w:hanging="180"/>
      </w:pPr>
    </w:lvl>
    <w:lvl w:ilvl="6" w:tplc="0FE88B60">
      <w:start w:val="1"/>
      <w:numFmt w:val="decimal"/>
      <w:lvlText w:val="%7."/>
      <w:lvlJc w:val="left"/>
      <w:pPr>
        <w:ind w:left="5040" w:hanging="360"/>
      </w:pPr>
    </w:lvl>
    <w:lvl w:ilvl="7" w:tplc="7F1A8266">
      <w:start w:val="1"/>
      <w:numFmt w:val="lowerLetter"/>
      <w:lvlText w:val="%8."/>
      <w:lvlJc w:val="left"/>
      <w:pPr>
        <w:ind w:left="5760" w:hanging="360"/>
      </w:pPr>
    </w:lvl>
    <w:lvl w:ilvl="8" w:tplc="E05852FE">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0C"/>
    <w:rsid w:val="00023C95"/>
    <w:rsid w:val="0007381D"/>
    <w:rsid w:val="00086EFB"/>
    <w:rsid w:val="00093567"/>
    <w:rsid w:val="000A3869"/>
    <w:rsid w:val="000C4A92"/>
    <w:rsid w:val="000F4EE5"/>
    <w:rsid w:val="0010784F"/>
    <w:rsid w:val="00107E88"/>
    <w:rsid w:val="00121CF4"/>
    <w:rsid w:val="0013541D"/>
    <w:rsid w:val="0016189F"/>
    <w:rsid w:val="00175538"/>
    <w:rsid w:val="00182291"/>
    <w:rsid w:val="0018700C"/>
    <w:rsid w:val="00194786"/>
    <w:rsid w:val="001A3EB2"/>
    <w:rsid w:val="001A4977"/>
    <w:rsid w:val="00200A81"/>
    <w:rsid w:val="00201481"/>
    <w:rsid w:val="0021395E"/>
    <w:rsid w:val="00217B95"/>
    <w:rsid w:val="00251EDC"/>
    <w:rsid w:val="00265976"/>
    <w:rsid w:val="002717E1"/>
    <w:rsid w:val="002A133E"/>
    <w:rsid w:val="002A77F8"/>
    <w:rsid w:val="002B50F5"/>
    <w:rsid w:val="002E179D"/>
    <w:rsid w:val="002E79A3"/>
    <w:rsid w:val="00300F60"/>
    <w:rsid w:val="00306D5A"/>
    <w:rsid w:val="00320263"/>
    <w:rsid w:val="003736C5"/>
    <w:rsid w:val="00390E9A"/>
    <w:rsid w:val="003A499F"/>
    <w:rsid w:val="003B0374"/>
    <w:rsid w:val="003E6F03"/>
    <w:rsid w:val="003F2C4D"/>
    <w:rsid w:val="00401DCF"/>
    <w:rsid w:val="00436187"/>
    <w:rsid w:val="00456777"/>
    <w:rsid w:val="00462C49"/>
    <w:rsid w:val="00490D35"/>
    <w:rsid w:val="0049628F"/>
    <w:rsid w:val="004A7594"/>
    <w:rsid w:val="004C170B"/>
    <w:rsid w:val="004C2A94"/>
    <w:rsid w:val="004E2208"/>
    <w:rsid w:val="004E5E07"/>
    <w:rsid w:val="00521673"/>
    <w:rsid w:val="00540B7E"/>
    <w:rsid w:val="00567CC2"/>
    <w:rsid w:val="005772F5"/>
    <w:rsid w:val="005965A2"/>
    <w:rsid w:val="005D033A"/>
    <w:rsid w:val="005E789A"/>
    <w:rsid w:val="005F27B8"/>
    <w:rsid w:val="005F5B06"/>
    <w:rsid w:val="00604ABF"/>
    <w:rsid w:val="00616313"/>
    <w:rsid w:val="00620908"/>
    <w:rsid w:val="00623089"/>
    <w:rsid w:val="00650672"/>
    <w:rsid w:val="006515F3"/>
    <w:rsid w:val="00671C65"/>
    <w:rsid w:val="00681E68"/>
    <w:rsid w:val="006B7464"/>
    <w:rsid w:val="00700B44"/>
    <w:rsid w:val="007040A8"/>
    <w:rsid w:val="00717A93"/>
    <w:rsid w:val="00720F5E"/>
    <w:rsid w:val="00724CA7"/>
    <w:rsid w:val="007564BC"/>
    <w:rsid w:val="00787630"/>
    <w:rsid w:val="007B1C33"/>
    <w:rsid w:val="007B2432"/>
    <w:rsid w:val="00800737"/>
    <w:rsid w:val="00806D44"/>
    <w:rsid w:val="00821387"/>
    <w:rsid w:val="008213A1"/>
    <w:rsid w:val="00822D7A"/>
    <w:rsid w:val="008312D5"/>
    <w:rsid w:val="00831492"/>
    <w:rsid w:val="00831FE0"/>
    <w:rsid w:val="0083289D"/>
    <w:rsid w:val="00860436"/>
    <w:rsid w:val="008627C9"/>
    <w:rsid w:val="008803D7"/>
    <w:rsid w:val="00881CBF"/>
    <w:rsid w:val="008A7890"/>
    <w:rsid w:val="008B5D58"/>
    <w:rsid w:val="008D23C7"/>
    <w:rsid w:val="008F08C4"/>
    <w:rsid w:val="009201F9"/>
    <w:rsid w:val="00935793"/>
    <w:rsid w:val="00936C30"/>
    <w:rsid w:val="00944149"/>
    <w:rsid w:val="00944805"/>
    <w:rsid w:val="0094708B"/>
    <w:rsid w:val="0095649E"/>
    <w:rsid w:val="0095731D"/>
    <w:rsid w:val="009638E9"/>
    <w:rsid w:val="00967216"/>
    <w:rsid w:val="00972FB9"/>
    <w:rsid w:val="009758CB"/>
    <w:rsid w:val="00982F1D"/>
    <w:rsid w:val="00983B86"/>
    <w:rsid w:val="009C4E6C"/>
    <w:rsid w:val="009D730A"/>
    <w:rsid w:val="00A3029F"/>
    <w:rsid w:val="00A3221D"/>
    <w:rsid w:val="00A40067"/>
    <w:rsid w:val="00A4060F"/>
    <w:rsid w:val="00A422A5"/>
    <w:rsid w:val="00A44463"/>
    <w:rsid w:val="00A648BD"/>
    <w:rsid w:val="00AC57FD"/>
    <w:rsid w:val="00AE3784"/>
    <w:rsid w:val="00AF31B7"/>
    <w:rsid w:val="00AF7BF7"/>
    <w:rsid w:val="00B2128B"/>
    <w:rsid w:val="00B26C60"/>
    <w:rsid w:val="00B2742E"/>
    <w:rsid w:val="00B503D4"/>
    <w:rsid w:val="00B56A21"/>
    <w:rsid w:val="00B80CA3"/>
    <w:rsid w:val="00BA4783"/>
    <w:rsid w:val="00BC1295"/>
    <w:rsid w:val="00BC1694"/>
    <w:rsid w:val="00BE2D65"/>
    <w:rsid w:val="00BE6A48"/>
    <w:rsid w:val="00BF60FE"/>
    <w:rsid w:val="00BF6FAF"/>
    <w:rsid w:val="00C028C0"/>
    <w:rsid w:val="00C22603"/>
    <w:rsid w:val="00C35444"/>
    <w:rsid w:val="00C54EB0"/>
    <w:rsid w:val="00CA5A1B"/>
    <w:rsid w:val="00CA5AE3"/>
    <w:rsid w:val="00CC4743"/>
    <w:rsid w:val="00CD2E9F"/>
    <w:rsid w:val="00D02947"/>
    <w:rsid w:val="00D41752"/>
    <w:rsid w:val="00D62EA5"/>
    <w:rsid w:val="00D65445"/>
    <w:rsid w:val="00D669C4"/>
    <w:rsid w:val="00D67E9F"/>
    <w:rsid w:val="00D73B2E"/>
    <w:rsid w:val="00D81358"/>
    <w:rsid w:val="00D81CDB"/>
    <w:rsid w:val="00D846EA"/>
    <w:rsid w:val="00D87457"/>
    <w:rsid w:val="00DB0013"/>
    <w:rsid w:val="00DB32B9"/>
    <w:rsid w:val="00DC24F8"/>
    <w:rsid w:val="00DF2C90"/>
    <w:rsid w:val="00DF35BF"/>
    <w:rsid w:val="00E44673"/>
    <w:rsid w:val="00E44C2E"/>
    <w:rsid w:val="00E453AC"/>
    <w:rsid w:val="00E6329E"/>
    <w:rsid w:val="00E63590"/>
    <w:rsid w:val="00E87CC1"/>
    <w:rsid w:val="00EB6740"/>
    <w:rsid w:val="00ED2F19"/>
    <w:rsid w:val="00ED6640"/>
    <w:rsid w:val="00EF4AC6"/>
    <w:rsid w:val="00F10932"/>
    <w:rsid w:val="00F36F51"/>
    <w:rsid w:val="00F5133A"/>
    <w:rsid w:val="00F62397"/>
    <w:rsid w:val="00F734B9"/>
    <w:rsid w:val="00F81600"/>
    <w:rsid w:val="00FA5834"/>
    <w:rsid w:val="00FC2F0D"/>
    <w:rsid w:val="00FD78F8"/>
    <w:rsid w:val="00FE40DB"/>
    <w:rsid w:val="00FF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B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00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8700C"/>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18700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8700C"/>
    <w:rPr>
      <w:rFonts w:eastAsiaTheme="minorEastAsia"/>
    </w:rPr>
  </w:style>
  <w:style w:type="paragraph" w:styleId="ListParagraph">
    <w:name w:val="List Paragraph"/>
    <w:basedOn w:val="Normal"/>
    <w:uiPriority w:val="34"/>
    <w:qFormat/>
    <w:rsid w:val="0018700C"/>
    <w:pPr>
      <w:ind w:left="720"/>
      <w:contextualSpacing/>
    </w:pPr>
  </w:style>
  <w:style w:type="paragraph" w:styleId="FootnoteText">
    <w:name w:val="footnote text"/>
    <w:basedOn w:val="Normal"/>
    <w:link w:val="FootnoteTextChar"/>
    <w:uiPriority w:val="99"/>
    <w:semiHidden/>
    <w:unhideWhenUsed/>
    <w:rsid w:val="00A40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60F"/>
    <w:rPr>
      <w:sz w:val="20"/>
      <w:szCs w:val="20"/>
    </w:rPr>
  </w:style>
  <w:style w:type="character" w:styleId="FootnoteReference">
    <w:name w:val="footnote reference"/>
    <w:basedOn w:val="DefaultParagraphFont"/>
    <w:uiPriority w:val="99"/>
    <w:semiHidden/>
    <w:unhideWhenUsed/>
    <w:rsid w:val="00A4060F"/>
    <w:rPr>
      <w:vertAlign w:val="superscript"/>
    </w:rPr>
  </w:style>
  <w:style w:type="character" w:styleId="Hyperlink">
    <w:name w:val="Hyperlink"/>
    <w:basedOn w:val="DefaultParagraphFont"/>
    <w:unhideWhenUsed/>
    <w:rsid w:val="00086EFB"/>
    <w:rPr>
      <w:color w:val="0000FF"/>
      <w:u w:val="single"/>
    </w:rPr>
  </w:style>
  <w:style w:type="paragraph" w:styleId="Header">
    <w:name w:val="header"/>
    <w:basedOn w:val="Normal"/>
    <w:link w:val="HeaderChar"/>
    <w:uiPriority w:val="99"/>
    <w:unhideWhenUsed/>
    <w:rsid w:val="00C3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44"/>
  </w:style>
  <w:style w:type="paragraph" w:styleId="BalloonText">
    <w:name w:val="Balloon Text"/>
    <w:basedOn w:val="Normal"/>
    <w:link w:val="BalloonTextChar"/>
    <w:uiPriority w:val="99"/>
    <w:semiHidden/>
    <w:unhideWhenUsed/>
    <w:rsid w:val="0080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44"/>
    <w:rPr>
      <w:rFonts w:ascii="Tahoma" w:hAnsi="Tahoma" w:cs="Tahoma"/>
      <w:sz w:val="16"/>
      <w:szCs w:val="16"/>
    </w:rPr>
  </w:style>
  <w:style w:type="character" w:styleId="CommentReference">
    <w:name w:val="annotation reference"/>
    <w:basedOn w:val="DefaultParagraphFont"/>
    <w:uiPriority w:val="99"/>
    <w:semiHidden/>
    <w:unhideWhenUsed/>
    <w:rsid w:val="00BC1295"/>
    <w:rPr>
      <w:sz w:val="16"/>
      <w:szCs w:val="16"/>
    </w:rPr>
  </w:style>
  <w:style w:type="paragraph" w:styleId="CommentText">
    <w:name w:val="annotation text"/>
    <w:basedOn w:val="Normal"/>
    <w:link w:val="CommentTextChar"/>
    <w:uiPriority w:val="99"/>
    <w:semiHidden/>
    <w:unhideWhenUsed/>
    <w:rsid w:val="00BC1295"/>
    <w:pPr>
      <w:spacing w:line="240" w:lineRule="auto"/>
    </w:pPr>
    <w:rPr>
      <w:sz w:val="20"/>
      <w:szCs w:val="20"/>
    </w:rPr>
  </w:style>
  <w:style w:type="character" w:customStyle="1" w:styleId="CommentTextChar">
    <w:name w:val="Comment Text Char"/>
    <w:basedOn w:val="DefaultParagraphFont"/>
    <w:link w:val="CommentText"/>
    <w:uiPriority w:val="99"/>
    <w:semiHidden/>
    <w:rsid w:val="00BC1295"/>
    <w:rPr>
      <w:sz w:val="20"/>
      <w:szCs w:val="20"/>
    </w:rPr>
  </w:style>
  <w:style w:type="paragraph" w:styleId="CommentSubject">
    <w:name w:val="annotation subject"/>
    <w:basedOn w:val="CommentText"/>
    <w:next w:val="CommentText"/>
    <w:link w:val="CommentSubjectChar"/>
    <w:uiPriority w:val="99"/>
    <w:semiHidden/>
    <w:unhideWhenUsed/>
    <w:rsid w:val="00BC1295"/>
    <w:rPr>
      <w:b/>
      <w:bCs/>
    </w:rPr>
  </w:style>
  <w:style w:type="character" w:customStyle="1" w:styleId="CommentSubjectChar">
    <w:name w:val="Comment Subject Char"/>
    <w:basedOn w:val="CommentTextChar"/>
    <w:link w:val="CommentSubject"/>
    <w:uiPriority w:val="99"/>
    <w:semiHidden/>
    <w:rsid w:val="00BC1295"/>
    <w:rPr>
      <w:b/>
      <w:bCs/>
      <w:sz w:val="20"/>
      <w:szCs w:val="20"/>
    </w:rPr>
  </w:style>
  <w:style w:type="paragraph" w:styleId="Revision">
    <w:name w:val="Revision"/>
    <w:hidden/>
    <w:uiPriority w:val="99"/>
    <w:semiHidden/>
    <w:rsid w:val="00DB0013"/>
    <w:pPr>
      <w:spacing w:after="0" w:line="240" w:lineRule="auto"/>
    </w:pPr>
  </w:style>
  <w:style w:type="character" w:customStyle="1" w:styleId="apple-converted-space">
    <w:name w:val="apple-converted-space"/>
    <w:basedOn w:val="DefaultParagraphFont"/>
    <w:rsid w:val="0083289D"/>
  </w:style>
  <w:style w:type="paragraph" w:styleId="BodyTextIndent">
    <w:name w:val="Body Text Indent"/>
    <w:basedOn w:val="Normal"/>
    <w:link w:val="BodyTextIndentChar"/>
    <w:semiHidden/>
    <w:unhideWhenUsed/>
    <w:rsid w:val="002E179D"/>
    <w:pPr>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2E179D"/>
    <w:rPr>
      <w:rFonts w:ascii="Arial" w:eastAsia="Times New Roman" w:hAnsi="Arial" w:cs="Arial"/>
      <w:sz w:val="24"/>
      <w:szCs w:val="24"/>
    </w:rPr>
  </w:style>
  <w:style w:type="paragraph" w:styleId="BodyText">
    <w:name w:val="Body Text"/>
    <w:basedOn w:val="Normal"/>
    <w:link w:val="BodyTextChar"/>
    <w:uiPriority w:val="99"/>
    <w:semiHidden/>
    <w:unhideWhenUsed/>
    <w:rsid w:val="002E179D"/>
    <w:pPr>
      <w:spacing w:after="120"/>
    </w:pPr>
  </w:style>
  <w:style w:type="character" w:customStyle="1" w:styleId="BodyTextChar">
    <w:name w:val="Body Text Char"/>
    <w:basedOn w:val="DefaultParagraphFont"/>
    <w:link w:val="BodyText"/>
    <w:uiPriority w:val="99"/>
    <w:semiHidden/>
    <w:rsid w:val="002E1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00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8700C"/>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18700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8700C"/>
    <w:rPr>
      <w:rFonts w:eastAsiaTheme="minorEastAsia"/>
    </w:rPr>
  </w:style>
  <w:style w:type="paragraph" w:styleId="ListParagraph">
    <w:name w:val="List Paragraph"/>
    <w:basedOn w:val="Normal"/>
    <w:uiPriority w:val="34"/>
    <w:qFormat/>
    <w:rsid w:val="0018700C"/>
    <w:pPr>
      <w:ind w:left="720"/>
      <w:contextualSpacing/>
    </w:pPr>
  </w:style>
  <w:style w:type="paragraph" w:styleId="FootnoteText">
    <w:name w:val="footnote text"/>
    <w:basedOn w:val="Normal"/>
    <w:link w:val="FootnoteTextChar"/>
    <w:uiPriority w:val="99"/>
    <w:semiHidden/>
    <w:unhideWhenUsed/>
    <w:rsid w:val="00A40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60F"/>
    <w:rPr>
      <w:sz w:val="20"/>
      <w:szCs w:val="20"/>
    </w:rPr>
  </w:style>
  <w:style w:type="character" w:styleId="FootnoteReference">
    <w:name w:val="footnote reference"/>
    <w:basedOn w:val="DefaultParagraphFont"/>
    <w:uiPriority w:val="99"/>
    <w:semiHidden/>
    <w:unhideWhenUsed/>
    <w:rsid w:val="00A4060F"/>
    <w:rPr>
      <w:vertAlign w:val="superscript"/>
    </w:rPr>
  </w:style>
  <w:style w:type="character" w:styleId="Hyperlink">
    <w:name w:val="Hyperlink"/>
    <w:basedOn w:val="DefaultParagraphFont"/>
    <w:unhideWhenUsed/>
    <w:rsid w:val="00086EFB"/>
    <w:rPr>
      <w:color w:val="0000FF"/>
      <w:u w:val="single"/>
    </w:rPr>
  </w:style>
  <w:style w:type="paragraph" w:styleId="Header">
    <w:name w:val="header"/>
    <w:basedOn w:val="Normal"/>
    <w:link w:val="HeaderChar"/>
    <w:uiPriority w:val="99"/>
    <w:unhideWhenUsed/>
    <w:rsid w:val="00C3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44"/>
  </w:style>
  <w:style w:type="paragraph" w:styleId="BalloonText">
    <w:name w:val="Balloon Text"/>
    <w:basedOn w:val="Normal"/>
    <w:link w:val="BalloonTextChar"/>
    <w:uiPriority w:val="99"/>
    <w:semiHidden/>
    <w:unhideWhenUsed/>
    <w:rsid w:val="0080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44"/>
    <w:rPr>
      <w:rFonts w:ascii="Tahoma" w:hAnsi="Tahoma" w:cs="Tahoma"/>
      <w:sz w:val="16"/>
      <w:szCs w:val="16"/>
    </w:rPr>
  </w:style>
  <w:style w:type="character" w:styleId="CommentReference">
    <w:name w:val="annotation reference"/>
    <w:basedOn w:val="DefaultParagraphFont"/>
    <w:uiPriority w:val="99"/>
    <w:semiHidden/>
    <w:unhideWhenUsed/>
    <w:rsid w:val="00BC1295"/>
    <w:rPr>
      <w:sz w:val="16"/>
      <w:szCs w:val="16"/>
    </w:rPr>
  </w:style>
  <w:style w:type="paragraph" w:styleId="CommentText">
    <w:name w:val="annotation text"/>
    <w:basedOn w:val="Normal"/>
    <w:link w:val="CommentTextChar"/>
    <w:uiPriority w:val="99"/>
    <w:semiHidden/>
    <w:unhideWhenUsed/>
    <w:rsid w:val="00BC1295"/>
    <w:pPr>
      <w:spacing w:line="240" w:lineRule="auto"/>
    </w:pPr>
    <w:rPr>
      <w:sz w:val="20"/>
      <w:szCs w:val="20"/>
    </w:rPr>
  </w:style>
  <w:style w:type="character" w:customStyle="1" w:styleId="CommentTextChar">
    <w:name w:val="Comment Text Char"/>
    <w:basedOn w:val="DefaultParagraphFont"/>
    <w:link w:val="CommentText"/>
    <w:uiPriority w:val="99"/>
    <w:semiHidden/>
    <w:rsid w:val="00BC1295"/>
    <w:rPr>
      <w:sz w:val="20"/>
      <w:szCs w:val="20"/>
    </w:rPr>
  </w:style>
  <w:style w:type="paragraph" w:styleId="CommentSubject">
    <w:name w:val="annotation subject"/>
    <w:basedOn w:val="CommentText"/>
    <w:next w:val="CommentText"/>
    <w:link w:val="CommentSubjectChar"/>
    <w:uiPriority w:val="99"/>
    <w:semiHidden/>
    <w:unhideWhenUsed/>
    <w:rsid w:val="00BC1295"/>
    <w:rPr>
      <w:b/>
      <w:bCs/>
    </w:rPr>
  </w:style>
  <w:style w:type="character" w:customStyle="1" w:styleId="CommentSubjectChar">
    <w:name w:val="Comment Subject Char"/>
    <w:basedOn w:val="CommentTextChar"/>
    <w:link w:val="CommentSubject"/>
    <w:uiPriority w:val="99"/>
    <w:semiHidden/>
    <w:rsid w:val="00BC1295"/>
    <w:rPr>
      <w:b/>
      <w:bCs/>
      <w:sz w:val="20"/>
      <w:szCs w:val="20"/>
    </w:rPr>
  </w:style>
  <w:style w:type="paragraph" w:styleId="Revision">
    <w:name w:val="Revision"/>
    <w:hidden/>
    <w:uiPriority w:val="99"/>
    <w:semiHidden/>
    <w:rsid w:val="00DB0013"/>
    <w:pPr>
      <w:spacing w:after="0" w:line="240" w:lineRule="auto"/>
    </w:pPr>
  </w:style>
  <w:style w:type="character" w:customStyle="1" w:styleId="apple-converted-space">
    <w:name w:val="apple-converted-space"/>
    <w:basedOn w:val="DefaultParagraphFont"/>
    <w:rsid w:val="0083289D"/>
  </w:style>
  <w:style w:type="paragraph" w:styleId="BodyTextIndent">
    <w:name w:val="Body Text Indent"/>
    <w:basedOn w:val="Normal"/>
    <w:link w:val="BodyTextIndentChar"/>
    <w:semiHidden/>
    <w:unhideWhenUsed/>
    <w:rsid w:val="002E179D"/>
    <w:pPr>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2E179D"/>
    <w:rPr>
      <w:rFonts w:ascii="Arial" w:eastAsia="Times New Roman" w:hAnsi="Arial" w:cs="Arial"/>
      <w:sz w:val="24"/>
      <w:szCs w:val="24"/>
    </w:rPr>
  </w:style>
  <w:style w:type="paragraph" w:styleId="BodyText">
    <w:name w:val="Body Text"/>
    <w:basedOn w:val="Normal"/>
    <w:link w:val="BodyTextChar"/>
    <w:uiPriority w:val="99"/>
    <w:semiHidden/>
    <w:unhideWhenUsed/>
    <w:rsid w:val="002E179D"/>
    <w:pPr>
      <w:spacing w:after="120"/>
    </w:pPr>
  </w:style>
  <w:style w:type="character" w:customStyle="1" w:styleId="BodyTextChar">
    <w:name w:val="Body Text Char"/>
    <w:basedOn w:val="DefaultParagraphFont"/>
    <w:link w:val="BodyText"/>
    <w:uiPriority w:val="99"/>
    <w:semiHidden/>
    <w:rsid w:val="002E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lami@ae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jsatterwhite@ae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nourse@ae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even.beeler@puc.state.oh.us" TargetMode="External"/><Relationship Id="rId4" Type="http://schemas.microsoft.com/office/2007/relationships/stylesWithEffects" Target="stylesWithEffects.xml"/><Relationship Id="rId9" Type="http://schemas.openxmlformats.org/officeDocument/2006/relationships/hyperlink" Target="mailto:Werner.margard@puc.state.oh.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79FE-8F4C-4B63-9DED-89DC225A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2013-08-12T20:05:00Z</cp:lastPrinted>
  <dcterms:created xsi:type="dcterms:W3CDTF">2013-08-12T20:13:00Z</dcterms:created>
  <dcterms:modified xsi:type="dcterms:W3CDTF">2013-08-12T20:13:00Z</dcterms:modified>
</cp:coreProperties>
</file>