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6D2B6" w14:textId="77777777" w:rsidR="00545F29" w:rsidRPr="00CB2697" w:rsidRDefault="0056270F">
      <w:pPr>
        <w:pStyle w:val="Title"/>
        <w:widowControl w:val="0"/>
        <w:rPr>
          <w:rFonts w:ascii="Arial" w:hAnsi="Arial" w:cs="Arial"/>
          <w:szCs w:val="24"/>
        </w:rPr>
      </w:pPr>
      <w:r w:rsidRPr="00CB2697">
        <w:rPr>
          <w:rFonts w:ascii="Arial" w:hAnsi="Arial" w:cs="Arial"/>
          <w:szCs w:val="24"/>
        </w:rPr>
        <w:t>BEFORE</w:t>
      </w:r>
    </w:p>
    <w:p w14:paraId="7176D2B7" w14:textId="77777777" w:rsidR="00545F29" w:rsidRPr="00CB2697" w:rsidRDefault="0056270F">
      <w:pPr>
        <w:widowControl w:val="0"/>
        <w:jc w:val="center"/>
        <w:rPr>
          <w:rFonts w:ascii="Arial" w:hAnsi="Arial" w:cs="Arial"/>
          <w:b/>
          <w:sz w:val="24"/>
          <w:szCs w:val="24"/>
        </w:rPr>
      </w:pPr>
      <w:r w:rsidRPr="00CB2697">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355B90" w:rsidRPr="00CB2697" w14:paraId="7176D2C6" w14:textId="77777777">
        <w:trPr>
          <w:trHeight w:val="873"/>
          <w:jc w:val="center"/>
        </w:trPr>
        <w:tc>
          <w:tcPr>
            <w:tcW w:w="4739" w:type="dxa"/>
          </w:tcPr>
          <w:p w14:paraId="780909E8" w14:textId="77777777" w:rsidR="001C7361" w:rsidRDefault="001C7361" w:rsidP="001C736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Its Electric Security Plan.</w:t>
            </w:r>
          </w:p>
          <w:p w14:paraId="4C568FA4" w14:textId="77777777" w:rsidR="001C7361" w:rsidRPr="001C7361" w:rsidRDefault="001C7361" w:rsidP="001C7361">
            <w:pPr>
              <w:autoSpaceDE w:val="0"/>
              <w:autoSpaceDN w:val="0"/>
              <w:adjustRightInd w:val="0"/>
              <w:spacing w:after="0" w:line="240" w:lineRule="auto"/>
              <w:jc w:val="both"/>
              <w:rPr>
                <w:rFonts w:ascii="Arial" w:hAnsi="Arial" w:cs="Arial"/>
                <w:sz w:val="24"/>
                <w:szCs w:val="24"/>
              </w:rPr>
            </w:pPr>
          </w:p>
          <w:p w14:paraId="0DCE078A" w14:textId="77777777" w:rsidR="001C7361" w:rsidRDefault="001C7361" w:rsidP="001C736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Revised Tariffs.</w:t>
            </w:r>
          </w:p>
          <w:p w14:paraId="2FD1618B" w14:textId="77777777" w:rsidR="001C7361" w:rsidRPr="001C7361" w:rsidRDefault="001C7361" w:rsidP="001C7361">
            <w:pPr>
              <w:autoSpaceDE w:val="0"/>
              <w:autoSpaceDN w:val="0"/>
              <w:adjustRightInd w:val="0"/>
              <w:spacing w:after="0" w:line="240" w:lineRule="auto"/>
              <w:jc w:val="both"/>
              <w:rPr>
                <w:rFonts w:ascii="Arial" w:hAnsi="Arial" w:cs="Arial"/>
                <w:sz w:val="24"/>
                <w:szCs w:val="24"/>
              </w:rPr>
            </w:pPr>
          </w:p>
          <w:p w14:paraId="3403EF28" w14:textId="77777777" w:rsidR="001C7361" w:rsidRDefault="001C7361" w:rsidP="001C736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Certain Accounting Authority Pursuant to Ohio Rev. Code §4905.13.</w:t>
            </w:r>
          </w:p>
          <w:p w14:paraId="0E97D89B" w14:textId="77777777" w:rsidR="001C7361" w:rsidRPr="001C7361" w:rsidRDefault="001C7361" w:rsidP="001C7361">
            <w:pPr>
              <w:autoSpaceDE w:val="0"/>
              <w:autoSpaceDN w:val="0"/>
              <w:adjustRightInd w:val="0"/>
              <w:spacing w:after="0" w:line="240" w:lineRule="auto"/>
              <w:jc w:val="both"/>
              <w:rPr>
                <w:rFonts w:ascii="Arial" w:hAnsi="Arial" w:cs="Arial"/>
                <w:sz w:val="24"/>
                <w:szCs w:val="24"/>
              </w:rPr>
            </w:pPr>
          </w:p>
          <w:p w14:paraId="7176D2BB" w14:textId="55EF6D72" w:rsidR="00CB2697" w:rsidRPr="00CB2697" w:rsidRDefault="001C7361" w:rsidP="001C736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Its Amended Corporate Separation Plan</w:t>
            </w:r>
            <w:r>
              <w:rPr>
                <w:rFonts w:ascii="Arial" w:hAnsi="Arial" w:cs="Arial"/>
                <w:sz w:val="24"/>
                <w:szCs w:val="24"/>
              </w:rPr>
              <w:t>.</w:t>
            </w:r>
          </w:p>
        </w:tc>
        <w:tc>
          <w:tcPr>
            <w:tcW w:w="630" w:type="dxa"/>
          </w:tcPr>
          <w:p w14:paraId="7176D2BC" w14:textId="77777777" w:rsidR="00545F29" w:rsidRPr="00CB2697" w:rsidRDefault="0056270F">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176D2BD" w14:textId="77777777" w:rsidR="00545F29" w:rsidRPr="00CB2697" w:rsidRDefault="0056270F">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176D2BE" w14:textId="77777777" w:rsidR="00545F29" w:rsidRPr="00CB2697" w:rsidRDefault="0056270F">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176D2BF" w14:textId="77777777" w:rsidR="00545F29" w:rsidRPr="00CB2697" w:rsidRDefault="0056270F"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08E93726" w14:textId="4471AFFC" w:rsidR="003D01DA" w:rsidRPr="00CB2697" w:rsidRDefault="003D01DA"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5F54F92" w14:textId="587927C5" w:rsidR="003D01DA" w:rsidRPr="00CB2697" w:rsidRDefault="003D01DA"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5EFA8FA9" w14:textId="06C37CB9" w:rsidR="003D01DA" w:rsidRPr="00CB2697" w:rsidRDefault="009B4EBD"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3F1DD110" w14:textId="77777777" w:rsidR="00CB2697" w:rsidRPr="00CB2697" w:rsidRDefault="00CB2697"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5EA2CB9" w14:textId="77777777" w:rsidR="00CB2697" w:rsidRPr="00CB2697" w:rsidRDefault="00CB2697"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4F8850F6" w14:textId="77777777" w:rsidR="00CB2697" w:rsidRPr="00CB2697" w:rsidRDefault="00CB2697"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21C1354D" w14:textId="77777777" w:rsidR="00CB2697" w:rsidRPr="00CB2697" w:rsidRDefault="00CB2697"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3C71AC14" w14:textId="7E7E6767" w:rsidR="00CB2697" w:rsidRDefault="00CB2697" w:rsidP="002F05DC">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25D743E" w14:textId="064168BC" w:rsidR="001C7361" w:rsidRDefault="001C7361" w:rsidP="002F05DC">
            <w:pPr>
              <w:widowControl w:val="0"/>
              <w:spacing w:after="0" w:line="240" w:lineRule="auto"/>
              <w:jc w:val="center"/>
              <w:rPr>
                <w:rFonts w:ascii="Arial" w:hAnsi="Arial" w:cs="Arial"/>
                <w:sz w:val="24"/>
                <w:szCs w:val="24"/>
              </w:rPr>
            </w:pPr>
            <w:r>
              <w:rPr>
                <w:rFonts w:ascii="Arial" w:hAnsi="Arial" w:cs="Arial"/>
                <w:sz w:val="24"/>
                <w:szCs w:val="24"/>
              </w:rPr>
              <w:t>)</w:t>
            </w:r>
          </w:p>
          <w:p w14:paraId="165BB1AB" w14:textId="77777777" w:rsidR="001C7361" w:rsidRDefault="001C7361" w:rsidP="002F05DC">
            <w:pPr>
              <w:widowControl w:val="0"/>
              <w:spacing w:after="0" w:line="240" w:lineRule="auto"/>
              <w:jc w:val="center"/>
              <w:rPr>
                <w:rFonts w:ascii="Arial" w:hAnsi="Arial" w:cs="Arial"/>
                <w:sz w:val="24"/>
                <w:szCs w:val="24"/>
              </w:rPr>
            </w:pPr>
            <w:r>
              <w:rPr>
                <w:rFonts w:ascii="Arial" w:hAnsi="Arial" w:cs="Arial"/>
                <w:sz w:val="24"/>
                <w:szCs w:val="24"/>
              </w:rPr>
              <w:t>)</w:t>
            </w:r>
          </w:p>
          <w:p w14:paraId="56BB9788" w14:textId="77777777" w:rsidR="001C7361" w:rsidRDefault="001C7361" w:rsidP="002F05DC">
            <w:pPr>
              <w:widowControl w:val="0"/>
              <w:spacing w:after="0" w:line="240" w:lineRule="auto"/>
              <w:jc w:val="center"/>
              <w:rPr>
                <w:rFonts w:ascii="Arial" w:hAnsi="Arial" w:cs="Arial"/>
                <w:sz w:val="24"/>
                <w:szCs w:val="24"/>
              </w:rPr>
            </w:pPr>
            <w:r>
              <w:rPr>
                <w:rFonts w:ascii="Arial" w:hAnsi="Arial" w:cs="Arial"/>
                <w:sz w:val="24"/>
                <w:szCs w:val="24"/>
              </w:rPr>
              <w:t>)</w:t>
            </w:r>
          </w:p>
          <w:p w14:paraId="24958D3C" w14:textId="77777777" w:rsidR="001C7361" w:rsidRDefault="001C7361" w:rsidP="002F05DC">
            <w:pPr>
              <w:widowControl w:val="0"/>
              <w:spacing w:after="0" w:line="240" w:lineRule="auto"/>
              <w:jc w:val="center"/>
              <w:rPr>
                <w:rFonts w:ascii="Arial" w:hAnsi="Arial" w:cs="Arial"/>
                <w:sz w:val="24"/>
                <w:szCs w:val="24"/>
              </w:rPr>
            </w:pPr>
            <w:r>
              <w:rPr>
                <w:rFonts w:ascii="Arial" w:hAnsi="Arial" w:cs="Arial"/>
                <w:sz w:val="24"/>
                <w:szCs w:val="24"/>
              </w:rPr>
              <w:t>)</w:t>
            </w:r>
          </w:p>
          <w:p w14:paraId="02BA2EF7" w14:textId="45503480" w:rsidR="001C7361" w:rsidRPr="00CB2697" w:rsidRDefault="001C7361" w:rsidP="002F05DC">
            <w:pPr>
              <w:widowControl w:val="0"/>
              <w:spacing w:after="0" w:line="240" w:lineRule="auto"/>
              <w:jc w:val="center"/>
              <w:rPr>
                <w:rFonts w:ascii="Arial" w:hAnsi="Arial" w:cs="Arial"/>
                <w:sz w:val="24"/>
                <w:szCs w:val="24"/>
              </w:rPr>
            </w:pPr>
            <w:r>
              <w:rPr>
                <w:rFonts w:ascii="Arial" w:hAnsi="Arial" w:cs="Arial"/>
                <w:sz w:val="24"/>
                <w:szCs w:val="24"/>
              </w:rPr>
              <w:t>)</w:t>
            </w:r>
          </w:p>
          <w:p w14:paraId="7176D2C0" w14:textId="58CE4F9E" w:rsidR="00545F29" w:rsidRPr="00CB2697" w:rsidRDefault="00545F29" w:rsidP="00542A3B">
            <w:pPr>
              <w:widowControl w:val="0"/>
              <w:spacing w:after="0" w:line="240" w:lineRule="auto"/>
              <w:rPr>
                <w:rFonts w:ascii="Arial" w:hAnsi="Arial" w:cs="Arial"/>
                <w:sz w:val="24"/>
                <w:szCs w:val="24"/>
              </w:rPr>
            </w:pPr>
          </w:p>
        </w:tc>
        <w:tc>
          <w:tcPr>
            <w:tcW w:w="3928" w:type="dxa"/>
          </w:tcPr>
          <w:p w14:paraId="7176D2C1" w14:textId="77777777" w:rsidR="00545F29" w:rsidRPr="00CB2697" w:rsidRDefault="00545F29">
            <w:pPr>
              <w:widowControl w:val="0"/>
              <w:spacing w:after="0" w:line="240" w:lineRule="auto"/>
              <w:rPr>
                <w:rFonts w:ascii="Arial" w:hAnsi="Arial" w:cs="Arial"/>
                <w:sz w:val="24"/>
                <w:szCs w:val="24"/>
              </w:rPr>
            </w:pPr>
          </w:p>
          <w:p w14:paraId="7176D2C3" w14:textId="30208119" w:rsidR="00545F29" w:rsidRPr="00CB2697" w:rsidRDefault="001C7361">
            <w:pPr>
              <w:widowControl w:val="0"/>
              <w:spacing w:after="0" w:line="240" w:lineRule="auto"/>
              <w:rPr>
                <w:rFonts w:ascii="Arial" w:hAnsi="Arial" w:cs="Arial"/>
                <w:sz w:val="24"/>
                <w:szCs w:val="24"/>
              </w:rPr>
            </w:pPr>
            <w:r>
              <w:rPr>
                <w:rFonts w:ascii="Arial" w:hAnsi="Arial" w:cs="Arial"/>
                <w:sz w:val="24"/>
                <w:szCs w:val="24"/>
              </w:rPr>
              <w:t>Case No. 08-1094</w:t>
            </w:r>
            <w:r w:rsidR="003D01DA" w:rsidRPr="00CB2697">
              <w:rPr>
                <w:rFonts w:ascii="Arial" w:hAnsi="Arial" w:cs="Arial"/>
                <w:sz w:val="24"/>
                <w:szCs w:val="24"/>
              </w:rPr>
              <w:t>-EL-SSO</w:t>
            </w:r>
          </w:p>
          <w:p w14:paraId="7176D2C4" w14:textId="77777777" w:rsidR="00545F29" w:rsidRPr="00CB2697" w:rsidRDefault="00545F29">
            <w:pPr>
              <w:widowControl w:val="0"/>
              <w:spacing w:after="0" w:line="240" w:lineRule="auto"/>
              <w:rPr>
                <w:rFonts w:ascii="Arial" w:hAnsi="Arial" w:cs="Arial"/>
                <w:sz w:val="24"/>
                <w:szCs w:val="24"/>
              </w:rPr>
            </w:pPr>
          </w:p>
          <w:p w14:paraId="325D121B" w14:textId="77777777" w:rsidR="00545F29" w:rsidRPr="00CB2697" w:rsidRDefault="00545F29">
            <w:pPr>
              <w:widowControl w:val="0"/>
              <w:spacing w:after="0" w:line="240" w:lineRule="auto"/>
              <w:rPr>
                <w:rFonts w:ascii="Arial" w:hAnsi="Arial" w:cs="Arial"/>
                <w:sz w:val="24"/>
                <w:szCs w:val="24"/>
              </w:rPr>
            </w:pPr>
          </w:p>
          <w:p w14:paraId="1DD39B9F" w14:textId="77777777" w:rsidR="00CB2697" w:rsidRDefault="00CB2697">
            <w:pPr>
              <w:widowControl w:val="0"/>
              <w:spacing w:after="0" w:line="240" w:lineRule="auto"/>
              <w:rPr>
                <w:rFonts w:ascii="Arial" w:hAnsi="Arial" w:cs="Arial"/>
                <w:sz w:val="24"/>
                <w:szCs w:val="24"/>
              </w:rPr>
            </w:pPr>
          </w:p>
          <w:p w14:paraId="378C5952" w14:textId="76790C96" w:rsidR="00613140" w:rsidRPr="00CB2697" w:rsidRDefault="001C7361">
            <w:pPr>
              <w:widowControl w:val="0"/>
              <w:spacing w:after="0" w:line="240" w:lineRule="auto"/>
              <w:rPr>
                <w:rFonts w:ascii="Arial" w:hAnsi="Arial" w:cs="Arial"/>
                <w:sz w:val="24"/>
                <w:szCs w:val="24"/>
              </w:rPr>
            </w:pPr>
            <w:r>
              <w:rPr>
                <w:rFonts w:ascii="Arial" w:hAnsi="Arial" w:cs="Arial"/>
                <w:sz w:val="24"/>
                <w:szCs w:val="24"/>
              </w:rPr>
              <w:t>Case No. 08</w:t>
            </w:r>
            <w:r w:rsidR="00CB2697" w:rsidRPr="00CB2697">
              <w:rPr>
                <w:rFonts w:ascii="Arial" w:hAnsi="Arial" w:cs="Arial"/>
                <w:sz w:val="24"/>
                <w:szCs w:val="24"/>
              </w:rPr>
              <w:t>-</w:t>
            </w:r>
            <w:r>
              <w:rPr>
                <w:rFonts w:ascii="Arial" w:hAnsi="Arial" w:cs="Arial"/>
                <w:sz w:val="24"/>
                <w:szCs w:val="24"/>
              </w:rPr>
              <w:t>1095-</w:t>
            </w:r>
            <w:r w:rsidR="00CB2697" w:rsidRPr="00CB2697">
              <w:rPr>
                <w:rFonts w:ascii="Arial" w:hAnsi="Arial" w:cs="Arial"/>
                <w:sz w:val="24"/>
                <w:szCs w:val="24"/>
              </w:rPr>
              <w:t>EL-ATA</w:t>
            </w:r>
          </w:p>
          <w:p w14:paraId="2E275791" w14:textId="77777777" w:rsidR="00613140" w:rsidRPr="00CB2697" w:rsidRDefault="00613140">
            <w:pPr>
              <w:widowControl w:val="0"/>
              <w:spacing w:after="0" w:line="240" w:lineRule="auto"/>
              <w:rPr>
                <w:rFonts w:ascii="Arial" w:hAnsi="Arial" w:cs="Arial"/>
                <w:sz w:val="24"/>
                <w:szCs w:val="24"/>
              </w:rPr>
            </w:pPr>
          </w:p>
          <w:p w14:paraId="25CD3F16" w14:textId="77777777" w:rsidR="00613140" w:rsidRPr="00CB2697" w:rsidRDefault="00613140">
            <w:pPr>
              <w:widowControl w:val="0"/>
              <w:spacing w:after="0" w:line="240" w:lineRule="auto"/>
              <w:rPr>
                <w:rFonts w:ascii="Arial" w:hAnsi="Arial" w:cs="Arial"/>
                <w:sz w:val="24"/>
                <w:szCs w:val="24"/>
              </w:rPr>
            </w:pPr>
          </w:p>
          <w:p w14:paraId="4DF9E40A" w14:textId="77777777" w:rsidR="00CB2697" w:rsidRPr="00CB2697" w:rsidRDefault="00CB2697">
            <w:pPr>
              <w:widowControl w:val="0"/>
              <w:spacing w:after="0" w:line="240" w:lineRule="auto"/>
              <w:rPr>
                <w:rFonts w:ascii="Arial" w:hAnsi="Arial" w:cs="Arial"/>
                <w:sz w:val="24"/>
                <w:szCs w:val="24"/>
              </w:rPr>
            </w:pPr>
          </w:p>
          <w:p w14:paraId="78D7BFAC" w14:textId="77777777" w:rsidR="00CB2697" w:rsidRDefault="001C7361">
            <w:pPr>
              <w:widowControl w:val="0"/>
              <w:spacing w:after="0" w:line="240" w:lineRule="auto"/>
              <w:rPr>
                <w:rFonts w:ascii="Arial" w:hAnsi="Arial" w:cs="Arial"/>
                <w:sz w:val="24"/>
                <w:szCs w:val="24"/>
              </w:rPr>
            </w:pPr>
            <w:r>
              <w:rPr>
                <w:rFonts w:ascii="Arial" w:hAnsi="Arial" w:cs="Arial"/>
                <w:sz w:val="24"/>
                <w:szCs w:val="24"/>
              </w:rPr>
              <w:t>Case No. 08-1096-EL-AAM</w:t>
            </w:r>
          </w:p>
          <w:p w14:paraId="07E11815" w14:textId="77777777" w:rsidR="001C7361" w:rsidRDefault="001C7361">
            <w:pPr>
              <w:widowControl w:val="0"/>
              <w:spacing w:after="0" w:line="240" w:lineRule="auto"/>
              <w:rPr>
                <w:rFonts w:ascii="Arial" w:hAnsi="Arial" w:cs="Arial"/>
                <w:sz w:val="24"/>
                <w:szCs w:val="24"/>
              </w:rPr>
            </w:pPr>
          </w:p>
          <w:p w14:paraId="6165A2C9" w14:textId="77777777" w:rsidR="001C7361" w:rsidRDefault="001C7361">
            <w:pPr>
              <w:widowControl w:val="0"/>
              <w:spacing w:after="0" w:line="240" w:lineRule="auto"/>
              <w:rPr>
                <w:rFonts w:ascii="Arial" w:hAnsi="Arial" w:cs="Arial"/>
                <w:sz w:val="24"/>
                <w:szCs w:val="24"/>
              </w:rPr>
            </w:pPr>
          </w:p>
          <w:p w14:paraId="1322EBF6" w14:textId="77777777" w:rsidR="001C7361" w:rsidRDefault="001C7361">
            <w:pPr>
              <w:widowControl w:val="0"/>
              <w:spacing w:after="0" w:line="240" w:lineRule="auto"/>
              <w:rPr>
                <w:rFonts w:ascii="Arial" w:hAnsi="Arial" w:cs="Arial"/>
                <w:sz w:val="24"/>
                <w:szCs w:val="24"/>
              </w:rPr>
            </w:pPr>
          </w:p>
          <w:p w14:paraId="3DC30845" w14:textId="77777777" w:rsidR="001C7361" w:rsidRDefault="001C7361">
            <w:pPr>
              <w:widowControl w:val="0"/>
              <w:spacing w:after="0" w:line="240" w:lineRule="auto"/>
              <w:rPr>
                <w:rFonts w:ascii="Arial" w:hAnsi="Arial" w:cs="Arial"/>
                <w:sz w:val="24"/>
                <w:szCs w:val="24"/>
              </w:rPr>
            </w:pPr>
          </w:p>
          <w:p w14:paraId="7176D2C5" w14:textId="5F9799AD" w:rsidR="001C7361" w:rsidRPr="00CB2697" w:rsidRDefault="001C7361">
            <w:pPr>
              <w:widowControl w:val="0"/>
              <w:spacing w:after="0" w:line="240" w:lineRule="auto"/>
              <w:rPr>
                <w:rFonts w:ascii="Arial" w:hAnsi="Arial" w:cs="Arial"/>
                <w:sz w:val="24"/>
                <w:szCs w:val="24"/>
              </w:rPr>
            </w:pPr>
            <w:r>
              <w:rPr>
                <w:rFonts w:ascii="Arial" w:hAnsi="Arial" w:cs="Arial"/>
                <w:sz w:val="24"/>
                <w:szCs w:val="24"/>
              </w:rPr>
              <w:t>Case No. 08-1097-EL-UNC</w:t>
            </w:r>
          </w:p>
        </w:tc>
      </w:tr>
    </w:tbl>
    <w:p w14:paraId="7176D2C7" w14:textId="3BA85EF8" w:rsidR="00545F29" w:rsidRPr="009D71F6" w:rsidRDefault="00545F29">
      <w:pPr>
        <w:widowControl w:val="0"/>
        <w:pBdr>
          <w:bottom w:val="single" w:sz="12" w:space="0" w:color="auto"/>
        </w:pBdr>
        <w:spacing w:after="0" w:line="240" w:lineRule="auto"/>
        <w:rPr>
          <w:rFonts w:ascii="Arial" w:hAnsi="Arial" w:cs="Arial"/>
          <w:sz w:val="24"/>
          <w:szCs w:val="24"/>
        </w:rPr>
      </w:pPr>
    </w:p>
    <w:p w14:paraId="7176D2C8" w14:textId="77777777" w:rsidR="00545F29" w:rsidRPr="009D71F6" w:rsidRDefault="00545F29">
      <w:pPr>
        <w:widowControl w:val="0"/>
        <w:spacing w:after="0" w:line="240" w:lineRule="auto"/>
        <w:jc w:val="center"/>
        <w:rPr>
          <w:rFonts w:ascii="Arial" w:hAnsi="Arial" w:cs="Arial"/>
          <w:b/>
          <w:bCs/>
          <w:sz w:val="24"/>
          <w:szCs w:val="24"/>
        </w:rPr>
      </w:pPr>
    </w:p>
    <w:p w14:paraId="7176D2CA" w14:textId="17C79756" w:rsidR="00545F29" w:rsidRPr="009D71F6" w:rsidRDefault="0037638B">
      <w:pPr>
        <w:widowControl w:val="0"/>
        <w:spacing w:after="0" w:line="240" w:lineRule="auto"/>
        <w:jc w:val="center"/>
        <w:rPr>
          <w:rFonts w:ascii="Arial" w:hAnsi="Arial" w:cs="Arial"/>
          <w:b/>
          <w:bCs/>
          <w:sz w:val="24"/>
          <w:szCs w:val="24"/>
        </w:rPr>
      </w:pPr>
      <w:r>
        <w:rPr>
          <w:rFonts w:ascii="Arial" w:hAnsi="Arial" w:cs="Arial"/>
          <w:b/>
          <w:bCs/>
          <w:sz w:val="24"/>
          <w:szCs w:val="24"/>
        </w:rPr>
        <w:t>COMMENTS</w:t>
      </w:r>
      <w:r w:rsidR="00AA75B4">
        <w:rPr>
          <w:rFonts w:ascii="Arial" w:hAnsi="Arial" w:cs="Arial"/>
          <w:b/>
          <w:bCs/>
          <w:sz w:val="24"/>
          <w:szCs w:val="24"/>
        </w:rPr>
        <w:t xml:space="preserve"> OF I</w:t>
      </w:r>
      <w:r w:rsidR="00CB2697">
        <w:rPr>
          <w:rFonts w:ascii="Arial" w:hAnsi="Arial" w:cs="Arial"/>
          <w:b/>
          <w:bCs/>
          <w:sz w:val="24"/>
          <w:szCs w:val="24"/>
        </w:rPr>
        <w:t>NTERSTATE GAS SUPPLY, INC.</w:t>
      </w:r>
    </w:p>
    <w:p w14:paraId="7176D2CB" w14:textId="77777777" w:rsidR="00545F29" w:rsidRPr="009D71F6" w:rsidRDefault="00545F29">
      <w:pPr>
        <w:widowControl w:val="0"/>
        <w:pBdr>
          <w:bottom w:val="single" w:sz="12" w:space="1" w:color="auto"/>
        </w:pBdr>
        <w:tabs>
          <w:tab w:val="left" w:pos="6461"/>
        </w:tabs>
        <w:spacing w:after="0" w:line="240" w:lineRule="auto"/>
        <w:jc w:val="center"/>
        <w:rPr>
          <w:rFonts w:ascii="Arial" w:hAnsi="Arial" w:cs="Arial"/>
          <w:sz w:val="24"/>
          <w:szCs w:val="24"/>
        </w:rPr>
      </w:pPr>
    </w:p>
    <w:p w14:paraId="7176D2CC" w14:textId="77777777" w:rsidR="00545F29" w:rsidRPr="009D71F6" w:rsidRDefault="00545F29">
      <w:pPr>
        <w:tabs>
          <w:tab w:val="left" w:pos="360"/>
        </w:tabs>
        <w:spacing w:after="0" w:line="240" w:lineRule="auto"/>
        <w:ind w:left="360" w:hanging="360"/>
        <w:jc w:val="both"/>
        <w:rPr>
          <w:rFonts w:ascii="Arial" w:hAnsi="Arial" w:cs="Arial"/>
          <w:sz w:val="24"/>
          <w:szCs w:val="24"/>
        </w:rPr>
      </w:pPr>
    </w:p>
    <w:p w14:paraId="19A5282C" w14:textId="77777777" w:rsidR="00237730" w:rsidRDefault="00237730" w:rsidP="004A1711">
      <w:pPr>
        <w:autoSpaceDE w:val="0"/>
        <w:autoSpaceDN w:val="0"/>
        <w:adjustRightInd w:val="0"/>
        <w:spacing w:after="120" w:line="480" w:lineRule="auto"/>
        <w:jc w:val="both"/>
        <w:rPr>
          <w:rFonts w:ascii="Arial" w:hAnsi="Arial" w:cs="Arial"/>
          <w:sz w:val="24"/>
          <w:szCs w:val="24"/>
        </w:rPr>
      </w:pPr>
    </w:p>
    <w:p w14:paraId="39545212" w14:textId="77777777" w:rsidR="00237730" w:rsidRDefault="00237730" w:rsidP="004A1711">
      <w:pPr>
        <w:autoSpaceDE w:val="0"/>
        <w:autoSpaceDN w:val="0"/>
        <w:adjustRightInd w:val="0"/>
        <w:spacing w:after="120" w:line="480" w:lineRule="auto"/>
        <w:jc w:val="both"/>
        <w:rPr>
          <w:rFonts w:ascii="Arial" w:hAnsi="Arial" w:cs="Arial"/>
          <w:sz w:val="24"/>
          <w:szCs w:val="24"/>
        </w:rPr>
      </w:pPr>
    </w:p>
    <w:p w14:paraId="1FFAC93F" w14:textId="5772FB47" w:rsidR="00237730" w:rsidRDefault="00237730" w:rsidP="00237730">
      <w:pPr>
        <w:spacing w:after="0" w:line="240" w:lineRule="auto"/>
        <w:ind w:left="5040"/>
        <w:rPr>
          <w:rFonts w:ascii="Arial" w:eastAsia="Calibri" w:hAnsi="Arial" w:cs="Arial"/>
          <w:sz w:val="24"/>
          <w:szCs w:val="24"/>
          <w:u w:val="single"/>
        </w:rPr>
      </w:pPr>
    </w:p>
    <w:p w14:paraId="7307477B" w14:textId="5D3C7D87" w:rsidR="00237730" w:rsidRDefault="004A1711" w:rsidP="00237730">
      <w:pPr>
        <w:spacing w:after="0" w:line="240" w:lineRule="auto"/>
        <w:ind w:left="5040"/>
        <w:rPr>
          <w:rFonts w:ascii="Arial" w:hAnsi="Arial" w:cs="Arial"/>
          <w:sz w:val="24"/>
          <w:szCs w:val="24"/>
        </w:rPr>
      </w:pPr>
      <w:r>
        <w:rPr>
          <w:rFonts w:ascii="Arial" w:hAnsi="Arial" w:cs="Arial"/>
          <w:sz w:val="24"/>
          <w:szCs w:val="24"/>
        </w:rPr>
        <w:t>Matthew White</w:t>
      </w:r>
    </w:p>
    <w:p w14:paraId="794E3277" w14:textId="748BC438" w:rsidR="00237730" w:rsidRDefault="00237730" w:rsidP="00237730">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r w:rsidR="001C7361">
        <w:rPr>
          <w:rFonts w:ascii="Arial" w:hAnsi="Arial" w:cs="Arial"/>
          <w:sz w:val="24"/>
          <w:szCs w:val="24"/>
        </w:rPr>
        <w:t>m</w:t>
      </w:r>
      <w:r w:rsidR="00C76086">
        <w:rPr>
          <w:rFonts w:ascii="Arial" w:hAnsi="Arial" w:cs="Arial"/>
          <w:sz w:val="24"/>
          <w:szCs w:val="24"/>
        </w:rPr>
        <w:t>s</w:t>
      </w:r>
      <w:r w:rsidR="001C7361">
        <w:rPr>
          <w:rFonts w:ascii="Arial" w:hAnsi="Arial" w:cs="Arial"/>
          <w:sz w:val="24"/>
          <w:szCs w:val="24"/>
        </w:rPr>
        <w:t>white@igsenergy.com</w:t>
      </w:r>
      <w:hyperlink r:id="rId8" w:history="1"/>
    </w:p>
    <w:p w14:paraId="47F2F7F1"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Counsel of Record</w:t>
      </w:r>
    </w:p>
    <w:p w14:paraId="1C54B0A0" w14:textId="1FE88325" w:rsidR="00237730" w:rsidRDefault="00AA75B4" w:rsidP="00237730">
      <w:pPr>
        <w:spacing w:after="0" w:line="240" w:lineRule="auto"/>
        <w:ind w:left="5040"/>
        <w:rPr>
          <w:rFonts w:ascii="Arial" w:hAnsi="Arial" w:cs="Arial"/>
          <w:sz w:val="24"/>
          <w:szCs w:val="24"/>
        </w:rPr>
      </w:pPr>
      <w:r>
        <w:rPr>
          <w:rFonts w:ascii="Arial" w:hAnsi="Arial" w:cs="Arial"/>
          <w:sz w:val="24"/>
          <w:szCs w:val="24"/>
        </w:rPr>
        <w:t>IGS Energy</w:t>
      </w:r>
    </w:p>
    <w:p w14:paraId="7808A77D"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6100 Emerald Parkway</w:t>
      </w:r>
    </w:p>
    <w:p w14:paraId="7F0E5D8B"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Dublin, Ohio 43016</w:t>
      </w:r>
    </w:p>
    <w:p w14:paraId="6527965A"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3ABFFA73" w14:textId="77777777" w:rsidR="00237730" w:rsidRDefault="00237730" w:rsidP="00237730">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F7DC00" w14:textId="77777777" w:rsidR="00237730" w:rsidRDefault="00237730" w:rsidP="00237730">
      <w:pPr>
        <w:spacing w:after="0" w:line="240" w:lineRule="auto"/>
        <w:ind w:left="5040"/>
        <w:rPr>
          <w:rFonts w:ascii="Arial" w:hAnsi="Arial" w:cs="Arial"/>
          <w:sz w:val="24"/>
          <w:szCs w:val="24"/>
        </w:rPr>
      </w:pPr>
    </w:p>
    <w:p w14:paraId="5C805413" w14:textId="008F6330" w:rsidR="00237730" w:rsidRDefault="00CB2697" w:rsidP="00237730">
      <w:pPr>
        <w:spacing w:after="0" w:line="240" w:lineRule="auto"/>
        <w:ind w:left="5040"/>
        <w:rPr>
          <w:rFonts w:ascii="Arial" w:hAnsi="Arial" w:cs="Arial"/>
          <w:b/>
          <w:i/>
          <w:sz w:val="24"/>
          <w:szCs w:val="24"/>
        </w:rPr>
      </w:pPr>
      <w:r>
        <w:rPr>
          <w:rFonts w:ascii="Arial" w:hAnsi="Arial" w:cs="Arial"/>
          <w:b/>
          <w:i/>
          <w:sz w:val="24"/>
          <w:szCs w:val="24"/>
        </w:rPr>
        <w:lastRenderedPageBreak/>
        <w:t xml:space="preserve">Attorney </w:t>
      </w:r>
      <w:r w:rsidR="00237730">
        <w:rPr>
          <w:rFonts w:ascii="Arial" w:hAnsi="Arial" w:cs="Arial"/>
          <w:b/>
          <w:i/>
          <w:sz w:val="24"/>
          <w:szCs w:val="24"/>
        </w:rPr>
        <w:t>for IGS Energy</w:t>
      </w:r>
    </w:p>
    <w:p w14:paraId="186244EE" w14:textId="74A89585" w:rsidR="00542A3B" w:rsidRDefault="00542A3B" w:rsidP="00EC019F">
      <w:pPr>
        <w:spacing w:after="0" w:line="240" w:lineRule="auto"/>
        <w:rPr>
          <w:rFonts w:ascii="Arial" w:hAnsi="Arial" w:cs="Arial"/>
          <w:b/>
          <w:sz w:val="24"/>
          <w:szCs w:val="24"/>
        </w:rPr>
      </w:pPr>
    </w:p>
    <w:p w14:paraId="027D0003" w14:textId="72A8AE3A" w:rsidR="004A1711" w:rsidRDefault="004A1711" w:rsidP="00EC019F">
      <w:pPr>
        <w:spacing w:after="0" w:line="240" w:lineRule="auto"/>
        <w:rPr>
          <w:rFonts w:ascii="Arial" w:hAnsi="Arial" w:cs="Arial"/>
          <w:b/>
          <w:sz w:val="24"/>
          <w:szCs w:val="24"/>
        </w:rPr>
      </w:pPr>
    </w:p>
    <w:p w14:paraId="10762DC3" w14:textId="77777777" w:rsidR="004A1711" w:rsidRDefault="004A1711" w:rsidP="00EC019F">
      <w:pPr>
        <w:spacing w:after="0" w:line="240" w:lineRule="auto"/>
        <w:rPr>
          <w:rFonts w:ascii="Arial" w:hAnsi="Arial" w:cs="Arial"/>
          <w:b/>
          <w:sz w:val="24"/>
          <w:szCs w:val="24"/>
        </w:rPr>
      </w:pPr>
    </w:p>
    <w:p w14:paraId="5F0571CB" w14:textId="77777777" w:rsidR="0037638B" w:rsidRDefault="0037638B" w:rsidP="00CB2697">
      <w:pPr>
        <w:pStyle w:val="Title"/>
        <w:widowControl w:val="0"/>
        <w:rPr>
          <w:rFonts w:ascii="Arial" w:hAnsi="Arial" w:cs="Arial"/>
          <w:szCs w:val="24"/>
        </w:rPr>
      </w:pPr>
    </w:p>
    <w:p w14:paraId="4CA29454" w14:textId="77777777" w:rsidR="00CB2697" w:rsidRPr="00CB2697" w:rsidRDefault="00CB2697" w:rsidP="00CB2697">
      <w:pPr>
        <w:pStyle w:val="Title"/>
        <w:widowControl w:val="0"/>
        <w:rPr>
          <w:rFonts w:ascii="Arial" w:hAnsi="Arial" w:cs="Arial"/>
          <w:szCs w:val="24"/>
        </w:rPr>
      </w:pPr>
      <w:r w:rsidRPr="00CB2697">
        <w:rPr>
          <w:rFonts w:ascii="Arial" w:hAnsi="Arial" w:cs="Arial"/>
          <w:szCs w:val="24"/>
        </w:rPr>
        <w:t>BEFORE</w:t>
      </w:r>
    </w:p>
    <w:p w14:paraId="14213F39" w14:textId="77777777" w:rsidR="00CB2697" w:rsidRPr="00CB2697" w:rsidRDefault="00CB2697" w:rsidP="00CB2697">
      <w:pPr>
        <w:widowControl w:val="0"/>
        <w:jc w:val="center"/>
        <w:rPr>
          <w:rFonts w:ascii="Arial" w:hAnsi="Arial" w:cs="Arial"/>
          <w:b/>
          <w:sz w:val="24"/>
          <w:szCs w:val="24"/>
        </w:rPr>
      </w:pPr>
      <w:r w:rsidRPr="00CB2697">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4A1711" w:rsidRPr="00CB2697" w14:paraId="5E9A3B47" w14:textId="77777777" w:rsidTr="00CB2697">
        <w:trPr>
          <w:trHeight w:val="873"/>
          <w:jc w:val="center"/>
        </w:trPr>
        <w:tc>
          <w:tcPr>
            <w:tcW w:w="4739" w:type="dxa"/>
          </w:tcPr>
          <w:p w14:paraId="42F22F0F" w14:textId="77777777" w:rsidR="004A1711" w:rsidRDefault="004A1711" w:rsidP="004A171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Its Electric Security Plan.</w:t>
            </w:r>
          </w:p>
          <w:p w14:paraId="60043880" w14:textId="77777777" w:rsidR="004A1711" w:rsidRPr="001C7361" w:rsidRDefault="004A1711" w:rsidP="004A1711">
            <w:pPr>
              <w:autoSpaceDE w:val="0"/>
              <w:autoSpaceDN w:val="0"/>
              <w:adjustRightInd w:val="0"/>
              <w:spacing w:after="0" w:line="240" w:lineRule="auto"/>
              <w:jc w:val="both"/>
              <w:rPr>
                <w:rFonts w:ascii="Arial" w:hAnsi="Arial" w:cs="Arial"/>
                <w:sz w:val="24"/>
                <w:szCs w:val="24"/>
              </w:rPr>
            </w:pPr>
          </w:p>
          <w:p w14:paraId="1CF86F7A" w14:textId="77777777" w:rsidR="004A1711" w:rsidRDefault="004A1711" w:rsidP="004A171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Revised Tariffs.</w:t>
            </w:r>
          </w:p>
          <w:p w14:paraId="01D96128" w14:textId="77777777" w:rsidR="004A1711" w:rsidRPr="001C7361" w:rsidRDefault="004A1711" w:rsidP="004A1711">
            <w:pPr>
              <w:autoSpaceDE w:val="0"/>
              <w:autoSpaceDN w:val="0"/>
              <w:adjustRightInd w:val="0"/>
              <w:spacing w:after="0" w:line="240" w:lineRule="auto"/>
              <w:jc w:val="both"/>
              <w:rPr>
                <w:rFonts w:ascii="Arial" w:hAnsi="Arial" w:cs="Arial"/>
                <w:sz w:val="24"/>
                <w:szCs w:val="24"/>
              </w:rPr>
            </w:pPr>
          </w:p>
          <w:p w14:paraId="0B70FA1A" w14:textId="77777777" w:rsidR="004A1711" w:rsidRDefault="004A1711" w:rsidP="004A171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Certain Accounting Authority Pursuant to Ohio Rev. Code §4905.13.</w:t>
            </w:r>
          </w:p>
          <w:p w14:paraId="08375E44" w14:textId="77777777" w:rsidR="004A1711" w:rsidRPr="001C7361" w:rsidRDefault="004A1711" w:rsidP="004A1711">
            <w:pPr>
              <w:autoSpaceDE w:val="0"/>
              <w:autoSpaceDN w:val="0"/>
              <w:adjustRightInd w:val="0"/>
              <w:spacing w:after="0" w:line="240" w:lineRule="auto"/>
              <w:jc w:val="both"/>
              <w:rPr>
                <w:rFonts w:ascii="Arial" w:hAnsi="Arial" w:cs="Arial"/>
                <w:sz w:val="24"/>
                <w:szCs w:val="24"/>
              </w:rPr>
            </w:pPr>
          </w:p>
          <w:p w14:paraId="03B22388" w14:textId="4F27FE41" w:rsidR="004A1711" w:rsidRPr="00CB2697" w:rsidRDefault="004A1711" w:rsidP="004A1711">
            <w:pPr>
              <w:autoSpaceDE w:val="0"/>
              <w:autoSpaceDN w:val="0"/>
              <w:adjustRightInd w:val="0"/>
              <w:spacing w:after="0" w:line="240" w:lineRule="auto"/>
              <w:jc w:val="both"/>
              <w:rPr>
                <w:rFonts w:ascii="Arial" w:hAnsi="Arial" w:cs="Arial"/>
                <w:sz w:val="24"/>
                <w:szCs w:val="24"/>
              </w:rPr>
            </w:pPr>
            <w:r w:rsidRPr="001C7361">
              <w:rPr>
                <w:rFonts w:ascii="Arial" w:hAnsi="Arial" w:cs="Arial"/>
                <w:sz w:val="24"/>
                <w:szCs w:val="24"/>
              </w:rPr>
              <w:t>In the Matter of the Application of The Dayton Power and Light Company for Approval of Its Amended Corporate Separation Plan</w:t>
            </w:r>
            <w:r>
              <w:rPr>
                <w:rFonts w:ascii="Arial" w:hAnsi="Arial" w:cs="Arial"/>
                <w:sz w:val="24"/>
                <w:szCs w:val="24"/>
              </w:rPr>
              <w:t>.</w:t>
            </w:r>
          </w:p>
        </w:tc>
        <w:tc>
          <w:tcPr>
            <w:tcW w:w="630" w:type="dxa"/>
          </w:tcPr>
          <w:p w14:paraId="4C51F0F6"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E95EF25"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59046037"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17EC0EE6"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56045D21"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00759116"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394BA128"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25723CCC"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2A932511"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6A01D789"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63B6A538" w14:textId="77777777" w:rsidR="004A1711" w:rsidRPr="00CB2697"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70ED383F" w14:textId="77777777" w:rsidR="004A1711" w:rsidRDefault="004A1711" w:rsidP="004A1711">
            <w:pPr>
              <w:widowControl w:val="0"/>
              <w:spacing w:after="0" w:line="240" w:lineRule="auto"/>
              <w:jc w:val="center"/>
              <w:rPr>
                <w:rFonts w:ascii="Arial" w:hAnsi="Arial" w:cs="Arial"/>
                <w:sz w:val="24"/>
                <w:szCs w:val="24"/>
              </w:rPr>
            </w:pPr>
            <w:r w:rsidRPr="00CB2697">
              <w:rPr>
                <w:rFonts w:ascii="Arial" w:hAnsi="Arial" w:cs="Arial"/>
                <w:sz w:val="24"/>
                <w:szCs w:val="24"/>
              </w:rPr>
              <w:t>)</w:t>
            </w:r>
          </w:p>
          <w:p w14:paraId="5793C019" w14:textId="77777777" w:rsidR="004A1711" w:rsidRDefault="004A1711" w:rsidP="004A1711">
            <w:pPr>
              <w:widowControl w:val="0"/>
              <w:spacing w:after="0" w:line="240" w:lineRule="auto"/>
              <w:jc w:val="center"/>
              <w:rPr>
                <w:rFonts w:ascii="Arial" w:hAnsi="Arial" w:cs="Arial"/>
                <w:sz w:val="24"/>
                <w:szCs w:val="24"/>
              </w:rPr>
            </w:pPr>
            <w:r>
              <w:rPr>
                <w:rFonts w:ascii="Arial" w:hAnsi="Arial" w:cs="Arial"/>
                <w:sz w:val="24"/>
                <w:szCs w:val="24"/>
              </w:rPr>
              <w:t>)</w:t>
            </w:r>
          </w:p>
          <w:p w14:paraId="5A3D589F" w14:textId="77777777" w:rsidR="004A1711" w:rsidRDefault="004A1711" w:rsidP="004A1711">
            <w:pPr>
              <w:widowControl w:val="0"/>
              <w:spacing w:after="0" w:line="240" w:lineRule="auto"/>
              <w:jc w:val="center"/>
              <w:rPr>
                <w:rFonts w:ascii="Arial" w:hAnsi="Arial" w:cs="Arial"/>
                <w:sz w:val="24"/>
                <w:szCs w:val="24"/>
              </w:rPr>
            </w:pPr>
            <w:r>
              <w:rPr>
                <w:rFonts w:ascii="Arial" w:hAnsi="Arial" w:cs="Arial"/>
                <w:sz w:val="24"/>
                <w:szCs w:val="24"/>
              </w:rPr>
              <w:t>)</w:t>
            </w:r>
          </w:p>
          <w:p w14:paraId="7E7DA7EC" w14:textId="77777777" w:rsidR="004A1711" w:rsidRDefault="004A1711" w:rsidP="004A1711">
            <w:pPr>
              <w:widowControl w:val="0"/>
              <w:spacing w:after="0" w:line="240" w:lineRule="auto"/>
              <w:jc w:val="center"/>
              <w:rPr>
                <w:rFonts w:ascii="Arial" w:hAnsi="Arial" w:cs="Arial"/>
                <w:sz w:val="24"/>
                <w:szCs w:val="24"/>
              </w:rPr>
            </w:pPr>
            <w:r>
              <w:rPr>
                <w:rFonts w:ascii="Arial" w:hAnsi="Arial" w:cs="Arial"/>
                <w:sz w:val="24"/>
                <w:szCs w:val="24"/>
              </w:rPr>
              <w:t>)</w:t>
            </w:r>
          </w:p>
          <w:p w14:paraId="359FF29C" w14:textId="77777777" w:rsidR="004A1711" w:rsidRDefault="004A1711" w:rsidP="004A1711">
            <w:pPr>
              <w:widowControl w:val="0"/>
              <w:spacing w:after="0" w:line="240" w:lineRule="auto"/>
              <w:jc w:val="center"/>
              <w:rPr>
                <w:rFonts w:ascii="Arial" w:hAnsi="Arial" w:cs="Arial"/>
                <w:sz w:val="24"/>
                <w:szCs w:val="24"/>
              </w:rPr>
            </w:pPr>
            <w:r>
              <w:rPr>
                <w:rFonts w:ascii="Arial" w:hAnsi="Arial" w:cs="Arial"/>
                <w:sz w:val="24"/>
                <w:szCs w:val="24"/>
              </w:rPr>
              <w:t>)</w:t>
            </w:r>
          </w:p>
          <w:p w14:paraId="542B1779" w14:textId="77777777" w:rsidR="004A1711" w:rsidRPr="00CB2697" w:rsidRDefault="004A1711" w:rsidP="004A1711">
            <w:pPr>
              <w:widowControl w:val="0"/>
              <w:spacing w:after="0" w:line="240" w:lineRule="auto"/>
              <w:jc w:val="center"/>
              <w:rPr>
                <w:rFonts w:ascii="Arial" w:hAnsi="Arial" w:cs="Arial"/>
                <w:sz w:val="24"/>
                <w:szCs w:val="24"/>
              </w:rPr>
            </w:pPr>
            <w:r>
              <w:rPr>
                <w:rFonts w:ascii="Arial" w:hAnsi="Arial" w:cs="Arial"/>
                <w:sz w:val="24"/>
                <w:szCs w:val="24"/>
              </w:rPr>
              <w:t>)</w:t>
            </w:r>
          </w:p>
          <w:p w14:paraId="737DF9AC" w14:textId="77777777" w:rsidR="004A1711" w:rsidRPr="00CB2697" w:rsidRDefault="004A1711" w:rsidP="004A1711">
            <w:pPr>
              <w:widowControl w:val="0"/>
              <w:spacing w:after="0" w:line="240" w:lineRule="auto"/>
              <w:rPr>
                <w:rFonts w:ascii="Arial" w:hAnsi="Arial" w:cs="Arial"/>
                <w:sz w:val="24"/>
                <w:szCs w:val="24"/>
              </w:rPr>
            </w:pPr>
          </w:p>
        </w:tc>
        <w:tc>
          <w:tcPr>
            <w:tcW w:w="3928" w:type="dxa"/>
          </w:tcPr>
          <w:p w14:paraId="1E89F5C2" w14:textId="77777777" w:rsidR="004A1711" w:rsidRPr="00CB2697" w:rsidRDefault="004A1711" w:rsidP="004A1711">
            <w:pPr>
              <w:widowControl w:val="0"/>
              <w:spacing w:after="0" w:line="240" w:lineRule="auto"/>
              <w:rPr>
                <w:rFonts w:ascii="Arial" w:hAnsi="Arial" w:cs="Arial"/>
                <w:sz w:val="24"/>
                <w:szCs w:val="24"/>
              </w:rPr>
            </w:pPr>
          </w:p>
          <w:p w14:paraId="2DA5C6E1" w14:textId="77777777" w:rsidR="004A1711" w:rsidRPr="00CB2697" w:rsidRDefault="004A1711" w:rsidP="004A1711">
            <w:pPr>
              <w:widowControl w:val="0"/>
              <w:spacing w:after="0" w:line="240" w:lineRule="auto"/>
              <w:rPr>
                <w:rFonts w:ascii="Arial" w:hAnsi="Arial" w:cs="Arial"/>
                <w:sz w:val="24"/>
                <w:szCs w:val="24"/>
              </w:rPr>
            </w:pPr>
            <w:r>
              <w:rPr>
                <w:rFonts w:ascii="Arial" w:hAnsi="Arial" w:cs="Arial"/>
                <w:sz w:val="24"/>
                <w:szCs w:val="24"/>
              </w:rPr>
              <w:t>Case No. 08-1094</w:t>
            </w:r>
            <w:r w:rsidRPr="00CB2697">
              <w:rPr>
                <w:rFonts w:ascii="Arial" w:hAnsi="Arial" w:cs="Arial"/>
                <w:sz w:val="24"/>
                <w:szCs w:val="24"/>
              </w:rPr>
              <w:t>-EL-SSO</w:t>
            </w:r>
          </w:p>
          <w:p w14:paraId="4BCB7071" w14:textId="77777777" w:rsidR="004A1711" w:rsidRPr="00CB2697" w:rsidRDefault="004A1711" w:rsidP="004A1711">
            <w:pPr>
              <w:widowControl w:val="0"/>
              <w:spacing w:after="0" w:line="240" w:lineRule="auto"/>
              <w:rPr>
                <w:rFonts w:ascii="Arial" w:hAnsi="Arial" w:cs="Arial"/>
                <w:sz w:val="24"/>
                <w:szCs w:val="24"/>
              </w:rPr>
            </w:pPr>
          </w:p>
          <w:p w14:paraId="56A57C8F" w14:textId="77777777" w:rsidR="004A1711" w:rsidRPr="00CB2697" w:rsidRDefault="004A1711" w:rsidP="004A1711">
            <w:pPr>
              <w:widowControl w:val="0"/>
              <w:spacing w:after="0" w:line="240" w:lineRule="auto"/>
              <w:rPr>
                <w:rFonts w:ascii="Arial" w:hAnsi="Arial" w:cs="Arial"/>
                <w:sz w:val="24"/>
                <w:szCs w:val="24"/>
              </w:rPr>
            </w:pPr>
          </w:p>
          <w:p w14:paraId="25A86E2A" w14:textId="77777777" w:rsidR="004A1711" w:rsidRDefault="004A1711" w:rsidP="004A1711">
            <w:pPr>
              <w:widowControl w:val="0"/>
              <w:spacing w:after="0" w:line="240" w:lineRule="auto"/>
              <w:rPr>
                <w:rFonts w:ascii="Arial" w:hAnsi="Arial" w:cs="Arial"/>
                <w:sz w:val="24"/>
                <w:szCs w:val="24"/>
              </w:rPr>
            </w:pPr>
          </w:p>
          <w:p w14:paraId="49971088" w14:textId="77777777" w:rsidR="004A1711" w:rsidRPr="00CB2697" w:rsidRDefault="004A1711" w:rsidP="004A1711">
            <w:pPr>
              <w:widowControl w:val="0"/>
              <w:spacing w:after="0" w:line="240" w:lineRule="auto"/>
              <w:rPr>
                <w:rFonts w:ascii="Arial" w:hAnsi="Arial" w:cs="Arial"/>
                <w:sz w:val="24"/>
                <w:szCs w:val="24"/>
              </w:rPr>
            </w:pPr>
            <w:r>
              <w:rPr>
                <w:rFonts w:ascii="Arial" w:hAnsi="Arial" w:cs="Arial"/>
                <w:sz w:val="24"/>
                <w:szCs w:val="24"/>
              </w:rPr>
              <w:t>Case No. 08</w:t>
            </w:r>
            <w:r w:rsidRPr="00CB2697">
              <w:rPr>
                <w:rFonts w:ascii="Arial" w:hAnsi="Arial" w:cs="Arial"/>
                <w:sz w:val="24"/>
                <w:szCs w:val="24"/>
              </w:rPr>
              <w:t>-</w:t>
            </w:r>
            <w:r>
              <w:rPr>
                <w:rFonts w:ascii="Arial" w:hAnsi="Arial" w:cs="Arial"/>
                <w:sz w:val="24"/>
                <w:szCs w:val="24"/>
              </w:rPr>
              <w:t>1095-</w:t>
            </w:r>
            <w:r w:rsidRPr="00CB2697">
              <w:rPr>
                <w:rFonts w:ascii="Arial" w:hAnsi="Arial" w:cs="Arial"/>
                <w:sz w:val="24"/>
                <w:szCs w:val="24"/>
              </w:rPr>
              <w:t>EL-ATA</w:t>
            </w:r>
          </w:p>
          <w:p w14:paraId="436211FD" w14:textId="77777777" w:rsidR="004A1711" w:rsidRPr="00CB2697" w:rsidRDefault="004A1711" w:rsidP="004A1711">
            <w:pPr>
              <w:widowControl w:val="0"/>
              <w:spacing w:after="0" w:line="240" w:lineRule="auto"/>
              <w:rPr>
                <w:rFonts w:ascii="Arial" w:hAnsi="Arial" w:cs="Arial"/>
                <w:sz w:val="24"/>
                <w:szCs w:val="24"/>
              </w:rPr>
            </w:pPr>
          </w:p>
          <w:p w14:paraId="2458F5EC" w14:textId="77777777" w:rsidR="004A1711" w:rsidRPr="00CB2697" w:rsidRDefault="004A1711" w:rsidP="004A1711">
            <w:pPr>
              <w:widowControl w:val="0"/>
              <w:spacing w:after="0" w:line="240" w:lineRule="auto"/>
              <w:rPr>
                <w:rFonts w:ascii="Arial" w:hAnsi="Arial" w:cs="Arial"/>
                <w:sz w:val="24"/>
                <w:szCs w:val="24"/>
              </w:rPr>
            </w:pPr>
          </w:p>
          <w:p w14:paraId="03DF1E81" w14:textId="77777777" w:rsidR="004A1711" w:rsidRPr="00CB2697" w:rsidRDefault="004A1711" w:rsidP="004A1711">
            <w:pPr>
              <w:widowControl w:val="0"/>
              <w:spacing w:after="0" w:line="240" w:lineRule="auto"/>
              <w:rPr>
                <w:rFonts w:ascii="Arial" w:hAnsi="Arial" w:cs="Arial"/>
                <w:sz w:val="24"/>
                <w:szCs w:val="24"/>
              </w:rPr>
            </w:pPr>
          </w:p>
          <w:p w14:paraId="21A1DE15" w14:textId="77777777" w:rsidR="004A1711" w:rsidRDefault="004A1711" w:rsidP="004A1711">
            <w:pPr>
              <w:widowControl w:val="0"/>
              <w:spacing w:after="0" w:line="240" w:lineRule="auto"/>
              <w:rPr>
                <w:rFonts w:ascii="Arial" w:hAnsi="Arial" w:cs="Arial"/>
                <w:sz w:val="24"/>
                <w:szCs w:val="24"/>
              </w:rPr>
            </w:pPr>
            <w:r>
              <w:rPr>
                <w:rFonts w:ascii="Arial" w:hAnsi="Arial" w:cs="Arial"/>
                <w:sz w:val="24"/>
                <w:szCs w:val="24"/>
              </w:rPr>
              <w:t>Case No. 08-1096-EL-AAM</w:t>
            </w:r>
          </w:p>
          <w:p w14:paraId="59D18D57" w14:textId="77777777" w:rsidR="004A1711" w:rsidRDefault="004A1711" w:rsidP="004A1711">
            <w:pPr>
              <w:widowControl w:val="0"/>
              <w:spacing w:after="0" w:line="240" w:lineRule="auto"/>
              <w:rPr>
                <w:rFonts w:ascii="Arial" w:hAnsi="Arial" w:cs="Arial"/>
                <w:sz w:val="24"/>
                <w:szCs w:val="24"/>
              </w:rPr>
            </w:pPr>
          </w:p>
          <w:p w14:paraId="572827E8" w14:textId="77777777" w:rsidR="004A1711" w:rsidRDefault="004A1711" w:rsidP="004A1711">
            <w:pPr>
              <w:widowControl w:val="0"/>
              <w:spacing w:after="0" w:line="240" w:lineRule="auto"/>
              <w:rPr>
                <w:rFonts w:ascii="Arial" w:hAnsi="Arial" w:cs="Arial"/>
                <w:sz w:val="24"/>
                <w:szCs w:val="24"/>
              </w:rPr>
            </w:pPr>
          </w:p>
          <w:p w14:paraId="3A8FDF4D" w14:textId="77777777" w:rsidR="004A1711" w:rsidRDefault="004A1711" w:rsidP="004A1711">
            <w:pPr>
              <w:widowControl w:val="0"/>
              <w:spacing w:after="0" w:line="240" w:lineRule="auto"/>
              <w:rPr>
                <w:rFonts w:ascii="Arial" w:hAnsi="Arial" w:cs="Arial"/>
                <w:sz w:val="24"/>
                <w:szCs w:val="24"/>
              </w:rPr>
            </w:pPr>
          </w:p>
          <w:p w14:paraId="3C7655A7" w14:textId="77777777" w:rsidR="004A1711" w:rsidRDefault="004A1711" w:rsidP="004A1711">
            <w:pPr>
              <w:widowControl w:val="0"/>
              <w:spacing w:after="0" w:line="240" w:lineRule="auto"/>
              <w:rPr>
                <w:rFonts w:ascii="Arial" w:hAnsi="Arial" w:cs="Arial"/>
                <w:sz w:val="24"/>
                <w:szCs w:val="24"/>
              </w:rPr>
            </w:pPr>
          </w:p>
          <w:p w14:paraId="0FCDA0B0" w14:textId="22C0C8DA" w:rsidR="004A1711" w:rsidRPr="00CB2697" w:rsidRDefault="004A1711" w:rsidP="004A1711">
            <w:pPr>
              <w:widowControl w:val="0"/>
              <w:spacing w:after="0" w:line="240" w:lineRule="auto"/>
              <w:rPr>
                <w:rFonts w:ascii="Arial" w:hAnsi="Arial" w:cs="Arial"/>
                <w:sz w:val="24"/>
                <w:szCs w:val="24"/>
              </w:rPr>
            </w:pPr>
            <w:r>
              <w:rPr>
                <w:rFonts w:ascii="Arial" w:hAnsi="Arial" w:cs="Arial"/>
                <w:sz w:val="24"/>
                <w:szCs w:val="24"/>
              </w:rPr>
              <w:t>Case No. 08-1097-EL-UNC</w:t>
            </w:r>
          </w:p>
        </w:tc>
      </w:tr>
    </w:tbl>
    <w:p w14:paraId="0804716A" w14:textId="77777777" w:rsidR="00237730" w:rsidRPr="009D71F6" w:rsidRDefault="00237730" w:rsidP="00237730">
      <w:pPr>
        <w:widowControl w:val="0"/>
        <w:pBdr>
          <w:bottom w:val="single" w:sz="12" w:space="0" w:color="auto"/>
        </w:pBdr>
        <w:spacing w:after="0" w:line="240" w:lineRule="auto"/>
        <w:rPr>
          <w:rFonts w:ascii="Arial" w:hAnsi="Arial" w:cs="Arial"/>
          <w:sz w:val="24"/>
          <w:szCs w:val="24"/>
        </w:rPr>
      </w:pPr>
    </w:p>
    <w:p w14:paraId="2D7FB604" w14:textId="77777777" w:rsidR="00237730" w:rsidRPr="009D71F6" w:rsidRDefault="00237730" w:rsidP="00237730">
      <w:pPr>
        <w:widowControl w:val="0"/>
        <w:spacing w:after="0" w:line="240" w:lineRule="auto"/>
        <w:jc w:val="center"/>
        <w:rPr>
          <w:rFonts w:ascii="Arial" w:hAnsi="Arial" w:cs="Arial"/>
          <w:b/>
          <w:bCs/>
          <w:sz w:val="24"/>
          <w:szCs w:val="24"/>
        </w:rPr>
      </w:pPr>
    </w:p>
    <w:p w14:paraId="17768E5F" w14:textId="3E2DC507" w:rsidR="00237730" w:rsidRPr="009D71F6" w:rsidRDefault="0037638B" w:rsidP="00237730">
      <w:pPr>
        <w:widowControl w:val="0"/>
        <w:spacing w:after="0" w:line="240" w:lineRule="auto"/>
        <w:jc w:val="center"/>
        <w:rPr>
          <w:rFonts w:ascii="Arial" w:hAnsi="Arial" w:cs="Arial"/>
          <w:b/>
          <w:bCs/>
          <w:sz w:val="24"/>
          <w:szCs w:val="24"/>
        </w:rPr>
      </w:pPr>
      <w:r>
        <w:rPr>
          <w:rFonts w:ascii="Arial" w:hAnsi="Arial" w:cs="Arial"/>
          <w:b/>
          <w:bCs/>
          <w:sz w:val="24"/>
          <w:szCs w:val="24"/>
        </w:rPr>
        <w:t>COMMENTS</w:t>
      </w:r>
    </w:p>
    <w:p w14:paraId="5C6BDE06" w14:textId="77777777" w:rsidR="00237730" w:rsidRPr="009D71F6" w:rsidRDefault="00237730" w:rsidP="00237730">
      <w:pPr>
        <w:widowControl w:val="0"/>
        <w:pBdr>
          <w:bottom w:val="single" w:sz="12" w:space="1" w:color="auto"/>
        </w:pBdr>
        <w:tabs>
          <w:tab w:val="left" w:pos="6461"/>
        </w:tabs>
        <w:spacing w:after="0" w:line="240" w:lineRule="auto"/>
        <w:jc w:val="center"/>
        <w:rPr>
          <w:rFonts w:ascii="Arial" w:hAnsi="Arial" w:cs="Arial"/>
          <w:sz w:val="24"/>
          <w:szCs w:val="24"/>
        </w:rPr>
      </w:pPr>
    </w:p>
    <w:p w14:paraId="31317229" w14:textId="77777777" w:rsidR="00237730" w:rsidRPr="009D71F6" w:rsidRDefault="00237730" w:rsidP="00237730">
      <w:pPr>
        <w:tabs>
          <w:tab w:val="left" w:pos="360"/>
        </w:tabs>
        <w:spacing w:after="0" w:line="240" w:lineRule="auto"/>
        <w:ind w:left="360" w:hanging="360"/>
        <w:jc w:val="both"/>
        <w:rPr>
          <w:rFonts w:ascii="Arial" w:hAnsi="Arial" w:cs="Arial"/>
          <w:sz w:val="24"/>
          <w:szCs w:val="24"/>
        </w:rPr>
      </w:pPr>
    </w:p>
    <w:p w14:paraId="29427BA6" w14:textId="7C75A921" w:rsidR="00EF0EF7" w:rsidRDefault="00EF0EF7" w:rsidP="00EF0EF7">
      <w:pPr>
        <w:pStyle w:val="ListParagraph"/>
        <w:numPr>
          <w:ilvl w:val="0"/>
          <w:numId w:val="8"/>
        </w:numPr>
        <w:autoSpaceDE w:val="0"/>
        <w:autoSpaceDN w:val="0"/>
        <w:adjustRightInd w:val="0"/>
        <w:spacing w:after="120" w:line="480" w:lineRule="auto"/>
        <w:jc w:val="both"/>
        <w:rPr>
          <w:rFonts w:ascii="Arial" w:hAnsi="Arial" w:cs="Arial"/>
          <w:b/>
          <w:sz w:val="24"/>
          <w:szCs w:val="24"/>
        </w:rPr>
      </w:pPr>
      <w:r>
        <w:rPr>
          <w:rFonts w:ascii="Arial" w:hAnsi="Arial" w:cs="Arial"/>
          <w:b/>
          <w:sz w:val="24"/>
          <w:szCs w:val="24"/>
        </w:rPr>
        <w:t>INTRODUCTION</w:t>
      </w:r>
    </w:p>
    <w:p w14:paraId="29E26C59" w14:textId="77777777" w:rsidR="007007B4" w:rsidRDefault="00EF0EF7" w:rsidP="007007B4">
      <w:pPr>
        <w:spacing w:after="120" w:line="480" w:lineRule="auto"/>
        <w:ind w:firstLine="720"/>
        <w:jc w:val="both"/>
        <w:rPr>
          <w:rFonts w:ascii="Arial" w:hAnsi="Arial" w:cs="Arial"/>
          <w:sz w:val="24"/>
          <w:szCs w:val="24"/>
        </w:rPr>
      </w:pPr>
      <w:r w:rsidRPr="00EF0EF7">
        <w:rPr>
          <w:rFonts w:ascii="Arial" w:hAnsi="Arial" w:cs="Arial"/>
          <w:sz w:val="24"/>
          <w:szCs w:val="24"/>
        </w:rPr>
        <w:t>Following the Supreme Court of Ohio’s decision in Case No. 2014-1505, the Dayton Power and Light Company (“DP&amp;L”)</w:t>
      </w:r>
      <w:r>
        <w:rPr>
          <w:rFonts w:ascii="Arial" w:hAnsi="Arial" w:cs="Arial"/>
          <w:sz w:val="24"/>
          <w:szCs w:val="24"/>
        </w:rPr>
        <w:t xml:space="preserve"> requested Public Utilities Commission of Ohio (“Commission”) authorization</w:t>
      </w:r>
      <w:r w:rsidRPr="00EF0EF7">
        <w:rPr>
          <w:rFonts w:ascii="Arial" w:hAnsi="Arial" w:cs="Arial"/>
          <w:sz w:val="24"/>
          <w:szCs w:val="24"/>
        </w:rPr>
        <w:t xml:space="preserve"> to</w:t>
      </w:r>
      <w:r>
        <w:rPr>
          <w:rFonts w:ascii="Arial" w:hAnsi="Arial" w:cs="Arial"/>
          <w:sz w:val="24"/>
          <w:szCs w:val="24"/>
        </w:rPr>
        <w:t xml:space="preserve"> withdraw from its second electric security plan (“ESP”) (Case Nos. 12-426-EL-SSO, </w:t>
      </w:r>
      <w:r w:rsidRPr="00EF0EF7">
        <w:rPr>
          <w:rFonts w:ascii="Arial" w:hAnsi="Arial" w:cs="Arial"/>
          <w:i/>
          <w:sz w:val="24"/>
          <w:szCs w:val="24"/>
        </w:rPr>
        <w:t>et al.</w:t>
      </w:r>
      <w:r>
        <w:rPr>
          <w:rFonts w:ascii="Arial" w:hAnsi="Arial" w:cs="Arial"/>
          <w:sz w:val="24"/>
          <w:szCs w:val="24"/>
        </w:rPr>
        <w:t>) and to</w:t>
      </w:r>
      <w:r w:rsidRPr="00EF0EF7">
        <w:rPr>
          <w:rFonts w:ascii="Arial" w:hAnsi="Arial" w:cs="Arial"/>
          <w:sz w:val="24"/>
          <w:szCs w:val="24"/>
        </w:rPr>
        <w:t xml:space="preserve"> </w:t>
      </w:r>
      <w:r>
        <w:rPr>
          <w:rFonts w:ascii="Arial" w:hAnsi="Arial" w:cs="Arial"/>
          <w:sz w:val="24"/>
          <w:szCs w:val="24"/>
        </w:rPr>
        <w:t>implement</w:t>
      </w:r>
      <w:r w:rsidRPr="00EF0EF7">
        <w:rPr>
          <w:rFonts w:ascii="Arial" w:hAnsi="Arial" w:cs="Arial"/>
          <w:sz w:val="24"/>
          <w:szCs w:val="24"/>
        </w:rPr>
        <w:t xml:space="preserve"> rates that are consistent with its first </w:t>
      </w:r>
      <w:r>
        <w:rPr>
          <w:rFonts w:ascii="Arial" w:hAnsi="Arial" w:cs="Arial"/>
          <w:sz w:val="24"/>
          <w:szCs w:val="24"/>
        </w:rPr>
        <w:t xml:space="preserve">ESP </w:t>
      </w:r>
      <w:r>
        <w:rPr>
          <w:rFonts w:ascii="Arial" w:hAnsi="Arial" w:cs="Arial"/>
          <w:sz w:val="24"/>
          <w:szCs w:val="24"/>
        </w:rPr>
        <w:lastRenderedPageBreak/>
        <w:t xml:space="preserve">(Case Nos. 08-1094-EL-SSO, </w:t>
      </w:r>
      <w:r>
        <w:rPr>
          <w:rFonts w:ascii="Arial" w:hAnsi="Arial" w:cs="Arial"/>
          <w:i/>
          <w:sz w:val="24"/>
          <w:szCs w:val="24"/>
        </w:rPr>
        <w:t>et al.</w:t>
      </w:r>
      <w:r>
        <w:rPr>
          <w:rFonts w:ascii="Arial" w:hAnsi="Arial" w:cs="Arial"/>
          <w:sz w:val="24"/>
          <w:szCs w:val="24"/>
        </w:rPr>
        <w:t>)</w:t>
      </w:r>
      <w:r w:rsidRPr="00EF0EF7">
        <w:rPr>
          <w:rFonts w:ascii="Arial" w:hAnsi="Arial" w:cs="Arial"/>
          <w:sz w:val="24"/>
          <w:szCs w:val="24"/>
        </w:rPr>
        <w:t>.</w:t>
      </w:r>
      <w:r>
        <w:rPr>
          <w:rFonts w:ascii="Arial" w:hAnsi="Arial" w:cs="Arial"/>
          <w:sz w:val="24"/>
          <w:szCs w:val="24"/>
        </w:rPr>
        <w:t xml:space="preserve">  While</w:t>
      </w:r>
      <w:r w:rsidRPr="00EF0EF7">
        <w:rPr>
          <w:rFonts w:ascii="Arial" w:hAnsi="Arial" w:cs="Arial"/>
          <w:sz w:val="24"/>
          <w:szCs w:val="24"/>
        </w:rPr>
        <w:t xml:space="preserve"> </w:t>
      </w:r>
      <w:r>
        <w:rPr>
          <w:rFonts w:ascii="Arial" w:hAnsi="Arial" w:cs="Arial"/>
          <w:sz w:val="24"/>
          <w:szCs w:val="24"/>
        </w:rPr>
        <w:t>p</w:t>
      </w:r>
      <w:r w:rsidRPr="00EF0EF7">
        <w:rPr>
          <w:rFonts w:ascii="Arial" w:hAnsi="Arial" w:cs="Arial"/>
          <w:sz w:val="24"/>
          <w:szCs w:val="24"/>
        </w:rPr>
        <w:t xml:space="preserve">arties may raise legitimate </w:t>
      </w:r>
      <w:r>
        <w:rPr>
          <w:rFonts w:ascii="Arial" w:hAnsi="Arial" w:cs="Arial"/>
          <w:sz w:val="24"/>
          <w:szCs w:val="24"/>
        </w:rPr>
        <w:t xml:space="preserve">legal arguments to </w:t>
      </w:r>
      <w:r w:rsidRPr="00EF0EF7">
        <w:rPr>
          <w:rFonts w:ascii="Arial" w:hAnsi="Arial" w:cs="Arial"/>
          <w:sz w:val="24"/>
          <w:szCs w:val="24"/>
        </w:rPr>
        <w:t>DP&amp;L</w:t>
      </w:r>
      <w:r>
        <w:rPr>
          <w:rFonts w:ascii="Arial" w:hAnsi="Arial" w:cs="Arial"/>
          <w:sz w:val="24"/>
          <w:szCs w:val="24"/>
        </w:rPr>
        <w:t>’s request to withdraw from its ESP, IGS files these comments—</w:t>
      </w:r>
      <w:r w:rsidRPr="00EF0EF7">
        <w:rPr>
          <w:rFonts w:ascii="Arial" w:hAnsi="Arial" w:cs="Arial"/>
          <w:sz w:val="24"/>
          <w:szCs w:val="24"/>
        </w:rPr>
        <w:t xml:space="preserve">to the extent </w:t>
      </w:r>
      <w:r>
        <w:rPr>
          <w:rFonts w:ascii="Arial" w:hAnsi="Arial" w:cs="Arial"/>
          <w:sz w:val="24"/>
          <w:szCs w:val="24"/>
        </w:rPr>
        <w:t xml:space="preserve">that the Commission entertains DP&amp;L’s request—to urge the </w:t>
      </w:r>
      <w:r w:rsidRPr="00EF0EF7">
        <w:rPr>
          <w:rFonts w:ascii="Arial" w:hAnsi="Arial" w:cs="Arial"/>
          <w:sz w:val="24"/>
          <w:szCs w:val="24"/>
        </w:rPr>
        <w:t>Commission to ensure that DP&amp;L’s successor tariffs are just and reasonable and do not undermine the competitive conditions in the retail electric market. Specifically, IGS urges the</w:t>
      </w:r>
      <w:r>
        <w:rPr>
          <w:rFonts w:ascii="Arial" w:hAnsi="Arial" w:cs="Arial"/>
          <w:sz w:val="24"/>
          <w:szCs w:val="24"/>
        </w:rPr>
        <w:t xml:space="preserve"> Commission maintain DP&amp;L’s </w:t>
      </w:r>
      <w:r w:rsidRPr="00EF0EF7">
        <w:rPr>
          <w:rFonts w:ascii="Arial" w:hAnsi="Arial" w:cs="Arial"/>
          <w:sz w:val="24"/>
          <w:szCs w:val="24"/>
        </w:rPr>
        <w:t>non-bypassable</w:t>
      </w:r>
      <w:r>
        <w:rPr>
          <w:rFonts w:ascii="Arial" w:hAnsi="Arial" w:cs="Arial"/>
          <w:sz w:val="24"/>
          <w:szCs w:val="24"/>
        </w:rPr>
        <w:t xml:space="preserve"> transmission rider</w:t>
      </w:r>
      <w:r w:rsidR="007007B4">
        <w:rPr>
          <w:rFonts w:ascii="Arial" w:hAnsi="Arial" w:cs="Arial"/>
          <w:sz w:val="24"/>
          <w:szCs w:val="24"/>
        </w:rPr>
        <w:t xml:space="preserve"> in order to avoid harm to the retail electric service market</w:t>
      </w:r>
      <w:r>
        <w:rPr>
          <w:rFonts w:ascii="Arial" w:hAnsi="Arial" w:cs="Arial"/>
          <w:sz w:val="24"/>
          <w:szCs w:val="24"/>
        </w:rPr>
        <w:t xml:space="preserve">.  </w:t>
      </w:r>
    </w:p>
    <w:p w14:paraId="48E644FC" w14:textId="6DA0149E" w:rsidR="00EF0EF7" w:rsidRPr="007007B4" w:rsidRDefault="00EF0EF7" w:rsidP="007007B4">
      <w:pPr>
        <w:pStyle w:val="ListParagraph"/>
        <w:numPr>
          <w:ilvl w:val="0"/>
          <w:numId w:val="8"/>
        </w:numPr>
        <w:spacing w:after="120" w:line="480" w:lineRule="auto"/>
        <w:jc w:val="both"/>
        <w:rPr>
          <w:rFonts w:ascii="Arial" w:hAnsi="Arial" w:cs="Arial"/>
          <w:b/>
          <w:sz w:val="24"/>
          <w:szCs w:val="24"/>
        </w:rPr>
      </w:pPr>
      <w:r w:rsidRPr="007007B4">
        <w:rPr>
          <w:rFonts w:ascii="Arial" w:hAnsi="Arial" w:cs="Arial"/>
          <w:b/>
          <w:sz w:val="24"/>
          <w:szCs w:val="24"/>
        </w:rPr>
        <w:t>BACKGROUND</w:t>
      </w:r>
      <w:r w:rsidR="00270E99" w:rsidRPr="007007B4">
        <w:rPr>
          <w:rFonts w:ascii="Arial" w:hAnsi="Arial" w:cs="Arial"/>
          <w:b/>
          <w:sz w:val="24"/>
          <w:szCs w:val="24"/>
        </w:rPr>
        <w:t xml:space="preserve"> AND COMMENTS</w:t>
      </w:r>
    </w:p>
    <w:p w14:paraId="427FE5A6" w14:textId="5ECA6C61" w:rsidR="00270E99" w:rsidRPr="00270E99" w:rsidRDefault="00270E99" w:rsidP="00270E99">
      <w:pPr>
        <w:pStyle w:val="ListParagraph"/>
        <w:numPr>
          <w:ilvl w:val="0"/>
          <w:numId w:val="9"/>
        </w:numPr>
        <w:autoSpaceDE w:val="0"/>
        <w:autoSpaceDN w:val="0"/>
        <w:adjustRightInd w:val="0"/>
        <w:spacing w:after="120" w:line="480" w:lineRule="auto"/>
        <w:jc w:val="both"/>
        <w:rPr>
          <w:rFonts w:ascii="Arial" w:hAnsi="Arial" w:cs="Arial"/>
          <w:b/>
          <w:sz w:val="24"/>
          <w:szCs w:val="24"/>
        </w:rPr>
      </w:pPr>
      <w:r w:rsidRPr="00270E99">
        <w:rPr>
          <w:rFonts w:ascii="Arial" w:hAnsi="Arial" w:cs="Arial"/>
          <w:b/>
          <w:sz w:val="24"/>
          <w:szCs w:val="24"/>
        </w:rPr>
        <w:t>DP&amp;L’s request to withdraw its ESP</w:t>
      </w:r>
    </w:p>
    <w:p w14:paraId="57C1C6FA" w14:textId="1D6D6DEC" w:rsidR="00131AC7" w:rsidRDefault="00131AC7" w:rsidP="00131AC7">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On June 20, 2016, the Supreme Court of Ohio issued a decision</w:t>
      </w:r>
      <w:r w:rsidR="005160BB">
        <w:rPr>
          <w:rFonts w:ascii="Arial" w:hAnsi="Arial" w:cs="Arial"/>
          <w:sz w:val="24"/>
          <w:szCs w:val="24"/>
        </w:rPr>
        <w:t xml:space="preserve"> in Case No. 201</w:t>
      </w:r>
      <w:r>
        <w:rPr>
          <w:rFonts w:ascii="Arial" w:hAnsi="Arial" w:cs="Arial"/>
          <w:sz w:val="24"/>
          <w:szCs w:val="24"/>
        </w:rPr>
        <w:t>4-1505 reversing DP&amp;L’s second ESP.  That appeal was largely focused on the Commission’s approval of a non-bypassable Service Stability Rider (“SSR”), which many parties argued allowed DP&amp;L to recover unlawful transition revenue in violation of R.C. 4928.38.  The Court’s order merely stated that the case is reversed, relying upon the authority stemming from the Court’s order reversing and remanding Ohio Power Company’s second ESP (</w:t>
      </w:r>
      <w:r>
        <w:rPr>
          <w:rFonts w:ascii="Arial" w:hAnsi="Arial" w:cs="Arial"/>
          <w:i/>
          <w:sz w:val="24"/>
          <w:szCs w:val="24"/>
        </w:rPr>
        <w:t>Ohio Power Decision)</w:t>
      </w:r>
      <w:r>
        <w:rPr>
          <w:rFonts w:ascii="Arial" w:hAnsi="Arial" w:cs="Arial"/>
          <w:sz w:val="24"/>
          <w:szCs w:val="24"/>
        </w:rPr>
        <w:t xml:space="preserve">.  That decision reversed the authorization of untimely transition revenue.  Although the decision issued by the Court in Case No. 2014-1505 did not contain a written opinion, it is quite clear that the decision relied upon the portion of the </w:t>
      </w:r>
      <w:r>
        <w:rPr>
          <w:rFonts w:ascii="Arial" w:hAnsi="Arial" w:cs="Arial"/>
          <w:sz w:val="24"/>
          <w:szCs w:val="24"/>
        </w:rPr>
        <w:lastRenderedPageBreak/>
        <w:t>Ohio Power decision relating to transition revenue.</w:t>
      </w:r>
      <w:r w:rsidRPr="00131AC7">
        <w:rPr>
          <w:rFonts w:ascii="Arial" w:hAnsi="Arial" w:cs="Arial"/>
          <w:sz w:val="24"/>
          <w:szCs w:val="24"/>
        </w:rPr>
        <w:t xml:space="preserve"> </w:t>
      </w:r>
      <w:r>
        <w:rPr>
          <w:rFonts w:ascii="Arial" w:hAnsi="Arial" w:cs="Arial"/>
          <w:sz w:val="24"/>
          <w:szCs w:val="24"/>
        </w:rPr>
        <w:t xml:space="preserve">Indeed, DP&amp;L and the Commission relied upon the order reversed by the </w:t>
      </w:r>
      <w:r>
        <w:rPr>
          <w:rFonts w:ascii="Arial" w:hAnsi="Arial" w:cs="Arial"/>
          <w:i/>
          <w:sz w:val="24"/>
          <w:szCs w:val="24"/>
        </w:rPr>
        <w:t>Ohio Power Decision</w:t>
      </w:r>
      <w:r>
        <w:rPr>
          <w:rFonts w:ascii="Arial" w:hAnsi="Arial" w:cs="Arial"/>
          <w:sz w:val="24"/>
          <w:szCs w:val="24"/>
        </w:rPr>
        <w:t xml:space="preserve"> to defend and support the S</w:t>
      </w:r>
      <w:bookmarkStart w:id="0" w:name="_GoBack"/>
      <w:bookmarkEnd w:id="0"/>
      <w:r>
        <w:rPr>
          <w:rFonts w:ascii="Arial" w:hAnsi="Arial" w:cs="Arial"/>
          <w:sz w:val="24"/>
          <w:szCs w:val="24"/>
        </w:rPr>
        <w:t xml:space="preserve">SR at issue Case No. 2014-1505.   </w:t>
      </w:r>
      <w:r>
        <w:rPr>
          <w:rFonts w:ascii="Arial" w:hAnsi="Arial" w:cs="Arial"/>
          <w:sz w:val="24"/>
          <w:szCs w:val="24"/>
        </w:rPr>
        <w:tab/>
        <w:t xml:space="preserve"> </w:t>
      </w:r>
    </w:p>
    <w:p w14:paraId="15DEA7F9" w14:textId="0787C6E4" w:rsidR="00270E99" w:rsidRDefault="00131AC7" w:rsidP="00270E99">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  Following the Court’s decision in Case No. 2014-1505, on July 27, 2016, the DP&amp;L</w:t>
      </w:r>
      <w:r w:rsidR="005160BB">
        <w:rPr>
          <w:rFonts w:ascii="Arial" w:hAnsi="Arial" w:cs="Arial"/>
          <w:sz w:val="24"/>
          <w:szCs w:val="24"/>
        </w:rPr>
        <w:t xml:space="preserve"> filed in its </w:t>
      </w:r>
      <w:r w:rsidR="00080053">
        <w:rPr>
          <w:rFonts w:ascii="Arial" w:hAnsi="Arial" w:cs="Arial"/>
          <w:sz w:val="24"/>
          <w:szCs w:val="24"/>
        </w:rPr>
        <w:t xml:space="preserve">existing ESP </w:t>
      </w:r>
      <w:r w:rsidR="005160BB">
        <w:rPr>
          <w:rFonts w:ascii="Arial" w:hAnsi="Arial" w:cs="Arial"/>
          <w:sz w:val="24"/>
          <w:szCs w:val="24"/>
        </w:rPr>
        <w:t xml:space="preserve">docket (Case Nos. 12-426-EL-SSO, </w:t>
      </w:r>
      <w:r w:rsidR="005160BB">
        <w:rPr>
          <w:rFonts w:ascii="Arial" w:hAnsi="Arial" w:cs="Arial"/>
          <w:i/>
          <w:sz w:val="24"/>
          <w:szCs w:val="24"/>
        </w:rPr>
        <w:t>et al.</w:t>
      </w:r>
      <w:r w:rsidR="00080053">
        <w:rPr>
          <w:rFonts w:ascii="Arial" w:hAnsi="Arial" w:cs="Arial"/>
          <w:sz w:val="24"/>
          <w:szCs w:val="24"/>
        </w:rPr>
        <w:t xml:space="preserve">) a Motion to Withdraw its Applications, as well as Motion to Implement Previously Authorized Rates.  On that same day, DP&amp;L filed in its first ESP Case, a Motion to Implement Previously Authorized Rates.  Throughout its three motions, DP&amp;L asserts two arguments in favor of its request to withdraw from its ESP.  First, that DP&amp;L has the right to withdraw under R.C. 4928.143(C)(2)(a), alleging that the Commission’s implementation of the Court’s decision results in a modification of its ESP Application. In the alternative, DP&amp;L alleges it would be appropriate to approve rates consistent with its first ESP because DP&amp;L is only permitted to provide an SSO that has been lawfully approved under R.C. 4928.143.  DP&amp;L alleges that its existing ESP has been determined to be unlawful in its entirety; therefore, it would be appropriate to approve rates consistent with its prior ESP. </w:t>
      </w:r>
      <w:r w:rsidR="00270E99">
        <w:rPr>
          <w:rFonts w:ascii="Arial" w:hAnsi="Arial" w:cs="Arial"/>
          <w:sz w:val="24"/>
          <w:szCs w:val="24"/>
        </w:rPr>
        <w:t xml:space="preserve">  </w:t>
      </w:r>
    </w:p>
    <w:p w14:paraId="485366F7" w14:textId="222C30CF" w:rsidR="00270E99" w:rsidRPr="00270E99" w:rsidRDefault="007007B4" w:rsidP="00270E99">
      <w:pPr>
        <w:pStyle w:val="ListParagraph"/>
        <w:numPr>
          <w:ilvl w:val="0"/>
          <w:numId w:val="9"/>
        </w:numPr>
        <w:autoSpaceDE w:val="0"/>
        <w:autoSpaceDN w:val="0"/>
        <w:adjustRightInd w:val="0"/>
        <w:spacing w:after="120" w:line="480" w:lineRule="auto"/>
        <w:ind w:left="1080"/>
        <w:jc w:val="both"/>
        <w:rPr>
          <w:rFonts w:ascii="Arial" w:hAnsi="Arial" w:cs="Arial"/>
          <w:b/>
          <w:sz w:val="24"/>
          <w:szCs w:val="24"/>
        </w:rPr>
      </w:pPr>
      <w:r>
        <w:rPr>
          <w:rFonts w:ascii="Arial" w:hAnsi="Arial" w:cs="Arial"/>
          <w:b/>
          <w:sz w:val="24"/>
          <w:szCs w:val="24"/>
        </w:rPr>
        <w:t>DP&amp;L’s proposed rates</w:t>
      </w:r>
    </w:p>
    <w:p w14:paraId="38C44534" w14:textId="0C7C14EA" w:rsidR="005160BB" w:rsidRDefault="005160BB" w:rsidP="00080053">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lastRenderedPageBreak/>
        <w:t xml:space="preserve">On August 1, 2016, DP&amp;L filed in this proceeding a Notice of Filing Proposed Tariffs in this proceeding (“Proposed Tariffs”).  According to DP&amp;L, the Proposed Tariffs are “consistent with the </w:t>
      </w:r>
      <w:r w:rsidRPr="00753DF0">
        <w:rPr>
          <w:rFonts w:ascii="Arial" w:hAnsi="Arial" w:cs="Arial"/>
          <w:sz w:val="24"/>
          <w:szCs w:val="24"/>
        </w:rPr>
        <w:t>tariffs that the Commission approved in its June 24, 2009 Opinion and Order in this matter ("ESP I") and that were in effect before the Commission's Order in ESP II</w:t>
      </w:r>
      <w:r w:rsidR="007007B4">
        <w:rPr>
          <w:rFonts w:ascii="Arial" w:hAnsi="Arial" w:cs="Arial"/>
          <w:sz w:val="24"/>
          <w:szCs w:val="24"/>
        </w:rPr>
        <w:t xml:space="preserve">.”  Among other things, </w:t>
      </w:r>
      <w:r>
        <w:rPr>
          <w:rFonts w:ascii="Arial" w:hAnsi="Arial" w:cs="Arial"/>
          <w:sz w:val="24"/>
          <w:szCs w:val="24"/>
        </w:rPr>
        <w:t xml:space="preserve">DP&amp;L has proposed to retain its existing transmission rates, which are currently non-bypassable for customers that select a competitive retail electric service (“CRES”) provider.  Moreover, DP&amp;L proposed to continue to, in part, establish the price of SSO rates through the auction-based process utilized in Case Nos. 12-426-EL-SSO, </w:t>
      </w:r>
      <w:r>
        <w:rPr>
          <w:rFonts w:ascii="Arial" w:hAnsi="Arial" w:cs="Arial"/>
          <w:i/>
          <w:sz w:val="24"/>
          <w:szCs w:val="24"/>
        </w:rPr>
        <w:t>et al</w:t>
      </w:r>
      <w:r>
        <w:rPr>
          <w:rFonts w:ascii="Arial" w:hAnsi="Arial" w:cs="Arial"/>
          <w:sz w:val="24"/>
          <w:szCs w:val="24"/>
        </w:rPr>
        <w:t xml:space="preserve">.  DP&amp;L further requests that the Proposed Tariffs remain in effect until the Commission issues a ruling on its pending ESP proposal in Case Nos. 16-395-EL-SSO, </w:t>
      </w:r>
      <w:r>
        <w:rPr>
          <w:rFonts w:ascii="Arial" w:hAnsi="Arial" w:cs="Arial"/>
          <w:i/>
          <w:sz w:val="24"/>
          <w:szCs w:val="24"/>
        </w:rPr>
        <w:t>et al.</w:t>
      </w:r>
      <w:r>
        <w:rPr>
          <w:rFonts w:ascii="Arial" w:hAnsi="Arial" w:cs="Arial"/>
          <w:sz w:val="24"/>
          <w:szCs w:val="24"/>
        </w:rPr>
        <w:t xml:space="preserve"> </w:t>
      </w:r>
    </w:p>
    <w:p w14:paraId="496092D9" w14:textId="1D2B33C2" w:rsidR="007007B4" w:rsidRDefault="007007B4" w:rsidP="007007B4">
      <w:pPr>
        <w:spacing w:after="120" w:line="480" w:lineRule="auto"/>
        <w:ind w:firstLine="720"/>
        <w:jc w:val="both"/>
        <w:rPr>
          <w:rFonts w:ascii="Arial" w:hAnsi="Arial" w:cs="Arial"/>
          <w:sz w:val="24"/>
          <w:szCs w:val="24"/>
        </w:rPr>
      </w:pPr>
      <w:r>
        <w:rPr>
          <w:rFonts w:ascii="Arial" w:hAnsi="Arial" w:cs="Arial"/>
          <w:sz w:val="24"/>
          <w:szCs w:val="24"/>
        </w:rPr>
        <w:tab/>
        <w:t xml:space="preserve">To the extent that DP&amp;L </w:t>
      </w:r>
      <w:r w:rsidR="00950B1C">
        <w:rPr>
          <w:rFonts w:ascii="Arial" w:hAnsi="Arial" w:cs="Arial"/>
          <w:sz w:val="24"/>
          <w:szCs w:val="24"/>
        </w:rPr>
        <w:t>is permitted to put into effect</w:t>
      </w:r>
      <w:r>
        <w:rPr>
          <w:rFonts w:ascii="Arial" w:hAnsi="Arial" w:cs="Arial"/>
          <w:sz w:val="24"/>
          <w:szCs w:val="24"/>
        </w:rPr>
        <w:t xml:space="preserve"> rates consistent with its first ESP, IGS urges the Commission to approve DP&amp;L’s proposed non-bypassable transmission rider.</w:t>
      </w:r>
      <w:r>
        <w:rPr>
          <w:rStyle w:val="FootnoteReference"/>
          <w:rFonts w:ascii="Arial" w:hAnsi="Arial" w:cs="Arial"/>
          <w:sz w:val="24"/>
          <w:szCs w:val="24"/>
        </w:rPr>
        <w:footnoteReference w:id="1"/>
      </w:r>
      <w:r>
        <w:rPr>
          <w:rFonts w:ascii="Arial" w:hAnsi="Arial" w:cs="Arial"/>
          <w:sz w:val="24"/>
          <w:szCs w:val="24"/>
        </w:rPr>
        <w:t xml:space="preserve">    Transmission</w:t>
      </w:r>
      <w:r w:rsidRPr="00EF0EF7">
        <w:rPr>
          <w:rFonts w:ascii="Arial" w:hAnsi="Arial" w:cs="Arial"/>
          <w:sz w:val="24"/>
          <w:szCs w:val="24"/>
        </w:rPr>
        <w:t xml:space="preserve"> costs are not reflected in existing customer contracts in the DP&amp;L service territory—nor have they bee</w:t>
      </w:r>
      <w:r>
        <w:rPr>
          <w:rFonts w:ascii="Arial" w:hAnsi="Arial" w:cs="Arial"/>
          <w:sz w:val="24"/>
          <w:szCs w:val="24"/>
        </w:rPr>
        <w:t>n included in contracts for nearly</w:t>
      </w:r>
      <w:r w:rsidRPr="00EF0EF7">
        <w:rPr>
          <w:rFonts w:ascii="Arial" w:hAnsi="Arial" w:cs="Arial"/>
          <w:sz w:val="24"/>
          <w:szCs w:val="24"/>
        </w:rPr>
        <w:t xml:space="preserve"> three years.</w:t>
      </w:r>
      <w:r>
        <w:rPr>
          <w:rFonts w:ascii="Arial" w:hAnsi="Arial" w:cs="Arial"/>
          <w:sz w:val="24"/>
          <w:szCs w:val="24"/>
        </w:rPr>
        <w:t xml:space="preserve">  Authorization of a bypassable transmission rider for any period of time would reek havoc </w:t>
      </w:r>
      <w:r>
        <w:rPr>
          <w:rFonts w:ascii="Arial" w:hAnsi="Arial" w:cs="Arial"/>
          <w:sz w:val="24"/>
          <w:szCs w:val="24"/>
        </w:rPr>
        <w:lastRenderedPageBreak/>
        <w:t xml:space="preserve">on the retail electric service market and have the potential to open the floodgates to collateral litigation.  </w:t>
      </w:r>
    </w:p>
    <w:p w14:paraId="33C85448" w14:textId="77777777" w:rsidR="007007B4" w:rsidRDefault="007007B4" w:rsidP="007007B4">
      <w:pPr>
        <w:spacing w:after="120" w:line="480" w:lineRule="auto"/>
        <w:ind w:firstLine="720"/>
        <w:jc w:val="both"/>
        <w:rPr>
          <w:rFonts w:ascii="Arial" w:hAnsi="Arial" w:cs="Arial"/>
          <w:sz w:val="24"/>
          <w:szCs w:val="24"/>
        </w:rPr>
      </w:pPr>
      <w:r>
        <w:rPr>
          <w:rFonts w:ascii="Arial" w:hAnsi="Arial" w:cs="Arial"/>
          <w:sz w:val="24"/>
          <w:szCs w:val="24"/>
        </w:rPr>
        <w:t xml:space="preserve">Regardless of the Commission’s treatment of DP&amp;L’s proposal to withdraw from its second ESP and proposal to reinstate prior rates, the Commission has ample authority under Ohio law to direct DP&amp;L to collect transmission rider costs on a non-bypassable basis.  Specifically, R.C. 4928.05(A)(2) states, </w:t>
      </w:r>
    </w:p>
    <w:p w14:paraId="3543CF3E" w14:textId="44B062FD" w:rsidR="007007B4" w:rsidRDefault="007007B4" w:rsidP="007007B4">
      <w:pPr>
        <w:spacing w:after="120" w:line="240" w:lineRule="auto"/>
        <w:ind w:left="720" w:right="720"/>
        <w:jc w:val="both"/>
        <w:rPr>
          <w:rFonts w:ascii="Arial" w:hAnsi="Arial" w:cs="Arial"/>
          <w:sz w:val="24"/>
          <w:szCs w:val="24"/>
        </w:rPr>
      </w:pPr>
      <w:r w:rsidRPr="007007B4">
        <w:rPr>
          <w:rFonts w:ascii="Arial" w:hAnsi="Arial" w:cs="Arial"/>
          <w:sz w:val="24"/>
          <w:szCs w:val="24"/>
        </w:rPr>
        <w:t xml:space="preserve">Notwithstanding Chapters 4905. and 4909. of the Revised Code, </w:t>
      </w:r>
      <w:r w:rsidRPr="007007B4">
        <w:rPr>
          <w:rFonts w:ascii="Arial" w:hAnsi="Arial" w:cs="Arial"/>
          <w:b/>
          <w:sz w:val="24"/>
          <w:szCs w:val="24"/>
        </w:rPr>
        <w:t>commission authority under this chapter shall include the authority to provide for the recovery, through a reconcilable rider on an electric distribution utility's distribution rates, of all transmission and transmission-related costs, including ancillary and congestion costs, imposed on or charged to the utility by the federal energy regulatory commission or a regional transmission organization, independent transmission operator, or similar organization approved by the federal energy regulatory commission</w:t>
      </w:r>
      <w:r w:rsidRPr="007007B4">
        <w:rPr>
          <w:rFonts w:ascii="Arial" w:hAnsi="Arial" w:cs="Arial"/>
          <w:sz w:val="24"/>
          <w:szCs w:val="24"/>
        </w:rPr>
        <w:t>.</w:t>
      </w:r>
    </w:p>
    <w:p w14:paraId="7EE5D5D1" w14:textId="77777777" w:rsidR="000E65B0" w:rsidRDefault="000E65B0" w:rsidP="007007B4">
      <w:pPr>
        <w:spacing w:after="120" w:line="240" w:lineRule="auto"/>
        <w:ind w:left="720" w:right="720"/>
        <w:jc w:val="both"/>
        <w:rPr>
          <w:rFonts w:ascii="Arial" w:hAnsi="Arial" w:cs="Arial"/>
          <w:sz w:val="24"/>
          <w:szCs w:val="24"/>
        </w:rPr>
      </w:pPr>
    </w:p>
    <w:p w14:paraId="678D6589" w14:textId="63E54707" w:rsidR="007007B4" w:rsidRDefault="007007B4" w:rsidP="000A2D11">
      <w:pPr>
        <w:spacing w:after="120" w:line="480" w:lineRule="auto"/>
        <w:jc w:val="both"/>
        <w:rPr>
          <w:rFonts w:ascii="Arial" w:hAnsi="Arial" w:cs="Arial"/>
          <w:sz w:val="24"/>
          <w:szCs w:val="24"/>
        </w:rPr>
      </w:pPr>
      <w:r>
        <w:rPr>
          <w:rFonts w:ascii="Arial" w:hAnsi="Arial" w:cs="Arial"/>
          <w:sz w:val="24"/>
          <w:szCs w:val="24"/>
        </w:rPr>
        <w:t>Accordingly, the Commission may, as part of any order authorizing DP&amp;L to implement successor tariffs, authorize DP&amp;L to collect its transmission costs through a non-bypasable rider.  Such an order would maintain existing rates and rate structures and further mitigate the undoubted confusion and surprise that will result to both customers and suppliers to the extent that the Commission permits DP&amp;L to implement rates consistent with its first ESP.</w:t>
      </w:r>
    </w:p>
    <w:p w14:paraId="7176D2D0" w14:textId="77777777" w:rsidR="00545F29" w:rsidRDefault="0056270F">
      <w:pPr>
        <w:spacing w:after="0" w:line="240" w:lineRule="auto"/>
        <w:ind w:left="5040"/>
        <w:rPr>
          <w:rFonts w:ascii="Arial" w:eastAsia="Calibri" w:hAnsi="Arial" w:cs="Arial"/>
          <w:sz w:val="24"/>
          <w:szCs w:val="24"/>
        </w:rPr>
      </w:pPr>
      <w:r>
        <w:rPr>
          <w:rFonts w:ascii="Arial" w:eastAsia="Calibri" w:hAnsi="Arial" w:cs="Arial"/>
          <w:sz w:val="24"/>
          <w:szCs w:val="24"/>
        </w:rPr>
        <w:t>Respectfully submitted,</w:t>
      </w:r>
    </w:p>
    <w:p w14:paraId="7176D2D1" w14:textId="77777777" w:rsidR="00545F29" w:rsidRDefault="00545F29">
      <w:pPr>
        <w:spacing w:after="0" w:line="240" w:lineRule="auto"/>
        <w:ind w:left="5040"/>
        <w:rPr>
          <w:rFonts w:ascii="Arial" w:eastAsia="Calibri" w:hAnsi="Arial" w:cs="Arial"/>
          <w:sz w:val="24"/>
          <w:szCs w:val="24"/>
        </w:rPr>
      </w:pPr>
    </w:p>
    <w:p w14:paraId="7176D2D2" w14:textId="77777777" w:rsidR="00545F29" w:rsidRDefault="00545F29">
      <w:pPr>
        <w:spacing w:after="0" w:line="240" w:lineRule="auto"/>
        <w:ind w:left="5040"/>
        <w:rPr>
          <w:rFonts w:ascii="Arial" w:eastAsia="Calibri" w:hAnsi="Arial" w:cs="Arial"/>
          <w:sz w:val="24"/>
          <w:szCs w:val="24"/>
        </w:rPr>
      </w:pPr>
    </w:p>
    <w:p w14:paraId="7176D2D3" w14:textId="77777777" w:rsidR="00545F29" w:rsidRDefault="00545F29">
      <w:pPr>
        <w:spacing w:after="0" w:line="240" w:lineRule="auto"/>
        <w:ind w:left="5040"/>
        <w:rPr>
          <w:rFonts w:ascii="Arial" w:eastAsia="Calibri" w:hAnsi="Arial" w:cs="Arial"/>
          <w:sz w:val="24"/>
          <w:szCs w:val="24"/>
          <w:u w:val="single"/>
        </w:rPr>
      </w:pPr>
    </w:p>
    <w:p w14:paraId="7176D2D4" w14:textId="403741DB" w:rsidR="00F10F9B" w:rsidRPr="00906F5F" w:rsidRDefault="00C76086">
      <w:pPr>
        <w:spacing w:after="0" w:line="240" w:lineRule="auto"/>
        <w:ind w:left="5040"/>
        <w:rPr>
          <w:rFonts w:ascii="Arial" w:eastAsia="Arial" w:hAnsi="Arial" w:cs="Arial"/>
          <w:b/>
          <w:i/>
          <w:sz w:val="24"/>
          <w:szCs w:val="24"/>
          <w:u w:val="single"/>
        </w:rPr>
      </w:pPr>
      <w:r>
        <w:rPr>
          <w:rFonts w:ascii="Arial" w:eastAsia="Arial" w:hAnsi="Arial" w:cs="Arial"/>
          <w:b/>
          <w:i/>
          <w:sz w:val="24"/>
          <w:szCs w:val="24"/>
          <w:u w:val="single"/>
        </w:rPr>
        <w:t>/s/ Matthew White</w:t>
      </w:r>
    </w:p>
    <w:p w14:paraId="4878AB42" w14:textId="5D55136F" w:rsidR="00F5720A" w:rsidRDefault="00F5720A">
      <w:pPr>
        <w:spacing w:after="0" w:line="240" w:lineRule="auto"/>
        <w:ind w:left="5040"/>
        <w:rPr>
          <w:rFonts w:ascii="Arial" w:eastAsia="Calibri" w:hAnsi="Arial" w:cs="Arial"/>
          <w:sz w:val="24"/>
          <w:szCs w:val="24"/>
          <w:u w:val="single"/>
        </w:rPr>
      </w:pPr>
      <w:r>
        <w:rPr>
          <w:rFonts w:ascii="Arial" w:eastAsia="Arial" w:hAnsi="Arial" w:cs="Arial"/>
          <w:sz w:val="24"/>
          <w:szCs w:val="24"/>
        </w:rPr>
        <w:t xml:space="preserve">Counsel of Record </w:t>
      </w:r>
    </w:p>
    <w:p w14:paraId="7176D2D6" w14:textId="22E634FE" w:rsidR="00545F29" w:rsidRDefault="00F5720A" w:rsidP="00F5720A">
      <w:pPr>
        <w:spacing w:after="0" w:line="240" w:lineRule="auto"/>
        <w:ind w:left="5040"/>
        <w:rPr>
          <w:rFonts w:ascii="Arial" w:hAnsi="Arial" w:cs="Arial"/>
          <w:sz w:val="24"/>
          <w:szCs w:val="24"/>
        </w:rPr>
      </w:pPr>
      <w:r>
        <w:rPr>
          <w:rFonts w:ascii="Arial" w:hAnsi="Arial" w:cs="Arial"/>
          <w:sz w:val="24"/>
          <w:szCs w:val="24"/>
        </w:rPr>
        <w:t xml:space="preserve">Email:  </w:t>
      </w:r>
      <w:r w:rsidR="00C76086">
        <w:rPr>
          <w:rFonts w:ascii="Arial" w:hAnsi="Arial" w:cs="Arial"/>
          <w:sz w:val="24"/>
          <w:szCs w:val="24"/>
        </w:rPr>
        <w:t>mswhite@igsenergy.com</w:t>
      </w:r>
    </w:p>
    <w:p w14:paraId="7176D2DA" w14:textId="71124126" w:rsidR="00545F29" w:rsidRDefault="00AA75B4">
      <w:pPr>
        <w:spacing w:after="0" w:line="240" w:lineRule="auto"/>
        <w:ind w:left="5040"/>
        <w:rPr>
          <w:rFonts w:ascii="Arial" w:hAnsi="Arial" w:cs="Arial"/>
          <w:sz w:val="24"/>
          <w:szCs w:val="24"/>
        </w:rPr>
      </w:pPr>
      <w:r>
        <w:rPr>
          <w:rFonts w:ascii="Arial" w:hAnsi="Arial" w:cs="Arial"/>
          <w:sz w:val="24"/>
          <w:szCs w:val="24"/>
        </w:rPr>
        <w:t>IGS Energy</w:t>
      </w:r>
    </w:p>
    <w:p w14:paraId="7176D2DB" w14:textId="77777777" w:rsidR="00545F29" w:rsidRDefault="0056270F">
      <w:pPr>
        <w:spacing w:after="0" w:line="240" w:lineRule="auto"/>
        <w:ind w:left="5040"/>
        <w:rPr>
          <w:rFonts w:ascii="Arial" w:hAnsi="Arial" w:cs="Arial"/>
          <w:sz w:val="24"/>
          <w:szCs w:val="24"/>
        </w:rPr>
      </w:pPr>
      <w:r>
        <w:rPr>
          <w:rFonts w:ascii="Arial" w:hAnsi="Arial" w:cs="Arial"/>
          <w:sz w:val="24"/>
          <w:szCs w:val="24"/>
        </w:rPr>
        <w:t>6100 Emerald Parkway</w:t>
      </w:r>
    </w:p>
    <w:p w14:paraId="7176D2DC" w14:textId="77777777" w:rsidR="00545F29" w:rsidRDefault="0056270F">
      <w:pPr>
        <w:spacing w:after="0" w:line="240" w:lineRule="auto"/>
        <w:ind w:left="5040"/>
        <w:rPr>
          <w:rFonts w:ascii="Arial" w:hAnsi="Arial" w:cs="Arial"/>
          <w:sz w:val="24"/>
          <w:szCs w:val="24"/>
        </w:rPr>
      </w:pPr>
      <w:r>
        <w:rPr>
          <w:rFonts w:ascii="Arial" w:hAnsi="Arial" w:cs="Arial"/>
          <w:sz w:val="24"/>
          <w:szCs w:val="24"/>
        </w:rPr>
        <w:t>Dublin, Ohio 43016</w:t>
      </w:r>
    </w:p>
    <w:p w14:paraId="7176D2DD" w14:textId="77777777" w:rsidR="00545F29" w:rsidRDefault="0056270F">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14:paraId="7176D2DE" w14:textId="77777777" w:rsidR="00545F29" w:rsidRDefault="0056270F">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14:paraId="7176D2DF" w14:textId="77777777" w:rsidR="00545F29" w:rsidRDefault="00545F29">
      <w:pPr>
        <w:spacing w:after="0" w:line="240" w:lineRule="auto"/>
        <w:ind w:left="5040"/>
        <w:rPr>
          <w:rFonts w:ascii="Arial" w:hAnsi="Arial" w:cs="Arial"/>
          <w:sz w:val="24"/>
          <w:szCs w:val="24"/>
        </w:rPr>
      </w:pPr>
    </w:p>
    <w:p w14:paraId="7176D309" w14:textId="77777777" w:rsidR="00545F29" w:rsidRDefault="0056270F">
      <w:pPr>
        <w:spacing w:after="0" w:line="240" w:lineRule="auto"/>
        <w:ind w:left="4230"/>
        <w:rPr>
          <w:rFonts w:ascii="Arial" w:eastAsia="Calibri" w:hAnsi="Arial" w:cs="Arial"/>
          <w:b/>
          <w:sz w:val="24"/>
          <w:szCs w:val="24"/>
          <w:u w:val="single"/>
        </w:rPr>
      </w:pPr>
      <w:r>
        <w:rPr>
          <w:rFonts w:ascii="Arial" w:eastAsia="Calibri" w:hAnsi="Arial" w:cs="Arial"/>
          <w:b/>
          <w:sz w:val="24"/>
          <w:szCs w:val="24"/>
          <w:u w:val="single"/>
        </w:rPr>
        <w:br w:type="page"/>
      </w:r>
    </w:p>
    <w:p w14:paraId="7176D30A" w14:textId="77777777"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14:paraId="7176D30B" w14:textId="77777777" w:rsidR="00545F29" w:rsidRPr="009D71F6" w:rsidRDefault="00545F29">
      <w:pPr>
        <w:spacing w:after="0" w:line="240" w:lineRule="auto"/>
        <w:jc w:val="center"/>
        <w:rPr>
          <w:rFonts w:ascii="Arial" w:eastAsia="Arial" w:hAnsi="Arial" w:cs="Arial"/>
          <w:b/>
          <w:sz w:val="24"/>
          <w:szCs w:val="24"/>
          <w:u w:val="single"/>
        </w:rPr>
      </w:pPr>
    </w:p>
    <w:p w14:paraId="7176D30C" w14:textId="24C6DE72" w:rsidR="00545F29" w:rsidRPr="009D71F6" w:rsidRDefault="0056270F">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Pr="009D71F6">
        <w:rPr>
          <w:rFonts w:ascii="Arial" w:eastAsia="Calibri" w:hAnsi="Arial" w:cs="Arial"/>
          <w:sz w:val="24"/>
          <w:szCs w:val="24"/>
        </w:rPr>
        <w:t xml:space="preserve">The undersigned hereby certifies that a copy of the foregoing </w:t>
      </w:r>
      <w:r w:rsidRPr="009D71F6">
        <w:rPr>
          <w:rFonts w:ascii="Arial" w:eastAsia="Calibri" w:hAnsi="Arial" w:cs="Arial"/>
          <w:i/>
          <w:sz w:val="24"/>
          <w:szCs w:val="24"/>
        </w:rPr>
        <w:t>Motion to Intervene and Memorandum in Support</w:t>
      </w:r>
      <w:r w:rsidR="001B3202">
        <w:rPr>
          <w:rFonts w:ascii="Arial" w:eastAsia="Calibri" w:hAnsi="Arial" w:cs="Arial"/>
          <w:i/>
          <w:sz w:val="24"/>
          <w:szCs w:val="24"/>
        </w:rPr>
        <w:t xml:space="preserve"> of Interstate Gas Supply, Inc.</w:t>
      </w:r>
      <w:r w:rsidRPr="009D71F6">
        <w:rPr>
          <w:rFonts w:ascii="Arial" w:eastAsia="Calibri" w:hAnsi="Arial" w:cs="Arial"/>
          <w:i/>
          <w:sz w:val="24"/>
          <w:szCs w:val="24"/>
        </w:rPr>
        <w:t xml:space="preserve"> </w:t>
      </w:r>
      <w:r w:rsidRPr="009D71F6">
        <w:rPr>
          <w:rFonts w:ascii="Arial" w:eastAsia="Calibri" w:hAnsi="Arial" w:cs="Arial"/>
          <w:sz w:val="24"/>
          <w:szCs w:val="24"/>
        </w:rPr>
        <w:t xml:space="preserve">was served this </w:t>
      </w:r>
      <w:r w:rsidR="00650876">
        <w:rPr>
          <w:rFonts w:ascii="Arial" w:eastAsia="Calibri" w:hAnsi="Arial" w:cs="Arial"/>
          <w:sz w:val="24"/>
          <w:szCs w:val="24"/>
        </w:rPr>
        <w:t>11th</w:t>
      </w:r>
      <w:r w:rsidRPr="009D71F6">
        <w:rPr>
          <w:rFonts w:ascii="Arial" w:eastAsia="Calibri" w:hAnsi="Arial" w:cs="Arial"/>
          <w:sz w:val="24"/>
          <w:szCs w:val="24"/>
        </w:rPr>
        <w:t xml:space="preserve"> day of </w:t>
      </w:r>
      <w:r w:rsidR="00650876">
        <w:rPr>
          <w:rFonts w:ascii="Arial" w:eastAsia="Calibri" w:hAnsi="Arial" w:cs="Arial"/>
          <w:sz w:val="24"/>
          <w:szCs w:val="24"/>
        </w:rPr>
        <w:t>August</w:t>
      </w:r>
      <w:r w:rsidR="00255923">
        <w:rPr>
          <w:rFonts w:ascii="Arial" w:eastAsia="Calibri" w:hAnsi="Arial" w:cs="Arial"/>
          <w:sz w:val="24"/>
          <w:szCs w:val="24"/>
        </w:rPr>
        <w:t xml:space="preserve"> 2016</w:t>
      </w:r>
      <w:r w:rsidRPr="009D71F6">
        <w:rPr>
          <w:rFonts w:ascii="Arial" w:eastAsia="Calibri" w:hAnsi="Arial" w:cs="Arial"/>
          <w:sz w:val="24"/>
          <w:szCs w:val="24"/>
        </w:rPr>
        <w:t xml:space="preserve"> via electronic mail upon the following:</w:t>
      </w:r>
    </w:p>
    <w:p w14:paraId="7176D30D" w14:textId="77777777" w:rsidR="00545F29" w:rsidRPr="009D71F6" w:rsidRDefault="00545F29">
      <w:pPr>
        <w:spacing w:after="0" w:line="240" w:lineRule="auto"/>
        <w:jc w:val="both"/>
        <w:rPr>
          <w:rFonts w:ascii="Arial" w:eastAsia="Calibri" w:hAnsi="Arial" w:cs="Arial"/>
          <w:sz w:val="24"/>
          <w:szCs w:val="24"/>
        </w:rPr>
      </w:pPr>
    </w:p>
    <w:p w14:paraId="7176D30E" w14:textId="77777777" w:rsidR="00545F29" w:rsidRPr="009D71F6" w:rsidRDefault="00545F29">
      <w:pPr>
        <w:spacing w:after="0" w:line="240" w:lineRule="auto"/>
        <w:jc w:val="both"/>
        <w:rPr>
          <w:rFonts w:ascii="Arial" w:eastAsia="Arial" w:hAnsi="Arial" w:cs="Arial"/>
          <w:sz w:val="24"/>
          <w:szCs w:val="24"/>
        </w:rPr>
      </w:pPr>
    </w:p>
    <w:p w14:paraId="7176D30F" w14:textId="77777777" w:rsidR="00545F29" w:rsidRPr="009D71F6" w:rsidRDefault="00545F29">
      <w:pPr>
        <w:spacing w:after="0" w:line="240" w:lineRule="auto"/>
        <w:jc w:val="both"/>
        <w:rPr>
          <w:rFonts w:ascii="Arial" w:eastAsia="Arial" w:hAnsi="Arial" w:cs="Arial"/>
          <w:sz w:val="24"/>
          <w:szCs w:val="24"/>
        </w:rPr>
      </w:pPr>
    </w:p>
    <w:p w14:paraId="7176D310" w14:textId="4DFF37C0" w:rsidR="009D71F6" w:rsidRPr="009D71F6" w:rsidRDefault="009D71F6" w:rsidP="00237730">
      <w:pPr>
        <w:spacing w:after="0" w:line="240" w:lineRule="auto"/>
        <w:ind w:left="5040" w:firstLine="720"/>
        <w:rPr>
          <w:rFonts w:ascii="Arial" w:eastAsia="Calibri" w:hAnsi="Arial" w:cs="Arial"/>
          <w:sz w:val="24"/>
          <w:szCs w:val="24"/>
          <w:u w:val="single"/>
        </w:rPr>
      </w:pPr>
      <w:r w:rsidRPr="00906F5F">
        <w:rPr>
          <w:rFonts w:ascii="Arial" w:eastAsia="Arial" w:hAnsi="Arial" w:cs="Arial"/>
          <w:b/>
          <w:i/>
          <w:sz w:val="24"/>
          <w:szCs w:val="24"/>
          <w:u w:val="single"/>
        </w:rPr>
        <w:t xml:space="preserve">/s/ </w:t>
      </w:r>
      <w:r w:rsidR="00650876">
        <w:rPr>
          <w:rFonts w:ascii="Arial" w:eastAsia="Arial" w:hAnsi="Arial" w:cs="Arial"/>
          <w:b/>
          <w:i/>
          <w:sz w:val="24"/>
          <w:szCs w:val="24"/>
          <w:u w:val="single"/>
        </w:rPr>
        <w:t>Matthew White</w:t>
      </w:r>
    </w:p>
    <w:p w14:paraId="7176D311" w14:textId="571EB871" w:rsidR="00FE2DE0" w:rsidRPr="009D71F6" w:rsidRDefault="00650876" w:rsidP="00237730">
      <w:pPr>
        <w:spacing w:after="0" w:line="240" w:lineRule="auto"/>
        <w:ind w:left="5040" w:firstLine="720"/>
        <w:rPr>
          <w:rFonts w:ascii="Arial" w:hAnsi="Arial" w:cs="Arial"/>
          <w:sz w:val="24"/>
          <w:szCs w:val="24"/>
        </w:rPr>
      </w:pPr>
      <w:r>
        <w:rPr>
          <w:rFonts w:ascii="Arial" w:hAnsi="Arial" w:cs="Arial"/>
          <w:sz w:val="24"/>
          <w:szCs w:val="24"/>
        </w:rPr>
        <w:t>Matthew White</w:t>
      </w:r>
    </w:p>
    <w:p w14:paraId="6FCF01CA" w14:textId="77777777" w:rsidR="00B270B3" w:rsidRDefault="00B270B3" w:rsidP="00B270B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740"/>
        <w:gridCol w:w="4610"/>
      </w:tblGrid>
      <w:tr w:rsidR="00B270B3" w14:paraId="498F860B" w14:textId="77777777" w:rsidTr="00B270B3">
        <w:tc>
          <w:tcPr>
            <w:tcW w:w="4788" w:type="dxa"/>
          </w:tcPr>
          <w:p w14:paraId="014B7961" w14:textId="77777777" w:rsidR="00255923" w:rsidRPr="000A2D11" w:rsidRDefault="00950B1C" w:rsidP="00255923">
            <w:pPr>
              <w:autoSpaceDE w:val="0"/>
              <w:autoSpaceDN w:val="0"/>
              <w:adjustRightInd w:val="0"/>
              <w:rPr>
                <w:rFonts w:ascii="Arial" w:hAnsi="Arial" w:cs="Arial"/>
                <w:sz w:val="24"/>
                <w:szCs w:val="24"/>
              </w:rPr>
            </w:pPr>
            <w:hyperlink r:id="rId9" w:history="1">
              <w:r w:rsidR="00255923" w:rsidRPr="000A2D11">
                <w:rPr>
                  <w:rFonts w:ascii="Arial" w:hAnsi="Arial" w:cs="Arial"/>
                  <w:sz w:val="24"/>
                  <w:szCs w:val="24"/>
                </w:rPr>
                <w:t>cfaruki@ficlaw.com</w:t>
              </w:r>
            </w:hyperlink>
          </w:p>
          <w:p w14:paraId="477C3C81" w14:textId="77777777" w:rsidR="00255923" w:rsidRPr="000A2D11" w:rsidRDefault="00950B1C" w:rsidP="00255923">
            <w:pPr>
              <w:autoSpaceDE w:val="0"/>
              <w:autoSpaceDN w:val="0"/>
              <w:adjustRightInd w:val="0"/>
              <w:rPr>
                <w:rFonts w:ascii="Arial" w:hAnsi="Arial" w:cs="Arial"/>
                <w:sz w:val="24"/>
                <w:szCs w:val="24"/>
              </w:rPr>
            </w:pPr>
            <w:hyperlink r:id="rId10" w:history="1">
              <w:r w:rsidR="00255923" w:rsidRPr="000A2D11">
                <w:rPr>
                  <w:rFonts w:ascii="Arial" w:hAnsi="Arial" w:cs="Arial"/>
                  <w:sz w:val="24"/>
                  <w:szCs w:val="24"/>
                </w:rPr>
                <w:t>djireland@ficlaw.com</w:t>
              </w:r>
            </w:hyperlink>
          </w:p>
          <w:p w14:paraId="2CEB1596" w14:textId="76F9BC4C" w:rsidR="00255923" w:rsidRPr="000A2D11" w:rsidRDefault="00950B1C" w:rsidP="00255923">
            <w:pPr>
              <w:autoSpaceDE w:val="0"/>
              <w:autoSpaceDN w:val="0"/>
              <w:adjustRightInd w:val="0"/>
              <w:rPr>
                <w:rFonts w:ascii="Arial" w:hAnsi="Arial" w:cs="Arial"/>
                <w:sz w:val="24"/>
                <w:szCs w:val="24"/>
              </w:rPr>
            </w:pPr>
            <w:hyperlink r:id="rId11" w:history="1">
              <w:r w:rsidR="00255923" w:rsidRPr="000A2D11">
                <w:rPr>
                  <w:rFonts w:ascii="Arial" w:hAnsi="Arial" w:cs="Arial"/>
                  <w:sz w:val="24"/>
                  <w:szCs w:val="24"/>
                </w:rPr>
                <w:t>jsharkey@ficlaw.com</w:t>
              </w:r>
            </w:hyperlink>
            <w:r w:rsidR="00255923" w:rsidRPr="000A2D11">
              <w:rPr>
                <w:rFonts w:ascii="Arial" w:hAnsi="Arial" w:cs="Arial"/>
                <w:sz w:val="24"/>
                <w:szCs w:val="24"/>
              </w:rPr>
              <w:br/>
            </w:r>
            <w:hyperlink r:id="rId12" w:history="1">
              <w:r w:rsidR="008A4D69" w:rsidRPr="000A2D11">
                <w:rPr>
                  <w:rStyle w:val="Hyperlink"/>
                  <w:rFonts w:ascii="Arial" w:hAnsi="Arial" w:cs="Arial"/>
                  <w:color w:val="auto"/>
                  <w:sz w:val="24"/>
                  <w:szCs w:val="24"/>
                  <w:u w:val="none"/>
                </w:rPr>
                <w:t>Michael.schuler@aes.com</w:t>
              </w:r>
            </w:hyperlink>
          </w:p>
          <w:p w14:paraId="51A7F482" w14:textId="77777777" w:rsidR="00255923" w:rsidRPr="000A2D11" w:rsidRDefault="00950B1C" w:rsidP="00255923">
            <w:pPr>
              <w:autoSpaceDE w:val="0"/>
              <w:autoSpaceDN w:val="0"/>
              <w:adjustRightInd w:val="0"/>
              <w:rPr>
                <w:rFonts w:ascii="Arial" w:hAnsi="Arial" w:cs="Arial"/>
                <w:sz w:val="24"/>
                <w:szCs w:val="24"/>
              </w:rPr>
            </w:pPr>
            <w:hyperlink r:id="rId13" w:history="1">
              <w:r w:rsidR="00255923" w:rsidRPr="000A2D11">
                <w:rPr>
                  <w:rFonts w:ascii="Arial" w:hAnsi="Arial" w:cs="Arial"/>
                  <w:sz w:val="24"/>
                  <w:szCs w:val="24"/>
                </w:rPr>
                <w:t>dboehm@bkllawfirm.com</w:t>
              </w:r>
            </w:hyperlink>
          </w:p>
          <w:p w14:paraId="335BF0F9" w14:textId="77777777" w:rsidR="00255923" w:rsidRPr="000A2D11" w:rsidRDefault="00950B1C" w:rsidP="00255923">
            <w:pPr>
              <w:autoSpaceDE w:val="0"/>
              <w:autoSpaceDN w:val="0"/>
              <w:adjustRightInd w:val="0"/>
              <w:rPr>
                <w:rFonts w:ascii="Arial" w:hAnsi="Arial" w:cs="Arial"/>
                <w:sz w:val="24"/>
                <w:szCs w:val="24"/>
              </w:rPr>
            </w:pPr>
            <w:hyperlink r:id="rId14" w:history="1">
              <w:r w:rsidR="00255923" w:rsidRPr="000A2D11">
                <w:rPr>
                  <w:rFonts w:ascii="Arial" w:hAnsi="Arial" w:cs="Arial"/>
                  <w:sz w:val="24"/>
                  <w:szCs w:val="24"/>
                </w:rPr>
                <w:t>kboehm@BKLlawfirm.com</w:t>
              </w:r>
            </w:hyperlink>
          </w:p>
          <w:p w14:paraId="693860D0" w14:textId="77777777" w:rsidR="00255923" w:rsidRPr="000A2D11" w:rsidRDefault="00950B1C" w:rsidP="00255923">
            <w:pPr>
              <w:autoSpaceDE w:val="0"/>
              <w:autoSpaceDN w:val="0"/>
              <w:adjustRightInd w:val="0"/>
              <w:rPr>
                <w:rFonts w:ascii="Arial" w:hAnsi="Arial" w:cs="Arial"/>
                <w:sz w:val="24"/>
                <w:szCs w:val="24"/>
              </w:rPr>
            </w:pPr>
            <w:hyperlink r:id="rId15" w:history="1">
              <w:r w:rsidR="00255923" w:rsidRPr="000A2D11">
                <w:rPr>
                  <w:rFonts w:ascii="Arial" w:hAnsi="Arial" w:cs="Arial"/>
                  <w:sz w:val="24"/>
                  <w:szCs w:val="24"/>
                </w:rPr>
                <w:t>mkurtz@BKLlawfirm.com</w:t>
              </w:r>
            </w:hyperlink>
          </w:p>
          <w:p w14:paraId="32E6FC08" w14:textId="77777777" w:rsidR="00255923" w:rsidRPr="000A2D11" w:rsidRDefault="00950B1C" w:rsidP="00255923">
            <w:pPr>
              <w:autoSpaceDE w:val="0"/>
              <w:autoSpaceDN w:val="0"/>
              <w:adjustRightInd w:val="0"/>
              <w:rPr>
                <w:rFonts w:ascii="Arial" w:hAnsi="Arial" w:cs="Arial"/>
                <w:sz w:val="24"/>
                <w:szCs w:val="24"/>
              </w:rPr>
            </w:pPr>
            <w:hyperlink r:id="rId16" w:history="1">
              <w:r w:rsidR="00255923" w:rsidRPr="000A2D11">
                <w:rPr>
                  <w:rFonts w:ascii="Arial" w:hAnsi="Arial" w:cs="Arial"/>
                  <w:sz w:val="24"/>
                  <w:szCs w:val="24"/>
                </w:rPr>
                <w:t>jkylercohn@BKLlawfirm.com</w:t>
              </w:r>
            </w:hyperlink>
          </w:p>
          <w:p w14:paraId="625F8B08" w14:textId="77777777" w:rsidR="00255923" w:rsidRPr="000A2D11" w:rsidRDefault="00950B1C" w:rsidP="00255923">
            <w:pPr>
              <w:autoSpaceDE w:val="0"/>
              <w:autoSpaceDN w:val="0"/>
              <w:adjustRightInd w:val="0"/>
              <w:rPr>
                <w:rFonts w:ascii="Arial" w:hAnsi="Arial" w:cs="Arial"/>
                <w:sz w:val="24"/>
                <w:szCs w:val="24"/>
              </w:rPr>
            </w:pPr>
            <w:hyperlink r:id="rId17" w:history="1">
              <w:r w:rsidR="00255923" w:rsidRPr="000A2D11">
                <w:rPr>
                  <w:rFonts w:ascii="Arial" w:hAnsi="Arial" w:cs="Arial"/>
                  <w:sz w:val="24"/>
                  <w:szCs w:val="24"/>
                </w:rPr>
                <w:t>fdarr@mwncmh.com</w:t>
              </w:r>
            </w:hyperlink>
            <w:r w:rsidR="00255923" w:rsidRPr="000A2D11">
              <w:rPr>
                <w:rFonts w:ascii="Arial" w:hAnsi="Arial" w:cs="Arial"/>
                <w:sz w:val="24"/>
                <w:szCs w:val="24"/>
              </w:rPr>
              <w:t xml:space="preserve"> </w:t>
            </w:r>
            <w:hyperlink r:id="rId18" w:history="1">
              <w:r w:rsidR="00255923" w:rsidRPr="000A2D11">
                <w:rPr>
                  <w:rFonts w:ascii="Arial" w:hAnsi="Arial" w:cs="Arial"/>
                  <w:sz w:val="24"/>
                  <w:szCs w:val="24"/>
                </w:rPr>
                <w:t>mpritchard@mwncmh.com</w:t>
              </w:r>
            </w:hyperlink>
          </w:p>
          <w:p w14:paraId="5B510114" w14:textId="64C95338" w:rsidR="00255923" w:rsidRPr="000A2D11" w:rsidRDefault="00950B1C" w:rsidP="00255923">
            <w:pPr>
              <w:autoSpaceDE w:val="0"/>
              <w:autoSpaceDN w:val="0"/>
              <w:adjustRightInd w:val="0"/>
              <w:rPr>
                <w:rFonts w:ascii="Arial" w:hAnsi="Arial" w:cs="Arial"/>
                <w:sz w:val="24"/>
                <w:szCs w:val="24"/>
              </w:rPr>
            </w:pPr>
            <w:hyperlink r:id="rId19" w:history="1">
              <w:r w:rsidR="00255923" w:rsidRPr="000A2D11">
                <w:rPr>
                  <w:rStyle w:val="Hyperlink"/>
                  <w:rFonts w:ascii="Arial" w:hAnsi="Arial" w:cs="Arial"/>
                  <w:color w:val="auto"/>
                  <w:sz w:val="24"/>
                  <w:szCs w:val="24"/>
                  <w:u w:val="none"/>
                </w:rPr>
                <w:t>mfleisher@elpc.org</w:t>
              </w:r>
            </w:hyperlink>
          </w:p>
          <w:p w14:paraId="03DC7BA6" w14:textId="09AB1B7F" w:rsidR="00255923" w:rsidRPr="000A2D11" w:rsidRDefault="00950B1C" w:rsidP="00255923">
            <w:pPr>
              <w:autoSpaceDE w:val="0"/>
              <w:autoSpaceDN w:val="0"/>
              <w:adjustRightInd w:val="0"/>
              <w:rPr>
                <w:rFonts w:ascii="Arial" w:hAnsi="Arial" w:cs="Arial"/>
                <w:sz w:val="24"/>
                <w:szCs w:val="24"/>
              </w:rPr>
            </w:pPr>
            <w:hyperlink r:id="rId20" w:history="1">
              <w:r w:rsidR="00255923" w:rsidRPr="000A2D11">
                <w:rPr>
                  <w:rStyle w:val="Hyperlink"/>
                  <w:rFonts w:ascii="Arial" w:hAnsi="Arial" w:cs="Arial"/>
                  <w:color w:val="auto"/>
                  <w:sz w:val="24"/>
                  <w:szCs w:val="24"/>
                  <w:u w:val="none"/>
                </w:rPr>
                <w:t>jeffrey.mayes@monitoringanalytics.com</w:t>
              </w:r>
            </w:hyperlink>
          </w:p>
          <w:p w14:paraId="0BA9736B" w14:textId="4B9491A5" w:rsidR="00255923" w:rsidRPr="000A2D11" w:rsidRDefault="00255923" w:rsidP="008A4D69">
            <w:pPr>
              <w:rPr>
                <w:rFonts w:ascii="Arial" w:hAnsi="Arial" w:cs="Arial"/>
                <w:sz w:val="24"/>
                <w:szCs w:val="24"/>
              </w:rPr>
            </w:pPr>
          </w:p>
        </w:tc>
        <w:tc>
          <w:tcPr>
            <w:tcW w:w="4788" w:type="dxa"/>
          </w:tcPr>
          <w:p w14:paraId="413C0300" w14:textId="77777777" w:rsidR="00255923" w:rsidRPr="000A2D11" w:rsidRDefault="00950B1C" w:rsidP="00255923">
            <w:pPr>
              <w:rPr>
                <w:rFonts w:ascii="Arial" w:hAnsi="Arial" w:cs="Arial"/>
                <w:sz w:val="24"/>
                <w:szCs w:val="24"/>
              </w:rPr>
            </w:pPr>
            <w:hyperlink r:id="rId21" w:history="1">
              <w:r w:rsidR="00255923" w:rsidRPr="000A2D11">
                <w:rPr>
                  <w:rFonts w:ascii="Arial" w:hAnsi="Arial" w:cs="Arial"/>
                  <w:sz w:val="24"/>
                  <w:szCs w:val="24"/>
                </w:rPr>
                <w:t>bojko@carpenterlipps.com</w:t>
              </w:r>
            </w:hyperlink>
          </w:p>
          <w:p w14:paraId="364BE3CD" w14:textId="77777777" w:rsidR="00255923" w:rsidRPr="000A2D11" w:rsidRDefault="00255923" w:rsidP="00255923">
            <w:pPr>
              <w:rPr>
                <w:rFonts w:ascii="Arial" w:hAnsi="Arial" w:cs="Arial"/>
                <w:sz w:val="24"/>
                <w:szCs w:val="24"/>
              </w:rPr>
            </w:pPr>
            <w:r w:rsidRPr="000A2D11">
              <w:rPr>
                <w:rFonts w:ascii="Arial" w:hAnsi="Arial" w:cs="Arial"/>
                <w:sz w:val="24"/>
                <w:szCs w:val="24"/>
              </w:rPr>
              <w:t>O'Rourke@carpenterlipps.com</w:t>
            </w:r>
          </w:p>
          <w:p w14:paraId="186F1048" w14:textId="43C333C9" w:rsidR="00255923" w:rsidRPr="000A2D11" w:rsidRDefault="00950B1C" w:rsidP="00255923">
            <w:pPr>
              <w:rPr>
                <w:rFonts w:ascii="Arial" w:hAnsi="Arial" w:cs="Arial"/>
                <w:sz w:val="24"/>
                <w:szCs w:val="24"/>
              </w:rPr>
            </w:pPr>
            <w:hyperlink r:id="rId22" w:history="1">
              <w:r w:rsidR="00255923" w:rsidRPr="000A2D11">
                <w:rPr>
                  <w:rFonts w:ascii="Arial" w:hAnsi="Arial" w:cs="Arial"/>
                  <w:sz w:val="24"/>
                  <w:szCs w:val="24"/>
                </w:rPr>
                <w:t>ghiloni@carpenterlipps.com</w:t>
              </w:r>
            </w:hyperlink>
          </w:p>
          <w:p w14:paraId="006BDE6B" w14:textId="2CE7A8F3" w:rsidR="008361FD" w:rsidRPr="000A2D11" w:rsidRDefault="00950B1C" w:rsidP="008361FD">
            <w:pPr>
              <w:autoSpaceDE w:val="0"/>
              <w:autoSpaceDN w:val="0"/>
              <w:adjustRightInd w:val="0"/>
              <w:rPr>
                <w:rFonts w:ascii="Arial" w:hAnsi="Arial" w:cs="Arial"/>
                <w:sz w:val="24"/>
                <w:szCs w:val="24"/>
              </w:rPr>
            </w:pPr>
            <w:hyperlink r:id="rId23" w:history="1">
              <w:r w:rsidR="00255923" w:rsidRPr="000A2D11">
                <w:rPr>
                  <w:rStyle w:val="Hyperlink"/>
                  <w:rFonts w:ascii="Arial" w:hAnsi="Arial" w:cs="Arial"/>
                  <w:color w:val="auto"/>
                  <w:sz w:val="24"/>
                  <w:szCs w:val="24"/>
                  <w:u w:val="none"/>
                </w:rPr>
                <w:t>ibatikov@vorys.com</w:t>
              </w:r>
            </w:hyperlink>
          </w:p>
          <w:p w14:paraId="066052CB" w14:textId="5770B704" w:rsidR="00255923" w:rsidRPr="000A2D11" w:rsidRDefault="00950B1C" w:rsidP="008361FD">
            <w:pPr>
              <w:autoSpaceDE w:val="0"/>
              <w:autoSpaceDN w:val="0"/>
              <w:adjustRightInd w:val="0"/>
              <w:rPr>
                <w:rFonts w:ascii="Arial" w:hAnsi="Arial" w:cs="Arial"/>
                <w:sz w:val="24"/>
                <w:szCs w:val="24"/>
              </w:rPr>
            </w:pPr>
            <w:hyperlink r:id="rId24" w:history="1">
              <w:r w:rsidR="00255923" w:rsidRPr="000A2D11">
                <w:rPr>
                  <w:rStyle w:val="Hyperlink"/>
                  <w:rFonts w:ascii="Arial" w:hAnsi="Arial" w:cs="Arial"/>
                  <w:color w:val="auto"/>
                  <w:sz w:val="24"/>
                  <w:szCs w:val="24"/>
                  <w:u w:val="none"/>
                </w:rPr>
                <w:t>glpetrucci@vorys.com</w:t>
              </w:r>
            </w:hyperlink>
          </w:p>
          <w:p w14:paraId="09B0D1B6" w14:textId="4C47148F" w:rsidR="00255923" w:rsidRPr="000A2D11" w:rsidRDefault="008A4D69" w:rsidP="008361FD">
            <w:pPr>
              <w:autoSpaceDE w:val="0"/>
              <w:autoSpaceDN w:val="0"/>
              <w:adjustRightInd w:val="0"/>
              <w:rPr>
                <w:rFonts w:ascii="Arial" w:hAnsi="Arial" w:cs="Arial"/>
                <w:sz w:val="24"/>
                <w:szCs w:val="24"/>
              </w:rPr>
            </w:pPr>
            <w:r w:rsidRPr="000A2D11">
              <w:rPr>
                <w:rFonts w:ascii="Arial" w:hAnsi="Arial" w:cs="Arial"/>
                <w:sz w:val="24"/>
                <w:szCs w:val="24"/>
              </w:rPr>
              <w:t>mjsettineri@vorys.com smh</w:t>
            </w:r>
            <w:r w:rsidR="00255923" w:rsidRPr="000A2D11">
              <w:rPr>
                <w:rFonts w:ascii="Arial" w:hAnsi="Arial" w:cs="Arial"/>
                <w:sz w:val="24"/>
                <w:szCs w:val="24"/>
              </w:rPr>
              <w:t>oward@vorys.com</w:t>
            </w:r>
          </w:p>
          <w:p w14:paraId="454062DF" w14:textId="7003AB2B" w:rsidR="008361FD" w:rsidRPr="000A2D11" w:rsidRDefault="00950B1C" w:rsidP="008361FD">
            <w:pPr>
              <w:autoSpaceDE w:val="0"/>
              <w:autoSpaceDN w:val="0"/>
              <w:adjustRightInd w:val="0"/>
              <w:rPr>
                <w:rFonts w:ascii="Arial" w:hAnsi="Arial" w:cs="Arial"/>
                <w:sz w:val="24"/>
                <w:szCs w:val="24"/>
              </w:rPr>
            </w:pPr>
            <w:hyperlink r:id="rId25" w:history="1">
              <w:r w:rsidR="008A4D69" w:rsidRPr="000A2D11">
                <w:rPr>
                  <w:rStyle w:val="Hyperlink"/>
                  <w:rFonts w:ascii="Arial" w:hAnsi="Arial" w:cs="Arial"/>
                  <w:color w:val="auto"/>
                  <w:sz w:val="24"/>
                  <w:szCs w:val="24"/>
                  <w:u w:val="none"/>
                </w:rPr>
                <w:t>Kevin.moore@occ.ohio.gov</w:t>
              </w:r>
            </w:hyperlink>
          </w:p>
          <w:p w14:paraId="6EDD59C7" w14:textId="1D2AD100" w:rsidR="008A4D69" w:rsidRPr="000A2D11" w:rsidRDefault="008A4D69" w:rsidP="008361FD">
            <w:pPr>
              <w:autoSpaceDE w:val="0"/>
              <w:autoSpaceDN w:val="0"/>
              <w:adjustRightInd w:val="0"/>
              <w:rPr>
                <w:rFonts w:ascii="Arial" w:hAnsi="Arial" w:cs="Arial"/>
                <w:sz w:val="24"/>
                <w:szCs w:val="24"/>
              </w:rPr>
            </w:pPr>
            <w:r w:rsidRPr="000A2D11">
              <w:rPr>
                <w:rFonts w:ascii="Arial" w:hAnsi="Arial" w:cs="Arial"/>
                <w:sz w:val="24"/>
                <w:szCs w:val="24"/>
              </w:rPr>
              <w:t>William.michael@occ.ohio.gov</w:t>
            </w:r>
          </w:p>
          <w:p w14:paraId="5723FB9B" w14:textId="71970257" w:rsidR="00B270B3" w:rsidRPr="000A2D11" w:rsidRDefault="00950B1C" w:rsidP="00255923">
            <w:pPr>
              <w:autoSpaceDE w:val="0"/>
              <w:autoSpaceDN w:val="0"/>
              <w:adjustRightInd w:val="0"/>
              <w:rPr>
                <w:rFonts w:ascii="Arial" w:hAnsi="Arial" w:cs="Arial"/>
                <w:sz w:val="24"/>
                <w:szCs w:val="24"/>
              </w:rPr>
            </w:pPr>
            <w:hyperlink r:id="rId26" w:history="1">
              <w:r w:rsidR="008A4D69" w:rsidRPr="000A2D11">
                <w:rPr>
                  <w:rStyle w:val="Hyperlink"/>
                  <w:rFonts w:ascii="Arial" w:hAnsi="Arial" w:cs="Arial"/>
                  <w:color w:val="auto"/>
                  <w:sz w:val="24"/>
                  <w:szCs w:val="24"/>
                  <w:u w:val="none"/>
                </w:rPr>
                <w:t>William.wright@puc.state.oh.us</w:t>
              </w:r>
            </w:hyperlink>
          </w:p>
          <w:p w14:paraId="629F6E39" w14:textId="77777777" w:rsidR="008A4D69" w:rsidRPr="000A2D11" w:rsidRDefault="00950B1C" w:rsidP="008A4D69">
            <w:pPr>
              <w:rPr>
                <w:rFonts w:ascii="Arial" w:hAnsi="Arial" w:cs="Arial"/>
                <w:sz w:val="24"/>
                <w:szCs w:val="24"/>
              </w:rPr>
            </w:pPr>
            <w:hyperlink r:id="rId27" w:history="1">
              <w:r w:rsidR="008A4D69" w:rsidRPr="000A2D11">
                <w:rPr>
                  <w:rStyle w:val="Hyperlink"/>
                  <w:rFonts w:ascii="Arial" w:hAnsi="Arial" w:cs="Arial"/>
                  <w:color w:val="auto"/>
                  <w:sz w:val="24"/>
                  <w:szCs w:val="24"/>
                  <w:u w:val="none"/>
                </w:rPr>
                <w:t>evelyn.robinson@pjm.com</w:t>
              </w:r>
            </w:hyperlink>
          </w:p>
          <w:p w14:paraId="19546C3B" w14:textId="77777777" w:rsidR="008A4D69" w:rsidRPr="000A2D11" w:rsidRDefault="00950B1C" w:rsidP="008A4D69">
            <w:pPr>
              <w:rPr>
                <w:rFonts w:ascii="Arial" w:hAnsi="Arial" w:cs="Arial"/>
                <w:sz w:val="24"/>
                <w:szCs w:val="24"/>
              </w:rPr>
            </w:pPr>
            <w:hyperlink r:id="rId28" w:history="1">
              <w:r w:rsidR="008A4D69" w:rsidRPr="000A2D11">
                <w:rPr>
                  <w:rStyle w:val="Hyperlink"/>
                  <w:rFonts w:ascii="Arial" w:hAnsi="Arial" w:cs="Arial"/>
                  <w:color w:val="auto"/>
                  <w:sz w:val="24"/>
                  <w:szCs w:val="24"/>
                  <w:u w:val="none"/>
                </w:rPr>
                <w:t>schmidt@sppgrp.com</w:t>
              </w:r>
            </w:hyperlink>
          </w:p>
          <w:p w14:paraId="7EBD91CE" w14:textId="425CA128" w:rsidR="008A4D69" w:rsidRPr="000A2D11" w:rsidRDefault="008A4D69" w:rsidP="00255923">
            <w:pPr>
              <w:autoSpaceDE w:val="0"/>
              <w:autoSpaceDN w:val="0"/>
              <w:adjustRightInd w:val="0"/>
              <w:rPr>
                <w:rFonts w:ascii="Arial" w:hAnsi="Arial" w:cs="Arial"/>
                <w:sz w:val="24"/>
                <w:szCs w:val="24"/>
              </w:rPr>
            </w:pPr>
          </w:p>
        </w:tc>
      </w:tr>
    </w:tbl>
    <w:p w14:paraId="7176D312" w14:textId="77777777" w:rsidR="00545F29" w:rsidRPr="003A51CC" w:rsidRDefault="00545F29">
      <w:pPr>
        <w:spacing w:after="0" w:line="240" w:lineRule="auto"/>
        <w:rPr>
          <w:rFonts w:ascii="Arial" w:hAnsi="Arial" w:cs="Arial"/>
          <w:sz w:val="24"/>
          <w:szCs w:val="24"/>
        </w:rPr>
      </w:pPr>
    </w:p>
    <w:sectPr w:rsidR="00545F29" w:rsidRPr="003A51CC">
      <w:footerReference w:type="default" r:id="rId29"/>
      <w:head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C06A1" w14:textId="77777777" w:rsidR="007C7C08" w:rsidRDefault="007C7C08">
      <w:pPr>
        <w:spacing w:after="0" w:line="240" w:lineRule="auto"/>
      </w:pPr>
      <w:r>
        <w:separator/>
      </w:r>
    </w:p>
  </w:endnote>
  <w:endnote w:type="continuationSeparator" w:id="0">
    <w:p w14:paraId="730D518D" w14:textId="77777777" w:rsidR="007C7C08" w:rsidRDefault="007C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5860"/>
      <w:docPartObj>
        <w:docPartGallery w:val="Page Numbers (Bottom of Page)"/>
        <w:docPartUnique/>
      </w:docPartObj>
    </w:sdtPr>
    <w:sdtEndPr/>
    <w:sdtContent>
      <w:p w14:paraId="7176D32E" w14:textId="77777777" w:rsidR="00254AAA" w:rsidRDefault="00254AAA">
        <w:pPr>
          <w:pStyle w:val="Footer"/>
          <w:jc w:val="center"/>
        </w:pPr>
        <w:r>
          <w:fldChar w:fldCharType="begin"/>
        </w:r>
        <w:r>
          <w:instrText xml:space="preserve"> PAGE   \* MERGEFORMAT </w:instrText>
        </w:r>
        <w:r>
          <w:fldChar w:fldCharType="separate"/>
        </w:r>
        <w:r w:rsidR="00950B1C">
          <w:rPr>
            <w:noProof/>
          </w:rPr>
          <w:t>6</w:t>
        </w:r>
        <w:r>
          <w:rPr>
            <w:noProof/>
          </w:rPr>
          <w:fldChar w:fldCharType="end"/>
        </w:r>
      </w:p>
    </w:sdtContent>
  </w:sdt>
  <w:p w14:paraId="7176D32F" w14:textId="77777777" w:rsidR="00254AAA" w:rsidRDefault="00254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1897B" w14:textId="77777777" w:rsidR="007C7C08" w:rsidRDefault="007C7C08">
      <w:pPr>
        <w:spacing w:after="0" w:line="240" w:lineRule="auto"/>
      </w:pPr>
      <w:r>
        <w:separator/>
      </w:r>
    </w:p>
  </w:footnote>
  <w:footnote w:type="continuationSeparator" w:id="0">
    <w:p w14:paraId="3F728DA7" w14:textId="77777777" w:rsidR="007C7C08" w:rsidRDefault="007C7C08">
      <w:pPr>
        <w:spacing w:after="0" w:line="240" w:lineRule="auto"/>
      </w:pPr>
      <w:r>
        <w:continuationSeparator/>
      </w:r>
    </w:p>
  </w:footnote>
  <w:footnote w:id="1">
    <w:p w14:paraId="730497A0" w14:textId="50D9E35D" w:rsidR="007007B4" w:rsidRPr="007007B4" w:rsidRDefault="007007B4">
      <w:pPr>
        <w:pStyle w:val="FootnoteText"/>
        <w:rPr>
          <w:rFonts w:ascii="Arial" w:hAnsi="Arial" w:cs="Arial"/>
        </w:rPr>
      </w:pPr>
      <w:r w:rsidRPr="007007B4">
        <w:rPr>
          <w:rStyle w:val="FootnoteReference"/>
          <w:rFonts w:ascii="Arial" w:hAnsi="Arial" w:cs="Arial"/>
        </w:rPr>
        <w:footnoteRef/>
      </w:r>
      <w:r w:rsidRPr="007007B4">
        <w:rPr>
          <w:rFonts w:ascii="Arial" w:hAnsi="Arial" w:cs="Arial"/>
        </w:rPr>
        <w:t xml:space="preserve"> IGS takes no position regarding the balance of DP&amp;L’s filing.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D330" w14:textId="77777777" w:rsidR="00254AAA" w:rsidRDefault="00254AAA">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F5ACA"/>
    <w:multiLevelType w:val="hybridMultilevel"/>
    <w:tmpl w:val="DCE24920"/>
    <w:lvl w:ilvl="0" w:tplc="142AFDB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C7728"/>
    <w:multiLevelType w:val="hybridMultilevel"/>
    <w:tmpl w:val="17544BB4"/>
    <w:lvl w:ilvl="0" w:tplc="CBB0A1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4"/>
  </w:num>
  <w:num w:numId="6">
    <w:abstractNumId w:val="6"/>
  </w:num>
  <w:num w:numId="7">
    <w:abstractNumId w:val="3"/>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4E6B"/>
    <w:rsid w:val="00080053"/>
    <w:rsid w:val="000A2D11"/>
    <w:rsid w:val="000B223F"/>
    <w:rsid w:val="000E65B0"/>
    <w:rsid w:val="001144C4"/>
    <w:rsid w:val="00121836"/>
    <w:rsid w:val="00131AC7"/>
    <w:rsid w:val="001B3202"/>
    <w:rsid w:val="001C7361"/>
    <w:rsid w:val="00227C04"/>
    <w:rsid w:val="00231B62"/>
    <w:rsid w:val="00237730"/>
    <w:rsid w:val="002410B3"/>
    <w:rsid w:val="00254AAA"/>
    <w:rsid w:val="00255923"/>
    <w:rsid w:val="0025719F"/>
    <w:rsid w:val="0026046D"/>
    <w:rsid w:val="00270E99"/>
    <w:rsid w:val="002A589E"/>
    <w:rsid w:val="002D25E0"/>
    <w:rsid w:val="002E2C5F"/>
    <w:rsid w:val="002F05DC"/>
    <w:rsid w:val="003005D8"/>
    <w:rsid w:val="00320501"/>
    <w:rsid w:val="00355B90"/>
    <w:rsid w:val="0037638B"/>
    <w:rsid w:val="003A51CC"/>
    <w:rsid w:val="003D01DA"/>
    <w:rsid w:val="00413918"/>
    <w:rsid w:val="00413EE0"/>
    <w:rsid w:val="00415255"/>
    <w:rsid w:val="00474257"/>
    <w:rsid w:val="00483963"/>
    <w:rsid w:val="00492AD6"/>
    <w:rsid w:val="004A1711"/>
    <w:rsid w:val="005160BB"/>
    <w:rsid w:val="00542A3B"/>
    <w:rsid w:val="00545F29"/>
    <w:rsid w:val="0056270F"/>
    <w:rsid w:val="005B37CC"/>
    <w:rsid w:val="005B63F0"/>
    <w:rsid w:val="005F3574"/>
    <w:rsid w:val="00613140"/>
    <w:rsid w:val="0061450C"/>
    <w:rsid w:val="00623213"/>
    <w:rsid w:val="00650876"/>
    <w:rsid w:val="007007B4"/>
    <w:rsid w:val="00753DF0"/>
    <w:rsid w:val="007A0222"/>
    <w:rsid w:val="007B3399"/>
    <w:rsid w:val="007C7C08"/>
    <w:rsid w:val="007D2210"/>
    <w:rsid w:val="00813BFB"/>
    <w:rsid w:val="0082422E"/>
    <w:rsid w:val="008361FD"/>
    <w:rsid w:val="008A4D69"/>
    <w:rsid w:val="00906F5F"/>
    <w:rsid w:val="00950B1C"/>
    <w:rsid w:val="00955F86"/>
    <w:rsid w:val="00972956"/>
    <w:rsid w:val="00976CF5"/>
    <w:rsid w:val="0098338B"/>
    <w:rsid w:val="0098755F"/>
    <w:rsid w:val="009B4EBD"/>
    <w:rsid w:val="009D3420"/>
    <w:rsid w:val="009D5434"/>
    <w:rsid w:val="009D71F6"/>
    <w:rsid w:val="009F4632"/>
    <w:rsid w:val="009F6674"/>
    <w:rsid w:val="00A05E9D"/>
    <w:rsid w:val="00A67347"/>
    <w:rsid w:val="00A71E20"/>
    <w:rsid w:val="00A940AD"/>
    <w:rsid w:val="00AA75B4"/>
    <w:rsid w:val="00AD5E1E"/>
    <w:rsid w:val="00B270B3"/>
    <w:rsid w:val="00B92A76"/>
    <w:rsid w:val="00C20F96"/>
    <w:rsid w:val="00C454D5"/>
    <w:rsid w:val="00C7582F"/>
    <w:rsid w:val="00C76086"/>
    <w:rsid w:val="00C84BD1"/>
    <w:rsid w:val="00CB2697"/>
    <w:rsid w:val="00D13280"/>
    <w:rsid w:val="00D51948"/>
    <w:rsid w:val="00D57E21"/>
    <w:rsid w:val="00DA7931"/>
    <w:rsid w:val="00DE4973"/>
    <w:rsid w:val="00E86999"/>
    <w:rsid w:val="00EA0C60"/>
    <w:rsid w:val="00EC019F"/>
    <w:rsid w:val="00EF0EF7"/>
    <w:rsid w:val="00F10F9B"/>
    <w:rsid w:val="00F111C7"/>
    <w:rsid w:val="00F5720A"/>
    <w:rsid w:val="00FA4A29"/>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6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dboehm@bkllawfirm.com" TargetMode="External"/><Relationship Id="rId18" Type="http://schemas.openxmlformats.org/officeDocument/2006/relationships/hyperlink" Target="mailto:mpritchard@mwncmh.com" TargetMode="External"/><Relationship Id="rId26" Type="http://schemas.openxmlformats.org/officeDocument/2006/relationships/hyperlink" Target="mailto:William.wright@puc.state.oh.us" TargetMode="External"/><Relationship Id="rId3" Type="http://schemas.openxmlformats.org/officeDocument/2006/relationships/styles" Target="styles.xml"/><Relationship Id="rId21" Type="http://schemas.openxmlformats.org/officeDocument/2006/relationships/hyperlink" Target="mailto:bojko@carpenterlipps.com" TargetMode="External"/><Relationship Id="rId7" Type="http://schemas.openxmlformats.org/officeDocument/2006/relationships/endnotes" Target="endnotes.xml"/><Relationship Id="rId12" Type="http://schemas.openxmlformats.org/officeDocument/2006/relationships/hyperlink" Target="mailto:Michael.schuler@aes.com" TargetMode="External"/><Relationship Id="rId17" Type="http://schemas.openxmlformats.org/officeDocument/2006/relationships/hyperlink" Target="mailto:fdarr@mwncmh.com" TargetMode="External"/><Relationship Id="rId25" Type="http://schemas.openxmlformats.org/officeDocument/2006/relationships/hyperlink" Target="mailto:Kevin.moore@occ.ohio.gov" TargetMode="External"/><Relationship Id="rId2" Type="http://schemas.openxmlformats.org/officeDocument/2006/relationships/numbering" Target="numbering.xml"/><Relationship Id="rId16" Type="http://schemas.openxmlformats.org/officeDocument/2006/relationships/hyperlink" Target="mailto:jkylercohn@BKLlawfirm.com" TargetMode="External"/><Relationship Id="rId20" Type="http://schemas.openxmlformats.org/officeDocument/2006/relationships/hyperlink" Target="mailto:jeffrey.mayes@monitoringanalytic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harkey@ficlaw.com" TargetMode="External"/><Relationship Id="rId24" Type="http://schemas.openxmlformats.org/officeDocument/2006/relationships/hyperlink" Target="mailto:glpetrucci@vory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kurtz@BKLlawfirm.com" TargetMode="External"/><Relationship Id="rId23" Type="http://schemas.openxmlformats.org/officeDocument/2006/relationships/hyperlink" Target="mailto:ibatikov@vorys.com" TargetMode="External"/><Relationship Id="rId28" Type="http://schemas.openxmlformats.org/officeDocument/2006/relationships/hyperlink" Target="mailto:schmidt@sppgrp.com" TargetMode="External"/><Relationship Id="rId10" Type="http://schemas.openxmlformats.org/officeDocument/2006/relationships/hyperlink" Target="mailto:djireland@ficlaw.com" TargetMode="External"/><Relationship Id="rId19" Type="http://schemas.openxmlformats.org/officeDocument/2006/relationships/hyperlink" Target="mailto:mfleisher@elpc.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faruki@ficlaw.com" TargetMode="External"/><Relationship Id="rId14" Type="http://schemas.openxmlformats.org/officeDocument/2006/relationships/hyperlink" Target="mailto:kboehm@BKLlawfirm.com" TargetMode="External"/><Relationship Id="rId22" Type="http://schemas.openxmlformats.org/officeDocument/2006/relationships/hyperlink" Target="mailto:ghiloni@carpenterlipps.com" TargetMode="External"/><Relationship Id="rId27" Type="http://schemas.openxmlformats.org/officeDocument/2006/relationships/hyperlink" Target="mailto:evelyn.robinson@pjm.com"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5F4E-B177-4BA0-85E6-AE6EBC7E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1403</Words>
  <Characters>8002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2016-08-12T19:31:00Z</dcterms:created>
  <dcterms:modified xsi:type="dcterms:W3CDTF">2016-08-12T19:31:00Z</dcterms:modified>
</cp:coreProperties>
</file>