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3983" w14:textId="67FECC50" w:rsidR="008179B2" w:rsidRPr="009D71F6" w:rsidRDefault="008179B2" w:rsidP="00241F72">
      <w:pPr>
        <w:pStyle w:val="Title"/>
        <w:widowControl w:val="0"/>
        <w:rPr>
          <w:rFonts w:ascii="Arial" w:hAnsi="Arial" w:cs="Arial"/>
          <w:szCs w:val="24"/>
        </w:rPr>
      </w:pPr>
      <w:r w:rsidRPr="009D71F6">
        <w:rPr>
          <w:rFonts w:ascii="Arial" w:hAnsi="Arial" w:cs="Arial"/>
          <w:szCs w:val="24"/>
        </w:rPr>
        <w:t>BEFORE</w:t>
      </w:r>
    </w:p>
    <w:p w14:paraId="1EB54377" w14:textId="77777777" w:rsidR="008179B2" w:rsidRPr="009D71F6" w:rsidRDefault="008179B2" w:rsidP="008179B2">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54"/>
        <w:gridCol w:w="632"/>
        <w:gridCol w:w="3940"/>
      </w:tblGrid>
      <w:tr w:rsidR="008179B2" w:rsidRPr="009D71F6" w14:paraId="75002422" w14:textId="77777777" w:rsidTr="00241F72">
        <w:trPr>
          <w:trHeight w:val="981"/>
          <w:jc w:val="center"/>
        </w:trPr>
        <w:tc>
          <w:tcPr>
            <w:tcW w:w="4754" w:type="dxa"/>
            <w:vAlign w:val="center"/>
          </w:tcPr>
          <w:p w14:paraId="2AE9DCC9" w14:textId="6371A785" w:rsidR="008179B2" w:rsidRPr="009D71F6" w:rsidRDefault="008179B2" w:rsidP="00241F72">
            <w:pPr>
              <w:widowControl w:val="0"/>
              <w:spacing w:after="0" w:line="240" w:lineRule="auto"/>
              <w:rPr>
                <w:rFonts w:ascii="Arial" w:hAnsi="Arial" w:cs="Arial"/>
                <w:sz w:val="24"/>
                <w:szCs w:val="24"/>
              </w:rPr>
            </w:pPr>
            <w:r w:rsidRPr="00D57E21">
              <w:rPr>
                <w:rFonts w:ascii="Arial" w:hAnsi="Arial" w:cs="Arial"/>
                <w:sz w:val="24"/>
                <w:szCs w:val="24"/>
              </w:rPr>
              <w:t>In the Mat</w:t>
            </w:r>
            <w:r>
              <w:rPr>
                <w:rFonts w:ascii="Arial" w:hAnsi="Arial" w:cs="Arial"/>
                <w:sz w:val="24"/>
                <w:szCs w:val="24"/>
              </w:rPr>
              <w:t xml:space="preserve">ter of </w:t>
            </w:r>
            <w:r w:rsidR="00403CF3">
              <w:rPr>
                <w:rFonts w:ascii="Arial" w:hAnsi="Arial" w:cs="Arial"/>
                <w:sz w:val="24"/>
                <w:szCs w:val="24"/>
              </w:rPr>
              <w:t>the Commission’s Review of Chapter 4901:1-10, Ohio Administrative Code, Regarding Electric Companies</w:t>
            </w:r>
          </w:p>
        </w:tc>
        <w:tc>
          <w:tcPr>
            <w:tcW w:w="632" w:type="dxa"/>
            <w:vAlign w:val="center"/>
          </w:tcPr>
          <w:p w14:paraId="68C7D978" w14:textId="77777777" w:rsidR="008179B2" w:rsidRPr="009D71F6" w:rsidRDefault="008179B2" w:rsidP="00241F72">
            <w:pPr>
              <w:widowControl w:val="0"/>
              <w:spacing w:after="0" w:line="240" w:lineRule="auto"/>
              <w:rPr>
                <w:rFonts w:ascii="Arial" w:hAnsi="Arial" w:cs="Arial"/>
                <w:sz w:val="24"/>
                <w:szCs w:val="24"/>
              </w:rPr>
            </w:pPr>
            <w:r w:rsidRPr="009D71F6">
              <w:rPr>
                <w:rFonts w:ascii="Arial" w:hAnsi="Arial" w:cs="Arial"/>
                <w:sz w:val="24"/>
                <w:szCs w:val="24"/>
              </w:rPr>
              <w:t>)</w:t>
            </w:r>
          </w:p>
          <w:p w14:paraId="55EEB140" w14:textId="77777777" w:rsidR="008179B2" w:rsidRPr="009D71F6" w:rsidRDefault="008179B2" w:rsidP="00241F72">
            <w:pPr>
              <w:widowControl w:val="0"/>
              <w:spacing w:after="0" w:line="240" w:lineRule="auto"/>
              <w:rPr>
                <w:rFonts w:ascii="Arial" w:hAnsi="Arial" w:cs="Arial"/>
                <w:sz w:val="24"/>
                <w:szCs w:val="24"/>
              </w:rPr>
            </w:pPr>
            <w:r w:rsidRPr="009D71F6">
              <w:rPr>
                <w:rFonts w:ascii="Arial" w:hAnsi="Arial" w:cs="Arial"/>
                <w:sz w:val="24"/>
                <w:szCs w:val="24"/>
              </w:rPr>
              <w:t>)</w:t>
            </w:r>
          </w:p>
          <w:p w14:paraId="529ACA38" w14:textId="5DECCFF3" w:rsidR="008179B2" w:rsidRPr="009D71F6" w:rsidRDefault="008179B2" w:rsidP="00241F72">
            <w:pPr>
              <w:widowControl w:val="0"/>
              <w:spacing w:after="0" w:line="240" w:lineRule="auto"/>
              <w:rPr>
                <w:rFonts w:ascii="Arial" w:hAnsi="Arial" w:cs="Arial"/>
                <w:sz w:val="24"/>
                <w:szCs w:val="24"/>
              </w:rPr>
            </w:pPr>
            <w:r w:rsidRPr="009D71F6">
              <w:rPr>
                <w:rFonts w:ascii="Arial" w:hAnsi="Arial" w:cs="Arial"/>
                <w:sz w:val="24"/>
                <w:szCs w:val="24"/>
              </w:rPr>
              <w:t>)</w:t>
            </w:r>
          </w:p>
        </w:tc>
        <w:tc>
          <w:tcPr>
            <w:tcW w:w="3940" w:type="dxa"/>
            <w:vAlign w:val="center"/>
          </w:tcPr>
          <w:p w14:paraId="174CAAE6" w14:textId="77777777" w:rsidR="008179B2" w:rsidRPr="009D71F6" w:rsidRDefault="008179B2" w:rsidP="00241F72">
            <w:pPr>
              <w:widowControl w:val="0"/>
              <w:spacing w:after="0" w:line="240" w:lineRule="auto"/>
              <w:rPr>
                <w:rFonts w:ascii="Arial" w:hAnsi="Arial" w:cs="Arial"/>
                <w:sz w:val="24"/>
                <w:szCs w:val="24"/>
              </w:rPr>
            </w:pPr>
          </w:p>
          <w:p w14:paraId="73450A40" w14:textId="0C82198F" w:rsidR="008179B2" w:rsidRPr="009D71F6" w:rsidRDefault="008179B2" w:rsidP="00241F72">
            <w:pPr>
              <w:widowControl w:val="0"/>
              <w:spacing w:after="0" w:line="240" w:lineRule="auto"/>
              <w:rPr>
                <w:rFonts w:ascii="Arial" w:hAnsi="Arial" w:cs="Arial"/>
                <w:sz w:val="24"/>
                <w:szCs w:val="24"/>
              </w:rPr>
            </w:pPr>
            <w:r>
              <w:rPr>
                <w:rFonts w:ascii="Arial" w:hAnsi="Arial" w:cs="Arial"/>
                <w:sz w:val="24"/>
                <w:szCs w:val="24"/>
              </w:rPr>
              <w:t>Case No. 1</w:t>
            </w:r>
            <w:r w:rsidR="00403CF3">
              <w:rPr>
                <w:rFonts w:ascii="Arial" w:hAnsi="Arial" w:cs="Arial"/>
                <w:sz w:val="24"/>
                <w:szCs w:val="24"/>
              </w:rPr>
              <w:t>7</w:t>
            </w:r>
            <w:r>
              <w:rPr>
                <w:rFonts w:ascii="Arial" w:hAnsi="Arial" w:cs="Arial"/>
                <w:sz w:val="24"/>
                <w:szCs w:val="24"/>
              </w:rPr>
              <w:t>-</w:t>
            </w:r>
            <w:r w:rsidR="00403CF3">
              <w:rPr>
                <w:rFonts w:ascii="Arial" w:hAnsi="Arial" w:cs="Arial"/>
                <w:sz w:val="24"/>
                <w:szCs w:val="24"/>
              </w:rPr>
              <w:t>1842</w:t>
            </w:r>
            <w:r>
              <w:rPr>
                <w:rFonts w:ascii="Arial" w:hAnsi="Arial" w:cs="Arial"/>
                <w:sz w:val="24"/>
                <w:szCs w:val="24"/>
              </w:rPr>
              <w:t>-EL-</w:t>
            </w:r>
            <w:r w:rsidR="00403CF3">
              <w:rPr>
                <w:rFonts w:ascii="Arial" w:hAnsi="Arial" w:cs="Arial"/>
                <w:sz w:val="24"/>
                <w:szCs w:val="24"/>
              </w:rPr>
              <w:t>ORD</w:t>
            </w:r>
          </w:p>
          <w:p w14:paraId="338E4BD6" w14:textId="77777777" w:rsidR="008179B2" w:rsidRPr="009D71F6" w:rsidRDefault="008179B2" w:rsidP="00241F72">
            <w:pPr>
              <w:widowControl w:val="0"/>
              <w:spacing w:after="0" w:line="240" w:lineRule="auto"/>
              <w:rPr>
                <w:rFonts w:ascii="Arial" w:hAnsi="Arial" w:cs="Arial"/>
                <w:sz w:val="24"/>
                <w:szCs w:val="24"/>
              </w:rPr>
            </w:pPr>
          </w:p>
        </w:tc>
      </w:tr>
    </w:tbl>
    <w:p w14:paraId="217732ED" w14:textId="77777777" w:rsidR="008179B2" w:rsidRPr="009D71F6" w:rsidRDefault="008179B2" w:rsidP="008179B2">
      <w:pPr>
        <w:widowControl w:val="0"/>
        <w:pBdr>
          <w:bottom w:val="single" w:sz="12" w:space="0" w:color="auto"/>
        </w:pBdr>
        <w:spacing w:after="0" w:line="240" w:lineRule="auto"/>
        <w:rPr>
          <w:rFonts w:ascii="Arial" w:hAnsi="Arial" w:cs="Arial"/>
          <w:sz w:val="24"/>
          <w:szCs w:val="24"/>
        </w:rPr>
      </w:pPr>
    </w:p>
    <w:p w14:paraId="74E96A43" w14:textId="77777777" w:rsidR="008179B2" w:rsidRDefault="008179B2" w:rsidP="008179B2">
      <w:pPr>
        <w:widowControl w:val="0"/>
        <w:spacing w:after="0" w:line="240" w:lineRule="auto"/>
        <w:jc w:val="center"/>
        <w:rPr>
          <w:rFonts w:ascii="Arial" w:hAnsi="Arial" w:cs="Arial"/>
          <w:b/>
          <w:bCs/>
          <w:sz w:val="24"/>
          <w:szCs w:val="24"/>
        </w:rPr>
      </w:pPr>
    </w:p>
    <w:p w14:paraId="399E8713" w14:textId="058135C8" w:rsidR="008179B2" w:rsidRPr="005E79F9" w:rsidRDefault="005E79F9" w:rsidP="008179B2">
      <w:pPr>
        <w:widowControl w:val="0"/>
        <w:spacing w:after="0" w:line="240" w:lineRule="auto"/>
        <w:jc w:val="center"/>
        <w:rPr>
          <w:rFonts w:ascii="Arial" w:hAnsi="Arial" w:cs="Arial"/>
          <w:b/>
          <w:bCs/>
          <w:caps/>
          <w:sz w:val="24"/>
          <w:szCs w:val="24"/>
        </w:rPr>
      </w:pPr>
      <w:r w:rsidRPr="005E79F9">
        <w:rPr>
          <w:rFonts w:ascii="Arial" w:hAnsi="Arial" w:cs="Arial"/>
          <w:b/>
          <w:bCs/>
          <w:caps/>
          <w:sz w:val="24"/>
          <w:szCs w:val="24"/>
        </w:rPr>
        <w:t xml:space="preserve">Interstate Gas Supply, Inc.’s </w:t>
      </w:r>
      <w:r w:rsidR="008179B2" w:rsidRPr="005E79F9">
        <w:rPr>
          <w:rFonts w:ascii="Arial" w:hAnsi="Arial" w:cs="Arial"/>
          <w:b/>
          <w:bCs/>
          <w:caps/>
          <w:sz w:val="24"/>
          <w:szCs w:val="24"/>
        </w:rPr>
        <w:t xml:space="preserve">MEMORANDUM CONTRA </w:t>
      </w:r>
      <w:r w:rsidRPr="005E79F9">
        <w:rPr>
          <w:rFonts w:ascii="Arial" w:hAnsi="Arial" w:cs="Arial"/>
          <w:b/>
          <w:bCs/>
          <w:caps/>
          <w:sz w:val="24"/>
          <w:szCs w:val="24"/>
        </w:rPr>
        <w:t>APPLICATION for</w:t>
      </w:r>
      <w:r w:rsidR="008179B2" w:rsidRPr="005E79F9">
        <w:rPr>
          <w:rFonts w:ascii="Arial" w:hAnsi="Arial" w:cs="Arial"/>
          <w:b/>
          <w:bCs/>
          <w:caps/>
          <w:sz w:val="24"/>
          <w:szCs w:val="24"/>
        </w:rPr>
        <w:t xml:space="preserve"> REHEARING</w:t>
      </w:r>
      <w:r w:rsidR="00C33D3A" w:rsidRPr="005E79F9">
        <w:rPr>
          <w:rFonts w:ascii="Arial" w:hAnsi="Arial" w:cs="Arial"/>
          <w:b/>
          <w:bCs/>
          <w:caps/>
          <w:sz w:val="24"/>
          <w:szCs w:val="24"/>
        </w:rPr>
        <w:t xml:space="preserve"> </w:t>
      </w:r>
      <w:r w:rsidRPr="005E79F9">
        <w:rPr>
          <w:rFonts w:ascii="Arial" w:hAnsi="Arial" w:cs="Arial"/>
          <w:b/>
          <w:bCs/>
          <w:caps/>
          <w:sz w:val="24"/>
          <w:szCs w:val="24"/>
        </w:rPr>
        <w:t>BY</w:t>
      </w:r>
      <w:r w:rsidR="008179B2" w:rsidRPr="005E79F9">
        <w:rPr>
          <w:rFonts w:ascii="Arial" w:hAnsi="Arial" w:cs="Arial"/>
          <w:b/>
          <w:bCs/>
          <w:caps/>
          <w:sz w:val="24"/>
          <w:szCs w:val="24"/>
        </w:rPr>
        <w:t xml:space="preserve"> THE </w:t>
      </w:r>
      <w:r w:rsidR="00C33D3A" w:rsidRPr="005E79F9">
        <w:rPr>
          <w:rFonts w:ascii="Arial" w:hAnsi="Arial" w:cs="Arial"/>
          <w:b/>
          <w:bCs/>
          <w:caps/>
          <w:sz w:val="24"/>
          <w:szCs w:val="24"/>
        </w:rPr>
        <w:t xml:space="preserve">DAYTON POWER AND LIGHT COMPANY </w:t>
      </w:r>
      <w:r w:rsidR="008179B2" w:rsidRPr="005E79F9">
        <w:rPr>
          <w:rFonts w:ascii="Arial" w:hAnsi="Arial" w:cs="Arial"/>
          <w:b/>
          <w:bCs/>
          <w:caps/>
          <w:sz w:val="24"/>
          <w:szCs w:val="24"/>
        </w:rPr>
        <w:t xml:space="preserve"> </w:t>
      </w:r>
    </w:p>
    <w:p w14:paraId="11B0AB9D" w14:textId="77777777" w:rsidR="008179B2" w:rsidRPr="009D71F6" w:rsidRDefault="008179B2" w:rsidP="008179B2">
      <w:pPr>
        <w:widowControl w:val="0"/>
        <w:pBdr>
          <w:bottom w:val="single" w:sz="12" w:space="1" w:color="auto"/>
        </w:pBdr>
        <w:tabs>
          <w:tab w:val="left" w:pos="6461"/>
        </w:tabs>
        <w:spacing w:after="0" w:line="240" w:lineRule="auto"/>
        <w:jc w:val="center"/>
        <w:rPr>
          <w:rFonts w:ascii="Arial" w:hAnsi="Arial" w:cs="Arial"/>
          <w:sz w:val="24"/>
          <w:szCs w:val="24"/>
        </w:rPr>
      </w:pPr>
    </w:p>
    <w:p w14:paraId="41B452FE" w14:textId="77777777" w:rsidR="008179B2" w:rsidRDefault="008179B2" w:rsidP="008179B2">
      <w:pPr>
        <w:spacing w:line="480" w:lineRule="auto"/>
        <w:jc w:val="both"/>
        <w:rPr>
          <w:rFonts w:ascii="Arial" w:hAnsi="Arial" w:cs="Arial"/>
          <w:sz w:val="24"/>
          <w:szCs w:val="24"/>
        </w:rPr>
      </w:pPr>
    </w:p>
    <w:p w14:paraId="04ACA1BE" w14:textId="531FF84B" w:rsidR="008179B2" w:rsidRDefault="008179B2" w:rsidP="00241F72">
      <w:pPr>
        <w:pStyle w:val="ListParagraph"/>
        <w:numPr>
          <w:ilvl w:val="0"/>
          <w:numId w:val="13"/>
        </w:numPr>
        <w:spacing w:after="0" w:line="480" w:lineRule="auto"/>
        <w:jc w:val="both"/>
        <w:rPr>
          <w:rFonts w:ascii="Arial" w:hAnsi="Arial" w:cs="Arial"/>
          <w:b/>
          <w:sz w:val="24"/>
          <w:szCs w:val="24"/>
        </w:rPr>
      </w:pPr>
      <w:r>
        <w:rPr>
          <w:rFonts w:ascii="Arial" w:hAnsi="Arial" w:cs="Arial"/>
          <w:b/>
          <w:sz w:val="24"/>
          <w:szCs w:val="24"/>
        </w:rPr>
        <w:t>INTRODUCTION</w:t>
      </w:r>
    </w:p>
    <w:p w14:paraId="09084A18" w14:textId="066F9E16" w:rsidR="0074460A" w:rsidRDefault="00AF0F8A" w:rsidP="004240B4">
      <w:pPr>
        <w:spacing w:after="0" w:line="480" w:lineRule="auto"/>
        <w:ind w:firstLine="720"/>
        <w:jc w:val="both"/>
        <w:rPr>
          <w:rFonts w:ascii="Arial" w:hAnsi="Arial" w:cs="Arial"/>
          <w:sz w:val="24"/>
          <w:szCs w:val="24"/>
        </w:rPr>
      </w:pPr>
      <w:r>
        <w:rPr>
          <w:rFonts w:ascii="Arial" w:hAnsi="Arial" w:cs="Arial"/>
          <w:sz w:val="24"/>
          <w:szCs w:val="24"/>
        </w:rPr>
        <w:t>On</w:t>
      </w:r>
      <w:r w:rsidR="00C33D3A">
        <w:rPr>
          <w:rFonts w:ascii="Arial" w:hAnsi="Arial" w:cs="Arial"/>
          <w:sz w:val="24"/>
          <w:szCs w:val="24"/>
        </w:rPr>
        <w:t xml:space="preserve"> January 27, 2021 the Public Utilities Commission of Ohio (“Commission”) issued</w:t>
      </w:r>
      <w:r w:rsidR="00FC62E6">
        <w:rPr>
          <w:rFonts w:ascii="Arial" w:hAnsi="Arial" w:cs="Arial"/>
          <w:sz w:val="24"/>
          <w:szCs w:val="24"/>
        </w:rPr>
        <w:t xml:space="preserve"> its</w:t>
      </w:r>
      <w:r w:rsidR="0014498F">
        <w:rPr>
          <w:rFonts w:ascii="Arial" w:hAnsi="Arial" w:cs="Arial"/>
          <w:sz w:val="24"/>
          <w:szCs w:val="24"/>
        </w:rPr>
        <w:t xml:space="preserve"> Second</w:t>
      </w:r>
      <w:r w:rsidR="00FC62E6">
        <w:rPr>
          <w:rFonts w:ascii="Arial" w:hAnsi="Arial" w:cs="Arial"/>
          <w:sz w:val="24"/>
          <w:szCs w:val="24"/>
        </w:rPr>
        <w:t xml:space="preserve"> </w:t>
      </w:r>
      <w:r w:rsidR="00C160A2">
        <w:rPr>
          <w:rFonts w:ascii="Arial" w:hAnsi="Arial" w:cs="Arial"/>
          <w:sz w:val="24"/>
          <w:szCs w:val="24"/>
        </w:rPr>
        <w:t>Entry on Rehearing (“</w:t>
      </w:r>
      <w:r w:rsidR="0014498F">
        <w:rPr>
          <w:rFonts w:ascii="Arial" w:hAnsi="Arial" w:cs="Arial"/>
          <w:sz w:val="24"/>
          <w:szCs w:val="24"/>
        </w:rPr>
        <w:t xml:space="preserve">Second </w:t>
      </w:r>
      <w:r w:rsidR="00C160A2">
        <w:rPr>
          <w:rFonts w:ascii="Arial" w:hAnsi="Arial" w:cs="Arial"/>
          <w:sz w:val="24"/>
          <w:szCs w:val="24"/>
        </w:rPr>
        <w:t xml:space="preserve">Entry on Rehearing”) </w:t>
      </w:r>
      <w:r w:rsidR="00385D41">
        <w:rPr>
          <w:rFonts w:ascii="Arial" w:hAnsi="Arial" w:cs="Arial"/>
          <w:sz w:val="24"/>
          <w:szCs w:val="24"/>
        </w:rPr>
        <w:t xml:space="preserve">in this proceeding that, among other things, </w:t>
      </w:r>
      <w:r w:rsidR="00D974A1">
        <w:rPr>
          <w:rFonts w:ascii="Arial" w:hAnsi="Arial" w:cs="Arial"/>
          <w:sz w:val="24"/>
          <w:szCs w:val="24"/>
        </w:rPr>
        <w:t xml:space="preserve">denied </w:t>
      </w:r>
      <w:r w:rsidR="00B74259">
        <w:rPr>
          <w:rFonts w:ascii="Arial" w:hAnsi="Arial" w:cs="Arial"/>
          <w:sz w:val="24"/>
          <w:szCs w:val="24"/>
        </w:rPr>
        <w:t xml:space="preserve">all of </w:t>
      </w:r>
      <w:r w:rsidR="00D974A1">
        <w:rPr>
          <w:rFonts w:ascii="Arial" w:hAnsi="Arial" w:cs="Arial"/>
          <w:sz w:val="24"/>
          <w:szCs w:val="24"/>
        </w:rPr>
        <w:t xml:space="preserve">the applications for rehearing regarding </w:t>
      </w:r>
      <w:r w:rsidR="002C576A">
        <w:rPr>
          <w:rFonts w:ascii="Arial" w:hAnsi="Arial" w:cs="Arial"/>
          <w:sz w:val="24"/>
          <w:szCs w:val="24"/>
        </w:rPr>
        <w:t xml:space="preserve">amendments to Ohio </w:t>
      </w:r>
      <w:proofErr w:type="spellStart"/>
      <w:r w:rsidR="002C576A">
        <w:rPr>
          <w:rFonts w:ascii="Arial" w:hAnsi="Arial" w:cs="Arial"/>
          <w:sz w:val="24"/>
          <w:szCs w:val="24"/>
        </w:rPr>
        <w:t>Adm.Code</w:t>
      </w:r>
      <w:proofErr w:type="spellEnd"/>
      <w:r w:rsidR="002C576A">
        <w:rPr>
          <w:rFonts w:ascii="Arial" w:hAnsi="Arial" w:cs="Arial"/>
          <w:sz w:val="24"/>
          <w:szCs w:val="24"/>
        </w:rPr>
        <w:t xml:space="preserve"> 4901:1-10-33(A)</w:t>
      </w:r>
      <w:r w:rsidR="000F677A">
        <w:rPr>
          <w:rFonts w:ascii="Arial" w:hAnsi="Arial" w:cs="Arial"/>
          <w:sz w:val="24"/>
          <w:szCs w:val="24"/>
        </w:rPr>
        <w:t>,</w:t>
      </w:r>
      <w:r w:rsidR="002C576A">
        <w:rPr>
          <w:rFonts w:ascii="Arial" w:hAnsi="Arial" w:cs="Arial"/>
          <w:sz w:val="24"/>
          <w:szCs w:val="24"/>
        </w:rPr>
        <w:t xml:space="preserve"> </w:t>
      </w:r>
      <w:r w:rsidR="00C160A2">
        <w:rPr>
          <w:rFonts w:ascii="Arial" w:hAnsi="Arial" w:cs="Arial"/>
          <w:sz w:val="24"/>
          <w:szCs w:val="24"/>
        </w:rPr>
        <w:t xml:space="preserve">including </w:t>
      </w:r>
      <w:r w:rsidR="00BF5F8E">
        <w:rPr>
          <w:rFonts w:ascii="Arial" w:hAnsi="Arial" w:cs="Arial"/>
          <w:sz w:val="24"/>
          <w:szCs w:val="24"/>
        </w:rPr>
        <w:t>one submitted by</w:t>
      </w:r>
      <w:r w:rsidR="002C576A">
        <w:rPr>
          <w:rFonts w:ascii="Arial" w:hAnsi="Arial" w:cs="Arial"/>
          <w:sz w:val="24"/>
          <w:szCs w:val="24"/>
        </w:rPr>
        <w:t xml:space="preserve"> </w:t>
      </w:r>
      <w:r w:rsidR="00805B2E">
        <w:rPr>
          <w:rFonts w:ascii="Arial" w:hAnsi="Arial" w:cs="Arial"/>
          <w:sz w:val="24"/>
          <w:szCs w:val="24"/>
        </w:rPr>
        <w:t xml:space="preserve">The </w:t>
      </w:r>
      <w:r w:rsidR="00C160A2">
        <w:rPr>
          <w:rFonts w:ascii="Arial" w:hAnsi="Arial" w:cs="Arial"/>
          <w:sz w:val="24"/>
          <w:szCs w:val="24"/>
        </w:rPr>
        <w:t>Dayton Power and Light</w:t>
      </w:r>
      <w:r w:rsidR="002C576A">
        <w:rPr>
          <w:rFonts w:ascii="Arial" w:hAnsi="Arial" w:cs="Arial"/>
          <w:sz w:val="24"/>
          <w:szCs w:val="24"/>
        </w:rPr>
        <w:t xml:space="preserve"> Company</w:t>
      </w:r>
      <w:r w:rsidR="00C160A2">
        <w:rPr>
          <w:rFonts w:ascii="Arial" w:hAnsi="Arial" w:cs="Arial"/>
          <w:sz w:val="24"/>
          <w:szCs w:val="24"/>
        </w:rPr>
        <w:t xml:space="preserve"> (“AES Ohio”).</w:t>
      </w:r>
      <w:r w:rsidR="00AF3CBD">
        <w:rPr>
          <w:rStyle w:val="FootnoteReference"/>
          <w:rFonts w:ascii="Arial" w:hAnsi="Arial" w:cs="Arial"/>
          <w:sz w:val="24"/>
          <w:szCs w:val="24"/>
        </w:rPr>
        <w:footnoteReference w:id="2"/>
      </w:r>
      <w:r w:rsidR="00C160A2">
        <w:rPr>
          <w:rFonts w:ascii="Arial" w:hAnsi="Arial" w:cs="Arial"/>
          <w:sz w:val="24"/>
          <w:szCs w:val="24"/>
        </w:rPr>
        <w:t xml:space="preserve"> </w:t>
      </w:r>
      <w:r w:rsidR="00351556">
        <w:rPr>
          <w:rFonts w:ascii="Arial" w:hAnsi="Arial" w:cs="Arial"/>
          <w:sz w:val="24"/>
          <w:szCs w:val="24"/>
        </w:rPr>
        <w:t>Specifically,</w:t>
      </w:r>
      <w:r w:rsidR="00351556" w:rsidRPr="006C03C8">
        <w:rPr>
          <w:rFonts w:ascii="Arial" w:hAnsi="Arial" w:cs="Arial"/>
          <w:sz w:val="24"/>
          <w:szCs w:val="24"/>
        </w:rPr>
        <w:t xml:space="preserve"> </w:t>
      </w:r>
      <w:r w:rsidR="009437EB">
        <w:rPr>
          <w:rFonts w:ascii="Arial" w:hAnsi="Arial" w:cs="Arial"/>
          <w:sz w:val="24"/>
          <w:szCs w:val="24"/>
        </w:rPr>
        <w:t xml:space="preserve">the Commission </w:t>
      </w:r>
      <w:r w:rsidR="00351556">
        <w:rPr>
          <w:rFonts w:ascii="Arial" w:hAnsi="Arial" w:cs="Arial"/>
          <w:sz w:val="24"/>
          <w:szCs w:val="24"/>
        </w:rPr>
        <w:t xml:space="preserve">affirmed its </w:t>
      </w:r>
      <w:r w:rsidR="00051BEC">
        <w:rPr>
          <w:rFonts w:ascii="Arial" w:hAnsi="Arial" w:cs="Arial"/>
          <w:sz w:val="24"/>
          <w:szCs w:val="24"/>
        </w:rPr>
        <w:t xml:space="preserve">amendment to </w:t>
      </w:r>
      <w:r w:rsidR="004B65A1">
        <w:rPr>
          <w:rFonts w:ascii="Arial" w:hAnsi="Arial" w:cs="Arial"/>
          <w:sz w:val="24"/>
          <w:szCs w:val="24"/>
        </w:rPr>
        <w:t xml:space="preserve">the rule </w:t>
      </w:r>
      <w:r w:rsidR="00BF5F8E">
        <w:rPr>
          <w:rFonts w:ascii="Arial" w:hAnsi="Arial" w:cs="Arial"/>
          <w:sz w:val="24"/>
          <w:szCs w:val="24"/>
        </w:rPr>
        <w:t>which will require</w:t>
      </w:r>
      <w:r w:rsidR="00351556" w:rsidRPr="006C03C8">
        <w:rPr>
          <w:rFonts w:ascii="Arial" w:hAnsi="Arial" w:cs="Arial"/>
          <w:sz w:val="24"/>
          <w:szCs w:val="24"/>
        </w:rPr>
        <w:t xml:space="preserve"> “[t]he EDU </w:t>
      </w:r>
      <w:r w:rsidR="004677AC">
        <w:rPr>
          <w:rFonts w:ascii="Arial" w:hAnsi="Arial" w:cs="Arial"/>
          <w:sz w:val="24"/>
          <w:szCs w:val="24"/>
        </w:rPr>
        <w:t>[to</w:t>
      </w:r>
      <w:r w:rsidR="004B65A1">
        <w:rPr>
          <w:rFonts w:ascii="Arial" w:hAnsi="Arial" w:cs="Arial"/>
          <w:sz w:val="24"/>
          <w:szCs w:val="24"/>
        </w:rPr>
        <w:t>]</w:t>
      </w:r>
      <w:r w:rsidR="00351556" w:rsidRPr="006C03C8">
        <w:rPr>
          <w:rFonts w:ascii="Arial" w:hAnsi="Arial" w:cs="Arial"/>
          <w:sz w:val="24"/>
          <w:szCs w:val="24"/>
        </w:rPr>
        <w:t xml:space="preserve"> allow the customer’s CRES provider, on an open and nondiscriminatory basis, access to the consolidated bill to list the newly termed, ‘non-jurisdictional services’ charges.’”</w:t>
      </w:r>
      <w:r w:rsidR="004B65A1">
        <w:rPr>
          <w:rStyle w:val="FootnoteReference"/>
          <w:rFonts w:ascii="Arial" w:hAnsi="Arial" w:cs="Arial"/>
          <w:sz w:val="24"/>
          <w:szCs w:val="24"/>
        </w:rPr>
        <w:footnoteReference w:id="3"/>
      </w:r>
    </w:p>
    <w:p w14:paraId="49D97ADA" w14:textId="34E3C55B" w:rsidR="008F74DB" w:rsidRDefault="003E7141" w:rsidP="00445576">
      <w:pPr>
        <w:spacing w:after="0" w:line="480" w:lineRule="auto"/>
        <w:ind w:firstLine="720"/>
        <w:jc w:val="both"/>
        <w:rPr>
          <w:rFonts w:ascii="Arial" w:hAnsi="Arial" w:cs="Arial"/>
          <w:sz w:val="24"/>
          <w:szCs w:val="24"/>
        </w:rPr>
      </w:pPr>
      <w:r>
        <w:rPr>
          <w:rFonts w:ascii="Arial" w:hAnsi="Arial" w:cs="Arial"/>
          <w:sz w:val="24"/>
          <w:szCs w:val="24"/>
        </w:rPr>
        <w:t xml:space="preserve">Despite this </w:t>
      </w:r>
      <w:r w:rsidR="003223EB">
        <w:rPr>
          <w:rFonts w:ascii="Arial" w:hAnsi="Arial" w:cs="Arial"/>
          <w:sz w:val="24"/>
          <w:szCs w:val="24"/>
        </w:rPr>
        <w:t xml:space="preserve">decision, </w:t>
      </w:r>
      <w:r w:rsidR="00C160A2">
        <w:rPr>
          <w:rFonts w:ascii="Arial" w:hAnsi="Arial" w:cs="Arial"/>
          <w:sz w:val="24"/>
          <w:szCs w:val="24"/>
        </w:rPr>
        <w:t xml:space="preserve">AES Ohio filed a </w:t>
      </w:r>
      <w:r w:rsidR="009455C0">
        <w:rPr>
          <w:rFonts w:ascii="Arial" w:hAnsi="Arial" w:cs="Arial"/>
          <w:sz w:val="24"/>
          <w:szCs w:val="24"/>
        </w:rPr>
        <w:t xml:space="preserve">Second </w:t>
      </w:r>
      <w:r w:rsidR="00C160A2">
        <w:rPr>
          <w:rFonts w:ascii="Arial" w:hAnsi="Arial" w:cs="Arial"/>
          <w:sz w:val="24"/>
          <w:szCs w:val="24"/>
        </w:rPr>
        <w:t xml:space="preserve">Application for Rehearing which simply </w:t>
      </w:r>
      <w:r w:rsidR="005D3F3C">
        <w:rPr>
          <w:rFonts w:ascii="Arial" w:hAnsi="Arial" w:cs="Arial"/>
          <w:sz w:val="24"/>
          <w:szCs w:val="24"/>
        </w:rPr>
        <w:t xml:space="preserve">resubmits </w:t>
      </w:r>
      <w:r w:rsidR="000F677A">
        <w:rPr>
          <w:rFonts w:ascii="Arial" w:hAnsi="Arial" w:cs="Arial"/>
          <w:sz w:val="24"/>
          <w:szCs w:val="24"/>
        </w:rPr>
        <w:t>one of its</w:t>
      </w:r>
      <w:r w:rsidR="00C160A2">
        <w:rPr>
          <w:rFonts w:ascii="Arial" w:hAnsi="Arial" w:cs="Arial"/>
          <w:sz w:val="24"/>
          <w:szCs w:val="24"/>
        </w:rPr>
        <w:t xml:space="preserve"> a</w:t>
      </w:r>
      <w:r w:rsidR="004E055D">
        <w:rPr>
          <w:rFonts w:ascii="Arial" w:hAnsi="Arial" w:cs="Arial"/>
          <w:sz w:val="24"/>
          <w:szCs w:val="24"/>
        </w:rPr>
        <w:t xml:space="preserve">ssignments of error </w:t>
      </w:r>
      <w:r w:rsidR="00C160A2">
        <w:rPr>
          <w:rFonts w:ascii="Arial" w:hAnsi="Arial" w:cs="Arial"/>
          <w:sz w:val="24"/>
          <w:szCs w:val="24"/>
        </w:rPr>
        <w:t xml:space="preserve">proffered in its </w:t>
      </w:r>
      <w:r w:rsidR="00AF3CBD">
        <w:rPr>
          <w:rFonts w:ascii="Arial" w:hAnsi="Arial" w:cs="Arial"/>
          <w:sz w:val="24"/>
          <w:szCs w:val="24"/>
        </w:rPr>
        <w:t xml:space="preserve">prior </w:t>
      </w:r>
      <w:r w:rsidR="00C160A2">
        <w:rPr>
          <w:rFonts w:ascii="Arial" w:hAnsi="Arial" w:cs="Arial"/>
          <w:sz w:val="24"/>
          <w:szCs w:val="24"/>
        </w:rPr>
        <w:t>Application</w:t>
      </w:r>
      <w:r w:rsidR="007B7C4E">
        <w:rPr>
          <w:rFonts w:ascii="Arial" w:hAnsi="Arial" w:cs="Arial"/>
          <w:sz w:val="24"/>
          <w:szCs w:val="24"/>
        </w:rPr>
        <w:t xml:space="preserve"> for Rehearing</w:t>
      </w:r>
      <w:r w:rsidR="00C160A2">
        <w:rPr>
          <w:rFonts w:ascii="Arial" w:hAnsi="Arial" w:cs="Arial"/>
          <w:sz w:val="24"/>
          <w:szCs w:val="24"/>
        </w:rPr>
        <w:t>.</w:t>
      </w:r>
      <w:r w:rsidR="00540BD5">
        <w:rPr>
          <w:rStyle w:val="FootnoteReference"/>
          <w:rFonts w:ascii="Arial" w:hAnsi="Arial" w:cs="Arial"/>
          <w:sz w:val="24"/>
          <w:szCs w:val="24"/>
        </w:rPr>
        <w:footnoteReference w:id="4"/>
      </w:r>
      <w:r w:rsidR="00445576">
        <w:rPr>
          <w:rFonts w:ascii="Arial" w:hAnsi="Arial" w:cs="Arial"/>
          <w:sz w:val="24"/>
          <w:szCs w:val="24"/>
        </w:rPr>
        <w:t xml:space="preserve"> In AES Ohio’s Initial Application for Rehearing, </w:t>
      </w:r>
      <w:r w:rsidR="00C160A2">
        <w:rPr>
          <w:rFonts w:ascii="Arial" w:hAnsi="Arial" w:cs="Arial"/>
          <w:sz w:val="24"/>
          <w:szCs w:val="24"/>
        </w:rPr>
        <w:t>AES Ohio</w:t>
      </w:r>
      <w:r w:rsidR="007B7C4E">
        <w:rPr>
          <w:rFonts w:ascii="Arial" w:hAnsi="Arial" w:cs="Arial"/>
          <w:sz w:val="24"/>
          <w:szCs w:val="24"/>
        </w:rPr>
        <w:t xml:space="preserve"> </w:t>
      </w:r>
      <w:r w:rsidR="00C160A2">
        <w:rPr>
          <w:rFonts w:ascii="Arial" w:hAnsi="Arial" w:cs="Arial"/>
          <w:sz w:val="24"/>
          <w:szCs w:val="24"/>
        </w:rPr>
        <w:t xml:space="preserve">asserted </w:t>
      </w:r>
      <w:r w:rsidR="00445576">
        <w:rPr>
          <w:rFonts w:ascii="Arial" w:hAnsi="Arial" w:cs="Arial"/>
          <w:sz w:val="24"/>
          <w:szCs w:val="24"/>
        </w:rPr>
        <w:t xml:space="preserve">that </w:t>
      </w:r>
      <w:r w:rsidR="00D15BD6">
        <w:rPr>
          <w:rFonts w:ascii="Arial" w:hAnsi="Arial" w:cs="Arial"/>
          <w:sz w:val="24"/>
          <w:szCs w:val="24"/>
        </w:rPr>
        <w:t xml:space="preserve">the </w:t>
      </w:r>
      <w:r w:rsidR="00D15BD6">
        <w:rPr>
          <w:rFonts w:ascii="Arial" w:hAnsi="Arial" w:cs="Arial"/>
          <w:sz w:val="24"/>
          <w:szCs w:val="24"/>
        </w:rPr>
        <w:lastRenderedPageBreak/>
        <w:t xml:space="preserve">Commission’s </w:t>
      </w:r>
      <w:r w:rsidR="00AC0810">
        <w:rPr>
          <w:rFonts w:ascii="Arial" w:hAnsi="Arial" w:cs="Arial"/>
          <w:sz w:val="24"/>
          <w:szCs w:val="24"/>
        </w:rPr>
        <w:t>a</w:t>
      </w:r>
      <w:r w:rsidR="00D15BD6">
        <w:rPr>
          <w:rFonts w:ascii="Arial" w:hAnsi="Arial" w:cs="Arial"/>
          <w:sz w:val="24"/>
          <w:szCs w:val="24"/>
        </w:rPr>
        <w:t xml:space="preserve">mendments to </w:t>
      </w:r>
      <w:r w:rsidR="00FF5231">
        <w:rPr>
          <w:rFonts w:ascii="Arial" w:hAnsi="Arial" w:cs="Arial"/>
          <w:sz w:val="24"/>
          <w:szCs w:val="24"/>
        </w:rPr>
        <w:t xml:space="preserve">Ohio </w:t>
      </w:r>
      <w:proofErr w:type="spellStart"/>
      <w:r w:rsidR="00FF5231">
        <w:rPr>
          <w:rFonts w:ascii="Arial" w:hAnsi="Arial" w:cs="Arial"/>
          <w:sz w:val="24"/>
          <w:szCs w:val="24"/>
        </w:rPr>
        <w:t>Adm.Code</w:t>
      </w:r>
      <w:proofErr w:type="spellEnd"/>
      <w:r w:rsidR="00D15BD6">
        <w:rPr>
          <w:rFonts w:ascii="Arial" w:hAnsi="Arial" w:cs="Arial"/>
          <w:sz w:val="24"/>
          <w:szCs w:val="24"/>
        </w:rPr>
        <w:t xml:space="preserve"> 4901:</w:t>
      </w:r>
      <w:r w:rsidR="00805B2E">
        <w:rPr>
          <w:rFonts w:ascii="Arial" w:hAnsi="Arial" w:cs="Arial"/>
          <w:sz w:val="24"/>
          <w:szCs w:val="24"/>
        </w:rPr>
        <w:t>1</w:t>
      </w:r>
      <w:r w:rsidR="00D15BD6">
        <w:rPr>
          <w:rFonts w:ascii="Arial" w:hAnsi="Arial" w:cs="Arial"/>
          <w:sz w:val="24"/>
          <w:szCs w:val="24"/>
        </w:rPr>
        <w:t xml:space="preserve">-10-33 </w:t>
      </w:r>
      <w:r w:rsidR="002F6285" w:rsidRPr="002F6285">
        <w:rPr>
          <w:rFonts w:ascii="Arial" w:hAnsi="Arial" w:cs="Arial"/>
          <w:sz w:val="24"/>
          <w:szCs w:val="24"/>
        </w:rPr>
        <w:t xml:space="preserve">were unreasonable to the extent they forced utilities to </w:t>
      </w:r>
      <w:r w:rsidR="002D132A">
        <w:rPr>
          <w:rFonts w:ascii="Arial" w:hAnsi="Arial" w:cs="Arial"/>
          <w:sz w:val="24"/>
          <w:szCs w:val="24"/>
        </w:rPr>
        <w:t>bill for</w:t>
      </w:r>
      <w:r w:rsidR="002F6285" w:rsidRPr="002F6285">
        <w:rPr>
          <w:rFonts w:ascii="Arial" w:hAnsi="Arial" w:cs="Arial"/>
          <w:sz w:val="24"/>
          <w:szCs w:val="24"/>
        </w:rPr>
        <w:t xml:space="preserve"> non-jurisdictional charges </w:t>
      </w:r>
      <w:r w:rsidR="002F6285">
        <w:rPr>
          <w:rFonts w:ascii="Arial" w:hAnsi="Arial" w:cs="Arial"/>
          <w:sz w:val="24"/>
          <w:szCs w:val="24"/>
        </w:rPr>
        <w:t>without parameters</w:t>
      </w:r>
      <w:r w:rsidR="00C7637E">
        <w:rPr>
          <w:rFonts w:ascii="Arial" w:hAnsi="Arial" w:cs="Arial"/>
          <w:sz w:val="24"/>
          <w:szCs w:val="24"/>
        </w:rPr>
        <w:t xml:space="preserve"> or </w:t>
      </w:r>
      <w:r w:rsidR="002F6285">
        <w:rPr>
          <w:rFonts w:ascii="Arial" w:hAnsi="Arial" w:cs="Arial"/>
          <w:sz w:val="24"/>
          <w:szCs w:val="24"/>
        </w:rPr>
        <w:t>limitations</w:t>
      </w:r>
      <w:r w:rsidR="00D15BD6">
        <w:rPr>
          <w:rFonts w:ascii="Arial" w:hAnsi="Arial" w:cs="Arial"/>
          <w:sz w:val="24"/>
          <w:szCs w:val="24"/>
        </w:rPr>
        <w:t>.</w:t>
      </w:r>
      <w:r w:rsidR="00D15BD6">
        <w:rPr>
          <w:rStyle w:val="FootnoteReference"/>
          <w:rFonts w:ascii="Arial" w:hAnsi="Arial" w:cs="Arial"/>
          <w:sz w:val="24"/>
          <w:szCs w:val="24"/>
        </w:rPr>
        <w:footnoteReference w:id="5"/>
      </w:r>
      <w:r w:rsidR="000936D4">
        <w:rPr>
          <w:rFonts w:ascii="Arial" w:hAnsi="Arial" w:cs="Arial"/>
          <w:sz w:val="24"/>
          <w:szCs w:val="24"/>
        </w:rPr>
        <w:t xml:space="preserve"> In its </w:t>
      </w:r>
      <w:r w:rsidR="007B7C4E">
        <w:rPr>
          <w:rFonts w:ascii="Arial" w:hAnsi="Arial" w:cs="Arial"/>
          <w:sz w:val="24"/>
          <w:szCs w:val="24"/>
        </w:rPr>
        <w:t>S</w:t>
      </w:r>
      <w:r w:rsidR="000936D4">
        <w:rPr>
          <w:rFonts w:ascii="Arial" w:hAnsi="Arial" w:cs="Arial"/>
          <w:sz w:val="24"/>
          <w:szCs w:val="24"/>
        </w:rPr>
        <w:t xml:space="preserve">econd Application for </w:t>
      </w:r>
      <w:r w:rsidR="007B7C4E">
        <w:rPr>
          <w:rFonts w:ascii="Arial" w:hAnsi="Arial" w:cs="Arial"/>
          <w:sz w:val="24"/>
          <w:szCs w:val="24"/>
        </w:rPr>
        <w:t>R</w:t>
      </w:r>
      <w:r w:rsidR="000936D4">
        <w:rPr>
          <w:rFonts w:ascii="Arial" w:hAnsi="Arial" w:cs="Arial"/>
          <w:sz w:val="24"/>
          <w:szCs w:val="24"/>
        </w:rPr>
        <w:t>ehearing</w:t>
      </w:r>
      <w:r w:rsidR="000B32DF">
        <w:rPr>
          <w:rFonts w:ascii="Arial" w:hAnsi="Arial" w:cs="Arial"/>
          <w:sz w:val="24"/>
          <w:szCs w:val="24"/>
        </w:rPr>
        <w:t>,</w:t>
      </w:r>
      <w:r w:rsidR="000936D4">
        <w:rPr>
          <w:rFonts w:ascii="Arial" w:hAnsi="Arial" w:cs="Arial"/>
          <w:sz w:val="24"/>
          <w:szCs w:val="24"/>
        </w:rPr>
        <w:t xml:space="preserve"> AES Ohio has merely repackaged </w:t>
      </w:r>
      <w:r w:rsidR="000B32DF">
        <w:rPr>
          <w:rFonts w:ascii="Arial" w:hAnsi="Arial" w:cs="Arial"/>
          <w:sz w:val="24"/>
          <w:szCs w:val="24"/>
        </w:rPr>
        <w:t>identical arguments</w:t>
      </w:r>
      <w:r w:rsidR="007B7C4E">
        <w:rPr>
          <w:rFonts w:ascii="Arial" w:hAnsi="Arial" w:cs="Arial"/>
          <w:sz w:val="24"/>
          <w:szCs w:val="24"/>
        </w:rPr>
        <w:t xml:space="preserve">, </w:t>
      </w:r>
      <w:r w:rsidR="000B32DF">
        <w:rPr>
          <w:rFonts w:ascii="Arial" w:hAnsi="Arial" w:cs="Arial"/>
          <w:sz w:val="24"/>
          <w:szCs w:val="24"/>
        </w:rPr>
        <w:t>seeking a second bite at an apple already discarded by the Commission in its</w:t>
      </w:r>
      <w:r w:rsidR="0044029D">
        <w:rPr>
          <w:rFonts w:ascii="Arial" w:hAnsi="Arial" w:cs="Arial"/>
          <w:sz w:val="24"/>
          <w:szCs w:val="24"/>
        </w:rPr>
        <w:t xml:space="preserve"> Second</w:t>
      </w:r>
      <w:r w:rsidR="000B32DF">
        <w:rPr>
          <w:rFonts w:ascii="Arial" w:hAnsi="Arial" w:cs="Arial"/>
          <w:sz w:val="24"/>
          <w:szCs w:val="24"/>
        </w:rPr>
        <w:t xml:space="preserve"> Entry on Rehearing.</w:t>
      </w:r>
      <w:r w:rsidR="000B32DF">
        <w:rPr>
          <w:rStyle w:val="FootnoteReference"/>
          <w:rFonts w:ascii="Arial" w:hAnsi="Arial" w:cs="Arial"/>
          <w:sz w:val="24"/>
          <w:szCs w:val="24"/>
        </w:rPr>
        <w:footnoteReference w:id="6"/>
      </w:r>
      <w:r w:rsidR="000B32DF">
        <w:rPr>
          <w:rFonts w:ascii="Arial" w:hAnsi="Arial" w:cs="Arial"/>
          <w:sz w:val="24"/>
          <w:szCs w:val="24"/>
        </w:rPr>
        <w:t xml:space="preserve"> </w:t>
      </w:r>
      <w:r w:rsidR="008F35C4">
        <w:rPr>
          <w:rFonts w:ascii="Arial" w:hAnsi="Arial" w:cs="Arial"/>
          <w:sz w:val="24"/>
          <w:szCs w:val="24"/>
        </w:rPr>
        <w:t xml:space="preserve">As such, </w:t>
      </w:r>
      <w:r w:rsidR="00016E03">
        <w:rPr>
          <w:rFonts w:ascii="Arial" w:hAnsi="Arial" w:cs="Arial"/>
          <w:sz w:val="24"/>
          <w:szCs w:val="24"/>
        </w:rPr>
        <w:t xml:space="preserve">AES Ohio’s </w:t>
      </w:r>
      <w:r w:rsidR="00D54200">
        <w:rPr>
          <w:rFonts w:ascii="Arial" w:hAnsi="Arial" w:cs="Arial"/>
          <w:sz w:val="24"/>
          <w:szCs w:val="24"/>
        </w:rPr>
        <w:t>S</w:t>
      </w:r>
      <w:r w:rsidR="00016E03">
        <w:rPr>
          <w:rFonts w:ascii="Arial" w:hAnsi="Arial" w:cs="Arial"/>
          <w:sz w:val="24"/>
          <w:szCs w:val="24"/>
        </w:rPr>
        <w:t xml:space="preserve">econd </w:t>
      </w:r>
      <w:r w:rsidR="00D54200">
        <w:rPr>
          <w:rFonts w:ascii="Arial" w:hAnsi="Arial" w:cs="Arial"/>
          <w:sz w:val="24"/>
          <w:szCs w:val="24"/>
        </w:rPr>
        <w:t>A</w:t>
      </w:r>
      <w:r w:rsidR="00016E03">
        <w:rPr>
          <w:rFonts w:ascii="Arial" w:hAnsi="Arial" w:cs="Arial"/>
          <w:sz w:val="24"/>
          <w:szCs w:val="24"/>
        </w:rPr>
        <w:t xml:space="preserve">pplication for </w:t>
      </w:r>
      <w:r w:rsidR="00D54200">
        <w:rPr>
          <w:rFonts w:ascii="Arial" w:hAnsi="Arial" w:cs="Arial"/>
          <w:sz w:val="24"/>
          <w:szCs w:val="24"/>
        </w:rPr>
        <w:t>R</w:t>
      </w:r>
      <w:r w:rsidR="00016E03">
        <w:rPr>
          <w:rFonts w:ascii="Arial" w:hAnsi="Arial" w:cs="Arial"/>
          <w:sz w:val="24"/>
          <w:szCs w:val="24"/>
        </w:rPr>
        <w:t>ehearing</w:t>
      </w:r>
      <w:r w:rsidR="00D54200">
        <w:rPr>
          <w:rFonts w:ascii="Arial" w:hAnsi="Arial" w:cs="Arial"/>
          <w:sz w:val="24"/>
          <w:szCs w:val="24"/>
        </w:rPr>
        <w:t xml:space="preserve"> </w:t>
      </w:r>
      <w:r w:rsidR="002B03D3">
        <w:rPr>
          <w:rFonts w:ascii="Arial" w:hAnsi="Arial" w:cs="Arial"/>
          <w:sz w:val="24"/>
          <w:szCs w:val="24"/>
        </w:rPr>
        <w:t>is</w:t>
      </w:r>
      <w:r w:rsidR="007A728D">
        <w:rPr>
          <w:rFonts w:ascii="Arial" w:hAnsi="Arial" w:cs="Arial"/>
          <w:sz w:val="24"/>
          <w:szCs w:val="24"/>
        </w:rPr>
        <w:t xml:space="preserve"> procedurally</w:t>
      </w:r>
      <w:r w:rsidR="00D54200">
        <w:rPr>
          <w:rFonts w:ascii="Arial" w:hAnsi="Arial" w:cs="Arial"/>
          <w:sz w:val="24"/>
          <w:szCs w:val="24"/>
        </w:rPr>
        <w:t xml:space="preserve"> improper</w:t>
      </w:r>
      <w:r w:rsidR="00E6215B">
        <w:rPr>
          <w:rFonts w:ascii="Arial" w:hAnsi="Arial" w:cs="Arial"/>
          <w:sz w:val="24"/>
          <w:szCs w:val="24"/>
        </w:rPr>
        <w:t xml:space="preserve"> and must be denied</w:t>
      </w:r>
      <w:r w:rsidR="007A728D">
        <w:rPr>
          <w:rFonts w:ascii="Arial" w:hAnsi="Arial" w:cs="Arial"/>
          <w:sz w:val="24"/>
          <w:szCs w:val="24"/>
        </w:rPr>
        <w:t xml:space="preserve">. </w:t>
      </w:r>
    </w:p>
    <w:p w14:paraId="70AE6C01" w14:textId="64DA9C6F" w:rsidR="00C160A2" w:rsidRDefault="005C7302" w:rsidP="00445576">
      <w:pPr>
        <w:spacing w:after="0" w:line="480" w:lineRule="auto"/>
        <w:ind w:firstLine="720"/>
        <w:jc w:val="both"/>
        <w:rPr>
          <w:rFonts w:ascii="Arial" w:hAnsi="Arial" w:cs="Arial"/>
          <w:sz w:val="24"/>
          <w:szCs w:val="24"/>
        </w:rPr>
      </w:pPr>
      <w:r>
        <w:rPr>
          <w:rFonts w:ascii="Arial" w:hAnsi="Arial" w:cs="Arial"/>
          <w:sz w:val="24"/>
          <w:szCs w:val="24"/>
        </w:rPr>
        <w:t>Moreover,</w:t>
      </w:r>
      <w:r w:rsidR="001879E4" w:rsidRPr="001879E4">
        <w:rPr>
          <w:rFonts w:ascii="Arial" w:hAnsi="Arial" w:cs="Arial"/>
          <w:sz w:val="24"/>
          <w:szCs w:val="24"/>
        </w:rPr>
        <w:t xml:space="preserve"> </w:t>
      </w:r>
      <w:r w:rsidR="00484AEC">
        <w:rPr>
          <w:rFonts w:ascii="Arial" w:hAnsi="Arial" w:cs="Arial"/>
          <w:sz w:val="24"/>
          <w:szCs w:val="24"/>
        </w:rPr>
        <w:t>i</w:t>
      </w:r>
      <w:r w:rsidR="001879E4">
        <w:rPr>
          <w:rFonts w:ascii="Arial" w:hAnsi="Arial" w:cs="Arial"/>
          <w:sz w:val="24"/>
          <w:szCs w:val="24"/>
        </w:rPr>
        <w:t xml:space="preserve">n addition to being procedurally improper, </w:t>
      </w:r>
      <w:r w:rsidR="001879E4" w:rsidRPr="003C2776">
        <w:rPr>
          <w:rFonts w:ascii="Arial" w:hAnsi="Arial" w:cs="Arial"/>
          <w:sz w:val="24"/>
          <w:szCs w:val="24"/>
        </w:rPr>
        <w:t xml:space="preserve">AES Ohio’s Second Application </w:t>
      </w:r>
      <w:r w:rsidR="001879E4">
        <w:rPr>
          <w:rFonts w:ascii="Arial" w:hAnsi="Arial" w:cs="Arial"/>
          <w:sz w:val="24"/>
          <w:szCs w:val="24"/>
        </w:rPr>
        <w:t>for Rehearing lacks merit.</w:t>
      </w:r>
      <w:r w:rsidR="00484AEC" w:rsidRPr="00484AEC">
        <w:rPr>
          <w:rFonts w:ascii="Arial" w:hAnsi="Arial" w:cs="Arial"/>
          <w:sz w:val="24"/>
          <w:szCs w:val="24"/>
        </w:rPr>
        <w:t xml:space="preserve"> </w:t>
      </w:r>
      <w:r w:rsidR="00475065">
        <w:rPr>
          <w:rFonts w:ascii="Arial" w:hAnsi="Arial" w:cs="Arial"/>
          <w:sz w:val="24"/>
          <w:szCs w:val="24"/>
        </w:rPr>
        <w:t xml:space="preserve">After </w:t>
      </w:r>
      <w:r w:rsidR="00716C4E">
        <w:rPr>
          <w:rFonts w:ascii="Arial" w:hAnsi="Arial" w:cs="Arial"/>
          <w:sz w:val="24"/>
          <w:szCs w:val="24"/>
        </w:rPr>
        <w:t>full</w:t>
      </w:r>
      <w:r w:rsidR="00475065">
        <w:rPr>
          <w:rFonts w:ascii="Arial" w:hAnsi="Arial" w:cs="Arial"/>
          <w:sz w:val="24"/>
          <w:szCs w:val="24"/>
        </w:rPr>
        <w:t xml:space="preserve"> consideration, t</w:t>
      </w:r>
      <w:r w:rsidR="00D20C97">
        <w:rPr>
          <w:rFonts w:ascii="Arial" w:hAnsi="Arial" w:cs="Arial"/>
          <w:sz w:val="24"/>
          <w:szCs w:val="24"/>
        </w:rPr>
        <w:t xml:space="preserve">he Commission </w:t>
      </w:r>
      <w:r w:rsidR="00195FA3">
        <w:rPr>
          <w:rFonts w:ascii="Arial" w:hAnsi="Arial" w:cs="Arial"/>
          <w:sz w:val="24"/>
          <w:szCs w:val="24"/>
        </w:rPr>
        <w:t>developed</w:t>
      </w:r>
      <w:r w:rsidR="004846AD" w:rsidRPr="00D143ED">
        <w:rPr>
          <w:rFonts w:ascii="Arial" w:hAnsi="Arial" w:cs="Arial"/>
          <w:sz w:val="24"/>
          <w:szCs w:val="24"/>
        </w:rPr>
        <w:t xml:space="preserve"> </w:t>
      </w:r>
      <w:r w:rsidR="000A60B1">
        <w:rPr>
          <w:rFonts w:ascii="Arial" w:hAnsi="Arial" w:cs="Arial"/>
          <w:sz w:val="24"/>
          <w:szCs w:val="24"/>
        </w:rPr>
        <w:t xml:space="preserve">a rule that </w:t>
      </w:r>
      <w:r w:rsidR="0016043E">
        <w:rPr>
          <w:rFonts w:ascii="Arial" w:hAnsi="Arial" w:cs="Arial"/>
          <w:sz w:val="24"/>
          <w:szCs w:val="24"/>
        </w:rPr>
        <w:t>properly</w:t>
      </w:r>
      <w:r w:rsidR="000A60B1">
        <w:rPr>
          <w:rFonts w:ascii="Arial" w:hAnsi="Arial" w:cs="Arial"/>
          <w:sz w:val="24"/>
          <w:szCs w:val="24"/>
        </w:rPr>
        <w:t xml:space="preserve"> </w:t>
      </w:r>
      <w:r w:rsidR="004846AD" w:rsidRPr="00D143ED">
        <w:rPr>
          <w:rFonts w:ascii="Arial" w:hAnsi="Arial" w:cs="Arial"/>
          <w:sz w:val="24"/>
          <w:szCs w:val="24"/>
        </w:rPr>
        <w:t>prohibit</w:t>
      </w:r>
      <w:r w:rsidR="000A60B1">
        <w:rPr>
          <w:rFonts w:ascii="Arial" w:hAnsi="Arial" w:cs="Arial"/>
          <w:sz w:val="24"/>
          <w:szCs w:val="24"/>
        </w:rPr>
        <w:t>s</w:t>
      </w:r>
      <w:r w:rsidR="004846AD" w:rsidRPr="00D143ED">
        <w:rPr>
          <w:rFonts w:ascii="Arial" w:hAnsi="Arial" w:cs="Arial"/>
          <w:sz w:val="24"/>
          <w:szCs w:val="24"/>
        </w:rPr>
        <w:t xml:space="preserve"> undue or unreasonable prejudice or disadvantage, as already required in R.C. 4905.35(A), in a specific context.</w:t>
      </w:r>
      <w:r w:rsidR="004846AD">
        <w:rPr>
          <w:rStyle w:val="FootnoteReference"/>
          <w:rFonts w:ascii="Arial" w:hAnsi="Arial" w:cs="Arial"/>
          <w:sz w:val="24"/>
          <w:szCs w:val="24"/>
        </w:rPr>
        <w:footnoteReference w:id="7"/>
      </w:r>
      <w:r w:rsidR="004846AD" w:rsidRPr="00D143ED">
        <w:rPr>
          <w:rFonts w:ascii="Arial" w:hAnsi="Arial" w:cs="Arial"/>
          <w:sz w:val="24"/>
          <w:szCs w:val="24"/>
        </w:rPr>
        <w:t xml:space="preserve"> </w:t>
      </w:r>
      <w:r w:rsidR="00484AEC">
        <w:rPr>
          <w:rFonts w:ascii="Arial" w:hAnsi="Arial" w:cs="Arial"/>
          <w:sz w:val="24"/>
          <w:szCs w:val="24"/>
        </w:rPr>
        <w:t>Therefore, the Commission should reject</w:t>
      </w:r>
      <w:r w:rsidR="00475065">
        <w:rPr>
          <w:rFonts w:ascii="Arial" w:hAnsi="Arial" w:cs="Arial"/>
          <w:sz w:val="24"/>
          <w:szCs w:val="24"/>
        </w:rPr>
        <w:t xml:space="preserve"> </w:t>
      </w:r>
      <w:r w:rsidR="00484AEC">
        <w:rPr>
          <w:rFonts w:ascii="Arial" w:hAnsi="Arial" w:cs="Arial"/>
          <w:sz w:val="24"/>
          <w:szCs w:val="24"/>
        </w:rPr>
        <w:t>AES Ohio’s Second Application for Rehearing.</w:t>
      </w:r>
    </w:p>
    <w:p w14:paraId="651D0C37" w14:textId="063EE42A" w:rsidR="007B6934" w:rsidRPr="00344A40" w:rsidRDefault="007B6934" w:rsidP="00344A40">
      <w:pPr>
        <w:pStyle w:val="ListParagraph"/>
        <w:numPr>
          <w:ilvl w:val="0"/>
          <w:numId w:val="13"/>
        </w:numPr>
        <w:spacing w:line="480" w:lineRule="auto"/>
        <w:jc w:val="both"/>
        <w:rPr>
          <w:rFonts w:ascii="Arial" w:hAnsi="Arial" w:cs="Arial"/>
          <w:b/>
          <w:sz w:val="24"/>
          <w:szCs w:val="24"/>
        </w:rPr>
      </w:pPr>
      <w:r w:rsidRPr="00344A40">
        <w:rPr>
          <w:rFonts w:ascii="Arial" w:hAnsi="Arial" w:cs="Arial"/>
          <w:b/>
          <w:sz w:val="24"/>
          <w:szCs w:val="24"/>
        </w:rPr>
        <w:t>ARGUMENT</w:t>
      </w:r>
    </w:p>
    <w:p w14:paraId="65360DDC" w14:textId="0DD5D6CB" w:rsidR="007B6934" w:rsidRPr="008C1114" w:rsidRDefault="0039211D" w:rsidP="008D7A6D">
      <w:pPr>
        <w:pStyle w:val="ListParagraph"/>
        <w:numPr>
          <w:ilvl w:val="1"/>
          <w:numId w:val="9"/>
        </w:numPr>
        <w:spacing w:line="240" w:lineRule="auto"/>
        <w:ind w:left="1267"/>
        <w:jc w:val="both"/>
        <w:rPr>
          <w:rFonts w:ascii="Arial" w:hAnsi="Arial" w:cs="Arial"/>
          <w:b/>
          <w:sz w:val="24"/>
          <w:szCs w:val="24"/>
        </w:rPr>
      </w:pPr>
      <w:r>
        <w:rPr>
          <w:rFonts w:ascii="Arial" w:hAnsi="Arial" w:cs="Arial"/>
          <w:b/>
          <w:sz w:val="24"/>
          <w:szCs w:val="24"/>
        </w:rPr>
        <w:t>AES Ohio’s Second Application for Rehearing</w:t>
      </w:r>
      <w:r w:rsidR="008B6216">
        <w:rPr>
          <w:rFonts w:ascii="Arial" w:hAnsi="Arial" w:cs="Arial"/>
          <w:b/>
          <w:sz w:val="24"/>
          <w:szCs w:val="24"/>
        </w:rPr>
        <w:t xml:space="preserve"> </w:t>
      </w:r>
      <w:r>
        <w:rPr>
          <w:rFonts w:ascii="Arial" w:hAnsi="Arial" w:cs="Arial"/>
          <w:b/>
          <w:sz w:val="24"/>
          <w:szCs w:val="24"/>
        </w:rPr>
        <w:t xml:space="preserve">is </w:t>
      </w:r>
      <w:r w:rsidR="00F201EF">
        <w:rPr>
          <w:rFonts w:ascii="Arial" w:hAnsi="Arial" w:cs="Arial"/>
          <w:b/>
          <w:sz w:val="24"/>
          <w:szCs w:val="24"/>
        </w:rPr>
        <w:t xml:space="preserve">procedurally improper because it is </w:t>
      </w:r>
      <w:r w:rsidR="00A6096F">
        <w:rPr>
          <w:rFonts w:ascii="Arial" w:hAnsi="Arial" w:cs="Arial"/>
          <w:b/>
          <w:sz w:val="24"/>
          <w:szCs w:val="24"/>
        </w:rPr>
        <w:t>m</w:t>
      </w:r>
      <w:r w:rsidR="00A6096F" w:rsidRPr="00A6096F">
        <w:rPr>
          <w:rFonts w:ascii="Arial" w:hAnsi="Arial" w:cs="Arial"/>
          <w:b/>
          <w:sz w:val="24"/>
          <w:szCs w:val="24"/>
        </w:rPr>
        <w:t xml:space="preserve">erely raising an argument that has already been </w:t>
      </w:r>
      <w:r w:rsidR="00A6096F" w:rsidRPr="008C1114">
        <w:rPr>
          <w:rFonts w:ascii="Arial" w:hAnsi="Arial" w:cs="Arial"/>
          <w:b/>
          <w:sz w:val="24"/>
          <w:szCs w:val="24"/>
        </w:rPr>
        <w:t xml:space="preserve">considered and rejected by the Commission. </w:t>
      </w:r>
    </w:p>
    <w:p w14:paraId="44D7EE67" w14:textId="77777777" w:rsidR="008C1114" w:rsidRPr="008C1114" w:rsidRDefault="008C1114" w:rsidP="0066059D">
      <w:pPr>
        <w:spacing w:before="240" w:after="0" w:line="480" w:lineRule="auto"/>
        <w:ind w:firstLine="720"/>
        <w:jc w:val="both"/>
        <w:rPr>
          <w:rFonts w:ascii="Arial" w:hAnsi="Arial" w:cs="Arial"/>
          <w:sz w:val="24"/>
          <w:szCs w:val="24"/>
        </w:rPr>
      </w:pPr>
      <w:r w:rsidRPr="003B187F">
        <w:rPr>
          <w:rFonts w:ascii="Arial" w:hAnsi="Arial" w:cs="Arial"/>
          <w:sz w:val="24"/>
          <w:szCs w:val="24"/>
        </w:rPr>
        <w:t>In its Initial Application for Rehearing, AES Ohio</w:t>
      </w:r>
      <w:r w:rsidRPr="008C1114">
        <w:rPr>
          <w:rFonts w:ascii="Arial" w:hAnsi="Arial" w:cs="Arial"/>
          <w:sz w:val="24"/>
          <w:szCs w:val="24"/>
        </w:rPr>
        <w:t xml:space="preserve"> submitted an </w:t>
      </w:r>
      <w:r w:rsidRPr="003B187F">
        <w:rPr>
          <w:rFonts w:ascii="Arial" w:hAnsi="Arial" w:cs="Arial"/>
          <w:sz w:val="24"/>
          <w:szCs w:val="24"/>
        </w:rPr>
        <w:t xml:space="preserve">assignment of error </w:t>
      </w:r>
      <w:r w:rsidRPr="008C1114">
        <w:rPr>
          <w:rFonts w:ascii="Arial" w:hAnsi="Arial" w:cs="Arial"/>
          <w:sz w:val="24"/>
          <w:szCs w:val="24"/>
        </w:rPr>
        <w:t xml:space="preserve">that specifically </w:t>
      </w:r>
      <w:r w:rsidRPr="003B187F">
        <w:rPr>
          <w:rFonts w:ascii="Arial" w:hAnsi="Arial" w:cs="Arial"/>
          <w:sz w:val="24"/>
          <w:szCs w:val="24"/>
        </w:rPr>
        <w:t>asser</w:t>
      </w:r>
      <w:r w:rsidRPr="008C1114">
        <w:rPr>
          <w:rFonts w:ascii="Arial" w:hAnsi="Arial" w:cs="Arial"/>
          <w:sz w:val="24"/>
          <w:szCs w:val="24"/>
        </w:rPr>
        <w:t>ted</w:t>
      </w:r>
      <w:r w:rsidRPr="003B187F">
        <w:rPr>
          <w:rFonts w:ascii="Arial" w:hAnsi="Arial" w:cs="Arial"/>
          <w:sz w:val="24"/>
          <w:szCs w:val="24"/>
        </w:rPr>
        <w:t xml:space="preserve"> the amendments to Ohio </w:t>
      </w:r>
      <w:proofErr w:type="spellStart"/>
      <w:r w:rsidRPr="003B187F">
        <w:rPr>
          <w:rFonts w:ascii="Arial" w:hAnsi="Arial" w:cs="Arial"/>
          <w:sz w:val="24"/>
          <w:szCs w:val="24"/>
        </w:rPr>
        <w:t>Adm.Code</w:t>
      </w:r>
      <w:proofErr w:type="spellEnd"/>
      <w:r w:rsidRPr="003B187F">
        <w:rPr>
          <w:rFonts w:ascii="Arial" w:hAnsi="Arial" w:cs="Arial"/>
          <w:sz w:val="24"/>
          <w:szCs w:val="24"/>
        </w:rPr>
        <w:t xml:space="preserve"> 4901:1-10-33 were unreasonable </w:t>
      </w:r>
      <w:r w:rsidRPr="008C1114">
        <w:rPr>
          <w:rFonts w:ascii="Arial" w:hAnsi="Arial" w:cs="Arial"/>
          <w:sz w:val="24"/>
          <w:szCs w:val="24"/>
        </w:rPr>
        <w:t xml:space="preserve">to the extent they required the utilities to bill for non-jurisdictional services </w:t>
      </w:r>
      <w:r w:rsidRPr="003B187F">
        <w:rPr>
          <w:rFonts w:ascii="Arial" w:hAnsi="Arial" w:cs="Arial"/>
          <w:sz w:val="24"/>
          <w:szCs w:val="24"/>
        </w:rPr>
        <w:t>without parameters and/or limitations.</w:t>
      </w:r>
      <w:r w:rsidRPr="003B187F">
        <w:rPr>
          <w:rFonts w:ascii="Arial" w:hAnsi="Arial" w:cs="Arial"/>
          <w:sz w:val="24"/>
          <w:szCs w:val="24"/>
          <w:vertAlign w:val="superscript"/>
        </w:rPr>
        <w:footnoteReference w:id="8"/>
      </w:r>
      <w:r w:rsidRPr="003B187F">
        <w:rPr>
          <w:rFonts w:ascii="Arial" w:hAnsi="Arial" w:cs="Arial"/>
          <w:sz w:val="24"/>
          <w:szCs w:val="24"/>
        </w:rPr>
        <w:t xml:space="preserve">  </w:t>
      </w:r>
      <w:r w:rsidRPr="008C1114">
        <w:rPr>
          <w:rFonts w:ascii="Arial" w:hAnsi="Arial" w:cs="Arial"/>
          <w:sz w:val="24"/>
          <w:szCs w:val="24"/>
        </w:rPr>
        <w:t>Further, AES Ohio</w:t>
      </w:r>
      <w:r w:rsidRPr="003B187F">
        <w:rPr>
          <w:rFonts w:ascii="Arial" w:hAnsi="Arial" w:cs="Arial"/>
          <w:sz w:val="24"/>
          <w:szCs w:val="24"/>
        </w:rPr>
        <w:t xml:space="preserve"> recommended that “[t]he rule </w:t>
      </w:r>
      <w:r w:rsidRPr="003B187F">
        <w:rPr>
          <w:rFonts w:ascii="Arial" w:hAnsi="Arial" w:cs="Arial"/>
          <w:sz w:val="24"/>
          <w:szCs w:val="24"/>
        </w:rPr>
        <w:lastRenderedPageBreak/>
        <w:t>on its face should align with the Commission’s statement that the rule was not intended to force utilities to put non-jurisdictional services on their bills.”</w:t>
      </w:r>
      <w:r w:rsidRPr="003B187F">
        <w:rPr>
          <w:rFonts w:ascii="Arial" w:hAnsi="Arial" w:cs="Arial"/>
          <w:sz w:val="24"/>
          <w:szCs w:val="24"/>
          <w:vertAlign w:val="superscript"/>
        </w:rPr>
        <w:footnoteReference w:id="9"/>
      </w:r>
      <w:r w:rsidRPr="003B187F">
        <w:rPr>
          <w:rFonts w:ascii="Arial" w:hAnsi="Arial" w:cs="Arial"/>
          <w:sz w:val="24"/>
          <w:szCs w:val="24"/>
        </w:rPr>
        <w:t xml:space="preserve">  </w:t>
      </w:r>
    </w:p>
    <w:p w14:paraId="2AE1C58D" w14:textId="4176424B" w:rsidR="008C1114" w:rsidRDefault="008C1114" w:rsidP="0066059D">
      <w:pPr>
        <w:spacing w:after="0" w:line="480" w:lineRule="auto"/>
        <w:ind w:firstLine="720"/>
        <w:jc w:val="both"/>
        <w:rPr>
          <w:rFonts w:ascii="Arial" w:hAnsi="Arial" w:cs="Arial"/>
          <w:sz w:val="24"/>
          <w:szCs w:val="24"/>
        </w:rPr>
      </w:pPr>
      <w:r w:rsidRPr="003B187F">
        <w:rPr>
          <w:rFonts w:ascii="Arial" w:hAnsi="Arial" w:cs="Arial"/>
          <w:sz w:val="24"/>
          <w:szCs w:val="24"/>
        </w:rPr>
        <w:t xml:space="preserve">As noted by AES Ohio, in the Second Entry on Rehearing, the Commission acknowledged </w:t>
      </w:r>
      <w:r w:rsidRPr="008C1114">
        <w:rPr>
          <w:rFonts w:ascii="Arial" w:hAnsi="Arial" w:cs="Arial"/>
          <w:sz w:val="24"/>
          <w:szCs w:val="24"/>
        </w:rPr>
        <w:t xml:space="preserve">the assignment of error </w:t>
      </w:r>
      <w:r w:rsidRPr="003B187F">
        <w:rPr>
          <w:rFonts w:ascii="Arial" w:hAnsi="Arial" w:cs="Arial"/>
          <w:sz w:val="24"/>
          <w:szCs w:val="24"/>
        </w:rPr>
        <w:t xml:space="preserve">set forth by AES Ohio but did not incorporate AES Ohio’s </w:t>
      </w:r>
      <w:r w:rsidRPr="00572C78">
        <w:rPr>
          <w:rFonts w:ascii="Arial" w:hAnsi="Arial" w:cs="Arial"/>
          <w:sz w:val="24"/>
          <w:szCs w:val="24"/>
        </w:rPr>
        <w:t>recommendation</w:t>
      </w:r>
      <w:r w:rsidRPr="003B187F">
        <w:rPr>
          <w:rFonts w:ascii="Arial" w:hAnsi="Arial" w:cs="Arial"/>
          <w:sz w:val="24"/>
          <w:szCs w:val="24"/>
        </w:rPr>
        <w:t xml:space="preserve"> into the rule.</w:t>
      </w:r>
      <w:r w:rsidRPr="003B187F">
        <w:rPr>
          <w:rFonts w:ascii="Arial" w:hAnsi="Arial" w:cs="Arial"/>
          <w:sz w:val="24"/>
          <w:szCs w:val="24"/>
          <w:vertAlign w:val="superscript"/>
        </w:rPr>
        <w:footnoteReference w:id="10"/>
      </w:r>
      <w:r w:rsidRPr="003B187F">
        <w:rPr>
          <w:rFonts w:ascii="Arial" w:hAnsi="Arial" w:cs="Arial"/>
          <w:sz w:val="24"/>
          <w:szCs w:val="24"/>
        </w:rPr>
        <w:t xml:space="preserve">  In other words, the Commission denied AES Ohio’s </w:t>
      </w:r>
      <w:r w:rsidR="009968F5">
        <w:rPr>
          <w:rFonts w:ascii="Arial" w:hAnsi="Arial" w:cs="Arial"/>
          <w:sz w:val="24"/>
          <w:szCs w:val="24"/>
        </w:rPr>
        <w:t xml:space="preserve">rehearing </w:t>
      </w:r>
      <w:r w:rsidRPr="003B187F">
        <w:rPr>
          <w:rFonts w:ascii="Arial" w:hAnsi="Arial" w:cs="Arial"/>
          <w:sz w:val="24"/>
          <w:szCs w:val="24"/>
        </w:rPr>
        <w:t>request.</w:t>
      </w:r>
      <w:r w:rsidRPr="003B187F">
        <w:rPr>
          <w:rFonts w:ascii="Arial" w:hAnsi="Arial" w:cs="Arial"/>
          <w:sz w:val="24"/>
          <w:szCs w:val="24"/>
          <w:vertAlign w:val="superscript"/>
        </w:rPr>
        <w:footnoteReference w:id="11"/>
      </w:r>
      <w:r w:rsidRPr="003B187F">
        <w:rPr>
          <w:rFonts w:ascii="Arial" w:hAnsi="Arial" w:cs="Arial"/>
          <w:sz w:val="24"/>
          <w:szCs w:val="24"/>
        </w:rPr>
        <w:t xml:space="preserve"> </w:t>
      </w:r>
      <w:r w:rsidR="00EA515D">
        <w:rPr>
          <w:rFonts w:ascii="Arial" w:hAnsi="Arial" w:cs="Arial"/>
          <w:sz w:val="24"/>
          <w:szCs w:val="24"/>
        </w:rPr>
        <w:t>Instead,</w:t>
      </w:r>
      <w:r w:rsidR="00AA4597">
        <w:rPr>
          <w:rFonts w:ascii="Arial" w:hAnsi="Arial" w:cs="Arial"/>
          <w:sz w:val="24"/>
          <w:szCs w:val="24"/>
        </w:rPr>
        <w:t xml:space="preserve"> the Commission </w:t>
      </w:r>
      <w:r w:rsidR="0064220E">
        <w:rPr>
          <w:rFonts w:ascii="Arial" w:hAnsi="Arial" w:cs="Arial"/>
          <w:sz w:val="24"/>
          <w:szCs w:val="24"/>
        </w:rPr>
        <w:t xml:space="preserve">affirmed the rule, stating </w:t>
      </w:r>
      <w:r w:rsidR="000E2371">
        <w:rPr>
          <w:rFonts w:ascii="Arial" w:hAnsi="Arial" w:cs="Arial"/>
          <w:sz w:val="24"/>
          <w:szCs w:val="24"/>
        </w:rPr>
        <w:t>the</w:t>
      </w:r>
      <w:r w:rsidR="0064220E">
        <w:rPr>
          <w:rFonts w:ascii="Arial" w:hAnsi="Arial" w:cs="Arial"/>
          <w:sz w:val="24"/>
          <w:szCs w:val="24"/>
        </w:rPr>
        <w:t xml:space="preserve"> language </w:t>
      </w:r>
      <w:r w:rsidR="007143E6">
        <w:rPr>
          <w:rFonts w:ascii="Arial" w:hAnsi="Arial" w:cs="Arial"/>
          <w:sz w:val="24"/>
          <w:szCs w:val="24"/>
        </w:rPr>
        <w:t xml:space="preserve">provided </w:t>
      </w:r>
      <w:r w:rsidR="0064220E">
        <w:rPr>
          <w:rFonts w:ascii="Arial" w:hAnsi="Arial" w:cs="Arial"/>
          <w:sz w:val="24"/>
          <w:szCs w:val="24"/>
        </w:rPr>
        <w:t>the Commission “</w:t>
      </w:r>
      <w:r w:rsidR="0064220E" w:rsidRPr="00910428">
        <w:rPr>
          <w:rFonts w:ascii="Arial" w:hAnsi="Arial" w:cs="Arial"/>
          <w:sz w:val="24"/>
          <w:szCs w:val="24"/>
        </w:rPr>
        <w:t>with adequate latitude in assessing claims of discrimination or unduly restrictive actions.</w:t>
      </w:r>
      <w:r w:rsidR="0064220E">
        <w:rPr>
          <w:rFonts w:ascii="Arial" w:hAnsi="Arial" w:cs="Arial"/>
          <w:sz w:val="24"/>
          <w:szCs w:val="24"/>
        </w:rPr>
        <w:t>”</w:t>
      </w:r>
      <w:r w:rsidR="0064220E">
        <w:rPr>
          <w:rStyle w:val="FootnoteReference"/>
          <w:rFonts w:ascii="Arial" w:hAnsi="Arial" w:cs="Arial"/>
          <w:sz w:val="24"/>
          <w:szCs w:val="24"/>
        </w:rPr>
        <w:footnoteReference w:id="12"/>
      </w:r>
      <w:r w:rsidR="0064220E">
        <w:rPr>
          <w:rFonts w:ascii="Arial" w:hAnsi="Arial" w:cs="Arial"/>
          <w:sz w:val="24"/>
          <w:szCs w:val="24"/>
        </w:rPr>
        <w:t xml:space="preserve"> </w:t>
      </w:r>
      <w:r w:rsidR="00707F7E">
        <w:rPr>
          <w:rFonts w:ascii="Arial" w:hAnsi="Arial" w:cs="Arial"/>
          <w:sz w:val="24"/>
          <w:szCs w:val="24"/>
        </w:rPr>
        <w:t xml:space="preserve">In addition, the Commission </w:t>
      </w:r>
      <w:r w:rsidR="000E2640">
        <w:rPr>
          <w:rFonts w:ascii="Arial" w:hAnsi="Arial" w:cs="Arial"/>
          <w:sz w:val="24"/>
          <w:szCs w:val="24"/>
        </w:rPr>
        <w:t>renewed</w:t>
      </w:r>
      <w:r w:rsidR="006E3405">
        <w:rPr>
          <w:rFonts w:ascii="Arial" w:hAnsi="Arial" w:cs="Arial"/>
          <w:sz w:val="24"/>
          <w:szCs w:val="24"/>
        </w:rPr>
        <w:t xml:space="preserve"> </w:t>
      </w:r>
      <w:r w:rsidR="002974D2">
        <w:rPr>
          <w:rFonts w:ascii="Arial" w:hAnsi="Arial" w:cs="Arial"/>
          <w:sz w:val="24"/>
          <w:szCs w:val="24"/>
        </w:rPr>
        <w:t xml:space="preserve">its authority over the placement of non-jurisdictional products on utility bills and the lack of </w:t>
      </w:r>
      <w:r w:rsidR="002D0A8E">
        <w:rPr>
          <w:rFonts w:ascii="Arial" w:hAnsi="Arial" w:cs="Arial"/>
          <w:sz w:val="24"/>
          <w:szCs w:val="24"/>
        </w:rPr>
        <w:t xml:space="preserve">any </w:t>
      </w:r>
      <w:r w:rsidR="00FF57F9" w:rsidRPr="00FF57F9">
        <w:rPr>
          <w:rFonts w:ascii="Arial" w:hAnsi="Arial" w:cs="Arial"/>
          <w:sz w:val="24"/>
          <w:szCs w:val="24"/>
        </w:rPr>
        <w:t>proscription</w:t>
      </w:r>
      <w:r w:rsidR="002974D2">
        <w:rPr>
          <w:rFonts w:ascii="Arial" w:hAnsi="Arial" w:cs="Arial"/>
          <w:sz w:val="24"/>
          <w:szCs w:val="24"/>
        </w:rPr>
        <w:t xml:space="preserve"> against the inclusion of these charges on </w:t>
      </w:r>
      <w:r w:rsidR="00C763BA">
        <w:rPr>
          <w:rFonts w:ascii="Arial" w:hAnsi="Arial" w:cs="Arial"/>
          <w:sz w:val="24"/>
          <w:szCs w:val="24"/>
        </w:rPr>
        <w:t>Commission-regulated</w:t>
      </w:r>
      <w:r w:rsidR="002974D2">
        <w:rPr>
          <w:rFonts w:ascii="Arial" w:hAnsi="Arial" w:cs="Arial"/>
          <w:sz w:val="24"/>
          <w:szCs w:val="24"/>
        </w:rPr>
        <w:t xml:space="preserve"> bill</w:t>
      </w:r>
      <w:r w:rsidR="00C763BA">
        <w:rPr>
          <w:rFonts w:ascii="Arial" w:hAnsi="Arial" w:cs="Arial"/>
          <w:sz w:val="24"/>
          <w:szCs w:val="24"/>
        </w:rPr>
        <w:t>s</w:t>
      </w:r>
      <w:r w:rsidR="002974D2">
        <w:rPr>
          <w:rFonts w:ascii="Arial" w:hAnsi="Arial" w:cs="Arial"/>
          <w:sz w:val="24"/>
          <w:szCs w:val="24"/>
        </w:rPr>
        <w:t>.</w:t>
      </w:r>
      <w:r w:rsidR="002974D2">
        <w:rPr>
          <w:rStyle w:val="FootnoteReference"/>
          <w:rFonts w:ascii="Arial" w:hAnsi="Arial" w:cs="Arial"/>
          <w:sz w:val="24"/>
          <w:szCs w:val="24"/>
        </w:rPr>
        <w:footnoteReference w:id="13"/>
      </w:r>
      <w:r w:rsidR="002974D2">
        <w:rPr>
          <w:rFonts w:ascii="Arial" w:hAnsi="Arial" w:cs="Arial"/>
          <w:sz w:val="24"/>
          <w:szCs w:val="24"/>
        </w:rPr>
        <w:t xml:space="preserve"> </w:t>
      </w:r>
    </w:p>
    <w:p w14:paraId="46E2087C" w14:textId="151112C3" w:rsidR="006E3DC6" w:rsidRPr="003B187F" w:rsidRDefault="006E3DC6" w:rsidP="0066059D">
      <w:pPr>
        <w:spacing w:after="0" w:line="480" w:lineRule="auto"/>
        <w:ind w:firstLine="720"/>
        <w:jc w:val="both"/>
        <w:rPr>
          <w:rFonts w:ascii="Arial" w:hAnsi="Arial" w:cs="Arial"/>
          <w:sz w:val="24"/>
          <w:szCs w:val="24"/>
        </w:rPr>
      </w:pPr>
      <w:r>
        <w:rPr>
          <w:rFonts w:ascii="Arial" w:hAnsi="Arial" w:cs="Arial"/>
          <w:sz w:val="24"/>
          <w:szCs w:val="24"/>
        </w:rPr>
        <w:t xml:space="preserve">To the extent that AES Ohio had concerns </w:t>
      </w:r>
      <w:r w:rsidR="005B131F">
        <w:rPr>
          <w:rFonts w:ascii="Arial" w:hAnsi="Arial" w:cs="Arial"/>
          <w:sz w:val="24"/>
          <w:szCs w:val="24"/>
        </w:rPr>
        <w:t>that the order did not address its request, it should have challenged the order’s adherence to R.C. 4903.09, which requires the Commission to address contested issues with findings of fact and conclusions of law.  But it did not.</w:t>
      </w:r>
    </w:p>
    <w:p w14:paraId="32648DC9" w14:textId="3BE09672" w:rsidR="008C1114" w:rsidRPr="003B187F" w:rsidRDefault="005B131F" w:rsidP="008C1114">
      <w:pPr>
        <w:spacing w:after="0" w:line="480" w:lineRule="auto"/>
        <w:ind w:firstLine="720"/>
        <w:jc w:val="both"/>
        <w:rPr>
          <w:rFonts w:ascii="Arial" w:hAnsi="Arial" w:cs="Arial"/>
          <w:sz w:val="24"/>
          <w:szCs w:val="24"/>
        </w:rPr>
      </w:pPr>
      <w:r>
        <w:rPr>
          <w:rFonts w:ascii="Arial" w:hAnsi="Arial" w:cs="Arial"/>
          <w:sz w:val="24"/>
          <w:szCs w:val="24"/>
        </w:rPr>
        <w:t>Instead</w:t>
      </w:r>
      <w:r w:rsidR="008C1114" w:rsidRPr="003B187F">
        <w:rPr>
          <w:rFonts w:ascii="Arial" w:hAnsi="Arial" w:cs="Arial"/>
          <w:sz w:val="24"/>
          <w:szCs w:val="24"/>
        </w:rPr>
        <w:t xml:space="preserve">, AES Ohio filed a Second Application for Rehearing raising the exact same argument. Indeed, AES Ohio uses nearly identical language for its request: “The rule on its face should align with the Commission’s statement in its Opinion and Order – that the </w:t>
      </w:r>
      <w:r w:rsidR="008C1114" w:rsidRPr="003B187F">
        <w:rPr>
          <w:rFonts w:ascii="Arial" w:hAnsi="Arial" w:cs="Arial"/>
          <w:sz w:val="24"/>
          <w:szCs w:val="24"/>
        </w:rPr>
        <w:lastRenderedPageBreak/>
        <w:t>rule was not intended to force utilities to put non-jurisdictional services on their bills.”</w:t>
      </w:r>
      <w:r w:rsidR="008C1114" w:rsidRPr="003B187F">
        <w:rPr>
          <w:rFonts w:ascii="Arial" w:hAnsi="Arial" w:cs="Arial"/>
          <w:sz w:val="24"/>
          <w:szCs w:val="24"/>
          <w:vertAlign w:val="superscript"/>
        </w:rPr>
        <w:footnoteReference w:id="14"/>
      </w:r>
      <w:r w:rsidR="008C1114" w:rsidRPr="003B187F">
        <w:rPr>
          <w:rFonts w:ascii="Arial" w:hAnsi="Arial" w:cs="Arial"/>
          <w:sz w:val="24"/>
          <w:szCs w:val="24"/>
        </w:rPr>
        <w:t xml:space="preserve"> </w:t>
      </w:r>
      <w:r w:rsidR="008C1114" w:rsidRPr="008C1114">
        <w:rPr>
          <w:rFonts w:ascii="Arial" w:hAnsi="Arial" w:cs="Arial"/>
          <w:sz w:val="24"/>
          <w:szCs w:val="24"/>
        </w:rPr>
        <w:t xml:space="preserve"> Again, </w:t>
      </w:r>
      <w:r w:rsidR="008C1114" w:rsidRPr="003B187F">
        <w:rPr>
          <w:rFonts w:ascii="Arial" w:hAnsi="Arial" w:cs="Arial"/>
          <w:sz w:val="24"/>
          <w:szCs w:val="24"/>
        </w:rPr>
        <w:t xml:space="preserve">AES Ohio’s assignment of error claims the amendments </w:t>
      </w:r>
      <w:r w:rsidR="00E21977">
        <w:rPr>
          <w:rFonts w:ascii="Arial" w:hAnsi="Arial" w:cs="Arial"/>
          <w:sz w:val="24"/>
          <w:szCs w:val="24"/>
        </w:rPr>
        <w:t xml:space="preserve">to Ohio </w:t>
      </w:r>
      <w:proofErr w:type="spellStart"/>
      <w:r w:rsidR="00E21977">
        <w:rPr>
          <w:rFonts w:ascii="Arial" w:hAnsi="Arial" w:cs="Arial"/>
          <w:sz w:val="24"/>
          <w:szCs w:val="24"/>
        </w:rPr>
        <w:t>Adm.Code</w:t>
      </w:r>
      <w:proofErr w:type="spellEnd"/>
      <w:r w:rsidR="00E21977">
        <w:rPr>
          <w:rFonts w:ascii="Arial" w:hAnsi="Arial" w:cs="Arial"/>
          <w:sz w:val="24"/>
          <w:szCs w:val="24"/>
        </w:rPr>
        <w:t xml:space="preserve"> 4901:1-10-33 </w:t>
      </w:r>
      <w:r w:rsidR="008C1114" w:rsidRPr="003B187F">
        <w:rPr>
          <w:rFonts w:ascii="Arial" w:hAnsi="Arial" w:cs="Arial"/>
          <w:sz w:val="24"/>
          <w:szCs w:val="24"/>
        </w:rPr>
        <w:t>were unreasonable without parame</w:t>
      </w:r>
      <w:r w:rsidR="008C1114" w:rsidRPr="008C1114">
        <w:rPr>
          <w:rFonts w:ascii="Arial" w:hAnsi="Arial" w:cs="Arial"/>
          <w:sz w:val="24"/>
          <w:szCs w:val="24"/>
        </w:rPr>
        <w:t>ter</w:t>
      </w:r>
      <w:r w:rsidR="008C1114" w:rsidRPr="003B187F">
        <w:rPr>
          <w:rFonts w:ascii="Arial" w:hAnsi="Arial" w:cs="Arial"/>
          <w:sz w:val="24"/>
          <w:szCs w:val="24"/>
        </w:rPr>
        <w:t xml:space="preserve">s and limitations, but this time </w:t>
      </w:r>
      <w:r w:rsidR="00EA56CC">
        <w:rPr>
          <w:rFonts w:ascii="Arial" w:hAnsi="Arial" w:cs="Arial"/>
          <w:sz w:val="24"/>
          <w:szCs w:val="24"/>
        </w:rPr>
        <w:t>adds</w:t>
      </w:r>
      <w:r w:rsidR="008C1114" w:rsidRPr="008C1114">
        <w:rPr>
          <w:rFonts w:ascii="Arial" w:hAnsi="Arial" w:cs="Arial"/>
          <w:sz w:val="24"/>
          <w:szCs w:val="24"/>
        </w:rPr>
        <w:t xml:space="preserve"> three specific parameters and limitations for consideration</w:t>
      </w:r>
      <w:r w:rsidR="008C1114" w:rsidRPr="003B187F">
        <w:rPr>
          <w:rFonts w:ascii="Arial" w:hAnsi="Arial" w:cs="Arial"/>
          <w:sz w:val="24"/>
          <w:szCs w:val="24"/>
        </w:rPr>
        <w:t xml:space="preserve"> </w:t>
      </w:r>
      <w:r w:rsidR="008C1114" w:rsidRPr="008C1114">
        <w:rPr>
          <w:rFonts w:ascii="Arial" w:hAnsi="Arial" w:cs="Arial"/>
          <w:sz w:val="24"/>
          <w:szCs w:val="24"/>
        </w:rPr>
        <w:t>and</w:t>
      </w:r>
      <w:r w:rsidR="008C1114" w:rsidRPr="003B187F">
        <w:rPr>
          <w:rFonts w:ascii="Arial" w:hAnsi="Arial" w:cs="Arial"/>
          <w:sz w:val="24"/>
          <w:szCs w:val="24"/>
        </w:rPr>
        <w:t xml:space="preserve"> proposed</w:t>
      </w:r>
      <w:r w:rsidR="008C1114" w:rsidRPr="008C1114">
        <w:rPr>
          <w:rFonts w:ascii="Arial" w:hAnsi="Arial" w:cs="Arial"/>
          <w:sz w:val="24"/>
          <w:szCs w:val="24"/>
        </w:rPr>
        <w:t xml:space="preserve"> amended rule</w:t>
      </w:r>
      <w:r w:rsidR="008C1114" w:rsidRPr="003B187F">
        <w:rPr>
          <w:rFonts w:ascii="Arial" w:hAnsi="Arial" w:cs="Arial"/>
          <w:sz w:val="24"/>
          <w:szCs w:val="24"/>
        </w:rPr>
        <w:t xml:space="preserve"> language</w:t>
      </w:r>
      <w:r w:rsidR="008C1114" w:rsidRPr="008C1114">
        <w:rPr>
          <w:rFonts w:ascii="Arial" w:hAnsi="Arial" w:cs="Arial"/>
          <w:sz w:val="24"/>
          <w:szCs w:val="24"/>
        </w:rPr>
        <w:t xml:space="preserve"> to implement its renewed request.</w:t>
      </w:r>
      <w:r w:rsidR="008C1114" w:rsidRPr="008C1114">
        <w:rPr>
          <w:rStyle w:val="FootnoteReference"/>
          <w:rFonts w:ascii="Arial" w:hAnsi="Arial" w:cs="Arial"/>
          <w:sz w:val="24"/>
          <w:szCs w:val="24"/>
        </w:rPr>
        <w:footnoteReference w:id="15"/>
      </w:r>
      <w:r w:rsidR="008C1114" w:rsidRPr="003B187F">
        <w:rPr>
          <w:rFonts w:ascii="Arial" w:hAnsi="Arial" w:cs="Arial"/>
          <w:sz w:val="24"/>
          <w:szCs w:val="24"/>
        </w:rPr>
        <w:t xml:space="preserve">  </w:t>
      </w:r>
    </w:p>
    <w:p w14:paraId="1C4F90E3" w14:textId="77777777" w:rsidR="00E548AE" w:rsidRDefault="008C1114" w:rsidP="00DE03CD">
      <w:pPr>
        <w:spacing w:after="0" w:line="480" w:lineRule="auto"/>
        <w:ind w:firstLine="720"/>
        <w:jc w:val="both"/>
        <w:rPr>
          <w:rFonts w:ascii="Arial" w:hAnsi="Arial" w:cs="Arial"/>
          <w:sz w:val="24"/>
          <w:szCs w:val="24"/>
        </w:rPr>
      </w:pPr>
      <w:r w:rsidRPr="003B187F">
        <w:rPr>
          <w:rFonts w:ascii="Arial" w:hAnsi="Arial" w:cs="Arial"/>
          <w:sz w:val="24"/>
          <w:szCs w:val="24"/>
        </w:rPr>
        <w:t>“It is well established that it is improper to seek rehearing of a denial of rehearing on the same issue.”</w:t>
      </w:r>
      <w:r w:rsidRPr="003B187F">
        <w:rPr>
          <w:rFonts w:ascii="Arial" w:hAnsi="Arial" w:cs="Arial"/>
          <w:sz w:val="24"/>
          <w:szCs w:val="24"/>
          <w:vertAlign w:val="superscript"/>
        </w:rPr>
        <w:footnoteReference w:id="16"/>
      </w:r>
      <w:r w:rsidRPr="003B187F">
        <w:rPr>
          <w:rFonts w:ascii="Arial" w:hAnsi="Arial" w:cs="Arial"/>
          <w:sz w:val="24"/>
          <w:szCs w:val="24"/>
        </w:rPr>
        <w:t xml:space="preserve">  R.C. 4903.10 does not allow persons who enter appearances to have "two bites at the apple," or repeating, in a second application for rehearing, arguments that have already been considered and rejected by the Commission.</w:t>
      </w:r>
      <w:r w:rsidRPr="003B187F">
        <w:rPr>
          <w:rFonts w:ascii="Arial" w:hAnsi="Arial" w:cs="Arial"/>
          <w:sz w:val="24"/>
          <w:szCs w:val="24"/>
          <w:vertAlign w:val="superscript"/>
        </w:rPr>
        <w:footnoteReference w:id="17"/>
      </w:r>
      <w:r w:rsidRPr="003B187F">
        <w:rPr>
          <w:rFonts w:ascii="Arial" w:hAnsi="Arial" w:cs="Arial"/>
          <w:sz w:val="24"/>
          <w:szCs w:val="24"/>
        </w:rPr>
        <w:t xml:space="preserve"> </w:t>
      </w:r>
    </w:p>
    <w:p w14:paraId="63D0003A" w14:textId="3BF836F5" w:rsidR="00801544" w:rsidRPr="00637E7A" w:rsidRDefault="00427C41" w:rsidP="0095008D">
      <w:pPr>
        <w:spacing w:after="0" w:line="480" w:lineRule="auto"/>
        <w:ind w:firstLine="720"/>
        <w:jc w:val="both"/>
        <w:rPr>
          <w:rFonts w:ascii="Arial" w:hAnsi="Arial" w:cs="Arial"/>
          <w:sz w:val="24"/>
          <w:szCs w:val="24"/>
        </w:rPr>
      </w:pPr>
      <w:r>
        <w:rPr>
          <w:rFonts w:ascii="Arial" w:hAnsi="Arial" w:cs="Arial"/>
          <w:sz w:val="24"/>
          <w:szCs w:val="24"/>
        </w:rPr>
        <w:t>A</w:t>
      </w:r>
      <w:r w:rsidRPr="003B187F">
        <w:rPr>
          <w:rFonts w:ascii="Arial" w:hAnsi="Arial" w:cs="Arial"/>
          <w:sz w:val="24"/>
          <w:szCs w:val="24"/>
        </w:rPr>
        <w:t>s admitted by AES Ohio itself</w:t>
      </w:r>
      <w:r w:rsidR="00DE03CD">
        <w:rPr>
          <w:rFonts w:ascii="Arial" w:hAnsi="Arial" w:cs="Arial"/>
          <w:sz w:val="24"/>
          <w:szCs w:val="24"/>
        </w:rPr>
        <w:t xml:space="preserve">, </w:t>
      </w:r>
      <w:r w:rsidR="00F82509">
        <w:rPr>
          <w:rFonts w:ascii="Arial" w:hAnsi="Arial" w:cs="Arial"/>
          <w:sz w:val="24"/>
          <w:szCs w:val="24"/>
        </w:rPr>
        <w:t>this is</w:t>
      </w:r>
      <w:r w:rsidR="00BC786C">
        <w:rPr>
          <w:rFonts w:ascii="Arial" w:hAnsi="Arial" w:cs="Arial"/>
          <w:sz w:val="24"/>
          <w:szCs w:val="24"/>
        </w:rPr>
        <w:t xml:space="preserve"> exactly</w:t>
      </w:r>
      <w:r w:rsidR="00137369">
        <w:rPr>
          <w:rFonts w:ascii="Arial" w:hAnsi="Arial" w:cs="Arial"/>
          <w:sz w:val="24"/>
          <w:szCs w:val="24"/>
        </w:rPr>
        <w:t xml:space="preserve"> what its</w:t>
      </w:r>
      <w:r w:rsidR="00F82509">
        <w:rPr>
          <w:rFonts w:ascii="Arial" w:hAnsi="Arial" w:cs="Arial"/>
          <w:sz w:val="24"/>
          <w:szCs w:val="24"/>
        </w:rPr>
        <w:t xml:space="preserve"> Sec</w:t>
      </w:r>
      <w:r w:rsidR="00A61CE3">
        <w:rPr>
          <w:rFonts w:ascii="Arial" w:hAnsi="Arial" w:cs="Arial"/>
          <w:sz w:val="24"/>
          <w:szCs w:val="24"/>
        </w:rPr>
        <w:t>on</w:t>
      </w:r>
      <w:r w:rsidR="00F82509">
        <w:rPr>
          <w:rFonts w:ascii="Arial" w:hAnsi="Arial" w:cs="Arial"/>
          <w:sz w:val="24"/>
          <w:szCs w:val="24"/>
        </w:rPr>
        <w:t>d Application for Rehearing</w:t>
      </w:r>
      <w:r w:rsidR="00137369">
        <w:rPr>
          <w:rFonts w:ascii="Arial" w:hAnsi="Arial" w:cs="Arial"/>
          <w:sz w:val="24"/>
          <w:szCs w:val="24"/>
        </w:rPr>
        <w:t xml:space="preserve"> </w:t>
      </w:r>
      <w:r w:rsidR="004B7283">
        <w:rPr>
          <w:rFonts w:ascii="Arial" w:hAnsi="Arial" w:cs="Arial"/>
          <w:sz w:val="24"/>
          <w:szCs w:val="24"/>
        </w:rPr>
        <w:t xml:space="preserve">is </w:t>
      </w:r>
      <w:r w:rsidR="00137369">
        <w:rPr>
          <w:rFonts w:ascii="Arial" w:hAnsi="Arial" w:cs="Arial"/>
          <w:sz w:val="24"/>
          <w:szCs w:val="24"/>
        </w:rPr>
        <w:t>seek</w:t>
      </w:r>
      <w:r w:rsidR="004B7283">
        <w:rPr>
          <w:rFonts w:ascii="Arial" w:hAnsi="Arial" w:cs="Arial"/>
          <w:sz w:val="24"/>
          <w:szCs w:val="24"/>
        </w:rPr>
        <w:t>ing</w:t>
      </w:r>
      <w:r w:rsidR="007F3EA3">
        <w:rPr>
          <w:rFonts w:ascii="Arial" w:hAnsi="Arial" w:cs="Arial"/>
          <w:sz w:val="24"/>
          <w:szCs w:val="24"/>
        </w:rPr>
        <w:t>.</w:t>
      </w:r>
      <w:r w:rsidR="009E205A">
        <w:rPr>
          <w:rStyle w:val="FootnoteReference"/>
          <w:rFonts w:ascii="Arial" w:hAnsi="Arial" w:cs="Arial"/>
          <w:sz w:val="24"/>
          <w:szCs w:val="24"/>
        </w:rPr>
        <w:footnoteReference w:id="18"/>
      </w:r>
      <w:r w:rsidR="007F3EA3">
        <w:rPr>
          <w:rFonts w:ascii="Arial" w:hAnsi="Arial" w:cs="Arial"/>
          <w:sz w:val="24"/>
          <w:szCs w:val="24"/>
        </w:rPr>
        <w:t xml:space="preserve"> </w:t>
      </w:r>
      <w:r w:rsidR="009E205A" w:rsidRPr="006E26AB">
        <w:rPr>
          <w:rFonts w:ascii="Arial" w:hAnsi="Arial" w:cs="Arial"/>
          <w:sz w:val="24"/>
          <w:szCs w:val="24"/>
        </w:rPr>
        <w:t xml:space="preserve">AES Ohio’s Second </w:t>
      </w:r>
      <w:r w:rsidR="00913A44" w:rsidRPr="006E26AB">
        <w:rPr>
          <w:rFonts w:ascii="Arial" w:hAnsi="Arial" w:cs="Arial"/>
          <w:sz w:val="24"/>
          <w:szCs w:val="24"/>
        </w:rPr>
        <w:t>Application for</w:t>
      </w:r>
      <w:r w:rsidR="009E205A" w:rsidRPr="006E26AB">
        <w:rPr>
          <w:rFonts w:ascii="Arial" w:hAnsi="Arial" w:cs="Arial"/>
          <w:sz w:val="24"/>
          <w:szCs w:val="24"/>
        </w:rPr>
        <w:t xml:space="preserve"> Rehearing</w:t>
      </w:r>
      <w:r w:rsidR="009E205A">
        <w:rPr>
          <w:rFonts w:ascii="Arial" w:hAnsi="Arial" w:cs="Arial"/>
          <w:sz w:val="24"/>
          <w:szCs w:val="24"/>
        </w:rPr>
        <w:t xml:space="preserve"> </w:t>
      </w:r>
      <w:r w:rsidR="00A61CE3">
        <w:rPr>
          <w:rFonts w:ascii="Arial" w:hAnsi="Arial" w:cs="Arial"/>
          <w:sz w:val="24"/>
          <w:szCs w:val="24"/>
        </w:rPr>
        <w:t>is</w:t>
      </w:r>
      <w:r w:rsidR="009E205A" w:rsidRPr="006407A0">
        <w:rPr>
          <w:rFonts w:ascii="Arial" w:hAnsi="Arial" w:cs="Arial"/>
          <w:sz w:val="24"/>
          <w:szCs w:val="24"/>
        </w:rPr>
        <w:t xml:space="preserve"> not</w:t>
      </w:r>
      <w:r w:rsidR="00A61CE3">
        <w:rPr>
          <w:rFonts w:ascii="Arial" w:hAnsi="Arial" w:cs="Arial"/>
          <w:sz w:val="24"/>
          <w:szCs w:val="24"/>
        </w:rPr>
        <w:t xml:space="preserve"> a</w:t>
      </w:r>
      <w:r w:rsidR="009E205A" w:rsidRPr="006407A0">
        <w:rPr>
          <w:rFonts w:ascii="Arial" w:hAnsi="Arial" w:cs="Arial"/>
          <w:sz w:val="24"/>
          <w:szCs w:val="24"/>
        </w:rPr>
        <w:t xml:space="preserve"> response to any new findings brought forward in the Commission’s Second Entry on Rehearing</w:t>
      </w:r>
      <w:r w:rsidR="009E205A">
        <w:rPr>
          <w:rFonts w:ascii="Arial" w:hAnsi="Arial" w:cs="Arial"/>
          <w:sz w:val="24"/>
          <w:szCs w:val="24"/>
        </w:rPr>
        <w:t xml:space="preserve">. </w:t>
      </w:r>
      <w:r w:rsidR="009E205A" w:rsidRPr="006407A0">
        <w:rPr>
          <w:rFonts w:ascii="Arial" w:hAnsi="Arial" w:cs="Arial"/>
          <w:sz w:val="24"/>
          <w:szCs w:val="24"/>
        </w:rPr>
        <w:t>Instead, simply put, AES Ohio is attempting a “do-over</w:t>
      </w:r>
      <w:r w:rsidR="009E205A">
        <w:rPr>
          <w:rFonts w:ascii="Arial" w:hAnsi="Arial" w:cs="Arial"/>
          <w:sz w:val="24"/>
          <w:szCs w:val="24"/>
        </w:rPr>
        <w:t>.”</w:t>
      </w:r>
      <w:r w:rsidR="009E205A">
        <w:rPr>
          <w:rFonts w:cs="Arial"/>
          <w:szCs w:val="24"/>
        </w:rPr>
        <w:t xml:space="preserve"> </w:t>
      </w:r>
      <w:r w:rsidR="009E205A">
        <w:rPr>
          <w:rFonts w:ascii="Arial" w:hAnsi="Arial" w:cs="Arial"/>
          <w:sz w:val="24"/>
          <w:szCs w:val="24"/>
        </w:rPr>
        <w:t xml:space="preserve"> </w:t>
      </w:r>
      <w:r w:rsidR="003C4077">
        <w:rPr>
          <w:rFonts w:ascii="Arial" w:hAnsi="Arial" w:cs="Arial"/>
          <w:sz w:val="24"/>
          <w:szCs w:val="24"/>
        </w:rPr>
        <w:t>T</w:t>
      </w:r>
      <w:r w:rsidR="00180274">
        <w:rPr>
          <w:rFonts w:ascii="Arial" w:hAnsi="Arial" w:cs="Arial"/>
          <w:sz w:val="24"/>
          <w:szCs w:val="24"/>
        </w:rPr>
        <w:t xml:space="preserve">he Commission thoroughly considered the arguments raised by stakeholders, including AES Ohio, regarding the </w:t>
      </w:r>
      <w:r w:rsidR="00180274" w:rsidRPr="006407A0">
        <w:rPr>
          <w:rFonts w:ascii="Arial" w:hAnsi="Arial" w:cs="Arial"/>
          <w:sz w:val="24"/>
          <w:szCs w:val="24"/>
        </w:rPr>
        <w:t xml:space="preserve">amendments to Ohio </w:t>
      </w:r>
      <w:proofErr w:type="spellStart"/>
      <w:r w:rsidR="00180274" w:rsidRPr="006407A0">
        <w:rPr>
          <w:rFonts w:ascii="Arial" w:hAnsi="Arial" w:cs="Arial"/>
          <w:sz w:val="24"/>
          <w:szCs w:val="24"/>
        </w:rPr>
        <w:t>Adm.Code</w:t>
      </w:r>
      <w:proofErr w:type="spellEnd"/>
      <w:r w:rsidR="00180274" w:rsidRPr="006407A0">
        <w:rPr>
          <w:rFonts w:ascii="Arial" w:hAnsi="Arial" w:cs="Arial"/>
          <w:sz w:val="24"/>
          <w:szCs w:val="24"/>
        </w:rPr>
        <w:t xml:space="preserve"> 4901:1-10-33(A) and properly rejected them.</w:t>
      </w:r>
      <w:r w:rsidR="00180274" w:rsidRPr="006407A0">
        <w:rPr>
          <w:rStyle w:val="FootnoteReference"/>
          <w:rFonts w:ascii="Arial" w:hAnsi="Arial" w:cs="Arial"/>
          <w:sz w:val="24"/>
          <w:szCs w:val="24"/>
        </w:rPr>
        <w:footnoteReference w:id="19"/>
      </w:r>
      <w:r w:rsidR="00176B27">
        <w:rPr>
          <w:rFonts w:ascii="Arial" w:hAnsi="Arial" w:cs="Arial"/>
          <w:sz w:val="24"/>
          <w:szCs w:val="24"/>
        </w:rPr>
        <w:t xml:space="preserve"> </w:t>
      </w:r>
      <w:r w:rsidR="00784858">
        <w:rPr>
          <w:rFonts w:ascii="Arial" w:hAnsi="Arial" w:cs="Arial"/>
          <w:sz w:val="24"/>
          <w:szCs w:val="24"/>
        </w:rPr>
        <w:t>Therefore, AES Ohio’s Second Application for Rehearing must be denied</w:t>
      </w:r>
      <w:r w:rsidR="00784858" w:rsidRPr="003B187F">
        <w:rPr>
          <w:rFonts w:ascii="Arial" w:hAnsi="Arial" w:cs="Arial"/>
          <w:sz w:val="24"/>
          <w:szCs w:val="24"/>
        </w:rPr>
        <w:t>.</w:t>
      </w:r>
    </w:p>
    <w:p w14:paraId="744CE618" w14:textId="3DBDF3D0" w:rsidR="00AC539F" w:rsidRDefault="00763C6D" w:rsidP="00A11648">
      <w:pPr>
        <w:pStyle w:val="ListParagraph"/>
        <w:numPr>
          <w:ilvl w:val="1"/>
          <w:numId w:val="9"/>
        </w:numPr>
        <w:spacing w:after="0" w:line="480" w:lineRule="auto"/>
        <w:jc w:val="both"/>
        <w:rPr>
          <w:rFonts w:ascii="Arial" w:hAnsi="Arial" w:cs="Arial"/>
          <w:b/>
          <w:bCs/>
          <w:sz w:val="24"/>
          <w:szCs w:val="24"/>
        </w:rPr>
      </w:pPr>
      <w:r w:rsidRPr="00687CA8">
        <w:rPr>
          <w:rFonts w:ascii="Arial" w:hAnsi="Arial" w:cs="Arial"/>
          <w:b/>
          <w:bCs/>
          <w:sz w:val="24"/>
          <w:szCs w:val="24"/>
        </w:rPr>
        <w:lastRenderedPageBreak/>
        <w:tab/>
      </w:r>
      <w:r w:rsidR="00FF4BBD">
        <w:rPr>
          <w:rFonts w:ascii="Arial" w:hAnsi="Arial" w:cs="Arial"/>
          <w:b/>
          <w:bCs/>
          <w:sz w:val="24"/>
          <w:szCs w:val="24"/>
        </w:rPr>
        <w:t>AES Ohio’s</w:t>
      </w:r>
      <w:r w:rsidR="00A11648">
        <w:rPr>
          <w:rFonts w:ascii="Arial" w:hAnsi="Arial" w:cs="Arial"/>
          <w:b/>
          <w:bCs/>
          <w:sz w:val="24"/>
          <w:szCs w:val="24"/>
        </w:rPr>
        <w:t xml:space="preserve"> Second Application </w:t>
      </w:r>
      <w:r w:rsidR="006E26AB">
        <w:rPr>
          <w:rFonts w:ascii="Arial" w:hAnsi="Arial" w:cs="Arial"/>
          <w:b/>
          <w:bCs/>
          <w:sz w:val="24"/>
          <w:szCs w:val="24"/>
        </w:rPr>
        <w:t>for</w:t>
      </w:r>
      <w:r w:rsidR="00A11648">
        <w:rPr>
          <w:rFonts w:ascii="Arial" w:hAnsi="Arial" w:cs="Arial"/>
          <w:b/>
          <w:bCs/>
          <w:sz w:val="24"/>
          <w:szCs w:val="24"/>
        </w:rPr>
        <w:t xml:space="preserve"> Rehearing also lacks merit. </w:t>
      </w:r>
      <w:r w:rsidR="00FF4BBD">
        <w:rPr>
          <w:rFonts w:ascii="Arial" w:hAnsi="Arial" w:cs="Arial"/>
          <w:b/>
          <w:bCs/>
          <w:sz w:val="24"/>
          <w:szCs w:val="24"/>
        </w:rPr>
        <w:t xml:space="preserve"> </w:t>
      </w:r>
    </w:p>
    <w:p w14:paraId="7DF9F297" w14:textId="08E5DB20" w:rsidR="00D73ECB" w:rsidRPr="001B063B" w:rsidRDefault="00DA646B" w:rsidP="00A11648">
      <w:pPr>
        <w:spacing w:after="0" w:line="480" w:lineRule="auto"/>
        <w:ind w:firstLine="720"/>
        <w:jc w:val="both"/>
        <w:rPr>
          <w:rFonts w:ascii="Arial" w:hAnsi="Arial" w:cs="Arial"/>
          <w:sz w:val="24"/>
          <w:szCs w:val="24"/>
        </w:rPr>
      </w:pPr>
      <w:r>
        <w:rPr>
          <w:rFonts w:ascii="Arial" w:hAnsi="Arial" w:cs="Arial"/>
          <w:sz w:val="24"/>
          <w:szCs w:val="24"/>
        </w:rPr>
        <w:t xml:space="preserve">In addition to being procedurally improper, </w:t>
      </w:r>
      <w:r w:rsidR="003C2776" w:rsidRPr="003C2776">
        <w:rPr>
          <w:rFonts w:ascii="Arial" w:hAnsi="Arial" w:cs="Arial"/>
          <w:sz w:val="24"/>
          <w:szCs w:val="24"/>
        </w:rPr>
        <w:t xml:space="preserve">AES Ohio’s Second Application </w:t>
      </w:r>
      <w:r w:rsidR="00801B4D">
        <w:rPr>
          <w:rFonts w:ascii="Arial" w:hAnsi="Arial" w:cs="Arial"/>
          <w:sz w:val="24"/>
          <w:szCs w:val="24"/>
        </w:rPr>
        <w:t xml:space="preserve">for Rehearing </w:t>
      </w:r>
      <w:r>
        <w:rPr>
          <w:rFonts w:ascii="Arial" w:hAnsi="Arial" w:cs="Arial"/>
          <w:sz w:val="24"/>
          <w:szCs w:val="24"/>
        </w:rPr>
        <w:t xml:space="preserve">lacks merit. </w:t>
      </w:r>
      <w:r w:rsidR="00FE37C6">
        <w:rPr>
          <w:rFonts w:ascii="Arial" w:hAnsi="Arial" w:cs="Arial"/>
          <w:sz w:val="24"/>
          <w:szCs w:val="24"/>
        </w:rPr>
        <w:t>In</w:t>
      </w:r>
      <w:r w:rsidR="00D73ECB" w:rsidRPr="001B063B">
        <w:rPr>
          <w:rFonts w:ascii="Arial" w:hAnsi="Arial" w:cs="Arial"/>
          <w:sz w:val="24"/>
          <w:szCs w:val="24"/>
        </w:rPr>
        <w:t xml:space="preserve"> support of its Application, AES Ohio </w:t>
      </w:r>
      <w:r w:rsidR="00D9399B">
        <w:rPr>
          <w:rFonts w:ascii="Arial" w:hAnsi="Arial" w:cs="Arial"/>
          <w:sz w:val="24"/>
          <w:szCs w:val="24"/>
        </w:rPr>
        <w:t xml:space="preserve">asserts </w:t>
      </w:r>
      <w:r w:rsidR="003D7690">
        <w:rPr>
          <w:rFonts w:ascii="Arial" w:hAnsi="Arial" w:cs="Arial"/>
          <w:sz w:val="24"/>
          <w:szCs w:val="24"/>
        </w:rPr>
        <w:t>the rule</w:t>
      </w:r>
      <w:r w:rsidR="004C15B3">
        <w:rPr>
          <w:rFonts w:ascii="Arial" w:hAnsi="Arial" w:cs="Arial"/>
          <w:sz w:val="24"/>
          <w:szCs w:val="24"/>
        </w:rPr>
        <w:t xml:space="preserve"> is unreasonable because it does not take into consideration</w:t>
      </w:r>
      <w:r w:rsidR="007E6F2D">
        <w:rPr>
          <w:rFonts w:ascii="Arial" w:hAnsi="Arial" w:cs="Arial"/>
          <w:sz w:val="24"/>
          <w:szCs w:val="24"/>
        </w:rPr>
        <w:t xml:space="preserve"> parameters and limitations</w:t>
      </w:r>
      <w:r w:rsidR="00545474">
        <w:rPr>
          <w:rFonts w:ascii="Arial" w:hAnsi="Arial" w:cs="Arial"/>
          <w:sz w:val="24"/>
          <w:szCs w:val="24"/>
        </w:rPr>
        <w:t xml:space="preserve"> – specifically,</w:t>
      </w:r>
      <w:r w:rsidR="004C15B3">
        <w:rPr>
          <w:rFonts w:ascii="Arial" w:hAnsi="Arial" w:cs="Arial"/>
          <w:sz w:val="24"/>
          <w:szCs w:val="24"/>
        </w:rPr>
        <w:t xml:space="preserve"> </w:t>
      </w:r>
      <w:r w:rsidR="00147B2A">
        <w:rPr>
          <w:rFonts w:ascii="Arial" w:hAnsi="Arial" w:cs="Arial"/>
          <w:sz w:val="24"/>
          <w:szCs w:val="24"/>
        </w:rPr>
        <w:t>the necessary consumer protections, length of the bill, and complexity of services offered</w:t>
      </w:r>
      <w:r w:rsidR="00D73ECB" w:rsidRPr="001B063B">
        <w:rPr>
          <w:rFonts w:ascii="Arial" w:hAnsi="Arial" w:cs="Arial"/>
          <w:sz w:val="24"/>
          <w:szCs w:val="24"/>
        </w:rPr>
        <w:t>.</w:t>
      </w:r>
      <w:r w:rsidR="00D73ECB" w:rsidRPr="001B063B">
        <w:rPr>
          <w:rFonts w:ascii="Arial" w:hAnsi="Arial" w:cs="Arial"/>
          <w:sz w:val="24"/>
          <w:szCs w:val="24"/>
          <w:vertAlign w:val="superscript"/>
        </w:rPr>
        <w:footnoteReference w:id="20"/>
      </w:r>
      <w:r w:rsidR="00D73ECB" w:rsidRPr="001B063B">
        <w:rPr>
          <w:rFonts w:ascii="Arial" w:hAnsi="Arial" w:cs="Arial"/>
          <w:sz w:val="24"/>
          <w:szCs w:val="24"/>
        </w:rPr>
        <w:t xml:space="preserve"> </w:t>
      </w:r>
      <w:r w:rsidR="00D94DE2">
        <w:rPr>
          <w:rFonts w:ascii="Arial" w:hAnsi="Arial" w:cs="Arial"/>
          <w:sz w:val="24"/>
          <w:szCs w:val="24"/>
        </w:rPr>
        <w:t xml:space="preserve">Additionally, AES Ohio submitted proposed language that it believes </w:t>
      </w:r>
      <w:r w:rsidR="00C554CC">
        <w:rPr>
          <w:rFonts w:ascii="Arial" w:hAnsi="Arial" w:cs="Arial"/>
          <w:sz w:val="24"/>
          <w:szCs w:val="24"/>
        </w:rPr>
        <w:t>captures the intent of the Commission</w:t>
      </w:r>
      <w:r w:rsidR="002B0278">
        <w:rPr>
          <w:rFonts w:ascii="Arial" w:hAnsi="Arial" w:cs="Arial"/>
          <w:sz w:val="24"/>
          <w:szCs w:val="24"/>
        </w:rPr>
        <w:t xml:space="preserve"> regarding the rule</w:t>
      </w:r>
      <w:r w:rsidR="00C554CC">
        <w:rPr>
          <w:rFonts w:ascii="Arial" w:hAnsi="Arial" w:cs="Arial"/>
          <w:sz w:val="24"/>
          <w:szCs w:val="24"/>
        </w:rPr>
        <w:t xml:space="preserve">. </w:t>
      </w:r>
      <w:r w:rsidR="00C476A7">
        <w:rPr>
          <w:rFonts w:ascii="Arial" w:hAnsi="Arial" w:cs="Arial"/>
          <w:sz w:val="24"/>
          <w:szCs w:val="24"/>
        </w:rPr>
        <w:t>Both should be rejected.</w:t>
      </w:r>
      <w:r w:rsidR="002B0278">
        <w:rPr>
          <w:rFonts w:ascii="Arial" w:hAnsi="Arial" w:cs="Arial"/>
          <w:sz w:val="24"/>
          <w:szCs w:val="24"/>
        </w:rPr>
        <w:t xml:space="preserve"> </w:t>
      </w:r>
      <w:r w:rsidR="00BB465E">
        <w:rPr>
          <w:rFonts w:ascii="Arial" w:hAnsi="Arial" w:cs="Arial"/>
          <w:sz w:val="24"/>
          <w:szCs w:val="24"/>
        </w:rPr>
        <w:t xml:space="preserve"> </w:t>
      </w:r>
    </w:p>
    <w:p w14:paraId="3CB35418" w14:textId="0A725B53" w:rsidR="00D73ECB" w:rsidRPr="001B063B" w:rsidRDefault="00502064" w:rsidP="008F2D89">
      <w:pPr>
        <w:spacing w:after="0" w:line="480" w:lineRule="auto"/>
        <w:ind w:firstLine="720"/>
        <w:jc w:val="both"/>
        <w:rPr>
          <w:rFonts w:ascii="Arial" w:hAnsi="Arial" w:cs="Arial"/>
          <w:sz w:val="24"/>
          <w:szCs w:val="24"/>
        </w:rPr>
      </w:pPr>
      <w:r>
        <w:rPr>
          <w:rFonts w:ascii="Arial" w:hAnsi="Arial" w:cs="Arial"/>
          <w:sz w:val="24"/>
          <w:szCs w:val="24"/>
        </w:rPr>
        <w:t xml:space="preserve">Initially, AES Ohio fails to </w:t>
      </w:r>
      <w:r w:rsidR="001B2038">
        <w:rPr>
          <w:rFonts w:ascii="Arial" w:hAnsi="Arial" w:cs="Arial"/>
          <w:sz w:val="24"/>
          <w:szCs w:val="24"/>
        </w:rPr>
        <w:t>acknowledge</w:t>
      </w:r>
      <w:r>
        <w:rPr>
          <w:rFonts w:ascii="Arial" w:hAnsi="Arial" w:cs="Arial"/>
          <w:sz w:val="24"/>
          <w:szCs w:val="24"/>
        </w:rPr>
        <w:t xml:space="preserve"> that t</w:t>
      </w:r>
      <w:r w:rsidR="00D73ECB" w:rsidRPr="001B063B">
        <w:rPr>
          <w:rFonts w:ascii="Arial" w:hAnsi="Arial" w:cs="Arial"/>
          <w:sz w:val="24"/>
          <w:szCs w:val="24"/>
        </w:rPr>
        <w:t xml:space="preserve">he Commission has thoroughly considered the consumer protections associated with these charges and determined their sufficiency. </w:t>
      </w:r>
      <w:r w:rsidR="00D81248">
        <w:rPr>
          <w:rFonts w:ascii="Arial" w:hAnsi="Arial" w:cs="Arial"/>
          <w:sz w:val="24"/>
          <w:szCs w:val="24"/>
        </w:rPr>
        <w:t>Notably, the</w:t>
      </w:r>
      <w:r w:rsidR="00D73ECB" w:rsidRPr="001B063B">
        <w:rPr>
          <w:rFonts w:ascii="Arial" w:hAnsi="Arial" w:cs="Arial"/>
          <w:sz w:val="24"/>
          <w:szCs w:val="24"/>
        </w:rPr>
        <w:t xml:space="preserve"> Commission recognized that a utility is prohibited from a disconnecting a customer’s </w:t>
      </w:r>
      <w:r w:rsidR="003348B9">
        <w:rPr>
          <w:rFonts w:ascii="Arial" w:hAnsi="Arial" w:cs="Arial"/>
          <w:sz w:val="24"/>
          <w:szCs w:val="24"/>
        </w:rPr>
        <w:t xml:space="preserve">electric </w:t>
      </w:r>
      <w:r w:rsidR="00D73ECB" w:rsidRPr="001B063B">
        <w:rPr>
          <w:rFonts w:ascii="Arial" w:hAnsi="Arial" w:cs="Arial"/>
          <w:sz w:val="24"/>
          <w:szCs w:val="24"/>
        </w:rPr>
        <w:t>service for failure to pay these non-jurisdictional charge</w:t>
      </w:r>
      <w:r w:rsidR="008A59ED">
        <w:rPr>
          <w:rFonts w:ascii="Arial" w:hAnsi="Arial" w:cs="Arial"/>
          <w:sz w:val="24"/>
          <w:szCs w:val="24"/>
        </w:rPr>
        <w:t>s</w:t>
      </w:r>
      <w:r w:rsidR="003348B9">
        <w:rPr>
          <w:rFonts w:ascii="Arial" w:hAnsi="Arial" w:cs="Arial"/>
          <w:sz w:val="24"/>
          <w:szCs w:val="24"/>
        </w:rPr>
        <w:t>.</w:t>
      </w:r>
      <w:r w:rsidR="00D73ECB" w:rsidRPr="001B063B">
        <w:rPr>
          <w:rFonts w:ascii="Arial" w:hAnsi="Arial" w:cs="Arial"/>
          <w:sz w:val="24"/>
          <w:szCs w:val="24"/>
          <w:vertAlign w:val="superscript"/>
        </w:rPr>
        <w:footnoteReference w:id="21"/>
      </w:r>
      <w:r w:rsidR="00D73ECB" w:rsidRPr="001B063B">
        <w:rPr>
          <w:rFonts w:ascii="Arial" w:hAnsi="Arial" w:cs="Arial"/>
          <w:sz w:val="24"/>
          <w:szCs w:val="24"/>
        </w:rPr>
        <w:t xml:space="preserve"> Additionally, </w:t>
      </w:r>
      <w:r w:rsidR="00D5022F">
        <w:rPr>
          <w:rFonts w:ascii="Arial" w:hAnsi="Arial" w:cs="Arial"/>
          <w:sz w:val="24"/>
          <w:szCs w:val="24"/>
        </w:rPr>
        <w:t xml:space="preserve">the Commission noted that </w:t>
      </w:r>
      <w:r w:rsidR="00D73ECB" w:rsidRPr="001B063B">
        <w:rPr>
          <w:rFonts w:ascii="Arial" w:hAnsi="Arial" w:cs="Arial"/>
          <w:sz w:val="24"/>
          <w:szCs w:val="24"/>
        </w:rPr>
        <w:t xml:space="preserve">customers are protected from </w:t>
      </w:r>
      <w:r w:rsidR="007948C1">
        <w:rPr>
          <w:rFonts w:ascii="Arial" w:hAnsi="Arial" w:cs="Arial"/>
          <w:sz w:val="24"/>
          <w:szCs w:val="24"/>
        </w:rPr>
        <w:t xml:space="preserve">potential </w:t>
      </w:r>
      <w:r w:rsidR="00D73ECB" w:rsidRPr="001B063B">
        <w:rPr>
          <w:rFonts w:ascii="Arial" w:hAnsi="Arial" w:cs="Arial"/>
          <w:sz w:val="24"/>
          <w:szCs w:val="24"/>
        </w:rPr>
        <w:t>subsidi</w:t>
      </w:r>
      <w:r w:rsidR="007948C1">
        <w:rPr>
          <w:rFonts w:ascii="Arial" w:hAnsi="Arial" w:cs="Arial"/>
          <w:sz w:val="24"/>
          <w:szCs w:val="24"/>
        </w:rPr>
        <w:t>zation of</w:t>
      </w:r>
      <w:r w:rsidR="00D73ECB" w:rsidRPr="001B063B">
        <w:rPr>
          <w:rFonts w:ascii="Arial" w:hAnsi="Arial" w:cs="Arial"/>
          <w:sz w:val="24"/>
          <w:szCs w:val="24"/>
        </w:rPr>
        <w:t xml:space="preserve"> these charges</w:t>
      </w:r>
      <w:r w:rsidR="006A0D7A">
        <w:rPr>
          <w:rFonts w:ascii="Arial" w:hAnsi="Arial" w:cs="Arial"/>
          <w:sz w:val="24"/>
          <w:szCs w:val="24"/>
        </w:rPr>
        <w:t xml:space="preserve"> when provided by a CRES provider</w:t>
      </w:r>
      <w:r w:rsidR="00D73ECB" w:rsidRPr="001B063B">
        <w:rPr>
          <w:rFonts w:ascii="Arial" w:hAnsi="Arial" w:cs="Arial"/>
          <w:sz w:val="24"/>
          <w:szCs w:val="24"/>
        </w:rPr>
        <w:t xml:space="preserve"> </w:t>
      </w:r>
      <w:r w:rsidR="006A0D7A">
        <w:rPr>
          <w:rFonts w:ascii="Arial" w:hAnsi="Arial" w:cs="Arial"/>
          <w:sz w:val="24"/>
          <w:szCs w:val="24"/>
        </w:rPr>
        <w:t xml:space="preserve">because they are </w:t>
      </w:r>
      <w:r w:rsidR="00D73ECB" w:rsidRPr="001B063B">
        <w:rPr>
          <w:rFonts w:ascii="Arial" w:hAnsi="Arial" w:cs="Arial"/>
          <w:sz w:val="24"/>
          <w:szCs w:val="24"/>
        </w:rPr>
        <w:t>excluded from the EDUs’ purchase of receivables programs.</w:t>
      </w:r>
      <w:r w:rsidR="00D73ECB" w:rsidRPr="001B063B">
        <w:rPr>
          <w:rFonts w:ascii="Arial" w:hAnsi="Arial" w:cs="Arial"/>
          <w:sz w:val="24"/>
          <w:szCs w:val="24"/>
          <w:vertAlign w:val="superscript"/>
        </w:rPr>
        <w:footnoteReference w:id="22"/>
      </w:r>
      <w:r w:rsidR="00D73ECB" w:rsidRPr="001B063B">
        <w:rPr>
          <w:rFonts w:ascii="Arial" w:hAnsi="Arial" w:cs="Arial"/>
          <w:sz w:val="24"/>
          <w:szCs w:val="24"/>
        </w:rPr>
        <w:t xml:space="preserve">  Further, the Commission </w:t>
      </w:r>
      <w:r w:rsidR="000E4B97">
        <w:rPr>
          <w:rFonts w:ascii="Arial" w:hAnsi="Arial" w:cs="Arial"/>
          <w:sz w:val="24"/>
          <w:szCs w:val="24"/>
        </w:rPr>
        <w:t>acknowledged</w:t>
      </w:r>
      <w:r w:rsidR="00D73ECB" w:rsidRPr="001B063B">
        <w:rPr>
          <w:rFonts w:ascii="Arial" w:hAnsi="Arial" w:cs="Arial"/>
          <w:sz w:val="24"/>
          <w:szCs w:val="24"/>
        </w:rPr>
        <w:t xml:space="preserve"> that the rules require the name and toll-free phone number of each non-jurisdictional service provider be listed on the consolidated bills.</w:t>
      </w:r>
      <w:r w:rsidR="00D73ECB" w:rsidRPr="001B063B">
        <w:rPr>
          <w:rFonts w:ascii="Arial" w:hAnsi="Arial" w:cs="Arial"/>
          <w:sz w:val="24"/>
          <w:szCs w:val="24"/>
          <w:vertAlign w:val="superscript"/>
        </w:rPr>
        <w:footnoteReference w:id="23"/>
      </w:r>
      <w:r w:rsidR="00D73ECB" w:rsidRPr="001B063B">
        <w:rPr>
          <w:rFonts w:ascii="Arial" w:hAnsi="Arial" w:cs="Arial"/>
          <w:sz w:val="24"/>
          <w:szCs w:val="24"/>
        </w:rPr>
        <w:t xml:space="preserve"> If a customer needs further assistance in understanding or disputing a non-jurisdictional service charge,</w:t>
      </w:r>
      <w:r w:rsidR="000E4B97">
        <w:rPr>
          <w:rFonts w:ascii="Arial" w:hAnsi="Arial" w:cs="Arial"/>
          <w:sz w:val="24"/>
          <w:szCs w:val="24"/>
        </w:rPr>
        <w:t xml:space="preserve"> the Commission </w:t>
      </w:r>
      <w:r w:rsidR="008F2D89">
        <w:rPr>
          <w:rFonts w:ascii="Arial" w:hAnsi="Arial" w:cs="Arial"/>
          <w:sz w:val="24"/>
          <w:szCs w:val="24"/>
        </w:rPr>
        <w:t xml:space="preserve">stated </w:t>
      </w:r>
      <w:r w:rsidR="000E4B97">
        <w:rPr>
          <w:rFonts w:ascii="Arial" w:hAnsi="Arial" w:cs="Arial"/>
          <w:sz w:val="24"/>
          <w:szCs w:val="24"/>
        </w:rPr>
        <w:t>that</w:t>
      </w:r>
      <w:r w:rsidR="00D73ECB" w:rsidRPr="001B063B">
        <w:rPr>
          <w:rFonts w:ascii="Arial" w:hAnsi="Arial" w:cs="Arial"/>
          <w:sz w:val="24"/>
          <w:szCs w:val="24"/>
        </w:rPr>
        <w:t xml:space="preserve"> the customer may reach out to the </w:t>
      </w:r>
      <w:r w:rsidR="00D73ECB" w:rsidRPr="001B063B">
        <w:rPr>
          <w:rFonts w:ascii="Arial" w:hAnsi="Arial" w:cs="Arial"/>
          <w:sz w:val="24"/>
          <w:szCs w:val="24"/>
        </w:rPr>
        <w:lastRenderedPageBreak/>
        <w:t>Commission or the Office of the Ohio Consumers’ Counsel, the contact information for which is listed on every utility bill.</w:t>
      </w:r>
      <w:r w:rsidR="00D73ECB" w:rsidRPr="001B063B">
        <w:rPr>
          <w:rFonts w:ascii="Arial" w:hAnsi="Arial" w:cs="Arial"/>
          <w:sz w:val="24"/>
          <w:szCs w:val="24"/>
          <w:vertAlign w:val="superscript"/>
        </w:rPr>
        <w:t xml:space="preserve"> </w:t>
      </w:r>
      <w:r w:rsidR="00D73ECB" w:rsidRPr="001B063B">
        <w:rPr>
          <w:rFonts w:ascii="Arial" w:hAnsi="Arial" w:cs="Arial"/>
          <w:sz w:val="24"/>
          <w:szCs w:val="24"/>
          <w:vertAlign w:val="superscript"/>
        </w:rPr>
        <w:footnoteReference w:id="24"/>
      </w:r>
      <w:r w:rsidR="00D73ECB" w:rsidRPr="001B063B">
        <w:rPr>
          <w:rFonts w:ascii="Arial" w:hAnsi="Arial" w:cs="Arial"/>
          <w:sz w:val="24"/>
          <w:szCs w:val="24"/>
        </w:rPr>
        <w:t xml:space="preserve"> </w:t>
      </w:r>
    </w:p>
    <w:p w14:paraId="480D0FEE" w14:textId="42AA4EDF" w:rsidR="00E46000" w:rsidRDefault="002D7A86" w:rsidP="00D50215">
      <w:pPr>
        <w:spacing w:after="0" w:line="480" w:lineRule="auto"/>
        <w:ind w:firstLine="720"/>
        <w:jc w:val="both"/>
        <w:rPr>
          <w:rFonts w:ascii="Arial" w:hAnsi="Arial" w:cs="Arial"/>
          <w:sz w:val="24"/>
          <w:szCs w:val="24"/>
        </w:rPr>
      </w:pPr>
      <w:r>
        <w:rPr>
          <w:rFonts w:ascii="Arial" w:hAnsi="Arial" w:cs="Arial"/>
          <w:sz w:val="24"/>
          <w:szCs w:val="24"/>
        </w:rPr>
        <w:t>Moreover,</w:t>
      </w:r>
      <w:r w:rsidR="00110334">
        <w:rPr>
          <w:rFonts w:ascii="Arial" w:hAnsi="Arial" w:cs="Arial"/>
          <w:sz w:val="24"/>
          <w:szCs w:val="24"/>
        </w:rPr>
        <w:t xml:space="preserve"> AES Ohio’s </w:t>
      </w:r>
      <w:r w:rsidR="007E1E9C">
        <w:rPr>
          <w:rFonts w:ascii="Arial" w:hAnsi="Arial" w:cs="Arial"/>
          <w:sz w:val="24"/>
          <w:szCs w:val="24"/>
        </w:rPr>
        <w:t xml:space="preserve">assertion </w:t>
      </w:r>
      <w:r w:rsidR="00A62530">
        <w:rPr>
          <w:rFonts w:ascii="Arial" w:hAnsi="Arial" w:cs="Arial"/>
          <w:sz w:val="24"/>
          <w:szCs w:val="24"/>
        </w:rPr>
        <w:t xml:space="preserve">that </w:t>
      </w:r>
      <w:r w:rsidR="001C120D">
        <w:rPr>
          <w:rFonts w:ascii="Arial" w:hAnsi="Arial" w:cs="Arial"/>
          <w:sz w:val="24"/>
          <w:szCs w:val="24"/>
        </w:rPr>
        <w:t>consumer protections</w:t>
      </w:r>
      <w:r w:rsidR="009C2211">
        <w:rPr>
          <w:rFonts w:ascii="Arial" w:hAnsi="Arial" w:cs="Arial"/>
          <w:sz w:val="24"/>
          <w:szCs w:val="24"/>
        </w:rPr>
        <w:t xml:space="preserve"> were not considered</w:t>
      </w:r>
      <w:r w:rsidR="001C120D">
        <w:rPr>
          <w:rFonts w:ascii="Arial" w:hAnsi="Arial" w:cs="Arial"/>
          <w:sz w:val="24"/>
          <w:szCs w:val="24"/>
        </w:rPr>
        <w:t xml:space="preserve"> </w:t>
      </w:r>
      <w:r w:rsidR="00BF3DD3">
        <w:rPr>
          <w:rFonts w:ascii="Arial" w:hAnsi="Arial" w:cs="Arial"/>
          <w:sz w:val="24"/>
          <w:szCs w:val="24"/>
        </w:rPr>
        <w:t xml:space="preserve">is </w:t>
      </w:r>
      <w:r w:rsidR="007A0E11">
        <w:rPr>
          <w:rFonts w:ascii="Arial" w:hAnsi="Arial" w:cs="Arial"/>
          <w:sz w:val="24"/>
          <w:szCs w:val="24"/>
        </w:rPr>
        <w:t xml:space="preserve">especially </w:t>
      </w:r>
      <w:r w:rsidR="00087DF9">
        <w:rPr>
          <w:rFonts w:ascii="Arial" w:hAnsi="Arial" w:cs="Arial"/>
          <w:sz w:val="24"/>
          <w:szCs w:val="24"/>
        </w:rPr>
        <w:t>faulty</w:t>
      </w:r>
      <w:r w:rsidR="00A4592E">
        <w:rPr>
          <w:rFonts w:ascii="Arial" w:hAnsi="Arial" w:cs="Arial"/>
          <w:sz w:val="24"/>
          <w:szCs w:val="24"/>
        </w:rPr>
        <w:t xml:space="preserve"> </w:t>
      </w:r>
      <w:r w:rsidR="007E1E9C">
        <w:rPr>
          <w:rFonts w:ascii="Arial" w:hAnsi="Arial" w:cs="Arial"/>
          <w:sz w:val="24"/>
          <w:szCs w:val="24"/>
        </w:rPr>
        <w:t xml:space="preserve">because </w:t>
      </w:r>
      <w:r w:rsidR="00D73ECB" w:rsidRPr="001B063B">
        <w:rPr>
          <w:rFonts w:ascii="Arial" w:hAnsi="Arial" w:cs="Arial"/>
          <w:sz w:val="24"/>
          <w:szCs w:val="24"/>
        </w:rPr>
        <w:t>the Commission</w:t>
      </w:r>
      <w:r w:rsidR="007E1E9C">
        <w:rPr>
          <w:rFonts w:ascii="Arial" w:hAnsi="Arial" w:cs="Arial"/>
          <w:sz w:val="24"/>
          <w:szCs w:val="24"/>
        </w:rPr>
        <w:t xml:space="preserve"> </w:t>
      </w:r>
      <w:r w:rsidR="00D73ECB" w:rsidRPr="001B063B">
        <w:rPr>
          <w:rFonts w:ascii="Arial" w:hAnsi="Arial" w:cs="Arial"/>
          <w:sz w:val="24"/>
          <w:szCs w:val="24"/>
        </w:rPr>
        <w:t>rejected IGS’s recommendations for additional consumer protections.</w:t>
      </w:r>
      <w:r w:rsidR="00D73ECB" w:rsidRPr="001B063B">
        <w:rPr>
          <w:rFonts w:ascii="Arial" w:hAnsi="Arial" w:cs="Arial"/>
          <w:sz w:val="24"/>
          <w:szCs w:val="24"/>
          <w:vertAlign w:val="superscript"/>
        </w:rPr>
        <w:footnoteReference w:id="25"/>
      </w:r>
      <w:r w:rsidR="00D73ECB" w:rsidRPr="001B063B">
        <w:rPr>
          <w:rFonts w:ascii="Arial" w:hAnsi="Arial" w:cs="Arial"/>
          <w:sz w:val="24"/>
          <w:szCs w:val="24"/>
        </w:rPr>
        <w:t xml:space="preserve"> </w:t>
      </w:r>
      <w:r w:rsidR="001C120D">
        <w:rPr>
          <w:rFonts w:ascii="Arial" w:hAnsi="Arial" w:cs="Arial"/>
          <w:sz w:val="24"/>
          <w:szCs w:val="24"/>
        </w:rPr>
        <w:t>This is clear evidence th</w:t>
      </w:r>
      <w:r w:rsidR="00BD6E13">
        <w:rPr>
          <w:rFonts w:ascii="Arial" w:hAnsi="Arial" w:cs="Arial"/>
          <w:sz w:val="24"/>
          <w:szCs w:val="24"/>
        </w:rPr>
        <w:t xml:space="preserve">at the </w:t>
      </w:r>
      <w:r w:rsidR="001C120D">
        <w:rPr>
          <w:rFonts w:ascii="Arial" w:hAnsi="Arial" w:cs="Arial"/>
          <w:sz w:val="24"/>
          <w:szCs w:val="24"/>
        </w:rPr>
        <w:t xml:space="preserve">Commission </w:t>
      </w:r>
      <w:r w:rsidR="00F30050">
        <w:rPr>
          <w:rFonts w:ascii="Arial" w:hAnsi="Arial" w:cs="Arial"/>
          <w:sz w:val="24"/>
          <w:szCs w:val="24"/>
        </w:rPr>
        <w:t>has</w:t>
      </w:r>
      <w:r w:rsidR="00C9655E">
        <w:rPr>
          <w:rFonts w:ascii="Arial" w:hAnsi="Arial" w:cs="Arial"/>
          <w:sz w:val="24"/>
          <w:szCs w:val="24"/>
        </w:rPr>
        <w:t xml:space="preserve"> </w:t>
      </w:r>
      <w:r w:rsidR="00BD6E13">
        <w:rPr>
          <w:rFonts w:ascii="Arial" w:hAnsi="Arial" w:cs="Arial"/>
          <w:sz w:val="24"/>
          <w:szCs w:val="24"/>
        </w:rPr>
        <w:t>thoughtfully considered this issue.</w:t>
      </w:r>
    </w:p>
    <w:p w14:paraId="60B5677C" w14:textId="04199C21" w:rsidR="00DA646B" w:rsidRDefault="00E46000" w:rsidP="00D50215">
      <w:pPr>
        <w:spacing w:after="0" w:line="480" w:lineRule="auto"/>
        <w:ind w:firstLine="720"/>
        <w:jc w:val="both"/>
        <w:rPr>
          <w:rFonts w:ascii="Arial" w:hAnsi="Arial" w:cs="Arial"/>
          <w:sz w:val="24"/>
          <w:szCs w:val="24"/>
        </w:rPr>
      </w:pPr>
      <w:r>
        <w:rPr>
          <w:rFonts w:ascii="Arial" w:hAnsi="Arial" w:cs="Arial"/>
          <w:sz w:val="24"/>
          <w:szCs w:val="24"/>
        </w:rPr>
        <w:t>The</w:t>
      </w:r>
      <w:r w:rsidR="000C6289">
        <w:rPr>
          <w:rFonts w:ascii="Arial" w:hAnsi="Arial" w:cs="Arial"/>
          <w:sz w:val="24"/>
          <w:szCs w:val="24"/>
        </w:rPr>
        <w:t xml:space="preserve"> Commission should </w:t>
      </w:r>
      <w:r>
        <w:rPr>
          <w:rFonts w:ascii="Arial" w:hAnsi="Arial" w:cs="Arial"/>
          <w:sz w:val="24"/>
          <w:szCs w:val="24"/>
        </w:rPr>
        <w:t xml:space="preserve">also </w:t>
      </w:r>
      <w:r w:rsidR="000C6289">
        <w:rPr>
          <w:rFonts w:ascii="Arial" w:hAnsi="Arial" w:cs="Arial"/>
          <w:sz w:val="24"/>
          <w:szCs w:val="24"/>
        </w:rPr>
        <w:t>reject AES Ohio’s claims that the rule is unreasonable because it does not take into consideration “the  length o</w:t>
      </w:r>
      <w:r w:rsidR="00264A1D">
        <w:rPr>
          <w:rFonts w:ascii="Arial" w:hAnsi="Arial" w:cs="Arial"/>
          <w:sz w:val="24"/>
          <w:szCs w:val="24"/>
        </w:rPr>
        <w:t>f</w:t>
      </w:r>
      <w:r w:rsidR="000C6289">
        <w:rPr>
          <w:rFonts w:ascii="Arial" w:hAnsi="Arial" w:cs="Arial"/>
          <w:sz w:val="24"/>
          <w:szCs w:val="24"/>
        </w:rPr>
        <w:t xml:space="preserve"> the bill” and the “complexity of service.”</w:t>
      </w:r>
      <w:r w:rsidR="000C6289">
        <w:rPr>
          <w:rStyle w:val="FootnoteReference"/>
          <w:rFonts w:ascii="Arial" w:hAnsi="Arial" w:cs="Arial"/>
          <w:sz w:val="24"/>
          <w:szCs w:val="24"/>
        </w:rPr>
        <w:footnoteReference w:id="26"/>
      </w:r>
      <w:r w:rsidR="000C6289">
        <w:rPr>
          <w:rFonts w:ascii="Arial" w:hAnsi="Arial" w:cs="Arial"/>
          <w:sz w:val="24"/>
          <w:szCs w:val="24"/>
        </w:rPr>
        <w:t xml:space="preserve"> AES Ohio </w:t>
      </w:r>
      <w:r w:rsidR="000706BD">
        <w:rPr>
          <w:rFonts w:ascii="Arial" w:hAnsi="Arial" w:cs="Arial"/>
          <w:sz w:val="24"/>
          <w:szCs w:val="24"/>
        </w:rPr>
        <w:t>fails to provide an explanation</w:t>
      </w:r>
      <w:r w:rsidR="000C6289">
        <w:rPr>
          <w:rFonts w:ascii="Arial" w:hAnsi="Arial" w:cs="Arial"/>
          <w:sz w:val="24"/>
          <w:szCs w:val="24"/>
        </w:rPr>
        <w:t xml:space="preserve"> </w:t>
      </w:r>
      <w:r w:rsidR="00E85903">
        <w:rPr>
          <w:rFonts w:ascii="Arial" w:hAnsi="Arial" w:cs="Arial"/>
          <w:sz w:val="24"/>
          <w:szCs w:val="24"/>
        </w:rPr>
        <w:t>as to why the</w:t>
      </w:r>
      <w:r w:rsidR="000651C7">
        <w:rPr>
          <w:rFonts w:ascii="Arial" w:hAnsi="Arial" w:cs="Arial"/>
          <w:sz w:val="24"/>
          <w:szCs w:val="24"/>
        </w:rPr>
        <w:t xml:space="preserve">se are items that </w:t>
      </w:r>
      <w:r w:rsidR="00413F8C">
        <w:rPr>
          <w:rFonts w:ascii="Arial" w:hAnsi="Arial" w:cs="Arial"/>
          <w:sz w:val="24"/>
          <w:szCs w:val="24"/>
        </w:rPr>
        <w:t xml:space="preserve">should be of concern to the Commission. </w:t>
      </w:r>
    </w:p>
    <w:p w14:paraId="73B5E84E" w14:textId="2DA27349" w:rsidR="00E305FF" w:rsidRDefault="002D7A86" w:rsidP="00D50215">
      <w:pPr>
        <w:spacing w:after="0" w:line="480" w:lineRule="auto"/>
        <w:ind w:firstLine="720"/>
        <w:jc w:val="both"/>
        <w:rPr>
          <w:rFonts w:ascii="Arial" w:hAnsi="Arial" w:cs="Arial"/>
          <w:sz w:val="24"/>
          <w:szCs w:val="24"/>
        </w:rPr>
      </w:pPr>
      <w:r>
        <w:rPr>
          <w:rFonts w:ascii="Arial" w:hAnsi="Arial" w:cs="Arial"/>
          <w:sz w:val="24"/>
          <w:szCs w:val="24"/>
        </w:rPr>
        <w:t xml:space="preserve">Finally, </w:t>
      </w:r>
      <w:r w:rsidR="00E305FF" w:rsidRPr="00763C6D">
        <w:rPr>
          <w:rFonts w:ascii="Arial" w:hAnsi="Arial" w:cs="Arial"/>
          <w:sz w:val="24"/>
          <w:szCs w:val="24"/>
        </w:rPr>
        <w:t xml:space="preserve">AES Ohio’s suggested rule revision </w:t>
      </w:r>
      <w:proofErr w:type="gramStart"/>
      <w:r w:rsidR="00B0130F">
        <w:rPr>
          <w:rFonts w:ascii="Arial" w:hAnsi="Arial" w:cs="Arial"/>
          <w:sz w:val="24"/>
          <w:szCs w:val="24"/>
        </w:rPr>
        <w:t xml:space="preserve">actually </w:t>
      </w:r>
      <w:r w:rsidR="00E305FF" w:rsidRPr="00763C6D">
        <w:rPr>
          <w:rFonts w:ascii="Arial" w:hAnsi="Arial" w:cs="Arial"/>
          <w:sz w:val="24"/>
          <w:szCs w:val="24"/>
        </w:rPr>
        <w:t>demonstrates</w:t>
      </w:r>
      <w:proofErr w:type="gramEnd"/>
      <w:r w:rsidR="00E305FF" w:rsidRPr="00763C6D">
        <w:rPr>
          <w:rFonts w:ascii="Arial" w:hAnsi="Arial" w:cs="Arial"/>
          <w:sz w:val="24"/>
          <w:szCs w:val="24"/>
        </w:rPr>
        <w:t xml:space="preserve"> the necessity for the </w:t>
      </w:r>
      <w:r w:rsidR="00C03F31">
        <w:rPr>
          <w:rFonts w:ascii="Arial" w:hAnsi="Arial" w:cs="Arial"/>
          <w:sz w:val="24"/>
          <w:szCs w:val="24"/>
        </w:rPr>
        <w:t xml:space="preserve">new </w:t>
      </w:r>
      <w:r w:rsidR="00E305FF" w:rsidRPr="00763C6D">
        <w:rPr>
          <w:rFonts w:ascii="Arial" w:hAnsi="Arial" w:cs="Arial"/>
          <w:sz w:val="24"/>
          <w:szCs w:val="24"/>
        </w:rPr>
        <w:t>rule. AES Ohio suggests that billing for non-jurisdictional services “should be made on a non-discriminatory ad-hoc basis for each utility, supplier, and non-jurisdictional service a supplier seeks to charge.”</w:t>
      </w:r>
      <w:r w:rsidR="00E305FF">
        <w:rPr>
          <w:rStyle w:val="FootnoteReference"/>
          <w:rFonts w:ascii="Arial" w:hAnsi="Arial" w:cs="Arial"/>
          <w:sz w:val="24"/>
          <w:szCs w:val="24"/>
        </w:rPr>
        <w:footnoteReference w:id="27"/>
      </w:r>
      <w:r w:rsidR="00E305FF" w:rsidRPr="00763C6D">
        <w:rPr>
          <w:rFonts w:ascii="Arial" w:hAnsi="Arial" w:cs="Arial"/>
          <w:sz w:val="24"/>
          <w:szCs w:val="24"/>
        </w:rPr>
        <w:t xml:space="preserve">  In other words, AES Ohio believes it should be determined on an individual case-by-case basis for each utility, supplier, and specific charge.</w:t>
      </w:r>
      <w:r w:rsidR="00E305FF">
        <w:rPr>
          <w:rFonts w:ascii="Arial" w:hAnsi="Arial" w:cs="Arial"/>
          <w:sz w:val="24"/>
          <w:szCs w:val="24"/>
        </w:rPr>
        <w:t xml:space="preserve"> </w:t>
      </w:r>
      <w:r w:rsidR="0012535B">
        <w:rPr>
          <w:rFonts w:ascii="Arial" w:hAnsi="Arial" w:cs="Arial"/>
          <w:sz w:val="24"/>
          <w:szCs w:val="24"/>
        </w:rPr>
        <w:t xml:space="preserve">This </w:t>
      </w:r>
      <w:proofErr w:type="gramStart"/>
      <w:r w:rsidR="0012535B">
        <w:rPr>
          <w:rFonts w:ascii="Arial" w:hAnsi="Arial" w:cs="Arial"/>
          <w:sz w:val="24"/>
          <w:szCs w:val="24"/>
        </w:rPr>
        <w:t>in itself is</w:t>
      </w:r>
      <w:proofErr w:type="gramEnd"/>
      <w:r w:rsidR="0012535B">
        <w:rPr>
          <w:rFonts w:ascii="Arial" w:hAnsi="Arial" w:cs="Arial"/>
          <w:sz w:val="24"/>
          <w:szCs w:val="24"/>
        </w:rPr>
        <w:t xml:space="preserve"> a discriminatory process,</w:t>
      </w:r>
      <w:r w:rsidR="008D417E">
        <w:rPr>
          <w:rFonts w:ascii="Arial" w:hAnsi="Arial" w:cs="Arial"/>
          <w:sz w:val="24"/>
          <w:szCs w:val="24"/>
        </w:rPr>
        <w:t xml:space="preserve"> allowing the utility to pick winners and losers,</w:t>
      </w:r>
      <w:r w:rsidR="0012535B">
        <w:rPr>
          <w:rFonts w:ascii="Arial" w:hAnsi="Arial" w:cs="Arial"/>
          <w:sz w:val="24"/>
          <w:szCs w:val="24"/>
        </w:rPr>
        <w:t xml:space="preserve"> making t</w:t>
      </w:r>
      <w:r w:rsidR="00552238">
        <w:rPr>
          <w:rFonts w:ascii="Arial" w:hAnsi="Arial" w:cs="Arial"/>
          <w:sz w:val="24"/>
          <w:szCs w:val="24"/>
        </w:rPr>
        <w:t>he inclusion of the word “non-discriminatory”</w:t>
      </w:r>
      <w:r w:rsidR="0026088F">
        <w:rPr>
          <w:rFonts w:ascii="Arial" w:hAnsi="Arial" w:cs="Arial"/>
          <w:sz w:val="24"/>
          <w:szCs w:val="24"/>
        </w:rPr>
        <w:t xml:space="preserve"> </w:t>
      </w:r>
      <w:r w:rsidR="0012535B">
        <w:rPr>
          <w:rFonts w:ascii="Arial" w:hAnsi="Arial" w:cs="Arial"/>
          <w:sz w:val="24"/>
          <w:szCs w:val="24"/>
        </w:rPr>
        <w:t>meaningless</w:t>
      </w:r>
      <w:r w:rsidR="009470D1">
        <w:rPr>
          <w:rFonts w:ascii="Arial" w:hAnsi="Arial" w:cs="Arial"/>
          <w:sz w:val="24"/>
          <w:szCs w:val="24"/>
        </w:rPr>
        <w:t>.</w:t>
      </w:r>
      <w:r w:rsidR="000C1E80">
        <w:rPr>
          <w:rFonts w:ascii="Arial" w:eastAsia="Times New Roman" w:hAnsi="Arial" w:cs="Times New Roman"/>
          <w:sz w:val="24"/>
        </w:rPr>
        <w:t xml:space="preserve"> </w:t>
      </w:r>
    </w:p>
    <w:p w14:paraId="559E3901" w14:textId="29FD6668" w:rsidR="00E305FF" w:rsidRPr="00DA646B" w:rsidRDefault="00966056" w:rsidP="00B5525F">
      <w:pPr>
        <w:spacing w:after="0" w:line="480" w:lineRule="auto"/>
        <w:ind w:firstLine="720"/>
        <w:jc w:val="both"/>
        <w:rPr>
          <w:rFonts w:ascii="Arial" w:hAnsi="Arial" w:cs="Arial"/>
          <w:sz w:val="24"/>
          <w:szCs w:val="24"/>
        </w:rPr>
      </w:pPr>
      <w:r>
        <w:rPr>
          <w:rFonts w:ascii="Arial" w:hAnsi="Arial" w:cs="Arial"/>
          <w:sz w:val="24"/>
          <w:szCs w:val="24"/>
        </w:rPr>
        <w:t>The Commission plainly stated that</w:t>
      </w:r>
      <w:r w:rsidR="00E305FF" w:rsidRPr="00D143ED">
        <w:rPr>
          <w:rFonts w:ascii="Arial" w:hAnsi="Arial" w:cs="Arial"/>
          <w:sz w:val="24"/>
          <w:szCs w:val="24"/>
        </w:rPr>
        <w:t xml:space="preserve"> “</w:t>
      </w:r>
      <w:r>
        <w:rPr>
          <w:rFonts w:ascii="Arial" w:hAnsi="Arial" w:cs="Arial"/>
          <w:sz w:val="24"/>
          <w:szCs w:val="24"/>
        </w:rPr>
        <w:t>[t]</w:t>
      </w:r>
      <w:r w:rsidR="00E305FF" w:rsidRPr="00D143ED">
        <w:rPr>
          <w:rFonts w:ascii="Arial" w:hAnsi="Arial" w:cs="Arial"/>
          <w:sz w:val="24"/>
          <w:szCs w:val="24"/>
        </w:rPr>
        <w:t xml:space="preserve">he </w:t>
      </w:r>
      <w:proofErr w:type="gramStart"/>
      <w:r w:rsidR="00E305FF" w:rsidRPr="00D143ED">
        <w:rPr>
          <w:rFonts w:ascii="Arial" w:hAnsi="Arial" w:cs="Arial"/>
          <w:sz w:val="24"/>
          <w:szCs w:val="24"/>
        </w:rPr>
        <w:t>rule</w:t>
      </w:r>
      <w:proofErr w:type="gramEnd"/>
      <w:r w:rsidR="00E305FF" w:rsidRPr="00D143ED">
        <w:rPr>
          <w:rFonts w:ascii="Arial" w:hAnsi="Arial" w:cs="Arial"/>
          <w:sz w:val="24"/>
          <w:szCs w:val="24"/>
        </w:rPr>
        <w:t xml:space="preserve"> does nothing more than prohibit undue or unreasonable prejudice or disadvantage, as already required in R.C. </w:t>
      </w:r>
      <w:r w:rsidR="00E305FF" w:rsidRPr="00D143ED">
        <w:rPr>
          <w:rFonts w:ascii="Arial" w:hAnsi="Arial" w:cs="Arial"/>
          <w:sz w:val="24"/>
          <w:szCs w:val="24"/>
        </w:rPr>
        <w:lastRenderedPageBreak/>
        <w:t>4905.35(A), in a specific context.”</w:t>
      </w:r>
      <w:r w:rsidR="00E305FF">
        <w:rPr>
          <w:rStyle w:val="FootnoteReference"/>
          <w:rFonts w:ascii="Arial" w:hAnsi="Arial" w:cs="Arial"/>
          <w:sz w:val="24"/>
          <w:szCs w:val="24"/>
        </w:rPr>
        <w:footnoteReference w:id="28"/>
      </w:r>
      <w:r w:rsidR="00E305FF" w:rsidRPr="00D143ED">
        <w:rPr>
          <w:rFonts w:ascii="Arial" w:hAnsi="Arial" w:cs="Arial"/>
          <w:sz w:val="24"/>
          <w:szCs w:val="24"/>
        </w:rPr>
        <w:t xml:space="preserve"> </w:t>
      </w:r>
      <w:r w:rsidRPr="006B5B9B">
        <w:rPr>
          <w:rFonts w:ascii="Arial" w:hAnsi="Arial" w:cs="Arial"/>
          <w:sz w:val="24"/>
          <w:szCs w:val="24"/>
        </w:rPr>
        <w:t xml:space="preserve">AES Ohio’s proposed </w:t>
      </w:r>
      <w:r w:rsidR="00013B09" w:rsidRPr="006B5B9B">
        <w:rPr>
          <w:rFonts w:ascii="Arial" w:hAnsi="Arial" w:cs="Arial"/>
          <w:sz w:val="24"/>
          <w:szCs w:val="24"/>
        </w:rPr>
        <w:t xml:space="preserve">amendment and </w:t>
      </w:r>
      <w:r w:rsidR="00E16F86" w:rsidRPr="006B5B9B">
        <w:rPr>
          <w:rFonts w:ascii="Arial" w:hAnsi="Arial" w:cs="Arial"/>
          <w:sz w:val="24"/>
          <w:szCs w:val="24"/>
        </w:rPr>
        <w:t xml:space="preserve">its </w:t>
      </w:r>
      <w:r w:rsidR="00013B09" w:rsidRPr="006B5B9B">
        <w:rPr>
          <w:rFonts w:ascii="Arial" w:hAnsi="Arial" w:cs="Arial"/>
          <w:sz w:val="24"/>
          <w:szCs w:val="24"/>
        </w:rPr>
        <w:t xml:space="preserve">application </w:t>
      </w:r>
      <w:r w:rsidR="006B5B9B" w:rsidRPr="006B5B9B">
        <w:rPr>
          <w:rFonts w:ascii="Arial" w:hAnsi="Arial" w:cs="Arial"/>
          <w:sz w:val="24"/>
          <w:szCs w:val="24"/>
        </w:rPr>
        <w:t>are not</w:t>
      </w:r>
      <w:r w:rsidR="00B104EB" w:rsidRPr="006B5B9B">
        <w:rPr>
          <w:rFonts w:ascii="Arial" w:hAnsi="Arial" w:cs="Arial"/>
          <w:sz w:val="24"/>
          <w:szCs w:val="24"/>
        </w:rPr>
        <w:t xml:space="preserve"> consistent with th</w:t>
      </w:r>
      <w:r w:rsidR="006B5B9B" w:rsidRPr="006B5B9B">
        <w:rPr>
          <w:rFonts w:ascii="Arial" w:hAnsi="Arial" w:cs="Arial"/>
          <w:sz w:val="24"/>
          <w:szCs w:val="24"/>
        </w:rPr>
        <w:t>e Commission’s stated</w:t>
      </w:r>
      <w:r w:rsidR="00B104EB" w:rsidRPr="006B5B9B">
        <w:rPr>
          <w:rFonts w:ascii="Arial" w:hAnsi="Arial" w:cs="Arial"/>
          <w:sz w:val="24"/>
          <w:szCs w:val="24"/>
        </w:rPr>
        <w:t xml:space="preserve"> intent.</w:t>
      </w:r>
      <w:r w:rsidR="00B104EB">
        <w:rPr>
          <w:rFonts w:ascii="Arial" w:hAnsi="Arial" w:cs="Arial"/>
          <w:sz w:val="24"/>
          <w:szCs w:val="24"/>
        </w:rPr>
        <w:t xml:space="preserve"> </w:t>
      </w:r>
      <w:r w:rsidR="005C003A">
        <w:rPr>
          <w:rFonts w:ascii="Arial" w:hAnsi="Arial" w:cs="Arial"/>
          <w:sz w:val="24"/>
          <w:szCs w:val="24"/>
        </w:rPr>
        <w:t>The</w:t>
      </w:r>
      <w:r w:rsidR="00EC0164">
        <w:rPr>
          <w:rFonts w:ascii="Arial" w:hAnsi="Arial" w:cs="Arial"/>
          <w:sz w:val="24"/>
          <w:szCs w:val="24"/>
        </w:rPr>
        <w:t xml:space="preserve"> Commission determined that no</w:t>
      </w:r>
      <w:r w:rsidR="005C003A">
        <w:rPr>
          <w:rFonts w:ascii="Arial" w:hAnsi="Arial" w:cs="Arial"/>
          <w:sz w:val="24"/>
          <w:szCs w:val="24"/>
        </w:rPr>
        <w:t xml:space="preserve"> further</w:t>
      </w:r>
      <w:r w:rsidR="00844843">
        <w:rPr>
          <w:rFonts w:ascii="Arial" w:hAnsi="Arial" w:cs="Arial"/>
          <w:sz w:val="24"/>
          <w:szCs w:val="24"/>
        </w:rPr>
        <w:t xml:space="preserve"> modifications to the rule </w:t>
      </w:r>
      <w:r w:rsidR="004058C1">
        <w:rPr>
          <w:rFonts w:ascii="Arial" w:hAnsi="Arial" w:cs="Arial"/>
          <w:sz w:val="24"/>
          <w:szCs w:val="24"/>
        </w:rPr>
        <w:t>are</w:t>
      </w:r>
      <w:r w:rsidR="00844843">
        <w:rPr>
          <w:rFonts w:ascii="Arial" w:hAnsi="Arial" w:cs="Arial"/>
          <w:sz w:val="24"/>
          <w:szCs w:val="24"/>
        </w:rPr>
        <w:t xml:space="preserve"> necessary</w:t>
      </w:r>
      <w:r w:rsidR="00D50215">
        <w:rPr>
          <w:rFonts w:ascii="Arial" w:hAnsi="Arial" w:cs="Arial"/>
          <w:sz w:val="24"/>
          <w:szCs w:val="24"/>
        </w:rPr>
        <w:t>,</w:t>
      </w:r>
      <w:r w:rsidR="00844843">
        <w:rPr>
          <w:rFonts w:ascii="Arial" w:hAnsi="Arial" w:cs="Arial"/>
          <w:sz w:val="24"/>
          <w:szCs w:val="24"/>
        </w:rPr>
        <w:t xml:space="preserve"> </w:t>
      </w:r>
      <w:r w:rsidR="00EC0164">
        <w:rPr>
          <w:rFonts w:ascii="Arial" w:hAnsi="Arial" w:cs="Arial"/>
          <w:sz w:val="24"/>
          <w:szCs w:val="24"/>
        </w:rPr>
        <w:t>and t</w:t>
      </w:r>
      <w:r w:rsidR="00406BBC">
        <w:rPr>
          <w:rFonts w:ascii="Arial" w:hAnsi="Arial" w:cs="Arial"/>
          <w:sz w:val="24"/>
          <w:szCs w:val="24"/>
        </w:rPr>
        <w:t xml:space="preserve">his continues to hold true. Thus, </w:t>
      </w:r>
      <w:r w:rsidR="00B05986">
        <w:rPr>
          <w:rFonts w:ascii="Arial" w:hAnsi="Arial" w:cs="Arial"/>
          <w:sz w:val="24"/>
          <w:szCs w:val="24"/>
        </w:rPr>
        <w:t xml:space="preserve">AES Ohio’s </w:t>
      </w:r>
      <w:r w:rsidR="00DB363D">
        <w:rPr>
          <w:rFonts w:ascii="Arial" w:hAnsi="Arial" w:cs="Arial"/>
          <w:sz w:val="24"/>
          <w:szCs w:val="24"/>
        </w:rPr>
        <w:t xml:space="preserve">Second Application should be </w:t>
      </w:r>
      <w:r w:rsidR="00013B09">
        <w:rPr>
          <w:rFonts w:ascii="Arial" w:hAnsi="Arial" w:cs="Arial"/>
          <w:sz w:val="24"/>
          <w:szCs w:val="24"/>
        </w:rPr>
        <w:t>denied.</w:t>
      </w:r>
      <w:r w:rsidR="00DB363D">
        <w:rPr>
          <w:rFonts w:ascii="Arial" w:hAnsi="Arial" w:cs="Arial"/>
          <w:sz w:val="24"/>
          <w:szCs w:val="24"/>
        </w:rPr>
        <w:t xml:space="preserve"> </w:t>
      </w:r>
    </w:p>
    <w:p w14:paraId="15B033AB" w14:textId="5FBAB1D7" w:rsidR="004778CA" w:rsidRPr="00D73ECB" w:rsidRDefault="00967C5E" w:rsidP="00D73ECB">
      <w:pPr>
        <w:pStyle w:val="ListParagraph"/>
        <w:numPr>
          <w:ilvl w:val="1"/>
          <w:numId w:val="9"/>
        </w:numPr>
        <w:spacing w:line="240" w:lineRule="auto"/>
        <w:jc w:val="both"/>
        <w:rPr>
          <w:rFonts w:ascii="Arial" w:hAnsi="Arial" w:cs="Arial"/>
          <w:b/>
          <w:bCs/>
          <w:sz w:val="24"/>
          <w:szCs w:val="24"/>
        </w:rPr>
      </w:pPr>
      <w:r w:rsidRPr="00D73ECB">
        <w:rPr>
          <w:rFonts w:ascii="Arial" w:hAnsi="Arial" w:cs="Arial"/>
          <w:b/>
          <w:bCs/>
          <w:sz w:val="24"/>
          <w:szCs w:val="24"/>
        </w:rPr>
        <w:t>AES Ohio’s proposed new billing system should include functionality to implement non-jurisdictional charges</w:t>
      </w:r>
      <w:r w:rsidR="002F10A1" w:rsidRPr="00D73ECB">
        <w:rPr>
          <w:rFonts w:ascii="Arial" w:hAnsi="Arial" w:cs="Arial"/>
          <w:b/>
          <w:bCs/>
          <w:sz w:val="24"/>
          <w:szCs w:val="24"/>
        </w:rPr>
        <w:t xml:space="preserve"> and thus need to be administrated non-discriminately</w:t>
      </w:r>
      <w:r w:rsidRPr="00D73ECB">
        <w:rPr>
          <w:rFonts w:ascii="Arial" w:hAnsi="Arial" w:cs="Arial"/>
          <w:b/>
          <w:bCs/>
          <w:sz w:val="24"/>
          <w:szCs w:val="24"/>
        </w:rPr>
        <w:t>.</w:t>
      </w:r>
    </w:p>
    <w:p w14:paraId="53C56137" w14:textId="4F6D4CF5" w:rsidR="004778CA" w:rsidRDefault="00967C5E" w:rsidP="00EB18DE">
      <w:pPr>
        <w:spacing w:after="0" w:line="480" w:lineRule="auto"/>
        <w:ind w:firstLine="720"/>
        <w:jc w:val="both"/>
        <w:rPr>
          <w:rFonts w:ascii="Arial" w:hAnsi="Arial" w:cs="Arial"/>
          <w:sz w:val="24"/>
          <w:szCs w:val="24"/>
        </w:rPr>
      </w:pPr>
      <w:r>
        <w:rPr>
          <w:rFonts w:ascii="Arial" w:hAnsi="Arial" w:cs="Arial"/>
          <w:sz w:val="24"/>
          <w:szCs w:val="24"/>
        </w:rPr>
        <w:t>AES Ohio</w:t>
      </w:r>
      <w:r w:rsidR="004058C1">
        <w:rPr>
          <w:rFonts w:ascii="Arial" w:hAnsi="Arial" w:cs="Arial"/>
          <w:sz w:val="24"/>
          <w:szCs w:val="24"/>
        </w:rPr>
        <w:t xml:space="preserve"> also notes </w:t>
      </w:r>
      <w:r>
        <w:rPr>
          <w:rFonts w:ascii="Arial" w:hAnsi="Arial" w:cs="Arial"/>
          <w:sz w:val="24"/>
          <w:szCs w:val="24"/>
        </w:rPr>
        <w:t xml:space="preserve">that </w:t>
      </w:r>
      <w:r w:rsidR="00AD162F">
        <w:rPr>
          <w:rFonts w:ascii="Arial" w:hAnsi="Arial" w:cs="Arial"/>
          <w:sz w:val="24"/>
          <w:szCs w:val="24"/>
        </w:rPr>
        <w:t>in accordance with</w:t>
      </w:r>
      <w:r>
        <w:rPr>
          <w:rFonts w:ascii="Arial" w:hAnsi="Arial" w:cs="Arial"/>
          <w:sz w:val="24"/>
          <w:szCs w:val="24"/>
        </w:rPr>
        <w:t xml:space="preserve"> a signed Stipulation and Recommendation filed in Case No</w:t>
      </w:r>
      <w:r w:rsidR="004058C1">
        <w:rPr>
          <w:rFonts w:ascii="Arial" w:hAnsi="Arial" w:cs="Arial"/>
          <w:sz w:val="24"/>
          <w:szCs w:val="24"/>
        </w:rPr>
        <w:t>s</w:t>
      </w:r>
      <w:r>
        <w:rPr>
          <w:rFonts w:ascii="Arial" w:hAnsi="Arial" w:cs="Arial"/>
          <w:sz w:val="24"/>
          <w:szCs w:val="24"/>
        </w:rPr>
        <w:t>. 18-1875-EL-GRD</w:t>
      </w:r>
      <w:r w:rsidR="004058C1">
        <w:rPr>
          <w:rFonts w:ascii="Arial" w:hAnsi="Arial" w:cs="Arial"/>
          <w:sz w:val="24"/>
          <w:szCs w:val="24"/>
        </w:rPr>
        <w:t xml:space="preserve"> et al., </w:t>
      </w:r>
      <w:r>
        <w:rPr>
          <w:rFonts w:ascii="Arial" w:hAnsi="Arial" w:cs="Arial"/>
          <w:sz w:val="24"/>
          <w:szCs w:val="24"/>
        </w:rPr>
        <w:t>it intends to implement a new Customer Information System (“CIS”) to handle billing and other customer facing functions.</w:t>
      </w:r>
      <w:r>
        <w:rPr>
          <w:rStyle w:val="FootnoteReference"/>
          <w:rFonts w:ascii="Arial" w:hAnsi="Arial" w:cs="Arial"/>
          <w:sz w:val="24"/>
          <w:szCs w:val="24"/>
        </w:rPr>
        <w:footnoteReference w:id="29"/>
      </w:r>
      <w:r w:rsidR="002F10A1">
        <w:rPr>
          <w:rFonts w:ascii="Arial" w:hAnsi="Arial" w:cs="Arial"/>
          <w:sz w:val="24"/>
          <w:szCs w:val="24"/>
        </w:rPr>
        <w:t xml:space="preserve"> </w:t>
      </w:r>
      <w:r w:rsidR="009E6707">
        <w:rPr>
          <w:rFonts w:ascii="Arial" w:hAnsi="Arial" w:cs="Arial"/>
          <w:sz w:val="24"/>
          <w:szCs w:val="24"/>
        </w:rPr>
        <w:t>AES Ohio states that “[m]</w:t>
      </w:r>
      <w:proofErr w:type="spellStart"/>
      <w:r w:rsidR="009E6707" w:rsidRPr="009E6707">
        <w:rPr>
          <w:rFonts w:ascii="Arial" w:hAnsi="Arial" w:cs="Arial"/>
          <w:sz w:val="24"/>
          <w:szCs w:val="24"/>
        </w:rPr>
        <w:t>andating</w:t>
      </w:r>
      <w:proofErr w:type="spellEnd"/>
      <w:r w:rsidR="009E6707" w:rsidRPr="009E6707">
        <w:rPr>
          <w:rFonts w:ascii="Arial" w:hAnsi="Arial" w:cs="Arial"/>
          <w:sz w:val="24"/>
          <w:szCs w:val="24"/>
        </w:rPr>
        <w:t xml:space="preserve"> consolidated billing of non-jurisdictional services upon request by CRES could require DP&amp;L to duplicate efforts and costs – simultaneously implementing the CIS while also having to update the current Customer Service System to accommodate this billing practice in the meantime.</w:t>
      </w:r>
      <w:r w:rsidR="009E6707">
        <w:rPr>
          <w:rFonts w:ascii="Arial" w:hAnsi="Arial" w:cs="Arial"/>
          <w:sz w:val="24"/>
          <w:szCs w:val="24"/>
        </w:rPr>
        <w:t>”</w:t>
      </w:r>
      <w:r w:rsidR="009E6707">
        <w:rPr>
          <w:rStyle w:val="FootnoteReference"/>
          <w:rFonts w:ascii="Arial" w:hAnsi="Arial" w:cs="Arial"/>
          <w:sz w:val="24"/>
          <w:szCs w:val="24"/>
        </w:rPr>
        <w:footnoteReference w:id="30"/>
      </w:r>
      <w:r w:rsidR="0019443C">
        <w:rPr>
          <w:rFonts w:ascii="Arial" w:hAnsi="Arial" w:cs="Arial"/>
          <w:sz w:val="24"/>
          <w:szCs w:val="24"/>
        </w:rPr>
        <w:t xml:space="preserve"> Thus, AES Ohio believes </w:t>
      </w:r>
      <w:r w:rsidR="001C1530">
        <w:rPr>
          <w:rFonts w:ascii="Arial" w:hAnsi="Arial" w:cs="Arial"/>
          <w:sz w:val="24"/>
          <w:szCs w:val="24"/>
        </w:rPr>
        <w:t xml:space="preserve">the “clarity” it </w:t>
      </w:r>
      <w:r w:rsidR="00F41900">
        <w:rPr>
          <w:rFonts w:ascii="Arial" w:hAnsi="Arial" w:cs="Arial"/>
          <w:sz w:val="24"/>
          <w:szCs w:val="24"/>
        </w:rPr>
        <w:t xml:space="preserve">again </w:t>
      </w:r>
      <w:r w:rsidR="001C1530">
        <w:rPr>
          <w:rFonts w:ascii="Arial" w:hAnsi="Arial" w:cs="Arial"/>
          <w:sz w:val="24"/>
          <w:szCs w:val="24"/>
        </w:rPr>
        <w:t>seeks in its assignment of error is necessary.</w:t>
      </w:r>
      <w:r w:rsidR="00F41900">
        <w:rPr>
          <w:rStyle w:val="FootnoteReference"/>
          <w:rFonts w:ascii="Arial" w:hAnsi="Arial" w:cs="Arial"/>
          <w:sz w:val="24"/>
          <w:szCs w:val="24"/>
        </w:rPr>
        <w:footnoteReference w:id="31"/>
      </w:r>
      <w:r w:rsidR="001C1530">
        <w:rPr>
          <w:rFonts w:ascii="Arial" w:hAnsi="Arial" w:cs="Arial"/>
          <w:sz w:val="24"/>
          <w:szCs w:val="24"/>
        </w:rPr>
        <w:t xml:space="preserve"> </w:t>
      </w:r>
    </w:p>
    <w:p w14:paraId="74ACE1BB" w14:textId="6F639D33" w:rsidR="004778CA" w:rsidRDefault="002F10A1" w:rsidP="00EB18DE">
      <w:pPr>
        <w:spacing w:after="0" w:line="480" w:lineRule="auto"/>
        <w:ind w:firstLine="720"/>
        <w:jc w:val="both"/>
        <w:rPr>
          <w:rFonts w:ascii="Arial" w:hAnsi="Arial" w:cs="Arial"/>
          <w:sz w:val="24"/>
          <w:szCs w:val="24"/>
        </w:rPr>
      </w:pPr>
      <w:r>
        <w:rPr>
          <w:rFonts w:ascii="Arial" w:hAnsi="Arial" w:cs="Arial"/>
          <w:sz w:val="24"/>
          <w:szCs w:val="24"/>
        </w:rPr>
        <w:t xml:space="preserve">Ensuring that AES Ohio’s new CIS has the functionality to bill for non-jurisdictional charges in accordance with </w:t>
      </w:r>
      <w:r w:rsidR="0076686D">
        <w:rPr>
          <w:rFonts w:ascii="Arial" w:hAnsi="Arial" w:cs="Arial"/>
          <w:sz w:val="24"/>
          <w:szCs w:val="24"/>
        </w:rPr>
        <w:t xml:space="preserve">the new </w:t>
      </w:r>
      <w:r w:rsidR="00FE3958">
        <w:rPr>
          <w:rFonts w:ascii="Arial" w:hAnsi="Arial" w:cs="Arial"/>
          <w:sz w:val="24"/>
          <w:szCs w:val="24"/>
        </w:rPr>
        <w:t>O</w:t>
      </w:r>
      <w:r w:rsidR="00535AB9">
        <w:rPr>
          <w:rFonts w:ascii="Arial" w:hAnsi="Arial" w:cs="Arial"/>
          <w:sz w:val="24"/>
          <w:szCs w:val="24"/>
        </w:rPr>
        <w:t xml:space="preserve">hio </w:t>
      </w:r>
      <w:proofErr w:type="spellStart"/>
      <w:r w:rsidR="00535AB9">
        <w:rPr>
          <w:rFonts w:ascii="Arial" w:hAnsi="Arial" w:cs="Arial"/>
          <w:sz w:val="24"/>
          <w:szCs w:val="24"/>
        </w:rPr>
        <w:t>Adm.Code</w:t>
      </w:r>
      <w:proofErr w:type="spellEnd"/>
      <w:r w:rsidR="00FE3958">
        <w:rPr>
          <w:rFonts w:ascii="Arial" w:hAnsi="Arial" w:cs="Arial"/>
          <w:sz w:val="24"/>
          <w:szCs w:val="24"/>
        </w:rPr>
        <w:t xml:space="preserve"> 4901:</w:t>
      </w:r>
      <w:r w:rsidR="00507461">
        <w:rPr>
          <w:rFonts w:ascii="Arial" w:hAnsi="Arial" w:cs="Arial"/>
          <w:sz w:val="24"/>
          <w:szCs w:val="24"/>
        </w:rPr>
        <w:t>1</w:t>
      </w:r>
      <w:r w:rsidR="00FE3958">
        <w:rPr>
          <w:rFonts w:ascii="Arial" w:hAnsi="Arial" w:cs="Arial"/>
          <w:sz w:val="24"/>
          <w:szCs w:val="24"/>
        </w:rPr>
        <w:t xml:space="preserve">-10-33 should be </w:t>
      </w:r>
      <w:r w:rsidR="00535AB9">
        <w:rPr>
          <w:rFonts w:ascii="Arial" w:hAnsi="Arial" w:cs="Arial"/>
          <w:sz w:val="24"/>
          <w:szCs w:val="24"/>
        </w:rPr>
        <w:t>a</w:t>
      </w:r>
      <w:r w:rsidR="00FE3958">
        <w:rPr>
          <w:rFonts w:ascii="Arial" w:hAnsi="Arial" w:cs="Arial"/>
          <w:sz w:val="24"/>
          <w:szCs w:val="24"/>
        </w:rPr>
        <w:t xml:space="preserve"> priority for AES Ohio. </w:t>
      </w:r>
      <w:r w:rsidR="00EF12EA">
        <w:rPr>
          <w:rFonts w:ascii="Arial" w:hAnsi="Arial" w:cs="Arial"/>
          <w:sz w:val="24"/>
          <w:szCs w:val="24"/>
        </w:rPr>
        <w:t>However</w:t>
      </w:r>
      <w:r w:rsidR="006E5134">
        <w:rPr>
          <w:rFonts w:ascii="Arial" w:hAnsi="Arial" w:cs="Arial"/>
          <w:sz w:val="24"/>
          <w:szCs w:val="24"/>
        </w:rPr>
        <w:t>,</w:t>
      </w:r>
      <w:r w:rsidR="00310A84">
        <w:rPr>
          <w:rFonts w:ascii="Arial" w:hAnsi="Arial" w:cs="Arial"/>
          <w:sz w:val="24"/>
          <w:szCs w:val="24"/>
        </w:rPr>
        <w:t xml:space="preserve"> this proceeding is not the appropriate venue to address</w:t>
      </w:r>
      <w:r w:rsidR="00EF12EA">
        <w:rPr>
          <w:rFonts w:ascii="Arial" w:hAnsi="Arial" w:cs="Arial"/>
          <w:sz w:val="24"/>
          <w:szCs w:val="24"/>
        </w:rPr>
        <w:t xml:space="preserve"> the details surrounding the implementation of these </w:t>
      </w:r>
      <w:r w:rsidR="00E3634C">
        <w:rPr>
          <w:rFonts w:ascii="Arial" w:hAnsi="Arial" w:cs="Arial"/>
          <w:sz w:val="24"/>
          <w:szCs w:val="24"/>
        </w:rPr>
        <w:t>capabilities</w:t>
      </w:r>
      <w:r w:rsidR="00310A84">
        <w:rPr>
          <w:rFonts w:ascii="Arial" w:hAnsi="Arial" w:cs="Arial"/>
          <w:sz w:val="24"/>
          <w:szCs w:val="24"/>
        </w:rPr>
        <w:t xml:space="preserve">. </w:t>
      </w:r>
      <w:r w:rsidR="00233794">
        <w:rPr>
          <w:rFonts w:ascii="Arial" w:hAnsi="Arial" w:cs="Arial"/>
          <w:sz w:val="24"/>
          <w:szCs w:val="24"/>
        </w:rPr>
        <w:t xml:space="preserve">Indeed, </w:t>
      </w:r>
      <w:r w:rsidR="00A81E9C">
        <w:rPr>
          <w:rFonts w:ascii="Arial" w:hAnsi="Arial" w:cs="Arial"/>
          <w:sz w:val="24"/>
          <w:szCs w:val="24"/>
        </w:rPr>
        <w:t xml:space="preserve">AES Ohio currently has an application pending before the Commission </w:t>
      </w:r>
      <w:r w:rsidR="00FF3B28">
        <w:rPr>
          <w:rFonts w:ascii="Arial" w:hAnsi="Arial" w:cs="Arial"/>
          <w:sz w:val="24"/>
          <w:szCs w:val="24"/>
        </w:rPr>
        <w:t xml:space="preserve">for approval of a non-commodity </w:t>
      </w:r>
      <w:r w:rsidR="00FF3B28">
        <w:rPr>
          <w:rFonts w:ascii="Arial" w:hAnsi="Arial" w:cs="Arial"/>
          <w:sz w:val="24"/>
          <w:szCs w:val="24"/>
        </w:rPr>
        <w:lastRenderedPageBreak/>
        <w:t xml:space="preserve">billing process </w:t>
      </w:r>
      <w:r w:rsidR="00933E8B">
        <w:rPr>
          <w:rFonts w:ascii="Arial" w:hAnsi="Arial" w:cs="Arial"/>
          <w:sz w:val="24"/>
          <w:szCs w:val="24"/>
        </w:rPr>
        <w:t xml:space="preserve">that will allow CRES providers to include non-jurisdictional </w:t>
      </w:r>
      <w:r w:rsidR="0009082F">
        <w:rPr>
          <w:rFonts w:ascii="Arial" w:hAnsi="Arial" w:cs="Arial"/>
          <w:sz w:val="24"/>
          <w:szCs w:val="24"/>
        </w:rPr>
        <w:t>products</w:t>
      </w:r>
      <w:r w:rsidR="00933E8B">
        <w:rPr>
          <w:rFonts w:ascii="Arial" w:hAnsi="Arial" w:cs="Arial"/>
          <w:sz w:val="24"/>
          <w:szCs w:val="24"/>
        </w:rPr>
        <w:t xml:space="preserve"> and services on AES Ohio’s consolidated utility bill.</w:t>
      </w:r>
      <w:r w:rsidR="00933E8B">
        <w:rPr>
          <w:rStyle w:val="FootnoteReference"/>
          <w:rFonts w:ascii="Arial" w:hAnsi="Arial" w:cs="Arial"/>
          <w:sz w:val="24"/>
          <w:szCs w:val="24"/>
        </w:rPr>
        <w:footnoteReference w:id="32"/>
      </w:r>
      <w:r w:rsidR="00933E8B">
        <w:rPr>
          <w:rFonts w:ascii="Arial" w:hAnsi="Arial" w:cs="Arial"/>
          <w:sz w:val="24"/>
          <w:szCs w:val="24"/>
        </w:rPr>
        <w:t xml:space="preserve"> </w:t>
      </w:r>
      <w:r w:rsidR="00E3634C">
        <w:rPr>
          <w:rFonts w:ascii="Arial" w:hAnsi="Arial" w:cs="Arial"/>
          <w:sz w:val="24"/>
          <w:szCs w:val="24"/>
        </w:rPr>
        <w:t xml:space="preserve">Therefore, IGS </w:t>
      </w:r>
      <w:r w:rsidR="00346A36">
        <w:rPr>
          <w:rFonts w:ascii="Arial" w:hAnsi="Arial" w:cs="Arial"/>
          <w:sz w:val="24"/>
          <w:szCs w:val="24"/>
        </w:rPr>
        <w:t xml:space="preserve">recommends that </w:t>
      </w:r>
      <w:r w:rsidR="000F0C04">
        <w:rPr>
          <w:rFonts w:ascii="Arial" w:hAnsi="Arial" w:cs="Arial"/>
          <w:sz w:val="24"/>
          <w:szCs w:val="24"/>
        </w:rPr>
        <w:t xml:space="preserve">AES Ohio and the </w:t>
      </w:r>
      <w:r w:rsidR="00346A36">
        <w:rPr>
          <w:rFonts w:ascii="Arial" w:hAnsi="Arial" w:cs="Arial"/>
          <w:sz w:val="24"/>
          <w:szCs w:val="24"/>
        </w:rPr>
        <w:t xml:space="preserve">Commission </w:t>
      </w:r>
      <w:r w:rsidR="00C72C9E">
        <w:rPr>
          <w:rFonts w:ascii="Arial" w:hAnsi="Arial" w:cs="Arial"/>
          <w:sz w:val="24"/>
          <w:szCs w:val="24"/>
        </w:rPr>
        <w:t xml:space="preserve">utilize that docket to </w:t>
      </w:r>
      <w:r w:rsidR="007D29BE">
        <w:rPr>
          <w:rFonts w:ascii="Arial" w:hAnsi="Arial" w:cs="Arial"/>
          <w:sz w:val="24"/>
          <w:szCs w:val="24"/>
        </w:rPr>
        <w:t xml:space="preserve">address any </w:t>
      </w:r>
      <w:r w:rsidR="00B842D4">
        <w:rPr>
          <w:rFonts w:ascii="Arial" w:hAnsi="Arial" w:cs="Arial"/>
          <w:sz w:val="24"/>
          <w:szCs w:val="24"/>
        </w:rPr>
        <w:t>implementation concerns.</w:t>
      </w:r>
      <w:r w:rsidR="007D29BE">
        <w:rPr>
          <w:rFonts w:ascii="Arial" w:hAnsi="Arial" w:cs="Arial"/>
          <w:sz w:val="24"/>
          <w:szCs w:val="24"/>
        </w:rPr>
        <w:t xml:space="preserve"> </w:t>
      </w:r>
    </w:p>
    <w:p w14:paraId="04AE58F3" w14:textId="67EB03E6" w:rsidR="005C3FAC" w:rsidRPr="0018207D" w:rsidRDefault="0018207D" w:rsidP="004240B4">
      <w:pPr>
        <w:spacing w:line="480" w:lineRule="auto"/>
        <w:jc w:val="both"/>
        <w:rPr>
          <w:rFonts w:ascii="Arial" w:hAnsi="Arial" w:cs="Arial"/>
          <w:b/>
          <w:sz w:val="24"/>
          <w:szCs w:val="24"/>
        </w:rPr>
      </w:pPr>
      <w:r>
        <w:rPr>
          <w:rFonts w:ascii="Arial" w:hAnsi="Arial" w:cs="Arial"/>
          <w:b/>
          <w:sz w:val="24"/>
          <w:szCs w:val="24"/>
        </w:rPr>
        <w:t xml:space="preserve">III. </w:t>
      </w:r>
      <w:r w:rsidR="005C3FAC" w:rsidRPr="0018207D">
        <w:rPr>
          <w:rFonts w:ascii="Arial" w:hAnsi="Arial" w:cs="Arial"/>
          <w:b/>
          <w:sz w:val="24"/>
          <w:szCs w:val="24"/>
        </w:rPr>
        <w:t>CONCLUSION</w:t>
      </w:r>
    </w:p>
    <w:p w14:paraId="2F971574" w14:textId="1F150CB8" w:rsidR="005C3FAC" w:rsidRPr="005C3FAC" w:rsidRDefault="005C3FAC" w:rsidP="005C3FAC">
      <w:pPr>
        <w:spacing w:line="480" w:lineRule="auto"/>
        <w:ind w:firstLine="720"/>
        <w:jc w:val="both"/>
        <w:rPr>
          <w:rFonts w:ascii="Arial" w:hAnsi="Arial" w:cs="Arial"/>
          <w:sz w:val="24"/>
          <w:szCs w:val="24"/>
        </w:rPr>
      </w:pPr>
      <w:r>
        <w:rPr>
          <w:rFonts w:ascii="Arial" w:hAnsi="Arial" w:cs="Arial"/>
          <w:sz w:val="24"/>
          <w:szCs w:val="24"/>
        </w:rPr>
        <w:t>For the reasons stated herein, IGS requests that the Commission</w:t>
      </w:r>
      <w:r w:rsidR="00AF2B9C">
        <w:rPr>
          <w:rFonts w:ascii="Arial" w:hAnsi="Arial" w:cs="Arial"/>
          <w:sz w:val="24"/>
          <w:szCs w:val="24"/>
        </w:rPr>
        <w:t xml:space="preserve"> deny </w:t>
      </w:r>
      <w:r w:rsidR="002F10A1">
        <w:rPr>
          <w:rFonts w:ascii="Arial" w:hAnsi="Arial" w:cs="Arial"/>
          <w:sz w:val="24"/>
          <w:szCs w:val="24"/>
        </w:rPr>
        <w:t>AES Ohio</w:t>
      </w:r>
      <w:r w:rsidR="00AF2B9C">
        <w:rPr>
          <w:rFonts w:ascii="Arial" w:hAnsi="Arial" w:cs="Arial"/>
          <w:sz w:val="24"/>
          <w:szCs w:val="24"/>
        </w:rPr>
        <w:t xml:space="preserve">’s </w:t>
      </w:r>
      <w:r w:rsidR="00872106">
        <w:rPr>
          <w:rFonts w:ascii="Arial" w:hAnsi="Arial" w:cs="Arial"/>
          <w:sz w:val="24"/>
          <w:szCs w:val="24"/>
        </w:rPr>
        <w:t>Second A</w:t>
      </w:r>
      <w:r w:rsidR="00AF2B9C">
        <w:rPr>
          <w:rFonts w:ascii="Arial" w:hAnsi="Arial" w:cs="Arial"/>
          <w:sz w:val="24"/>
          <w:szCs w:val="24"/>
        </w:rPr>
        <w:t xml:space="preserve">pplication for </w:t>
      </w:r>
      <w:r w:rsidR="00872106">
        <w:rPr>
          <w:rFonts w:ascii="Arial" w:hAnsi="Arial" w:cs="Arial"/>
          <w:sz w:val="24"/>
          <w:szCs w:val="24"/>
        </w:rPr>
        <w:t>R</w:t>
      </w:r>
      <w:r w:rsidR="00AF2B9C">
        <w:rPr>
          <w:rFonts w:ascii="Arial" w:hAnsi="Arial" w:cs="Arial"/>
          <w:sz w:val="24"/>
          <w:szCs w:val="24"/>
        </w:rPr>
        <w:t>ehearing</w:t>
      </w:r>
      <w:r w:rsidR="00872106">
        <w:rPr>
          <w:rFonts w:ascii="Arial" w:hAnsi="Arial" w:cs="Arial"/>
          <w:sz w:val="24"/>
          <w:szCs w:val="24"/>
        </w:rPr>
        <w:t xml:space="preserve">. </w:t>
      </w:r>
      <w:r w:rsidR="00860D0F">
        <w:rPr>
          <w:rFonts w:ascii="Arial" w:hAnsi="Arial" w:cs="Arial"/>
          <w:sz w:val="24"/>
          <w:szCs w:val="24"/>
        </w:rPr>
        <w:t xml:space="preserve"> </w:t>
      </w:r>
    </w:p>
    <w:p w14:paraId="606F6F1F" w14:textId="3EAC8EF5" w:rsidR="00403CF3" w:rsidRPr="00403CF3" w:rsidRDefault="005C3FAC" w:rsidP="00241F72">
      <w:pPr>
        <w:spacing w:line="48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r w:rsidR="00403CF3">
        <w:rPr>
          <w:rFonts w:ascii="Arial" w:hAnsi="Arial" w:cs="Arial"/>
          <w:sz w:val="24"/>
          <w:szCs w:val="24"/>
        </w:rPr>
        <w:t>,</w:t>
      </w:r>
    </w:p>
    <w:p w14:paraId="2E06DBB1" w14:textId="77777777" w:rsidR="00403CF3" w:rsidRPr="00403CF3" w:rsidRDefault="00403CF3" w:rsidP="00241F72">
      <w:pPr>
        <w:spacing w:after="0" w:line="240" w:lineRule="auto"/>
        <w:ind w:left="5040"/>
        <w:rPr>
          <w:rFonts w:ascii="Arial" w:hAnsi="Arial" w:cs="Arial"/>
          <w:sz w:val="24"/>
          <w:szCs w:val="24"/>
        </w:rPr>
      </w:pPr>
      <w:r w:rsidRPr="00403CF3">
        <w:rPr>
          <w:rFonts w:ascii="Arial" w:hAnsi="Arial" w:cs="Arial"/>
          <w:sz w:val="24"/>
          <w:szCs w:val="24"/>
        </w:rPr>
        <w:t>Bethany Allen (0093732)</w:t>
      </w:r>
    </w:p>
    <w:p w14:paraId="5826F090" w14:textId="77777777" w:rsidR="00403CF3" w:rsidRPr="00403CF3" w:rsidRDefault="00403CF3" w:rsidP="00241F72">
      <w:pPr>
        <w:spacing w:after="0" w:line="240" w:lineRule="auto"/>
        <w:ind w:left="5040"/>
        <w:rPr>
          <w:rFonts w:ascii="Arial" w:hAnsi="Arial" w:cs="Arial"/>
          <w:sz w:val="24"/>
          <w:szCs w:val="24"/>
        </w:rPr>
      </w:pPr>
      <w:r w:rsidRPr="00403CF3">
        <w:rPr>
          <w:rFonts w:ascii="Arial" w:hAnsi="Arial" w:cs="Arial"/>
          <w:sz w:val="24"/>
          <w:szCs w:val="24"/>
        </w:rPr>
        <w:t>Counsel of Record</w:t>
      </w:r>
    </w:p>
    <w:p w14:paraId="68E7A74A" w14:textId="7F879E25" w:rsidR="00403CF3" w:rsidRPr="00403CF3" w:rsidRDefault="0046445C" w:rsidP="00241F72">
      <w:pPr>
        <w:spacing w:after="0" w:line="240" w:lineRule="auto"/>
        <w:ind w:left="5040"/>
        <w:rPr>
          <w:rFonts w:ascii="Arial" w:hAnsi="Arial" w:cs="Arial"/>
          <w:sz w:val="24"/>
          <w:szCs w:val="24"/>
          <w:u w:val="single"/>
        </w:rPr>
      </w:pPr>
      <w:hyperlink r:id="rId11" w:history="1">
        <w:r w:rsidR="00241F72" w:rsidRPr="00385E30">
          <w:rPr>
            <w:rStyle w:val="Hyperlink"/>
            <w:rFonts w:ascii="Arial" w:hAnsi="Arial" w:cs="Arial"/>
            <w:sz w:val="24"/>
            <w:szCs w:val="24"/>
          </w:rPr>
          <w:t>bethany.allen@igs.com</w:t>
        </w:r>
      </w:hyperlink>
    </w:p>
    <w:p w14:paraId="1A09C011" w14:textId="77777777" w:rsidR="00403CF3" w:rsidRPr="00403CF3" w:rsidRDefault="00403CF3" w:rsidP="00241F72">
      <w:pPr>
        <w:spacing w:after="0" w:line="240" w:lineRule="auto"/>
        <w:ind w:left="5040"/>
        <w:rPr>
          <w:rFonts w:ascii="Arial" w:hAnsi="Arial" w:cs="Arial"/>
          <w:sz w:val="24"/>
          <w:szCs w:val="24"/>
        </w:rPr>
      </w:pPr>
      <w:r w:rsidRPr="00403CF3">
        <w:rPr>
          <w:rFonts w:ascii="Arial" w:hAnsi="Arial" w:cs="Arial"/>
          <w:sz w:val="24"/>
          <w:szCs w:val="24"/>
        </w:rPr>
        <w:t>Joseph Oliker (0086088)</w:t>
      </w:r>
    </w:p>
    <w:p w14:paraId="0319FB29" w14:textId="5FE893B2" w:rsidR="00403CF3" w:rsidRPr="00403CF3" w:rsidRDefault="0046445C" w:rsidP="00241F72">
      <w:pPr>
        <w:spacing w:after="0" w:line="240" w:lineRule="auto"/>
        <w:ind w:left="5040"/>
        <w:rPr>
          <w:rFonts w:ascii="Arial" w:hAnsi="Arial" w:cs="Arial"/>
          <w:sz w:val="24"/>
          <w:szCs w:val="24"/>
        </w:rPr>
      </w:pPr>
      <w:hyperlink r:id="rId12" w:history="1">
        <w:r w:rsidR="00241F72" w:rsidRPr="00385E30">
          <w:rPr>
            <w:rStyle w:val="Hyperlink"/>
            <w:rFonts w:ascii="Arial" w:hAnsi="Arial" w:cs="Arial"/>
            <w:sz w:val="24"/>
            <w:szCs w:val="24"/>
          </w:rPr>
          <w:t>joe.oliker@igs.com</w:t>
        </w:r>
      </w:hyperlink>
    </w:p>
    <w:p w14:paraId="16C5031A" w14:textId="77777777" w:rsidR="00403CF3" w:rsidRPr="00403CF3" w:rsidRDefault="00403CF3" w:rsidP="00241F72">
      <w:pPr>
        <w:spacing w:after="0" w:line="240" w:lineRule="auto"/>
        <w:ind w:left="5040"/>
        <w:rPr>
          <w:rFonts w:ascii="Arial" w:hAnsi="Arial" w:cs="Arial"/>
          <w:sz w:val="24"/>
          <w:szCs w:val="24"/>
        </w:rPr>
      </w:pPr>
      <w:r w:rsidRPr="00403CF3">
        <w:rPr>
          <w:rFonts w:ascii="Arial" w:hAnsi="Arial" w:cs="Arial"/>
          <w:sz w:val="24"/>
          <w:szCs w:val="24"/>
        </w:rPr>
        <w:t>Michael Nugent (0090408)</w:t>
      </w:r>
    </w:p>
    <w:p w14:paraId="1F14C08F" w14:textId="450724FD" w:rsidR="00403CF3" w:rsidRPr="00403CF3" w:rsidRDefault="0046445C" w:rsidP="00241F72">
      <w:pPr>
        <w:spacing w:after="0" w:line="240" w:lineRule="auto"/>
        <w:ind w:left="5040"/>
        <w:rPr>
          <w:rFonts w:ascii="Arial" w:hAnsi="Arial" w:cs="Arial"/>
          <w:sz w:val="24"/>
          <w:szCs w:val="24"/>
          <w:u w:val="single"/>
        </w:rPr>
      </w:pPr>
      <w:hyperlink r:id="rId13" w:history="1">
        <w:r w:rsidR="00241F72" w:rsidRPr="00385E30">
          <w:rPr>
            <w:rStyle w:val="Hyperlink"/>
            <w:rFonts w:ascii="Arial" w:hAnsi="Arial" w:cs="Arial"/>
            <w:sz w:val="24"/>
            <w:szCs w:val="24"/>
          </w:rPr>
          <w:t>michael.nugent@igs.com</w:t>
        </w:r>
      </w:hyperlink>
    </w:p>
    <w:p w14:paraId="7A2BFCB2" w14:textId="78D59F89" w:rsidR="00403CF3" w:rsidRPr="00403CF3" w:rsidRDefault="00403CF3" w:rsidP="00241F72">
      <w:pPr>
        <w:spacing w:after="0" w:line="240" w:lineRule="auto"/>
        <w:ind w:left="5040"/>
        <w:rPr>
          <w:rFonts w:ascii="Arial" w:hAnsi="Arial" w:cs="Arial"/>
          <w:sz w:val="24"/>
          <w:szCs w:val="24"/>
        </w:rPr>
      </w:pPr>
      <w:r w:rsidRPr="00403CF3">
        <w:rPr>
          <w:rFonts w:ascii="Arial" w:hAnsi="Arial" w:cs="Arial"/>
          <w:sz w:val="24"/>
          <w:szCs w:val="24"/>
        </w:rPr>
        <w:t>Evan Betterton</w:t>
      </w:r>
      <w:r>
        <w:rPr>
          <w:rFonts w:ascii="Arial" w:hAnsi="Arial" w:cs="Arial"/>
          <w:sz w:val="24"/>
          <w:szCs w:val="24"/>
        </w:rPr>
        <w:t xml:space="preserve"> (0100089)</w:t>
      </w:r>
    </w:p>
    <w:p w14:paraId="048A3533" w14:textId="77777777" w:rsidR="00403CF3" w:rsidRPr="00403CF3" w:rsidRDefault="00403CF3" w:rsidP="00241F72">
      <w:pPr>
        <w:spacing w:after="0" w:line="240" w:lineRule="auto"/>
        <w:ind w:left="5040"/>
        <w:rPr>
          <w:rFonts w:ascii="Arial" w:hAnsi="Arial" w:cs="Arial"/>
          <w:sz w:val="24"/>
          <w:szCs w:val="24"/>
          <w:u w:val="single"/>
        </w:rPr>
      </w:pPr>
      <w:r w:rsidRPr="00403CF3">
        <w:rPr>
          <w:rFonts w:ascii="Arial" w:hAnsi="Arial" w:cs="Arial"/>
          <w:sz w:val="24"/>
          <w:szCs w:val="24"/>
          <w:u w:val="single"/>
        </w:rPr>
        <w:t>Evan.betterton@igs.com</w:t>
      </w:r>
    </w:p>
    <w:p w14:paraId="452794CF" w14:textId="77777777" w:rsidR="00403CF3" w:rsidRPr="00403CF3" w:rsidRDefault="00403CF3" w:rsidP="00241F72">
      <w:pPr>
        <w:spacing w:after="0" w:line="240" w:lineRule="auto"/>
        <w:ind w:left="5040"/>
        <w:rPr>
          <w:rFonts w:ascii="Arial" w:hAnsi="Arial" w:cs="Arial"/>
          <w:sz w:val="24"/>
          <w:szCs w:val="24"/>
        </w:rPr>
      </w:pPr>
      <w:r w:rsidRPr="00403CF3">
        <w:rPr>
          <w:rFonts w:ascii="Arial" w:hAnsi="Arial" w:cs="Arial"/>
          <w:sz w:val="24"/>
          <w:szCs w:val="24"/>
        </w:rPr>
        <w:t>IGS Energy</w:t>
      </w:r>
    </w:p>
    <w:p w14:paraId="1A849448" w14:textId="77777777" w:rsidR="00403CF3" w:rsidRPr="00403CF3" w:rsidRDefault="00403CF3" w:rsidP="00241F72">
      <w:pPr>
        <w:spacing w:after="0" w:line="240" w:lineRule="auto"/>
        <w:ind w:left="5040"/>
        <w:rPr>
          <w:rFonts w:ascii="Arial" w:hAnsi="Arial" w:cs="Arial"/>
          <w:sz w:val="24"/>
          <w:szCs w:val="24"/>
        </w:rPr>
      </w:pPr>
      <w:r w:rsidRPr="00403CF3">
        <w:rPr>
          <w:rFonts w:ascii="Arial" w:hAnsi="Arial" w:cs="Arial"/>
          <w:sz w:val="24"/>
          <w:szCs w:val="24"/>
        </w:rPr>
        <w:t>6100 Emerald Parkway</w:t>
      </w:r>
    </w:p>
    <w:p w14:paraId="6B3941C8" w14:textId="77777777" w:rsidR="00403CF3" w:rsidRPr="00403CF3" w:rsidRDefault="00403CF3" w:rsidP="00241F72">
      <w:pPr>
        <w:spacing w:after="0" w:line="240" w:lineRule="auto"/>
        <w:ind w:left="5040"/>
        <w:rPr>
          <w:rFonts w:ascii="Arial" w:hAnsi="Arial" w:cs="Arial"/>
          <w:sz w:val="24"/>
          <w:szCs w:val="24"/>
        </w:rPr>
      </w:pPr>
      <w:r w:rsidRPr="00403CF3">
        <w:rPr>
          <w:rFonts w:ascii="Arial" w:hAnsi="Arial" w:cs="Arial"/>
          <w:sz w:val="24"/>
          <w:szCs w:val="24"/>
        </w:rPr>
        <w:t>Dublin, Ohio 43016</w:t>
      </w:r>
    </w:p>
    <w:p w14:paraId="252E9DAB" w14:textId="23BFBFC3" w:rsidR="005C3FAC" w:rsidRPr="005C3FAC" w:rsidRDefault="00403CF3" w:rsidP="00241F72">
      <w:pPr>
        <w:spacing w:after="0" w:line="240" w:lineRule="auto"/>
        <w:ind w:left="5040"/>
        <w:rPr>
          <w:rFonts w:ascii="Arial" w:hAnsi="Arial" w:cs="Arial"/>
          <w:sz w:val="24"/>
          <w:szCs w:val="24"/>
        </w:rPr>
      </w:pPr>
      <w:r w:rsidRPr="00403CF3">
        <w:rPr>
          <w:rFonts w:ascii="Arial" w:hAnsi="Arial" w:cs="Arial"/>
          <w:sz w:val="24"/>
          <w:szCs w:val="24"/>
        </w:rPr>
        <w:t>Telephone:</w:t>
      </w:r>
      <w:r w:rsidRPr="00403CF3">
        <w:rPr>
          <w:rFonts w:ascii="Arial" w:hAnsi="Arial" w:cs="Arial"/>
          <w:sz w:val="24"/>
          <w:szCs w:val="24"/>
        </w:rPr>
        <w:tab/>
        <w:t>(614) 659-5000</w:t>
      </w:r>
      <w:r>
        <w:rPr>
          <w:rFonts w:ascii="Arial" w:hAnsi="Arial" w:cs="Arial"/>
          <w:sz w:val="24"/>
          <w:szCs w:val="24"/>
        </w:rPr>
        <w:t xml:space="preserve"> </w:t>
      </w:r>
    </w:p>
    <w:p w14:paraId="086370AE" w14:textId="77777777" w:rsidR="005C3FAC" w:rsidRPr="005C3FAC" w:rsidRDefault="005C3FAC" w:rsidP="00241F72">
      <w:pPr>
        <w:spacing w:after="0" w:line="240" w:lineRule="auto"/>
        <w:ind w:left="10080"/>
        <w:rPr>
          <w:rFonts w:ascii="Arial" w:hAnsi="Arial" w:cs="Arial"/>
          <w:sz w:val="24"/>
          <w:szCs w:val="24"/>
        </w:rPr>
      </w:pPr>
    </w:p>
    <w:p w14:paraId="69E68898" w14:textId="0E2C5EFB" w:rsidR="005C3FAC" w:rsidRDefault="005C3FAC" w:rsidP="00241F72">
      <w:pPr>
        <w:spacing w:after="0" w:line="240" w:lineRule="auto"/>
        <w:ind w:left="5040"/>
        <w:rPr>
          <w:rFonts w:ascii="Arial" w:hAnsi="Arial" w:cs="Arial"/>
          <w:b/>
          <w:i/>
          <w:sz w:val="24"/>
          <w:szCs w:val="24"/>
        </w:rPr>
      </w:pPr>
      <w:r w:rsidRPr="005C3FAC">
        <w:rPr>
          <w:rFonts w:ascii="Arial" w:hAnsi="Arial" w:cs="Arial"/>
          <w:b/>
          <w:i/>
          <w:sz w:val="24"/>
          <w:szCs w:val="24"/>
        </w:rPr>
        <w:t>Attorneys for IGS Energy</w:t>
      </w:r>
    </w:p>
    <w:p w14:paraId="3213F0C8" w14:textId="3E22E8FC" w:rsidR="00A67A4D" w:rsidRPr="00241F72" w:rsidRDefault="00403CF3" w:rsidP="00241F72">
      <w:pPr>
        <w:spacing w:after="0" w:line="240" w:lineRule="auto"/>
        <w:ind w:left="5040"/>
        <w:rPr>
          <w:rFonts w:ascii="Arial" w:hAnsi="Arial" w:cs="Arial"/>
          <w:bCs/>
          <w:i/>
          <w:sz w:val="20"/>
          <w:szCs w:val="20"/>
        </w:rPr>
      </w:pPr>
      <w:r w:rsidRPr="00403CF3">
        <w:rPr>
          <w:rFonts w:ascii="Arial" w:hAnsi="Arial" w:cs="Arial"/>
          <w:bCs/>
          <w:i/>
          <w:sz w:val="20"/>
          <w:szCs w:val="20"/>
        </w:rPr>
        <w:t>(willing to accept service via email</w:t>
      </w:r>
      <w:r w:rsidR="00241F72">
        <w:rPr>
          <w:rFonts w:ascii="Arial" w:hAnsi="Arial" w:cs="Arial"/>
          <w:bCs/>
          <w:i/>
          <w:sz w:val="20"/>
          <w:szCs w:val="20"/>
        </w:rPr>
        <w:t>)</w:t>
      </w:r>
    </w:p>
    <w:p w14:paraId="34EAE75B" w14:textId="77777777" w:rsidR="004240B4" w:rsidRDefault="00A03284" w:rsidP="00923FCA">
      <w:pPr>
        <w:spacing w:after="0" w:line="240" w:lineRule="auto"/>
        <w:jc w:val="center"/>
        <w:rPr>
          <w:rFonts w:ascii="Arial" w:hAnsi="Arial" w:cs="Arial"/>
          <w:sz w:val="24"/>
          <w:szCs w:val="24"/>
        </w:rPr>
      </w:pPr>
      <w:r>
        <w:rPr>
          <w:rFonts w:ascii="Arial" w:hAnsi="Arial" w:cs="Arial"/>
          <w:sz w:val="24"/>
          <w:szCs w:val="24"/>
        </w:rPr>
        <w:t xml:space="preserve"> </w:t>
      </w:r>
    </w:p>
    <w:p w14:paraId="3544A7D0" w14:textId="77777777" w:rsidR="004240B4" w:rsidRDefault="004240B4">
      <w:pPr>
        <w:rPr>
          <w:rFonts w:ascii="Arial" w:hAnsi="Arial" w:cs="Arial"/>
          <w:sz w:val="24"/>
          <w:szCs w:val="24"/>
        </w:rPr>
      </w:pPr>
      <w:r>
        <w:rPr>
          <w:rFonts w:ascii="Arial" w:hAnsi="Arial" w:cs="Arial"/>
          <w:sz w:val="24"/>
          <w:szCs w:val="24"/>
        </w:rPr>
        <w:br w:type="page"/>
      </w:r>
    </w:p>
    <w:p w14:paraId="6A3D2FDF" w14:textId="32BA6F18" w:rsidR="00923FCA" w:rsidRPr="009D71F6" w:rsidRDefault="00923FCA" w:rsidP="00923FCA">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48625C28" w14:textId="77777777" w:rsidR="00923FCA" w:rsidRPr="009D71F6" w:rsidRDefault="00923FCA" w:rsidP="00923FCA">
      <w:pPr>
        <w:spacing w:after="0" w:line="240" w:lineRule="auto"/>
        <w:jc w:val="center"/>
        <w:rPr>
          <w:rFonts w:ascii="Arial" w:eastAsia="Arial" w:hAnsi="Arial" w:cs="Arial"/>
          <w:b/>
          <w:sz w:val="24"/>
          <w:szCs w:val="24"/>
          <w:u w:val="single"/>
        </w:rPr>
      </w:pPr>
    </w:p>
    <w:p w14:paraId="00764978" w14:textId="3ABDE181" w:rsidR="00923FCA" w:rsidRPr="009D71F6" w:rsidRDefault="00923FCA" w:rsidP="00923FCA">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The undersigned hereby certifies that a copy of the foregoing</w:t>
      </w:r>
      <w:r w:rsidRPr="00850AFA">
        <w:rPr>
          <w:rFonts w:ascii="Arial" w:eastAsia="Calibri" w:hAnsi="Arial" w:cs="Arial"/>
          <w:i/>
          <w:sz w:val="24"/>
          <w:szCs w:val="24"/>
        </w:rPr>
        <w:t xml:space="preserve"> </w:t>
      </w:r>
      <w:r w:rsidR="0000145B">
        <w:rPr>
          <w:rFonts w:ascii="Arial" w:eastAsia="Calibri" w:hAnsi="Arial" w:cs="Arial"/>
          <w:i/>
          <w:sz w:val="24"/>
          <w:szCs w:val="24"/>
        </w:rPr>
        <w:t xml:space="preserve">Interstate Gas Supply, Inc.’s </w:t>
      </w:r>
      <w:r w:rsidR="00E80273">
        <w:rPr>
          <w:rFonts w:ascii="Arial" w:eastAsia="Calibri" w:hAnsi="Arial" w:cs="Arial"/>
          <w:i/>
          <w:sz w:val="24"/>
          <w:szCs w:val="24"/>
        </w:rPr>
        <w:t>Memorandum Contra</w:t>
      </w:r>
      <w:r w:rsidRPr="00850AFA">
        <w:rPr>
          <w:rFonts w:ascii="Arial" w:eastAsia="Calibri" w:hAnsi="Arial" w:cs="Arial"/>
          <w:i/>
          <w:sz w:val="24"/>
          <w:szCs w:val="24"/>
        </w:rPr>
        <w:t xml:space="preserve"> </w:t>
      </w:r>
      <w:r w:rsidR="00E80273">
        <w:rPr>
          <w:rFonts w:ascii="Arial" w:eastAsia="Calibri" w:hAnsi="Arial" w:cs="Arial"/>
          <w:i/>
          <w:sz w:val="24"/>
          <w:szCs w:val="24"/>
        </w:rPr>
        <w:t xml:space="preserve">Application for Rehearing of </w:t>
      </w:r>
      <w:r w:rsidR="00241F72">
        <w:rPr>
          <w:rFonts w:ascii="Arial" w:eastAsia="Calibri" w:hAnsi="Arial" w:cs="Arial"/>
          <w:i/>
          <w:sz w:val="24"/>
          <w:szCs w:val="24"/>
        </w:rPr>
        <w:t>T</w:t>
      </w:r>
      <w:r w:rsidR="00E80273">
        <w:rPr>
          <w:rFonts w:ascii="Arial" w:eastAsia="Calibri" w:hAnsi="Arial" w:cs="Arial"/>
          <w:i/>
          <w:sz w:val="24"/>
          <w:szCs w:val="24"/>
        </w:rPr>
        <w:t xml:space="preserve">he </w:t>
      </w:r>
      <w:r w:rsidR="00403CF3">
        <w:rPr>
          <w:rFonts w:ascii="Arial" w:eastAsia="Calibri" w:hAnsi="Arial" w:cs="Arial"/>
          <w:i/>
          <w:sz w:val="24"/>
          <w:szCs w:val="24"/>
        </w:rPr>
        <w:t>Dayton Power and Light Company</w:t>
      </w:r>
      <w:r w:rsidRPr="009D71F6">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Pr>
          <w:rFonts w:ascii="Arial" w:eastAsia="Calibri" w:hAnsi="Arial" w:cs="Arial"/>
          <w:sz w:val="24"/>
          <w:szCs w:val="24"/>
        </w:rPr>
        <w:t>8th</w:t>
      </w:r>
      <w:r w:rsidRPr="009D71F6">
        <w:rPr>
          <w:rFonts w:ascii="Arial" w:eastAsia="Calibri" w:hAnsi="Arial" w:cs="Arial"/>
          <w:sz w:val="24"/>
          <w:szCs w:val="24"/>
        </w:rPr>
        <w:t xml:space="preserve"> day of </w:t>
      </w:r>
      <w:r w:rsidR="00403CF3">
        <w:rPr>
          <w:rFonts w:ascii="Arial" w:eastAsia="Calibri" w:hAnsi="Arial" w:cs="Arial"/>
          <w:sz w:val="24"/>
          <w:szCs w:val="24"/>
        </w:rPr>
        <w:t>March</w:t>
      </w:r>
      <w:r>
        <w:rPr>
          <w:rFonts w:ascii="Arial" w:eastAsia="Calibri" w:hAnsi="Arial" w:cs="Arial"/>
          <w:sz w:val="24"/>
          <w:szCs w:val="24"/>
        </w:rPr>
        <w:t xml:space="preserve"> 2</w:t>
      </w:r>
      <w:r w:rsidR="00403CF3">
        <w:rPr>
          <w:rFonts w:ascii="Arial" w:eastAsia="Calibri" w:hAnsi="Arial" w:cs="Arial"/>
          <w:sz w:val="24"/>
          <w:szCs w:val="24"/>
        </w:rPr>
        <w:t>021</w:t>
      </w:r>
      <w:r w:rsidRPr="009D71F6">
        <w:rPr>
          <w:rFonts w:ascii="Arial" w:eastAsia="Calibri" w:hAnsi="Arial" w:cs="Arial"/>
          <w:sz w:val="24"/>
          <w:szCs w:val="24"/>
        </w:rPr>
        <w:t xml:space="preserve"> via electronic mail upon the following:</w:t>
      </w:r>
    </w:p>
    <w:p w14:paraId="54ED3963" w14:textId="77777777" w:rsidR="00923FCA" w:rsidRPr="009D71F6" w:rsidRDefault="00923FCA" w:rsidP="00923FCA">
      <w:pPr>
        <w:spacing w:after="0" w:line="240" w:lineRule="auto"/>
        <w:jc w:val="both"/>
        <w:rPr>
          <w:rFonts w:ascii="Arial" w:eastAsia="Calibri" w:hAnsi="Arial" w:cs="Arial"/>
          <w:sz w:val="24"/>
          <w:szCs w:val="24"/>
        </w:rPr>
      </w:pPr>
    </w:p>
    <w:p w14:paraId="2BBF7F08" w14:textId="77777777" w:rsidR="00923FCA" w:rsidRPr="009D71F6" w:rsidRDefault="00923FCA" w:rsidP="00923FCA">
      <w:pPr>
        <w:spacing w:after="0" w:line="240" w:lineRule="auto"/>
        <w:jc w:val="both"/>
        <w:rPr>
          <w:rFonts w:ascii="Arial" w:eastAsia="Arial" w:hAnsi="Arial" w:cs="Arial"/>
          <w:sz w:val="24"/>
          <w:szCs w:val="24"/>
        </w:rPr>
      </w:pPr>
    </w:p>
    <w:p w14:paraId="6C7922B5" w14:textId="77777777" w:rsidR="00923FCA" w:rsidRPr="009D71F6" w:rsidRDefault="00923FCA" w:rsidP="00923FCA">
      <w:pPr>
        <w:spacing w:after="0" w:line="240" w:lineRule="auto"/>
        <w:jc w:val="both"/>
        <w:rPr>
          <w:rFonts w:ascii="Arial" w:eastAsia="Arial" w:hAnsi="Arial" w:cs="Arial"/>
          <w:sz w:val="24"/>
          <w:szCs w:val="24"/>
        </w:rPr>
      </w:pPr>
    </w:p>
    <w:p w14:paraId="7E355A8F" w14:textId="1C7B3651" w:rsidR="00923FCA" w:rsidRPr="009D71F6" w:rsidRDefault="00923FCA" w:rsidP="00923FCA">
      <w:pPr>
        <w:spacing w:after="0" w:line="240" w:lineRule="auto"/>
        <w:ind w:left="5040" w:firstLine="720"/>
        <w:rPr>
          <w:rFonts w:ascii="Arial" w:eastAsia="Calibri" w:hAnsi="Arial" w:cs="Arial"/>
          <w:sz w:val="24"/>
          <w:szCs w:val="24"/>
          <w:u w:val="single"/>
        </w:rPr>
      </w:pPr>
      <w:r w:rsidRPr="009D71F6">
        <w:rPr>
          <w:rFonts w:ascii="Arial" w:eastAsia="Arial" w:hAnsi="Arial" w:cs="Arial"/>
          <w:i/>
          <w:sz w:val="24"/>
          <w:szCs w:val="24"/>
          <w:u w:val="single"/>
        </w:rPr>
        <w:t xml:space="preserve">/s/ </w:t>
      </w:r>
      <w:r w:rsidR="00403CF3">
        <w:rPr>
          <w:rFonts w:ascii="Arial" w:eastAsia="Arial" w:hAnsi="Arial" w:cs="Arial"/>
          <w:i/>
          <w:sz w:val="24"/>
          <w:szCs w:val="24"/>
          <w:u w:val="single"/>
        </w:rPr>
        <w:t>Bethany Allen</w:t>
      </w:r>
    </w:p>
    <w:p w14:paraId="5FE013DD" w14:textId="269227AA" w:rsidR="00923FCA" w:rsidRPr="009D71F6" w:rsidRDefault="00403CF3" w:rsidP="00923FCA">
      <w:pPr>
        <w:spacing w:after="0" w:line="240" w:lineRule="auto"/>
        <w:ind w:left="5040" w:firstLine="720"/>
        <w:rPr>
          <w:rFonts w:ascii="Arial" w:hAnsi="Arial" w:cs="Arial"/>
          <w:sz w:val="24"/>
          <w:szCs w:val="24"/>
        </w:rPr>
      </w:pPr>
      <w:r>
        <w:rPr>
          <w:rFonts w:ascii="Arial" w:hAnsi="Arial" w:cs="Arial"/>
          <w:sz w:val="24"/>
          <w:szCs w:val="24"/>
        </w:rPr>
        <w:t>Bethany Allen</w:t>
      </w:r>
    </w:p>
    <w:p w14:paraId="3266DF20" w14:textId="77777777" w:rsidR="00923FCA" w:rsidRDefault="00923FCA" w:rsidP="00923FCA">
      <w:pPr>
        <w:autoSpaceDE w:val="0"/>
        <w:autoSpaceDN w:val="0"/>
        <w:adjustRightInd w:val="0"/>
        <w:spacing w:after="0" w:line="240" w:lineRule="auto"/>
        <w:rPr>
          <w:rFonts w:ascii="Arial" w:hAnsi="Arial" w:cs="Arial"/>
          <w:sz w:val="24"/>
          <w:szCs w:val="24"/>
        </w:rPr>
      </w:pPr>
    </w:p>
    <w:p w14:paraId="2F8AA04C" w14:textId="77777777" w:rsidR="00923FCA" w:rsidRDefault="00923FCA" w:rsidP="00923FCA">
      <w:pPr>
        <w:autoSpaceDE w:val="0"/>
        <w:autoSpaceDN w:val="0"/>
        <w:adjustRightInd w:val="0"/>
        <w:spacing w:after="0" w:line="240" w:lineRule="auto"/>
        <w:rPr>
          <w:rFonts w:ascii="Arial" w:hAnsi="Arial" w:cs="Arial"/>
          <w:sz w:val="24"/>
          <w:szCs w:val="24"/>
        </w:rPr>
      </w:pPr>
    </w:p>
    <w:p w14:paraId="174CBC6B"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amy.botschner.obrien@occ.ohio.gov</w:t>
      </w:r>
    </w:p>
    <w:p w14:paraId="70107DE5"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bojko@carpenterlipps.com</w:t>
      </w:r>
    </w:p>
    <w:p w14:paraId="43BAB898"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cmblend@</w:t>
      </w:r>
      <w:bookmarkStart w:id="0" w:name="_GoBack"/>
      <w:r w:rsidRPr="00DC3E4B">
        <w:rPr>
          <w:rFonts w:ascii="Arial" w:hAnsi="Arial" w:cs="Arial"/>
          <w:sz w:val="24"/>
          <w:szCs w:val="24"/>
        </w:rPr>
        <w:t>aep</w:t>
      </w:r>
      <w:bookmarkEnd w:id="0"/>
      <w:r w:rsidRPr="00DC3E4B">
        <w:rPr>
          <w:rFonts w:ascii="Arial" w:hAnsi="Arial" w:cs="Arial"/>
          <w:sz w:val="24"/>
          <w:szCs w:val="24"/>
        </w:rPr>
        <w:t>.com</w:t>
      </w:r>
    </w:p>
    <w:p w14:paraId="6D48898A"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cwatchorn@firstenergycorp.com</w:t>
      </w:r>
    </w:p>
    <w:p w14:paraId="12D169AC"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edanford@firstenergycorp.com</w:t>
      </w:r>
    </w:p>
    <w:p w14:paraId="06CFACC0"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fykes@whitt-sturtevant.com</w:t>
      </w:r>
    </w:p>
    <w:p w14:paraId="215A15E8"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john.jones@ohioattorneygeneral.gov</w:t>
      </w:r>
    </w:p>
    <w:p w14:paraId="18072BB7" w14:textId="02EEEAFB"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khehmeyer@</w:t>
      </w:r>
      <w:r w:rsidR="004E3534">
        <w:rPr>
          <w:rFonts w:ascii="Arial" w:hAnsi="Arial" w:cs="Arial"/>
          <w:sz w:val="24"/>
          <w:szCs w:val="24"/>
        </w:rPr>
        <w:t>beneschlaw.</w:t>
      </w:r>
      <w:r w:rsidR="004E3534" w:rsidRPr="00DC3E4B">
        <w:rPr>
          <w:rFonts w:ascii="Arial" w:hAnsi="Arial" w:cs="Arial"/>
          <w:sz w:val="24"/>
          <w:szCs w:val="24"/>
        </w:rPr>
        <w:t>com</w:t>
      </w:r>
    </w:p>
    <w:p w14:paraId="6624DB6D"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larisa.vaysman@duke-energy.com</w:t>
      </w:r>
    </w:p>
    <w:p w14:paraId="2F02DD89"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paul@carpenterlipps.com</w:t>
      </w:r>
    </w:p>
    <w:p w14:paraId="1BF98AB1"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rdove@keglerbrown.com</w:t>
      </w:r>
    </w:p>
    <w:p w14:paraId="4F4A6B70"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rendris@firstenergycorp.com</w:t>
      </w:r>
    </w:p>
    <w:p w14:paraId="750877EF" w14:textId="77777777" w:rsidR="00DC3E4B" w:rsidRPr="00DC3E4B" w:rsidRDefault="00DC3E4B" w:rsidP="00DC3E4B">
      <w:pPr>
        <w:autoSpaceDE w:val="0"/>
        <w:autoSpaceDN w:val="0"/>
        <w:adjustRightInd w:val="0"/>
        <w:spacing w:after="0" w:line="240" w:lineRule="auto"/>
        <w:rPr>
          <w:rFonts w:ascii="Arial" w:hAnsi="Arial" w:cs="Arial"/>
          <w:sz w:val="24"/>
          <w:szCs w:val="24"/>
        </w:rPr>
      </w:pPr>
      <w:proofErr w:type="gramStart"/>
      <w:r w:rsidRPr="00DC3E4B">
        <w:rPr>
          <w:rFonts w:ascii="Arial" w:hAnsi="Arial" w:cs="Arial"/>
          <w:sz w:val="24"/>
          <w:szCs w:val="24"/>
        </w:rPr>
        <w:t>rocco.d’ascenzo</w:t>
      </w:r>
      <w:proofErr w:type="gramEnd"/>
      <w:r w:rsidRPr="00DC3E4B">
        <w:rPr>
          <w:rFonts w:ascii="Arial" w:hAnsi="Arial" w:cs="Arial"/>
          <w:sz w:val="24"/>
          <w:szCs w:val="24"/>
        </w:rPr>
        <w:t>@duke-energy.com</w:t>
      </w:r>
    </w:p>
    <w:p w14:paraId="24A6F904" w14:textId="4A6D769C"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scasto@firstenergycorp.com</w:t>
      </w:r>
    </w:p>
    <w:p w14:paraId="34ABE106" w14:textId="77777777"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stnourse@aep.com</w:t>
      </w:r>
    </w:p>
    <w:p w14:paraId="40E48376" w14:textId="64B7D8FD" w:rsidR="00DC3E4B" w:rsidRPr="00DC3E4B"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talexander@</w:t>
      </w:r>
      <w:r w:rsidR="004E3534">
        <w:rPr>
          <w:rFonts w:ascii="Arial" w:hAnsi="Arial" w:cs="Arial"/>
          <w:sz w:val="24"/>
          <w:szCs w:val="24"/>
        </w:rPr>
        <w:t>beneschlaw.</w:t>
      </w:r>
      <w:r w:rsidRPr="00DC3E4B">
        <w:rPr>
          <w:rFonts w:ascii="Arial" w:hAnsi="Arial" w:cs="Arial"/>
          <w:sz w:val="24"/>
          <w:szCs w:val="24"/>
        </w:rPr>
        <w:t>com</w:t>
      </w:r>
    </w:p>
    <w:p w14:paraId="2C78CF00" w14:textId="19942F5E" w:rsidR="00923FCA" w:rsidRDefault="00DC3E4B" w:rsidP="00DC3E4B">
      <w:pPr>
        <w:autoSpaceDE w:val="0"/>
        <w:autoSpaceDN w:val="0"/>
        <w:adjustRightInd w:val="0"/>
        <w:spacing w:after="0" w:line="240" w:lineRule="auto"/>
        <w:rPr>
          <w:rFonts w:ascii="Arial" w:hAnsi="Arial" w:cs="Arial"/>
          <w:sz w:val="24"/>
          <w:szCs w:val="24"/>
        </w:rPr>
      </w:pPr>
      <w:r w:rsidRPr="00DC3E4B">
        <w:rPr>
          <w:rFonts w:ascii="Arial" w:hAnsi="Arial" w:cs="Arial"/>
          <w:sz w:val="24"/>
          <w:szCs w:val="24"/>
        </w:rPr>
        <w:t>whitt@whitt-sturtevant.com</w:t>
      </w:r>
    </w:p>
    <w:p w14:paraId="31A9EB0C" w14:textId="77777777" w:rsidR="00923FCA" w:rsidRDefault="00923FCA" w:rsidP="00923FCA">
      <w:pPr>
        <w:autoSpaceDE w:val="0"/>
        <w:autoSpaceDN w:val="0"/>
        <w:adjustRightInd w:val="0"/>
        <w:spacing w:after="0" w:line="240" w:lineRule="auto"/>
        <w:rPr>
          <w:rFonts w:ascii="Arial" w:hAnsi="Arial" w:cs="Arial"/>
          <w:sz w:val="24"/>
          <w:szCs w:val="24"/>
        </w:rPr>
      </w:pPr>
    </w:p>
    <w:p w14:paraId="5EAB001A" w14:textId="77777777" w:rsidR="00923FCA" w:rsidRDefault="00923FCA" w:rsidP="00923FCA">
      <w:pPr>
        <w:autoSpaceDE w:val="0"/>
        <w:autoSpaceDN w:val="0"/>
        <w:adjustRightInd w:val="0"/>
        <w:spacing w:after="0" w:line="240" w:lineRule="auto"/>
        <w:rPr>
          <w:rFonts w:ascii="Arial" w:hAnsi="Arial" w:cs="Arial"/>
          <w:sz w:val="24"/>
          <w:szCs w:val="24"/>
        </w:rPr>
      </w:pPr>
    </w:p>
    <w:p w14:paraId="612FCFFE" w14:textId="77777777" w:rsidR="00923FCA" w:rsidRDefault="00923FCA" w:rsidP="00923FCA">
      <w:pPr>
        <w:autoSpaceDE w:val="0"/>
        <w:autoSpaceDN w:val="0"/>
        <w:adjustRightInd w:val="0"/>
        <w:spacing w:after="0" w:line="240" w:lineRule="auto"/>
        <w:rPr>
          <w:rFonts w:ascii="Arial" w:hAnsi="Arial" w:cs="Arial"/>
          <w:sz w:val="24"/>
          <w:szCs w:val="24"/>
        </w:rPr>
      </w:pPr>
    </w:p>
    <w:p w14:paraId="1593045A" w14:textId="77777777" w:rsidR="00FE7265" w:rsidRPr="00A10456" w:rsidRDefault="00A10456" w:rsidP="00FE7265">
      <w:pPr>
        <w:rPr>
          <w:rFonts w:ascii="Arial" w:hAnsi="Arial" w:cs="Arial"/>
          <w:sz w:val="24"/>
          <w:szCs w:val="24"/>
        </w:rPr>
      </w:pPr>
      <w:r w:rsidRPr="00A10456">
        <w:rPr>
          <w:rFonts w:ascii="Arial" w:hAnsi="Arial" w:cs="Arial"/>
          <w:sz w:val="24"/>
          <w:szCs w:val="24"/>
        </w:rPr>
        <w:t xml:space="preserve">  </w:t>
      </w:r>
    </w:p>
    <w:sectPr w:rsidR="00FE7265" w:rsidRPr="00A1045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853C" w14:textId="77777777" w:rsidR="007F4CDA" w:rsidRDefault="007F4CDA" w:rsidP="00406B0E">
      <w:pPr>
        <w:spacing w:after="0" w:line="240" w:lineRule="auto"/>
      </w:pPr>
      <w:r>
        <w:separator/>
      </w:r>
    </w:p>
  </w:endnote>
  <w:endnote w:type="continuationSeparator" w:id="0">
    <w:p w14:paraId="3E4EE0C1" w14:textId="77777777" w:rsidR="007F4CDA" w:rsidRDefault="007F4CDA" w:rsidP="00406B0E">
      <w:pPr>
        <w:spacing w:after="0" w:line="240" w:lineRule="auto"/>
      </w:pPr>
      <w:r>
        <w:continuationSeparator/>
      </w:r>
    </w:p>
  </w:endnote>
  <w:endnote w:type="continuationNotice" w:id="1">
    <w:p w14:paraId="70E1B63A" w14:textId="77777777" w:rsidR="007F4CDA" w:rsidRDefault="007F4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2C4F" w14:textId="77777777" w:rsidR="00C64421" w:rsidRDefault="00C64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758104"/>
      <w:docPartObj>
        <w:docPartGallery w:val="Page Numbers (Bottom of Page)"/>
        <w:docPartUnique/>
      </w:docPartObj>
    </w:sdtPr>
    <w:sdtEndPr>
      <w:rPr>
        <w:noProof/>
      </w:rPr>
    </w:sdtEndPr>
    <w:sdtContent>
      <w:p w14:paraId="2A6954B5" w14:textId="77777777" w:rsidR="00C64421" w:rsidRDefault="00C64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37248" w14:textId="77777777" w:rsidR="00C64421" w:rsidRDefault="00C64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09DF" w14:textId="77777777" w:rsidR="00C64421" w:rsidRDefault="00C6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A500" w14:textId="77777777" w:rsidR="007F4CDA" w:rsidRDefault="007F4CDA" w:rsidP="00406B0E">
      <w:pPr>
        <w:spacing w:after="0" w:line="240" w:lineRule="auto"/>
      </w:pPr>
      <w:r>
        <w:separator/>
      </w:r>
    </w:p>
  </w:footnote>
  <w:footnote w:type="continuationSeparator" w:id="0">
    <w:p w14:paraId="1E4C9F91" w14:textId="77777777" w:rsidR="007F4CDA" w:rsidRDefault="007F4CDA" w:rsidP="00406B0E">
      <w:pPr>
        <w:spacing w:after="0" w:line="240" w:lineRule="auto"/>
      </w:pPr>
      <w:r>
        <w:continuationSeparator/>
      </w:r>
    </w:p>
  </w:footnote>
  <w:footnote w:type="continuationNotice" w:id="1">
    <w:p w14:paraId="11E43AC7" w14:textId="77777777" w:rsidR="007F4CDA" w:rsidRDefault="007F4CDA">
      <w:pPr>
        <w:spacing w:after="0" w:line="240" w:lineRule="auto"/>
      </w:pPr>
    </w:p>
  </w:footnote>
  <w:footnote w:id="2">
    <w:p w14:paraId="13D7F57B" w14:textId="2971B2E1" w:rsidR="00AF3CBD" w:rsidRPr="00B842D4" w:rsidRDefault="00AF3CBD" w:rsidP="00EB18DE">
      <w:pPr>
        <w:pStyle w:val="FootnoteText"/>
        <w:spacing w:after="240"/>
        <w:rPr>
          <w:rFonts w:cs="Arial"/>
        </w:rPr>
      </w:pPr>
      <w:r w:rsidRPr="00B842D4">
        <w:rPr>
          <w:rStyle w:val="FootnoteReference"/>
          <w:rFonts w:cs="Arial"/>
        </w:rPr>
        <w:footnoteRef/>
      </w:r>
      <w:r w:rsidRPr="00B842D4">
        <w:rPr>
          <w:rFonts w:cs="Arial"/>
        </w:rPr>
        <w:t xml:space="preserve"> </w:t>
      </w:r>
      <w:r w:rsidR="0014498F" w:rsidRPr="00B842D4">
        <w:rPr>
          <w:rFonts w:cs="Arial"/>
        </w:rPr>
        <w:t xml:space="preserve">Second </w:t>
      </w:r>
      <w:r w:rsidRPr="00B842D4">
        <w:rPr>
          <w:rFonts w:cs="Arial"/>
        </w:rPr>
        <w:t xml:space="preserve">Entry on Rehearing </w:t>
      </w:r>
      <w:r w:rsidR="0014498F" w:rsidRPr="00B842D4">
        <w:rPr>
          <w:rFonts w:cs="Arial"/>
        </w:rPr>
        <w:t>(January 27, 2021</w:t>
      </w:r>
      <w:r w:rsidR="00EF72B9" w:rsidRPr="00B842D4">
        <w:rPr>
          <w:rFonts w:cs="Arial"/>
        </w:rPr>
        <w:t xml:space="preserve">) </w:t>
      </w:r>
      <w:r w:rsidR="0014498F" w:rsidRPr="00B842D4">
        <w:rPr>
          <w:rFonts w:cs="Arial"/>
        </w:rPr>
        <w:t xml:space="preserve">at ¶ </w:t>
      </w:r>
      <w:r w:rsidR="007F6474" w:rsidRPr="00B842D4">
        <w:rPr>
          <w:rFonts w:cs="Arial"/>
        </w:rPr>
        <w:t>54-57.</w:t>
      </w:r>
      <w:r w:rsidR="0014498F" w:rsidRPr="00B842D4">
        <w:rPr>
          <w:rFonts w:cs="Arial"/>
        </w:rPr>
        <w:t xml:space="preserve"> </w:t>
      </w:r>
    </w:p>
  </w:footnote>
  <w:footnote w:id="3">
    <w:p w14:paraId="1ACD6B4A" w14:textId="1358BE2F" w:rsidR="004B65A1" w:rsidRPr="00B842D4" w:rsidRDefault="004B65A1" w:rsidP="00EB18DE">
      <w:pPr>
        <w:pStyle w:val="FootnoteText"/>
        <w:spacing w:after="240"/>
      </w:pPr>
      <w:r w:rsidRPr="00B842D4">
        <w:rPr>
          <w:rStyle w:val="FootnoteReference"/>
        </w:rPr>
        <w:footnoteRef/>
      </w:r>
      <w:r w:rsidRPr="00B842D4">
        <w:t xml:space="preserve"> </w:t>
      </w:r>
      <w:r w:rsidR="001C7C30" w:rsidRPr="00EB18DE">
        <w:rPr>
          <w:i/>
          <w:iCs/>
        </w:rPr>
        <w:t>Id.</w:t>
      </w:r>
      <w:r w:rsidR="001C7C30">
        <w:t xml:space="preserve"> </w:t>
      </w:r>
    </w:p>
  </w:footnote>
  <w:footnote w:id="4">
    <w:p w14:paraId="32C7ED55" w14:textId="67BE1C56" w:rsidR="00540BD5" w:rsidRPr="00B842D4" w:rsidRDefault="00540BD5" w:rsidP="00EB18DE">
      <w:pPr>
        <w:pStyle w:val="FootnoteText"/>
        <w:spacing w:after="240"/>
        <w:rPr>
          <w:rFonts w:cs="Arial"/>
        </w:rPr>
      </w:pPr>
      <w:r w:rsidRPr="00B842D4">
        <w:rPr>
          <w:rStyle w:val="FootnoteReference"/>
          <w:rFonts w:cs="Arial"/>
        </w:rPr>
        <w:footnoteRef/>
      </w:r>
      <w:r w:rsidRPr="00B842D4">
        <w:rPr>
          <w:rFonts w:cs="Arial"/>
        </w:rPr>
        <w:t xml:space="preserve"> </w:t>
      </w:r>
      <w:r w:rsidR="003F7A76" w:rsidRPr="00B842D4">
        <w:rPr>
          <w:rFonts w:cs="Arial"/>
        </w:rPr>
        <w:t>AES Ohio Initial Application for Rehearing (March 27, 2020) (“AES Ohio Initial RH App.”) at 2; AES Ohio Second Application for Rehearing (Feb. 26, 2021) (“AES Ohio Second RH App.”) at 1-4.</w:t>
      </w:r>
    </w:p>
  </w:footnote>
  <w:footnote w:id="5">
    <w:p w14:paraId="39423676" w14:textId="7FC9ACFE" w:rsidR="00C64421" w:rsidRPr="00B842D4" w:rsidRDefault="00C64421" w:rsidP="00EB18DE">
      <w:pPr>
        <w:pStyle w:val="FootnoteText"/>
        <w:spacing w:after="240"/>
        <w:rPr>
          <w:rFonts w:cs="Arial"/>
        </w:rPr>
      </w:pPr>
      <w:r w:rsidRPr="00B842D4">
        <w:rPr>
          <w:rStyle w:val="FootnoteReference"/>
          <w:rFonts w:cs="Arial"/>
        </w:rPr>
        <w:footnoteRef/>
      </w:r>
      <w:r w:rsidRPr="00B842D4">
        <w:rPr>
          <w:rFonts w:cs="Arial"/>
        </w:rPr>
        <w:t xml:space="preserve"> </w:t>
      </w:r>
      <w:r w:rsidR="00237550" w:rsidRPr="00B842D4">
        <w:rPr>
          <w:rFonts w:cs="Arial"/>
        </w:rPr>
        <w:t>AES Ohio Initial RH App. at 2</w:t>
      </w:r>
    </w:p>
  </w:footnote>
  <w:footnote w:id="6">
    <w:p w14:paraId="6C987E44" w14:textId="799328D8" w:rsidR="00C64421" w:rsidRPr="00B842D4" w:rsidRDefault="00C64421" w:rsidP="00EB18DE">
      <w:pPr>
        <w:pStyle w:val="FootnoteText"/>
        <w:spacing w:after="240"/>
        <w:rPr>
          <w:rFonts w:cs="Arial"/>
        </w:rPr>
      </w:pPr>
      <w:r w:rsidRPr="00B842D4">
        <w:rPr>
          <w:rStyle w:val="FootnoteReference"/>
          <w:rFonts w:cs="Arial"/>
        </w:rPr>
        <w:footnoteRef/>
      </w:r>
      <w:r w:rsidRPr="00B842D4">
        <w:rPr>
          <w:rFonts w:cs="Arial"/>
        </w:rPr>
        <w:t xml:space="preserve"> Second Entry on Rehearing at ¶ 57</w:t>
      </w:r>
      <w:r w:rsidR="00EF72B9" w:rsidRPr="00B842D4">
        <w:rPr>
          <w:rFonts w:cs="Arial"/>
        </w:rPr>
        <w:t xml:space="preserve">. </w:t>
      </w:r>
    </w:p>
  </w:footnote>
  <w:footnote w:id="7">
    <w:p w14:paraId="280F5361" w14:textId="1CE19D47" w:rsidR="004846AD" w:rsidRPr="00B842D4" w:rsidRDefault="004846AD" w:rsidP="00EB18DE">
      <w:pPr>
        <w:pStyle w:val="FootnoteText"/>
        <w:spacing w:after="240"/>
        <w:rPr>
          <w:rFonts w:cs="Arial"/>
        </w:rPr>
      </w:pPr>
      <w:r w:rsidRPr="00B842D4">
        <w:rPr>
          <w:rStyle w:val="FootnoteReference"/>
          <w:rFonts w:cs="Arial"/>
        </w:rPr>
        <w:footnoteRef/>
      </w:r>
      <w:r w:rsidRPr="00B842D4">
        <w:rPr>
          <w:rFonts w:cs="Arial"/>
        </w:rPr>
        <w:t xml:space="preserve"> </w:t>
      </w:r>
      <w:r w:rsidR="00237550" w:rsidRPr="00EB18DE">
        <w:rPr>
          <w:rFonts w:cs="Arial"/>
          <w:i/>
          <w:iCs/>
        </w:rPr>
        <w:t>Id</w:t>
      </w:r>
      <w:r w:rsidR="00237550">
        <w:rPr>
          <w:rFonts w:cs="Arial"/>
        </w:rPr>
        <w:t>.</w:t>
      </w:r>
      <w:r w:rsidRPr="00B842D4">
        <w:rPr>
          <w:rFonts w:cs="Arial"/>
        </w:rPr>
        <w:t xml:space="preserve"> at ¶ 57.</w:t>
      </w:r>
    </w:p>
  </w:footnote>
  <w:footnote w:id="8">
    <w:p w14:paraId="5B38713F" w14:textId="77777777" w:rsidR="008C1114" w:rsidRPr="00B842D4" w:rsidRDefault="008C1114" w:rsidP="00EB18DE">
      <w:pPr>
        <w:pStyle w:val="FootnoteText"/>
        <w:spacing w:after="240"/>
        <w:rPr>
          <w:rFonts w:cs="Arial"/>
        </w:rPr>
      </w:pPr>
      <w:r w:rsidRPr="00B842D4">
        <w:rPr>
          <w:rStyle w:val="FootnoteReference"/>
          <w:rFonts w:cs="Arial"/>
        </w:rPr>
        <w:footnoteRef/>
      </w:r>
      <w:r w:rsidRPr="00B842D4">
        <w:rPr>
          <w:rFonts w:cs="Arial"/>
        </w:rPr>
        <w:t xml:space="preserve"> AES Ohio Initial RH App. at 2.</w:t>
      </w:r>
    </w:p>
  </w:footnote>
  <w:footnote w:id="9">
    <w:p w14:paraId="1F5D62AB" w14:textId="165B7DF1" w:rsidR="008C1114" w:rsidRPr="00B842D4" w:rsidRDefault="008C1114" w:rsidP="00EB18DE">
      <w:pPr>
        <w:pStyle w:val="FootnoteText"/>
        <w:spacing w:after="240"/>
        <w:rPr>
          <w:rFonts w:cs="Arial"/>
        </w:rPr>
      </w:pPr>
      <w:r w:rsidRPr="00B842D4">
        <w:rPr>
          <w:rStyle w:val="FootnoteReference"/>
          <w:rFonts w:cs="Arial"/>
        </w:rPr>
        <w:footnoteRef/>
      </w:r>
      <w:r w:rsidRPr="00B842D4">
        <w:rPr>
          <w:rFonts w:cs="Arial"/>
        </w:rPr>
        <w:t xml:space="preserve"> </w:t>
      </w:r>
      <w:r w:rsidR="00D522E7" w:rsidRPr="00EB18DE">
        <w:rPr>
          <w:rFonts w:cs="Arial"/>
          <w:i/>
          <w:iCs/>
        </w:rPr>
        <w:t>Id.</w:t>
      </w:r>
      <w:r w:rsidRPr="00B842D4">
        <w:rPr>
          <w:rFonts w:cs="Arial"/>
        </w:rPr>
        <w:t xml:space="preserve"> at 2. </w:t>
      </w:r>
    </w:p>
  </w:footnote>
  <w:footnote w:id="10">
    <w:p w14:paraId="5C9EF95C" w14:textId="77777777" w:rsidR="008C1114" w:rsidRPr="00B842D4" w:rsidRDefault="008C1114" w:rsidP="00EB18DE">
      <w:pPr>
        <w:pStyle w:val="FootnoteText"/>
        <w:spacing w:after="240"/>
        <w:rPr>
          <w:rFonts w:cs="Arial"/>
        </w:rPr>
      </w:pPr>
      <w:r w:rsidRPr="00B842D4">
        <w:rPr>
          <w:rStyle w:val="FootnoteReference"/>
          <w:rFonts w:cs="Arial"/>
        </w:rPr>
        <w:footnoteRef/>
      </w:r>
      <w:r w:rsidRPr="00B842D4">
        <w:rPr>
          <w:rFonts w:cs="Arial"/>
        </w:rPr>
        <w:t xml:space="preserve"> AES Ohio Second RH App. at 3. </w:t>
      </w:r>
    </w:p>
  </w:footnote>
  <w:footnote w:id="11">
    <w:p w14:paraId="59D123F3" w14:textId="4EFB5586" w:rsidR="008C1114" w:rsidRPr="00B842D4" w:rsidRDefault="008C1114" w:rsidP="00EB18DE">
      <w:pPr>
        <w:pStyle w:val="FootnoteText"/>
        <w:spacing w:after="240"/>
        <w:rPr>
          <w:rFonts w:cs="Arial"/>
        </w:rPr>
      </w:pPr>
      <w:r w:rsidRPr="00B842D4">
        <w:rPr>
          <w:rStyle w:val="FootnoteReference"/>
          <w:rFonts w:cs="Arial"/>
        </w:rPr>
        <w:footnoteRef/>
      </w:r>
      <w:r w:rsidRPr="00B842D4">
        <w:rPr>
          <w:rFonts w:cs="Arial"/>
        </w:rPr>
        <w:t xml:space="preserve"> </w:t>
      </w:r>
      <w:r w:rsidRPr="00EB18DE">
        <w:rPr>
          <w:rFonts w:cs="Arial"/>
          <w:i/>
          <w:iCs/>
        </w:rPr>
        <w:t>See also</w:t>
      </w:r>
      <w:r w:rsidRPr="00B842D4">
        <w:rPr>
          <w:rFonts w:cs="Arial"/>
        </w:rPr>
        <w:t xml:space="preserve"> </w:t>
      </w:r>
      <w:r w:rsidR="00B87CDA">
        <w:rPr>
          <w:rFonts w:cs="Arial"/>
        </w:rPr>
        <w:t xml:space="preserve">Second Entry on Rehearing at ¶ </w:t>
      </w:r>
      <w:r w:rsidR="00E23D1D">
        <w:rPr>
          <w:rFonts w:cs="Arial"/>
        </w:rPr>
        <w:t>61.</w:t>
      </w:r>
    </w:p>
  </w:footnote>
  <w:footnote w:id="12">
    <w:p w14:paraId="07887EF4" w14:textId="77777777" w:rsidR="0064220E" w:rsidRDefault="0064220E" w:rsidP="00FF57F9">
      <w:pPr>
        <w:pStyle w:val="FootnoteText"/>
        <w:spacing w:after="240"/>
      </w:pPr>
      <w:r>
        <w:rPr>
          <w:rStyle w:val="FootnoteReference"/>
        </w:rPr>
        <w:footnoteRef/>
      </w:r>
      <w:r>
        <w:t xml:space="preserve"> </w:t>
      </w:r>
      <w:r w:rsidRPr="008C3973">
        <w:rPr>
          <w:i/>
          <w:iCs/>
        </w:rPr>
        <w:t>Id.</w:t>
      </w:r>
      <w:r>
        <w:t xml:space="preserve"> at 54.</w:t>
      </w:r>
    </w:p>
  </w:footnote>
  <w:footnote w:id="13">
    <w:p w14:paraId="2F3C6B17" w14:textId="0A6908F4" w:rsidR="002974D2" w:rsidRDefault="002974D2" w:rsidP="00FF57F9">
      <w:pPr>
        <w:pStyle w:val="FootnoteText"/>
        <w:spacing w:after="240"/>
      </w:pPr>
      <w:r>
        <w:rPr>
          <w:rStyle w:val="FootnoteReference"/>
        </w:rPr>
        <w:footnoteRef/>
      </w:r>
      <w:r>
        <w:t xml:space="preserve"> </w:t>
      </w:r>
      <w:r w:rsidRPr="002742BD">
        <w:rPr>
          <w:i/>
          <w:iCs/>
        </w:rPr>
        <w:t>Id.</w:t>
      </w:r>
      <w:r w:rsidR="00FF57F9">
        <w:rPr>
          <w:i/>
          <w:iCs/>
        </w:rPr>
        <w:t xml:space="preserve">, citing </w:t>
      </w:r>
      <w:r w:rsidR="00FF57F9" w:rsidRPr="00FF57F9">
        <w:t>Finding and Order at ¶ 20.</w:t>
      </w:r>
      <w:r w:rsidR="00FF57F9">
        <w:rPr>
          <w:i/>
          <w:iCs/>
        </w:rPr>
        <w:t xml:space="preserve"> </w:t>
      </w:r>
    </w:p>
  </w:footnote>
  <w:footnote w:id="14">
    <w:p w14:paraId="475CFFD6" w14:textId="77777777" w:rsidR="008C1114" w:rsidRPr="00B842D4" w:rsidRDefault="008C1114" w:rsidP="00FF57F9">
      <w:pPr>
        <w:pStyle w:val="FootnoteText"/>
        <w:spacing w:after="240"/>
        <w:rPr>
          <w:rFonts w:cs="Arial"/>
        </w:rPr>
      </w:pPr>
      <w:r w:rsidRPr="00B842D4">
        <w:rPr>
          <w:rStyle w:val="FootnoteReference"/>
          <w:rFonts w:cs="Arial"/>
        </w:rPr>
        <w:footnoteRef/>
      </w:r>
      <w:r w:rsidRPr="00B842D4">
        <w:rPr>
          <w:rFonts w:cs="Arial"/>
        </w:rPr>
        <w:t xml:space="preserve"> AES Ohio Second RH App. at 3. </w:t>
      </w:r>
    </w:p>
  </w:footnote>
  <w:footnote w:id="15">
    <w:p w14:paraId="55CF976C" w14:textId="24BF4861" w:rsidR="008C1114" w:rsidRPr="00B842D4" w:rsidRDefault="008C1114" w:rsidP="00EB18DE">
      <w:pPr>
        <w:pStyle w:val="FootnoteText"/>
        <w:spacing w:after="240"/>
      </w:pPr>
      <w:r w:rsidRPr="00B842D4">
        <w:rPr>
          <w:rStyle w:val="FootnoteReference"/>
        </w:rPr>
        <w:footnoteRef/>
      </w:r>
      <w:r w:rsidRPr="00B842D4">
        <w:t xml:space="preserve"> </w:t>
      </w:r>
      <w:r w:rsidR="008000D1" w:rsidRPr="00EB18DE">
        <w:rPr>
          <w:i/>
          <w:iCs/>
        </w:rPr>
        <w:t>Id.</w:t>
      </w:r>
      <w:r w:rsidR="008000D1">
        <w:t xml:space="preserve"> at 1-4.</w:t>
      </w:r>
    </w:p>
  </w:footnote>
  <w:footnote w:id="16">
    <w:p w14:paraId="17F0EC8B" w14:textId="77777777" w:rsidR="008C1114" w:rsidRPr="00B842D4" w:rsidRDefault="008C1114" w:rsidP="00EB18DE">
      <w:pPr>
        <w:pStyle w:val="FootnoteText"/>
        <w:spacing w:after="240"/>
        <w:rPr>
          <w:rFonts w:cs="Arial"/>
        </w:rPr>
      </w:pPr>
      <w:r w:rsidRPr="00B842D4">
        <w:rPr>
          <w:rStyle w:val="FootnoteReference"/>
          <w:rFonts w:cs="Arial"/>
        </w:rPr>
        <w:footnoteRef/>
      </w:r>
      <w:r w:rsidRPr="00B842D4">
        <w:rPr>
          <w:rFonts w:cs="Arial"/>
        </w:rPr>
        <w:t xml:space="preserve"> </w:t>
      </w:r>
      <w:r w:rsidRPr="00B842D4">
        <w:rPr>
          <w:rFonts w:cs="Arial"/>
          <w:i/>
          <w:iCs/>
        </w:rPr>
        <w:t>In re FirstEnergy Ohio</w:t>
      </w:r>
      <w:r w:rsidRPr="00B842D4">
        <w:rPr>
          <w:rFonts w:cs="Arial"/>
        </w:rPr>
        <w:t xml:space="preserve">, Case No. 14-1297-EL-SSO, Ninth Entry on Rehearing (Oct. 11, 2017) at ¶ 23. </w:t>
      </w:r>
    </w:p>
  </w:footnote>
  <w:footnote w:id="17">
    <w:p w14:paraId="10AF4FF7" w14:textId="77777777" w:rsidR="008C1114" w:rsidRPr="00B842D4" w:rsidRDefault="008C1114" w:rsidP="00EB18DE">
      <w:pPr>
        <w:pStyle w:val="FootnoteText"/>
        <w:spacing w:after="240"/>
        <w:rPr>
          <w:rFonts w:cs="Arial"/>
        </w:rPr>
      </w:pPr>
      <w:r w:rsidRPr="00B842D4">
        <w:rPr>
          <w:rStyle w:val="FootnoteReference"/>
          <w:rFonts w:cs="Arial"/>
        </w:rPr>
        <w:footnoteRef/>
      </w:r>
      <w:r w:rsidRPr="00B842D4">
        <w:rPr>
          <w:rFonts w:cs="Arial"/>
        </w:rPr>
        <w:t xml:space="preserve"> </w:t>
      </w:r>
      <w:r w:rsidRPr="00B842D4">
        <w:rPr>
          <w:rFonts w:cs="Arial"/>
          <w:i/>
          <w:iCs/>
        </w:rPr>
        <w:t>Id.</w:t>
      </w:r>
      <w:r w:rsidRPr="00B842D4">
        <w:rPr>
          <w:rFonts w:cs="Arial"/>
        </w:rPr>
        <w:t xml:space="preserve"> at ¶ 24,</w:t>
      </w:r>
      <w:r w:rsidRPr="00B842D4">
        <w:rPr>
          <w:rFonts w:cs="Arial"/>
          <w:i/>
          <w:iCs/>
        </w:rPr>
        <w:t xml:space="preserve"> citing</w:t>
      </w:r>
      <w:r w:rsidRPr="00B842D4">
        <w:rPr>
          <w:rFonts w:cs="Arial"/>
        </w:rPr>
        <w:t xml:space="preserve"> </w:t>
      </w:r>
      <w:proofErr w:type="spellStart"/>
      <w:r w:rsidRPr="00B842D4">
        <w:rPr>
          <w:rFonts w:cs="Arial"/>
          <w:i/>
          <w:iCs/>
          <w:bdr w:val="none" w:sz="0" w:space="0" w:color="auto" w:frame="1"/>
          <w:shd w:val="clear" w:color="auto" w:fill="FFFFFF"/>
        </w:rPr>
        <w:t>Ormet</w:t>
      </w:r>
      <w:proofErr w:type="spellEnd"/>
      <w:r w:rsidRPr="00B842D4">
        <w:rPr>
          <w:rFonts w:cs="Arial"/>
          <w:i/>
          <w:iCs/>
          <w:bdr w:val="none" w:sz="0" w:space="0" w:color="auto" w:frame="1"/>
          <w:shd w:val="clear" w:color="auto" w:fill="FFFFFF"/>
        </w:rPr>
        <w:t xml:space="preserve"> Primary Aluminum Corp. v. South Central Power Co. and Ohio Power Co.</w:t>
      </w:r>
      <w:r w:rsidRPr="00B842D4">
        <w:rPr>
          <w:rFonts w:cs="Arial"/>
          <w:shd w:val="clear" w:color="auto" w:fill="FFFFFF"/>
        </w:rPr>
        <w:t xml:space="preserve">, Case No. 05-1057-EL-CSS, Second Entry on Rehearing (September 13, 2006) at 3-4; </w:t>
      </w:r>
      <w:r w:rsidRPr="00B842D4">
        <w:rPr>
          <w:rFonts w:cs="Arial"/>
          <w:i/>
          <w:iCs/>
          <w:bdr w:val="none" w:sz="0" w:space="0" w:color="auto" w:frame="1"/>
          <w:shd w:val="clear" w:color="auto" w:fill="FFFFFF"/>
        </w:rPr>
        <w:t>In re The East Ohio Gas Co. and Columbia Gas Co.</w:t>
      </w:r>
      <w:r w:rsidRPr="00B842D4">
        <w:rPr>
          <w:rFonts w:cs="Arial"/>
          <w:shd w:val="clear" w:color="auto" w:fill="FFFFFF"/>
        </w:rPr>
        <w:t>, Case Nos. 05-1421-GA-PIP, et al., Second Entry on Rehearing (May 3, 2006) at 3;</w:t>
      </w:r>
      <w:r w:rsidRPr="00B842D4">
        <w:rPr>
          <w:rFonts w:cs="Arial"/>
          <w:i/>
          <w:iCs/>
          <w:bdr w:val="none" w:sz="0" w:space="0" w:color="auto" w:frame="1"/>
          <w:shd w:val="clear" w:color="auto" w:fill="FFFFFF"/>
        </w:rPr>
        <w:t xml:space="preserve"> In re Ohio Power Co. and Columbus Southern Power Co.</w:t>
      </w:r>
      <w:r w:rsidRPr="00B842D4">
        <w:rPr>
          <w:rFonts w:cs="Arial"/>
          <w:shd w:val="clear" w:color="auto" w:fill="FFFFFF"/>
        </w:rPr>
        <w:t>, Case No. 10-2929-EL-UNC, Entry on Rehearing (January 30, 2013) at 4-5.</w:t>
      </w:r>
    </w:p>
  </w:footnote>
  <w:footnote w:id="18">
    <w:p w14:paraId="7D4FADC8" w14:textId="77FD9287" w:rsidR="009E205A" w:rsidRDefault="009E205A" w:rsidP="00EB18DE">
      <w:pPr>
        <w:pStyle w:val="FootnoteText"/>
        <w:spacing w:after="240"/>
      </w:pPr>
      <w:r>
        <w:rPr>
          <w:rStyle w:val="FootnoteReference"/>
        </w:rPr>
        <w:footnoteRef/>
      </w:r>
      <w:r>
        <w:t xml:space="preserve"> </w:t>
      </w:r>
      <w:r w:rsidR="003E461A">
        <w:t>AES Ohio Second RH App. at 2-3.</w:t>
      </w:r>
    </w:p>
  </w:footnote>
  <w:footnote w:id="19">
    <w:p w14:paraId="517FEAD3" w14:textId="6E575AA3" w:rsidR="00180274" w:rsidRPr="00B842D4" w:rsidRDefault="00180274" w:rsidP="00EB18DE">
      <w:pPr>
        <w:pStyle w:val="FootnoteText"/>
        <w:spacing w:after="240"/>
      </w:pPr>
      <w:r w:rsidRPr="00B842D4">
        <w:rPr>
          <w:rStyle w:val="FootnoteReference"/>
        </w:rPr>
        <w:footnoteRef/>
      </w:r>
      <w:r w:rsidRPr="00B842D4">
        <w:t xml:space="preserve"> </w:t>
      </w:r>
      <w:r w:rsidR="002B467F" w:rsidRPr="002B467F">
        <w:rPr>
          <w:i/>
          <w:iCs/>
        </w:rPr>
        <w:t>See</w:t>
      </w:r>
      <w:r w:rsidR="002B467F">
        <w:t xml:space="preserve"> Second Entry on Rehearing at ¶ 54-57.</w:t>
      </w:r>
    </w:p>
  </w:footnote>
  <w:footnote w:id="20">
    <w:p w14:paraId="1B799662" w14:textId="1B0CE0C1" w:rsidR="00D73ECB" w:rsidRPr="00B842D4" w:rsidRDefault="00D73ECB" w:rsidP="00EB18DE">
      <w:pPr>
        <w:pStyle w:val="FootnoteText"/>
        <w:spacing w:after="240"/>
        <w:rPr>
          <w:rFonts w:cs="Arial"/>
        </w:rPr>
      </w:pPr>
      <w:r w:rsidRPr="00B842D4">
        <w:rPr>
          <w:rStyle w:val="FootnoteReference"/>
          <w:rFonts w:cs="Arial"/>
        </w:rPr>
        <w:footnoteRef/>
      </w:r>
      <w:r w:rsidRPr="00B842D4">
        <w:rPr>
          <w:rFonts w:cs="Arial"/>
        </w:rPr>
        <w:t xml:space="preserve"> </w:t>
      </w:r>
      <w:r w:rsidR="007548D7">
        <w:t>AES Ohio Second RH App. at 3.</w:t>
      </w:r>
    </w:p>
  </w:footnote>
  <w:footnote w:id="21">
    <w:p w14:paraId="228AE008" w14:textId="17BF15E2" w:rsidR="00D73ECB" w:rsidRPr="00B842D4" w:rsidRDefault="00D73ECB" w:rsidP="00EB18DE">
      <w:pPr>
        <w:pStyle w:val="FootnoteText"/>
        <w:spacing w:after="240"/>
        <w:rPr>
          <w:rFonts w:cs="Arial"/>
        </w:rPr>
      </w:pPr>
      <w:r w:rsidRPr="00B842D4">
        <w:rPr>
          <w:rStyle w:val="FootnoteReference"/>
          <w:rFonts w:cs="Arial"/>
        </w:rPr>
        <w:footnoteRef/>
      </w:r>
      <w:r w:rsidRPr="00B842D4">
        <w:rPr>
          <w:rFonts w:cs="Arial"/>
        </w:rPr>
        <w:t xml:space="preserve"> Finding and Order at ¶ 114</w:t>
      </w:r>
      <w:r w:rsidR="003348B9" w:rsidRPr="00B842D4">
        <w:rPr>
          <w:rFonts w:cs="Arial"/>
        </w:rPr>
        <w:t xml:space="preserve">, </w:t>
      </w:r>
      <w:r w:rsidR="003348B9" w:rsidRPr="00B842D4">
        <w:rPr>
          <w:rFonts w:cs="Arial"/>
          <w:i/>
          <w:iCs/>
        </w:rPr>
        <w:t xml:space="preserve">citing </w:t>
      </w:r>
      <w:r w:rsidR="003348B9" w:rsidRPr="001B063B">
        <w:rPr>
          <w:rFonts w:cs="Arial"/>
        </w:rPr>
        <w:t xml:space="preserve">Ohio </w:t>
      </w:r>
      <w:proofErr w:type="spellStart"/>
      <w:r w:rsidR="003348B9" w:rsidRPr="001B063B">
        <w:rPr>
          <w:rFonts w:cs="Arial"/>
        </w:rPr>
        <w:t>Adm.Code</w:t>
      </w:r>
      <w:proofErr w:type="spellEnd"/>
      <w:r w:rsidR="003348B9" w:rsidRPr="001B063B">
        <w:rPr>
          <w:rFonts w:cs="Arial"/>
        </w:rPr>
        <w:t xml:space="preserve"> 4901:1-18-10(D).</w:t>
      </w:r>
    </w:p>
  </w:footnote>
  <w:footnote w:id="22">
    <w:p w14:paraId="44C14FC0" w14:textId="3CEB7005" w:rsidR="00D73ECB" w:rsidRPr="00B842D4" w:rsidRDefault="00D73ECB" w:rsidP="00EB18DE">
      <w:pPr>
        <w:pStyle w:val="FootnoteText"/>
        <w:spacing w:after="240"/>
        <w:rPr>
          <w:rFonts w:cs="Arial"/>
        </w:rPr>
      </w:pPr>
      <w:r w:rsidRPr="00B842D4">
        <w:rPr>
          <w:rStyle w:val="FootnoteReference"/>
          <w:rFonts w:cs="Arial"/>
        </w:rPr>
        <w:footnoteRef/>
      </w:r>
      <w:r w:rsidRPr="00B842D4">
        <w:rPr>
          <w:rFonts w:cs="Arial"/>
        </w:rPr>
        <w:t xml:space="preserve"> Second </w:t>
      </w:r>
      <w:r w:rsidR="00792109" w:rsidRPr="00B842D4">
        <w:rPr>
          <w:rFonts w:cs="Arial"/>
        </w:rPr>
        <w:t>Entry on Rehearing</w:t>
      </w:r>
      <w:r w:rsidRPr="00B842D4">
        <w:rPr>
          <w:rFonts w:cs="Arial"/>
        </w:rPr>
        <w:t xml:space="preserve"> at ¶ 54; Finding and Order at ¶ 135.</w:t>
      </w:r>
    </w:p>
  </w:footnote>
  <w:footnote w:id="23">
    <w:p w14:paraId="471D3F1C" w14:textId="2AF5A80E" w:rsidR="00D73ECB" w:rsidRPr="00B842D4" w:rsidRDefault="00D73ECB" w:rsidP="00EB18DE">
      <w:pPr>
        <w:pStyle w:val="FootnoteText"/>
        <w:spacing w:after="240"/>
        <w:rPr>
          <w:rFonts w:cs="Arial"/>
        </w:rPr>
      </w:pPr>
      <w:r w:rsidRPr="00B842D4">
        <w:rPr>
          <w:rStyle w:val="FootnoteReference"/>
          <w:rFonts w:cs="Arial"/>
        </w:rPr>
        <w:footnoteRef/>
      </w:r>
      <w:r w:rsidRPr="00B842D4">
        <w:rPr>
          <w:rFonts w:cs="Arial"/>
        </w:rPr>
        <w:t xml:space="preserve"> Second </w:t>
      </w:r>
      <w:r w:rsidR="00792109" w:rsidRPr="00B842D4">
        <w:rPr>
          <w:rFonts w:cs="Arial"/>
        </w:rPr>
        <w:t>Entry on Rehearing</w:t>
      </w:r>
      <w:r w:rsidRPr="00B842D4">
        <w:rPr>
          <w:rFonts w:cs="Arial"/>
        </w:rPr>
        <w:t xml:space="preserve"> at ¶ 54.</w:t>
      </w:r>
    </w:p>
  </w:footnote>
  <w:footnote w:id="24">
    <w:p w14:paraId="480ADE27" w14:textId="1CBC3FD6" w:rsidR="00D73ECB" w:rsidRPr="00B842D4" w:rsidRDefault="00D73ECB" w:rsidP="00EB18DE">
      <w:pPr>
        <w:pStyle w:val="FootnoteText"/>
        <w:spacing w:after="240"/>
        <w:rPr>
          <w:rFonts w:cs="Arial"/>
        </w:rPr>
      </w:pPr>
      <w:r w:rsidRPr="00B842D4">
        <w:rPr>
          <w:rStyle w:val="FootnoteReference"/>
          <w:rFonts w:cs="Arial"/>
        </w:rPr>
        <w:footnoteRef/>
      </w:r>
      <w:r w:rsidRPr="00B842D4">
        <w:rPr>
          <w:rFonts w:cs="Arial"/>
        </w:rPr>
        <w:t xml:space="preserve"> </w:t>
      </w:r>
      <w:r w:rsidR="00846B4D" w:rsidRPr="00EB18DE">
        <w:rPr>
          <w:rFonts w:cs="Arial"/>
          <w:i/>
          <w:iCs/>
        </w:rPr>
        <w:t>Id.</w:t>
      </w:r>
      <w:r w:rsidR="00846B4D">
        <w:rPr>
          <w:rFonts w:cs="Arial"/>
        </w:rPr>
        <w:t xml:space="preserve"> at</w:t>
      </w:r>
      <w:r w:rsidRPr="00B842D4">
        <w:rPr>
          <w:rFonts w:cs="Arial"/>
        </w:rPr>
        <w:t xml:space="preserve"> ¶ 54. </w:t>
      </w:r>
    </w:p>
  </w:footnote>
  <w:footnote w:id="25">
    <w:p w14:paraId="63F954DC" w14:textId="77777777" w:rsidR="00D73ECB" w:rsidRPr="00B842D4" w:rsidRDefault="00D73ECB" w:rsidP="00EB18DE">
      <w:pPr>
        <w:pStyle w:val="FootnoteText"/>
        <w:spacing w:after="240"/>
        <w:rPr>
          <w:rFonts w:cs="Arial"/>
        </w:rPr>
      </w:pPr>
      <w:r w:rsidRPr="00B842D4">
        <w:rPr>
          <w:rStyle w:val="FootnoteReference"/>
          <w:rFonts w:cs="Arial"/>
        </w:rPr>
        <w:footnoteRef/>
      </w:r>
      <w:r w:rsidRPr="00B842D4">
        <w:rPr>
          <w:rFonts w:cs="Arial"/>
        </w:rPr>
        <w:t xml:space="preserve"> Finding and Order at ¶ 135. </w:t>
      </w:r>
    </w:p>
  </w:footnote>
  <w:footnote w:id="26">
    <w:p w14:paraId="6FB8573D" w14:textId="71403FB1" w:rsidR="000C6289" w:rsidRPr="00B842D4" w:rsidRDefault="000C6289" w:rsidP="00EB18DE">
      <w:pPr>
        <w:pStyle w:val="FootnoteText"/>
        <w:spacing w:after="240"/>
        <w:rPr>
          <w:rFonts w:cs="Arial"/>
        </w:rPr>
      </w:pPr>
      <w:r w:rsidRPr="00B842D4">
        <w:rPr>
          <w:rStyle w:val="FootnoteReference"/>
          <w:rFonts w:cs="Arial"/>
        </w:rPr>
        <w:footnoteRef/>
      </w:r>
      <w:r w:rsidRPr="00B842D4">
        <w:rPr>
          <w:rFonts w:cs="Arial"/>
        </w:rPr>
        <w:t xml:space="preserve"> </w:t>
      </w:r>
      <w:r w:rsidR="00F807E6">
        <w:t>AES Ohio Second RH App. at 3.</w:t>
      </w:r>
    </w:p>
  </w:footnote>
  <w:footnote w:id="27">
    <w:p w14:paraId="57EABF32" w14:textId="6221A793" w:rsidR="00E305FF" w:rsidRPr="00B842D4" w:rsidRDefault="00E305FF" w:rsidP="00EB18DE">
      <w:pPr>
        <w:pStyle w:val="FootnoteText"/>
        <w:spacing w:after="240"/>
        <w:rPr>
          <w:rFonts w:cs="Arial"/>
        </w:rPr>
      </w:pPr>
      <w:r w:rsidRPr="00B842D4">
        <w:rPr>
          <w:rStyle w:val="FootnoteReference"/>
          <w:rFonts w:cs="Arial"/>
        </w:rPr>
        <w:footnoteRef/>
      </w:r>
      <w:r w:rsidRPr="00B842D4">
        <w:rPr>
          <w:rFonts w:cs="Arial"/>
        </w:rPr>
        <w:t xml:space="preserve"> </w:t>
      </w:r>
      <w:r w:rsidR="00F96253" w:rsidRPr="00EB18DE">
        <w:rPr>
          <w:rFonts w:cs="Arial"/>
          <w:i/>
          <w:iCs/>
        </w:rPr>
        <w:t>Id.</w:t>
      </w:r>
      <w:r w:rsidR="00F96253">
        <w:rPr>
          <w:rFonts w:cs="Arial"/>
        </w:rPr>
        <w:t xml:space="preserve"> at </w:t>
      </w:r>
      <w:r w:rsidR="000B0B91">
        <w:rPr>
          <w:rFonts w:cs="Arial"/>
        </w:rPr>
        <w:t>3-</w:t>
      </w:r>
      <w:r w:rsidR="00F96253">
        <w:rPr>
          <w:rFonts w:cs="Arial"/>
        </w:rPr>
        <w:t xml:space="preserve">4. </w:t>
      </w:r>
    </w:p>
  </w:footnote>
  <w:footnote w:id="28">
    <w:p w14:paraId="63B5B455" w14:textId="77777777" w:rsidR="00E305FF" w:rsidRPr="00B842D4" w:rsidRDefault="00E305FF" w:rsidP="00EB18DE">
      <w:pPr>
        <w:pStyle w:val="FootnoteText"/>
        <w:spacing w:after="240"/>
        <w:rPr>
          <w:rFonts w:cs="Arial"/>
        </w:rPr>
      </w:pPr>
      <w:r w:rsidRPr="00B842D4">
        <w:rPr>
          <w:rStyle w:val="FootnoteReference"/>
          <w:rFonts w:cs="Arial"/>
        </w:rPr>
        <w:footnoteRef/>
      </w:r>
      <w:r w:rsidRPr="00B842D4">
        <w:rPr>
          <w:rFonts w:cs="Arial"/>
        </w:rPr>
        <w:t xml:space="preserve"> Second Entry on Rehearing at ¶ 57.</w:t>
      </w:r>
    </w:p>
  </w:footnote>
  <w:footnote w:id="29">
    <w:p w14:paraId="307BF9D6" w14:textId="7CE9BC25" w:rsidR="00967C5E" w:rsidRPr="00B842D4" w:rsidRDefault="00967C5E" w:rsidP="00EB18DE">
      <w:pPr>
        <w:pStyle w:val="FootnoteText"/>
        <w:spacing w:after="240"/>
        <w:rPr>
          <w:rFonts w:cs="Arial"/>
        </w:rPr>
      </w:pPr>
      <w:r w:rsidRPr="00B842D4">
        <w:rPr>
          <w:rStyle w:val="FootnoteReference"/>
          <w:rFonts w:cs="Arial"/>
        </w:rPr>
        <w:footnoteRef/>
      </w:r>
      <w:r w:rsidRPr="00B842D4">
        <w:rPr>
          <w:rFonts w:cs="Arial"/>
        </w:rPr>
        <w:t xml:space="preserve"> AES Ohio Second </w:t>
      </w:r>
      <w:r w:rsidR="000B0B91">
        <w:rPr>
          <w:rFonts w:cs="Arial"/>
        </w:rPr>
        <w:t>RH App.</w:t>
      </w:r>
      <w:r w:rsidR="002F10A1" w:rsidRPr="00B842D4">
        <w:rPr>
          <w:rFonts w:cs="Arial"/>
        </w:rPr>
        <w:t xml:space="preserve"> at 4</w:t>
      </w:r>
      <w:r w:rsidR="00AD162F" w:rsidRPr="00B842D4">
        <w:rPr>
          <w:rFonts w:cs="Arial"/>
        </w:rPr>
        <w:t>.</w:t>
      </w:r>
    </w:p>
  </w:footnote>
  <w:footnote w:id="30">
    <w:p w14:paraId="6A2E12AE" w14:textId="2A98FF8F" w:rsidR="009E6707" w:rsidRPr="00B842D4" w:rsidRDefault="009E6707" w:rsidP="00EB18DE">
      <w:pPr>
        <w:pStyle w:val="FootnoteText"/>
        <w:spacing w:after="240"/>
      </w:pPr>
      <w:r w:rsidRPr="00B842D4">
        <w:rPr>
          <w:rStyle w:val="FootnoteReference"/>
        </w:rPr>
        <w:footnoteRef/>
      </w:r>
      <w:r w:rsidRPr="00B842D4">
        <w:t xml:space="preserve"> </w:t>
      </w:r>
      <w:r w:rsidR="0019443C" w:rsidRPr="00EB18DE">
        <w:rPr>
          <w:i/>
          <w:iCs/>
        </w:rPr>
        <w:t>Id.</w:t>
      </w:r>
    </w:p>
  </w:footnote>
  <w:footnote w:id="31">
    <w:p w14:paraId="2F2E2401" w14:textId="67B74203" w:rsidR="00F41900" w:rsidRPr="00B842D4" w:rsidRDefault="00F41900" w:rsidP="00EB18DE">
      <w:pPr>
        <w:pStyle w:val="FootnoteText"/>
        <w:spacing w:after="240"/>
      </w:pPr>
      <w:r w:rsidRPr="00B842D4">
        <w:rPr>
          <w:rStyle w:val="FootnoteReference"/>
        </w:rPr>
        <w:footnoteRef/>
      </w:r>
      <w:r w:rsidRPr="00B842D4">
        <w:t xml:space="preserve"> </w:t>
      </w:r>
      <w:r w:rsidRPr="00EB18DE">
        <w:rPr>
          <w:i/>
          <w:iCs/>
        </w:rPr>
        <w:t>Id.</w:t>
      </w:r>
    </w:p>
  </w:footnote>
  <w:footnote w:id="32">
    <w:p w14:paraId="70A2C1E5" w14:textId="7BC9A98A" w:rsidR="00933E8B" w:rsidRPr="00B842D4" w:rsidRDefault="00933E8B" w:rsidP="00EB18DE">
      <w:pPr>
        <w:pStyle w:val="FootnoteText"/>
        <w:spacing w:after="240"/>
      </w:pPr>
      <w:r w:rsidRPr="00B842D4">
        <w:rPr>
          <w:rStyle w:val="FootnoteReference"/>
        </w:rPr>
        <w:footnoteRef/>
      </w:r>
      <w:r w:rsidRPr="00B842D4">
        <w:t xml:space="preserve"> </w:t>
      </w:r>
      <w:r w:rsidR="0009082F" w:rsidRPr="00B842D4">
        <w:rPr>
          <w:i/>
          <w:iCs/>
        </w:rPr>
        <w:t>See</w:t>
      </w:r>
      <w:r w:rsidR="0009082F" w:rsidRPr="00B842D4">
        <w:t xml:space="preserve"> </w:t>
      </w:r>
      <w:proofErr w:type="gramStart"/>
      <w:r w:rsidR="0009082F" w:rsidRPr="00B842D4">
        <w:rPr>
          <w:i/>
          <w:iCs/>
        </w:rPr>
        <w:t>In</w:t>
      </w:r>
      <w:proofErr w:type="gramEnd"/>
      <w:r w:rsidR="0009082F" w:rsidRPr="00B842D4">
        <w:rPr>
          <w:i/>
          <w:iCs/>
        </w:rPr>
        <w:t xml:space="preserve"> the Matter of the Application of The Dayton Power and Light Company for Approval of a Non-Commodity Billing Process,</w:t>
      </w:r>
      <w:r w:rsidR="0009082F" w:rsidRPr="00B842D4">
        <w:t xml:space="preserve"> Case Nos. 19-860-EL-UNC et al., Application (Apr. 19,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7359" w14:textId="77777777" w:rsidR="00C64421" w:rsidRDefault="00C6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E93A4" w14:textId="77777777" w:rsidR="00C64421" w:rsidRDefault="00C64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2648" w14:textId="77777777" w:rsidR="00C64421" w:rsidRDefault="00C64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AD7"/>
    <w:multiLevelType w:val="hybridMultilevel"/>
    <w:tmpl w:val="E750744E"/>
    <w:lvl w:ilvl="0" w:tplc="22A69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817DB"/>
    <w:multiLevelType w:val="hybridMultilevel"/>
    <w:tmpl w:val="8160C7C4"/>
    <w:lvl w:ilvl="0" w:tplc="9730734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0465263"/>
    <w:multiLevelType w:val="hybridMultilevel"/>
    <w:tmpl w:val="29E8F74C"/>
    <w:lvl w:ilvl="0" w:tplc="ED44E66A">
      <w:start w:val="1"/>
      <w:numFmt w:val="upperLetter"/>
      <w:lvlText w:val="(%1)"/>
      <w:lvlJc w:val="left"/>
      <w:pPr>
        <w:ind w:left="450" w:hanging="400"/>
      </w:pPr>
      <w:rPr>
        <w:rFonts w:hint="default"/>
        <w:color w:val="00008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39453BB1"/>
    <w:multiLevelType w:val="hybridMultilevel"/>
    <w:tmpl w:val="ED880918"/>
    <w:lvl w:ilvl="0" w:tplc="119258B4">
      <w:start w:val="1"/>
      <w:numFmt w:val="upperRoman"/>
      <w:lvlText w:val="%1."/>
      <w:lvlJc w:val="left"/>
      <w:pPr>
        <w:ind w:left="1080" w:hanging="720"/>
      </w:pPr>
      <w:rPr>
        <w:rFonts w:hint="default"/>
      </w:rPr>
    </w:lvl>
    <w:lvl w:ilvl="1" w:tplc="A4306380">
      <w:start w:val="1"/>
      <w:numFmt w:val="upperLetter"/>
      <w:lvlText w:val="%2."/>
      <w:lvlJc w:val="left"/>
      <w:pPr>
        <w:ind w:left="1260" w:hanging="360"/>
      </w:pPr>
      <w:rPr>
        <w:rFonts w:hint="default"/>
      </w:rPr>
    </w:lvl>
    <w:lvl w:ilvl="2" w:tplc="C2B05C78">
      <w:start w:val="1"/>
      <w:numFmt w:val="decimal"/>
      <w:lvlText w:val="%3."/>
      <w:lvlJc w:val="left"/>
      <w:pPr>
        <w:ind w:left="1253" w:hanging="34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D6A0D"/>
    <w:multiLevelType w:val="hybridMultilevel"/>
    <w:tmpl w:val="3A7286C4"/>
    <w:lvl w:ilvl="0" w:tplc="8D162E5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C91B50"/>
    <w:multiLevelType w:val="hybridMultilevel"/>
    <w:tmpl w:val="FC24910A"/>
    <w:lvl w:ilvl="0" w:tplc="4940831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53F92"/>
    <w:multiLevelType w:val="hybridMultilevel"/>
    <w:tmpl w:val="BEC4FA78"/>
    <w:lvl w:ilvl="0" w:tplc="845C5C9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A29F6"/>
    <w:multiLevelType w:val="hybridMultilevel"/>
    <w:tmpl w:val="2EAA9F76"/>
    <w:lvl w:ilvl="0" w:tplc="8EDCFD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09129C"/>
    <w:multiLevelType w:val="hybridMultilevel"/>
    <w:tmpl w:val="CF3A6F9A"/>
    <w:lvl w:ilvl="0" w:tplc="C43E2592">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41095"/>
    <w:multiLevelType w:val="hybridMultilevel"/>
    <w:tmpl w:val="0CC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73A42"/>
    <w:multiLevelType w:val="hybridMultilevel"/>
    <w:tmpl w:val="79706426"/>
    <w:lvl w:ilvl="0" w:tplc="89CE2B3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71B54"/>
    <w:multiLevelType w:val="hybridMultilevel"/>
    <w:tmpl w:val="12CEA4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79395ABA"/>
    <w:multiLevelType w:val="hybridMultilevel"/>
    <w:tmpl w:val="AE40424C"/>
    <w:lvl w:ilvl="0" w:tplc="069E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D467AC"/>
    <w:multiLevelType w:val="hybridMultilevel"/>
    <w:tmpl w:val="34EEEE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937748"/>
    <w:multiLevelType w:val="hybridMultilevel"/>
    <w:tmpl w:val="A8BCC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
  </w:num>
  <w:num w:numId="4">
    <w:abstractNumId w:val="1"/>
  </w:num>
  <w:num w:numId="5">
    <w:abstractNumId w:val="8"/>
  </w:num>
  <w:num w:numId="6">
    <w:abstractNumId w:val="14"/>
  </w:num>
  <w:num w:numId="7">
    <w:abstractNumId w:val="9"/>
  </w:num>
  <w:num w:numId="8">
    <w:abstractNumId w:val="12"/>
  </w:num>
  <w:num w:numId="9">
    <w:abstractNumId w:val="3"/>
  </w:num>
  <w:num w:numId="10">
    <w:abstractNumId w:val="10"/>
  </w:num>
  <w:num w:numId="11">
    <w:abstractNumId w:val="5"/>
  </w:num>
  <w:num w:numId="12">
    <w:abstractNumId w:val="6"/>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10"/>
    <w:rsid w:val="0000145B"/>
    <w:rsid w:val="0000200A"/>
    <w:rsid w:val="00005A75"/>
    <w:rsid w:val="00007372"/>
    <w:rsid w:val="0001082F"/>
    <w:rsid w:val="00012AFA"/>
    <w:rsid w:val="00013B09"/>
    <w:rsid w:val="00016E03"/>
    <w:rsid w:val="000320EF"/>
    <w:rsid w:val="00034F98"/>
    <w:rsid w:val="00040FAC"/>
    <w:rsid w:val="000519DE"/>
    <w:rsid w:val="00051BEC"/>
    <w:rsid w:val="000651C7"/>
    <w:rsid w:val="0006710E"/>
    <w:rsid w:val="000706BD"/>
    <w:rsid w:val="00074C54"/>
    <w:rsid w:val="00082AB0"/>
    <w:rsid w:val="000848F4"/>
    <w:rsid w:val="00087C07"/>
    <w:rsid w:val="00087DF9"/>
    <w:rsid w:val="00090404"/>
    <w:rsid w:val="0009082F"/>
    <w:rsid w:val="00091586"/>
    <w:rsid w:val="000936D4"/>
    <w:rsid w:val="0009728E"/>
    <w:rsid w:val="00097D98"/>
    <w:rsid w:val="00097F51"/>
    <w:rsid w:val="000A18BE"/>
    <w:rsid w:val="000A2212"/>
    <w:rsid w:val="000A3E19"/>
    <w:rsid w:val="000A60B1"/>
    <w:rsid w:val="000A6A1A"/>
    <w:rsid w:val="000B0B91"/>
    <w:rsid w:val="000B1E62"/>
    <w:rsid w:val="000B32DF"/>
    <w:rsid w:val="000B44D6"/>
    <w:rsid w:val="000C1B36"/>
    <w:rsid w:val="000C1E80"/>
    <w:rsid w:val="000C6289"/>
    <w:rsid w:val="000C64A3"/>
    <w:rsid w:val="000D35C1"/>
    <w:rsid w:val="000E2371"/>
    <w:rsid w:val="000E2640"/>
    <w:rsid w:val="000E4B97"/>
    <w:rsid w:val="000F0C04"/>
    <w:rsid w:val="000F4214"/>
    <w:rsid w:val="000F677A"/>
    <w:rsid w:val="00101FE3"/>
    <w:rsid w:val="00110334"/>
    <w:rsid w:val="0012335F"/>
    <w:rsid w:val="0012473E"/>
    <w:rsid w:val="0012535B"/>
    <w:rsid w:val="00130328"/>
    <w:rsid w:val="00135675"/>
    <w:rsid w:val="00137369"/>
    <w:rsid w:val="001376F1"/>
    <w:rsid w:val="0014256A"/>
    <w:rsid w:val="00144090"/>
    <w:rsid w:val="0014498F"/>
    <w:rsid w:val="00147B2A"/>
    <w:rsid w:val="00150BEC"/>
    <w:rsid w:val="00154581"/>
    <w:rsid w:val="00157139"/>
    <w:rsid w:val="0016043E"/>
    <w:rsid w:val="0016231D"/>
    <w:rsid w:val="00162783"/>
    <w:rsid w:val="00163593"/>
    <w:rsid w:val="00164D57"/>
    <w:rsid w:val="0017195F"/>
    <w:rsid w:val="00176B27"/>
    <w:rsid w:val="00180274"/>
    <w:rsid w:val="0018207D"/>
    <w:rsid w:val="00184FE0"/>
    <w:rsid w:val="0018799A"/>
    <w:rsid w:val="001879E4"/>
    <w:rsid w:val="001926AE"/>
    <w:rsid w:val="00192B2D"/>
    <w:rsid w:val="00193983"/>
    <w:rsid w:val="0019443C"/>
    <w:rsid w:val="00195FA3"/>
    <w:rsid w:val="001A15B7"/>
    <w:rsid w:val="001A200A"/>
    <w:rsid w:val="001B063B"/>
    <w:rsid w:val="001B0692"/>
    <w:rsid w:val="001B2038"/>
    <w:rsid w:val="001B3FE7"/>
    <w:rsid w:val="001B6776"/>
    <w:rsid w:val="001C120D"/>
    <w:rsid w:val="001C1530"/>
    <w:rsid w:val="001C328D"/>
    <w:rsid w:val="001C3EE9"/>
    <w:rsid w:val="001C7C30"/>
    <w:rsid w:val="001D1844"/>
    <w:rsid w:val="001E6A75"/>
    <w:rsid w:val="001F4126"/>
    <w:rsid w:val="002009E6"/>
    <w:rsid w:val="002101A9"/>
    <w:rsid w:val="002103E7"/>
    <w:rsid w:val="002109D8"/>
    <w:rsid w:val="002202F6"/>
    <w:rsid w:val="0022046F"/>
    <w:rsid w:val="00222DBC"/>
    <w:rsid w:val="00233794"/>
    <w:rsid w:val="00237550"/>
    <w:rsid w:val="00240CEC"/>
    <w:rsid w:val="00241F72"/>
    <w:rsid w:val="002562B7"/>
    <w:rsid w:val="0026088F"/>
    <w:rsid w:val="00264A1D"/>
    <w:rsid w:val="002742BD"/>
    <w:rsid w:val="00283687"/>
    <w:rsid w:val="00283DEF"/>
    <w:rsid w:val="002854E4"/>
    <w:rsid w:val="00292233"/>
    <w:rsid w:val="00295273"/>
    <w:rsid w:val="002974D2"/>
    <w:rsid w:val="00297C28"/>
    <w:rsid w:val="002A3FCE"/>
    <w:rsid w:val="002A4111"/>
    <w:rsid w:val="002A47D7"/>
    <w:rsid w:val="002A57BB"/>
    <w:rsid w:val="002B0278"/>
    <w:rsid w:val="002B03D3"/>
    <w:rsid w:val="002B2570"/>
    <w:rsid w:val="002B467F"/>
    <w:rsid w:val="002C576A"/>
    <w:rsid w:val="002C67A1"/>
    <w:rsid w:val="002D0A8E"/>
    <w:rsid w:val="002D132A"/>
    <w:rsid w:val="002D3FA2"/>
    <w:rsid w:val="002D7A86"/>
    <w:rsid w:val="002E3882"/>
    <w:rsid w:val="002E462E"/>
    <w:rsid w:val="002F10A1"/>
    <w:rsid w:val="002F547F"/>
    <w:rsid w:val="002F5E54"/>
    <w:rsid w:val="002F6285"/>
    <w:rsid w:val="003049D2"/>
    <w:rsid w:val="00310A84"/>
    <w:rsid w:val="00311A07"/>
    <w:rsid w:val="003200BF"/>
    <w:rsid w:val="003223EB"/>
    <w:rsid w:val="003253C5"/>
    <w:rsid w:val="00332AF5"/>
    <w:rsid w:val="003348B9"/>
    <w:rsid w:val="00335056"/>
    <w:rsid w:val="00335E38"/>
    <w:rsid w:val="00336831"/>
    <w:rsid w:val="00337F28"/>
    <w:rsid w:val="00341A1E"/>
    <w:rsid w:val="0034446D"/>
    <w:rsid w:val="00344A40"/>
    <w:rsid w:val="00345D6D"/>
    <w:rsid w:val="00346A36"/>
    <w:rsid w:val="00346F00"/>
    <w:rsid w:val="00350860"/>
    <w:rsid w:val="00351556"/>
    <w:rsid w:val="00366EB7"/>
    <w:rsid w:val="003714E7"/>
    <w:rsid w:val="003714EB"/>
    <w:rsid w:val="0037574A"/>
    <w:rsid w:val="00380F2F"/>
    <w:rsid w:val="00385D41"/>
    <w:rsid w:val="0039211D"/>
    <w:rsid w:val="003A1C7C"/>
    <w:rsid w:val="003B029D"/>
    <w:rsid w:val="003B187F"/>
    <w:rsid w:val="003C15BB"/>
    <w:rsid w:val="003C2776"/>
    <w:rsid w:val="003C4077"/>
    <w:rsid w:val="003C4C5E"/>
    <w:rsid w:val="003D0C1D"/>
    <w:rsid w:val="003D5DCA"/>
    <w:rsid w:val="003D7690"/>
    <w:rsid w:val="003E10AA"/>
    <w:rsid w:val="003E461A"/>
    <w:rsid w:val="003E5541"/>
    <w:rsid w:val="003E5F5F"/>
    <w:rsid w:val="003E7141"/>
    <w:rsid w:val="003F2FD8"/>
    <w:rsid w:val="003F41A4"/>
    <w:rsid w:val="003F7A76"/>
    <w:rsid w:val="00403CF3"/>
    <w:rsid w:val="004058C1"/>
    <w:rsid w:val="00406B0E"/>
    <w:rsid w:val="00406BBC"/>
    <w:rsid w:val="00410E5E"/>
    <w:rsid w:val="00413F8C"/>
    <w:rsid w:val="00415905"/>
    <w:rsid w:val="00422FB5"/>
    <w:rsid w:val="004240B4"/>
    <w:rsid w:val="00427C41"/>
    <w:rsid w:val="0043344E"/>
    <w:rsid w:val="0044029D"/>
    <w:rsid w:val="00440410"/>
    <w:rsid w:val="004414AB"/>
    <w:rsid w:val="00445576"/>
    <w:rsid w:val="00445826"/>
    <w:rsid w:val="0044715B"/>
    <w:rsid w:val="00451F9B"/>
    <w:rsid w:val="00457587"/>
    <w:rsid w:val="004622AB"/>
    <w:rsid w:val="00463834"/>
    <w:rsid w:val="0046445C"/>
    <w:rsid w:val="004649DE"/>
    <w:rsid w:val="004677AC"/>
    <w:rsid w:val="00475065"/>
    <w:rsid w:val="004778CA"/>
    <w:rsid w:val="00477AB7"/>
    <w:rsid w:val="004846AD"/>
    <w:rsid w:val="00484AEC"/>
    <w:rsid w:val="004919C3"/>
    <w:rsid w:val="00492093"/>
    <w:rsid w:val="00494A02"/>
    <w:rsid w:val="00495FFD"/>
    <w:rsid w:val="004970C8"/>
    <w:rsid w:val="004A1E11"/>
    <w:rsid w:val="004A68C4"/>
    <w:rsid w:val="004B2C95"/>
    <w:rsid w:val="004B5C2F"/>
    <w:rsid w:val="004B65A1"/>
    <w:rsid w:val="004B6624"/>
    <w:rsid w:val="004B7283"/>
    <w:rsid w:val="004C1380"/>
    <w:rsid w:val="004C15B3"/>
    <w:rsid w:val="004C2CD5"/>
    <w:rsid w:val="004C376B"/>
    <w:rsid w:val="004D0FB0"/>
    <w:rsid w:val="004D4B79"/>
    <w:rsid w:val="004E055D"/>
    <w:rsid w:val="004E24ED"/>
    <w:rsid w:val="004E3286"/>
    <w:rsid w:val="004E3534"/>
    <w:rsid w:val="004E5B4E"/>
    <w:rsid w:val="00502064"/>
    <w:rsid w:val="0050420F"/>
    <w:rsid w:val="00505E58"/>
    <w:rsid w:val="00507461"/>
    <w:rsid w:val="00510729"/>
    <w:rsid w:val="00513492"/>
    <w:rsid w:val="00533ECE"/>
    <w:rsid w:val="005351E3"/>
    <w:rsid w:val="00535AB9"/>
    <w:rsid w:val="00540BD5"/>
    <w:rsid w:val="00545474"/>
    <w:rsid w:val="00552238"/>
    <w:rsid w:val="00552EF1"/>
    <w:rsid w:val="00553EBD"/>
    <w:rsid w:val="00556996"/>
    <w:rsid w:val="005569C9"/>
    <w:rsid w:val="00556A85"/>
    <w:rsid w:val="00572C78"/>
    <w:rsid w:val="00575D3D"/>
    <w:rsid w:val="00583629"/>
    <w:rsid w:val="005961B5"/>
    <w:rsid w:val="005964B1"/>
    <w:rsid w:val="00597B1F"/>
    <w:rsid w:val="005A3271"/>
    <w:rsid w:val="005B0066"/>
    <w:rsid w:val="005B0D56"/>
    <w:rsid w:val="005B131F"/>
    <w:rsid w:val="005C003A"/>
    <w:rsid w:val="005C0C68"/>
    <w:rsid w:val="005C3FAC"/>
    <w:rsid w:val="005C6187"/>
    <w:rsid w:val="005C69C3"/>
    <w:rsid w:val="005C7302"/>
    <w:rsid w:val="005D3F3C"/>
    <w:rsid w:val="005E05C7"/>
    <w:rsid w:val="005E764A"/>
    <w:rsid w:val="005E79F9"/>
    <w:rsid w:val="005F3060"/>
    <w:rsid w:val="005F3427"/>
    <w:rsid w:val="0060182D"/>
    <w:rsid w:val="00605DEA"/>
    <w:rsid w:val="00610791"/>
    <w:rsid w:val="006137EB"/>
    <w:rsid w:val="006255F3"/>
    <w:rsid w:val="006256C0"/>
    <w:rsid w:val="00637E7A"/>
    <w:rsid w:val="006407A0"/>
    <w:rsid w:val="0064168F"/>
    <w:rsid w:val="0064220E"/>
    <w:rsid w:val="00655790"/>
    <w:rsid w:val="00657E21"/>
    <w:rsid w:val="0066059D"/>
    <w:rsid w:val="00662F54"/>
    <w:rsid w:val="0067187A"/>
    <w:rsid w:val="006813C9"/>
    <w:rsid w:val="0068653C"/>
    <w:rsid w:val="00687CA8"/>
    <w:rsid w:val="00687CE1"/>
    <w:rsid w:val="00691EBD"/>
    <w:rsid w:val="0069217F"/>
    <w:rsid w:val="006A0D7A"/>
    <w:rsid w:val="006A73AB"/>
    <w:rsid w:val="006B315C"/>
    <w:rsid w:val="006B5B9B"/>
    <w:rsid w:val="006B71E6"/>
    <w:rsid w:val="006C02C8"/>
    <w:rsid w:val="006C03C8"/>
    <w:rsid w:val="006D2E15"/>
    <w:rsid w:val="006D65F8"/>
    <w:rsid w:val="006D6DBE"/>
    <w:rsid w:val="006E26AB"/>
    <w:rsid w:val="006E3405"/>
    <w:rsid w:val="006E3DC6"/>
    <w:rsid w:val="006E5134"/>
    <w:rsid w:val="006F20C5"/>
    <w:rsid w:val="006F53F8"/>
    <w:rsid w:val="00702DA3"/>
    <w:rsid w:val="00703AFD"/>
    <w:rsid w:val="00707F7E"/>
    <w:rsid w:val="00711A57"/>
    <w:rsid w:val="00712969"/>
    <w:rsid w:val="007143E6"/>
    <w:rsid w:val="00716C4E"/>
    <w:rsid w:val="00731150"/>
    <w:rsid w:val="00737688"/>
    <w:rsid w:val="007408AF"/>
    <w:rsid w:val="0074460A"/>
    <w:rsid w:val="00747659"/>
    <w:rsid w:val="00751595"/>
    <w:rsid w:val="00751F13"/>
    <w:rsid w:val="00753DA1"/>
    <w:rsid w:val="007548D7"/>
    <w:rsid w:val="0076287C"/>
    <w:rsid w:val="00763C6D"/>
    <w:rsid w:val="0076686D"/>
    <w:rsid w:val="00773FD5"/>
    <w:rsid w:val="00776E53"/>
    <w:rsid w:val="007839EF"/>
    <w:rsid w:val="00784858"/>
    <w:rsid w:val="00792109"/>
    <w:rsid w:val="00792864"/>
    <w:rsid w:val="00793839"/>
    <w:rsid w:val="007948C1"/>
    <w:rsid w:val="007968A8"/>
    <w:rsid w:val="007A0E11"/>
    <w:rsid w:val="007A49A8"/>
    <w:rsid w:val="007A728D"/>
    <w:rsid w:val="007B1035"/>
    <w:rsid w:val="007B6934"/>
    <w:rsid w:val="007B7C4E"/>
    <w:rsid w:val="007C23BB"/>
    <w:rsid w:val="007D29BE"/>
    <w:rsid w:val="007D3EB8"/>
    <w:rsid w:val="007E1E9C"/>
    <w:rsid w:val="007E2E5A"/>
    <w:rsid w:val="007E6F2D"/>
    <w:rsid w:val="007F0F38"/>
    <w:rsid w:val="007F3EA3"/>
    <w:rsid w:val="007F462D"/>
    <w:rsid w:val="007F4CDA"/>
    <w:rsid w:val="007F6474"/>
    <w:rsid w:val="008000D1"/>
    <w:rsid w:val="00801544"/>
    <w:rsid w:val="00801B4D"/>
    <w:rsid w:val="00802CB2"/>
    <w:rsid w:val="008045AD"/>
    <w:rsid w:val="00805B2E"/>
    <w:rsid w:val="0081060C"/>
    <w:rsid w:val="00812811"/>
    <w:rsid w:val="00812ED0"/>
    <w:rsid w:val="008179B2"/>
    <w:rsid w:val="00832A83"/>
    <w:rsid w:val="008348E4"/>
    <w:rsid w:val="00844843"/>
    <w:rsid w:val="00846B4D"/>
    <w:rsid w:val="00850AFA"/>
    <w:rsid w:val="00850D8F"/>
    <w:rsid w:val="0085268A"/>
    <w:rsid w:val="00860D0F"/>
    <w:rsid w:val="00860EA5"/>
    <w:rsid w:val="008624B6"/>
    <w:rsid w:val="00863385"/>
    <w:rsid w:val="00863E2D"/>
    <w:rsid w:val="00865072"/>
    <w:rsid w:val="00872106"/>
    <w:rsid w:val="00873DDF"/>
    <w:rsid w:val="00876786"/>
    <w:rsid w:val="0088286A"/>
    <w:rsid w:val="008834BD"/>
    <w:rsid w:val="00885BB6"/>
    <w:rsid w:val="00886230"/>
    <w:rsid w:val="0089279F"/>
    <w:rsid w:val="00894060"/>
    <w:rsid w:val="008941AF"/>
    <w:rsid w:val="008A59ED"/>
    <w:rsid w:val="008A6850"/>
    <w:rsid w:val="008B0FF0"/>
    <w:rsid w:val="008B2AF1"/>
    <w:rsid w:val="008B6216"/>
    <w:rsid w:val="008C1114"/>
    <w:rsid w:val="008C1618"/>
    <w:rsid w:val="008C3973"/>
    <w:rsid w:val="008C4154"/>
    <w:rsid w:val="008C6227"/>
    <w:rsid w:val="008D088B"/>
    <w:rsid w:val="008D0AE3"/>
    <w:rsid w:val="008D1090"/>
    <w:rsid w:val="008D417E"/>
    <w:rsid w:val="008D7A6D"/>
    <w:rsid w:val="008E14BC"/>
    <w:rsid w:val="008E281B"/>
    <w:rsid w:val="008E4771"/>
    <w:rsid w:val="008E7947"/>
    <w:rsid w:val="008F064C"/>
    <w:rsid w:val="008F2D89"/>
    <w:rsid w:val="008F35C4"/>
    <w:rsid w:val="008F4850"/>
    <w:rsid w:val="008F74DB"/>
    <w:rsid w:val="00902DCA"/>
    <w:rsid w:val="009037F0"/>
    <w:rsid w:val="009100E4"/>
    <w:rsid w:val="00910428"/>
    <w:rsid w:val="00913A44"/>
    <w:rsid w:val="00915D51"/>
    <w:rsid w:val="00923FCA"/>
    <w:rsid w:val="009255F8"/>
    <w:rsid w:val="00925F6B"/>
    <w:rsid w:val="00926776"/>
    <w:rsid w:val="00933E8B"/>
    <w:rsid w:val="00935063"/>
    <w:rsid w:val="00935348"/>
    <w:rsid w:val="00942C9A"/>
    <w:rsid w:val="009437EB"/>
    <w:rsid w:val="009455C0"/>
    <w:rsid w:val="00946E3F"/>
    <w:rsid w:val="009470D1"/>
    <w:rsid w:val="0095008D"/>
    <w:rsid w:val="00950824"/>
    <w:rsid w:val="009551BE"/>
    <w:rsid w:val="00962B83"/>
    <w:rsid w:val="00962C2A"/>
    <w:rsid w:val="009642E1"/>
    <w:rsid w:val="00966056"/>
    <w:rsid w:val="0096777F"/>
    <w:rsid w:val="00967C5E"/>
    <w:rsid w:val="00970571"/>
    <w:rsid w:val="00971BE8"/>
    <w:rsid w:val="00980823"/>
    <w:rsid w:val="00984285"/>
    <w:rsid w:val="0098580D"/>
    <w:rsid w:val="00994B8C"/>
    <w:rsid w:val="00994B9D"/>
    <w:rsid w:val="009968F5"/>
    <w:rsid w:val="00997C23"/>
    <w:rsid w:val="009A13D2"/>
    <w:rsid w:val="009A3324"/>
    <w:rsid w:val="009C2211"/>
    <w:rsid w:val="009C302D"/>
    <w:rsid w:val="009C72F3"/>
    <w:rsid w:val="009C7BC9"/>
    <w:rsid w:val="009D2CD0"/>
    <w:rsid w:val="009E205A"/>
    <w:rsid w:val="009E2A49"/>
    <w:rsid w:val="009E6707"/>
    <w:rsid w:val="009E7B89"/>
    <w:rsid w:val="009F4ABB"/>
    <w:rsid w:val="009F57A5"/>
    <w:rsid w:val="00A03284"/>
    <w:rsid w:val="00A10456"/>
    <w:rsid w:val="00A11648"/>
    <w:rsid w:val="00A152AD"/>
    <w:rsid w:val="00A16B2C"/>
    <w:rsid w:val="00A16C55"/>
    <w:rsid w:val="00A32BFE"/>
    <w:rsid w:val="00A42380"/>
    <w:rsid w:val="00A4592E"/>
    <w:rsid w:val="00A559BE"/>
    <w:rsid w:val="00A56ACC"/>
    <w:rsid w:val="00A5740E"/>
    <w:rsid w:val="00A6096F"/>
    <w:rsid w:val="00A61789"/>
    <w:rsid w:val="00A61CE3"/>
    <w:rsid w:val="00A623E7"/>
    <w:rsid w:val="00A62530"/>
    <w:rsid w:val="00A629FE"/>
    <w:rsid w:val="00A62BA5"/>
    <w:rsid w:val="00A6391B"/>
    <w:rsid w:val="00A66E26"/>
    <w:rsid w:val="00A67210"/>
    <w:rsid w:val="00A67A4D"/>
    <w:rsid w:val="00A70078"/>
    <w:rsid w:val="00A72BF3"/>
    <w:rsid w:val="00A7680D"/>
    <w:rsid w:val="00A80068"/>
    <w:rsid w:val="00A81E9C"/>
    <w:rsid w:val="00A85502"/>
    <w:rsid w:val="00AA1086"/>
    <w:rsid w:val="00AA4597"/>
    <w:rsid w:val="00AA64B4"/>
    <w:rsid w:val="00AC0810"/>
    <w:rsid w:val="00AC0E36"/>
    <w:rsid w:val="00AC539F"/>
    <w:rsid w:val="00AC7561"/>
    <w:rsid w:val="00AD04EF"/>
    <w:rsid w:val="00AD162F"/>
    <w:rsid w:val="00AD2237"/>
    <w:rsid w:val="00AE18DF"/>
    <w:rsid w:val="00AE3DBF"/>
    <w:rsid w:val="00AE6C7F"/>
    <w:rsid w:val="00AF0F8A"/>
    <w:rsid w:val="00AF2B9C"/>
    <w:rsid w:val="00AF3CBD"/>
    <w:rsid w:val="00AF5FA6"/>
    <w:rsid w:val="00B012F8"/>
    <w:rsid w:val="00B0130F"/>
    <w:rsid w:val="00B0185B"/>
    <w:rsid w:val="00B04676"/>
    <w:rsid w:val="00B05986"/>
    <w:rsid w:val="00B104EB"/>
    <w:rsid w:val="00B201C6"/>
    <w:rsid w:val="00B23614"/>
    <w:rsid w:val="00B26A3F"/>
    <w:rsid w:val="00B41796"/>
    <w:rsid w:val="00B4333E"/>
    <w:rsid w:val="00B45FD9"/>
    <w:rsid w:val="00B461C1"/>
    <w:rsid w:val="00B5126A"/>
    <w:rsid w:val="00B5525F"/>
    <w:rsid w:val="00B6293B"/>
    <w:rsid w:val="00B6534A"/>
    <w:rsid w:val="00B678B7"/>
    <w:rsid w:val="00B70B1A"/>
    <w:rsid w:val="00B72303"/>
    <w:rsid w:val="00B74259"/>
    <w:rsid w:val="00B842D4"/>
    <w:rsid w:val="00B85768"/>
    <w:rsid w:val="00B87CDA"/>
    <w:rsid w:val="00B87D48"/>
    <w:rsid w:val="00B90F80"/>
    <w:rsid w:val="00B93C2A"/>
    <w:rsid w:val="00BA0712"/>
    <w:rsid w:val="00BB0322"/>
    <w:rsid w:val="00BB465E"/>
    <w:rsid w:val="00BB4C1C"/>
    <w:rsid w:val="00BC31EC"/>
    <w:rsid w:val="00BC3634"/>
    <w:rsid w:val="00BC4117"/>
    <w:rsid w:val="00BC4927"/>
    <w:rsid w:val="00BC6209"/>
    <w:rsid w:val="00BC786C"/>
    <w:rsid w:val="00BD6E13"/>
    <w:rsid w:val="00BE1F02"/>
    <w:rsid w:val="00BF25EC"/>
    <w:rsid w:val="00BF3DD3"/>
    <w:rsid w:val="00BF5F8E"/>
    <w:rsid w:val="00C03F31"/>
    <w:rsid w:val="00C143AC"/>
    <w:rsid w:val="00C1587C"/>
    <w:rsid w:val="00C160A2"/>
    <w:rsid w:val="00C2304A"/>
    <w:rsid w:val="00C244F6"/>
    <w:rsid w:val="00C27C5E"/>
    <w:rsid w:val="00C30019"/>
    <w:rsid w:val="00C32F93"/>
    <w:rsid w:val="00C33992"/>
    <w:rsid w:val="00C33D3A"/>
    <w:rsid w:val="00C465A2"/>
    <w:rsid w:val="00C476A7"/>
    <w:rsid w:val="00C554CC"/>
    <w:rsid w:val="00C56E75"/>
    <w:rsid w:val="00C64421"/>
    <w:rsid w:val="00C64C60"/>
    <w:rsid w:val="00C72C9E"/>
    <w:rsid w:val="00C7637E"/>
    <w:rsid w:val="00C763BA"/>
    <w:rsid w:val="00C7675A"/>
    <w:rsid w:val="00C8481F"/>
    <w:rsid w:val="00C87287"/>
    <w:rsid w:val="00C926B8"/>
    <w:rsid w:val="00C94252"/>
    <w:rsid w:val="00C9655E"/>
    <w:rsid w:val="00CA3B46"/>
    <w:rsid w:val="00CA3F14"/>
    <w:rsid w:val="00CA63A6"/>
    <w:rsid w:val="00CB11E9"/>
    <w:rsid w:val="00CB3019"/>
    <w:rsid w:val="00CB69CD"/>
    <w:rsid w:val="00CB7332"/>
    <w:rsid w:val="00CC6694"/>
    <w:rsid w:val="00CC7CFC"/>
    <w:rsid w:val="00CD0001"/>
    <w:rsid w:val="00CE379F"/>
    <w:rsid w:val="00CE74DB"/>
    <w:rsid w:val="00D038BC"/>
    <w:rsid w:val="00D03A5F"/>
    <w:rsid w:val="00D03DE9"/>
    <w:rsid w:val="00D076FA"/>
    <w:rsid w:val="00D112B5"/>
    <w:rsid w:val="00D11ABF"/>
    <w:rsid w:val="00D128BA"/>
    <w:rsid w:val="00D143ED"/>
    <w:rsid w:val="00D1481C"/>
    <w:rsid w:val="00D15BD6"/>
    <w:rsid w:val="00D15C7B"/>
    <w:rsid w:val="00D20C97"/>
    <w:rsid w:val="00D50215"/>
    <w:rsid w:val="00D5022F"/>
    <w:rsid w:val="00D517E5"/>
    <w:rsid w:val="00D522E7"/>
    <w:rsid w:val="00D54200"/>
    <w:rsid w:val="00D73ECB"/>
    <w:rsid w:val="00D74698"/>
    <w:rsid w:val="00D76C35"/>
    <w:rsid w:val="00D81248"/>
    <w:rsid w:val="00D818E4"/>
    <w:rsid w:val="00D82F5B"/>
    <w:rsid w:val="00D92EF0"/>
    <w:rsid w:val="00D9399B"/>
    <w:rsid w:val="00D94DE2"/>
    <w:rsid w:val="00D974A1"/>
    <w:rsid w:val="00D9795C"/>
    <w:rsid w:val="00DA646B"/>
    <w:rsid w:val="00DB02A2"/>
    <w:rsid w:val="00DB2DBC"/>
    <w:rsid w:val="00DB363D"/>
    <w:rsid w:val="00DB708D"/>
    <w:rsid w:val="00DC0529"/>
    <w:rsid w:val="00DC3E4B"/>
    <w:rsid w:val="00DC7DC4"/>
    <w:rsid w:val="00DD0550"/>
    <w:rsid w:val="00DD7C54"/>
    <w:rsid w:val="00DE03CD"/>
    <w:rsid w:val="00DE701D"/>
    <w:rsid w:val="00E038D4"/>
    <w:rsid w:val="00E153BE"/>
    <w:rsid w:val="00E16F86"/>
    <w:rsid w:val="00E21977"/>
    <w:rsid w:val="00E23D1D"/>
    <w:rsid w:val="00E305FF"/>
    <w:rsid w:val="00E32130"/>
    <w:rsid w:val="00E3634C"/>
    <w:rsid w:val="00E36473"/>
    <w:rsid w:val="00E3694A"/>
    <w:rsid w:val="00E46000"/>
    <w:rsid w:val="00E50C50"/>
    <w:rsid w:val="00E51F34"/>
    <w:rsid w:val="00E52810"/>
    <w:rsid w:val="00E53C70"/>
    <w:rsid w:val="00E548AE"/>
    <w:rsid w:val="00E61C6A"/>
    <w:rsid w:val="00E6215B"/>
    <w:rsid w:val="00E707AA"/>
    <w:rsid w:val="00E72EAD"/>
    <w:rsid w:val="00E80273"/>
    <w:rsid w:val="00E85903"/>
    <w:rsid w:val="00E93303"/>
    <w:rsid w:val="00E96136"/>
    <w:rsid w:val="00E9760C"/>
    <w:rsid w:val="00EA515D"/>
    <w:rsid w:val="00EA56CC"/>
    <w:rsid w:val="00EB079C"/>
    <w:rsid w:val="00EB0866"/>
    <w:rsid w:val="00EB18DE"/>
    <w:rsid w:val="00EB7435"/>
    <w:rsid w:val="00EC0164"/>
    <w:rsid w:val="00ED33EB"/>
    <w:rsid w:val="00ED7787"/>
    <w:rsid w:val="00EF0C1F"/>
    <w:rsid w:val="00EF12EA"/>
    <w:rsid w:val="00EF6B5A"/>
    <w:rsid w:val="00EF72B9"/>
    <w:rsid w:val="00F1229C"/>
    <w:rsid w:val="00F126EE"/>
    <w:rsid w:val="00F1372A"/>
    <w:rsid w:val="00F201EF"/>
    <w:rsid w:val="00F25073"/>
    <w:rsid w:val="00F30050"/>
    <w:rsid w:val="00F30C9B"/>
    <w:rsid w:val="00F31E99"/>
    <w:rsid w:val="00F32D41"/>
    <w:rsid w:val="00F371F5"/>
    <w:rsid w:val="00F411F6"/>
    <w:rsid w:val="00F41900"/>
    <w:rsid w:val="00F44532"/>
    <w:rsid w:val="00F45B90"/>
    <w:rsid w:val="00F45BAA"/>
    <w:rsid w:val="00F51CE9"/>
    <w:rsid w:val="00F52D99"/>
    <w:rsid w:val="00F60091"/>
    <w:rsid w:val="00F60274"/>
    <w:rsid w:val="00F60CAF"/>
    <w:rsid w:val="00F6287E"/>
    <w:rsid w:val="00F629CD"/>
    <w:rsid w:val="00F6383F"/>
    <w:rsid w:val="00F807E6"/>
    <w:rsid w:val="00F81982"/>
    <w:rsid w:val="00F82509"/>
    <w:rsid w:val="00F923AF"/>
    <w:rsid w:val="00F96253"/>
    <w:rsid w:val="00FA36F8"/>
    <w:rsid w:val="00FA615E"/>
    <w:rsid w:val="00FA6979"/>
    <w:rsid w:val="00FB1919"/>
    <w:rsid w:val="00FC5325"/>
    <w:rsid w:val="00FC62E6"/>
    <w:rsid w:val="00FC7406"/>
    <w:rsid w:val="00FD671D"/>
    <w:rsid w:val="00FE37C6"/>
    <w:rsid w:val="00FE3951"/>
    <w:rsid w:val="00FE3958"/>
    <w:rsid w:val="00FE7265"/>
    <w:rsid w:val="00FF2E51"/>
    <w:rsid w:val="00FF30CE"/>
    <w:rsid w:val="00FF3B28"/>
    <w:rsid w:val="00FF4BBD"/>
    <w:rsid w:val="00FF5231"/>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10"/>
    <w:pPr>
      <w:ind w:left="720"/>
      <w:contextualSpacing/>
    </w:pPr>
  </w:style>
  <w:style w:type="paragraph" w:styleId="FootnoteText">
    <w:name w:val="footnote text"/>
    <w:link w:val="FootnoteTextChar"/>
    <w:uiPriority w:val="99"/>
    <w:unhideWhenUsed/>
    <w:rsid w:val="001B063B"/>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rsid w:val="001B063B"/>
    <w:rPr>
      <w:rFonts w:ascii="Arial" w:hAnsi="Arial"/>
      <w:sz w:val="20"/>
      <w:szCs w:val="20"/>
    </w:rPr>
  </w:style>
  <w:style w:type="character" w:styleId="FootnoteReference">
    <w:name w:val="footnote reference"/>
    <w:basedOn w:val="DefaultParagraphFont"/>
    <w:uiPriority w:val="99"/>
    <w:semiHidden/>
    <w:unhideWhenUsed/>
    <w:rsid w:val="00406B0E"/>
    <w:rPr>
      <w:vertAlign w:val="superscript"/>
    </w:rPr>
  </w:style>
  <w:style w:type="character" w:styleId="Hyperlink">
    <w:name w:val="Hyperlink"/>
    <w:basedOn w:val="DefaultParagraphFont"/>
    <w:uiPriority w:val="99"/>
    <w:unhideWhenUsed/>
    <w:rsid w:val="00A32BFE"/>
    <w:rPr>
      <w:color w:val="0563C1" w:themeColor="hyperlink"/>
      <w:u w:val="single"/>
    </w:rPr>
  </w:style>
  <w:style w:type="paragraph" w:styleId="Title">
    <w:name w:val="Title"/>
    <w:basedOn w:val="Normal"/>
    <w:link w:val="TitleChar"/>
    <w:qFormat/>
    <w:rsid w:val="002101A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101A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7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53"/>
  </w:style>
  <w:style w:type="paragraph" w:styleId="Footer">
    <w:name w:val="footer"/>
    <w:basedOn w:val="Normal"/>
    <w:link w:val="FooterChar"/>
    <w:uiPriority w:val="99"/>
    <w:unhideWhenUsed/>
    <w:rsid w:val="0077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53"/>
  </w:style>
  <w:style w:type="character" w:styleId="CommentReference">
    <w:name w:val="annotation reference"/>
    <w:basedOn w:val="DefaultParagraphFont"/>
    <w:uiPriority w:val="99"/>
    <w:semiHidden/>
    <w:unhideWhenUsed/>
    <w:rsid w:val="00737688"/>
    <w:rPr>
      <w:sz w:val="16"/>
      <w:szCs w:val="16"/>
    </w:rPr>
  </w:style>
  <w:style w:type="paragraph" w:styleId="CommentText">
    <w:name w:val="annotation text"/>
    <w:basedOn w:val="Normal"/>
    <w:link w:val="CommentTextChar"/>
    <w:uiPriority w:val="99"/>
    <w:semiHidden/>
    <w:unhideWhenUsed/>
    <w:rsid w:val="00737688"/>
    <w:pPr>
      <w:spacing w:line="240" w:lineRule="auto"/>
    </w:pPr>
    <w:rPr>
      <w:sz w:val="20"/>
      <w:szCs w:val="20"/>
    </w:rPr>
  </w:style>
  <w:style w:type="character" w:customStyle="1" w:styleId="CommentTextChar">
    <w:name w:val="Comment Text Char"/>
    <w:basedOn w:val="DefaultParagraphFont"/>
    <w:link w:val="CommentText"/>
    <w:uiPriority w:val="99"/>
    <w:semiHidden/>
    <w:rsid w:val="00737688"/>
    <w:rPr>
      <w:sz w:val="20"/>
      <w:szCs w:val="20"/>
    </w:rPr>
  </w:style>
  <w:style w:type="paragraph" w:styleId="CommentSubject">
    <w:name w:val="annotation subject"/>
    <w:basedOn w:val="CommentText"/>
    <w:next w:val="CommentText"/>
    <w:link w:val="CommentSubjectChar"/>
    <w:uiPriority w:val="99"/>
    <w:semiHidden/>
    <w:unhideWhenUsed/>
    <w:rsid w:val="00737688"/>
    <w:rPr>
      <w:b/>
      <w:bCs/>
    </w:rPr>
  </w:style>
  <w:style w:type="character" w:customStyle="1" w:styleId="CommentSubjectChar">
    <w:name w:val="Comment Subject Char"/>
    <w:basedOn w:val="CommentTextChar"/>
    <w:link w:val="CommentSubject"/>
    <w:uiPriority w:val="99"/>
    <w:semiHidden/>
    <w:rsid w:val="00737688"/>
    <w:rPr>
      <w:b/>
      <w:bCs/>
      <w:sz w:val="20"/>
      <w:szCs w:val="20"/>
    </w:rPr>
  </w:style>
  <w:style w:type="paragraph" w:styleId="BalloonText">
    <w:name w:val="Balloon Text"/>
    <w:basedOn w:val="Normal"/>
    <w:link w:val="BalloonTextChar"/>
    <w:uiPriority w:val="99"/>
    <w:semiHidden/>
    <w:unhideWhenUsed/>
    <w:rsid w:val="00737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88"/>
    <w:rPr>
      <w:rFonts w:ascii="Segoe UI" w:hAnsi="Segoe UI" w:cs="Segoe UI"/>
      <w:sz w:val="18"/>
      <w:szCs w:val="18"/>
    </w:rPr>
  </w:style>
  <w:style w:type="paragraph" w:styleId="Revision">
    <w:name w:val="Revision"/>
    <w:hidden/>
    <w:uiPriority w:val="99"/>
    <w:semiHidden/>
    <w:rsid w:val="00164D57"/>
    <w:pPr>
      <w:spacing w:after="0" w:line="240" w:lineRule="auto"/>
    </w:pPr>
  </w:style>
  <w:style w:type="character" w:customStyle="1" w:styleId="apple-style-span">
    <w:name w:val="apple-style-span"/>
    <w:basedOn w:val="DefaultParagraphFont"/>
    <w:rsid w:val="001F4126"/>
  </w:style>
  <w:style w:type="character" w:customStyle="1" w:styleId="apple-converted-space">
    <w:name w:val="apple-converted-space"/>
    <w:basedOn w:val="DefaultParagraphFont"/>
    <w:rsid w:val="001F4126"/>
  </w:style>
  <w:style w:type="table" w:styleId="TableGrid">
    <w:name w:val="Table Grid"/>
    <w:basedOn w:val="TableNormal"/>
    <w:uiPriority w:val="39"/>
    <w:rsid w:val="0092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32974">
      <w:bodyDiv w:val="1"/>
      <w:marLeft w:val="0"/>
      <w:marRight w:val="0"/>
      <w:marTop w:val="0"/>
      <w:marBottom w:val="0"/>
      <w:divBdr>
        <w:top w:val="none" w:sz="0" w:space="0" w:color="auto"/>
        <w:left w:val="none" w:sz="0" w:space="0" w:color="auto"/>
        <w:bottom w:val="none" w:sz="0" w:space="0" w:color="auto"/>
        <w:right w:val="none" w:sz="0" w:space="0" w:color="auto"/>
      </w:divBdr>
      <w:divsChild>
        <w:div w:id="983001031">
          <w:marLeft w:val="0"/>
          <w:marRight w:val="-5040"/>
          <w:marTop w:val="0"/>
          <w:marBottom w:val="0"/>
          <w:divBdr>
            <w:top w:val="none" w:sz="0" w:space="0" w:color="auto"/>
            <w:left w:val="none" w:sz="0" w:space="0" w:color="auto"/>
            <w:bottom w:val="none" w:sz="0" w:space="0" w:color="auto"/>
            <w:right w:val="none" w:sz="0" w:space="0" w:color="auto"/>
          </w:divBdr>
          <w:divsChild>
            <w:div w:id="90592121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nugent@ig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e.oliker@ig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00D6-17FD-430C-8A40-7BF89C5B8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BA8D9-A8A6-4C78-8E5A-83F9C397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065B8-59FB-4A52-88FF-620F7FD43961}">
  <ds:schemaRefs>
    <ds:schemaRef ds:uri="http://schemas.microsoft.com/sharepoint/v3/contenttype/forms"/>
  </ds:schemaRefs>
</ds:datastoreItem>
</file>

<file path=customXml/itemProps4.xml><?xml version="1.0" encoding="utf-8"?>
<ds:datastoreItem xmlns:ds="http://schemas.openxmlformats.org/officeDocument/2006/customXml" ds:itemID="{A53689C7-C5A0-494C-87B7-5788C17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11428</CharactersWithSpaces>
  <SharedDoc>false</SharedDoc>
  <HLinks>
    <vt:vector size="18" baseType="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2021-03-08T21:42:00Z</dcterms:created>
  <dcterms:modified xsi:type="dcterms:W3CDTF">2021-03-08T21:42:00Z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