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BA6EC5" w:rsidRPr="005216DF">
      <w:pPr>
        <w:ind w:left="2880" w:firstLine="720"/>
        <w:rPr>
          <w:b/>
          <w:szCs w:val="24"/>
        </w:rPr>
      </w:pPr>
      <w:bookmarkStart w:id="0" w:name="_GoBack"/>
      <w:bookmarkEnd w:id="0"/>
      <w:r w:rsidRPr="005216DF">
        <w:rPr>
          <w:b/>
          <w:szCs w:val="24"/>
        </w:rPr>
        <w:t>BEFORE</w:t>
      </w:r>
    </w:p>
    <w:p w:rsidR="00BA6EC5" w:rsidRPr="005216DF">
      <w:pPr>
        <w:jc w:val="center"/>
        <w:rPr>
          <w:b/>
          <w:szCs w:val="24"/>
        </w:rPr>
      </w:pPr>
      <w:r w:rsidRPr="005216DF">
        <w:rPr>
          <w:b/>
          <w:szCs w:val="24"/>
        </w:rPr>
        <w:t>THE PUBLIC UTILITIES COMMISSION OF OHIO</w:t>
      </w:r>
    </w:p>
    <w:p w:rsidR="00BA6EC5" w:rsidRPr="005216DF">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BA6EC5" w:rsidRPr="005216DF">
            <w:pPr>
              <w:spacing w:after="0" w:line="240" w:lineRule="auto"/>
              <w:rPr>
                <w:rStyle w:val="DefaultParagraphFont"/>
                <w:rFonts w:ascii="Times New Roman" w:eastAsia="Times New Roman" w:hAnsi="Times New Roman" w:cs="Times New Roman"/>
                <w:sz w:val="24"/>
                <w:szCs w:val="24"/>
                <w:lang w:val="en-US" w:eastAsia="en-US" w:bidi="ar-SA"/>
              </w:rPr>
            </w:pPr>
            <w:r w:rsidRPr="005216DF">
              <w:rPr>
                <w:rFonts w:ascii="Times New Roman" w:eastAsia="Times New Roman" w:hAnsi="Times New Roman" w:cs="Times New Roman"/>
                <w:sz w:val="24"/>
                <w:szCs w:val="24"/>
                <w:lang w:val="en-US" w:eastAsia="en-US" w:bidi="ar-SA"/>
              </w:rPr>
              <w:t>In the Matter of the Application of</w:t>
            </w:r>
          </w:p>
          <w:p w:rsidR="00BA6EC5" w:rsidRPr="005216D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5216DF">
              <w:rPr>
                <w:rFonts w:ascii="Times New Roman" w:eastAsia="Times New Roman" w:hAnsi="Times New Roman" w:cs="Times New Roman"/>
                <w:sz w:val="24"/>
                <w:szCs w:val="24"/>
                <w:lang w:val="en-US" w:eastAsia="en-US" w:bidi="ar-SA"/>
              </w:rPr>
              <w:t xml:space="preserve">Aqua Ohio, Inc. to Increase Its Rates and Charges for Its Waterworks Service. </w:t>
            </w:r>
          </w:p>
        </w:tc>
        <w:tc>
          <w:tcPr>
            <w:tcW w:w="360" w:type="dxa"/>
            <w:shd w:val="clear" w:color="auto" w:fill="auto"/>
          </w:tcPr>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216DF">
              <w:rPr>
                <w:rFonts w:ascii="Times New Roman" w:eastAsia="Courier New" w:hAnsi="Times New Roman" w:cs="Times New Roman"/>
                <w:sz w:val="24"/>
                <w:szCs w:val="24"/>
                <w:lang w:val="en-US" w:eastAsia="en-US" w:bidi="ar-SA"/>
              </w:rPr>
              <w:t>)</w:t>
            </w:r>
          </w:p>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216DF">
              <w:rPr>
                <w:rFonts w:ascii="Times New Roman" w:eastAsia="Courier New" w:hAnsi="Times New Roman" w:cs="Times New Roman"/>
                <w:sz w:val="24"/>
                <w:szCs w:val="24"/>
                <w:lang w:val="en-US" w:eastAsia="en-US" w:bidi="ar-SA"/>
              </w:rPr>
              <w:t>)</w:t>
            </w:r>
          </w:p>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216DF">
              <w:rPr>
                <w:rFonts w:ascii="Times New Roman" w:eastAsia="Courier New" w:hAnsi="Times New Roman" w:cs="Times New Roman"/>
                <w:sz w:val="24"/>
                <w:szCs w:val="24"/>
                <w:lang w:val="en-US" w:eastAsia="en-US" w:bidi="ar-SA"/>
              </w:rPr>
              <w:t>)</w:t>
            </w:r>
          </w:p>
        </w:tc>
        <w:tc>
          <w:tcPr>
            <w:tcW w:w="4400" w:type="dxa"/>
            <w:shd w:val="clear" w:color="auto" w:fill="auto"/>
          </w:tcPr>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216DF">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16-</w:t>
            </w:r>
            <w:r w:rsidRPr="005216DF">
              <w:rPr>
                <w:rFonts w:ascii="Times New Roman" w:eastAsia="Courier New" w:hAnsi="Times New Roman" w:cs="Times New Roman"/>
                <w:sz w:val="24"/>
                <w:szCs w:val="24"/>
                <w:lang w:val="en-US" w:eastAsia="en-US" w:bidi="ar-SA"/>
              </w:rPr>
              <w:t>907-WW-AIR</w:t>
            </w:r>
          </w:p>
        </w:tc>
      </w:tr>
    </w:tbl>
    <w:p w:rsidR="00BA6EC5" w:rsidRPr="005216DF">
      <w:pPr>
        <w:jc w:val="both"/>
        <w:rPr>
          <w:szCs w:val="24"/>
        </w:rPr>
      </w:pPr>
    </w:p>
    <w:p w:rsidR="00BA6EC5" w:rsidRPr="005216DF">
      <w:pPr>
        <w:pBdr>
          <w:top w:val="single" w:sz="12" w:space="1" w:color="auto"/>
        </w:pBdr>
        <w:jc w:val="center"/>
        <w:rPr>
          <w:szCs w:val="24"/>
        </w:rPr>
      </w:pPr>
    </w:p>
    <w:p w:rsidR="00BA6EC5" w:rsidRPr="005216DF">
      <w:pPr>
        <w:tabs>
          <w:tab w:val="left" w:pos="-720"/>
        </w:tabs>
        <w:suppressAutoHyphens/>
        <w:jc w:val="center"/>
        <w:rPr>
          <w:b/>
          <w:spacing w:val="-3"/>
          <w:szCs w:val="24"/>
        </w:rPr>
      </w:pPr>
      <w:r w:rsidRPr="005216DF">
        <w:rPr>
          <w:b/>
          <w:spacing w:val="-3"/>
          <w:szCs w:val="24"/>
        </w:rPr>
        <w:t>OBJECTIONS TO THE PUCO STAFF’S REPORT</w:t>
      </w:r>
    </w:p>
    <w:p w:rsidR="00D805DF" w:rsidRPr="005216DF">
      <w:pPr>
        <w:tabs>
          <w:tab w:val="left" w:pos="-720"/>
        </w:tabs>
        <w:suppressAutoHyphens/>
        <w:jc w:val="center"/>
        <w:rPr>
          <w:b/>
          <w:spacing w:val="-3"/>
          <w:szCs w:val="24"/>
        </w:rPr>
      </w:pPr>
      <w:r w:rsidRPr="005216DF">
        <w:rPr>
          <w:b/>
          <w:spacing w:val="-3"/>
          <w:szCs w:val="24"/>
        </w:rPr>
        <w:t xml:space="preserve">OF INVESTIGATION </w:t>
      </w:r>
    </w:p>
    <w:p w:rsidR="00D805DF" w:rsidRPr="005216DF">
      <w:pPr>
        <w:tabs>
          <w:tab w:val="left" w:pos="-720"/>
        </w:tabs>
        <w:suppressAutoHyphens/>
        <w:jc w:val="center"/>
        <w:rPr>
          <w:b/>
          <w:spacing w:val="-3"/>
          <w:szCs w:val="24"/>
        </w:rPr>
      </w:pPr>
      <w:r w:rsidRPr="005216DF">
        <w:rPr>
          <w:b/>
          <w:spacing w:val="-3"/>
          <w:szCs w:val="24"/>
        </w:rPr>
        <w:t xml:space="preserve">AND </w:t>
      </w:r>
    </w:p>
    <w:p w:rsidR="00BA6EC5" w:rsidRPr="005216DF">
      <w:pPr>
        <w:tabs>
          <w:tab w:val="left" w:pos="-720"/>
        </w:tabs>
        <w:suppressAutoHyphens/>
        <w:jc w:val="center"/>
        <w:rPr>
          <w:b/>
          <w:spacing w:val="-3"/>
          <w:szCs w:val="24"/>
        </w:rPr>
      </w:pPr>
      <w:r w:rsidRPr="005216DF">
        <w:rPr>
          <w:b/>
          <w:spacing w:val="-3"/>
          <w:szCs w:val="24"/>
        </w:rPr>
        <w:t>SUMMARY OF MAJOR ISSUES</w:t>
      </w:r>
    </w:p>
    <w:p w:rsidR="00D805DF" w:rsidRPr="005216DF" w:rsidP="00510499">
      <w:pPr>
        <w:tabs>
          <w:tab w:val="left" w:pos="-720"/>
        </w:tabs>
        <w:suppressAutoHyphens/>
        <w:jc w:val="center"/>
        <w:rPr>
          <w:b/>
          <w:spacing w:val="-3"/>
          <w:szCs w:val="24"/>
        </w:rPr>
      </w:pPr>
      <w:r w:rsidRPr="005216DF">
        <w:rPr>
          <w:b/>
          <w:spacing w:val="-3"/>
          <w:szCs w:val="24"/>
        </w:rPr>
        <w:t>BY</w:t>
      </w:r>
    </w:p>
    <w:p w:rsidR="00BA6EC5" w:rsidRPr="005216DF">
      <w:pPr>
        <w:tabs>
          <w:tab w:val="left" w:pos="-720"/>
        </w:tabs>
        <w:suppressAutoHyphens/>
        <w:jc w:val="center"/>
        <w:rPr>
          <w:b/>
          <w:spacing w:val="-3"/>
          <w:szCs w:val="24"/>
        </w:rPr>
      </w:pPr>
      <w:r w:rsidRPr="005216DF">
        <w:rPr>
          <w:b/>
          <w:spacing w:val="-3"/>
          <w:szCs w:val="24"/>
        </w:rPr>
        <w:t>THE OFFICE OF THE OHIO CONSUMERS’ COUNSEL</w:t>
      </w:r>
    </w:p>
    <w:p w:rsidR="00BA6EC5" w:rsidRPr="005216DF">
      <w:pPr>
        <w:pBdr>
          <w:bottom w:val="single" w:sz="12" w:space="1" w:color="auto"/>
        </w:pBdr>
        <w:tabs>
          <w:tab w:val="left" w:pos="-720"/>
        </w:tabs>
        <w:suppressAutoHyphens/>
        <w:jc w:val="center"/>
        <w:rPr>
          <w:b/>
          <w:spacing w:val="-3"/>
          <w:szCs w:val="24"/>
        </w:rPr>
      </w:pPr>
    </w:p>
    <w:p w:rsidR="00BA6EC5" w:rsidRPr="005216DF">
      <w:pPr>
        <w:tabs>
          <w:tab w:val="left" w:pos="4320"/>
        </w:tabs>
        <w:rPr>
          <w:szCs w:val="24"/>
        </w:rPr>
      </w:pPr>
      <w:r w:rsidRPr="005216DF">
        <w:rPr>
          <w:b/>
          <w:bCs/>
          <w:szCs w:val="24"/>
        </w:rPr>
        <w:tab/>
      </w:r>
    </w:p>
    <w:p w:rsidR="00202C5F" w:rsidRPr="005216DF">
      <w:pPr>
        <w:pStyle w:val="Footer"/>
        <w:tabs>
          <w:tab w:val="left" w:pos="4320"/>
          <w:tab w:val="clear" w:pos="8640"/>
        </w:tabs>
        <w:spacing w:before="240"/>
        <w:ind w:left="720" w:firstLine="3600"/>
        <w:rPr>
          <w:rFonts w:ascii="Times New Roman" w:hAnsi="Times New Roman" w:cs="Times New Roman"/>
        </w:rPr>
      </w:pPr>
    </w:p>
    <w:p w:rsidR="00202C5F" w:rsidRPr="005216DF">
      <w:pPr>
        <w:pStyle w:val="Footer"/>
        <w:tabs>
          <w:tab w:val="left" w:pos="4320"/>
          <w:tab w:val="clear" w:pos="8640"/>
        </w:tabs>
        <w:spacing w:before="240"/>
        <w:ind w:left="720" w:firstLine="3600"/>
        <w:rPr>
          <w:rFonts w:ascii="Times New Roman" w:hAnsi="Times New Roman" w:cs="Times New Roman"/>
        </w:rPr>
      </w:pPr>
    </w:p>
    <w:p w:rsidR="00202C5F" w:rsidRPr="005216DF">
      <w:pPr>
        <w:pStyle w:val="Footer"/>
        <w:tabs>
          <w:tab w:val="left" w:pos="4320"/>
          <w:tab w:val="clear" w:pos="8640"/>
        </w:tabs>
        <w:spacing w:before="240"/>
        <w:ind w:left="720" w:firstLine="3600"/>
        <w:rPr>
          <w:rFonts w:ascii="Times New Roman" w:hAnsi="Times New Roman" w:cs="Times New Roman"/>
        </w:rPr>
      </w:pPr>
    </w:p>
    <w:p w:rsidR="00202C5F" w:rsidRPr="005216DF">
      <w:pPr>
        <w:pStyle w:val="Footer"/>
        <w:tabs>
          <w:tab w:val="left" w:pos="4320"/>
          <w:tab w:val="clear" w:pos="8640"/>
        </w:tabs>
        <w:spacing w:before="240"/>
        <w:ind w:left="720" w:firstLine="3600"/>
        <w:rPr>
          <w:rFonts w:ascii="Times New Roman" w:hAnsi="Times New Roman" w:cs="Times New Roman"/>
        </w:rPr>
      </w:pPr>
    </w:p>
    <w:p w:rsidR="004F4F29">
      <w:pPr>
        <w:pStyle w:val="Footer"/>
        <w:tabs>
          <w:tab w:val="left" w:pos="4320"/>
          <w:tab w:val="clear" w:pos="8640"/>
        </w:tabs>
        <w:spacing w:before="240"/>
        <w:ind w:left="720" w:firstLine="3600"/>
        <w:rPr>
          <w:rFonts w:ascii="Times New Roman" w:hAnsi="Times New Roman" w:cs="Times New Roman"/>
        </w:rPr>
      </w:pPr>
    </w:p>
    <w:p w:rsidR="004F4F29">
      <w:pPr>
        <w:pStyle w:val="Footer"/>
        <w:tabs>
          <w:tab w:val="left" w:pos="4320"/>
          <w:tab w:val="clear" w:pos="8640"/>
        </w:tabs>
        <w:spacing w:before="240"/>
        <w:ind w:left="720" w:firstLine="3600"/>
        <w:rPr>
          <w:rFonts w:ascii="Times New Roman" w:hAnsi="Times New Roman" w:cs="Times New Roman"/>
        </w:rPr>
      </w:pPr>
    </w:p>
    <w:p w:rsidR="004F4F29">
      <w:pPr>
        <w:pStyle w:val="Footer"/>
        <w:tabs>
          <w:tab w:val="left" w:pos="4320"/>
          <w:tab w:val="clear" w:pos="8640"/>
        </w:tabs>
        <w:spacing w:before="240"/>
        <w:ind w:left="720" w:firstLine="3600"/>
        <w:rPr>
          <w:rFonts w:ascii="Times New Roman" w:hAnsi="Times New Roman" w:cs="Times New Roman"/>
        </w:rPr>
      </w:pPr>
    </w:p>
    <w:p w:rsidR="00BA6EC5" w:rsidRPr="005216DF">
      <w:pPr>
        <w:pStyle w:val="Footer"/>
        <w:tabs>
          <w:tab w:val="left" w:pos="4320"/>
          <w:tab w:val="clear" w:pos="8640"/>
        </w:tabs>
        <w:spacing w:before="240"/>
        <w:ind w:left="720" w:firstLine="3600"/>
        <w:rPr>
          <w:rFonts w:ascii="Times New Roman" w:hAnsi="Times New Roman" w:cs="Times New Roman"/>
        </w:rPr>
      </w:pPr>
      <w:r>
        <w:rPr>
          <w:rFonts w:ascii="Times New Roman" w:hAnsi="Times New Roman" w:cs="Times New Roman"/>
        </w:rPr>
        <w:t xml:space="preserve">BRUCE </w:t>
      </w:r>
      <w:r w:rsidRPr="005216DF">
        <w:rPr>
          <w:rFonts w:ascii="Times New Roman" w:hAnsi="Times New Roman" w:cs="Times New Roman"/>
        </w:rPr>
        <w:t xml:space="preserve">WESTON </w:t>
      </w:r>
      <w:r>
        <w:rPr>
          <w:rFonts w:ascii="Times New Roman" w:hAnsi="Times New Roman" w:cs="Times New Roman"/>
        </w:rPr>
        <w:t>(0016973)</w:t>
      </w:r>
    </w:p>
    <w:p w:rsidR="00BA6EC5" w:rsidRPr="005216DF">
      <w:pPr>
        <w:tabs>
          <w:tab w:val="left" w:pos="4320"/>
        </w:tabs>
        <w:rPr>
          <w:szCs w:val="24"/>
        </w:rPr>
      </w:pPr>
      <w:r w:rsidRPr="005216DF">
        <w:rPr>
          <w:szCs w:val="24"/>
        </w:rPr>
        <w:tab/>
        <w:t xml:space="preserve">OHIO CONSUMERS’ COUNSEL </w:t>
      </w:r>
    </w:p>
    <w:p w:rsidR="00BA6EC5" w:rsidRPr="005216DF">
      <w:pPr>
        <w:tabs>
          <w:tab w:val="left" w:pos="4320"/>
        </w:tabs>
        <w:rPr>
          <w:szCs w:val="24"/>
        </w:rPr>
      </w:pPr>
      <w:r w:rsidRPr="005216DF">
        <w:rPr>
          <w:szCs w:val="24"/>
        </w:rPr>
        <w:tab/>
      </w:r>
    </w:p>
    <w:p w:rsidR="00510499" w:rsidRPr="005216DF" w:rsidP="00510499">
      <w:pPr>
        <w:ind w:left="4320"/>
        <w:rPr>
          <w:szCs w:val="24"/>
        </w:rPr>
      </w:pPr>
      <w:r w:rsidRPr="005216DF">
        <w:rPr>
          <w:szCs w:val="24"/>
        </w:rPr>
        <w:t>Kevin F. Moore (0089228)</w:t>
      </w:r>
    </w:p>
    <w:p w:rsidR="00510499" w:rsidRPr="005216DF" w:rsidP="00510499">
      <w:pPr>
        <w:ind w:left="4320"/>
        <w:rPr>
          <w:szCs w:val="24"/>
        </w:rPr>
      </w:pPr>
      <w:r w:rsidRPr="005216DF">
        <w:rPr>
          <w:szCs w:val="24"/>
        </w:rPr>
        <w:t>Counsel of Record</w:t>
      </w:r>
    </w:p>
    <w:p w:rsidR="00510499" w:rsidRPr="005216DF" w:rsidP="00510499">
      <w:pPr>
        <w:ind w:left="4320"/>
        <w:rPr>
          <w:szCs w:val="24"/>
        </w:rPr>
      </w:pPr>
      <w:r w:rsidRPr="005216DF">
        <w:rPr>
          <w:szCs w:val="24"/>
        </w:rPr>
        <w:t>Ajay Kumar (0092208)</w:t>
      </w:r>
    </w:p>
    <w:p w:rsidR="00510499" w:rsidRPr="005216DF" w:rsidP="00510499">
      <w:pPr>
        <w:ind w:left="4320"/>
        <w:rPr>
          <w:szCs w:val="24"/>
        </w:rPr>
      </w:pPr>
      <w:r w:rsidRPr="005216DF">
        <w:rPr>
          <w:szCs w:val="24"/>
        </w:rPr>
        <w:t>Assistant Consumers’ Counsel</w:t>
      </w:r>
    </w:p>
    <w:p w:rsidR="00510499" w:rsidRPr="005216DF" w:rsidP="00510499">
      <w:pPr>
        <w:ind w:left="4320"/>
        <w:rPr>
          <w:szCs w:val="24"/>
        </w:rPr>
      </w:pPr>
    </w:p>
    <w:p w:rsidR="00510499" w:rsidRPr="005216DF" w:rsidP="00510499">
      <w:pPr>
        <w:ind w:left="4320"/>
        <w:rPr>
          <w:b/>
          <w:szCs w:val="24"/>
        </w:rPr>
      </w:pPr>
      <w:r w:rsidRPr="005216DF">
        <w:rPr>
          <w:b/>
          <w:szCs w:val="24"/>
        </w:rPr>
        <w:t>Office of the Ohio Consumers’ Counsel</w:t>
      </w:r>
    </w:p>
    <w:p w:rsidR="00510499" w:rsidRPr="005216DF" w:rsidP="00510499">
      <w:pPr>
        <w:ind w:left="4320"/>
        <w:rPr>
          <w:szCs w:val="24"/>
        </w:rPr>
      </w:pPr>
      <w:r w:rsidRPr="005216DF">
        <w:rPr>
          <w:szCs w:val="24"/>
        </w:rPr>
        <w:t>10 West Broad Street, Suite 1800</w:t>
      </w:r>
    </w:p>
    <w:p w:rsidR="00510499" w:rsidRPr="005216DF" w:rsidP="00510499">
      <w:pPr>
        <w:ind w:left="4320"/>
        <w:rPr>
          <w:szCs w:val="24"/>
        </w:rPr>
      </w:pPr>
      <w:r w:rsidRPr="005216DF">
        <w:rPr>
          <w:szCs w:val="24"/>
        </w:rPr>
        <w:t>Columbus, Ohio 43215-3485</w:t>
      </w:r>
    </w:p>
    <w:p w:rsidR="00510499" w:rsidRPr="005216DF" w:rsidP="00510499">
      <w:pPr>
        <w:ind w:left="4320"/>
        <w:rPr>
          <w:szCs w:val="24"/>
        </w:rPr>
      </w:pPr>
      <w:r w:rsidRPr="005216DF">
        <w:rPr>
          <w:szCs w:val="24"/>
        </w:rPr>
        <w:t>Telephone:  Moore (614) 387-2965</w:t>
      </w:r>
    </w:p>
    <w:p w:rsidR="00510499" w:rsidRPr="005216DF" w:rsidP="00510499">
      <w:pPr>
        <w:ind w:left="4320"/>
        <w:rPr>
          <w:szCs w:val="24"/>
        </w:rPr>
      </w:pPr>
      <w:r w:rsidRPr="005216DF">
        <w:rPr>
          <w:szCs w:val="24"/>
        </w:rPr>
        <w:t>Telephone:  Kumar (614) 466-1292</w:t>
      </w:r>
    </w:p>
    <w:p w:rsidR="004F4F29" w:rsidP="00510499">
      <w:pPr>
        <w:ind w:left="4320"/>
        <w:rPr>
          <w:szCs w:val="24"/>
        </w:rPr>
      </w:pPr>
      <w:r>
        <w:fldChar w:fldCharType="begin"/>
      </w:r>
      <w:r>
        <w:instrText xml:space="preserve"> HYPERLINK "mailto:kevin.moore@occ.ohio.gov" </w:instrText>
      </w:r>
      <w:r>
        <w:fldChar w:fldCharType="separate"/>
      </w:r>
      <w:r w:rsidRPr="004A6837" w:rsidR="00A54A43">
        <w:rPr>
          <w:rStyle w:val="Hyperlink"/>
          <w:szCs w:val="24"/>
        </w:rPr>
        <w:t>kevin.moore@occ.ohio.gov</w:t>
      </w:r>
      <w:r>
        <w:fldChar w:fldCharType="end"/>
      </w:r>
    </w:p>
    <w:p w:rsidR="004F4F29" w:rsidP="00510499">
      <w:pPr>
        <w:ind w:left="4320"/>
        <w:rPr>
          <w:szCs w:val="24"/>
        </w:rPr>
      </w:pPr>
      <w:r>
        <w:fldChar w:fldCharType="begin"/>
      </w:r>
      <w:r>
        <w:instrText xml:space="preserve"> HYPERLINK "mailto:ajay.kumar@occ.ohio.gov" </w:instrText>
      </w:r>
      <w:r>
        <w:fldChar w:fldCharType="separate"/>
      </w:r>
      <w:r w:rsidRPr="004A6837" w:rsidR="00A54A43">
        <w:rPr>
          <w:rStyle w:val="Hyperlink"/>
          <w:szCs w:val="24"/>
        </w:rPr>
        <w:t>ajay.kumar@occ.ohio.gov</w:t>
      </w:r>
      <w:r>
        <w:fldChar w:fldCharType="end"/>
      </w:r>
    </w:p>
    <w:p w:rsidR="00510499" w:rsidRPr="005216DF" w:rsidP="00510499">
      <w:pPr>
        <w:ind w:left="4320"/>
        <w:rPr>
          <w:szCs w:val="24"/>
        </w:rPr>
      </w:pPr>
      <w:r w:rsidRPr="005216DF">
        <w:rPr>
          <w:szCs w:val="24"/>
        </w:rPr>
        <w:t>(Will accept service via email)</w:t>
      </w:r>
    </w:p>
    <w:p w:rsidR="00D016B2" w:rsidRPr="005216DF" w:rsidP="00202C5F">
      <w:pPr>
        <w:jc w:val="both"/>
        <w:rPr>
          <w:rStyle w:val="Hyperlink"/>
          <w:szCs w:val="24"/>
        </w:rPr>
        <w:sectPr w:rsidSect="00202C5F">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p>
    <w:p w:rsidR="00BA6EC5" w:rsidRPr="005216DF" w:rsidP="00202C5F">
      <w:pPr>
        <w:spacing w:after="200" w:line="276" w:lineRule="auto"/>
        <w:jc w:val="center"/>
        <w:rPr>
          <w:b/>
          <w:szCs w:val="24"/>
          <w:u w:val="single"/>
        </w:rPr>
      </w:pPr>
      <w:r w:rsidRPr="005216DF">
        <w:rPr>
          <w:b/>
          <w:szCs w:val="24"/>
          <w:u w:val="single"/>
        </w:rPr>
        <w:t>TABLE OF CONTENTS</w:t>
      </w:r>
    </w:p>
    <w:p w:rsidR="00BA6EC5" w:rsidRPr="005216DF">
      <w:pPr>
        <w:spacing w:after="200" w:line="276" w:lineRule="auto"/>
        <w:rPr>
          <w:b/>
          <w:szCs w:val="24"/>
        </w:rPr>
      </w:pPr>
      <w:r w:rsidRPr="005216DF">
        <w:rPr>
          <w:b/>
          <w:szCs w:val="24"/>
        </w:rPr>
        <w:tab/>
      </w:r>
      <w:r w:rsidRPr="005216DF">
        <w:rPr>
          <w:b/>
          <w:szCs w:val="24"/>
        </w:rPr>
        <w:tab/>
      </w:r>
      <w:r w:rsidRPr="005216DF">
        <w:rPr>
          <w:b/>
          <w:szCs w:val="24"/>
        </w:rPr>
        <w:tab/>
      </w:r>
      <w:r w:rsidRPr="005216DF">
        <w:rPr>
          <w:b/>
          <w:szCs w:val="24"/>
        </w:rPr>
        <w:tab/>
      </w:r>
      <w:r w:rsidRPr="005216DF">
        <w:rPr>
          <w:b/>
          <w:szCs w:val="24"/>
        </w:rPr>
        <w:tab/>
      </w:r>
      <w:r w:rsidRPr="005216DF">
        <w:rPr>
          <w:b/>
          <w:szCs w:val="24"/>
        </w:rPr>
        <w:tab/>
      </w:r>
      <w:r w:rsidRPr="005216DF">
        <w:rPr>
          <w:b/>
          <w:szCs w:val="24"/>
        </w:rPr>
        <w:tab/>
      </w:r>
      <w:r w:rsidRPr="005216DF">
        <w:rPr>
          <w:b/>
          <w:szCs w:val="24"/>
        </w:rPr>
        <w:tab/>
      </w:r>
      <w:r w:rsidRPr="005216DF">
        <w:rPr>
          <w:b/>
          <w:szCs w:val="24"/>
        </w:rPr>
        <w:tab/>
      </w:r>
      <w:r w:rsidRPr="005216DF">
        <w:rPr>
          <w:b/>
          <w:szCs w:val="24"/>
        </w:rPr>
        <w:tab/>
      </w:r>
      <w:r w:rsidRPr="005216DF">
        <w:rPr>
          <w:b/>
          <w:szCs w:val="24"/>
        </w:rPr>
        <w:tab/>
        <w:t>PAGE</w:t>
      </w:r>
    </w:p>
    <w:p w:rsidR="00517374">
      <w:pPr>
        <w:pStyle w:val="TOC1"/>
        <w:rPr>
          <w:rFonts w:asciiTheme="minorHAnsi" w:eastAsiaTheme="minorEastAsia" w:hAnsiTheme="minorHAnsi" w:cstheme="minorBidi"/>
          <w:caps w:val="0"/>
          <w:noProof/>
          <w:sz w:val="22"/>
          <w:szCs w:val="22"/>
        </w:rPr>
      </w:pPr>
      <w:r w:rsidRPr="005216DF">
        <w:rPr>
          <w:b/>
          <w:szCs w:val="24"/>
        </w:rPr>
        <w:fldChar w:fldCharType="begin"/>
      </w:r>
      <w:r w:rsidRPr="005216DF">
        <w:rPr>
          <w:b/>
          <w:szCs w:val="24"/>
        </w:rPr>
        <w:instrText xml:space="preserve"> TOC \o "1-2" \h \z \u </w:instrText>
      </w:r>
      <w:r w:rsidRPr="005216DF">
        <w:rPr>
          <w:b/>
          <w:szCs w:val="24"/>
        </w:rPr>
        <w:fldChar w:fldCharType="separate"/>
      </w:r>
      <w:r>
        <w:fldChar w:fldCharType="begin"/>
      </w:r>
      <w:r>
        <w:instrText xml:space="preserve"> HYPERLINK \l "_Toc469922781" </w:instrText>
      </w:r>
      <w:r>
        <w:fldChar w:fldCharType="separate"/>
      </w:r>
      <w:r w:rsidRPr="00CF3F95">
        <w:rPr>
          <w:rStyle w:val="Hyperlink"/>
          <w:noProof/>
        </w:rPr>
        <w:t>I.</w:t>
      </w:r>
      <w:r>
        <w:rPr>
          <w:rFonts w:asciiTheme="minorHAnsi" w:eastAsiaTheme="minorEastAsia" w:hAnsiTheme="minorHAnsi" w:cstheme="minorBidi"/>
          <w:caps w:val="0"/>
          <w:noProof/>
          <w:sz w:val="22"/>
          <w:szCs w:val="22"/>
        </w:rPr>
        <w:tab/>
      </w:r>
      <w:r w:rsidRPr="00CF3F95">
        <w:rPr>
          <w:rStyle w:val="Hyperlink"/>
          <w:noProof/>
        </w:rPr>
        <w:t>REVENUE REQUIREMENTS</w:t>
      </w:r>
      <w:r>
        <w:rPr>
          <w:noProof/>
          <w:webHidden/>
        </w:rPr>
        <w:tab/>
      </w:r>
      <w:r>
        <w:rPr>
          <w:noProof/>
          <w:webHidden/>
        </w:rPr>
        <w:fldChar w:fldCharType="begin"/>
      </w:r>
      <w:r>
        <w:rPr>
          <w:noProof/>
          <w:webHidden/>
        </w:rPr>
        <w:instrText xml:space="preserve"> PAGEREF _Toc469922781 \h </w:instrText>
      </w:r>
      <w:r>
        <w:rPr>
          <w:noProof/>
          <w:webHidden/>
        </w:rPr>
        <w:fldChar w:fldCharType="separate"/>
      </w:r>
      <w:r>
        <w:rPr>
          <w:noProof/>
          <w:webHidden/>
        </w:rPr>
        <w:t>2</w:t>
      </w:r>
      <w:r>
        <w:rPr>
          <w:noProof/>
          <w:webHidden/>
        </w:rPr>
        <w:fldChar w:fldCharType="end"/>
      </w:r>
      <w:r>
        <w:fldChar w:fldCharType="end"/>
      </w:r>
    </w:p>
    <w:p w:rsidR="00517374">
      <w:pPr>
        <w:pStyle w:val="TOC1"/>
        <w:rPr>
          <w:rFonts w:asciiTheme="minorHAnsi" w:eastAsiaTheme="minorEastAsia" w:hAnsiTheme="minorHAnsi" w:cstheme="minorBidi"/>
          <w:caps w:val="0"/>
          <w:noProof/>
          <w:sz w:val="22"/>
          <w:szCs w:val="22"/>
        </w:rPr>
      </w:pPr>
      <w:r>
        <w:fldChar w:fldCharType="begin"/>
      </w:r>
      <w:r>
        <w:instrText xml:space="preserve"> HYPERLINK \l "_Toc469922782" </w:instrText>
      </w:r>
      <w:r>
        <w:fldChar w:fldCharType="separate"/>
      </w:r>
      <w:r w:rsidRPr="00CF3F95" w:rsidR="00A54A43">
        <w:rPr>
          <w:rStyle w:val="Hyperlink"/>
          <w:noProof/>
        </w:rPr>
        <w:t>II.</w:t>
      </w:r>
      <w:r w:rsidR="00A54A43">
        <w:rPr>
          <w:rFonts w:asciiTheme="minorHAnsi" w:eastAsiaTheme="minorEastAsia" w:hAnsiTheme="minorHAnsi" w:cstheme="minorBidi"/>
          <w:caps w:val="0"/>
          <w:noProof/>
          <w:sz w:val="22"/>
          <w:szCs w:val="22"/>
        </w:rPr>
        <w:tab/>
      </w:r>
      <w:r w:rsidRPr="00CF3F95" w:rsidR="00A54A43">
        <w:rPr>
          <w:rStyle w:val="Hyperlink"/>
          <w:noProof/>
        </w:rPr>
        <w:t>OPERATING INCOME AND RATE BASE</w:t>
      </w:r>
      <w:r w:rsidR="00A54A43">
        <w:rPr>
          <w:noProof/>
          <w:webHidden/>
        </w:rPr>
        <w:tab/>
      </w:r>
      <w:r w:rsidR="00A54A43">
        <w:rPr>
          <w:noProof/>
          <w:webHidden/>
        </w:rPr>
        <w:fldChar w:fldCharType="begin"/>
      </w:r>
      <w:r w:rsidR="00A54A43">
        <w:rPr>
          <w:noProof/>
          <w:webHidden/>
        </w:rPr>
        <w:instrText xml:space="preserve"> PAGEREF _Toc469922782 \h </w:instrText>
      </w:r>
      <w:r w:rsidR="00A54A43">
        <w:rPr>
          <w:noProof/>
          <w:webHidden/>
        </w:rPr>
        <w:fldChar w:fldCharType="separate"/>
      </w:r>
      <w:r w:rsidR="00A54A43">
        <w:rPr>
          <w:noProof/>
          <w:webHidden/>
        </w:rPr>
        <w:t>3</w:t>
      </w:r>
      <w:r w:rsidR="00A54A43">
        <w:rPr>
          <w:noProof/>
          <w:webHidden/>
        </w:rPr>
        <w:fldChar w:fldCharType="end"/>
      </w:r>
      <w:r>
        <w:fldChar w:fldCharType="end"/>
      </w:r>
    </w:p>
    <w:p w:rsidR="00517374">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"_Toc469922783" </w:instrText>
      </w:r>
      <w:r>
        <w:fldChar w:fldCharType="separate"/>
      </w:r>
      <w:r w:rsidRPr="00CF3F95" w:rsidR="00A54A43">
        <w:rPr>
          <w:rStyle w:val="Hyperlink"/>
          <w:noProof/>
        </w:rPr>
        <w:t>1.</w:t>
      </w:r>
      <w:r w:rsidR="00A54A43">
        <w:rPr>
          <w:rFonts w:asciiTheme="minorHAnsi" w:eastAsiaTheme="minorEastAsia" w:hAnsiTheme="minorHAnsi" w:cstheme="minorBidi"/>
          <w:noProof/>
          <w:sz w:val="22"/>
          <w:szCs w:val="22"/>
        </w:rPr>
        <w:tab/>
      </w:r>
      <w:r w:rsidRPr="00CF3F95" w:rsidR="00A54A43">
        <w:rPr>
          <w:rStyle w:val="Hyperlink"/>
          <w:noProof/>
        </w:rPr>
        <w:t>Operating Income - Special Contracts</w:t>
      </w:r>
      <w:r w:rsidR="00A54A43">
        <w:rPr>
          <w:noProof/>
          <w:webHidden/>
        </w:rPr>
        <w:tab/>
      </w:r>
      <w:r w:rsidR="00A54A43">
        <w:rPr>
          <w:noProof/>
          <w:webHidden/>
        </w:rPr>
        <w:fldChar w:fldCharType="begin"/>
      </w:r>
      <w:r w:rsidR="00A54A43">
        <w:rPr>
          <w:noProof/>
          <w:webHidden/>
        </w:rPr>
        <w:instrText xml:space="preserve"> PAGEREF _Toc469922783 \h </w:instrText>
      </w:r>
      <w:r w:rsidR="00A54A43">
        <w:rPr>
          <w:noProof/>
          <w:webHidden/>
        </w:rPr>
        <w:fldChar w:fldCharType="separate"/>
      </w:r>
      <w:r w:rsidR="00A54A43">
        <w:rPr>
          <w:noProof/>
          <w:webHidden/>
        </w:rPr>
        <w:t>3</w:t>
      </w:r>
      <w:r w:rsidR="00A54A43">
        <w:rPr>
          <w:noProof/>
          <w:webHidden/>
        </w:rPr>
        <w:fldChar w:fldCharType="end"/>
      </w:r>
      <w:r>
        <w:fldChar w:fldCharType="end"/>
      </w:r>
    </w:p>
    <w:p w:rsidR="00517374">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"_Toc469922784" </w:instrText>
      </w:r>
      <w:r>
        <w:fldChar w:fldCharType="separate"/>
      </w:r>
      <w:r w:rsidRPr="00CF3F95" w:rsidR="00A54A43">
        <w:rPr>
          <w:rStyle w:val="Hyperlink"/>
          <w:noProof/>
        </w:rPr>
        <w:t>2.</w:t>
      </w:r>
      <w:r w:rsidR="00A54A43">
        <w:rPr>
          <w:rFonts w:asciiTheme="minorHAnsi" w:eastAsiaTheme="minorEastAsia" w:hAnsiTheme="minorHAnsi" w:cstheme="minorBidi"/>
          <w:noProof/>
          <w:sz w:val="22"/>
          <w:szCs w:val="22"/>
        </w:rPr>
        <w:tab/>
      </w:r>
      <w:r w:rsidRPr="00CF3F95" w:rsidR="00A54A43">
        <w:rPr>
          <w:rStyle w:val="Hyperlink"/>
          <w:noProof/>
        </w:rPr>
        <w:t>Operating Income - Tank Painting</w:t>
      </w:r>
      <w:r w:rsidR="00A54A43">
        <w:rPr>
          <w:noProof/>
          <w:webHidden/>
        </w:rPr>
        <w:tab/>
      </w:r>
      <w:r w:rsidR="00A54A43">
        <w:rPr>
          <w:noProof/>
          <w:webHidden/>
        </w:rPr>
        <w:fldChar w:fldCharType="begin"/>
      </w:r>
      <w:r w:rsidR="00A54A43">
        <w:rPr>
          <w:noProof/>
          <w:webHidden/>
        </w:rPr>
        <w:instrText xml:space="preserve"> PAGEREF _Toc469922784 \h </w:instrText>
      </w:r>
      <w:r w:rsidR="00A54A43">
        <w:rPr>
          <w:noProof/>
          <w:webHidden/>
        </w:rPr>
        <w:fldChar w:fldCharType="separate"/>
      </w:r>
      <w:r w:rsidR="00A54A43">
        <w:rPr>
          <w:noProof/>
          <w:webHidden/>
        </w:rPr>
        <w:t>3</w:t>
      </w:r>
      <w:r w:rsidR="00A54A43">
        <w:rPr>
          <w:noProof/>
          <w:webHidden/>
        </w:rPr>
        <w:fldChar w:fldCharType="end"/>
      </w:r>
      <w:r>
        <w:fldChar w:fldCharType="end"/>
      </w:r>
    </w:p>
    <w:p w:rsidR="00517374">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"_Toc469922785" </w:instrText>
      </w:r>
      <w:r>
        <w:fldChar w:fldCharType="separate"/>
      </w:r>
      <w:r w:rsidRPr="00CF3F95" w:rsidR="00A54A43">
        <w:rPr>
          <w:rStyle w:val="Hyperlink"/>
          <w:noProof/>
        </w:rPr>
        <w:t>3.</w:t>
      </w:r>
      <w:r w:rsidR="00A54A43">
        <w:rPr>
          <w:rFonts w:asciiTheme="minorHAnsi" w:eastAsiaTheme="minorEastAsia" w:hAnsiTheme="minorHAnsi" w:cstheme="minorBidi"/>
          <w:noProof/>
          <w:sz w:val="22"/>
          <w:szCs w:val="22"/>
        </w:rPr>
        <w:tab/>
      </w:r>
      <w:r w:rsidRPr="00CF3F95" w:rsidR="00A54A43">
        <w:rPr>
          <w:rStyle w:val="Hyperlink"/>
          <w:noProof/>
        </w:rPr>
        <w:t>Rate Base</w:t>
      </w:r>
      <w:r w:rsidR="00A54A43">
        <w:rPr>
          <w:noProof/>
          <w:webHidden/>
        </w:rPr>
        <w:tab/>
      </w:r>
      <w:r w:rsidR="00A54A43">
        <w:rPr>
          <w:noProof/>
          <w:webHidden/>
        </w:rPr>
        <w:fldChar w:fldCharType="begin"/>
      </w:r>
      <w:r w:rsidR="00A54A43">
        <w:rPr>
          <w:noProof/>
          <w:webHidden/>
        </w:rPr>
        <w:instrText xml:space="preserve"> PAGEREF _Toc469922785 \h </w:instrText>
      </w:r>
      <w:r w:rsidR="00A54A43">
        <w:rPr>
          <w:noProof/>
          <w:webHidden/>
        </w:rPr>
        <w:fldChar w:fldCharType="separate"/>
      </w:r>
      <w:r w:rsidR="00A54A43">
        <w:rPr>
          <w:noProof/>
          <w:webHidden/>
        </w:rPr>
        <w:t>4</w:t>
      </w:r>
      <w:r w:rsidR="00A54A43">
        <w:rPr>
          <w:noProof/>
          <w:webHidden/>
        </w:rPr>
        <w:fldChar w:fldCharType="end"/>
      </w:r>
      <w:r>
        <w:fldChar w:fldCharType="end"/>
      </w:r>
    </w:p>
    <w:p w:rsidR="00517374">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"_Toc469922786" </w:instrText>
      </w:r>
      <w:r>
        <w:fldChar w:fldCharType="separate"/>
      </w:r>
      <w:r w:rsidRPr="00CF3F95" w:rsidR="00A54A43">
        <w:rPr>
          <w:rStyle w:val="Hyperlink"/>
          <w:noProof/>
        </w:rPr>
        <w:t>4.</w:t>
      </w:r>
      <w:r w:rsidR="00A54A43">
        <w:rPr>
          <w:rFonts w:asciiTheme="minorHAnsi" w:eastAsiaTheme="minorEastAsia" w:hAnsiTheme="minorHAnsi" w:cstheme="minorBidi"/>
          <w:noProof/>
          <w:sz w:val="22"/>
          <w:szCs w:val="22"/>
        </w:rPr>
        <w:tab/>
      </w:r>
      <w:r w:rsidRPr="00CF3F95" w:rsidR="00A54A43">
        <w:rPr>
          <w:rStyle w:val="Hyperlink"/>
          <w:noProof/>
        </w:rPr>
        <w:t>Operating Income – Flow-through income tax effect</w:t>
      </w:r>
      <w:r w:rsidR="00A54A43">
        <w:rPr>
          <w:noProof/>
          <w:webHidden/>
        </w:rPr>
        <w:tab/>
      </w:r>
      <w:r w:rsidR="00A54A43">
        <w:rPr>
          <w:noProof/>
          <w:webHidden/>
        </w:rPr>
        <w:fldChar w:fldCharType="begin"/>
      </w:r>
      <w:r w:rsidR="00A54A43">
        <w:rPr>
          <w:noProof/>
          <w:webHidden/>
        </w:rPr>
        <w:instrText xml:space="preserve"> PAGEREF _Toc469922786 \h </w:instrText>
      </w:r>
      <w:r w:rsidR="00A54A43">
        <w:rPr>
          <w:noProof/>
          <w:webHidden/>
        </w:rPr>
        <w:fldChar w:fldCharType="separate"/>
      </w:r>
      <w:r w:rsidR="00A54A43">
        <w:rPr>
          <w:noProof/>
          <w:webHidden/>
        </w:rPr>
        <w:t>5</w:t>
      </w:r>
      <w:r w:rsidR="00A54A43">
        <w:rPr>
          <w:noProof/>
          <w:webHidden/>
        </w:rPr>
        <w:fldChar w:fldCharType="end"/>
      </w:r>
      <w:r>
        <w:fldChar w:fldCharType="end"/>
      </w:r>
    </w:p>
    <w:p w:rsidR="00517374">
      <w:pPr>
        <w:pStyle w:val="TOC1"/>
        <w:rPr>
          <w:rFonts w:asciiTheme="minorHAnsi" w:eastAsiaTheme="minorEastAsia" w:hAnsiTheme="minorHAnsi" w:cstheme="minorBidi"/>
          <w:caps w:val="0"/>
          <w:noProof/>
          <w:sz w:val="22"/>
          <w:szCs w:val="22"/>
        </w:rPr>
      </w:pPr>
      <w:r>
        <w:fldChar w:fldCharType="begin"/>
      </w:r>
      <w:r>
        <w:instrText xml:space="preserve"> HYPERLINK \l "_Toc469922787" </w:instrText>
      </w:r>
      <w:r>
        <w:fldChar w:fldCharType="separate"/>
      </w:r>
      <w:r w:rsidRPr="00CF3F95" w:rsidR="00A54A43">
        <w:rPr>
          <w:rStyle w:val="Hyperlink"/>
          <w:noProof/>
        </w:rPr>
        <w:t>III.</w:t>
      </w:r>
      <w:r w:rsidR="00A54A43">
        <w:rPr>
          <w:rFonts w:asciiTheme="minorHAnsi" w:eastAsiaTheme="minorEastAsia" w:hAnsiTheme="minorHAnsi" w:cstheme="minorBidi"/>
          <w:caps w:val="0"/>
          <w:noProof/>
          <w:sz w:val="22"/>
          <w:szCs w:val="22"/>
        </w:rPr>
        <w:tab/>
      </w:r>
      <w:r w:rsidRPr="00CF3F95" w:rsidR="00A54A43">
        <w:rPr>
          <w:rStyle w:val="Hyperlink"/>
          <w:noProof/>
        </w:rPr>
        <w:t>RATE OF RETURN</w:t>
      </w:r>
      <w:r w:rsidR="00A54A43">
        <w:rPr>
          <w:noProof/>
          <w:webHidden/>
        </w:rPr>
        <w:tab/>
      </w:r>
      <w:r w:rsidR="00A54A43">
        <w:rPr>
          <w:noProof/>
          <w:webHidden/>
        </w:rPr>
        <w:fldChar w:fldCharType="begin"/>
      </w:r>
      <w:r w:rsidR="00A54A43">
        <w:rPr>
          <w:noProof/>
          <w:webHidden/>
        </w:rPr>
        <w:instrText xml:space="preserve"> PAGEREF _Toc469922787 \h </w:instrText>
      </w:r>
      <w:r w:rsidR="00A54A43">
        <w:rPr>
          <w:noProof/>
          <w:webHidden/>
        </w:rPr>
        <w:fldChar w:fldCharType="separate"/>
      </w:r>
      <w:r w:rsidR="00A54A43">
        <w:rPr>
          <w:noProof/>
          <w:webHidden/>
        </w:rPr>
        <w:t>5</w:t>
      </w:r>
      <w:r w:rsidR="00A54A43">
        <w:rPr>
          <w:noProof/>
          <w:webHidden/>
        </w:rPr>
        <w:fldChar w:fldCharType="end"/>
      </w:r>
      <w:r>
        <w:fldChar w:fldCharType="end"/>
      </w:r>
    </w:p>
    <w:p w:rsidR="00517374">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"_Toc469922788" </w:instrText>
      </w:r>
      <w:r>
        <w:fldChar w:fldCharType="separate"/>
      </w:r>
      <w:r w:rsidRPr="00CF3F95" w:rsidR="00A54A43">
        <w:rPr>
          <w:rStyle w:val="Hyperlink"/>
          <w:noProof/>
        </w:rPr>
        <w:t>1.</w:t>
      </w:r>
      <w:r w:rsidR="00A54A43">
        <w:rPr>
          <w:rFonts w:asciiTheme="minorHAnsi" w:eastAsiaTheme="minorEastAsia" w:hAnsiTheme="minorHAnsi" w:cstheme="minorBidi"/>
          <w:noProof/>
          <w:sz w:val="22"/>
          <w:szCs w:val="22"/>
        </w:rPr>
        <w:tab/>
      </w:r>
      <w:r w:rsidRPr="00CF3F95" w:rsidR="00A54A43">
        <w:rPr>
          <w:rStyle w:val="Hyperlink"/>
          <w:noProof/>
        </w:rPr>
        <w:t>Risk Free Return</w:t>
      </w:r>
      <w:r w:rsidR="00A54A43">
        <w:rPr>
          <w:noProof/>
          <w:webHidden/>
        </w:rPr>
        <w:tab/>
      </w:r>
      <w:r w:rsidR="00A54A43">
        <w:rPr>
          <w:noProof/>
          <w:webHidden/>
        </w:rPr>
        <w:fldChar w:fldCharType="begin"/>
      </w:r>
      <w:r w:rsidR="00A54A43">
        <w:rPr>
          <w:noProof/>
          <w:webHidden/>
        </w:rPr>
        <w:instrText xml:space="preserve"> PAGEREF _Toc469922788 \h </w:instrText>
      </w:r>
      <w:r w:rsidR="00A54A43">
        <w:rPr>
          <w:noProof/>
          <w:webHidden/>
        </w:rPr>
        <w:fldChar w:fldCharType="separate"/>
      </w:r>
      <w:r w:rsidR="00A54A43">
        <w:rPr>
          <w:noProof/>
          <w:webHidden/>
        </w:rPr>
        <w:t>5</w:t>
      </w:r>
      <w:r w:rsidR="00A54A43">
        <w:rPr>
          <w:noProof/>
          <w:webHidden/>
        </w:rPr>
        <w:fldChar w:fldCharType="end"/>
      </w:r>
      <w:r>
        <w:fldChar w:fldCharType="end"/>
      </w:r>
    </w:p>
    <w:p w:rsidR="00517374">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"_Toc469922789" </w:instrText>
      </w:r>
      <w:r>
        <w:fldChar w:fldCharType="separate"/>
      </w:r>
      <w:r w:rsidRPr="00CF3F95" w:rsidR="00A54A43">
        <w:rPr>
          <w:rStyle w:val="Hyperlink"/>
          <w:noProof/>
        </w:rPr>
        <w:t>2.</w:t>
      </w:r>
      <w:r w:rsidR="00A54A43">
        <w:rPr>
          <w:rFonts w:asciiTheme="minorHAnsi" w:eastAsiaTheme="minorEastAsia" w:hAnsiTheme="minorHAnsi" w:cstheme="minorBidi"/>
          <w:noProof/>
          <w:sz w:val="22"/>
          <w:szCs w:val="22"/>
        </w:rPr>
        <w:tab/>
      </w:r>
      <w:r w:rsidRPr="00CF3F95" w:rsidR="00A54A43">
        <w:rPr>
          <w:rStyle w:val="Hyperlink"/>
          <w:noProof/>
        </w:rPr>
        <w:t>Flotation Costs</w:t>
      </w:r>
      <w:r w:rsidR="00A54A43">
        <w:rPr>
          <w:noProof/>
          <w:webHidden/>
        </w:rPr>
        <w:tab/>
      </w:r>
      <w:r w:rsidR="00A54A43">
        <w:rPr>
          <w:noProof/>
          <w:webHidden/>
        </w:rPr>
        <w:fldChar w:fldCharType="begin"/>
      </w:r>
      <w:r w:rsidR="00A54A43">
        <w:rPr>
          <w:noProof/>
          <w:webHidden/>
        </w:rPr>
        <w:instrText xml:space="preserve"> PAGEREF _Toc469922789 \h </w:instrText>
      </w:r>
      <w:r w:rsidR="00A54A43">
        <w:rPr>
          <w:noProof/>
          <w:webHidden/>
        </w:rPr>
        <w:fldChar w:fldCharType="separate"/>
      </w:r>
      <w:r w:rsidR="00A54A43">
        <w:rPr>
          <w:noProof/>
          <w:webHidden/>
        </w:rPr>
        <w:t>5</w:t>
      </w:r>
      <w:r w:rsidR="00A54A43">
        <w:rPr>
          <w:noProof/>
          <w:webHidden/>
        </w:rPr>
        <w:fldChar w:fldCharType="end"/>
      </w:r>
      <w:r>
        <w:fldChar w:fldCharType="end"/>
      </w:r>
    </w:p>
    <w:p w:rsidR="00517374">
      <w:pPr>
        <w:pStyle w:val="TOC1"/>
        <w:rPr>
          <w:rFonts w:asciiTheme="minorHAnsi" w:eastAsiaTheme="minorEastAsia" w:hAnsiTheme="minorHAnsi" w:cstheme="minorBidi"/>
          <w:caps w:val="0"/>
          <w:noProof/>
          <w:sz w:val="22"/>
          <w:szCs w:val="22"/>
        </w:rPr>
      </w:pPr>
      <w:r>
        <w:fldChar w:fldCharType="begin"/>
      </w:r>
      <w:r>
        <w:instrText xml:space="preserve"> HYPERLINK \l "_Toc469922790" </w:instrText>
      </w:r>
      <w:r>
        <w:fldChar w:fldCharType="separate"/>
      </w:r>
      <w:r w:rsidRPr="00CF3F95" w:rsidR="00A54A43">
        <w:rPr>
          <w:rStyle w:val="Hyperlink"/>
          <w:noProof/>
        </w:rPr>
        <w:t>IV.</w:t>
      </w:r>
      <w:r w:rsidR="00A54A43">
        <w:rPr>
          <w:rFonts w:asciiTheme="minorHAnsi" w:eastAsiaTheme="minorEastAsia" w:hAnsiTheme="minorHAnsi" w:cstheme="minorBidi"/>
          <w:caps w:val="0"/>
          <w:noProof/>
          <w:sz w:val="22"/>
          <w:szCs w:val="22"/>
        </w:rPr>
        <w:tab/>
      </w:r>
      <w:r w:rsidRPr="00CF3F95" w:rsidR="00A54A43">
        <w:rPr>
          <w:rStyle w:val="Hyperlink"/>
          <w:noProof/>
        </w:rPr>
        <w:t>RATES AND TARIFFS</w:t>
      </w:r>
      <w:r w:rsidR="00A54A43">
        <w:rPr>
          <w:noProof/>
          <w:webHidden/>
        </w:rPr>
        <w:tab/>
      </w:r>
      <w:r w:rsidR="00A54A43">
        <w:rPr>
          <w:noProof/>
          <w:webHidden/>
        </w:rPr>
        <w:fldChar w:fldCharType="begin"/>
      </w:r>
      <w:r w:rsidR="00A54A43">
        <w:rPr>
          <w:noProof/>
          <w:webHidden/>
        </w:rPr>
        <w:instrText xml:space="preserve"> PAGEREF _Toc469922790 \h </w:instrText>
      </w:r>
      <w:r w:rsidR="00A54A43">
        <w:rPr>
          <w:noProof/>
          <w:webHidden/>
        </w:rPr>
        <w:fldChar w:fldCharType="separate"/>
      </w:r>
      <w:r w:rsidR="00A54A43">
        <w:rPr>
          <w:noProof/>
          <w:webHidden/>
        </w:rPr>
        <w:t>6</w:t>
      </w:r>
      <w:r w:rsidR="00A54A43">
        <w:rPr>
          <w:noProof/>
          <w:webHidden/>
        </w:rPr>
        <w:fldChar w:fldCharType="end"/>
      </w:r>
      <w:r>
        <w:fldChar w:fldCharType="end"/>
      </w:r>
    </w:p>
    <w:p w:rsidR="00517374">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"_Toc469922791" </w:instrText>
      </w:r>
      <w:r>
        <w:fldChar w:fldCharType="separate"/>
      </w:r>
      <w:r w:rsidRPr="00CF3F95" w:rsidR="00A54A43">
        <w:rPr>
          <w:rStyle w:val="Hyperlink"/>
          <w:noProof/>
        </w:rPr>
        <w:t>1.</w:t>
      </w:r>
      <w:r w:rsidR="00A54A43">
        <w:rPr>
          <w:rFonts w:asciiTheme="minorHAnsi" w:eastAsiaTheme="minorEastAsia" w:hAnsiTheme="minorHAnsi" w:cstheme="minorBidi"/>
          <w:noProof/>
          <w:sz w:val="22"/>
          <w:szCs w:val="22"/>
        </w:rPr>
        <w:tab/>
      </w:r>
      <w:r w:rsidRPr="00CF3F95" w:rsidR="00A54A43">
        <w:rPr>
          <w:rStyle w:val="Hyperlink"/>
          <w:noProof/>
        </w:rPr>
        <w:t>Trip Charge</w:t>
      </w:r>
      <w:r w:rsidR="00A54A43">
        <w:rPr>
          <w:noProof/>
          <w:webHidden/>
        </w:rPr>
        <w:tab/>
      </w:r>
      <w:r w:rsidR="00A54A43">
        <w:rPr>
          <w:noProof/>
          <w:webHidden/>
        </w:rPr>
        <w:fldChar w:fldCharType="begin"/>
      </w:r>
      <w:r w:rsidR="00A54A43">
        <w:rPr>
          <w:noProof/>
          <w:webHidden/>
        </w:rPr>
        <w:instrText xml:space="preserve"> PAGEREF _Toc469922791 \h </w:instrText>
      </w:r>
      <w:r w:rsidR="00A54A43">
        <w:rPr>
          <w:noProof/>
          <w:webHidden/>
        </w:rPr>
        <w:fldChar w:fldCharType="separate"/>
      </w:r>
      <w:r w:rsidR="00A54A43">
        <w:rPr>
          <w:noProof/>
          <w:webHidden/>
        </w:rPr>
        <w:t>6</w:t>
      </w:r>
      <w:r w:rsidR="00A54A43">
        <w:rPr>
          <w:noProof/>
          <w:webHidden/>
        </w:rPr>
        <w:fldChar w:fldCharType="end"/>
      </w:r>
      <w:r>
        <w:fldChar w:fldCharType="end"/>
      </w:r>
    </w:p>
    <w:p w:rsidR="00517374">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"_Toc469922792" </w:instrText>
      </w:r>
      <w:r>
        <w:fldChar w:fldCharType="separate"/>
      </w:r>
      <w:r w:rsidRPr="00CF3F95" w:rsidR="00A54A43">
        <w:rPr>
          <w:rStyle w:val="Hyperlink"/>
          <w:noProof/>
        </w:rPr>
        <w:t>2.</w:t>
      </w:r>
      <w:r w:rsidR="00A54A43">
        <w:rPr>
          <w:rFonts w:asciiTheme="minorHAnsi" w:eastAsiaTheme="minorEastAsia" w:hAnsiTheme="minorHAnsi" w:cstheme="minorBidi"/>
          <w:noProof/>
          <w:sz w:val="22"/>
          <w:szCs w:val="22"/>
        </w:rPr>
        <w:tab/>
      </w:r>
      <w:r w:rsidRPr="00CF3F95" w:rsidR="00A54A43">
        <w:rPr>
          <w:rStyle w:val="Hyperlink"/>
          <w:noProof/>
        </w:rPr>
        <w:t>Cost of Service/Cost Allocations</w:t>
      </w:r>
      <w:r w:rsidR="00A54A43">
        <w:rPr>
          <w:noProof/>
          <w:webHidden/>
        </w:rPr>
        <w:tab/>
      </w:r>
      <w:r w:rsidR="00A54A43">
        <w:rPr>
          <w:noProof/>
          <w:webHidden/>
        </w:rPr>
        <w:fldChar w:fldCharType="begin"/>
      </w:r>
      <w:r w:rsidR="00A54A43">
        <w:rPr>
          <w:noProof/>
          <w:webHidden/>
        </w:rPr>
        <w:instrText xml:space="preserve"> PAGEREF _Toc469922792 \h </w:instrText>
      </w:r>
      <w:r w:rsidR="00A54A43">
        <w:rPr>
          <w:noProof/>
          <w:webHidden/>
        </w:rPr>
        <w:fldChar w:fldCharType="separate"/>
      </w:r>
      <w:r w:rsidR="00A54A43">
        <w:rPr>
          <w:noProof/>
          <w:webHidden/>
        </w:rPr>
        <w:t>6</w:t>
      </w:r>
      <w:r w:rsidR="00A54A43">
        <w:rPr>
          <w:noProof/>
          <w:webHidden/>
        </w:rPr>
        <w:fldChar w:fldCharType="end"/>
      </w:r>
      <w:r>
        <w:fldChar w:fldCharType="end"/>
      </w:r>
    </w:p>
    <w:p w:rsidR="00517374">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"_Toc469922793" </w:instrText>
      </w:r>
      <w:r>
        <w:fldChar w:fldCharType="separate"/>
      </w:r>
      <w:r w:rsidRPr="00CF3F95" w:rsidR="00A54A43">
        <w:rPr>
          <w:rStyle w:val="Hyperlink"/>
          <w:noProof/>
        </w:rPr>
        <w:t>3.</w:t>
      </w:r>
      <w:r w:rsidR="00A54A43">
        <w:rPr>
          <w:rFonts w:asciiTheme="minorHAnsi" w:eastAsiaTheme="minorEastAsia" w:hAnsiTheme="minorHAnsi" w:cstheme="minorBidi"/>
          <w:noProof/>
          <w:sz w:val="22"/>
          <w:szCs w:val="22"/>
        </w:rPr>
        <w:tab/>
      </w:r>
      <w:r w:rsidRPr="00CF3F95" w:rsidR="00A54A43">
        <w:rPr>
          <w:rStyle w:val="Hyperlink"/>
          <w:noProof/>
        </w:rPr>
        <w:t>Residential Rate Design</w:t>
      </w:r>
      <w:r w:rsidR="00A54A43">
        <w:rPr>
          <w:noProof/>
          <w:webHidden/>
        </w:rPr>
        <w:tab/>
      </w:r>
      <w:r w:rsidR="00A54A43">
        <w:rPr>
          <w:noProof/>
          <w:webHidden/>
        </w:rPr>
        <w:fldChar w:fldCharType="begin"/>
      </w:r>
      <w:r w:rsidR="00A54A43">
        <w:rPr>
          <w:noProof/>
          <w:webHidden/>
        </w:rPr>
        <w:instrText xml:space="preserve"> PAGEREF _Toc469922793 \h </w:instrText>
      </w:r>
      <w:r w:rsidR="00A54A43">
        <w:rPr>
          <w:noProof/>
          <w:webHidden/>
        </w:rPr>
        <w:fldChar w:fldCharType="separate"/>
      </w:r>
      <w:r w:rsidR="00A54A43">
        <w:rPr>
          <w:noProof/>
          <w:webHidden/>
        </w:rPr>
        <w:t>7</w:t>
      </w:r>
      <w:r w:rsidR="00A54A43">
        <w:rPr>
          <w:noProof/>
          <w:webHidden/>
        </w:rPr>
        <w:fldChar w:fldCharType="end"/>
      </w:r>
      <w:r>
        <w:fldChar w:fldCharType="end"/>
      </w:r>
    </w:p>
    <w:p w:rsidR="00517374">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"_Toc469922794" </w:instrText>
      </w:r>
      <w:r>
        <w:fldChar w:fldCharType="separate"/>
      </w:r>
      <w:r w:rsidRPr="00CF3F95" w:rsidR="00A54A43">
        <w:rPr>
          <w:rStyle w:val="Hyperlink"/>
          <w:noProof/>
        </w:rPr>
        <w:t>4.</w:t>
      </w:r>
      <w:r w:rsidR="00A54A43">
        <w:rPr>
          <w:rFonts w:asciiTheme="minorHAnsi" w:eastAsiaTheme="minorEastAsia" w:hAnsiTheme="minorHAnsi" w:cstheme="minorBidi"/>
          <w:noProof/>
          <w:sz w:val="22"/>
          <w:szCs w:val="22"/>
        </w:rPr>
        <w:tab/>
      </w:r>
      <w:r w:rsidRPr="00CF3F95" w:rsidR="00A54A43">
        <w:rPr>
          <w:rStyle w:val="Hyperlink"/>
          <w:noProof/>
        </w:rPr>
        <w:t>System Improvement Charge</w:t>
      </w:r>
      <w:r w:rsidR="00A54A43">
        <w:rPr>
          <w:noProof/>
          <w:webHidden/>
        </w:rPr>
        <w:tab/>
      </w:r>
      <w:r w:rsidR="00A54A43">
        <w:rPr>
          <w:noProof/>
          <w:webHidden/>
        </w:rPr>
        <w:fldChar w:fldCharType="begin"/>
      </w:r>
      <w:r w:rsidR="00A54A43">
        <w:rPr>
          <w:noProof/>
          <w:webHidden/>
        </w:rPr>
        <w:instrText xml:space="preserve"> PAGEREF _Toc469922794 \h </w:instrText>
      </w:r>
      <w:r w:rsidR="00A54A43">
        <w:rPr>
          <w:noProof/>
          <w:webHidden/>
        </w:rPr>
        <w:fldChar w:fldCharType="separate"/>
      </w:r>
      <w:r w:rsidR="00A54A43">
        <w:rPr>
          <w:noProof/>
          <w:webHidden/>
        </w:rPr>
        <w:t>7</w:t>
      </w:r>
      <w:r w:rsidR="00A54A43">
        <w:rPr>
          <w:noProof/>
          <w:webHidden/>
        </w:rPr>
        <w:fldChar w:fldCharType="end"/>
      </w:r>
      <w:r>
        <w:fldChar w:fldCharType="end"/>
      </w:r>
    </w:p>
    <w:p w:rsidR="00517374">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"_Toc469922795" </w:instrText>
      </w:r>
      <w:r>
        <w:fldChar w:fldCharType="separate"/>
      </w:r>
      <w:r w:rsidRPr="00CF3F95" w:rsidR="00A54A43">
        <w:rPr>
          <w:rStyle w:val="Hyperlink"/>
          <w:noProof/>
        </w:rPr>
        <w:t>5.</w:t>
      </w:r>
      <w:r w:rsidR="00A54A43">
        <w:rPr>
          <w:rFonts w:asciiTheme="minorHAnsi" w:eastAsiaTheme="minorEastAsia" w:hAnsiTheme="minorHAnsi" w:cstheme="minorBidi"/>
          <w:noProof/>
          <w:sz w:val="22"/>
          <w:szCs w:val="22"/>
        </w:rPr>
        <w:tab/>
      </w:r>
      <w:r w:rsidRPr="00CF3F95" w:rsidR="00A54A43">
        <w:rPr>
          <w:rStyle w:val="Hyperlink"/>
          <w:noProof/>
        </w:rPr>
        <w:t>Unmetered Rates</w:t>
      </w:r>
      <w:r w:rsidR="00A54A43">
        <w:rPr>
          <w:noProof/>
          <w:webHidden/>
        </w:rPr>
        <w:tab/>
      </w:r>
      <w:r w:rsidR="00A54A43">
        <w:rPr>
          <w:noProof/>
          <w:webHidden/>
        </w:rPr>
        <w:fldChar w:fldCharType="begin"/>
      </w:r>
      <w:r w:rsidR="00A54A43">
        <w:rPr>
          <w:noProof/>
          <w:webHidden/>
        </w:rPr>
        <w:instrText xml:space="preserve"> PAGEREF _Toc469922795 \h </w:instrText>
      </w:r>
      <w:r w:rsidR="00A54A43">
        <w:rPr>
          <w:noProof/>
          <w:webHidden/>
        </w:rPr>
        <w:fldChar w:fldCharType="separate"/>
      </w:r>
      <w:r w:rsidR="00A54A43">
        <w:rPr>
          <w:noProof/>
          <w:webHidden/>
        </w:rPr>
        <w:t>7</w:t>
      </w:r>
      <w:r w:rsidR="00A54A43">
        <w:rPr>
          <w:noProof/>
          <w:webHidden/>
        </w:rPr>
        <w:fldChar w:fldCharType="end"/>
      </w:r>
      <w:r>
        <w:fldChar w:fldCharType="end"/>
      </w:r>
    </w:p>
    <w:p w:rsidR="00517374">
      <w:pPr>
        <w:pStyle w:val="TOC1"/>
        <w:rPr>
          <w:rFonts w:asciiTheme="minorHAnsi" w:eastAsiaTheme="minorEastAsia" w:hAnsiTheme="minorHAnsi" w:cstheme="minorBidi"/>
          <w:caps w:val="0"/>
          <w:noProof/>
          <w:sz w:val="22"/>
          <w:szCs w:val="22"/>
        </w:rPr>
      </w:pPr>
      <w:r>
        <w:fldChar w:fldCharType="begin"/>
      </w:r>
      <w:r>
        <w:instrText xml:space="preserve"> HYPERLINK \l "_Toc469922796" </w:instrText>
      </w:r>
      <w:r>
        <w:fldChar w:fldCharType="separate"/>
      </w:r>
      <w:r w:rsidRPr="00CF3F95" w:rsidR="00A54A43">
        <w:rPr>
          <w:rStyle w:val="Hyperlink"/>
          <w:noProof/>
        </w:rPr>
        <w:t>V.</w:t>
      </w:r>
      <w:r w:rsidR="00A54A43">
        <w:rPr>
          <w:rFonts w:asciiTheme="minorHAnsi" w:eastAsiaTheme="minorEastAsia" w:hAnsiTheme="minorHAnsi" w:cstheme="minorBidi"/>
          <w:caps w:val="0"/>
          <w:noProof/>
          <w:sz w:val="22"/>
          <w:szCs w:val="22"/>
        </w:rPr>
        <w:tab/>
      </w:r>
      <w:r w:rsidRPr="00CF3F95" w:rsidR="00A54A43">
        <w:rPr>
          <w:rStyle w:val="Hyperlink"/>
          <w:noProof/>
        </w:rPr>
        <w:t>MANAGEMENT AND OPERATION REVIEW</w:t>
      </w:r>
      <w:r w:rsidR="00A54A43">
        <w:rPr>
          <w:noProof/>
          <w:webHidden/>
        </w:rPr>
        <w:tab/>
      </w:r>
      <w:r w:rsidR="00A54A43">
        <w:rPr>
          <w:noProof/>
          <w:webHidden/>
        </w:rPr>
        <w:fldChar w:fldCharType="begin"/>
      </w:r>
      <w:r w:rsidR="00A54A43">
        <w:rPr>
          <w:noProof/>
          <w:webHidden/>
        </w:rPr>
        <w:instrText xml:space="preserve"> PAGEREF _Toc469922796 \h </w:instrText>
      </w:r>
      <w:r w:rsidR="00A54A43">
        <w:rPr>
          <w:noProof/>
          <w:webHidden/>
        </w:rPr>
        <w:fldChar w:fldCharType="separate"/>
      </w:r>
      <w:r w:rsidR="00A54A43">
        <w:rPr>
          <w:noProof/>
          <w:webHidden/>
        </w:rPr>
        <w:t>8</w:t>
      </w:r>
      <w:r w:rsidR="00A54A43">
        <w:rPr>
          <w:noProof/>
          <w:webHidden/>
        </w:rPr>
        <w:fldChar w:fldCharType="end"/>
      </w:r>
      <w:r>
        <w:fldChar w:fldCharType="end"/>
      </w:r>
    </w:p>
    <w:p w:rsidR="00517374">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"_Toc469922797" </w:instrText>
      </w:r>
      <w:r>
        <w:fldChar w:fldCharType="separate"/>
      </w:r>
      <w:r w:rsidRPr="00CF3F95" w:rsidR="00A54A43">
        <w:rPr>
          <w:rStyle w:val="Hyperlink"/>
          <w:noProof/>
        </w:rPr>
        <w:t>1.</w:t>
      </w:r>
      <w:r w:rsidR="00A54A43">
        <w:rPr>
          <w:rFonts w:asciiTheme="minorHAnsi" w:eastAsiaTheme="minorEastAsia" w:hAnsiTheme="minorHAnsi" w:cstheme="minorBidi"/>
          <w:noProof/>
          <w:sz w:val="22"/>
          <w:szCs w:val="22"/>
        </w:rPr>
        <w:tab/>
      </w:r>
      <w:r w:rsidRPr="00CF3F95" w:rsidR="00A54A43">
        <w:rPr>
          <w:rStyle w:val="Hyperlink"/>
          <w:noProof/>
        </w:rPr>
        <w:t>Information Technology (“IT”)</w:t>
      </w:r>
      <w:r w:rsidR="00A54A43">
        <w:rPr>
          <w:noProof/>
          <w:webHidden/>
        </w:rPr>
        <w:tab/>
      </w:r>
      <w:r w:rsidR="00A54A43">
        <w:rPr>
          <w:noProof/>
          <w:webHidden/>
        </w:rPr>
        <w:fldChar w:fldCharType="begin"/>
      </w:r>
      <w:r w:rsidR="00A54A43">
        <w:rPr>
          <w:noProof/>
          <w:webHidden/>
        </w:rPr>
        <w:instrText xml:space="preserve"> PAGEREF _Toc469922797 \h </w:instrText>
      </w:r>
      <w:r w:rsidR="00A54A43">
        <w:rPr>
          <w:noProof/>
          <w:webHidden/>
        </w:rPr>
        <w:fldChar w:fldCharType="separate"/>
      </w:r>
      <w:r w:rsidR="00A54A43">
        <w:rPr>
          <w:noProof/>
          <w:webHidden/>
        </w:rPr>
        <w:t>8</w:t>
      </w:r>
      <w:r w:rsidR="00A54A43">
        <w:rPr>
          <w:noProof/>
          <w:webHidden/>
        </w:rPr>
        <w:fldChar w:fldCharType="end"/>
      </w:r>
      <w:r>
        <w:fldChar w:fldCharType="end"/>
      </w:r>
    </w:p>
    <w:p w:rsidR="00517374">
      <w:pPr>
        <w:pStyle w:val="TOC1"/>
        <w:rPr>
          <w:rFonts w:asciiTheme="minorHAnsi" w:eastAsiaTheme="minorEastAsia" w:hAnsiTheme="minorHAnsi" w:cstheme="minorBidi"/>
          <w:caps w:val="0"/>
          <w:noProof/>
          <w:sz w:val="22"/>
          <w:szCs w:val="22"/>
        </w:rPr>
      </w:pPr>
      <w:r>
        <w:fldChar w:fldCharType="begin"/>
      </w:r>
      <w:r>
        <w:instrText xml:space="preserve"> HYPERLINK \l "_Toc469922798" </w:instrText>
      </w:r>
      <w:r>
        <w:fldChar w:fldCharType="separate"/>
      </w:r>
      <w:r w:rsidRPr="00CF3F95" w:rsidR="00A54A43">
        <w:rPr>
          <w:rStyle w:val="Hyperlink"/>
          <w:noProof/>
        </w:rPr>
        <w:t>VI.</w:t>
      </w:r>
      <w:r w:rsidR="00A54A43">
        <w:rPr>
          <w:rFonts w:asciiTheme="minorHAnsi" w:eastAsiaTheme="minorEastAsia" w:hAnsiTheme="minorHAnsi" w:cstheme="minorBidi"/>
          <w:caps w:val="0"/>
          <w:noProof/>
          <w:sz w:val="22"/>
          <w:szCs w:val="22"/>
        </w:rPr>
        <w:tab/>
      </w:r>
      <w:r w:rsidRPr="00CF3F95" w:rsidR="00A54A43">
        <w:rPr>
          <w:rStyle w:val="Hyperlink"/>
          <w:noProof/>
        </w:rPr>
        <w:t>SERVICE MONITORING AND ENFORCEMENT</w:t>
      </w:r>
      <w:r w:rsidR="00A54A43">
        <w:rPr>
          <w:noProof/>
          <w:webHidden/>
        </w:rPr>
        <w:tab/>
      </w:r>
      <w:r w:rsidR="00A54A43">
        <w:rPr>
          <w:noProof/>
          <w:webHidden/>
        </w:rPr>
        <w:fldChar w:fldCharType="begin"/>
      </w:r>
      <w:r w:rsidR="00A54A43">
        <w:rPr>
          <w:noProof/>
          <w:webHidden/>
        </w:rPr>
        <w:instrText xml:space="preserve"> PAGEREF _Toc469922798 \h </w:instrText>
      </w:r>
      <w:r w:rsidR="00A54A43">
        <w:rPr>
          <w:noProof/>
          <w:webHidden/>
        </w:rPr>
        <w:fldChar w:fldCharType="separate"/>
      </w:r>
      <w:r w:rsidR="00A54A43">
        <w:rPr>
          <w:noProof/>
          <w:webHidden/>
        </w:rPr>
        <w:t>8</w:t>
      </w:r>
      <w:r w:rsidR="00A54A43">
        <w:rPr>
          <w:noProof/>
          <w:webHidden/>
        </w:rPr>
        <w:fldChar w:fldCharType="end"/>
      </w:r>
      <w:r>
        <w:fldChar w:fldCharType="end"/>
      </w:r>
    </w:p>
    <w:p w:rsidR="00517374">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"_Toc469922799" </w:instrText>
      </w:r>
      <w:r>
        <w:fldChar w:fldCharType="separate"/>
      </w:r>
      <w:r w:rsidRPr="00CF3F95" w:rsidR="00A54A43">
        <w:rPr>
          <w:rStyle w:val="Hyperlink"/>
          <w:noProof/>
        </w:rPr>
        <w:t>1.</w:t>
      </w:r>
      <w:r w:rsidR="00A54A43">
        <w:rPr>
          <w:rFonts w:asciiTheme="minorHAnsi" w:eastAsiaTheme="minorEastAsia" w:hAnsiTheme="minorHAnsi" w:cstheme="minorBidi"/>
          <w:noProof/>
          <w:sz w:val="22"/>
          <w:szCs w:val="22"/>
        </w:rPr>
        <w:tab/>
      </w:r>
      <w:r w:rsidRPr="00CF3F95" w:rsidR="00A54A43">
        <w:rPr>
          <w:rStyle w:val="Hyperlink"/>
          <w:noProof/>
        </w:rPr>
        <w:t>Low-income Bill Payment Assistance Program</w:t>
      </w:r>
      <w:r w:rsidR="00A54A43">
        <w:rPr>
          <w:noProof/>
          <w:webHidden/>
        </w:rPr>
        <w:tab/>
      </w:r>
      <w:r w:rsidR="00A54A43">
        <w:rPr>
          <w:noProof/>
          <w:webHidden/>
        </w:rPr>
        <w:fldChar w:fldCharType="begin"/>
      </w:r>
      <w:r w:rsidR="00A54A43">
        <w:rPr>
          <w:noProof/>
          <w:webHidden/>
        </w:rPr>
        <w:instrText xml:space="preserve"> PAGEREF _Toc469922799 \h </w:instrText>
      </w:r>
      <w:r w:rsidR="00A54A43">
        <w:rPr>
          <w:noProof/>
          <w:webHidden/>
        </w:rPr>
        <w:fldChar w:fldCharType="separate"/>
      </w:r>
      <w:r w:rsidR="00A54A43">
        <w:rPr>
          <w:noProof/>
          <w:webHidden/>
        </w:rPr>
        <w:t>8</w:t>
      </w:r>
      <w:r w:rsidR="00A54A43">
        <w:rPr>
          <w:noProof/>
          <w:webHidden/>
        </w:rPr>
        <w:fldChar w:fldCharType="end"/>
      </w:r>
      <w:r>
        <w:fldChar w:fldCharType="end"/>
      </w:r>
    </w:p>
    <w:p w:rsidR="00517374">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"_Toc469922800" </w:instrText>
      </w:r>
      <w:r>
        <w:fldChar w:fldCharType="separate"/>
      </w:r>
      <w:r w:rsidRPr="00CF3F95" w:rsidR="00A54A43">
        <w:rPr>
          <w:rStyle w:val="Hyperlink"/>
          <w:noProof/>
        </w:rPr>
        <w:t>2.</w:t>
      </w:r>
      <w:r w:rsidR="00A54A43">
        <w:rPr>
          <w:rFonts w:asciiTheme="minorHAnsi" w:eastAsiaTheme="minorEastAsia" w:hAnsiTheme="minorHAnsi" w:cstheme="minorBidi"/>
          <w:noProof/>
          <w:sz w:val="22"/>
          <w:szCs w:val="22"/>
        </w:rPr>
        <w:tab/>
      </w:r>
      <w:r w:rsidRPr="00CF3F95" w:rsidR="00A54A43">
        <w:rPr>
          <w:rStyle w:val="Hyperlink"/>
          <w:noProof/>
        </w:rPr>
        <w:t>Unaccounted -for-Water</w:t>
      </w:r>
      <w:r w:rsidR="00A54A43">
        <w:rPr>
          <w:noProof/>
          <w:webHidden/>
        </w:rPr>
        <w:tab/>
      </w:r>
      <w:r w:rsidR="00A54A43">
        <w:rPr>
          <w:noProof/>
          <w:webHidden/>
        </w:rPr>
        <w:fldChar w:fldCharType="begin"/>
      </w:r>
      <w:r w:rsidR="00A54A43">
        <w:rPr>
          <w:noProof/>
          <w:webHidden/>
        </w:rPr>
        <w:instrText xml:space="preserve"> PAGEREF _Toc469922800 \h </w:instrText>
      </w:r>
      <w:r w:rsidR="00A54A43">
        <w:rPr>
          <w:noProof/>
          <w:webHidden/>
        </w:rPr>
        <w:fldChar w:fldCharType="separate"/>
      </w:r>
      <w:r w:rsidR="00A54A43">
        <w:rPr>
          <w:noProof/>
          <w:webHidden/>
        </w:rPr>
        <w:t>9</w:t>
      </w:r>
      <w:r w:rsidR="00A54A43">
        <w:rPr>
          <w:noProof/>
          <w:webHidden/>
        </w:rPr>
        <w:fldChar w:fldCharType="end"/>
      </w:r>
      <w:r>
        <w:fldChar w:fldCharType="end"/>
      </w:r>
    </w:p>
    <w:p w:rsidR="00517374">
      <w:pPr>
        <w:pStyle w:val="TOC1"/>
        <w:rPr>
          <w:rFonts w:asciiTheme="minorHAnsi" w:eastAsiaTheme="minorEastAsia" w:hAnsiTheme="minorHAnsi" w:cstheme="minorBidi"/>
          <w:caps w:val="0"/>
          <w:noProof/>
          <w:sz w:val="22"/>
          <w:szCs w:val="22"/>
        </w:rPr>
      </w:pPr>
      <w:r>
        <w:fldChar w:fldCharType="begin"/>
      </w:r>
      <w:r>
        <w:instrText xml:space="preserve"> HYPERLINK \l "_Toc469922801" </w:instrText>
      </w:r>
      <w:r>
        <w:fldChar w:fldCharType="separate"/>
      </w:r>
      <w:r w:rsidRPr="00CF3F95" w:rsidR="00A54A43">
        <w:rPr>
          <w:rStyle w:val="Hyperlink"/>
          <w:noProof/>
        </w:rPr>
        <w:t xml:space="preserve">VII. </w:t>
      </w:r>
      <w:r w:rsidR="00A54A43">
        <w:rPr>
          <w:rFonts w:asciiTheme="minorHAnsi" w:eastAsiaTheme="minorEastAsia" w:hAnsiTheme="minorHAnsi" w:cstheme="minorBidi"/>
          <w:caps w:val="0"/>
          <w:noProof/>
          <w:sz w:val="22"/>
          <w:szCs w:val="22"/>
        </w:rPr>
        <w:tab/>
      </w:r>
      <w:r w:rsidRPr="00CF3F95" w:rsidR="00A54A43">
        <w:rPr>
          <w:rStyle w:val="Hyperlink"/>
          <w:noProof/>
        </w:rPr>
        <w:t>SUMMARY OF MAJOR ISSUES</w:t>
      </w:r>
      <w:r w:rsidR="00A54A43">
        <w:rPr>
          <w:noProof/>
          <w:webHidden/>
        </w:rPr>
        <w:tab/>
      </w:r>
      <w:r w:rsidR="00A54A43">
        <w:rPr>
          <w:noProof/>
          <w:webHidden/>
        </w:rPr>
        <w:fldChar w:fldCharType="begin"/>
      </w:r>
      <w:r w:rsidR="00A54A43">
        <w:rPr>
          <w:noProof/>
          <w:webHidden/>
        </w:rPr>
        <w:instrText xml:space="preserve"> PAGEREF _Toc469922801 \h </w:instrText>
      </w:r>
      <w:r w:rsidR="00A54A43">
        <w:rPr>
          <w:noProof/>
          <w:webHidden/>
        </w:rPr>
        <w:fldChar w:fldCharType="separate"/>
      </w:r>
      <w:r w:rsidR="00A54A43">
        <w:rPr>
          <w:noProof/>
          <w:webHidden/>
        </w:rPr>
        <w:t>9</w:t>
      </w:r>
      <w:r w:rsidR="00A54A43">
        <w:rPr>
          <w:noProof/>
          <w:webHidden/>
        </w:rPr>
        <w:fldChar w:fldCharType="end"/>
      </w:r>
      <w:r>
        <w:fldChar w:fldCharType="end"/>
      </w:r>
    </w:p>
    <w:p w:rsidR="00202C5F" w:rsidRPr="005216DF" w:rsidP="00A81C49">
      <w:pPr>
        <w:tabs>
          <w:tab w:val="decimal" w:leader="dot" w:pos="8640"/>
        </w:tabs>
        <w:spacing w:after="200" w:line="276" w:lineRule="auto"/>
        <w:rPr>
          <w:b/>
          <w:szCs w:val="24"/>
          <w:u w:val="single"/>
        </w:rPr>
        <w:sectPr w:rsidSect="00202C5F">
          <w:headerReference w:type="even" r:id="rId11"/>
          <w:headerReference w:type="default" r:id="rId12"/>
          <w:footerReference w:type="default" r:id="rId13"/>
          <w:headerReference w:type="first" r:id="rId14"/>
          <w:pgSz w:w="12240" w:h="15840"/>
          <w:pgMar w:top="1440" w:right="1800" w:bottom="1440" w:left="1800" w:header="720" w:footer="720" w:gutter="0"/>
          <w:pgNumType w:fmt="lowerRoman" w:start="1"/>
          <w:cols w:space="720"/>
          <w:docGrid w:linePitch="360"/>
        </w:sectPr>
      </w:pPr>
      <w:r w:rsidRPr="005216DF">
        <w:rPr>
          <w:b/>
          <w:szCs w:val="24"/>
        </w:rPr>
        <w:fldChar w:fldCharType="end"/>
      </w:r>
      <w:r w:rsidRPr="005216DF">
        <w:rPr>
          <w:b/>
          <w:szCs w:val="24"/>
          <w:u w:val="single"/>
        </w:rPr>
        <w:br w:type="page"/>
      </w:r>
    </w:p>
    <w:p w:rsidR="00BA6EC5" w:rsidRPr="005216DF">
      <w:pPr>
        <w:ind w:left="2880" w:firstLine="720"/>
        <w:rPr>
          <w:b/>
          <w:szCs w:val="24"/>
        </w:rPr>
      </w:pPr>
      <w:r w:rsidRPr="005216DF">
        <w:rPr>
          <w:b/>
          <w:szCs w:val="24"/>
        </w:rPr>
        <w:t>BEFORE</w:t>
      </w:r>
    </w:p>
    <w:p w:rsidR="00BA6EC5" w:rsidRPr="005216DF">
      <w:pPr>
        <w:jc w:val="center"/>
        <w:rPr>
          <w:b/>
          <w:szCs w:val="24"/>
        </w:rPr>
      </w:pPr>
      <w:r w:rsidRPr="005216DF">
        <w:rPr>
          <w:b/>
          <w:szCs w:val="24"/>
        </w:rPr>
        <w:t>THE PUBLIC UTILITIES COMMISSION OF OHIO</w:t>
      </w:r>
    </w:p>
    <w:p w:rsidR="00BA6EC5" w:rsidRPr="005216DF">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BA6EC5" w:rsidRPr="005216DF">
            <w:pPr>
              <w:spacing w:after="0" w:line="240" w:lineRule="auto"/>
              <w:rPr>
                <w:rStyle w:val="DefaultParagraphFont"/>
                <w:rFonts w:ascii="Times New Roman" w:eastAsia="Times New Roman" w:hAnsi="Times New Roman" w:cs="Times New Roman"/>
                <w:sz w:val="24"/>
                <w:szCs w:val="24"/>
                <w:lang w:val="en-US" w:eastAsia="en-US" w:bidi="ar-SA"/>
              </w:rPr>
            </w:pPr>
            <w:r w:rsidRPr="005216DF">
              <w:rPr>
                <w:rFonts w:ascii="Times New Roman" w:eastAsia="Times New Roman" w:hAnsi="Times New Roman" w:cs="Times New Roman"/>
                <w:sz w:val="24"/>
                <w:szCs w:val="24"/>
                <w:lang w:val="en-US" w:eastAsia="en-US" w:bidi="ar-SA"/>
              </w:rPr>
              <w:t>In the Matter of the Application of</w:t>
            </w:r>
          </w:p>
          <w:p w:rsidR="00BA6EC5" w:rsidRPr="005216D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5216DF">
              <w:rPr>
                <w:rFonts w:ascii="Times New Roman" w:eastAsia="Times New Roman" w:hAnsi="Times New Roman" w:cs="Times New Roman"/>
                <w:sz w:val="24"/>
                <w:szCs w:val="24"/>
                <w:lang w:val="en-US" w:eastAsia="en-US" w:bidi="ar-SA"/>
              </w:rPr>
              <w:t xml:space="preserve">Aqua Ohio, Inc. to Increase Its Rates and Charges for Its Waterworks Service. </w:t>
            </w:r>
          </w:p>
        </w:tc>
        <w:tc>
          <w:tcPr>
            <w:tcW w:w="360" w:type="dxa"/>
            <w:shd w:val="clear" w:color="auto" w:fill="auto"/>
          </w:tcPr>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216DF">
              <w:rPr>
                <w:rFonts w:ascii="Times New Roman" w:eastAsia="Courier New" w:hAnsi="Times New Roman" w:cs="Times New Roman"/>
                <w:sz w:val="24"/>
                <w:szCs w:val="24"/>
                <w:lang w:val="en-US" w:eastAsia="en-US" w:bidi="ar-SA"/>
              </w:rPr>
              <w:t>)</w:t>
            </w:r>
          </w:p>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216DF">
              <w:rPr>
                <w:rFonts w:ascii="Times New Roman" w:eastAsia="Courier New" w:hAnsi="Times New Roman" w:cs="Times New Roman"/>
                <w:sz w:val="24"/>
                <w:szCs w:val="24"/>
                <w:lang w:val="en-US" w:eastAsia="en-US" w:bidi="ar-SA"/>
              </w:rPr>
              <w:t>)</w:t>
            </w:r>
          </w:p>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216DF">
              <w:rPr>
                <w:rFonts w:ascii="Times New Roman" w:eastAsia="Courier New" w:hAnsi="Times New Roman" w:cs="Times New Roman"/>
                <w:sz w:val="24"/>
                <w:szCs w:val="24"/>
                <w:lang w:val="en-US" w:eastAsia="en-US" w:bidi="ar-SA"/>
              </w:rPr>
              <w:t>)</w:t>
            </w:r>
          </w:p>
        </w:tc>
        <w:tc>
          <w:tcPr>
            <w:tcW w:w="4400" w:type="dxa"/>
            <w:shd w:val="clear" w:color="auto" w:fill="auto"/>
          </w:tcPr>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BA6EC5" w:rsidRPr="005216D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216DF">
              <w:rPr>
                <w:rFonts w:ascii="Times New Roman" w:eastAsia="Courier New" w:hAnsi="Times New Roman" w:cs="Times New Roman"/>
                <w:sz w:val="24"/>
                <w:szCs w:val="24"/>
                <w:lang w:val="en-US" w:eastAsia="en-US" w:bidi="ar-SA"/>
              </w:rPr>
              <w:t>Case No. 13-2124-WW-AIR</w:t>
            </w:r>
          </w:p>
        </w:tc>
      </w:tr>
    </w:tbl>
    <w:p w:rsidR="00BA6EC5" w:rsidRPr="005216DF">
      <w:pPr>
        <w:jc w:val="both"/>
        <w:rPr>
          <w:szCs w:val="24"/>
        </w:rPr>
      </w:pPr>
    </w:p>
    <w:p w:rsidR="00BA6EC5" w:rsidRPr="005216DF">
      <w:pPr>
        <w:pBdr>
          <w:top w:val="single" w:sz="12" w:space="1" w:color="auto"/>
        </w:pBdr>
        <w:jc w:val="center"/>
        <w:rPr>
          <w:szCs w:val="24"/>
        </w:rPr>
      </w:pPr>
    </w:p>
    <w:p w:rsidR="00D805DF" w:rsidRPr="005216DF" w:rsidP="00D805DF">
      <w:pPr>
        <w:tabs>
          <w:tab w:val="left" w:pos="-720"/>
        </w:tabs>
        <w:suppressAutoHyphens/>
        <w:jc w:val="center"/>
        <w:rPr>
          <w:b/>
          <w:spacing w:val="-3"/>
          <w:szCs w:val="24"/>
        </w:rPr>
      </w:pPr>
      <w:r w:rsidRPr="005216DF">
        <w:rPr>
          <w:b/>
          <w:spacing w:val="-3"/>
          <w:szCs w:val="24"/>
        </w:rPr>
        <w:t>OBJECTIONS TO THE PUCO STAFF’S REPORT</w:t>
      </w:r>
    </w:p>
    <w:p w:rsidR="00D805DF" w:rsidRPr="005216DF" w:rsidP="00D805DF">
      <w:pPr>
        <w:tabs>
          <w:tab w:val="left" w:pos="-720"/>
        </w:tabs>
        <w:suppressAutoHyphens/>
        <w:jc w:val="center"/>
        <w:rPr>
          <w:b/>
          <w:spacing w:val="-3"/>
          <w:szCs w:val="24"/>
        </w:rPr>
      </w:pPr>
      <w:r w:rsidRPr="005216DF">
        <w:rPr>
          <w:b/>
          <w:spacing w:val="-3"/>
          <w:szCs w:val="24"/>
        </w:rPr>
        <w:t xml:space="preserve">OF INVESTIGATION </w:t>
      </w:r>
    </w:p>
    <w:p w:rsidR="00D805DF" w:rsidRPr="005216DF" w:rsidP="00D805DF">
      <w:pPr>
        <w:tabs>
          <w:tab w:val="left" w:pos="-720"/>
        </w:tabs>
        <w:suppressAutoHyphens/>
        <w:jc w:val="center"/>
        <w:rPr>
          <w:b/>
          <w:spacing w:val="-3"/>
          <w:szCs w:val="24"/>
        </w:rPr>
      </w:pPr>
      <w:r w:rsidRPr="005216DF">
        <w:rPr>
          <w:b/>
          <w:spacing w:val="-3"/>
          <w:szCs w:val="24"/>
        </w:rPr>
        <w:t xml:space="preserve">AND </w:t>
      </w:r>
    </w:p>
    <w:p w:rsidR="00D805DF" w:rsidRPr="005216DF" w:rsidP="00D805DF">
      <w:pPr>
        <w:tabs>
          <w:tab w:val="left" w:pos="-720"/>
        </w:tabs>
        <w:suppressAutoHyphens/>
        <w:jc w:val="center"/>
        <w:rPr>
          <w:b/>
          <w:spacing w:val="-3"/>
          <w:szCs w:val="24"/>
        </w:rPr>
      </w:pPr>
      <w:r w:rsidRPr="005216DF">
        <w:rPr>
          <w:b/>
          <w:spacing w:val="-3"/>
          <w:szCs w:val="24"/>
        </w:rPr>
        <w:t>SUMMARY OF MAJOR ISSUES</w:t>
      </w:r>
    </w:p>
    <w:p w:rsidR="00D805DF" w:rsidRPr="005216DF" w:rsidP="00D805DF">
      <w:pPr>
        <w:tabs>
          <w:tab w:val="left" w:pos="-720"/>
        </w:tabs>
        <w:suppressAutoHyphens/>
        <w:jc w:val="center"/>
        <w:rPr>
          <w:b/>
          <w:spacing w:val="-3"/>
          <w:szCs w:val="24"/>
        </w:rPr>
      </w:pPr>
      <w:r w:rsidRPr="005216DF">
        <w:rPr>
          <w:b/>
          <w:spacing w:val="-3"/>
          <w:szCs w:val="24"/>
        </w:rPr>
        <w:t>BY</w:t>
      </w:r>
    </w:p>
    <w:p w:rsidR="00D805DF" w:rsidRPr="005216DF" w:rsidP="00D805DF">
      <w:pPr>
        <w:tabs>
          <w:tab w:val="left" w:pos="-720"/>
        </w:tabs>
        <w:suppressAutoHyphens/>
        <w:jc w:val="center"/>
        <w:rPr>
          <w:b/>
          <w:spacing w:val="-3"/>
          <w:szCs w:val="24"/>
        </w:rPr>
      </w:pPr>
      <w:r w:rsidRPr="005216DF">
        <w:rPr>
          <w:b/>
          <w:spacing w:val="-3"/>
          <w:szCs w:val="24"/>
        </w:rPr>
        <w:t>THE OFFICE OF THE OHIO CONSUMERS’ COUNSEL</w:t>
      </w:r>
    </w:p>
    <w:p w:rsidR="00BA6EC5" w:rsidRPr="005216DF">
      <w:pPr>
        <w:pBdr>
          <w:bottom w:val="single" w:sz="12" w:space="1" w:color="auto"/>
        </w:pBdr>
        <w:tabs>
          <w:tab w:val="left" w:pos="-720"/>
        </w:tabs>
        <w:suppressAutoHyphens/>
        <w:jc w:val="center"/>
        <w:rPr>
          <w:b/>
          <w:spacing w:val="-3"/>
          <w:szCs w:val="24"/>
        </w:rPr>
      </w:pPr>
    </w:p>
    <w:p w:rsidR="00BA6EC5" w:rsidRPr="005216DF">
      <w:pPr>
        <w:tabs>
          <w:tab w:val="left" w:pos="4320"/>
        </w:tabs>
        <w:rPr>
          <w:szCs w:val="24"/>
        </w:rPr>
      </w:pPr>
      <w:r w:rsidRPr="005216DF">
        <w:rPr>
          <w:b/>
          <w:bCs/>
          <w:szCs w:val="24"/>
        </w:rPr>
        <w:tab/>
      </w:r>
    </w:p>
    <w:p w:rsidR="00BA6EC5" w:rsidRPr="005216DF" w:rsidP="00D805DF">
      <w:pPr>
        <w:autoSpaceDE w:val="0"/>
        <w:autoSpaceDN w:val="0"/>
        <w:adjustRightInd w:val="0"/>
        <w:spacing w:line="480" w:lineRule="auto"/>
        <w:ind w:firstLine="720"/>
        <w:rPr>
          <w:rFonts w:eastAsiaTheme="minorHAnsi"/>
          <w:szCs w:val="24"/>
        </w:rPr>
      </w:pPr>
      <w:r w:rsidRPr="005216DF">
        <w:rPr>
          <w:rFonts w:eastAsiaTheme="minorHAnsi"/>
          <w:szCs w:val="24"/>
        </w:rPr>
        <w:t>This case involves the request of Aqua Ohio, Inc. (“Aqua” or “Utility”</w:t>
      </w:r>
      <w:r>
        <w:rPr>
          <w:rFonts w:eastAsiaTheme="minorHAnsi"/>
          <w:szCs w:val="24"/>
        </w:rPr>
        <w:t>)</w:t>
      </w:r>
      <w:r w:rsidRPr="005216DF">
        <w:rPr>
          <w:rFonts w:eastAsiaTheme="minorHAnsi"/>
          <w:szCs w:val="24"/>
        </w:rPr>
        <w:t xml:space="preserve"> to increase its rates for water and sewer service charged to some of its customers. The Office of the Ohio Consumers’ Counsel (“OCC”)</w:t>
      </w:r>
      <w:r>
        <w:rPr>
          <w:rStyle w:val="FootnoteReference"/>
          <w:rFonts w:eastAsiaTheme="minorHAnsi"/>
          <w:szCs w:val="24"/>
        </w:rPr>
        <w:footnoteReference w:id="2"/>
      </w:r>
      <w:r w:rsidRPr="005216DF">
        <w:rPr>
          <w:szCs w:val="24"/>
        </w:rPr>
        <w:t xml:space="preserve"> submit</w:t>
      </w:r>
      <w:r>
        <w:rPr>
          <w:szCs w:val="24"/>
        </w:rPr>
        <w:t>s</w:t>
      </w:r>
      <w:r w:rsidRPr="005216DF">
        <w:rPr>
          <w:szCs w:val="24"/>
        </w:rPr>
        <w:t xml:space="preserve"> to the Public Utilities Commission of Ohio (“PUCO”) these objections.</w:t>
      </w:r>
      <w:r>
        <w:rPr>
          <w:szCs w:val="24"/>
          <w:vertAlign w:val="superscript"/>
        </w:rPr>
        <w:footnoteReference w:id="3"/>
      </w:r>
      <w:r w:rsidRPr="005216DF">
        <w:rPr>
          <w:szCs w:val="24"/>
        </w:rPr>
        <w:t xml:space="preserve"> </w:t>
      </w:r>
      <w:r w:rsidRPr="005216DF">
        <w:rPr>
          <w:rFonts w:eastAsiaTheme="minorHAnsi"/>
          <w:szCs w:val="24"/>
        </w:rPr>
        <w:t xml:space="preserve"> OCC requests that the PUCO adopt these objections to the PUCO Staff’s Report of Investigation</w:t>
      </w:r>
      <w:r>
        <w:rPr>
          <w:rStyle w:val="FootnoteReference"/>
          <w:rFonts w:eastAsiaTheme="minorHAnsi"/>
          <w:szCs w:val="24"/>
        </w:rPr>
        <w:footnoteReference w:id="4"/>
      </w:r>
      <w:r w:rsidRPr="005216DF">
        <w:rPr>
          <w:rFonts w:eastAsiaTheme="minorHAnsi"/>
          <w:szCs w:val="24"/>
        </w:rPr>
        <w:t xml:space="preserve"> (“Staff Report”) when deciding how much Aqua’s customers should pay for their water and sewer service. These Objections identify elements of the </w:t>
      </w:r>
      <w:r>
        <w:rPr>
          <w:rFonts w:eastAsiaTheme="minorHAnsi"/>
          <w:szCs w:val="24"/>
        </w:rPr>
        <w:t xml:space="preserve">PUCO </w:t>
      </w:r>
      <w:r w:rsidRPr="005216DF">
        <w:rPr>
          <w:rFonts w:eastAsiaTheme="minorHAnsi"/>
          <w:szCs w:val="24"/>
        </w:rPr>
        <w:t>Staff Report that are not just and reasonable and are supported with OCC’s testimony that will be filed on December 19, 2016.</w:t>
      </w:r>
    </w:p>
    <w:p w:rsidR="00B7047D">
      <w:pPr>
        <w:autoSpaceDE w:val="0"/>
        <w:autoSpaceDN w:val="0"/>
        <w:adjustRightInd w:val="0"/>
        <w:spacing w:line="480" w:lineRule="auto"/>
        <w:ind w:firstLine="720"/>
        <w:rPr>
          <w:rFonts w:eastAsiaTheme="minorHAnsi"/>
          <w:szCs w:val="24"/>
        </w:rPr>
        <w:sectPr w:rsidSect="00202C5F">
          <w:headerReference w:type="even" r:id="rId15"/>
          <w:headerReference w:type="default" r:id="rId16"/>
          <w:footerReference w:type="default" r:id="rId17"/>
          <w:headerReference w:type="first" r:id="rId18"/>
          <w:pgSz w:w="12240" w:h="15840"/>
          <w:pgMar w:top="1440" w:right="1800" w:bottom="1440" w:left="1800" w:header="720" w:footer="720" w:gutter="0"/>
          <w:pgNumType w:start="1"/>
          <w:cols w:space="720"/>
          <w:docGrid w:linePitch="360"/>
        </w:sectPr>
      </w:pPr>
      <w:r w:rsidRPr="005216DF">
        <w:rPr>
          <w:rFonts w:eastAsiaTheme="minorHAnsi"/>
          <w:szCs w:val="24"/>
        </w:rPr>
        <w:t xml:space="preserve">Additionally, per the </w:t>
      </w:r>
      <w:r>
        <w:rPr>
          <w:rFonts w:eastAsiaTheme="minorHAnsi"/>
          <w:szCs w:val="24"/>
        </w:rPr>
        <w:t>December 1</w:t>
      </w:r>
      <w:r w:rsidRPr="005216DF">
        <w:rPr>
          <w:rFonts w:eastAsiaTheme="minorHAnsi"/>
          <w:szCs w:val="24"/>
        </w:rPr>
        <w:t>, 2</w:t>
      </w:r>
      <w:r>
        <w:rPr>
          <w:rFonts w:eastAsiaTheme="minorHAnsi"/>
          <w:szCs w:val="24"/>
        </w:rPr>
        <w:t>016</w:t>
      </w:r>
      <w:r w:rsidRPr="005216DF">
        <w:rPr>
          <w:rFonts w:eastAsiaTheme="minorHAnsi"/>
          <w:szCs w:val="24"/>
        </w:rPr>
        <w:t xml:space="preserve"> Entry,</w:t>
      </w:r>
      <w:r>
        <w:rPr>
          <w:rStyle w:val="FootnoteReference"/>
          <w:rFonts w:eastAsiaTheme="minorHAnsi"/>
          <w:szCs w:val="24"/>
        </w:rPr>
        <w:footnoteReference w:id="5"/>
      </w:r>
      <w:r w:rsidRPr="005216DF">
        <w:rPr>
          <w:rFonts w:eastAsiaTheme="minorHAnsi"/>
          <w:szCs w:val="24"/>
        </w:rPr>
        <w:t xml:space="preserve"> OCC submit</w:t>
      </w:r>
      <w:r>
        <w:rPr>
          <w:rFonts w:eastAsiaTheme="minorHAnsi"/>
          <w:szCs w:val="24"/>
        </w:rPr>
        <w:t>s</w:t>
      </w:r>
      <w:r w:rsidRPr="005216DF">
        <w:rPr>
          <w:rFonts w:eastAsiaTheme="minorHAnsi"/>
          <w:szCs w:val="24"/>
        </w:rPr>
        <w:t xml:space="preserve"> a “Summary of Major Issues” that outlines the major issues to be</w:t>
      </w:r>
      <w:r>
        <w:rPr>
          <w:rFonts w:eastAsiaTheme="minorHAnsi"/>
          <w:szCs w:val="24"/>
        </w:rPr>
        <w:t xml:space="preserve"> determined in this proceeding.</w:t>
      </w:r>
    </w:p>
    <w:p w:rsidR="00BA6EC5" w:rsidRPr="00B7047D" w:rsidP="00B7047D">
      <w:pPr>
        <w:autoSpaceDE w:val="0"/>
        <w:autoSpaceDN w:val="0"/>
        <w:adjustRightInd w:val="0"/>
        <w:spacing w:line="480" w:lineRule="auto"/>
        <w:rPr>
          <w:rFonts w:eastAsiaTheme="minorHAnsi"/>
          <w:szCs w:val="24"/>
        </w:rPr>
      </w:pPr>
      <w:r w:rsidRPr="005216DF">
        <w:rPr>
          <w:rFonts w:eastAsiaTheme="minorHAnsi"/>
          <w:szCs w:val="24"/>
        </w:rPr>
        <w:t>OCC respectfully requests that these issues be included in the notices of the local public hearings.</w:t>
      </w:r>
    </w:p>
    <w:p w:rsidR="00BA6EC5" w:rsidRPr="005216DF">
      <w:pPr>
        <w:spacing w:line="480" w:lineRule="auto"/>
        <w:jc w:val="center"/>
        <w:rPr>
          <w:b/>
          <w:szCs w:val="24"/>
          <w:u w:val="single"/>
        </w:rPr>
      </w:pPr>
      <w:r w:rsidRPr="005216DF">
        <w:rPr>
          <w:b/>
          <w:szCs w:val="24"/>
          <w:u w:val="single"/>
        </w:rPr>
        <w:t xml:space="preserve">OBJECTIONS TO THE </w:t>
      </w:r>
      <w:r>
        <w:rPr>
          <w:b/>
          <w:szCs w:val="24"/>
          <w:u w:val="single"/>
        </w:rPr>
        <w:t xml:space="preserve">PUCO </w:t>
      </w:r>
      <w:r w:rsidRPr="005216DF">
        <w:rPr>
          <w:b/>
          <w:szCs w:val="24"/>
          <w:u w:val="single"/>
        </w:rPr>
        <w:t>STAFF REPORT</w:t>
      </w:r>
    </w:p>
    <w:p w:rsidR="00BA6EC5" w:rsidRPr="005216DF">
      <w:pPr>
        <w:jc w:val="center"/>
        <w:rPr>
          <w:b/>
          <w:szCs w:val="24"/>
          <w:u w:val="single"/>
        </w:rPr>
      </w:pPr>
    </w:p>
    <w:p w:rsidR="00850726" w:rsidP="0046658A">
      <w:pPr>
        <w:pStyle w:val="Heading1"/>
      </w:pPr>
      <w:bookmarkStart w:id="1" w:name="_Toc469922781"/>
      <w:bookmarkStart w:id="2" w:name="_Toc317250595"/>
      <w:r w:rsidRPr="0046658A">
        <w:t>I.</w:t>
      </w:r>
      <w:r w:rsidRPr="0046658A">
        <w:tab/>
      </w:r>
      <w:r>
        <w:t>REVENUE REQUIREMENTS</w:t>
      </w:r>
      <w:bookmarkEnd w:id="1"/>
    </w:p>
    <w:p w:rsidR="00850726" w:rsidP="00C118E6"/>
    <w:p w:rsidR="00850726" w:rsidP="008F2908">
      <w:pPr>
        <w:autoSpaceDE w:val="0"/>
        <w:autoSpaceDN w:val="0"/>
        <w:spacing w:line="480" w:lineRule="auto"/>
      </w:pPr>
      <w:r>
        <w:rPr>
          <w:b/>
        </w:rPr>
        <w:t xml:space="preserve">OBJECTION 1:  </w:t>
      </w:r>
      <w:r>
        <w:t>OCC objects to the PUCO Staff-recommended revenue requirement and resulting revenue and rate increase recommended for Aqua in Staff Report Schedule A-1.  The PUCO Staff’s recommendations are unreasonable and unlawful, and the recommended revenue requirement for Aqua is excessive, for a number of reasons.  First, the recommendations are based on an overstated valuation of Aqua’s property that is used and useful in rendering public utility service.  Second, the recommendations are based upon costs which are not correctly attributed to the cost to Aqua of rendering service for the test period.  Third, the recommendations utilize a rate of return that is not just and reasonable.  The specific objections from which these overall conclusions are drawn are detailed below in OCC’s objections to the PUCO Staff’s recommendations regarding these matters.</w:t>
      </w:r>
    </w:p>
    <w:p w:rsidR="00850726" w:rsidP="00850726">
      <w:pPr>
        <w:autoSpaceDE w:val="0"/>
        <w:autoSpaceDN w:val="0"/>
        <w:spacing w:line="480" w:lineRule="auto"/>
        <w:ind w:firstLine="720"/>
        <w:rPr>
          <w:b/>
        </w:rPr>
      </w:pPr>
      <w:r>
        <w:t>Additionally, OCC objects to each component of the PUCO Staff Report’s Schedule A-1 recommended revenue requirement and rate increase recommended for Aqua to the extent that other OCC objections have an impact on the calculation of the recommended revenue requirement (e.g., rate base, operating income, rate of return).</w:t>
      </w:r>
    </w:p>
    <w:p w:rsidR="00850726" w:rsidRPr="00850726" w:rsidP="00C118E6"/>
    <w:p w:rsidR="00850726" w:rsidP="0046658A">
      <w:pPr>
        <w:pStyle w:val="Heading1"/>
      </w:pPr>
    </w:p>
    <w:p w:rsidR="004F4F29">
      <w:pPr>
        <w:spacing w:after="200" w:line="276" w:lineRule="auto"/>
        <w:rPr>
          <w:b/>
          <w:caps/>
          <w:szCs w:val="24"/>
        </w:rPr>
      </w:pPr>
      <w:r>
        <w:br w:type="page"/>
      </w:r>
    </w:p>
    <w:p w:rsidR="00BA6EC5" w:rsidP="00C118E6">
      <w:pPr>
        <w:pStyle w:val="Heading1"/>
        <w:tabs>
          <w:tab w:val="left" w:pos="720"/>
          <w:tab w:val="left" w:pos="1440"/>
          <w:tab w:val="left" w:pos="2160"/>
          <w:tab w:val="left" w:pos="2880"/>
          <w:tab w:val="left" w:pos="3600"/>
          <w:tab w:val="left" w:pos="4320"/>
          <w:tab w:val="left" w:pos="5040"/>
          <w:tab w:val="left" w:pos="5710"/>
        </w:tabs>
      </w:pPr>
      <w:bookmarkStart w:id="3" w:name="_Toc469922782"/>
      <w:r>
        <w:t>II.</w:t>
      </w:r>
      <w:r>
        <w:tab/>
      </w:r>
      <w:r w:rsidRPr="0046658A">
        <w:t>OPERATING INCOME AND RATE BASE</w:t>
      </w:r>
      <w:bookmarkEnd w:id="2"/>
      <w:bookmarkEnd w:id="3"/>
      <w:r>
        <w:tab/>
      </w:r>
    </w:p>
    <w:p w:rsidR="00F41E35" w:rsidP="004F4F29">
      <w:pPr>
        <w:pStyle w:val="Heading2"/>
      </w:pPr>
      <w:bookmarkStart w:id="4" w:name="_Toc469922783"/>
      <w:r>
        <w:t>1.</w:t>
      </w:r>
      <w:r>
        <w:tab/>
      </w:r>
      <w:r w:rsidRPr="000F2300">
        <w:t>Operating Income - Special Contracts</w:t>
      </w:r>
      <w:bookmarkEnd w:id="4"/>
    </w:p>
    <w:p w:rsidR="00831F8C" w:rsidRPr="00C118E6" w:rsidP="00C118E6">
      <w:pPr>
        <w:spacing w:after="200" w:line="480" w:lineRule="auto"/>
        <w:ind w:right="720"/>
        <w:rPr>
          <w:szCs w:val="24"/>
        </w:rPr>
      </w:pPr>
      <w:r>
        <w:rPr>
          <w:b/>
        </w:rPr>
        <w:t xml:space="preserve">OBJECTION 2:  </w:t>
      </w:r>
      <w:r w:rsidRPr="00850726">
        <w:rPr>
          <w:szCs w:val="24"/>
        </w:rPr>
        <w:t xml:space="preserve">OCC objects to the </w:t>
      </w:r>
      <w:r>
        <w:rPr>
          <w:szCs w:val="24"/>
        </w:rPr>
        <w:t xml:space="preserve">PUCO </w:t>
      </w:r>
      <w:r w:rsidRPr="00850726">
        <w:rPr>
          <w:szCs w:val="24"/>
        </w:rPr>
        <w:t xml:space="preserve">Staff‘s failure to adjust test year revenues to </w:t>
      </w:r>
      <w:r w:rsidRPr="001333BA">
        <w:rPr>
          <w:szCs w:val="24"/>
        </w:rPr>
        <w:t xml:space="preserve">treat special contract customer Whirlpool Corporation (“Mercantile Customer 1”) as a tariff customer,  </w:t>
      </w:r>
      <w:r w:rsidRPr="00C118E6">
        <w:rPr>
          <w:szCs w:val="24"/>
        </w:rPr>
        <w:t>recognizing that its 62% discount is an unreasonable subsidy to the detriment of the remaining customers of Aqua Ohio.</w:t>
      </w:r>
    </w:p>
    <w:p w:rsidR="00831F8C" w:rsidRPr="00C118E6" w:rsidP="008F2908">
      <w:pPr>
        <w:spacing w:after="200" w:line="480" w:lineRule="auto"/>
        <w:ind w:right="720"/>
        <w:rPr>
          <w:szCs w:val="24"/>
        </w:rPr>
      </w:pPr>
      <w:r w:rsidRPr="00850726">
        <w:rPr>
          <w:b/>
        </w:rPr>
        <w:t xml:space="preserve">OBJECTION </w:t>
      </w:r>
      <w:r>
        <w:rPr>
          <w:b/>
        </w:rPr>
        <w:t>3</w:t>
      </w:r>
      <w:r w:rsidRPr="00850726">
        <w:rPr>
          <w:b/>
        </w:rPr>
        <w:t xml:space="preserve">:  </w:t>
      </w:r>
      <w:r w:rsidRPr="00850726">
        <w:rPr>
          <w:szCs w:val="24"/>
        </w:rPr>
        <w:t xml:space="preserve">OCC objects to the </w:t>
      </w:r>
      <w:r>
        <w:rPr>
          <w:szCs w:val="24"/>
        </w:rPr>
        <w:t xml:space="preserve">PUCO </w:t>
      </w:r>
      <w:r w:rsidRPr="00850726">
        <w:rPr>
          <w:szCs w:val="24"/>
        </w:rPr>
        <w:t xml:space="preserve">Staff’s failure to adjust test year revenues to </w:t>
      </w:r>
      <w:r w:rsidRPr="001333BA">
        <w:rPr>
          <w:szCs w:val="24"/>
        </w:rPr>
        <w:t xml:space="preserve">recognize special contract customer POET Biorefining (“Mercantile Customer 2”) as a tariff customer, recognizing that its </w:t>
      </w:r>
      <w:r w:rsidRPr="00C118E6">
        <w:rPr>
          <w:szCs w:val="24"/>
        </w:rPr>
        <w:t>78% discount is an unreasonable subsidy to the detriment of the remaining customers of Aqua Ohio.</w:t>
      </w:r>
    </w:p>
    <w:p w:rsidR="00831F8C" w:rsidP="008F2908">
      <w:pPr>
        <w:spacing w:after="200" w:line="480" w:lineRule="auto"/>
        <w:ind w:right="720"/>
        <w:rPr>
          <w:szCs w:val="24"/>
        </w:rPr>
      </w:pPr>
      <w:r>
        <w:rPr>
          <w:b/>
        </w:rPr>
        <w:t xml:space="preserve">OBJECTION 4:  </w:t>
      </w:r>
      <w:r w:rsidRPr="00850726">
        <w:rPr>
          <w:szCs w:val="24"/>
        </w:rPr>
        <w:t xml:space="preserve">OCC objects to the </w:t>
      </w:r>
      <w:r>
        <w:rPr>
          <w:szCs w:val="24"/>
        </w:rPr>
        <w:t xml:space="preserve">PUCO </w:t>
      </w:r>
      <w:r w:rsidRPr="00850726">
        <w:rPr>
          <w:szCs w:val="24"/>
        </w:rPr>
        <w:t>Staff’s failure to adjust the test year</w:t>
      </w:r>
      <w:r w:rsidRPr="001333BA">
        <w:rPr>
          <w:szCs w:val="24"/>
        </w:rPr>
        <w:t xml:space="preserve"> </w:t>
      </w:r>
      <w:r>
        <w:rPr>
          <w:szCs w:val="24"/>
        </w:rPr>
        <w:t xml:space="preserve">for any changes that are reasonably expected to occur during the test period or the twelve-month period immediately following the test period. </w:t>
      </w:r>
      <w:r w:rsidRPr="00850726">
        <w:rPr>
          <w:szCs w:val="24"/>
        </w:rPr>
        <w:t xml:space="preserve"> </w:t>
      </w:r>
      <w:r>
        <w:rPr>
          <w:szCs w:val="24"/>
        </w:rPr>
        <w:t xml:space="preserve">Specifically, PUCO Staff failed </w:t>
      </w:r>
      <w:r w:rsidRPr="00850726">
        <w:rPr>
          <w:szCs w:val="24"/>
        </w:rPr>
        <w:t>to recognize the expiring special contracts for Mercantile Customer 1 and Mercantile Customer 2 in the twelve-month period immediately following the test year.</w:t>
      </w:r>
    </w:p>
    <w:p w:rsidR="00F41E35" w:rsidRPr="00F41E35" w:rsidP="004F4F29">
      <w:pPr>
        <w:pStyle w:val="Heading2"/>
      </w:pPr>
      <w:bookmarkStart w:id="5" w:name="_Toc469922784"/>
      <w:r>
        <w:t>2.</w:t>
      </w:r>
      <w:r>
        <w:tab/>
      </w:r>
      <w:r w:rsidRPr="000F2300">
        <w:t>Operating Income - Tank Painting</w:t>
      </w:r>
      <w:bookmarkEnd w:id="5"/>
    </w:p>
    <w:p w:rsidR="00831F8C" w:rsidRPr="005216DF" w:rsidP="004F4F29">
      <w:pPr>
        <w:spacing w:after="200" w:line="480" w:lineRule="auto"/>
        <w:ind w:right="720"/>
        <w:rPr>
          <w:szCs w:val="24"/>
        </w:rPr>
      </w:pPr>
      <w:r>
        <w:rPr>
          <w:b/>
        </w:rPr>
        <w:t xml:space="preserve">OBJECTION 5:  </w:t>
      </w:r>
      <w:r w:rsidRPr="008F2908">
        <w:t>PUCO</w:t>
      </w:r>
      <w:r>
        <w:rPr>
          <w:b/>
        </w:rPr>
        <w:t xml:space="preserve"> </w:t>
      </w:r>
      <w:r w:rsidRPr="00850726">
        <w:rPr>
          <w:szCs w:val="24"/>
        </w:rPr>
        <w:t xml:space="preserve">Staff errored in judgement </w:t>
      </w:r>
      <w:r>
        <w:rPr>
          <w:szCs w:val="24"/>
        </w:rPr>
        <w:t xml:space="preserve">when it failed to recommend </w:t>
      </w:r>
      <w:r w:rsidRPr="00850726">
        <w:rPr>
          <w:szCs w:val="24"/>
        </w:rPr>
        <w:t xml:space="preserve">that all future tank paintings should </w:t>
      </w:r>
      <w:r>
        <w:rPr>
          <w:szCs w:val="24"/>
        </w:rPr>
        <w:t>not</w:t>
      </w:r>
      <w:r w:rsidRPr="00850726">
        <w:rPr>
          <w:szCs w:val="24"/>
        </w:rPr>
        <w:t xml:space="preserve"> be capitalized.</w:t>
      </w:r>
    </w:p>
    <w:p w:rsidR="00835771" w:rsidRPr="000F2300" w:rsidP="000F2300">
      <w:pPr>
        <w:spacing w:after="200" w:line="480" w:lineRule="auto"/>
        <w:ind w:right="720"/>
        <w:rPr>
          <w:szCs w:val="24"/>
        </w:rPr>
      </w:pPr>
      <w:r w:rsidRPr="000F2300">
        <w:rPr>
          <w:b/>
        </w:rPr>
        <w:t xml:space="preserve">OBJECTION 6:  </w:t>
      </w:r>
      <w:r w:rsidRPr="000F2300">
        <w:rPr>
          <w:szCs w:val="24"/>
        </w:rPr>
        <w:t>OCC objects to the PUCO Staff’s failure to recognize that lead-based painted tanks that have been re-painted with an epoxy are significantly more expensive to re-paint as a result of the Environmental Protection Agency (“EPA”) regulatory requirements for the disposal of lead.  So including the trended costs in rates would result in setting rates for customers that are unreasonable and not likely to reflect the actual costs expected to be incurred when rates are in effect</w:t>
      </w:r>
      <w:r>
        <w:rPr>
          <w:szCs w:val="24"/>
        </w:rPr>
        <w:t>.</w:t>
      </w:r>
    </w:p>
    <w:p w:rsidR="00831F8C" w:rsidRPr="00E37D27" w:rsidP="008F2908">
      <w:pPr>
        <w:spacing w:after="200" w:line="480" w:lineRule="auto"/>
        <w:ind w:right="720"/>
        <w:rPr>
          <w:szCs w:val="24"/>
        </w:rPr>
      </w:pPr>
      <w:r>
        <w:rPr>
          <w:b/>
        </w:rPr>
        <w:t xml:space="preserve">OBJECTION 7:  </w:t>
      </w:r>
      <w:r w:rsidRPr="00E37D27">
        <w:rPr>
          <w:szCs w:val="24"/>
        </w:rPr>
        <w:t>OCC objects to the</w:t>
      </w:r>
      <w:r>
        <w:rPr>
          <w:szCs w:val="24"/>
        </w:rPr>
        <w:t xml:space="preserve"> PUCO</w:t>
      </w:r>
      <w:r w:rsidRPr="00E37D27">
        <w:rPr>
          <w:szCs w:val="24"/>
        </w:rPr>
        <w:t xml:space="preserve"> Staff’s failure to recommend </w:t>
      </w:r>
      <w:r>
        <w:rPr>
          <w:szCs w:val="24"/>
        </w:rPr>
        <w:t xml:space="preserve">that </w:t>
      </w:r>
      <w:r w:rsidRPr="00E37D27">
        <w:rPr>
          <w:szCs w:val="24"/>
        </w:rPr>
        <w:t xml:space="preserve">the customer supplied source of funds </w:t>
      </w:r>
      <w:r>
        <w:rPr>
          <w:szCs w:val="24"/>
        </w:rPr>
        <w:t xml:space="preserve">(for future tank painting) </w:t>
      </w:r>
      <w:r w:rsidRPr="00E37D27">
        <w:rPr>
          <w:szCs w:val="24"/>
        </w:rPr>
        <w:t>being held by Aqua Ohio as a deferred credit balance should be returned to consumers over a three year period.</w:t>
      </w:r>
    </w:p>
    <w:p w:rsidR="00831F8C" w:rsidP="008F2908">
      <w:pPr>
        <w:spacing w:after="200" w:line="480" w:lineRule="auto"/>
        <w:ind w:right="720"/>
        <w:rPr>
          <w:szCs w:val="24"/>
        </w:rPr>
      </w:pPr>
      <w:r>
        <w:rPr>
          <w:b/>
        </w:rPr>
        <w:t xml:space="preserve">OBJECTION 8:  </w:t>
      </w:r>
      <w:r w:rsidRPr="00E37D27">
        <w:rPr>
          <w:szCs w:val="24"/>
        </w:rPr>
        <w:t xml:space="preserve">OCC objects to </w:t>
      </w:r>
      <w:r>
        <w:rPr>
          <w:szCs w:val="24"/>
        </w:rPr>
        <w:t xml:space="preserve">PUCO </w:t>
      </w:r>
      <w:r w:rsidRPr="00E37D27">
        <w:rPr>
          <w:szCs w:val="24"/>
        </w:rPr>
        <w:t>Staff’s proposal to capitalize future re-painting of lead-based tanks with epoxy</w:t>
      </w:r>
      <w:r>
        <w:rPr>
          <w:szCs w:val="24"/>
        </w:rPr>
        <w:t>,</w:t>
      </w:r>
      <w:r w:rsidRPr="00E37D27">
        <w:rPr>
          <w:szCs w:val="24"/>
        </w:rPr>
        <w:t xml:space="preserve"> and to allow the utility to collect repainting costs from customers </w:t>
      </w:r>
      <w:r w:rsidRPr="00532233">
        <w:rPr>
          <w:szCs w:val="24"/>
        </w:rPr>
        <w:t>as an operating expense</w:t>
      </w:r>
      <w:r>
        <w:rPr>
          <w:szCs w:val="24"/>
        </w:rPr>
        <w:t>.  This</w:t>
      </w:r>
      <w:r w:rsidRPr="00532233">
        <w:rPr>
          <w:szCs w:val="24"/>
        </w:rPr>
        <w:t xml:space="preserve"> is unlawful and contrary to prior PUCO precedent.</w:t>
      </w:r>
    </w:p>
    <w:p w:rsidR="00F41E35" w:rsidRPr="00F41E35" w:rsidP="004F4F29">
      <w:pPr>
        <w:pStyle w:val="Heading2"/>
      </w:pPr>
      <w:bookmarkStart w:id="6" w:name="_Toc469922785"/>
      <w:r w:rsidRPr="008F2908">
        <w:t>3.</w:t>
      </w:r>
      <w:r w:rsidRPr="008F2908">
        <w:tab/>
      </w:r>
      <w:r w:rsidRPr="000F2300">
        <w:t>Rate Base</w:t>
      </w:r>
      <w:bookmarkEnd w:id="6"/>
      <w:r>
        <w:t xml:space="preserve">  </w:t>
      </w:r>
    </w:p>
    <w:p w:rsidR="00831F8C" w:rsidRPr="00C118E6" w:rsidP="008F2908">
      <w:pPr>
        <w:spacing w:after="200" w:line="480" w:lineRule="auto"/>
        <w:ind w:right="720"/>
        <w:rPr>
          <w:szCs w:val="24"/>
        </w:rPr>
      </w:pPr>
      <w:r>
        <w:rPr>
          <w:b/>
        </w:rPr>
        <w:t xml:space="preserve">OBJECTION 9:  </w:t>
      </w:r>
      <w:r w:rsidRPr="008F2908">
        <w:t xml:space="preserve">PUCO </w:t>
      </w:r>
      <w:r w:rsidRPr="00E37D27">
        <w:rPr>
          <w:szCs w:val="24"/>
        </w:rPr>
        <w:t>Staff erred in removing the deferred credit balance on Schedule B-6 Other Rate Base I</w:t>
      </w:r>
      <w:r w:rsidRPr="001333BA">
        <w:rPr>
          <w:szCs w:val="24"/>
        </w:rPr>
        <w:t xml:space="preserve">tems. Other Rate Base Items are a reduction to </w:t>
      </w:r>
      <w:r w:rsidRPr="00C118E6">
        <w:rPr>
          <w:szCs w:val="24"/>
        </w:rPr>
        <w:t xml:space="preserve">rate base.  By removing the deferred tank painting credit balance, </w:t>
      </w:r>
      <w:r>
        <w:rPr>
          <w:szCs w:val="24"/>
        </w:rPr>
        <w:t xml:space="preserve">PUCO </w:t>
      </w:r>
      <w:r w:rsidRPr="00C118E6">
        <w:rPr>
          <w:szCs w:val="24"/>
        </w:rPr>
        <w:t>Staff is allowing Aqua Ohio to earn a return on customer supplied funds.</w:t>
      </w:r>
    </w:p>
    <w:p w:rsidR="00831F8C" w:rsidP="008F2908">
      <w:pPr>
        <w:spacing w:after="200" w:line="480" w:lineRule="auto"/>
        <w:rPr>
          <w:szCs w:val="24"/>
        </w:rPr>
      </w:pPr>
      <w:r>
        <w:rPr>
          <w:b/>
        </w:rPr>
        <w:t xml:space="preserve">OBJECTION 10:  </w:t>
      </w:r>
      <w:r w:rsidRPr="00E37D27">
        <w:rPr>
          <w:szCs w:val="24"/>
        </w:rPr>
        <w:t xml:space="preserve">OCC objects to the </w:t>
      </w:r>
      <w:r>
        <w:rPr>
          <w:szCs w:val="24"/>
        </w:rPr>
        <w:t xml:space="preserve">PUCO </w:t>
      </w:r>
      <w:r w:rsidRPr="00E37D27">
        <w:rPr>
          <w:szCs w:val="24"/>
        </w:rPr>
        <w:t xml:space="preserve">Staff’s failure to treat the additional 55.654 acres of farm land purchased at Mohawk Utilities as land for future use.  The land is not used </w:t>
      </w:r>
      <w:r>
        <w:rPr>
          <w:szCs w:val="24"/>
        </w:rPr>
        <w:t xml:space="preserve">and useful </w:t>
      </w:r>
      <w:r w:rsidRPr="00E37D27">
        <w:rPr>
          <w:szCs w:val="24"/>
        </w:rPr>
        <w:t>in providing service to Aqua Ohio customers and as such, should not be included in rate base.</w:t>
      </w:r>
    </w:p>
    <w:p w:rsidR="00F41E35" w:rsidRPr="00E37D27" w:rsidP="004F4F29">
      <w:pPr>
        <w:pStyle w:val="Heading2"/>
      </w:pPr>
      <w:bookmarkStart w:id="7" w:name="_Toc469922786"/>
      <w:r>
        <w:t>4.</w:t>
      </w:r>
      <w:r>
        <w:tab/>
        <w:t xml:space="preserve">Operating Income – </w:t>
      </w:r>
      <w:r w:rsidRPr="008F2908">
        <w:t>Flow-through income tax effect</w:t>
      </w:r>
      <w:bookmarkEnd w:id="7"/>
    </w:p>
    <w:p w:rsidR="00831F8C" w:rsidRPr="00F41E35" w:rsidP="008F2908">
      <w:pPr>
        <w:spacing w:after="200" w:line="480" w:lineRule="auto"/>
        <w:rPr>
          <w:szCs w:val="24"/>
        </w:rPr>
      </w:pPr>
      <w:r>
        <w:rPr>
          <w:b/>
        </w:rPr>
        <w:t xml:space="preserve">OBJECTION 11:  </w:t>
      </w:r>
      <w:r w:rsidRPr="00E37D27">
        <w:rPr>
          <w:szCs w:val="24"/>
        </w:rPr>
        <w:t xml:space="preserve">OCC objects to the </w:t>
      </w:r>
      <w:r>
        <w:rPr>
          <w:szCs w:val="24"/>
        </w:rPr>
        <w:t xml:space="preserve">PUCO </w:t>
      </w:r>
      <w:r w:rsidRPr="00E37D27">
        <w:rPr>
          <w:szCs w:val="24"/>
        </w:rPr>
        <w:t>Staff’s determination of Taxes Other than Income, Federal Income tax, and uncollectible accounts expense adjustments as a result of the OCC’s objections above as a result of flow</w:t>
      </w:r>
      <w:r>
        <w:rPr>
          <w:szCs w:val="24"/>
        </w:rPr>
        <w:t>-</w:t>
      </w:r>
      <w:r w:rsidRPr="00E37D27">
        <w:rPr>
          <w:szCs w:val="24"/>
        </w:rPr>
        <w:t>through.</w:t>
      </w:r>
    </w:p>
    <w:p w:rsidR="007816ED" w:rsidRPr="00E37D27" w:rsidP="008F2908">
      <w:pPr>
        <w:spacing w:after="200" w:line="480" w:lineRule="auto"/>
        <w:ind w:right="720"/>
        <w:rPr>
          <w:szCs w:val="24"/>
        </w:rPr>
      </w:pPr>
      <w:r>
        <w:rPr>
          <w:b/>
        </w:rPr>
        <w:t xml:space="preserve">OBJECTION 12:  </w:t>
      </w:r>
      <w:r w:rsidRPr="00E37D27">
        <w:rPr>
          <w:szCs w:val="24"/>
        </w:rPr>
        <w:t xml:space="preserve">OCC objects to </w:t>
      </w:r>
      <w:r>
        <w:rPr>
          <w:szCs w:val="24"/>
        </w:rPr>
        <w:t xml:space="preserve">PUCO </w:t>
      </w:r>
      <w:r w:rsidRPr="00E37D27">
        <w:rPr>
          <w:szCs w:val="24"/>
        </w:rPr>
        <w:t xml:space="preserve">Staff’s Schedules that contain errors such that Schedule C-1 calculates a higher revenue increase return than a set rate of return on Schedule A-1. </w:t>
      </w:r>
    </w:p>
    <w:p w:rsidR="00831F8C" w:rsidP="00A81C49">
      <w:pPr>
        <w:pStyle w:val="Heading1"/>
      </w:pPr>
      <w:bookmarkStart w:id="8" w:name="_Toc469922787"/>
      <w:r w:rsidRPr="005216DF">
        <w:t>II</w:t>
      </w:r>
      <w:r>
        <w:t>I</w:t>
      </w:r>
      <w:r w:rsidRPr="005216DF">
        <w:t>.</w:t>
      </w:r>
      <w:r w:rsidRPr="005216DF">
        <w:tab/>
        <w:t>RATE OF RETURN</w:t>
      </w:r>
      <w:bookmarkEnd w:id="8"/>
    </w:p>
    <w:p w:rsidR="00C83586" w:rsidRPr="000F2300" w:rsidP="004F4F29">
      <w:pPr>
        <w:pStyle w:val="Heading2"/>
      </w:pPr>
      <w:bookmarkStart w:id="9" w:name="_Toc469922788"/>
      <w:r>
        <w:t>1.</w:t>
      </w:r>
      <w:r>
        <w:tab/>
      </w:r>
      <w:r w:rsidRPr="000F2300">
        <w:t>Risk Free Return</w:t>
      </w:r>
      <w:bookmarkEnd w:id="9"/>
    </w:p>
    <w:p w:rsidR="00C83586" w:rsidP="008F2908">
      <w:pPr>
        <w:autoSpaceDE w:val="0"/>
        <w:autoSpaceDN w:val="0"/>
        <w:adjustRightInd w:val="0"/>
        <w:spacing w:line="480" w:lineRule="auto"/>
        <w:ind w:right="720"/>
        <w:contextualSpacing/>
        <w:rPr>
          <w:szCs w:val="24"/>
        </w:rPr>
      </w:pPr>
      <w:r>
        <w:rPr>
          <w:b/>
        </w:rPr>
        <w:t xml:space="preserve">OBJECTION 13:  </w:t>
      </w:r>
      <w:r>
        <w:rPr>
          <w:szCs w:val="24"/>
        </w:rPr>
        <w:t>OCC objects to the</w:t>
      </w:r>
      <w:r w:rsidRPr="005216DF">
        <w:rPr>
          <w:szCs w:val="24"/>
        </w:rPr>
        <w:t xml:space="preserve"> PUCO Staff</w:t>
      </w:r>
      <w:r>
        <w:rPr>
          <w:szCs w:val="24"/>
        </w:rPr>
        <w:t>’s</w:t>
      </w:r>
      <w:r w:rsidRPr="005216DF">
        <w:rPr>
          <w:szCs w:val="24"/>
        </w:rPr>
        <w:t xml:space="preserve"> </w:t>
      </w:r>
      <w:r>
        <w:rPr>
          <w:szCs w:val="24"/>
        </w:rPr>
        <w:t>inappropriate</w:t>
      </w:r>
      <w:r w:rsidRPr="005216DF">
        <w:rPr>
          <w:szCs w:val="24"/>
        </w:rPr>
        <w:t xml:space="preserve"> increas</w:t>
      </w:r>
      <w:r>
        <w:rPr>
          <w:szCs w:val="24"/>
        </w:rPr>
        <w:t>e to</w:t>
      </w:r>
      <w:r w:rsidRPr="005216DF">
        <w:rPr>
          <w:szCs w:val="24"/>
        </w:rPr>
        <w:t xml:space="preserve"> the cost of common equity </w:t>
      </w:r>
      <w:r>
        <w:rPr>
          <w:szCs w:val="24"/>
        </w:rPr>
        <w:t xml:space="preserve">from </w:t>
      </w:r>
      <w:r w:rsidRPr="005216DF">
        <w:rPr>
          <w:szCs w:val="24"/>
        </w:rPr>
        <w:t>using an inflated and unreasonable “risk free return” in its Capital</w:t>
      </w:r>
      <w:r>
        <w:rPr>
          <w:szCs w:val="24"/>
        </w:rPr>
        <w:t xml:space="preserve"> Asset Pricing Model (“CAPM”). </w:t>
      </w:r>
      <w:r w:rsidRPr="005216DF">
        <w:rPr>
          <w:szCs w:val="24"/>
        </w:rPr>
        <w:t>The proposed “risk free return” of 6.1% was unreasonable and not supported by current financial market conditions and long-</w:t>
      </w:r>
      <w:r>
        <w:rPr>
          <w:szCs w:val="24"/>
        </w:rPr>
        <w:t>standing regulatory principles.</w:t>
      </w:r>
      <w:r w:rsidRPr="005216DF">
        <w:rPr>
          <w:szCs w:val="24"/>
        </w:rPr>
        <w:t xml:space="preserve"> For example, this proposed 6.1% “risk free return” is much higher than the </w:t>
      </w:r>
      <w:r>
        <w:rPr>
          <w:szCs w:val="24"/>
        </w:rPr>
        <w:t xml:space="preserve">PUCO </w:t>
      </w:r>
      <w:r w:rsidRPr="005216DF">
        <w:rPr>
          <w:szCs w:val="24"/>
        </w:rPr>
        <w:t>Staff’s own calculation of the average yields of long-term</w:t>
      </w:r>
      <w:r>
        <w:rPr>
          <w:szCs w:val="24"/>
        </w:rPr>
        <w:t xml:space="preserve"> U.S. Treasury Bonds at 2.205%.</w:t>
      </w:r>
      <w:r w:rsidRPr="005216DF">
        <w:rPr>
          <w:szCs w:val="24"/>
        </w:rPr>
        <w:t xml:space="preserve"> It is also much higher than the “risk-free return” of 3.53% proposed by Aqua Ohio.  The </w:t>
      </w:r>
      <w:r>
        <w:rPr>
          <w:szCs w:val="24"/>
        </w:rPr>
        <w:t xml:space="preserve">PUCO </w:t>
      </w:r>
      <w:r w:rsidRPr="005216DF">
        <w:rPr>
          <w:szCs w:val="24"/>
        </w:rPr>
        <w:t xml:space="preserve">Staff’s recommended rate of return and cost of common equity are unfair and unreasonable as a result of using this inflated and unreasonable “risk free return”.    </w:t>
      </w:r>
    </w:p>
    <w:p w:rsidR="00831F8C" w:rsidRPr="00A81C49" w:rsidP="004F4F29">
      <w:pPr>
        <w:pStyle w:val="Heading2"/>
      </w:pPr>
      <w:bookmarkStart w:id="10" w:name="_Toc469922789"/>
      <w:r>
        <w:t>2.</w:t>
      </w:r>
      <w:r>
        <w:tab/>
      </w:r>
      <w:r w:rsidRPr="000F2300">
        <w:t>Flotation Costs</w:t>
      </w:r>
      <w:bookmarkEnd w:id="10"/>
      <w:r w:rsidRPr="005216DF">
        <w:t xml:space="preserve">   </w:t>
      </w:r>
    </w:p>
    <w:p w:rsidR="00202C5F" w:rsidP="008F2908">
      <w:pPr>
        <w:autoSpaceDE w:val="0"/>
        <w:autoSpaceDN w:val="0"/>
        <w:adjustRightInd w:val="0"/>
        <w:spacing w:line="480" w:lineRule="auto"/>
        <w:ind w:right="720"/>
        <w:contextualSpacing/>
        <w:rPr>
          <w:szCs w:val="24"/>
        </w:rPr>
      </w:pPr>
      <w:r>
        <w:rPr>
          <w:b/>
        </w:rPr>
        <w:t xml:space="preserve">OBJECTION 14:  </w:t>
      </w:r>
      <w:r>
        <w:rPr>
          <w:szCs w:val="24"/>
        </w:rPr>
        <w:t>OCC objects to the</w:t>
      </w:r>
      <w:r w:rsidRPr="005216DF">
        <w:rPr>
          <w:szCs w:val="24"/>
        </w:rPr>
        <w:t xml:space="preserve"> PUCO Staff</w:t>
      </w:r>
      <w:r>
        <w:rPr>
          <w:szCs w:val="24"/>
        </w:rPr>
        <w:t>’s inappropriate increase to</w:t>
      </w:r>
      <w:r w:rsidRPr="005216DF">
        <w:rPr>
          <w:szCs w:val="24"/>
        </w:rPr>
        <w:t xml:space="preserve"> the cost of common equity by including an adjustment factor to account for unproven</w:t>
      </w:r>
      <w:r>
        <w:rPr>
          <w:szCs w:val="24"/>
        </w:rPr>
        <w:t xml:space="preserve"> and unneeded</w:t>
      </w:r>
      <w:r w:rsidRPr="005216DF">
        <w:rPr>
          <w:szCs w:val="24"/>
        </w:rPr>
        <w:t xml:space="preserve"> equity issuance and other costs. In its Application, Aqua Ohio did not ask for an adjustment to its proposed cost of common equity for equity issuance and other costs.  Aqua Ohio did not demonstrate or substantiate that it</w:t>
      </w:r>
      <w:r>
        <w:rPr>
          <w:szCs w:val="24"/>
        </w:rPr>
        <w:t xml:space="preserve"> is reasonable to increase the cost of common equity for</w:t>
      </w:r>
      <w:r w:rsidRPr="005216DF">
        <w:rPr>
          <w:szCs w:val="24"/>
        </w:rPr>
        <w:t xml:space="preserve"> these costs. As a result of adding an unreasonable adjustment factor, the </w:t>
      </w:r>
      <w:r>
        <w:rPr>
          <w:szCs w:val="24"/>
        </w:rPr>
        <w:t xml:space="preserve">PUCO </w:t>
      </w:r>
      <w:r w:rsidRPr="005216DF">
        <w:rPr>
          <w:szCs w:val="24"/>
        </w:rPr>
        <w:t xml:space="preserve">Staff’s recommended rate of return and cost of common equity are unfair and unreasonable.        </w:t>
      </w:r>
    </w:p>
    <w:p w:rsidR="00A81C49" w:rsidRPr="00A81C49" w:rsidP="00A81C49">
      <w:pPr>
        <w:autoSpaceDE w:val="0"/>
        <w:autoSpaceDN w:val="0"/>
        <w:adjustRightInd w:val="0"/>
        <w:ind w:left="720" w:right="720"/>
        <w:contextualSpacing/>
        <w:rPr>
          <w:szCs w:val="24"/>
        </w:rPr>
      </w:pPr>
    </w:p>
    <w:p w:rsidR="00BA6EC5" w:rsidP="0046658A">
      <w:pPr>
        <w:pStyle w:val="Heading1"/>
      </w:pPr>
      <w:bookmarkStart w:id="11" w:name="_Toc469922790"/>
      <w:r w:rsidRPr="005216DF">
        <w:t>I</w:t>
      </w:r>
      <w:r>
        <w:t>V</w:t>
      </w:r>
      <w:r w:rsidRPr="005216DF">
        <w:t>.</w:t>
      </w:r>
      <w:r w:rsidRPr="005216DF">
        <w:tab/>
        <w:t>RATES AND TARIFFS</w:t>
      </w:r>
      <w:bookmarkEnd w:id="11"/>
    </w:p>
    <w:p w:rsidR="00C83586" w:rsidRPr="000F2300" w:rsidP="004F4F29">
      <w:pPr>
        <w:pStyle w:val="Heading2"/>
      </w:pPr>
      <w:bookmarkStart w:id="12" w:name="_Toc469922791"/>
      <w:r>
        <w:t>1.</w:t>
      </w:r>
      <w:r>
        <w:tab/>
      </w:r>
      <w:r w:rsidRPr="000F2300">
        <w:t>Trip Charge</w:t>
      </w:r>
      <w:bookmarkEnd w:id="12"/>
    </w:p>
    <w:p w:rsidR="005323CC" w:rsidRPr="008F2908" w:rsidP="008F2908">
      <w:pPr>
        <w:spacing w:line="480" w:lineRule="auto"/>
        <w:ind w:right="720"/>
        <w:rPr>
          <w:szCs w:val="24"/>
        </w:rPr>
      </w:pPr>
      <w:r w:rsidRPr="008F2908">
        <w:rPr>
          <w:b/>
        </w:rPr>
        <w:t xml:space="preserve">OBJECTION 15:  </w:t>
      </w:r>
      <w:r w:rsidRPr="008F2908">
        <w:rPr>
          <w:szCs w:val="24"/>
        </w:rPr>
        <w:t xml:space="preserve">OCC objects to the PUCO Staff’s </w:t>
      </w:r>
      <w:r>
        <w:rPr>
          <w:szCs w:val="24"/>
        </w:rPr>
        <w:t xml:space="preserve">recommended </w:t>
      </w:r>
      <w:r w:rsidRPr="008F2908">
        <w:rPr>
          <w:szCs w:val="24"/>
        </w:rPr>
        <w:t xml:space="preserve">elimination of a Trip Charge. Under cost causation principles, costs should be collected from customers who cause these costs rather than from all customers. If the Trip Charge is eliminated, then these costs would be collected from all customers, contrary to cost causation principles.  And the tariff should reflect that the Trip Charge is assessed when the trip results in collection of a payment that results in avoidance of disconnection.    </w:t>
      </w:r>
    </w:p>
    <w:p w:rsidR="00C83586" w:rsidRPr="00D86CBB" w:rsidP="004F4F29">
      <w:pPr>
        <w:pStyle w:val="Heading2"/>
      </w:pPr>
      <w:bookmarkStart w:id="13" w:name="_Toc469922792"/>
      <w:r>
        <w:t>2.</w:t>
      </w:r>
      <w:r>
        <w:tab/>
      </w:r>
      <w:r w:rsidRPr="000F2300">
        <w:t>Cost of Service/Cost Allocations</w:t>
      </w:r>
      <w:bookmarkEnd w:id="13"/>
    </w:p>
    <w:p w:rsidR="005323CC" w:rsidP="008F2908">
      <w:pPr>
        <w:spacing w:line="480" w:lineRule="auto"/>
        <w:ind w:right="720"/>
        <w:rPr>
          <w:szCs w:val="24"/>
        </w:rPr>
      </w:pPr>
      <w:r>
        <w:rPr>
          <w:b/>
        </w:rPr>
        <w:t xml:space="preserve">OBJECTION 16:  </w:t>
      </w:r>
      <w:r w:rsidRPr="00E37D27">
        <w:rPr>
          <w:szCs w:val="24"/>
        </w:rPr>
        <w:t xml:space="preserve">OCC objects to </w:t>
      </w:r>
      <w:r>
        <w:rPr>
          <w:szCs w:val="24"/>
        </w:rPr>
        <w:t xml:space="preserve">PUCO </w:t>
      </w:r>
      <w:r w:rsidRPr="00E37D27">
        <w:rPr>
          <w:szCs w:val="24"/>
        </w:rPr>
        <w:t xml:space="preserve">Staff’s recommendation that there more revenue be allocated to residential and resale customers when compared to the Commercial and Private Fire classes. </w:t>
      </w:r>
      <w:r>
        <w:rPr>
          <w:szCs w:val="24"/>
        </w:rPr>
        <w:t xml:space="preserve">PUCO </w:t>
      </w:r>
      <w:r w:rsidRPr="00E37D27">
        <w:rPr>
          <w:szCs w:val="24"/>
        </w:rPr>
        <w:t xml:space="preserve">Staff claims this will result in movement towards the Cost of Service Study (“COSS”). However, </w:t>
      </w:r>
      <w:r>
        <w:rPr>
          <w:szCs w:val="24"/>
        </w:rPr>
        <w:t xml:space="preserve">PUCO </w:t>
      </w:r>
      <w:r w:rsidRPr="00E37D27">
        <w:rPr>
          <w:szCs w:val="24"/>
        </w:rPr>
        <w:t xml:space="preserve">Staff has failed to identify the basis for their conclusions, or provide a remedy to achieve their recommendation. OCC recommends an across-the-board revenue increase to move the classes closer to the cost of service. </w:t>
      </w:r>
    </w:p>
    <w:p w:rsidR="00C83586" w:rsidRPr="000F2300" w:rsidP="004F4F29">
      <w:pPr>
        <w:pStyle w:val="Heading2"/>
      </w:pPr>
      <w:bookmarkStart w:id="14" w:name="_Toc469922793"/>
      <w:r>
        <w:t>3.</w:t>
      </w:r>
      <w:r>
        <w:tab/>
      </w:r>
      <w:r w:rsidRPr="000F2300">
        <w:t>Residential Rate Design</w:t>
      </w:r>
      <w:bookmarkEnd w:id="14"/>
    </w:p>
    <w:p w:rsidR="00F733FD" w:rsidP="008F2908">
      <w:pPr>
        <w:spacing w:line="480" w:lineRule="auto"/>
        <w:ind w:right="720"/>
        <w:rPr>
          <w:szCs w:val="24"/>
        </w:rPr>
      </w:pPr>
      <w:r>
        <w:rPr>
          <w:b/>
        </w:rPr>
        <w:t xml:space="preserve">OBJECTION 17:  </w:t>
      </w:r>
      <w:r w:rsidRPr="00E37D27">
        <w:rPr>
          <w:szCs w:val="24"/>
        </w:rPr>
        <w:t xml:space="preserve">OCC objects to </w:t>
      </w:r>
      <w:r>
        <w:rPr>
          <w:szCs w:val="24"/>
        </w:rPr>
        <w:t xml:space="preserve">PUCO </w:t>
      </w:r>
      <w:r w:rsidRPr="00E37D27">
        <w:rPr>
          <w:szCs w:val="24"/>
        </w:rPr>
        <w:t xml:space="preserve">Staff’s </w:t>
      </w:r>
      <w:r>
        <w:rPr>
          <w:szCs w:val="24"/>
        </w:rPr>
        <w:t xml:space="preserve">recommended </w:t>
      </w:r>
      <w:r w:rsidRPr="00E37D27">
        <w:rPr>
          <w:szCs w:val="24"/>
        </w:rPr>
        <w:t>increase in the customer charge to $10.00 a month. The deterioration in the volume of water sold</w:t>
      </w:r>
      <w:r>
        <w:rPr>
          <w:szCs w:val="24"/>
        </w:rPr>
        <w:t xml:space="preserve"> is minimal</w:t>
      </w:r>
      <w:r w:rsidRPr="00E37D27">
        <w:rPr>
          <w:szCs w:val="24"/>
        </w:rPr>
        <w:t xml:space="preserve"> and so it is not necessary to increase the customer charge to recover more fixed costs. Furthermore, </w:t>
      </w:r>
      <w:r>
        <w:rPr>
          <w:szCs w:val="24"/>
        </w:rPr>
        <w:t xml:space="preserve">PUCO </w:t>
      </w:r>
      <w:r w:rsidRPr="00E37D27">
        <w:rPr>
          <w:szCs w:val="24"/>
        </w:rPr>
        <w:t xml:space="preserve">Staff has failed to explain how the increased customer charge is a better reflection of cost causation. Additionally, increasing the customer charge in the past has not lead to less frequent rate cases as </w:t>
      </w:r>
      <w:r>
        <w:rPr>
          <w:szCs w:val="24"/>
        </w:rPr>
        <w:t xml:space="preserve">PUCO </w:t>
      </w:r>
      <w:r w:rsidRPr="00E37D27">
        <w:rPr>
          <w:szCs w:val="24"/>
        </w:rPr>
        <w:t>Staff contends. OCC recommends a customer charge of no more than $9.30.</w:t>
      </w:r>
    </w:p>
    <w:p w:rsidR="00C83586" w:rsidRPr="00E37D27" w:rsidP="004F4F29">
      <w:pPr>
        <w:pStyle w:val="Heading2"/>
      </w:pPr>
      <w:bookmarkStart w:id="15" w:name="_Toc469922794"/>
      <w:r>
        <w:t>4.</w:t>
      </w:r>
      <w:r>
        <w:tab/>
      </w:r>
      <w:r w:rsidRPr="000F2300">
        <w:t>System Improvement Charge</w:t>
      </w:r>
      <w:bookmarkEnd w:id="15"/>
    </w:p>
    <w:p w:rsidR="00A3047D" w:rsidP="008F2908">
      <w:pPr>
        <w:spacing w:line="480" w:lineRule="auto"/>
        <w:ind w:right="720"/>
        <w:rPr>
          <w:szCs w:val="24"/>
        </w:rPr>
      </w:pPr>
      <w:r>
        <w:rPr>
          <w:b/>
        </w:rPr>
        <w:t xml:space="preserve">OBJECTION 18:  </w:t>
      </w:r>
      <w:r w:rsidRPr="00E37D27">
        <w:rPr>
          <w:szCs w:val="24"/>
        </w:rPr>
        <w:t xml:space="preserve">OCC objects to the manner in which </w:t>
      </w:r>
      <w:r>
        <w:rPr>
          <w:szCs w:val="24"/>
        </w:rPr>
        <w:t xml:space="preserve">PUCO </w:t>
      </w:r>
      <w:r w:rsidRPr="00E37D27">
        <w:rPr>
          <w:szCs w:val="24"/>
        </w:rPr>
        <w:t>Staff shows the impacts on customers</w:t>
      </w:r>
      <w:r>
        <w:rPr>
          <w:szCs w:val="24"/>
        </w:rPr>
        <w:t>’ typical bills resulting from</w:t>
      </w:r>
      <w:r w:rsidRPr="00E37D27">
        <w:rPr>
          <w:szCs w:val="24"/>
        </w:rPr>
        <w:t xml:space="preserve"> the recommended rate increase.  </w:t>
      </w:r>
      <w:r w:rsidRPr="00C83586">
        <w:rPr>
          <w:szCs w:val="24"/>
        </w:rPr>
        <w:t>By not includ</w:t>
      </w:r>
      <w:r w:rsidRPr="001333BA">
        <w:rPr>
          <w:szCs w:val="24"/>
        </w:rPr>
        <w:t xml:space="preserve">ing the System Improvement Charges, </w:t>
      </w:r>
      <w:r>
        <w:rPr>
          <w:szCs w:val="24"/>
        </w:rPr>
        <w:t xml:space="preserve">PUCO </w:t>
      </w:r>
      <w:r w:rsidRPr="001333BA">
        <w:rPr>
          <w:szCs w:val="24"/>
        </w:rPr>
        <w:t xml:space="preserve">Staff understates the amounts customers are actually </w:t>
      </w:r>
      <w:r w:rsidRPr="00C118E6">
        <w:rPr>
          <w:szCs w:val="24"/>
        </w:rPr>
        <w:t xml:space="preserve">paying in their bills. For example, instead of the $26.56 (Lake Erie), $32.63 (Lake Erie East, Masury and Norlick), $33.44 (Mohawk) and $49.65 </w:t>
      </w:r>
      <w:r>
        <w:rPr>
          <w:szCs w:val="24"/>
        </w:rPr>
        <w:t xml:space="preserve">PUCO </w:t>
      </w:r>
      <w:r w:rsidRPr="00C118E6">
        <w:rPr>
          <w:szCs w:val="24"/>
        </w:rPr>
        <w:t xml:space="preserve">Staff has shown for the current typical bills for a residential customer  using 3,000 gallons, those customers actually pay $27.69, $34.01, $33.96 and $51.78 respectively. </w:t>
      </w:r>
      <w:r>
        <w:rPr>
          <w:szCs w:val="24"/>
        </w:rPr>
        <w:t xml:space="preserve">PUCO </w:t>
      </w:r>
      <w:r w:rsidRPr="00C118E6">
        <w:rPr>
          <w:szCs w:val="24"/>
        </w:rPr>
        <w:t>Staff also shows the current Unmetered Flat Rates without the SIC charge. Current flat rates for Aqua (OA), Auburn and Seneca are shown as $52.36, $41.93 and $41.93 respectively.  The corresponding charges incl</w:t>
      </w:r>
      <w:r>
        <w:rPr>
          <w:szCs w:val="24"/>
        </w:rPr>
        <w:t>uding the SIC are $54.59, $43.71</w:t>
      </w:r>
      <w:r w:rsidRPr="00C118E6">
        <w:rPr>
          <w:szCs w:val="24"/>
        </w:rPr>
        <w:t xml:space="preserve"> and $43.71.</w:t>
      </w:r>
    </w:p>
    <w:p w:rsidR="00C83586" w:rsidRPr="000F2300" w:rsidP="00517374">
      <w:pPr>
        <w:pStyle w:val="Heading2"/>
      </w:pPr>
      <w:bookmarkStart w:id="16" w:name="_Toc469922795"/>
      <w:r>
        <w:t>5.</w:t>
      </w:r>
      <w:r>
        <w:tab/>
      </w:r>
      <w:r w:rsidRPr="000F2300">
        <w:t>Unmetered Rates</w:t>
      </w:r>
      <w:bookmarkEnd w:id="16"/>
    </w:p>
    <w:p w:rsidR="00831F8C" w:rsidRPr="008F2908" w:rsidP="008F2908">
      <w:pPr>
        <w:spacing w:line="480" w:lineRule="auto"/>
        <w:ind w:right="720"/>
        <w:rPr>
          <w:szCs w:val="24"/>
        </w:rPr>
      </w:pPr>
      <w:r w:rsidRPr="008F2908">
        <w:rPr>
          <w:b/>
        </w:rPr>
        <w:t xml:space="preserve">OBJECTION 19:  </w:t>
      </w:r>
      <w:r w:rsidRPr="008F2908">
        <w:rPr>
          <w:szCs w:val="24"/>
        </w:rPr>
        <w:t>OCC objects to PUCO Staff’s recommendation regarding Aqua’s proposal on unmetered rates. PUCO Staff should have recommended that the PUCO deny this proposal in this case and direct the Applicant to pursue the proposal in a future proceeding only after the meters have been installed.</w:t>
      </w:r>
    </w:p>
    <w:p w:rsidR="00831F8C" w:rsidRPr="005216DF" w:rsidP="00831F8C">
      <w:pPr>
        <w:rPr>
          <w:szCs w:val="24"/>
        </w:rPr>
      </w:pPr>
    </w:p>
    <w:p w:rsidR="00831F8C" w:rsidRPr="005216DF" w:rsidP="004F4F29">
      <w:pPr>
        <w:pStyle w:val="Heading1"/>
      </w:pPr>
      <w:bookmarkStart w:id="17" w:name="_Toc469922796"/>
      <w:r w:rsidRPr="005216DF">
        <w:t>V.</w:t>
      </w:r>
      <w:r w:rsidRPr="005216DF">
        <w:tab/>
        <w:t>MANAGEMENT AND OPERATION REVIEW</w:t>
      </w:r>
      <w:bookmarkEnd w:id="17"/>
    </w:p>
    <w:p w:rsidR="00F41E35" w:rsidP="004F4F29">
      <w:pPr>
        <w:pStyle w:val="Heading2"/>
      </w:pPr>
      <w:bookmarkStart w:id="18" w:name="_Toc469922797"/>
      <w:r>
        <w:t>1.</w:t>
      </w:r>
      <w:r>
        <w:tab/>
        <w:t>Information Technology (“IT”)</w:t>
      </w:r>
      <w:bookmarkEnd w:id="18"/>
    </w:p>
    <w:p w:rsidR="006A73E1" w:rsidRPr="008F2908" w:rsidP="008F2908">
      <w:pPr>
        <w:spacing w:line="480" w:lineRule="auto"/>
        <w:ind w:right="720"/>
        <w:rPr>
          <w:szCs w:val="24"/>
        </w:rPr>
      </w:pPr>
      <w:r w:rsidRPr="008F2908">
        <w:rPr>
          <w:b/>
        </w:rPr>
        <w:t xml:space="preserve">OBJECTION 20:  </w:t>
      </w:r>
      <w:r w:rsidRPr="008F2908">
        <w:rPr>
          <w:szCs w:val="24"/>
        </w:rPr>
        <w:t xml:space="preserve">OCC objects </w:t>
      </w:r>
      <w:r>
        <w:rPr>
          <w:szCs w:val="24"/>
        </w:rPr>
        <w:t>to</w:t>
      </w:r>
      <w:r w:rsidRPr="008F2908">
        <w:rPr>
          <w:szCs w:val="24"/>
        </w:rPr>
        <w:t xml:space="preserve"> the PUCO Staff</w:t>
      </w:r>
      <w:r>
        <w:rPr>
          <w:szCs w:val="24"/>
        </w:rPr>
        <w:t>’s failure</w:t>
      </w:r>
      <w:r w:rsidRPr="008F2908">
        <w:rPr>
          <w:szCs w:val="24"/>
        </w:rPr>
        <w:t xml:space="preserve"> to recommend that the PUCO disallow all costs associated with IT projects where Aqua Ohio is unable to provide sufficient documentation to demonstrate that costs were prudently incurred</w:t>
      </w:r>
      <w:r>
        <w:rPr>
          <w:szCs w:val="24"/>
        </w:rPr>
        <w:t>.</w:t>
      </w:r>
    </w:p>
    <w:p w:rsidR="00831F8C" w:rsidP="008F2908">
      <w:pPr>
        <w:spacing w:line="480" w:lineRule="auto"/>
        <w:ind w:right="720"/>
        <w:rPr>
          <w:szCs w:val="24"/>
        </w:rPr>
      </w:pPr>
      <w:r w:rsidRPr="008F2908">
        <w:rPr>
          <w:b/>
        </w:rPr>
        <w:t xml:space="preserve">OBJECTION 21:  </w:t>
      </w:r>
      <w:r w:rsidRPr="008F2908">
        <w:rPr>
          <w:szCs w:val="24"/>
        </w:rPr>
        <w:t xml:space="preserve">OCC objects </w:t>
      </w:r>
      <w:r>
        <w:rPr>
          <w:szCs w:val="24"/>
        </w:rPr>
        <w:t>to</w:t>
      </w:r>
      <w:r w:rsidRPr="008F2908">
        <w:rPr>
          <w:szCs w:val="24"/>
        </w:rPr>
        <w:t xml:space="preserve"> the PUCO Staff</w:t>
      </w:r>
      <w:r>
        <w:rPr>
          <w:szCs w:val="24"/>
        </w:rPr>
        <w:t>’s failure</w:t>
      </w:r>
      <w:r w:rsidRPr="008F2908">
        <w:rPr>
          <w:szCs w:val="24"/>
        </w:rPr>
        <w:t xml:space="preserve"> to recommend that the findings and recommendations from the external audit of the control processes used by Aqua America in managing its IT programs be publicly filed within six months of the Opinion and Order in this case. </w:t>
      </w:r>
    </w:p>
    <w:p w:rsidR="004F4F29" w:rsidRPr="008F2908" w:rsidP="004F4F29">
      <w:pPr>
        <w:ind w:right="720"/>
        <w:rPr>
          <w:szCs w:val="24"/>
        </w:rPr>
      </w:pPr>
    </w:p>
    <w:p w:rsidR="003E6CEA" w:rsidRPr="005216DF" w:rsidP="0046658A">
      <w:pPr>
        <w:pStyle w:val="Heading1"/>
      </w:pPr>
      <w:bookmarkStart w:id="19" w:name="_Toc469922798"/>
      <w:r w:rsidRPr="005216DF">
        <w:t>V</w:t>
      </w:r>
      <w:r>
        <w:t>I</w:t>
      </w:r>
      <w:r w:rsidRPr="005216DF">
        <w:t>.</w:t>
      </w:r>
      <w:r w:rsidRPr="005216DF">
        <w:tab/>
        <w:t>SERVICE MONITORING AND ENFORCEMENT</w:t>
      </w:r>
      <w:bookmarkEnd w:id="19"/>
    </w:p>
    <w:p w:rsidR="00F41E35" w:rsidP="004F4F29">
      <w:pPr>
        <w:pStyle w:val="Heading2"/>
      </w:pPr>
      <w:bookmarkStart w:id="20" w:name="_Toc469922799"/>
      <w:bookmarkStart w:id="21" w:name="_Toc318209228"/>
      <w:r>
        <w:t>1.</w:t>
      </w:r>
      <w:r>
        <w:tab/>
        <w:t>Low-income Bill Payment Assistance Program</w:t>
      </w:r>
      <w:bookmarkEnd w:id="20"/>
    </w:p>
    <w:p w:rsidR="00A3047D" w:rsidRPr="008F2908" w:rsidP="008F2908">
      <w:pPr>
        <w:spacing w:line="480" w:lineRule="auto"/>
        <w:ind w:right="720"/>
        <w:rPr>
          <w:szCs w:val="24"/>
        </w:rPr>
      </w:pPr>
      <w:r w:rsidRPr="008F2908">
        <w:rPr>
          <w:b/>
        </w:rPr>
        <w:t xml:space="preserve">OBJECTION 22:  </w:t>
      </w:r>
      <w:r w:rsidRPr="008F2908">
        <w:rPr>
          <w:szCs w:val="24"/>
        </w:rPr>
        <w:t xml:space="preserve">OCC objects </w:t>
      </w:r>
      <w:r>
        <w:rPr>
          <w:szCs w:val="24"/>
        </w:rPr>
        <w:t>to</w:t>
      </w:r>
      <w:r w:rsidRPr="008F2908">
        <w:rPr>
          <w:szCs w:val="24"/>
        </w:rPr>
        <w:t xml:space="preserve"> the PUCO Staff</w:t>
      </w:r>
      <w:r>
        <w:rPr>
          <w:szCs w:val="24"/>
        </w:rPr>
        <w:t>’s</w:t>
      </w:r>
      <w:r w:rsidRPr="008F2908">
        <w:rPr>
          <w:szCs w:val="24"/>
        </w:rPr>
        <w:t xml:space="preserve"> </w:t>
      </w:r>
      <w:r>
        <w:rPr>
          <w:szCs w:val="24"/>
        </w:rPr>
        <w:t>failure</w:t>
      </w:r>
      <w:r w:rsidRPr="008F2908">
        <w:rPr>
          <w:szCs w:val="24"/>
        </w:rPr>
        <w:t xml:space="preserve"> to recommend that Aqua Ohio initiate a shareholder-funded bill payment assistance program to help low-income customers avoid disconnection of service for non-payment.  There were approximately 15,300 Aqua Ohio customers disconnected for non-payment between 2013 and 2016. Poverty levels in many of the Ohio counties served by Aqua Ohio are well above the state and national poverty levels. The high number of disconnections for non-payment coupled with local economic conditions and the bill impacts associated with the Aqua Ohio rate increase should have prompted PUCO Staff to recommend initiatives to help customers avoid disconnection. This includes more consumer friendly payment plans and an Aqua funded bill payment assistance fund to help low-income customers pay their water bills. </w:t>
      </w:r>
    </w:p>
    <w:p w:rsidR="00F41E35" w:rsidRPr="000F2300" w:rsidP="004F4F29">
      <w:pPr>
        <w:pStyle w:val="Heading2"/>
      </w:pPr>
      <w:bookmarkStart w:id="22" w:name="_Toc469922800"/>
      <w:r>
        <w:t>2.</w:t>
      </w:r>
      <w:r>
        <w:tab/>
      </w:r>
      <w:r w:rsidRPr="000F2300">
        <w:t>Unaccounted -for-Water</w:t>
      </w:r>
      <w:bookmarkEnd w:id="22"/>
    </w:p>
    <w:p w:rsidR="00B30C10" w:rsidRPr="00C118E6" w:rsidP="008F2908">
      <w:pPr>
        <w:spacing w:line="480" w:lineRule="auto"/>
        <w:ind w:right="720"/>
        <w:rPr>
          <w:szCs w:val="24"/>
        </w:rPr>
      </w:pPr>
      <w:r>
        <w:rPr>
          <w:b/>
        </w:rPr>
        <w:t xml:space="preserve">OBJECTION 23:  </w:t>
      </w:r>
      <w:r w:rsidRPr="00C83586">
        <w:rPr>
          <w:szCs w:val="24"/>
        </w:rPr>
        <w:t xml:space="preserve">OCC objects </w:t>
      </w:r>
      <w:r>
        <w:rPr>
          <w:szCs w:val="24"/>
        </w:rPr>
        <w:t>to</w:t>
      </w:r>
      <w:r w:rsidRPr="00C83586">
        <w:rPr>
          <w:szCs w:val="24"/>
        </w:rPr>
        <w:t xml:space="preserve"> the </w:t>
      </w:r>
      <w:r>
        <w:rPr>
          <w:szCs w:val="24"/>
        </w:rPr>
        <w:t xml:space="preserve">PUCO </w:t>
      </w:r>
      <w:r w:rsidRPr="00C83586">
        <w:rPr>
          <w:szCs w:val="24"/>
        </w:rPr>
        <w:t>Staff</w:t>
      </w:r>
      <w:r>
        <w:rPr>
          <w:szCs w:val="24"/>
        </w:rPr>
        <w:t>’s</w:t>
      </w:r>
      <w:r w:rsidRPr="00C83586">
        <w:rPr>
          <w:szCs w:val="24"/>
        </w:rPr>
        <w:t xml:space="preserve"> </w:t>
      </w:r>
      <w:r>
        <w:rPr>
          <w:szCs w:val="24"/>
        </w:rPr>
        <w:t>failure</w:t>
      </w:r>
      <w:r w:rsidRPr="00C83586">
        <w:rPr>
          <w:szCs w:val="24"/>
        </w:rPr>
        <w:t xml:space="preserve"> to recommend that Aqua Ohio adequately address the high percentage of unaccounted-for-water (“UFW”) in Blacklick Estates and Huber Ridge. A high percentage of UFW can result in unnecessary expenses for energy and water treatment. The PUCO standards require remedial actions to be taken if the UFW exceeds fifteen percent of gross production on a rolling twelve-month basis.  </w:t>
      </w:r>
      <w:r>
        <w:rPr>
          <w:szCs w:val="24"/>
        </w:rPr>
        <w:t xml:space="preserve">PUCO </w:t>
      </w:r>
      <w:r w:rsidRPr="00C83586">
        <w:rPr>
          <w:szCs w:val="24"/>
        </w:rPr>
        <w:t xml:space="preserve">Staff recommended no adjustments for </w:t>
      </w:r>
      <w:r w:rsidRPr="00F41E35">
        <w:rPr>
          <w:szCs w:val="24"/>
        </w:rPr>
        <w:t xml:space="preserve">chemical and power costs even though the UFW in the Blacklick Estates and Huber Ridge service areas have exceeded fifteen percent for the last several years. </w:t>
      </w:r>
      <w:r>
        <w:rPr>
          <w:szCs w:val="24"/>
        </w:rPr>
        <w:t xml:space="preserve">PUCO </w:t>
      </w:r>
      <w:r w:rsidRPr="00F41E35">
        <w:rPr>
          <w:szCs w:val="24"/>
        </w:rPr>
        <w:t>Staff should have recommended that Aqua Ohio identify options to reduce the UFW in a cost effectiv</w:t>
      </w:r>
      <w:r w:rsidRPr="001333BA">
        <w:rPr>
          <w:szCs w:val="24"/>
        </w:rPr>
        <w:t>e manner in both the Blacklick Estates and the Huber Ridge service areas before the next Aq</w:t>
      </w:r>
      <w:r w:rsidRPr="00C118E6">
        <w:rPr>
          <w:szCs w:val="24"/>
        </w:rPr>
        <w:t xml:space="preserve">ua Ohio base rate case.       </w:t>
      </w:r>
    </w:p>
    <w:p w:rsidR="00A81C49" w:rsidRPr="00A81C49" w:rsidP="00A81C49">
      <w:pPr>
        <w:pStyle w:val="ListParagraph"/>
        <w:ind w:right="720"/>
        <w:rPr>
          <w:szCs w:val="24"/>
        </w:rPr>
      </w:pPr>
    </w:p>
    <w:p w:rsidR="00626FAA" w:rsidRPr="005216DF" w:rsidP="00A81C49">
      <w:pPr>
        <w:pStyle w:val="Heading1"/>
      </w:pPr>
      <w:bookmarkStart w:id="23" w:name="_Toc469922801"/>
      <w:r>
        <w:t xml:space="preserve">VII. </w:t>
      </w:r>
      <w:r>
        <w:tab/>
      </w:r>
      <w:r w:rsidRPr="005216DF">
        <w:t>SUMMARY OF MAJOR ISSUES</w:t>
      </w:r>
      <w:bookmarkEnd w:id="21"/>
      <w:bookmarkEnd w:id="23"/>
    </w:p>
    <w:p w:rsidR="006E6166" w:rsidRPr="00D86CBB" w:rsidP="00D86CBB">
      <w:pPr>
        <w:spacing w:line="480" w:lineRule="auto"/>
        <w:ind w:right="720" w:firstLine="720"/>
        <w:rPr>
          <w:szCs w:val="24"/>
        </w:rPr>
      </w:pPr>
      <w:r w:rsidRPr="005216DF">
        <w:rPr>
          <w:szCs w:val="24"/>
        </w:rPr>
        <w:t>The PUCO should arrange for a local-hearing process that is initiated with a notice that is understandable to consumers and that includes at least the following:</w:t>
      </w:r>
      <w:r w:rsidRPr="0046658A">
        <w:rPr>
          <w:szCs w:val="24"/>
          <w:highlight w:val="yellow"/>
        </w:rPr>
        <w:t xml:space="preserve"> </w:t>
      </w:r>
    </w:p>
    <w:p w:rsidR="006E6166" w:rsidRPr="00D86CBB" w:rsidP="006E6166">
      <w:pPr>
        <w:spacing w:line="480" w:lineRule="auto"/>
        <w:ind w:left="1440" w:right="720" w:hanging="720"/>
        <w:rPr>
          <w:szCs w:val="24"/>
        </w:rPr>
      </w:pPr>
      <w:r w:rsidRPr="00D86CBB">
        <w:rPr>
          <w:szCs w:val="24"/>
        </w:rPr>
        <w:t>1.</w:t>
      </w:r>
      <w:r w:rsidRPr="00D86CBB">
        <w:rPr>
          <w:szCs w:val="24"/>
        </w:rPr>
        <w:tab/>
        <w:t>Should the PUCO allow Aqua to increase its rates for water and, if so, how much of a rate increase should be allowed?</w:t>
      </w:r>
    </w:p>
    <w:p w:rsidR="006E6166" w:rsidRPr="00D86CBB" w:rsidP="006E6166">
      <w:pPr>
        <w:spacing w:line="480" w:lineRule="auto"/>
        <w:ind w:left="1440" w:right="720" w:hanging="720"/>
        <w:rPr>
          <w:szCs w:val="24"/>
        </w:rPr>
      </w:pPr>
      <w:r w:rsidRPr="00D86CBB">
        <w:rPr>
          <w:szCs w:val="24"/>
        </w:rPr>
        <w:t>2.</w:t>
      </w:r>
      <w:r w:rsidRPr="00D86CBB">
        <w:rPr>
          <w:szCs w:val="24"/>
        </w:rPr>
        <w:tab/>
        <w:t>What amount of profit should the PUCO allow Aqua an opportunity to earn for providing water service to customers in Ohio</w:t>
      </w:r>
      <w:r>
        <w:rPr>
          <w:szCs w:val="24"/>
        </w:rPr>
        <w:t xml:space="preserve"> service territories</w:t>
      </w:r>
      <w:r w:rsidRPr="00D86CBB">
        <w:rPr>
          <w:szCs w:val="24"/>
        </w:rPr>
        <w:t>?</w:t>
      </w:r>
    </w:p>
    <w:p w:rsidR="00D86CBB" w:rsidRPr="00D86CBB" w:rsidP="00834FDB">
      <w:pPr>
        <w:spacing w:line="480" w:lineRule="auto"/>
        <w:ind w:left="1440" w:right="720" w:hanging="720"/>
        <w:rPr>
          <w:szCs w:val="24"/>
        </w:rPr>
      </w:pPr>
      <w:r w:rsidRPr="00D86CBB">
        <w:rPr>
          <w:szCs w:val="24"/>
        </w:rPr>
        <w:t>3.</w:t>
      </w:r>
      <w:r w:rsidRPr="00D86CBB">
        <w:rPr>
          <w:szCs w:val="24"/>
        </w:rPr>
        <w:tab/>
        <w:t>What amount of utility investment in property should the PUCO allow Aqua to ma</w:t>
      </w:r>
      <w:r>
        <w:rPr>
          <w:szCs w:val="24"/>
        </w:rPr>
        <w:t xml:space="preserve">ke to provide water service to </w:t>
      </w:r>
      <w:r w:rsidRPr="00D86CBB">
        <w:rPr>
          <w:szCs w:val="24"/>
        </w:rPr>
        <w:t>customers?</w:t>
      </w:r>
    </w:p>
    <w:p w:rsidR="006E6166" w:rsidRPr="00D86CBB" w:rsidP="00834FDB">
      <w:pPr>
        <w:spacing w:line="480" w:lineRule="auto"/>
        <w:ind w:left="1440" w:right="720" w:hanging="720"/>
        <w:rPr>
          <w:szCs w:val="24"/>
        </w:rPr>
      </w:pPr>
      <w:r w:rsidRPr="00D86CBB">
        <w:rPr>
          <w:szCs w:val="24"/>
        </w:rPr>
        <w:t>4.</w:t>
      </w:r>
      <w:r w:rsidRPr="00D86CBB">
        <w:rPr>
          <w:szCs w:val="24"/>
        </w:rPr>
        <w:tab/>
        <w:t>Are there ways to lessen the impact of a rate increase on Aqua’s customers, especially considering the continued economic difficulties in the state?</w:t>
      </w:r>
    </w:p>
    <w:p w:rsidR="00626FAA" w:rsidP="00834FDB">
      <w:pPr>
        <w:spacing w:line="480" w:lineRule="auto"/>
        <w:ind w:left="1440" w:right="720" w:hanging="720"/>
        <w:rPr>
          <w:szCs w:val="24"/>
        </w:rPr>
      </w:pPr>
      <w:r w:rsidRPr="00D86CBB">
        <w:rPr>
          <w:szCs w:val="24"/>
        </w:rPr>
        <w:t>4.</w:t>
      </w:r>
      <w:r w:rsidRPr="00D86CBB">
        <w:rPr>
          <w:szCs w:val="24"/>
        </w:rPr>
        <w:tab/>
        <w:t>What is the amount of the monthly customer charge (a charge that is independent of how much water is used or treated) that residential consumers will have to pay?</w:t>
      </w:r>
      <w:r w:rsidRPr="005216DF">
        <w:rPr>
          <w:szCs w:val="24"/>
        </w:rPr>
        <w:t xml:space="preserve"> </w:t>
      </w:r>
    </w:p>
    <w:p w:rsidR="00D86CBB" w:rsidP="00D86CBB">
      <w:pPr>
        <w:spacing w:line="480" w:lineRule="auto"/>
        <w:ind w:left="1440" w:right="720" w:hanging="720"/>
        <w:rPr>
          <w:szCs w:val="24"/>
        </w:rPr>
      </w:pPr>
      <w:r>
        <w:rPr>
          <w:szCs w:val="24"/>
        </w:rPr>
        <w:t>5.</w:t>
      </w:r>
      <w:r>
        <w:rPr>
          <w:szCs w:val="24"/>
        </w:rPr>
        <w:tab/>
        <w:t>For any revenue increase or decrease the PUCO grants to Aqua, what amount of increase or decrease is fair and equitable for residential customers to pay?</w:t>
      </w:r>
    </w:p>
    <w:p w:rsidR="00D86CBB" w:rsidRPr="005216DF" w:rsidP="00D86CBB">
      <w:pPr>
        <w:spacing w:line="480" w:lineRule="auto"/>
        <w:ind w:left="1440" w:right="720" w:hanging="720"/>
        <w:rPr>
          <w:szCs w:val="24"/>
        </w:rPr>
      </w:pPr>
      <w:r>
        <w:rPr>
          <w:szCs w:val="24"/>
        </w:rPr>
        <w:t>6.</w:t>
      </w:r>
      <w:r>
        <w:rPr>
          <w:szCs w:val="24"/>
        </w:rPr>
        <w:tab/>
        <w:t>How should rates be designed for Aqua customers, in order to promote principles of fairness and equity?</w:t>
      </w:r>
    </w:p>
    <w:p w:rsidR="00A81C49" w:rsidP="00D805DF">
      <w:pPr>
        <w:spacing w:after="200" w:line="276" w:lineRule="auto"/>
        <w:ind w:left="3600" w:firstLine="720"/>
        <w:rPr>
          <w:szCs w:val="24"/>
        </w:rPr>
      </w:pPr>
    </w:p>
    <w:p w:rsidR="00A81C49" w:rsidP="00D805DF">
      <w:pPr>
        <w:spacing w:after="200" w:line="276" w:lineRule="auto"/>
        <w:ind w:left="3600" w:firstLine="720"/>
        <w:rPr>
          <w:szCs w:val="24"/>
        </w:rPr>
      </w:pPr>
    </w:p>
    <w:p w:rsidR="004F4F29">
      <w:pPr>
        <w:spacing w:after="200" w:line="276" w:lineRule="auto"/>
        <w:rPr>
          <w:szCs w:val="24"/>
        </w:rPr>
      </w:pPr>
      <w:r>
        <w:rPr>
          <w:szCs w:val="24"/>
        </w:rPr>
        <w:br w:type="page"/>
      </w:r>
    </w:p>
    <w:p w:rsidR="00BA6EC5" w:rsidRPr="005216DF" w:rsidP="00D805DF">
      <w:pPr>
        <w:spacing w:after="200" w:line="276" w:lineRule="auto"/>
        <w:ind w:left="3600" w:firstLine="720"/>
        <w:rPr>
          <w:szCs w:val="24"/>
        </w:rPr>
      </w:pPr>
      <w:r w:rsidRPr="005216DF">
        <w:rPr>
          <w:szCs w:val="24"/>
        </w:rPr>
        <w:t>Respectfully submitted,</w:t>
      </w:r>
    </w:p>
    <w:p w:rsidR="00BA6EC5" w:rsidRPr="005216DF">
      <w:pPr>
        <w:pStyle w:val="Footer"/>
        <w:tabs>
          <w:tab w:val="left" w:pos="4320"/>
          <w:tab w:val="clear" w:pos="8640"/>
        </w:tabs>
        <w:spacing w:before="240"/>
        <w:ind w:left="720" w:firstLine="3600"/>
        <w:rPr>
          <w:rFonts w:ascii="Times New Roman" w:hAnsi="Times New Roman" w:cs="Times New Roman"/>
        </w:rPr>
      </w:pPr>
      <w:r>
        <w:rPr>
          <w:rFonts w:ascii="Times New Roman" w:hAnsi="Times New Roman" w:cs="Times New Roman"/>
        </w:rPr>
        <w:t xml:space="preserve">BRUCE </w:t>
      </w:r>
      <w:r w:rsidRPr="005216DF">
        <w:rPr>
          <w:rFonts w:ascii="Times New Roman" w:hAnsi="Times New Roman" w:cs="Times New Roman"/>
        </w:rPr>
        <w:t xml:space="preserve">WESTON </w:t>
      </w:r>
      <w:r>
        <w:rPr>
          <w:rFonts w:ascii="Times New Roman" w:hAnsi="Times New Roman" w:cs="Times New Roman"/>
        </w:rPr>
        <w:t>(0016973)</w:t>
      </w:r>
    </w:p>
    <w:p w:rsidR="00BA6EC5" w:rsidRPr="005216DF">
      <w:pPr>
        <w:tabs>
          <w:tab w:val="left" w:pos="4320"/>
        </w:tabs>
        <w:rPr>
          <w:szCs w:val="24"/>
        </w:rPr>
      </w:pPr>
      <w:r w:rsidRPr="005216DF">
        <w:rPr>
          <w:szCs w:val="24"/>
        </w:rPr>
        <w:tab/>
        <w:t xml:space="preserve">OHIO CONSUMERS’ COUNSEL </w:t>
      </w:r>
    </w:p>
    <w:p w:rsidR="00BA6EC5" w:rsidRPr="005216DF">
      <w:pPr>
        <w:tabs>
          <w:tab w:val="left" w:pos="4320"/>
        </w:tabs>
        <w:rPr>
          <w:szCs w:val="24"/>
        </w:rPr>
      </w:pPr>
    </w:p>
    <w:p w:rsidR="004F4F29" w:rsidRPr="004F4F29" w:rsidP="00510499">
      <w:pPr>
        <w:ind w:left="4320"/>
        <w:rPr>
          <w:i/>
          <w:szCs w:val="24"/>
          <w:u w:val="single"/>
        </w:rPr>
      </w:pPr>
      <w:r>
        <w:rPr>
          <w:i/>
          <w:szCs w:val="24"/>
          <w:u w:val="single"/>
        </w:rPr>
        <w:t>/s/ Kevin F. Moore</w:t>
      </w:r>
    </w:p>
    <w:p w:rsidR="00510499" w:rsidRPr="005216DF" w:rsidP="00510499">
      <w:pPr>
        <w:ind w:left="4320"/>
        <w:rPr>
          <w:szCs w:val="24"/>
        </w:rPr>
      </w:pPr>
      <w:r w:rsidRPr="005216DF">
        <w:rPr>
          <w:szCs w:val="24"/>
        </w:rPr>
        <w:t>Kevin F. Moore (0089228)</w:t>
      </w:r>
    </w:p>
    <w:p w:rsidR="00510499" w:rsidRPr="005216DF" w:rsidP="00510499">
      <w:pPr>
        <w:ind w:left="4320"/>
        <w:rPr>
          <w:szCs w:val="24"/>
        </w:rPr>
      </w:pPr>
      <w:r w:rsidRPr="005216DF">
        <w:rPr>
          <w:szCs w:val="24"/>
        </w:rPr>
        <w:t>Counsel of Record</w:t>
      </w:r>
    </w:p>
    <w:p w:rsidR="00510499" w:rsidRPr="005216DF" w:rsidP="00510499">
      <w:pPr>
        <w:ind w:left="4320"/>
        <w:rPr>
          <w:szCs w:val="24"/>
        </w:rPr>
      </w:pPr>
      <w:r w:rsidRPr="005216DF">
        <w:rPr>
          <w:szCs w:val="24"/>
        </w:rPr>
        <w:t>Ajay Kumar (0092208)</w:t>
      </w:r>
    </w:p>
    <w:p w:rsidR="00510499" w:rsidRPr="005216DF" w:rsidP="00510499">
      <w:pPr>
        <w:ind w:left="4320"/>
        <w:rPr>
          <w:szCs w:val="24"/>
        </w:rPr>
      </w:pPr>
      <w:r w:rsidRPr="005216DF">
        <w:rPr>
          <w:szCs w:val="24"/>
        </w:rPr>
        <w:t>Assistant Consumers’ Counsel</w:t>
      </w:r>
    </w:p>
    <w:p w:rsidR="00510499" w:rsidRPr="005216DF" w:rsidP="00510499">
      <w:pPr>
        <w:ind w:left="4320"/>
        <w:rPr>
          <w:szCs w:val="24"/>
        </w:rPr>
      </w:pPr>
    </w:p>
    <w:p w:rsidR="00510499" w:rsidRPr="005216DF" w:rsidP="00510499">
      <w:pPr>
        <w:ind w:left="4320"/>
        <w:rPr>
          <w:b/>
          <w:szCs w:val="24"/>
        </w:rPr>
      </w:pPr>
      <w:r w:rsidRPr="005216DF">
        <w:rPr>
          <w:b/>
          <w:szCs w:val="24"/>
        </w:rPr>
        <w:t>Office of the Ohio Consumers’ Counsel</w:t>
      </w:r>
    </w:p>
    <w:p w:rsidR="00510499" w:rsidRPr="005216DF" w:rsidP="00510499">
      <w:pPr>
        <w:ind w:left="4320"/>
        <w:rPr>
          <w:szCs w:val="24"/>
        </w:rPr>
      </w:pPr>
      <w:r w:rsidRPr="005216DF">
        <w:rPr>
          <w:szCs w:val="24"/>
        </w:rPr>
        <w:t>10 West Broad Street, Suite 1800</w:t>
      </w:r>
    </w:p>
    <w:p w:rsidR="00510499" w:rsidRPr="005216DF" w:rsidP="00510499">
      <w:pPr>
        <w:ind w:left="4320"/>
        <w:rPr>
          <w:szCs w:val="24"/>
        </w:rPr>
      </w:pPr>
      <w:r w:rsidRPr="005216DF">
        <w:rPr>
          <w:szCs w:val="24"/>
        </w:rPr>
        <w:t>Columbus, Ohio 43215-3485</w:t>
      </w:r>
    </w:p>
    <w:p w:rsidR="00510499" w:rsidRPr="005216DF" w:rsidP="00510499">
      <w:pPr>
        <w:ind w:left="4320"/>
        <w:rPr>
          <w:szCs w:val="24"/>
        </w:rPr>
      </w:pPr>
      <w:r w:rsidRPr="005216DF">
        <w:rPr>
          <w:szCs w:val="24"/>
        </w:rPr>
        <w:t>Telephone:  Moore (614) 387-2965</w:t>
      </w:r>
    </w:p>
    <w:p w:rsidR="00510499" w:rsidRPr="005216DF" w:rsidP="00510499">
      <w:pPr>
        <w:ind w:left="4320"/>
        <w:rPr>
          <w:szCs w:val="24"/>
        </w:rPr>
      </w:pPr>
      <w:r w:rsidRPr="005216DF">
        <w:rPr>
          <w:szCs w:val="24"/>
        </w:rPr>
        <w:t>Telephone:  Kumar (614) 466-1292</w:t>
      </w:r>
    </w:p>
    <w:p w:rsidR="004F4F29" w:rsidP="00510499">
      <w:pPr>
        <w:ind w:left="4320"/>
        <w:rPr>
          <w:szCs w:val="24"/>
        </w:rPr>
      </w:pPr>
      <w:r>
        <w:fldChar w:fldCharType="begin"/>
      </w:r>
      <w:r>
        <w:instrText xml:space="preserve"> HYPERLINK "mailto:kevin.moore@occ.ohio.gov" </w:instrText>
      </w:r>
      <w:r>
        <w:fldChar w:fldCharType="separate"/>
      </w:r>
      <w:r w:rsidRPr="004A6837" w:rsidR="00A54A43">
        <w:rPr>
          <w:rStyle w:val="Hyperlink"/>
          <w:szCs w:val="24"/>
        </w:rPr>
        <w:t>kevin.moore@occ.ohio.gov</w:t>
      </w:r>
      <w:r>
        <w:fldChar w:fldCharType="end"/>
      </w:r>
    </w:p>
    <w:p w:rsidR="00510499" w:rsidP="00510499">
      <w:pPr>
        <w:ind w:left="4320"/>
        <w:rPr>
          <w:szCs w:val="24"/>
        </w:rPr>
      </w:pPr>
      <w:r>
        <w:fldChar w:fldCharType="begin"/>
      </w:r>
      <w:r>
        <w:instrText xml:space="preserve"> HYPERLINK "mailto:ajay.kumar@occ.ohio.gov" </w:instrText>
      </w:r>
      <w:r>
        <w:fldChar w:fldCharType="separate"/>
      </w:r>
      <w:r w:rsidRPr="004A6837" w:rsidR="00A54A43">
        <w:rPr>
          <w:rStyle w:val="Hyperlink"/>
          <w:szCs w:val="24"/>
        </w:rPr>
        <w:t>ajay.kumar@occ.ohio.gov</w:t>
      </w:r>
      <w:r>
        <w:fldChar w:fldCharType="end"/>
      </w:r>
    </w:p>
    <w:p w:rsidR="00510499" w:rsidRPr="005216DF" w:rsidP="00510499">
      <w:pPr>
        <w:ind w:left="4320"/>
        <w:rPr>
          <w:szCs w:val="24"/>
        </w:rPr>
      </w:pPr>
      <w:r w:rsidRPr="005216DF">
        <w:rPr>
          <w:szCs w:val="24"/>
        </w:rPr>
        <w:t>(will accept service via email)</w:t>
      </w:r>
    </w:p>
    <w:p w:rsidR="00D016B2" w:rsidRPr="005216DF" w:rsidP="00D016B2">
      <w:pPr>
        <w:jc w:val="center"/>
        <w:rPr>
          <w:b/>
          <w:bCs/>
          <w:szCs w:val="24"/>
        </w:rPr>
      </w:pPr>
    </w:p>
    <w:p w:rsidR="00A81C49" w:rsidP="00D805DF">
      <w:pPr>
        <w:ind w:left="2160" w:firstLine="720"/>
        <w:rPr>
          <w:b/>
          <w:bCs/>
          <w:szCs w:val="24"/>
          <w:u w:val="single"/>
        </w:rPr>
        <w:sectPr w:rsidSect="00B7047D">
          <w:footerReference w:type="default" r:id="rId19"/>
          <w:pgSz w:w="12240" w:h="15840"/>
          <w:pgMar w:top="1440" w:right="1800" w:bottom="1440" w:left="1800" w:header="720" w:footer="720" w:gutter="0"/>
          <w:pgNumType w:start="2"/>
          <w:cols w:space="720"/>
          <w:docGrid w:linePitch="360"/>
        </w:sectPr>
      </w:pPr>
    </w:p>
    <w:p w:rsidR="00BA6EC5" w:rsidRPr="005216DF" w:rsidP="00D805DF">
      <w:pPr>
        <w:ind w:left="2160" w:firstLine="720"/>
        <w:rPr>
          <w:b/>
          <w:bCs/>
          <w:szCs w:val="24"/>
          <w:u w:val="single"/>
        </w:rPr>
      </w:pPr>
      <w:r w:rsidRPr="005216DF">
        <w:rPr>
          <w:b/>
          <w:bCs/>
          <w:szCs w:val="24"/>
          <w:u w:val="single"/>
        </w:rPr>
        <w:t>CERTIFICATE OF SERVICE</w:t>
      </w:r>
    </w:p>
    <w:p w:rsidR="00BA6EC5" w:rsidRPr="005216DF">
      <w:pPr>
        <w:pStyle w:val="EndnoteText"/>
        <w:widowControl/>
        <w:tabs>
          <w:tab w:val="left" w:pos="-720"/>
        </w:tabs>
        <w:suppressAutoHyphens/>
        <w:rPr>
          <w:rFonts w:ascii="Times New Roman" w:hAnsi="Times New Roman"/>
          <w:spacing w:val="-3"/>
          <w:szCs w:val="24"/>
        </w:rPr>
      </w:pPr>
    </w:p>
    <w:p w:rsidR="00BA6EC5" w:rsidRPr="005216DF" w:rsidP="00A81C49">
      <w:pPr>
        <w:tabs>
          <w:tab w:val="left" w:pos="-720"/>
        </w:tabs>
        <w:suppressAutoHyphens/>
        <w:spacing w:line="480" w:lineRule="auto"/>
        <w:ind w:firstLine="720"/>
        <w:rPr>
          <w:szCs w:val="24"/>
        </w:rPr>
      </w:pPr>
      <w:r w:rsidRPr="005216DF">
        <w:rPr>
          <w:szCs w:val="24"/>
        </w:rPr>
        <w:t xml:space="preserve">It is hereby certified that a true copy of the foregoing </w:t>
      </w:r>
      <w:r w:rsidRPr="005216DF">
        <w:rPr>
          <w:i/>
          <w:iCs/>
          <w:szCs w:val="24"/>
        </w:rPr>
        <w:t xml:space="preserve">Objections </w:t>
      </w:r>
      <w:r w:rsidRPr="005216DF">
        <w:rPr>
          <w:szCs w:val="24"/>
        </w:rPr>
        <w:t xml:space="preserve">was served by electronic transmission </w:t>
      </w:r>
      <w:r>
        <w:rPr>
          <w:szCs w:val="24"/>
        </w:rPr>
        <w:t>upon the parties below this 19</w:t>
      </w:r>
      <w:r w:rsidRPr="0036037F">
        <w:rPr>
          <w:szCs w:val="24"/>
          <w:vertAlign w:val="superscript"/>
        </w:rPr>
        <w:t>th</w:t>
      </w:r>
      <w:r>
        <w:rPr>
          <w:szCs w:val="24"/>
        </w:rPr>
        <w:t xml:space="preserve"> </w:t>
      </w:r>
      <w:r w:rsidRPr="005216DF">
        <w:rPr>
          <w:szCs w:val="24"/>
        </w:rPr>
        <w:t>day of December, 2016.</w:t>
      </w:r>
    </w:p>
    <w:p w:rsidR="00BA6EC5" w:rsidRPr="005216DF">
      <w:pPr>
        <w:pStyle w:val="EndnoteText"/>
        <w:widowControl/>
        <w:rPr>
          <w:rFonts w:ascii="Times New Roman" w:hAnsi="Times New Roman"/>
          <w:snapToGrid/>
          <w:szCs w:val="24"/>
        </w:rPr>
      </w:pP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i/>
          <w:snapToGrid/>
          <w:szCs w:val="24"/>
          <w:u w:val="single"/>
        </w:rPr>
        <w:t>/s/ Kevin Moore</w:t>
      </w: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t>Kevin Moore</w:t>
      </w: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t>Assistant Consumers’ Counsel</w:t>
      </w:r>
    </w:p>
    <w:p w:rsidR="00BA6EC5" w:rsidRPr="005216DF">
      <w:pPr>
        <w:pStyle w:val="EndnoteText"/>
        <w:widowControl/>
        <w:rPr>
          <w:rFonts w:ascii="Times New Roman" w:hAnsi="Times New Roman"/>
          <w:snapToGrid/>
          <w:szCs w:val="24"/>
        </w:rPr>
      </w:pPr>
    </w:p>
    <w:p w:rsidR="00BA6EC5" w:rsidRPr="005216DF">
      <w:pPr>
        <w:pStyle w:val="EndnoteText"/>
        <w:widowControl/>
        <w:jc w:val="center"/>
        <w:rPr>
          <w:rFonts w:ascii="Times New Roman" w:hAnsi="Times New Roman"/>
          <w:b/>
          <w:bCs/>
          <w:snapToGrid/>
          <w:szCs w:val="24"/>
        </w:rPr>
      </w:pPr>
    </w:p>
    <w:p w:rsidR="00BA6EC5" w:rsidRPr="005216DF">
      <w:pPr>
        <w:tabs>
          <w:tab w:val="left" w:pos="4320"/>
        </w:tabs>
        <w:jc w:val="center"/>
        <w:rPr>
          <w:b/>
          <w:szCs w:val="24"/>
          <w:u w:val="single"/>
        </w:rPr>
      </w:pPr>
      <w:r w:rsidRPr="005216DF">
        <w:rPr>
          <w:b/>
          <w:szCs w:val="24"/>
          <w:u w:val="single"/>
        </w:rPr>
        <w:t>SERVICE LIST</w:t>
      </w:r>
    </w:p>
    <w:p w:rsidR="00BA6EC5" w:rsidRPr="005216DF">
      <w:pPr>
        <w:pStyle w:val="EndnoteText"/>
        <w:widowControl/>
        <w:jc w:val="center"/>
        <w:rPr>
          <w:rFonts w:ascii="Times New Roman" w:hAnsi="Times New Roman"/>
          <w:szCs w:val="24"/>
        </w:rPr>
      </w:pPr>
    </w:p>
    <w:tbl>
      <w:tblPr>
        <w:tblW w:w="0" w:type="auto"/>
        <w:tblInd w:w="0" w:type="dxa"/>
        <w:tblCellMar>
          <w:top w:w="0" w:type="dxa"/>
          <w:left w:w="108" w:type="dxa"/>
          <w:bottom w:w="0" w:type="dxa"/>
          <w:right w:w="108" w:type="dxa"/>
        </w:tblCellMar>
        <w:tblLook w:val="04A0"/>
      </w:tblPr>
      <w:tblGrid>
        <w:gridCol w:w="4428"/>
        <w:gridCol w:w="4428"/>
      </w:tblGrid>
      <w:tr w:rsidTr="004F4F29">
        <w:tblPrEx>
          <w:tblW w:w="0" w:type="auto"/>
          <w:tblInd w:w="0" w:type="dxa"/>
          <w:tblCellMar>
            <w:top w:w="0" w:type="dxa"/>
            <w:left w:w="108" w:type="dxa"/>
            <w:bottom w:w="0" w:type="dxa"/>
            <w:right w:w="108" w:type="dxa"/>
          </w:tblCellMar>
          <w:tblLook w:val="04A0"/>
        </w:tblPrEx>
        <w:tc>
          <w:tcPr>
            <w:tcW w:w="4428" w:type="dxa"/>
            <w:shd w:val="clear" w:color="auto" w:fill="auto"/>
          </w:tcPr>
          <w:p w:rsidR="004F4F29" w:rsidP="00AE76C8">
            <w:pPr>
              <w:pStyle w:val="CommentText"/>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"mailto:Steven.beeler@ohioattorneygeneral.gov" </w:instrText>
            </w:r>
            <w:r>
              <w:fldChar w:fldCharType="separate"/>
            </w:r>
            <w:r w:rsidRPr="004A6837" w:rsidR="00A54A43">
              <w:rPr>
                <w:rStyle w:val="Hyperlink"/>
                <w:rFonts w:ascii="Times New Roman" w:eastAsia="Times New Roman" w:hAnsi="Times New Roman" w:cs="Times New Roman"/>
                <w:color w:val="0000FF"/>
                <w:sz w:val="24"/>
                <w:szCs w:val="20"/>
                <w:u w:val="single"/>
                <w:lang w:val="en-US" w:eastAsia="en-US" w:bidi="ar-SA"/>
              </w:rPr>
              <w:t>Steven.beeler@ohioattorneygeneral.gov</w:t>
            </w:r>
            <w:r>
              <w:fldChar w:fldCharType="end"/>
            </w:r>
          </w:p>
          <w:p w:rsidR="004F4F29"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"mailto:Robert.eubanks@ohioattorneygeneral.gov" </w:instrText>
            </w:r>
            <w:r>
              <w:fldChar w:fldCharType="separate"/>
            </w:r>
            <w:r w:rsidRPr="004A6837" w:rsidR="00A54A43">
              <w:rPr>
                <w:rStyle w:val="Hyperlink"/>
                <w:rFonts w:ascii="Times New Roman" w:eastAsia="Times New Roman" w:hAnsi="Times New Roman" w:cs="Times New Roman"/>
                <w:color w:val="0000FF"/>
                <w:sz w:val="24"/>
                <w:szCs w:val="20"/>
                <w:u w:val="single"/>
                <w:lang w:val="en-US" w:eastAsia="en-US" w:bidi="ar-SA"/>
              </w:rPr>
              <w:t>Robert.eubanks@ohioattorneygeneral.gov</w:t>
            </w:r>
            <w:r>
              <w:fldChar w:fldCharType="end"/>
            </w:r>
          </w:p>
          <w:p w:rsidR="004F4F29" w:rsidRPr="00DA3E69"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p>
          <w:p w:rsidR="003F77BD" w:rsidRPr="00DA3E69"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p>
          <w:p w:rsidR="003F77BD" w:rsidRPr="004F4F29" w:rsidP="00AE76C8">
            <w:pPr>
              <w:pStyle w:val="CommentText"/>
              <w:spacing w:after="0" w:line="240" w:lineRule="auto"/>
              <w:rPr>
                <w:rStyle w:val="DefaultParagraphFont"/>
                <w:rFonts w:ascii="Times New Roman" w:eastAsia="Times New Roman" w:hAnsi="Times New Roman" w:cs="Times New Roman"/>
                <w:sz w:val="24"/>
                <w:szCs w:val="20"/>
                <w:lang w:val="en-US" w:eastAsia="en-US" w:bidi="ar-SA"/>
              </w:rPr>
            </w:pPr>
            <w:r w:rsidRPr="004F4F29">
              <w:rPr>
                <w:rFonts w:ascii="Times New Roman" w:eastAsia="Times New Roman" w:hAnsi="Times New Roman" w:cs="Times New Roman"/>
                <w:sz w:val="24"/>
                <w:szCs w:val="20"/>
                <w:lang w:val="en-US" w:eastAsia="en-US" w:bidi="ar-SA"/>
              </w:rPr>
              <w:t>Attorney Examiner:</w:t>
            </w:r>
          </w:p>
          <w:p w:rsidR="004F4F29" w:rsidRPr="004F4F29" w:rsidP="00AE76C8">
            <w:pPr>
              <w:pStyle w:val="CommentText"/>
              <w:spacing w:after="0" w:line="240" w:lineRule="auto"/>
              <w:rPr>
                <w:rStyle w:val="DefaultParagraphFont"/>
                <w:rFonts w:ascii="Times New Roman" w:eastAsia="Times New Roman" w:hAnsi="Times New Roman" w:cs="Times New Roman"/>
                <w:sz w:val="24"/>
                <w:szCs w:val="20"/>
                <w:lang w:val="en-US" w:eastAsia="en-US" w:bidi="ar-SA"/>
              </w:rPr>
            </w:pPr>
          </w:p>
          <w:p w:rsidR="004F4F29" w:rsidP="00AE76C8">
            <w:pPr>
              <w:pStyle w:val="CommentText"/>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"mailto:Jeffrey.jones@puc.state.oh.us" </w:instrText>
            </w:r>
            <w:r>
              <w:fldChar w:fldCharType="separate"/>
            </w:r>
            <w:r w:rsidRPr="004A6837" w:rsidR="00A54A43">
              <w:rPr>
                <w:rStyle w:val="Hyperlink"/>
                <w:rFonts w:ascii="Times New Roman" w:eastAsia="Times New Roman" w:hAnsi="Times New Roman" w:cs="Times New Roman"/>
                <w:color w:val="0000FF"/>
                <w:sz w:val="24"/>
                <w:szCs w:val="20"/>
                <w:u w:val="single"/>
                <w:lang w:val="en-US" w:eastAsia="en-US" w:bidi="ar-SA"/>
              </w:rPr>
              <w:t>Jeffrey.jones@puc.state.oh.us</w:t>
            </w:r>
            <w:r>
              <w:fldChar w:fldCharType="end"/>
            </w:r>
          </w:p>
          <w:p w:rsidR="004F4F29"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"mailto:Megan.addison@puc.state.oh.us" </w:instrText>
            </w:r>
            <w:r>
              <w:fldChar w:fldCharType="separate"/>
            </w:r>
            <w:r w:rsidRPr="004A6837" w:rsidR="00A54A43">
              <w:rPr>
                <w:rStyle w:val="Hyperlink"/>
                <w:rFonts w:ascii="Times New Roman" w:eastAsia="Times New Roman" w:hAnsi="Times New Roman" w:cs="Times New Roman"/>
                <w:color w:val="0000FF"/>
                <w:sz w:val="24"/>
                <w:szCs w:val="20"/>
                <w:u w:val="single"/>
                <w:lang w:val="en-US" w:eastAsia="en-US" w:bidi="ar-SA"/>
              </w:rPr>
              <w:t>Megan.addison@puc.state.oh.us</w:t>
            </w:r>
            <w:r>
              <w:fldChar w:fldCharType="end"/>
            </w:r>
          </w:p>
          <w:p w:rsidR="004F4F29" w:rsidRPr="00DA3E69"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p>
          <w:p w:rsidR="003F77BD" w:rsidRPr="00DA3E69"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p>
        </w:tc>
        <w:tc>
          <w:tcPr>
            <w:tcW w:w="4428" w:type="dxa"/>
            <w:shd w:val="clear" w:color="auto" w:fill="auto"/>
          </w:tcPr>
          <w:p w:rsidR="004F4F29" w:rsidP="00AE76C8">
            <w:pPr>
              <w:pStyle w:val="CommentText"/>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"mailto:whitt@whitt-sturtevant.com" </w:instrText>
            </w:r>
            <w:r>
              <w:fldChar w:fldCharType="separate"/>
            </w:r>
            <w:r w:rsidRPr="004A6837" w:rsidR="00A54A43">
              <w:rPr>
                <w:rStyle w:val="Hyperlink"/>
                <w:rFonts w:ascii="Times New Roman" w:eastAsia="Times New Roman" w:hAnsi="Times New Roman" w:cs="Times New Roman"/>
                <w:color w:val="0000FF"/>
                <w:sz w:val="24"/>
                <w:szCs w:val="20"/>
                <w:u w:val="single"/>
                <w:lang w:val="en-US" w:eastAsia="en-US" w:bidi="ar-SA"/>
              </w:rPr>
              <w:t>whitt@whitt-sturtevant.com</w:t>
            </w:r>
            <w:r>
              <w:fldChar w:fldCharType="end"/>
            </w:r>
          </w:p>
          <w:p w:rsidR="003F77BD" w:rsidP="00AE76C8">
            <w:pPr>
              <w:pStyle w:val="CommentText"/>
              <w:spacing w:after="0" w:line="240" w:lineRule="auto"/>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"mailto:campbell@whitt-sturtevant.com" </w:instrText>
            </w:r>
            <w:r>
              <w:fldChar w:fldCharType="separate"/>
            </w:r>
            <w:r w:rsidRPr="004A6837" w:rsidR="00A54A43">
              <w:rPr>
                <w:rStyle w:val="Hyperlink"/>
                <w:rFonts w:ascii="Times New Roman" w:eastAsia="Times New Roman" w:hAnsi="Times New Roman" w:cs="Times New Roman"/>
                <w:color w:val="0000FF"/>
                <w:sz w:val="24"/>
                <w:szCs w:val="20"/>
                <w:u w:val="single"/>
                <w:lang w:val="en-US" w:eastAsia="en-US" w:bidi="ar-SA"/>
              </w:rPr>
              <w:t>campbell@whitt-sturtevant.com</w:t>
            </w:r>
            <w:r>
              <w:fldChar w:fldCharType="end"/>
            </w:r>
          </w:p>
          <w:p w:rsidR="004F4F29"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"mailto:glover@whitt-sturtevant.com" </w:instrText>
            </w:r>
            <w:r>
              <w:fldChar w:fldCharType="separate"/>
            </w:r>
            <w:r w:rsidRPr="004A6837" w:rsidR="00A54A43">
              <w:rPr>
                <w:rStyle w:val="Hyperlink"/>
                <w:rFonts w:ascii="Times New Roman" w:eastAsia="Times New Roman" w:hAnsi="Times New Roman" w:cs="Times New Roman"/>
                <w:color w:val="0000FF"/>
                <w:sz w:val="24"/>
                <w:szCs w:val="20"/>
                <w:u w:val="single"/>
                <w:lang w:val="en-US" w:eastAsia="en-US" w:bidi="ar-SA"/>
              </w:rPr>
              <w:t>glover@whitt-sturtevant.com</w:t>
            </w:r>
            <w:r>
              <w:fldChar w:fldCharType="end"/>
            </w:r>
          </w:p>
          <w:p w:rsidR="003F77BD"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"mailto:law@marionohio.org" </w:instrText>
            </w:r>
            <w:r>
              <w:fldChar w:fldCharType="separate"/>
            </w:r>
            <w:r w:rsidRPr="004A6837" w:rsidR="00A54A43">
              <w:rPr>
                <w:rStyle w:val="Hyperlink"/>
                <w:rFonts w:ascii="Times New Roman" w:eastAsia="Times New Roman" w:hAnsi="Times New Roman" w:cs="Times New Roman"/>
                <w:color w:val="0000FF"/>
                <w:sz w:val="24"/>
                <w:szCs w:val="20"/>
                <w:u w:val="single"/>
                <w:lang w:val="en-US" w:eastAsia="en-US" w:bidi="ar-SA"/>
              </w:rPr>
              <w:t>law@marionohio.org</w:t>
            </w:r>
            <w:r>
              <w:fldChar w:fldCharType="end"/>
            </w:r>
            <w:r w:rsidRPr="00DA3E69" w:rsidR="00A54A43">
              <w:rPr>
                <w:rFonts w:ascii="Times New Roman" w:eastAsia="Times New Roman" w:hAnsi="Times New Roman" w:cs="Times New Roman"/>
                <w:sz w:val="24"/>
                <w:szCs w:val="20"/>
                <w:u w:val="single"/>
                <w:lang w:val="en-US" w:eastAsia="en-US" w:bidi="ar-SA"/>
              </w:rPr>
              <w:t xml:space="preserve"> </w:t>
            </w:r>
          </w:p>
          <w:p w:rsidR="004F4F29" w:rsidRPr="00DA3E69"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p>
          <w:p w:rsidR="003F77BD" w:rsidRPr="00DA3E69" w:rsidP="00AE76C8">
            <w:pPr>
              <w:pStyle w:val="CommentText"/>
              <w:spacing w:after="0" w:line="240" w:lineRule="auto"/>
              <w:rPr>
                <w:rStyle w:val="DefaultParagraphFont"/>
                <w:rFonts w:ascii="Times New Roman" w:eastAsia="Times New Roman" w:hAnsi="Times New Roman" w:cs="Times New Roman"/>
                <w:sz w:val="24"/>
                <w:szCs w:val="20"/>
                <w:u w:val="single"/>
                <w:lang w:val="en-US" w:eastAsia="en-US" w:bidi="ar-SA"/>
              </w:rPr>
            </w:pPr>
          </w:p>
        </w:tc>
      </w:tr>
    </w:tbl>
    <w:p w:rsidR="00BA6EC5" w:rsidRPr="005216DF">
      <w:pPr>
        <w:rPr>
          <w:szCs w:val="24"/>
        </w:rPr>
      </w:pPr>
    </w:p>
    <w:sectPr w:rsidSect="00202C5F">
      <w:footerReference w:type="default" r:id="rId20"/>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AFE" w:rsidRPr="00086C45">
    <w:pPr>
      <w:pStyle w:val="Footer"/>
      <w:jc w:val="center"/>
    </w:pPr>
  </w:p>
  <w:p w:rsidR="00823AFE" w:rsidRPr="00086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9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8360801"/>
      <w:docPartObj>
        <w:docPartGallery w:val="Page Numbers (Bottom of Page)"/>
        <w:docPartUnique/>
      </w:docPartObj>
    </w:sdtPr>
    <w:sdtEndPr>
      <w:rPr>
        <w:rFonts w:ascii="Times New Roman" w:hAnsi="Times New Roman" w:cs="Times New Roman"/>
        <w:noProof/>
      </w:rPr>
    </w:sdtEndPr>
    <w:sdtContent>
      <w:p w:rsidR="00823AFE" w:rsidRPr="00086C45">
        <w:pPr>
          <w:pStyle w:val="Footer"/>
          <w:jc w:val="center"/>
          <w:rPr>
            <w:rFonts w:ascii="Times New Roman" w:hAnsi="Times New Roman" w:cs="Times New Roman"/>
          </w:rPr>
        </w:pPr>
        <w:r w:rsidRPr="00086C45">
          <w:rPr>
            <w:rFonts w:ascii="Times New Roman" w:hAnsi="Times New Roman" w:cs="Times New Roman"/>
          </w:rPr>
          <w:fldChar w:fldCharType="begin"/>
        </w:r>
        <w:r w:rsidRPr="00086C45">
          <w:rPr>
            <w:rFonts w:ascii="Times New Roman" w:hAnsi="Times New Roman" w:cs="Times New Roman"/>
          </w:rPr>
          <w:instrText xml:space="preserve"> PAGE   \* MERGEFORMAT </w:instrText>
        </w:r>
        <w:r w:rsidRPr="00086C45">
          <w:rPr>
            <w:rFonts w:ascii="Times New Roman" w:hAnsi="Times New Roman" w:cs="Times New Roman"/>
          </w:rPr>
          <w:fldChar w:fldCharType="separate"/>
        </w:r>
        <w:r w:rsidR="00602970">
          <w:rPr>
            <w:rFonts w:ascii="Times New Roman" w:hAnsi="Times New Roman" w:cs="Times New Roman"/>
            <w:noProof/>
          </w:rPr>
          <w:t>i</w:t>
        </w:r>
        <w:r w:rsidRPr="00086C45">
          <w:rPr>
            <w:rFonts w:ascii="Times New Roman" w:hAnsi="Times New Roman" w:cs="Times New Roman"/>
            <w:noProof/>
          </w:rPr>
          <w:fldChar w:fldCharType="end"/>
        </w:r>
      </w:p>
    </w:sdtContent>
  </w:sdt>
  <w:p w:rsidR="00823AFE" w:rsidRPr="00086C4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C49" w:rsidRPr="00086C45">
    <w:pPr>
      <w:pStyle w:val="Footer"/>
      <w:jc w:val="center"/>
      <w:rPr>
        <w:rFonts w:ascii="Times New Roman" w:hAnsi="Times New Roman" w:cs="Times New Roman"/>
      </w:rPr>
    </w:pPr>
  </w:p>
  <w:p w:rsidR="00823AFE" w:rsidRPr="00086C4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691984"/>
      <w:docPartObj>
        <w:docPartGallery w:val="Page Numbers (Bottom of Page)"/>
        <w:docPartUnique/>
      </w:docPartObj>
    </w:sdtPr>
    <w:sdtEndPr>
      <w:rPr>
        <w:rFonts w:ascii="Times New Roman" w:hAnsi="Times New Roman" w:cs="Times New Roman"/>
        <w:noProof/>
      </w:rPr>
    </w:sdtEndPr>
    <w:sdtContent>
      <w:p w:rsidR="00B7047D" w:rsidRPr="00086C45">
        <w:pPr>
          <w:pStyle w:val="Footer"/>
          <w:jc w:val="center"/>
          <w:rPr>
            <w:rFonts w:ascii="Times New Roman" w:hAnsi="Times New Roman" w:cs="Times New Roman"/>
          </w:rPr>
        </w:pPr>
        <w:r w:rsidRPr="00086C45">
          <w:rPr>
            <w:rFonts w:ascii="Times New Roman" w:hAnsi="Times New Roman" w:cs="Times New Roman"/>
          </w:rPr>
          <w:fldChar w:fldCharType="begin"/>
        </w:r>
        <w:r w:rsidRPr="00086C45">
          <w:rPr>
            <w:rFonts w:ascii="Times New Roman" w:hAnsi="Times New Roman" w:cs="Times New Roman"/>
          </w:rPr>
          <w:instrText xml:space="preserve"> PAGE   \* MERGEFORMAT </w:instrText>
        </w:r>
        <w:r w:rsidRPr="00086C45">
          <w:rPr>
            <w:rFonts w:ascii="Times New Roman" w:hAnsi="Times New Roman" w:cs="Times New Roman"/>
          </w:rPr>
          <w:fldChar w:fldCharType="separate"/>
        </w:r>
        <w:r>
          <w:rPr>
            <w:rFonts w:ascii="Times New Roman" w:hAnsi="Times New Roman" w:cs="Times New Roman"/>
            <w:noProof/>
          </w:rPr>
          <w:t>10</w:t>
        </w:r>
        <w:r w:rsidRPr="00086C45">
          <w:rPr>
            <w:rFonts w:ascii="Times New Roman" w:hAnsi="Times New Roman" w:cs="Times New Roman"/>
            <w:noProof/>
          </w:rPr>
          <w:fldChar w:fldCharType="end"/>
        </w:r>
      </w:p>
    </w:sdtContent>
  </w:sdt>
  <w:p w:rsidR="00B7047D" w:rsidRPr="00086C4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C49" w:rsidRPr="00086C45">
    <w:pPr>
      <w:pStyle w:val="Footer"/>
      <w:jc w:val="center"/>
      <w:rPr>
        <w:rFonts w:ascii="Times New Roman" w:hAnsi="Times New Roman" w:cs="Times New Roman"/>
      </w:rPr>
    </w:pPr>
  </w:p>
  <w:p w:rsidR="00A81C49" w:rsidRPr="00086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5E3E">
      <w:r>
        <w:separator/>
      </w:r>
    </w:p>
  </w:footnote>
  <w:footnote w:type="continuationSeparator" w:id="1">
    <w:p w:rsidR="00785E3E">
      <w:r>
        <w:continuationSeparator/>
      </w:r>
    </w:p>
  </w:footnote>
  <w:footnote w:id="2">
    <w:p w:rsidR="00823AFE" w:rsidP="00B7047D">
      <w:pPr>
        <w:pStyle w:val="FootnoteText"/>
        <w:spacing w:after="120"/>
      </w:pPr>
      <w:r>
        <w:rPr>
          <w:rStyle w:val="FootnoteReference"/>
        </w:rPr>
        <w:footnoteRef/>
      </w:r>
      <w:r>
        <w:t xml:space="preserve"> OCC was granted intervention on December 1, 2016.  </w:t>
      </w:r>
      <w:r w:rsidRPr="00554073">
        <w:t>See</w:t>
      </w:r>
      <w:r>
        <w:t xml:space="preserve"> </w:t>
      </w:r>
      <w:r>
        <w:rPr>
          <w:rFonts w:eastAsiaTheme="minorHAnsi"/>
          <w:szCs w:val="24"/>
        </w:rPr>
        <w:t>Attorney Examiner Entry (Dec. 1, 2016).</w:t>
      </w:r>
    </w:p>
  </w:footnote>
  <w:footnote w:id="3">
    <w:p w:rsidR="00D016B2" w:rsidP="00B7047D">
      <w:pPr>
        <w:pStyle w:val="FootnoteText"/>
        <w:spacing w:after="120"/>
      </w:pPr>
      <w:r>
        <w:rPr>
          <w:rStyle w:val="FootnoteReference"/>
        </w:rPr>
        <w:footnoteRef/>
      </w:r>
      <w:r>
        <w:t xml:space="preserve"> These objections are filed pursuant to R.C. 4909.19 and Ohio Adm. Code 4901-1-28(B).</w:t>
      </w:r>
    </w:p>
  </w:footnote>
  <w:footnote w:id="4">
    <w:p w:rsidR="00510499" w:rsidRPr="00B7047D" w:rsidP="00B7047D">
      <w:pPr>
        <w:pStyle w:val="FootnoteText"/>
        <w:spacing w:after="120"/>
        <w:rPr>
          <w:rFonts w:eastAsiaTheme="minorHAnsi"/>
          <w:szCs w:val="24"/>
        </w:rPr>
      </w:pPr>
      <w:r>
        <w:rPr>
          <w:rStyle w:val="FootnoteReference"/>
        </w:rPr>
        <w:footnoteRef/>
      </w:r>
      <w:r>
        <w:t xml:space="preserve"> </w:t>
      </w:r>
      <w:r>
        <w:rPr>
          <w:rFonts w:eastAsiaTheme="minorHAnsi"/>
          <w:szCs w:val="24"/>
        </w:rPr>
        <w:t>The PUCO Staff Report was filed on November 17, 2016.</w:t>
      </w:r>
    </w:p>
  </w:footnote>
  <w:footnote w:id="5">
    <w:p w:rsidR="007D7DFD" w:rsidP="00B7047D">
      <w:pPr>
        <w:pStyle w:val="FootnoteText"/>
        <w:spacing w:after="120"/>
      </w:pPr>
      <w:r>
        <w:rPr>
          <w:rStyle w:val="FootnoteReference"/>
        </w:rPr>
        <w:footnoteRef/>
      </w:r>
      <w:r>
        <w:t xml:space="preserve"> </w:t>
      </w:r>
      <w:r w:rsidRPr="00554073">
        <w:t>See</w:t>
      </w:r>
      <w:r>
        <w:t xml:space="preserve"> </w:t>
      </w:r>
      <w:r>
        <w:rPr>
          <w:rFonts w:eastAsiaTheme="minorHAnsi"/>
          <w:szCs w:val="24"/>
        </w:rPr>
        <w:t>Attorney Examiner Entry at 2 (Dec. 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9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4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4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4C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4C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4C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784A091E"/>
    <w:lvl w:ilvl="0">
      <w:start w:val="1"/>
      <w:numFmt w:val="decimal"/>
      <w:lvlText w:val="%1."/>
      <w:lvlJc w:val="left"/>
      <w:pPr>
        <w:tabs>
          <w:tab w:val="num" w:pos="1080"/>
        </w:tabs>
        <w:ind w:left="1080" w:hanging="360"/>
      </w:pPr>
    </w:lvl>
  </w:abstractNum>
  <w:abstractNum w:abstractNumId="1">
    <w:nsid w:val="FFFFFF7F"/>
    <w:multiLevelType w:val="singleLevel"/>
    <w:tmpl w:val="9E0A5ECC"/>
    <w:lvl w:ilvl="0">
      <w:start w:val="1"/>
      <w:numFmt w:val="decimal"/>
      <w:lvlText w:val="%1."/>
      <w:lvlJc w:val="left"/>
      <w:pPr>
        <w:tabs>
          <w:tab w:val="num" w:pos="720"/>
        </w:tabs>
        <w:ind w:left="720" w:hanging="360"/>
      </w:pPr>
    </w:lvl>
  </w:abstractNum>
  <w:abstractNum w:abstractNumId="2">
    <w:nsid w:val="FFFFFF80"/>
    <w:multiLevelType w:val="singleLevel"/>
    <w:tmpl w:val="FF96A0B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24E0EE70"/>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8C9A5F8E"/>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E036F65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CACA31B6"/>
    <w:lvl w:ilvl="0">
      <w:start w:val="1"/>
      <w:numFmt w:val="decimal"/>
      <w:lvlText w:val="%1."/>
      <w:lvlJc w:val="left"/>
      <w:pPr>
        <w:tabs>
          <w:tab w:val="num" w:pos="360"/>
        </w:tabs>
        <w:ind w:left="360" w:hanging="360"/>
      </w:pPr>
    </w:lvl>
  </w:abstractNum>
  <w:abstractNum w:abstractNumId="7">
    <w:nsid w:val="FFFFFF89"/>
    <w:multiLevelType w:val="singleLevel"/>
    <w:tmpl w:val="267E2A8C"/>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0">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3">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5"/>
  </w:num>
  <w:num w:numId="2">
    <w:abstractNumId w:val="9"/>
  </w:num>
  <w:num w:numId="3">
    <w:abstractNumId w:val="22"/>
  </w:num>
  <w:num w:numId="4">
    <w:abstractNumId w:val="11"/>
  </w:num>
  <w:num w:numId="5">
    <w:abstractNumId w:val="14"/>
  </w:num>
  <w:num w:numId="6">
    <w:abstractNumId w:val="20"/>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7"/>
  </w:num>
  <w:num w:numId="16">
    <w:abstractNumId w:val="16"/>
  </w:num>
  <w:num w:numId="17">
    <w:abstractNumId w:val="18"/>
  </w:num>
  <w:num w:numId="18">
    <w:abstractNumId w:val="19"/>
  </w:num>
  <w:num w:numId="19">
    <w:abstractNumId w:val="10"/>
  </w:num>
  <w:num w:numId="20">
    <w:abstractNumId w:val="21"/>
  </w:num>
  <w:num w:numId="21">
    <w:abstractNumId w:val="13"/>
  </w:num>
  <w:num w:numId="22">
    <w:abstractNumId w:val="23"/>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F4F29"/>
    <w:pPr>
      <w:keepNext/>
      <w:spacing w:after="24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4F4F29"/>
    <w:pPr>
      <w:keepNext/>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semiHidden/>
    <w:unhideWhenUsed/>
    <w:qFormat/>
    <w:rsid w:val="00202C5F"/>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F29"/>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4F4F29"/>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uiPriority w:val="99"/>
    <w:semiHidden/>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02C5F"/>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202C5F"/>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202C5F"/>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5.xml" /><Relationship Id="rId18" Type="http://schemas.openxmlformats.org/officeDocument/2006/relationships/header" Target="header9.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2016-12-19T20:10:44Z</dcterms:created>
  <dcterms:modified xsi:type="dcterms:W3CDTF">2016-12-19T20:10:44Z</dcterms:modified>
</cp:coreProperties>
</file>