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rPr>
      </w:pPr>
      <w:bookmarkStart w:id="0" w:name="OLE_LINK1"/>
      <w:bookmarkStart w:id="1" w:name="OLE_LINK2"/>
      <w:r>
        <w:rPr>
          <w:sz w:val="28"/>
        </w:rPr>
        <w:t>Before</w:t>
      </w:r>
    </w:p>
    <w:p>
      <w:pPr>
        <w:jc w:val="center"/>
        <w:rPr>
          <w:rFonts w:ascii="Arial" w:hAnsi="Arial" w:cs="Arial"/>
          <w:b/>
          <w:smallCaps/>
          <w:sz w:val="28"/>
        </w:rPr>
      </w:pPr>
      <w:r>
        <w:rPr>
          <w:rFonts w:ascii="Arial" w:hAnsi="Arial" w:cs="Arial"/>
          <w:b/>
          <w:smallCaps/>
          <w:sz w:val="28"/>
        </w:rPr>
        <w:t>The Public Utilities Commission of Ohio</w:t>
      </w:r>
    </w:p>
    <w:p>
      <w:pPr>
        <w:autoSpaceDE w:val="0"/>
        <w:autoSpaceDN w:val="0"/>
        <w:adjustRightInd w:val="0"/>
        <w:rPr>
          <w:rFonts w:ascii="Arial" w:eastAsiaTheme="minorHAnsi" w:hAnsi="Arial" w:cs="Arial"/>
        </w:rPr>
      </w:pPr>
    </w:p>
    <w:p>
      <w:pPr>
        <w:rPr>
          <w:rFonts w:ascii="Arial" w:hAnsi="Arial" w:cs="Arial"/>
        </w:rPr>
      </w:pPr>
      <w:r>
        <w:rPr>
          <w:rFonts w:ascii="Arial" w:hAnsi="Arial" w:cs="Arial"/>
        </w:rPr>
        <w:t>In the Matter of the Application for</w:t>
      </w:r>
      <w:r>
        <w:rPr>
          <w:rFonts w:ascii="Arial" w:hAnsi="Arial" w:cs="Arial"/>
        </w:rPr>
        <w:tab/>
      </w:r>
      <w:r>
        <w:rPr>
          <w:rFonts w:ascii="Arial" w:hAnsi="Arial" w:cs="Arial"/>
        </w:rPr>
        <w:tab/>
        <w:t>)</w:t>
      </w:r>
    </w:p>
    <w:p>
      <w:pPr>
        <w:rPr>
          <w:rFonts w:ascii="Arial" w:hAnsi="Arial" w:cs="Arial"/>
        </w:rPr>
      </w:pPr>
      <w:r>
        <w:rPr>
          <w:rFonts w:ascii="Arial" w:hAnsi="Arial" w:cs="Arial"/>
        </w:rPr>
        <w:t>Approval of a Pilot Program Regarding</w:t>
      </w:r>
      <w:r>
        <w:rPr>
          <w:rFonts w:ascii="Arial" w:hAnsi="Arial" w:cs="Arial"/>
        </w:rPr>
        <w:tab/>
      </w:r>
      <w:r>
        <w:rPr>
          <w:rFonts w:ascii="Arial" w:hAnsi="Arial" w:cs="Arial"/>
        </w:rPr>
        <w:tab/>
        <w:t>)</w:t>
      </w:r>
    </w:p>
    <w:p>
      <w:pPr>
        <w:rPr>
          <w:rFonts w:ascii="Arial" w:hAnsi="Arial" w:cs="Arial"/>
        </w:rPr>
      </w:pPr>
      <w:r>
        <w:rPr>
          <w:rFonts w:ascii="Arial" w:hAnsi="Arial" w:cs="Arial"/>
        </w:rPr>
        <w:t>Mercantile Applications for Special</w:t>
      </w:r>
      <w:r>
        <w:rPr>
          <w:rFonts w:ascii="Arial" w:hAnsi="Arial" w:cs="Arial"/>
        </w:rPr>
        <w:tab/>
      </w:r>
      <w:r>
        <w:rPr>
          <w:rFonts w:ascii="Arial" w:hAnsi="Arial" w:cs="Arial"/>
        </w:rPr>
        <w:tab/>
        <w:t>)</w:t>
      </w:r>
      <w:r>
        <w:rPr>
          <w:rFonts w:ascii="Arial" w:hAnsi="Arial" w:cs="Arial"/>
        </w:rPr>
        <w:tab/>
        <w:t>Case No. 10-834-EL-POR</w:t>
      </w:r>
    </w:p>
    <w:p>
      <w:pPr>
        <w:rPr>
          <w:rFonts w:ascii="Arial" w:hAnsi="Arial" w:cs="Arial"/>
        </w:rPr>
      </w:pPr>
      <w:r>
        <w:rPr>
          <w:rFonts w:ascii="Arial" w:hAnsi="Arial" w:cs="Arial"/>
        </w:rPr>
        <w:t>Arrangements with Electric Utilities and</w:t>
      </w:r>
      <w:r>
        <w:rPr>
          <w:rFonts w:ascii="Arial" w:hAnsi="Arial" w:cs="Arial"/>
        </w:rPr>
        <w:tab/>
      </w:r>
      <w:r>
        <w:rPr>
          <w:rFonts w:ascii="Arial" w:hAnsi="Arial" w:cs="Arial"/>
        </w:rPr>
        <w:tab/>
        <w:t>)</w:t>
      </w:r>
    </w:p>
    <w:p>
      <w:pPr>
        <w:rPr>
          <w:rFonts w:ascii="Arial" w:hAnsi="Arial" w:cs="Arial"/>
        </w:rPr>
      </w:pPr>
      <w:r>
        <w:rPr>
          <w:rFonts w:ascii="Arial" w:hAnsi="Arial" w:cs="Arial"/>
        </w:rPr>
        <w:t>Exemptions from Energy Efficiency and</w:t>
      </w:r>
      <w:r>
        <w:rPr>
          <w:rFonts w:ascii="Arial" w:hAnsi="Arial" w:cs="Arial"/>
        </w:rPr>
        <w:tab/>
      </w:r>
      <w:r>
        <w:rPr>
          <w:rFonts w:ascii="Arial" w:hAnsi="Arial" w:cs="Arial"/>
        </w:rPr>
        <w:tab/>
        <w:t>)</w:t>
      </w:r>
    </w:p>
    <w:p>
      <w:pPr>
        <w:rPr>
          <w:rFonts w:ascii="Arial" w:hAnsi="Arial" w:cs="Arial"/>
        </w:rPr>
      </w:pPr>
      <w:r>
        <w:rPr>
          <w:rFonts w:ascii="Arial" w:hAnsi="Arial" w:cs="Arial"/>
        </w:rPr>
        <w:t>Peak Demand Reduction Riders.</w:t>
      </w:r>
      <w:r>
        <w:rPr>
          <w:rFonts w:ascii="Arial" w:hAnsi="Arial" w:cs="Arial"/>
        </w:rPr>
        <w:tab/>
      </w:r>
      <w:r>
        <w:rPr>
          <w:rFonts w:ascii="Arial" w:hAnsi="Arial" w:cs="Arial"/>
        </w:rPr>
        <w:tab/>
      </w:r>
      <w:r>
        <w:rPr>
          <w:rFonts w:ascii="Arial" w:hAnsi="Arial" w:cs="Arial"/>
        </w:rPr>
        <w:tab/>
        <w:t>)</w:t>
      </w:r>
    </w:p>
    <w:p>
      <w:pPr>
        <w:pStyle w:val="BodyText"/>
        <w:tabs>
          <w:tab w:val="left" w:pos="5040"/>
        </w:tabs>
      </w:pPr>
    </w:p>
    <w:p>
      <w:pPr>
        <w:pStyle w:val="BodyText"/>
        <w:tabs>
          <w:tab w:val="left" w:pos="5040"/>
        </w:tabs>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z w:val="24"/>
        </w:rPr>
      </w:pPr>
      <w:r>
        <w:rPr>
          <w:sz w:val="24"/>
        </w:rPr>
        <w:t>MOTION TO INTERVENE AND MEMORANDUM IN SUPPORT</w:t>
      </w:r>
    </w:p>
    <w:p>
      <w:pPr>
        <w:pStyle w:val="Heading1"/>
        <w:tabs>
          <w:tab w:val="left" w:pos="7320"/>
        </w:tabs>
        <w:ind w:left="0" w:right="0"/>
        <w:jc w:val="center"/>
        <w:rPr>
          <w:szCs w:val="28"/>
        </w:rPr>
      </w:pPr>
      <w:r>
        <w:rPr>
          <w:sz w:val="24"/>
        </w:rPr>
        <w:t>OF PLUG SMART</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Frank P. Darr</w:t>
      </w:r>
    </w:p>
    <w:p>
      <w:pPr>
        <w:pStyle w:val="BodyText3"/>
        <w:widowControl w:val="0"/>
        <w:tabs>
          <w:tab w:val="left" w:pos="4320"/>
        </w:tabs>
        <w:jc w:val="both"/>
        <w:rPr>
          <w:rFonts w:ascii="Arial" w:hAnsi="Arial" w:cs="Arial"/>
          <w:b w:val="0"/>
          <w:bCs/>
        </w:rPr>
      </w:pPr>
      <w:r>
        <w:rPr>
          <w:rFonts w:ascii="Arial" w:hAnsi="Arial" w:cs="Arial"/>
          <w:b w:val="0"/>
          <w:bCs/>
        </w:rPr>
        <w:tab/>
        <w:t>Joseph E. Oliker</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fdarr@mwncmh.com</w:t>
      </w:r>
    </w:p>
    <w:p>
      <w:pPr>
        <w:pStyle w:val="BodyText"/>
      </w:pPr>
      <w:r>
        <w:tab/>
      </w:r>
      <w:r>
        <w:tab/>
      </w:r>
      <w:r>
        <w:tab/>
      </w:r>
      <w:r>
        <w:tab/>
      </w:r>
      <w:r>
        <w:tab/>
      </w:r>
      <w:r>
        <w:tab/>
        <w:t>joliker@mwncmh.com</w:t>
      </w:r>
    </w:p>
    <w:p>
      <w:pPr>
        <w:pStyle w:val="BodyText"/>
      </w:pPr>
    </w:p>
    <w:p>
      <w:pPr>
        <w:pStyle w:val="Title"/>
        <w:jc w:val="left"/>
        <w:rPr>
          <w:sz w:val="24"/>
        </w:rPr>
      </w:pPr>
      <w:r>
        <w:rPr>
          <w:smallCaps w:val="0"/>
          <w:sz w:val="24"/>
        </w:rPr>
        <w:t>June 27, 2011</w:t>
      </w:r>
      <w:r>
        <w:rPr>
          <w:smallCaps w:val="0"/>
          <w:sz w:val="24"/>
        </w:rPr>
        <w:tab/>
      </w:r>
      <w:r>
        <w:rPr>
          <w:smallCaps w:val="0"/>
          <w:sz w:val="24"/>
        </w:rPr>
        <w:tab/>
      </w:r>
      <w:r>
        <w:rPr>
          <w:smallCaps w:val="0"/>
          <w:sz w:val="24"/>
        </w:rPr>
        <w:tab/>
      </w:r>
      <w:r>
        <w:rPr>
          <w:smallCaps w:val="0"/>
          <w:sz w:val="24"/>
        </w:rPr>
        <w:tab/>
      </w:r>
      <w:r>
        <w:rPr>
          <w:sz w:val="24"/>
        </w:rPr>
        <w:t>Attorneys for Plug Smart</w:t>
      </w:r>
    </w:p>
    <w:p>
      <w:pPr>
        <w:pStyle w:val="Title"/>
        <w:jc w:val="left"/>
        <w:rPr>
          <w:smallCaps w:val="0"/>
          <w:sz w:val="24"/>
        </w:rPr>
      </w:pPr>
    </w:p>
    <w:p>
      <w:pPr>
        <w:pStyle w:val="Title"/>
        <w:rPr>
          <w:sz w:val="28"/>
        </w:rPr>
        <w:sectPr>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141" w:left="1440" w:header="720" w:footer="720" w:gutter="0"/>
          <w:pgNumType w:start="1"/>
          <w:cols w:space="720"/>
          <w:titlePg/>
          <w:docGrid w:linePitch="326"/>
        </w:sectPr>
      </w:pPr>
    </w:p>
    <w:p>
      <w:pPr>
        <w:pStyle w:val="Title"/>
        <w:rPr>
          <w:sz w:val="28"/>
        </w:rPr>
      </w:pPr>
      <w:r>
        <w:rPr>
          <w:sz w:val="28"/>
        </w:rPr>
        <w:lastRenderedPageBreak/>
        <w:t>Before</w:t>
      </w:r>
    </w:p>
    <w:p>
      <w:pPr>
        <w:jc w:val="center"/>
        <w:rPr>
          <w:rFonts w:ascii="Arial" w:hAnsi="Arial" w:cs="Arial"/>
          <w:b/>
          <w:smallCaps/>
          <w:sz w:val="28"/>
        </w:rPr>
      </w:pPr>
      <w:r>
        <w:rPr>
          <w:rFonts w:ascii="Arial" w:hAnsi="Arial" w:cs="Arial"/>
          <w:b/>
          <w:smallCaps/>
          <w:sz w:val="28"/>
        </w:rPr>
        <w:t>The Public Utilities Commission of Ohio</w:t>
      </w:r>
    </w:p>
    <w:p>
      <w:pPr>
        <w:autoSpaceDE w:val="0"/>
        <w:autoSpaceDN w:val="0"/>
        <w:adjustRightInd w:val="0"/>
        <w:rPr>
          <w:rFonts w:ascii="Arial" w:eastAsiaTheme="minorHAnsi" w:hAnsi="Arial" w:cs="Arial"/>
        </w:rPr>
      </w:pPr>
    </w:p>
    <w:p>
      <w:pPr>
        <w:rPr>
          <w:rFonts w:ascii="Arial" w:hAnsi="Arial" w:cs="Arial"/>
        </w:rPr>
      </w:pPr>
      <w:r>
        <w:rPr>
          <w:rFonts w:ascii="Arial" w:hAnsi="Arial" w:cs="Arial"/>
        </w:rPr>
        <w:t>In the Matter of the Application for</w:t>
      </w:r>
      <w:r>
        <w:rPr>
          <w:rFonts w:ascii="Arial" w:hAnsi="Arial" w:cs="Arial"/>
        </w:rPr>
        <w:tab/>
      </w:r>
      <w:r>
        <w:rPr>
          <w:rFonts w:ascii="Arial" w:hAnsi="Arial" w:cs="Arial"/>
        </w:rPr>
        <w:tab/>
        <w:t>)</w:t>
      </w:r>
    </w:p>
    <w:p>
      <w:pPr>
        <w:rPr>
          <w:rFonts w:ascii="Arial" w:hAnsi="Arial" w:cs="Arial"/>
        </w:rPr>
      </w:pPr>
      <w:r>
        <w:rPr>
          <w:rFonts w:ascii="Arial" w:hAnsi="Arial" w:cs="Arial"/>
        </w:rPr>
        <w:t>Approval of a Pilot Program Regarding</w:t>
      </w:r>
      <w:r>
        <w:rPr>
          <w:rFonts w:ascii="Arial" w:hAnsi="Arial" w:cs="Arial"/>
        </w:rPr>
        <w:tab/>
      </w:r>
      <w:r>
        <w:rPr>
          <w:rFonts w:ascii="Arial" w:hAnsi="Arial" w:cs="Arial"/>
        </w:rPr>
        <w:tab/>
        <w:t>)</w:t>
      </w:r>
    </w:p>
    <w:p>
      <w:pPr>
        <w:rPr>
          <w:rFonts w:ascii="Arial" w:hAnsi="Arial" w:cs="Arial"/>
        </w:rPr>
      </w:pPr>
      <w:r>
        <w:rPr>
          <w:rFonts w:ascii="Arial" w:hAnsi="Arial" w:cs="Arial"/>
        </w:rPr>
        <w:t>Mercantile Applications for Special</w:t>
      </w:r>
      <w:r>
        <w:rPr>
          <w:rFonts w:ascii="Arial" w:hAnsi="Arial" w:cs="Arial"/>
        </w:rPr>
        <w:tab/>
      </w:r>
      <w:r>
        <w:rPr>
          <w:rFonts w:ascii="Arial" w:hAnsi="Arial" w:cs="Arial"/>
        </w:rPr>
        <w:tab/>
        <w:t>)</w:t>
      </w:r>
      <w:r>
        <w:rPr>
          <w:rFonts w:ascii="Arial" w:hAnsi="Arial" w:cs="Arial"/>
        </w:rPr>
        <w:tab/>
        <w:t>Case No. 10-834-EL-POR</w:t>
      </w:r>
    </w:p>
    <w:p>
      <w:pPr>
        <w:rPr>
          <w:rFonts w:ascii="Arial" w:hAnsi="Arial" w:cs="Arial"/>
        </w:rPr>
      </w:pPr>
      <w:r>
        <w:rPr>
          <w:rFonts w:ascii="Arial" w:hAnsi="Arial" w:cs="Arial"/>
        </w:rPr>
        <w:t>Arrangements with Electric Utilities and</w:t>
      </w:r>
      <w:r>
        <w:rPr>
          <w:rFonts w:ascii="Arial" w:hAnsi="Arial" w:cs="Arial"/>
        </w:rPr>
        <w:tab/>
      </w:r>
      <w:r>
        <w:rPr>
          <w:rFonts w:ascii="Arial" w:hAnsi="Arial" w:cs="Arial"/>
        </w:rPr>
        <w:tab/>
        <w:t>)</w:t>
      </w:r>
    </w:p>
    <w:p>
      <w:pPr>
        <w:rPr>
          <w:rFonts w:ascii="Arial" w:hAnsi="Arial" w:cs="Arial"/>
        </w:rPr>
      </w:pPr>
      <w:r>
        <w:rPr>
          <w:rFonts w:ascii="Arial" w:hAnsi="Arial" w:cs="Arial"/>
        </w:rPr>
        <w:t>Exemptions from Energy Efficiency and</w:t>
      </w:r>
      <w:r>
        <w:rPr>
          <w:rFonts w:ascii="Arial" w:hAnsi="Arial" w:cs="Arial"/>
        </w:rPr>
        <w:tab/>
      </w:r>
      <w:r>
        <w:rPr>
          <w:rFonts w:ascii="Arial" w:hAnsi="Arial" w:cs="Arial"/>
        </w:rPr>
        <w:tab/>
        <w:t>)</w:t>
      </w:r>
    </w:p>
    <w:p>
      <w:pPr>
        <w:rPr>
          <w:rFonts w:ascii="Arial" w:hAnsi="Arial" w:cs="Arial"/>
        </w:rPr>
      </w:pPr>
      <w:r>
        <w:rPr>
          <w:rFonts w:ascii="Arial" w:hAnsi="Arial" w:cs="Arial"/>
        </w:rPr>
        <w:t>Peak Demand Reduction Riders.</w:t>
      </w:r>
      <w:r>
        <w:rPr>
          <w:rFonts w:ascii="Arial" w:hAnsi="Arial" w:cs="Arial"/>
        </w:rPr>
        <w:tab/>
      </w:r>
      <w:r>
        <w:rPr>
          <w:rFonts w:ascii="Arial" w:hAnsi="Arial" w:cs="Arial"/>
        </w:rPr>
        <w:tab/>
      </w:r>
      <w:r>
        <w:rPr>
          <w:rFonts w:ascii="Arial" w:hAnsi="Arial" w:cs="Arial"/>
        </w:rPr>
        <w:tab/>
        <w:t>)</w:t>
      </w:r>
    </w:p>
    <w:p>
      <w:pPr>
        <w:pStyle w:val="BodyText"/>
        <w:tabs>
          <w:tab w:val="left" w:pos="5040"/>
        </w:tabs>
      </w:pPr>
    </w:p>
    <w:p>
      <w:pPr>
        <w:pStyle w:val="BodyText"/>
        <w:tabs>
          <w:tab w:val="left" w:pos="5040"/>
        </w:tabs>
      </w:pPr>
    </w:p>
    <w:p>
      <w:pPr>
        <w:pBdr>
          <w:top w:val="single" w:sz="12" w:space="1" w:color="auto"/>
        </w:pBdr>
        <w:tabs>
          <w:tab w:val="left" w:pos="7320"/>
        </w:tabs>
        <w:jc w:val="both"/>
        <w:rPr>
          <w:rFonts w:ascii="Arial" w:hAnsi="Arial" w:cs="Arial"/>
          <w:sz w:val="28"/>
        </w:rPr>
      </w:pPr>
    </w:p>
    <w:p>
      <w:pPr>
        <w:pStyle w:val="Heading1"/>
        <w:tabs>
          <w:tab w:val="left" w:pos="9360"/>
        </w:tabs>
        <w:ind w:left="0" w:right="0"/>
        <w:jc w:val="center"/>
        <w:rPr>
          <w:szCs w:val="28"/>
        </w:rPr>
      </w:pPr>
      <w:r>
        <w:rPr>
          <w:sz w:val="24"/>
        </w:rPr>
        <w:t>MOTION TO INTERVENE OF PLUG SMART</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pStyle w:val="BodyTextIndent"/>
        <w:tabs>
          <w:tab w:val="left" w:pos="7320"/>
        </w:tabs>
        <w:ind w:firstLine="0"/>
      </w:pPr>
    </w:p>
    <w:p>
      <w:pPr>
        <w:pStyle w:val="BodyTextIndent"/>
        <w:spacing w:before="120" w:line="480" w:lineRule="auto"/>
      </w:pPr>
      <w:r>
        <w:t>Plug Smart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pPr>
        <w:pStyle w:val="BodyText"/>
        <w:tabs>
          <w:tab w:val="left" w:pos="720"/>
          <w:tab w:val="left" w:pos="5040"/>
        </w:tabs>
        <w:spacing w:line="480" w:lineRule="auto"/>
        <w:ind w:firstLine="720"/>
      </w:pPr>
      <w:r>
        <w:t xml:space="preserve">On June 16, 2010, the Commission initiated a proceeding to establish a pilot program regarding mercantile applications for special arrangements with electric utilities and exemptions from energy efficiency and peak demand reduction riders.  </w:t>
      </w:r>
      <w:r>
        <w:rPr>
          <w:rFonts w:eastAsiaTheme="minorHAnsi"/>
        </w:rPr>
        <w:t xml:space="preserve">On September 15, 2010, the Commission adopted an Entry creating a pilot program to expedite the review and approval process for applications filed by mercantile customers under Rule 4901:1-39-05, O.A.C.  </w:t>
      </w:r>
      <w:r>
        <w:t>On May 25, 2011, the Commission issued a Second Entry on Rehearing clarifying the scope of the program and the approval process.</w:t>
      </w:r>
    </w:p>
    <w:p>
      <w:pPr>
        <w:pStyle w:val="BodyText"/>
        <w:tabs>
          <w:tab w:val="left" w:pos="720"/>
          <w:tab w:val="left" w:pos="5040"/>
        </w:tabs>
        <w:spacing w:line="480" w:lineRule="auto"/>
        <w:ind w:firstLine="720"/>
      </w:pPr>
      <w:r>
        <w:t xml:space="preserve">As demonstrated further in the Memorandum in Support attached hereto and incorporated herein, Plug Smart has a direct, real, and substantial interest in the issues and matters involved in the above-captioned proceeding, and is so situated that the disposition of this proceeding may, as a practical matter, impair or impede its ability to </w:t>
      </w:r>
      <w:r>
        <w:lastRenderedPageBreak/>
        <w:t>protect that interest.  Plug Smart believes that its participation will not unduly prolong or delay this proceeding and that it will significantly contribute to the full development and equitable resolution of the factual and other issues in the proceeding.  The interests of Plug Smart will not be adequately represented by other parties to the proceeding and, as such, Plug Smart is entitled to intervene with the full powers and rights granted by the Commission, specifically by statute and by the provisions of the Ohio Administrative Code, to intervening parties.</w:t>
      </w:r>
    </w:p>
    <w:p>
      <w:pPr>
        <w:tabs>
          <w:tab w:val="left" w:pos="4320"/>
          <w:tab w:val="right" w:pos="8640"/>
        </w:tabs>
        <w:jc w:val="both"/>
        <w:rPr>
          <w:rFonts w:ascii="Arial" w:hAnsi="Arial" w:cs="Arial"/>
        </w:rPr>
      </w:pPr>
      <w:r>
        <w:rPr>
          <w:rFonts w:ascii="Arial" w:hAnsi="Arial" w:cs="Arial"/>
        </w:rPr>
        <w:tab/>
        <w:t>Respectfully submitted,</w:t>
      </w:r>
    </w:p>
    <w:p>
      <w:pPr>
        <w:tabs>
          <w:tab w:val="left" w:pos="4320"/>
          <w:tab w:val="righ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u w:val="single"/>
        </w:rPr>
      </w:pPr>
      <w:r>
        <w:rPr>
          <w:rFonts w:ascii="Arial" w:hAnsi="Arial" w:cs="Arial"/>
        </w:rPr>
        <w:tab/>
        <w:t>/</w:t>
      </w:r>
      <w:r>
        <w:rPr>
          <w:rFonts w:ascii="Arial" w:hAnsi="Arial" w:cs="Arial"/>
          <w:u w:val="single"/>
        </w:rPr>
        <w:t>s/ Joseph E. Oliker</w:t>
      </w:r>
      <w:r>
        <w:rPr>
          <w:rFonts w:ascii="Arial" w:hAnsi="Arial" w:cs="Arial"/>
          <w:u w:val="single"/>
        </w:rPr>
        <w:tab/>
      </w:r>
      <w:r>
        <w:rPr>
          <w:rFonts w:ascii="Arial" w:hAnsi="Arial" w:cs="Arial"/>
          <w:u w:val="single"/>
        </w:rPr>
        <w:tab/>
      </w: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Frank P. Darr</w:t>
      </w:r>
    </w:p>
    <w:p>
      <w:pPr>
        <w:pStyle w:val="BodyText3"/>
        <w:widowControl w:val="0"/>
        <w:tabs>
          <w:tab w:val="left" w:pos="4320"/>
        </w:tabs>
        <w:jc w:val="both"/>
        <w:rPr>
          <w:rFonts w:ascii="Arial" w:hAnsi="Arial" w:cs="Arial"/>
          <w:b w:val="0"/>
          <w:bCs/>
        </w:rPr>
      </w:pPr>
      <w:r>
        <w:rPr>
          <w:rFonts w:ascii="Arial" w:hAnsi="Arial" w:cs="Arial"/>
          <w:b w:val="0"/>
          <w:bCs/>
        </w:rPr>
        <w:tab/>
        <w:t>Joseph E. Oliker</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fdarr@mwncmh.com</w:t>
      </w:r>
    </w:p>
    <w:p>
      <w:pPr>
        <w:pStyle w:val="BodyText"/>
      </w:pPr>
      <w:r>
        <w:tab/>
      </w:r>
      <w:r>
        <w:tab/>
      </w:r>
      <w:r>
        <w:tab/>
      </w:r>
      <w:r>
        <w:tab/>
      </w:r>
      <w:r>
        <w:tab/>
      </w:r>
      <w:r>
        <w:tab/>
        <w:t>joliker@mwncmh.com</w:t>
      </w:r>
    </w:p>
    <w:p>
      <w:pPr>
        <w:pStyle w:val="BodyText"/>
      </w:pPr>
    </w:p>
    <w:p>
      <w:pPr>
        <w:tabs>
          <w:tab w:val="left" w:pos="4320"/>
          <w:tab w:val="right" w:pos="9240"/>
        </w:tabs>
        <w:rPr>
          <w:rFonts w:ascii="Arial" w:hAnsi="Arial" w:cs="Arial"/>
          <w:b/>
          <w:smallCaps/>
        </w:rPr>
      </w:pPr>
      <w:r>
        <w:rPr>
          <w:rFonts w:ascii="Arial" w:hAnsi="Arial" w:cs="Arial"/>
        </w:rPr>
        <w:tab/>
      </w:r>
      <w:r>
        <w:rPr>
          <w:rFonts w:ascii="Arial" w:hAnsi="Arial" w:cs="Arial"/>
          <w:b/>
          <w:bCs/>
          <w:smallCaps/>
        </w:rPr>
        <w:t>Attorneys for</w:t>
      </w:r>
      <w:r>
        <w:rPr>
          <w:rFonts w:ascii="Arial" w:hAnsi="Arial" w:cs="Arial"/>
          <w:smallCaps/>
        </w:rPr>
        <w:t xml:space="preserve"> </w:t>
      </w:r>
      <w:r>
        <w:rPr>
          <w:rFonts w:ascii="Arial" w:hAnsi="Arial" w:cs="Arial"/>
          <w:b/>
          <w:smallCaps/>
        </w:rPr>
        <w:t>Plug Smart</w:t>
      </w:r>
    </w:p>
    <w:p>
      <w:pPr>
        <w:pStyle w:val="Title"/>
        <w:rPr>
          <w:sz w:val="28"/>
        </w:rPr>
      </w:pPr>
      <w:r>
        <w:br w:type="page"/>
      </w:r>
      <w:r>
        <w:rPr>
          <w:sz w:val="28"/>
        </w:rPr>
        <w:lastRenderedPageBreak/>
        <w:t>Before</w:t>
      </w:r>
    </w:p>
    <w:p>
      <w:pPr>
        <w:jc w:val="center"/>
        <w:rPr>
          <w:rFonts w:ascii="Arial" w:hAnsi="Arial" w:cs="Arial"/>
          <w:b/>
          <w:smallCaps/>
          <w:sz w:val="28"/>
        </w:rPr>
      </w:pPr>
      <w:r>
        <w:rPr>
          <w:rFonts w:ascii="Arial" w:hAnsi="Arial" w:cs="Arial"/>
          <w:b/>
          <w:smallCaps/>
          <w:sz w:val="28"/>
        </w:rPr>
        <w:t>The Public Utilities Commission of Ohio</w:t>
      </w:r>
    </w:p>
    <w:p>
      <w:pPr>
        <w:pStyle w:val="BodyTextIndent2"/>
        <w:ind w:left="0"/>
        <w:rPr>
          <w:sz w:val="24"/>
        </w:rPr>
      </w:pPr>
    </w:p>
    <w:p>
      <w:pPr>
        <w:rPr>
          <w:rFonts w:ascii="Arial" w:hAnsi="Arial" w:cs="Arial"/>
        </w:rPr>
      </w:pPr>
      <w:r>
        <w:rPr>
          <w:rFonts w:ascii="Arial" w:hAnsi="Arial" w:cs="Arial"/>
        </w:rPr>
        <w:t>In the Matter of the Application for</w:t>
      </w:r>
      <w:r>
        <w:rPr>
          <w:rFonts w:ascii="Arial" w:hAnsi="Arial" w:cs="Arial"/>
        </w:rPr>
        <w:tab/>
      </w:r>
      <w:r>
        <w:rPr>
          <w:rFonts w:ascii="Arial" w:hAnsi="Arial" w:cs="Arial"/>
        </w:rPr>
        <w:tab/>
        <w:t>)</w:t>
      </w:r>
    </w:p>
    <w:p>
      <w:pPr>
        <w:rPr>
          <w:rFonts w:ascii="Arial" w:hAnsi="Arial" w:cs="Arial"/>
        </w:rPr>
      </w:pPr>
      <w:r>
        <w:rPr>
          <w:rFonts w:ascii="Arial" w:hAnsi="Arial" w:cs="Arial"/>
        </w:rPr>
        <w:t>Approval of a Pilot Program Regarding</w:t>
      </w:r>
      <w:r>
        <w:rPr>
          <w:rFonts w:ascii="Arial" w:hAnsi="Arial" w:cs="Arial"/>
        </w:rPr>
        <w:tab/>
      </w:r>
      <w:r>
        <w:rPr>
          <w:rFonts w:ascii="Arial" w:hAnsi="Arial" w:cs="Arial"/>
        </w:rPr>
        <w:tab/>
        <w:t>)</w:t>
      </w:r>
    </w:p>
    <w:p>
      <w:pPr>
        <w:rPr>
          <w:rFonts w:ascii="Arial" w:hAnsi="Arial" w:cs="Arial"/>
        </w:rPr>
      </w:pPr>
      <w:r>
        <w:rPr>
          <w:rFonts w:ascii="Arial" w:hAnsi="Arial" w:cs="Arial"/>
        </w:rPr>
        <w:t>Mercantile Applications for Special</w:t>
      </w:r>
      <w:r>
        <w:rPr>
          <w:rFonts w:ascii="Arial" w:hAnsi="Arial" w:cs="Arial"/>
        </w:rPr>
        <w:tab/>
      </w:r>
      <w:r>
        <w:rPr>
          <w:rFonts w:ascii="Arial" w:hAnsi="Arial" w:cs="Arial"/>
        </w:rPr>
        <w:tab/>
        <w:t>)</w:t>
      </w:r>
      <w:r>
        <w:rPr>
          <w:rFonts w:ascii="Arial" w:hAnsi="Arial" w:cs="Arial"/>
        </w:rPr>
        <w:tab/>
        <w:t>Case No. 10-834-EL-POR</w:t>
      </w:r>
    </w:p>
    <w:p>
      <w:pPr>
        <w:rPr>
          <w:rFonts w:ascii="Arial" w:hAnsi="Arial" w:cs="Arial"/>
        </w:rPr>
      </w:pPr>
      <w:r>
        <w:rPr>
          <w:rFonts w:ascii="Arial" w:hAnsi="Arial" w:cs="Arial"/>
        </w:rPr>
        <w:t>Arrangements with Electric Utilities and</w:t>
      </w:r>
      <w:r>
        <w:rPr>
          <w:rFonts w:ascii="Arial" w:hAnsi="Arial" w:cs="Arial"/>
        </w:rPr>
        <w:tab/>
      </w:r>
      <w:r>
        <w:rPr>
          <w:rFonts w:ascii="Arial" w:hAnsi="Arial" w:cs="Arial"/>
        </w:rPr>
        <w:tab/>
        <w:t>)</w:t>
      </w:r>
    </w:p>
    <w:p>
      <w:pPr>
        <w:rPr>
          <w:rFonts w:ascii="Arial" w:hAnsi="Arial" w:cs="Arial"/>
        </w:rPr>
      </w:pPr>
      <w:r>
        <w:rPr>
          <w:rFonts w:ascii="Arial" w:hAnsi="Arial" w:cs="Arial"/>
        </w:rPr>
        <w:t>Exemptions from Energy Efficiency and</w:t>
      </w:r>
      <w:r>
        <w:rPr>
          <w:rFonts w:ascii="Arial" w:hAnsi="Arial" w:cs="Arial"/>
        </w:rPr>
        <w:tab/>
      </w:r>
      <w:r>
        <w:rPr>
          <w:rFonts w:ascii="Arial" w:hAnsi="Arial" w:cs="Arial"/>
        </w:rPr>
        <w:tab/>
        <w:t>)</w:t>
      </w:r>
    </w:p>
    <w:p>
      <w:pPr>
        <w:rPr>
          <w:rFonts w:ascii="Arial" w:hAnsi="Arial" w:cs="Arial"/>
        </w:rPr>
      </w:pPr>
      <w:r>
        <w:rPr>
          <w:rFonts w:ascii="Arial" w:hAnsi="Arial" w:cs="Arial"/>
        </w:rPr>
        <w:t>Peak Demand Reduction Riders.</w:t>
      </w:r>
      <w:r>
        <w:rPr>
          <w:rFonts w:ascii="Arial" w:hAnsi="Arial" w:cs="Arial"/>
        </w:rPr>
        <w:tab/>
      </w:r>
      <w:r>
        <w:rPr>
          <w:rFonts w:ascii="Arial" w:hAnsi="Arial" w:cs="Arial"/>
        </w:rPr>
        <w:tab/>
      </w:r>
      <w:r>
        <w:rPr>
          <w:rFonts w:ascii="Arial" w:hAnsi="Arial" w:cs="Arial"/>
        </w:rPr>
        <w:tab/>
        <w:t>)</w:t>
      </w:r>
    </w:p>
    <w:p>
      <w:pPr>
        <w:pStyle w:val="BodyTextIndent2"/>
        <w:ind w:left="0"/>
        <w:rPr>
          <w:sz w:val="24"/>
        </w:rPr>
      </w:pPr>
    </w:p>
    <w:p>
      <w:pPr>
        <w:pStyle w:val="BodyTextIndent2"/>
        <w:ind w:left="0"/>
        <w:rPr>
          <w:sz w:val="24"/>
        </w:rPr>
      </w:pPr>
    </w:p>
    <w:p>
      <w:pPr>
        <w:pBdr>
          <w:top w:val="single" w:sz="12" w:space="1" w:color="auto"/>
        </w:pBdr>
        <w:tabs>
          <w:tab w:val="left" w:pos="7320"/>
        </w:tabs>
        <w:jc w:val="both"/>
        <w:rPr>
          <w:rFonts w:ascii="Arial" w:hAnsi="Arial" w:cs="Arial"/>
          <w:sz w:val="28"/>
        </w:rPr>
      </w:pPr>
    </w:p>
    <w:p>
      <w:pPr>
        <w:pStyle w:val="Heading1"/>
        <w:tabs>
          <w:tab w:val="left" w:pos="7320"/>
        </w:tabs>
        <w:ind w:left="0" w:right="0"/>
        <w:jc w:val="center"/>
        <w:rPr>
          <w:szCs w:val="28"/>
        </w:rPr>
      </w:pPr>
      <w:r>
        <w:rPr>
          <w:sz w:val="24"/>
        </w:rPr>
        <w:t>MEMORANDUM IN SUPPORT</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tabs>
          <w:tab w:val="left" w:pos="2160"/>
          <w:tab w:val="left" w:pos="2280"/>
        </w:tabs>
        <w:jc w:val="both"/>
        <w:rPr>
          <w:rFonts w:ascii="Arial" w:hAnsi="Arial" w:cs="Arial"/>
          <w:b/>
        </w:rPr>
      </w:pPr>
    </w:p>
    <w:p>
      <w:pPr>
        <w:pStyle w:val="BodyText2"/>
        <w:rPr>
          <w:rFonts w:cs="Arial"/>
        </w:rPr>
      </w:pPr>
      <w:r>
        <w:rPr>
          <w:rFonts w:cs="Arial"/>
        </w:rPr>
        <w:t>In support of this Motion to Intervene, Plug Smart states that it is an energy services company that helps commercial, industrial, non-profit, institutional, and utility companies implement a broad range of technology and energy solutions on both sides of the utility meter. Plug Smart’s core capabilities include helping clients implement self-funding energy efficiency projects, leverage renewable energy resources, lower power generation and energy supply costs, and reclaiming investments in energy efficiency projects.</w:t>
      </w:r>
    </w:p>
    <w:p>
      <w:pPr>
        <w:pStyle w:val="BodyText2"/>
        <w:rPr>
          <w:rFonts w:cs="Arial"/>
        </w:rPr>
      </w:pPr>
      <w:r>
        <w:rPr>
          <w:rFonts w:cs="Arial"/>
        </w:rPr>
        <w:t xml:space="preserve">The Public Utilities Commission of Ohio (“Commission”) has recognized the important role that energy services companies serve in the mercantile pilot program.  September 15, 2010 Entry at ¶ 9.  Plug Smart intends to file mercantile applications on behalf of several public schools and the Ohio State University.  </w:t>
      </w:r>
    </w:p>
    <w:p>
      <w:pPr>
        <w:pStyle w:val="BodyText2"/>
        <w:rPr>
          <w:rFonts w:cs="Arial"/>
        </w:rPr>
      </w:pPr>
      <w:r>
        <w:rPr>
          <w:rFonts w:cs="Arial"/>
        </w:rPr>
        <w:t xml:space="preserve">Plug Smart’s Motion to Intervene is timely.  The Commission has not set the matter for hearing or established a deadline for intervention.  Moreover, Plug Smart’s participation will not unduly prolong or delay this proceeding.  </w:t>
      </w:r>
    </w:p>
    <w:p>
      <w:pPr>
        <w:pStyle w:val="BodyText2"/>
        <w:rPr>
          <w:rFonts w:cs="Arial"/>
        </w:rPr>
      </w:pPr>
      <w:r>
        <w:rPr>
          <w:rFonts w:cs="Arial"/>
          <w:szCs w:val="24"/>
        </w:rPr>
        <w:t xml:space="preserve">Plug Smart has a real and substantial interest inasmuch as this proceeding may directly or indirectly impact the price, adequacy, and reliability of electric service to Plug </w:t>
      </w:r>
      <w:r>
        <w:rPr>
          <w:rFonts w:cs="Arial"/>
          <w:szCs w:val="24"/>
        </w:rPr>
        <w:lastRenderedPageBreak/>
        <w:t>Smart’s clients.  Plug Smart’s ability to assist its clients in reclaiming investments in energy efficiency projects will be directly impacted by the disposition of this proceeding, and no other party in this proceeding represents the interests of Plug Smart.</w:t>
      </w:r>
    </w:p>
    <w:p>
      <w:pPr>
        <w:pStyle w:val="BodyText2"/>
        <w:ind w:firstLine="0"/>
      </w:pPr>
      <w:r>
        <w:tab/>
      </w:r>
      <w:r>
        <w:tab/>
      </w:r>
      <w:r>
        <w:tab/>
      </w:r>
      <w:r>
        <w:tab/>
      </w:r>
      <w:r>
        <w:tab/>
      </w:r>
      <w:r>
        <w:tab/>
        <w:t>Respectfully submitted,</w:t>
      </w:r>
    </w:p>
    <w:p>
      <w:pPr>
        <w:tabs>
          <w:tab w:val="left" w:pos="-1440"/>
          <w:tab w:val="left" w:pos="-720"/>
          <w:tab w:val="left" w:pos="4320"/>
          <w:tab w:val="left" w:pos="4680"/>
          <w:tab w:val="left" w:pos="8640"/>
        </w:tabs>
        <w:jc w:val="both"/>
        <w:rPr>
          <w:rFonts w:ascii="Arial" w:hAnsi="Arial" w:cs="Arial"/>
        </w:rPr>
      </w:pPr>
    </w:p>
    <w:p>
      <w:pPr>
        <w:tabs>
          <w:tab w:val="left" w:pos="4320"/>
          <w:tab w:val="right" w:pos="8640"/>
        </w:tabs>
        <w:jc w:val="both"/>
        <w:rPr>
          <w:rFonts w:ascii="Arial" w:hAnsi="Arial" w:cs="Arial"/>
        </w:rPr>
      </w:pPr>
    </w:p>
    <w:p>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 Joseph E. Oliker</w:t>
      </w:r>
      <w:r>
        <w:rPr>
          <w:rFonts w:ascii="Arial" w:hAnsi="Arial" w:cs="Arial"/>
          <w:u w:val="single"/>
        </w:rPr>
        <w:tab/>
      </w:r>
      <w:r>
        <w:rPr>
          <w:rFonts w:ascii="Arial" w:hAnsi="Arial" w:cs="Arial"/>
          <w:u w:val="single"/>
        </w:rPr>
        <w:tab/>
      </w:r>
    </w:p>
    <w:p>
      <w:pPr>
        <w:tabs>
          <w:tab w:val="left" w:pos="4320"/>
          <w:tab w:val="right" w:pos="8640"/>
        </w:tabs>
        <w:jc w:val="both"/>
        <w:rPr>
          <w:rFonts w:ascii="Arial" w:hAnsi="Arial" w:cs="Arial"/>
        </w:rPr>
      </w:pPr>
      <w:r>
        <w:rPr>
          <w:rFonts w:ascii="Arial" w:hAnsi="Arial" w:cs="Arial"/>
        </w:rPr>
        <w:tab/>
        <w:t>Samuel C. Randazzo (Counsel of Record)</w:t>
      </w:r>
    </w:p>
    <w:p>
      <w:pPr>
        <w:pStyle w:val="BodyText3"/>
        <w:widowControl w:val="0"/>
        <w:tabs>
          <w:tab w:val="left" w:pos="4320"/>
        </w:tabs>
        <w:jc w:val="both"/>
        <w:rPr>
          <w:rFonts w:ascii="Arial" w:hAnsi="Arial" w:cs="Arial"/>
          <w:b w:val="0"/>
          <w:bCs/>
        </w:rPr>
      </w:pPr>
      <w:r>
        <w:rPr>
          <w:rFonts w:ascii="Arial" w:hAnsi="Arial" w:cs="Arial"/>
          <w:b w:val="0"/>
          <w:bCs/>
        </w:rPr>
        <w:tab/>
        <w:t>Frank P. Darr</w:t>
      </w:r>
    </w:p>
    <w:p>
      <w:pPr>
        <w:pStyle w:val="BodyText3"/>
        <w:widowControl w:val="0"/>
        <w:tabs>
          <w:tab w:val="left" w:pos="4320"/>
        </w:tabs>
        <w:jc w:val="both"/>
        <w:rPr>
          <w:rFonts w:ascii="Arial" w:hAnsi="Arial" w:cs="Arial"/>
          <w:b w:val="0"/>
          <w:bCs/>
        </w:rPr>
      </w:pPr>
      <w:r>
        <w:rPr>
          <w:rFonts w:ascii="Arial" w:hAnsi="Arial" w:cs="Arial"/>
          <w:b w:val="0"/>
          <w:bCs/>
        </w:rPr>
        <w:tab/>
        <w:t>Joseph E. Oliker</w:t>
      </w:r>
    </w:p>
    <w:p>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fdarr@mwncmh.com</w:t>
      </w:r>
    </w:p>
    <w:p>
      <w:pPr>
        <w:pStyle w:val="BodyText"/>
      </w:pPr>
      <w:r>
        <w:tab/>
      </w:r>
      <w:r>
        <w:tab/>
      </w:r>
      <w:r>
        <w:tab/>
      </w:r>
      <w:r>
        <w:tab/>
      </w:r>
      <w:r>
        <w:tab/>
      </w:r>
      <w:r>
        <w:tab/>
        <w:t>joliker@mwncmh.com</w:t>
      </w:r>
    </w:p>
    <w:p>
      <w:pPr>
        <w:pStyle w:val="BodyText"/>
        <w:rPr>
          <w:smallCaps/>
        </w:rPr>
      </w:pPr>
    </w:p>
    <w:p>
      <w:pPr>
        <w:tabs>
          <w:tab w:val="left" w:pos="4320"/>
          <w:tab w:val="right" w:pos="9240"/>
        </w:tabs>
        <w:rPr>
          <w:rFonts w:ascii="Arial" w:hAnsi="Arial" w:cs="Arial"/>
          <w:b/>
          <w:smallCaps/>
        </w:rPr>
      </w:pPr>
      <w:r>
        <w:rPr>
          <w:rFonts w:ascii="Arial" w:hAnsi="Arial" w:cs="Arial"/>
          <w:smallCaps/>
        </w:rPr>
        <w:tab/>
      </w:r>
      <w:r>
        <w:rPr>
          <w:rFonts w:ascii="Arial" w:hAnsi="Arial" w:cs="Arial"/>
          <w:b/>
          <w:bCs/>
          <w:smallCaps/>
        </w:rPr>
        <w:t>Attorneys for</w:t>
      </w:r>
      <w:r>
        <w:rPr>
          <w:rFonts w:ascii="Arial" w:hAnsi="Arial" w:cs="Arial"/>
          <w:smallCaps/>
        </w:rPr>
        <w:t xml:space="preserve"> </w:t>
      </w:r>
      <w:r>
        <w:rPr>
          <w:rFonts w:ascii="Arial" w:hAnsi="Arial" w:cs="Arial"/>
          <w:b/>
          <w:smallCaps/>
        </w:rPr>
        <w:t>Plug Smart</w:t>
      </w:r>
    </w:p>
    <w:p>
      <w:pPr>
        <w:tabs>
          <w:tab w:val="left" w:pos="4320"/>
          <w:tab w:val="right" w:pos="9240"/>
        </w:tabs>
        <w:rPr>
          <w:rFonts w:ascii="Arial" w:hAnsi="Arial" w:cs="Arial"/>
          <w:b/>
          <w:smallCaps/>
        </w:rPr>
      </w:pPr>
    </w:p>
    <w:p>
      <w:pPr>
        <w:pStyle w:val="BodyText"/>
        <w:tabs>
          <w:tab w:val="left" w:pos="4320"/>
        </w:tabs>
        <w:sectPr>
          <w:pgSz w:w="12240" w:h="15840" w:code="1"/>
          <w:pgMar w:top="1440" w:right="1440" w:bottom="1141" w:left="1440" w:header="720" w:footer="720" w:gutter="0"/>
          <w:pgNumType w:start="1"/>
          <w:cols w:space="720"/>
          <w:titlePg/>
          <w:docGrid w:linePitch="326"/>
        </w:sectPr>
      </w:pPr>
    </w:p>
    <w:p>
      <w:pPr>
        <w:tabs>
          <w:tab w:val="left" w:pos="2160"/>
          <w:tab w:val="left" w:pos="2280"/>
        </w:tabs>
        <w:jc w:val="center"/>
        <w:rPr>
          <w:rFonts w:ascii="Arial" w:hAnsi="Arial" w:cs="Arial"/>
          <w:b/>
        </w:rPr>
      </w:pPr>
      <w:r>
        <w:rPr>
          <w:rFonts w:ascii="Arial" w:hAnsi="Arial" w:cs="Arial"/>
          <w:b/>
        </w:rPr>
        <w:lastRenderedPageBreak/>
        <w:t>CERTIFICATE OF SERVICE</w:t>
      </w:r>
    </w:p>
    <w:p>
      <w:pPr>
        <w:rPr>
          <w:rFonts w:ascii="Arial" w:hAnsi="Arial" w:cs="Arial"/>
        </w:rPr>
      </w:pPr>
    </w:p>
    <w:p>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Plug Smart</w:t>
      </w:r>
      <w:r>
        <w:rPr>
          <w:b w:val="0"/>
          <w:smallCaps w:val="0"/>
          <w:sz w:val="24"/>
        </w:rPr>
        <w:t>, was served upon the following parties of record this 27th day of June, 2011, via first class mail, postage prepaid.</w:t>
      </w:r>
    </w:p>
    <w:p>
      <w:pPr>
        <w:tabs>
          <w:tab w:val="left" w:pos="2160"/>
          <w:tab w:val="left" w:pos="2280"/>
        </w:tabs>
        <w:rPr>
          <w:rFonts w:ascii="Arial" w:hAnsi="Arial" w:cs="Arial"/>
        </w:rPr>
      </w:pPr>
    </w:p>
    <w:p>
      <w:pPr>
        <w:tabs>
          <w:tab w:val="left" w:pos="2160"/>
          <w:tab w:val="left" w:pos="228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/s/ Joseph E. Oliker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pPr>
        <w:tabs>
          <w:tab w:val="left" w:pos="2160"/>
          <w:tab w:val="left" w:pos="2280"/>
        </w:tabs>
        <w:rPr>
          <w:rFonts w:ascii="Arial" w:hAnsi="Arial" w:cs="Arial"/>
        </w:rPr>
      </w:pPr>
    </w:p>
    <w:p>
      <w:pPr>
        <w:tabs>
          <w:tab w:val="left" w:pos="2160"/>
          <w:tab w:val="left" w:pos="2280"/>
        </w:tabs>
        <w:rPr>
          <w:rFonts w:ascii="Arial" w:hAnsi="Arial" w:cs="Arial"/>
        </w:rPr>
        <w:sectPr>
          <w:pgSz w:w="12240" w:h="15840" w:code="1"/>
          <w:pgMar w:top="1440" w:right="1440" w:bottom="1141" w:left="1440" w:header="720" w:footer="720" w:gutter="0"/>
          <w:pgNumType w:start="1"/>
          <w:cols w:space="720"/>
          <w:titlePg/>
          <w:docGrid w:linePitch="326"/>
        </w:sectPr>
      </w:pPr>
    </w:p>
    <w:p>
      <w:pPr>
        <w:tabs>
          <w:tab w:val="right" w:pos="8640"/>
        </w:tabs>
        <w:rPr>
          <w:rFonts w:ascii="Arial" w:hAnsi="Arial" w:cs="Arial"/>
          <w:sz w:val="21"/>
          <w:szCs w:val="21"/>
        </w:rPr>
      </w:pPr>
      <w:bookmarkStart w:id="2" w:name="_GoBack"/>
    </w:p>
    <w:p>
      <w:pPr>
        <w:tabs>
          <w:tab w:val="right" w:pos="8640"/>
        </w:tabs>
        <w:rPr>
          <w:rFonts w:ascii="Arial" w:hAnsi="Arial" w:cs="Arial"/>
          <w:sz w:val="21"/>
          <w:szCs w:val="21"/>
        </w:rPr>
      </w:pPr>
      <w:r>
        <w:rPr>
          <w:rFonts w:ascii="Arial" w:hAnsi="Arial" w:cs="Arial"/>
          <w:sz w:val="21"/>
          <w:szCs w:val="21"/>
        </w:rPr>
        <w:t>Janine L. Migden-Ostrander</w:t>
      </w:r>
    </w:p>
    <w:p>
      <w:pPr>
        <w:tabs>
          <w:tab w:val="right" w:pos="8640"/>
        </w:tabs>
        <w:rPr>
          <w:rFonts w:ascii="Arial" w:hAnsi="Arial" w:cs="Arial"/>
          <w:sz w:val="21"/>
          <w:szCs w:val="21"/>
        </w:rPr>
      </w:pPr>
      <w:r>
        <w:rPr>
          <w:rFonts w:ascii="Arial" w:hAnsi="Arial" w:cs="Arial"/>
          <w:sz w:val="21"/>
          <w:szCs w:val="21"/>
        </w:rPr>
        <w:t>Consumers’ Counsel</w:t>
      </w:r>
    </w:p>
    <w:p>
      <w:pPr>
        <w:tabs>
          <w:tab w:val="right" w:pos="8640"/>
        </w:tabs>
        <w:rPr>
          <w:rFonts w:ascii="Arial" w:hAnsi="Arial" w:cs="Arial"/>
          <w:sz w:val="21"/>
          <w:szCs w:val="21"/>
        </w:rPr>
      </w:pPr>
      <w:r>
        <w:rPr>
          <w:rFonts w:ascii="Arial" w:hAnsi="Arial" w:cs="Arial"/>
          <w:sz w:val="21"/>
          <w:szCs w:val="21"/>
        </w:rPr>
        <w:t>Christopher J. Allwein, Counsel of Record</w:t>
      </w:r>
    </w:p>
    <w:p>
      <w:pPr>
        <w:tabs>
          <w:tab w:val="right" w:pos="8640"/>
        </w:tabs>
        <w:rPr>
          <w:rFonts w:ascii="Arial" w:hAnsi="Arial" w:cs="Arial"/>
          <w:sz w:val="21"/>
          <w:szCs w:val="21"/>
        </w:rPr>
      </w:pPr>
      <w:r>
        <w:rPr>
          <w:rFonts w:ascii="Arial" w:hAnsi="Arial" w:cs="Arial"/>
          <w:sz w:val="21"/>
          <w:szCs w:val="21"/>
        </w:rPr>
        <w:t>Ann M. Hotz</w:t>
      </w:r>
    </w:p>
    <w:p>
      <w:pPr>
        <w:tabs>
          <w:tab w:val="right" w:pos="8640"/>
        </w:tabs>
        <w:rPr>
          <w:rFonts w:ascii="Arial" w:hAnsi="Arial" w:cs="Arial"/>
          <w:sz w:val="21"/>
          <w:szCs w:val="21"/>
        </w:rPr>
      </w:pPr>
      <w:r>
        <w:rPr>
          <w:rFonts w:ascii="Arial" w:hAnsi="Arial" w:cs="Arial"/>
          <w:sz w:val="21"/>
          <w:szCs w:val="21"/>
        </w:rPr>
        <w:t>Assistant Consumers’ Counsel</w:t>
      </w:r>
    </w:p>
    <w:p>
      <w:pPr>
        <w:tabs>
          <w:tab w:val="right" w:pos="8640"/>
        </w:tabs>
        <w:rPr>
          <w:rFonts w:ascii="Arial" w:hAnsi="Arial" w:cs="Arial"/>
          <w:sz w:val="21"/>
          <w:szCs w:val="21"/>
        </w:rPr>
      </w:pPr>
      <w:r>
        <w:rPr>
          <w:rFonts w:ascii="Arial" w:hAnsi="Arial" w:cs="Arial"/>
          <w:sz w:val="21"/>
          <w:szCs w:val="21"/>
        </w:rPr>
        <w:t>Office of the Ohio Consumers’ Counsel</w:t>
      </w:r>
    </w:p>
    <w:p>
      <w:pPr>
        <w:tabs>
          <w:tab w:val="right" w:pos="8640"/>
        </w:tabs>
        <w:rPr>
          <w:rFonts w:ascii="Arial" w:hAnsi="Arial" w:cs="Arial"/>
          <w:sz w:val="21"/>
          <w:szCs w:val="21"/>
        </w:rPr>
      </w:pPr>
      <w:r>
        <w:rPr>
          <w:rFonts w:ascii="Arial" w:hAnsi="Arial" w:cs="Arial"/>
          <w:sz w:val="21"/>
          <w:szCs w:val="21"/>
        </w:rPr>
        <w:t>10 West Broad Street, Suite 1800</w:t>
      </w:r>
    </w:p>
    <w:p>
      <w:pPr>
        <w:tabs>
          <w:tab w:val="right" w:pos="8640"/>
        </w:tabs>
        <w:rPr>
          <w:rFonts w:ascii="Arial" w:hAnsi="Arial" w:cs="Arial"/>
          <w:sz w:val="21"/>
          <w:szCs w:val="21"/>
        </w:rPr>
      </w:pPr>
      <w:r>
        <w:rPr>
          <w:rFonts w:ascii="Arial" w:hAnsi="Arial" w:cs="Arial"/>
          <w:sz w:val="21"/>
          <w:szCs w:val="21"/>
        </w:rPr>
        <w:t>Columbus, OH  43215-3485</w:t>
      </w:r>
    </w:p>
    <w:p>
      <w:pPr>
        <w:tabs>
          <w:tab w:val="right" w:pos="8640"/>
        </w:tabs>
        <w:rPr>
          <w:rFonts w:ascii="Arial" w:hAnsi="Arial" w:cs="Arial"/>
          <w:sz w:val="21"/>
          <w:szCs w:val="21"/>
        </w:rPr>
      </w:pPr>
      <w:r>
        <w:rPr>
          <w:rFonts w:ascii="Arial" w:hAnsi="Arial" w:cs="Arial"/>
          <w:sz w:val="21"/>
          <w:szCs w:val="21"/>
        </w:rPr>
        <w:t>allwein@occ.state.oh.us</w:t>
      </w:r>
    </w:p>
    <w:p>
      <w:pPr>
        <w:tabs>
          <w:tab w:val="right" w:pos="8640"/>
        </w:tabs>
        <w:rPr>
          <w:rFonts w:ascii="Arial" w:hAnsi="Arial" w:cs="Arial"/>
          <w:sz w:val="21"/>
          <w:szCs w:val="21"/>
        </w:rPr>
      </w:pPr>
      <w:r>
        <w:rPr>
          <w:rFonts w:ascii="Arial" w:hAnsi="Arial" w:cs="Arial"/>
          <w:sz w:val="21"/>
          <w:szCs w:val="21"/>
        </w:rPr>
        <w:t>hotz@occ.state.oh.us</w:t>
      </w:r>
    </w:p>
    <w:p>
      <w:pPr>
        <w:tabs>
          <w:tab w:val="right" w:pos="8640"/>
        </w:tabs>
        <w:rPr>
          <w:rFonts w:ascii="Arial" w:hAnsi="Arial" w:cs="Arial"/>
          <w:sz w:val="21"/>
          <w:szCs w:val="21"/>
        </w:rPr>
      </w:pPr>
    </w:p>
    <w:p>
      <w:pPr>
        <w:tabs>
          <w:tab w:val="right" w:pos="8640"/>
        </w:tabs>
        <w:rPr>
          <w:rFonts w:ascii="Arial" w:hAnsi="Arial" w:cs="Arial"/>
          <w:b/>
          <w:smallCaps/>
          <w:sz w:val="21"/>
          <w:szCs w:val="21"/>
        </w:rPr>
      </w:pPr>
      <w:r>
        <w:rPr>
          <w:rFonts w:ascii="Arial" w:hAnsi="Arial" w:cs="Arial"/>
          <w:b/>
          <w:smallCaps/>
          <w:sz w:val="21"/>
          <w:szCs w:val="21"/>
        </w:rPr>
        <w:t>On Behalf of the Office of the Ohio Consumers’ Counsel (“OCC”)</w:t>
      </w:r>
    </w:p>
    <w:p>
      <w:pPr>
        <w:tabs>
          <w:tab w:val="right" w:pos="8640"/>
        </w:tabs>
        <w:rPr>
          <w:rFonts w:ascii="Arial" w:hAnsi="Arial" w:cs="Arial"/>
          <w:sz w:val="21"/>
          <w:szCs w:val="21"/>
        </w:rPr>
      </w:pPr>
    </w:p>
    <w:p>
      <w:pPr>
        <w:tabs>
          <w:tab w:val="right" w:pos="8640"/>
        </w:tabs>
        <w:rPr>
          <w:rFonts w:ascii="Arial" w:hAnsi="Arial" w:cs="Arial"/>
          <w:sz w:val="21"/>
          <w:szCs w:val="21"/>
        </w:rPr>
      </w:pPr>
      <w:r>
        <w:rPr>
          <w:rFonts w:ascii="Arial" w:hAnsi="Arial" w:cs="Arial"/>
          <w:sz w:val="21"/>
          <w:szCs w:val="21"/>
        </w:rPr>
        <w:t>Kathy J. Kolich</w:t>
      </w:r>
    </w:p>
    <w:p>
      <w:pPr>
        <w:tabs>
          <w:tab w:val="right" w:pos="8640"/>
        </w:tabs>
        <w:rPr>
          <w:rFonts w:ascii="Arial" w:hAnsi="Arial" w:cs="Arial"/>
          <w:sz w:val="21"/>
          <w:szCs w:val="21"/>
        </w:rPr>
      </w:pPr>
      <w:r>
        <w:rPr>
          <w:rFonts w:ascii="Arial" w:hAnsi="Arial" w:cs="Arial"/>
          <w:sz w:val="21"/>
          <w:szCs w:val="21"/>
        </w:rPr>
        <w:t>Carrie Dunn</w:t>
      </w:r>
    </w:p>
    <w:p>
      <w:pPr>
        <w:tabs>
          <w:tab w:val="right" w:pos="8640"/>
        </w:tabs>
        <w:rPr>
          <w:rFonts w:ascii="Arial" w:hAnsi="Arial" w:cs="Arial"/>
          <w:sz w:val="21"/>
          <w:szCs w:val="21"/>
        </w:rPr>
      </w:pPr>
      <w:r>
        <w:rPr>
          <w:rFonts w:ascii="Arial" w:hAnsi="Arial" w:cs="Arial"/>
          <w:sz w:val="21"/>
          <w:szCs w:val="21"/>
        </w:rPr>
        <w:t>FirstEnergy Service Company</w:t>
      </w:r>
    </w:p>
    <w:p>
      <w:pPr>
        <w:tabs>
          <w:tab w:val="right" w:pos="8640"/>
        </w:tabs>
        <w:rPr>
          <w:rFonts w:ascii="Arial" w:hAnsi="Arial" w:cs="Arial"/>
          <w:sz w:val="21"/>
          <w:szCs w:val="21"/>
        </w:rPr>
      </w:pPr>
      <w:r>
        <w:rPr>
          <w:rFonts w:ascii="Arial" w:hAnsi="Arial" w:cs="Arial"/>
          <w:sz w:val="21"/>
          <w:szCs w:val="21"/>
        </w:rPr>
        <w:t>76 South Main Street</w:t>
      </w:r>
    </w:p>
    <w:p>
      <w:pPr>
        <w:tabs>
          <w:tab w:val="right" w:pos="8640"/>
        </w:tabs>
        <w:rPr>
          <w:rFonts w:ascii="Arial" w:hAnsi="Arial" w:cs="Arial"/>
          <w:sz w:val="21"/>
          <w:szCs w:val="21"/>
        </w:rPr>
      </w:pPr>
      <w:r>
        <w:rPr>
          <w:rFonts w:ascii="Arial" w:hAnsi="Arial" w:cs="Arial"/>
          <w:sz w:val="21"/>
          <w:szCs w:val="21"/>
        </w:rPr>
        <w:t>Akron, OH  44308</w:t>
      </w:r>
    </w:p>
    <w:p>
      <w:pPr>
        <w:tabs>
          <w:tab w:val="right" w:pos="8640"/>
        </w:tabs>
        <w:rPr>
          <w:rFonts w:ascii="Arial" w:hAnsi="Arial" w:cs="Arial"/>
          <w:sz w:val="21"/>
          <w:szCs w:val="21"/>
        </w:rPr>
      </w:pPr>
      <w:r>
        <w:rPr>
          <w:rFonts w:ascii="Arial" w:hAnsi="Arial" w:cs="Arial"/>
          <w:sz w:val="21"/>
          <w:szCs w:val="21"/>
        </w:rPr>
        <w:t>dunnc@firstenergycorp.com</w:t>
      </w:r>
    </w:p>
    <w:p>
      <w:pPr>
        <w:tabs>
          <w:tab w:val="right" w:pos="8640"/>
        </w:tabs>
        <w:rPr>
          <w:rFonts w:ascii="Arial" w:hAnsi="Arial" w:cs="Arial"/>
          <w:sz w:val="21"/>
          <w:szCs w:val="21"/>
        </w:rPr>
      </w:pPr>
      <w:r>
        <w:rPr>
          <w:rFonts w:ascii="Arial" w:hAnsi="Arial" w:cs="Arial"/>
          <w:sz w:val="21"/>
          <w:szCs w:val="21"/>
        </w:rPr>
        <w:t>kjkolich@firstenergycorp.com</w:t>
      </w:r>
    </w:p>
    <w:p>
      <w:pPr>
        <w:tabs>
          <w:tab w:val="right" w:pos="8640"/>
        </w:tabs>
        <w:rPr>
          <w:rFonts w:ascii="Arial" w:hAnsi="Arial" w:cs="Arial"/>
          <w:sz w:val="21"/>
          <w:szCs w:val="21"/>
        </w:rPr>
      </w:pPr>
    </w:p>
    <w:p>
      <w:pPr>
        <w:tabs>
          <w:tab w:val="right" w:pos="8640"/>
        </w:tabs>
        <w:rPr>
          <w:rFonts w:ascii="Arial" w:hAnsi="Arial" w:cs="Arial"/>
          <w:sz w:val="21"/>
          <w:szCs w:val="21"/>
        </w:rPr>
      </w:pPr>
      <w:r>
        <w:rPr>
          <w:rFonts w:ascii="Arial" w:hAnsi="Arial" w:cs="Arial"/>
          <w:sz w:val="21"/>
          <w:szCs w:val="21"/>
        </w:rPr>
        <w:t>James F. Lang</w:t>
      </w:r>
    </w:p>
    <w:p>
      <w:pPr>
        <w:tabs>
          <w:tab w:val="right" w:pos="8640"/>
        </w:tabs>
        <w:rPr>
          <w:rFonts w:ascii="Arial" w:hAnsi="Arial" w:cs="Arial"/>
          <w:sz w:val="21"/>
          <w:szCs w:val="21"/>
        </w:rPr>
      </w:pPr>
      <w:r>
        <w:rPr>
          <w:rFonts w:ascii="Arial" w:hAnsi="Arial" w:cs="Arial"/>
          <w:sz w:val="21"/>
          <w:szCs w:val="21"/>
        </w:rPr>
        <w:t>Kevin P. Shannon</w:t>
      </w:r>
    </w:p>
    <w:p>
      <w:pPr>
        <w:tabs>
          <w:tab w:val="right" w:pos="8640"/>
        </w:tabs>
        <w:rPr>
          <w:rFonts w:ascii="Arial" w:hAnsi="Arial" w:cs="Arial"/>
          <w:sz w:val="21"/>
          <w:szCs w:val="21"/>
        </w:rPr>
      </w:pPr>
      <w:r>
        <w:rPr>
          <w:rFonts w:ascii="Arial" w:hAnsi="Arial" w:cs="Arial"/>
          <w:sz w:val="21"/>
          <w:szCs w:val="21"/>
        </w:rPr>
        <w:t>Calfee, Hatler &amp; Griswold LLP</w:t>
      </w:r>
    </w:p>
    <w:p>
      <w:pPr>
        <w:tabs>
          <w:tab w:val="right" w:pos="8640"/>
        </w:tabs>
        <w:rPr>
          <w:rFonts w:ascii="Arial" w:hAnsi="Arial" w:cs="Arial"/>
          <w:sz w:val="21"/>
          <w:szCs w:val="21"/>
        </w:rPr>
      </w:pPr>
      <w:r>
        <w:rPr>
          <w:rFonts w:ascii="Arial" w:hAnsi="Arial" w:cs="Arial"/>
          <w:sz w:val="21"/>
          <w:szCs w:val="21"/>
        </w:rPr>
        <w:t>1400 KeyBank Center</w:t>
      </w:r>
    </w:p>
    <w:p>
      <w:pPr>
        <w:tabs>
          <w:tab w:val="right" w:pos="8640"/>
        </w:tabs>
        <w:rPr>
          <w:rFonts w:ascii="Arial" w:hAnsi="Arial" w:cs="Arial"/>
          <w:sz w:val="21"/>
          <w:szCs w:val="21"/>
        </w:rPr>
      </w:pPr>
      <w:r>
        <w:rPr>
          <w:rFonts w:ascii="Arial" w:hAnsi="Arial" w:cs="Arial"/>
          <w:sz w:val="21"/>
          <w:szCs w:val="21"/>
        </w:rPr>
        <w:t>800 Superior Avenue</w:t>
      </w:r>
    </w:p>
    <w:p>
      <w:pPr>
        <w:tabs>
          <w:tab w:val="right" w:pos="8640"/>
        </w:tabs>
        <w:rPr>
          <w:rFonts w:ascii="Arial" w:hAnsi="Arial" w:cs="Arial"/>
          <w:sz w:val="21"/>
          <w:szCs w:val="21"/>
        </w:rPr>
      </w:pPr>
      <w:r>
        <w:rPr>
          <w:rFonts w:ascii="Arial" w:hAnsi="Arial" w:cs="Arial"/>
          <w:sz w:val="21"/>
          <w:szCs w:val="21"/>
        </w:rPr>
        <w:t>Cleveland, OH  44114</w:t>
      </w:r>
    </w:p>
    <w:p>
      <w:pPr>
        <w:tabs>
          <w:tab w:val="right" w:pos="8640"/>
        </w:tabs>
        <w:rPr>
          <w:rFonts w:ascii="Arial" w:hAnsi="Arial" w:cs="Arial"/>
          <w:sz w:val="21"/>
          <w:szCs w:val="21"/>
        </w:rPr>
      </w:pPr>
      <w:r>
        <w:rPr>
          <w:rFonts w:ascii="Arial" w:hAnsi="Arial" w:cs="Arial"/>
          <w:sz w:val="21"/>
          <w:szCs w:val="21"/>
        </w:rPr>
        <w:t>jlang@calfee.com</w:t>
      </w:r>
    </w:p>
    <w:p>
      <w:pPr>
        <w:tabs>
          <w:tab w:val="right" w:pos="8640"/>
        </w:tabs>
        <w:rPr>
          <w:rFonts w:ascii="Arial" w:hAnsi="Arial" w:cs="Arial"/>
          <w:sz w:val="21"/>
          <w:szCs w:val="21"/>
        </w:rPr>
      </w:pPr>
      <w:r>
        <w:rPr>
          <w:rFonts w:ascii="Arial" w:hAnsi="Arial" w:cs="Arial"/>
          <w:sz w:val="21"/>
          <w:szCs w:val="21"/>
        </w:rPr>
        <w:t>kshannon@calfee.com</w:t>
      </w:r>
    </w:p>
    <w:p>
      <w:pPr>
        <w:tabs>
          <w:tab w:val="right" w:pos="8640"/>
        </w:tabs>
        <w:rPr>
          <w:rFonts w:ascii="Arial" w:hAnsi="Arial" w:cs="Arial"/>
          <w:sz w:val="21"/>
          <w:szCs w:val="21"/>
        </w:rPr>
      </w:pPr>
    </w:p>
    <w:p>
      <w:pPr>
        <w:tabs>
          <w:tab w:val="right" w:pos="8640"/>
        </w:tabs>
        <w:rPr>
          <w:rFonts w:ascii="Arial" w:hAnsi="Arial" w:cs="Arial"/>
          <w:b/>
          <w:smallCaps/>
          <w:sz w:val="21"/>
          <w:szCs w:val="21"/>
        </w:rPr>
      </w:pPr>
      <w:r>
        <w:rPr>
          <w:rFonts w:ascii="Arial" w:hAnsi="Arial" w:cs="Arial"/>
          <w:b/>
          <w:smallCaps/>
          <w:sz w:val="21"/>
          <w:szCs w:val="21"/>
        </w:rPr>
        <w:t>On Behalf of Ohio Edison Company, The Cleveland Electric Illuminating Company and The Toledo Edison Company (“FirstEnergy”)</w:t>
      </w:r>
    </w:p>
    <w:p>
      <w:pPr>
        <w:tabs>
          <w:tab w:val="right" w:pos="8640"/>
        </w:tabs>
        <w:rPr>
          <w:rFonts w:ascii="Arial" w:hAnsi="Arial" w:cs="Arial"/>
          <w:sz w:val="21"/>
          <w:szCs w:val="21"/>
        </w:rPr>
      </w:pPr>
    </w:p>
    <w:p>
      <w:pPr>
        <w:tabs>
          <w:tab w:val="right" w:pos="8640"/>
        </w:tabs>
        <w:rPr>
          <w:rFonts w:ascii="Arial" w:hAnsi="Arial" w:cs="Arial"/>
          <w:sz w:val="21"/>
          <w:szCs w:val="21"/>
        </w:rPr>
      </w:pPr>
    </w:p>
    <w:p>
      <w:pPr>
        <w:tabs>
          <w:tab w:val="right" w:pos="8640"/>
        </w:tabs>
        <w:rPr>
          <w:rFonts w:ascii="Arial" w:hAnsi="Arial" w:cs="Arial"/>
          <w:sz w:val="21"/>
          <w:szCs w:val="21"/>
        </w:rPr>
      </w:pPr>
    </w:p>
    <w:p>
      <w:pPr>
        <w:tabs>
          <w:tab w:val="right" w:pos="8640"/>
        </w:tabs>
        <w:rPr>
          <w:rFonts w:ascii="Arial" w:hAnsi="Arial" w:cs="Arial"/>
          <w:sz w:val="21"/>
          <w:szCs w:val="21"/>
        </w:rPr>
      </w:pPr>
    </w:p>
    <w:p>
      <w:pPr>
        <w:tabs>
          <w:tab w:val="right" w:pos="8640"/>
        </w:tabs>
        <w:rPr>
          <w:rFonts w:ascii="Arial" w:hAnsi="Arial" w:cs="Arial"/>
          <w:sz w:val="21"/>
          <w:szCs w:val="21"/>
        </w:rPr>
      </w:pPr>
    </w:p>
    <w:p>
      <w:pPr>
        <w:tabs>
          <w:tab w:val="right" w:pos="8640"/>
        </w:tabs>
        <w:rPr>
          <w:rFonts w:ascii="Arial" w:hAnsi="Arial" w:cs="Arial"/>
          <w:sz w:val="21"/>
          <w:szCs w:val="21"/>
        </w:rPr>
      </w:pPr>
    </w:p>
    <w:p>
      <w:pPr>
        <w:tabs>
          <w:tab w:val="right" w:pos="8640"/>
        </w:tabs>
        <w:rPr>
          <w:rFonts w:ascii="Arial" w:hAnsi="Arial" w:cs="Arial"/>
          <w:sz w:val="21"/>
          <w:szCs w:val="21"/>
        </w:rPr>
      </w:pPr>
      <w:r>
        <w:rPr>
          <w:rFonts w:ascii="Arial" w:hAnsi="Arial" w:cs="Arial"/>
          <w:sz w:val="21"/>
          <w:szCs w:val="21"/>
        </w:rPr>
        <w:t>Nolan Moser</w:t>
      </w:r>
    </w:p>
    <w:p>
      <w:pPr>
        <w:tabs>
          <w:tab w:val="right" w:pos="8640"/>
        </w:tabs>
        <w:rPr>
          <w:rFonts w:ascii="Arial" w:hAnsi="Arial" w:cs="Arial"/>
          <w:sz w:val="21"/>
          <w:szCs w:val="21"/>
        </w:rPr>
      </w:pPr>
      <w:r>
        <w:rPr>
          <w:rFonts w:ascii="Arial" w:hAnsi="Arial" w:cs="Arial"/>
          <w:sz w:val="21"/>
          <w:szCs w:val="21"/>
        </w:rPr>
        <w:t>Trent A. Dougherty</w:t>
      </w:r>
    </w:p>
    <w:p>
      <w:pPr>
        <w:tabs>
          <w:tab w:val="right" w:pos="8640"/>
        </w:tabs>
        <w:rPr>
          <w:rFonts w:ascii="Arial" w:hAnsi="Arial" w:cs="Arial"/>
          <w:sz w:val="21"/>
          <w:szCs w:val="21"/>
        </w:rPr>
      </w:pPr>
      <w:r>
        <w:rPr>
          <w:rFonts w:ascii="Arial" w:hAnsi="Arial" w:cs="Arial"/>
          <w:sz w:val="21"/>
          <w:szCs w:val="21"/>
        </w:rPr>
        <w:t>Ohio Environmental Council</w:t>
      </w:r>
    </w:p>
    <w:p>
      <w:pPr>
        <w:tabs>
          <w:tab w:val="right" w:pos="8640"/>
        </w:tabs>
        <w:rPr>
          <w:rFonts w:ascii="Arial" w:hAnsi="Arial" w:cs="Arial"/>
          <w:sz w:val="21"/>
          <w:szCs w:val="21"/>
        </w:rPr>
      </w:pPr>
      <w:r>
        <w:rPr>
          <w:rFonts w:ascii="Arial" w:hAnsi="Arial" w:cs="Arial"/>
          <w:sz w:val="21"/>
          <w:szCs w:val="21"/>
        </w:rPr>
        <w:t>1207 Grandview Avenue, Suite 201</w:t>
      </w:r>
    </w:p>
    <w:p>
      <w:pPr>
        <w:tabs>
          <w:tab w:val="right" w:pos="8640"/>
        </w:tabs>
        <w:rPr>
          <w:rFonts w:ascii="Arial" w:hAnsi="Arial" w:cs="Arial"/>
          <w:sz w:val="21"/>
          <w:szCs w:val="21"/>
        </w:rPr>
      </w:pPr>
      <w:r>
        <w:rPr>
          <w:rFonts w:ascii="Arial" w:hAnsi="Arial" w:cs="Arial"/>
          <w:sz w:val="21"/>
          <w:szCs w:val="21"/>
        </w:rPr>
        <w:t>Columbus, OH  43212-3449</w:t>
      </w:r>
    </w:p>
    <w:p>
      <w:pPr>
        <w:tabs>
          <w:tab w:val="right" w:pos="8640"/>
        </w:tabs>
        <w:rPr>
          <w:rFonts w:ascii="Arial" w:hAnsi="Arial" w:cs="Arial"/>
          <w:sz w:val="21"/>
          <w:szCs w:val="21"/>
        </w:rPr>
      </w:pPr>
      <w:r>
        <w:rPr>
          <w:rFonts w:ascii="Arial" w:hAnsi="Arial" w:cs="Arial"/>
          <w:sz w:val="21"/>
          <w:szCs w:val="21"/>
        </w:rPr>
        <w:t>Nolan@theoec.org</w:t>
      </w:r>
    </w:p>
    <w:p>
      <w:pPr>
        <w:tabs>
          <w:tab w:val="right" w:pos="8640"/>
        </w:tabs>
        <w:rPr>
          <w:rFonts w:ascii="Arial" w:hAnsi="Arial" w:cs="Arial"/>
          <w:sz w:val="21"/>
          <w:szCs w:val="21"/>
        </w:rPr>
      </w:pPr>
      <w:r>
        <w:rPr>
          <w:rFonts w:ascii="Arial" w:hAnsi="Arial" w:cs="Arial"/>
          <w:sz w:val="21"/>
          <w:szCs w:val="21"/>
        </w:rPr>
        <w:t>trent@theoec.org</w:t>
      </w:r>
    </w:p>
    <w:p>
      <w:pPr>
        <w:tabs>
          <w:tab w:val="right" w:pos="8640"/>
        </w:tabs>
        <w:rPr>
          <w:rFonts w:ascii="Arial" w:hAnsi="Arial" w:cs="Arial"/>
          <w:sz w:val="21"/>
          <w:szCs w:val="21"/>
        </w:rPr>
      </w:pPr>
    </w:p>
    <w:p>
      <w:pPr>
        <w:tabs>
          <w:tab w:val="right" w:pos="8640"/>
        </w:tabs>
        <w:rPr>
          <w:rFonts w:ascii="Arial" w:hAnsi="Arial" w:cs="Arial"/>
          <w:b/>
          <w:smallCaps/>
          <w:sz w:val="21"/>
          <w:szCs w:val="21"/>
        </w:rPr>
      </w:pPr>
      <w:r>
        <w:rPr>
          <w:rFonts w:ascii="Arial" w:hAnsi="Arial" w:cs="Arial"/>
          <w:b/>
          <w:smallCaps/>
          <w:sz w:val="21"/>
          <w:szCs w:val="21"/>
        </w:rPr>
        <w:t>On Behalf of the Ohio Environmental Council (“OEC”)</w:t>
      </w:r>
    </w:p>
    <w:p>
      <w:pPr>
        <w:pStyle w:val="BodyText"/>
        <w:rPr>
          <w:sz w:val="21"/>
          <w:szCs w:val="21"/>
        </w:rPr>
      </w:pPr>
    </w:p>
    <w:bookmarkEnd w:id="2"/>
    <w:p>
      <w:pPr>
        <w:pStyle w:val="BodyText"/>
        <w:rPr>
          <w:sz w:val="21"/>
          <w:szCs w:val="21"/>
        </w:rPr>
      </w:pPr>
      <w:r>
        <w:rPr>
          <w:sz w:val="21"/>
          <w:szCs w:val="21"/>
        </w:rPr>
        <w:t>Matthew J. Satterwhite</w:t>
      </w:r>
    </w:p>
    <w:p>
      <w:pPr>
        <w:pStyle w:val="BodyText"/>
        <w:rPr>
          <w:sz w:val="21"/>
          <w:szCs w:val="21"/>
        </w:rPr>
      </w:pPr>
      <w:r>
        <w:rPr>
          <w:sz w:val="21"/>
          <w:szCs w:val="21"/>
        </w:rPr>
        <w:t>Anne M. Vogel</w:t>
      </w:r>
    </w:p>
    <w:p>
      <w:pPr>
        <w:pStyle w:val="BodyText"/>
        <w:rPr>
          <w:sz w:val="21"/>
          <w:szCs w:val="21"/>
        </w:rPr>
      </w:pPr>
      <w:r>
        <w:rPr>
          <w:sz w:val="21"/>
          <w:szCs w:val="21"/>
        </w:rPr>
        <w:t>American Electric Power Service Corporation</w:t>
      </w:r>
    </w:p>
    <w:p>
      <w:pPr>
        <w:pStyle w:val="BodyText"/>
        <w:rPr>
          <w:sz w:val="21"/>
          <w:szCs w:val="21"/>
        </w:rPr>
      </w:pPr>
      <w:r>
        <w:rPr>
          <w:sz w:val="21"/>
          <w:szCs w:val="21"/>
        </w:rPr>
        <w:t>1 Riverside Plaza, 29</w:t>
      </w:r>
      <w:r>
        <w:rPr>
          <w:sz w:val="21"/>
          <w:szCs w:val="21"/>
          <w:vertAlign w:val="superscript"/>
        </w:rPr>
        <w:t>th</w:t>
      </w:r>
      <w:r>
        <w:rPr>
          <w:sz w:val="21"/>
          <w:szCs w:val="21"/>
        </w:rPr>
        <w:t xml:space="preserve"> Floor</w:t>
      </w:r>
    </w:p>
    <w:p>
      <w:pPr>
        <w:pStyle w:val="BodyText"/>
        <w:rPr>
          <w:sz w:val="21"/>
          <w:szCs w:val="21"/>
        </w:rPr>
      </w:pPr>
      <w:r>
        <w:rPr>
          <w:sz w:val="21"/>
          <w:szCs w:val="21"/>
        </w:rPr>
        <w:t>Columbus, OH  43215-2373</w:t>
      </w:r>
    </w:p>
    <w:p>
      <w:pPr>
        <w:pStyle w:val="BodyText"/>
        <w:rPr>
          <w:sz w:val="21"/>
          <w:szCs w:val="21"/>
        </w:rPr>
      </w:pPr>
      <w:r>
        <w:rPr>
          <w:sz w:val="21"/>
          <w:szCs w:val="21"/>
        </w:rPr>
        <w:t>mjsatterwhite@aep.com</w:t>
      </w:r>
    </w:p>
    <w:p>
      <w:pPr>
        <w:pStyle w:val="BodyText"/>
        <w:rPr>
          <w:sz w:val="21"/>
          <w:szCs w:val="21"/>
        </w:rPr>
      </w:pPr>
      <w:r>
        <w:rPr>
          <w:sz w:val="21"/>
          <w:szCs w:val="21"/>
        </w:rPr>
        <w:t>amvogel@aep.com</w:t>
      </w:r>
    </w:p>
    <w:p>
      <w:pPr>
        <w:pStyle w:val="BodyText"/>
        <w:rPr>
          <w:sz w:val="21"/>
          <w:szCs w:val="21"/>
        </w:rPr>
      </w:pPr>
    </w:p>
    <w:p>
      <w:pPr>
        <w:pStyle w:val="BodyText"/>
        <w:rPr>
          <w:b/>
          <w:smallCaps/>
          <w:sz w:val="21"/>
          <w:szCs w:val="21"/>
        </w:rPr>
      </w:pPr>
      <w:r>
        <w:rPr>
          <w:b/>
          <w:smallCaps/>
          <w:sz w:val="21"/>
          <w:szCs w:val="21"/>
        </w:rPr>
        <w:t xml:space="preserve">On Behalf of Columbus Southern Power Company and Ohio Power Company </w:t>
      </w:r>
    </w:p>
    <w:p>
      <w:pPr>
        <w:pStyle w:val="BodyText"/>
        <w:rPr>
          <w:smallCaps/>
          <w:sz w:val="21"/>
          <w:szCs w:val="21"/>
        </w:rPr>
      </w:pPr>
      <w:r>
        <w:rPr>
          <w:b/>
          <w:smallCaps/>
          <w:sz w:val="21"/>
          <w:szCs w:val="21"/>
        </w:rPr>
        <w:t>(“AEP-Ohio”)</w:t>
      </w:r>
    </w:p>
    <w:p>
      <w:pPr>
        <w:pStyle w:val="BodyText"/>
        <w:rPr>
          <w:sz w:val="21"/>
          <w:szCs w:val="21"/>
        </w:rPr>
      </w:pPr>
    </w:p>
    <w:p>
      <w:pPr>
        <w:pStyle w:val="BodyText"/>
        <w:rPr>
          <w:sz w:val="21"/>
          <w:szCs w:val="21"/>
        </w:rPr>
      </w:pPr>
      <w:r>
        <w:rPr>
          <w:sz w:val="21"/>
          <w:szCs w:val="21"/>
        </w:rPr>
        <w:t>Judi L. Sobecki</w:t>
      </w:r>
    </w:p>
    <w:p>
      <w:pPr>
        <w:pStyle w:val="BodyText"/>
        <w:rPr>
          <w:sz w:val="21"/>
          <w:szCs w:val="21"/>
        </w:rPr>
      </w:pPr>
      <w:r>
        <w:rPr>
          <w:sz w:val="21"/>
          <w:szCs w:val="21"/>
        </w:rPr>
        <w:t>Randall V. Griffin</w:t>
      </w:r>
    </w:p>
    <w:p>
      <w:pPr>
        <w:pStyle w:val="BodyText"/>
        <w:rPr>
          <w:sz w:val="21"/>
          <w:szCs w:val="21"/>
        </w:rPr>
      </w:pPr>
      <w:r>
        <w:rPr>
          <w:sz w:val="21"/>
          <w:szCs w:val="21"/>
        </w:rPr>
        <w:t>The Dayton Power and Light Company</w:t>
      </w:r>
    </w:p>
    <w:p>
      <w:pPr>
        <w:pStyle w:val="BodyText"/>
        <w:rPr>
          <w:sz w:val="21"/>
          <w:szCs w:val="21"/>
        </w:rPr>
      </w:pPr>
      <w:r>
        <w:rPr>
          <w:sz w:val="21"/>
          <w:szCs w:val="21"/>
        </w:rPr>
        <w:t>1065 Woodman Dr.</w:t>
      </w:r>
    </w:p>
    <w:p>
      <w:pPr>
        <w:pStyle w:val="BodyText"/>
        <w:rPr>
          <w:sz w:val="21"/>
          <w:szCs w:val="21"/>
        </w:rPr>
      </w:pPr>
      <w:r>
        <w:rPr>
          <w:sz w:val="21"/>
          <w:szCs w:val="21"/>
        </w:rPr>
        <w:t>Dayton, OH  45432</w:t>
      </w:r>
    </w:p>
    <w:p>
      <w:pPr>
        <w:pStyle w:val="BodyText"/>
        <w:rPr>
          <w:sz w:val="21"/>
          <w:szCs w:val="21"/>
        </w:rPr>
      </w:pPr>
      <w:r>
        <w:rPr>
          <w:sz w:val="21"/>
          <w:szCs w:val="21"/>
        </w:rPr>
        <w:t>judi.sobecki@DPLINC.com</w:t>
      </w:r>
    </w:p>
    <w:p>
      <w:pPr>
        <w:pStyle w:val="BodyText"/>
        <w:rPr>
          <w:sz w:val="21"/>
          <w:szCs w:val="21"/>
        </w:rPr>
      </w:pPr>
      <w:r>
        <w:rPr>
          <w:sz w:val="21"/>
          <w:szCs w:val="21"/>
        </w:rPr>
        <w:t>randall.griffin@DPLINC.com</w:t>
      </w:r>
    </w:p>
    <w:p>
      <w:pPr>
        <w:pStyle w:val="BodyText"/>
        <w:rPr>
          <w:sz w:val="21"/>
          <w:szCs w:val="21"/>
        </w:rPr>
      </w:pPr>
    </w:p>
    <w:p>
      <w:pPr>
        <w:pStyle w:val="BodyText"/>
        <w:rPr>
          <w:b/>
          <w:smallCaps/>
          <w:sz w:val="21"/>
          <w:szCs w:val="21"/>
        </w:rPr>
      </w:pPr>
      <w:r>
        <w:rPr>
          <w:b/>
          <w:smallCaps/>
          <w:sz w:val="21"/>
          <w:szCs w:val="21"/>
        </w:rPr>
        <w:t>On Behalf of Dayton Power &amp; Light Company (“DP&amp;L”)</w:t>
      </w:r>
    </w:p>
    <w:p>
      <w:pPr>
        <w:spacing w:after="200" w:line="276" w:lineRule="auto"/>
        <w:rPr>
          <w:rFonts w:ascii="Arial" w:hAnsi="Arial" w:cs="Arial"/>
          <w:b/>
          <w:smallCaps/>
          <w:sz w:val="21"/>
          <w:szCs w:val="21"/>
        </w:rPr>
        <w:sectPr>
          <w:type w:val="continuous"/>
          <w:pgSz w:w="12240" w:h="15840"/>
          <w:pgMar w:top="1440" w:right="1440" w:bottom="1440" w:left="1440" w:header="720" w:footer="720" w:gutter="0"/>
          <w:cols w:num="2" w:space="720"/>
          <w:docGrid w:linePitch="360"/>
        </w:sectPr>
      </w:pPr>
    </w:p>
    <w:p>
      <w:pPr>
        <w:pStyle w:val="BodyText"/>
        <w:rPr>
          <w:sz w:val="21"/>
          <w:szCs w:val="21"/>
        </w:rPr>
      </w:pPr>
      <w:r>
        <w:rPr>
          <w:sz w:val="21"/>
          <w:szCs w:val="21"/>
        </w:rPr>
        <w:lastRenderedPageBreak/>
        <w:t>David F. Boehm</w:t>
      </w:r>
    </w:p>
    <w:p>
      <w:pPr>
        <w:pStyle w:val="BodyText"/>
        <w:rPr>
          <w:sz w:val="21"/>
          <w:szCs w:val="21"/>
        </w:rPr>
      </w:pPr>
      <w:r>
        <w:rPr>
          <w:sz w:val="21"/>
          <w:szCs w:val="21"/>
        </w:rPr>
        <w:t>Michael L. Kurtz</w:t>
      </w:r>
    </w:p>
    <w:p>
      <w:pPr>
        <w:pStyle w:val="BodyText"/>
        <w:rPr>
          <w:sz w:val="21"/>
          <w:szCs w:val="21"/>
        </w:rPr>
      </w:pPr>
      <w:r>
        <w:rPr>
          <w:sz w:val="21"/>
          <w:szCs w:val="21"/>
        </w:rPr>
        <w:t>Boehm, Kurtz &amp; Lowry</w:t>
      </w:r>
    </w:p>
    <w:p>
      <w:pPr>
        <w:pStyle w:val="BodyText"/>
        <w:rPr>
          <w:sz w:val="21"/>
          <w:szCs w:val="21"/>
        </w:rPr>
      </w:pPr>
      <w:r>
        <w:rPr>
          <w:sz w:val="21"/>
          <w:szCs w:val="21"/>
        </w:rPr>
        <w:t>36 East Seventh St., Suite 1510</w:t>
      </w:r>
    </w:p>
    <w:p>
      <w:pPr>
        <w:pStyle w:val="BodyText"/>
        <w:rPr>
          <w:sz w:val="21"/>
          <w:szCs w:val="21"/>
        </w:rPr>
      </w:pPr>
      <w:r>
        <w:rPr>
          <w:sz w:val="21"/>
          <w:szCs w:val="21"/>
        </w:rPr>
        <w:t>Cincinnati, OH  45202</w:t>
      </w:r>
    </w:p>
    <w:p>
      <w:pPr>
        <w:pStyle w:val="BodyText"/>
        <w:rPr>
          <w:sz w:val="21"/>
          <w:szCs w:val="21"/>
        </w:rPr>
      </w:pPr>
      <w:r>
        <w:rPr>
          <w:sz w:val="21"/>
          <w:szCs w:val="21"/>
        </w:rPr>
        <w:t>dboehm@BKLlawfirm.com</w:t>
      </w:r>
    </w:p>
    <w:p>
      <w:pPr>
        <w:pStyle w:val="BodyText"/>
        <w:rPr>
          <w:sz w:val="21"/>
          <w:szCs w:val="21"/>
        </w:rPr>
      </w:pPr>
      <w:r>
        <w:rPr>
          <w:sz w:val="21"/>
          <w:szCs w:val="21"/>
        </w:rPr>
        <w:t>mkurtz@BKLlawfirm.com</w:t>
      </w:r>
    </w:p>
    <w:p>
      <w:pPr>
        <w:pStyle w:val="BodyText"/>
        <w:rPr>
          <w:sz w:val="21"/>
          <w:szCs w:val="21"/>
        </w:rPr>
      </w:pPr>
    </w:p>
    <w:p>
      <w:pPr>
        <w:pStyle w:val="BodyText"/>
        <w:rPr>
          <w:b/>
          <w:smallCaps/>
          <w:sz w:val="21"/>
          <w:szCs w:val="21"/>
        </w:rPr>
      </w:pPr>
      <w:r>
        <w:rPr>
          <w:b/>
          <w:smallCaps/>
          <w:sz w:val="21"/>
          <w:szCs w:val="21"/>
        </w:rPr>
        <w:t>On Behalf of the Ohio Energy Group (“OEG”)</w:t>
      </w:r>
    </w:p>
    <w:p>
      <w:pPr>
        <w:rPr>
          <w:rFonts w:ascii="Arial" w:hAnsi="Arial" w:cs="Arial"/>
        </w:rPr>
      </w:pPr>
    </w:p>
    <w:p>
      <w:pPr>
        <w:pStyle w:val="BodyText"/>
        <w:rPr>
          <w:sz w:val="21"/>
          <w:szCs w:val="21"/>
        </w:rPr>
      </w:pPr>
      <w:r>
        <w:rPr>
          <w:sz w:val="21"/>
          <w:szCs w:val="21"/>
        </w:rPr>
        <w:t>William Wright</w:t>
      </w:r>
    </w:p>
    <w:p>
      <w:pPr>
        <w:rPr>
          <w:rFonts w:ascii="Arial" w:hAnsi="Arial" w:cs="Arial"/>
          <w:sz w:val="21"/>
          <w:szCs w:val="21"/>
        </w:rPr>
      </w:pPr>
      <w:r>
        <w:rPr>
          <w:rFonts w:ascii="Arial" w:hAnsi="Arial" w:cs="Arial"/>
          <w:sz w:val="21"/>
          <w:szCs w:val="21"/>
        </w:rPr>
        <w:t xml:space="preserve">Senior Assistant Attorney General </w:t>
      </w:r>
    </w:p>
    <w:p>
      <w:pPr>
        <w:rPr>
          <w:rFonts w:ascii="Arial" w:hAnsi="Arial" w:cs="Arial"/>
          <w:sz w:val="21"/>
          <w:szCs w:val="21"/>
        </w:rPr>
      </w:pPr>
      <w:r>
        <w:rPr>
          <w:rFonts w:ascii="Arial" w:hAnsi="Arial" w:cs="Arial"/>
          <w:sz w:val="21"/>
          <w:szCs w:val="21"/>
        </w:rPr>
        <w:t>Public Utilities Section</w:t>
      </w:r>
    </w:p>
    <w:p>
      <w:pPr>
        <w:rPr>
          <w:rFonts w:ascii="Arial" w:hAnsi="Arial" w:cs="Arial"/>
          <w:sz w:val="21"/>
          <w:szCs w:val="21"/>
        </w:rPr>
      </w:pPr>
      <w:r>
        <w:rPr>
          <w:rFonts w:ascii="Arial" w:hAnsi="Arial" w:cs="Arial"/>
          <w:sz w:val="21"/>
          <w:szCs w:val="21"/>
        </w:rPr>
        <w:t>180 East Broad Street, 12</w:t>
      </w:r>
      <w:r>
        <w:rPr>
          <w:rFonts w:ascii="Arial" w:hAnsi="Arial" w:cs="Arial"/>
          <w:sz w:val="21"/>
          <w:szCs w:val="21"/>
          <w:vertAlign w:val="superscript"/>
        </w:rPr>
        <w:t>th</w:t>
      </w:r>
      <w:r>
        <w:rPr>
          <w:rFonts w:ascii="Arial" w:hAnsi="Arial" w:cs="Arial"/>
          <w:sz w:val="21"/>
          <w:szCs w:val="21"/>
        </w:rPr>
        <w:t xml:space="preserve"> Floor</w:t>
      </w:r>
    </w:p>
    <w:p>
      <w:pPr>
        <w:rPr>
          <w:rFonts w:ascii="Arial" w:hAnsi="Arial" w:cs="Arial"/>
          <w:sz w:val="21"/>
          <w:szCs w:val="21"/>
        </w:rPr>
      </w:pPr>
      <w:r>
        <w:rPr>
          <w:rFonts w:ascii="Arial" w:hAnsi="Arial" w:cs="Arial"/>
          <w:sz w:val="21"/>
          <w:szCs w:val="21"/>
        </w:rPr>
        <w:t>Columbus, OH  43215</w:t>
      </w:r>
    </w:p>
    <w:p>
      <w:pPr>
        <w:rPr>
          <w:rFonts w:ascii="Arial" w:hAnsi="Arial" w:cs="Arial"/>
          <w:sz w:val="21"/>
          <w:szCs w:val="21"/>
        </w:rPr>
      </w:pPr>
      <w:r>
        <w:rPr>
          <w:rFonts w:ascii="Arial" w:hAnsi="Arial" w:cs="Arial"/>
          <w:sz w:val="21"/>
          <w:szCs w:val="21"/>
        </w:rPr>
        <w:t>william.wright@puc.state.oh.us</w:t>
      </w:r>
    </w:p>
    <w:p>
      <w:pPr>
        <w:rPr>
          <w:rFonts w:ascii="Arial" w:hAnsi="Arial" w:cs="Arial"/>
          <w:b/>
          <w:smallCaps/>
          <w:sz w:val="21"/>
          <w:szCs w:val="21"/>
        </w:rPr>
      </w:pPr>
    </w:p>
    <w:p>
      <w:pPr>
        <w:rPr>
          <w:rFonts w:ascii="Arial" w:hAnsi="Arial" w:cs="Arial"/>
          <w:b/>
          <w:smallCaps/>
          <w:sz w:val="21"/>
          <w:szCs w:val="21"/>
        </w:rPr>
      </w:pPr>
      <w:r>
        <w:rPr>
          <w:rFonts w:ascii="Arial" w:hAnsi="Arial" w:cs="Arial"/>
          <w:b/>
          <w:smallCaps/>
          <w:sz w:val="21"/>
          <w:szCs w:val="21"/>
        </w:rPr>
        <w:t>On Behalf of the Staff of the Public Utilities Commission of Ohio</w:t>
      </w:r>
    </w:p>
    <w:p>
      <w:pPr>
        <w:pStyle w:val="BodyText"/>
        <w:rPr>
          <w:sz w:val="21"/>
          <w:szCs w:val="21"/>
        </w:rPr>
      </w:pPr>
    </w:p>
    <w:p>
      <w:pPr>
        <w:rPr>
          <w:rFonts w:ascii="Arial" w:hAnsi="Arial" w:cs="Arial"/>
          <w:sz w:val="21"/>
          <w:szCs w:val="21"/>
        </w:rPr>
      </w:pPr>
      <w:r>
        <w:rPr>
          <w:rFonts w:ascii="Arial" w:hAnsi="Arial" w:cs="Arial"/>
          <w:sz w:val="21"/>
          <w:szCs w:val="21"/>
        </w:rPr>
        <w:t>Greg Price</w:t>
      </w:r>
    </w:p>
    <w:p>
      <w:pPr>
        <w:rPr>
          <w:rFonts w:ascii="Arial" w:hAnsi="Arial" w:cs="Arial"/>
          <w:sz w:val="21"/>
          <w:szCs w:val="21"/>
        </w:rPr>
      </w:pPr>
      <w:r>
        <w:rPr>
          <w:rFonts w:ascii="Arial" w:hAnsi="Arial" w:cs="Arial"/>
          <w:sz w:val="21"/>
          <w:szCs w:val="21"/>
        </w:rPr>
        <w:t>Attorney Examiner</w:t>
      </w:r>
    </w:p>
    <w:p>
      <w:pPr>
        <w:rPr>
          <w:rFonts w:ascii="Arial" w:hAnsi="Arial" w:cs="Arial"/>
          <w:sz w:val="21"/>
          <w:szCs w:val="21"/>
        </w:rPr>
      </w:pPr>
      <w:r>
        <w:rPr>
          <w:rFonts w:ascii="Arial" w:hAnsi="Arial" w:cs="Arial"/>
          <w:sz w:val="21"/>
          <w:szCs w:val="21"/>
        </w:rPr>
        <w:t>Public Utilities Commission of Ohio</w:t>
      </w:r>
    </w:p>
    <w:p>
      <w:pPr>
        <w:rPr>
          <w:rFonts w:ascii="Arial" w:hAnsi="Arial" w:cs="Arial"/>
          <w:sz w:val="21"/>
          <w:szCs w:val="21"/>
        </w:rPr>
      </w:pPr>
      <w:r>
        <w:rPr>
          <w:rFonts w:ascii="Arial" w:hAnsi="Arial" w:cs="Arial"/>
          <w:sz w:val="21"/>
          <w:szCs w:val="21"/>
        </w:rPr>
        <w:t>180 East Broad Street</w:t>
      </w:r>
    </w:p>
    <w:p>
      <w:pPr>
        <w:rPr>
          <w:rFonts w:ascii="Arial" w:hAnsi="Arial" w:cs="Arial"/>
          <w:sz w:val="21"/>
          <w:szCs w:val="21"/>
        </w:rPr>
      </w:pPr>
      <w:r>
        <w:rPr>
          <w:rFonts w:ascii="Arial" w:hAnsi="Arial" w:cs="Arial"/>
          <w:sz w:val="21"/>
          <w:szCs w:val="21"/>
        </w:rPr>
        <w:t>Columbus, OH  43215</w:t>
      </w:r>
    </w:p>
    <w:p>
      <w:pPr>
        <w:pStyle w:val="BodyText"/>
        <w:rPr>
          <w:sz w:val="21"/>
          <w:szCs w:val="21"/>
        </w:rPr>
      </w:pPr>
      <w:r>
        <w:rPr>
          <w:sz w:val="21"/>
          <w:szCs w:val="21"/>
        </w:rPr>
        <w:t>Greg.price@puc.state.oh.us</w:t>
      </w:r>
    </w:p>
    <w:p/>
    <w:p>
      <w:pPr>
        <w:tabs>
          <w:tab w:val="left" w:pos="2160"/>
          <w:tab w:val="left" w:pos="2280"/>
        </w:tabs>
        <w:rPr>
          <w:rFonts w:ascii="Arial" w:hAnsi="Arial" w:cs="Arial"/>
          <w:b/>
        </w:rPr>
      </w:pPr>
    </w:p>
    <w:sectPr>
      <w:footerReference w:type="default" r:id="rId12"/>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ascii="Arial" w:hAnsi="Arial" w:cs="Arial"/>
      </w:rPr>
    </w:pPr>
    <w:r>
      <w:rPr>
        <w:noProof/>
        <w:sz w:val="16"/>
      </w:rPr>
      <w:t>{C34670: }</w:t>
    </w:r>
    <w:sdt>
      <w:sdtPr>
        <w:id w:val="996245101"/>
        <w:docPartObj>
          <w:docPartGallery w:val="Page Numbers (Bottom of Page)"/>
          <w:docPartUnique/>
        </w:docPartObj>
      </w:sdtPr>
      <w:sdtEndPr>
        <w:rPr>
          <w:rFonts w:ascii="Arial" w:hAnsi="Arial" w:cs="Arial"/>
        </w:rPr>
      </w:sdtEndPr>
      <w:sdtContent>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4</w:t>
        </w:r>
        <w:r>
          <w:rPr>
            <w:rFonts w:ascii="Arial" w:hAnsi="Arial" w:cs="Arial"/>
          </w:rPr>
          <w:fldChar w:fldCharType="end"/>
        </w:r>
      </w:sdtContent>
    </w:sdt>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{C34670: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{C34670: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noProof/>
        </w:rPr>
      </w:pPr>
      <w:r>
        <w:rPr>
          <w:noProof/>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1110</Words>
  <Characters>6480</Characters>
  <Application>Microsoft Office Word</Application>
  <DocSecurity>0</DocSecurity>
  <PresentationFormat/>
  <Lines>266</Lines>
  <Paragraphs>152</Paragraphs>
  <ScaleCrop>false</ScaleCrop>
  <HeadingPairs>
    <vt:vector size="2" baseType="variant">
      <vt:variant>
        <vt:lpstr>Title</vt:lpstr>
      </vt:variant>
      <vt:variant>
        <vt:i4>1</vt:i4>
      </vt:variant>
    </vt:vector>
  </HeadingPairs>
  <TitlesOfParts>
    <vt:vector size="1" baseType="lpstr">
      <vt:lpstr>Motion to Intervene 10-834 PlugSmart (C34670).DOCX</vt:lpstr>
    </vt:vector>
  </TitlesOfParts>
  <Company>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Intervene 10-834 PlugSmart (C34670).DOCX</dc:title>
  <dc:subject>C34670: /font=8</dc:subject>
  <dc:creator> </dc:creator>
  <cp:keywords/>
  <dc:description/>
  <cp:lastModifiedBy>rgannon</cp:lastModifiedBy>
  <cp:revision>2</cp:revision>
  <cp:lastPrinted>2011-06-27T20:28:00Z</cp:lastPrinted>
  <dcterms:created xsi:type="dcterms:W3CDTF">2011-06-27T20:46:00Z</dcterms:created>
  <dcterms:modified xsi:type="dcterms:W3CDTF">2011-06-27T20:46:00Z</dcterms:modified>
</cp:coreProperties>
</file>