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11" w:rsidRPr="004D2AC6" w:rsidRDefault="00011111" w:rsidP="004D2AC6">
      <w:pPr>
        <w:tabs>
          <w:tab w:val="left" w:pos="9360"/>
        </w:tabs>
        <w:spacing w:after="0" w:line="240" w:lineRule="auto"/>
        <w:jc w:val="center"/>
        <w:rPr>
          <w:rFonts w:ascii="Times New Roman" w:hAnsi="Times New Roman" w:cs="Times New Roman"/>
          <w:b/>
          <w:sz w:val="28"/>
          <w:szCs w:val="28"/>
        </w:rPr>
      </w:pPr>
      <w:bookmarkStart w:id="0" w:name="_GoBack"/>
      <w:bookmarkEnd w:id="0"/>
      <w:r w:rsidRPr="004D2AC6">
        <w:rPr>
          <w:rFonts w:ascii="Times New Roman" w:hAnsi="Times New Roman" w:cs="Times New Roman"/>
          <w:b/>
          <w:sz w:val="28"/>
          <w:szCs w:val="28"/>
        </w:rPr>
        <w:t>BEFORE</w:t>
      </w:r>
    </w:p>
    <w:p w:rsidR="00011111" w:rsidRPr="004D2AC6" w:rsidRDefault="00011111" w:rsidP="00011111">
      <w:pPr>
        <w:spacing w:after="0" w:line="240" w:lineRule="auto"/>
        <w:jc w:val="center"/>
        <w:rPr>
          <w:rFonts w:ascii="Times New Roman" w:hAnsi="Times New Roman" w:cs="Times New Roman"/>
          <w:b/>
          <w:sz w:val="28"/>
          <w:szCs w:val="28"/>
        </w:rPr>
      </w:pPr>
      <w:r w:rsidRPr="004D2AC6">
        <w:rPr>
          <w:rFonts w:ascii="Times New Roman" w:hAnsi="Times New Roman" w:cs="Times New Roman"/>
          <w:b/>
          <w:sz w:val="28"/>
          <w:szCs w:val="28"/>
        </w:rPr>
        <w:t>THE PUBLIC UTILITIES COMMISSION OF OHIO</w:t>
      </w:r>
    </w:p>
    <w:p w:rsidR="00011111" w:rsidRDefault="00011111" w:rsidP="00011111">
      <w:pPr>
        <w:tabs>
          <w:tab w:val="left" w:pos="5130"/>
          <w:tab w:val="left" w:pos="5670"/>
        </w:tabs>
        <w:spacing w:after="0" w:line="240" w:lineRule="auto"/>
        <w:rPr>
          <w:rFonts w:ascii="Times New Roman" w:eastAsia="Times New Roman" w:hAnsi="Times New Roman" w:cs="Times New Roman"/>
          <w:sz w:val="26"/>
          <w:szCs w:val="26"/>
        </w:rPr>
      </w:pPr>
    </w:p>
    <w:p w:rsidR="004D2AC6" w:rsidRPr="005D1EE8" w:rsidRDefault="004D2AC6" w:rsidP="00011111">
      <w:pPr>
        <w:tabs>
          <w:tab w:val="left" w:pos="5130"/>
          <w:tab w:val="left" w:pos="5670"/>
        </w:tabs>
        <w:spacing w:after="0" w:line="240" w:lineRule="auto"/>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689"/>
        <w:gridCol w:w="289"/>
        <w:gridCol w:w="4598"/>
      </w:tblGrid>
      <w:tr w:rsidR="00011111" w:rsidRPr="005D1EE8" w:rsidTr="00011111">
        <w:tc>
          <w:tcPr>
            <w:tcW w:w="4698" w:type="dxa"/>
          </w:tcPr>
          <w:p w:rsidR="00011111" w:rsidRPr="005D1EE8" w:rsidRDefault="00011111" w:rsidP="00011111">
            <w:pPr>
              <w:tabs>
                <w:tab w:val="left" w:pos="5130"/>
                <w:tab w:val="left" w:pos="5670"/>
              </w:tabs>
              <w:spacing w:after="0" w:line="240" w:lineRule="auto"/>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In the Matter of the Commission Review o</w:t>
            </w:r>
            <w:r w:rsidR="00037A9C" w:rsidRPr="005D1EE8">
              <w:rPr>
                <w:rFonts w:ascii="Times New Roman" w:eastAsia="Times New Roman" w:hAnsi="Times New Roman" w:cs="Times New Roman"/>
                <w:sz w:val="26"/>
                <w:szCs w:val="26"/>
              </w:rPr>
              <w:t xml:space="preserve">f the Capacity Charges of </w:t>
            </w:r>
            <w:r w:rsidR="00037A9C" w:rsidRPr="004D2AC6">
              <w:rPr>
                <w:rFonts w:ascii="Times New Roman" w:eastAsia="Times New Roman" w:hAnsi="Times New Roman" w:cs="Times New Roman"/>
                <w:b/>
                <w:sz w:val="26"/>
                <w:szCs w:val="26"/>
              </w:rPr>
              <w:t>Ohio Power Company</w:t>
            </w:r>
            <w:r w:rsidR="00037A9C" w:rsidRPr="005D1EE8">
              <w:rPr>
                <w:rFonts w:ascii="Times New Roman" w:eastAsia="Times New Roman" w:hAnsi="Times New Roman" w:cs="Times New Roman"/>
                <w:sz w:val="26"/>
                <w:szCs w:val="26"/>
              </w:rPr>
              <w:t xml:space="preserve"> and </w:t>
            </w:r>
            <w:r w:rsidR="00037A9C" w:rsidRPr="004D2AC6">
              <w:rPr>
                <w:rFonts w:ascii="Times New Roman" w:eastAsia="Times New Roman" w:hAnsi="Times New Roman" w:cs="Times New Roman"/>
                <w:b/>
                <w:sz w:val="26"/>
                <w:szCs w:val="26"/>
              </w:rPr>
              <w:t>Columbus S</w:t>
            </w:r>
            <w:r w:rsidRPr="004D2AC6">
              <w:rPr>
                <w:rFonts w:ascii="Times New Roman" w:eastAsia="Times New Roman" w:hAnsi="Times New Roman" w:cs="Times New Roman"/>
                <w:b/>
                <w:sz w:val="26"/>
                <w:szCs w:val="26"/>
              </w:rPr>
              <w:t>outhern Power Company</w:t>
            </w:r>
            <w:r w:rsidRPr="005D1EE8">
              <w:rPr>
                <w:rFonts w:ascii="Times New Roman" w:eastAsia="Times New Roman" w:hAnsi="Times New Roman" w:cs="Times New Roman"/>
                <w:sz w:val="26"/>
                <w:szCs w:val="26"/>
              </w:rPr>
              <w:t>.</w:t>
            </w:r>
          </w:p>
        </w:tc>
        <w:tc>
          <w:tcPr>
            <w:tcW w:w="270" w:type="dxa"/>
          </w:tcPr>
          <w:p w:rsidR="00011111" w:rsidRPr="005D1EE8" w:rsidRDefault="00011111" w:rsidP="00011111">
            <w:pPr>
              <w:tabs>
                <w:tab w:val="left" w:pos="5130"/>
                <w:tab w:val="left" w:pos="5670"/>
              </w:tabs>
              <w:spacing w:after="0" w:line="240" w:lineRule="auto"/>
              <w:jc w:val="center"/>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w:t>
            </w:r>
          </w:p>
          <w:p w:rsidR="00011111" w:rsidRPr="005D1EE8" w:rsidRDefault="00011111" w:rsidP="00011111">
            <w:pPr>
              <w:tabs>
                <w:tab w:val="left" w:pos="5130"/>
                <w:tab w:val="left" w:pos="5670"/>
              </w:tabs>
              <w:spacing w:after="0" w:line="240" w:lineRule="auto"/>
              <w:jc w:val="center"/>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w:t>
            </w:r>
          </w:p>
          <w:p w:rsidR="00011111" w:rsidRPr="005D1EE8" w:rsidRDefault="00011111" w:rsidP="00011111">
            <w:pPr>
              <w:tabs>
                <w:tab w:val="left" w:pos="5130"/>
                <w:tab w:val="left" w:pos="5670"/>
              </w:tabs>
              <w:spacing w:after="0" w:line="240" w:lineRule="auto"/>
              <w:jc w:val="center"/>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w:t>
            </w:r>
            <w:r w:rsidRPr="005D1EE8">
              <w:rPr>
                <w:rFonts w:ascii="Times New Roman" w:eastAsia="Times New Roman" w:hAnsi="Times New Roman" w:cs="Times New Roman"/>
                <w:sz w:val="26"/>
                <w:szCs w:val="26"/>
              </w:rPr>
              <w:br/>
              <w:t>:</w:t>
            </w:r>
          </w:p>
        </w:tc>
        <w:tc>
          <w:tcPr>
            <w:tcW w:w="4608" w:type="dxa"/>
          </w:tcPr>
          <w:p w:rsidR="00011111" w:rsidRPr="005D1EE8" w:rsidRDefault="00011111" w:rsidP="00011111">
            <w:pPr>
              <w:tabs>
                <w:tab w:val="left" w:pos="1142"/>
                <w:tab w:val="left" w:pos="5130"/>
                <w:tab w:val="left" w:pos="5670"/>
              </w:tabs>
              <w:spacing w:after="0" w:line="240" w:lineRule="auto"/>
              <w:rPr>
                <w:rFonts w:ascii="Times New Roman" w:eastAsia="Times New Roman" w:hAnsi="Times New Roman" w:cs="Times New Roman"/>
                <w:sz w:val="26"/>
                <w:szCs w:val="26"/>
              </w:rPr>
            </w:pPr>
          </w:p>
          <w:p w:rsidR="00011111" w:rsidRPr="005D1EE8" w:rsidRDefault="00011111" w:rsidP="00011111">
            <w:pPr>
              <w:tabs>
                <w:tab w:val="left" w:pos="1142"/>
                <w:tab w:val="left" w:pos="5130"/>
                <w:tab w:val="left" w:pos="5670"/>
              </w:tabs>
              <w:spacing w:after="0" w:line="240" w:lineRule="auto"/>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 xml:space="preserve">Case No. </w:t>
            </w:r>
            <w:r w:rsidRPr="004D2AC6">
              <w:rPr>
                <w:rFonts w:ascii="Times New Roman" w:eastAsia="Times New Roman" w:hAnsi="Times New Roman" w:cs="Times New Roman"/>
                <w:b/>
                <w:sz w:val="26"/>
                <w:szCs w:val="26"/>
              </w:rPr>
              <w:t>10-2929-EL-UNC</w:t>
            </w:r>
          </w:p>
        </w:tc>
      </w:tr>
    </w:tbl>
    <w:p w:rsidR="004D2AC6" w:rsidRDefault="004D2AC6" w:rsidP="00DD212C">
      <w:pPr>
        <w:tabs>
          <w:tab w:val="left" w:pos="8640"/>
        </w:tabs>
        <w:spacing w:after="0" w:line="240" w:lineRule="auto"/>
        <w:rPr>
          <w:rFonts w:ascii="Times New Roman" w:eastAsia="Times New Roman" w:hAnsi="Times New Roman" w:cs="Times New Roman"/>
          <w:b/>
          <w:bCs/>
          <w:sz w:val="26"/>
          <w:szCs w:val="26"/>
          <w:u w:val="single"/>
        </w:rPr>
      </w:pPr>
    </w:p>
    <w:p w:rsidR="004D2AC6" w:rsidRDefault="004D2AC6" w:rsidP="00DD212C">
      <w:pPr>
        <w:tabs>
          <w:tab w:val="left" w:pos="8640"/>
        </w:tabs>
        <w:spacing w:after="0" w:line="240" w:lineRule="auto"/>
        <w:rPr>
          <w:rFonts w:ascii="Times New Roman" w:eastAsia="Times New Roman" w:hAnsi="Times New Roman" w:cs="Times New Roman"/>
          <w:b/>
          <w:bCs/>
          <w:sz w:val="26"/>
          <w:szCs w:val="26"/>
          <w:u w:val="single"/>
        </w:rPr>
      </w:pPr>
    </w:p>
    <w:p w:rsidR="004D2AC6" w:rsidRDefault="004D2AC6" w:rsidP="00DD212C">
      <w:pPr>
        <w:tabs>
          <w:tab w:val="left" w:pos="8640"/>
        </w:tabs>
        <w:spacing w:after="0" w:line="240" w:lineRule="auto"/>
        <w:rPr>
          <w:rFonts w:ascii="Times New Roman" w:eastAsia="Times New Roman" w:hAnsi="Times New Roman" w:cs="Times New Roman"/>
          <w:b/>
          <w:bCs/>
          <w:sz w:val="26"/>
          <w:szCs w:val="26"/>
          <w:u w:val="single"/>
        </w:rPr>
      </w:pPr>
    </w:p>
    <w:p w:rsidR="004D2AC6" w:rsidRDefault="004D2AC6" w:rsidP="00DD212C">
      <w:pPr>
        <w:tabs>
          <w:tab w:val="left" w:pos="8640"/>
        </w:tabs>
        <w:spacing w:after="0" w:line="240" w:lineRule="auto"/>
        <w:rPr>
          <w:rFonts w:ascii="Times New Roman" w:eastAsia="Times New Roman" w:hAnsi="Times New Roman" w:cs="Times New Roman"/>
          <w:b/>
          <w:bCs/>
          <w:sz w:val="26"/>
          <w:szCs w:val="26"/>
          <w:u w:val="single"/>
        </w:rPr>
      </w:pPr>
    </w:p>
    <w:p w:rsidR="00994718" w:rsidRPr="004D2AC6" w:rsidRDefault="004D2AC6" w:rsidP="004D2AC6">
      <w:pPr>
        <w:tabs>
          <w:tab w:val="left" w:pos="9360"/>
        </w:tabs>
        <w:spacing w:after="0" w:line="240" w:lineRule="auto"/>
        <w:rPr>
          <w:rFonts w:ascii="Times New Roman" w:eastAsia="Times New Roman" w:hAnsi="Times New Roman" w:cs="Times New Roman"/>
          <w:bCs/>
          <w:sz w:val="26"/>
          <w:szCs w:val="26"/>
          <w:u w:val="single"/>
        </w:rPr>
      </w:pPr>
      <w:r w:rsidRPr="004D2AC6">
        <w:rPr>
          <w:rFonts w:ascii="Times New Roman" w:eastAsia="Times New Roman" w:hAnsi="Times New Roman" w:cs="Times New Roman"/>
          <w:bCs/>
          <w:sz w:val="26"/>
          <w:szCs w:val="26"/>
          <w:u w:val="single"/>
        </w:rPr>
        <w:tab/>
      </w:r>
    </w:p>
    <w:p w:rsidR="00994718" w:rsidRPr="005D1EE8" w:rsidRDefault="00994718" w:rsidP="00DD212C">
      <w:pPr>
        <w:tabs>
          <w:tab w:val="left" w:pos="8640"/>
        </w:tabs>
        <w:spacing w:after="0" w:line="240" w:lineRule="auto"/>
        <w:rPr>
          <w:rFonts w:ascii="Times New Roman" w:eastAsia="Times New Roman" w:hAnsi="Times New Roman" w:cs="Times New Roman"/>
          <w:b/>
          <w:bCs/>
          <w:sz w:val="26"/>
          <w:szCs w:val="26"/>
          <w:u w:val="single"/>
        </w:rPr>
      </w:pPr>
    </w:p>
    <w:p w:rsidR="004D2AC6" w:rsidRPr="004D2AC6" w:rsidRDefault="00994718" w:rsidP="00DD212C">
      <w:pPr>
        <w:tabs>
          <w:tab w:val="left" w:pos="8640"/>
        </w:tabs>
        <w:spacing w:after="0" w:line="240" w:lineRule="auto"/>
        <w:jc w:val="center"/>
        <w:rPr>
          <w:rFonts w:ascii="Times New Roman" w:eastAsia="Times New Roman" w:hAnsi="Times New Roman" w:cs="Times New Roman"/>
          <w:b/>
          <w:bCs/>
          <w:sz w:val="32"/>
          <w:szCs w:val="32"/>
        </w:rPr>
      </w:pPr>
      <w:r w:rsidRPr="004D2AC6">
        <w:rPr>
          <w:rFonts w:ascii="Times New Roman" w:eastAsia="Times New Roman" w:hAnsi="Times New Roman" w:cs="Times New Roman"/>
          <w:b/>
          <w:bCs/>
          <w:sz w:val="32"/>
          <w:szCs w:val="32"/>
        </w:rPr>
        <w:t xml:space="preserve">INITIAL POST-HEARING </w:t>
      </w:r>
      <w:r w:rsidR="004D2AC6" w:rsidRPr="004D2AC6">
        <w:rPr>
          <w:rFonts w:ascii="Times New Roman" w:eastAsia="Times New Roman" w:hAnsi="Times New Roman" w:cs="Times New Roman"/>
          <w:b/>
          <w:bCs/>
          <w:sz w:val="32"/>
          <w:szCs w:val="32"/>
        </w:rPr>
        <w:t>BRIEF</w:t>
      </w:r>
    </w:p>
    <w:p w:rsidR="004D2AC6" w:rsidRDefault="004D2AC6" w:rsidP="00DD212C">
      <w:pPr>
        <w:tabs>
          <w:tab w:val="left" w:pos="8640"/>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SUBMITTED ON BEHALF </w:t>
      </w:r>
      <w:r w:rsidR="00994718" w:rsidRPr="005D1EE8">
        <w:rPr>
          <w:rFonts w:ascii="Times New Roman" w:eastAsia="Times New Roman" w:hAnsi="Times New Roman" w:cs="Times New Roman"/>
          <w:b/>
          <w:bCs/>
          <w:sz w:val="26"/>
          <w:szCs w:val="26"/>
        </w:rPr>
        <w:t xml:space="preserve">OF THE STAFF OF </w:t>
      </w:r>
    </w:p>
    <w:p w:rsidR="00994718" w:rsidRPr="005D1EE8" w:rsidRDefault="00994718" w:rsidP="00DD212C">
      <w:pPr>
        <w:tabs>
          <w:tab w:val="left" w:pos="8640"/>
        </w:tabs>
        <w:spacing w:after="0" w:line="240" w:lineRule="auto"/>
        <w:jc w:val="center"/>
        <w:rPr>
          <w:rFonts w:ascii="Times New Roman" w:eastAsia="Times New Roman" w:hAnsi="Times New Roman" w:cs="Times New Roman"/>
          <w:b/>
          <w:bCs/>
          <w:sz w:val="26"/>
          <w:szCs w:val="26"/>
        </w:rPr>
      </w:pPr>
      <w:r w:rsidRPr="005D1EE8">
        <w:rPr>
          <w:rFonts w:ascii="Times New Roman" w:eastAsia="Times New Roman" w:hAnsi="Times New Roman" w:cs="Times New Roman"/>
          <w:b/>
          <w:bCs/>
          <w:sz w:val="26"/>
          <w:szCs w:val="26"/>
        </w:rPr>
        <w:t>THE PUBLIC UTILITIES COMMISSION OF OHIO</w:t>
      </w:r>
    </w:p>
    <w:p w:rsidR="004D2AC6" w:rsidRPr="004D2AC6" w:rsidRDefault="004D2AC6" w:rsidP="004D2AC6">
      <w:pPr>
        <w:tabs>
          <w:tab w:val="left" w:pos="9360"/>
        </w:tabs>
        <w:spacing w:after="0" w:line="240" w:lineRule="auto"/>
        <w:rPr>
          <w:rFonts w:ascii="Times New Roman" w:eastAsia="Times New Roman" w:hAnsi="Times New Roman" w:cs="Times New Roman"/>
          <w:bCs/>
          <w:sz w:val="26"/>
          <w:szCs w:val="26"/>
          <w:u w:val="single"/>
        </w:rPr>
      </w:pPr>
      <w:r w:rsidRPr="004D2AC6">
        <w:rPr>
          <w:rFonts w:ascii="Times New Roman" w:eastAsia="Times New Roman" w:hAnsi="Times New Roman" w:cs="Times New Roman"/>
          <w:bCs/>
          <w:sz w:val="26"/>
          <w:szCs w:val="26"/>
          <w:u w:val="single"/>
        </w:rPr>
        <w:tab/>
      </w:r>
    </w:p>
    <w:p w:rsidR="00994718" w:rsidRPr="005D1EE8" w:rsidRDefault="00994718" w:rsidP="00DD212C">
      <w:pPr>
        <w:rPr>
          <w:rFonts w:ascii="Times New Roman" w:hAnsi="Times New Roman" w:cs="Times New Roman"/>
          <w:sz w:val="26"/>
          <w:szCs w:val="26"/>
        </w:rPr>
      </w:pPr>
    </w:p>
    <w:p w:rsidR="00994718" w:rsidRPr="005D1EE8" w:rsidRDefault="00994718" w:rsidP="00DD212C">
      <w:pPr>
        <w:rPr>
          <w:rFonts w:ascii="Times New Roman" w:hAnsi="Times New Roman" w:cs="Times New Roman"/>
          <w:sz w:val="26"/>
          <w:szCs w:val="26"/>
        </w:rPr>
      </w:pPr>
    </w:p>
    <w:p w:rsidR="004D2AC6" w:rsidRDefault="002E69B2" w:rsidP="004D2AC6">
      <w:pPr>
        <w:spacing w:after="0" w:line="240" w:lineRule="auto"/>
        <w:ind w:left="4320"/>
        <w:rPr>
          <w:rFonts w:ascii="Times New Roman" w:eastAsia="Times New Roman" w:hAnsi="Times New Roman" w:cs="Times New Roman"/>
          <w:b/>
          <w:sz w:val="26"/>
          <w:szCs w:val="26"/>
        </w:rPr>
      </w:pPr>
      <w:r>
        <w:rPr>
          <w:rFonts w:ascii="Times New Roman" w:eastAsia="Times New Roman" w:hAnsi="Times New Roman" w:cs="Times New Roman"/>
          <w:b/>
          <w:sz w:val="26"/>
          <w:szCs w:val="26"/>
        </w:rPr>
        <w:t>Michael</w:t>
      </w:r>
      <w:r w:rsidR="00994718" w:rsidRPr="005D1EE8">
        <w:rPr>
          <w:rFonts w:ascii="Times New Roman" w:eastAsia="Times New Roman" w:hAnsi="Times New Roman" w:cs="Times New Roman"/>
          <w:b/>
          <w:sz w:val="26"/>
          <w:szCs w:val="26"/>
        </w:rPr>
        <w:t xml:space="preserve"> DeWine </w:t>
      </w:r>
    </w:p>
    <w:p w:rsidR="00994718" w:rsidRPr="004D2AC6" w:rsidRDefault="00994718" w:rsidP="004D2AC6">
      <w:pPr>
        <w:spacing w:after="0" w:line="240" w:lineRule="auto"/>
        <w:ind w:left="4320"/>
        <w:rPr>
          <w:rFonts w:ascii="Times New Roman" w:eastAsia="Times New Roman" w:hAnsi="Times New Roman" w:cs="Times New Roman"/>
          <w:b/>
          <w:sz w:val="26"/>
          <w:szCs w:val="26"/>
        </w:rPr>
      </w:pPr>
      <w:r w:rsidRPr="005D1EE8">
        <w:rPr>
          <w:rFonts w:ascii="Times New Roman" w:eastAsia="Times New Roman" w:hAnsi="Times New Roman" w:cs="Times New Roman"/>
          <w:sz w:val="26"/>
          <w:szCs w:val="26"/>
        </w:rPr>
        <w:t>Ohio Attorney General</w:t>
      </w:r>
    </w:p>
    <w:p w:rsidR="00994718" w:rsidRPr="005D1EE8" w:rsidRDefault="00994718" w:rsidP="004D2AC6">
      <w:pPr>
        <w:spacing w:after="0" w:line="240" w:lineRule="auto"/>
        <w:ind w:left="4320"/>
        <w:rPr>
          <w:rFonts w:ascii="Times New Roman" w:eastAsia="Times New Roman" w:hAnsi="Times New Roman" w:cs="Times New Roman"/>
          <w:sz w:val="26"/>
          <w:szCs w:val="26"/>
        </w:rPr>
      </w:pPr>
    </w:p>
    <w:p w:rsidR="00994718" w:rsidRPr="005D1EE8" w:rsidRDefault="00994718" w:rsidP="004D2AC6">
      <w:pPr>
        <w:spacing w:after="0" w:line="240" w:lineRule="auto"/>
        <w:ind w:left="4320"/>
        <w:rPr>
          <w:rFonts w:ascii="Times New Roman" w:eastAsia="Times New Roman" w:hAnsi="Times New Roman" w:cs="Times New Roman"/>
          <w:b/>
          <w:sz w:val="26"/>
          <w:szCs w:val="26"/>
        </w:rPr>
      </w:pPr>
      <w:r w:rsidRPr="005D1EE8">
        <w:rPr>
          <w:rFonts w:ascii="Times New Roman" w:eastAsia="Times New Roman" w:hAnsi="Times New Roman" w:cs="Times New Roman"/>
          <w:b/>
          <w:sz w:val="26"/>
          <w:szCs w:val="26"/>
        </w:rPr>
        <w:t>William L. Wright</w:t>
      </w:r>
    </w:p>
    <w:p w:rsidR="00994718" w:rsidRDefault="00994718" w:rsidP="004D2AC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Section Chief</w:t>
      </w:r>
    </w:p>
    <w:p w:rsidR="002E4B56" w:rsidRPr="005D1EE8" w:rsidRDefault="002E4B56" w:rsidP="004D2AC6">
      <w:pPr>
        <w:spacing w:after="0" w:line="240" w:lineRule="auto"/>
        <w:ind w:left="4320"/>
        <w:rPr>
          <w:rFonts w:ascii="Times New Roman" w:eastAsia="Times New Roman" w:hAnsi="Times New Roman" w:cs="Times New Roman"/>
          <w:sz w:val="26"/>
          <w:szCs w:val="26"/>
        </w:rPr>
      </w:pPr>
    </w:p>
    <w:p w:rsidR="00994718" w:rsidRPr="005D1EE8" w:rsidRDefault="00994718" w:rsidP="004D2AC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b/>
          <w:sz w:val="26"/>
          <w:szCs w:val="26"/>
        </w:rPr>
        <w:t>John H. Jones</w:t>
      </w:r>
    </w:p>
    <w:p w:rsidR="00994718" w:rsidRPr="005D1EE8" w:rsidRDefault="00994718" w:rsidP="004D2AC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b/>
          <w:sz w:val="26"/>
          <w:szCs w:val="26"/>
        </w:rPr>
        <w:t>Steven L. Beeler</w:t>
      </w:r>
      <w:r w:rsidRPr="005D1EE8">
        <w:rPr>
          <w:rFonts w:ascii="Times New Roman" w:eastAsia="Times New Roman" w:hAnsi="Times New Roman" w:cs="Times New Roman"/>
          <w:sz w:val="26"/>
          <w:szCs w:val="26"/>
        </w:rPr>
        <w:t xml:space="preserve"> </w:t>
      </w:r>
    </w:p>
    <w:p w:rsidR="00994718" w:rsidRDefault="00994718" w:rsidP="004D2AC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Assistant Attorneys General</w:t>
      </w:r>
    </w:p>
    <w:p w:rsidR="002E4B56" w:rsidRPr="005D1EE8" w:rsidRDefault="002E4B56" w:rsidP="004D2AC6">
      <w:pPr>
        <w:spacing w:after="0" w:line="240" w:lineRule="auto"/>
        <w:ind w:left="4320"/>
        <w:rPr>
          <w:rFonts w:ascii="Times New Roman" w:eastAsia="Times New Roman" w:hAnsi="Times New Roman" w:cs="Times New Roman"/>
          <w:sz w:val="26"/>
          <w:szCs w:val="26"/>
        </w:rPr>
      </w:pPr>
      <w:r>
        <w:rPr>
          <w:rFonts w:ascii="Times New Roman" w:eastAsia="Times New Roman" w:hAnsi="Times New Roman" w:cs="Times New Roman"/>
          <w:sz w:val="26"/>
          <w:szCs w:val="26"/>
        </w:rPr>
        <w:t>Public Utilities Section</w:t>
      </w:r>
    </w:p>
    <w:p w:rsidR="00994718" w:rsidRPr="005D1EE8" w:rsidRDefault="00994718" w:rsidP="004D2AC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180 East Broad Street, 6</w:t>
      </w:r>
      <w:r w:rsidRPr="005D1EE8">
        <w:rPr>
          <w:rFonts w:ascii="Times New Roman" w:eastAsia="Times New Roman" w:hAnsi="Times New Roman" w:cs="Times New Roman"/>
          <w:sz w:val="26"/>
          <w:szCs w:val="26"/>
          <w:vertAlign w:val="superscript"/>
        </w:rPr>
        <w:t>th</w:t>
      </w:r>
      <w:r w:rsidRPr="005D1EE8">
        <w:rPr>
          <w:rFonts w:ascii="Times New Roman" w:eastAsia="Times New Roman" w:hAnsi="Times New Roman" w:cs="Times New Roman"/>
          <w:sz w:val="26"/>
          <w:szCs w:val="26"/>
        </w:rPr>
        <w:t xml:space="preserve"> floor  </w:t>
      </w:r>
    </w:p>
    <w:p w:rsidR="00994718" w:rsidRPr="005D1EE8" w:rsidRDefault="00994718" w:rsidP="004D2AC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Columbus, Ohio 43215-3739</w:t>
      </w:r>
    </w:p>
    <w:p w:rsidR="00994718" w:rsidRPr="005D1EE8" w:rsidRDefault="002E4B56" w:rsidP="004D2AC6">
      <w:pPr>
        <w:spacing w:after="0" w:line="240" w:lineRule="auto"/>
        <w:ind w:left="4320"/>
        <w:rPr>
          <w:rFonts w:ascii="Times New Roman" w:eastAsia="Times New Roman" w:hAnsi="Times New Roman" w:cs="Times New Roman"/>
          <w:sz w:val="26"/>
          <w:szCs w:val="26"/>
        </w:rPr>
      </w:pPr>
      <w:r>
        <w:rPr>
          <w:rFonts w:ascii="Times New Roman" w:eastAsia="Times New Roman" w:hAnsi="Times New Roman" w:cs="Times New Roman"/>
          <w:sz w:val="26"/>
          <w:szCs w:val="26"/>
        </w:rPr>
        <w:t>614.466.4397 (telephone)</w:t>
      </w:r>
    </w:p>
    <w:p w:rsidR="00994718" w:rsidRPr="005D1EE8" w:rsidRDefault="002E4B56" w:rsidP="004D2AC6">
      <w:pPr>
        <w:spacing w:after="0" w:line="240" w:lineRule="auto"/>
        <w:ind w:left="4320"/>
        <w:rPr>
          <w:rFonts w:ascii="Times New Roman" w:eastAsia="Times New Roman" w:hAnsi="Times New Roman" w:cs="Times New Roman"/>
          <w:sz w:val="26"/>
          <w:szCs w:val="26"/>
        </w:rPr>
      </w:pPr>
      <w:r>
        <w:rPr>
          <w:rFonts w:ascii="Times New Roman" w:eastAsia="Times New Roman" w:hAnsi="Times New Roman" w:cs="Times New Roman"/>
          <w:sz w:val="26"/>
          <w:szCs w:val="26"/>
        </w:rPr>
        <w:t>614.644.8764 (fax)</w:t>
      </w:r>
    </w:p>
    <w:p w:rsidR="00994718" w:rsidRDefault="00A23AA3" w:rsidP="004D2AC6">
      <w:pPr>
        <w:spacing w:after="0" w:line="240" w:lineRule="auto"/>
        <w:ind w:left="4320"/>
        <w:rPr>
          <w:rFonts w:ascii="Times New Roman" w:eastAsia="Times New Roman" w:hAnsi="Times New Roman" w:cs="Times New Roman"/>
          <w:sz w:val="26"/>
          <w:szCs w:val="26"/>
        </w:rPr>
      </w:pPr>
      <w:hyperlink r:id="rId9" w:history="1">
        <w:r w:rsidR="002E4B56" w:rsidRPr="009038DA">
          <w:rPr>
            <w:rStyle w:val="Hyperlink"/>
            <w:rFonts w:ascii="Times New Roman" w:eastAsia="Times New Roman" w:hAnsi="Times New Roman" w:cs="Times New Roman"/>
            <w:sz w:val="26"/>
            <w:szCs w:val="26"/>
          </w:rPr>
          <w:t>john.jones@puc.state.oh.us</w:t>
        </w:r>
      </w:hyperlink>
    </w:p>
    <w:p w:rsidR="00994718" w:rsidRDefault="00A23AA3" w:rsidP="004D2AC6">
      <w:pPr>
        <w:spacing w:after="0" w:line="240" w:lineRule="auto"/>
        <w:ind w:left="4320"/>
        <w:rPr>
          <w:rFonts w:ascii="Times New Roman" w:eastAsia="Times New Roman" w:hAnsi="Times New Roman" w:cs="Times New Roman"/>
          <w:sz w:val="26"/>
          <w:szCs w:val="26"/>
        </w:rPr>
      </w:pPr>
      <w:hyperlink r:id="rId10" w:history="1">
        <w:r w:rsidR="002E4B56" w:rsidRPr="009038DA">
          <w:rPr>
            <w:rStyle w:val="Hyperlink"/>
            <w:rFonts w:ascii="Times New Roman" w:eastAsia="Times New Roman" w:hAnsi="Times New Roman" w:cs="Times New Roman"/>
            <w:sz w:val="26"/>
            <w:szCs w:val="26"/>
          </w:rPr>
          <w:t>steven.beeler@puc.state.oh.us</w:t>
        </w:r>
      </w:hyperlink>
    </w:p>
    <w:p w:rsidR="00994718" w:rsidRPr="005D1EE8" w:rsidRDefault="00994718" w:rsidP="004D2AC6">
      <w:pPr>
        <w:spacing w:after="0" w:line="240" w:lineRule="auto"/>
        <w:ind w:left="4320"/>
        <w:rPr>
          <w:rFonts w:ascii="Times New Roman" w:eastAsia="Times New Roman" w:hAnsi="Times New Roman" w:cs="Times New Roman"/>
          <w:sz w:val="26"/>
          <w:szCs w:val="26"/>
        </w:rPr>
      </w:pPr>
    </w:p>
    <w:p w:rsidR="00994718" w:rsidRPr="005D1EE8" w:rsidRDefault="00994718" w:rsidP="004D2AC6">
      <w:pPr>
        <w:spacing w:after="0" w:line="240" w:lineRule="auto"/>
        <w:ind w:left="4320"/>
        <w:rPr>
          <w:rFonts w:ascii="Times New Roman" w:eastAsia="Times New Roman" w:hAnsi="Times New Roman" w:cs="Times New Roman"/>
          <w:b/>
          <w:bCs/>
          <w:sz w:val="26"/>
          <w:szCs w:val="26"/>
        </w:rPr>
      </w:pPr>
      <w:r w:rsidRPr="005D1EE8">
        <w:rPr>
          <w:rFonts w:ascii="Times New Roman" w:eastAsia="Times New Roman" w:hAnsi="Times New Roman" w:cs="Times New Roman"/>
          <w:b/>
          <w:bCs/>
          <w:sz w:val="26"/>
          <w:szCs w:val="26"/>
        </w:rPr>
        <w:t>Counsel for the Staff of the</w:t>
      </w:r>
    </w:p>
    <w:p w:rsidR="00994718" w:rsidRPr="005D1EE8" w:rsidRDefault="00994718" w:rsidP="004D2AC6">
      <w:pPr>
        <w:spacing w:after="0" w:line="240" w:lineRule="auto"/>
        <w:ind w:left="4320"/>
        <w:rPr>
          <w:rFonts w:ascii="Times New Roman" w:eastAsia="Times New Roman" w:hAnsi="Times New Roman" w:cs="Times New Roman"/>
          <w:b/>
          <w:bCs/>
          <w:sz w:val="26"/>
          <w:szCs w:val="26"/>
        </w:rPr>
      </w:pPr>
      <w:r w:rsidRPr="005D1EE8">
        <w:rPr>
          <w:rFonts w:ascii="Times New Roman" w:eastAsia="Times New Roman" w:hAnsi="Times New Roman" w:cs="Times New Roman"/>
          <w:b/>
          <w:bCs/>
          <w:sz w:val="26"/>
          <w:szCs w:val="26"/>
        </w:rPr>
        <w:t>Public Utilities Commission of Ohio</w:t>
      </w:r>
    </w:p>
    <w:p w:rsidR="002228CE" w:rsidRDefault="002228CE" w:rsidP="004D2AC6">
      <w:pPr>
        <w:spacing w:after="0" w:line="240" w:lineRule="auto"/>
        <w:ind w:left="4320"/>
        <w:rPr>
          <w:rFonts w:ascii="Times New Roman" w:hAnsi="Times New Roman" w:cs="Times New Roman"/>
          <w:sz w:val="26"/>
          <w:szCs w:val="26"/>
        </w:rPr>
      </w:pPr>
    </w:p>
    <w:p w:rsidR="004D2AC6" w:rsidRPr="005D1EE8" w:rsidRDefault="004D2AC6" w:rsidP="004D2AC6">
      <w:pPr>
        <w:spacing w:after="0" w:line="240" w:lineRule="auto"/>
        <w:ind w:left="4320"/>
        <w:rPr>
          <w:rFonts w:ascii="Times New Roman" w:hAnsi="Times New Roman" w:cs="Times New Roman"/>
          <w:sz w:val="26"/>
          <w:szCs w:val="26"/>
        </w:rPr>
        <w:sectPr w:rsidR="004D2AC6" w:rsidRPr="005D1EE8" w:rsidSect="002228CE">
          <w:footerReference w:type="default" r:id="rId11"/>
          <w:endnotePr>
            <w:numFmt w:val="decimal"/>
          </w:endnotePr>
          <w:pgSz w:w="12240" w:h="15840"/>
          <w:pgMar w:top="1440" w:right="1440" w:bottom="1440" w:left="1440" w:header="720" w:footer="720" w:gutter="0"/>
          <w:pgNumType w:fmt="lowerRoman" w:start="1"/>
          <w:cols w:space="720"/>
          <w:docGrid w:linePitch="360"/>
        </w:sectPr>
      </w:pPr>
    </w:p>
    <w:p w:rsidR="007B36DD" w:rsidRDefault="000D1941">
      <w:pPr>
        <w:pStyle w:val="TOC1"/>
        <w:rPr>
          <w:rFonts w:asciiTheme="minorHAnsi" w:eastAsiaTheme="minorEastAsia" w:hAnsiTheme="minorHAnsi"/>
          <w:noProof/>
          <w:sz w:val="22"/>
        </w:rPr>
      </w:pPr>
      <w:r>
        <w:rPr>
          <w:rFonts w:cs="Times New Roman"/>
          <w:szCs w:val="26"/>
        </w:rPr>
        <w:lastRenderedPageBreak/>
        <w:fldChar w:fldCharType="begin"/>
      </w:r>
      <w:r>
        <w:rPr>
          <w:rFonts w:cs="Times New Roman"/>
          <w:szCs w:val="26"/>
        </w:rPr>
        <w:instrText xml:space="preserve"> TOC \o "1-7" \u </w:instrText>
      </w:r>
      <w:r>
        <w:rPr>
          <w:rFonts w:cs="Times New Roman"/>
          <w:szCs w:val="26"/>
        </w:rPr>
        <w:fldChar w:fldCharType="separate"/>
      </w:r>
      <w:r w:rsidR="007B36DD" w:rsidRPr="00B534C0">
        <w:rPr>
          <w:rFonts w:eastAsia="Times New Roman"/>
          <w:noProof/>
        </w:rPr>
        <w:t>INTRODUCTION</w:t>
      </w:r>
      <w:r w:rsidR="007B36DD">
        <w:rPr>
          <w:noProof/>
        </w:rPr>
        <w:tab/>
      </w:r>
      <w:r w:rsidR="007B36DD">
        <w:rPr>
          <w:noProof/>
        </w:rPr>
        <w:fldChar w:fldCharType="begin"/>
      </w:r>
      <w:r w:rsidR="007B36DD">
        <w:rPr>
          <w:noProof/>
        </w:rPr>
        <w:instrText xml:space="preserve"> PAGEREF _Toc325543187 \h </w:instrText>
      </w:r>
      <w:r w:rsidR="007B36DD">
        <w:rPr>
          <w:noProof/>
        </w:rPr>
      </w:r>
      <w:r w:rsidR="007B36DD">
        <w:rPr>
          <w:noProof/>
        </w:rPr>
        <w:fldChar w:fldCharType="separate"/>
      </w:r>
      <w:r w:rsidR="00A23AA3">
        <w:rPr>
          <w:noProof/>
        </w:rPr>
        <w:t>1</w:t>
      </w:r>
      <w:r w:rsidR="007B36DD">
        <w:rPr>
          <w:noProof/>
        </w:rPr>
        <w:fldChar w:fldCharType="end"/>
      </w:r>
    </w:p>
    <w:p w:rsidR="007B36DD" w:rsidRDefault="007B36DD">
      <w:pPr>
        <w:pStyle w:val="TOC1"/>
        <w:rPr>
          <w:rFonts w:asciiTheme="minorHAnsi" w:eastAsiaTheme="minorEastAsia" w:hAnsiTheme="minorHAnsi"/>
          <w:noProof/>
          <w:sz w:val="22"/>
        </w:rPr>
      </w:pPr>
      <w:r w:rsidRPr="00B534C0">
        <w:rPr>
          <w:rFonts w:eastAsia="Times New Roman"/>
          <w:noProof/>
        </w:rPr>
        <w:t>BACKGROUND</w:t>
      </w:r>
      <w:r>
        <w:rPr>
          <w:noProof/>
        </w:rPr>
        <w:tab/>
      </w:r>
      <w:r>
        <w:rPr>
          <w:noProof/>
        </w:rPr>
        <w:fldChar w:fldCharType="begin"/>
      </w:r>
      <w:r>
        <w:rPr>
          <w:noProof/>
        </w:rPr>
        <w:instrText xml:space="preserve"> PAGEREF _Toc325543188 \h </w:instrText>
      </w:r>
      <w:r>
        <w:rPr>
          <w:noProof/>
        </w:rPr>
      </w:r>
      <w:r>
        <w:rPr>
          <w:noProof/>
        </w:rPr>
        <w:fldChar w:fldCharType="separate"/>
      </w:r>
      <w:r w:rsidR="00A23AA3">
        <w:rPr>
          <w:noProof/>
        </w:rPr>
        <w:t>1</w:t>
      </w:r>
      <w:r>
        <w:rPr>
          <w:noProof/>
        </w:rPr>
        <w:fldChar w:fldCharType="end"/>
      </w:r>
    </w:p>
    <w:p w:rsidR="007B36DD" w:rsidRDefault="007B36DD">
      <w:pPr>
        <w:pStyle w:val="TOC1"/>
        <w:rPr>
          <w:rFonts w:asciiTheme="minorHAnsi" w:eastAsiaTheme="minorEastAsia" w:hAnsiTheme="minorHAnsi"/>
          <w:noProof/>
          <w:sz w:val="22"/>
        </w:rPr>
      </w:pPr>
      <w:r w:rsidRPr="00B534C0">
        <w:rPr>
          <w:rFonts w:eastAsia="Times New Roman"/>
          <w:noProof/>
        </w:rPr>
        <w:t>ARGUMENT</w:t>
      </w:r>
      <w:r>
        <w:rPr>
          <w:noProof/>
        </w:rPr>
        <w:tab/>
      </w:r>
      <w:r>
        <w:rPr>
          <w:noProof/>
        </w:rPr>
        <w:fldChar w:fldCharType="begin"/>
      </w:r>
      <w:r>
        <w:rPr>
          <w:noProof/>
        </w:rPr>
        <w:instrText xml:space="preserve"> PAGEREF _Toc325543189 \h </w:instrText>
      </w:r>
      <w:r>
        <w:rPr>
          <w:noProof/>
        </w:rPr>
      </w:r>
      <w:r>
        <w:rPr>
          <w:noProof/>
        </w:rPr>
        <w:fldChar w:fldCharType="separate"/>
      </w:r>
      <w:r w:rsidR="00A23AA3">
        <w:rPr>
          <w:noProof/>
        </w:rPr>
        <w:t>1</w:t>
      </w:r>
      <w:r>
        <w:rPr>
          <w:noProof/>
        </w:rPr>
        <w:fldChar w:fldCharType="end"/>
      </w:r>
    </w:p>
    <w:p w:rsidR="007B36DD" w:rsidRDefault="007B36DD">
      <w:pPr>
        <w:pStyle w:val="TOC2"/>
        <w:tabs>
          <w:tab w:val="left" w:pos="1382"/>
        </w:tabs>
        <w:rPr>
          <w:rFonts w:asciiTheme="minorHAnsi" w:eastAsiaTheme="minorEastAsia" w:hAnsiTheme="minorHAnsi"/>
          <w:noProof/>
          <w:sz w:val="22"/>
        </w:rPr>
      </w:pPr>
      <w:r w:rsidRPr="00B534C0">
        <w:rPr>
          <w:rFonts w:eastAsia="Times New Roman"/>
          <w:noProof/>
        </w:rPr>
        <w:t>I.</w:t>
      </w:r>
      <w:r>
        <w:rPr>
          <w:rFonts w:asciiTheme="minorHAnsi" w:eastAsiaTheme="minorEastAsia" w:hAnsiTheme="minorHAnsi"/>
          <w:noProof/>
          <w:sz w:val="22"/>
        </w:rPr>
        <w:tab/>
      </w:r>
      <w:r w:rsidRPr="00B534C0">
        <w:rPr>
          <w:rFonts w:eastAsia="Times New Roman"/>
          <w:noProof/>
        </w:rPr>
        <w:t>AEP Ohio fails to justify that the proposed $355.72/MW-Day capacity rate it would charge CRES providers is appropriate.</w:t>
      </w:r>
      <w:r>
        <w:rPr>
          <w:noProof/>
        </w:rPr>
        <w:tab/>
      </w:r>
      <w:r>
        <w:rPr>
          <w:noProof/>
        </w:rPr>
        <w:fldChar w:fldCharType="begin"/>
      </w:r>
      <w:r>
        <w:rPr>
          <w:noProof/>
        </w:rPr>
        <w:instrText xml:space="preserve"> PAGEREF _Toc325543190 \h </w:instrText>
      </w:r>
      <w:r>
        <w:rPr>
          <w:noProof/>
        </w:rPr>
      </w:r>
      <w:r>
        <w:rPr>
          <w:noProof/>
        </w:rPr>
        <w:fldChar w:fldCharType="separate"/>
      </w:r>
      <w:r w:rsidR="00A23AA3">
        <w:rPr>
          <w:noProof/>
        </w:rPr>
        <w:t>1</w:t>
      </w:r>
      <w:r>
        <w:rPr>
          <w:noProof/>
        </w:rPr>
        <w:fldChar w:fldCharType="end"/>
      </w:r>
    </w:p>
    <w:p w:rsidR="007B36DD" w:rsidRDefault="007B36DD">
      <w:pPr>
        <w:pStyle w:val="TOC3"/>
        <w:tabs>
          <w:tab w:val="left" w:pos="2160"/>
        </w:tabs>
        <w:rPr>
          <w:rFonts w:asciiTheme="minorHAnsi" w:eastAsiaTheme="minorEastAsia" w:hAnsiTheme="minorHAnsi"/>
          <w:sz w:val="22"/>
        </w:rPr>
      </w:pPr>
      <w:r w:rsidRPr="00B534C0">
        <w:t>A.</w:t>
      </w:r>
      <w:r>
        <w:rPr>
          <w:rFonts w:asciiTheme="minorHAnsi" w:eastAsiaTheme="minorEastAsia" w:hAnsiTheme="minorHAnsi"/>
          <w:sz w:val="22"/>
        </w:rPr>
        <w:tab/>
      </w:r>
      <w:r w:rsidRPr="00B534C0">
        <w:t>As an alternate proposal, the Staff makes appropriate adjustments to AEP Ohio’s proposed capacity rate.</w:t>
      </w:r>
      <w:r>
        <w:tab/>
      </w:r>
      <w:r>
        <w:fldChar w:fldCharType="begin"/>
      </w:r>
      <w:r>
        <w:instrText xml:space="preserve"> PAGEREF _Toc325543191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1.</w:t>
      </w:r>
      <w:r>
        <w:rPr>
          <w:rFonts w:asciiTheme="minorHAnsi" w:eastAsiaTheme="minorEastAsia" w:hAnsiTheme="minorHAnsi"/>
          <w:sz w:val="22"/>
        </w:rPr>
        <w:tab/>
      </w:r>
      <w:r>
        <w:t>Return on Equity</w:t>
      </w:r>
      <w:r>
        <w:tab/>
      </w:r>
      <w:r>
        <w:fldChar w:fldCharType="begin"/>
      </w:r>
      <w:r>
        <w:instrText xml:space="preserve"> PAGEREF _Toc325543192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2.</w:t>
      </w:r>
      <w:r>
        <w:rPr>
          <w:rFonts w:asciiTheme="minorHAnsi" w:eastAsiaTheme="minorEastAsia" w:hAnsiTheme="minorHAnsi"/>
          <w:sz w:val="22"/>
        </w:rPr>
        <w:tab/>
      </w:r>
      <w:r>
        <w:t>Rate of Return</w:t>
      </w:r>
      <w:r>
        <w:tab/>
      </w:r>
      <w:r>
        <w:fldChar w:fldCharType="begin"/>
      </w:r>
      <w:r>
        <w:instrText xml:space="preserve"> PAGEREF _Toc325543193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3.</w:t>
      </w:r>
      <w:r>
        <w:rPr>
          <w:rFonts w:asciiTheme="minorHAnsi" w:eastAsiaTheme="minorEastAsia" w:hAnsiTheme="minorHAnsi"/>
          <w:sz w:val="22"/>
        </w:rPr>
        <w:tab/>
      </w:r>
      <w:r>
        <w:t>Construction Work in Progress</w:t>
      </w:r>
      <w:r>
        <w:tab/>
      </w:r>
      <w:r>
        <w:fldChar w:fldCharType="begin"/>
      </w:r>
      <w:r>
        <w:instrText xml:space="preserve"> PAGEREF _Toc325543194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4.</w:t>
      </w:r>
      <w:r>
        <w:rPr>
          <w:rFonts w:asciiTheme="minorHAnsi" w:eastAsiaTheme="minorEastAsia" w:hAnsiTheme="minorHAnsi"/>
          <w:sz w:val="22"/>
        </w:rPr>
        <w:tab/>
      </w:r>
      <w:r>
        <w:t>Plant Held for Future Use</w:t>
      </w:r>
      <w:r>
        <w:tab/>
      </w:r>
      <w:r>
        <w:fldChar w:fldCharType="begin"/>
      </w:r>
      <w:r>
        <w:instrText xml:space="preserve"> PAGEREF _Toc325543195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5.</w:t>
      </w:r>
      <w:r>
        <w:rPr>
          <w:rFonts w:asciiTheme="minorHAnsi" w:eastAsiaTheme="minorEastAsia" w:hAnsiTheme="minorHAnsi"/>
          <w:sz w:val="22"/>
        </w:rPr>
        <w:tab/>
      </w:r>
      <w:r>
        <w:t>Cash Working Capital</w:t>
      </w:r>
      <w:r>
        <w:tab/>
      </w:r>
      <w:r>
        <w:fldChar w:fldCharType="begin"/>
      </w:r>
      <w:r>
        <w:instrText xml:space="preserve"> PAGEREF _Toc325543196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6.</w:t>
      </w:r>
      <w:r>
        <w:rPr>
          <w:rFonts w:asciiTheme="minorHAnsi" w:eastAsiaTheme="minorEastAsia" w:hAnsiTheme="minorHAnsi"/>
          <w:sz w:val="22"/>
        </w:rPr>
        <w:tab/>
      </w:r>
      <w:r>
        <w:t>Prepayments</w:t>
      </w:r>
      <w:r>
        <w:tab/>
      </w:r>
      <w:r>
        <w:fldChar w:fldCharType="begin"/>
      </w:r>
      <w:r>
        <w:instrText xml:space="preserve"> PAGEREF _Toc325543197 \h </w:instrText>
      </w:r>
      <w:r>
        <w:fldChar w:fldCharType="separate"/>
      </w:r>
      <w:r w:rsidR="00A23AA3">
        <w:t>1</w:t>
      </w:r>
      <w:r>
        <w:fldChar w:fldCharType="end"/>
      </w:r>
    </w:p>
    <w:p w:rsidR="007B36DD" w:rsidRDefault="007B36DD">
      <w:pPr>
        <w:pStyle w:val="TOC5"/>
        <w:tabs>
          <w:tab w:val="left" w:pos="360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Pension Asset</w:t>
      </w:r>
      <w:r>
        <w:rPr>
          <w:noProof/>
        </w:rPr>
        <w:tab/>
      </w:r>
      <w:r>
        <w:rPr>
          <w:noProof/>
        </w:rPr>
        <w:fldChar w:fldCharType="begin"/>
      </w:r>
      <w:r>
        <w:rPr>
          <w:noProof/>
        </w:rPr>
        <w:instrText xml:space="preserve"> PAGEREF _Toc325543198 \h </w:instrText>
      </w:r>
      <w:r>
        <w:rPr>
          <w:noProof/>
        </w:rPr>
      </w:r>
      <w:r>
        <w:rPr>
          <w:noProof/>
        </w:rPr>
        <w:fldChar w:fldCharType="separate"/>
      </w:r>
      <w:r w:rsidR="00A23AA3">
        <w:rPr>
          <w:noProof/>
        </w:rPr>
        <w:t>1</w:t>
      </w:r>
      <w:r>
        <w:rPr>
          <w:noProof/>
        </w:rPr>
        <w:fldChar w:fldCharType="end"/>
      </w:r>
    </w:p>
    <w:p w:rsidR="007B36DD" w:rsidRDefault="007B36DD">
      <w:pPr>
        <w:pStyle w:val="TOC6"/>
        <w:tabs>
          <w:tab w:val="left" w:pos="4320"/>
        </w:tabs>
        <w:rPr>
          <w:rFonts w:asciiTheme="minorHAnsi" w:eastAsiaTheme="minorEastAsia" w:hAnsiTheme="minorHAnsi"/>
          <w:noProof/>
          <w:sz w:val="22"/>
        </w:rPr>
      </w:pPr>
      <w:r>
        <w:rPr>
          <w:noProof/>
        </w:rPr>
        <w:t>i.</w:t>
      </w:r>
      <w:r>
        <w:rPr>
          <w:rFonts w:asciiTheme="minorHAnsi" w:eastAsiaTheme="minorEastAsia" w:hAnsiTheme="minorHAnsi"/>
          <w:noProof/>
          <w:sz w:val="22"/>
        </w:rPr>
        <w:tab/>
      </w:r>
      <w:r>
        <w:rPr>
          <w:noProof/>
        </w:rPr>
        <w:t>FERC Form 1 Data</w:t>
      </w:r>
      <w:r>
        <w:rPr>
          <w:noProof/>
        </w:rPr>
        <w:tab/>
      </w:r>
      <w:r>
        <w:rPr>
          <w:noProof/>
        </w:rPr>
        <w:fldChar w:fldCharType="begin"/>
      </w:r>
      <w:r>
        <w:rPr>
          <w:noProof/>
        </w:rPr>
        <w:instrText xml:space="preserve"> PAGEREF _Toc325543199 \h </w:instrText>
      </w:r>
      <w:r>
        <w:rPr>
          <w:noProof/>
        </w:rPr>
      </w:r>
      <w:r>
        <w:rPr>
          <w:noProof/>
        </w:rPr>
        <w:fldChar w:fldCharType="separate"/>
      </w:r>
      <w:r w:rsidR="00A23AA3">
        <w:rPr>
          <w:noProof/>
        </w:rPr>
        <w:t>1</w:t>
      </w:r>
      <w:r>
        <w:rPr>
          <w:noProof/>
        </w:rPr>
        <w:fldChar w:fldCharType="end"/>
      </w:r>
    </w:p>
    <w:p w:rsidR="007B36DD" w:rsidRDefault="007B36DD">
      <w:pPr>
        <w:pStyle w:val="TOC6"/>
        <w:tabs>
          <w:tab w:val="left" w:pos="4320"/>
        </w:tabs>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Discretionary Management Decision</w:t>
      </w:r>
      <w:r>
        <w:rPr>
          <w:noProof/>
        </w:rPr>
        <w:tab/>
      </w:r>
      <w:r>
        <w:rPr>
          <w:noProof/>
        </w:rPr>
        <w:fldChar w:fldCharType="begin"/>
      </w:r>
      <w:r>
        <w:rPr>
          <w:noProof/>
        </w:rPr>
        <w:instrText xml:space="preserve"> PAGEREF _Toc325543200 \h </w:instrText>
      </w:r>
      <w:r>
        <w:rPr>
          <w:noProof/>
        </w:rPr>
      </w:r>
      <w:r>
        <w:rPr>
          <w:noProof/>
        </w:rPr>
        <w:fldChar w:fldCharType="separate"/>
      </w:r>
      <w:r w:rsidR="00A23AA3">
        <w:rPr>
          <w:noProof/>
        </w:rPr>
        <w:t>1</w:t>
      </w:r>
      <w:r>
        <w:rPr>
          <w:noProof/>
        </w:rPr>
        <w:fldChar w:fldCharType="end"/>
      </w:r>
    </w:p>
    <w:p w:rsidR="007B36DD" w:rsidRDefault="007B36DD">
      <w:pPr>
        <w:pStyle w:val="TOC6"/>
        <w:tabs>
          <w:tab w:val="left" w:pos="4320"/>
        </w:tabs>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Lead-Lag Study</w:t>
      </w:r>
      <w:r>
        <w:rPr>
          <w:noProof/>
        </w:rPr>
        <w:tab/>
      </w:r>
      <w:r>
        <w:rPr>
          <w:noProof/>
        </w:rPr>
        <w:fldChar w:fldCharType="begin"/>
      </w:r>
      <w:r>
        <w:rPr>
          <w:noProof/>
        </w:rPr>
        <w:instrText xml:space="preserve"> PAGEREF _Toc325543201 \h </w:instrText>
      </w:r>
      <w:r>
        <w:rPr>
          <w:noProof/>
        </w:rPr>
      </w:r>
      <w:r>
        <w:rPr>
          <w:noProof/>
        </w:rPr>
        <w:fldChar w:fldCharType="separate"/>
      </w:r>
      <w:r w:rsidR="00A23AA3">
        <w:rPr>
          <w:noProof/>
        </w:rPr>
        <w:t>1</w:t>
      </w:r>
      <w:r>
        <w:rPr>
          <w:noProof/>
        </w:rPr>
        <w:fldChar w:fldCharType="end"/>
      </w:r>
    </w:p>
    <w:p w:rsidR="007B36DD" w:rsidRDefault="007B36DD">
      <w:pPr>
        <w:pStyle w:val="TOC4"/>
        <w:rPr>
          <w:rFonts w:asciiTheme="minorHAnsi" w:eastAsiaTheme="minorEastAsia" w:hAnsiTheme="minorHAnsi"/>
          <w:sz w:val="22"/>
        </w:rPr>
      </w:pPr>
      <w:r w:rsidRPr="00B534C0">
        <w:rPr>
          <w:rFonts w:eastAsia="Times New Roman"/>
        </w:rPr>
        <w:t>7.</w:t>
      </w:r>
      <w:r>
        <w:rPr>
          <w:rFonts w:asciiTheme="minorHAnsi" w:eastAsiaTheme="minorEastAsia" w:hAnsiTheme="minorHAnsi"/>
          <w:sz w:val="22"/>
        </w:rPr>
        <w:tab/>
      </w:r>
      <w:r>
        <w:t>Accumulated Deferred Income Taxes</w:t>
      </w:r>
      <w:r>
        <w:tab/>
      </w:r>
      <w:r>
        <w:fldChar w:fldCharType="begin"/>
      </w:r>
      <w:r>
        <w:instrText xml:space="preserve"> PAGEREF _Toc325543202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8.</w:t>
      </w:r>
      <w:r>
        <w:rPr>
          <w:rFonts w:asciiTheme="minorHAnsi" w:eastAsiaTheme="minorEastAsia" w:hAnsiTheme="minorHAnsi"/>
          <w:sz w:val="22"/>
        </w:rPr>
        <w:tab/>
      </w:r>
      <w:r>
        <w:t>Payroll and Benefits for Eliminated Positions</w:t>
      </w:r>
      <w:r>
        <w:tab/>
      </w:r>
      <w:r>
        <w:fldChar w:fldCharType="begin"/>
      </w:r>
      <w:r>
        <w:instrText xml:space="preserve"> PAGEREF _Toc325543203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9.</w:t>
      </w:r>
      <w:r>
        <w:rPr>
          <w:rFonts w:asciiTheme="minorHAnsi" w:eastAsiaTheme="minorEastAsia" w:hAnsiTheme="minorHAnsi"/>
          <w:sz w:val="22"/>
        </w:rPr>
        <w:tab/>
      </w:r>
      <w:r>
        <w:t>AEP Ohio’s 2010 Severance Program Cost</w:t>
      </w:r>
      <w:r>
        <w:tab/>
      </w:r>
      <w:r>
        <w:fldChar w:fldCharType="begin"/>
      </w:r>
      <w:r>
        <w:instrText xml:space="preserve"> PAGEREF _Toc325543204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10.</w:t>
      </w:r>
      <w:r>
        <w:rPr>
          <w:rFonts w:asciiTheme="minorHAnsi" w:eastAsiaTheme="minorEastAsia" w:hAnsiTheme="minorHAnsi"/>
          <w:sz w:val="22"/>
        </w:rPr>
        <w:tab/>
      </w:r>
      <w:r>
        <w:t>Income Tax Expense</w:t>
      </w:r>
      <w:r>
        <w:tab/>
      </w:r>
      <w:r>
        <w:fldChar w:fldCharType="begin"/>
      </w:r>
      <w:r>
        <w:instrText xml:space="preserve"> PAGEREF _Toc325543205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11.</w:t>
      </w:r>
      <w:r>
        <w:rPr>
          <w:rFonts w:asciiTheme="minorHAnsi" w:eastAsiaTheme="minorEastAsia" w:hAnsiTheme="minorHAnsi"/>
          <w:sz w:val="22"/>
        </w:rPr>
        <w:tab/>
      </w:r>
      <w:r>
        <w:t>Domestic Production Activities Deduction</w:t>
      </w:r>
      <w:r>
        <w:tab/>
      </w:r>
      <w:r>
        <w:fldChar w:fldCharType="begin"/>
      </w:r>
      <w:r>
        <w:instrText xml:space="preserve"> PAGEREF _Toc325543206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12.</w:t>
      </w:r>
      <w:r>
        <w:rPr>
          <w:rFonts w:asciiTheme="minorHAnsi" w:eastAsiaTheme="minorEastAsia" w:hAnsiTheme="minorHAnsi"/>
          <w:sz w:val="22"/>
        </w:rPr>
        <w:tab/>
      </w:r>
      <w:r>
        <w:t>Payroll Tax Expense</w:t>
      </w:r>
      <w:r>
        <w:tab/>
      </w:r>
      <w:r>
        <w:fldChar w:fldCharType="begin"/>
      </w:r>
      <w:r>
        <w:instrText xml:space="preserve"> PAGEREF _Toc325543207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13.</w:t>
      </w:r>
      <w:r>
        <w:rPr>
          <w:rFonts w:asciiTheme="minorHAnsi" w:eastAsiaTheme="minorEastAsia" w:hAnsiTheme="minorHAnsi"/>
          <w:sz w:val="22"/>
        </w:rPr>
        <w:tab/>
      </w:r>
      <w:r>
        <w:t>Capacity Equalization Revenue</w:t>
      </w:r>
      <w:r>
        <w:tab/>
      </w:r>
      <w:r>
        <w:fldChar w:fldCharType="begin"/>
      </w:r>
      <w:r>
        <w:instrText xml:space="preserve"> PAGEREF _Toc325543208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lastRenderedPageBreak/>
        <w:t>14.</w:t>
      </w:r>
      <w:r>
        <w:rPr>
          <w:rFonts w:asciiTheme="minorHAnsi" w:eastAsiaTheme="minorEastAsia" w:hAnsiTheme="minorHAnsi"/>
          <w:sz w:val="22"/>
        </w:rPr>
        <w:tab/>
      </w:r>
      <w:r>
        <w:t>Ancillary Services Revenue</w:t>
      </w:r>
      <w:r>
        <w:tab/>
      </w:r>
      <w:r>
        <w:fldChar w:fldCharType="begin"/>
      </w:r>
      <w:r>
        <w:instrText xml:space="preserve"> PAGEREF _Toc325543209 \h </w:instrText>
      </w:r>
      <w:r>
        <w:fldChar w:fldCharType="separate"/>
      </w:r>
      <w:r w:rsidR="00A23AA3">
        <w:t>1</w:t>
      </w:r>
      <w:r>
        <w:fldChar w:fldCharType="end"/>
      </w:r>
    </w:p>
    <w:p w:rsidR="007B36DD" w:rsidRDefault="007B36DD">
      <w:pPr>
        <w:pStyle w:val="TOC4"/>
        <w:rPr>
          <w:rFonts w:asciiTheme="minorHAnsi" w:eastAsiaTheme="minorEastAsia" w:hAnsiTheme="minorHAnsi"/>
          <w:sz w:val="22"/>
        </w:rPr>
      </w:pPr>
      <w:r w:rsidRPr="00B534C0">
        <w:rPr>
          <w:rFonts w:eastAsia="Times New Roman"/>
        </w:rPr>
        <w:t>15.</w:t>
      </w:r>
      <w:r>
        <w:rPr>
          <w:rFonts w:asciiTheme="minorHAnsi" w:eastAsiaTheme="minorEastAsia" w:hAnsiTheme="minorHAnsi"/>
          <w:sz w:val="22"/>
        </w:rPr>
        <w:tab/>
      </w:r>
      <w:r>
        <w:t>Energy Sales Margin and Ancillary Services Receipts</w:t>
      </w:r>
      <w:r>
        <w:tab/>
      </w:r>
      <w:r>
        <w:fldChar w:fldCharType="begin"/>
      </w:r>
      <w:r>
        <w:instrText xml:space="preserve"> PAGEREF _Toc325543210 \h </w:instrText>
      </w:r>
      <w:r>
        <w:fldChar w:fldCharType="separate"/>
      </w:r>
      <w:r w:rsidR="00A23AA3">
        <w:t>1</w:t>
      </w:r>
      <w:r>
        <w:fldChar w:fldCharType="end"/>
      </w:r>
    </w:p>
    <w:p w:rsidR="007B36DD" w:rsidRDefault="007B36DD">
      <w:pPr>
        <w:pStyle w:val="TOC2"/>
        <w:tabs>
          <w:tab w:val="left" w:pos="1382"/>
        </w:tabs>
        <w:rPr>
          <w:rFonts w:asciiTheme="minorHAnsi" w:eastAsiaTheme="minorEastAsia" w:hAnsiTheme="minorHAnsi"/>
          <w:noProof/>
          <w:sz w:val="22"/>
        </w:rPr>
      </w:pPr>
      <w:r w:rsidRPr="00B534C0">
        <w:rPr>
          <w:rFonts w:eastAsia="Times New Roman"/>
          <w:noProof/>
        </w:rPr>
        <w:t>II.</w:t>
      </w:r>
      <w:r>
        <w:rPr>
          <w:rFonts w:asciiTheme="minorHAnsi" w:eastAsiaTheme="minorEastAsia" w:hAnsiTheme="minorHAnsi"/>
          <w:noProof/>
          <w:sz w:val="22"/>
        </w:rPr>
        <w:tab/>
      </w:r>
      <w:r w:rsidRPr="00B534C0">
        <w:rPr>
          <w:rFonts w:eastAsia="Times New Roman"/>
          <w:noProof/>
        </w:rPr>
        <w:t>In regard to Staff’s alternate proposal, Energy sales margins and Ancillary receipts should be treated as deductions to the calculated rate for capacity.</w:t>
      </w:r>
      <w:r>
        <w:rPr>
          <w:noProof/>
        </w:rPr>
        <w:tab/>
      </w:r>
      <w:r>
        <w:rPr>
          <w:noProof/>
        </w:rPr>
        <w:fldChar w:fldCharType="begin"/>
      </w:r>
      <w:r>
        <w:rPr>
          <w:noProof/>
        </w:rPr>
        <w:instrText xml:space="preserve"> PAGEREF _Toc325543211 \h </w:instrText>
      </w:r>
      <w:r>
        <w:rPr>
          <w:noProof/>
        </w:rPr>
      </w:r>
      <w:r>
        <w:rPr>
          <w:noProof/>
        </w:rPr>
        <w:fldChar w:fldCharType="separate"/>
      </w:r>
      <w:r w:rsidR="00A23AA3">
        <w:rPr>
          <w:noProof/>
        </w:rPr>
        <w:t>1</w:t>
      </w:r>
      <w:r>
        <w:rPr>
          <w:noProof/>
        </w:rPr>
        <w:fldChar w:fldCharType="end"/>
      </w:r>
    </w:p>
    <w:p w:rsidR="007B36DD" w:rsidRDefault="007B36DD">
      <w:pPr>
        <w:pStyle w:val="TOC1"/>
        <w:rPr>
          <w:rFonts w:asciiTheme="minorHAnsi" w:eastAsiaTheme="minorEastAsia" w:hAnsiTheme="minorHAnsi"/>
          <w:noProof/>
          <w:sz w:val="22"/>
        </w:rPr>
      </w:pPr>
      <w:r>
        <w:rPr>
          <w:noProof/>
        </w:rPr>
        <w:t>CONCLUSION</w:t>
      </w:r>
      <w:r>
        <w:rPr>
          <w:noProof/>
        </w:rPr>
        <w:tab/>
      </w:r>
      <w:r>
        <w:rPr>
          <w:noProof/>
        </w:rPr>
        <w:fldChar w:fldCharType="begin"/>
      </w:r>
      <w:r>
        <w:rPr>
          <w:noProof/>
        </w:rPr>
        <w:instrText xml:space="preserve"> PAGEREF _Toc325543212 \h </w:instrText>
      </w:r>
      <w:r>
        <w:rPr>
          <w:noProof/>
        </w:rPr>
      </w:r>
      <w:r>
        <w:rPr>
          <w:noProof/>
        </w:rPr>
        <w:fldChar w:fldCharType="separate"/>
      </w:r>
      <w:r w:rsidR="00A23AA3">
        <w:rPr>
          <w:noProof/>
        </w:rPr>
        <w:t>1</w:t>
      </w:r>
      <w:r>
        <w:rPr>
          <w:noProof/>
        </w:rPr>
        <w:fldChar w:fldCharType="end"/>
      </w:r>
    </w:p>
    <w:p w:rsidR="007B36DD" w:rsidRDefault="007B36DD">
      <w:pPr>
        <w:pStyle w:val="TOC1"/>
        <w:rPr>
          <w:rFonts w:asciiTheme="minorHAnsi" w:eastAsiaTheme="minorEastAsia" w:hAnsiTheme="minorHAnsi"/>
          <w:noProof/>
          <w:sz w:val="22"/>
        </w:rPr>
      </w:pPr>
      <w:r>
        <w:rPr>
          <w:noProof/>
        </w:rPr>
        <w:t>PROOF OF SERVICE</w:t>
      </w:r>
      <w:r>
        <w:rPr>
          <w:noProof/>
        </w:rPr>
        <w:tab/>
      </w:r>
      <w:r>
        <w:rPr>
          <w:noProof/>
        </w:rPr>
        <w:fldChar w:fldCharType="begin"/>
      </w:r>
      <w:r>
        <w:rPr>
          <w:noProof/>
        </w:rPr>
        <w:instrText xml:space="preserve"> PAGEREF _Toc325543213 \h </w:instrText>
      </w:r>
      <w:r>
        <w:rPr>
          <w:noProof/>
        </w:rPr>
      </w:r>
      <w:r>
        <w:rPr>
          <w:noProof/>
        </w:rPr>
        <w:fldChar w:fldCharType="separate"/>
      </w:r>
      <w:r w:rsidR="00A23AA3">
        <w:rPr>
          <w:noProof/>
        </w:rPr>
        <w:t>1</w:t>
      </w:r>
      <w:r>
        <w:rPr>
          <w:noProof/>
        </w:rPr>
        <w:fldChar w:fldCharType="end"/>
      </w:r>
    </w:p>
    <w:p w:rsidR="002228CE" w:rsidRPr="005D1EE8" w:rsidRDefault="000D1941" w:rsidP="00DD212C">
      <w:pPr>
        <w:rPr>
          <w:rFonts w:ascii="Times New Roman" w:hAnsi="Times New Roman" w:cs="Times New Roman"/>
          <w:sz w:val="26"/>
          <w:szCs w:val="26"/>
        </w:rPr>
        <w:sectPr w:rsidR="002228CE" w:rsidRPr="005D1EE8" w:rsidSect="002228CE">
          <w:footerReference w:type="default" r:id="rId12"/>
          <w:headerReference w:type="first" r:id="rId13"/>
          <w:footerReference w:type="first" r:id="rId14"/>
          <w:endnotePr>
            <w:numFmt w:val="decimal"/>
          </w:endnotePr>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6"/>
          <w:szCs w:val="26"/>
        </w:rPr>
        <w:fldChar w:fldCharType="end"/>
      </w:r>
      <w:r w:rsidR="00994718" w:rsidRPr="005D1EE8">
        <w:rPr>
          <w:rFonts w:ascii="Times New Roman" w:hAnsi="Times New Roman" w:cs="Times New Roman"/>
          <w:sz w:val="26"/>
          <w:szCs w:val="26"/>
        </w:rPr>
        <w:t xml:space="preserve"> </w:t>
      </w:r>
    </w:p>
    <w:p w:rsidR="004D2AC6" w:rsidRPr="004D2AC6" w:rsidRDefault="004D2AC6" w:rsidP="004D2AC6">
      <w:pPr>
        <w:tabs>
          <w:tab w:val="left" w:pos="9360"/>
        </w:tabs>
        <w:spacing w:after="0" w:line="240" w:lineRule="auto"/>
        <w:jc w:val="center"/>
        <w:rPr>
          <w:rFonts w:ascii="Times New Roman" w:hAnsi="Times New Roman" w:cs="Times New Roman"/>
          <w:b/>
          <w:sz w:val="28"/>
          <w:szCs w:val="28"/>
        </w:rPr>
      </w:pPr>
      <w:bookmarkStart w:id="1" w:name="_Toc254083319"/>
      <w:bookmarkStart w:id="2" w:name="_Toc268616599"/>
      <w:bookmarkStart w:id="3" w:name="_Toc270414956"/>
      <w:bookmarkStart w:id="4" w:name="_Toc270415013"/>
      <w:r w:rsidRPr="004D2AC6">
        <w:rPr>
          <w:rFonts w:ascii="Times New Roman" w:hAnsi="Times New Roman" w:cs="Times New Roman"/>
          <w:b/>
          <w:sz w:val="28"/>
          <w:szCs w:val="28"/>
        </w:rPr>
        <w:lastRenderedPageBreak/>
        <w:t>BEFORE</w:t>
      </w:r>
    </w:p>
    <w:p w:rsidR="004D2AC6" w:rsidRPr="004D2AC6" w:rsidRDefault="004D2AC6" w:rsidP="004D2AC6">
      <w:pPr>
        <w:spacing w:after="0" w:line="240" w:lineRule="auto"/>
        <w:jc w:val="center"/>
        <w:rPr>
          <w:rFonts w:ascii="Times New Roman" w:hAnsi="Times New Roman" w:cs="Times New Roman"/>
          <w:b/>
          <w:sz w:val="28"/>
          <w:szCs w:val="28"/>
        </w:rPr>
      </w:pPr>
      <w:r w:rsidRPr="004D2AC6">
        <w:rPr>
          <w:rFonts w:ascii="Times New Roman" w:hAnsi="Times New Roman" w:cs="Times New Roman"/>
          <w:b/>
          <w:sz w:val="28"/>
          <w:szCs w:val="28"/>
        </w:rPr>
        <w:t>THE PUBLIC UTILITIES COMMISSION OF OHIO</w:t>
      </w:r>
    </w:p>
    <w:p w:rsidR="004D2AC6" w:rsidRDefault="004D2AC6" w:rsidP="004D2AC6">
      <w:pPr>
        <w:tabs>
          <w:tab w:val="left" w:pos="5130"/>
          <w:tab w:val="left" w:pos="5670"/>
        </w:tabs>
        <w:spacing w:after="0" w:line="240" w:lineRule="auto"/>
        <w:rPr>
          <w:rFonts w:ascii="Times New Roman" w:eastAsia="Times New Roman" w:hAnsi="Times New Roman" w:cs="Times New Roman"/>
          <w:sz w:val="26"/>
          <w:szCs w:val="26"/>
        </w:rPr>
      </w:pPr>
    </w:p>
    <w:p w:rsidR="004D2AC6" w:rsidRPr="005D1EE8" w:rsidRDefault="004D2AC6" w:rsidP="004D2AC6">
      <w:pPr>
        <w:tabs>
          <w:tab w:val="left" w:pos="5130"/>
          <w:tab w:val="left" w:pos="5670"/>
        </w:tabs>
        <w:spacing w:after="0" w:line="240" w:lineRule="auto"/>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689"/>
        <w:gridCol w:w="289"/>
        <w:gridCol w:w="4598"/>
      </w:tblGrid>
      <w:tr w:rsidR="004D2AC6" w:rsidRPr="005D1EE8" w:rsidTr="004D2AC6">
        <w:tc>
          <w:tcPr>
            <w:tcW w:w="4698" w:type="dxa"/>
          </w:tcPr>
          <w:p w:rsidR="004D2AC6" w:rsidRPr="005D1EE8" w:rsidRDefault="004D2AC6" w:rsidP="004D2AC6">
            <w:pPr>
              <w:tabs>
                <w:tab w:val="left" w:pos="5130"/>
                <w:tab w:val="left" w:pos="5670"/>
              </w:tabs>
              <w:spacing w:after="0" w:line="240" w:lineRule="auto"/>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 xml:space="preserve">In the Matter of the Commission Review of the Capacity Charges of </w:t>
            </w:r>
            <w:r w:rsidRPr="004D2AC6">
              <w:rPr>
                <w:rFonts w:ascii="Times New Roman" w:eastAsia="Times New Roman" w:hAnsi="Times New Roman" w:cs="Times New Roman"/>
                <w:b/>
                <w:sz w:val="26"/>
                <w:szCs w:val="26"/>
              </w:rPr>
              <w:t>Ohio Power Company</w:t>
            </w:r>
            <w:r w:rsidRPr="005D1EE8">
              <w:rPr>
                <w:rFonts w:ascii="Times New Roman" w:eastAsia="Times New Roman" w:hAnsi="Times New Roman" w:cs="Times New Roman"/>
                <w:sz w:val="26"/>
                <w:szCs w:val="26"/>
              </w:rPr>
              <w:t xml:space="preserve"> and </w:t>
            </w:r>
            <w:r w:rsidRPr="004D2AC6">
              <w:rPr>
                <w:rFonts w:ascii="Times New Roman" w:eastAsia="Times New Roman" w:hAnsi="Times New Roman" w:cs="Times New Roman"/>
                <w:b/>
                <w:sz w:val="26"/>
                <w:szCs w:val="26"/>
              </w:rPr>
              <w:t>Columbus Southern Power Company</w:t>
            </w:r>
            <w:r w:rsidRPr="005D1EE8">
              <w:rPr>
                <w:rFonts w:ascii="Times New Roman" w:eastAsia="Times New Roman" w:hAnsi="Times New Roman" w:cs="Times New Roman"/>
                <w:sz w:val="26"/>
                <w:szCs w:val="26"/>
              </w:rPr>
              <w:t>.</w:t>
            </w:r>
          </w:p>
        </w:tc>
        <w:tc>
          <w:tcPr>
            <w:tcW w:w="270" w:type="dxa"/>
          </w:tcPr>
          <w:p w:rsidR="004D2AC6" w:rsidRPr="005D1EE8" w:rsidRDefault="004D2AC6" w:rsidP="004D2AC6">
            <w:pPr>
              <w:tabs>
                <w:tab w:val="left" w:pos="5130"/>
                <w:tab w:val="left" w:pos="5670"/>
              </w:tabs>
              <w:spacing w:after="0" w:line="240" w:lineRule="auto"/>
              <w:jc w:val="center"/>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w:t>
            </w:r>
          </w:p>
          <w:p w:rsidR="004D2AC6" w:rsidRPr="005D1EE8" w:rsidRDefault="004D2AC6" w:rsidP="004D2AC6">
            <w:pPr>
              <w:tabs>
                <w:tab w:val="left" w:pos="5130"/>
                <w:tab w:val="left" w:pos="5670"/>
              </w:tabs>
              <w:spacing w:after="0" w:line="240" w:lineRule="auto"/>
              <w:jc w:val="center"/>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w:t>
            </w:r>
          </w:p>
          <w:p w:rsidR="004D2AC6" w:rsidRPr="005D1EE8" w:rsidRDefault="004D2AC6" w:rsidP="004D2AC6">
            <w:pPr>
              <w:tabs>
                <w:tab w:val="left" w:pos="5130"/>
                <w:tab w:val="left" w:pos="5670"/>
              </w:tabs>
              <w:spacing w:after="0" w:line="240" w:lineRule="auto"/>
              <w:jc w:val="center"/>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w:t>
            </w:r>
            <w:r w:rsidRPr="005D1EE8">
              <w:rPr>
                <w:rFonts w:ascii="Times New Roman" w:eastAsia="Times New Roman" w:hAnsi="Times New Roman" w:cs="Times New Roman"/>
                <w:sz w:val="26"/>
                <w:szCs w:val="26"/>
              </w:rPr>
              <w:br/>
              <w:t>:</w:t>
            </w:r>
          </w:p>
        </w:tc>
        <w:tc>
          <w:tcPr>
            <w:tcW w:w="4608" w:type="dxa"/>
          </w:tcPr>
          <w:p w:rsidR="004D2AC6" w:rsidRPr="005D1EE8" w:rsidRDefault="004D2AC6" w:rsidP="004D2AC6">
            <w:pPr>
              <w:tabs>
                <w:tab w:val="left" w:pos="1142"/>
                <w:tab w:val="left" w:pos="5130"/>
                <w:tab w:val="left" w:pos="5670"/>
              </w:tabs>
              <w:spacing w:after="0" w:line="240" w:lineRule="auto"/>
              <w:rPr>
                <w:rFonts w:ascii="Times New Roman" w:eastAsia="Times New Roman" w:hAnsi="Times New Roman" w:cs="Times New Roman"/>
                <w:sz w:val="26"/>
                <w:szCs w:val="26"/>
              </w:rPr>
            </w:pPr>
          </w:p>
          <w:p w:rsidR="004D2AC6" w:rsidRPr="005D1EE8" w:rsidRDefault="004D2AC6" w:rsidP="004D2AC6">
            <w:pPr>
              <w:tabs>
                <w:tab w:val="left" w:pos="1142"/>
                <w:tab w:val="left" w:pos="5130"/>
                <w:tab w:val="left" w:pos="5670"/>
              </w:tabs>
              <w:spacing w:after="0" w:line="240" w:lineRule="auto"/>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 xml:space="preserve">Case No. </w:t>
            </w:r>
            <w:r w:rsidRPr="004D2AC6">
              <w:rPr>
                <w:rFonts w:ascii="Times New Roman" w:eastAsia="Times New Roman" w:hAnsi="Times New Roman" w:cs="Times New Roman"/>
                <w:b/>
                <w:sz w:val="26"/>
                <w:szCs w:val="26"/>
              </w:rPr>
              <w:t>10-2929-EL-UNC</w:t>
            </w:r>
          </w:p>
        </w:tc>
      </w:tr>
    </w:tbl>
    <w:p w:rsidR="004D2AC6" w:rsidRDefault="004D2AC6" w:rsidP="004D2AC6">
      <w:pPr>
        <w:tabs>
          <w:tab w:val="left" w:pos="8640"/>
        </w:tabs>
        <w:spacing w:after="0" w:line="240" w:lineRule="auto"/>
        <w:rPr>
          <w:rFonts w:ascii="Times New Roman" w:eastAsia="Times New Roman" w:hAnsi="Times New Roman" w:cs="Times New Roman"/>
          <w:b/>
          <w:bCs/>
          <w:sz w:val="26"/>
          <w:szCs w:val="26"/>
          <w:u w:val="single"/>
        </w:rPr>
      </w:pPr>
    </w:p>
    <w:p w:rsidR="004D2AC6" w:rsidRDefault="004D2AC6" w:rsidP="004D2AC6">
      <w:pPr>
        <w:tabs>
          <w:tab w:val="left" w:pos="8640"/>
        </w:tabs>
        <w:spacing w:after="0" w:line="240" w:lineRule="auto"/>
        <w:rPr>
          <w:rFonts w:ascii="Times New Roman" w:eastAsia="Times New Roman" w:hAnsi="Times New Roman" w:cs="Times New Roman"/>
          <w:b/>
          <w:bCs/>
          <w:sz w:val="26"/>
          <w:szCs w:val="26"/>
          <w:u w:val="single"/>
        </w:rPr>
      </w:pPr>
    </w:p>
    <w:p w:rsidR="004D2AC6" w:rsidRDefault="004D2AC6" w:rsidP="004D2AC6">
      <w:pPr>
        <w:tabs>
          <w:tab w:val="left" w:pos="8640"/>
        </w:tabs>
        <w:spacing w:after="0" w:line="240" w:lineRule="auto"/>
        <w:rPr>
          <w:rFonts w:ascii="Times New Roman" w:eastAsia="Times New Roman" w:hAnsi="Times New Roman" w:cs="Times New Roman"/>
          <w:b/>
          <w:bCs/>
          <w:sz w:val="26"/>
          <w:szCs w:val="26"/>
          <w:u w:val="single"/>
        </w:rPr>
      </w:pPr>
    </w:p>
    <w:p w:rsidR="004D2AC6" w:rsidRDefault="004D2AC6" w:rsidP="004D2AC6">
      <w:pPr>
        <w:tabs>
          <w:tab w:val="left" w:pos="8640"/>
        </w:tabs>
        <w:spacing w:after="0" w:line="240" w:lineRule="auto"/>
        <w:rPr>
          <w:rFonts w:ascii="Times New Roman" w:eastAsia="Times New Roman" w:hAnsi="Times New Roman" w:cs="Times New Roman"/>
          <w:b/>
          <w:bCs/>
          <w:sz w:val="26"/>
          <w:szCs w:val="26"/>
          <w:u w:val="single"/>
        </w:rPr>
      </w:pPr>
    </w:p>
    <w:p w:rsidR="004D2AC6" w:rsidRPr="004D2AC6" w:rsidRDefault="004D2AC6" w:rsidP="004D2AC6">
      <w:pPr>
        <w:tabs>
          <w:tab w:val="left" w:pos="9360"/>
        </w:tabs>
        <w:spacing w:after="0" w:line="240" w:lineRule="auto"/>
        <w:rPr>
          <w:rFonts w:ascii="Times New Roman" w:eastAsia="Times New Roman" w:hAnsi="Times New Roman" w:cs="Times New Roman"/>
          <w:bCs/>
          <w:sz w:val="26"/>
          <w:szCs w:val="26"/>
          <w:u w:val="single"/>
        </w:rPr>
      </w:pPr>
      <w:r w:rsidRPr="004D2AC6">
        <w:rPr>
          <w:rFonts w:ascii="Times New Roman" w:eastAsia="Times New Roman" w:hAnsi="Times New Roman" w:cs="Times New Roman"/>
          <w:bCs/>
          <w:sz w:val="26"/>
          <w:szCs w:val="26"/>
          <w:u w:val="single"/>
        </w:rPr>
        <w:tab/>
      </w:r>
    </w:p>
    <w:p w:rsidR="004D2AC6" w:rsidRPr="005D1EE8" w:rsidRDefault="004D2AC6" w:rsidP="004D2AC6">
      <w:pPr>
        <w:tabs>
          <w:tab w:val="left" w:pos="8640"/>
        </w:tabs>
        <w:spacing w:after="0" w:line="240" w:lineRule="auto"/>
        <w:rPr>
          <w:rFonts w:ascii="Times New Roman" w:eastAsia="Times New Roman" w:hAnsi="Times New Roman" w:cs="Times New Roman"/>
          <w:b/>
          <w:bCs/>
          <w:sz w:val="26"/>
          <w:szCs w:val="26"/>
          <w:u w:val="single"/>
        </w:rPr>
      </w:pPr>
    </w:p>
    <w:p w:rsidR="004D2AC6" w:rsidRPr="004D2AC6" w:rsidRDefault="004D2AC6" w:rsidP="004D2AC6">
      <w:pPr>
        <w:tabs>
          <w:tab w:val="left" w:pos="8640"/>
        </w:tabs>
        <w:spacing w:after="0" w:line="240" w:lineRule="auto"/>
        <w:jc w:val="center"/>
        <w:rPr>
          <w:rFonts w:ascii="Times New Roman" w:eastAsia="Times New Roman" w:hAnsi="Times New Roman" w:cs="Times New Roman"/>
          <w:b/>
          <w:bCs/>
          <w:sz w:val="32"/>
          <w:szCs w:val="32"/>
        </w:rPr>
      </w:pPr>
      <w:r w:rsidRPr="004D2AC6">
        <w:rPr>
          <w:rFonts w:ascii="Times New Roman" w:eastAsia="Times New Roman" w:hAnsi="Times New Roman" w:cs="Times New Roman"/>
          <w:b/>
          <w:bCs/>
          <w:sz w:val="32"/>
          <w:szCs w:val="32"/>
        </w:rPr>
        <w:t>INITIAL POST-HEARING BRIEF</w:t>
      </w:r>
    </w:p>
    <w:p w:rsidR="004D2AC6" w:rsidRDefault="004D2AC6" w:rsidP="004D2AC6">
      <w:pPr>
        <w:tabs>
          <w:tab w:val="left" w:pos="8640"/>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SUBMITTED ON BEHALF </w:t>
      </w:r>
      <w:r w:rsidRPr="005D1EE8">
        <w:rPr>
          <w:rFonts w:ascii="Times New Roman" w:eastAsia="Times New Roman" w:hAnsi="Times New Roman" w:cs="Times New Roman"/>
          <w:b/>
          <w:bCs/>
          <w:sz w:val="26"/>
          <w:szCs w:val="26"/>
        </w:rPr>
        <w:t xml:space="preserve">OF THE STAFF OF </w:t>
      </w:r>
    </w:p>
    <w:p w:rsidR="004D2AC6" w:rsidRPr="005D1EE8" w:rsidRDefault="004D2AC6" w:rsidP="004D2AC6">
      <w:pPr>
        <w:tabs>
          <w:tab w:val="left" w:pos="8640"/>
        </w:tabs>
        <w:spacing w:after="0" w:line="240" w:lineRule="auto"/>
        <w:jc w:val="center"/>
        <w:rPr>
          <w:rFonts w:ascii="Times New Roman" w:eastAsia="Times New Roman" w:hAnsi="Times New Roman" w:cs="Times New Roman"/>
          <w:b/>
          <w:bCs/>
          <w:sz w:val="26"/>
          <w:szCs w:val="26"/>
        </w:rPr>
      </w:pPr>
      <w:r w:rsidRPr="005D1EE8">
        <w:rPr>
          <w:rFonts w:ascii="Times New Roman" w:eastAsia="Times New Roman" w:hAnsi="Times New Roman" w:cs="Times New Roman"/>
          <w:b/>
          <w:bCs/>
          <w:sz w:val="26"/>
          <w:szCs w:val="26"/>
        </w:rPr>
        <w:t>THE PUBLIC UTILITIES COMMISSION OF OHIO</w:t>
      </w:r>
    </w:p>
    <w:p w:rsidR="004D2AC6" w:rsidRPr="004D2AC6" w:rsidRDefault="004D2AC6" w:rsidP="004D2AC6">
      <w:pPr>
        <w:tabs>
          <w:tab w:val="left" w:pos="9360"/>
        </w:tabs>
        <w:spacing w:after="0" w:line="240" w:lineRule="auto"/>
        <w:rPr>
          <w:rFonts w:ascii="Times New Roman" w:eastAsia="Times New Roman" w:hAnsi="Times New Roman" w:cs="Times New Roman"/>
          <w:bCs/>
          <w:sz w:val="26"/>
          <w:szCs w:val="26"/>
          <w:u w:val="single"/>
        </w:rPr>
      </w:pPr>
      <w:r w:rsidRPr="004D2AC6">
        <w:rPr>
          <w:rFonts w:ascii="Times New Roman" w:eastAsia="Times New Roman" w:hAnsi="Times New Roman" w:cs="Times New Roman"/>
          <w:bCs/>
          <w:sz w:val="26"/>
          <w:szCs w:val="26"/>
          <w:u w:val="single"/>
        </w:rPr>
        <w:tab/>
      </w:r>
    </w:p>
    <w:p w:rsidR="004D2AC6" w:rsidRPr="005D1EE8" w:rsidRDefault="004D2AC6" w:rsidP="004D2AC6">
      <w:pPr>
        <w:rPr>
          <w:rFonts w:ascii="Times New Roman" w:hAnsi="Times New Roman" w:cs="Times New Roman"/>
          <w:sz w:val="26"/>
          <w:szCs w:val="26"/>
        </w:rPr>
      </w:pPr>
    </w:p>
    <w:p w:rsidR="00E015E5" w:rsidRPr="005D1EE8" w:rsidRDefault="00E015E5" w:rsidP="004D2AC6">
      <w:pPr>
        <w:pStyle w:val="Heading1"/>
        <w:rPr>
          <w:rFonts w:eastAsia="Times New Roman"/>
        </w:rPr>
      </w:pPr>
      <w:bookmarkStart w:id="5" w:name="_Toc325543187"/>
      <w:r w:rsidRPr="005D1EE8">
        <w:rPr>
          <w:rFonts w:eastAsia="Times New Roman"/>
        </w:rPr>
        <w:t>INTRODUCTION</w:t>
      </w:r>
      <w:bookmarkEnd w:id="5"/>
    </w:p>
    <w:p w:rsidR="001C4964" w:rsidRDefault="004D2AC6" w:rsidP="000D1941">
      <w:pPr>
        <w:pStyle w:val="textstyle"/>
      </w:pPr>
      <w:r w:rsidRPr="000D1941">
        <w:tab/>
      </w:r>
      <w:r w:rsidR="00B2796E" w:rsidRPr="000D1941">
        <w:t>The $355.72/MW-Day capacity rate proposed by American Electric Power</w:t>
      </w:r>
      <w:r w:rsidR="00E03510" w:rsidRPr="0077351C">
        <w:rPr>
          <w:rStyle w:val="FootnoteReference"/>
        </w:rPr>
        <w:footnoteReference w:id="1"/>
      </w:r>
      <w:r w:rsidR="00B2796E" w:rsidRPr="000D1941">
        <w:t xml:space="preserve"> (</w:t>
      </w:r>
      <w:r w:rsidR="00080F38">
        <w:t>“</w:t>
      </w:r>
      <w:r w:rsidR="00B2796E" w:rsidRPr="000D1941">
        <w:t>AEP</w:t>
      </w:r>
      <w:r w:rsidR="009A78EE" w:rsidRPr="000D1941">
        <w:t xml:space="preserve"> Ohio</w:t>
      </w:r>
      <w:r w:rsidR="00080F38">
        <w:t>”</w:t>
      </w:r>
      <w:r w:rsidR="00B2796E" w:rsidRPr="000D1941">
        <w:t xml:space="preserve"> or </w:t>
      </w:r>
      <w:r w:rsidR="00080F38">
        <w:t>“</w:t>
      </w:r>
      <w:r w:rsidR="00B2796E" w:rsidRPr="000D1941">
        <w:t>Company</w:t>
      </w:r>
      <w:r w:rsidR="00080F38">
        <w:t>”</w:t>
      </w:r>
      <w:r w:rsidR="00B2796E" w:rsidRPr="000D1941">
        <w:t xml:space="preserve">) </w:t>
      </w:r>
      <w:r w:rsidR="00AE45CC" w:rsidRPr="000D1941">
        <w:t xml:space="preserve">to charge </w:t>
      </w:r>
      <w:r w:rsidR="00D73443" w:rsidRPr="000D1941">
        <w:t>Competitive Retail Electric Service (</w:t>
      </w:r>
      <w:r w:rsidR="00080F38">
        <w:t>“</w:t>
      </w:r>
      <w:r w:rsidR="00AE45CC" w:rsidRPr="000D1941">
        <w:t>CRES</w:t>
      </w:r>
      <w:r w:rsidR="00080F38">
        <w:t>”</w:t>
      </w:r>
      <w:r w:rsidR="00D73443" w:rsidRPr="000D1941">
        <w:t>)</w:t>
      </w:r>
      <w:r w:rsidR="00AE45CC" w:rsidRPr="000D1941">
        <w:t xml:space="preserve"> providers for shopping </w:t>
      </w:r>
      <w:r w:rsidR="007B4D35" w:rsidRPr="000D1941">
        <w:t>load</w:t>
      </w:r>
      <w:r w:rsidR="00AE45CC" w:rsidRPr="000D1941">
        <w:t xml:space="preserve"> over the next three years </w:t>
      </w:r>
      <w:r w:rsidR="00B2796E" w:rsidRPr="000D1941">
        <w:t>is unjustified and must be rejected by the Public Utilities Commission of Ohio (</w:t>
      </w:r>
      <w:r w:rsidR="00080F38">
        <w:t>“</w:t>
      </w:r>
      <w:r w:rsidR="00B2796E" w:rsidRPr="000D1941">
        <w:t>Commission</w:t>
      </w:r>
      <w:r w:rsidR="00080F38">
        <w:t>”</w:t>
      </w:r>
      <w:r w:rsidR="00B2796E" w:rsidRPr="000D1941">
        <w:t>)</w:t>
      </w:r>
      <w:r w:rsidRPr="000D1941">
        <w:t xml:space="preserve">.  </w:t>
      </w:r>
      <w:r w:rsidR="00D80325" w:rsidRPr="000D1941">
        <w:t>AEP</w:t>
      </w:r>
      <w:r w:rsidR="00321CD8" w:rsidRPr="000D1941">
        <w:t xml:space="preserve"> Ohio</w:t>
      </w:r>
      <w:r w:rsidR="00D80325" w:rsidRPr="000D1941">
        <w:t xml:space="preserve">’s </w:t>
      </w:r>
      <w:r w:rsidR="0039268E" w:rsidRPr="000D1941">
        <w:t xml:space="preserve">proposed </w:t>
      </w:r>
      <w:r w:rsidR="00D80325" w:rsidRPr="000D1941">
        <w:t xml:space="preserve">rate is not supported by any other party in the case.  AEP </w:t>
      </w:r>
      <w:r w:rsidR="009A78EE" w:rsidRPr="000D1941">
        <w:t>Ohio</w:t>
      </w:r>
      <w:r w:rsidR="00D73443" w:rsidRPr="000D1941">
        <w:t>’s</w:t>
      </w:r>
      <w:r w:rsidR="009A78EE" w:rsidRPr="000D1941">
        <w:t xml:space="preserve"> </w:t>
      </w:r>
      <w:r w:rsidR="0039268E" w:rsidRPr="000D1941">
        <w:t>pro</w:t>
      </w:r>
      <w:r w:rsidR="00D80325" w:rsidRPr="000D1941">
        <w:t>posed rate is</w:t>
      </w:r>
      <w:r w:rsidR="00E71FD4" w:rsidRPr="000D1941">
        <w:t>, by far,</w:t>
      </w:r>
      <w:r w:rsidR="00D80325" w:rsidRPr="000D1941">
        <w:t xml:space="preserve"> the highest</w:t>
      </w:r>
      <w:r w:rsidR="00077735">
        <w:t xml:space="preserve"> of all the parties</w:t>
      </w:r>
      <w:r w:rsidR="00D80325" w:rsidRPr="000D1941">
        <w:t xml:space="preserve"> propos</w:t>
      </w:r>
      <w:r w:rsidR="00077735">
        <w:t>ing</w:t>
      </w:r>
      <w:r w:rsidR="00D80325" w:rsidRPr="000D1941">
        <w:t xml:space="preserve"> </w:t>
      </w:r>
      <w:r w:rsidR="001C4964" w:rsidRPr="000D1941">
        <w:t>a</w:t>
      </w:r>
      <w:r w:rsidR="000B46D5" w:rsidRPr="000D1941">
        <w:t xml:space="preserve"> capacity charge</w:t>
      </w:r>
      <w:r w:rsidR="00077735">
        <w:t xml:space="preserve"> in this proceeding</w:t>
      </w:r>
      <w:r w:rsidR="00D80325" w:rsidRPr="000D1941">
        <w:t xml:space="preserve">.  </w:t>
      </w:r>
      <w:r w:rsidR="00077735">
        <w:t>If the Commis</w:t>
      </w:r>
      <w:r w:rsidR="00080F38">
        <w:softHyphen/>
      </w:r>
      <w:r w:rsidR="00077735">
        <w:t>sion finds that the prevailing PJM Reliability Pricing Model (</w:t>
      </w:r>
      <w:r w:rsidR="00080F38">
        <w:t>“</w:t>
      </w:r>
      <w:r w:rsidR="00077735">
        <w:t>RPM</w:t>
      </w:r>
      <w:r w:rsidR="00080F38">
        <w:t>”</w:t>
      </w:r>
      <w:r w:rsidR="00077735">
        <w:t>) capacity rates dur</w:t>
      </w:r>
      <w:r w:rsidR="00080F38">
        <w:softHyphen/>
      </w:r>
      <w:r w:rsidR="00077735">
        <w:lastRenderedPageBreak/>
        <w:t xml:space="preserve">ing the June 1, 2012 through May 31, 2015 period are not </w:t>
      </w:r>
      <w:r w:rsidR="003042DE">
        <w:t>appropriate</w:t>
      </w:r>
      <w:r w:rsidR="00077735">
        <w:t>, Staff proposes an alternat</w:t>
      </w:r>
      <w:r w:rsidR="003042DE">
        <w:t>iv</w:t>
      </w:r>
      <w:r w:rsidR="00077735">
        <w:t>e capacity charge that the Commission may want to consider for this case.</w:t>
      </w:r>
    </w:p>
    <w:p w:rsidR="00077735" w:rsidRPr="000D1941" w:rsidRDefault="00077735" w:rsidP="000D1941">
      <w:pPr>
        <w:pStyle w:val="textstyle"/>
      </w:pPr>
      <w:r>
        <w:tab/>
        <w:t xml:space="preserve">In general, Staff’s position is </w:t>
      </w:r>
      <w:r w:rsidR="003042DE">
        <w:t>that AEP Ohio should</w:t>
      </w:r>
      <w:r>
        <w:t xml:space="preserve"> charge CRES providers the prevailing RPM rate in the unconstrained region of PJM.  Staff, like many other parties, opposes AEP Ohio’s request to recover capacity rates that are significantly above the market rate.  Other investor owned utilities in Ohio, like Duke and FirstEnergy, are charging CRES providers RPM pricing,</w:t>
      </w:r>
      <w:r>
        <w:rPr>
          <w:rStyle w:val="FootnoteReference"/>
        </w:rPr>
        <w:footnoteReference w:id="2"/>
      </w:r>
      <w:r>
        <w:t xml:space="preserve"> so the RPM pricing option should be </w:t>
      </w:r>
      <w:r w:rsidR="003042DE">
        <w:t>appropri</w:t>
      </w:r>
      <w:r w:rsidR="003042DE">
        <w:softHyphen/>
        <w:t>ate</w:t>
      </w:r>
      <w:r>
        <w:t xml:space="preserve"> for AEP Ohio too.  The evidentiary record does not support AEP Ohio’s request to charge CRES providers $355.72/MW-day for their shopping load.  In the event the Commission finds RPM pric</w:t>
      </w:r>
      <w:r w:rsidR="00080F38">
        <w:softHyphen/>
      </w:r>
      <w:r>
        <w:t xml:space="preserve">ing </w:t>
      </w:r>
      <w:r w:rsidR="003042DE">
        <w:t xml:space="preserve">inappropriate </w:t>
      </w:r>
      <w:r>
        <w:t>Staff proposes an alternate capacity rate, which is netted to account for appropriate cost adjustments and energy margin credits.  Staff’s alternat</w:t>
      </w:r>
      <w:r w:rsidR="003042DE">
        <w:t>iv</w:t>
      </w:r>
      <w:r>
        <w:t xml:space="preserve">e </w:t>
      </w:r>
      <w:r w:rsidR="003042DE">
        <w:t>RPM</w:t>
      </w:r>
      <w:r>
        <w:t xml:space="preserve"> rate may offer more financial stability to AEP Ohio than RPM pricing over the next three years, but it is not unjust or excessive like AEP Ohio’s pro</w:t>
      </w:r>
      <w:r w:rsidR="003042DE">
        <w:softHyphen/>
      </w:r>
      <w:r>
        <w:t xml:space="preserve">posed rate.  If the Commission finds the RPM clearing prices for 2012-2015 not to be </w:t>
      </w:r>
      <w:r w:rsidR="003042DE">
        <w:t>appropriate for</w:t>
      </w:r>
      <w:r>
        <w:t xml:space="preserve"> AEP Ohio t</w:t>
      </w:r>
      <w:r w:rsidRPr="005D1EE8">
        <w:rPr>
          <w:rFonts w:eastAsia="Times New Roman"/>
          <w:bCs/>
        </w:rPr>
        <w:t>h</w:t>
      </w:r>
      <w:r>
        <w:rPr>
          <w:rFonts w:eastAsia="Times New Roman"/>
          <w:bCs/>
        </w:rPr>
        <w:t>en</w:t>
      </w:r>
      <w:r w:rsidRPr="005D1EE8">
        <w:rPr>
          <w:rFonts w:eastAsia="Times New Roman"/>
          <w:bCs/>
        </w:rPr>
        <w:t xml:space="preserve"> </w:t>
      </w:r>
      <w:r>
        <w:rPr>
          <w:rFonts w:eastAsia="Times New Roman"/>
          <w:bCs/>
        </w:rPr>
        <w:t>Staff proposes an alternate</w:t>
      </w:r>
      <w:r w:rsidRPr="005D1EE8">
        <w:rPr>
          <w:rFonts w:eastAsia="Times New Roman"/>
          <w:bCs/>
        </w:rPr>
        <w:t xml:space="preserve"> capacity rate </w:t>
      </w:r>
      <w:r>
        <w:rPr>
          <w:rFonts w:eastAsia="Times New Roman"/>
          <w:bCs/>
        </w:rPr>
        <w:t>of $146.41/MW-Day</w:t>
      </w:r>
      <w:r w:rsidRPr="005D1EE8">
        <w:rPr>
          <w:rFonts w:eastAsia="Times New Roman"/>
          <w:bCs/>
        </w:rPr>
        <w:t xml:space="preserve"> be set as a state compensa</w:t>
      </w:r>
      <w:r w:rsidR="00080F38">
        <w:rPr>
          <w:rFonts w:eastAsia="Times New Roman"/>
          <w:bCs/>
        </w:rPr>
        <w:softHyphen/>
      </w:r>
      <w:r w:rsidRPr="005D1EE8">
        <w:rPr>
          <w:rFonts w:eastAsia="Times New Roman"/>
          <w:bCs/>
        </w:rPr>
        <w:t xml:space="preserve">tion mechanism for </w:t>
      </w:r>
      <w:r w:rsidRPr="005D1EE8">
        <w:t>AEP</w:t>
      </w:r>
      <w:r>
        <w:t xml:space="preserve"> </w:t>
      </w:r>
      <w:r w:rsidR="00080F38">
        <w:t>Ohio</w:t>
      </w:r>
      <w:r w:rsidR="00080F38" w:rsidRPr="005D1EE8">
        <w:t xml:space="preserve"> as</w:t>
      </w:r>
      <w:r w:rsidRPr="005D1EE8">
        <w:t xml:space="preserve"> developed, calculated and recommended by Staff</w:t>
      </w:r>
      <w:r>
        <w:t>.</w:t>
      </w:r>
    </w:p>
    <w:p w:rsidR="0004540C" w:rsidRDefault="004D2AC6" w:rsidP="000D1941">
      <w:pPr>
        <w:pStyle w:val="textstyle"/>
      </w:pPr>
      <w:r>
        <w:tab/>
      </w:r>
      <w:r w:rsidR="001C4964">
        <w:t>Staff’s</w:t>
      </w:r>
      <w:r w:rsidR="00077735">
        <w:t xml:space="preserve"> alternate</w:t>
      </w:r>
      <w:r w:rsidR="001C4964">
        <w:t xml:space="preserve"> proposed </w:t>
      </w:r>
      <w:r w:rsidR="006F214B">
        <w:t xml:space="preserve">capacity </w:t>
      </w:r>
      <w:r w:rsidR="001C4964">
        <w:t>rate balances the interests of AEP Ohio to recover its embedded cost</w:t>
      </w:r>
      <w:r w:rsidR="006F214B">
        <w:t xml:space="preserve">s to meet its </w:t>
      </w:r>
      <w:r w:rsidR="00187387">
        <w:t>Fixes Resource Requirement (</w:t>
      </w:r>
      <w:r w:rsidR="00080F38">
        <w:t>“</w:t>
      </w:r>
      <w:r w:rsidR="006F214B">
        <w:t>FRR</w:t>
      </w:r>
      <w:r w:rsidR="00080F38">
        <w:t>”</w:t>
      </w:r>
      <w:r w:rsidR="00187387">
        <w:t>)</w:t>
      </w:r>
      <w:r w:rsidR="006F214B">
        <w:t xml:space="preserve"> obligations w</w:t>
      </w:r>
      <w:r w:rsidR="005D2EAD">
        <w:t>hile at the same time</w:t>
      </w:r>
      <w:r w:rsidR="006F214B">
        <w:t xml:space="preserve"> promoting </w:t>
      </w:r>
      <w:r w:rsidR="005D2EAD">
        <w:t xml:space="preserve">alternative competitive supply and retail competition.  </w:t>
      </w:r>
      <w:r w:rsidR="005D2EAD">
        <w:lastRenderedPageBreak/>
        <w:t xml:space="preserve">Staff’s </w:t>
      </w:r>
      <w:r w:rsidR="00077735">
        <w:t xml:space="preserve">alternate </w:t>
      </w:r>
      <w:r w:rsidR="005D2EAD">
        <w:t>pro</w:t>
      </w:r>
      <w:r w:rsidR="009E0AA6">
        <w:softHyphen/>
      </w:r>
      <w:r w:rsidR="005D2EAD">
        <w:t>posed rate is compensatory, not confiscatory.  Staff’s rate neither dis</w:t>
      </w:r>
      <w:r w:rsidR="00080F38">
        <w:softHyphen/>
      </w:r>
      <w:r w:rsidR="005D2EAD">
        <w:t>criminates against, nor provide</w:t>
      </w:r>
      <w:r w:rsidR="00AA0F37">
        <w:t>s</w:t>
      </w:r>
      <w:r w:rsidR="005D2EAD">
        <w:t xml:space="preserve"> a subsidy to, CRES providers; rather, </w:t>
      </w:r>
      <w:r w:rsidR="00CD1E5C">
        <w:t xml:space="preserve">Staff’s </w:t>
      </w:r>
      <w:r w:rsidR="00077735">
        <w:t xml:space="preserve">alternative </w:t>
      </w:r>
      <w:r w:rsidR="00CD1E5C">
        <w:t>proposal</w:t>
      </w:r>
      <w:r w:rsidR="005D2EAD">
        <w:t xml:space="preserve"> </w:t>
      </w:r>
      <w:r w:rsidR="00A1615F">
        <w:t>w</w:t>
      </w:r>
      <w:r w:rsidR="002059A0">
        <w:t>ould prevent the unjust enrichment of AEP</w:t>
      </w:r>
      <w:r w:rsidR="00187387">
        <w:t xml:space="preserve"> Ohio’s</w:t>
      </w:r>
      <w:r w:rsidR="002059A0">
        <w:t xml:space="preserve"> shareholders at the expense of CRES providers and</w:t>
      </w:r>
      <w:r w:rsidR="00343456">
        <w:t xml:space="preserve"> </w:t>
      </w:r>
      <w:r w:rsidR="002059A0">
        <w:t xml:space="preserve">their customers.  Furthermore, Staff’s </w:t>
      </w:r>
      <w:r w:rsidR="00077735">
        <w:t xml:space="preserve">alternate </w:t>
      </w:r>
      <w:r w:rsidR="002059A0">
        <w:t xml:space="preserve">proposed rate would </w:t>
      </w:r>
      <w:r w:rsidR="00343456">
        <w:t xml:space="preserve">foster competition </w:t>
      </w:r>
      <w:r w:rsidR="00F56339">
        <w:t>by provid</w:t>
      </w:r>
      <w:r w:rsidR="009E0AA6">
        <w:softHyphen/>
      </w:r>
      <w:r w:rsidR="00F56339">
        <w:t xml:space="preserve">ing adequate shopping while, at the same time, providing </w:t>
      </w:r>
      <w:r w:rsidR="005D2EAD">
        <w:t xml:space="preserve">AEP Ohio </w:t>
      </w:r>
      <w:r w:rsidR="00F56339">
        <w:t>financial stability of earnings that</w:t>
      </w:r>
      <w:r w:rsidR="008628D8">
        <w:t xml:space="preserve"> allow</w:t>
      </w:r>
      <w:r w:rsidR="00F56339">
        <w:t>s</w:t>
      </w:r>
      <w:r w:rsidR="008628D8">
        <w:t xml:space="preserve"> it </w:t>
      </w:r>
      <w:r w:rsidR="005D2EAD">
        <w:t>to attract capital invest</w:t>
      </w:r>
      <w:r w:rsidR="00080F38">
        <w:softHyphen/>
      </w:r>
      <w:r w:rsidR="005D2EAD">
        <w:t>ment</w:t>
      </w:r>
      <w:r w:rsidR="00A1615F">
        <w:t>.</w:t>
      </w:r>
      <w:r w:rsidR="00304628">
        <w:t xml:space="preserve">  </w:t>
      </w:r>
    </w:p>
    <w:p w:rsidR="00163E16" w:rsidRDefault="005D2EAD" w:rsidP="000D1941">
      <w:pPr>
        <w:pStyle w:val="textstyle"/>
      </w:pPr>
      <w:r>
        <w:t xml:space="preserve"> </w:t>
      </w:r>
      <w:r w:rsidR="0004540C">
        <w:tab/>
        <w:t>From 2007 to November of 2010, AEP Ohio was compensated for capacity sup</w:t>
      </w:r>
      <w:r w:rsidR="009E0AA6">
        <w:softHyphen/>
      </w:r>
      <w:r w:rsidR="0004540C">
        <w:t>plied to CRES providers at the adjusted PJM RPM auction price.</w:t>
      </w:r>
      <w:r w:rsidR="00964EB8">
        <w:rPr>
          <w:rStyle w:val="FootnoteReference"/>
        </w:rPr>
        <w:footnoteReference w:id="3"/>
      </w:r>
      <w:r w:rsidR="00EC57E3">
        <w:t xml:space="preserve">  </w:t>
      </w:r>
      <w:r w:rsidR="00F977B0">
        <w:t>AEP Ohio did</w:t>
      </w:r>
      <w:r w:rsidR="00AA0F37">
        <w:t xml:space="preserve"> not</w:t>
      </w:r>
      <w:r w:rsidR="00F977B0">
        <w:t xml:space="preserve"> com</w:t>
      </w:r>
      <w:r w:rsidR="009E0AA6">
        <w:softHyphen/>
      </w:r>
      <w:r w:rsidR="00F977B0">
        <w:t xml:space="preserve">plain about the PJM RPM prices </w:t>
      </w:r>
      <w:r w:rsidR="00DC6AB1">
        <w:t xml:space="preserve">not being compensatory back then because </w:t>
      </w:r>
      <w:r w:rsidR="007B0B7D">
        <w:t xml:space="preserve">there was very little </w:t>
      </w:r>
      <w:r w:rsidR="00DC6AB1">
        <w:t>shopping</w:t>
      </w:r>
      <w:r w:rsidR="003042DE">
        <w:t xml:space="preserve"> and</w:t>
      </w:r>
      <w:r w:rsidR="00DC6AB1">
        <w:t xml:space="preserve"> energy prices were hig</w:t>
      </w:r>
      <w:r w:rsidR="003042DE">
        <w:t>her than they are today</w:t>
      </w:r>
      <w:r w:rsidR="00DC6AB1">
        <w:t>.</w:t>
      </w:r>
      <w:r w:rsidR="007B0B7D">
        <w:rPr>
          <w:rStyle w:val="FootnoteReference"/>
        </w:rPr>
        <w:footnoteReference w:id="4"/>
      </w:r>
      <w:r w:rsidR="007B0B7D">
        <w:t xml:space="preserve"> </w:t>
      </w:r>
      <w:r w:rsidR="006F6609">
        <w:t xml:space="preserve"> But as AEP Ohio looked ahead at forward auction prices (for PJM </w:t>
      </w:r>
      <w:r w:rsidR="005854E9">
        <w:t>planning years</w:t>
      </w:r>
      <w:r w:rsidR="006F6609">
        <w:t xml:space="preserve"> 2012/2013 and 2013/2014)</w:t>
      </w:r>
      <w:r w:rsidR="00AA0F37">
        <w:t>,</w:t>
      </w:r>
      <w:r w:rsidR="006F6609">
        <w:t xml:space="preserve"> it decided it was time </w:t>
      </w:r>
      <w:r w:rsidR="00080F38">
        <w:t>“</w:t>
      </w:r>
      <w:r w:rsidR="006F6609">
        <w:t>to do something because capacity can’t be free.</w:t>
      </w:r>
      <w:r w:rsidR="00080F38">
        <w:t>”</w:t>
      </w:r>
      <w:r w:rsidR="00BE62C1">
        <w:rPr>
          <w:rStyle w:val="FootnoteReference"/>
        </w:rPr>
        <w:footnoteReference w:id="5"/>
      </w:r>
      <w:r w:rsidR="00D91A0B">
        <w:t xml:space="preserve">  In November 2010</w:t>
      </w:r>
      <w:r w:rsidR="00AA0F37">
        <w:t>,</w:t>
      </w:r>
      <w:r w:rsidR="00D91A0B">
        <w:t xml:space="preserve"> AEP Ohio filed </w:t>
      </w:r>
      <w:r w:rsidR="002E7A42">
        <w:t>its</w:t>
      </w:r>
      <w:r w:rsidR="00D91A0B">
        <w:t xml:space="preserve"> application at the FERC request</w:t>
      </w:r>
      <w:r w:rsidR="009E0AA6">
        <w:softHyphen/>
      </w:r>
      <w:r w:rsidR="00D91A0B">
        <w:t>ing a cost-based mechanism for capacity.</w:t>
      </w:r>
      <w:r w:rsidR="00192248">
        <w:rPr>
          <w:rStyle w:val="FootnoteReference"/>
        </w:rPr>
        <w:footnoteReference w:id="6"/>
      </w:r>
      <w:r w:rsidR="004A6C34">
        <w:t xml:space="preserve">  This </w:t>
      </w:r>
      <w:r w:rsidR="00A84566">
        <w:t xml:space="preserve">Commission </w:t>
      </w:r>
      <w:r w:rsidR="004A6C34">
        <w:t xml:space="preserve">proceeding was initiated soon thereafter. </w:t>
      </w:r>
    </w:p>
    <w:p w:rsidR="00D80325" w:rsidRDefault="004D2AC6" w:rsidP="000D1941">
      <w:pPr>
        <w:pStyle w:val="textstyle"/>
      </w:pPr>
      <w:r>
        <w:lastRenderedPageBreak/>
        <w:tab/>
      </w:r>
      <w:r w:rsidR="004A6C34">
        <w:t>AEP Ohio</w:t>
      </w:r>
      <w:r w:rsidR="002E7A42">
        <w:t>’s</w:t>
      </w:r>
      <w:r w:rsidR="004A6C34">
        <w:t xml:space="preserve"> description of the PJM RPM market prices of $20.01 and $33.71 </w:t>
      </w:r>
      <w:r w:rsidR="003042DE">
        <w:t xml:space="preserve">(as adjusted for scaling factors) </w:t>
      </w:r>
      <w:r w:rsidR="004A6C34">
        <w:t>f</w:t>
      </w:r>
      <w:r w:rsidR="0075335C">
        <w:t>or planning years</w:t>
      </w:r>
      <w:r w:rsidR="004A6C34">
        <w:t xml:space="preserve"> 2012/2013 and 2013/2014</w:t>
      </w:r>
      <w:r w:rsidR="00145138">
        <w:rPr>
          <w:rStyle w:val="FootnoteReference"/>
        </w:rPr>
        <w:footnoteReference w:id="7"/>
      </w:r>
      <w:r w:rsidR="004A6C34">
        <w:t xml:space="preserve">, respectively, as free is absurd.  Staff’s </w:t>
      </w:r>
      <w:r w:rsidR="00077735">
        <w:t>alter</w:t>
      </w:r>
      <w:r w:rsidR="00080F38">
        <w:softHyphen/>
      </w:r>
      <w:r w:rsidR="00077735">
        <w:t xml:space="preserve">nate </w:t>
      </w:r>
      <w:r w:rsidR="004A6C34">
        <w:t>pro</w:t>
      </w:r>
      <w:r w:rsidR="009E0AA6">
        <w:softHyphen/>
      </w:r>
      <w:r w:rsidR="004A6C34">
        <w:t xml:space="preserve">posed rate, which is </w:t>
      </w:r>
      <w:r w:rsidR="00077735">
        <w:t>more than</w:t>
      </w:r>
      <w:r w:rsidR="004A6C34">
        <w:t xml:space="preserve"> </w:t>
      </w:r>
      <w:r w:rsidR="00077735">
        <w:t xml:space="preserve">the </w:t>
      </w:r>
      <w:r w:rsidR="004A6C34">
        <w:t>PJM RPM prices, cer</w:t>
      </w:r>
      <w:r w:rsidR="009E0AA6">
        <w:softHyphen/>
      </w:r>
      <w:r w:rsidR="004A6C34">
        <w:t xml:space="preserve">tainly is not </w:t>
      </w:r>
      <w:r w:rsidR="004A6C34" w:rsidRPr="009478F8">
        <w:rPr>
          <w:i/>
        </w:rPr>
        <w:t>free</w:t>
      </w:r>
      <w:r w:rsidR="004A6C34">
        <w:t xml:space="preserve"> to the CRES providers </w:t>
      </w:r>
      <w:r w:rsidR="00AF718E">
        <w:t>paying the charge</w:t>
      </w:r>
      <w:r w:rsidR="004A6C34">
        <w:t>.</w:t>
      </w:r>
      <w:r w:rsidR="00520FB5">
        <w:t xml:space="preserve">  In fact, AEP Ohio charged CRES</w:t>
      </w:r>
      <w:r w:rsidR="001022BF">
        <w:t xml:space="preserve"> </w:t>
      </w:r>
      <w:r w:rsidR="00520FB5">
        <w:t>providers $145.79/MW-day from June 1, 2011 through December 31, 2011</w:t>
      </w:r>
      <w:r w:rsidR="008717CF">
        <w:t>,</w:t>
      </w:r>
      <w:r w:rsidR="00B12433">
        <w:rPr>
          <w:rStyle w:val="FootnoteReference"/>
        </w:rPr>
        <w:footnoteReference w:id="8"/>
      </w:r>
      <w:r w:rsidR="001022BF">
        <w:t xml:space="preserve"> which is equivalent to Staff’s</w:t>
      </w:r>
      <w:r w:rsidR="00077735">
        <w:t xml:space="preserve"> alternate</w:t>
      </w:r>
      <w:r w:rsidR="001022BF">
        <w:t xml:space="preserve"> proposed rate of $146.41/MW-day.</w:t>
      </w:r>
      <w:r w:rsidR="005C6DA2">
        <w:t xml:space="preserve">  Staff’s </w:t>
      </w:r>
      <w:r w:rsidR="00080F38">
        <w:t>alternative</w:t>
      </w:r>
      <w:r w:rsidR="00077735">
        <w:t xml:space="preserve"> </w:t>
      </w:r>
      <w:r w:rsidR="005C6DA2">
        <w:t>capacity rate proposal has support from Ohio Energy Group</w:t>
      </w:r>
      <w:r w:rsidR="00321CD8">
        <w:t xml:space="preserve"> (</w:t>
      </w:r>
      <w:r w:rsidR="00080F38">
        <w:t>“</w:t>
      </w:r>
      <w:r w:rsidR="00321CD8">
        <w:t>OEG</w:t>
      </w:r>
      <w:r w:rsidR="00080F38">
        <w:t>”</w:t>
      </w:r>
      <w:r w:rsidR="00321CD8">
        <w:t>)</w:t>
      </w:r>
      <w:r w:rsidR="005C6DA2">
        <w:t xml:space="preserve"> witness Kollen, who testified that he believed the maximum rate that AEP</w:t>
      </w:r>
      <w:r w:rsidR="00321CD8">
        <w:t xml:space="preserve"> Ohio</w:t>
      </w:r>
      <w:r w:rsidR="005C6DA2">
        <w:t xml:space="preserve"> should charge CRES providers for capacity is $145.</w:t>
      </w:r>
      <w:r w:rsidR="00200713">
        <w:t>79</w:t>
      </w:r>
      <w:r w:rsidR="005C6DA2">
        <w:t>.</w:t>
      </w:r>
      <w:r w:rsidR="00867B33">
        <w:rPr>
          <w:rStyle w:val="FootnoteReference"/>
        </w:rPr>
        <w:footnoteReference w:id="9"/>
      </w:r>
      <w:r w:rsidR="005C6DA2">
        <w:t xml:space="preserve">  </w:t>
      </w:r>
      <w:r w:rsidR="004A6C34">
        <w:t xml:space="preserve">    </w:t>
      </w:r>
      <w:r w:rsidR="007B0B7D">
        <w:t xml:space="preserve">  </w:t>
      </w:r>
      <w:r w:rsidR="006F214B">
        <w:t xml:space="preserve"> </w:t>
      </w:r>
      <w:r w:rsidR="00356DE6" w:rsidRPr="005D1EE8">
        <w:t xml:space="preserve">  </w:t>
      </w:r>
    </w:p>
    <w:p w:rsidR="004625B6" w:rsidRDefault="004D2AC6" w:rsidP="000D1941">
      <w:pPr>
        <w:pStyle w:val="textstyle"/>
        <w:rPr>
          <w:rFonts w:eastAsia="Times New Roman"/>
          <w:bCs/>
        </w:rPr>
      </w:pPr>
      <w:r>
        <w:tab/>
      </w:r>
      <w:r w:rsidR="00356DE6" w:rsidRPr="005D1EE8">
        <w:t>As explaine</w:t>
      </w:r>
      <w:r w:rsidR="00E03510" w:rsidRPr="005D1EE8">
        <w:t>d through testimony by Staff, the reduction of AEP</w:t>
      </w:r>
      <w:r w:rsidR="009A78EE">
        <w:t xml:space="preserve"> Ohio</w:t>
      </w:r>
      <w:r w:rsidR="00E03510" w:rsidRPr="005D1EE8">
        <w:t>’s proposed rate of $355.72/MW</w:t>
      </w:r>
      <w:r w:rsidR="003042DE">
        <w:t>-Day to Staff’s alternative recommendation of $146.41/MW-Day</w:t>
      </w:r>
      <w:r w:rsidR="00E03510" w:rsidRPr="005D1EE8">
        <w:t xml:space="preserve"> is a result of removing and</w:t>
      </w:r>
      <w:r w:rsidR="005706F6" w:rsidRPr="005D1EE8">
        <w:t xml:space="preserve"> adjust</w:t>
      </w:r>
      <w:r w:rsidR="00E03510" w:rsidRPr="005D1EE8">
        <w:t>ing</w:t>
      </w:r>
      <w:r w:rsidR="00356DE6" w:rsidRPr="005D1EE8">
        <w:t xml:space="preserve"> numerous items </w:t>
      </w:r>
      <w:r w:rsidR="005706F6" w:rsidRPr="005D1EE8">
        <w:t>including</w:t>
      </w:r>
      <w:r w:rsidR="00E03510" w:rsidRPr="005D1EE8">
        <w:t>:</w:t>
      </w:r>
      <w:r w:rsidR="00C70206" w:rsidRPr="005D1EE8">
        <w:t xml:space="preserve"> (1) return on equity; (2) rate of return;</w:t>
      </w:r>
      <w:r w:rsidR="005706F6" w:rsidRPr="005D1EE8">
        <w:t xml:space="preserve"> (3</w:t>
      </w:r>
      <w:r w:rsidR="00C70206" w:rsidRPr="005D1EE8">
        <w:t>) construction work in progress; (4) plant held for future use; (5) cash work</w:t>
      </w:r>
      <w:r w:rsidR="003042DE">
        <w:softHyphen/>
      </w:r>
      <w:r w:rsidR="00C70206" w:rsidRPr="005D1EE8">
        <w:t>ing capital; (6) prepayments;</w:t>
      </w:r>
      <w:r w:rsidR="005706F6" w:rsidRPr="005D1EE8">
        <w:t xml:space="preserve"> (7) ac</w:t>
      </w:r>
      <w:r w:rsidR="00C70206" w:rsidRPr="005D1EE8">
        <w:t>cumulated deferred income taxes;</w:t>
      </w:r>
      <w:r w:rsidR="005706F6" w:rsidRPr="005D1EE8">
        <w:t xml:space="preserve"> </w:t>
      </w:r>
      <w:r w:rsidR="00585034" w:rsidRPr="005D1EE8">
        <w:t>(8</w:t>
      </w:r>
      <w:r w:rsidR="00471868" w:rsidRPr="005D1EE8">
        <w:t>)</w:t>
      </w:r>
      <w:r w:rsidR="00471868" w:rsidRPr="005D1EE8">
        <w:rPr>
          <w:rFonts w:eastAsia="Times New Roman"/>
          <w:bCs/>
        </w:rPr>
        <w:t xml:space="preserve"> </w:t>
      </w:r>
      <w:r w:rsidR="000F6B5D">
        <w:rPr>
          <w:noProof/>
        </w:rPr>
        <w:t>p</w:t>
      </w:r>
      <w:r w:rsidR="00471868" w:rsidRPr="005D1EE8">
        <w:rPr>
          <w:noProof/>
        </w:rPr>
        <w:t>ay</w:t>
      </w:r>
      <w:r w:rsidR="000F6B5D">
        <w:rPr>
          <w:noProof/>
        </w:rPr>
        <w:t>roll and benefits for eliminated p</w:t>
      </w:r>
      <w:r w:rsidR="00471868" w:rsidRPr="005D1EE8">
        <w:rPr>
          <w:noProof/>
        </w:rPr>
        <w:t>ositions</w:t>
      </w:r>
      <w:r w:rsidR="00585034" w:rsidRPr="005D1EE8">
        <w:rPr>
          <w:noProof/>
        </w:rPr>
        <w:t>; (9</w:t>
      </w:r>
      <w:r w:rsidR="000F6B5D">
        <w:rPr>
          <w:noProof/>
        </w:rPr>
        <w:t xml:space="preserve">) 2010 severance program </w:t>
      </w:r>
      <w:r w:rsidR="00471868" w:rsidRPr="005D1EE8">
        <w:rPr>
          <w:noProof/>
        </w:rPr>
        <w:t>ost</w:t>
      </w:r>
      <w:r w:rsidR="00585034" w:rsidRPr="005D1EE8">
        <w:rPr>
          <w:noProof/>
        </w:rPr>
        <w:t>; (10</w:t>
      </w:r>
      <w:r w:rsidR="00471868" w:rsidRPr="005D1EE8">
        <w:rPr>
          <w:noProof/>
        </w:rPr>
        <w:t xml:space="preserve">) </w:t>
      </w:r>
      <w:r w:rsidR="000F6B5D">
        <w:t>income tax expense</w:t>
      </w:r>
      <w:r w:rsidR="00585034" w:rsidRPr="005D1EE8">
        <w:t>; (11</w:t>
      </w:r>
      <w:r w:rsidR="00471868" w:rsidRPr="005D1EE8">
        <w:t xml:space="preserve">) </w:t>
      </w:r>
      <w:r w:rsidR="000F6B5D">
        <w:rPr>
          <w:noProof/>
        </w:rPr>
        <w:t>domestic production a</w:t>
      </w:r>
      <w:r w:rsidR="00471868" w:rsidRPr="005D1EE8">
        <w:rPr>
          <w:noProof/>
        </w:rPr>
        <w:t>ctivities</w:t>
      </w:r>
      <w:r w:rsidR="00585034" w:rsidRPr="005D1EE8">
        <w:rPr>
          <w:noProof/>
        </w:rPr>
        <w:t>; (12</w:t>
      </w:r>
      <w:r w:rsidR="000F6B5D">
        <w:rPr>
          <w:noProof/>
        </w:rPr>
        <w:t>) d</w:t>
      </w:r>
      <w:r w:rsidR="00471868" w:rsidRPr="005D1EE8">
        <w:rPr>
          <w:noProof/>
        </w:rPr>
        <w:t>eduction</w:t>
      </w:r>
      <w:r w:rsidR="00471868" w:rsidRPr="005D1EE8">
        <w:rPr>
          <w:rFonts w:eastAsia="Times New Roman"/>
          <w:bCs/>
        </w:rPr>
        <w:t xml:space="preserve"> </w:t>
      </w:r>
      <w:r w:rsidR="000F6B5D">
        <w:rPr>
          <w:noProof/>
        </w:rPr>
        <w:t>payroll tax e</w:t>
      </w:r>
      <w:r w:rsidR="00471868" w:rsidRPr="005D1EE8">
        <w:rPr>
          <w:noProof/>
        </w:rPr>
        <w:t>xpense</w:t>
      </w:r>
      <w:r w:rsidR="00585034" w:rsidRPr="005D1EE8">
        <w:rPr>
          <w:noProof/>
        </w:rPr>
        <w:t>; (13</w:t>
      </w:r>
      <w:r w:rsidR="000F6B5D">
        <w:rPr>
          <w:noProof/>
        </w:rPr>
        <w:t>) capacity equalization r</w:t>
      </w:r>
      <w:r w:rsidR="00471868" w:rsidRPr="005D1EE8">
        <w:rPr>
          <w:noProof/>
        </w:rPr>
        <w:t>evenue</w:t>
      </w:r>
      <w:r w:rsidR="00585034" w:rsidRPr="005D1EE8">
        <w:rPr>
          <w:noProof/>
        </w:rPr>
        <w:t>; (14</w:t>
      </w:r>
      <w:r w:rsidR="000F6B5D">
        <w:rPr>
          <w:noProof/>
        </w:rPr>
        <w:t>) ancillary services r</w:t>
      </w:r>
      <w:r w:rsidR="00471868" w:rsidRPr="005D1EE8">
        <w:rPr>
          <w:noProof/>
        </w:rPr>
        <w:t>evenue</w:t>
      </w:r>
      <w:r w:rsidR="00585034" w:rsidRPr="005D1EE8">
        <w:rPr>
          <w:noProof/>
        </w:rPr>
        <w:t>; and (15</w:t>
      </w:r>
      <w:r w:rsidR="00471868" w:rsidRPr="005D1EE8">
        <w:rPr>
          <w:noProof/>
        </w:rPr>
        <w:t>)</w:t>
      </w:r>
      <w:r w:rsidR="00471868" w:rsidRPr="005D1EE8">
        <w:rPr>
          <w:rFonts w:eastAsia="Times New Roman"/>
          <w:bCs/>
        </w:rPr>
        <w:t xml:space="preserve"> </w:t>
      </w:r>
      <w:r w:rsidR="000F6B5D">
        <w:rPr>
          <w:noProof/>
        </w:rPr>
        <w:t>e</w:t>
      </w:r>
      <w:r w:rsidR="00471868" w:rsidRPr="005D1EE8">
        <w:rPr>
          <w:noProof/>
        </w:rPr>
        <w:t>nerg</w:t>
      </w:r>
      <w:r w:rsidR="000F6B5D">
        <w:rPr>
          <w:noProof/>
        </w:rPr>
        <w:t>y sales margin and ancillary services r</w:t>
      </w:r>
      <w:r w:rsidR="00471868" w:rsidRPr="005D1EE8">
        <w:rPr>
          <w:noProof/>
        </w:rPr>
        <w:t>eceipts</w:t>
      </w:r>
      <w:r w:rsidR="00471868" w:rsidRPr="005D1EE8">
        <w:rPr>
          <w:rFonts w:eastAsia="Times New Roman"/>
          <w:bCs/>
        </w:rPr>
        <w:t xml:space="preserve">.  </w:t>
      </w:r>
      <w:r w:rsidR="00E028AA">
        <w:rPr>
          <w:rFonts w:eastAsia="Times New Roman"/>
          <w:bCs/>
        </w:rPr>
        <w:t>Staff</w:t>
      </w:r>
      <w:r w:rsidR="00F72C96">
        <w:rPr>
          <w:rFonts w:eastAsia="Times New Roman"/>
          <w:bCs/>
        </w:rPr>
        <w:t>’</w:t>
      </w:r>
      <w:r w:rsidR="00E028AA">
        <w:rPr>
          <w:rFonts w:eastAsia="Times New Roman"/>
          <w:bCs/>
        </w:rPr>
        <w:t>s assessment of the Energy credit was con</w:t>
      </w:r>
      <w:r w:rsidR="003042DE">
        <w:rPr>
          <w:rFonts w:eastAsia="Times New Roman"/>
          <w:bCs/>
        </w:rPr>
        <w:softHyphen/>
      </w:r>
      <w:r w:rsidR="00E028AA">
        <w:rPr>
          <w:rFonts w:eastAsia="Times New Roman"/>
          <w:bCs/>
        </w:rPr>
        <w:lastRenderedPageBreak/>
        <w:t>servative</w:t>
      </w:r>
      <w:r w:rsidR="00243D0C">
        <w:rPr>
          <w:rFonts w:eastAsia="Times New Roman"/>
          <w:bCs/>
        </w:rPr>
        <w:t>.  Regardless,</w:t>
      </w:r>
      <w:r w:rsidR="00E028AA">
        <w:rPr>
          <w:rFonts w:eastAsia="Times New Roman"/>
          <w:bCs/>
        </w:rPr>
        <w:t xml:space="preserve"> </w:t>
      </w:r>
      <w:r w:rsidR="000B46D5">
        <w:rPr>
          <w:rFonts w:eastAsia="Times New Roman"/>
          <w:bCs/>
        </w:rPr>
        <w:t>AEP</w:t>
      </w:r>
      <w:r w:rsidR="009A78EE">
        <w:rPr>
          <w:rFonts w:eastAsia="Times New Roman"/>
          <w:bCs/>
        </w:rPr>
        <w:t xml:space="preserve"> Ohio</w:t>
      </w:r>
      <w:r w:rsidR="000B46D5">
        <w:rPr>
          <w:rFonts w:eastAsia="Times New Roman"/>
          <w:bCs/>
        </w:rPr>
        <w:t xml:space="preserve"> opposes any </w:t>
      </w:r>
      <w:r w:rsidR="00661F0C">
        <w:rPr>
          <w:rFonts w:eastAsia="Times New Roman"/>
          <w:bCs/>
        </w:rPr>
        <w:t>e</w:t>
      </w:r>
      <w:r w:rsidR="000B46D5">
        <w:rPr>
          <w:rFonts w:eastAsia="Times New Roman"/>
          <w:bCs/>
        </w:rPr>
        <w:t>nergy credit offset to the capacity charge, which is inconsistent with industry practice and PJM’s own approach to valuing capacity.</w:t>
      </w:r>
      <w:r w:rsidR="006F4D88">
        <w:rPr>
          <w:rFonts w:eastAsia="Times New Roman"/>
          <w:bCs/>
        </w:rPr>
        <w:t xml:space="preserve">  And inconsistent with AEP Ohio’s witness Pearce who under cross examination agreed that every dollar of positive energy margin earned on the resource can be a reduction in its net costs.</w:t>
      </w:r>
      <w:r w:rsidR="00D51FF6">
        <w:rPr>
          <w:rStyle w:val="FootnoteReference"/>
          <w:rFonts w:eastAsia="Times New Roman"/>
          <w:bCs/>
        </w:rPr>
        <w:footnoteReference w:id="10"/>
      </w:r>
      <w:r w:rsidR="006F4D88">
        <w:rPr>
          <w:rFonts w:eastAsia="Times New Roman"/>
          <w:bCs/>
        </w:rPr>
        <w:t xml:space="preserve"> </w:t>
      </w:r>
      <w:r w:rsidR="000B46D5">
        <w:rPr>
          <w:rFonts w:eastAsia="Times New Roman"/>
          <w:bCs/>
        </w:rPr>
        <w:t xml:space="preserve">  </w:t>
      </w:r>
    </w:p>
    <w:p w:rsidR="00304100" w:rsidRPr="005D1EE8" w:rsidRDefault="004D2AC6" w:rsidP="000D1941">
      <w:pPr>
        <w:pStyle w:val="textstyle"/>
        <w:rPr>
          <w:rFonts w:eastAsia="Times New Roman"/>
          <w:bCs/>
        </w:rPr>
      </w:pPr>
      <w:r>
        <w:rPr>
          <w:rFonts w:eastAsia="Times New Roman"/>
          <w:bCs/>
        </w:rPr>
        <w:tab/>
      </w:r>
      <w:r w:rsidR="009E47A6">
        <w:rPr>
          <w:rFonts w:eastAsia="Times New Roman"/>
          <w:bCs/>
        </w:rPr>
        <w:t>When</w:t>
      </w:r>
      <w:r w:rsidR="0039464E">
        <w:rPr>
          <w:rFonts w:eastAsia="Times New Roman"/>
          <w:bCs/>
        </w:rPr>
        <w:t xml:space="preserve"> taking into account all of </w:t>
      </w:r>
      <w:r w:rsidR="00E03510" w:rsidRPr="005D1EE8">
        <w:t>these adjustments</w:t>
      </w:r>
      <w:r w:rsidR="00E2071E">
        <w:t xml:space="preserve"> and </w:t>
      </w:r>
      <w:r w:rsidR="003705C2">
        <w:t>credits</w:t>
      </w:r>
      <w:r w:rsidR="00E03510" w:rsidRPr="005D1EE8">
        <w:t>, t</w:t>
      </w:r>
      <w:r w:rsidR="00B2796E" w:rsidRPr="005D1EE8">
        <w:t>he</w:t>
      </w:r>
      <w:r w:rsidR="000F6B5D">
        <w:t xml:space="preserve"> capacity</w:t>
      </w:r>
      <w:r w:rsidR="00B2796E" w:rsidRPr="005D1EE8">
        <w:t xml:space="preserve"> rate</w:t>
      </w:r>
      <w:r w:rsidR="00C70206" w:rsidRPr="005D1EE8">
        <w:t xml:space="preserve"> of $</w:t>
      </w:r>
      <w:r w:rsidR="0039464E">
        <w:t>146</w:t>
      </w:r>
      <w:r w:rsidR="00C70206" w:rsidRPr="005D1EE8">
        <w:t>.</w:t>
      </w:r>
      <w:r w:rsidR="0039464E">
        <w:t>41</w:t>
      </w:r>
      <w:r w:rsidR="00C70206" w:rsidRPr="005D1EE8">
        <w:t>/MW-Day</w:t>
      </w:r>
      <w:r w:rsidR="00B2796E" w:rsidRPr="005D1EE8">
        <w:t xml:space="preserve"> proposed </w:t>
      </w:r>
      <w:r w:rsidR="00077735">
        <w:t xml:space="preserve">in the alternative </w:t>
      </w:r>
      <w:r w:rsidR="00B2796E" w:rsidRPr="005D1EE8">
        <w:t>by Staff is compensatory to the Company while</w:t>
      </w:r>
      <w:r w:rsidR="00C70206" w:rsidRPr="005D1EE8">
        <w:t xml:space="preserve"> still</w:t>
      </w:r>
      <w:r w:rsidR="00B2796E" w:rsidRPr="005D1EE8">
        <w:t xml:space="preserve"> foster</w:t>
      </w:r>
      <w:r w:rsidR="009E0AA6">
        <w:softHyphen/>
      </w:r>
      <w:r w:rsidR="00B2796E" w:rsidRPr="005D1EE8">
        <w:t xml:space="preserve">ing competition among CRES providers in the </w:t>
      </w:r>
      <w:r w:rsidR="00651251">
        <w:t>s</w:t>
      </w:r>
      <w:r w:rsidR="00B2796E" w:rsidRPr="005D1EE8">
        <w:t>tate of Ohio.</w:t>
      </w:r>
      <w:r w:rsidR="00356DE6" w:rsidRPr="005D1EE8">
        <w:t xml:space="preserve">  </w:t>
      </w:r>
      <w:r w:rsidR="00B2796E" w:rsidRPr="005D1EE8">
        <w:t xml:space="preserve">  </w:t>
      </w:r>
      <w:r w:rsidR="001A6CF5" w:rsidRPr="005D1EE8">
        <w:t xml:space="preserve">  </w:t>
      </w:r>
    </w:p>
    <w:p w:rsidR="00EC51F9" w:rsidRPr="005D1EE8" w:rsidRDefault="00EC51F9" w:rsidP="004D2AC6">
      <w:pPr>
        <w:pStyle w:val="Heading1"/>
        <w:rPr>
          <w:rFonts w:eastAsia="Times New Roman"/>
        </w:rPr>
      </w:pPr>
      <w:bookmarkStart w:id="6" w:name="_Toc325543188"/>
      <w:r w:rsidRPr="005D1EE8">
        <w:rPr>
          <w:rFonts w:eastAsia="Times New Roman"/>
        </w:rPr>
        <w:t>BACKGROUND</w:t>
      </w:r>
      <w:bookmarkEnd w:id="6"/>
    </w:p>
    <w:p w:rsidR="009B184C" w:rsidRDefault="004D2AC6" w:rsidP="000D1941">
      <w:pPr>
        <w:pStyle w:val="textstyle"/>
      </w:pPr>
      <w:r>
        <w:tab/>
      </w:r>
      <w:r w:rsidR="006D5BA5" w:rsidRPr="005D1EE8">
        <w:t>In this</w:t>
      </w:r>
      <w:r w:rsidR="00DA3AD3" w:rsidRPr="005D1EE8">
        <w:t xml:space="preserve"> case</w:t>
      </w:r>
      <w:r w:rsidR="006D5BA5" w:rsidRPr="005D1EE8">
        <w:t xml:space="preserve">, </w:t>
      </w:r>
      <w:r w:rsidR="001A6CF5" w:rsidRPr="005D1EE8">
        <w:rPr>
          <w:rFonts w:eastAsia="Times New Roman"/>
          <w:bCs/>
        </w:rPr>
        <w:t>AEP</w:t>
      </w:r>
      <w:r w:rsidR="009A78EE">
        <w:rPr>
          <w:rFonts w:eastAsia="Times New Roman"/>
          <w:bCs/>
        </w:rPr>
        <w:t xml:space="preserve"> Ohio</w:t>
      </w:r>
      <w:r w:rsidR="001A6CF5" w:rsidRPr="005D1EE8">
        <w:t xml:space="preserve"> </w:t>
      </w:r>
      <w:r w:rsidR="006D5BA5" w:rsidRPr="005D1EE8">
        <w:t>seeks authorization to es</w:t>
      </w:r>
      <w:r w:rsidR="00DA3AD3" w:rsidRPr="005D1EE8">
        <w:t>tablish a formula-</w:t>
      </w:r>
      <w:r w:rsidR="00EE5FF5" w:rsidRPr="005D1EE8">
        <w:t xml:space="preserve">based pricing </w:t>
      </w:r>
      <w:r w:rsidR="006D5BA5" w:rsidRPr="005D1EE8">
        <w:t>method for generation capacity service sold to</w:t>
      </w:r>
      <w:r w:rsidR="00B2796E" w:rsidRPr="005D1EE8">
        <w:t xml:space="preserve"> CRES provider</w:t>
      </w:r>
      <w:r w:rsidR="006D5BA5" w:rsidRPr="005D1EE8">
        <w:t xml:space="preserve"> </w:t>
      </w:r>
      <w:r w:rsidR="00EE5FF5" w:rsidRPr="005D1EE8">
        <w:t xml:space="preserve">within OP’s service </w:t>
      </w:r>
      <w:r w:rsidR="006D5BA5" w:rsidRPr="005D1EE8">
        <w:t>terri</w:t>
      </w:r>
      <w:r w:rsidR="009E0AA6">
        <w:softHyphen/>
      </w:r>
      <w:r w:rsidR="006D5BA5" w:rsidRPr="005D1EE8">
        <w:t>tory.</w:t>
      </w:r>
      <w:r w:rsidR="00EE5FF5" w:rsidRPr="005D1EE8">
        <w:t xml:space="preserve"> </w:t>
      </w:r>
      <w:r w:rsidR="00A06FC3" w:rsidRPr="005D1EE8">
        <w:t xml:space="preserve"> The c</w:t>
      </w:r>
      <w:r w:rsidR="00304100" w:rsidRPr="005D1EE8">
        <w:t xml:space="preserve">apacity pricing </w:t>
      </w:r>
      <w:r w:rsidR="003042DE">
        <w:t>approval</w:t>
      </w:r>
      <w:r w:rsidR="004659C4" w:rsidRPr="005D1EE8">
        <w:t xml:space="preserve"> </w:t>
      </w:r>
      <w:r w:rsidR="003042DE">
        <w:t>sought by</w:t>
      </w:r>
      <w:r w:rsidR="004659C4" w:rsidRPr="005D1EE8">
        <w:t xml:space="preserve"> AEP</w:t>
      </w:r>
      <w:r w:rsidR="009A78EE">
        <w:t xml:space="preserve"> Ohio</w:t>
      </w:r>
      <w:r w:rsidR="00304100" w:rsidRPr="005D1EE8">
        <w:t xml:space="preserve"> is</w:t>
      </w:r>
      <w:r w:rsidR="00DA3AD3" w:rsidRPr="005D1EE8">
        <w:t xml:space="preserve"> governed by the rules of</w:t>
      </w:r>
      <w:r w:rsidR="00321CD8">
        <w:t xml:space="preserve"> </w:t>
      </w:r>
      <w:r w:rsidR="00EE5FF5" w:rsidRPr="005D1EE8">
        <w:t>PJM under the approved Reliability Assurance Agreement (</w:t>
      </w:r>
      <w:r w:rsidR="00080F38">
        <w:t>“</w:t>
      </w:r>
      <w:r w:rsidR="00EE5FF5" w:rsidRPr="005D1EE8">
        <w:t>RAA</w:t>
      </w:r>
      <w:r w:rsidR="00080F38">
        <w:t>”</w:t>
      </w:r>
      <w:r w:rsidR="00EE5FF5" w:rsidRPr="005D1EE8">
        <w:t>)</w:t>
      </w:r>
      <w:r w:rsidR="008717CF" w:rsidRPr="005D1EE8">
        <w:t xml:space="preserve">.  </w:t>
      </w:r>
      <w:r w:rsidR="00EE5FF5" w:rsidRPr="005D1EE8">
        <w:t xml:space="preserve">The rules create an organized capacity market generally referred to as the RPM and are embodied in PJM’s open access transmission tariff. </w:t>
      </w:r>
      <w:r w:rsidR="00DA3AD3" w:rsidRPr="005D1EE8">
        <w:t xml:space="preserve"> </w:t>
      </w:r>
      <w:r w:rsidR="00EE5FF5" w:rsidRPr="005D1EE8">
        <w:t>The RPM rules require a load-serving entity (</w:t>
      </w:r>
      <w:r w:rsidR="00080F38">
        <w:t>“</w:t>
      </w:r>
      <w:r w:rsidR="00EE5FF5" w:rsidRPr="005D1EE8">
        <w:t>LSE</w:t>
      </w:r>
      <w:r w:rsidR="00080F38">
        <w:t>”</w:t>
      </w:r>
      <w:r w:rsidR="00EE5FF5" w:rsidRPr="005D1EE8">
        <w:t xml:space="preserve">) to obtain or arrange for adequate capacity to meet PJM’s forecasted peak demand, including a reserve margin. </w:t>
      </w:r>
      <w:r w:rsidR="00DA3AD3" w:rsidRPr="005D1EE8">
        <w:t xml:space="preserve"> T</w:t>
      </w:r>
      <w:r w:rsidR="00EE5FF5" w:rsidRPr="005D1EE8">
        <w:t>he RPM</w:t>
      </w:r>
      <w:r w:rsidR="00DA3AD3" w:rsidRPr="005D1EE8">
        <w:t xml:space="preserve"> includes, for pricing purposes,</w:t>
      </w:r>
      <w:r w:rsidR="00EE5FF5" w:rsidRPr="005D1EE8">
        <w:t xml:space="preserve"> a capacity auction in which </w:t>
      </w:r>
      <w:r w:rsidR="009B184C">
        <w:br w:type="page"/>
      </w:r>
    </w:p>
    <w:p w:rsidR="00EE5FF5" w:rsidRPr="005D1EE8" w:rsidRDefault="00EE5FF5" w:rsidP="000D1941">
      <w:pPr>
        <w:pStyle w:val="textstyle"/>
      </w:pPr>
      <w:r w:rsidRPr="005D1EE8">
        <w:lastRenderedPageBreak/>
        <w:t xml:space="preserve">generation and demand response resources are cleared to forecasted load based upon prices offered by qualifying resources three years prior to a June </w:t>
      </w:r>
      <w:r w:rsidR="003042DE">
        <w:t>through</w:t>
      </w:r>
      <w:r w:rsidRPr="005D1EE8">
        <w:t xml:space="preserve"> May delivery year.</w:t>
      </w:r>
    </w:p>
    <w:p w:rsidR="00DA3AD3" w:rsidRPr="005D1EE8" w:rsidRDefault="004D2AC6" w:rsidP="000D1941">
      <w:pPr>
        <w:pStyle w:val="textstyle"/>
      </w:pPr>
      <w:r>
        <w:tab/>
      </w:r>
      <w:r w:rsidR="00DA3AD3" w:rsidRPr="005D1EE8">
        <w:t>An LSE</w:t>
      </w:r>
      <w:r w:rsidR="00EE5FF5" w:rsidRPr="005D1EE8">
        <w:t xml:space="preserve"> may elect to operate outside the RPM auction process through the Fixed Resource Requirement Alternative (</w:t>
      </w:r>
      <w:r w:rsidR="00080F38">
        <w:t>“</w:t>
      </w:r>
      <w:r w:rsidR="00EE5FF5" w:rsidRPr="005D1EE8">
        <w:t>FRR Alternative</w:t>
      </w:r>
      <w:r w:rsidR="00080F38">
        <w:t>”</w:t>
      </w:r>
      <w:r w:rsidR="00EE5FF5" w:rsidRPr="005D1EE8">
        <w:t xml:space="preserve">). </w:t>
      </w:r>
      <w:r w:rsidR="00DA3AD3" w:rsidRPr="005D1EE8">
        <w:t xml:space="preserve"> </w:t>
      </w:r>
      <w:r w:rsidR="00EE5FF5" w:rsidRPr="005D1EE8">
        <w:t xml:space="preserve">An LSE electing the </w:t>
      </w:r>
      <w:proofErr w:type="spellStart"/>
      <w:r w:rsidR="00EE5FF5" w:rsidRPr="005D1EE8">
        <w:t>FRR</w:t>
      </w:r>
      <w:proofErr w:type="spellEnd"/>
      <w:r w:rsidR="00EE5FF5" w:rsidRPr="005D1EE8">
        <w:t xml:space="preserve"> Alternative is known as a Fixed Resource Requirement Entity (</w:t>
      </w:r>
      <w:r w:rsidR="00080F38">
        <w:t>“</w:t>
      </w:r>
      <w:r w:rsidR="00EE5FF5" w:rsidRPr="005D1EE8">
        <w:t>FRR Entity</w:t>
      </w:r>
      <w:r w:rsidR="00080F38">
        <w:t>”</w:t>
      </w:r>
      <w:r w:rsidR="00EE5FF5" w:rsidRPr="005D1EE8">
        <w:t xml:space="preserve">). </w:t>
      </w:r>
      <w:r w:rsidR="00DA3AD3" w:rsidRPr="005D1EE8">
        <w:t xml:space="preserve"> </w:t>
      </w:r>
      <w:r w:rsidR="00EE5FF5" w:rsidRPr="005D1EE8">
        <w:t>To estab</w:t>
      </w:r>
      <w:r w:rsidR="009E0AA6">
        <w:softHyphen/>
      </w:r>
      <w:r w:rsidR="00EE5FF5" w:rsidRPr="005D1EE8">
        <w:t xml:space="preserve">lish the compensation paid by CRES providers to the FRR Entity that elects the </w:t>
      </w:r>
      <w:proofErr w:type="spellStart"/>
      <w:r w:rsidR="00EE5FF5" w:rsidRPr="005D1EE8">
        <w:t>FRR</w:t>
      </w:r>
      <w:proofErr w:type="spellEnd"/>
      <w:r w:rsidR="00EE5FF5" w:rsidRPr="005D1EE8">
        <w:t xml:space="preserve"> Alternative, Section </w:t>
      </w:r>
      <w:proofErr w:type="spellStart"/>
      <w:r w:rsidR="00EE5FF5" w:rsidRPr="005D1EE8">
        <w:t>D.8</w:t>
      </w:r>
      <w:proofErr w:type="spellEnd"/>
      <w:r w:rsidR="00EE5FF5" w:rsidRPr="005D1EE8">
        <w:t xml:space="preserve"> of Schedule 8.1 of the RAA provides, in relevant part: </w:t>
      </w:r>
    </w:p>
    <w:p w:rsidR="00EE5FF5" w:rsidRPr="005D1EE8" w:rsidRDefault="00EE5FF5" w:rsidP="004D2AC6">
      <w:pPr>
        <w:pStyle w:val="Blockquote"/>
      </w:pPr>
      <w:r w:rsidRPr="005D1EE8">
        <w:t>In a state regulatory jurisdiction that has implemented retail choice, the FRR Entity must include in its FRR Capacity Plan all load, including expected load growth, in the FRR Service Area, notwithstanding the loss of any such load to or among alternative retail LSEs</w:t>
      </w:r>
      <w:r w:rsidR="008717CF" w:rsidRPr="005D1EE8">
        <w:t xml:space="preserve">.  </w:t>
      </w:r>
      <w:r w:rsidRPr="005D1EE8">
        <w:t>In the case of load reflected in the FRR Capacity Plan that switches to an alternative retail</w:t>
      </w:r>
      <w:r w:rsidR="00DA3AD3" w:rsidRPr="005D1EE8">
        <w:t xml:space="preserve"> </w:t>
      </w:r>
      <w:r w:rsidRPr="005D1EE8">
        <w:t>LSE, where the state regulatory jurisdiction requires switching customers or the LSE to compensate the FRR Entity for its FRR capacity obligations, such state compensation mecha</w:t>
      </w:r>
      <w:r w:rsidR="009E0AA6">
        <w:softHyphen/>
      </w:r>
      <w:r w:rsidRPr="005D1EE8">
        <w:t>nism will prevail</w:t>
      </w:r>
      <w:r w:rsidR="00080F38" w:rsidRPr="005D1EE8">
        <w:t xml:space="preserve">.  </w:t>
      </w:r>
      <w:r w:rsidRPr="005D1EE8">
        <w:t>In the absence of a state compensation mechanism, the applicable alternative retail LSE shall com</w:t>
      </w:r>
      <w:r w:rsidR="009E0AA6">
        <w:softHyphen/>
      </w:r>
      <w:r w:rsidRPr="005D1EE8">
        <w:t>pensate the FRR Entity at the capacity price in the uncon</w:t>
      </w:r>
      <w:r w:rsidR="009E0AA6">
        <w:softHyphen/>
      </w:r>
      <w:r w:rsidRPr="005D1EE8">
        <w:t>strained portions of the PJM Region, as determined in accordance with Attachment DD to the PJM Tariff, provided that the FRR Entity may, at any time, make a filing with FERC under Sections 205 of the Federal Power Act propos</w:t>
      </w:r>
      <w:r w:rsidR="009E0AA6">
        <w:softHyphen/>
      </w:r>
      <w:r w:rsidRPr="005D1EE8">
        <w:t>ing to change the basis for compensation to a method based on the FRR Entity’s cost or such other basis shown to be just and reasonable, and a retail LSE may at any time exercise its right</w:t>
      </w:r>
      <w:r w:rsidR="00304100" w:rsidRPr="005D1EE8">
        <w:t>s under Section 206 of the FPA.</w:t>
      </w:r>
      <w:r w:rsidR="00304100" w:rsidRPr="005D1EE8">
        <w:rPr>
          <w:rStyle w:val="FootnoteReference"/>
        </w:rPr>
        <w:footnoteReference w:id="11"/>
      </w:r>
    </w:p>
    <w:p w:rsidR="009B184C" w:rsidRDefault="009B184C" w:rsidP="004D2AC6">
      <w:r>
        <w:br w:type="page"/>
      </w:r>
    </w:p>
    <w:p w:rsidR="00EE5FF5" w:rsidRPr="005D1EE8" w:rsidRDefault="004659C4" w:rsidP="000D1941">
      <w:pPr>
        <w:pStyle w:val="textstyle"/>
      </w:pPr>
      <w:r w:rsidRPr="005D1EE8">
        <w:lastRenderedPageBreak/>
        <w:t>AEP</w:t>
      </w:r>
      <w:r w:rsidR="00EE5FF5" w:rsidRPr="005D1EE8">
        <w:t xml:space="preserve"> </w:t>
      </w:r>
      <w:r w:rsidR="009A78EE">
        <w:t xml:space="preserve">Ohio </w:t>
      </w:r>
      <w:r w:rsidR="00EE5FF5" w:rsidRPr="005D1EE8">
        <w:t>elected to operate as</w:t>
      </w:r>
      <w:r w:rsidR="005D29FD" w:rsidRPr="005D1EE8">
        <w:t xml:space="preserve"> an FRR Entity</w:t>
      </w:r>
      <w:r w:rsidR="00EE5FF5" w:rsidRPr="005D1EE8">
        <w:t xml:space="preserve"> for the 2007-2008 delivery year and there</w:t>
      </w:r>
      <w:r w:rsidR="009E0AA6">
        <w:softHyphen/>
      </w:r>
      <w:r w:rsidR="00EE5FF5" w:rsidRPr="005D1EE8">
        <w:t>after.</w:t>
      </w:r>
      <w:r w:rsidR="005D29FD" w:rsidRPr="005D1EE8">
        <w:rPr>
          <w:rStyle w:val="FootnoteReference"/>
        </w:rPr>
        <w:t xml:space="preserve"> </w:t>
      </w:r>
      <w:r w:rsidR="005D29FD" w:rsidRPr="005D1EE8">
        <w:rPr>
          <w:rStyle w:val="FootnoteReference"/>
        </w:rPr>
        <w:footnoteReference w:id="12"/>
      </w:r>
      <w:r w:rsidR="00EE5FF5" w:rsidRPr="005D1EE8">
        <w:t xml:space="preserve"> As </w:t>
      </w:r>
      <w:r w:rsidR="005D29FD" w:rsidRPr="005D1EE8">
        <w:t xml:space="preserve">an </w:t>
      </w:r>
      <w:r w:rsidR="00EE5FF5" w:rsidRPr="005D1EE8">
        <w:t>FRR</w:t>
      </w:r>
      <w:r w:rsidRPr="005D1EE8">
        <w:t xml:space="preserve"> Entity, AEP</w:t>
      </w:r>
      <w:r w:rsidR="009A78EE">
        <w:t xml:space="preserve"> Ohio</w:t>
      </w:r>
      <w:r w:rsidR="00EE5FF5" w:rsidRPr="005D1EE8">
        <w:t xml:space="preserve"> charged CRES p</w:t>
      </w:r>
      <w:r w:rsidR="005D29FD" w:rsidRPr="005D1EE8">
        <w:t>roviders the RPM auction price.</w:t>
      </w:r>
      <w:r w:rsidR="005D29FD" w:rsidRPr="005D1EE8">
        <w:rPr>
          <w:rStyle w:val="FootnoteReference"/>
        </w:rPr>
        <w:footnoteReference w:id="13"/>
      </w:r>
      <w:r w:rsidR="00EE5FF5" w:rsidRPr="005D1EE8">
        <w:t xml:space="preserve">  In late 2010, however, American Electric Power Service Corp. (</w:t>
      </w:r>
      <w:r w:rsidR="00080F38">
        <w:t>“</w:t>
      </w:r>
      <w:r w:rsidR="00EE5FF5" w:rsidRPr="005D1EE8">
        <w:t>AEPSC</w:t>
      </w:r>
      <w:r w:rsidR="00080F38">
        <w:t>”</w:t>
      </w:r>
      <w:r w:rsidR="00EE5FF5" w:rsidRPr="005D1EE8">
        <w:t>), on behalf of OP, requested that the Federal Energy Regulatory Commission (</w:t>
      </w:r>
      <w:r w:rsidR="00080F38">
        <w:t>“</w:t>
      </w:r>
      <w:r w:rsidR="00EE5FF5" w:rsidRPr="005D1EE8">
        <w:t>FERC</w:t>
      </w:r>
      <w:r w:rsidR="00080F38">
        <w:t>”</w:t>
      </w:r>
      <w:r w:rsidR="00EE5FF5" w:rsidRPr="005D1EE8">
        <w:t>) approve for</w:t>
      </w:r>
      <w:r w:rsidR="00080F38">
        <w:softHyphen/>
      </w:r>
      <w:r w:rsidR="00EE5FF5" w:rsidRPr="005D1EE8">
        <w:t xml:space="preserve">mula rates as the basis for establishing the capacity charges that would be levied upon CRES providers in </w:t>
      </w:r>
      <w:r w:rsidR="003C5977" w:rsidRPr="005D1EE8">
        <w:t>Ohio.</w:t>
      </w:r>
      <w:r w:rsidRPr="005D1EE8">
        <w:t xml:space="preserve"> </w:t>
      </w:r>
      <w:r w:rsidR="003C5977" w:rsidRPr="005D1EE8">
        <w:t xml:space="preserve"> </w:t>
      </w:r>
    </w:p>
    <w:p w:rsidR="00EE5FF5" w:rsidRPr="005D1EE8" w:rsidRDefault="00883CBB" w:rsidP="000D1941">
      <w:pPr>
        <w:pStyle w:val="textstyle"/>
      </w:pPr>
      <w:r>
        <w:tab/>
      </w:r>
      <w:r w:rsidR="00A06FC3" w:rsidRPr="005D1EE8">
        <w:t>T</w:t>
      </w:r>
      <w:r w:rsidR="00EE5FF5" w:rsidRPr="005D1EE8">
        <w:t>he</w:t>
      </w:r>
      <w:r w:rsidR="003C5977" w:rsidRPr="005D1EE8">
        <w:t xml:space="preserve"> </w:t>
      </w:r>
      <w:r w:rsidR="00A06FC3" w:rsidRPr="005D1EE8">
        <w:t xml:space="preserve">Commission </w:t>
      </w:r>
      <w:r w:rsidR="00EE5FF5" w:rsidRPr="005D1EE8">
        <w:t>initiated this proceeding by</w:t>
      </w:r>
      <w:r w:rsidR="003C5977" w:rsidRPr="005D1EE8">
        <w:t xml:space="preserve"> an Entry, on December 8, 2010.</w:t>
      </w:r>
      <w:r w:rsidR="003C5977" w:rsidRPr="005D1EE8">
        <w:rPr>
          <w:rStyle w:val="FootnoteReference"/>
        </w:rPr>
        <w:footnoteReference w:id="14"/>
      </w:r>
      <w:r w:rsidR="00EE5FF5" w:rsidRPr="005D1EE8">
        <w:t xml:space="preserve"> </w:t>
      </w:r>
      <w:r w:rsidR="003C5977" w:rsidRPr="005D1EE8">
        <w:t xml:space="preserve"> T</w:t>
      </w:r>
      <w:r w:rsidR="00EE5FF5" w:rsidRPr="005D1EE8">
        <w:t>he Commission found that an investigation was necessary to determine the impact of the proposed change to capacity pricing contained in an Application AEPSC had made to FERC to implement a formula- or cost-based charge that CRES providers would be charged for capacity used to serve shopping customers in OP’s service territory.</w:t>
      </w:r>
      <w:r w:rsidR="00C0176D" w:rsidRPr="005D1EE8">
        <w:t xml:space="preserve">  The Commission asked for comments and also</w:t>
      </w:r>
      <w:r w:rsidR="00EE5FF5" w:rsidRPr="005D1EE8">
        <w:t xml:space="preserve"> adopted the RPM pricing mechanism as the state compensation mechanism under Section </w:t>
      </w:r>
      <w:r w:rsidR="00C0176D" w:rsidRPr="005D1EE8">
        <w:t>D.8 of Schedule 8.1 of the RAA.</w:t>
      </w:r>
      <w:r w:rsidR="00C0176D" w:rsidRPr="005D1EE8">
        <w:rPr>
          <w:rStyle w:val="FootnoteReference"/>
        </w:rPr>
        <w:footnoteReference w:id="15"/>
      </w:r>
    </w:p>
    <w:p w:rsidR="00EE5FF5" w:rsidRPr="005D1EE8" w:rsidRDefault="00883CBB" w:rsidP="000D1941">
      <w:pPr>
        <w:pStyle w:val="textstyle"/>
      </w:pPr>
      <w:r>
        <w:tab/>
      </w:r>
      <w:r w:rsidR="00C0176D" w:rsidRPr="005D1EE8">
        <w:t>After Comments were filed, t</w:t>
      </w:r>
      <w:r w:rsidR="00EE5FF5" w:rsidRPr="005D1EE8">
        <w:t xml:space="preserve">he Commission set this matter for hearing </w:t>
      </w:r>
      <w:r w:rsidR="00080F38">
        <w:t>“</w:t>
      </w:r>
      <w:r w:rsidR="00EE5FF5" w:rsidRPr="005D1EE8">
        <w:t>in order to establish an evidentiary record on a s</w:t>
      </w:r>
      <w:r w:rsidR="00A06FC3" w:rsidRPr="005D1EE8">
        <w:t>tate compensation mechanism.</w:t>
      </w:r>
      <w:r w:rsidR="00080F38">
        <w:t>”</w:t>
      </w:r>
      <w:r w:rsidR="00A06FC3" w:rsidRPr="005D1EE8">
        <w:rPr>
          <w:rStyle w:val="FootnoteReference"/>
        </w:rPr>
        <w:footnoteReference w:id="16"/>
      </w:r>
      <w:r w:rsidR="00A06FC3" w:rsidRPr="005D1EE8">
        <w:t xml:space="preserve">  </w:t>
      </w:r>
      <w:r w:rsidR="00EE5FF5" w:rsidRPr="005D1EE8">
        <w:t>Before the hear</w:t>
      </w:r>
      <w:r w:rsidR="009E0AA6">
        <w:softHyphen/>
      </w:r>
      <w:r w:rsidR="00EE5FF5" w:rsidRPr="005D1EE8">
        <w:t>ing</w:t>
      </w:r>
      <w:r w:rsidR="00A06FC3" w:rsidRPr="005D1EE8">
        <w:t xml:space="preserve"> started, the Commission approved</w:t>
      </w:r>
      <w:r w:rsidR="00EE5FF5" w:rsidRPr="005D1EE8">
        <w:t xml:space="preserve"> a Stipulation that</w:t>
      </w:r>
      <w:r w:rsidR="00A06FC3" w:rsidRPr="005D1EE8">
        <w:t xml:space="preserve"> set forth</w:t>
      </w:r>
      <w:r w:rsidR="00EE5FF5" w:rsidRPr="005D1EE8">
        <w:t xml:space="preserve"> a </w:t>
      </w:r>
      <w:r w:rsidR="00304100" w:rsidRPr="005D1EE8">
        <w:t xml:space="preserve">two-tier capacity </w:t>
      </w:r>
      <w:r w:rsidR="00304100" w:rsidRPr="005D1EE8">
        <w:lastRenderedPageBreak/>
        <w:t>pricing mechanism under which the first 21% of each customer class, and all customers of governmental aggregations approved on or before November 8, 2011, shall be entitled to first-tier RPM-based pricing.</w:t>
      </w:r>
      <w:r w:rsidR="00304100" w:rsidRPr="005D1EE8">
        <w:rPr>
          <w:rStyle w:val="FootnoteReference"/>
        </w:rPr>
        <w:t xml:space="preserve"> </w:t>
      </w:r>
      <w:r w:rsidR="00304100" w:rsidRPr="005D1EE8">
        <w:rPr>
          <w:rStyle w:val="FootnoteReference"/>
        </w:rPr>
        <w:footnoteReference w:id="17"/>
      </w:r>
      <w:r w:rsidR="000D4750" w:rsidRPr="005D1EE8">
        <w:t xml:space="preserve">  </w:t>
      </w:r>
      <w:r w:rsidR="00304100" w:rsidRPr="005D1EE8">
        <w:t>The second-tier charge for capacity was set at $255/MW/day.</w:t>
      </w:r>
      <w:r w:rsidR="00304100" w:rsidRPr="005D1EE8">
        <w:rPr>
          <w:rStyle w:val="FootnoteReference"/>
        </w:rPr>
        <w:footnoteReference w:id="18"/>
      </w:r>
      <w:r w:rsidR="00304100" w:rsidRPr="005D1EE8">
        <w:t xml:space="preserve">  </w:t>
      </w:r>
      <w:r w:rsidR="00A06FC3" w:rsidRPr="005D1EE8">
        <w:t>T</w:t>
      </w:r>
      <w:r w:rsidR="00EE5FF5" w:rsidRPr="005D1EE8">
        <w:t>he Commission</w:t>
      </w:r>
      <w:r w:rsidR="00A06FC3" w:rsidRPr="005D1EE8">
        <w:t>, however,</w:t>
      </w:r>
      <w:r w:rsidR="00EE5FF5" w:rsidRPr="005D1EE8">
        <w:t xml:space="preserve"> </w:t>
      </w:r>
      <w:r w:rsidR="00A06FC3" w:rsidRPr="005D1EE8">
        <w:t xml:space="preserve">later </w:t>
      </w:r>
      <w:r w:rsidR="00EE5FF5" w:rsidRPr="005D1EE8">
        <w:t>determined that the Stipulation was not in the public interest and rejected it in an Entry o</w:t>
      </w:r>
      <w:r w:rsidR="00A06FC3" w:rsidRPr="005D1EE8">
        <w:t>n Rehearing.</w:t>
      </w:r>
      <w:r w:rsidR="00A06FC3" w:rsidRPr="005D1EE8">
        <w:rPr>
          <w:rStyle w:val="FootnoteReference"/>
        </w:rPr>
        <w:footnoteReference w:id="19"/>
      </w:r>
      <w:r w:rsidR="00EE5FF5" w:rsidRPr="005D1EE8">
        <w:t xml:space="preserve"> </w:t>
      </w:r>
      <w:r w:rsidR="00A06FC3" w:rsidRPr="005D1EE8">
        <w:t xml:space="preserve"> </w:t>
      </w:r>
      <w:r w:rsidR="00EE5FF5" w:rsidRPr="005D1EE8">
        <w:t>In the Entry on Rehea</w:t>
      </w:r>
      <w:r w:rsidR="00A06FC3" w:rsidRPr="005D1EE8">
        <w:t>ring, the Commission directed AEP</w:t>
      </w:r>
      <w:r w:rsidR="009A78EE">
        <w:t xml:space="preserve"> Ohio</w:t>
      </w:r>
      <w:r w:rsidR="00EE5FF5" w:rsidRPr="005D1EE8">
        <w:t xml:space="preserve"> to implement </w:t>
      </w:r>
      <w:r w:rsidR="00080F38">
        <w:t>“</w:t>
      </w:r>
      <w:r w:rsidR="00EE5FF5" w:rsidRPr="005D1EE8">
        <w:t>an appropriate application of capacity charges under the approved state compensation mechanism established</w:t>
      </w:r>
      <w:r w:rsidR="00A06FC3" w:rsidRPr="005D1EE8">
        <w:t xml:space="preserve"> in the </w:t>
      </w:r>
      <w:r w:rsidR="00D73443">
        <w:t>c</w:t>
      </w:r>
      <w:r w:rsidR="00A06FC3" w:rsidRPr="005D1EE8">
        <w:t xml:space="preserve">apacity </w:t>
      </w:r>
      <w:r w:rsidR="00D73443">
        <w:t>c</w:t>
      </w:r>
      <w:r w:rsidR="00A06FC3" w:rsidRPr="005D1EE8">
        <w:t xml:space="preserve">harge </w:t>
      </w:r>
      <w:r w:rsidR="00D73443">
        <w:t>c</w:t>
      </w:r>
      <w:r w:rsidR="00A06FC3" w:rsidRPr="005D1EE8">
        <w:t>ase.</w:t>
      </w:r>
      <w:r w:rsidR="00080F38">
        <w:t>”</w:t>
      </w:r>
      <w:r w:rsidR="00A06FC3" w:rsidRPr="005D1EE8">
        <w:rPr>
          <w:rStyle w:val="FootnoteReference"/>
        </w:rPr>
        <w:footnoteReference w:id="20"/>
      </w:r>
      <w:r w:rsidR="00EE5FF5" w:rsidRPr="005D1EE8">
        <w:t xml:space="preserve"> </w:t>
      </w:r>
      <w:r w:rsidR="00A06FC3" w:rsidRPr="005D1EE8">
        <w:t xml:space="preserve"> On March 7, 2012, the Commission ordered</w:t>
      </w:r>
      <w:r w:rsidR="00304100" w:rsidRPr="005D1EE8">
        <w:t xml:space="preserve"> that</w:t>
      </w:r>
      <w:r w:rsidR="00A06FC3" w:rsidRPr="005D1EE8">
        <w:t xml:space="preserve"> the two-tiered pricing</w:t>
      </w:r>
      <w:r w:rsidR="00304100" w:rsidRPr="005D1EE8">
        <w:t xml:space="preserve"> mechanism be established</w:t>
      </w:r>
      <w:r w:rsidR="00EE5FF5" w:rsidRPr="005D1EE8">
        <w:t xml:space="preserve"> on an interim basis</w:t>
      </w:r>
      <w:r w:rsidR="00A06FC3" w:rsidRPr="005D1EE8">
        <w:t xml:space="preserve"> to expire May 31, 2012.</w:t>
      </w:r>
      <w:r w:rsidR="00A06FC3" w:rsidRPr="005D1EE8">
        <w:rPr>
          <w:rStyle w:val="FootnoteReference"/>
        </w:rPr>
        <w:footnoteReference w:id="21"/>
      </w:r>
      <w:r w:rsidR="00304100" w:rsidRPr="005D1EE8">
        <w:t xml:space="preserve">  This hear</w:t>
      </w:r>
      <w:r w:rsidR="009E0AA6">
        <w:softHyphen/>
      </w:r>
      <w:r w:rsidR="00304100" w:rsidRPr="005D1EE8">
        <w:t>ing commenced on April 17, 2012.</w:t>
      </w:r>
    </w:p>
    <w:p w:rsidR="009B184C" w:rsidRDefault="009B184C" w:rsidP="00883CBB">
      <w:pPr>
        <w:pStyle w:val="Heading1"/>
        <w:rPr>
          <w:rFonts w:eastAsia="Times New Roman"/>
        </w:rPr>
      </w:pPr>
      <w:r>
        <w:rPr>
          <w:rFonts w:eastAsia="Times New Roman"/>
        </w:rPr>
        <w:br w:type="page"/>
      </w:r>
    </w:p>
    <w:p w:rsidR="006D5BA5" w:rsidRPr="005D1EE8" w:rsidRDefault="006D5BA5" w:rsidP="00883CBB">
      <w:pPr>
        <w:pStyle w:val="Heading1"/>
        <w:rPr>
          <w:rFonts w:eastAsia="Times New Roman"/>
        </w:rPr>
      </w:pPr>
      <w:bookmarkStart w:id="7" w:name="_Toc325543189"/>
      <w:r w:rsidRPr="005D1EE8">
        <w:rPr>
          <w:rFonts w:eastAsia="Times New Roman"/>
        </w:rPr>
        <w:lastRenderedPageBreak/>
        <w:t>ARGUMENT</w:t>
      </w:r>
      <w:bookmarkEnd w:id="7"/>
    </w:p>
    <w:p w:rsidR="00727624" w:rsidRPr="005D1EE8" w:rsidRDefault="00727624" w:rsidP="00883CBB">
      <w:pPr>
        <w:pStyle w:val="Heading2"/>
        <w:rPr>
          <w:rFonts w:eastAsia="Times New Roman"/>
        </w:rPr>
      </w:pPr>
      <w:bookmarkStart w:id="8" w:name="_Toc325543190"/>
      <w:r w:rsidRPr="005D1EE8">
        <w:rPr>
          <w:rFonts w:eastAsia="Times New Roman"/>
        </w:rPr>
        <w:t xml:space="preserve">AEP </w:t>
      </w:r>
      <w:r w:rsidR="009A78EE">
        <w:rPr>
          <w:rFonts w:eastAsia="Times New Roman"/>
        </w:rPr>
        <w:t xml:space="preserve">Ohio </w:t>
      </w:r>
      <w:r w:rsidRPr="005D1EE8">
        <w:rPr>
          <w:rFonts w:eastAsia="Times New Roman"/>
        </w:rPr>
        <w:t xml:space="preserve">fails </w:t>
      </w:r>
      <w:r w:rsidR="00720A45" w:rsidRPr="005D1EE8">
        <w:rPr>
          <w:rFonts w:eastAsia="Times New Roman"/>
        </w:rPr>
        <w:t>to justify that the</w:t>
      </w:r>
      <w:r w:rsidRPr="005D1EE8">
        <w:rPr>
          <w:rFonts w:eastAsia="Times New Roman"/>
        </w:rPr>
        <w:t xml:space="preserve"> proposed $355.72/MW-Day</w:t>
      </w:r>
      <w:r w:rsidR="007712F1" w:rsidRPr="005D1EE8">
        <w:rPr>
          <w:rFonts w:eastAsia="Times New Roman"/>
        </w:rPr>
        <w:t xml:space="preserve"> capacity rate</w:t>
      </w:r>
      <w:r w:rsidRPr="005D1EE8">
        <w:rPr>
          <w:rFonts w:eastAsia="Times New Roman"/>
        </w:rPr>
        <w:t xml:space="preserve"> it would charge CRES providers is appropriate.</w:t>
      </w:r>
      <w:bookmarkEnd w:id="8"/>
    </w:p>
    <w:p w:rsidR="007712F1" w:rsidRPr="005D1EE8" w:rsidRDefault="00077735" w:rsidP="00883CBB">
      <w:pPr>
        <w:pStyle w:val="Heading3"/>
        <w:rPr>
          <w:rFonts w:eastAsia="Times New Roman"/>
        </w:rPr>
      </w:pPr>
      <w:bookmarkStart w:id="9" w:name="_Toc325543191"/>
      <w:r>
        <w:rPr>
          <w:rFonts w:eastAsia="Times New Roman"/>
        </w:rPr>
        <w:t>As an alternate proposal, t</w:t>
      </w:r>
      <w:r w:rsidR="007712F1" w:rsidRPr="005D1EE8">
        <w:rPr>
          <w:rFonts w:eastAsia="Times New Roman"/>
        </w:rPr>
        <w:t xml:space="preserve">he Staff </w:t>
      </w:r>
      <w:r w:rsidR="000D4750" w:rsidRPr="005D1EE8">
        <w:rPr>
          <w:rFonts w:eastAsia="Times New Roman"/>
        </w:rPr>
        <w:t>makes appropriate adjust</w:t>
      </w:r>
      <w:r w:rsidR="00080F38">
        <w:rPr>
          <w:rFonts w:eastAsia="Times New Roman"/>
        </w:rPr>
        <w:softHyphen/>
      </w:r>
      <w:r w:rsidR="000D4750" w:rsidRPr="005D1EE8">
        <w:rPr>
          <w:rFonts w:eastAsia="Times New Roman"/>
        </w:rPr>
        <w:t>ments to</w:t>
      </w:r>
      <w:r w:rsidR="007712F1" w:rsidRPr="005D1EE8">
        <w:rPr>
          <w:rFonts w:eastAsia="Times New Roman"/>
        </w:rPr>
        <w:t xml:space="preserve"> AEP</w:t>
      </w:r>
      <w:r w:rsidR="009A78EE">
        <w:rPr>
          <w:rFonts w:eastAsia="Times New Roman"/>
        </w:rPr>
        <w:t xml:space="preserve"> Ohio</w:t>
      </w:r>
      <w:r w:rsidR="007712F1" w:rsidRPr="005D1EE8">
        <w:rPr>
          <w:rFonts w:eastAsia="Times New Roman"/>
        </w:rPr>
        <w:t>’s pro</w:t>
      </w:r>
      <w:r w:rsidR="009E0AA6">
        <w:rPr>
          <w:rFonts w:eastAsia="Times New Roman"/>
        </w:rPr>
        <w:softHyphen/>
      </w:r>
      <w:r w:rsidR="007712F1" w:rsidRPr="005D1EE8">
        <w:rPr>
          <w:rFonts w:eastAsia="Times New Roman"/>
        </w:rPr>
        <w:t>posed capacity rate.</w:t>
      </w:r>
      <w:bookmarkEnd w:id="9"/>
      <w:r w:rsidR="007712F1" w:rsidRPr="005D1EE8">
        <w:rPr>
          <w:rFonts w:eastAsia="Times New Roman"/>
        </w:rPr>
        <w:t xml:space="preserve"> </w:t>
      </w:r>
    </w:p>
    <w:p w:rsidR="00346963" w:rsidRPr="005D1EE8" w:rsidRDefault="0076541A" w:rsidP="0067532B">
      <w:pPr>
        <w:pStyle w:val="Heading4"/>
        <w:rPr>
          <w:rFonts w:eastAsia="Times New Roman"/>
        </w:rPr>
      </w:pPr>
      <w:bookmarkStart w:id="10" w:name="_Toc325543192"/>
      <w:r w:rsidRPr="005D1EE8">
        <w:t>Return on Equity</w:t>
      </w:r>
      <w:bookmarkEnd w:id="10"/>
    </w:p>
    <w:p w:rsidR="00210BAF" w:rsidRPr="005D1EE8" w:rsidRDefault="00883CBB" w:rsidP="000D1941">
      <w:pPr>
        <w:pStyle w:val="textstyle"/>
      </w:pPr>
      <w:r>
        <w:tab/>
      </w:r>
      <w:r w:rsidR="00210BAF" w:rsidRPr="005D1EE8">
        <w:t>In his testimony, Staff Witness Smith</w:t>
      </w:r>
      <w:r w:rsidR="00346963" w:rsidRPr="005D1EE8">
        <w:t xml:space="preserve"> applied a 10.0% </w:t>
      </w:r>
      <w:r w:rsidR="001539EE" w:rsidRPr="005D1EE8">
        <w:t>return on equity (</w:t>
      </w:r>
      <w:r w:rsidR="00080F38">
        <w:t>“</w:t>
      </w:r>
      <w:r w:rsidR="00346963" w:rsidRPr="005D1EE8">
        <w:t>ROE</w:t>
      </w:r>
      <w:r w:rsidR="00080F38">
        <w:t>”</w:t>
      </w:r>
      <w:r w:rsidR="001539EE" w:rsidRPr="005D1EE8">
        <w:t>)</w:t>
      </w:r>
      <w:r w:rsidR="00346963" w:rsidRPr="005D1EE8">
        <w:t xml:space="preserve"> for CSP and a 10.3% ROE for OPCo.</w:t>
      </w:r>
      <w:r w:rsidR="00210BAF" w:rsidRPr="005D1EE8">
        <w:rPr>
          <w:rStyle w:val="FootnoteReference"/>
        </w:rPr>
        <w:footnoteReference w:id="22"/>
      </w:r>
      <w:r w:rsidR="00346963" w:rsidRPr="005D1EE8">
        <w:t xml:space="preserve">  </w:t>
      </w:r>
      <w:r w:rsidR="00210BAF" w:rsidRPr="005D1EE8">
        <w:t>As ju</w:t>
      </w:r>
      <w:r w:rsidR="00E47BD6" w:rsidRPr="005D1EE8">
        <w:t>stification for his use of the</w:t>
      </w:r>
      <w:r w:rsidR="00210BAF" w:rsidRPr="005D1EE8">
        <w:t xml:space="preserve"> ROEs, Mr. Smith stated that: </w:t>
      </w:r>
    </w:p>
    <w:p w:rsidR="007712F1" w:rsidRPr="005D1EE8" w:rsidRDefault="00210BAF" w:rsidP="00883CBB">
      <w:pPr>
        <w:pStyle w:val="Blockquote"/>
      </w:pPr>
      <w:r w:rsidRPr="005D1EE8">
        <w:t>[b]</w:t>
      </w:r>
      <w:r w:rsidR="00346963" w:rsidRPr="005D1EE8">
        <w:t>oth of these</w:t>
      </w:r>
      <w:r w:rsidRPr="005D1EE8">
        <w:t xml:space="preserve"> [ROEs]</w:t>
      </w:r>
      <w:r w:rsidR="00346963" w:rsidRPr="005D1EE8">
        <w:t xml:space="preserve"> are from the Commission's Opinion and Order dated December 14, 2011 in Case Nos. 11-351 -EL-AIR et </w:t>
      </w:r>
      <w:r w:rsidR="00126FCC" w:rsidRPr="005D1EE8">
        <w:t>al, at page 5, paragraph IIA(</w:t>
      </w:r>
      <w:r w:rsidR="00346963" w:rsidRPr="005D1EE8">
        <w:t>1)(e) and elsewhere in that other</w:t>
      </w:r>
      <w:r w:rsidR="006019B9" w:rsidRPr="005D1EE8">
        <w:t>…</w:t>
      </w:r>
      <w:r w:rsidR="00346963" w:rsidRPr="005D1EE8">
        <w:t>In lieu of preparing a specific cost of capital anal</w:t>
      </w:r>
      <w:r w:rsidR="009E0AA6">
        <w:softHyphen/>
      </w:r>
      <w:r w:rsidR="00346963" w:rsidRPr="005D1EE8">
        <w:t>ysis directed to AEP Ohio's capacity costs, the 10.0% and 10.3% ROEs noted above from the December 14, 2011 Opinion and Order are being used as reasonable inputs and appear to represent a consensus stipulation position.  I also note that those stipulated ROEs were higher than Staff</w:t>
      </w:r>
      <w:r w:rsidR="005100D9" w:rsidRPr="005D1EE8">
        <w:t>’</w:t>
      </w:r>
      <w:r w:rsidR="00346963" w:rsidRPr="005D1EE8">
        <w:t>s rec</w:t>
      </w:r>
      <w:r w:rsidR="00080F38">
        <w:softHyphen/>
      </w:r>
      <w:r w:rsidR="00346963" w:rsidRPr="005D1EE8">
        <w:t>ommendations in the respective AEP Ohio electric distri</w:t>
      </w:r>
      <w:r w:rsidR="009E0AA6">
        <w:softHyphen/>
      </w:r>
      <w:r w:rsidR="00346963" w:rsidRPr="005D1EE8">
        <w:t>bu</w:t>
      </w:r>
      <w:r w:rsidR="00080F38">
        <w:softHyphen/>
      </w:r>
      <w:r w:rsidR="00346963" w:rsidRPr="005D1EE8">
        <w:t>tion utility rate cases.</w:t>
      </w:r>
      <w:r w:rsidRPr="005D1EE8">
        <w:rPr>
          <w:rStyle w:val="FootnoteReference"/>
        </w:rPr>
        <w:footnoteReference w:id="23"/>
      </w:r>
    </w:p>
    <w:p w:rsidR="00210BAF" w:rsidRDefault="00210BAF" w:rsidP="000D1941">
      <w:pPr>
        <w:pStyle w:val="textstyle"/>
      </w:pPr>
      <w:r w:rsidRPr="005D1EE8">
        <w:t>The ROEs used and recommended by Witness Smith are the most current as app</w:t>
      </w:r>
      <w:r w:rsidR="00E47BD6" w:rsidRPr="005D1EE8">
        <w:t xml:space="preserve">lied to AEP </w:t>
      </w:r>
      <w:r w:rsidR="009A78EE">
        <w:t xml:space="preserve">Ohio </w:t>
      </w:r>
      <w:r w:rsidR="00E47BD6" w:rsidRPr="005D1EE8">
        <w:t>in Commission c</w:t>
      </w:r>
      <w:r w:rsidR="001322FA" w:rsidRPr="005D1EE8">
        <w:t xml:space="preserve">ases and must be applied here. </w:t>
      </w:r>
    </w:p>
    <w:p w:rsidR="009B184C" w:rsidRDefault="009B184C" w:rsidP="00883CBB"/>
    <w:p w:rsidR="009B184C" w:rsidRPr="005D1EE8" w:rsidRDefault="009B184C" w:rsidP="00883CBB"/>
    <w:p w:rsidR="005100D9" w:rsidRPr="005D1EE8" w:rsidRDefault="005100D9" w:rsidP="0067532B">
      <w:pPr>
        <w:pStyle w:val="Heading4"/>
        <w:rPr>
          <w:rFonts w:eastAsia="Times New Roman"/>
        </w:rPr>
      </w:pPr>
      <w:bookmarkStart w:id="11" w:name="_Toc325543193"/>
      <w:r w:rsidRPr="005D1EE8">
        <w:lastRenderedPageBreak/>
        <w:t>Rate of Return</w:t>
      </w:r>
      <w:bookmarkEnd w:id="11"/>
    </w:p>
    <w:p w:rsidR="00210BAF" w:rsidRPr="005D1EE8" w:rsidRDefault="00883CBB" w:rsidP="000D1941">
      <w:pPr>
        <w:pStyle w:val="textstyle"/>
      </w:pPr>
      <w:r>
        <w:tab/>
      </w:r>
      <w:r w:rsidR="00210BAF" w:rsidRPr="005D1EE8">
        <w:t xml:space="preserve">In his testimony, Staff </w:t>
      </w:r>
      <w:r w:rsidR="00661F0C">
        <w:t>w</w:t>
      </w:r>
      <w:r w:rsidR="00210BAF" w:rsidRPr="005D1EE8">
        <w:t>itness</w:t>
      </w:r>
      <w:r w:rsidR="00BD2990" w:rsidRPr="005D1EE8">
        <w:t xml:space="preserve"> Smith</w:t>
      </w:r>
      <w:r w:rsidR="005100D9" w:rsidRPr="005D1EE8">
        <w:t xml:space="preserve"> applied an overall rate of return</w:t>
      </w:r>
      <w:r w:rsidR="00AF448E" w:rsidRPr="005D1EE8">
        <w:t xml:space="preserve"> (</w:t>
      </w:r>
      <w:r w:rsidR="00080F38">
        <w:t>“</w:t>
      </w:r>
      <w:r w:rsidR="00AF448E" w:rsidRPr="005D1EE8">
        <w:t>ROR</w:t>
      </w:r>
      <w:r w:rsidR="00080F38">
        <w:t>”</w:t>
      </w:r>
      <w:r w:rsidR="00AF448E" w:rsidRPr="005D1EE8">
        <w:t>)</w:t>
      </w:r>
      <w:r w:rsidR="005100D9" w:rsidRPr="005D1EE8">
        <w:t xml:space="preserve"> of 7.78% for CSP and 7.97% for OPCo</w:t>
      </w:r>
      <w:r w:rsidR="008717CF" w:rsidRPr="005D1EE8">
        <w:t xml:space="preserve">.  </w:t>
      </w:r>
      <w:r w:rsidR="00210BAF" w:rsidRPr="005D1EE8">
        <w:t>Again, as justification f</w:t>
      </w:r>
      <w:r w:rsidR="00AF448E" w:rsidRPr="005D1EE8">
        <w:t>or his use of these RORs</w:t>
      </w:r>
      <w:r w:rsidR="00210BAF" w:rsidRPr="005D1EE8">
        <w:t xml:space="preserve">, Mr. Smith stated that:  </w:t>
      </w:r>
    </w:p>
    <w:p w:rsidR="007712F1" w:rsidRPr="005D1EE8" w:rsidRDefault="001539EE" w:rsidP="00883CBB">
      <w:pPr>
        <w:pStyle w:val="Blockquote"/>
      </w:pPr>
      <w:r w:rsidRPr="005D1EE8">
        <w:t>[b]</w:t>
      </w:r>
      <w:r w:rsidR="005100D9" w:rsidRPr="005D1EE8">
        <w:t>oth of these</w:t>
      </w:r>
      <w:r w:rsidRPr="005D1EE8">
        <w:t xml:space="preserve"> [RORs]</w:t>
      </w:r>
      <w:r w:rsidR="005100D9" w:rsidRPr="005D1EE8">
        <w:t xml:space="preserve"> are from the Commission's Opinion and Order dated December 14, 2011 in Case Nos. 11-351-EL-AIR et al, at page 5, paragraph II-A-(l)(c) and (d), respectively.</w:t>
      </w:r>
      <w:r w:rsidR="00AF448E" w:rsidRPr="005D1EE8">
        <w:rPr>
          <w:rStyle w:val="FootnoteReference"/>
        </w:rPr>
        <w:footnoteReference w:id="24"/>
      </w:r>
    </w:p>
    <w:p w:rsidR="00AF448E" w:rsidRDefault="00BD2990" w:rsidP="000D1941">
      <w:pPr>
        <w:pStyle w:val="textstyle"/>
      </w:pPr>
      <w:r w:rsidRPr="005D1EE8">
        <w:t>Again, t</w:t>
      </w:r>
      <w:r w:rsidR="00AF448E" w:rsidRPr="005D1EE8">
        <w:t xml:space="preserve">he RORs used and recommended by </w:t>
      </w:r>
      <w:r w:rsidRPr="005D1EE8">
        <w:t xml:space="preserve">Staff </w:t>
      </w:r>
      <w:r w:rsidR="00AF448E" w:rsidRPr="005D1EE8">
        <w:t>Witness Smith are the most current as app</w:t>
      </w:r>
      <w:r w:rsidR="00E47BD6" w:rsidRPr="005D1EE8">
        <w:t>lied to AEP</w:t>
      </w:r>
      <w:r w:rsidR="009A78EE">
        <w:t xml:space="preserve"> Ohio</w:t>
      </w:r>
      <w:r w:rsidR="00E47BD6" w:rsidRPr="005D1EE8">
        <w:t xml:space="preserve"> in Commission cases and must be applied here.</w:t>
      </w:r>
    </w:p>
    <w:p w:rsidR="007712F1" w:rsidRPr="005D1EE8" w:rsidRDefault="007712F1" w:rsidP="0067532B">
      <w:pPr>
        <w:pStyle w:val="Heading4"/>
        <w:rPr>
          <w:rFonts w:eastAsia="Times New Roman"/>
        </w:rPr>
      </w:pPr>
      <w:bookmarkStart w:id="12" w:name="_Toc325543194"/>
      <w:r w:rsidRPr="005D1EE8">
        <w:t>C</w:t>
      </w:r>
      <w:r w:rsidR="0076541A" w:rsidRPr="005D1EE8">
        <w:t>o</w:t>
      </w:r>
      <w:r w:rsidRPr="005D1EE8">
        <w:t>nstruction Work in P</w:t>
      </w:r>
      <w:r w:rsidR="0076541A" w:rsidRPr="005D1EE8">
        <w:t>rogress</w:t>
      </w:r>
      <w:bookmarkEnd w:id="12"/>
      <w:r w:rsidR="0076541A" w:rsidRPr="005D1EE8">
        <w:t xml:space="preserve"> </w:t>
      </w:r>
    </w:p>
    <w:p w:rsidR="000D4750" w:rsidRPr="005D1EE8" w:rsidRDefault="00883CBB" w:rsidP="000D1941">
      <w:pPr>
        <w:pStyle w:val="textstyle"/>
      </w:pPr>
      <w:r>
        <w:tab/>
      </w:r>
      <w:r w:rsidR="00BD2990" w:rsidRPr="005D1EE8">
        <w:t>Construction work in progress (</w:t>
      </w:r>
      <w:r w:rsidR="00080F38">
        <w:t>“</w:t>
      </w:r>
      <w:r w:rsidR="00BD2990" w:rsidRPr="005D1EE8">
        <w:t>CWIP</w:t>
      </w:r>
      <w:r w:rsidR="00080F38">
        <w:t>”</w:t>
      </w:r>
      <w:r w:rsidR="00BD2990" w:rsidRPr="005D1EE8">
        <w:t xml:space="preserve">) should be excluded from rate base.  </w:t>
      </w:r>
      <w:r w:rsidR="00210BAF" w:rsidRPr="005D1EE8">
        <w:t>R.C.</w:t>
      </w:r>
      <w:r>
        <w:t> </w:t>
      </w:r>
      <w:r w:rsidR="000D4750" w:rsidRPr="005D1EE8">
        <w:t xml:space="preserve">4909.15 provides that the Commission, in its discretion, may include a reasonable allowance for </w:t>
      </w:r>
      <w:r w:rsidR="00BD2990" w:rsidRPr="005D1EE8">
        <w:t>CWIP</w:t>
      </w:r>
      <w:r w:rsidR="000D4750" w:rsidRPr="005D1EE8">
        <w:t xml:space="preserve"> but, in no event may such allowance be made by the Commission until it has determined that the particular construction project is at least seventy-five per</w:t>
      </w:r>
      <w:r w:rsidR="009E0AA6">
        <w:softHyphen/>
      </w:r>
      <w:r w:rsidR="000D4750" w:rsidRPr="005D1EE8">
        <w:t>cent complete.</w:t>
      </w:r>
      <w:r w:rsidR="00BD2990" w:rsidRPr="005D1EE8">
        <w:rPr>
          <w:rStyle w:val="FootnoteReference"/>
        </w:rPr>
        <w:footnoteReference w:id="25"/>
      </w:r>
      <w:r w:rsidR="00210BAF" w:rsidRPr="005D1EE8">
        <w:t xml:space="preserve">  </w:t>
      </w:r>
      <w:r w:rsidR="00BD2990" w:rsidRPr="005D1EE8">
        <w:t>It also states</w:t>
      </w:r>
      <w:r w:rsidR="000D4750" w:rsidRPr="005D1EE8">
        <w:t xml:space="preserve"> no allowance for CWIP shall be in rates for a period exceed</w:t>
      </w:r>
      <w:r w:rsidR="009E0AA6">
        <w:softHyphen/>
      </w:r>
      <w:r w:rsidR="000D4750" w:rsidRPr="005D1EE8">
        <w:t>ing 48 months and any sums of money that the Company may have received must be given back to the customers once the property is used and useful and in service.</w:t>
      </w:r>
      <w:r w:rsidR="000D4750" w:rsidRPr="005D1EE8">
        <w:rPr>
          <w:rStyle w:val="FootnoteReference"/>
        </w:rPr>
        <w:footnoteReference w:id="26"/>
      </w:r>
    </w:p>
    <w:p w:rsidR="000D4750" w:rsidRPr="005D1EE8" w:rsidRDefault="00883CBB" w:rsidP="000D1941">
      <w:pPr>
        <w:pStyle w:val="textstyle"/>
      </w:pPr>
      <w:r>
        <w:lastRenderedPageBreak/>
        <w:tab/>
      </w:r>
      <w:r w:rsidR="00BD2990" w:rsidRPr="005D1EE8">
        <w:t xml:space="preserve">Furthermore, R.C. </w:t>
      </w:r>
      <w:r w:rsidR="000D4750" w:rsidRPr="005D1EE8">
        <w:t>4928.143 provides that a reasonable allowance for CWIP for any of the electric distribution utility's cost of constructing an electric generation facility or for an environmental expenditure for any electric generation facility of the electric distribution utility can be considered, provided the cost is incurred or the expenditure occurs on or after January 1, 2009.</w:t>
      </w:r>
      <w:r w:rsidR="00BD2990" w:rsidRPr="005D1EE8">
        <w:rPr>
          <w:rStyle w:val="FootnoteReference"/>
        </w:rPr>
        <w:footnoteReference w:id="27"/>
      </w:r>
      <w:r w:rsidR="000D4750" w:rsidRPr="005D1EE8">
        <w:t xml:space="preserve"> </w:t>
      </w:r>
      <w:r w:rsidR="00BD2990" w:rsidRPr="005D1EE8">
        <w:t xml:space="preserve"> </w:t>
      </w:r>
      <w:r w:rsidR="000D4750" w:rsidRPr="005D1EE8">
        <w:t xml:space="preserve">Any such allowance shall be subject to the CWIP allowance limitations of </w:t>
      </w:r>
      <w:r w:rsidR="00BD2990" w:rsidRPr="005D1EE8">
        <w:t xml:space="preserve">R.C. </w:t>
      </w:r>
      <w:r w:rsidR="000D4750" w:rsidRPr="005D1EE8">
        <w:t>4905.15</w:t>
      </w:r>
      <w:r w:rsidR="00BD2990" w:rsidRPr="005D1EE8">
        <w:t>(A)</w:t>
      </w:r>
      <w:r w:rsidR="000D4750" w:rsidRPr="005D1EE8">
        <w:t xml:space="preserve"> except the Commission may authorize an allowance upon the incurrence of the cost or occurrence of the expenditure.</w:t>
      </w:r>
      <w:r w:rsidR="00BD2990" w:rsidRPr="005D1EE8">
        <w:rPr>
          <w:rStyle w:val="FootnoteReference"/>
        </w:rPr>
        <w:footnoteReference w:id="28"/>
      </w:r>
      <w:r w:rsidR="000D4750" w:rsidRPr="005D1EE8">
        <w:t xml:space="preserve"> </w:t>
      </w:r>
      <w:r w:rsidR="00BD2990" w:rsidRPr="005D1EE8">
        <w:t xml:space="preserve"> </w:t>
      </w:r>
      <w:r w:rsidR="000D4750" w:rsidRPr="005D1EE8">
        <w:t>Addition</w:t>
      </w:r>
      <w:r w:rsidR="009E0AA6">
        <w:softHyphen/>
      </w:r>
      <w:r w:rsidR="000D4750" w:rsidRPr="005D1EE8">
        <w:t>ally, the Commission must first determine in the proceeding that there is need for the facility based on resource planning.</w:t>
      </w:r>
      <w:r w:rsidR="00BD2990" w:rsidRPr="005D1EE8">
        <w:rPr>
          <w:rStyle w:val="FootnoteReference"/>
        </w:rPr>
        <w:footnoteReference w:id="29"/>
      </w:r>
      <w:r w:rsidR="000D4750" w:rsidRPr="005D1EE8">
        <w:t xml:space="preserve">  Further, no CWIP allowance shall be authorized unless the facility's construction was sourced through a competitive bid process.</w:t>
      </w:r>
      <w:r w:rsidR="00BD2990" w:rsidRPr="005D1EE8">
        <w:rPr>
          <w:rStyle w:val="FootnoteReference"/>
        </w:rPr>
        <w:footnoteReference w:id="30"/>
      </w:r>
    </w:p>
    <w:p w:rsidR="000D4750" w:rsidRDefault="00883CBB" w:rsidP="000D1941">
      <w:pPr>
        <w:pStyle w:val="textstyle"/>
      </w:pPr>
      <w:r>
        <w:tab/>
      </w:r>
      <w:r w:rsidR="000D4750" w:rsidRPr="005D1EE8">
        <w:t xml:space="preserve">AEP </w:t>
      </w:r>
      <w:r w:rsidR="009A78EE">
        <w:t xml:space="preserve">Ohio </w:t>
      </w:r>
      <w:r w:rsidR="000D4750" w:rsidRPr="005D1EE8">
        <w:t>has not demonstrated (1) that the CWIP it has requested is 75% com</w:t>
      </w:r>
      <w:r w:rsidR="009E0AA6">
        <w:softHyphen/>
      </w:r>
      <w:r w:rsidR="000D4750" w:rsidRPr="005D1EE8">
        <w:t>plete; (2) that the concept of mirror-CWIP has been applied; (3) that the Commission has determined that there is need for each facility based on resource planning; or (4) that the facility's construction was sourced through a competitive bid process.</w:t>
      </w:r>
      <w:r w:rsidR="00BD2990" w:rsidRPr="005D1EE8">
        <w:rPr>
          <w:rStyle w:val="FootnoteReference"/>
        </w:rPr>
        <w:footnoteReference w:id="31"/>
      </w:r>
      <w:r w:rsidR="000D4750" w:rsidRPr="005D1EE8">
        <w:t xml:space="preserve"> </w:t>
      </w:r>
      <w:r w:rsidR="00BD2990" w:rsidRPr="005D1EE8">
        <w:t xml:space="preserve"> </w:t>
      </w:r>
      <w:r w:rsidR="000D4750" w:rsidRPr="005D1EE8">
        <w:t>Because these criteria have not been met, CWIP should be excluded from rate base.</w:t>
      </w:r>
    </w:p>
    <w:p w:rsidR="009B184C" w:rsidRPr="005D1EE8" w:rsidRDefault="009B184C" w:rsidP="00883CBB"/>
    <w:p w:rsidR="007712F1" w:rsidRPr="005D1EE8" w:rsidRDefault="007712F1" w:rsidP="0067532B">
      <w:pPr>
        <w:pStyle w:val="Heading4"/>
        <w:rPr>
          <w:rFonts w:eastAsia="Times New Roman"/>
        </w:rPr>
      </w:pPr>
      <w:bookmarkStart w:id="13" w:name="_Toc325543195"/>
      <w:r w:rsidRPr="005D1EE8">
        <w:lastRenderedPageBreak/>
        <w:t>Plant Held for Future U</w:t>
      </w:r>
      <w:r w:rsidR="0076541A" w:rsidRPr="005D1EE8">
        <w:t>se</w:t>
      </w:r>
      <w:bookmarkEnd w:id="13"/>
      <w:r w:rsidR="0076541A" w:rsidRPr="005D1EE8">
        <w:t xml:space="preserve"> </w:t>
      </w:r>
    </w:p>
    <w:p w:rsidR="0048669F" w:rsidRPr="005D1EE8" w:rsidRDefault="00883CBB" w:rsidP="000D1941">
      <w:pPr>
        <w:pStyle w:val="textstyle"/>
      </w:pPr>
      <w:r>
        <w:tab/>
      </w:r>
      <w:r w:rsidR="008B5F37" w:rsidRPr="005D1EE8">
        <w:t>Plant Held for Future Use (</w:t>
      </w:r>
      <w:r w:rsidR="00080F38">
        <w:t>“</w:t>
      </w:r>
      <w:r w:rsidR="008B5F37" w:rsidRPr="005D1EE8">
        <w:t>PHFFU</w:t>
      </w:r>
      <w:r w:rsidR="00080F38">
        <w:t>”</w:t>
      </w:r>
      <w:r w:rsidR="008B5F37" w:rsidRPr="005D1EE8">
        <w:t>) must be excluded from rate base.  AEP</w:t>
      </w:r>
      <w:r w:rsidR="009A78EE">
        <w:t xml:space="preserve"> Ohio</w:t>
      </w:r>
      <w:r w:rsidR="008B5F37" w:rsidRPr="005D1EE8">
        <w:t xml:space="preserve"> proposed to include $5,366 million of</w:t>
      </w:r>
      <w:r w:rsidR="0048669F" w:rsidRPr="005D1EE8">
        <w:t xml:space="preserve"> PHFFU</w:t>
      </w:r>
      <w:r w:rsidR="008B5F37" w:rsidRPr="005D1EE8">
        <w:t xml:space="preserve"> for CSP on Exhibit KD</w:t>
      </w:r>
      <w:r w:rsidR="0048669F" w:rsidRPr="005D1EE8">
        <w:t>P-3, page 5, line 6.  AEP</w:t>
      </w:r>
      <w:r w:rsidR="009A78EE">
        <w:t xml:space="preserve"> Ohio</w:t>
      </w:r>
      <w:r w:rsidR="0048669F" w:rsidRPr="005D1EE8">
        <w:t>’s</w:t>
      </w:r>
      <w:r w:rsidR="008B5F37" w:rsidRPr="005D1EE8">
        <w:t xml:space="preserve"> request for CSP</w:t>
      </w:r>
      <w:r w:rsidR="0048669F" w:rsidRPr="005D1EE8">
        <w:t xml:space="preserve"> PHFFU</w:t>
      </w:r>
      <w:r w:rsidR="008B5F37" w:rsidRPr="005D1EE8">
        <w:t xml:space="preserve"> appears to primarily relate to land and land rig</w:t>
      </w:r>
      <w:r w:rsidR="0048669F" w:rsidRPr="005D1EE8">
        <w:t>hts for a Newbury Project.</w:t>
      </w:r>
      <w:r w:rsidR="0048669F" w:rsidRPr="005D1EE8">
        <w:rPr>
          <w:rStyle w:val="FootnoteReference"/>
        </w:rPr>
        <w:footnoteReference w:id="32"/>
      </w:r>
      <w:r w:rsidR="0048669F" w:rsidRPr="005D1EE8">
        <w:t xml:space="preserve">  PHFFU</w:t>
      </w:r>
      <w:r w:rsidR="008B5F37" w:rsidRPr="005D1EE8">
        <w:t xml:space="preserve"> should be excluded from utility rate base because it is not considered to be used and useful in providing utility service.</w:t>
      </w:r>
      <w:r w:rsidR="0048669F" w:rsidRPr="005D1EE8">
        <w:rPr>
          <w:rStyle w:val="FootnoteReference"/>
        </w:rPr>
        <w:footnoteReference w:id="33"/>
      </w:r>
      <w:r w:rsidR="008B5F37" w:rsidRPr="005D1EE8">
        <w:t xml:space="preserve"> </w:t>
      </w:r>
      <w:r w:rsidR="0048669F" w:rsidRPr="005D1EE8">
        <w:t xml:space="preserve">Staff </w:t>
      </w:r>
      <w:r w:rsidR="00661F0C">
        <w:t>w</w:t>
      </w:r>
      <w:r w:rsidR="0048669F" w:rsidRPr="005D1EE8">
        <w:t>itness Smith stated that:</w:t>
      </w:r>
    </w:p>
    <w:p w:rsidR="008B5F37" w:rsidRPr="005D1EE8" w:rsidRDefault="0048669F" w:rsidP="00883CBB">
      <w:pPr>
        <w:pStyle w:val="Blockquote"/>
      </w:pPr>
      <w:r w:rsidRPr="005D1EE8">
        <w:t>[u]</w:t>
      </w:r>
      <w:r w:rsidR="008B5F37" w:rsidRPr="005D1EE8">
        <w:t>nless the utility demonstrates specific, definite plans for utilizing such property to provide utility service within a rea</w:t>
      </w:r>
      <w:r w:rsidR="009E0AA6">
        <w:softHyphen/>
      </w:r>
      <w:r w:rsidR="008B5F37" w:rsidRPr="005D1EE8">
        <w:t xml:space="preserve">sonable time frame, my experience has generally been that the PHFFU is excluded from utility rate base. </w:t>
      </w:r>
      <w:r w:rsidRPr="005D1EE8">
        <w:t xml:space="preserve"> </w:t>
      </w:r>
      <w:r w:rsidR="008B5F37" w:rsidRPr="005D1EE8">
        <w:t>Lacking such definite plans for utilization in the provision of utility service, the property is not used and useful for providing utility ser</w:t>
      </w:r>
      <w:r w:rsidR="009E0AA6">
        <w:softHyphen/>
      </w:r>
      <w:r w:rsidR="008B5F37" w:rsidRPr="005D1EE8">
        <w:t>vice, and the cost should therefore not be borne by ratepayers</w:t>
      </w:r>
      <w:r w:rsidR="00080F38" w:rsidRPr="005D1EE8">
        <w:t xml:space="preserve">.  </w:t>
      </w:r>
      <w:r w:rsidR="008B5F37" w:rsidRPr="005D1EE8">
        <w:t>AEP Ohio has presented no definite plans as to when it will utilize any of the Plant Held for Future Use that it is request</w:t>
      </w:r>
      <w:r w:rsidR="009E0AA6">
        <w:softHyphen/>
      </w:r>
      <w:r w:rsidR="008B5F37" w:rsidRPr="005D1EE8">
        <w:t>ing be included in generation rate base</w:t>
      </w:r>
      <w:r w:rsidR="00080F38" w:rsidRPr="005D1EE8">
        <w:t xml:space="preserve">.  </w:t>
      </w:r>
      <w:r w:rsidR="008B5F37" w:rsidRPr="005D1EE8">
        <w:t xml:space="preserve">Consequently, I believe that a compelling argument can be made for the exclusion of this </w:t>
      </w:r>
      <w:proofErr w:type="spellStart"/>
      <w:r w:rsidR="008B5F37" w:rsidRPr="005D1EE8">
        <w:t>PHFFU</w:t>
      </w:r>
      <w:proofErr w:type="spellEnd"/>
      <w:r w:rsidR="008B5F37" w:rsidRPr="005D1EE8">
        <w:t xml:space="preserve"> from rate base, and my recom</w:t>
      </w:r>
      <w:r w:rsidR="003042DE">
        <w:softHyphen/>
      </w:r>
      <w:r w:rsidR="008B5F37" w:rsidRPr="005D1EE8">
        <w:t>mendation, therefore, is to exclude it entirely from rate base.</w:t>
      </w:r>
    </w:p>
    <w:p w:rsidR="008B5F37" w:rsidRDefault="0048669F" w:rsidP="000D1941">
      <w:pPr>
        <w:pStyle w:val="textstyle"/>
      </w:pPr>
      <w:r w:rsidRPr="005D1EE8">
        <w:t>Furthermore, n</w:t>
      </w:r>
      <w:r w:rsidR="008B5F37" w:rsidRPr="005D1EE8">
        <w:t xml:space="preserve">o PHFFU was included in AEP </w:t>
      </w:r>
      <w:r w:rsidR="009A78EE">
        <w:t>Ohio</w:t>
      </w:r>
      <w:r w:rsidR="008B5F37" w:rsidRPr="005D1EE8">
        <w:t>'s rate base in the rece</w:t>
      </w:r>
      <w:r w:rsidRPr="005D1EE8">
        <w:t xml:space="preserve">nt distribution rate cases. </w:t>
      </w:r>
      <w:r w:rsidR="007D28AF">
        <w:t xml:space="preserve"> </w:t>
      </w:r>
      <w:r w:rsidRPr="005D1EE8">
        <w:t>AEP</w:t>
      </w:r>
      <w:r w:rsidR="009A78EE">
        <w:t xml:space="preserve"> Ohio</w:t>
      </w:r>
      <w:r w:rsidR="008B5F37" w:rsidRPr="005D1EE8">
        <w:t>'s workpapers</w:t>
      </w:r>
      <w:r w:rsidRPr="005D1EE8">
        <w:t xml:space="preserve"> show</w:t>
      </w:r>
      <w:r w:rsidR="008B5F37" w:rsidRPr="005D1EE8">
        <w:t xml:space="preserve"> that CSP functionalized the $13,026 million of December 31, 2010 PHFFU that was reported in i</w:t>
      </w:r>
      <w:r w:rsidRPr="005D1EE8">
        <w:t>ts 2010 FERC Form 1 as follows:</w:t>
      </w:r>
    </w:p>
    <w:p w:rsidR="009B184C" w:rsidRPr="005D1EE8" w:rsidRDefault="009B184C" w:rsidP="00883CBB"/>
    <w:p w:rsidR="008B5F37" w:rsidRPr="005D1EE8" w:rsidRDefault="008B5F37" w:rsidP="009E5D8E">
      <w:pPr>
        <w:autoSpaceDE w:val="0"/>
        <w:autoSpaceDN w:val="0"/>
        <w:adjustRightInd w:val="0"/>
        <w:spacing w:after="0" w:line="240" w:lineRule="auto"/>
        <w:ind w:left="2160"/>
        <w:rPr>
          <w:rFonts w:ascii="Times New Roman" w:hAnsi="Times New Roman" w:cs="Times New Roman"/>
          <w:sz w:val="26"/>
          <w:szCs w:val="26"/>
        </w:rPr>
      </w:pPr>
      <w:r w:rsidRPr="005D1EE8">
        <w:rPr>
          <w:rFonts w:ascii="Times New Roman" w:hAnsi="Times New Roman" w:cs="Times New Roman"/>
          <w:sz w:val="26"/>
          <w:szCs w:val="26"/>
        </w:rPr>
        <w:lastRenderedPageBreak/>
        <w:t xml:space="preserve">Production </w:t>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Pr="005D1EE8">
        <w:rPr>
          <w:rFonts w:ascii="Times New Roman" w:hAnsi="Times New Roman" w:cs="Times New Roman"/>
          <w:sz w:val="26"/>
          <w:szCs w:val="26"/>
        </w:rPr>
        <w:t>5,366,165</w:t>
      </w:r>
    </w:p>
    <w:p w:rsidR="001229BE" w:rsidRPr="005D1EE8" w:rsidRDefault="001229BE" w:rsidP="00883CBB">
      <w:pPr>
        <w:autoSpaceDE w:val="0"/>
        <w:autoSpaceDN w:val="0"/>
        <w:adjustRightInd w:val="0"/>
        <w:spacing w:after="0" w:line="240" w:lineRule="auto"/>
        <w:ind w:left="2160"/>
        <w:rPr>
          <w:rFonts w:ascii="Times New Roman" w:hAnsi="Times New Roman" w:cs="Times New Roman"/>
          <w:sz w:val="26"/>
          <w:szCs w:val="26"/>
        </w:rPr>
      </w:pPr>
    </w:p>
    <w:p w:rsidR="008B5F37" w:rsidRPr="005D1EE8" w:rsidRDefault="008B5F37" w:rsidP="009E5D8E">
      <w:pPr>
        <w:autoSpaceDE w:val="0"/>
        <w:autoSpaceDN w:val="0"/>
        <w:adjustRightInd w:val="0"/>
        <w:spacing w:after="0" w:line="240" w:lineRule="auto"/>
        <w:ind w:left="2160"/>
        <w:rPr>
          <w:rFonts w:ascii="Times New Roman" w:hAnsi="Times New Roman" w:cs="Times New Roman"/>
          <w:sz w:val="26"/>
          <w:szCs w:val="26"/>
        </w:rPr>
      </w:pPr>
      <w:r w:rsidRPr="005D1EE8">
        <w:rPr>
          <w:rFonts w:ascii="Times New Roman" w:hAnsi="Times New Roman" w:cs="Times New Roman"/>
          <w:sz w:val="26"/>
          <w:szCs w:val="26"/>
        </w:rPr>
        <w:t xml:space="preserve">Transmission </w:t>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009E5D8E">
        <w:rPr>
          <w:rFonts w:ascii="Times New Roman" w:hAnsi="Times New Roman" w:cs="Times New Roman"/>
          <w:sz w:val="26"/>
          <w:szCs w:val="26"/>
        </w:rPr>
        <w:t xml:space="preserve">  </w:t>
      </w:r>
      <w:r w:rsidRPr="005D1EE8">
        <w:rPr>
          <w:rFonts w:ascii="Times New Roman" w:hAnsi="Times New Roman" w:cs="Times New Roman"/>
          <w:sz w:val="26"/>
          <w:szCs w:val="26"/>
        </w:rPr>
        <w:t>3,796,688</w:t>
      </w:r>
    </w:p>
    <w:p w:rsidR="008B5F37" w:rsidRPr="005D1EE8" w:rsidRDefault="008B5F37" w:rsidP="009E5D8E">
      <w:pPr>
        <w:autoSpaceDE w:val="0"/>
        <w:autoSpaceDN w:val="0"/>
        <w:adjustRightInd w:val="0"/>
        <w:spacing w:after="0" w:line="240" w:lineRule="auto"/>
        <w:ind w:left="2160"/>
        <w:rPr>
          <w:rFonts w:ascii="Times New Roman" w:hAnsi="Times New Roman" w:cs="Times New Roman"/>
          <w:sz w:val="26"/>
          <w:szCs w:val="26"/>
        </w:rPr>
      </w:pPr>
      <w:r w:rsidRPr="005D1EE8">
        <w:rPr>
          <w:rFonts w:ascii="Times New Roman" w:hAnsi="Times New Roman" w:cs="Times New Roman"/>
          <w:sz w:val="26"/>
          <w:szCs w:val="26"/>
        </w:rPr>
        <w:t>Distribution</w:t>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009E5D8E">
        <w:rPr>
          <w:rFonts w:ascii="Times New Roman" w:hAnsi="Times New Roman" w:cs="Times New Roman"/>
          <w:sz w:val="26"/>
          <w:szCs w:val="26"/>
        </w:rPr>
        <w:t xml:space="preserve">  </w:t>
      </w:r>
      <w:r w:rsidRPr="005D1EE8">
        <w:rPr>
          <w:rFonts w:ascii="Times New Roman" w:hAnsi="Times New Roman" w:cs="Times New Roman"/>
          <w:sz w:val="26"/>
          <w:szCs w:val="26"/>
        </w:rPr>
        <w:t>3,356,603</w:t>
      </w:r>
    </w:p>
    <w:p w:rsidR="0048669F" w:rsidRPr="005D1EE8" w:rsidRDefault="008B5F37" w:rsidP="009E5D8E">
      <w:pPr>
        <w:autoSpaceDE w:val="0"/>
        <w:autoSpaceDN w:val="0"/>
        <w:adjustRightInd w:val="0"/>
        <w:spacing w:after="0" w:line="240" w:lineRule="auto"/>
        <w:ind w:left="2160"/>
        <w:rPr>
          <w:rFonts w:ascii="Times New Roman" w:hAnsi="Times New Roman" w:cs="Times New Roman"/>
          <w:sz w:val="26"/>
          <w:szCs w:val="26"/>
        </w:rPr>
      </w:pPr>
      <w:r w:rsidRPr="005D1EE8">
        <w:rPr>
          <w:rFonts w:ascii="Times New Roman" w:hAnsi="Times New Roman" w:cs="Times New Roman"/>
          <w:sz w:val="26"/>
          <w:szCs w:val="26"/>
        </w:rPr>
        <w:t xml:space="preserve">General </w:t>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009E5D8E">
        <w:rPr>
          <w:rFonts w:ascii="Times New Roman" w:hAnsi="Times New Roman" w:cs="Times New Roman"/>
          <w:sz w:val="26"/>
          <w:szCs w:val="26"/>
        </w:rPr>
        <w:t xml:space="preserve">     </w:t>
      </w:r>
      <w:r w:rsidRPr="005D1EE8">
        <w:rPr>
          <w:rFonts w:ascii="Times New Roman" w:hAnsi="Times New Roman" w:cs="Times New Roman"/>
          <w:sz w:val="26"/>
          <w:szCs w:val="26"/>
          <w:u w:val="single"/>
        </w:rPr>
        <w:t>506,771</w:t>
      </w:r>
      <w:r w:rsidR="0048669F" w:rsidRPr="005D1EE8">
        <w:rPr>
          <w:rFonts w:ascii="Times New Roman" w:hAnsi="Times New Roman" w:cs="Times New Roman"/>
          <w:sz w:val="26"/>
          <w:szCs w:val="26"/>
          <w:u w:val="single"/>
        </w:rPr>
        <w:t xml:space="preserve">     </w:t>
      </w:r>
      <w:r w:rsidR="0048669F" w:rsidRPr="005D1EE8">
        <w:rPr>
          <w:rFonts w:ascii="Times New Roman" w:hAnsi="Times New Roman" w:cs="Times New Roman"/>
          <w:sz w:val="26"/>
          <w:szCs w:val="26"/>
        </w:rPr>
        <w:t xml:space="preserve">  </w:t>
      </w:r>
      <w:r w:rsidR="0048669F" w:rsidRPr="005D1EE8">
        <w:rPr>
          <w:rFonts w:ascii="Times New Roman" w:hAnsi="Times New Roman" w:cs="Times New Roman"/>
          <w:sz w:val="26"/>
          <w:szCs w:val="26"/>
        </w:rPr>
        <w:tab/>
      </w:r>
    </w:p>
    <w:p w:rsidR="008B5F37" w:rsidRDefault="008B5F37" w:rsidP="009E5D8E">
      <w:pPr>
        <w:autoSpaceDE w:val="0"/>
        <w:autoSpaceDN w:val="0"/>
        <w:adjustRightInd w:val="0"/>
        <w:spacing w:after="0" w:line="240" w:lineRule="auto"/>
        <w:ind w:left="2160"/>
        <w:rPr>
          <w:rFonts w:ascii="Times New Roman" w:hAnsi="Times New Roman" w:cs="Times New Roman"/>
          <w:sz w:val="26"/>
          <w:szCs w:val="26"/>
        </w:rPr>
      </w:pPr>
      <w:r w:rsidRPr="005D1EE8">
        <w:rPr>
          <w:rFonts w:ascii="Times New Roman" w:hAnsi="Times New Roman" w:cs="Times New Roman"/>
          <w:sz w:val="26"/>
          <w:szCs w:val="26"/>
        </w:rPr>
        <w:t xml:space="preserve">Total </w:t>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0048669F" w:rsidRPr="005D1EE8">
        <w:rPr>
          <w:rFonts w:ascii="Times New Roman" w:hAnsi="Times New Roman" w:cs="Times New Roman"/>
          <w:sz w:val="26"/>
          <w:szCs w:val="26"/>
        </w:rPr>
        <w:tab/>
      </w:r>
      <w:r w:rsidRPr="005D1EE8">
        <w:rPr>
          <w:rFonts w:ascii="Times New Roman" w:hAnsi="Times New Roman" w:cs="Times New Roman"/>
          <w:sz w:val="26"/>
          <w:szCs w:val="26"/>
        </w:rPr>
        <w:t>13,026,227</w:t>
      </w:r>
      <w:r w:rsidR="001229BE" w:rsidRPr="005D1EE8">
        <w:rPr>
          <w:rStyle w:val="FootnoteReference"/>
          <w:rFonts w:ascii="Times New Roman" w:hAnsi="Times New Roman" w:cs="Times New Roman"/>
          <w:sz w:val="26"/>
          <w:szCs w:val="26"/>
        </w:rPr>
        <w:footnoteReference w:id="34"/>
      </w:r>
    </w:p>
    <w:p w:rsidR="009E5D8E" w:rsidRPr="005D1EE8" w:rsidRDefault="009E5D8E" w:rsidP="009E5D8E">
      <w:pPr>
        <w:autoSpaceDE w:val="0"/>
        <w:autoSpaceDN w:val="0"/>
        <w:adjustRightInd w:val="0"/>
        <w:spacing w:after="0" w:line="240" w:lineRule="auto"/>
        <w:ind w:left="2160"/>
        <w:rPr>
          <w:rFonts w:ascii="Times New Roman" w:hAnsi="Times New Roman" w:cs="Times New Roman"/>
          <w:sz w:val="26"/>
          <w:szCs w:val="26"/>
        </w:rPr>
      </w:pPr>
    </w:p>
    <w:p w:rsidR="008B5F37" w:rsidRPr="005D1EE8" w:rsidRDefault="008B5F37" w:rsidP="000D1941">
      <w:pPr>
        <w:pStyle w:val="textstyle"/>
      </w:pPr>
      <w:r w:rsidRPr="005D1EE8">
        <w:t>However, the Staff Report</w:t>
      </w:r>
      <w:r w:rsidR="007A0119" w:rsidRPr="005D1EE8">
        <w:t>s</w:t>
      </w:r>
      <w:r w:rsidRPr="005D1EE8">
        <w:t xml:space="preserve"> </w:t>
      </w:r>
      <w:r w:rsidR="007A0119" w:rsidRPr="005D1EE8">
        <w:t>in AEP</w:t>
      </w:r>
      <w:r w:rsidR="009A78EE">
        <w:t xml:space="preserve"> Ohio</w:t>
      </w:r>
      <w:r w:rsidR="0048669F" w:rsidRPr="005D1EE8">
        <w:t>'s</w:t>
      </w:r>
      <w:r w:rsidR="007A0119" w:rsidRPr="005D1EE8">
        <w:t xml:space="preserve"> most recent</w:t>
      </w:r>
      <w:r w:rsidR="0048669F" w:rsidRPr="005D1EE8">
        <w:t xml:space="preserve"> distribution rate case</w:t>
      </w:r>
      <w:r w:rsidR="007A0119" w:rsidRPr="005D1EE8">
        <w:t>s</w:t>
      </w:r>
      <w:r w:rsidR="0048669F" w:rsidRPr="005D1EE8">
        <w:rPr>
          <w:rStyle w:val="FootnoteReference"/>
        </w:rPr>
        <w:footnoteReference w:id="35"/>
      </w:r>
      <w:r w:rsidR="007A0119" w:rsidRPr="005D1EE8">
        <w:t xml:space="preserve"> do</w:t>
      </w:r>
      <w:r w:rsidRPr="005D1EE8">
        <w:t xml:space="preserve"> not show any</w:t>
      </w:r>
      <w:r w:rsidR="0048669F" w:rsidRPr="005D1EE8">
        <w:t xml:space="preserve"> PHFFU</w:t>
      </w:r>
      <w:r w:rsidRPr="005D1EE8">
        <w:t xml:space="preserve"> included distribution rate base.</w:t>
      </w:r>
      <w:r w:rsidR="0048669F" w:rsidRPr="005D1EE8">
        <w:rPr>
          <w:rStyle w:val="FootnoteReference"/>
        </w:rPr>
        <w:footnoteReference w:id="36"/>
      </w:r>
      <w:r w:rsidRPr="005D1EE8">
        <w:t xml:space="preserve"> </w:t>
      </w:r>
      <w:r w:rsidR="007A0119" w:rsidRPr="005D1EE8">
        <w:t xml:space="preserve"> </w:t>
      </w:r>
      <w:r w:rsidRPr="005D1EE8">
        <w:t xml:space="preserve">The </w:t>
      </w:r>
      <w:r w:rsidR="00F1097F" w:rsidRPr="005D1EE8">
        <w:t xml:space="preserve">$5,366 million </w:t>
      </w:r>
      <w:r w:rsidRPr="005D1EE8">
        <w:t xml:space="preserve">PHFFU that AEP Ohio included in its proposed production demand rate base for CSP should be removed for the reasons stated above. </w:t>
      </w:r>
    </w:p>
    <w:p w:rsidR="007712F1" w:rsidRPr="005D1EE8" w:rsidRDefault="007712F1" w:rsidP="0067532B">
      <w:pPr>
        <w:pStyle w:val="Heading4"/>
        <w:rPr>
          <w:rFonts w:eastAsia="Times New Roman"/>
        </w:rPr>
      </w:pPr>
      <w:bookmarkStart w:id="14" w:name="_Toc325543196"/>
      <w:r w:rsidRPr="005D1EE8">
        <w:t>Cash W</w:t>
      </w:r>
      <w:r w:rsidR="0076541A" w:rsidRPr="005D1EE8">
        <w:t xml:space="preserve">orking </w:t>
      </w:r>
      <w:r w:rsidRPr="005D1EE8">
        <w:t>C</w:t>
      </w:r>
      <w:r w:rsidR="0076541A" w:rsidRPr="005D1EE8">
        <w:t>apital</w:t>
      </w:r>
      <w:bookmarkEnd w:id="14"/>
      <w:r w:rsidRPr="005D1EE8">
        <w:t xml:space="preserve"> </w:t>
      </w:r>
    </w:p>
    <w:p w:rsidR="009B184C" w:rsidRDefault="009E5D8E" w:rsidP="000D1941">
      <w:pPr>
        <w:pStyle w:val="textstyle"/>
      </w:pPr>
      <w:r>
        <w:tab/>
      </w:r>
      <w:r w:rsidR="00F1097F" w:rsidRPr="005D1EE8">
        <w:t>In the absence of a reliable lead-lag study,</w:t>
      </w:r>
      <w:r w:rsidR="001229BE" w:rsidRPr="005D1EE8">
        <w:t xml:space="preserve"> the Staff cannot recommend a Cash Working Capital (</w:t>
      </w:r>
      <w:r w:rsidR="00080F38">
        <w:t>“</w:t>
      </w:r>
      <w:r w:rsidR="001229BE" w:rsidRPr="005D1EE8">
        <w:t>CWC</w:t>
      </w:r>
      <w:r w:rsidR="00080F38">
        <w:t>”</w:t>
      </w:r>
      <w:r w:rsidR="001229BE" w:rsidRPr="005D1EE8">
        <w:t xml:space="preserve">) allowance.  </w:t>
      </w:r>
      <w:r w:rsidR="00F1097F" w:rsidRPr="005D1EE8">
        <w:t>CWC is generally defined as the average amount of capital provided by investors in the Company, over and above the investments in plant and other specifically quantified rate base items, to bridge the gap between the time that expenditures are required to provide service and the time collections are received for the service.</w:t>
      </w:r>
      <w:r w:rsidR="00F1097F" w:rsidRPr="005D1EE8">
        <w:rPr>
          <w:rStyle w:val="FootnoteReference"/>
        </w:rPr>
        <w:footnoteReference w:id="37"/>
      </w:r>
      <w:r w:rsidR="00F1097F" w:rsidRPr="005D1EE8">
        <w:t xml:space="preserve">  Large utilities are typically required to prepare a lead-lag study to support a</w:t>
      </w:r>
      <w:r w:rsidR="001229BE" w:rsidRPr="005D1EE8">
        <w:t xml:space="preserve"> </w:t>
      </w:r>
      <w:r w:rsidR="009B184C">
        <w:br w:type="page"/>
      </w:r>
    </w:p>
    <w:p w:rsidR="00F1097F" w:rsidRPr="005D1EE8" w:rsidRDefault="001229BE" w:rsidP="000D1941">
      <w:pPr>
        <w:pStyle w:val="textstyle"/>
      </w:pPr>
      <w:r w:rsidRPr="005D1EE8">
        <w:lastRenderedPageBreak/>
        <w:t>CWC</w:t>
      </w:r>
      <w:r w:rsidR="00F1097F" w:rsidRPr="005D1EE8">
        <w:t xml:space="preserve"> allowance being includable in rate base. </w:t>
      </w:r>
      <w:r w:rsidRPr="005D1EE8">
        <w:t xml:space="preserve"> AEP</w:t>
      </w:r>
      <w:r w:rsidR="009A78EE">
        <w:t xml:space="preserve"> Ohio</w:t>
      </w:r>
      <w:r w:rsidRPr="005D1EE8">
        <w:t xml:space="preserve"> is</w:t>
      </w:r>
      <w:r w:rsidR="00F1097F" w:rsidRPr="005D1EE8">
        <w:t xml:space="preserve"> considered to be</w:t>
      </w:r>
      <w:r w:rsidRPr="005D1EE8">
        <w:t xml:space="preserve"> a large util</w:t>
      </w:r>
      <w:r w:rsidR="009E0AA6">
        <w:softHyphen/>
      </w:r>
      <w:r w:rsidRPr="005D1EE8">
        <w:t>ity</w:t>
      </w:r>
      <w:r w:rsidR="00F1097F" w:rsidRPr="005D1EE8">
        <w:t xml:space="preserve"> for supporting a</w:t>
      </w:r>
      <w:r w:rsidRPr="005D1EE8">
        <w:t xml:space="preserve"> CWC</w:t>
      </w:r>
      <w:r w:rsidR="00F1097F" w:rsidRPr="005D1EE8">
        <w:t xml:space="preserve"> allowance.</w:t>
      </w:r>
      <w:r w:rsidRPr="005D1EE8">
        <w:rPr>
          <w:rStyle w:val="FootnoteReference"/>
        </w:rPr>
        <w:footnoteReference w:id="38"/>
      </w:r>
      <w:r w:rsidR="00F1097F" w:rsidRPr="005D1EE8">
        <w:t xml:space="preserve"> </w:t>
      </w:r>
      <w:r w:rsidRPr="005D1EE8">
        <w:t xml:space="preserve"> </w:t>
      </w:r>
    </w:p>
    <w:p w:rsidR="00F1097F" w:rsidRPr="005D1EE8" w:rsidRDefault="009E5D8E" w:rsidP="000D1941">
      <w:pPr>
        <w:pStyle w:val="textstyle"/>
      </w:pPr>
      <w:r>
        <w:tab/>
      </w:r>
      <w:r w:rsidR="00F1097F" w:rsidRPr="005D1EE8">
        <w:t>AEP</w:t>
      </w:r>
      <w:r w:rsidR="009A78EE">
        <w:t xml:space="preserve"> Ohio</w:t>
      </w:r>
      <w:r w:rsidR="0028204D" w:rsidRPr="005D1EE8">
        <w:t>, in this case, did not</w:t>
      </w:r>
      <w:r w:rsidR="00F1097F" w:rsidRPr="005D1EE8">
        <w:t xml:space="preserve"> prepare a lead-lag study to support its claim for</w:t>
      </w:r>
      <w:r w:rsidR="0028204D" w:rsidRPr="005D1EE8">
        <w:t xml:space="preserve"> CWC.  Rather,</w:t>
      </w:r>
      <w:r w:rsidR="00F1097F" w:rsidRPr="005D1EE8">
        <w:t xml:space="preserve"> </w:t>
      </w:r>
      <w:r w:rsidR="0028204D" w:rsidRPr="005D1EE8">
        <w:t>AEP</w:t>
      </w:r>
      <w:r w:rsidR="009A78EE">
        <w:t xml:space="preserve"> Ohio</w:t>
      </w:r>
      <w:r w:rsidR="00F1097F" w:rsidRPr="005D1EE8">
        <w:t xml:space="preserve">'s claim is based on a one-eighth </w:t>
      </w:r>
      <w:r w:rsidR="0028204D" w:rsidRPr="005D1EE8">
        <w:t>operation and maintenance (</w:t>
      </w:r>
      <w:r w:rsidR="00080F38">
        <w:t>“</w:t>
      </w:r>
      <w:r w:rsidR="00F1097F" w:rsidRPr="005D1EE8">
        <w:t>O&amp;M</w:t>
      </w:r>
      <w:r w:rsidR="00080F38">
        <w:t>”</w:t>
      </w:r>
      <w:r w:rsidR="0028204D" w:rsidRPr="005D1EE8">
        <w:t>)</w:t>
      </w:r>
      <w:r w:rsidR="00F1097F" w:rsidRPr="005D1EE8">
        <w:t xml:space="preserve"> formula. </w:t>
      </w:r>
      <w:r w:rsidR="0028204D" w:rsidRPr="005D1EE8">
        <w:t xml:space="preserve"> </w:t>
      </w:r>
      <w:r w:rsidR="00957293" w:rsidRPr="005D1EE8">
        <w:t xml:space="preserve">Staff </w:t>
      </w:r>
      <w:r w:rsidR="00661F0C">
        <w:t>w</w:t>
      </w:r>
      <w:r w:rsidR="00957293" w:rsidRPr="005D1EE8">
        <w:t>itness Smith points out</w:t>
      </w:r>
      <w:r w:rsidR="00F1097F" w:rsidRPr="005D1EE8">
        <w:t xml:space="preserve"> several conceptual problems with the use of the one-eighth formula method, including the following:</w:t>
      </w:r>
    </w:p>
    <w:p w:rsidR="00DE2907" w:rsidRPr="009E5D8E" w:rsidRDefault="00F1097F" w:rsidP="009E5D8E">
      <w:pPr>
        <w:numPr>
          <w:ilvl w:val="0"/>
          <w:numId w:val="15"/>
        </w:numPr>
        <w:autoSpaceDE w:val="0"/>
        <w:autoSpaceDN w:val="0"/>
        <w:adjustRightInd w:val="0"/>
        <w:spacing w:after="240" w:line="240" w:lineRule="auto"/>
        <w:ind w:left="2160" w:right="1440" w:hanging="720"/>
        <w:rPr>
          <w:rFonts w:ascii="Times New Roman" w:hAnsi="Times New Roman" w:cs="Times New Roman"/>
          <w:sz w:val="26"/>
          <w:szCs w:val="26"/>
        </w:rPr>
      </w:pPr>
      <w:r w:rsidRPr="009E5D8E">
        <w:rPr>
          <w:rFonts w:ascii="Times New Roman" w:hAnsi="Times New Roman" w:cs="Times New Roman"/>
          <w:sz w:val="26"/>
          <w:szCs w:val="26"/>
        </w:rPr>
        <w:t xml:space="preserve">First and most importantly, there is no evidence that the formula accurately or appropriately calculates a CWC allowance that is based on AEP Ohio's actual requirements for cash working capital. </w:t>
      </w:r>
      <w:r w:rsidR="00957293" w:rsidRPr="009E5D8E">
        <w:rPr>
          <w:rFonts w:ascii="Times New Roman" w:hAnsi="Times New Roman" w:cs="Times New Roman"/>
          <w:sz w:val="26"/>
          <w:szCs w:val="26"/>
        </w:rPr>
        <w:t xml:space="preserve"> </w:t>
      </w:r>
      <w:r w:rsidRPr="009E5D8E">
        <w:rPr>
          <w:rFonts w:ascii="Times New Roman" w:hAnsi="Times New Roman" w:cs="Times New Roman"/>
          <w:sz w:val="26"/>
          <w:szCs w:val="26"/>
        </w:rPr>
        <w:t xml:space="preserve">The formula always produces a positive CWC allowance, even in situations where no CWC requirement exists, and even in situations where the utility's CWC requirement is negative. </w:t>
      </w:r>
    </w:p>
    <w:p w:rsidR="00DE2907" w:rsidRPr="009E5D8E" w:rsidRDefault="00F1097F" w:rsidP="009E5D8E">
      <w:pPr>
        <w:numPr>
          <w:ilvl w:val="0"/>
          <w:numId w:val="15"/>
        </w:numPr>
        <w:autoSpaceDE w:val="0"/>
        <w:autoSpaceDN w:val="0"/>
        <w:adjustRightInd w:val="0"/>
        <w:spacing w:after="240" w:line="240" w:lineRule="auto"/>
        <w:ind w:left="2160" w:right="1440" w:hanging="720"/>
        <w:rPr>
          <w:rFonts w:ascii="Times New Roman" w:hAnsi="Times New Roman" w:cs="Times New Roman"/>
          <w:sz w:val="26"/>
          <w:szCs w:val="26"/>
        </w:rPr>
      </w:pPr>
      <w:r w:rsidRPr="009E5D8E">
        <w:rPr>
          <w:rFonts w:ascii="Times New Roman" w:hAnsi="Times New Roman" w:cs="Times New Roman"/>
          <w:sz w:val="26"/>
          <w:szCs w:val="26"/>
        </w:rPr>
        <w:t>AEP Ohio's filing has assumed a cash working capital allowance based on a one-eighth formula method, without providing any support for an assumption that AEP Ohio actually has a cash working capital requirement.  The assumption underlying a one-eighth cash working capital allowance is that revenues for the service are collected, on average, 45 days after cash operating expenses are paid to produce the service</w:t>
      </w:r>
      <w:r w:rsidR="008717CF" w:rsidRPr="009E5D8E">
        <w:rPr>
          <w:rFonts w:ascii="Times New Roman" w:hAnsi="Times New Roman" w:cs="Times New Roman"/>
          <w:sz w:val="26"/>
          <w:szCs w:val="26"/>
        </w:rPr>
        <w:t xml:space="preserve">.  </w:t>
      </w:r>
      <w:r w:rsidRPr="009E5D8E">
        <w:rPr>
          <w:rFonts w:ascii="Times New Roman" w:hAnsi="Times New Roman" w:cs="Times New Roman"/>
          <w:sz w:val="26"/>
          <w:szCs w:val="26"/>
        </w:rPr>
        <w:t>AEP Ohio has presented no reliable evidence that it has a net cash working c</w:t>
      </w:r>
      <w:r w:rsidR="00957293" w:rsidRPr="009E5D8E">
        <w:rPr>
          <w:rFonts w:ascii="Times New Roman" w:hAnsi="Times New Roman" w:cs="Times New Roman"/>
          <w:sz w:val="26"/>
          <w:szCs w:val="26"/>
        </w:rPr>
        <w:t>apital requirement of 45 days (1</w:t>
      </w:r>
      <w:r w:rsidRPr="009E5D8E">
        <w:rPr>
          <w:rFonts w:ascii="Times New Roman" w:hAnsi="Times New Roman" w:cs="Times New Roman"/>
          <w:sz w:val="26"/>
          <w:szCs w:val="26"/>
        </w:rPr>
        <w:t>/8th of 365 days = 45 days).</w:t>
      </w:r>
    </w:p>
    <w:p w:rsidR="00DE2907" w:rsidRPr="009E5D8E" w:rsidRDefault="00DE2907" w:rsidP="009E5D8E">
      <w:pPr>
        <w:numPr>
          <w:ilvl w:val="0"/>
          <w:numId w:val="15"/>
        </w:numPr>
        <w:autoSpaceDE w:val="0"/>
        <w:autoSpaceDN w:val="0"/>
        <w:adjustRightInd w:val="0"/>
        <w:spacing w:after="240" w:line="240" w:lineRule="auto"/>
        <w:ind w:left="2160" w:right="1440" w:hanging="720"/>
        <w:rPr>
          <w:rFonts w:ascii="Times New Roman" w:hAnsi="Times New Roman" w:cs="Times New Roman"/>
          <w:sz w:val="26"/>
          <w:szCs w:val="26"/>
        </w:rPr>
      </w:pPr>
      <w:r w:rsidRPr="009E5D8E">
        <w:rPr>
          <w:rFonts w:ascii="Times New Roman" w:hAnsi="Times New Roman" w:cs="Times New Roman"/>
          <w:sz w:val="26"/>
          <w:szCs w:val="26"/>
        </w:rPr>
        <w:t>I</w:t>
      </w:r>
      <w:r w:rsidR="00F1097F" w:rsidRPr="009E5D8E">
        <w:rPr>
          <w:rFonts w:ascii="Times New Roman" w:hAnsi="Times New Roman" w:cs="Times New Roman"/>
          <w:sz w:val="26"/>
          <w:szCs w:val="26"/>
        </w:rPr>
        <w:t xml:space="preserve">ncluded in AEP Ohio's operating expenses are charges from affiliates, such as charges from AEP Service Company. </w:t>
      </w:r>
      <w:r w:rsidR="00957293" w:rsidRPr="009E5D8E">
        <w:rPr>
          <w:rFonts w:ascii="Times New Roman" w:hAnsi="Times New Roman" w:cs="Times New Roman"/>
          <w:sz w:val="26"/>
          <w:szCs w:val="26"/>
        </w:rPr>
        <w:t xml:space="preserve"> </w:t>
      </w:r>
      <w:r w:rsidR="00F1097F" w:rsidRPr="009E5D8E">
        <w:rPr>
          <w:rFonts w:ascii="Times New Roman" w:hAnsi="Times New Roman" w:cs="Times New Roman"/>
          <w:sz w:val="26"/>
          <w:szCs w:val="26"/>
        </w:rPr>
        <w:t>Providing for a cash working capital allow</w:t>
      </w:r>
      <w:r w:rsidR="009E0AA6">
        <w:rPr>
          <w:rFonts w:ascii="Times New Roman" w:hAnsi="Times New Roman" w:cs="Times New Roman"/>
          <w:sz w:val="26"/>
          <w:szCs w:val="26"/>
        </w:rPr>
        <w:softHyphen/>
      </w:r>
      <w:r w:rsidR="00F1097F" w:rsidRPr="009E5D8E">
        <w:rPr>
          <w:rFonts w:ascii="Times New Roman" w:hAnsi="Times New Roman" w:cs="Times New Roman"/>
          <w:sz w:val="26"/>
          <w:szCs w:val="26"/>
        </w:rPr>
        <w:t>ance based on affiliate charges would essentially amount to giving AEP Ohio a return on affiliate expenses</w:t>
      </w:r>
      <w:r w:rsidR="00080F38" w:rsidRPr="009E5D8E">
        <w:rPr>
          <w:rFonts w:ascii="Times New Roman" w:hAnsi="Times New Roman" w:cs="Times New Roman"/>
          <w:sz w:val="26"/>
          <w:szCs w:val="26"/>
        </w:rPr>
        <w:t xml:space="preserve">.  </w:t>
      </w:r>
      <w:r w:rsidR="00F1097F" w:rsidRPr="009E5D8E">
        <w:rPr>
          <w:rFonts w:ascii="Times New Roman" w:hAnsi="Times New Roman" w:cs="Times New Roman"/>
          <w:sz w:val="26"/>
          <w:szCs w:val="26"/>
        </w:rPr>
        <w:t>That would seem to be contradictory to the provision by the affiliated service company of services at cost.</w:t>
      </w:r>
    </w:p>
    <w:p w:rsidR="00957293" w:rsidRPr="009E5D8E" w:rsidRDefault="00F1097F" w:rsidP="009E5D8E">
      <w:pPr>
        <w:numPr>
          <w:ilvl w:val="0"/>
          <w:numId w:val="15"/>
        </w:numPr>
        <w:autoSpaceDE w:val="0"/>
        <w:autoSpaceDN w:val="0"/>
        <w:adjustRightInd w:val="0"/>
        <w:spacing w:after="240" w:line="240" w:lineRule="auto"/>
        <w:ind w:left="2160" w:right="1440" w:hanging="720"/>
        <w:rPr>
          <w:rFonts w:ascii="Times New Roman" w:hAnsi="Times New Roman" w:cs="Times New Roman"/>
          <w:sz w:val="26"/>
          <w:szCs w:val="26"/>
        </w:rPr>
      </w:pPr>
      <w:r w:rsidRPr="009E5D8E">
        <w:rPr>
          <w:rFonts w:ascii="Times New Roman" w:hAnsi="Times New Roman" w:cs="Times New Roman"/>
          <w:sz w:val="26"/>
          <w:szCs w:val="26"/>
        </w:rPr>
        <w:lastRenderedPageBreak/>
        <w:t>AEP Ohio's proposed allowance also fails to consider the lag in the payment of current income tax expense</w:t>
      </w:r>
      <w:r w:rsidR="008717CF" w:rsidRPr="009E5D8E">
        <w:rPr>
          <w:rFonts w:ascii="Times New Roman" w:hAnsi="Times New Roman" w:cs="Times New Roman"/>
          <w:sz w:val="26"/>
          <w:szCs w:val="26"/>
        </w:rPr>
        <w:t xml:space="preserve">.  </w:t>
      </w:r>
      <w:r w:rsidRPr="009E5D8E">
        <w:rPr>
          <w:rFonts w:ascii="Times New Roman" w:hAnsi="Times New Roman" w:cs="Times New Roman"/>
          <w:sz w:val="26"/>
          <w:szCs w:val="26"/>
        </w:rPr>
        <w:t>In a legitimate lead-lag study, there would need to be recognition of the lag in income tax payments, which are required to be made quarterly</w:t>
      </w:r>
      <w:r w:rsidR="00080F38" w:rsidRPr="009E5D8E">
        <w:rPr>
          <w:rFonts w:ascii="Times New Roman" w:hAnsi="Times New Roman" w:cs="Times New Roman"/>
          <w:sz w:val="26"/>
          <w:szCs w:val="26"/>
        </w:rPr>
        <w:t xml:space="preserve">.  </w:t>
      </w:r>
      <w:r w:rsidRPr="009E5D8E">
        <w:rPr>
          <w:rFonts w:ascii="Times New Roman" w:hAnsi="Times New Roman" w:cs="Times New Roman"/>
          <w:sz w:val="26"/>
          <w:szCs w:val="26"/>
        </w:rPr>
        <w:t>Because AEP Ohio has failed to prove that it has a cash working capital requirement, a zero allowance should be used.</w:t>
      </w:r>
      <w:r w:rsidR="00957293" w:rsidRPr="009E5D8E">
        <w:rPr>
          <w:rFonts w:ascii="Times New Roman" w:hAnsi="Times New Roman" w:cs="Times New Roman"/>
          <w:sz w:val="26"/>
          <w:szCs w:val="26"/>
        </w:rPr>
        <w:t xml:space="preserve">  </w:t>
      </w:r>
      <w:r w:rsidRPr="009E5D8E">
        <w:rPr>
          <w:rFonts w:ascii="Times New Roman" w:hAnsi="Times New Roman" w:cs="Times New Roman"/>
          <w:sz w:val="26"/>
          <w:szCs w:val="26"/>
        </w:rPr>
        <w:t>In the absence of a reliable lead-lag study, the presumption should be that there is a zero CWC requirement, and the CWC allowance should be set at zero</w:t>
      </w:r>
      <w:r w:rsidR="00080F38" w:rsidRPr="009E5D8E">
        <w:rPr>
          <w:rFonts w:ascii="Times New Roman" w:hAnsi="Times New Roman" w:cs="Times New Roman"/>
          <w:sz w:val="26"/>
          <w:szCs w:val="26"/>
        </w:rPr>
        <w:t xml:space="preserve">.  </w:t>
      </w:r>
      <w:r w:rsidRPr="009E5D8E">
        <w:rPr>
          <w:rFonts w:ascii="Times New Roman" w:hAnsi="Times New Roman" w:cs="Times New Roman"/>
          <w:sz w:val="26"/>
          <w:szCs w:val="26"/>
        </w:rPr>
        <w:t>Setting the CWC allowance at zero thus places the burden of establishing and supporting with competent evidence any request for a positive CWC allowance where it belongs, on the utility that is requesting the allowance</w:t>
      </w:r>
      <w:r w:rsidR="00080F38" w:rsidRPr="009E5D8E">
        <w:rPr>
          <w:rFonts w:ascii="Times New Roman" w:hAnsi="Times New Roman" w:cs="Times New Roman"/>
          <w:sz w:val="26"/>
          <w:szCs w:val="26"/>
        </w:rPr>
        <w:t xml:space="preserve">.  </w:t>
      </w:r>
      <w:r w:rsidRPr="009E5D8E">
        <w:rPr>
          <w:rFonts w:ascii="Times New Roman" w:hAnsi="Times New Roman" w:cs="Times New Roman"/>
          <w:sz w:val="26"/>
          <w:szCs w:val="26"/>
        </w:rPr>
        <w:t>Setting the CWC allowance presumptively at zero for determining a utility's revenue requirement thus also places the burden of establishing the amount of a neg</w:t>
      </w:r>
      <w:r w:rsidR="009E0AA6">
        <w:rPr>
          <w:rFonts w:ascii="Times New Roman" w:hAnsi="Times New Roman" w:cs="Times New Roman"/>
          <w:sz w:val="26"/>
          <w:szCs w:val="26"/>
        </w:rPr>
        <w:softHyphen/>
      </w:r>
      <w:r w:rsidRPr="009E5D8E">
        <w:rPr>
          <w:rFonts w:ascii="Times New Roman" w:hAnsi="Times New Roman" w:cs="Times New Roman"/>
          <w:sz w:val="26"/>
          <w:szCs w:val="26"/>
        </w:rPr>
        <w:t>ative CWC amount on the party advocating the use of a negative CWC allowance for ratemaking purposes.</w:t>
      </w:r>
      <w:r w:rsidR="00F07730" w:rsidRPr="005D1EE8">
        <w:rPr>
          <w:rStyle w:val="FootnoteReference"/>
          <w:rFonts w:ascii="Times New Roman" w:hAnsi="Times New Roman" w:cs="Times New Roman"/>
          <w:sz w:val="26"/>
          <w:szCs w:val="26"/>
        </w:rPr>
        <w:footnoteReference w:id="39"/>
      </w:r>
    </w:p>
    <w:p w:rsidR="00F1097F" w:rsidRPr="005D1EE8" w:rsidRDefault="009E5D8E" w:rsidP="000D1941">
      <w:pPr>
        <w:pStyle w:val="textstyle"/>
      </w:pPr>
      <w:r>
        <w:tab/>
      </w:r>
      <w:r w:rsidR="00F1097F" w:rsidRPr="005D1EE8">
        <w:t>Based on the above-noted information and conceptual concerns regardi</w:t>
      </w:r>
      <w:r w:rsidR="00957293" w:rsidRPr="005D1EE8">
        <w:t xml:space="preserve">ng the use of a formula method </w:t>
      </w:r>
      <w:r w:rsidR="00F1097F" w:rsidRPr="005D1EE8">
        <w:t xml:space="preserve">rather than a properly prepared lead-lag </w:t>
      </w:r>
      <w:r w:rsidR="00957293" w:rsidRPr="005D1EE8">
        <w:t>study</w:t>
      </w:r>
      <w:r w:rsidR="00F1097F" w:rsidRPr="005D1EE8">
        <w:t>, the</w:t>
      </w:r>
      <w:r w:rsidR="00957293" w:rsidRPr="005D1EE8">
        <w:t xml:space="preserve"> CWC</w:t>
      </w:r>
      <w:r w:rsidR="00F1097F" w:rsidRPr="005D1EE8">
        <w:t xml:space="preserve"> request by AEP Ohio</w:t>
      </w:r>
      <w:r w:rsidR="00957293" w:rsidRPr="005D1EE8">
        <w:t xml:space="preserve"> must be</w:t>
      </w:r>
      <w:r w:rsidR="00F1097F" w:rsidRPr="005D1EE8">
        <w:t xml:space="preserve"> removed from rate base.</w:t>
      </w:r>
    </w:p>
    <w:p w:rsidR="007712F1" w:rsidRPr="005D1EE8" w:rsidRDefault="007712F1" w:rsidP="0067532B">
      <w:pPr>
        <w:pStyle w:val="Heading4"/>
        <w:rPr>
          <w:rFonts w:eastAsia="Times New Roman"/>
        </w:rPr>
      </w:pPr>
      <w:bookmarkStart w:id="15" w:name="_Toc325543197"/>
      <w:r w:rsidRPr="005D1EE8">
        <w:t>P</w:t>
      </w:r>
      <w:r w:rsidR="0076541A" w:rsidRPr="005D1EE8">
        <w:t>repayments</w:t>
      </w:r>
      <w:bookmarkEnd w:id="15"/>
      <w:r w:rsidR="0076541A" w:rsidRPr="005D1EE8">
        <w:t xml:space="preserve"> </w:t>
      </w:r>
    </w:p>
    <w:p w:rsidR="00E47BD6" w:rsidRPr="005D1EE8" w:rsidRDefault="00E47BD6" w:rsidP="000D1941">
      <w:pPr>
        <w:pStyle w:val="textstyle"/>
      </w:pPr>
      <w:r w:rsidRPr="005D1EE8">
        <w:tab/>
      </w:r>
      <w:r w:rsidR="007D28AF">
        <w:t>Again, w</w:t>
      </w:r>
      <w:r w:rsidR="00EB707E" w:rsidRPr="005D1EE8">
        <w:t xml:space="preserve">ithout a properly prepared lead-lag study, no prepayments should be included in rate base.  </w:t>
      </w:r>
      <w:r w:rsidRPr="005D1EE8">
        <w:t>AEP</w:t>
      </w:r>
      <w:r w:rsidR="009A78EE">
        <w:t xml:space="preserve"> Ohio</w:t>
      </w:r>
      <w:r w:rsidRPr="005D1EE8">
        <w:t xml:space="preserve"> has </w:t>
      </w:r>
      <w:r w:rsidR="00EB707E" w:rsidRPr="005D1EE8">
        <w:t>proposed to include</w:t>
      </w:r>
      <w:r w:rsidRPr="005D1EE8">
        <w:t xml:space="preserve"> in generation demand rate base two items of prepayments: (1) non-labor prepayments of $4.488 million for CSP and $2.045 million for OPCo and (2) labor related prepayments consisting of prepaid pen</w:t>
      </w:r>
      <w:r w:rsidR="009E0AA6">
        <w:softHyphen/>
      </w:r>
      <w:r w:rsidRPr="005D1EE8">
        <w:t>sions of $37.952 million for CSP and $73.653 million for OPCo.</w:t>
      </w:r>
      <w:r w:rsidR="00A264C3" w:rsidRPr="005D1EE8">
        <w:rPr>
          <w:rStyle w:val="FootnoteReference"/>
        </w:rPr>
        <w:footnoteReference w:id="40"/>
      </w:r>
      <w:r w:rsidR="00EB707E" w:rsidRPr="005D1EE8">
        <w:t xml:space="preserve">  This is improper.</w:t>
      </w:r>
      <w:r w:rsidRPr="005D1EE8">
        <w:t xml:space="preserve">  </w:t>
      </w:r>
    </w:p>
    <w:p w:rsidR="00E47BD6" w:rsidRPr="005D1EE8" w:rsidRDefault="002317C4" w:rsidP="000D1941">
      <w:pPr>
        <w:pStyle w:val="textstyle"/>
        <w:rPr>
          <w:b/>
        </w:rPr>
      </w:pPr>
      <w:r w:rsidRPr="005D1EE8">
        <w:lastRenderedPageBreak/>
        <w:tab/>
      </w:r>
      <w:r w:rsidR="00E47BD6" w:rsidRPr="005D1EE8">
        <w:t>In the Staff Reports in CSP’s and OPCo’s last distributi</w:t>
      </w:r>
      <w:r w:rsidR="00A264C3" w:rsidRPr="005D1EE8">
        <w:t>on rate cases</w:t>
      </w:r>
      <w:r w:rsidRPr="005D1EE8">
        <w:rPr>
          <w:rStyle w:val="FootnoteReference"/>
        </w:rPr>
        <w:footnoteReference w:id="41"/>
      </w:r>
      <w:r w:rsidR="00A264C3" w:rsidRPr="005D1EE8">
        <w:t>,</w:t>
      </w:r>
      <w:r w:rsidR="00E47BD6" w:rsidRPr="005D1EE8">
        <w:t xml:space="preserve"> Staff removed Working Capital including the 13-month balances requested by AEP</w:t>
      </w:r>
      <w:r w:rsidR="009A78EE">
        <w:t xml:space="preserve"> Ohio</w:t>
      </w:r>
      <w:r w:rsidR="00E47BD6" w:rsidRPr="005D1EE8">
        <w:t xml:space="preserve"> for materials and supplies, uncollectibles and prepayments, but Staff increased rate base to recognize a prepaid pension asset.</w:t>
      </w:r>
      <w:r w:rsidRPr="005D1EE8">
        <w:rPr>
          <w:rStyle w:val="FootnoteReference"/>
        </w:rPr>
        <w:footnoteReference w:id="42"/>
      </w:r>
      <w:r w:rsidR="00E47BD6" w:rsidRPr="005D1EE8">
        <w:t xml:space="preserve">  To determine AEP</w:t>
      </w:r>
      <w:r w:rsidR="009A78EE">
        <w:t xml:space="preserve"> Ohio</w:t>
      </w:r>
      <w:r w:rsidR="00E47BD6" w:rsidRPr="005D1EE8">
        <w:t>’s capacity rates,</w:t>
      </w:r>
      <w:r w:rsidRPr="005D1EE8">
        <w:t xml:space="preserve"> Staff </w:t>
      </w:r>
      <w:r w:rsidR="00661F0C">
        <w:t>w</w:t>
      </w:r>
      <w:r w:rsidRPr="005D1EE8">
        <w:t>it</w:t>
      </w:r>
      <w:r w:rsidR="009E0AA6">
        <w:softHyphen/>
      </w:r>
      <w:r w:rsidRPr="005D1EE8">
        <w:t>ness Smith</w:t>
      </w:r>
      <w:r w:rsidR="00E47BD6" w:rsidRPr="005D1EE8">
        <w:t xml:space="preserve"> removed the one-eighth formula based Company request for</w:t>
      </w:r>
      <w:r w:rsidRPr="005D1EE8">
        <w:t xml:space="preserve"> </w:t>
      </w:r>
      <w:proofErr w:type="spellStart"/>
      <w:r w:rsidRPr="005D1EE8">
        <w:t>CWC</w:t>
      </w:r>
      <w:proofErr w:type="spellEnd"/>
      <w:r w:rsidR="00E47BD6" w:rsidRPr="005D1EE8">
        <w:t xml:space="preserve"> and removed prepayments including the prepaid </w:t>
      </w:r>
      <w:r w:rsidRPr="005D1EE8">
        <w:t xml:space="preserve">pension asset.  </w:t>
      </w:r>
      <w:r w:rsidR="00E47BD6" w:rsidRPr="005D1EE8">
        <w:t xml:space="preserve"> </w:t>
      </w:r>
    </w:p>
    <w:p w:rsidR="00E47BD6" w:rsidRPr="005D1EE8" w:rsidRDefault="002317C4" w:rsidP="009E5D8E">
      <w:pPr>
        <w:pStyle w:val="Heading5"/>
      </w:pPr>
      <w:bookmarkStart w:id="16" w:name="_Toc325543198"/>
      <w:r w:rsidRPr="005D1EE8">
        <w:t>P</w:t>
      </w:r>
      <w:r w:rsidR="00E47BD6" w:rsidRPr="005D1EE8">
        <w:t xml:space="preserve">ension </w:t>
      </w:r>
      <w:r w:rsidRPr="005D1EE8">
        <w:t>A</w:t>
      </w:r>
      <w:r w:rsidR="00E47BD6" w:rsidRPr="005D1EE8">
        <w:t>sset</w:t>
      </w:r>
      <w:bookmarkEnd w:id="16"/>
      <w:r w:rsidR="00E47BD6" w:rsidRPr="005D1EE8">
        <w:t xml:space="preserve"> </w:t>
      </w:r>
    </w:p>
    <w:p w:rsidR="00F919A9" w:rsidRDefault="002317C4" w:rsidP="000D1941">
      <w:pPr>
        <w:pStyle w:val="textstyle"/>
      </w:pPr>
      <w:r w:rsidRPr="005D1EE8">
        <w:tab/>
      </w:r>
      <w:r w:rsidR="00871BA8" w:rsidRPr="005D1EE8">
        <w:t>Inclusion of AEP</w:t>
      </w:r>
      <w:r w:rsidR="009A78EE">
        <w:t xml:space="preserve"> Ohio</w:t>
      </w:r>
      <w:r w:rsidR="00871BA8" w:rsidRPr="005D1EE8">
        <w:t>’s</w:t>
      </w:r>
      <w:r w:rsidR="00EB707E" w:rsidRPr="005D1EE8">
        <w:t xml:space="preserve"> proposed labor related prepayments consisting of prepaid pensions is improper because:  (1) </w:t>
      </w:r>
      <w:r w:rsidR="00E47BD6" w:rsidRPr="005D1EE8">
        <w:t>AEP</w:t>
      </w:r>
      <w:r w:rsidR="009A78EE">
        <w:t xml:space="preserve"> Ohio</w:t>
      </w:r>
      <w:r w:rsidR="00871BA8" w:rsidRPr="005D1EE8">
        <w:t xml:space="preserve"> fails</w:t>
      </w:r>
      <w:r w:rsidR="00E47BD6" w:rsidRPr="005D1EE8">
        <w:t xml:space="preserve"> to demonstrate that</w:t>
      </w:r>
      <w:r w:rsidR="00EB707E" w:rsidRPr="005D1EE8">
        <w:t xml:space="preserve"> it</w:t>
      </w:r>
      <w:r w:rsidR="00E47BD6" w:rsidRPr="005D1EE8">
        <w:t xml:space="preserve"> has a net prepaid pension asset, and information reported in the 2010 FERC Form 1 concerning pension funding status suggest there is a net liability; (2) pension funding levels are the result of discretionary AEP</w:t>
      </w:r>
      <w:r w:rsidR="009A78EE">
        <w:t xml:space="preserve"> Ohio</w:t>
      </w:r>
      <w:r w:rsidR="00E47BD6" w:rsidRPr="005D1EE8">
        <w:t xml:space="preserve"> management decisions concerning the funding of defined benefit pensions</w:t>
      </w:r>
      <w:r w:rsidR="00871BA8" w:rsidRPr="005D1EE8">
        <w:t>;</w:t>
      </w:r>
      <w:r w:rsidR="00E47BD6" w:rsidRPr="005D1EE8">
        <w:t xml:space="preserve"> and (3) pension expense would typically be included in the determination of</w:t>
      </w:r>
      <w:r w:rsidR="00EB707E" w:rsidRPr="005D1EE8">
        <w:t xml:space="preserve"> CWC</w:t>
      </w:r>
      <w:r w:rsidR="00E47BD6" w:rsidRPr="005D1EE8">
        <w:t xml:space="preserve"> in a lead lag study.</w:t>
      </w:r>
    </w:p>
    <w:p w:rsidR="009B184C" w:rsidRPr="005D1EE8" w:rsidRDefault="009B184C" w:rsidP="009E5D8E"/>
    <w:p w:rsidR="00E47BD6" w:rsidRPr="005D1EE8" w:rsidRDefault="00F919A9" w:rsidP="009E5D8E">
      <w:pPr>
        <w:pStyle w:val="Heading6"/>
      </w:pPr>
      <w:bookmarkStart w:id="17" w:name="_Toc325543199"/>
      <w:r w:rsidRPr="005D1EE8">
        <w:lastRenderedPageBreak/>
        <w:t>FERC Form 1 Data</w:t>
      </w:r>
      <w:bookmarkEnd w:id="17"/>
      <w:r w:rsidR="00E47BD6" w:rsidRPr="005D1EE8">
        <w:t xml:space="preserve">  </w:t>
      </w:r>
    </w:p>
    <w:p w:rsidR="00E47BD6" w:rsidRPr="005D1EE8" w:rsidRDefault="00EB707E" w:rsidP="000D1941">
      <w:pPr>
        <w:pStyle w:val="textstyle"/>
      </w:pPr>
      <w:r w:rsidRPr="005D1EE8">
        <w:tab/>
      </w:r>
      <w:r w:rsidR="006E2B6C">
        <w:t>AEP Ohio’s</w:t>
      </w:r>
      <w:r w:rsidR="00FD1107" w:rsidRPr="005D1EE8">
        <w:rPr>
          <w:caps/>
        </w:rPr>
        <w:t xml:space="preserve"> </w:t>
      </w:r>
      <w:r w:rsidR="00E47BD6" w:rsidRPr="005D1EE8">
        <w:t>FERC Form 1 for 2010</w:t>
      </w:r>
      <w:r w:rsidRPr="005D1EE8">
        <w:rPr>
          <w:rStyle w:val="FootnoteReference"/>
        </w:rPr>
        <w:footnoteReference w:id="43"/>
      </w:r>
      <w:r w:rsidR="00FD1107" w:rsidRPr="005D1EE8">
        <w:t xml:space="preserve"> shows the</w:t>
      </w:r>
      <w:r w:rsidR="00E47BD6" w:rsidRPr="005D1EE8">
        <w:t xml:space="preserve"> funded status of the defined bene</w:t>
      </w:r>
      <w:r w:rsidR="009E0AA6">
        <w:softHyphen/>
      </w:r>
      <w:r w:rsidR="00E47BD6" w:rsidRPr="005D1EE8">
        <w:t>fit pension plans.  For CSP, the FERC Form 1 reports pension plan benefit obligations of $349.8 million at December 31, 2010 and pension plan assets of $277.3 million, for a net underfunded status at December 31, 2010 of $72.5 million.  The FERC Form 1 also shows this net amount of $72.5 mill</w:t>
      </w:r>
      <w:r w:rsidR="00FD1107" w:rsidRPr="005D1EE8">
        <w:t xml:space="preserve">ion as a long-term liability.  Staff </w:t>
      </w:r>
      <w:r w:rsidR="00661F0C">
        <w:t>w</w:t>
      </w:r>
      <w:r w:rsidR="00FD1107" w:rsidRPr="005D1EE8">
        <w:t xml:space="preserve">itness Smith stated that:  </w:t>
      </w:r>
    </w:p>
    <w:p w:rsidR="00E47BD6" w:rsidRPr="005D1EE8" w:rsidRDefault="00E47BD6" w:rsidP="009E5D8E">
      <w:pPr>
        <w:pStyle w:val="Blockquote"/>
      </w:pPr>
      <w:r w:rsidRPr="005D1EE8">
        <w:t>For OPCo, the FERC Form 1 reports pension plan benefit obligations of $629.9 million at December 31, 2010 and pen</w:t>
      </w:r>
      <w:r w:rsidR="009E0AA6">
        <w:softHyphen/>
      </w:r>
      <w:r w:rsidRPr="005D1EE8">
        <w:t xml:space="preserve">sion plan assets of $518.7 million, for a net underfunded status at December 31, 2010 of $111.2 million.  OPCo’s 2010 FERC Form 1 on page 123.33 also shows this net amount of $111.2 million as a long-term liability.  </w:t>
      </w:r>
    </w:p>
    <w:p w:rsidR="00E47BD6" w:rsidRPr="005D1EE8" w:rsidRDefault="00E47BD6" w:rsidP="009E5D8E">
      <w:pPr>
        <w:pStyle w:val="Blockquote"/>
      </w:pPr>
      <w:r w:rsidRPr="005D1EE8">
        <w:t xml:space="preserve">The defined benefit pension plans for CSP and </w:t>
      </w:r>
      <w:proofErr w:type="spellStart"/>
      <w:r w:rsidRPr="005D1EE8">
        <w:t>OPCo</w:t>
      </w:r>
      <w:proofErr w:type="spellEnd"/>
      <w:r w:rsidRPr="005D1EE8">
        <w:t>, as reported in the 2010 FERC Form 1 on pages 123.32 and 123.33, thus show pension plan obligations in excess of pen</w:t>
      </w:r>
      <w:r w:rsidR="009E0AA6">
        <w:softHyphen/>
      </w:r>
      <w:r w:rsidRPr="005D1EE8">
        <w:t xml:space="preserve">sion assets, and show a net long-term pension </w:t>
      </w:r>
      <w:r w:rsidRPr="009E5D8E">
        <w:rPr>
          <w:i/>
        </w:rPr>
        <w:t>liability</w:t>
      </w:r>
      <w:r w:rsidRPr="005D1EE8">
        <w:t xml:space="preserve"> for both companies.  The reporting of a significant long-term pension </w:t>
      </w:r>
      <w:r w:rsidRPr="009E5D8E">
        <w:rPr>
          <w:i/>
        </w:rPr>
        <w:t>liability</w:t>
      </w:r>
      <w:r w:rsidRPr="005D1EE8">
        <w:t xml:space="preserve"> at December 31, 2010 for each company contradicts the Companies' proposal to include a pension asset amount in rate base.</w:t>
      </w:r>
      <w:r w:rsidR="00F919A9" w:rsidRPr="005D1EE8">
        <w:rPr>
          <w:rStyle w:val="FootnoteReference"/>
        </w:rPr>
        <w:footnoteReference w:id="44"/>
      </w:r>
    </w:p>
    <w:p w:rsidR="00F919A9" w:rsidRPr="005D1EE8" w:rsidRDefault="00F919A9" w:rsidP="000D1941">
      <w:pPr>
        <w:pStyle w:val="textstyle"/>
      </w:pPr>
      <w:r w:rsidRPr="005D1EE8">
        <w:t>The 2010 FERC Form 1 concerning pension funding status suggest there is a net liability and , therefore, AEP</w:t>
      </w:r>
      <w:r w:rsidR="006E2B6C">
        <w:t xml:space="preserve"> Ohio</w:t>
      </w:r>
      <w:r w:rsidRPr="005D1EE8">
        <w:t xml:space="preserve"> failed to demonstrate that it has a net prepaid pension asset. </w:t>
      </w:r>
    </w:p>
    <w:p w:rsidR="00FB7AF8" w:rsidRPr="005D1EE8" w:rsidRDefault="00F919A9" w:rsidP="000D1941">
      <w:pPr>
        <w:pStyle w:val="textstyle"/>
      </w:pPr>
      <w:r w:rsidRPr="005D1EE8">
        <w:tab/>
        <w:t>Furthermore, t</w:t>
      </w:r>
      <w:r w:rsidR="00E47BD6" w:rsidRPr="005D1EE8">
        <w:t>he inclusion in generation capacity rate base of AEP Ohio’s pro</w:t>
      </w:r>
      <w:r w:rsidR="009E0AA6">
        <w:softHyphen/>
      </w:r>
      <w:r w:rsidR="00E47BD6" w:rsidRPr="005D1EE8">
        <w:t>posed pension asset provide</w:t>
      </w:r>
      <w:r w:rsidRPr="005D1EE8">
        <w:t>s</w:t>
      </w:r>
      <w:r w:rsidR="00E47BD6" w:rsidRPr="005D1EE8">
        <w:t xml:space="preserve"> a disincentive for making reasonable reforms</w:t>
      </w:r>
      <w:r w:rsidRPr="005D1EE8">
        <w:t xml:space="preserve"> to the Com</w:t>
      </w:r>
      <w:r w:rsidR="009E0AA6">
        <w:softHyphen/>
      </w:r>
      <w:r w:rsidRPr="005D1EE8">
        <w:lastRenderedPageBreak/>
        <w:t>pany’s pension plans.</w:t>
      </w:r>
      <w:r w:rsidRPr="005D1EE8">
        <w:rPr>
          <w:rStyle w:val="FootnoteReference"/>
        </w:rPr>
        <w:footnoteReference w:id="45"/>
      </w:r>
      <w:r w:rsidRPr="005D1EE8">
        <w:t xml:space="preserve">  </w:t>
      </w:r>
      <w:r w:rsidR="00E47BD6" w:rsidRPr="005D1EE8">
        <w:t>Factors such as worker mobility, the ERISA and other compli</w:t>
      </w:r>
      <w:r w:rsidR="009E0AA6">
        <w:softHyphen/>
      </w:r>
      <w:r w:rsidR="00E47BD6" w:rsidRPr="005D1EE8">
        <w:t>ance and reporting requirements, and the increased costs of defined benefit pension plans in recent years have hastened their decline, and there is a discernible trend away from such plans.</w:t>
      </w:r>
      <w:r w:rsidRPr="005D1EE8">
        <w:rPr>
          <w:rStyle w:val="FootnoteReference"/>
        </w:rPr>
        <w:footnoteReference w:id="46"/>
      </w:r>
      <w:r w:rsidR="00E47BD6" w:rsidRPr="005D1EE8">
        <w:t xml:space="preserve">  Providing what essentially would amount to a guaranteed return on a pen</w:t>
      </w:r>
      <w:r w:rsidR="009E0AA6">
        <w:softHyphen/>
      </w:r>
      <w:r w:rsidR="00E47BD6" w:rsidRPr="005D1EE8">
        <w:t>sion asset could deter the Company from making reforms to its pension plans that would reduce cost, as many companies are doing.</w:t>
      </w:r>
      <w:r w:rsidRPr="005D1EE8">
        <w:rPr>
          <w:rStyle w:val="FootnoteReference"/>
        </w:rPr>
        <w:footnoteReference w:id="47"/>
      </w:r>
      <w:r w:rsidRPr="005D1EE8">
        <w:t xml:space="preserve">  Staff </w:t>
      </w:r>
      <w:r w:rsidR="00661F0C">
        <w:t>w</w:t>
      </w:r>
      <w:r w:rsidRPr="005D1EE8">
        <w:t>itness Smith also provided a plethora of evidence that utilities are trending away from defined benefit plans.</w:t>
      </w:r>
      <w:r w:rsidRPr="005D1EE8">
        <w:rPr>
          <w:rStyle w:val="FootnoteReference"/>
        </w:rPr>
        <w:footnoteReference w:id="48"/>
      </w:r>
    </w:p>
    <w:p w:rsidR="00FB7AF8" w:rsidRPr="005D1EE8" w:rsidRDefault="00FB7AF8" w:rsidP="009E5D8E">
      <w:pPr>
        <w:pStyle w:val="Heading6"/>
      </w:pPr>
      <w:bookmarkStart w:id="18" w:name="_Toc325543200"/>
      <w:r w:rsidRPr="005D1EE8">
        <w:t>Discretionary Management Decision</w:t>
      </w:r>
      <w:bookmarkEnd w:id="18"/>
    </w:p>
    <w:p w:rsidR="00E47BD6" w:rsidRPr="005D1EE8" w:rsidRDefault="00FD1AA7" w:rsidP="000D1941">
      <w:pPr>
        <w:pStyle w:val="textstyle"/>
        <w:rPr>
          <w:b/>
        </w:rPr>
      </w:pPr>
      <w:r w:rsidRPr="005D1EE8">
        <w:tab/>
        <w:t>AEP</w:t>
      </w:r>
      <w:r w:rsidR="006E2B6C">
        <w:t xml:space="preserve"> Ohio’s</w:t>
      </w:r>
      <w:r w:rsidR="00FB7AF8" w:rsidRPr="005D1EE8">
        <w:rPr>
          <w:b/>
        </w:rPr>
        <w:t xml:space="preserve"> </w:t>
      </w:r>
      <w:r w:rsidRPr="005D1EE8">
        <w:t>management has</w:t>
      </w:r>
      <w:r w:rsidR="00E47BD6" w:rsidRPr="005D1EE8">
        <w:t xml:space="preserve"> wide latitude in determining how and when to fun</w:t>
      </w:r>
      <w:r w:rsidRPr="005D1EE8">
        <w:t>d defined benefit pension plans</w:t>
      </w:r>
      <w:r w:rsidR="008717CF" w:rsidRPr="005D1EE8">
        <w:t xml:space="preserve">.  </w:t>
      </w:r>
      <w:r w:rsidR="00E47BD6" w:rsidRPr="005D1EE8">
        <w:t>There is frequently a very large range between the mini</w:t>
      </w:r>
      <w:r w:rsidR="009E0AA6">
        <w:softHyphen/>
      </w:r>
      <w:r w:rsidR="00E47BD6" w:rsidRPr="005D1EE8">
        <w:t>mum funding required under ERISA and the maximum annual funding, which is typi</w:t>
      </w:r>
      <w:r w:rsidR="009E0AA6">
        <w:softHyphen/>
      </w:r>
      <w:r w:rsidR="00E47BD6" w:rsidRPr="005D1EE8">
        <w:t>cally limited by the maximum tax-deductible funding contribution limitations under the Internal Revenue Code.</w:t>
      </w:r>
      <w:r w:rsidR="00871BA8" w:rsidRPr="005D1EE8">
        <w:rPr>
          <w:rStyle w:val="FootnoteReference"/>
        </w:rPr>
        <w:footnoteReference w:id="49"/>
      </w:r>
      <w:r w:rsidRPr="005D1EE8">
        <w:rPr>
          <w:b/>
        </w:rPr>
        <w:t xml:space="preserve">  </w:t>
      </w:r>
      <w:r w:rsidRPr="005D1EE8">
        <w:t>Further,</w:t>
      </w:r>
      <w:r w:rsidR="00E47BD6" w:rsidRPr="005D1EE8">
        <w:t xml:space="preserve"> additional funds contributed into the pension trust would earn a return and the earned return would reduce future pension expense, other things being equal.</w:t>
      </w:r>
      <w:r w:rsidR="00871BA8" w:rsidRPr="005D1EE8">
        <w:rPr>
          <w:rStyle w:val="FootnoteReference"/>
        </w:rPr>
        <w:footnoteReference w:id="50"/>
      </w:r>
      <w:r w:rsidR="00E47BD6" w:rsidRPr="005D1EE8">
        <w:t xml:space="preserve">  </w:t>
      </w:r>
    </w:p>
    <w:p w:rsidR="009B184C" w:rsidRDefault="009B184C" w:rsidP="009E5D8E">
      <w:r>
        <w:br w:type="page"/>
      </w:r>
    </w:p>
    <w:p w:rsidR="00E47BD6" w:rsidRPr="005D1EE8" w:rsidRDefault="00BA6915" w:rsidP="000D1941">
      <w:pPr>
        <w:pStyle w:val="textstyle"/>
      </w:pPr>
      <w:r w:rsidRPr="005D1EE8">
        <w:lastRenderedPageBreak/>
        <w:tab/>
        <w:t>In comparing</w:t>
      </w:r>
      <w:r w:rsidR="00E47BD6" w:rsidRPr="005D1EE8">
        <w:t xml:space="preserve"> CSP’s and OPCo’s 2010 pension expense compare with </w:t>
      </w:r>
      <w:r w:rsidRPr="005D1EE8">
        <w:t>2009, the 2010</w:t>
      </w:r>
      <w:r w:rsidR="00E47BD6" w:rsidRPr="005D1EE8">
        <w:t xml:space="preserve"> FERC Form 1 for 2010 shows the net periodic pension cost recognized as expense for 2009 and 2010.  For CSP, the defined benefit pension expense increased from $1.788 million in 2009 to $3.939 million in 2010, an increase of $2.151 million or 120%. </w:t>
      </w:r>
      <w:r w:rsidRPr="005D1EE8">
        <w:t xml:space="preserve"> </w:t>
      </w:r>
      <w:r w:rsidR="00E47BD6" w:rsidRPr="005D1EE8">
        <w:t>For OPCo, the defined benefit pension expense increased from $1.788 million in 2009 to $3.939 million in 2010, an increase of $3.538 million or 67%, as summarized below</w:t>
      </w:r>
      <w:r w:rsidR="00F35EFA">
        <w:t>:</w:t>
      </w:r>
      <w:r w:rsidR="00871BA8" w:rsidRPr="00F35EFA">
        <w:rPr>
          <w:rStyle w:val="FootnoteReference"/>
        </w:rPr>
        <w:footnoteReference w:id="51"/>
      </w:r>
    </w:p>
    <w:p w:rsidR="00E47BD6" w:rsidRPr="005D1EE8" w:rsidRDefault="00E47BD6" w:rsidP="00F07730">
      <w:pPr>
        <w:jc w:val="center"/>
        <w:rPr>
          <w:sz w:val="26"/>
          <w:szCs w:val="26"/>
        </w:rPr>
      </w:pPr>
      <w:r w:rsidRPr="005D1EE8">
        <w:rPr>
          <w:noProof/>
          <w:sz w:val="26"/>
          <w:szCs w:val="26"/>
        </w:rPr>
        <w:drawing>
          <wp:inline distT="0" distB="0" distL="0" distR="0" wp14:anchorId="4E070285" wp14:editId="7DF890B0">
            <wp:extent cx="2415396" cy="14923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5757" cy="1504950"/>
                    </a:xfrm>
                    <a:prstGeom prst="rect">
                      <a:avLst/>
                    </a:prstGeom>
                    <a:noFill/>
                    <a:ln>
                      <a:noFill/>
                    </a:ln>
                  </pic:spPr>
                </pic:pic>
              </a:graphicData>
            </a:graphic>
          </wp:inline>
        </w:drawing>
      </w:r>
    </w:p>
    <w:p w:rsidR="00E47BD6" w:rsidRPr="005D1EE8" w:rsidRDefault="00E47BD6" w:rsidP="00F35EFA">
      <w:pPr>
        <w:pStyle w:val="textstyle"/>
      </w:pPr>
      <w:r w:rsidRPr="005D1EE8">
        <w:t>The increased 2010 defined benefit pension expense for CSP and OPCo have not been adjusted by Staff in determining AEP Ohio's revenue requirement for generating capac</w:t>
      </w:r>
      <w:r w:rsidR="009E0AA6">
        <w:softHyphen/>
      </w:r>
      <w:r w:rsidRPr="005D1EE8">
        <w:t>ity.</w:t>
      </w:r>
      <w:r w:rsidR="00871BA8" w:rsidRPr="00F35EFA">
        <w:rPr>
          <w:rStyle w:val="FootnoteReference"/>
        </w:rPr>
        <w:footnoteReference w:id="52"/>
      </w:r>
    </w:p>
    <w:p w:rsidR="00AD2F6F" w:rsidRPr="005D1EE8" w:rsidRDefault="00871BA8" w:rsidP="000D1941">
      <w:pPr>
        <w:pStyle w:val="textstyle"/>
      </w:pPr>
      <w:r w:rsidRPr="005D1EE8">
        <w:tab/>
        <w:t>Finally,</w:t>
      </w:r>
      <w:r w:rsidR="00E47BD6" w:rsidRPr="005D1EE8">
        <w:t xml:space="preserve"> the</w:t>
      </w:r>
      <w:r w:rsidRPr="005D1EE8">
        <w:t xml:space="preserve"> appropriateness of including</w:t>
      </w:r>
      <w:r w:rsidR="00E47BD6" w:rsidRPr="005D1EE8">
        <w:t xml:space="preserve"> a pension asset in utility rate base</w:t>
      </w:r>
      <w:r w:rsidRPr="005D1EE8">
        <w:t xml:space="preserve"> is</w:t>
      </w:r>
      <w:r w:rsidR="00E47BD6" w:rsidRPr="005D1EE8">
        <w:t xml:space="preserve"> differ</w:t>
      </w:r>
      <w:r w:rsidR="009E0AA6">
        <w:softHyphen/>
      </w:r>
      <w:r w:rsidR="00E47BD6" w:rsidRPr="005D1EE8">
        <w:t>ent for determining a capacity rate</w:t>
      </w:r>
      <w:r w:rsidRPr="005D1EE8">
        <w:t xml:space="preserve"> rather than general rates</w:t>
      </w:r>
      <w:r w:rsidR="00E47BD6" w:rsidRPr="005D1EE8">
        <w:t xml:space="preserve"> for</w:t>
      </w:r>
      <w:r w:rsidRPr="005D1EE8">
        <w:t xml:space="preserve"> an</w:t>
      </w:r>
      <w:r w:rsidR="00E47BD6" w:rsidRPr="005D1EE8">
        <w:t xml:space="preserve"> electr</w:t>
      </w:r>
      <w:r w:rsidRPr="005D1EE8">
        <w:t>ic distribu</w:t>
      </w:r>
      <w:r w:rsidR="009E0AA6">
        <w:softHyphen/>
      </w:r>
      <w:r w:rsidRPr="005D1EE8">
        <w:t>tion utility service.</w:t>
      </w:r>
      <w:r w:rsidR="00AD2F6F" w:rsidRPr="00F35EFA">
        <w:rPr>
          <w:rStyle w:val="FootnoteReference"/>
        </w:rPr>
        <w:footnoteReference w:id="53"/>
      </w:r>
      <w:r w:rsidR="00746444" w:rsidRPr="005D1EE8">
        <w:t xml:space="preserve">  Staff </w:t>
      </w:r>
      <w:r w:rsidR="00661F0C">
        <w:t>w</w:t>
      </w:r>
      <w:r w:rsidR="00746444" w:rsidRPr="005D1EE8">
        <w:t>itness Smith stated:</w:t>
      </w:r>
    </w:p>
    <w:p w:rsidR="009B184C" w:rsidRDefault="009B184C" w:rsidP="009E5D8E">
      <w:pPr>
        <w:pStyle w:val="Blockquote"/>
      </w:pPr>
      <w:r>
        <w:br w:type="page"/>
      </w:r>
    </w:p>
    <w:p w:rsidR="00AD2F6F" w:rsidRPr="005D1EE8" w:rsidRDefault="00871BA8" w:rsidP="009E5D8E">
      <w:pPr>
        <w:pStyle w:val="Blockquote"/>
      </w:pPr>
      <w:r w:rsidRPr="005D1EE8">
        <w:lastRenderedPageBreak/>
        <w:t>The situation with AEP</w:t>
      </w:r>
      <w:r w:rsidR="006E2B6C">
        <w:t xml:space="preserve"> [Ohio]</w:t>
      </w:r>
      <w:r w:rsidR="00E47BD6" w:rsidRPr="005D1EE8">
        <w:t>’s distribution function and its generation function in this respect are different in the aspect of whether potential future reductions to pension cost that could occur from increased pension funding would inure to ratepayers.  In</w:t>
      </w:r>
      <w:r w:rsidR="00AD2F6F" w:rsidRPr="005D1EE8">
        <w:t xml:space="preserve"> this case</w:t>
      </w:r>
      <w:r w:rsidR="00E47BD6" w:rsidRPr="005D1EE8">
        <w:t xml:space="preserve">, capacity rates are being developed for a relatively short time, i.e., until AEP Ohio’s generation is market priced. </w:t>
      </w:r>
      <w:r w:rsidR="00AD2F6F" w:rsidRPr="005D1EE8">
        <w:t xml:space="preserve"> </w:t>
      </w:r>
      <w:r w:rsidR="00E47BD6" w:rsidRPr="005D1EE8">
        <w:t>This is a different situation from AEP Ohio’s provision of distribution service, which has been and is expected to continue to be based on cost-based regulation.  Thus, the ratepayers paying the rates established in the cur</w:t>
      </w:r>
      <w:r w:rsidR="009E0AA6">
        <w:softHyphen/>
      </w:r>
      <w:r w:rsidR="00E47BD6" w:rsidRPr="005D1EE8">
        <w:t>rent case, i.e., the CRES providers, may not benefit over the long term from future reductions in AEP Ohio’s pension cost.</w:t>
      </w:r>
      <w:r w:rsidR="00746444" w:rsidRPr="005D1EE8">
        <w:rPr>
          <w:rStyle w:val="FootnoteReference"/>
          <w:b/>
        </w:rPr>
        <w:footnoteReference w:id="54"/>
      </w:r>
      <w:r w:rsidR="00E47BD6" w:rsidRPr="005D1EE8">
        <w:t xml:space="preserve">  </w:t>
      </w:r>
    </w:p>
    <w:p w:rsidR="00E47BD6" w:rsidRPr="005D1EE8" w:rsidRDefault="00E47BD6" w:rsidP="000D1941">
      <w:pPr>
        <w:pStyle w:val="textstyle"/>
      </w:pPr>
      <w:r w:rsidRPr="005D1EE8">
        <w:t>Thus, including a pension asset in rate base for purposes of establishing a capacity rate would not be appropriate.</w:t>
      </w:r>
      <w:r w:rsidR="007A2754" w:rsidRPr="005D1EE8">
        <w:t xml:space="preserve">  </w:t>
      </w:r>
    </w:p>
    <w:p w:rsidR="00E47BD6" w:rsidRPr="005D1EE8" w:rsidRDefault="00FD1AA7" w:rsidP="009E5D8E">
      <w:pPr>
        <w:pStyle w:val="Heading6"/>
      </w:pPr>
      <w:bookmarkStart w:id="19" w:name="_Toc325543201"/>
      <w:r w:rsidRPr="005D1EE8">
        <w:t>Lead-Lag Study</w:t>
      </w:r>
      <w:bookmarkEnd w:id="19"/>
    </w:p>
    <w:p w:rsidR="00D7665B" w:rsidRPr="005D1EE8" w:rsidRDefault="007A2754" w:rsidP="000D1941">
      <w:pPr>
        <w:pStyle w:val="textstyle"/>
      </w:pPr>
      <w:r w:rsidRPr="005D1EE8">
        <w:tab/>
      </w:r>
      <w:r w:rsidR="00E01D2B" w:rsidRPr="005D1EE8">
        <w:t xml:space="preserve">AEP </w:t>
      </w:r>
      <w:r w:rsidR="006E2B6C">
        <w:t xml:space="preserve">Ohio </w:t>
      </w:r>
      <w:r w:rsidR="00E01D2B" w:rsidRPr="005D1EE8">
        <w:t>has not presented a lead-lag study regarding pension</w:t>
      </w:r>
      <w:r w:rsidR="007D28AF">
        <w:t xml:space="preserve"> expense</w:t>
      </w:r>
      <w:r w:rsidR="008717CF" w:rsidRPr="005D1EE8">
        <w:t xml:space="preserve">.  </w:t>
      </w:r>
      <w:r w:rsidR="00E47BD6" w:rsidRPr="005D1EE8">
        <w:t xml:space="preserve">Pension </w:t>
      </w:r>
      <w:r w:rsidR="00E01D2B" w:rsidRPr="005D1EE8">
        <w:t>expense,</w:t>
      </w:r>
      <w:r w:rsidR="00E47BD6" w:rsidRPr="005D1EE8">
        <w:t xml:space="preserve"> associated with defined benefit pension plans and other types of retirement plans</w:t>
      </w:r>
      <w:r w:rsidR="00E01D2B" w:rsidRPr="005D1EE8">
        <w:t>,</w:t>
      </w:r>
      <w:r w:rsidR="00E47BD6" w:rsidRPr="005D1EE8">
        <w:t xml:space="preserve"> is typically reflected in a lead-lag study by applying a calculated payment lag to the amount of related pension expense that is included in the utility’s operating expenses.</w:t>
      </w:r>
      <w:r w:rsidR="00E01D2B" w:rsidRPr="005D1EE8">
        <w:rPr>
          <w:rStyle w:val="FootnoteReference"/>
          <w:b/>
        </w:rPr>
        <w:footnoteReference w:id="55"/>
      </w:r>
      <w:r w:rsidR="00E01D2B" w:rsidRPr="005D1EE8">
        <w:t xml:space="preserve">  </w:t>
      </w:r>
      <w:r w:rsidR="00E47BD6" w:rsidRPr="005D1EE8">
        <w:t>The lack of a lead-lag study to properly measure a working capital require</w:t>
      </w:r>
      <w:r w:rsidR="009E0AA6">
        <w:softHyphen/>
      </w:r>
      <w:r w:rsidR="00E47BD6" w:rsidRPr="005D1EE8">
        <w:t>ment is another reason for rejecting inclusion of a pension asset in</w:t>
      </w:r>
      <w:r w:rsidR="00E01D2B" w:rsidRPr="005D1EE8">
        <w:t xml:space="preserve"> AEP</w:t>
      </w:r>
      <w:r w:rsidR="006E2B6C">
        <w:t xml:space="preserve"> Ohio</w:t>
      </w:r>
      <w:r w:rsidR="00E01D2B" w:rsidRPr="005D1EE8">
        <w:t>’s</w:t>
      </w:r>
      <w:r w:rsidR="00E47BD6" w:rsidRPr="005D1EE8">
        <w:t xml:space="preserve"> rate base in the current case for purposes of determining a capacity rate.</w:t>
      </w:r>
      <w:r w:rsidR="00E01D2B" w:rsidRPr="005D1EE8">
        <w:t xml:space="preserve">  </w:t>
      </w:r>
    </w:p>
    <w:p w:rsidR="00044751" w:rsidRPr="005D1EE8" w:rsidRDefault="00044751" w:rsidP="000D1941">
      <w:pPr>
        <w:pStyle w:val="textstyle"/>
      </w:pPr>
      <w:r w:rsidRPr="005D1EE8">
        <w:tab/>
        <w:t>A lead-lag study was used recently by</w:t>
      </w:r>
      <w:r w:rsidR="00E47BD6" w:rsidRPr="005D1EE8">
        <w:t xml:space="preserve"> Appalachian Power Company (</w:t>
      </w:r>
      <w:r w:rsidR="00080F38">
        <w:t>“</w:t>
      </w:r>
      <w:r w:rsidR="00E47BD6" w:rsidRPr="005D1EE8">
        <w:t>APCO</w:t>
      </w:r>
      <w:r w:rsidR="00080F38">
        <w:t>”</w:t>
      </w:r>
      <w:r w:rsidR="00E47BD6" w:rsidRPr="005D1EE8">
        <w:t>)</w:t>
      </w:r>
      <w:r w:rsidR="00E01D2B" w:rsidRPr="005D1EE8">
        <w:t>,</w:t>
      </w:r>
      <w:r w:rsidR="00E47BD6" w:rsidRPr="005D1EE8">
        <w:t xml:space="preserve"> in Virginia State Corporation Commission Case No. PUE-2011-00037</w:t>
      </w:r>
      <w:r w:rsidR="00E01D2B" w:rsidRPr="005D1EE8">
        <w:t>,</w:t>
      </w:r>
      <w:r w:rsidR="00E47BD6" w:rsidRPr="005D1EE8">
        <w:t xml:space="preserve"> to determine the </w:t>
      </w:r>
      <w:r w:rsidR="00E47BD6" w:rsidRPr="005D1EE8">
        <w:lastRenderedPageBreak/>
        <w:t>allowance for</w:t>
      </w:r>
      <w:r w:rsidR="007D28AF">
        <w:t xml:space="preserve"> </w:t>
      </w:r>
      <w:proofErr w:type="spellStart"/>
      <w:r w:rsidR="007D28AF">
        <w:t>CWC</w:t>
      </w:r>
      <w:proofErr w:type="spellEnd"/>
      <w:r w:rsidR="00E47BD6" w:rsidRPr="005D1EE8">
        <w:t>, and pension expense was included in the expenses that were addressed in the study.  APCO’s detailed lead-lag study included a provision for cash working capital related to the net payment lag for labor costs, including pension and o</w:t>
      </w:r>
      <w:r w:rsidR="007205AA" w:rsidRPr="005D1EE8">
        <w:t>ther employee benefits.  In the Virginia Commission</w:t>
      </w:r>
      <w:r w:rsidR="00E47BD6" w:rsidRPr="005D1EE8">
        <w:t xml:space="preserve"> case,</w:t>
      </w:r>
      <w:r w:rsidRPr="005D1EE8">
        <w:t xml:space="preserve"> Staff </w:t>
      </w:r>
      <w:r w:rsidR="00661F0C">
        <w:t>w</w:t>
      </w:r>
      <w:r w:rsidRPr="005D1EE8">
        <w:t>itness Smith recommended:</w:t>
      </w:r>
    </w:p>
    <w:p w:rsidR="007205AA" w:rsidRPr="005D1EE8" w:rsidRDefault="00E47BD6" w:rsidP="009E5D8E">
      <w:pPr>
        <w:pStyle w:val="Blockquote"/>
      </w:pPr>
      <w:r w:rsidRPr="005D1EE8">
        <w:t>in addition to removing the prepaid pension from rate base, making a corresponding adjustment to provide interest on the average prepaid pension balance, net of related ADIT, at the commercial paper interest rate</w:t>
      </w:r>
      <w:r w:rsidR="008717CF" w:rsidRPr="005D1EE8">
        <w:t xml:space="preserve">.  </w:t>
      </w:r>
      <w:r w:rsidRPr="005D1EE8">
        <w:t>The allowance of financing costs on the net prepaid pension asset at the commercial paper rate addressed a source of financing for the prepaid pension asset.</w:t>
      </w:r>
      <w:r w:rsidRPr="005D1EE8">
        <w:rPr>
          <w:rStyle w:val="FootnoteReference"/>
          <w:b/>
        </w:rPr>
        <w:footnoteReference w:id="56"/>
      </w:r>
      <w:r w:rsidRPr="005D1EE8">
        <w:t xml:space="preserve">  The additional offsetting adjustment was intended to address concerns with respect to the relationship between pension expense in rate base and operating expenses, and to protect ratepayers from having their base rates for APCO’s electric service increased unnecessarily as a result of the AEP management decision to pre-fund future pension obligations.  </w:t>
      </w:r>
      <w:r w:rsidR="007205AA" w:rsidRPr="005D1EE8">
        <w:rPr>
          <w:rStyle w:val="FootnoteReference"/>
          <w:b/>
        </w:rPr>
        <w:footnoteReference w:id="57"/>
      </w:r>
    </w:p>
    <w:p w:rsidR="00E47BD6" w:rsidRPr="005D1EE8" w:rsidRDefault="007205AA" w:rsidP="000D1941">
      <w:pPr>
        <w:pStyle w:val="textstyle"/>
      </w:pPr>
      <w:r w:rsidRPr="005D1EE8">
        <w:tab/>
      </w:r>
      <w:r w:rsidR="00D36A5D">
        <w:t>Staff</w:t>
      </w:r>
      <w:r w:rsidR="00E47BD6" w:rsidRPr="005D1EE8">
        <w:t xml:space="preserve"> also noted that a similar regulatory treatment of applying a debt-based return on pension asset amounts had been applied by the Illinois Commerce Commission in a series of rate cases involving Commonwealth Edison Company (</w:t>
      </w:r>
      <w:r w:rsidR="00080F38">
        <w:t>“</w:t>
      </w:r>
      <w:r w:rsidR="00E47BD6" w:rsidRPr="005D1EE8">
        <w:t>ComEd</w:t>
      </w:r>
      <w:r w:rsidR="00080F38">
        <w:t>”</w:t>
      </w:r>
      <w:r w:rsidR="00E47BD6" w:rsidRPr="005D1EE8">
        <w:t>).</w:t>
      </w:r>
      <w:r w:rsidR="00D36A5D">
        <w:rPr>
          <w:rStyle w:val="FootnoteReference"/>
          <w:b/>
        </w:rPr>
        <w:footnoteReference w:id="58"/>
      </w:r>
      <w:r w:rsidR="007A2754" w:rsidRPr="005D1EE8">
        <w:t xml:space="preserve"> </w:t>
      </w:r>
    </w:p>
    <w:p w:rsidR="007712F1" w:rsidRPr="005D1EE8" w:rsidRDefault="007712F1" w:rsidP="0067532B">
      <w:pPr>
        <w:pStyle w:val="Heading4"/>
        <w:rPr>
          <w:rFonts w:eastAsia="Times New Roman"/>
        </w:rPr>
      </w:pPr>
      <w:bookmarkStart w:id="20" w:name="_Toc325543202"/>
      <w:r w:rsidRPr="005D1EE8">
        <w:t>A</w:t>
      </w:r>
      <w:r w:rsidR="0076541A" w:rsidRPr="005D1EE8">
        <w:t>c</w:t>
      </w:r>
      <w:r w:rsidRPr="005D1EE8">
        <w:t>cumulated Deferred Income T</w:t>
      </w:r>
      <w:r w:rsidR="0076541A" w:rsidRPr="005D1EE8">
        <w:t>axes</w:t>
      </w:r>
      <w:bookmarkEnd w:id="20"/>
      <w:r w:rsidRPr="005D1EE8">
        <w:t xml:space="preserve"> </w:t>
      </w:r>
    </w:p>
    <w:p w:rsidR="004B7AFB" w:rsidRPr="005D1EE8" w:rsidRDefault="009E5D8E" w:rsidP="000D1941">
      <w:pPr>
        <w:pStyle w:val="textstyle"/>
        <w:rPr>
          <w:b/>
        </w:rPr>
      </w:pPr>
      <w:r>
        <w:tab/>
      </w:r>
      <w:r w:rsidR="004B7AFB" w:rsidRPr="005D1EE8">
        <w:t>The Accumulated Deferred Income Taxes (</w:t>
      </w:r>
      <w:r w:rsidR="00080F38">
        <w:t>“</w:t>
      </w:r>
      <w:r w:rsidR="004B7AFB" w:rsidRPr="005D1EE8">
        <w:t>ADIT</w:t>
      </w:r>
      <w:r w:rsidR="007D28AF">
        <w:t>’</w:t>
      </w:r>
      <w:r w:rsidR="004B7AFB" w:rsidRPr="005D1EE8">
        <w:t>) rela</w:t>
      </w:r>
      <w:r w:rsidR="002F43F0" w:rsidRPr="005D1EE8">
        <w:t>ted to AEP</w:t>
      </w:r>
      <w:r w:rsidR="006E2B6C">
        <w:t xml:space="preserve"> Ohio</w:t>
      </w:r>
      <w:r w:rsidR="002F43F0" w:rsidRPr="005D1EE8">
        <w:t>’s pen</w:t>
      </w:r>
      <w:r w:rsidR="009E0AA6">
        <w:softHyphen/>
      </w:r>
      <w:r w:rsidR="002F43F0" w:rsidRPr="005D1EE8">
        <w:t>sion assets must be</w:t>
      </w:r>
      <w:r w:rsidR="004B7AFB" w:rsidRPr="005D1EE8">
        <w:t xml:space="preserve"> removed from AEP’s proposed generation demand rate base.  </w:t>
      </w:r>
      <w:r w:rsidR="00044751" w:rsidRPr="005D1EE8">
        <w:t>AEP</w:t>
      </w:r>
      <w:r w:rsidR="006E2B6C">
        <w:t xml:space="preserve"> Ohio</w:t>
      </w:r>
      <w:r w:rsidR="00044751" w:rsidRPr="005D1EE8">
        <w:t xml:space="preserve"> determine</w:t>
      </w:r>
      <w:r w:rsidR="004B7AFB" w:rsidRPr="005D1EE8">
        <w:t>d</w:t>
      </w:r>
      <w:r w:rsidR="00044751" w:rsidRPr="005D1EE8">
        <w:t xml:space="preserve"> its rat</w:t>
      </w:r>
      <w:r w:rsidR="004B7AFB" w:rsidRPr="005D1EE8">
        <w:t>e base offset for ADIT by</w:t>
      </w:r>
      <w:r w:rsidR="004B7AFB" w:rsidRPr="005D1EE8">
        <w:rPr>
          <w:b/>
        </w:rPr>
        <w:t xml:space="preserve"> </w:t>
      </w:r>
      <w:r w:rsidR="004B7AFB" w:rsidRPr="005D1EE8">
        <w:t>starting</w:t>
      </w:r>
      <w:r w:rsidR="00044751" w:rsidRPr="005D1EE8">
        <w:t xml:space="preserve"> with the components of its </w:t>
      </w:r>
      <w:r w:rsidR="00044751" w:rsidRPr="005D1EE8">
        <w:lastRenderedPageBreak/>
        <w:t xml:space="preserve">recorded balances of </w:t>
      </w:r>
      <w:proofErr w:type="spellStart"/>
      <w:r w:rsidR="00044751" w:rsidRPr="005D1EE8">
        <w:t>ADIT</w:t>
      </w:r>
      <w:proofErr w:type="spellEnd"/>
      <w:r w:rsidR="00044751" w:rsidRPr="005D1EE8">
        <w:t xml:space="preserve"> at December 31, 2010 and allocated them to the generation (demand) function.</w:t>
      </w:r>
      <w:r w:rsidR="004B7AFB" w:rsidRPr="005D1EE8">
        <w:t xml:space="preserve">  Staff’s</w:t>
      </w:r>
      <w:r w:rsidR="00044751" w:rsidRPr="005D1EE8">
        <w:t xml:space="preserve"> adjustments</w:t>
      </w:r>
      <w:r w:rsidR="004B7AFB" w:rsidRPr="005D1EE8">
        <w:t xml:space="preserve"> made for ADIT </w:t>
      </w:r>
      <w:r w:rsidR="00044751" w:rsidRPr="005D1EE8">
        <w:t>are shown on Schedule B-1 of Exhibit RCS-1 for</w:t>
      </w:r>
      <w:r w:rsidR="004B7AFB" w:rsidRPr="005D1EE8">
        <w:t xml:space="preserve"> CSP and Exhibit RCS-2 f</w:t>
      </w:r>
      <w:r w:rsidR="006B66CB">
        <w:t>or OPCo where Mr. Smith explained</w:t>
      </w:r>
      <w:r w:rsidR="004B7AFB" w:rsidRPr="005D1EE8">
        <w:t>:</w:t>
      </w:r>
      <w:r w:rsidR="00044751" w:rsidRPr="005D1EE8">
        <w:rPr>
          <w:b/>
        </w:rPr>
        <w:t xml:space="preserve">  </w:t>
      </w:r>
    </w:p>
    <w:p w:rsidR="002F43F0" w:rsidRPr="00EB37F1" w:rsidRDefault="007D4ACF" w:rsidP="009E5D8E">
      <w:pPr>
        <w:spacing w:line="240" w:lineRule="auto"/>
        <w:ind w:left="720" w:right="720"/>
        <w:rPr>
          <w:rFonts w:ascii="Times New Roman" w:hAnsi="Times New Roman" w:cs="Times New Roman"/>
          <w:sz w:val="26"/>
          <w:szCs w:val="26"/>
          <w:u w:val="single"/>
        </w:rPr>
      </w:pPr>
      <w:r w:rsidRPr="00EB37F1">
        <w:rPr>
          <w:rFonts w:ascii="Times New Roman" w:hAnsi="Times New Roman" w:cs="Times New Roman"/>
          <w:sz w:val="26"/>
          <w:szCs w:val="26"/>
          <w:u w:val="single"/>
        </w:rPr>
        <w:t>[</w:t>
      </w:r>
      <w:r w:rsidR="002F43F0" w:rsidRPr="00EB37F1">
        <w:rPr>
          <w:rFonts w:ascii="Times New Roman" w:hAnsi="Times New Roman" w:cs="Times New Roman"/>
          <w:sz w:val="26"/>
          <w:szCs w:val="26"/>
          <w:u w:val="single"/>
        </w:rPr>
        <w:t>ITC Credits</w:t>
      </w:r>
      <w:r w:rsidRPr="00EB37F1">
        <w:rPr>
          <w:rFonts w:ascii="Times New Roman" w:hAnsi="Times New Roman" w:cs="Times New Roman"/>
          <w:sz w:val="26"/>
          <w:szCs w:val="26"/>
          <w:u w:val="single"/>
        </w:rPr>
        <w:t>]</w:t>
      </w:r>
    </w:p>
    <w:p w:rsidR="002F43F0" w:rsidRPr="005D1EE8" w:rsidRDefault="002F43F0" w:rsidP="004B7AFB">
      <w:pPr>
        <w:spacing w:line="240" w:lineRule="auto"/>
        <w:ind w:left="720" w:right="720" w:hanging="720"/>
        <w:rPr>
          <w:b/>
        </w:rPr>
      </w:pPr>
    </w:p>
    <w:p w:rsidR="00044751" w:rsidRPr="005D1EE8" w:rsidRDefault="009E5D8E" w:rsidP="009E5D8E">
      <w:pPr>
        <w:pStyle w:val="Blockquote"/>
      </w:pPr>
      <w:r>
        <w:t xml:space="preserve">    </w:t>
      </w:r>
      <w:r w:rsidR="00044751" w:rsidRPr="005D1EE8">
        <w:t xml:space="preserve">Referring to Exhibit RCS-1, Schedule B-1, line 1, CSP had increased rate base for $5.228 million of ADIT in account 190 for a </w:t>
      </w:r>
      <w:r w:rsidR="00080F38">
        <w:t>“</w:t>
      </w:r>
      <w:r w:rsidR="00044751" w:rsidRPr="005D1EE8">
        <w:t>gross up</w:t>
      </w:r>
      <w:r w:rsidR="00080F38">
        <w:t>”</w:t>
      </w:r>
      <w:r w:rsidR="00044751" w:rsidRPr="005D1EE8">
        <w:t xml:space="preserve"> related to federal investment tax credits (</w:t>
      </w:r>
      <w:r w:rsidR="00080F38">
        <w:t>“</w:t>
      </w:r>
      <w:r w:rsidR="00044751" w:rsidRPr="005D1EE8">
        <w:t>ITC</w:t>
      </w:r>
      <w:r w:rsidR="00080F38">
        <w:t>”</w:t>
      </w:r>
      <w:r w:rsidR="00044751" w:rsidRPr="005D1EE8">
        <w:t>).  For ratemaking purposes, ITC is being amortized as a reduction to federal income tax expense.  Amortizing ITC as a reduction to income tax expense is one of the methods provided for the normalization of ITC in the Internal Revenue Code and Treasury Regulations.  When that method is selected, there is no rate base impact of the deferred ITC.  An alternative method of reflecting ITC for ratemaking purposes that is also permitted by the tax code involves deducting ITC from rate base, and not reflecting an impact on income tax expense.  Because CSP has chosen to reduce income taxes for the ITC amortization, there is no basis for either adding or deducting the ITC from rate base.  CSP has provided no valid basis for adding the deferred ITC to jurisdictional rate base.  Additionally, when the debit balance that CSP has recorded in Account 190 for the ITC is amortized, that amortization would reduce income tax expense; however, CSP has not reflected that additional reduction to income tax expense for this additional amortization of the ITC item it recorded in Account 190 in its proposed income tax expense.  Removal of the Deferred ITC in account 190 that CSP had proposed to include in rate base reduces the Company’s proposed produc</w:t>
      </w:r>
      <w:r w:rsidR="009E0AA6">
        <w:softHyphen/>
      </w:r>
      <w:r w:rsidR="00044751" w:rsidRPr="005D1EE8">
        <w:t>tion demand jurisdiction</w:t>
      </w:r>
      <w:r w:rsidR="008F0F79" w:rsidRPr="005D1EE8">
        <w:t>al rate base by $5.229 million.</w:t>
      </w:r>
      <w:r w:rsidR="008F0F79" w:rsidRPr="005D1EE8">
        <w:rPr>
          <w:rStyle w:val="FootnoteReference"/>
          <w:b/>
        </w:rPr>
        <w:footnoteReference w:id="59"/>
      </w:r>
    </w:p>
    <w:p w:rsidR="009B184C" w:rsidRDefault="009B184C" w:rsidP="009E5D8E">
      <w:pPr>
        <w:spacing w:line="240" w:lineRule="auto"/>
        <w:ind w:left="720" w:right="720"/>
        <w:rPr>
          <w:b/>
          <w:u w:val="single"/>
        </w:rPr>
      </w:pPr>
      <w:r>
        <w:rPr>
          <w:b/>
          <w:u w:val="single"/>
        </w:rPr>
        <w:br w:type="page"/>
      </w:r>
    </w:p>
    <w:p w:rsidR="00044751" w:rsidRPr="00EB37F1" w:rsidRDefault="007D4ACF" w:rsidP="009E5D8E">
      <w:pPr>
        <w:spacing w:line="240" w:lineRule="auto"/>
        <w:ind w:left="720" w:right="720"/>
        <w:rPr>
          <w:rFonts w:ascii="Times New Roman" w:hAnsi="Times New Roman" w:cs="Times New Roman"/>
          <w:sz w:val="26"/>
          <w:szCs w:val="26"/>
          <w:u w:val="single"/>
        </w:rPr>
      </w:pPr>
      <w:r w:rsidRPr="00EB37F1">
        <w:rPr>
          <w:rFonts w:ascii="Times New Roman" w:hAnsi="Times New Roman" w:cs="Times New Roman"/>
          <w:sz w:val="26"/>
          <w:szCs w:val="26"/>
          <w:u w:val="single"/>
        </w:rPr>
        <w:lastRenderedPageBreak/>
        <w:t>[</w:t>
      </w:r>
      <w:r w:rsidR="00044751" w:rsidRPr="00EB37F1">
        <w:rPr>
          <w:rFonts w:ascii="Times New Roman" w:hAnsi="Times New Roman" w:cs="Times New Roman"/>
          <w:sz w:val="26"/>
          <w:szCs w:val="26"/>
          <w:u w:val="single"/>
        </w:rPr>
        <w:t xml:space="preserve">ADIT debit balance in </w:t>
      </w:r>
      <w:r w:rsidR="002F43F0" w:rsidRPr="00EB37F1">
        <w:rPr>
          <w:rFonts w:ascii="Times New Roman" w:hAnsi="Times New Roman" w:cs="Times New Roman"/>
          <w:sz w:val="26"/>
          <w:szCs w:val="26"/>
          <w:u w:val="single"/>
        </w:rPr>
        <w:t xml:space="preserve">Account 190 for </w:t>
      </w:r>
      <w:r w:rsidR="00080F38" w:rsidRPr="00EB37F1">
        <w:rPr>
          <w:rFonts w:ascii="Times New Roman" w:hAnsi="Times New Roman" w:cs="Times New Roman"/>
          <w:sz w:val="26"/>
          <w:szCs w:val="26"/>
          <w:u w:val="single"/>
        </w:rPr>
        <w:t>“</w:t>
      </w:r>
      <w:r w:rsidR="002F43F0" w:rsidRPr="00EB37F1">
        <w:rPr>
          <w:rFonts w:ascii="Times New Roman" w:hAnsi="Times New Roman" w:cs="Times New Roman"/>
          <w:sz w:val="26"/>
          <w:szCs w:val="26"/>
          <w:u w:val="single"/>
        </w:rPr>
        <w:t>IGCC Revenues</w:t>
      </w:r>
      <w:r w:rsidR="00080F38" w:rsidRPr="00EB37F1">
        <w:rPr>
          <w:rFonts w:ascii="Times New Roman" w:hAnsi="Times New Roman" w:cs="Times New Roman"/>
          <w:sz w:val="26"/>
          <w:szCs w:val="26"/>
          <w:u w:val="single"/>
        </w:rPr>
        <w:t>”</w:t>
      </w:r>
      <w:r w:rsidRPr="00EB37F1">
        <w:rPr>
          <w:rFonts w:ascii="Times New Roman" w:hAnsi="Times New Roman" w:cs="Times New Roman"/>
          <w:sz w:val="26"/>
          <w:szCs w:val="26"/>
          <w:u w:val="single"/>
        </w:rPr>
        <w:t>]</w:t>
      </w:r>
    </w:p>
    <w:p w:rsidR="009E5D8E" w:rsidRPr="005D1EE8" w:rsidRDefault="009E5D8E" w:rsidP="009E5D8E">
      <w:pPr>
        <w:spacing w:line="240" w:lineRule="auto"/>
        <w:ind w:left="2160" w:right="720" w:hanging="720"/>
        <w:rPr>
          <w:b/>
          <w:u w:val="single"/>
        </w:rPr>
      </w:pPr>
    </w:p>
    <w:p w:rsidR="00044751" w:rsidRPr="005D1EE8" w:rsidRDefault="00044751" w:rsidP="009E5D8E">
      <w:pPr>
        <w:pStyle w:val="Blockquote"/>
      </w:pPr>
      <w:r w:rsidRPr="005D1EE8">
        <w:t xml:space="preserve">As shown on Exhibits RCS-1 and RCS-2, Schedule B-1, line 2, CSP and OPCo proposed to increase production demand rate base by $4.324 million and $4.160 million, respectively, for ADIT in account 190 for </w:t>
      </w:r>
      <w:r w:rsidR="00080F38">
        <w:t>“</w:t>
      </w:r>
      <w:r w:rsidRPr="005D1EE8">
        <w:t>IGCC Revenues.</w:t>
      </w:r>
      <w:r w:rsidR="00080F38">
        <w:t>”</w:t>
      </w:r>
      <w:r w:rsidRPr="005D1EE8">
        <w:t xml:space="preserve">  CSP and OPCo have not identified an IGCC power plant that is in ser</w:t>
      </w:r>
      <w:r w:rsidR="009E0AA6">
        <w:softHyphen/>
      </w:r>
      <w:r w:rsidRPr="005D1EE8">
        <w:t>vice and providing capacity.  Page 123.21 of CSP’s and OPCo’s respective 2010 FERC Form 1 reports state that CSP and OPCo will not start construction of an IGCC plant until existing statutory barriers are addressed and sufficient assur</w:t>
      </w:r>
      <w:r w:rsidR="009E0AA6">
        <w:softHyphen/>
      </w:r>
      <w:r w:rsidRPr="005D1EE8">
        <w:t>ance of cost recovery exists.  The ADIT debit balance in account 190 is not related to a plant that is in service.  Addi</w:t>
      </w:r>
      <w:r w:rsidR="009E0AA6">
        <w:softHyphen/>
      </w:r>
      <w:r w:rsidRPr="005D1EE8">
        <w:t xml:space="preserve">tionally, none of the revenue that CSP and OPCo collected for pre-construction costs of an IGCC plant has been reflected in their determinations of the revenue requirement for capacity in the current case.  Consequently, the ADIT debit balance for the </w:t>
      </w:r>
      <w:r w:rsidR="00080F38">
        <w:t>“</w:t>
      </w:r>
      <w:r w:rsidRPr="005D1EE8">
        <w:t>IGCC Plant</w:t>
      </w:r>
      <w:r w:rsidR="00080F38">
        <w:t>”</w:t>
      </w:r>
      <w:r w:rsidRPr="005D1EE8">
        <w:t xml:space="preserve"> should be removed from production demand rate base, as shown on Schedule B-1, line 2, of Exhibits RCS-1 and RCS-2.</w:t>
      </w:r>
      <w:r w:rsidR="008F0F79" w:rsidRPr="005D1EE8">
        <w:rPr>
          <w:rStyle w:val="FootnoteReference"/>
          <w:b/>
        </w:rPr>
        <w:footnoteReference w:id="60"/>
      </w:r>
    </w:p>
    <w:p w:rsidR="00044751" w:rsidRPr="00EB37F1" w:rsidRDefault="007D4ACF" w:rsidP="009E5D8E">
      <w:pPr>
        <w:spacing w:line="240" w:lineRule="auto"/>
        <w:ind w:left="720" w:right="720"/>
        <w:rPr>
          <w:rFonts w:ascii="Times New Roman" w:hAnsi="Times New Roman" w:cs="Times New Roman"/>
          <w:sz w:val="26"/>
          <w:szCs w:val="26"/>
          <w:u w:val="single"/>
        </w:rPr>
      </w:pPr>
      <w:r w:rsidRPr="00EB37F1">
        <w:rPr>
          <w:rFonts w:ascii="Times New Roman" w:hAnsi="Times New Roman" w:cs="Times New Roman"/>
          <w:sz w:val="26"/>
          <w:szCs w:val="26"/>
          <w:u w:val="single"/>
        </w:rPr>
        <w:t>[</w:t>
      </w:r>
      <w:r w:rsidR="00080F38" w:rsidRPr="00EB37F1">
        <w:rPr>
          <w:rFonts w:ascii="Times New Roman" w:hAnsi="Times New Roman" w:cs="Times New Roman"/>
          <w:sz w:val="26"/>
          <w:szCs w:val="26"/>
          <w:u w:val="single"/>
        </w:rPr>
        <w:t>“</w:t>
      </w:r>
      <w:r w:rsidR="00044751" w:rsidRPr="00EB37F1">
        <w:rPr>
          <w:rFonts w:ascii="Times New Roman" w:hAnsi="Times New Roman" w:cs="Times New Roman"/>
          <w:sz w:val="26"/>
          <w:szCs w:val="26"/>
          <w:u w:val="single"/>
        </w:rPr>
        <w:t>FIN 48</w:t>
      </w:r>
      <w:r w:rsidR="00080F38" w:rsidRPr="00EB37F1">
        <w:rPr>
          <w:rFonts w:ascii="Times New Roman" w:hAnsi="Times New Roman" w:cs="Times New Roman"/>
          <w:sz w:val="26"/>
          <w:szCs w:val="26"/>
          <w:u w:val="single"/>
        </w:rPr>
        <w:t>”</w:t>
      </w:r>
      <w:r w:rsidR="00044751" w:rsidRPr="00EB37F1">
        <w:rPr>
          <w:rFonts w:ascii="Times New Roman" w:hAnsi="Times New Roman" w:cs="Times New Roman"/>
          <w:sz w:val="26"/>
          <w:szCs w:val="26"/>
          <w:u w:val="single"/>
        </w:rPr>
        <w:t xml:space="preserve"> items from account 190 ADIT</w:t>
      </w:r>
      <w:r w:rsidRPr="00EB37F1">
        <w:rPr>
          <w:rFonts w:ascii="Times New Roman" w:hAnsi="Times New Roman" w:cs="Times New Roman"/>
          <w:sz w:val="26"/>
          <w:szCs w:val="26"/>
          <w:u w:val="single"/>
        </w:rPr>
        <w:t>]</w:t>
      </w:r>
    </w:p>
    <w:p w:rsidR="009E5D8E" w:rsidRPr="009E5D8E" w:rsidRDefault="009E5D8E" w:rsidP="009E5D8E">
      <w:pPr>
        <w:spacing w:line="240" w:lineRule="auto"/>
        <w:ind w:left="720" w:right="720"/>
        <w:rPr>
          <w:b/>
          <w:u w:val="single"/>
        </w:rPr>
      </w:pPr>
    </w:p>
    <w:p w:rsidR="009B184C" w:rsidRDefault="00044751" w:rsidP="003F778E">
      <w:pPr>
        <w:pStyle w:val="Blockquote"/>
      </w:pPr>
      <w:r w:rsidRPr="005D1EE8">
        <w:t xml:space="preserve">Both CSP and OPCo included net debit balances in account 190 ADIT for </w:t>
      </w:r>
      <w:r w:rsidR="00080F38">
        <w:t>“</w:t>
      </w:r>
      <w:r w:rsidRPr="005D1EE8">
        <w:t>FIN 48</w:t>
      </w:r>
      <w:r w:rsidR="00080F38">
        <w:t>”</w:t>
      </w:r>
      <w:r w:rsidRPr="005D1EE8">
        <w:t xml:space="preserve"> items that relate to uncertain tax positions.  Those items should be removed from rate base, consistent with accounting guidance provided by FERC and for other reasons discussed below.  Removal of the FIN 48 items from account 190 ADIT reduces CSP’s production demand rate base by $275,544 as shown on Exhibit RCS-1, Schedule B-1, line 3, and reduces OPCo’s production demand rate base by $1.772 million as shown on Exhibit RCS-2, Schedule B-1, </w:t>
      </w:r>
      <w:proofErr w:type="gramStart"/>
      <w:r w:rsidRPr="005D1EE8">
        <w:t>line</w:t>
      </w:r>
      <w:proofErr w:type="gramEnd"/>
      <w:r w:rsidRPr="005D1EE8">
        <w:t xml:space="preserve"> 3.  Detail of each company’s account 190 FIN 48 items is present</w:t>
      </w:r>
      <w:r w:rsidR="008F0F79" w:rsidRPr="005D1EE8">
        <w:t xml:space="preserve">ed on Schedule B-1, lines 9-13….  </w:t>
      </w:r>
      <w:r w:rsidRPr="005D1EE8">
        <w:t xml:space="preserve">The FIN 48 liability represents the difference between the </w:t>
      </w:r>
      <w:r w:rsidR="009B184C">
        <w:br w:type="page"/>
      </w:r>
    </w:p>
    <w:p w:rsidR="00044751" w:rsidRPr="005D1EE8" w:rsidRDefault="00044751" w:rsidP="003F778E">
      <w:pPr>
        <w:pStyle w:val="Blockquote"/>
      </w:pPr>
      <w:r w:rsidRPr="005D1EE8">
        <w:lastRenderedPageBreak/>
        <w:t>Company’s position taken on the tax return versus the identi</w:t>
      </w:r>
      <w:r w:rsidR="009E0AA6">
        <w:softHyphen/>
      </w:r>
      <w:r w:rsidRPr="005D1EE8">
        <w:t xml:space="preserve">fication of </w:t>
      </w:r>
      <w:r w:rsidR="00080F38">
        <w:t>“</w:t>
      </w:r>
      <w:r w:rsidRPr="005D1EE8">
        <w:t>uncertain</w:t>
      </w:r>
      <w:r w:rsidR="00080F38">
        <w:t>”</w:t>
      </w:r>
      <w:r w:rsidRPr="005D1EE8">
        <w:t xml:space="preserve"> tax positions as required for financial statement reporting.</w:t>
      </w:r>
      <w:r w:rsidRPr="005D1EE8">
        <w:rPr>
          <w:rStyle w:val="FootnoteReference"/>
          <w:b/>
        </w:rPr>
        <w:footnoteReference w:id="61"/>
      </w:r>
      <w:r w:rsidRPr="005D1EE8">
        <w:t xml:space="preserve">  FIN 48 recognizes that differences in the interpretation of tax law exist (i.e. legislation and statutes, legislative intent, regulations, rulings and case law), and seeks to eliminate any uncertain tax benefit from the financial statements until the uncertainty associated with the position has been removed.  An uncertainty may be removed by either (1) review of the technical merits of the position by the rele</w:t>
      </w:r>
      <w:r w:rsidR="009E0AA6">
        <w:softHyphen/>
      </w:r>
      <w:r w:rsidRPr="005D1EE8">
        <w:t>vant taxing authority, (2) expiration of the statute of limita</w:t>
      </w:r>
      <w:r w:rsidR="009E0AA6">
        <w:softHyphen/>
      </w:r>
      <w:r w:rsidRPr="005D1EE8">
        <w:t>tions or (3) law change.</w:t>
      </w:r>
      <w:r w:rsidR="008F0F79" w:rsidRPr="005D1EE8">
        <w:rPr>
          <w:rStyle w:val="FootnoteReference"/>
          <w:b/>
        </w:rPr>
        <w:footnoteReference w:id="62"/>
      </w:r>
      <w:r w:rsidRPr="005D1EE8">
        <w:t xml:space="preserve">  </w:t>
      </w:r>
    </w:p>
    <w:p w:rsidR="00044751" w:rsidRPr="005D1EE8" w:rsidRDefault="00C4044C" w:rsidP="000D1941">
      <w:pPr>
        <w:pStyle w:val="textstyle"/>
      </w:pPr>
      <w:r w:rsidRPr="005D1EE8">
        <w:tab/>
      </w:r>
      <w:r w:rsidR="006C22E2" w:rsidRPr="005D1EE8">
        <w:t xml:space="preserve">The </w:t>
      </w:r>
      <w:r w:rsidR="00044751" w:rsidRPr="005D1EE8">
        <w:t xml:space="preserve">FERC </w:t>
      </w:r>
      <w:r w:rsidR="006C22E2" w:rsidRPr="005D1EE8">
        <w:t xml:space="preserve">has </w:t>
      </w:r>
      <w:r w:rsidR="00044751" w:rsidRPr="005D1EE8">
        <w:t xml:space="preserve">provided guidance on accounting and financial reporting </w:t>
      </w:r>
      <w:r w:rsidR="006C22E2" w:rsidRPr="005D1EE8">
        <w:t>for uncer</w:t>
      </w:r>
      <w:r w:rsidR="009E0AA6">
        <w:softHyphen/>
      </w:r>
      <w:r w:rsidR="006C22E2" w:rsidRPr="005D1EE8">
        <w:t>tainty in income taxes</w:t>
      </w:r>
      <w:r w:rsidRPr="005D1EE8">
        <w:t xml:space="preserve"> </w:t>
      </w:r>
      <w:r w:rsidR="00044751" w:rsidRPr="005D1EE8">
        <w:t>in Docket No. AI07-2-000,</w:t>
      </w:r>
      <w:r w:rsidRPr="005D1EE8">
        <w:t xml:space="preserve"> as follows:</w:t>
      </w:r>
      <w:r w:rsidR="00044751" w:rsidRPr="005D1EE8">
        <w:rPr>
          <w:strike/>
        </w:rPr>
        <w:t xml:space="preserve"> </w:t>
      </w:r>
    </w:p>
    <w:p w:rsidR="00044751" w:rsidRPr="005D1EE8" w:rsidRDefault="00044751" w:rsidP="003F778E">
      <w:pPr>
        <w:pStyle w:val="Blockquote"/>
      </w:pPr>
      <w:r w:rsidRPr="005D1EE8">
        <w:t>Under existing Commission requirements, entities measure and recognize current and deferred tax liabilities (and assets) based on the positions taken or expected to be taken in a filed tax return and recognize uncertainties regarding those posi</w:t>
      </w:r>
      <w:r w:rsidR="009E0AA6">
        <w:softHyphen/>
      </w:r>
      <w:r w:rsidRPr="005D1EE8">
        <w:t>tions by recording a separate liability for the potential future payment of taxes when the criteria for recognition of a liabil</w:t>
      </w:r>
      <w:r w:rsidR="009E0AA6">
        <w:softHyphen/>
      </w:r>
      <w:r w:rsidRPr="005D1EE8">
        <w:t xml:space="preserve">ity contained in FASB Statement No. 5, </w:t>
      </w:r>
      <w:r w:rsidRPr="005D1EE8">
        <w:rPr>
          <w:i/>
        </w:rPr>
        <w:t>Accounting for Con</w:t>
      </w:r>
      <w:r w:rsidR="009E0AA6">
        <w:rPr>
          <w:i/>
        </w:rPr>
        <w:softHyphen/>
      </w:r>
      <w:r w:rsidRPr="005D1EE8">
        <w:rPr>
          <w:i/>
        </w:rPr>
        <w:t>tingencies</w:t>
      </w:r>
      <w:r w:rsidRPr="005D1EE8">
        <w:t>, are met, generally as part of the accrual for current payment of income tax.  Where uncertainties exist with respect to tax positions involving temporary differences, the amounts recorded in the accounts established for accumulated deferred income taxes are based on the positions taken in the tax returns filed or expected to be filed.  [Temporary differ</w:t>
      </w:r>
      <w:r w:rsidR="009E0AA6">
        <w:softHyphen/>
      </w:r>
      <w:r w:rsidRPr="005D1EE8">
        <w:t>ence as used here means a difference between the tax basis of an asset or liability as reflected or expected to be reflected in a tax return and its reported amount in the financial state</w:t>
      </w:r>
      <w:r w:rsidR="009E0AA6">
        <w:softHyphen/>
      </w:r>
      <w:r w:rsidRPr="005D1EE8">
        <w:t>ments.]</w:t>
      </w:r>
      <w:r w:rsidR="00080F38">
        <w:t xml:space="preserve"> </w:t>
      </w:r>
      <w:r w:rsidRPr="005D1EE8">
        <w:t xml:space="preserve"> Recognition of a separate liability for any uncertainty related to temporary differences is therefore not necessary because the entity has already recorded a deferred tax liability for the item or would be entitled to record a deferred tax asset </w:t>
      </w:r>
      <w:r w:rsidRPr="005D1EE8">
        <w:lastRenderedPageBreak/>
        <w:t>for the item if a separate liability for the uncertainty was rec</w:t>
      </w:r>
      <w:r w:rsidR="009E0AA6">
        <w:softHyphen/>
      </w:r>
      <w:r w:rsidRPr="005D1EE8">
        <w:t>ognized.</w:t>
      </w:r>
      <w:r w:rsidR="00C4044C" w:rsidRPr="005D1EE8">
        <w:rPr>
          <w:rStyle w:val="FootnoteReference"/>
        </w:rPr>
        <w:footnoteReference w:id="63"/>
      </w:r>
      <w:r w:rsidRPr="005D1EE8">
        <w:t xml:space="preserve"> </w:t>
      </w:r>
    </w:p>
    <w:p w:rsidR="00044751" w:rsidRPr="005D1EE8" w:rsidRDefault="00044751" w:rsidP="003F778E">
      <w:pPr>
        <w:pStyle w:val="Blockquote"/>
      </w:pPr>
      <w:r w:rsidRPr="005D1EE8">
        <w:t>This practice results in the accumulated deferred income tax accounts reflecting an accurate measurement of the cash available to the entity as a result of temporary differences.  This is an important measurement objective of the Commis</w:t>
      </w:r>
      <w:r w:rsidR="009E0AA6">
        <w:softHyphen/>
      </w:r>
      <w:r w:rsidRPr="005D1EE8">
        <w:t xml:space="preserve">sion Uniform Systems of Account because accumulated deferred income tax balances, which are significant in amount for most Commission jurisdictional entities, reduce the base on which cost-based, rate-regulated entities are permitted to earn a return.  </w:t>
      </w:r>
      <w:r w:rsidRPr="005D1EE8">
        <w:rPr>
          <w:i/>
        </w:rPr>
        <w:t>FIN 48, which does not permit a liability for uncertain tax positions related to temporary differences to be classified as a deferred tax liability, frustrates this important measurement objective</w:t>
      </w:r>
      <w:r w:rsidR="00080F38" w:rsidRPr="005D1EE8">
        <w:rPr>
          <w:i/>
        </w:rPr>
        <w:t xml:space="preserve">.  </w:t>
      </w:r>
      <w:r w:rsidRPr="005D1EE8">
        <w:t>Therefore, entities should continue to recognize deferred income taxes for Commission account</w:t>
      </w:r>
      <w:r w:rsidR="009E0AA6">
        <w:softHyphen/>
      </w:r>
      <w:r w:rsidRPr="005D1EE8">
        <w:t>ing and reporting purposes based on the difference between posi</w:t>
      </w:r>
      <w:r w:rsidR="00080F38">
        <w:softHyphen/>
      </w:r>
      <w:r w:rsidRPr="005D1EE8">
        <w:t>tions taken in tax returns filed or expected to be filed and amounts reported in the financial statements</w:t>
      </w:r>
      <w:r w:rsidR="00080F38" w:rsidRPr="005D1EE8">
        <w:t xml:space="preserve">.  </w:t>
      </w:r>
      <w:r w:rsidRPr="005D1EE8">
        <w:t xml:space="preserve">Also, consistent with the direction provided in Docket No. AI93-5 regarding the implementation of FASB Statement No. 109, </w:t>
      </w:r>
      <w:r w:rsidRPr="005D1EE8">
        <w:rPr>
          <w:i/>
        </w:rPr>
        <w:t>public utili</w:t>
      </w:r>
      <w:r w:rsidR="009E0AA6">
        <w:rPr>
          <w:i/>
        </w:rPr>
        <w:softHyphen/>
      </w:r>
      <w:r w:rsidRPr="005D1EE8">
        <w:rPr>
          <w:i/>
        </w:rPr>
        <w:t>ties and licensees, natural gas companies and centralized service companies should not remove from accumulated deferred income taxes and reclassify as a current liability the amount of deferred income taxes payable within 12 months of the balance sheet date.</w:t>
      </w:r>
      <w:r w:rsidR="00C4044C" w:rsidRPr="003F778E">
        <w:rPr>
          <w:rStyle w:val="FootnoteReference"/>
        </w:rPr>
        <w:footnoteReference w:id="64"/>
      </w:r>
      <w:r w:rsidR="00C4044C" w:rsidRPr="005D1EE8">
        <w:rPr>
          <w:b/>
        </w:rPr>
        <w:t xml:space="preserve">  </w:t>
      </w:r>
    </w:p>
    <w:p w:rsidR="00044751" w:rsidRPr="005D1EE8" w:rsidRDefault="003011C2" w:rsidP="000D1941">
      <w:pPr>
        <w:pStyle w:val="textstyle"/>
      </w:pPr>
      <w:r w:rsidRPr="005D1EE8">
        <w:tab/>
      </w:r>
      <w:r w:rsidR="00C4044C" w:rsidRPr="005D1EE8">
        <w:t>Furthermore, a</w:t>
      </w:r>
      <w:r w:rsidR="00044751" w:rsidRPr="005D1EE8">
        <w:t>nother electric utility owned by AE</w:t>
      </w:r>
      <w:r w:rsidR="00C4044C" w:rsidRPr="005D1EE8">
        <w:t>P</w:t>
      </w:r>
      <w:r w:rsidR="00936BC4">
        <w:t xml:space="preserve"> Ohio</w:t>
      </w:r>
      <w:r w:rsidR="00C4044C" w:rsidRPr="005D1EE8">
        <w:t>, Indiana Michigan Power Company (</w:t>
      </w:r>
      <w:r w:rsidR="00080F38">
        <w:t>“</w:t>
      </w:r>
      <w:r w:rsidR="00C4044C" w:rsidRPr="005D1EE8">
        <w:t>IMPC</w:t>
      </w:r>
      <w:r w:rsidR="00080F38">
        <w:t>”</w:t>
      </w:r>
      <w:r w:rsidR="00C4044C" w:rsidRPr="005D1EE8">
        <w:t>), has applied the FERC guidance.</w:t>
      </w:r>
      <w:r w:rsidR="004E5225" w:rsidRPr="005D1EE8">
        <w:rPr>
          <w:rStyle w:val="FootnoteReference"/>
          <w:b/>
        </w:rPr>
        <w:footnoteReference w:id="65"/>
      </w:r>
      <w:r w:rsidR="00044751" w:rsidRPr="005D1EE8">
        <w:t xml:space="preserve"> </w:t>
      </w:r>
      <w:r w:rsidR="00C4044C" w:rsidRPr="005D1EE8">
        <w:t xml:space="preserve"> IMPC</w:t>
      </w:r>
      <w:r w:rsidR="00044751" w:rsidRPr="005D1EE8">
        <w:t xml:space="preserve"> has interpreted the FERC guidance on uncertain income tax positions to require that tax savings related to deductions taken on income tax returns should be reflected for ratemaking purposes and the FIN 48 ADIT balances are not to be taken into consideration for ratemaking pur</w:t>
      </w:r>
      <w:r w:rsidR="009E0AA6">
        <w:softHyphen/>
      </w:r>
      <w:r w:rsidR="00044751" w:rsidRPr="005D1EE8">
        <w:lastRenderedPageBreak/>
        <w:t>poses.</w:t>
      </w:r>
      <w:r w:rsidR="004E5225" w:rsidRPr="00080F38">
        <w:rPr>
          <w:rStyle w:val="FootnoteReference"/>
        </w:rPr>
        <w:footnoteReference w:id="66"/>
      </w:r>
      <w:r w:rsidR="00044751" w:rsidRPr="00080F38">
        <w:t xml:space="preserve"> </w:t>
      </w:r>
      <w:r w:rsidR="00044751" w:rsidRPr="005D1EE8">
        <w:t xml:space="preserve"> CSP and OPCo are also AEP</w:t>
      </w:r>
      <w:r w:rsidR="00936BC4">
        <w:t xml:space="preserve"> Ohio</w:t>
      </w:r>
      <w:r w:rsidR="00044751" w:rsidRPr="005D1EE8">
        <w:t>-owned electric utilities and should thus be similarly following the FERC guidance for uncertain income taxes.</w:t>
      </w:r>
      <w:r w:rsidR="004E5225" w:rsidRPr="00080F38">
        <w:rPr>
          <w:rStyle w:val="FootnoteReference"/>
        </w:rPr>
        <w:footnoteReference w:id="67"/>
      </w:r>
      <w:r w:rsidR="00044751" w:rsidRPr="00080F38">
        <w:t xml:space="preserve"> </w:t>
      </w:r>
      <w:r w:rsidR="00044751" w:rsidRPr="005D1EE8">
        <w:t xml:space="preserve"> Following the FERC guidance for uncertain tax positions as IMPC has done is a good general practice, and should also be applied for AEP </w:t>
      </w:r>
      <w:r w:rsidR="00936BC4">
        <w:t xml:space="preserve">Ohio </w:t>
      </w:r>
      <w:r w:rsidR="00044751" w:rsidRPr="005D1EE8">
        <w:t>in the current case.</w:t>
      </w:r>
      <w:r w:rsidR="004E5225" w:rsidRPr="00080F38">
        <w:rPr>
          <w:rStyle w:val="FootnoteReference"/>
        </w:rPr>
        <w:footnoteReference w:id="68"/>
      </w:r>
    </w:p>
    <w:p w:rsidR="004E5225" w:rsidRPr="005D1EE8" w:rsidRDefault="003011C2" w:rsidP="000D1941">
      <w:pPr>
        <w:pStyle w:val="textstyle"/>
      </w:pPr>
      <w:r w:rsidRPr="005D1EE8">
        <w:tab/>
        <w:t>Continuing the explanation of the ADIT adjustments, as described above, Staff</w:t>
      </w:r>
      <w:r w:rsidR="00044751" w:rsidRPr="005D1EE8">
        <w:t xml:space="preserve"> </w:t>
      </w:r>
      <w:r w:rsidRPr="005D1EE8">
        <w:t>removed</w:t>
      </w:r>
      <w:r w:rsidR="00044751" w:rsidRPr="005D1EE8">
        <w:t xml:space="preserve"> the net </w:t>
      </w:r>
      <w:proofErr w:type="spellStart"/>
      <w:r w:rsidR="00044751" w:rsidRPr="005D1EE8">
        <w:t>ADIT</w:t>
      </w:r>
      <w:proofErr w:type="spellEnd"/>
      <w:r w:rsidR="00044751" w:rsidRPr="005D1EE8">
        <w:t xml:space="preserve"> items related to FIN 48 from rate base.</w:t>
      </w:r>
      <w:r w:rsidRPr="00080F38">
        <w:rPr>
          <w:rStyle w:val="FootnoteReference"/>
        </w:rPr>
        <w:footnoteReference w:id="69"/>
      </w:r>
      <w:r w:rsidR="00044751" w:rsidRPr="00080F38">
        <w:t xml:space="preserve"> </w:t>
      </w:r>
      <w:r w:rsidR="00044751" w:rsidRPr="005D1EE8">
        <w:t xml:space="preserve"> </w:t>
      </w:r>
      <w:r w:rsidRPr="005D1EE8">
        <w:t xml:space="preserve">Furthermore, </w:t>
      </w:r>
      <w:r w:rsidR="00044751" w:rsidRPr="005D1EE8">
        <w:t>ADIT in account 190 related to other asset or liability balances that are not refle</w:t>
      </w:r>
      <w:r w:rsidRPr="005D1EE8">
        <w:t xml:space="preserve">cted in rate base is removed </w:t>
      </w:r>
      <w:r w:rsidR="00044751" w:rsidRPr="005D1EE8">
        <w:t>for CSP and OPCo, respectively.</w:t>
      </w:r>
      <w:r w:rsidRPr="00080F38">
        <w:rPr>
          <w:rStyle w:val="FootnoteReference"/>
        </w:rPr>
        <w:footnoteReference w:id="70"/>
      </w:r>
      <w:r w:rsidR="006B66CB" w:rsidRPr="00080F38">
        <w:t xml:space="preserve"> </w:t>
      </w:r>
      <w:r w:rsidR="006B66CB">
        <w:t xml:space="preserve"> Staff </w:t>
      </w:r>
      <w:r w:rsidR="00661F0C">
        <w:t>w</w:t>
      </w:r>
      <w:r w:rsidR="006B66CB">
        <w:t>itness Smith stated</w:t>
      </w:r>
      <w:r w:rsidR="00D41FBB" w:rsidRPr="005D1EE8">
        <w:t>:</w:t>
      </w:r>
    </w:p>
    <w:p w:rsidR="00044751" w:rsidRPr="005D1EE8" w:rsidRDefault="00044751" w:rsidP="003F778E">
      <w:pPr>
        <w:pStyle w:val="Blockquote"/>
      </w:pPr>
      <w:r w:rsidRPr="005D1EE8">
        <w:t xml:space="preserve">This decreases CSP’s production demand rate base by $1.362 million and increases OPCo’s by $1.884 million.  Each of the </w:t>
      </w:r>
      <w:r w:rsidR="00080F38">
        <w:t>“</w:t>
      </w:r>
      <w:r w:rsidRPr="005D1EE8">
        <w:t>labor-related</w:t>
      </w:r>
      <w:r w:rsidR="00080F38">
        <w:t>”</w:t>
      </w:r>
      <w:r w:rsidRPr="005D1EE8">
        <w:t xml:space="preserve"> ADIT balances in account 190 listed on Exhibit RCS-1, Schedule B-1, lines 14-22 and on Exhibit RCS-2, Schedule B-1, lines 14-23,</w:t>
      </w:r>
      <w:r w:rsidR="004E5225" w:rsidRPr="005D1EE8">
        <w:t xml:space="preserve"> must be</w:t>
      </w:r>
      <w:r w:rsidRPr="005D1EE8">
        <w:t xml:space="preserve"> removed.  Each of these items apparently relates to other balance sheet accounts that are not being reflected in the determination of rate base.  For example, there are apparently liability balances related to vacation pay, incentive compensation and other postretire</w:t>
      </w:r>
      <w:r w:rsidR="009E0AA6">
        <w:softHyphen/>
      </w:r>
      <w:r w:rsidRPr="005D1EE8">
        <w:t>ment benefits (SFAS 106).  Based on the matching principle, if the related ADIT debit balances are included in rate base, then the accrued liabilities and operating reserves giving rise to those deferred taxes should be deducted from rate base.  However, those related liability balances or reserves are not being deducted from rate base.  Consequently, the related ADIT balances in Account 190 for CSP and OPCo are being removed to reflect proper matching of related items.</w:t>
      </w:r>
      <w:r w:rsidR="00B90C56" w:rsidRPr="005D1EE8">
        <w:t xml:space="preserve">  In par</w:t>
      </w:r>
      <w:r w:rsidR="009E0AA6">
        <w:softHyphen/>
      </w:r>
      <w:r w:rsidR="00B90C56" w:rsidRPr="005D1EE8">
        <w:lastRenderedPageBreak/>
        <w:t>ticular, it is unusual to have a large credit balance for ADIT in account 190 for a reserve for workers compensation or SFAS 112 postemployment benefits, as OPCo had at December 31, 2010.</w:t>
      </w:r>
      <w:r w:rsidR="00B90C56" w:rsidRPr="005D1EE8">
        <w:rPr>
          <w:rStyle w:val="FootnoteReference"/>
          <w:b/>
        </w:rPr>
        <w:footnoteReference w:id="71"/>
      </w:r>
      <w:r w:rsidR="00B90C56" w:rsidRPr="005D1EE8">
        <w:t xml:space="preserve">  Those balances may be indicative of unusual activity in 2010 for OPCo.</w:t>
      </w:r>
      <w:r w:rsidR="00D41FBB" w:rsidRPr="005D1EE8">
        <w:rPr>
          <w:rStyle w:val="FootnoteReference"/>
          <w:b/>
        </w:rPr>
        <w:footnoteReference w:id="72"/>
      </w:r>
      <w:r w:rsidR="00B90C56" w:rsidRPr="005D1EE8">
        <w:t xml:space="preserve">  </w:t>
      </w:r>
    </w:p>
    <w:p w:rsidR="009B184C" w:rsidRDefault="00044751" w:rsidP="000D1941">
      <w:pPr>
        <w:pStyle w:val="textstyle"/>
      </w:pPr>
      <w:r w:rsidRPr="005D1EE8">
        <w:tab/>
        <w:t>CSP and OPCo recorded ADIT in account 283 related to a pension asset.  Because the pension asset is being excluded from production demand rate base, as explained above, the ADIT credits that relate to the pension asset should also be removed, con</w:t>
      </w:r>
      <w:r w:rsidR="00080F38">
        <w:softHyphen/>
      </w:r>
      <w:r w:rsidRPr="005D1EE8">
        <w:t>sistent with the matching principle.</w:t>
      </w:r>
      <w:r w:rsidR="00714F09" w:rsidRPr="003F778E">
        <w:rPr>
          <w:rStyle w:val="FootnoteReference"/>
        </w:rPr>
        <w:footnoteReference w:id="73"/>
      </w:r>
      <w:r w:rsidRPr="003F778E">
        <w:t xml:space="preserve"> </w:t>
      </w:r>
      <w:r w:rsidRPr="005D1EE8">
        <w:t xml:space="preserve"> As shown on Exhibits RCS-1 and RCS-2, Schedule B-1, line 5, removal of the ADIT for prepaid pension increase CSP’s production demand rate base by $1.362 million and OPCo’s by $1.883 million.</w:t>
      </w:r>
      <w:r w:rsidR="00714F09" w:rsidRPr="003F778E">
        <w:rPr>
          <w:rStyle w:val="FootnoteReference"/>
        </w:rPr>
        <w:footnoteReference w:id="74"/>
      </w:r>
      <w:r w:rsidRPr="005D1EE8">
        <w:t xml:space="preserve">  These </w:t>
      </w:r>
      <w:proofErr w:type="spellStart"/>
      <w:r w:rsidRPr="005D1EE8">
        <w:t>ADIT</w:t>
      </w:r>
      <w:proofErr w:type="spellEnd"/>
      <w:r w:rsidRPr="005D1EE8">
        <w:t xml:space="preserve"> amounts related to the pension asset are credit balances and had decreased AEP Ohio’s proposed rate base.</w:t>
      </w:r>
      <w:r w:rsidR="00714F09" w:rsidRPr="003F778E">
        <w:rPr>
          <w:rStyle w:val="FootnoteReference"/>
        </w:rPr>
        <w:footnoteReference w:id="75"/>
      </w:r>
      <w:r w:rsidRPr="005D1EE8">
        <w:t xml:space="preserve">  On a net basis, AEP Ohio’s proposal to include a prepaid pension asset in rate base increased rate base by the net amount of the prepaid pension asset, less the related </w:t>
      </w:r>
      <w:proofErr w:type="spellStart"/>
      <w:r w:rsidRPr="005D1EE8">
        <w:t>ADIT</w:t>
      </w:r>
      <w:proofErr w:type="spellEnd"/>
      <w:r w:rsidRPr="005D1EE8">
        <w:t>.</w:t>
      </w:r>
      <w:r w:rsidR="00714F09" w:rsidRPr="003F778E">
        <w:rPr>
          <w:rStyle w:val="FootnoteReference"/>
        </w:rPr>
        <w:footnoteReference w:id="76"/>
      </w:r>
      <w:r w:rsidRPr="005D1EE8">
        <w:t xml:space="preserve">  The pension asset and the directly related ADIT should </w:t>
      </w:r>
      <w:r w:rsidR="009B184C">
        <w:br w:type="page"/>
      </w:r>
    </w:p>
    <w:p w:rsidR="00044751" w:rsidRPr="005D1EE8" w:rsidRDefault="00044751" w:rsidP="000D1941">
      <w:pPr>
        <w:pStyle w:val="textstyle"/>
      </w:pPr>
      <w:r w:rsidRPr="005D1EE8">
        <w:lastRenderedPageBreak/>
        <w:t xml:space="preserve">receive the same ratemaking treatment, </w:t>
      </w:r>
      <w:r w:rsidRPr="003F778E">
        <w:rPr>
          <w:i/>
        </w:rPr>
        <w:t>i.e.</w:t>
      </w:r>
      <w:r w:rsidRPr="005D1EE8">
        <w:t>, both should be excluded from rate base, based on the matching principle.</w:t>
      </w:r>
      <w:r w:rsidR="00714F09" w:rsidRPr="003F778E">
        <w:rPr>
          <w:rStyle w:val="FootnoteReference"/>
        </w:rPr>
        <w:footnoteReference w:id="77"/>
      </w:r>
      <w:r w:rsidRPr="005D1EE8">
        <w:t xml:space="preserve"> </w:t>
      </w:r>
    </w:p>
    <w:p w:rsidR="00B90C56" w:rsidRPr="005D1EE8" w:rsidRDefault="00B90C56" w:rsidP="000D1941">
      <w:pPr>
        <w:pStyle w:val="textstyle"/>
      </w:pPr>
      <w:r w:rsidRPr="005D1EE8">
        <w:tab/>
        <w:t>T</w:t>
      </w:r>
      <w:r w:rsidR="00044751" w:rsidRPr="005D1EE8">
        <w:t>he adjustment to ADIT for item 906D, SFAS 106 postretirement benefi</w:t>
      </w:r>
      <w:r w:rsidRPr="005D1EE8">
        <w:t>ts, nonde</w:t>
      </w:r>
      <w:r w:rsidR="009E0AA6">
        <w:softHyphen/>
      </w:r>
      <w:r w:rsidRPr="005D1EE8">
        <w:t>ductible contribution, a</w:t>
      </w:r>
      <w:r w:rsidR="00044751" w:rsidRPr="005D1EE8">
        <w:t>s shown on Exhibits RCS-1 and RCS-2, Schedule B-1, line 6,</w:t>
      </w:r>
      <w:r w:rsidRPr="005D1EE8">
        <w:t xml:space="preserve"> is a</w:t>
      </w:r>
      <w:r w:rsidR="00044751" w:rsidRPr="005D1EE8">
        <w:t xml:space="preserve"> debit-balance item that CSP and OPCo included in account 283</w:t>
      </w:r>
      <w:r w:rsidRPr="005D1EE8">
        <w:t xml:space="preserve"> and</w:t>
      </w:r>
      <w:r w:rsidR="00044751" w:rsidRPr="005D1EE8">
        <w:t xml:space="preserve"> is also being removed from production demand rate base.</w:t>
      </w:r>
      <w:r w:rsidR="00714F09" w:rsidRPr="005D1EE8">
        <w:rPr>
          <w:rStyle w:val="FootnoteReference"/>
          <w:b/>
        </w:rPr>
        <w:footnoteReference w:id="78"/>
      </w:r>
      <w:r w:rsidR="00044751" w:rsidRPr="005D1EE8">
        <w:t xml:space="preserve">  This item appears to be similar in concept to the ADIT items for various benefit items that were removed from account 190.</w:t>
      </w:r>
      <w:r w:rsidR="00714F09" w:rsidRPr="005D1EE8">
        <w:rPr>
          <w:rStyle w:val="FootnoteReference"/>
          <w:b/>
        </w:rPr>
        <w:footnoteReference w:id="79"/>
      </w:r>
      <w:r w:rsidR="00044751" w:rsidRPr="005D1EE8">
        <w:t xml:space="preserve">  The debit-balance ADIT presumably relates to a deferred credit or liability account that is not being recognized in the determination of rate base.</w:t>
      </w:r>
      <w:r w:rsidR="00714F09" w:rsidRPr="005D1EE8">
        <w:rPr>
          <w:rStyle w:val="FootnoteReference"/>
          <w:b/>
        </w:rPr>
        <w:footnoteReference w:id="80"/>
      </w:r>
      <w:r w:rsidR="00044751" w:rsidRPr="005D1EE8">
        <w:t xml:space="preserve">  Consequently, the related ADIT</w:t>
      </w:r>
      <w:r w:rsidRPr="005D1EE8">
        <w:t xml:space="preserve"> must</w:t>
      </w:r>
      <w:r w:rsidR="00044751" w:rsidRPr="005D1EE8">
        <w:t xml:space="preserve"> also be removed.</w:t>
      </w:r>
      <w:r w:rsidR="00714F09" w:rsidRPr="005D1EE8">
        <w:rPr>
          <w:rStyle w:val="FootnoteReference"/>
          <w:b/>
        </w:rPr>
        <w:footnoteReference w:id="81"/>
      </w:r>
      <w:r w:rsidR="00044751" w:rsidRPr="005D1EE8">
        <w:t xml:space="preserve"> </w:t>
      </w:r>
    </w:p>
    <w:p w:rsidR="007712F1" w:rsidRDefault="00B90C56" w:rsidP="000D1941">
      <w:pPr>
        <w:pStyle w:val="textstyle"/>
      </w:pPr>
      <w:r w:rsidRPr="005D1EE8">
        <w:tab/>
        <w:t>Overall, t</w:t>
      </w:r>
      <w:r w:rsidR="00044751" w:rsidRPr="005D1EE8">
        <w:t xml:space="preserve">he </w:t>
      </w:r>
      <w:r w:rsidRPr="005D1EE8">
        <w:t xml:space="preserve">net result from Staff’s </w:t>
      </w:r>
      <w:r w:rsidR="00044751" w:rsidRPr="005D1EE8">
        <w:t xml:space="preserve">ADIT adjustments reduce CSP’s production demand rate base by $7.848 million as shown on Exhibit RCS-1, Schedule B-1, and increases OPCo’s production demand rate base by $8.480 million, as shown </w:t>
      </w:r>
      <w:r w:rsidR="00224D4D" w:rsidRPr="005D1EE8">
        <w:t>on Exhibit RCS-2, Schedule B-1.</w:t>
      </w:r>
      <w:r w:rsidR="00714F09" w:rsidRPr="005D1EE8">
        <w:rPr>
          <w:rStyle w:val="FootnoteReference"/>
          <w:b/>
        </w:rPr>
        <w:footnoteReference w:id="82"/>
      </w:r>
    </w:p>
    <w:p w:rsidR="009B184C" w:rsidRPr="005D1EE8" w:rsidRDefault="009B184C" w:rsidP="003F778E"/>
    <w:p w:rsidR="00BD7614" w:rsidRPr="005D1EE8" w:rsidRDefault="00BD7614" w:rsidP="0067532B">
      <w:pPr>
        <w:pStyle w:val="Heading4"/>
        <w:rPr>
          <w:rFonts w:eastAsia="Times New Roman"/>
        </w:rPr>
      </w:pPr>
      <w:bookmarkStart w:id="21" w:name="_Toc325543203"/>
      <w:r w:rsidRPr="005D1EE8">
        <w:rPr>
          <w:noProof/>
        </w:rPr>
        <w:lastRenderedPageBreak/>
        <w:t>Payroll and Benefits for Eliminated Positions</w:t>
      </w:r>
      <w:bookmarkEnd w:id="21"/>
    </w:p>
    <w:p w:rsidR="0031655F" w:rsidRDefault="00BA1C0D" w:rsidP="000D1941">
      <w:pPr>
        <w:pStyle w:val="textstyle"/>
      </w:pPr>
      <w:r w:rsidRPr="005D1EE8">
        <w:tab/>
        <w:t xml:space="preserve">AEP </w:t>
      </w:r>
      <w:r w:rsidR="00936BC4">
        <w:t xml:space="preserve">Ohio </w:t>
      </w:r>
      <w:r w:rsidRPr="005D1EE8">
        <w:t xml:space="preserve">must remove payroll and benefit costs associated with positions that were eliminated in the 2010 severance programs.  </w:t>
      </w:r>
      <w:r w:rsidR="006B66CB">
        <w:t xml:space="preserve">Staff </w:t>
      </w:r>
      <w:r w:rsidR="00661F0C">
        <w:t>w</w:t>
      </w:r>
      <w:r w:rsidR="006B66CB">
        <w:t>itness Smith stated</w:t>
      </w:r>
      <w:r w:rsidR="0031655F">
        <w:t>:</w:t>
      </w:r>
    </w:p>
    <w:p w:rsidR="00F470C3" w:rsidRDefault="00BA1C0D" w:rsidP="003F778E">
      <w:pPr>
        <w:pStyle w:val="Blockquote"/>
      </w:pPr>
      <w:r w:rsidRPr="005D1EE8">
        <w:t>AEP Ohio’s unadjusted 2010 data includes the payroll, bene</w:t>
      </w:r>
      <w:r w:rsidR="009E0AA6">
        <w:softHyphen/>
      </w:r>
      <w:r w:rsidRPr="005D1EE8">
        <w:t>fit and payroll tax expense for positions that have been elimi</w:t>
      </w:r>
      <w:r w:rsidR="009E0AA6">
        <w:softHyphen/>
      </w:r>
      <w:r w:rsidRPr="005D1EE8">
        <w:t>nated as a result of AEP’s 2010 voluntary and involuntary severance programs.  Because the rates in this proceeding are to be applied prospectively, AEP’s expenses should not include labor costs for personnel that were there in early 2010 but who, as a result of the 2010 severance programs, are no longer with the Company.  Consequently, there is a need to adjust AEP Ohio’s 2010 information to remove the costs related to the significant number of positions that were per</w:t>
      </w:r>
      <w:r w:rsidR="009E0AA6">
        <w:softHyphen/>
      </w:r>
      <w:r w:rsidRPr="005D1EE8">
        <w:t>manently eliminated as a result of the 2010 severance pro</w:t>
      </w:r>
      <w:r w:rsidR="009E0AA6">
        <w:softHyphen/>
      </w:r>
      <w:r w:rsidRPr="005D1EE8">
        <w:t>grams.</w:t>
      </w:r>
      <w:r w:rsidR="0031655F">
        <w:rPr>
          <w:rStyle w:val="FootnoteReference"/>
          <w:b/>
        </w:rPr>
        <w:footnoteReference w:id="83"/>
      </w:r>
      <w:r w:rsidR="00F470C3" w:rsidRPr="00F470C3">
        <w:t xml:space="preserve"> </w:t>
      </w:r>
    </w:p>
    <w:p w:rsidR="00BA1C0D" w:rsidRDefault="003F778E" w:rsidP="000D1941">
      <w:pPr>
        <w:pStyle w:val="textstyle"/>
      </w:pPr>
      <w:r>
        <w:tab/>
      </w:r>
      <w:r w:rsidR="00F470C3" w:rsidRPr="005D1EE8">
        <w:t>In response to PUCO Staff Set 1 INT-01-011, Attachment 1 provided work force information for CSP, OPCo and AEPSC</w:t>
      </w:r>
      <w:r w:rsidR="00F470C3">
        <w:t xml:space="preserve"> and</w:t>
      </w:r>
      <w:r w:rsidR="00F470C3" w:rsidRPr="005D1EE8">
        <w:t xml:space="preserve"> shows significant work </w:t>
      </w:r>
      <w:r w:rsidR="00F470C3">
        <w:t xml:space="preserve">force reductions </w:t>
      </w:r>
      <w:r w:rsidR="00F470C3" w:rsidRPr="005D1EE8">
        <w:t>occurred after May 2010</w:t>
      </w:r>
      <w:r w:rsidR="00F470C3">
        <w:rPr>
          <w:rStyle w:val="FootnoteReference"/>
          <w:b/>
        </w:rPr>
        <w:footnoteReference w:id="84"/>
      </w:r>
      <w:r w:rsidR="00F470C3" w:rsidRPr="005D1EE8">
        <w:t>:</w:t>
      </w:r>
    </w:p>
    <w:p w:rsidR="0031655F" w:rsidRPr="005D1EE8" w:rsidRDefault="0031655F" w:rsidP="0031655F">
      <w:pPr>
        <w:spacing w:line="240" w:lineRule="auto"/>
        <w:ind w:left="720" w:right="720"/>
        <w:rPr>
          <w:b/>
        </w:rPr>
      </w:pPr>
      <w:r w:rsidRPr="005D1EE8">
        <w:rPr>
          <w:noProof/>
        </w:rPr>
        <w:lastRenderedPageBreak/>
        <w:drawing>
          <wp:inline distT="0" distB="0" distL="0" distR="0" wp14:anchorId="43D3B11D" wp14:editId="2B3E8512">
            <wp:extent cx="3876675" cy="42195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6675" cy="4219575"/>
                    </a:xfrm>
                    <a:prstGeom prst="rect">
                      <a:avLst/>
                    </a:prstGeom>
                    <a:noFill/>
                    <a:ln>
                      <a:noFill/>
                    </a:ln>
                  </pic:spPr>
                </pic:pic>
              </a:graphicData>
            </a:graphic>
          </wp:inline>
        </w:drawing>
      </w:r>
    </w:p>
    <w:p w:rsidR="00BA1C0D" w:rsidRPr="005D1EE8" w:rsidRDefault="00BA1C0D" w:rsidP="00714F09">
      <w:pPr>
        <w:rPr>
          <w:b/>
        </w:rPr>
      </w:pPr>
    </w:p>
    <w:p w:rsidR="00BA1C0D" w:rsidRPr="005D1EE8" w:rsidRDefault="00BA1C0D" w:rsidP="000D1941">
      <w:pPr>
        <w:pStyle w:val="textstyle"/>
      </w:pPr>
      <w:r w:rsidRPr="005D1EE8">
        <w:t>The following tables compare the average work force for January through May 2010, with the average work force subsequently in 2010 and with the average work force in 2011</w:t>
      </w:r>
      <w:r w:rsidR="00EB37F1">
        <w:t>:</w:t>
      </w:r>
      <w:r w:rsidR="00F470C3">
        <w:rPr>
          <w:rStyle w:val="FootnoteReference"/>
        </w:rPr>
        <w:footnoteReference w:id="85"/>
      </w:r>
    </w:p>
    <w:p w:rsidR="00BA1C0D" w:rsidRPr="005D1EE8" w:rsidRDefault="00BA1C0D" w:rsidP="00BA1C0D">
      <w:pPr>
        <w:rPr>
          <w:sz w:val="26"/>
          <w:szCs w:val="26"/>
        </w:rPr>
      </w:pPr>
      <w:r w:rsidRPr="005D1EE8">
        <w:rPr>
          <w:sz w:val="26"/>
          <w:szCs w:val="26"/>
        </w:rPr>
        <w:lastRenderedPageBreak/>
        <w:tab/>
      </w:r>
      <w:r w:rsidRPr="005D1EE8">
        <w:rPr>
          <w:sz w:val="26"/>
          <w:szCs w:val="26"/>
        </w:rPr>
        <w:tab/>
      </w:r>
      <w:r w:rsidRPr="005D1EE8">
        <w:rPr>
          <w:noProof/>
          <w:sz w:val="26"/>
          <w:szCs w:val="26"/>
        </w:rPr>
        <w:drawing>
          <wp:inline distT="0" distB="0" distL="0" distR="0" wp14:anchorId="1883CDB9" wp14:editId="1377DEF1">
            <wp:extent cx="3057525" cy="2114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7525" cy="2114550"/>
                    </a:xfrm>
                    <a:prstGeom prst="rect">
                      <a:avLst/>
                    </a:prstGeom>
                    <a:noFill/>
                    <a:ln>
                      <a:noFill/>
                    </a:ln>
                  </pic:spPr>
                </pic:pic>
              </a:graphicData>
            </a:graphic>
          </wp:inline>
        </w:drawing>
      </w:r>
    </w:p>
    <w:p w:rsidR="00EB37F1" w:rsidRDefault="00EB37F1" w:rsidP="000D1941">
      <w:pPr>
        <w:pStyle w:val="textstyle"/>
      </w:pPr>
    </w:p>
    <w:p w:rsidR="00BA1C0D" w:rsidRPr="005D1EE8" w:rsidRDefault="00BA1C0D" w:rsidP="000D1941">
      <w:pPr>
        <w:pStyle w:val="textstyle"/>
      </w:pPr>
      <w:r w:rsidRPr="005D1EE8">
        <w:tab/>
        <w:t>The information on work force levels summarized above reinforces that using unad</w:t>
      </w:r>
      <w:r w:rsidR="009E0AA6">
        <w:softHyphen/>
      </w:r>
      <w:r w:rsidRPr="005D1EE8">
        <w:t>justed 2010 payroll and benefit expenses would not be representative of ongoing conditions since AEP’s work force, including the work force at CSP, OPCo and AEP</w:t>
      </w:r>
      <w:r w:rsidR="00936BC4">
        <w:t>SC</w:t>
      </w:r>
      <w:r w:rsidRPr="005D1EE8">
        <w:t xml:space="preserve"> has been significantly reduced from the levels that existed in early 2010.</w:t>
      </w:r>
      <w:r w:rsidR="00AC1D42">
        <w:rPr>
          <w:rStyle w:val="FootnoteReference"/>
        </w:rPr>
        <w:footnoteReference w:id="86"/>
      </w:r>
    </w:p>
    <w:p w:rsidR="009B184C" w:rsidRDefault="0077481E" w:rsidP="000D1941">
      <w:pPr>
        <w:pStyle w:val="textstyle"/>
      </w:pPr>
      <w:r w:rsidRPr="005D1EE8">
        <w:tab/>
        <w:t xml:space="preserve">Staff has also removed </w:t>
      </w:r>
      <w:r w:rsidR="00BA1C0D" w:rsidRPr="005D1EE8">
        <w:t>payroll and benefit costs from AEP</w:t>
      </w:r>
      <w:r w:rsidR="00936BC4">
        <w:t xml:space="preserve"> Ohio</w:t>
      </w:r>
      <w:r w:rsidR="00BA1C0D" w:rsidRPr="005D1EE8">
        <w:t xml:space="preserve">’s 2010 </w:t>
      </w:r>
      <w:proofErr w:type="spellStart"/>
      <w:r w:rsidR="00BA1C0D" w:rsidRPr="005D1EE8">
        <w:t>O&amp;M</w:t>
      </w:r>
      <w:proofErr w:type="spellEnd"/>
      <w:r w:rsidR="00BA1C0D" w:rsidRPr="005D1EE8">
        <w:t xml:space="preserve"> Expense alloc</w:t>
      </w:r>
      <w:r w:rsidRPr="005D1EE8">
        <w:t>ated to the generation function.</w:t>
      </w:r>
      <w:r w:rsidR="00CB7272" w:rsidRPr="003F778E">
        <w:rPr>
          <w:rStyle w:val="FootnoteReference"/>
        </w:rPr>
        <w:footnoteReference w:id="87"/>
      </w:r>
      <w:r w:rsidRPr="005D1EE8">
        <w:t xml:space="preserve">  </w:t>
      </w:r>
      <w:r w:rsidR="00BA1C0D" w:rsidRPr="005D1EE8">
        <w:t>As shown on Exhibit RCS-1, Schedule C-1, for CSP an amount of $6.022 million is removed for direct payroll expense reduc</w:t>
      </w:r>
      <w:r w:rsidR="009E0AA6">
        <w:softHyphen/>
      </w:r>
      <w:r w:rsidR="00BA1C0D" w:rsidRPr="005D1EE8">
        <w:t>tions for CSP allocated to the generation demand function, and $0.495 million for reduc</w:t>
      </w:r>
      <w:r w:rsidR="009E0AA6">
        <w:softHyphen/>
      </w:r>
      <w:r w:rsidR="00BA1C0D" w:rsidRPr="005D1EE8">
        <w:t>tions in expense to various employee benefits that were directly impacted by the work force reduction.</w:t>
      </w:r>
      <w:r w:rsidR="00CB7272" w:rsidRPr="003F778E">
        <w:rPr>
          <w:rStyle w:val="FootnoteReference"/>
        </w:rPr>
        <w:footnoteReference w:id="88"/>
      </w:r>
      <w:r w:rsidR="00BA1C0D" w:rsidRPr="005D1EE8">
        <w:t xml:space="preserve">  Additionally, $3.533 million is removed for payroll for </w:t>
      </w:r>
      <w:proofErr w:type="spellStart"/>
      <w:r w:rsidR="00BA1C0D" w:rsidRPr="005D1EE8">
        <w:t>AEP</w:t>
      </w:r>
      <w:r w:rsidR="00936BC4">
        <w:t>SC</w:t>
      </w:r>
      <w:proofErr w:type="spellEnd"/>
      <w:r w:rsidR="00BA1C0D" w:rsidRPr="005D1EE8">
        <w:t xml:space="preserve"> employee payroll charged to CSP and allocated to CSP’s generation demand function, </w:t>
      </w:r>
      <w:r w:rsidR="009B184C">
        <w:br w:type="page"/>
      </w:r>
    </w:p>
    <w:p w:rsidR="00BA1C0D" w:rsidRPr="005D1EE8" w:rsidRDefault="00BA1C0D" w:rsidP="000D1941">
      <w:pPr>
        <w:pStyle w:val="textstyle"/>
      </w:pPr>
      <w:r w:rsidRPr="005D1EE8">
        <w:lastRenderedPageBreak/>
        <w:t>and approximately $290,000 for AEP</w:t>
      </w:r>
      <w:r w:rsidR="00936BC4">
        <w:t>SC</w:t>
      </w:r>
      <w:r w:rsidRPr="005D1EE8">
        <w:t xml:space="preserve"> employee benefits.</w:t>
      </w:r>
      <w:r w:rsidR="00CB7272" w:rsidRPr="003F778E">
        <w:rPr>
          <w:rStyle w:val="FootnoteReference"/>
        </w:rPr>
        <w:footnoteReference w:id="89"/>
      </w:r>
      <w:r w:rsidRPr="003F778E">
        <w:t xml:space="preserve"> </w:t>
      </w:r>
      <w:r w:rsidRPr="005D1EE8">
        <w:t xml:space="preserve"> The total reduction in pay</w:t>
      </w:r>
      <w:r w:rsidR="009E0AA6">
        <w:softHyphen/>
      </w:r>
      <w:r w:rsidRPr="005D1EE8">
        <w:t>roll and benefits allocated to CSP’s generation function is $10.340 million.</w:t>
      </w:r>
      <w:r w:rsidR="00CB7272" w:rsidRPr="003F778E">
        <w:rPr>
          <w:rStyle w:val="FootnoteReference"/>
        </w:rPr>
        <w:footnoteReference w:id="90"/>
      </w:r>
    </w:p>
    <w:p w:rsidR="00BA1C0D" w:rsidRPr="005D1EE8" w:rsidRDefault="0077481E" w:rsidP="000D1941">
      <w:pPr>
        <w:pStyle w:val="textstyle"/>
      </w:pPr>
      <w:r w:rsidRPr="005D1EE8">
        <w:tab/>
      </w:r>
      <w:r w:rsidR="00BA1C0D" w:rsidRPr="005D1EE8">
        <w:t>Similarly, as shown on Exhibit RCS-2, Schedule C-1, for OPCo, an amount of $15.734 million is removed for direct payroll expense reductions for OPCo allocated to the generation demand function, and $1.136 million for reductions in expense to various employee benefits that were directly impacted by the work force reduction.</w:t>
      </w:r>
      <w:r w:rsidR="00CB7272">
        <w:rPr>
          <w:rStyle w:val="FootnoteReference"/>
          <w:b/>
        </w:rPr>
        <w:footnoteReference w:id="91"/>
      </w:r>
      <w:r w:rsidR="00BA1C0D" w:rsidRPr="005D1EE8">
        <w:t xml:space="preserve">  Addition</w:t>
      </w:r>
      <w:r w:rsidR="009E0AA6">
        <w:softHyphen/>
      </w:r>
      <w:r w:rsidR="00BA1C0D" w:rsidRPr="005D1EE8">
        <w:t>ally, $7.323 million is removed for payroll for AEP</w:t>
      </w:r>
      <w:r w:rsidR="00936BC4">
        <w:t>SC</w:t>
      </w:r>
      <w:r w:rsidR="00BA1C0D" w:rsidRPr="005D1EE8">
        <w:t xml:space="preserve"> employee payroll charged to OPCo allocated to OPCo’s generation demand function, and approximately $529,000 for AEP</w:t>
      </w:r>
      <w:r w:rsidR="00936BC4">
        <w:t>SC</w:t>
      </w:r>
      <w:r w:rsidR="00BA1C0D" w:rsidRPr="005D1EE8">
        <w:t xml:space="preserve"> employee benefits.</w:t>
      </w:r>
      <w:r w:rsidR="00CB7272">
        <w:rPr>
          <w:rStyle w:val="FootnoteReference"/>
          <w:b/>
        </w:rPr>
        <w:footnoteReference w:id="92"/>
      </w:r>
      <w:r w:rsidR="00BA1C0D" w:rsidRPr="005D1EE8">
        <w:t xml:space="preserve">  The total reduction in payroll and benefits allocated to OPCo’s generation function is $24.722 million.</w:t>
      </w:r>
      <w:r w:rsidR="00CB7272">
        <w:rPr>
          <w:rStyle w:val="FootnoteReference"/>
          <w:b/>
        </w:rPr>
        <w:footnoteReference w:id="93"/>
      </w:r>
    </w:p>
    <w:p w:rsidR="00BD7614" w:rsidRPr="005D1EE8" w:rsidRDefault="00BD7614" w:rsidP="0067532B">
      <w:pPr>
        <w:pStyle w:val="Heading4"/>
        <w:rPr>
          <w:rFonts w:eastAsia="Times New Roman"/>
        </w:rPr>
      </w:pPr>
      <w:bookmarkStart w:id="22" w:name="_Toc325543204"/>
      <w:r w:rsidRPr="005D1EE8">
        <w:rPr>
          <w:noProof/>
        </w:rPr>
        <w:t xml:space="preserve">AEP </w:t>
      </w:r>
      <w:r w:rsidR="00936BC4">
        <w:rPr>
          <w:noProof/>
        </w:rPr>
        <w:t xml:space="preserve">Ohio’s </w:t>
      </w:r>
      <w:r w:rsidRPr="005D1EE8">
        <w:rPr>
          <w:noProof/>
        </w:rPr>
        <w:t>2010 Severance Program Cost</w:t>
      </w:r>
      <w:bookmarkEnd w:id="22"/>
    </w:p>
    <w:p w:rsidR="00B93EA2" w:rsidRDefault="005D1EE8" w:rsidP="000D1941">
      <w:pPr>
        <w:pStyle w:val="textstyle"/>
      </w:pPr>
      <w:r w:rsidRPr="005D1EE8">
        <w:tab/>
        <w:t>The 2010 severance cost m</w:t>
      </w:r>
      <w:r w:rsidR="00322298" w:rsidRPr="005D1EE8">
        <w:t>ust</w:t>
      </w:r>
      <w:r w:rsidR="000F6B5D">
        <w:t xml:space="preserve"> be removed from 2010 O&amp;M e</w:t>
      </w:r>
      <w:r w:rsidR="00714F09" w:rsidRPr="005D1EE8">
        <w:t>xpense because rates for AEP Ohio’s generating capacity are being established prospectively and this was a significant non-recurring cost that was recorded in 2010.</w:t>
      </w:r>
      <w:r w:rsidR="006B66CB">
        <w:t xml:space="preserve">  Staff </w:t>
      </w:r>
      <w:r w:rsidR="00661F0C">
        <w:t>w</w:t>
      </w:r>
      <w:r w:rsidR="006B66CB">
        <w:t>itness Smith stated</w:t>
      </w:r>
      <w:r w:rsidR="00B93EA2">
        <w:t>:</w:t>
      </w:r>
      <w:r w:rsidR="00322298" w:rsidRPr="005D1EE8">
        <w:t xml:space="preserve"> </w:t>
      </w:r>
    </w:p>
    <w:p w:rsidR="00B93EA2" w:rsidRDefault="00322298" w:rsidP="003F778E">
      <w:pPr>
        <w:pStyle w:val="Blockquote"/>
      </w:pPr>
      <w:r w:rsidRPr="005D1EE8">
        <w:t xml:space="preserve">If the </w:t>
      </w:r>
      <w:r w:rsidR="00714F09" w:rsidRPr="005D1EE8">
        <w:t>severance cost</w:t>
      </w:r>
      <w:r w:rsidRPr="005D1EE8">
        <w:t xml:space="preserve"> is amortized, </w:t>
      </w:r>
      <w:r w:rsidR="00714F09" w:rsidRPr="005D1EE8">
        <w:t xml:space="preserve">the amortization should have commenced when the savings began, and there is no demonstrated need for a prospective amortization of 2010 severance cost in the current case to determine a revenue </w:t>
      </w:r>
      <w:r w:rsidR="00714F09" w:rsidRPr="005D1EE8">
        <w:lastRenderedPageBreak/>
        <w:t xml:space="preserve">requirement for AEP Ohio’s capacity.  AEP began to realize cost </w:t>
      </w:r>
      <w:r w:rsidR="00714F09" w:rsidRPr="00CB7272">
        <w:rPr>
          <w:i/>
        </w:rPr>
        <w:t>savings</w:t>
      </w:r>
      <w:r w:rsidR="00714F09" w:rsidRPr="005D1EE8">
        <w:t xml:space="preserve"> due to the reduced salaries as soon as employees accepted the voluntary retirement offer and/or were involun</w:t>
      </w:r>
      <w:r w:rsidR="009E0AA6">
        <w:softHyphen/>
      </w:r>
      <w:r w:rsidR="00714F09" w:rsidRPr="005D1EE8">
        <w:t>tarily terminated in mid-2010.  Amortization of the costs to achieve that savings should have commenced as soon as the savings from the reduced work force and reduced AEPSC charges commenced.  AEP Ohio has not demonstrated that there is any net amount of remaining costs to achieve that has not already been absorbed by related savings experienced by AEP through June 1, 2012, the approximate effective date of new rates in this proceeding</w:t>
      </w:r>
      <w:r w:rsidR="00080F38" w:rsidRPr="005D1EE8">
        <w:t xml:space="preserve">.  </w:t>
      </w:r>
      <w:r w:rsidR="00714F09" w:rsidRPr="005D1EE8">
        <w:t>Consequently, there is no need for a prospective amortization of 2010 severance costs in establishing AEP Ohio’s revenue requirement for capacity rates that would be applied prospectively from June 1, 2012.</w:t>
      </w:r>
      <w:r w:rsidR="00B93EA2" w:rsidRPr="003F778E">
        <w:rPr>
          <w:rStyle w:val="FootnoteReference"/>
        </w:rPr>
        <w:footnoteReference w:id="94"/>
      </w:r>
      <w:r w:rsidR="00714F09" w:rsidRPr="005D1EE8">
        <w:t xml:space="preserve">   </w:t>
      </w:r>
    </w:p>
    <w:p w:rsidR="005D1EE8" w:rsidRPr="005D1EE8" w:rsidRDefault="00714F09" w:rsidP="000D1941">
      <w:pPr>
        <w:pStyle w:val="textstyle"/>
      </w:pPr>
      <w:r w:rsidRPr="005D1EE8">
        <w:t>Severance costs recorded by CSP and OPCo in 2010, including AEPSC charges to these utilities, should therefore be removed in determining a revenue requirement for AEP Ohio's capacity.</w:t>
      </w:r>
      <w:r w:rsidR="00B93EA2" w:rsidRPr="003F778E">
        <w:rPr>
          <w:rStyle w:val="FootnoteReference"/>
        </w:rPr>
        <w:footnoteReference w:id="95"/>
      </w:r>
    </w:p>
    <w:p w:rsidR="00714F09" w:rsidRPr="005D1EE8" w:rsidRDefault="005D1EE8" w:rsidP="000D1941">
      <w:pPr>
        <w:pStyle w:val="textstyle"/>
      </w:pPr>
      <w:r w:rsidRPr="005D1EE8">
        <w:tab/>
      </w:r>
      <w:r w:rsidR="00714F09" w:rsidRPr="005D1EE8">
        <w:t xml:space="preserve">AEP </w:t>
      </w:r>
      <w:r w:rsidR="00936BC4">
        <w:t xml:space="preserve">Ohio </w:t>
      </w:r>
      <w:r w:rsidR="00714F09" w:rsidRPr="005D1EE8">
        <w:t>and its subsidiaries begin to realize sav</w:t>
      </w:r>
      <w:r w:rsidRPr="005D1EE8">
        <w:t>ings from the severance program when it implemented</w:t>
      </w:r>
      <w:r w:rsidR="00714F09" w:rsidRPr="005D1EE8">
        <w:t xml:space="preserve"> a work force reduction program in 2010, and the related payroll savings commenced around June 2010.</w:t>
      </w:r>
      <w:r w:rsidR="00B93EA2" w:rsidRPr="003F778E">
        <w:rPr>
          <w:rStyle w:val="FootnoteReference"/>
        </w:rPr>
        <w:footnoteReference w:id="96"/>
      </w:r>
      <w:r w:rsidR="00714F09" w:rsidRPr="005D1EE8">
        <w:t xml:space="preserve">  One of the primary purposes of this work force reduction was to manage AEP</w:t>
      </w:r>
      <w:r w:rsidR="00936BC4">
        <w:t xml:space="preserve"> Ohio</w:t>
      </w:r>
      <w:r w:rsidR="00714F09" w:rsidRPr="005D1EE8">
        <w:t>’s earnings in view of changing economic condi</w:t>
      </w:r>
      <w:r w:rsidR="009E0AA6">
        <w:softHyphen/>
      </w:r>
      <w:r w:rsidR="00714F09" w:rsidRPr="005D1EE8">
        <w:t>tions.</w:t>
      </w:r>
      <w:r w:rsidR="00B93EA2" w:rsidRPr="003F778E">
        <w:rPr>
          <w:rStyle w:val="FootnoteReference"/>
        </w:rPr>
        <w:footnoteReference w:id="97"/>
      </w:r>
      <w:r w:rsidR="003F778E">
        <w:t xml:space="preserve"> </w:t>
      </w:r>
      <w:r w:rsidR="00714F09" w:rsidRPr="005D1EE8">
        <w:t xml:space="preserve"> AEP</w:t>
      </w:r>
      <w:r w:rsidR="00936BC4">
        <w:t xml:space="preserve"> Ohio</w:t>
      </w:r>
      <w:r w:rsidR="00714F09" w:rsidRPr="005D1EE8">
        <w:t>’s Securities and Exchange Commission (</w:t>
      </w:r>
      <w:r w:rsidR="00080F38">
        <w:t>“</w:t>
      </w:r>
      <w:r w:rsidR="00714F09" w:rsidRPr="005D1EE8">
        <w:t>SEC</w:t>
      </w:r>
      <w:r w:rsidR="00080F38">
        <w:t>”</w:t>
      </w:r>
      <w:r w:rsidR="00714F09" w:rsidRPr="005D1EE8">
        <w:t>) form 10-Q for the quarterly period ending June 30, 2011, for example, describes that cost reduction initia</w:t>
      </w:r>
      <w:r w:rsidR="009E0AA6">
        <w:softHyphen/>
      </w:r>
      <w:r w:rsidR="00714F09" w:rsidRPr="005D1EE8">
        <w:t>tive at page 79 as follows:</w:t>
      </w:r>
    </w:p>
    <w:p w:rsidR="00714F09" w:rsidRPr="005D1EE8" w:rsidRDefault="00714F09" w:rsidP="003F778E">
      <w:pPr>
        <w:pStyle w:val="Blockquote"/>
      </w:pPr>
      <w:r w:rsidRPr="005D1EE8">
        <w:lastRenderedPageBreak/>
        <w:t>In April 2010, we began initiatives to decrease both labor and non-labor expenses with a goal of achieving significant reductions in operation and maintenance expenses.  A total of 2,461 positions were eliminated across the AEP System as a result of process improvements, streamlined organizational designs and other efficiencies</w:t>
      </w:r>
      <w:r w:rsidR="00080F38" w:rsidRPr="005D1EE8">
        <w:t xml:space="preserve">.  </w:t>
      </w:r>
      <w:r w:rsidRPr="005D1EE8">
        <w:t>Most of the affected employ</w:t>
      </w:r>
      <w:r w:rsidR="009E0AA6">
        <w:softHyphen/>
      </w:r>
      <w:r w:rsidRPr="005D1EE8">
        <w:t>ees terminated employment May 31, 2010.  The severance program provided two weeks of base pay for every year of service along with other severance benefits.</w:t>
      </w:r>
    </w:p>
    <w:p w:rsidR="00714F09" w:rsidRPr="005D1EE8" w:rsidRDefault="00714F09" w:rsidP="003F778E">
      <w:pPr>
        <w:pStyle w:val="Blockquote"/>
      </w:pPr>
      <w:r w:rsidRPr="005D1EE8">
        <w:t>We recorded a charge for $293 million to Other Operation expense during the second quarter of 2010 primarily related to severance benefits as the result of the headcount reduction initiatives.</w:t>
      </w:r>
      <w:r w:rsidR="00B93EA2">
        <w:rPr>
          <w:rStyle w:val="FootnoteReference"/>
        </w:rPr>
        <w:footnoteReference w:id="98"/>
      </w:r>
    </w:p>
    <w:p w:rsidR="00714F09" w:rsidRPr="005D1EE8" w:rsidRDefault="00714F09" w:rsidP="000D1941">
      <w:pPr>
        <w:pStyle w:val="textstyle"/>
      </w:pPr>
      <w:r w:rsidRPr="005D1EE8">
        <w:t>AEP</w:t>
      </w:r>
      <w:r w:rsidR="00936BC4">
        <w:t xml:space="preserve"> Ohio</w:t>
      </w:r>
      <w:r w:rsidRPr="005D1EE8">
        <w:t>’s SEC Form 10-K for the year ending December 31, 2010 contains</w:t>
      </w:r>
      <w:r w:rsidR="005D1EE8" w:rsidRPr="005D1EE8">
        <w:t xml:space="preserve"> </w:t>
      </w:r>
      <w:r w:rsidRPr="005D1EE8">
        <w:t>similar statements at page 403, and also states that:</w:t>
      </w:r>
    </w:p>
    <w:p w:rsidR="00714F09" w:rsidRPr="005D1EE8" w:rsidRDefault="00714F09" w:rsidP="003F778E">
      <w:pPr>
        <w:pStyle w:val="Blockquote"/>
      </w:pPr>
      <w:r w:rsidRPr="005D1EE8">
        <w:t>Management recorded a charge to expense in 2010 primarily related to the headcount reduction initiatives.  Management does not expect additional costs to be incurred related to this initiative.</w:t>
      </w:r>
      <w:r w:rsidR="00044F79">
        <w:rPr>
          <w:rStyle w:val="FootnoteReference"/>
        </w:rPr>
        <w:footnoteReference w:id="99"/>
      </w:r>
    </w:p>
    <w:p w:rsidR="005D1EE8" w:rsidRPr="005D1EE8" w:rsidRDefault="00714F09" w:rsidP="000D1941">
      <w:pPr>
        <w:pStyle w:val="textstyle"/>
      </w:pPr>
      <w:r w:rsidRPr="005D1EE8">
        <w:t xml:space="preserve">AEP </w:t>
      </w:r>
      <w:r w:rsidR="00936BC4">
        <w:t xml:space="preserve">Ohio </w:t>
      </w:r>
      <w:r w:rsidRPr="005D1EE8">
        <w:t>began to realize cost savings due to the reduced salaries and benefits as soon as employees accepted the voluntary retirement offer and/or were involuntarily termi</w:t>
      </w:r>
      <w:r w:rsidR="009E0AA6">
        <w:softHyphen/>
      </w:r>
      <w:r w:rsidRPr="005D1EE8">
        <w:t>nated in mid-2010.</w:t>
      </w:r>
      <w:r w:rsidR="00044F79">
        <w:rPr>
          <w:rStyle w:val="FootnoteReference"/>
        </w:rPr>
        <w:footnoteReference w:id="100"/>
      </w:r>
      <w:r w:rsidRPr="005D1EE8">
        <w:t xml:space="preserve">  </w:t>
      </w:r>
    </w:p>
    <w:p w:rsidR="00714F09" w:rsidRPr="005D1EE8" w:rsidRDefault="003F778E" w:rsidP="000D1941">
      <w:pPr>
        <w:pStyle w:val="textstyle"/>
      </w:pPr>
      <w:r>
        <w:tab/>
      </w:r>
      <w:r w:rsidR="005D1EE8">
        <w:t>The r</w:t>
      </w:r>
      <w:r w:rsidR="00714F09" w:rsidRPr="005D1EE8">
        <w:t>egulatory commission in Virginia addressed amortization of severance costs associated with</w:t>
      </w:r>
      <w:r w:rsidR="005D1EE8">
        <w:t xml:space="preserve"> the AEP 2010 severance program i</w:t>
      </w:r>
      <w:r w:rsidR="00714F09" w:rsidRPr="005D1EE8">
        <w:t>n its Final Order dated November 30, 2</w:t>
      </w:r>
      <w:r w:rsidR="007D28AF">
        <w:t>011, in Case No. PUE-2011-00037.</w:t>
      </w:r>
      <w:r w:rsidR="00044F79">
        <w:rPr>
          <w:rStyle w:val="FootnoteReference"/>
        </w:rPr>
        <w:footnoteReference w:id="101"/>
      </w:r>
      <w:r>
        <w:t xml:space="preserve"> </w:t>
      </w:r>
      <w:r w:rsidR="007D28AF">
        <w:t xml:space="preserve"> In that case, which APCO’s</w:t>
      </w:r>
      <w:r w:rsidR="00714F09" w:rsidRPr="005D1EE8">
        <w:t xml:space="preserve"> application for the </w:t>
      </w:r>
      <w:r w:rsidR="00714F09" w:rsidRPr="005D1EE8">
        <w:lastRenderedPageBreak/>
        <w:t>review of rates, the Virginia State Corporation Commission addressed the AEP</w:t>
      </w:r>
      <w:r w:rsidR="00936BC4">
        <w:t xml:space="preserve"> Ohio’s</w:t>
      </w:r>
      <w:r w:rsidR="00714F09" w:rsidRPr="005D1EE8">
        <w:t xml:space="preserve"> severance program cost at pages 16-17 as follows (footnotes omitted):</w:t>
      </w:r>
    </w:p>
    <w:p w:rsidR="00714F09" w:rsidRPr="005D1EE8" w:rsidRDefault="00714F09" w:rsidP="003F778E">
      <w:pPr>
        <w:pStyle w:val="Blockquote"/>
      </w:pPr>
      <w:r w:rsidRPr="005D1EE8">
        <w:t>In 2010, AEP implemented cost reduction initiatives associ</w:t>
      </w:r>
      <w:r w:rsidR="009E0AA6">
        <w:softHyphen/>
      </w:r>
      <w:r w:rsidRPr="005D1EE8">
        <w:t>ated primarily with workforce reductions.  The final cost of the workforce reduction was $299 million at a total AEP level</w:t>
      </w:r>
      <w:r w:rsidR="00080F38" w:rsidRPr="005D1EE8">
        <w:t xml:space="preserve">.  </w:t>
      </w:r>
      <w:r w:rsidRPr="005D1EE8">
        <w:t xml:space="preserve">The Company’s </w:t>
      </w:r>
      <w:r w:rsidR="00080F38">
        <w:t>“</w:t>
      </w:r>
      <w:r w:rsidRPr="005D1EE8">
        <w:t>share of those costs was approxi</w:t>
      </w:r>
      <w:r w:rsidR="009E0AA6">
        <w:softHyphen/>
      </w:r>
      <w:r w:rsidRPr="005D1EE8">
        <w:t>mately $26.7 million, of which $16.7 million of such cos</w:t>
      </w:r>
      <w:r w:rsidR="000F6B5D">
        <w:t>ts was directly related to [APCO</w:t>
      </w:r>
      <w:r w:rsidRPr="005D1EE8">
        <w:t>’s] workforce reductions and approximately $10 million of such costs was for the Com</w:t>
      </w:r>
      <w:r w:rsidR="009E0AA6">
        <w:softHyphen/>
      </w:r>
      <w:r w:rsidRPr="005D1EE8">
        <w:t>pany’s share of [American Electric Power Service Corpora</w:t>
      </w:r>
      <w:r w:rsidR="009E0AA6">
        <w:softHyphen/>
      </w:r>
      <w:r w:rsidRPr="005D1EE8">
        <w:t>tion’s (‘ASPSC’)] workforce reductions.</w:t>
      </w:r>
      <w:r w:rsidR="00080F38">
        <w:t>”</w:t>
      </w:r>
      <w:r w:rsidRPr="005D1EE8">
        <w:t xml:space="preserve">  We reject the Company’s request to defer and amortize the costs of the workforce reduction program over four years beginning with the effective date of the rates provided in this case, which would </w:t>
      </w:r>
      <w:r w:rsidR="00080F38">
        <w:t>“</w:t>
      </w:r>
      <w:r w:rsidRPr="005D1EE8">
        <w:t>cause customers to pay the full amount of the work</w:t>
      </w:r>
      <w:r w:rsidR="009E0AA6">
        <w:softHyphen/>
      </w:r>
      <w:r w:rsidRPr="005D1EE8">
        <w:t>force reduction costs over that period of time.</w:t>
      </w:r>
      <w:r w:rsidR="00080F38">
        <w:t>”</w:t>
      </w:r>
    </w:p>
    <w:p w:rsidR="00714F09" w:rsidRPr="005D1EE8" w:rsidRDefault="00714F09" w:rsidP="003F778E">
      <w:pPr>
        <w:pStyle w:val="Blockquote"/>
      </w:pPr>
      <w:r w:rsidRPr="005D1EE8">
        <w:t>We find that it is reasonable – for regulatory accounting pur</w:t>
      </w:r>
      <w:r w:rsidR="009E0AA6">
        <w:softHyphen/>
      </w:r>
      <w:r w:rsidRPr="005D1EE8">
        <w:t>poses in this case – to match the specific costs of this sever</w:t>
      </w:r>
      <w:r w:rsidR="009E0AA6">
        <w:softHyphen/>
      </w:r>
      <w:r w:rsidRPr="005D1EE8">
        <w:t>ance program with the specific savings related thereto.  We deny the Company’s proposal to evaluate earnings to deter</w:t>
      </w:r>
      <w:r w:rsidR="009E0AA6">
        <w:softHyphen/>
      </w:r>
      <w:r w:rsidRPr="005D1EE8">
        <w:t>mine whether these 2010 costs should be deferred, amortized, and collected in full from ratepayers in the future.  Rather, we conclude that it is appropriate for the amortization of the costs of this program to commence with – and to track – the reali</w:t>
      </w:r>
      <w:r w:rsidR="009E0AA6">
        <w:softHyphen/>
      </w:r>
      <w:r w:rsidRPr="005D1EE8">
        <w:t>zation of the savings related thereto in a manner that effectu</w:t>
      </w:r>
      <w:r w:rsidR="009E0AA6">
        <w:softHyphen/>
      </w:r>
      <w:r w:rsidRPr="005D1EE8">
        <w:t>ates the matching of costs and savings.  Moreover, this find</w:t>
      </w:r>
      <w:r w:rsidR="009E0AA6">
        <w:softHyphen/>
      </w:r>
      <w:r w:rsidRPr="005D1EE8">
        <w:t>ing provides the Company with a reasonable opportunity to recover its severance costs.</w:t>
      </w:r>
    </w:p>
    <w:p w:rsidR="007D28AF" w:rsidRPr="00B93EA2" w:rsidRDefault="00714F09" w:rsidP="003F778E">
      <w:pPr>
        <w:pStyle w:val="Blockquote"/>
      </w:pPr>
      <w:r w:rsidRPr="005D1EE8">
        <w:t>In this regard, based on the evidence presented, we find that the savings realized from this cost reduction initiative exceed the costs therefore prior to the start of the rate year in this case.  As a result, these severance costs will be completely amortized before the beginning of the rate year, and, thus, no such costs shall be inc</w:t>
      </w:r>
      <w:r w:rsidR="003F778E">
        <w:t>luded in rates prospectively.</w:t>
      </w:r>
      <w:r w:rsidR="00044F79">
        <w:rPr>
          <w:rStyle w:val="FootnoteReference"/>
        </w:rPr>
        <w:footnoteReference w:id="102"/>
      </w:r>
    </w:p>
    <w:p w:rsidR="00374992" w:rsidRDefault="00374992" w:rsidP="003F778E">
      <w:r>
        <w:br w:type="page"/>
      </w:r>
    </w:p>
    <w:p w:rsidR="00B93EA2" w:rsidRDefault="007D28AF" w:rsidP="000D1941">
      <w:pPr>
        <w:pStyle w:val="textstyle"/>
      </w:pPr>
      <w:r w:rsidRPr="007D28AF">
        <w:lastRenderedPageBreak/>
        <w:t>This was</w:t>
      </w:r>
      <w:r w:rsidR="00714F09" w:rsidRPr="007D28AF">
        <w:t xml:space="preserve"> the same AEP</w:t>
      </w:r>
      <w:r w:rsidR="00936BC4">
        <w:t xml:space="preserve"> Ohio</w:t>
      </w:r>
      <w:r w:rsidR="00714F09" w:rsidRPr="007D28AF">
        <w:t xml:space="preserve"> 2010 severance program that also impacted </w:t>
      </w:r>
      <w:r w:rsidRPr="007D28AF">
        <w:t>CSP and OPCo in 2010.</w:t>
      </w:r>
      <w:r w:rsidR="00714F09" w:rsidRPr="000D1941">
        <w:rPr>
          <w:rStyle w:val="FootnoteReference"/>
        </w:rPr>
        <w:footnoteReference w:id="103"/>
      </w:r>
      <w:r w:rsidR="00017296" w:rsidRPr="000D1941">
        <w:t xml:space="preserve"> </w:t>
      </w:r>
      <w:r w:rsidR="00017296">
        <w:t xml:space="preserve"> </w:t>
      </w:r>
    </w:p>
    <w:p w:rsidR="00CD1758" w:rsidRDefault="00B93EA2" w:rsidP="000D1941">
      <w:pPr>
        <w:pStyle w:val="textstyle"/>
      </w:pPr>
      <w:r>
        <w:tab/>
      </w:r>
      <w:r w:rsidR="00017296" w:rsidRPr="00017296">
        <w:t>Staff evaluated</w:t>
      </w:r>
      <w:r w:rsidR="00714F09" w:rsidRPr="00017296">
        <w:t xml:space="preserve"> the amortization period of severance cost for CSP and OPCo simi</w:t>
      </w:r>
      <w:r w:rsidR="009E0AA6">
        <w:softHyphen/>
      </w:r>
      <w:r w:rsidR="00714F09" w:rsidRPr="00017296">
        <w:t>larly to the method descri</w:t>
      </w:r>
      <w:r w:rsidR="00017296" w:rsidRPr="00017296">
        <w:t>bed in that Virginia APCO order.</w:t>
      </w:r>
      <w:r w:rsidR="00044F79" w:rsidRPr="000D1941">
        <w:rPr>
          <w:rStyle w:val="FootnoteReference"/>
        </w:rPr>
        <w:footnoteReference w:id="104"/>
      </w:r>
      <w:r w:rsidR="00714F09" w:rsidRPr="000D1941">
        <w:t xml:space="preserve"> </w:t>
      </w:r>
      <w:r w:rsidR="00714F09" w:rsidRPr="005D1EE8">
        <w:t xml:space="preserve"> </w:t>
      </w:r>
      <w:r w:rsidR="00CD1758">
        <w:t>Staff</w:t>
      </w:r>
      <w:r w:rsidR="006B66CB">
        <w:t>’s</w:t>
      </w:r>
      <w:r w:rsidR="00CD1758">
        <w:t xml:space="preserve"> evaluation is as fol</w:t>
      </w:r>
      <w:r w:rsidR="009E0AA6">
        <w:softHyphen/>
      </w:r>
      <w:r w:rsidR="00CD1758">
        <w:t xml:space="preserve">lows: </w:t>
      </w:r>
    </w:p>
    <w:p w:rsidR="00714F09" w:rsidRDefault="00374992" w:rsidP="003F778E">
      <w:pPr>
        <w:pStyle w:val="Blockquote"/>
      </w:pPr>
      <w:r>
        <w:t xml:space="preserve">   </w:t>
      </w:r>
      <w:r w:rsidR="00714F09" w:rsidRPr="005D1EE8">
        <w:t>As shown on Exhibit RCS-1, Schedule C-2, for CSP, total annual payroll savings of approximately $34.536 million would provide for amortization of the total severance cost of $32.213 million over a period of approximately 11 months.  Thus, commencing with June 2010, the amortization of sev</w:t>
      </w:r>
      <w:r w:rsidR="009E0AA6">
        <w:softHyphen/>
      </w:r>
      <w:r w:rsidR="00714F09" w:rsidRPr="005D1EE8">
        <w:t>erance costs for CSP would be effectively completed in approximately May or June of 2011, roughly one year prior to the June 1, 2012 effective date for the CSP capacity rates being established in the current proceeding.  Thus, there is no basis for a prospective amortization of CSP’s severance cost to be included in operating expenses in the current case.</w:t>
      </w:r>
    </w:p>
    <w:p w:rsidR="00714F09" w:rsidRDefault="00374992" w:rsidP="003F778E">
      <w:pPr>
        <w:pStyle w:val="Blockquote"/>
      </w:pPr>
      <w:r>
        <w:t xml:space="preserve">   </w:t>
      </w:r>
      <w:r w:rsidR="00714F09" w:rsidRPr="005D1EE8">
        <w:t>Similarly, as shown on Exhib</w:t>
      </w:r>
      <w:r w:rsidR="005D1EE8" w:rsidRPr="005D1EE8">
        <w:t>it RCS-2, Schedule C-2, for OPCo</w:t>
      </w:r>
      <w:r w:rsidR="00714F09" w:rsidRPr="005D1EE8">
        <w:t>, total annual payroll savings of approximately $49.258 million would provide for amortization of the total severance cost of $52.661 million over a period of approximately 13 months.  Thus, commencing with June 2010, the amortiza</w:t>
      </w:r>
      <w:r w:rsidR="005D1EE8" w:rsidRPr="005D1EE8">
        <w:t>tion of severance costs for OPCo</w:t>
      </w:r>
      <w:r w:rsidR="00714F09" w:rsidRPr="005D1EE8">
        <w:t xml:space="preserve"> would be effectively completed in approximately July 2011, roughly ten months prior to the June 1, 2012 effective date for </w:t>
      </w:r>
      <w:r w:rsidR="005D1EE8" w:rsidRPr="005D1EE8">
        <w:t>the OPCo</w:t>
      </w:r>
      <w:r w:rsidR="00714F09" w:rsidRPr="005D1EE8">
        <w:t xml:space="preserve"> capacity rates being established in the current proceeding.  Thus, there is no basis for a prospective amortization of OPCO’s severance cost to be included in operating expenses in the current case.</w:t>
      </w:r>
    </w:p>
    <w:p w:rsidR="007712F1" w:rsidRDefault="00374992" w:rsidP="003F778E">
      <w:pPr>
        <w:pStyle w:val="Blockquote"/>
      </w:pPr>
      <w:r>
        <w:lastRenderedPageBreak/>
        <w:t xml:space="preserve">   </w:t>
      </w:r>
      <w:r w:rsidR="00017296">
        <w:t>Overall, a</w:t>
      </w:r>
      <w:r w:rsidR="00714F09" w:rsidRPr="005D1EE8">
        <w:t>s shown on Exhibit RCS-1, Schedule C-2, an amount of $9.852 million of severance cost for CSP and allo</w:t>
      </w:r>
      <w:r w:rsidR="009E0AA6">
        <w:softHyphen/>
      </w:r>
      <w:r w:rsidR="00714F09" w:rsidRPr="005D1EE8">
        <w:t>cated AEP Service Company severance costs allocated to CSP’s generation demand function</w:t>
      </w:r>
      <w:r w:rsidR="00557317">
        <w:t xml:space="preserve"> must be</w:t>
      </w:r>
      <w:r w:rsidR="00714F09" w:rsidRPr="005D1EE8">
        <w:t xml:space="preserve"> removed.</w:t>
      </w:r>
      <w:r w:rsidR="00017296">
        <w:t xml:space="preserve">  </w:t>
      </w:r>
      <w:r w:rsidR="00714F09" w:rsidRPr="005D1EE8">
        <w:t>Simi</w:t>
      </w:r>
      <w:r w:rsidR="009E0AA6">
        <w:softHyphen/>
      </w:r>
      <w:r w:rsidR="00714F09" w:rsidRPr="005D1EE8">
        <w:t>larly, as shown on Exhibit RCS-1, Sche</w:t>
      </w:r>
      <w:r w:rsidR="00557317">
        <w:t xml:space="preserve">dule C-2, an amount of $29.152 </w:t>
      </w:r>
      <w:r w:rsidR="00714F09" w:rsidRPr="005D1EE8">
        <w:t>mi</w:t>
      </w:r>
      <w:r w:rsidR="005D1EE8" w:rsidRPr="005D1EE8">
        <w:t>llion of severance cost for OPCo</w:t>
      </w:r>
      <w:r w:rsidR="00714F09" w:rsidRPr="005D1EE8">
        <w:t xml:space="preserve"> and allocated AEP</w:t>
      </w:r>
      <w:r w:rsidR="00557317">
        <w:t>SC</w:t>
      </w:r>
      <w:r w:rsidR="00714F09" w:rsidRPr="005D1EE8">
        <w:t xml:space="preserve"> s</w:t>
      </w:r>
      <w:r w:rsidR="005D1EE8" w:rsidRPr="005D1EE8">
        <w:t>everance costs allocated to OPCo</w:t>
      </w:r>
      <w:r w:rsidR="00714F09" w:rsidRPr="005D1EE8">
        <w:t>’s generation demand function</w:t>
      </w:r>
      <w:r w:rsidR="00557317">
        <w:t xml:space="preserve"> must be removed.</w:t>
      </w:r>
      <w:r w:rsidR="00CD1758" w:rsidRPr="00374992">
        <w:rPr>
          <w:rStyle w:val="FootnoteReference"/>
        </w:rPr>
        <w:footnoteReference w:id="105"/>
      </w:r>
    </w:p>
    <w:p w:rsidR="00BD7614" w:rsidRPr="008C27BA" w:rsidRDefault="007712F1" w:rsidP="0067532B">
      <w:pPr>
        <w:pStyle w:val="Heading4"/>
        <w:rPr>
          <w:rFonts w:eastAsia="Times New Roman"/>
        </w:rPr>
      </w:pPr>
      <w:bookmarkStart w:id="23" w:name="_Toc325543205"/>
      <w:r w:rsidRPr="005D1EE8">
        <w:t>Income T</w:t>
      </w:r>
      <w:r w:rsidR="000F6B5D">
        <w:t>ax Expense</w:t>
      </w:r>
      <w:bookmarkEnd w:id="23"/>
    </w:p>
    <w:p w:rsidR="008C27BA" w:rsidRDefault="008C27BA" w:rsidP="000D1941">
      <w:pPr>
        <w:pStyle w:val="textstyle"/>
      </w:pPr>
      <w:r>
        <w:tab/>
      </w:r>
      <w:r w:rsidR="00356302">
        <w:t>AEP</w:t>
      </w:r>
      <w:r w:rsidR="00936BC4">
        <w:t xml:space="preserve"> Ohio</w:t>
      </w:r>
      <w:r w:rsidRPr="008C27BA">
        <w:t xml:space="preserve"> has</w:t>
      </w:r>
      <w:r w:rsidR="00F31708" w:rsidRPr="008C27BA">
        <w:t xml:space="preserve"> proposed to provide for inc</w:t>
      </w:r>
      <w:r w:rsidRPr="008C27BA">
        <w:t>ome tax expense in its capacity rates.</w:t>
      </w:r>
      <w:r>
        <w:t xml:space="preserve">  </w:t>
      </w:r>
      <w:r w:rsidR="00356302">
        <w:t>AEP</w:t>
      </w:r>
      <w:r w:rsidR="00F31708" w:rsidRPr="00EC1829">
        <w:t xml:space="preserve"> </w:t>
      </w:r>
      <w:r w:rsidR="00936BC4">
        <w:t xml:space="preserve">Ohio </w:t>
      </w:r>
      <w:r w:rsidR="00F31708" w:rsidRPr="00EC1829">
        <w:t>proposes to calculate income tax expense based on an assumption that its requested equity return repr</w:t>
      </w:r>
      <w:r w:rsidR="00356302">
        <w:t>esents taxable income.  AEP</w:t>
      </w:r>
      <w:r w:rsidR="00936BC4">
        <w:t xml:space="preserve"> Ohio</w:t>
      </w:r>
      <w:r w:rsidR="00F31708" w:rsidRPr="00EC1829">
        <w:t xml:space="preserve"> has calculated its proposed income tax expense by applying an income tax rate </w:t>
      </w:r>
      <w:r w:rsidR="00080F38">
        <w:t>“</w:t>
      </w:r>
      <w:r w:rsidR="00F31708" w:rsidRPr="00EC1829">
        <w:t>gross up</w:t>
      </w:r>
      <w:r w:rsidR="00080F38">
        <w:t>”</w:t>
      </w:r>
      <w:r w:rsidR="00F31708" w:rsidRPr="00EC1829">
        <w:t xml:space="preserve"> </w:t>
      </w:r>
      <w:r w:rsidR="00363876">
        <w:t>factor to its requested return.</w:t>
      </w:r>
      <w:r w:rsidR="00363876" w:rsidRPr="00374992">
        <w:rPr>
          <w:rStyle w:val="FootnoteReference"/>
        </w:rPr>
        <w:footnoteReference w:id="106"/>
      </w:r>
      <w:r w:rsidR="00363876" w:rsidRPr="00374992">
        <w:t xml:space="preserve"> </w:t>
      </w:r>
      <w:r w:rsidR="00363876">
        <w:t xml:space="preserve"> </w:t>
      </w:r>
      <w:r w:rsidRPr="008C27BA">
        <w:t>Staff made</w:t>
      </w:r>
      <w:r w:rsidR="00356302">
        <w:t xml:space="preserve"> adjustments to AEP</w:t>
      </w:r>
      <w:r w:rsidR="00936BC4">
        <w:t xml:space="preserve"> Ohio</w:t>
      </w:r>
      <w:r w:rsidR="00F31708" w:rsidRPr="008C27BA">
        <w:t>’s calculation</w:t>
      </w:r>
      <w:r w:rsidRPr="008C27BA">
        <w:t xml:space="preserve"> and</w:t>
      </w:r>
      <w:r w:rsidR="00F31708" w:rsidRPr="00EC1829">
        <w:t xml:space="preserve"> revised the return amount to correspond with the rate base and cost of capital bei</w:t>
      </w:r>
      <w:r w:rsidR="00CD1758">
        <w:t xml:space="preserve">ng used.  Staff </w:t>
      </w:r>
      <w:r w:rsidR="00661F0C">
        <w:t>w</w:t>
      </w:r>
      <w:r w:rsidR="00CD1758">
        <w:t>itness Smith</w:t>
      </w:r>
      <w:r w:rsidR="00F31708" w:rsidRPr="00EC1829">
        <w:t xml:space="preserve"> also reflected a pro forma adjustment for a Domestic Production Activities Deduc</w:t>
      </w:r>
      <w:r w:rsidR="009E0AA6">
        <w:softHyphen/>
      </w:r>
      <w:r w:rsidR="00F31708" w:rsidRPr="00EC1829">
        <w:t>tion</w:t>
      </w:r>
      <w:r w:rsidR="00356302">
        <w:t xml:space="preserve"> (</w:t>
      </w:r>
      <w:r w:rsidR="00080F38">
        <w:t>“</w:t>
      </w:r>
      <w:r w:rsidR="00356302" w:rsidRPr="00EC1829">
        <w:t>DPAD</w:t>
      </w:r>
      <w:r w:rsidR="00080F38">
        <w:t>”</w:t>
      </w:r>
      <w:r w:rsidR="00356302">
        <w:t>)</w:t>
      </w:r>
      <w:r w:rsidR="00F31708" w:rsidRPr="00EC1829">
        <w:t xml:space="preserve"> on a </w:t>
      </w:r>
      <w:r w:rsidR="00080F38">
        <w:t>“</w:t>
      </w:r>
      <w:r w:rsidR="00F31708" w:rsidRPr="00EC1829">
        <w:t>separate return</w:t>
      </w:r>
      <w:r w:rsidR="00080F38">
        <w:t>”</w:t>
      </w:r>
      <w:r w:rsidR="00F31708" w:rsidRPr="00EC1829">
        <w:t xml:space="preserve"> basis.  As shown on Exhibit RCS-1, Schedule E, this produces an allowance for income taxes for CSP of $36.907 million (without the DPAD), for a reduction of $8.984 million from CSP’s requested amount of $45.891 mil</w:t>
      </w:r>
      <w:r w:rsidR="009E0AA6">
        <w:softHyphen/>
      </w:r>
      <w:r w:rsidR="00F31708" w:rsidRPr="00EC1829">
        <w:t xml:space="preserve">lion.  The tax effect of the </w:t>
      </w:r>
      <w:r w:rsidR="00080F38">
        <w:t>“</w:t>
      </w:r>
      <w:r w:rsidR="00F31708" w:rsidRPr="00EC1829">
        <w:t>separate return</w:t>
      </w:r>
      <w:r w:rsidR="00080F38">
        <w:t>”</w:t>
      </w:r>
      <w:r w:rsidR="00F31708" w:rsidRPr="00EC1829">
        <w:t xml:space="preserve"> based</w:t>
      </w:r>
      <w:r w:rsidR="00356302">
        <w:t xml:space="preserve"> DPAD</w:t>
      </w:r>
      <w:r w:rsidRPr="00EC1829">
        <w:t xml:space="preserve"> </w:t>
      </w:r>
      <w:r w:rsidR="00F31708" w:rsidRPr="00EC1829">
        <w:t>calculation reduces that by $3.379 million, for a total reduction to CSP’s requested income taxes of $12.363 mil</w:t>
      </w:r>
      <w:r w:rsidR="009E0AA6">
        <w:softHyphen/>
      </w:r>
      <w:r w:rsidR="00F31708" w:rsidRPr="00EC1829">
        <w:t>lion.</w:t>
      </w:r>
      <w:r w:rsidR="00363876" w:rsidRPr="00374992">
        <w:rPr>
          <w:rStyle w:val="FootnoteReference"/>
        </w:rPr>
        <w:footnoteReference w:id="107"/>
      </w:r>
    </w:p>
    <w:p w:rsidR="00F162C6" w:rsidRPr="008C27BA" w:rsidRDefault="008C27BA" w:rsidP="000D1941">
      <w:pPr>
        <w:pStyle w:val="textstyle"/>
      </w:pPr>
      <w:r>
        <w:lastRenderedPageBreak/>
        <w:tab/>
        <w:t>Similarly, a</w:t>
      </w:r>
      <w:r w:rsidR="00F31708" w:rsidRPr="00EC1829">
        <w:t>s shown on Exhibit RCS-2, Schedule E, this produces an allowance for income taxes for OPCO of $108.811  million (without the DPAD), for a reduction of $14.529 million from OPCO’s requested amount of $123.340  million.</w:t>
      </w:r>
      <w:r w:rsidR="00363876">
        <w:rPr>
          <w:rStyle w:val="FootnoteReference"/>
          <w:b/>
        </w:rPr>
        <w:footnoteReference w:id="108"/>
      </w:r>
      <w:r w:rsidR="00F31708" w:rsidRPr="00EC1829">
        <w:t xml:space="preserve">  The tax effect of the </w:t>
      </w:r>
      <w:r w:rsidR="00080F38">
        <w:t>“</w:t>
      </w:r>
      <w:r w:rsidR="00F31708" w:rsidRPr="00EC1829">
        <w:t>separate return</w:t>
      </w:r>
      <w:r w:rsidR="00080F38">
        <w:t>”</w:t>
      </w:r>
      <w:r w:rsidR="00F31708" w:rsidRPr="00EC1829">
        <w:t xml:space="preserve"> based DPAD calculation reduces that by $0.879 million, for a total reduction to OPCO’s requested income taxes of $15.409 million.</w:t>
      </w:r>
      <w:r w:rsidR="00363876" w:rsidRPr="00374992">
        <w:rPr>
          <w:rStyle w:val="FootnoteReference"/>
        </w:rPr>
        <w:footnoteReference w:id="109"/>
      </w:r>
      <w:r w:rsidR="00F31708" w:rsidRPr="00374992">
        <w:t xml:space="preserve"> </w:t>
      </w:r>
    </w:p>
    <w:p w:rsidR="00BD7614" w:rsidRPr="00F31708" w:rsidRDefault="00BD7614" w:rsidP="0067532B">
      <w:pPr>
        <w:pStyle w:val="Heading4"/>
        <w:rPr>
          <w:rFonts w:eastAsia="Times New Roman"/>
        </w:rPr>
      </w:pPr>
      <w:bookmarkStart w:id="24" w:name="_Toc325543206"/>
      <w:r w:rsidRPr="005D1EE8">
        <w:rPr>
          <w:noProof/>
        </w:rPr>
        <w:t>Domestic Production Activities Deduction</w:t>
      </w:r>
      <w:bookmarkEnd w:id="24"/>
    </w:p>
    <w:p w:rsidR="00374992" w:rsidRDefault="008C27BA" w:rsidP="000D1941">
      <w:pPr>
        <w:pStyle w:val="textstyle"/>
      </w:pPr>
      <w:r>
        <w:rPr>
          <w:bCs/>
        </w:rPr>
        <w:tab/>
      </w:r>
      <w:r w:rsidR="00F31708" w:rsidRPr="00EC1829">
        <w:t xml:space="preserve">Section 199 of the Internal Revenue Code provides for a special deduction for Domestic Production Activities. </w:t>
      </w:r>
      <w:r>
        <w:t xml:space="preserve"> </w:t>
      </w:r>
      <w:r w:rsidR="00F31708" w:rsidRPr="00EC1829">
        <w:t>This is kno</w:t>
      </w:r>
      <w:r>
        <w:t>wn as the §199 Deduction or the DPAD</w:t>
      </w:r>
      <w:r w:rsidR="00080F38" w:rsidRPr="00EC1829">
        <w:t xml:space="preserve">.  </w:t>
      </w:r>
      <w:r w:rsidR="00356302">
        <w:t>Because AEP</w:t>
      </w:r>
      <w:r w:rsidR="00F31708" w:rsidRPr="00EC1829">
        <w:t xml:space="preserve"> </w:t>
      </w:r>
      <w:r w:rsidR="00936BC4">
        <w:t xml:space="preserve">Ohio </w:t>
      </w:r>
      <w:r w:rsidR="00F31708" w:rsidRPr="00EC1829">
        <w:t>has its own generation supply, such activities are considered domestic producti</w:t>
      </w:r>
      <w:r w:rsidR="00356302">
        <w:t>on activities, and thus AEP</w:t>
      </w:r>
      <w:r w:rsidR="00F31708" w:rsidRPr="00EC1829">
        <w:t xml:space="preserve"> are eligible for the DPAD deduction for their  gener</w:t>
      </w:r>
      <w:r w:rsidR="009E0AA6">
        <w:softHyphen/>
      </w:r>
      <w:r w:rsidR="00F31708" w:rsidRPr="00EC1829">
        <w:t>ation operations if they have positive taxable income and meet the other requirements for claiming the deduction.</w:t>
      </w:r>
      <w:r w:rsidR="00363876" w:rsidRPr="00C54F64">
        <w:rPr>
          <w:rStyle w:val="FootnoteReference"/>
        </w:rPr>
        <w:footnoteReference w:id="110"/>
      </w:r>
      <w:r w:rsidR="00F31708" w:rsidRPr="00C54F64">
        <w:t xml:space="preserve"> </w:t>
      </w:r>
      <w:r w:rsidR="00F31708" w:rsidRPr="00EC1829">
        <w:t xml:space="preserve"> For purposes of determining its capacity revenue requir</w:t>
      </w:r>
      <w:r w:rsidR="00356302">
        <w:t>ement, AEP</w:t>
      </w:r>
      <w:r w:rsidR="00936BC4">
        <w:t xml:space="preserve"> Ohio</w:t>
      </w:r>
      <w:r w:rsidR="00F31708" w:rsidRPr="00EC1829">
        <w:t xml:space="preserve"> has taxable income, and otherwise meets the requirements of qualifying for a DPAD on a </w:t>
      </w:r>
      <w:r w:rsidR="00080F38">
        <w:t>“</w:t>
      </w:r>
      <w:r w:rsidR="00F31708" w:rsidRPr="00EC1829">
        <w:t>separate return</w:t>
      </w:r>
      <w:r w:rsidR="00080F38">
        <w:t>”</w:t>
      </w:r>
      <w:r w:rsidR="00F31708" w:rsidRPr="00EC1829">
        <w:t xml:space="preserve"> basis.</w:t>
      </w:r>
      <w:r w:rsidR="00363876">
        <w:rPr>
          <w:rStyle w:val="FootnoteReference"/>
          <w:b/>
        </w:rPr>
        <w:footnoteReference w:id="111"/>
      </w:r>
      <w:r w:rsidR="00F31708" w:rsidRPr="00EC1829">
        <w:t xml:space="preserve"> </w:t>
      </w:r>
      <w:r>
        <w:t xml:space="preserve"> </w:t>
      </w:r>
      <w:r w:rsidR="00F31708" w:rsidRPr="00EC1829">
        <w:t xml:space="preserve">Thus for purposes of determining a </w:t>
      </w:r>
      <w:r w:rsidR="00356302">
        <w:t>revenue require</w:t>
      </w:r>
      <w:r w:rsidR="009E0AA6">
        <w:softHyphen/>
      </w:r>
      <w:r w:rsidR="00356302">
        <w:t>ment for AEP</w:t>
      </w:r>
      <w:r w:rsidR="00936BC4">
        <w:t xml:space="preserve"> Ohio</w:t>
      </w:r>
      <w:r w:rsidR="00F31708" w:rsidRPr="00EC1829">
        <w:t xml:space="preserve">'s generating capacity, the result </w:t>
      </w:r>
      <w:r w:rsidR="00374992">
        <w:br w:type="page"/>
      </w:r>
    </w:p>
    <w:p w:rsidR="00F31708" w:rsidRPr="00EC1829" w:rsidRDefault="00F31708" w:rsidP="000D1941">
      <w:pPr>
        <w:pStyle w:val="textstyle"/>
      </w:pPr>
      <w:r w:rsidRPr="00EC1829">
        <w:lastRenderedPageBreak/>
        <w:t xml:space="preserve">should reflect the reduction to current federal income tax expense for the §199 deduction, computed on a </w:t>
      </w:r>
      <w:r w:rsidR="00080F38">
        <w:t>“</w:t>
      </w:r>
      <w:r w:rsidRPr="00EC1829">
        <w:t>separate return</w:t>
      </w:r>
      <w:r w:rsidR="00080F38">
        <w:t>”</w:t>
      </w:r>
      <w:r w:rsidRPr="00EC1829">
        <w:t xml:space="preserve"> basis.</w:t>
      </w:r>
      <w:r w:rsidR="00363876" w:rsidRPr="00374992">
        <w:rPr>
          <w:rStyle w:val="FootnoteReference"/>
        </w:rPr>
        <w:footnoteReference w:id="112"/>
      </w:r>
    </w:p>
    <w:p w:rsidR="00374992" w:rsidRDefault="008C27BA" w:rsidP="000D1941">
      <w:pPr>
        <w:pStyle w:val="textstyle"/>
      </w:pPr>
      <w:r>
        <w:tab/>
      </w:r>
      <w:r w:rsidR="004743CC">
        <w:t>AEP</w:t>
      </w:r>
      <w:r w:rsidR="00936BC4">
        <w:t xml:space="preserve"> Ohio</w:t>
      </w:r>
      <w:r w:rsidR="00F31708" w:rsidRPr="00EC1829">
        <w:t xml:space="preserve"> participates in the AEP corporate consolidated corporate federal income tax return.</w:t>
      </w:r>
      <w:r w:rsidR="00363876" w:rsidRPr="00C54F64">
        <w:rPr>
          <w:rStyle w:val="FootnoteReference"/>
        </w:rPr>
        <w:footnoteReference w:id="113"/>
      </w:r>
      <w:r w:rsidR="00F31708" w:rsidRPr="00EC1829">
        <w:t xml:space="preserve">  However, for purposes </w:t>
      </w:r>
      <w:r w:rsidR="00356302">
        <w:t>of determine a rate for AEP</w:t>
      </w:r>
      <w:r w:rsidR="00936BC4">
        <w:t xml:space="preserve"> Ohio</w:t>
      </w:r>
      <w:r w:rsidR="00F31708" w:rsidRPr="00EC1829">
        <w:t>’s generation capac</w:t>
      </w:r>
      <w:r w:rsidR="009E0AA6">
        <w:softHyphen/>
      </w:r>
      <w:r w:rsidR="00F31708" w:rsidRPr="00EC1829">
        <w:t xml:space="preserve">ity, the Company’s federal income tax expense is based on an assumption of a </w:t>
      </w:r>
      <w:r w:rsidR="00080F38">
        <w:t>“</w:t>
      </w:r>
      <w:r w:rsidR="00F31708" w:rsidRPr="00EC1829">
        <w:t>separate return</w:t>
      </w:r>
      <w:r w:rsidR="00080F38">
        <w:t>”</w:t>
      </w:r>
      <w:r w:rsidR="00F31708" w:rsidRPr="00EC1829">
        <w:t xml:space="preserve"> </w:t>
      </w:r>
      <w:r w:rsidR="00F31708" w:rsidRPr="00C54F64">
        <w:rPr>
          <w:i/>
        </w:rPr>
        <w:t>(i.e.</w:t>
      </w:r>
      <w:r w:rsidR="00F31708" w:rsidRPr="00EC1829">
        <w:t>, all impacts of the consolidated income tax are ignored for rate</w:t>
      </w:r>
      <w:r w:rsidR="009E0AA6">
        <w:softHyphen/>
      </w:r>
      <w:r w:rsidR="00F31708" w:rsidRPr="00EC1829">
        <w:t>making purposes).  Consequently, for ratemaking purposes it is appropriate to compute the impact on current federal income tax expense for the Company’s generation function on a separate return basis, includi</w:t>
      </w:r>
      <w:r w:rsidR="004743CC">
        <w:t>ng the §199 deduction.</w:t>
      </w:r>
      <w:r w:rsidR="00363876" w:rsidRPr="00C54F64">
        <w:rPr>
          <w:rStyle w:val="FootnoteReference"/>
        </w:rPr>
        <w:footnoteReference w:id="114"/>
      </w:r>
      <w:r w:rsidR="004743CC" w:rsidRPr="00C54F64">
        <w:t xml:space="preserve"> </w:t>
      </w:r>
      <w:r w:rsidR="004743CC">
        <w:t xml:space="preserve"> AEP</w:t>
      </w:r>
      <w:r w:rsidR="00936BC4">
        <w:t xml:space="preserve"> Ohio</w:t>
      </w:r>
      <w:r w:rsidR="00F31708" w:rsidRPr="00EC1829">
        <w:t xml:space="preserve">’s federal income tax expense is being determined on a </w:t>
      </w:r>
      <w:r w:rsidR="00080F38">
        <w:t>“</w:t>
      </w:r>
      <w:r w:rsidR="00F31708" w:rsidRPr="00EC1829">
        <w:t>separate return</w:t>
      </w:r>
      <w:r w:rsidR="00080F38">
        <w:t>”</w:t>
      </w:r>
      <w:r w:rsidR="00F31708" w:rsidRPr="00EC1829">
        <w:t xml:space="preserve"> basis in the current case.</w:t>
      </w:r>
      <w:r w:rsidR="00363876" w:rsidRPr="00C54F64">
        <w:rPr>
          <w:rStyle w:val="FootnoteReference"/>
        </w:rPr>
        <w:footnoteReference w:id="115"/>
      </w:r>
      <w:r w:rsidR="00F31708" w:rsidRPr="00C54F64">
        <w:t xml:space="preserve"> </w:t>
      </w:r>
      <w:r w:rsidR="00363876">
        <w:t xml:space="preserve"> </w:t>
      </w:r>
      <w:r w:rsidR="00F31708" w:rsidRPr="00EC1829">
        <w:t>For its income tax calculation f</w:t>
      </w:r>
      <w:r w:rsidR="008D469F">
        <w:t>or ratemaking purposes, AEP</w:t>
      </w:r>
      <w:r w:rsidR="00F31708" w:rsidRPr="00EC1829">
        <w:t xml:space="preserve"> </w:t>
      </w:r>
      <w:r w:rsidR="00936BC4">
        <w:t xml:space="preserve">Ohio </w:t>
      </w:r>
      <w:r w:rsidR="00F31708" w:rsidRPr="00EC1829">
        <w:t>has assumed that it has fed</w:t>
      </w:r>
      <w:r w:rsidR="009E0AA6">
        <w:softHyphen/>
      </w:r>
      <w:r w:rsidR="00F31708" w:rsidRPr="00EC1829">
        <w:t>eral taxable income and has requested a positive amount of federal income tax expense which is included in its proposed revenue requirement for generation capacity.</w:t>
      </w:r>
      <w:r w:rsidR="00363876" w:rsidRPr="00C54F64">
        <w:rPr>
          <w:rStyle w:val="FootnoteReference"/>
        </w:rPr>
        <w:footnoteReference w:id="116"/>
      </w:r>
      <w:r w:rsidR="00F31708" w:rsidRPr="00C54F64">
        <w:t xml:space="preserve"> </w:t>
      </w:r>
      <w:r w:rsidR="00363876">
        <w:t xml:space="preserve"> </w:t>
      </w:r>
      <w:r w:rsidR="00F31708" w:rsidRPr="00EC1829">
        <w:t>The Company’s generation revenue requirement calculation assumes that the generation function has positive federal taxable income.</w:t>
      </w:r>
      <w:r w:rsidR="00363876" w:rsidRPr="00C54F64">
        <w:rPr>
          <w:rStyle w:val="FootnoteReference"/>
        </w:rPr>
        <w:footnoteReference w:id="117"/>
      </w:r>
      <w:r w:rsidR="00F31708" w:rsidRPr="00EC1829">
        <w:t xml:space="preserve">  It also appears from other </w:t>
      </w:r>
      <w:r w:rsidR="00374992">
        <w:br w:type="page"/>
      </w:r>
    </w:p>
    <w:p w:rsidR="00F31708" w:rsidRPr="008C27BA" w:rsidRDefault="00F31708" w:rsidP="000D1941">
      <w:pPr>
        <w:pStyle w:val="textstyle"/>
      </w:pPr>
      <w:r w:rsidRPr="00EC1829">
        <w:lastRenderedPageBreak/>
        <w:t xml:space="preserve">information that both CSP and OPCo would have qualified for a DPAD for 2010 based on their </w:t>
      </w:r>
      <w:r w:rsidR="00080F38">
        <w:t>“</w:t>
      </w:r>
      <w:r w:rsidRPr="00EC1829">
        <w:t>separate return</w:t>
      </w:r>
      <w:r w:rsidR="00080F38">
        <w:t>”</w:t>
      </w:r>
      <w:r w:rsidRPr="00EC1829">
        <w:t xml:space="preserve"> information.</w:t>
      </w:r>
      <w:r w:rsidR="00363876" w:rsidRPr="00C54F64">
        <w:rPr>
          <w:rStyle w:val="FootnoteReference"/>
        </w:rPr>
        <w:footnoteReference w:id="118"/>
      </w:r>
    </w:p>
    <w:p w:rsidR="007A6878" w:rsidRDefault="008C27BA" w:rsidP="000D1941">
      <w:pPr>
        <w:pStyle w:val="textstyle"/>
      </w:pPr>
      <w:r>
        <w:tab/>
      </w:r>
      <w:r w:rsidR="00F31708" w:rsidRPr="008C27BA">
        <w:t>AEP</w:t>
      </w:r>
      <w:r w:rsidRPr="008C27BA">
        <w:t xml:space="preserve"> </w:t>
      </w:r>
      <w:r w:rsidR="00936BC4">
        <w:t xml:space="preserve">Ohio </w:t>
      </w:r>
      <w:r w:rsidRPr="008C27BA">
        <w:t>did not</w:t>
      </w:r>
      <w:r w:rsidR="00F31708" w:rsidRPr="008C27BA">
        <w:t xml:space="preserve"> include a calculation of the §199 deduction impact in its reve</w:t>
      </w:r>
      <w:r w:rsidR="009E0AA6">
        <w:softHyphen/>
      </w:r>
      <w:r w:rsidR="00F31708" w:rsidRPr="008C27BA">
        <w:t>nue requirement for generation capacity</w:t>
      </w:r>
      <w:r w:rsidRPr="008C27BA">
        <w:t>.</w:t>
      </w:r>
      <w:r w:rsidR="00363876" w:rsidRPr="00C54F64">
        <w:rPr>
          <w:rStyle w:val="FootnoteReference"/>
        </w:rPr>
        <w:footnoteReference w:id="119"/>
      </w:r>
      <w:r w:rsidRPr="00C54F64">
        <w:rPr>
          <w:rStyle w:val="FootnoteReference"/>
        </w:rPr>
        <w:t xml:space="preserve"> </w:t>
      </w:r>
      <w:r>
        <w:t xml:space="preserve"> </w:t>
      </w:r>
      <w:r w:rsidR="00356302">
        <w:t>Nowhere in the AEP</w:t>
      </w:r>
      <w:r w:rsidR="00F31708" w:rsidRPr="00EC1829">
        <w:t xml:space="preserve"> </w:t>
      </w:r>
      <w:r w:rsidR="00936BC4">
        <w:t xml:space="preserve">Ohio </w:t>
      </w:r>
      <w:r w:rsidR="00F31708" w:rsidRPr="00EC1829">
        <w:t>revenue require</w:t>
      </w:r>
      <w:r w:rsidR="009E0AA6">
        <w:softHyphen/>
      </w:r>
      <w:r w:rsidR="00F31708" w:rsidRPr="00EC1829">
        <w:t>ment calculation for capacity is the impact of a pro forma §199 deduction accounted for.</w:t>
      </w:r>
      <w:r w:rsidR="00363876" w:rsidRPr="00C54F64">
        <w:rPr>
          <w:rStyle w:val="FootnoteReference"/>
        </w:rPr>
        <w:footnoteReference w:id="120"/>
      </w:r>
      <w:r w:rsidRPr="00C54F64">
        <w:rPr>
          <w:rStyle w:val="FootnoteReference"/>
        </w:rPr>
        <w:t xml:space="preserve"> </w:t>
      </w:r>
      <w:r>
        <w:t xml:space="preserve"> </w:t>
      </w:r>
      <w:r w:rsidR="00F31708" w:rsidRPr="00EC1829">
        <w:t>The §199 deduction for Domestic Production Activities is computed on IRS form 8903.  The DPAD that is computed on form 8903 appears on the front page of the corpo</w:t>
      </w:r>
      <w:r w:rsidR="009E0AA6">
        <w:softHyphen/>
      </w:r>
      <w:r w:rsidR="00F31708" w:rsidRPr="00EC1829">
        <w:t>rate federal income tax return (form 1120) on line 25.</w:t>
      </w:r>
      <w:r w:rsidR="00363876" w:rsidRPr="00C54F64">
        <w:rPr>
          <w:rStyle w:val="FootnoteReference"/>
        </w:rPr>
        <w:footnoteReference w:id="121"/>
      </w:r>
      <w:r w:rsidR="00F31708" w:rsidRPr="00C54F64">
        <w:rPr>
          <w:rStyle w:val="FootnoteReference"/>
        </w:rPr>
        <w:t xml:space="preserve"> </w:t>
      </w:r>
      <w:r>
        <w:t xml:space="preserve"> </w:t>
      </w:r>
      <w:r w:rsidR="00F31708" w:rsidRPr="00EC1829">
        <w:t>It is an additional deduction that is beyond the operating expenses recorded by the utility on its books and the other tax deductions.</w:t>
      </w:r>
      <w:r w:rsidR="00363876" w:rsidRPr="00C54F64">
        <w:rPr>
          <w:rStyle w:val="FootnoteReference"/>
        </w:rPr>
        <w:footnoteReference w:id="122"/>
      </w:r>
      <w:r w:rsidR="00F31708" w:rsidRPr="00C54F64">
        <w:rPr>
          <w:rStyle w:val="FootnoteReference"/>
        </w:rPr>
        <w:t xml:space="preserve"> </w:t>
      </w:r>
    </w:p>
    <w:p w:rsidR="004A4B37" w:rsidRDefault="007A6878" w:rsidP="000D1941">
      <w:pPr>
        <w:pStyle w:val="textstyle"/>
      </w:pPr>
      <w:r>
        <w:tab/>
      </w:r>
      <w:r w:rsidR="00810437">
        <w:t>Furthermore, the inconsistency in AEP</w:t>
      </w:r>
      <w:r w:rsidR="00936BC4">
        <w:t xml:space="preserve"> Ohio</w:t>
      </w:r>
      <w:r w:rsidR="00810437">
        <w:t>’s</w:t>
      </w:r>
      <w:r w:rsidR="00810437" w:rsidRPr="00EC1829">
        <w:t xml:space="preserve"> application of the </w:t>
      </w:r>
      <w:r w:rsidR="00080F38">
        <w:t>“</w:t>
      </w:r>
      <w:r w:rsidR="00810437" w:rsidRPr="00EC1829">
        <w:t>separate</w:t>
      </w:r>
      <w:r w:rsidR="00356302">
        <w:t xml:space="preserve"> return</w:t>
      </w:r>
      <w:r w:rsidR="00080F38">
        <w:t>”</w:t>
      </w:r>
      <w:r w:rsidR="00356302">
        <w:t xml:space="preserve"> concept causes AEP</w:t>
      </w:r>
      <w:r w:rsidR="00936BC4">
        <w:t xml:space="preserve"> Ohio</w:t>
      </w:r>
      <w:r w:rsidR="00810437" w:rsidRPr="00EC1829">
        <w:t>'s income tax request to be overstated.</w:t>
      </w:r>
      <w:r w:rsidR="00D36A5D">
        <w:t xml:space="preserve">  Staff </w:t>
      </w:r>
      <w:r w:rsidR="00661F0C">
        <w:t>w</w:t>
      </w:r>
      <w:r w:rsidR="006B66CB">
        <w:t>itness Smith stated</w:t>
      </w:r>
      <w:r w:rsidR="004A4B37">
        <w:t>:</w:t>
      </w:r>
    </w:p>
    <w:p w:rsidR="00810437" w:rsidRDefault="00324CFC" w:rsidP="00C54F64">
      <w:pPr>
        <w:pStyle w:val="Blockquote"/>
      </w:pPr>
      <w:r>
        <w:t>[w]</w:t>
      </w:r>
      <w:r w:rsidR="00F31708" w:rsidRPr="00EC1829">
        <w:t>here a utility participates in a consolidated federal income tax return wi</w:t>
      </w:r>
      <w:r w:rsidR="00810437">
        <w:t>th other affiliates, the §</w:t>
      </w:r>
      <w:r w:rsidR="00F31708" w:rsidRPr="00EC1829">
        <w:t xml:space="preserve">199 deduction amount that is allocated to a utility as result of participating in the consolidated tax return can be lower than the Section 199 deduction when computed on a </w:t>
      </w:r>
      <w:r w:rsidR="00080F38">
        <w:t>“</w:t>
      </w:r>
      <w:r w:rsidR="00F31708" w:rsidRPr="00EC1829">
        <w:t>stand alone</w:t>
      </w:r>
      <w:r w:rsidR="00080F38">
        <w:t>”</w:t>
      </w:r>
      <w:r w:rsidR="00F31708" w:rsidRPr="00EC1829">
        <w:t xml:space="preserve"> basis for the utility.  Because of other impacts on the consolidated return, the amount of the allocated DPAD can be lower than if it had </w:t>
      </w:r>
      <w:r w:rsidR="00F31708" w:rsidRPr="00EC1829">
        <w:lastRenderedPageBreak/>
        <w:t>been computed on a separate standa</w:t>
      </w:r>
      <w:r w:rsidR="004743CC">
        <w:t>lone tax return basis.  AEP</w:t>
      </w:r>
      <w:r w:rsidR="00F31708" w:rsidRPr="00EC1829">
        <w:t>’s proposed revenue requirement for generating capacity and its computation of income tax expense for purposes of determining capacity rates in the current proceeding is essen</w:t>
      </w:r>
      <w:r w:rsidR="00080F38">
        <w:softHyphen/>
      </w:r>
      <w:r w:rsidR="00F31708" w:rsidRPr="00EC1829">
        <w:t>tially based on the assumption that CSP and OPCo each file a separate standalone tax return for all income and deductions.  The §1</w:t>
      </w:r>
      <w:r w:rsidR="004743CC">
        <w:t>99 Deduction related to AEP</w:t>
      </w:r>
      <w:r w:rsidR="00F31708" w:rsidRPr="00EC1829">
        <w:t>’s generation revenue requirement should therefore, also reflect the §199 deduction computed on separate return basis.  In other words, for rate</w:t>
      </w:r>
      <w:r w:rsidR="00080F38">
        <w:softHyphen/>
      </w:r>
      <w:r w:rsidR="00F31708" w:rsidRPr="00EC1829">
        <w:t>making purposes</w:t>
      </w:r>
      <w:r w:rsidR="00810437">
        <w:t>,</w:t>
      </w:r>
      <w:r w:rsidR="00F31708" w:rsidRPr="00EC1829">
        <w:t xml:space="preserve"> all components of the income tax expense should be computed on a standalone separate tax return basis, including the §199 Deduction, as a matter of conceptual and computational consistency. </w:t>
      </w:r>
      <w:r w:rsidR="00810437">
        <w:t xml:space="preserve"> I</w:t>
      </w:r>
      <w:r w:rsidR="00F31708" w:rsidRPr="00EC1829">
        <w:t>t would not be appropriate to randomly quantify certain components of an income tax expense computation on a standalone basis and other com</w:t>
      </w:r>
      <w:r w:rsidR="003042DE">
        <w:softHyphen/>
      </w:r>
      <w:r w:rsidR="00F31708" w:rsidRPr="00EC1829">
        <w:t>ponents on a consolidated basis.  By omitting a DPAD for CSP and OPCo,</w:t>
      </w:r>
      <w:r w:rsidR="00810437">
        <w:t xml:space="preserve"> AEP</w:t>
      </w:r>
      <w:r w:rsidR="00F31708" w:rsidRPr="00EC1829">
        <w:t xml:space="preserve"> is applying a consolidated tax return concept, whereas for all other aspects of the income tax cal</w:t>
      </w:r>
      <w:r w:rsidR="00080F38">
        <w:softHyphen/>
      </w:r>
      <w:r w:rsidR="00F31708" w:rsidRPr="00EC1829">
        <w:t xml:space="preserve">culations, a </w:t>
      </w:r>
      <w:r w:rsidR="00080F38">
        <w:t>“</w:t>
      </w:r>
      <w:r w:rsidR="00F31708" w:rsidRPr="00EC1829">
        <w:t>separate retu</w:t>
      </w:r>
      <w:r w:rsidR="00810437">
        <w:t>rn</w:t>
      </w:r>
      <w:r w:rsidR="00080F38">
        <w:t>”</w:t>
      </w:r>
      <w:r w:rsidR="00810437">
        <w:t xml:space="preserve"> concept is being applied.  Again, the inconsistency</w:t>
      </w:r>
      <w:r w:rsidR="004743CC">
        <w:t xml:space="preserve"> causes AEP</w:t>
      </w:r>
      <w:r w:rsidR="00F31708" w:rsidRPr="00EC1829">
        <w:t>'s income tax request to be overstated.</w:t>
      </w:r>
      <w:r w:rsidRPr="00C54F64">
        <w:rPr>
          <w:rStyle w:val="FootnoteReference"/>
        </w:rPr>
        <w:footnoteReference w:id="123"/>
      </w:r>
    </w:p>
    <w:p w:rsidR="00324CFC" w:rsidRDefault="00810437" w:rsidP="000D1941">
      <w:pPr>
        <w:pStyle w:val="textstyle"/>
      </w:pPr>
      <w:r>
        <w:tab/>
      </w:r>
      <w:r w:rsidR="00F31708" w:rsidRPr="00EE46A7">
        <w:t>The</w:t>
      </w:r>
      <w:r>
        <w:t xml:space="preserve"> </w:t>
      </w:r>
      <w:r w:rsidR="00F31708" w:rsidRPr="00EE46A7">
        <w:t>principle that it is not appropriate to randomly quantify certain components of an income tax expense computation on a standalone basis and other components on a consolidat</w:t>
      </w:r>
      <w:r w:rsidR="00356302">
        <w:t>ed basis would apply to AEP</w:t>
      </w:r>
      <w:r w:rsidR="00936BC4">
        <w:t xml:space="preserve"> Ohio</w:t>
      </w:r>
      <w:r w:rsidR="00F31708" w:rsidRPr="00EE46A7">
        <w:t xml:space="preserve"> in the current case.  </w:t>
      </w:r>
      <w:r w:rsidR="006B66CB">
        <w:t xml:space="preserve">Staff Witness </w:t>
      </w:r>
      <w:r w:rsidR="00661F0C">
        <w:t>s</w:t>
      </w:r>
      <w:r w:rsidR="006B66CB">
        <w:t>mith stated</w:t>
      </w:r>
      <w:r w:rsidR="00324CFC">
        <w:t xml:space="preserve"> that:</w:t>
      </w:r>
    </w:p>
    <w:p w:rsidR="00A35AC7" w:rsidRDefault="00324CFC" w:rsidP="00C54F64">
      <w:pPr>
        <w:pStyle w:val="Blockquote"/>
      </w:pPr>
      <w:r>
        <w:t>[f]</w:t>
      </w:r>
      <w:r w:rsidR="00F31708" w:rsidRPr="00EE46A7">
        <w:t xml:space="preserve">or purposes of determining a revenue requirement and </w:t>
      </w:r>
      <w:r w:rsidR="004743CC">
        <w:t>cost rate for capacity, AEP</w:t>
      </w:r>
      <w:r w:rsidR="00F31708" w:rsidRPr="00EE46A7">
        <w:t xml:space="preserve"> has computed its federal income tax expense for ratemaking purposes on a </w:t>
      </w:r>
      <w:r w:rsidR="00080F38">
        <w:t>“</w:t>
      </w:r>
      <w:r w:rsidR="00F31708" w:rsidRPr="00EE46A7">
        <w:t>separate return</w:t>
      </w:r>
      <w:r w:rsidR="00080F38">
        <w:t>”</w:t>
      </w:r>
      <w:r w:rsidR="00F31708" w:rsidRPr="00EE46A7">
        <w:t xml:space="preserve"> basis. </w:t>
      </w:r>
      <w:r w:rsidR="00810437">
        <w:t xml:space="preserve"> The Company has</w:t>
      </w:r>
      <w:r w:rsidR="00F31708" w:rsidRPr="00EE46A7">
        <w:t xml:space="preserve"> essentially based their request for income tax expense at proposed rates upon the current taxable income represented by the return on equity (grossed up for income taxes), and have reduced that only for ITC amortization, but not for other deductions, such as the DPAD, that CSP or OPCo would claim on a </w:t>
      </w:r>
      <w:r w:rsidR="00080F38">
        <w:t>“</w:t>
      </w:r>
      <w:r w:rsidR="00F31708" w:rsidRPr="00EE46A7">
        <w:t>separate return</w:t>
      </w:r>
      <w:r w:rsidR="00080F38">
        <w:t>”</w:t>
      </w:r>
      <w:r w:rsidR="00F31708" w:rsidRPr="00EE46A7">
        <w:t xml:space="preserve"> basis</w:t>
      </w:r>
      <w:r w:rsidR="00080F38" w:rsidRPr="00EE46A7">
        <w:t xml:space="preserve">.  </w:t>
      </w:r>
      <w:r w:rsidR="00F31708" w:rsidRPr="00EE46A7">
        <w:t xml:space="preserve">Nor have the companies reflected any benefit from participating in the AEP </w:t>
      </w:r>
      <w:r w:rsidR="00F31708" w:rsidRPr="00EE46A7">
        <w:lastRenderedPageBreak/>
        <w:t>consolidated federal income tax return in their proposed income tax calculat</w:t>
      </w:r>
      <w:r w:rsidR="004743CC">
        <w:t>ions.  AEP</w:t>
      </w:r>
      <w:r w:rsidR="00F31708" w:rsidRPr="00EE46A7">
        <w:t xml:space="preserve"> has not reflected the §199 deduction that CSP and OPCo would be eligible for on a sep</w:t>
      </w:r>
      <w:r w:rsidR="009E0AA6">
        <w:softHyphen/>
      </w:r>
      <w:r w:rsidR="00F31708" w:rsidRPr="00EE46A7">
        <w:t>arate return basis.  Consistent ratemaking treatment would thus require the §199 deduction to be reflected for ratemaking purposes by preparing a pro forma calculation that is con</w:t>
      </w:r>
      <w:r w:rsidR="009E0AA6">
        <w:softHyphen/>
      </w:r>
      <w:r w:rsidR="00F31708" w:rsidRPr="00EE46A7">
        <w:t xml:space="preserve">sistent with the </w:t>
      </w:r>
      <w:r w:rsidR="00080F38">
        <w:t>“</w:t>
      </w:r>
      <w:r w:rsidR="00F31708" w:rsidRPr="00EE46A7">
        <w:t>separate return</w:t>
      </w:r>
      <w:r w:rsidR="00080F38">
        <w:t>”</w:t>
      </w:r>
      <w:r w:rsidR="00F31708" w:rsidRPr="00EE46A7">
        <w:t xml:space="preserve"> concept that is being used for ratemaking </w:t>
      </w:r>
      <w:r w:rsidR="00F31708" w:rsidRPr="00A35AC7">
        <w:t>purposes.</w:t>
      </w:r>
      <w:r w:rsidRPr="00C54F64">
        <w:rPr>
          <w:rStyle w:val="FootnoteReference"/>
        </w:rPr>
        <w:footnoteReference w:id="124"/>
      </w:r>
    </w:p>
    <w:p w:rsidR="00BD7614" w:rsidRPr="00324CFC" w:rsidRDefault="00A35AC7" w:rsidP="000D1941">
      <w:pPr>
        <w:pStyle w:val="textstyle"/>
      </w:pPr>
      <w:r w:rsidRPr="00A35AC7">
        <w:tab/>
        <w:t>AEP</w:t>
      </w:r>
      <w:r w:rsidR="00F31708" w:rsidRPr="00A35AC7">
        <w:t xml:space="preserve"> </w:t>
      </w:r>
      <w:r w:rsidR="00936BC4">
        <w:t xml:space="preserve">Ohio </w:t>
      </w:r>
      <w:r w:rsidRPr="00A35AC7">
        <w:t xml:space="preserve">provided calculations of the §199 deduction/DPAD for CSP and OPCo on a </w:t>
      </w:r>
      <w:r w:rsidR="00080F38">
        <w:t>“</w:t>
      </w:r>
      <w:r w:rsidRPr="00A35AC7">
        <w:t>separate return</w:t>
      </w:r>
      <w:r w:rsidR="00080F38">
        <w:t>”</w:t>
      </w:r>
      <w:r w:rsidRPr="00A35AC7">
        <w:t xml:space="preserve"> basis for 2010.</w:t>
      </w:r>
      <w:r w:rsidR="00324CFC" w:rsidRPr="00C54F64">
        <w:rPr>
          <w:rStyle w:val="FootnoteReference"/>
        </w:rPr>
        <w:footnoteReference w:id="125"/>
      </w:r>
      <w:r w:rsidRPr="00C54F64">
        <w:t xml:space="preserve"> </w:t>
      </w:r>
      <w:r w:rsidRPr="00A35AC7">
        <w:t xml:space="preserve"> </w:t>
      </w:r>
      <w:r w:rsidR="00F31708" w:rsidRPr="00A35AC7">
        <w:t>For purposes of determining the generation</w:t>
      </w:r>
      <w:r w:rsidRPr="00A35AC7">
        <w:t xml:space="preserve"> capac</w:t>
      </w:r>
      <w:r w:rsidR="009E0AA6">
        <w:softHyphen/>
      </w:r>
      <w:r w:rsidRPr="00A35AC7">
        <w:t xml:space="preserve">ity revenue requirement, Staff </w:t>
      </w:r>
      <w:r w:rsidR="00661F0C">
        <w:t>w</w:t>
      </w:r>
      <w:r w:rsidRPr="00A35AC7">
        <w:t>itness Smith</w:t>
      </w:r>
      <w:r w:rsidR="00F31708" w:rsidRPr="00EE46A7">
        <w:t xml:space="preserve"> prepared a calculation of the §199 deduction and the related reduction to current income tax expense on a separate return basis for CSP and OPCo.</w:t>
      </w:r>
      <w:r w:rsidRPr="00C54F64">
        <w:rPr>
          <w:rStyle w:val="FootnoteReference"/>
        </w:rPr>
        <w:footnoteReference w:id="126"/>
      </w:r>
      <w:r>
        <w:t xml:space="preserve">  </w:t>
      </w:r>
      <w:r w:rsidR="00F31708" w:rsidRPr="00EE46A7">
        <w:t xml:space="preserve">Once it is determined that the entity has qualifying domestic production activities, which CSP </w:t>
      </w:r>
      <w:r w:rsidR="00F31708" w:rsidRPr="00324CFC">
        <w:t>and OPCo each do for their electric generation opera</w:t>
      </w:r>
      <w:r w:rsidR="009E0AA6">
        <w:softHyphen/>
      </w:r>
      <w:r w:rsidR="00F31708" w:rsidRPr="00324CFC">
        <w:t>tions, there are three factors that limit the amount of deduction for domestic production activities: (1) Qualified Production Activities Income; (2) Taxable Income; and (3) W-2 wages.</w:t>
      </w:r>
      <w:r w:rsidR="00324CFC" w:rsidRPr="00C54F64">
        <w:rPr>
          <w:rStyle w:val="FootnoteReference"/>
        </w:rPr>
        <w:footnoteReference w:id="127"/>
      </w:r>
      <w:r w:rsidR="00F31708" w:rsidRPr="00324CFC">
        <w:t xml:space="preserve">  As shown on Schedule E of Exhibits RCS-1 and RCS-2, for CSP’s and OPCo’s genera</w:t>
      </w:r>
      <w:r w:rsidRPr="00324CFC">
        <w:t>tion operations, respectively, Smith</w:t>
      </w:r>
      <w:r w:rsidR="00F31708" w:rsidRPr="00324CFC">
        <w:t xml:space="preserve"> computed a pro forma §199 deduction on a separate return basis that takes into consideration each of these three factors.</w:t>
      </w:r>
      <w:r w:rsidR="00324CFC" w:rsidRPr="00C54F64">
        <w:rPr>
          <w:rStyle w:val="FootnoteReference"/>
        </w:rPr>
        <w:footnoteReference w:id="128"/>
      </w:r>
      <w:r w:rsidR="00F31708" w:rsidRPr="00324CFC">
        <w:t xml:space="preserve"> </w:t>
      </w:r>
      <w:r w:rsidR="00324CFC">
        <w:t xml:space="preserve"> </w:t>
      </w:r>
      <w:r w:rsidR="00F31708" w:rsidRPr="00324CFC">
        <w:t xml:space="preserve">The tax effect of the pro forma §199 deduction thus reduces income tax expense for CSP by </w:t>
      </w:r>
      <w:r w:rsidR="00F31708" w:rsidRPr="00324CFC">
        <w:lastRenderedPageBreak/>
        <w:t>$3.379 million as shown on Exhibit RCS-1, Schedule E.</w:t>
      </w:r>
      <w:r w:rsidR="00324CFC" w:rsidRPr="00C54F64">
        <w:rPr>
          <w:rStyle w:val="FootnoteReference"/>
        </w:rPr>
        <w:footnoteReference w:id="129"/>
      </w:r>
      <w:r w:rsidR="00F31708" w:rsidRPr="00324CFC">
        <w:t xml:space="preserve">  Similarly, the tax effect of the DPAD reduces income tax expense for OPCo by $0.879 million, as shown on Exhibit RCS-2, Schedule E.</w:t>
      </w:r>
      <w:r w:rsidR="00324CFC">
        <w:rPr>
          <w:rStyle w:val="FootnoteReference"/>
          <w:b/>
        </w:rPr>
        <w:footnoteReference w:id="130"/>
      </w:r>
      <w:r w:rsidR="00F31708" w:rsidRPr="00324CFC">
        <w:t xml:space="preserve">  </w:t>
      </w:r>
    </w:p>
    <w:p w:rsidR="00471868" w:rsidRPr="00324CFC" w:rsidRDefault="00BD7614" w:rsidP="0067532B">
      <w:pPr>
        <w:pStyle w:val="Heading4"/>
        <w:rPr>
          <w:rFonts w:eastAsia="Times New Roman"/>
        </w:rPr>
      </w:pPr>
      <w:bookmarkStart w:id="25" w:name="_Toc325543207"/>
      <w:r w:rsidRPr="00324CFC">
        <w:rPr>
          <w:noProof/>
        </w:rPr>
        <w:t>Payroll Tax Expense</w:t>
      </w:r>
      <w:bookmarkEnd w:id="25"/>
    </w:p>
    <w:p w:rsidR="00A35AC7" w:rsidRPr="00324CFC" w:rsidRDefault="00C54F64" w:rsidP="000D1941">
      <w:pPr>
        <w:pStyle w:val="textstyle"/>
      </w:pPr>
      <w:r>
        <w:tab/>
      </w:r>
      <w:r w:rsidR="00A35AC7" w:rsidRPr="00324CFC">
        <w:t xml:space="preserve">Staff </w:t>
      </w:r>
      <w:r w:rsidR="00661F0C">
        <w:t>w</w:t>
      </w:r>
      <w:r w:rsidR="00A35AC7" w:rsidRPr="00324CFC">
        <w:t>itness Smith reflected an adjustment for Taxes Other Than Income Taxes for CSP and OPCo.</w:t>
      </w:r>
      <w:r w:rsidR="00A35AC7" w:rsidRPr="00324CFC">
        <w:rPr>
          <w:rStyle w:val="FootnoteReference"/>
          <w:b/>
        </w:rPr>
        <w:footnoteReference w:id="131"/>
      </w:r>
      <w:r w:rsidR="00A35AC7" w:rsidRPr="00324CFC">
        <w:t xml:space="preserve">  The reduction in 2010 payroll expense related to the lower work force after the AEP</w:t>
      </w:r>
      <w:r w:rsidR="00936BC4">
        <w:t xml:space="preserve"> Ohio</w:t>
      </w:r>
      <w:r w:rsidR="00A35AC7" w:rsidRPr="00324CFC">
        <w:t xml:space="preserve"> severance </w:t>
      </w:r>
      <w:proofErr w:type="gramStart"/>
      <w:r w:rsidR="00A35AC7" w:rsidRPr="00324CFC">
        <w:t>program,</w:t>
      </w:r>
      <w:proofErr w:type="gramEnd"/>
      <w:r w:rsidR="00A35AC7" w:rsidRPr="00324CFC">
        <w:t xml:space="preserve"> also reduces Payroll Tax Expense.</w:t>
      </w:r>
      <w:r w:rsidR="009C1F5E">
        <w:rPr>
          <w:rStyle w:val="FootnoteReference"/>
          <w:b/>
        </w:rPr>
        <w:footnoteReference w:id="132"/>
      </w:r>
      <w:r w:rsidR="00A35AC7" w:rsidRPr="00324CFC">
        <w:t xml:space="preserve">  To estimate the reduction to Payroll Tax Expense, Smith applied the combined FICA and Medicare rate of 7.65% to the reduction to Payroll Expense allocated to production demand.</w:t>
      </w:r>
      <w:r w:rsidR="009C1F5E">
        <w:rPr>
          <w:rStyle w:val="FootnoteReference"/>
          <w:b/>
        </w:rPr>
        <w:footnoteReference w:id="133"/>
      </w:r>
      <w:r w:rsidR="00A35AC7" w:rsidRPr="00324CFC">
        <w:t xml:space="preserve">  As shown on Exhibit RCS-1, Schedule F, this reduces Taxes Other Than Income Taxes allocated to CSP’s generation demand function by $0.731 million.</w:t>
      </w:r>
      <w:r w:rsidR="009C1F5E">
        <w:rPr>
          <w:rStyle w:val="FootnoteReference"/>
          <w:b/>
        </w:rPr>
        <w:footnoteReference w:id="134"/>
      </w:r>
      <w:r w:rsidR="00A35AC7" w:rsidRPr="00324CFC">
        <w:t xml:space="preserve">  Simi</w:t>
      </w:r>
      <w:r w:rsidR="009E0AA6">
        <w:softHyphen/>
      </w:r>
      <w:r w:rsidR="00A35AC7" w:rsidRPr="00324CFC">
        <w:t>larly, as shown on Exhibit RCS-2, Schedule F, this reduces Taxes Other Than Income Taxes allocated to OPCo’s generation demand function by $1.764 million.</w:t>
      </w:r>
      <w:r w:rsidR="009C1F5E">
        <w:rPr>
          <w:rStyle w:val="FootnoteReference"/>
          <w:b/>
        </w:rPr>
        <w:footnoteReference w:id="135"/>
      </w:r>
      <w:r w:rsidR="00A35AC7" w:rsidRPr="00324CFC">
        <w:t xml:space="preserve">  </w:t>
      </w:r>
    </w:p>
    <w:p w:rsidR="007712F1" w:rsidRPr="00324CFC" w:rsidRDefault="0076541A" w:rsidP="0067532B">
      <w:pPr>
        <w:pStyle w:val="Heading4"/>
        <w:rPr>
          <w:rFonts w:eastAsia="Times New Roman"/>
        </w:rPr>
      </w:pPr>
      <w:r w:rsidRPr="00324CFC">
        <w:lastRenderedPageBreak/>
        <w:t xml:space="preserve"> </w:t>
      </w:r>
      <w:bookmarkStart w:id="26" w:name="_Toc325543208"/>
      <w:r w:rsidR="00471868" w:rsidRPr="00324CFC">
        <w:rPr>
          <w:noProof/>
        </w:rPr>
        <w:t>Capacity Equalization Revenue</w:t>
      </w:r>
      <w:bookmarkEnd w:id="26"/>
    </w:p>
    <w:p w:rsidR="00A35AC7" w:rsidRPr="00324CFC" w:rsidRDefault="00C54F64" w:rsidP="000D1941">
      <w:pPr>
        <w:pStyle w:val="textstyle"/>
      </w:pPr>
      <w:r>
        <w:tab/>
      </w:r>
      <w:r w:rsidR="00A35AC7" w:rsidRPr="00324CFC">
        <w:t>During 2010, both CSP and OPCo received significant amounts of Capacity Equali</w:t>
      </w:r>
      <w:r w:rsidR="009E0AA6">
        <w:softHyphen/>
      </w:r>
      <w:r w:rsidR="00A35AC7" w:rsidRPr="00324CFC">
        <w:t>zation Revenue from other members of the AEP East Pool, primarily from Appa</w:t>
      </w:r>
      <w:r w:rsidR="00356302" w:rsidRPr="00324CFC">
        <w:t>lachian Power Company.</w:t>
      </w:r>
      <w:r w:rsidR="009C1F5E" w:rsidRPr="00C54F64">
        <w:rPr>
          <w:rStyle w:val="FootnoteReference"/>
        </w:rPr>
        <w:footnoteReference w:id="136"/>
      </w:r>
      <w:r w:rsidR="00356302" w:rsidRPr="00324CFC">
        <w:t xml:space="preserve">  AEP</w:t>
      </w:r>
      <w:r w:rsidR="00A35AC7" w:rsidRPr="00324CFC">
        <w:t xml:space="preserve"> </w:t>
      </w:r>
      <w:r w:rsidR="00936BC4">
        <w:t xml:space="preserve">Ohio </w:t>
      </w:r>
      <w:r w:rsidR="00A35AC7" w:rsidRPr="00324CFC">
        <w:t>has reflected the Capacity Equalization Rev</w:t>
      </w:r>
      <w:r w:rsidR="009E0AA6">
        <w:softHyphen/>
      </w:r>
      <w:r w:rsidR="00A35AC7" w:rsidRPr="00324CFC">
        <w:t>enue received in 2010 by CSP and OPCo as a dollar-for-dollar offset against their capac</w:t>
      </w:r>
      <w:r w:rsidR="009E0AA6">
        <w:softHyphen/>
      </w:r>
      <w:r w:rsidR="00A35AC7" w:rsidRPr="00324CFC">
        <w:t>ity revenue requirement.</w:t>
      </w:r>
      <w:r w:rsidR="009C1F5E" w:rsidRPr="00C54F64">
        <w:rPr>
          <w:rStyle w:val="FootnoteReference"/>
        </w:rPr>
        <w:footnoteReference w:id="137"/>
      </w:r>
      <w:r w:rsidR="00A35AC7" w:rsidRPr="00324CFC">
        <w:t xml:space="preserve">  The Capacity Equalization Revenues received in 2010 by CSP and OPCo are included on Exhibits KDP-3 and KDP-4, respectively, at page 4, line 6, in the Sales fo</w:t>
      </w:r>
      <w:r w:rsidR="004743CC" w:rsidRPr="00324CFC">
        <w:t>r Resale Revenue, which AEP</w:t>
      </w:r>
      <w:r w:rsidR="00936BC4">
        <w:t xml:space="preserve"> Ohio</w:t>
      </w:r>
      <w:r w:rsidR="00A35AC7" w:rsidRPr="00324CFC">
        <w:t xml:space="preserve"> subtracted in determining its pro</w:t>
      </w:r>
      <w:r w:rsidR="009E0AA6">
        <w:softHyphen/>
      </w:r>
      <w:r w:rsidR="00A35AC7" w:rsidRPr="00324CFC">
        <w:t>posed revenue requirement for capacity on line 8, which is labeled there as the Annual Production Fixed Cost.</w:t>
      </w:r>
      <w:r w:rsidR="009C1F5E" w:rsidRPr="00C54F64">
        <w:rPr>
          <w:rStyle w:val="FootnoteReference"/>
        </w:rPr>
        <w:footnoteReference w:id="138"/>
      </w:r>
      <w:r w:rsidR="00A35AC7" w:rsidRPr="00324CFC">
        <w:t xml:space="preserve">  </w:t>
      </w:r>
    </w:p>
    <w:p w:rsidR="00A35AC7" w:rsidRPr="00324CFC" w:rsidRDefault="00C54F64" w:rsidP="000D1941">
      <w:pPr>
        <w:pStyle w:val="textstyle"/>
      </w:pPr>
      <w:r>
        <w:tab/>
      </w:r>
      <w:r w:rsidR="00A35AC7" w:rsidRPr="00324CFC">
        <w:t>For CSP, Exhibit KDP-3, at page 4, line 6, shows an amount of $30,785,441.  That amount agrees with the $30,785,441 demand charges amount on page 311.8 of CSP’</w:t>
      </w:r>
      <w:r w:rsidR="004743CC" w:rsidRPr="00324CFC">
        <w:t>s 2010 FERC Form 1.</w:t>
      </w:r>
      <w:r w:rsidR="009C1F5E" w:rsidRPr="00C54F64">
        <w:rPr>
          <w:rStyle w:val="FootnoteReference"/>
        </w:rPr>
        <w:footnoteReference w:id="139"/>
      </w:r>
      <w:r w:rsidR="004743CC" w:rsidRPr="00C54F64">
        <w:t xml:space="preserve"> </w:t>
      </w:r>
      <w:r w:rsidR="004743CC" w:rsidRPr="00324CFC">
        <w:t xml:space="preserve"> </w:t>
      </w:r>
      <w:r w:rsidR="00A35AC7" w:rsidRPr="00324CFC">
        <w:t>For OPCo, Exhibit KDP-4, at page 4, line 6, shows an amount of $459,510,726.</w:t>
      </w:r>
      <w:r w:rsidR="004743CC" w:rsidRPr="00324CFC">
        <w:t xml:space="preserve">  </w:t>
      </w:r>
      <w:r w:rsidR="00A35AC7" w:rsidRPr="00324CFC">
        <w:t>That amount agrees with the $459,510,726 demand charges amount on page 311.6 of OPCo’s 2010 FERC Form 1.</w:t>
      </w:r>
      <w:r w:rsidR="009C1F5E" w:rsidRPr="00C54F64">
        <w:rPr>
          <w:rStyle w:val="FootnoteReference"/>
        </w:rPr>
        <w:footnoteReference w:id="140"/>
      </w:r>
    </w:p>
    <w:p w:rsidR="00A35AC7" w:rsidRPr="00324CFC" w:rsidRDefault="00C54F64" w:rsidP="000D1941">
      <w:pPr>
        <w:pStyle w:val="textstyle"/>
      </w:pPr>
      <w:r>
        <w:tab/>
      </w:r>
      <w:r w:rsidR="00A35AC7" w:rsidRPr="00324CFC">
        <w:t>AEP</w:t>
      </w:r>
      <w:r w:rsidR="00936BC4">
        <w:t xml:space="preserve"> Ohio</w:t>
      </w:r>
      <w:r w:rsidR="00A35AC7" w:rsidRPr="00324CFC">
        <w:t>’s reflectio</w:t>
      </w:r>
      <w:r w:rsidR="004743CC" w:rsidRPr="00324CFC">
        <w:t>n of the Capacity Equalization Revenue is appropriate.</w:t>
      </w:r>
      <w:r w:rsidR="00A35AC7" w:rsidRPr="00324CFC">
        <w:t xml:space="preserve"> </w:t>
      </w:r>
      <w:r w:rsidR="004743CC" w:rsidRPr="00324CFC">
        <w:t xml:space="preserve"> </w:t>
      </w:r>
      <w:r w:rsidR="00A35AC7" w:rsidRPr="00324CFC">
        <w:t>T</w:t>
      </w:r>
      <w:r w:rsidR="004743CC" w:rsidRPr="00324CFC">
        <w:t>he payments that AEP</w:t>
      </w:r>
      <w:r w:rsidR="00341F1D">
        <w:t xml:space="preserve"> Ohio</w:t>
      </w:r>
      <w:r w:rsidR="00A35AC7" w:rsidRPr="00324CFC">
        <w:t xml:space="preserve"> receives fro</w:t>
      </w:r>
      <w:r w:rsidR="004743CC" w:rsidRPr="00324CFC">
        <w:t xml:space="preserve">m the other members in the AEP </w:t>
      </w:r>
      <w:r w:rsidR="00A35AC7" w:rsidRPr="00324CFC">
        <w:t xml:space="preserve">East Pool for </w:t>
      </w:r>
      <w:r w:rsidR="00A35AC7" w:rsidRPr="00324CFC">
        <w:lastRenderedPageBreak/>
        <w:t xml:space="preserve">capacity equalization are payments </w:t>
      </w:r>
      <w:r w:rsidR="004743CC" w:rsidRPr="00324CFC">
        <w:t>for capacity.</w:t>
      </w:r>
      <w:r w:rsidR="009C1F5E" w:rsidRPr="00C54F64">
        <w:rPr>
          <w:rStyle w:val="FootnoteReference"/>
        </w:rPr>
        <w:footnoteReference w:id="141"/>
      </w:r>
      <w:r w:rsidR="004743CC" w:rsidRPr="00324CFC">
        <w:t xml:space="preserve">  It is therefore </w:t>
      </w:r>
      <w:r w:rsidR="00A35AC7" w:rsidRPr="00324CFC">
        <w:t>necessary and appropri</w:t>
      </w:r>
      <w:r w:rsidR="009E0AA6">
        <w:softHyphen/>
      </w:r>
      <w:r w:rsidR="00A35AC7" w:rsidRPr="00324CFC">
        <w:t>ate to deduct such amoun</w:t>
      </w:r>
      <w:r w:rsidR="004743CC" w:rsidRPr="00324CFC">
        <w:t>ts in arriving at the capacity revenue requirement of AEP</w:t>
      </w:r>
      <w:r w:rsidR="00341F1D">
        <w:t xml:space="preserve"> Ohio</w:t>
      </w:r>
      <w:r w:rsidR="00A35AC7" w:rsidRPr="00324CFC">
        <w:t xml:space="preserve"> that remains, </w:t>
      </w:r>
      <w:r w:rsidR="00A35AC7" w:rsidRPr="00C54F64">
        <w:rPr>
          <w:i/>
        </w:rPr>
        <w:t>i.e.</w:t>
      </w:r>
      <w:r w:rsidR="00A35AC7" w:rsidRPr="00324CFC">
        <w:t xml:space="preserve">, that is </w:t>
      </w:r>
      <w:r w:rsidR="00A35AC7" w:rsidRPr="002E4B56">
        <w:rPr>
          <w:i/>
        </w:rPr>
        <w:t>not</w:t>
      </w:r>
      <w:r w:rsidR="004743CC" w:rsidRPr="00324CFC">
        <w:t xml:space="preserve"> being covered by </w:t>
      </w:r>
      <w:r w:rsidR="00A35AC7" w:rsidRPr="00324CFC">
        <w:t>payments from the other members in the AEP East Pool.</w:t>
      </w:r>
      <w:r w:rsidR="009C1F5E">
        <w:rPr>
          <w:rStyle w:val="FootnoteReference"/>
          <w:b/>
        </w:rPr>
        <w:footnoteReference w:id="142"/>
      </w:r>
    </w:p>
    <w:p w:rsidR="00471868" w:rsidRPr="00324CFC" w:rsidRDefault="00471868" w:rsidP="0067532B">
      <w:pPr>
        <w:pStyle w:val="Heading4"/>
        <w:rPr>
          <w:rFonts w:eastAsia="Times New Roman"/>
        </w:rPr>
      </w:pPr>
      <w:bookmarkStart w:id="27" w:name="_Toc325543209"/>
      <w:r w:rsidRPr="00324CFC">
        <w:rPr>
          <w:noProof/>
        </w:rPr>
        <w:t>Ancillary Services Revenue</w:t>
      </w:r>
      <w:bookmarkEnd w:id="27"/>
    </w:p>
    <w:p w:rsidR="004743CC" w:rsidRPr="002E4B56" w:rsidRDefault="002E4B56" w:rsidP="000D1941">
      <w:pPr>
        <w:pStyle w:val="textstyle"/>
      </w:pPr>
      <w:r>
        <w:tab/>
      </w:r>
      <w:r w:rsidR="004743CC" w:rsidRPr="00324CFC">
        <w:t>As shown on Exhibits KDP-3 and KDP-4, page 4, line 7, AEP used $29,070 for CSP and $34,520 for OPCo, respectively, for Ancillary Services Revenue.</w:t>
      </w:r>
      <w:r w:rsidR="00A3652F" w:rsidRPr="002E4B56">
        <w:rPr>
          <w:rStyle w:val="FootnoteReference"/>
        </w:rPr>
        <w:footnoteReference w:id="143"/>
      </w:r>
      <w:r w:rsidR="004743CC" w:rsidRPr="00324CFC">
        <w:t xml:space="preserve"> </w:t>
      </w:r>
      <w:r w:rsidR="00356302" w:rsidRPr="00324CFC">
        <w:t xml:space="preserve"> </w:t>
      </w:r>
      <w:r w:rsidR="004743CC" w:rsidRPr="00324CFC">
        <w:t>The source of those amounts is described in OPCo’s FERC Form 1 for 2010 at page 450.1, as a foot</w:t>
      </w:r>
      <w:r w:rsidR="009E0AA6">
        <w:softHyphen/>
      </w:r>
      <w:r w:rsidR="004743CC" w:rsidRPr="00324CFC">
        <w:t xml:space="preserve">note for Schedule page 310.1, line no. 5, as: </w:t>
      </w:r>
      <w:r w:rsidR="00080F38">
        <w:t>“</w:t>
      </w:r>
      <w:r w:rsidR="004743CC" w:rsidRPr="00324CFC">
        <w:t>Carolina Power and Light transmission ser</w:t>
      </w:r>
      <w:r w:rsidR="009E0AA6">
        <w:softHyphen/>
      </w:r>
      <w:r w:rsidR="004743CC" w:rsidRPr="00324CFC">
        <w:t>vices from a grandfathered agreement.</w:t>
      </w:r>
      <w:r w:rsidR="00A3652F" w:rsidRPr="002E4B56">
        <w:rPr>
          <w:rStyle w:val="FootnoteReference"/>
        </w:rPr>
        <w:footnoteReference w:id="144"/>
      </w:r>
      <w:r w:rsidR="004743CC" w:rsidRPr="00324CFC">
        <w:t xml:space="preserve"> </w:t>
      </w:r>
      <w:r w:rsidR="00A3652F">
        <w:t xml:space="preserve"> </w:t>
      </w:r>
      <w:r w:rsidR="004743CC" w:rsidRPr="00324CFC">
        <w:t>Activity reflects both the base rate and Ancil</w:t>
      </w:r>
      <w:r w:rsidR="009E0AA6">
        <w:softHyphen/>
      </w:r>
      <w:r w:rsidR="004743CC" w:rsidRPr="00324CFC">
        <w:t>lary 1 base dollars.</w:t>
      </w:r>
      <w:r w:rsidR="00080F38">
        <w:t>”</w:t>
      </w:r>
      <w:r w:rsidR="004743CC" w:rsidRPr="00324CFC">
        <w:t xml:space="preserve"> </w:t>
      </w:r>
      <w:r w:rsidR="00A3652F" w:rsidRPr="002E4B56">
        <w:rPr>
          <w:rStyle w:val="FootnoteReference"/>
        </w:rPr>
        <w:footnoteReference w:id="145"/>
      </w:r>
      <w:r w:rsidR="004743CC" w:rsidRPr="00324CFC">
        <w:t xml:space="preserve"> AEP</w:t>
      </w:r>
      <w:r w:rsidR="00341F1D">
        <w:t xml:space="preserve"> Ohio</w:t>
      </w:r>
      <w:r w:rsidR="004743CC" w:rsidRPr="00324CFC">
        <w:t xml:space="preserve"> advised Staff that the grandfathered Carolina Power and Light agreement is also the source for the CSP Ancillary Services Revenue.</w:t>
      </w:r>
      <w:r w:rsidR="00A3652F" w:rsidRPr="002E4B56">
        <w:rPr>
          <w:rStyle w:val="FootnoteReference"/>
        </w:rPr>
        <w:footnoteReference w:id="146"/>
      </w:r>
    </w:p>
    <w:p w:rsidR="004743CC" w:rsidRPr="00324CFC" w:rsidRDefault="002E4B56" w:rsidP="000D1941">
      <w:pPr>
        <w:pStyle w:val="textstyle"/>
      </w:pPr>
      <w:r>
        <w:tab/>
      </w:r>
      <w:r w:rsidR="00356302" w:rsidRPr="00324CFC">
        <w:t>T</w:t>
      </w:r>
      <w:r w:rsidR="004743CC" w:rsidRPr="00324CFC">
        <w:t xml:space="preserve">hose amounts </w:t>
      </w:r>
      <w:r w:rsidR="00356302" w:rsidRPr="00324CFC">
        <w:t xml:space="preserve">do not </w:t>
      </w:r>
      <w:r w:rsidR="004743CC" w:rsidRPr="00324CFC">
        <w:t>appear to account for all of the receipts for providing Ancil</w:t>
      </w:r>
      <w:r w:rsidR="009E0AA6">
        <w:softHyphen/>
      </w:r>
      <w:r w:rsidR="004743CC" w:rsidRPr="00324CFC">
        <w:t xml:space="preserve">lary Services </w:t>
      </w:r>
      <w:r w:rsidR="00356302" w:rsidRPr="00324CFC">
        <w:t xml:space="preserve">that AEP </w:t>
      </w:r>
      <w:r w:rsidR="00341F1D">
        <w:t xml:space="preserve">Ohio </w:t>
      </w:r>
      <w:r w:rsidR="00356302" w:rsidRPr="00324CFC">
        <w:t>receives from PJM.</w:t>
      </w:r>
      <w:r w:rsidR="00A3652F" w:rsidRPr="002E4B56">
        <w:rPr>
          <w:rStyle w:val="FootnoteReference"/>
        </w:rPr>
        <w:footnoteReference w:id="147"/>
      </w:r>
      <w:r w:rsidR="00356302" w:rsidRPr="00324CFC">
        <w:t xml:space="preserve">  </w:t>
      </w:r>
      <w:r w:rsidR="004743CC" w:rsidRPr="00324CFC">
        <w:t>AEP</w:t>
      </w:r>
      <w:r w:rsidR="00341F1D">
        <w:t xml:space="preserve"> Ohio</w:t>
      </w:r>
      <w:r w:rsidR="004743CC" w:rsidRPr="00324CFC">
        <w:t xml:space="preserve"> receives payments from </w:t>
      </w:r>
      <w:r w:rsidR="004743CC" w:rsidRPr="00324CFC">
        <w:lastRenderedPageBreak/>
        <w:t xml:space="preserve">PJM when AEP </w:t>
      </w:r>
      <w:r w:rsidR="00341F1D">
        <w:t xml:space="preserve">Ohio </w:t>
      </w:r>
      <w:r w:rsidR="004743CC" w:rsidRPr="00324CFC">
        <w:t>is called upon to provide a v</w:t>
      </w:r>
      <w:r w:rsidR="00A3652F">
        <w:t>ariety of Ancillary Services.</w:t>
      </w:r>
      <w:r w:rsidR="00A3652F" w:rsidRPr="002E4B56">
        <w:rPr>
          <w:rStyle w:val="FootnoteReference"/>
        </w:rPr>
        <w:footnoteReference w:id="148"/>
      </w:r>
      <w:r w:rsidR="00A3652F" w:rsidRPr="002E4B56">
        <w:t xml:space="preserve"> </w:t>
      </w:r>
      <w:r w:rsidR="00A3652F">
        <w:t xml:space="preserve"> </w:t>
      </w:r>
      <w:r w:rsidR="00150138" w:rsidRPr="00324CFC">
        <w:t>The amount</w:t>
      </w:r>
      <w:r w:rsidR="004743CC" w:rsidRPr="00324CFC">
        <w:t xml:space="preserve"> CSP and OPCo receive</w:t>
      </w:r>
      <w:r w:rsidR="00150138" w:rsidRPr="00324CFC">
        <w:t>d</w:t>
      </w:r>
      <w:r w:rsidR="004743CC" w:rsidRPr="00324CFC">
        <w:t xml:space="preserve"> from PJM in 2010 and 2011 for the </w:t>
      </w:r>
      <w:r w:rsidR="00150138" w:rsidRPr="00324CFC">
        <w:t>provision of Ancil</w:t>
      </w:r>
      <w:r w:rsidR="009E0AA6">
        <w:softHyphen/>
      </w:r>
      <w:r w:rsidR="00150138" w:rsidRPr="00324CFC">
        <w:t xml:space="preserve">lary Services </w:t>
      </w:r>
      <w:r w:rsidR="004743CC" w:rsidRPr="00324CFC">
        <w:t xml:space="preserve">was requested by Staff from </w:t>
      </w:r>
      <w:r w:rsidR="00150138" w:rsidRPr="00324CFC">
        <w:t>AEP</w:t>
      </w:r>
      <w:r w:rsidR="00C62458">
        <w:t xml:space="preserve"> Ohio</w:t>
      </w:r>
      <w:r w:rsidR="00150138" w:rsidRPr="00324CFC">
        <w:t xml:space="preserve"> and has been analyzed </w:t>
      </w:r>
      <w:r w:rsidR="004743CC" w:rsidRPr="00324CFC">
        <w:t>and addressed</w:t>
      </w:r>
      <w:r w:rsidR="00150138" w:rsidRPr="00324CFC">
        <w:t xml:space="preserve">, as described by Staff </w:t>
      </w:r>
      <w:r w:rsidR="00661F0C">
        <w:t>w</w:t>
      </w:r>
      <w:r w:rsidR="004743CC" w:rsidRPr="00324CFC">
        <w:t>itness Harter.</w:t>
      </w:r>
      <w:r w:rsidR="00A3652F">
        <w:rPr>
          <w:rStyle w:val="FootnoteReference"/>
          <w:b/>
        </w:rPr>
        <w:footnoteReference w:id="149"/>
      </w:r>
    </w:p>
    <w:p w:rsidR="007712F1" w:rsidRPr="00324CFC" w:rsidRDefault="00471868" w:rsidP="0067532B">
      <w:pPr>
        <w:pStyle w:val="Heading4"/>
        <w:rPr>
          <w:rFonts w:eastAsia="Times New Roman"/>
        </w:rPr>
      </w:pPr>
      <w:bookmarkStart w:id="28" w:name="_Toc325543210"/>
      <w:r w:rsidRPr="00324CFC">
        <w:rPr>
          <w:noProof/>
        </w:rPr>
        <w:t>Energy Sales Margin and Ancillary Services Receipts</w:t>
      </w:r>
      <w:bookmarkEnd w:id="28"/>
    </w:p>
    <w:p w:rsidR="00150138" w:rsidRPr="00324CFC" w:rsidRDefault="002E4B56" w:rsidP="000D1941">
      <w:pPr>
        <w:pStyle w:val="textstyle"/>
      </w:pPr>
      <w:r>
        <w:tab/>
      </w:r>
      <w:r w:rsidR="00044F79" w:rsidRPr="00324CFC">
        <w:t>Staff</w:t>
      </w:r>
      <w:r w:rsidR="00F76447">
        <w:t xml:space="preserve"> </w:t>
      </w:r>
      <w:r w:rsidR="005E010C">
        <w:t>w</w:t>
      </w:r>
      <w:r w:rsidR="00044F79" w:rsidRPr="00324CFC">
        <w:t>it</w:t>
      </w:r>
      <w:r w:rsidR="00F76447">
        <w:t>n</w:t>
      </w:r>
      <w:r w:rsidR="00044F79" w:rsidRPr="00324CFC">
        <w:t xml:space="preserve">ess </w:t>
      </w:r>
      <w:r w:rsidR="00F76447">
        <w:t xml:space="preserve">Emily Medine updated </w:t>
      </w:r>
      <w:r w:rsidR="005E010C">
        <w:t xml:space="preserve">Staff witness Harter’s calculation on </w:t>
      </w:r>
      <w:r w:rsidR="00150138" w:rsidRPr="00324CFC">
        <w:t>the Energy Sales</w:t>
      </w:r>
      <w:r w:rsidR="00044F79" w:rsidRPr="00324CFC">
        <w:t xml:space="preserve"> Margins and Ancillary Services </w:t>
      </w:r>
      <w:r w:rsidR="00150138" w:rsidRPr="00324CFC">
        <w:t>Receipts</w:t>
      </w:r>
      <w:r w:rsidR="005E010C">
        <w:t>, as</w:t>
      </w:r>
      <w:r w:rsidR="00150138" w:rsidRPr="00324CFC">
        <w:t xml:space="preserve"> shown on </w:t>
      </w:r>
      <w:r w:rsidR="005E010C">
        <w:t xml:space="preserve">her </w:t>
      </w:r>
      <w:r w:rsidR="00150138" w:rsidRPr="00324CFC">
        <w:t>Exhib</w:t>
      </w:r>
      <w:r w:rsidR="00044F79" w:rsidRPr="00324CFC">
        <w:t xml:space="preserve">it </w:t>
      </w:r>
      <w:r w:rsidR="005E010C">
        <w:t>EMS</w:t>
      </w:r>
      <w:r w:rsidR="00044F79" w:rsidRPr="00324CFC">
        <w:t>-1.</w:t>
      </w:r>
      <w:r w:rsidR="00B004E1" w:rsidRPr="002E4B56">
        <w:rPr>
          <w:rStyle w:val="FootnoteReference"/>
        </w:rPr>
        <w:footnoteReference w:id="150"/>
      </w:r>
      <w:r w:rsidR="00044F79" w:rsidRPr="002E4B56">
        <w:t xml:space="preserve"> </w:t>
      </w:r>
      <w:r w:rsidR="00044F79" w:rsidRPr="00324CFC">
        <w:t xml:space="preserve"> Staff </w:t>
      </w:r>
      <w:r w:rsidR="00B97462">
        <w:t>w</w:t>
      </w:r>
      <w:r w:rsidR="00044F79" w:rsidRPr="00324CFC">
        <w:t xml:space="preserve">itness Smith </w:t>
      </w:r>
      <w:r w:rsidR="00B20C02">
        <w:t xml:space="preserve">had originally </w:t>
      </w:r>
      <w:r w:rsidR="00044F79" w:rsidRPr="00324CFC">
        <w:t xml:space="preserve">reflected </w:t>
      </w:r>
      <w:r w:rsidR="00B20C02">
        <w:t xml:space="preserve">Staff witness Harter’s </w:t>
      </w:r>
      <w:r w:rsidR="005F1445">
        <w:t>e</w:t>
      </w:r>
      <w:r w:rsidR="00B20C02">
        <w:t>nergy credits</w:t>
      </w:r>
      <w:r w:rsidR="00150138" w:rsidRPr="00324CFC">
        <w:t xml:space="preserve"> as deductions to the calculated rate for capacity</w:t>
      </w:r>
      <w:r w:rsidR="00044F79" w:rsidRPr="00324CFC">
        <w:t xml:space="preserve"> as </w:t>
      </w:r>
      <w:r w:rsidR="00150138" w:rsidRPr="00324CFC">
        <w:t>shown for CSP and OPCo, respectively,</w:t>
      </w:r>
      <w:r w:rsidR="00B20C02">
        <w:t xml:space="preserve"> and for the merged CS</w:t>
      </w:r>
      <w:r w:rsidR="005E4F3F">
        <w:t>P</w:t>
      </w:r>
      <w:r w:rsidR="00B20C02">
        <w:t xml:space="preserve"> and OPCo, as shown </w:t>
      </w:r>
      <w:r w:rsidR="00150138" w:rsidRPr="00324CFC">
        <w:t xml:space="preserve">on Exhibits RCS-1 and RCS-2, </w:t>
      </w:r>
      <w:r w:rsidR="00B20C02">
        <w:t>and RCS-</w:t>
      </w:r>
      <w:r w:rsidR="005E4F3F">
        <w:t>3</w:t>
      </w:r>
      <w:r w:rsidR="00150138" w:rsidRPr="00324CFC">
        <w:t>.</w:t>
      </w:r>
      <w:r w:rsidR="00B004E1" w:rsidRPr="002E4B56">
        <w:rPr>
          <w:rStyle w:val="FootnoteReference"/>
        </w:rPr>
        <w:footnoteReference w:id="151"/>
      </w:r>
      <w:r w:rsidR="00B20C02" w:rsidRPr="002E4B56">
        <w:t xml:space="preserve"> </w:t>
      </w:r>
      <w:r w:rsidR="00B20C02">
        <w:t xml:space="preserve"> But the </w:t>
      </w:r>
      <w:r w:rsidR="005F1445">
        <w:t>e</w:t>
      </w:r>
      <w:r w:rsidR="00B20C02">
        <w:t>nergy credit changed as a result of the inadvertent errors</w:t>
      </w:r>
      <w:r w:rsidR="005E4F3F">
        <w:t xml:space="preserve"> that were discov</w:t>
      </w:r>
      <w:r w:rsidR="009E0AA6">
        <w:softHyphen/>
      </w:r>
      <w:r w:rsidR="005E4F3F">
        <w:t>ered in Mr. Harter’s testimony and workpapers.</w:t>
      </w:r>
      <w:r w:rsidR="006256C6">
        <w:t xml:space="preserve">  As a result, Staff witness Medine revised Exhibits RCS-1, RCS-2, and RCS-3, in the errata to the testimony of Staff witness Ralph C. Smith to conform to the revised </w:t>
      </w:r>
      <w:r w:rsidR="005F1445">
        <w:t>e</w:t>
      </w:r>
      <w:r w:rsidR="006256C6">
        <w:t xml:space="preserve">nergy </w:t>
      </w:r>
      <w:r w:rsidR="005F1445">
        <w:t>c</w:t>
      </w:r>
      <w:r w:rsidR="006256C6">
        <w:t>redits.</w:t>
      </w:r>
      <w:r w:rsidR="0082293E" w:rsidRPr="002E4B56">
        <w:rPr>
          <w:rStyle w:val="FootnoteReference"/>
        </w:rPr>
        <w:footnoteReference w:id="152"/>
      </w:r>
      <w:r w:rsidR="00A31CB1" w:rsidRPr="002E4B56">
        <w:t xml:space="preserve"> </w:t>
      </w:r>
      <w:r w:rsidR="00A31CB1">
        <w:t xml:space="preserve"> The revised capacity rates are reflected in Exhibits </w:t>
      </w:r>
      <w:proofErr w:type="spellStart"/>
      <w:r w:rsidR="00A31CB1">
        <w:t>ESM</w:t>
      </w:r>
      <w:proofErr w:type="spellEnd"/>
      <w:r w:rsidR="00A31CB1">
        <w:t>-2, ESM-3, and ESM-4 of Staff witness Medine’s testimony.</w:t>
      </w:r>
    </w:p>
    <w:p w:rsidR="00DC75A9" w:rsidRPr="00B642DD" w:rsidRDefault="00077735" w:rsidP="002E4B56">
      <w:pPr>
        <w:pStyle w:val="Heading2"/>
        <w:rPr>
          <w:rFonts w:eastAsia="Times New Roman"/>
        </w:rPr>
      </w:pPr>
      <w:bookmarkStart w:id="29" w:name="_Toc325543211"/>
      <w:r>
        <w:rPr>
          <w:rFonts w:eastAsia="Times New Roman"/>
        </w:rPr>
        <w:lastRenderedPageBreak/>
        <w:t xml:space="preserve">In regard to Staff’s alternate proposal, </w:t>
      </w:r>
      <w:r w:rsidR="00B45195">
        <w:rPr>
          <w:rFonts w:eastAsia="Times New Roman"/>
        </w:rPr>
        <w:t>Energy sales margins and Ancil</w:t>
      </w:r>
      <w:r w:rsidR="00080F38">
        <w:rPr>
          <w:rFonts w:eastAsia="Times New Roman"/>
        </w:rPr>
        <w:softHyphen/>
      </w:r>
      <w:r w:rsidR="00B45195">
        <w:rPr>
          <w:rFonts w:eastAsia="Times New Roman"/>
        </w:rPr>
        <w:t>lary receipts should be treated as deduc</w:t>
      </w:r>
      <w:r w:rsidR="009E0AA6">
        <w:rPr>
          <w:rFonts w:eastAsia="Times New Roman"/>
        </w:rPr>
        <w:softHyphen/>
      </w:r>
      <w:r w:rsidR="00B45195">
        <w:rPr>
          <w:rFonts w:eastAsia="Times New Roman"/>
        </w:rPr>
        <w:t>tions to the calculated rate for capacity.</w:t>
      </w:r>
      <w:bookmarkEnd w:id="29"/>
    </w:p>
    <w:p w:rsidR="00B45195" w:rsidRPr="00B642DD" w:rsidRDefault="002E4B56" w:rsidP="000D1941">
      <w:pPr>
        <w:pStyle w:val="textstyle"/>
      </w:pPr>
      <w:r>
        <w:tab/>
      </w:r>
      <w:r w:rsidR="00B45195" w:rsidRPr="00B642DD">
        <w:t>AEP Ohio’s calculation of costs to keep its generating assets operational over</w:t>
      </w:r>
      <w:r w:rsidR="009E0AA6">
        <w:softHyphen/>
      </w:r>
      <w:r w:rsidR="00B45195" w:rsidRPr="00B642DD">
        <w:t>states the capacity charge because it neglects to account for profits earned through gener</w:t>
      </w:r>
      <w:r w:rsidR="009E0AA6">
        <w:softHyphen/>
      </w:r>
      <w:r w:rsidR="00B45195" w:rsidRPr="00B642DD">
        <w:t>ating electricity and providing ancillary services.</w:t>
      </w:r>
      <w:r w:rsidR="00B45195" w:rsidRPr="00B642DD">
        <w:rPr>
          <w:rStyle w:val="FootnoteReference"/>
          <w:rFonts w:eastAsia="Times New Roman"/>
          <w:bCs/>
        </w:rPr>
        <w:footnoteReference w:id="153"/>
      </w:r>
      <w:r w:rsidR="00B45195" w:rsidRPr="00B642DD">
        <w:t xml:space="preserve">  Staff calculated the energy credits by developing a forecasted total energy margin for AEP Ohio’s generating assets.</w:t>
      </w:r>
      <w:r w:rsidR="00B45195" w:rsidRPr="00B642DD">
        <w:rPr>
          <w:rStyle w:val="FootnoteReference"/>
          <w:rFonts w:eastAsia="Times New Roman"/>
          <w:bCs/>
        </w:rPr>
        <w:footnoteReference w:id="154"/>
      </w:r>
      <w:r w:rsidR="00B45195" w:rsidRPr="00B642DD">
        <w:t xml:space="preserve">  To achieve this, Staff used the 8760 hourly dispatch power market model, AURORAxmp, which is licensed by EVA.</w:t>
      </w:r>
      <w:r w:rsidR="00B45195" w:rsidRPr="00B642DD">
        <w:rPr>
          <w:rStyle w:val="FootnoteReference"/>
          <w:rFonts w:eastAsia="Times New Roman"/>
          <w:bCs/>
        </w:rPr>
        <w:footnoteReference w:id="155"/>
      </w:r>
      <w:r w:rsidR="0063522A" w:rsidRPr="00B642DD">
        <w:t xml:space="preserve">  In addition to other Ohio utilities</w:t>
      </w:r>
      <w:r w:rsidR="00965648" w:rsidRPr="00B642DD">
        <w:t xml:space="preserve"> and other competitors of EVA using this model</w:t>
      </w:r>
      <w:r w:rsidR="0063522A" w:rsidRPr="00B642DD">
        <w:t xml:space="preserve">, </w:t>
      </w:r>
      <w:r w:rsidR="00C123C6" w:rsidRPr="00B642DD">
        <w:t>including NERA</w:t>
      </w:r>
      <w:r w:rsidR="008E3D02">
        <w:rPr>
          <w:rStyle w:val="FootnoteReference"/>
          <w:rFonts w:eastAsia="Times New Roman"/>
          <w:bCs/>
        </w:rPr>
        <w:footnoteReference w:id="156"/>
      </w:r>
      <w:r w:rsidR="00C123C6" w:rsidRPr="00B642DD">
        <w:t xml:space="preserve">, </w:t>
      </w:r>
      <w:r w:rsidR="0063522A" w:rsidRPr="00B642DD">
        <w:t>th</w:t>
      </w:r>
      <w:r w:rsidR="00965648" w:rsidRPr="00B642DD">
        <w:t>e</w:t>
      </w:r>
      <w:r w:rsidR="0063522A" w:rsidRPr="00B642DD">
        <w:t xml:space="preserve"> model is </w:t>
      </w:r>
      <w:r w:rsidR="00D1796E" w:rsidRPr="00B642DD">
        <w:t>also</w:t>
      </w:r>
      <w:r w:rsidR="0063522A" w:rsidRPr="00B642DD">
        <w:t xml:space="preserve"> licensed </w:t>
      </w:r>
      <w:r w:rsidR="00965648" w:rsidRPr="00B642DD">
        <w:t xml:space="preserve">for use </w:t>
      </w:r>
      <w:r w:rsidR="0063522A" w:rsidRPr="00B642DD">
        <w:t>by AEP Ohio.</w:t>
      </w:r>
      <w:r w:rsidR="0063522A" w:rsidRPr="00B642DD">
        <w:rPr>
          <w:rStyle w:val="FootnoteReference"/>
          <w:rFonts w:eastAsia="Times New Roman"/>
          <w:bCs/>
        </w:rPr>
        <w:footnoteReference w:id="157"/>
      </w:r>
      <w:r w:rsidR="00867C09" w:rsidRPr="00B642DD">
        <w:t xml:space="preserve">  </w:t>
      </w:r>
      <w:r w:rsidR="00BC3101" w:rsidRPr="00B642DD">
        <w:t>Although one is an offset to the other, t</w:t>
      </w:r>
      <w:r w:rsidR="00867C09" w:rsidRPr="00B642DD">
        <w:t xml:space="preserve">he analysis done </w:t>
      </w:r>
      <w:r w:rsidR="00BC3101" w:rsidRPr="00B642DD">
        <w:t>by EVA to determine</w:t>
      </w:r>
      <w:r w:rsidR="00867C09" w:rsidRPr="00B642DD">
        <w:t xml:space="preserve"> </w:t>
      </w:r>
      <w:r w:rsidR="00BC3101" w:rsidRPr="00B642DD">
        <w:t>the energy credit was different than the analysis done by Mr. Smith when he calculated the cost of the capacity charge.</w:t>
      </w:r>
      <w:r w:rsidR="00B02D62" w:rsidRPr="00B642DD">
        <w:rPr>
          <w:rStyle w:val="FootnoteReference"/>
          <w:rFonts w:eastAsia="Times New Roman"/>
          <w:bCs/>
        </w:rPr>
        <w:footnoteReference w:id="158"/>
      </w:r>
      <w:r w:rsidR="00B02D62" w:rsidRPr="00B642DD">
        <w:t xml:space="preserve">  EVA did a market-based analysis and Mr. Smith did a cost-based analysis.</w:t>
      </w:r>
      <w:r w:rsidR="00FA0853" w:rsidRPr="00B642DD">
        <w:rPr>
          <w:rStyle w:val="FootnoteReference"/>
          <w:rFonts w:eastAsia="Times New Roman"/>
          <w:bCs/>
        </w:rPr>
        <w:footnoteReference w:id="159"/>
      </w:r>
      <w:r w:rsidR="0063522A" w:rsidRPr="00B642DD">
        <w:t xml:space="preserve"> </w:t>
      </w:r>
      <w:r w:rsidR="00B45195" w:rsidRPr="00B642DD">
        <w:t xml:space="preserve">  </w:t>
      </w:r>
    </w:p>
    <w:p w:rsidR="00B45195" w:rsidRPr="00B642DD" w:rsidRDefault="002E4B56" w:rsidP="000D1941">
      <w:pPr>
        <w:pStyle w:val="textstyle"/>
      </w:pPr>
      <w:r>
        <w:tab/>
      </w:r>
      <w:r w:rsidR="00B45195" w:rsidRPr="00B642DD">
        <w:t xml:space="preserve">EVA generates a complete </w:t>
      </w:r>
      <w:r w:rsidR="00B26698">
        <w:t>e</w:t>
      </w:r>
      <w:r w:rsidR="00B45195" w:rsidRPr="00B642DD">
        <w:t xml:space="preserve">lectricity market outlook by combining AURORAxmp’s dispatch logic with EVA’s high precision inputs it develops as part of </w:t>
      </w:r>
      <w:r w:rsidR="00B45195" w:rsidRPr="00B642DD">
        <w:lastRenderedPageBreak/>
        <w:t>its FUELCAST services.</w:t>
      </w:r>
      <w:r w:rsidR="00B45195" w:rsidRPr="00B642DD">
        <w:rPr>
          <w:rStyle w:val="FootnoteReference"/>
          <w:rFonts w:eastAsia="Times New Roman"/>
          <w:bCs/>
        </w:rPr>
        <w:footnoteReference w:id="160"/>
      </w:r>
      <w:r w:rsidR="00B45195" w:rsidRPr="00B642DD">
        <w:t xml:space="preserve">  </w:t>
      </w:r>
      <w:r w:rsidR="00DC75A9" w:rsidRPr="00B642DD">
        <w:t>FUELCAST is a multi-client service</w:t>
      </w:r>
      <w:r w:rsidR="00490C5D" w:rsidRPr="00B642DD">
        <w:t>.</w:t>
      </w:r>
      <w:r w:rsidR="00490C5D" w:rsidRPr="00B642DD">
        <w:rPr>
          <w:rStyle w:val="FootnoteReference"/>
          <w:rFonts w:eastAsia="Times New Roman"/>
          <w:bCs/>
        </w:rPr>
        <w:footnoteReference w:id="161"/>
      </w:r>
      <w:r w:rsidR="00490C5D" w:rsidRPr="00B642DD">
        <w:t xml:space="preserve">  With this </w:t>
      </w:r>
      <w:r w:rsidR="00C0500E" w:rsidRPr="00B642DD">
        <w:t xml:space="preserve">entire </w:t>
      </w:r>
      <w:r w:rsidR="00490C5D" w:rsidRPr="00B642DD">
        <w:t>service</w:t>
      </w:r>
      <w:r w:rsidR="00B26698">
        <w:t>,</w:t>
      </w:r>
      <w:r w:rsidR="00B46B81" w:rsidRPr="00B642DD">
        <w:t xml:space="preserve"> EVA </w:t>
      </w:r>
      <w:r w:rsidR="00DC75A9" w:rsidRPr="00B642DD">
        <w:t>produc</w:t>
      </w:r>
      <w:r w:rsidR="00B46B81" w:rsidRPr="00B642DD">
        <w:t>e</w:t>
      </w:r>
      <w:r w:rsidR="003042DE">
        <w:t>s</w:t>
      </w:r>
      <w:r w:rsidR="00DC75A9" w:rsidRPr="00B642DD">
        <w:t xml:space="preserve"> both sh</w:t>
      </w:r>
      <w:r w:rsidR="00C0769E" w:rsidRPr="00B642DD">
        <w:t xml:space="preserve">ort-term and long-term reports to </w:t>
      </w:r>
      <w:r w:rsidR="00C0500E" w:rsidRPr="00B642DD">
        <w:t xml:space="preserve">subscribers and </w:t>
      </w:r>
      <w:r w:rsidR="00C0769E" w:rsidRPr="00B642DD">
        <w:t>clients</w:t>
      </w:r>
      <w:r w:rsidR="00B46B81" w:rsidRPr="00B642DD">
        <w:t xml:space="preserve"> </w:t>
      </w:r>
      <w:r w:rsidR="00490C5D" w:rsidRPr="00B642DD">
        <w:t xml:space="preserve">that </w:t>
      </w:r>
      <w:r w:rsidR="00B46B81" w:rsidRPr="00B642DD">
        <w:t xml:space="preserve">provide an </w:t>
      </w:r>
      <w:r w:rsidR="00C0769E" w:rsidRPr="00B642DD">
        <w:t>analy</w:t>
      </w:r>
      <w:r w:rsidR="00B46B81" w:rsidRPr="00B642DD">
        <w:t>sis</w:t>
      </w:r>
      <w:r w:rsidR="00C0769E" w:rsidRPr="00B642DD">
        <w:t xml:space="preserve"> </w:t>
      </w:r>
      <w:r w:rsidR="00B46B81" w:rsidRPr="00B642DD">
        <w:t xml:space="preserve">of </w:t>
      </w:r>
      <w:r w:rsidR="00C0769E" w:rsidRPr="00B642DD">
        <w:t xml:space="preserve">data </w:t>
      </w:r>
      <w:r w:rsidR="00B46B81" w:rsidRPr="00B642DD">
        <w:t>regarding</w:t>
      </w:r>
      <w:r w:rsidR="00DC75A9" w:rsidRPr="00B642DD">
        <w:t xml:space="preserve"> electricity, coal, natural gas, oil, and emission allowances.</w:t>
      </w:r>
      <w:r w:rsidR="00C079C0" w:rsidRPr="00B642DD">
        <w:rPr>
          <w:rStyle w:val="FootnoteReference"/>
          <w:rFonts w:eastAsia="Times New Roman"/>
          <w:bCs/>
        </w:rPr>
        <w:footnoteReference w:id="162"/>
      </w:r>
      <w:r w:rsidR="00DC75A9" w:rsidRPr="00B642DD">
        <w:t xml:space="preserve">  </w:t>
      </w:r>
      <w:r w:rsidR="00B45195" w:rsidRPr="00B642DD">
        <w:t xml:space="preserve">The AURORAxmp model, which is widely used throughout the </w:t>
      </w:r>
      <w:r w:rsidR="00B26698">
        <w:t>e</w:t>
      </w:r>
      <w:r w:rsidR="00B45195" w:rsidRPr="00B642DD">
        <w:t>lectric</w:t>
      </w:r>
      <w:r w:rsidR="003042DE">
        <w:softHyphen/>
      </w:r>
      <w:r w:rsidR="00B45195" w:rsidRPr="00B642DD">
        <w:t>ity industry, simulates a power market by sorting all available generation ass</w:t>
      </w:r>
      <w:r w:rsidR="00600A75" w:rsidRPr="00B642DD">
        <w:t>e</w:t>
      </w:r>
      <w:r w:rsidR="00B45195" w:rsidRPr="00B642DD">
        <w:t>ts by mar</w:t>
      </w:r>
      <w:r w:rsidR="003042DE">
        <w:softHyphen/>
      </w:r>
      <w:r w:rsidR="00B45195" w:rsidRPr="00B642DD">
        <w:t>ginal cost and dispatching the most economic assets until the zonal load is met.</w:t>
      </w:r>
      <w:r w:rsidR="00B45195" w:rsidRPr="00B642DD">
        <w:rPr>
          <w:rStyle w:val="FootnoteReference"/>
          <w:rFonts w:eastAsia="Times New Roman"/>
          <w:bCs/>
        </w:rPr>
        <w:footnoteReference w:id="163"/>
      </w:r>
      <w:r w:rsidR="00B45195" w:rsidRPr="00B642DD">
        <w:t xml:space="preserve">  To keep this model calibrated, EVA maintains a proprietary set of high granularity forecasts for its FUELCAST clients.  The FUELCAST includes delivered fuel prices by generating unit, a complete regulatory outlook, a specialized load forecast, and several other key market insights.</w:t>
      </w:r>
      <w:r w:rsidR="00B45195" w:rsidRPr="00B642DD">
        <w:rPr>
          <w:rStyle w:val="FootnoteReference"/>
          <w:rFonts w:eastAsia="Times New Roman"/>
          <w:bCs/>
        </w:rPr>
        <w:footnoteReference w:id="164"/>
      </w:r>
      <w:r w:rsidR="00B45195" w:rsidRPr="00B642DD">
        <w:t xml:space="preserve"> </w:t>
      </w:r>
    </w:p>
    <w:p w:rsidR="00214B5C" w:rsidRPr="00B642DD" w:rsidRDefault="002E4B56" w:rsidP="000D1941">
      <w:pPr>
        <w:pStyle w:val="textstyle"/>
      </w:pPr>
      <w:r>
        <w:tab/>
      </w:r>
      <w:r w:rsidR="00214B5C" w:rsidRPr="00B642DD">
        <w:t xml:space="preserve">The two types of projects that have benefited from the use of the AURORAxmp model are forecasting and </w:t>
      </w:r>
      <w:r w:rsidR="00896EF3" w:rsidRPr="00B642DD">
        <w:t>valuation projects</w:t>
      </w:r>
      <w:r w:rsidR="00214B5C" w:rsidRPr="00B642DD">
        <w:t>.</w:t>
      </w:r>
      <w:r w:rsidR="002628AE" w:rsidRPr="00B642DD">
        <w:rPr>
          <w:rStyle w:val="FootnoteReference"/>
          <w:rFonts w:eastAsia="Times New Roman"/>
          <w:bCs/>
        </w:rPr>
        <w:footnoteReference w:id="165"/>
      </w:r>
      <w:r w:rsidR="002628AE" w:rsidRPr="00B642DD">
        <w:t xml:space="preserve">  The dispatch model has enhanced </w:t>
      </w:r>
      <w:r w:rsidR="006B58C7" w:rsidRPr="00B642DD">
        <w:t>fore</w:t>
      </w:r>
      <w:r w:rsidR="009E0AA6">
        <w:softHyphen/>
      </w:r>
      <w:r w:rsidR="006B58C7" w:rsidRPr="00B642DD">
        <w:t>casting by</w:t>
      </w:r>
      <w:r w:rsidR="002628AE" w:rsidRPr="00B642DD">
        <w:t xml:space="preserve"> account</w:t>
      </w:r>
      <w:r w:rsidR="006B58C7" w:rsidRPr="00B642DD">
        <w:t>ing</w:t>
      </w:r>
      <w:r w:rsidR="002628AE" w:rsidRPr="00B642DD">
        <w:t xml:space="preserve"> for changes in coal plant</w:t>
      </w:r>
      <w:r w:rsidR="006B58C7" w:rsidRPr="00B642DD">
        <w:t xml:space="preserve"> </w:t>
      </w:r>
      <w:r w:rsidR="002628AE" w:rsidRPr="00B642DD">
        <w:t>dispatch</w:t>
      </w:r>
      <w:r w:rsidR="006B58C7" w:rsidRPr="00B642DD">
        <w:t xml:space="preserve">, which is now dispatching after non-dispatchable renewable and natural gas combined cycle where and when natural gas </w:t>
      </w:r>
      <w:r w:rsidR="006B58C7" w:rsidRPr="00B642DD">
        <w:lastRenderedPageBreak/>
        <w:t>prices have resulted in lower generation costs.</w:t>
      </w:r>
      <w:r w:rsidR="00CC4A83" w:rsidRPr="00B642DD">
        <w:rPr>
          <w:rStyle w:val="FootnoteReference"/>
          <w:rFonts w:eastAsia="Times New Roman"/>
          <w:bCs/>
        </w:rPr>
        <w:footnoteReference w:id="166"/>
      </w:r>
      <w:r w:rsidR="00CC4A83" w:rsidRPr="00B642DD">
        <w:t xml:space="preserve">  And in regard to valuation</w:t>
      </w:r>
      <w:r w:rsidR="0004551C" w:rsidRPr="00B642DD">
        <w:t xml:space="preserve"> projects</w:t>
      </w:r>
      <w:r w:rsidR="00CC4A83" w:rsidRPr="00B642DD">
        <w:t>, the dispatch model allows the energy value associated with these assets to be modeled.</w:t>
      </w:r>
      <w:r w:rsidR="00E4427F" w:rsidRPr="00B642DD">
        <w:rPr>
          <w:rStyle w:val="FootnoteReference"/>
          <w:rFonts w:eastAsia="Times New Roman"/>
          <w:bCs/>
        </w:rPr>
        <w:footnoteReference w:id="167"/>
      </w:r>
      <w:r w:rsidR="00214B5C" w:rsidRPr="00B642DD">
        <w:t xml:space="preserve">  </w:t>
      </w:r>
    </w:p>
    <w:p w:rsidR="00F22280" w:rsidRPr="00B642DD" w:rsidRDefault="002E4B56" w:rsidP="000D1941">
      <w:pPr>
        <w:pStyle w:val="textstyle"/>
      </w:pPr>
      <w:r>
        <w:tab/>
      </w:r>
      <w:r w:rsidR="00F22280" w:rsidRPr="00B642DD">
        <w:t>In building a delivered coal price forecast for each coal-fired plant in the U.S., Staff utilized data from the EIA-923 dataset, publicly available filings, government mac</w:t>
      </w:r>
      <w:r w:rsidR="009E0AA6">
        <w:softHyphen/>
      </w:r>
      <w:r w:rsidR="00F22280" w:rsidRPr="00B642DD">
        <w:t>roeconomic metrics, and industry press releases to develop its own estimates of com</w:t>
      </w:r>
      <w:r w:rsidR="009E0AA6">
        <w:softHyphen/>
      </w:r>
      <w:r w:rsidR="00F22280" w:rsidRPr="00B642DD">
        <w:t>modity prices and transportation rates.</w:t>
      </w:r>
      <w:r w:rsidR="00C91F9B" w:rsidRPr="00B642DD">
        <w:rPr>
          <w:rStyle w:val="FootnoteReference"/>
          <w:rFonts w:eastAsia="Times New Roman"/>
          <w:bCs/>
        </w:rPr>
        <w:footnoteReference w:id="168"/>
      </w:r>
      <w:r w:rsidR="00C91F9B" w:rsidRPr="00B642DD">
        <w:t xml:space="preserve">  In building its delivered natural gas price fore</w:t>
      </w:r>
      <w:r w:rsidR="009E0AA6">
        <w:softHyphen/>
      </w:r>
      <w:r w:rsidR="00C91F9B" w:rsidRPr="00B642DD">
        <w:t>casts, Staff</w:t>
      </w:r>
      <w:r w:rsidR="00CE6ACB" w:rsidRPr="00B642DD">
        <w:t xml:space="preserve"> witness Medine’s EVA firm </w:t>
      </w:r>
      <w:r w:rsidR="00A242E4" w:rsidRPr="00B642DD">
        <w:t xml:space="preserve">publishes a </w:t>
      </w:r>
      <w:r w:rsidR="00CE6ACB" w:rsidRPr="00B642DD">
        <w:t>quarterly natural gas forecast that analyzes</w:t>
      </w:r>
      <w:r w:rsidR="00C91F9B" w:rsidRPr="00B642DD">
        <w:t xml:space="preserve"> detailed gas well production data for each U.S. natural gas play in combination with </w:t>
      </w:r>
      <w:r w:rsidR="00CE6ACB" w:rsidRPr="00B642DD">
        <w:t xml:space="preserve">its </w:t>
      </w:r>
      <w:r w:rsidR="00C91F9B" w:rsidRPr="00B642DD">
        <w:t>assessment of future natural gas demand.</w:t>
      </w:r>
      <w:r w:rsidR="0081139C" w:rsidRPr="00B642DD">
        <w:rPr>
          <w:rStyle w:val="FootnoteReference"/>
          <w:rFonts w:eastAsia="Times New Roman"/>
          <w:bCs/>
        </w:rPr>
        <w:footnoteReference w:id="169"/>
      </w:r>
      <w:r w:rsidR="0081139C" w:rsidRPr="00B642DD">
        <w:t xml:space="preserve">  Delivered prices are developed </w:t>
      </w:r>
      <w:r w:rsidR="00825128" w:rsidRPr="00B642DD">
        <w:t>based upon Staff’s estimate of the basis differential by hub combined with the estimated transportation costs from each hub to each plant.</w:t>
      </w:r>
      <w:r w:rsidR="00825128" w:rsidRPr="00B642DD">
        <w:rPr>
          <w:rStyle w:val="FootnoteReference"/>
          <w:rFonts w:eastAsia="Times New Roman"/>
          <w:bCs/>
        </w:rPr>
        <w:footnoteReference w:id="170"/>
      </w:r>
      <w:r w:rsidR="00CE6ACB" w:rsidRPr="00B642DD">
        <w:t xml:space="preserve">  The model is updated each time the natural gas price forecast is updated.</w:t>
      </w:r>
    </w:p>
    <w:p w:rsidR="00911DC4" w:rsidRPr="00B642DD" w:rsidRDefault="002E4B56" w:rsidP="000D1941">
      <w:pPr>
        <w:pStyle w:val="textstyle"/>
      </w:pPr>
      <w:r>
        <w:tab/>
      </w:r>
      <w:r w:rsidR="00703FD8" w:rsidRPr="00B642DD">
        <w:t>Other model inputs concern the emission allowance price forecasts</w:t>
      </w:r>
      <w:r w:rsidR="00DA1580" w:rsidRPr="00B642DD">
        <w:t>,</w:t>
      </w:r>
      <w:r w:rsidR="00703FD8" w:rsidRPr="00B642DD">
        <w:t xml:space="preserve"> the </w:t>
      </w:r>
      <w:r w:rsidR="00DA1580" w:rsidRPr="00B642DD">
        <w:t xml:space="preserve">effective date of the </w:t>
      </w:r>
      <w:r w:rsidR="00703FD8" w:rsidRPr="00B642DD">
        <w:t>Cross States Air Pollution Rule (</w:t>
      </w:r>
      <w:r w:rsidR="00080F38">
        <w:t>“</w:t>
      </w:r>
      <w:r w:rsidR="00703FD8" w:rsidRPr="00B642DD">
        <w:t>CSAPR</w:t>
      </w:r>
      <w:r w:rsidR="00080F38">
        <w:t>”</w:t>
      </w:r>
      <w:r w:rsidR="00703FD8" w:rsidRPr="00B642DD">
        <w:t>)</w:t>
      </w:r>
      <w:r w:rsidR="00DA1580" w:rsidRPr="00B642DD">
        <w:t xml:space="preserve">, and </w:t>
      </w:r>
      <w:r w:rsidR="00A06427">
        <w:t>O&amp;M</w:t>
      </w:r>
      <w:r w:rsidR="00080F38">
        <w:t xml:space="preserve"> </w:t>
      </w:r>
      <w:r w:rsidR="00DA1580" w:rsidRPr="00B642DD">
        <w:t>costs</w:t>
      </w:r>
      <w:r w:rsidR="00703FD8" w:rsidRPr="00B642DD">
        <w:t>.  EVA has an environmental group</w:t>
      </w:r>
      <w:r w:rsidR="003042DE">
        <w:t>,</w:t>
      </w:r>
      <w:r w:rsidR="00703FD8" w:rsidRPr="00B642DD">
        <w:t xml:space="preserve"> which evaluates the costs and compliance strategies for meeting environmental requirements.</w:t>
      </w:r>
      <w:r w:rsidR="00087789" w:rsidRPr="00B642DD">
        <w:rPr>
          <w:rStyle w:val="FootnoteReference"/>
          <w:rFonts w:eastAsia="Times New Roman"/>
          <w:bCs/>
        </w:rPr>
        <w:footnoteReference w:id="171"/>
      </w:r>
      <w:r w:rsidR="00087789" w:rsidRPr="00B642DD">
        <w:t xml:space="preserve">  Using the information derived from </w:t>
      </w:r>
      <w:r w:rsidR="006B7059" w:rsidRPr="00B642DD">
        <w:t>its</w:t>
      </w:r>
      <w:r w:rsidR="00087789" w:rsidRPr="00B642DD">
        <w:t xml:space="preserve"> </w:t>
      </w:r>
      <w:r w:rsidR="006B7059" w:rsidRPr="00B642DD">
        <w:t xml:space="preserve">group </w:t>
      </w:r>
      <w:r w:rsidR="00087789" w:rsidRPr="00B642DD">
        <w:t xml:space="preserve">evaluation, </w:t>
      </w:r>
      <w:r w:rsidR="00087789" w:rsidRPr="00B642DD">
        <w:lastRenderedPageBreak/>
        <w:t>EVA develops an emission allowance forecast for it</w:t>
      </w:r>
      <w:r w:rsidR="00A06427">
        <w:t>s</w:t>
      </w:r>
      <w:r w:rsidR="00087789" w:rsidRPr="00B642DD">
        <w:t xml:space="preserve"> clients.  Whenever the information is updated, EVA updates the forecast in the model.</w:t>
      </w:r>
      <w:r w:rsidR="00684668" w:rsidRPr="00B642DD">
        <w:rPr>
          <w:rStyle w:val="FootnoteReference"/>
          <w:rFonts w:eastAsia="Times New Roman"/>
          <w:bCs/>
        </w:rPr>
        <w:footnoteReference w:id="172"/>
      </w:r>
      <w:r w:rsidR="00A66569" w:rsidRPr="00B642DD">
        <w:t xml:space="preserve">  For CSAPR, EVA assumes a one-year deferral until 2013.</w:t>
      </w:r>
      <w:r w:rsidR="001A5819" w:rsidRPr="00B642DD">
        <w:rPr>
          <w:rStyle w:val="FootnoteReference"/>
          <w:rFonts w:eastAsia="Times New Roman"/>
          <w:bCs/>
        </w:rPr>
        <w:footnoteReference w:id="173"/>
      </w:r>
      <w:r w:rsidR="00DA1580" w:rsidRPr="00B642DD">
        <w:t xml:space="preserve">  </w:t>
      </w:r>
      <w:r w:rsidR="00F73144" w:rsidRPr="00B642DD">
        <w:t xml:space="preserve">In regard to O&amp;M inputs, </w:t>
      </w:r>
      <w:r w:rsidR="00DA1580" w:rsidRPr="00B642DD">
        <w:t>EVA used the AURORAxmp default numbers for the variable operating and maintenance costs.</w:t>
      </w:r>
      <w:r w:rsidR="00DA1580" w:rsidRPr="00B642DD">
        <w:rPr>
          <w:rStyle w:val="FootnoteReference"/>
          <w:rFonts w:eastAsia="Times New Roman"/>
          <w:bCs/>
        </w:rPr>
        <w:footnoteReference w:id="174"/>
      </w:r>
      <w:r w:rsidR="00703FD8" w:rsidRPr="00B642DD">
        <w:t xml:space="preserve"> </w:t>
      </w:r>
    </w:p>
    <w:p w:rsidR="00AB1AB9" w:rsidRPr="00B642DD" w:rsidRDefault="002E4B56" w:rsidP="000D1941">
      <w:pPr>
        <w:pStyle w:val="textstyle"/>
      </w:pPr>
      <w:r>
        <w:tab/>
      </w:r>
      <w:r w:rsidR="00075C64" w:rsidRPr="00B642DD">
        <w:t xml:space="preserve">Another input </w:t>
      </w:r>
      <w:r w:rsidR="000B6A32" w:rsidRPr="00B642DD">
        <w:t>is the plant heat rate assumptions provided with the default A</w:t>
      </w:r>
      <w:r w:rsidR="00A80F29" w:rsidRPr="00B642DD">
        <w:t>URORA</w:t>
      </w:r>
      <w:r w:rsidR="000B6A32" w:rsidRPr="00B642DD">
        <w:t xml:space="preserve">xmp dataset.  EVA chose to use the EPIS default heat rate assumptions for this analysis, which </w:t>
      </w:r>
      <w:r w:rsidR="003042DE">
        <w:t>are</w:t>
      </w:r>
      <w:r w:rsidR="000B6A32" w:rsidRPr="00B642DD">
        <w:t xml:space="preserve"> based on the most efficient heat rate at which each generation unit could operate (a</w:t>
      </w:r>
      <w:r w:rsidR="00E93D0D" w:rsidRPr="00B642DD">
        <w:t xml:space="preserve">lso </w:t>
      </w:r>
      <w:r w:rsidR="000B6A32" w:rsidRPr="00B642DD">
        <w:t>k</w:t>
      </w:r>
      <w:r w:rsidR="00E93D0D" w:rsidRPr="00B642DD">
        <w:t xml:space="preserve">nown </w:t>
      </w:r>
      <w:r w:rsidR="000B6A32" w:rsidRPr="00B642DD">
        <w:t>a</w:t>
      </w:r>
      <w:r w:rsidR="00E93D0D" w:rsidRPr="00B642DD">
        <w:t>s</w:t>
      </w:r>
      <w:r w:rsidR="000B6A32" w:rsidRPr="00B642DD">
        <w:t xml:space="preserve"> full output heat rate).</w:t>
      </w:r>
      <w:r w:rsidR="00E45176" w:rsidRPr="00B642DD">
        <w:rPr>
          <w:rStyle w:val="FootnoteReference"/>
          <w:rFonts w:eastAsia="Times New Roman"/>
          <w:bCs/>
        </w:rPr>
        <w:footnoteReference w:id="175"/>
      </w:r>
      <w:r w:rsidR="000C21F7" w:rsidRPr="00B642DD">
        <w:t xml:space="preserve">  </w:t>
      </w:r>
      <w:r w:rsidR="00BF445C" w:rsidRPr="00B642DD">
        <w:t>EVA states</w:t>
      </w:r>
      <w:r w:rsidR="000C21F7" w:rsidRPr="00B642DD">
        <w:t xml:space="preserve"> that the </w:t>
      </w:r>
      <w:r w:rsidR="003042DE">
        <w:t>efficient</w:t>
      </w:r>
      <w:r w:rsidR="000C21F7" w:rsidRPr="00B642DD">
        <w:t xml:space="preserve"> heat rates, rather than </w:t>
      </w:r>
      <w:r w:rsidR="003042DE">
        <w:t xml:space="preserve">those set forth in </w:t>
      </w:r>
      <w:r w:rsidR="000C21F7" w:rsidRPr="00B642DD">
        <w:t>the FERC Form 1, are more appropriate to use for this model.</w:t>
      </w:r>
      <w:r w:rsidR="00CE24AC" w:rsidRPr="00B642DD">
        <w:rPr>
          <w:rStyle w:val="FootnoteReference"/>
          <w:rFonts w:eastAsia="Times New Roman"/>
          <w:bCs/>
        </w:rPr>
        <w:footnoteReference w:id="176"/>
      </w:r>
      <w:r w:rsidR="00836A4B" w:rsidRPr="00B642DD">
        <w:t xml:space="preserve"> There is a high correlation between the default heat rates and the </w:t>
      </w:r>
      <w:r w:rsidR="00657D3C" w:rsidRPr="00B642DD">
        <w:t xml:space="preserve">reported FERC Form 1 rates in relation to </w:t>
      </w:r>
      <w:r w:rsidR="00836A4B" w:rsidRPr="00B642DD">
        <w:t>units operating at high capacity factors.</w:t>
      </w:r>
      <w:r w:rsidR="00657D3C" w:rsidRPr="00B642DD">
        <w:rPr>
          <w:rStyle w:val="FootnoteReference"/>
          <w:rFonts w:eastAsia="Times New Roman"/>
          <w:bCs/>
        </w:rPr>
        <w:footnoteReference w:id="177"/>
      </w:r>
      <w:r w:rsidR="00657D3C" w:rsidRPr="00B642DD">
        <w:t xml:space="preserve">  As shown in the table of Staff wit</w:t>
      </w:r>
      <w:r w:rsidR="009E0AA6">
        <w:softHyphen/>
      </w:r>
      <w:r w:rsidR="00657D3C" w:rsidRPr="00B642DD">
        <w:t>ness Medine’s testimony, these relationships can be seen in a review of AEP Ohio owned plants.</w:t>
      </w:r>
      <w:r w:rsidR="006341DA" w:rsidRPr="00B642DD">
        <w:rPr>
          <w:rStyle w:val="FootnoteReference"/>
          <w:rFonts w:eastAsia="Times New Roman"/>
          <w:bCs/>
        </w:rPr>
        <w:footnoteReference w:id="178"/>
      </w:r>
      <w:r w:rsidR="006341DA" w:rsidRPr="00B642DD">
        <w:t xml:space="preserve">  The default heat rates for Gavin and the other plants that </w:t>
      </w:r>
      <w:r w:rsidR="006341DA" w:rsidRPr="00B642DD">
        <w:lastRenderedPageBreak/>
        <w:t>operate at high capac</w:t>
      </w:r>
      <w:r w:rsidR="009E0AA6">
        <w:softHyphen/>
      </w:r>
      <w:r w:rsidR="006341DA" w:rsidRPr="00B642DD">
        <w:t>ity factors are very similar to the FERC Form 1 heat rates due to its high capacity fac</w:t>
      </w:r>
      <w:r w:rsidR="009E0AA6">
        <w:softHyphen/>
      </w:r>
      <w:r w:rsidR="006341DA" w:rsidRPr="00B642DD">
        <w:t>tor.</w:t>
      </w:r>
      <w:r w:rsidR="00AB1AB9" w:rsidRPr="00B642DD">
        <w:rPr>
          <w:rStyle w:val="FootnoteReference"/>
          <w:rFonts w:eastAsia="Times New Roman"/>
          <w:bCs/>
        </w:rPr>
        <w:footnoteReference w:id="179"/>
      </w:r>
      <w:r w:rsidR="00754E46" w:rsidRPr="00B642DD">
        <w:t xml:space="preserve">  </w:t>
      </w:r>
    </w:p>
    <w:p w:rsidR="00C063CF" w:rsidRPr="00B642DD" w:rsidRDefault="002E4B56" w:rsidP="000D1941">
      <w:pPr>
        <w:pStyle w:val="textstyle"/>
      </w:pPr>
      <w:r>
        <w:tab/>
      </w:r>
      <w:r w:rsidR="00A16F82" w:rsidRPr="00B642DD">
        <w:t>The use of the default heat rates or the most efficient heat rates improves the qual</w:t>
      </w:r>
      <w:r w:rsidR="009E0AA6">
        <w:softHyphen/>
      </w:r>
      <w:r w:rsidR="00A16F82" w:rsidRPr="00B642DD">
        <w:t>ity of the model results.</w:t>
      </w:r>
      <w:r w:rsidR="00596D47" w:rsidRPr="00B642DD">
        <w:rPr>
          <w:rStyle w:val="FootnoteReference"/>
          <w:rFonts w:eastAsia="Times New Roman"/>
          <w:bCs/>
        </w:rPr>
        <w:footnoteReference w:id="180"/>
      </w:r>
      <w:r w:rsidR="00026C3E" w:rsidRPr="00B642DD">
        <w:t xml:space="preserve">  </w:t>
      </w:r>
      <w:r w:rsidR="003A0EEB" w:rsidRPr="00B642DD">
        <w:t>Most of AE</w:t>
      </w:r>
      <w:r w:rsidR="001D6BDE" w:rsidRPr="00B642DD">
        <w:t>P</w:t>
      </w:r>
      <w:r w:rsidR="003A0EEB" w:rsidRPr="00B642DD">
        <w:t xml:space="preserve"> Ohio’s generation comes from the higher capac</w:t>
      </w:r>
      <w:r w:rsidR="009E0AA6">
        <w:softHyphen/>
      </w:r>
      <w:r w:rsidR="003A0EEB" w:rsidRPr="00B642DD">
        <w:t>ity units.</w:t>
      </w:r>
      <w:r w:rsidR="001D6BDE" w:rsidRPr="00B642DD">
        <w:rPr>
          <w:rStyle w:val="FootnoteReference"/>
          <w:rFonts w:eastAsia="Times New Roman"/>
          <w:bCs/>
        </w:rPr>
        <w:footnoteReference w:id="181"/>
      </w:r>
      <w:r w:rsidR="003A0EEB" w:rsidRPr="00B642DD">
        <w:t xml:space="preserve">  </w:t>
      </w:r>
      <w:r w:rsidR="00026C3E" w:rsidRPr="00B642DD">
        <w:t>With respect to generation, the use of average heat rates would have little effect on the utilization of the coal units with high capacity factors because they are already similar.  However, the use of average heat rates could suppress coal generation in the marginal units because it would make the marginal units less economic.</w:t>
      </w:r>
      <w:r w:rsidR="00754E46" w:rsidRPr="00B642DD">
        <w:rPr>
          <w:rStyle w:val="FootnoteReference"/>
          <w:rFonts w:eastAsia="Times New Roman"/>
          <w:bCs/>
        </w:rPr>
        <w:footnoteReference w:id="182"/>
      </w:r>
      <w:r w:rsidR="003A0EEB" w:rsidRPr="00B642DD">
        <w:t xml:space="preserve">  But the net impact would likely be modest since all coal plants would be similarly affected.</w:t>
      </w:r>
      <w:r w:rsidR="003A0EEB" w:rsidRPr="00B642DD">
        <w:rPr>
          <w:rStyle w:val="FootnoteReference"/>
          <w:rFonts w:eastAsia="Times New Roman"/>
          <w:bCs/>
        </w:rPr>
        <w:footnoteReference w:id="183"/>
      </w:r>
    </w:p>
    <w:p w:rsidR="00075C64" w:rsidRPr="00B642DD" w:rsidRDefault="002E4B56" w:rsidP="000D1941">
      <w:pPr>
        <w:pStyle w:val="textstyle"/>
      </w:pPr>
      <w:r>
        <w:tab/>
      </w:r>
      <w:r w:rsidR="00C063CF" w:rsidRPr="00B642DD">
        <w:t>EVA employed the zonal version of AURORAxmp for its analysis.  The zonal model removes a large portion of complexity by setting a single energy price for areas that are well connected and have little internal congestion constraint.</w:t>
      </w:r>
      <w:r w:rsidR="00F854D7" w:rsidRPr="00B642DD">
        <w:rPr>
          <w:rStyle w:val="FootnoteReference"/>
          <w:rFonts w:eastAsia="Times New Roman"/>
          <w:bCs/>
        </w:rPr>
        <w:footnoteReference w:id="184"/>
      </w:r>
      <w:r w:rsidR="007C6B0C" w:rsidRPr="00B642DD">
        <w:t xml:space="preserve">  </w:t>
      </w:r>
      <w:r w:rsidR="007D4757">
        <w:t xml:space="preserve">Staff witness </w:t>
      </w:r>
      <w:proofErr w:type="spellStart"/>
      <w:r w:rsidR="007D4757">
        <w:t>Medine</w:t>
      </w:r>
      <w:proofErr w:type="spellEnd"/>
      <w:r w:rsidR="007D4757">
        <w:t xml:space="preserve"> testified that the results between a nodal and zonal model are similar when there is not much congestion.  </w:t>
      </w:r>
      <w:r w:rsidR="007C6B0C" w:rsidRPr="00B642DD">
        <w:t>EVA’s research showed that there was no</w:t>
      </w:r>
      <w:r w:rsidR="007D4757">
        <w:t>t</w:t>
      </w:r>
      <w:r w:rsidR="007C6B0C" w:rsidRPr="00B642DD">
        <w:t xml:space="preserve"> </w:t>
      </w:r>
      <w:r w:rsidR="007D4757">
        <w:t xml:space="preserve">a </w:t>
      </w:r>
      <w:r w:rsidR="007C6B0C" w:rsidRPr="00B642DD">
        <w:t xml:space="preserve">congestion issue </w:t>
      </w:r>
      <w:r w:rsidR="007C6B0C" w:rsidRPr="00B642DD">
        <w:lastRenderedPageBreak/>
        <w:t>within the AEP Ohio zone.</w:t>
      </w:r>
      <w:r w:rsidR="007C6B0C" w:rsidRPr="00B642DD">
        <w:rPr>
          <w:rStyle w:val="FootnoteReference"/>
          <w:rFonts w:eastAsia="Times New Roman"/>
          <w:bCs/>
        </w:rPr>
        <w:footnoteReference w:id="185"/>
      </w:r>
      <w:r w:rsidR="00C063CF" w:rsidRPr="00B642DD">
        <w:t xml:space="preserve">  </w:t>
      </w:r>
      <w:r w:rsidR="007D4757" w:rsidRPr="00B642DD">
        <w:t xml:space="preserve">Staff witness Medine confirmed </w:t>
      </w:r>
      <w:r w:rsidR="007D4757">
        <w:t>there was not much conges</w:t>
      </w:r>
      <w:r w:rsidR="009E0AA6">
        <w:softHyphen/>
      </w:r>
      <w:r w:rsidR="007D4757">
        <w:t xml:space="preserve">tion in the AEP </w:t>
      </w:r>
      <w:r w:rsidR="0036256E">
        <w:t xml:space="preserve">Ohio </w:t>
      </w:r>
      <w:r w:rsidR="007D4757">
        <w:t xml:space="preserve">zone </w:t>
      </w:r>
      <w:r w:rsidR="007D4757" w:rsidRPr="00B642DD">
        <w:t>with the PJM market monitor</w:t>
      </w:r>
      <w:r w:rsidR="007D4757">
        <w:t>.</w:t>
      </w:r>
      <w:r w:rsidR="004A0311">
        <w:rPr>
          <w:rStyle w:val="FootnoteReference"/>
          <w:rFonts w:eastAsia="Times New Roman"/>
          <w:bCs/>
        </w:rPr>
        <w:footnoteReference w:id="186"/>
      </w:r>
      <w:r w:rsidR="00657D3C" w:rsidRPr="00B642DD">
        <w:t xml:space="preserve">  </w:t>
      </w:r>
      <w:r w:rsidR="00836A4B" w:rsidRPr="00B642DD">
        <w:t xml:space="preserve">  </w:t>
      </w:r>
      <w:r w:rsidR="000C21F7" w:rsidRPr="00B642DD">
        <w:t xml:space="preserve">  </w:t>
      </w:r>
      <w:r w:rsidR="00E45176" w:rsidRPr="00B642DD">
        <w:t xml:space="preserve">  </w:t>
      </w:r>
    </w:p>
    <w:p w:rsidR="00661F0C" w:rsidRDefault="002E4B56" w:rsidP="000D1941">
      <w:pPr>
        <w:pStyle w:val="textstyle"/>
      </w:pPr>
      <w:r>
        <w:tab/>
      </w:r>
      <w:r w:rsidR="00B45195" w:rsidRPr="00B642DD">
        <w:t>Both OPCo and CSP participle in the AEP Interconnect Agreement, which require</w:t>
      </w:r>
      <w:r w:rsidR="003042DE">
        <w:t>s</w:t>
      </w:r>
      <w:r w:rsidR="00B45195" w:rsidRPr="00B642DD">
        <w:t xml:space="preserve"> a portion of AEP Ohio’s profits from off system sales (</w:t>
      </w:r>
      <w:r w:rsidR="00080F38">
        <w:t>“</w:t>
      </w:r>
      <w:r w:rsidR="00B45195" w:rsidRPr="00B642DD">
        <w:t>OSS</w:t>
      </w:r>
      <w:r w:rsidR="00080F38">
        <w:t>”</w:t>
      </w:r>
      <w:r w:rsidR="00B45195" w:rsidRPr="00B642DD">
        <w:t>) to be redistributed to other members of the pool.</w:t>
      </w:r>
      <w:r w:rsidR="00B45195" w:rsidRPr="00B642DD">
        <w:rPr>
          <w:rStyle w:val="FootnoteReference"/>
          <w:rFonts w:eastAsia="Times New Roman"/>
          <w:bCs/>
        </w:rPr>
        <w:footnoteReference w:id="187"/>
      </w:r>
      <w:r w:rsidR="00B45195" w:rsidRPr="00B642DD">
        <w:t xml:space="preserve">  To estimate AEP Ohio’s share of the prof</w:t>
      </w:r>
      <w:r w:rsidR="003042DE">
        <w:softHyphen/>
      </w:r>
      <w:r w:rsidR="00B45195" w:rsidRPr="00B642DD">
        <w:t>its, Staff compared hourly load simulated generation for OPCo and CSP assets with the forecasted hourly demand data provided by AEP Ohio.</w:t>
      </w:r>
      <w:r w:rsidR="00B45195" w:rsidRPr="00B642DD">
        <w:rPr>
          <w:rStyle w:val="FootnoteReference"/>
          <w:rFonts w:eastAsia="Times New Roman"/>
          <w:bCs/>
        </w:rPr>
        <w:footnoteReference w:id="188"/>
      </w:r>
      <w:r w:rsidR="00B45195" w:rsidRPr="00B642DD">
        <w:t xml:space="preserve">  Where the simulated hourly generation exceeded retail demand, </w:t>
      </w:r>
      <w:r w:rsidR="008362A4" w:rsidRPr="00B642DD">
        <w:t>EVA</w:t>
      </w:r>
      <w:r w:rsidR="00B45195" w:rsidRPr="00B642DD">
        <w:t xml:space="preserve"> attributed the profit associated with the excess generation to OSS.</w:t>
      </w:r>
      <w:r w:rsidR="00B45195" w:rsidRPr="00B642DD">
        <w:rPr>
          <w:rStyle w:val="FootnoteReference"/>
          <w:rFonts w:eastAsia="Times New Roman"/>
          <w:bCs/>
        </w:rPr>
        <w:footnoteReference w:id="189"/>
      </w:r>
      <w:r w:rsidR="00B45195" w:rsidRPr="00B642DD">
        <w:t xml:space="preserve">  The portion of OSS revenue retained by AEP Ohio is </w:t>
      </w:r>
      <w:r w:rsidR="003042DE">
        <w:t>determined by its</w:t>
      </w:r>
      <w:r w:rsidR="00B45195" w:rsidRPr="00B642DD">
        <w:t xml:space="preserve"> Member Load Ratio (</w:t>
      </w:r>
      <w:r w:rsidR="00080F38">
        <w:t>“</w:t>
      </w:r>
      <w:r w:rsidR="00B45195" w:rsidRPr="00B642DD">
        <w:t>MLR</w:t>
      </w:r>
      <w:r w:rsidR="00080F38">
        <w:t>”</w:t>
      </w:r>
      <w:r w:rsidR="00B45195" w:rsidRPr="00B642DD">
        <w:t>).</w:t>
      </w:r>
      <w:r w:rsidR="00B45195" w:rsidRPr="00B642DD">
        <w:rPr>
          <w:rStyle w:val="FootnoteReference"/>
          <w:rFonts w:eastAsia="Times New Roman"/>
          <w:bCs/>
        </w:rPr>
        <w:footnoteReference w:id="190"/>
      </w:r>
      <w:r w:rsidR="00B45195" w:rsidRPr="00B642DD">
        <w:t xml:space="preserve">  The average 2010 MLR provided in Mr. Pearce’s Exhibit KDP-5 was used by Staff for the entire forecast period.</w:t>
      </w:r>
      <w:r w:rsidR="00B45195" w:rsidRPr="00B642DD">
        <w:rPr>
          <w:rStyle w:val="FootnoteReference"/>
          <w:rFonts w:eastAsia="Times New Roman"/>
          <w:bCs/>
        </w:rPr>
        <w:footnoteReference w:id="191"/>
      </w:r>
      <w:r w:rsidR="00B45195" w:rsidRPr="00B642DD">
        <w:t xml:space="preserve"> </w:t>
      </w:r>
    </w:p>
    <w:p w:rsidR="00FF4AC2" w:rsidRPr="00B642DD" w:rsidRDefault="002E4B56" w:rsidP="000D1941">
      <w:pPr>
        <w:pStyle w:val="textstyle"/>
      </w:pPr>
      <w:r>
        <w:tab/>
      </w:r>
      <w:r w:rsidR="00560BB4" w:rsidRPr="00B642DD">
        <w:t>AEP Ohio</w:t>
      </w:r>
      <w:r w:rsidR="00C61DE5" w:rsidRPr="00B642DD">
        <w:t xml:space="preserve"> along with App</w:t>
      </w:r>
      <w:r w:rsidR="00A551F7">
        <w:t>a</w:t>
      </w:r>
      <w:r w:rsidR="00C61DE5" w:rsidRPr="00B642DD">
        <w:t xml:space="preserve">lachian </w:t>
      </w:r>
      <w:r w:rsidR="00560BB4" w:rsidRPr="00B642DD">
        <w:t>P</w:t>
      </w:r>
      <w:r w:rsidR="00C61DE5" w:rsidRPr="00B642DD">
        <w:t>ower, Indiana &amp;Michigan, Kentucky Power, and AEPSC are parties to the Interconne</w:t>
      </w:r>
      <w:r w:rsidR="00A551F7">
        <w:t>c</w:t>
      </w:r>
      <w:r w:rsidR="00C61DE5" w:rsidRPr="00B642DD">
        <w:t xml:space="preserve">tion Agreement.  This Agreement defines how the member companies share the costs and benefits associated with their generating </w:t>
      </w:r>
      <w:r w:rsidR="00C61DE5" w:rsidRPr="00B642DD">
        <w:lastRenderedPageBreak/>
        <w:t>plants.</w:t>
      </w:r>
      <w:r w:rsidR="00560BB4" w:rsidRPr="00B642DD">
        <w:rPr>
          <w:rStyle w:val="FootnoteReference"/>
          <w:rFonts w:eastAsia="Times New Roman"/>
          <w:bCs/>
        </w:rPr>
        <w:footnoteReference w:id="192"/>
      </w:r>
      <w:r w:rsidR="00647663" w:rsidRPr="00B642DD">
        <w:t xml:space="preserve">  This sharing is based upon each company’s MLR.  The MLR is calculated monthly by dividing each company’s highest monthly peak demand for the last twelve months by the aggregate of the highest monthly peak demand for the last twelve months for all member companies.</w:t>
      </w:r>
      <w:r w:rsidR="00306457" w:rsidRPr="00B642DD">
        <w:rPr>
          <w:rStyle w:val="FootnoteReference"/>
          <w:rFonts w:eastAsia="Times New Roman"/>
          <w:bCs/>
        </w:rPr>
        <w:footnoteReference w:id="193"/>
      </w:r>
      <w:r w:rsidR="005F1445">
        <w:t xml:space="preserve">  </w:t>
      </w:r>
      <w:r w:rsidR="00306457" w:rsidRPr="00B642DD">
        <w:t>The MLR multiplied by the aggregate generation capacity of all the member companies determines each member company’s capacity obligation.</w:t>
      </w:r>
      <w:r w:rsidR="00E430AE" w:rsidRPr="00B642DD">
        <w:rPr>
          <w:rStyle w:val="FootnoteReference"/>
          <w:rFonts w:eastAsia="Times New Roman"/>
          <w:bCs/>
        </w:rPr>
        <w:footnoteReference w:id="194"/>
      </w:r>
      <w:r w:rsidR="00560BB4" w:rsidRPr="00B642DD">
        <w:t xml:space="preserve"> </w:t>
      </w:r>
      <w:r w:rsidR="00E430AE" w:rsidRPr="00B642DD">
        <w:t xml:space="preserve"> The difference between each member company’s obligation and its own generation capacity determines the capacity surplus or deficit of each member company.</w:t>
      </w:r>
      <w:r w:rsidR="00FF4AC2" w:rsidRPr="00B642DD">
        <w:rPr>
          <w:rStyle w:val="FootnoteReference"/>
          <w:rFonts w:eastAsia="Times New Roman"/>
          <w:bCs/>
        </w:rPr>
        <w:footnoteReference w:id="195"/>
      </w:r>
      <w:r w:rsidR="00560BB4" w:rsidRPr="00B642DD">
        <w:t xml:space="preserve"> </w:t>
      </w:r>
    </w:p>
    <w:p w:rsidR="00B45195" w:rsidRPr="00B642DD" w:rsidRDefault="002E4B56" w:rsidP="000D1941">
      <w:pPr>
        <w:pStyle w:val="textstyle"/>
      </w:pPr>
      <w:r>
        <w:tab/>
      </w:r>
      <w:r w:rsidR="00FF4AC2" w:rsidRPr="00B642DD">
        <w:t xml:space="preserve">The </w:t>
      </w:r>
      <w:r w:rsidR="00A551F7">
        <w:t xml:space="preserve">Interconnection </w:t>
      </w:r>
      <w:r w:rsidR="00FF4AC2" w:rsidRPr="00B642DD">
        <w:t>Agreement requires the deficit companies to make monthly capacity equalization payments to the surplus companies based on the surplus companies’ average fixed cost of generation.</w:t>
      </w:r>
      <w:r w:rsidR="00586FEE" w:rsidRPr="00B642DD">
        <w:rPr>
          <w:rStyle w:val="FootnoteReference"/>
          <w:rFonts w:eastAsia="Times New Roman"/>
          <w:bCs/>
        </w:rPr>
        <w:footnoteReference w:id="196"/>
      </w:r>
      <w:r w:rsidR="00586FEE" w:rsidRPr="00B642DD">
        <w:t xml:space="preserve">  Member companies that deliver energy to other mem</w:t>
      </w:r>
      <w:r w:rsidR="009E0AA6">
        <w:softHyphen/>
      </w:r>
      <w:r w:rsidR="00586FEE" w:rsidRPr="00B642DD">
        <w:t>ber companies to meet their internal load requirements are reimbursed at average variable costs.</w:t>
      </w:r>
      <w:r w:rsidR="00AA507E" w:rsidRPr="00B642DD">
        <w:rPr>
          <w:rStyle w:val="FootnoteReference"/>
          <w:rFonts w:eastAsia="Times New Roman"/>
          <w:bCs/>
        </w:rPr>
        <w:footnoteReference w:id="197"/>
      </w:r>
      <w:r w:rsidR="00AA507E" w:rsidRPr="00B642DD">
        <w:t xml:space="preserve">  All member companies share OSS margins based upon each member company’s MLR.</w:t>
      </w:r>
      <w:r w:rsidR="001328EE" w:rsidRPr="00B642DD">
        <w:rPr>
          <w:rStyle w:val="FootnoteReference"/>
          <w:rFonts w:eastAsia="Times New Roman"/>
          <w:bCs/>
        </w:rPr>
        <w:footnoteReference w:id="198"/>
      </w:r>
      <w:r w:rsidR="00112562" w:rsidRPr="00B642DD">
        <w:t xml:space="preserve">  EVA’s treatment of OSS is conservative because it only takes into </w:t>
      </w:r>
      <w:r w:rsidR="00112562" w:rsidRPr="00B642DD">
        <w:lastRenderedPageBreak/>
        <w:t>account AEP Ohio’s margin of OSS.  EVA does not include any OSS margins AEP Ohio receives from other member companies.</w:t>
      </w:r>
      <w:r w:rsidR="002F66F2">
        <w:rPr>
          <w:rStyle w:val="FootnoteReference"/>
          <w:rFonts w:eastAsia="Times New Roman"/>
          <w:bCs/>
        </w:rPr>
        <w:footnoteReference w:id="199"/>
      </w:r>
      <w:r w:rsidR="00B45195" w:rsidRPr="00B642DD">
        <w:t xml:space="preserve"> </w:t>
      </w:r>
    </w:p>
    <w:p w:rsidR="001328EE" w:rsidRPr="00B642DD" w:rsidRDefault="002E4B56" w:rsidP="000D1941">
      <w:pPr>
        <w:pStyle w:val="textstyle"/>
      </w:pPr>
      <w:r>
        <w:tab/>
      </w:r>
      <w:r w:rsidR="001328EE" w:rsidRPr="00B642DD">
        <w:t>While recognizing the MLR can change on a monthly basis, EVA and Larkin decided to fix the MLR for this analysis at 19%, 22%, and 40% for CSP, OPCo and AEP Ohio, respectively, based upon 2010 actuals.</w:t>
      </w:r>
      <w:r w:rsidR="006D2E06" w:rsidRPr="00B642DD">
        <w:rPr>
          <w:rStyle w:val="FootnoteReference"/>
          <w:rFonts w:eastAsia="Times New Roman"/>
          <w:bCs/>
        </w:rPr>
        <w:footnoteReference w:id="200"/>
      </w:r>
      <w:r w:rsidR="00CF7824" w:rsidRPr="00B642DD">
        <w:t xml:space="preserve">  As the Staf</w:t>
      </w:r>
      <w:r w:rsidR="005F4517" w:rsidRPr="00B642DD">
        <w:t>f</w:t>
      </w:r>
      <w:r w:rsidR="00CF7824" w:rsidRPr="00B642DD">
        <w:t>’s proposed energy credit is directly tied to the MLR, higher or lower numbers would cause similar movements in the energy credit.</w:t>
      </w:r>
      <w:r w:rsidR="007046D5" w:rsidRPr="00B642DD">
        <w:rPr>
          <w:rStyle w:val="FootnoteReference"/>
          <w:rFonts w:eastAsia="Times New Roman"/>
          <w:bCs/>
        </w:rPr>
        <w:footnoteReference w:id="201"/>
      </w:r>
      <w:r w:rsidR="00FF1A45">
        <w:t xml:space="preserve">  AEP Ohio witness Nelson stated, </w:t>
      </w:r>
      <w:r w:rsidR="003D23F6">
        <w:t>while noting his</w:t>
      </w:r>
      <w:r w:rsidR="00FF1A45">
        <w:t xml:space="preserve"> exception </w:t>
      </w:r>
      <w:r w:rsidR="003D23F6">
        <w:t>with</w:t>
      </w:r>
      <w:r w:rsidR="00FF1A45">
        <w:t xml:space="preserve"> Wheeling Power, that Staff </w:t>
      </w:r>
      <w:r w:rsidR="003D23F6">
        <w:t xml:space="preserve">probably identified AEP Ohio’s OSS and correctly </w:t>
      </w:r>
      <w:r w:rsidR="00FF1A45">
        <w:t xml:space="preserve">applied the MLR to </w:t>
      </w:r>
      <w:r w:rsidR="003D23F6">
        <w:t xml:space="preserve">those </w:t>
      </w:r>
      <w:r w:rsidR="00FF1A45">
        <w:t>OSS.</w:t>
      </w:r>
      <w:r w:rsidR="00F3681D">
        <w:rPr>
          <w:rStyle w:val="FootnoteReference"/>
          <w:rFonts w:eastAsia="Times New Roman"/>
          <w:bCs/>
        </w:rPr>
        <w:footnoteReference w:id="202"/>
      </w:r>
    </w:p>
    <w:p w:rsidR="002C526A" w:rsidRPr="00B642DD" w:rsidRDefault="002E4B56" w:rsidP="000D1941">
      <w:pPr>
        <w:pStyle w:val="textstyle"/>
      </w:pPr>
      <w:r>
        <w:tab/>
      </w:r>
      <w:r w:rsidR="002C526A" w:rsidRPr="00B642DD">
        <w:t xml:space="preserve">In December 2010, each AEP Power pool member noticed the other members, and AEPSC, the pool’s agent, of their respective decisions to terminate the </w:t>
      </w:r>
      <w:r w:rsidR="00A551F7">
        <w:t xml:space="preserve">Interconnection </w:t>
      </w:r>
      <w:r w:rsidR="002C526A" w:rsidRPr="00B642DD">
        <w:t>Agreement, effective January 1, 2014.</w:t>
      </w:r>
      <w:r w:rsidR="00E5344D" w:rsidRPr="00B642DD">
        <w:rPr>
          <w:rStyle w:val="FootnoteReference"/>
          <w:rFonts w:eastAsia="Times New Roman"/>
          <w:bCs/>
        </w:rPr>
        <w:footnoteReference w:id="203"/>
      </w:r>
      <w:r w:rsidR="00E5344D" w:rsidRPr="00B642DD">
        <w:t xml:space="preserve">  However, the Agreement will not necessarily terminate at that time or after that time until accepted by FERC.</w:t>
      </w:r>
      <w:r w:rsidR="00FE6662" w:rsidRPr="00B642DD">
        <w:t xml:space="preserve">  As a result, the exact timing and implications of the termination are difficult to predict.</w:t>
      </w:r>
      <w:r w:rsidR="00065466" w:rsidRPr="00B642DD">
        <w:rPr>
          <w:rStyle w:val="FootnoteReference"/>
          <w:rFonts w:eastAsia="Times New Roman"/>
          <w:bCs/>
        </w:rPr>
        <w:footnoteReference w:id="204"/>
      </w:r>
      <w:r w:rsidR="00065466" w:rsidRPr="00B642DD">
        <w:t xml:space="preserve">  Rather than specu</w:t>
      </w:r>
      <w:r w:rsidR="009E0AA6">
        <w:softHyphen/>
      </w:r>
      <w:r w:rsidR="00065466" w:rsidRPr="00B642DD">
        <w:t xml:space="preserve">late as to its consequences, which could either increase or decrease then energy credit, </w:t>
      </w:r>
      <w:r w:rsidR="00065466" w:rsidRPr="00B642DD">
        <w:lastRenderedPageBreak/>
        <w:t>EVA and Larkin decided to hold the MLR adjustment constant throughout the period.</w:t>
      </w:r>
      <w:r w:rsidR="004B128B" w:rsidRPr="00B642DD">
        <w:rPr>
          <w:rStyle w:val="FootnoteReference"/>
          <w:rFonts w:eastAsia="Times New Roman"/>
          <w:bCs/>
        </w:rPr>
        <w:footnoteReference w:id="205"/>
      </w:r>
      <w:r w:rsidR="00CF4E48" w:rsidRPr="00B642DD">
        <w:t xml:space="preserve">  Again, this is a conservative approach taken by EVA, who, unlike AEP Ohio, refuses to speculate when termination of the pool may be granted by FERC.</w:t>
      </w:r>
      <w:r w:rsidR="008F7E95">
        <w:t xml:space="preserve">  AEP Ohio witness Nelson agreed that </w:t>
      </w:r>
      <w:r w:rsidR="00321CD8">
        <w:t>AEP Ohio</w:t>
      </w:r>
      <w:r w:rsidR="008F7E95">
        <w:t xml:space="preserve"> need</w:t>
      </w:r>
      <w:r w:rsidR="00321CD8">
        <w:t>s</w:t>
      </w:r>
      <w:r w:rsidR="008F7E95">
        <w:t xml:space="preserve"> FERC approval to terminate the pool agreement and if FERC does not grant termination by January 1, 2014, the Agreement will continue.</w:t>
      </w:r>
      <w:r w:rsidR="004328D6">
        <w:rPr>
          <w:rStyle w:val="FootnoteReference"/>
          <w:rFonts w:eastAsia="Times New Roman"/>
          <w:bCs/>
        </w:rPr>
        <w:footnoteReference w:id="206"/>
      </w:r>
      <w:r w:rsidR="002338C6">
        <w:t xml:space="preserve">  Mr. Nelson also agreed that there is a level of uncertainty as to whether FERC will approve the termination of the pool agreement by January 1, 2014.</w:t>
      </w:r>
      <w:r w:rsidR="0088232A">
        <w:rPr>
          <w:rStyle w:val="FootnoteReference"/>
          <w:rFonts w:eastAsia="Times New Roman"/>
          <w:bCs/>
        </w:rPr>
        <w:footnoteReference w:id="207"/>
      </w:r>
      <w:r w:rsidR="00CF4E48" w:rsidRPr="00B642DD">
        <w:t xml:space="preserve"> </w:t>
      </w:r>
      <w:r w:rsidR="00995D95" w:rsidRPr="00B642DD">
        <w:t xml:space="preserve">  </w:t>
      </w:r>
    </w:p>
    <w:p w:rsidR="003E5F3E" w:rsidRDefault="002E4B56" w:rsidP="000D1941">
      <w:pPr>
        <w:pStyle w:val="textstyle"/>
      </w:pPr>
      <w:r>
        <w:tab/>
      </w:r>
      <w:r w:rsidR="003E5F3E" w:rsidRPr="00B642DD">
        <w:t xml:space="preserve">EVA assumed 26% shopping for the </w:t>
      </w:r>
      <w:r w:rsidR="00A551F7" w:rsidRPr="00B642DD">
        <w:t xml:space="preserve">AURORAxmp </w:t>
      </w:r>
      <w:r w:rsidR="003E5F3E" w:rsidRPr="00B642DD">
        <w:t>model.  In calculating what portion of AEP Ohio’s generation is used for OSS, Staff reduced AE</w:t>
      </w:r>
      <w:r w:rsidR="00722C91" w:rsidRPr="00B642DD">
        <w:t>P</w:t>
      </w:r>
      <w:r w:rsidR="003E5F3E" w:rsidRPr="00B642DD">
        <w:t xml:space="preserve"> Ohio’s SSO Retail load by 26%.</w:t>
      </w:r>
      <w:r w:rsidR="00A359A4" w:rsidRPr="00B642DD">
        <w:rPr>
          <w:rStyle w:val="FootnoteReference"/>
          <w:rFonts w:eastAsia="Times New Roman"/>
          <w:bCs/>
        </w:rPr>
        <w:footnoteReference w:id="208"/>
      </w:r>
      <w:r w:rsidR="00A359A4" w:rsidRPr="00B642DD">
        <w:t xml:space="preserve">  This produces a higher level of OSS and causes a larger portion of the gross margin to be adjusted for the MLR.</w:t>
      </w:r>
      <w:r w:rsidR="00722C91" w:rsidRPr="00B642DD">
        <w:rPr>
          <w:rStyle w:val="FootnoteReference"/>
          <w:rFonts w:eastAsia="Times New Roman"/>
          <w:bCs/>
        </w:rPr>
        <w:footnoteReference w:id="209"/>
      </w:r>
      <w:r w:rsidR="00722C91" w:rsidRPr="00B642DD">
        <w:t xml:space="preserve">  An increase in the switching assumption will tend to decrease the energy credit while a decrease in the switching assumption will tend to increase the energy credit.</w:t>
      </w:r>
      <w:r w:rsidR="000C0757" w:rsidRPr="00B642DD">
        <w:rPr>
          <w:rStyle w:val="FootnoteReference"/>
          <w:rFonts w:eastAsia="Times New Roman"/>
          <w:bCs/>
        </w:rPr>
        <w:footnoteReference w:id="210"/>
      </w:r>
      <w:r w:rsidR="00DD4BA6" w:rsidRPr="00B642DD">
        <w:t xml:space="preserve">  EVA chose to be conservative by using a 26% shop</w:t>
      </w:r>
      <w:r w:rsidR="009E0AA6">
        <w:softHyphen/>
      </w:r>
      <w:r w:rsidR="00DD4BA6" w:rsidRPr="00B642DD">
        <w:t>ping assumption for the reason that EVA did not forecast whether shopping would go up or down over the next three years.</w:t>
      </w:r>
      <w:r w:rsidR="00647E3D" w:rsidRPr="00B642DD">
        <w:rPr>
          <w:rStyle w:val="FootnoteReference"/>
          <w:rFonts w:eastAsia="Times New Roman"/>
          <w:bCs/>
        </w:rPr>
        <w:footnoteReference w:id="211"/>
      </w:r>
      <w:r w:rsidR="00722C91" w:rsidRPr="00B642DD">
        <w:t xml:space="preserve"> </w:t>
      </w:r>
    </w:p>
    <w:p w:rsidR="000830D7" w:rsidRDefault="002E4B56" w:rsidP="000D1941">
      <w:pPr>
        <w:pStyle w:val="textstyle"/>
      </w:pPr>
      <w:r>
        <w:lastRenderedPageBreak/>
        <w:tab/>
      </w:r>
      <w:r w:rsidR="000830D7">
        <w:t>In the 2007-2008 planning year</w:t>
      </w:r>
      <w:r w:rsidR="000A3CEC">
        <w:t>,</w:t>
      </w:r>
      <w:r w:rsidR="000830D7">
        <w:t xml:space="preserve"> the RPM rate in the AEP load zone was $46.73 per megawatt day.</w:t>
      </w:r>
      <w:r w:rsidR="00042333">
        <w:rPr>
          <w:rStyle w:val="FootnoteReference"/>
          <w:rFonts w:eastAsia="Times New Roman"/>
          <w:bCs/>
        </w:rPr>
        <w:footnoteReference w:id="212"/>
      </w:r>
      <w:r w:rsidR="000830D7">
        <w:t xml:space="preserve">  This is what AEP Ohio charged CRES providers to supply capacity for shopping customers in that planning year.</w:t>
      </w:r>
      <w:r w:rsidR="00042333">
        <w:rPr>
          <w:rStyle w:val="FootnoteReference"/>
          <w:rFonts w:eastAsia="Times New Roman"/>
          <w:bCs/>
        </w:rPr>
        <w:footnoteReference w:id="213"/>
      </w:r>
      <w:r w:rsidR="003D7844">
        <w:t xml:space="preserve">  AEP Ohio witness Pearce testified that </w:t>
      </w:r>
      <w:r w:rsidR="000A3CEC">
        <w:t>AEP Ohio</w:t>
      </w:r>
      <w:r w:rsidR="003D7844">
        <w:t xml:space="preserve"> had close to no shopping when the capacity rate was $46.73.</w:t>
      </w:r>
      <w:r w:rsidR="0029260D">
        <w:rPr>
          <w:rStyle w:val="FootnoteReference"/>
          <w:rFonts w:eastAsia="Times New Roman"/>
          <w:bCs/>
        </w:rPr>
        <w:footnoteReference w:id="214"/>
      </w:r>
      <w:r w:rsidR="0029260D">
        <w:t xml:space="preserve">  </w:t>
      </w:r>
      <w:r w:rsidR="000A3CEC">
        <w:t>Mr. Pearce</w:t>
      </w:r>
      <w:r w:rsidR="0029260D">
        <w:t xml:space="preserve"> answered the same way for the 2008-2009 and 2009-2010 planning years, when the capacity rates were $129.71 and $126.33, respectively.</w:t>
      </w:r>
      <w:r w:rsidR="003A133B">
        <w:rPr>
          <w:rStyle w:val="FootnoteReference"/>
          <w:rFonts w:eastAsia="Times New Roman"/>
          <w:bCs/>
        </w:rPr>
        <w:footnoteReference w:id="215"/>
      </w:r>
      <w:r w:rsidR="003A133B">
        <w:t xml:space="preserve">  That is, AEP Ohio had very little to no shopping.</w:t>
      </w:r>
      <w:r w:rsidR="003A133B">
        <w:rPr>
          <w:rStyle w:val="FootnoteReference"/>
          <w:rFonts w:eastAsia="Times New Roman"/>
          <w:bCs/>
        </w:rPr>
        <w:footnoteReference w:id="216"/>
      </w:r>
      <w:r w:rsidR="00077735">
        <w:t xml:space="preserve">  </w:t>
      </w:r>
      <w:r w:rsidR="003A133B">
        <w:t>In the 2011-2012 p</w:t>
      </w:r>
      <w:r w:rsidR="0075335C">
        <w:t>lanning year</w:t>
      </w:r>
      <w:r w:rsidR="000A3CEC">
        <w:t>,</w:t>
      </w:r>
      <w:r w:rsidR="003A133B">
        <w:t xml:space="preserve"> AEP Ohio was charging a capac</w:t>
      </w:r>
      <w:r w:rsidR="009E0AA6">
        <w:softHyphen/>
      </w:r>
      <w:r w:rsidR="003A133B">
        <w:t>ity rate of $145.79</w:t>
      </w:r>
      <w:r w:rsidR="00586E6F">
        <w:t xml:space="preserve"> to CRES providers, which is the same rate AEP Ohio propos</w:t>
      </w:r>
      <w:r w:rsidR="000A3CEC">
        <w:t>es</w:t>
      </w:r>
      <w:r w:rsidR="00586E6F">
        <w:t xml:space="preserve"> to charge CRES providers in the first tier of its modified ESP filing (</w:t>
      </w:r>
      <w:r w:rsidR="009C0DDC">
        <w:t>Case No.</w:t>
      </w:r>
      <w:r w:rsidR="00077735">
        <w:t xml:space="preserve"> </w:t>
      </w:r>
      <w:r w:rsidR="00A02560">
        <w:t>11-346-EL-SSO)</w:t>
      </w:r>
      <w:r w:rsidR="009C0DDC">
        <w:t>.</w:t>
      </w:r>
      <w:r w:rsidR="000B79FA">
        <w:rPr>
          <w:rStyle w:val="FootnoteReference"/>
          <w:rFonts w:eastAsia="Times New Roman"/>
          <w:bCs/>
        </w:rPr>
        <w:footnoteReference w:id="217"/>
      </w:r>
      <w:r w:rsidR="0075335C">
        <w:t xml:space="preserve">  </w:t>
      </w:r>
      <w:r w:rsidR="00586E6F">
        <w:t xml:space="preserve"> </w:t>
      </w:r>
      <w:r w:rsidR="003A133B">
        <w:t xml:space="preserve">  </w:t>
      </w:r>
      <w:r w:rsidR="0029260D">
        <w:t xml:space="preserve">  </w:t>
      </w:r>
      <w:r w:rsidR="003D7844">
        <w:t xml:space="preserve"> </w:t>
      </w:r>
      <w:r w:rsidR="000830D7">
        <w:t xml:space="preserve"> </w:t>
      </w:r>
    </w:p>
    <w:p w:rsidR="00B45195" w:rsidRPr="00B642DD" w:rsidRDefault="002E4B56" w:rsidP="000D1941">
      <w:pPr>
        <w:pStyle w:val="textstyle"/>
      </w:pPr>
      <w:r>
        <w:tab/>
      </w:r>
      <w:r w:rsidR="00B45195" w:rsidRPr="00B642DD">
        <w:t xml:space="preserve">Finally, </w:t>
      </w:r>
      <w:r w:rsidR="000A0CAC" w:rsidRPr="00B642DD">
        <w:t>EVA</w:t>
      </w:r>
      <w:r w:rsidR="00B45195" w:rsidRPr="00B642DD">
        <w:t xml:space="preserve"> converted the annual energy margins into a $/MW Day value using the 2010 5-day coincident peak load (</w:t>
      </w:r>
      <w:r w:rsidR="00080F38">
        <w:t>“</w:t>
      </w:r>
      <w:r w:rsidR="00B45195" w:rsidRPr="00B642DD">
        <w:t>CP-5</w:t>
      </w:r>
      <w:r w:rsidR="00080F38">
        <w:t>”</w:t>
      </w:r>
      <w:r w:rsidR="00B45195" w:rsidRPr="00B642DD">
        <w:t xml:space="preserve">) formula provided in </w:t>
      </w:r>
      <w:r w:rsidR="00A551F7">
        <w:t>AEP witness</w:t>
      </w:r>
      <w:r w:rsidR="00B45195" w:rsidRPr="00B642DD">
        <w:t xml:space="preserve"> Pearce’s Exhibit KDP-5 to be consistent with the capacity analysis provided by Staff witness </w:t>
      </w:r>
      <w:r w:rsidR="00B45195" w:rsidRPr="00B642DD">
        <w:lastRenderedPageBreak/>
        <w:t>Smith.</w:t>
      </w:r>
      <w:r w:rsidR="00B45195" w:rsidRPr="00B642DD">
        <w:rPr>
          <w:rStyle w:val="FootnoteReference"/>
          <w:rFonts w:eastAsia="Times New Roman"/>
          <w:bCs/>
        </w:rPr>
        <w:footnoteReference w:id="218"/>
      </w:r>
      <w:r w:rsidR="00B45195" w:rsidRPr="00B642DD">
        <w:t xml:space="preserve">  The MLR and CP-5 used to calculate the </w:t>
      </w:r>
      <w:r w:rsidR="00A551F7">
        <w:t>m</w:t>
      </w:r>
      <w:r w:rsidR="00B45195" w:rsidRPr="00B642DD">
        <w:t>erged AEP Ohio rates are estimates and not actual 2010 data, which is consistent with Mr. Pearce’s Exhibit KDP-5.</w:t>
      </w:r>
      <w:r w:rsidR="00B45195" w:rsidRPr="00B642DD">
        <w:rPr>
          <w:rStyle w:val="FootnoteReference"/>
          <w:rFonts w:eastAsia="Times New Roman"/>
          <w:bCs/>
        </w:rPr>
        <w:footnoteReference w:id="219"/>
      </w:r>
    </w:p>
    <w:p w:rsidR="00B45195" w:rsidRPr="00B642DD" w:rsidRDefault="002E4B56" w:rsidP="000D1941">
      <w:pPr>
        <w:pStyle w:val="textstyle"/>
      </w:pPr>
      <w:r>
        <w:tab/>
      </w:r>
      <w:r w:rsidR="00B45195" w:rsidRPr="00B642DD">
        <w:t>To account for the profits from AEP Ohio’s participation in the ancillary services market, Staff used the total ancillary service credit AEP Ohio earned in 2011 as a proxy for future ancillary services profits.</w:t>
      </w:r>
      <w:r w:rsidR="00B45195" w:rsidRPr="00B642DD">
        <w:rPr>
          <w:rStyle w:val="FootnoteReference"/>
          <w:rFonts w:eastAsia="Times New Roman"/>
          <w:bCs/>
        </w:rPr>
        <w:footnoteReference w:id="220"/>
      </w:r>
      <w:r w:rsidR="00B45195" w:rsidRPr="00B642DD">
        <w:t xml:space="preserve">  Staff converted these credits from an annual charge into a $/MW Day value using a formula identical to that used for the energy credit calculation.</w:t>
      </w:r>
      <w:r w:rsidR="00B45195" w:rsidRPr="00B642DD">
        <w:rPr>
          <w:rStyle w:val="FootnoteReference"/>
          <w:rFonts w:eastAsia="Times New Roman"/>
          <w:bCs/>
        </w:rPr>
        <w:footnoteReference w:id="221"/>
      </w:r>
      <w:r w:rsidR="00B45195" w:rsidRPr="00B642DD">
        <w:t xml:space="preserve">   </w:t>
      </w:r>
    </w:p>
    <w:p w:rsidR="00B45195" w:rsidRPr="00B642DD" w:rsidRDefault="002E4B56" w:rsidP="000D1941">
      <w:pPr>
        <w:pStyle w:val="textstyle"/>
      </w:pPr>
      <w:r>
        <w:tab/>
      </w:r>
      <w:r w:rsidR="00B45195" w:rsidRPr="00B642DD">
        <w:t>All retained profits from AEP Ohio’s OSS are included in Staff’s proposal.  Staff’s basis for inclusion is both regulatory and economic.  From an economic perspective, because the profits from OSS incentivize AEP Ohio to keep its generating assets opera</w:t>
      </w:r>
      <w:r w:rsidR="009E0AA6">
        <w:softHyphen/>
      </w:r>
      <w:r w:rsidR="00B45195" w:rsidRPr="00B642DD">
        <w:t>tional, the economically efficient capacity price will reflect an offset equal to this bene</w:t>
      </w:r>
      <w:r w:rsidR="009E0AA6">
        <w:softHyphen/>
      </w:r>
      <w:r w:rsidR="00B45195" w:rsidRPr="00B642DD">
        <w:t>fit.</w:t>
      </w:r>
      <w:r w:rsidR="00B45195" w:rsidRPr="00B642DD">
        <w:rPr>
          <w:rStyle w:val="FootnoteReference"/>
          <w:rFonts w:eastAsia="Times New Roman"/>
          <w:bCs/>
        </w:rPr>
        <w:footnoteReference w:id="222"/>
      </w:r>
      <w:r w:rsidR="00B45195" w:rsidRPr="00B642DD">
        <w:t xml:space="preserve">  In regard to the Ancillary services adjustment, these receipts incentivize the asset owner to maintain the plant.</w:t>
      </w:r>
      <w:r w:rsidR="00B45195" w:rsidRPr="00B642DD">
        <w:rPr>
          <w:rStyle w:val="FootnoteReference"/>
          <w:rFonts w:eastAsia="Times New Roman"/>
          <w:bCs/>
        </w:rPr>
        <w:footnoteReference w:id="223"/>
      </w:r>
      <w:r w:rsidR="00B45195" w:rsidRPr="00B642DD">
        <w:t xml:space="preserve">  In addition, CRES providers are currently captive </w:t>
      </w:r>
      <w:r w:rsidR="00B45195" w:rsidRPr="00B642DD">
        <w:lastRenderedPageBreak/>
        <w:t>custom</w:t>
      </w:r>
      <w:r w:rsidR="009E0AA6">
        <w:softHyphen/>
      </w:r>
      <w:r w:rsidR="00B45195" w:rsidRPr="00B642DD">
        <w:t>ers.</w:t>
      </w:r>
      <w:r w:rsidR="00B45195" w:rsidRPr="00B642DD">
        <w:rPr>
          <w:rStyle w:val="FootnoteReference"/>
          <w:rFonts w:eastAsia="Times New Roman"/>
          <w:bCs/>
        </w:rPr>
        <w:footnoteReference w:id="224"/>
      </w:r>
      <w:r w:rsidR="00B45195" w:rsidRPr="00B642DD">
        <w:t xml:space="preserve">  From a regulatory standpoint, profits from OSS are generally required to be redistributed to captive customers when a capacity charge is being collected.</w:t>
      </w:r>
      <w:r w:rsidR="00B45195" w:rsidRPr="00B642DD">
        <w:rPr>
          <w:rStyle w:val="FootnoteReference"/>
          <w:rFonts w:eastAsia="Times New Roman"/>
          <w:bCs/>
        </w:rPr>
        <w:footnoteReference w:id="225"/>
      </w:r>
      <w:r w:rsidR="00B45195" w:rsidRPr="00B642DD">
        <w:t xml:space="preserve">  </w:t>
      </w:r>
    </w:p>
    <w:p w:rsidR="00C82383" w:rsidRPr="00B642DD" w:rsidRDefault="002E4B56" w:rsidP="000D1941">
      <w:pPr>
        <w:pStyle w:val="textstyle"/>
      </w:pPr>
      <w:r>
        <w:tab/>
      </w:r>
      <w:r w:rsidR="00B45195" w:rsidRPr="00B642DD">
        <w:t>In order to provide a full and accurate record for the Commission to decide this case</w:t>
      </w:r>
      <w:r w:rsidR="00A551F7">
        <w:t>,</w:t>
      </w:r>
      <w:r w:rsidR="00B45195" w:rsidRPr="00B642DD">
        <w:t xml:space="preserve"> Staff called Emily S. Medine to testify and clarify the description of Staff’s model inputs and to correct inadvertent errors made in the aggregation of the results.</w:t>
      </w:r>
      <w:r w:rsidR="00B45195" w:rsidRPr="00B642DD">
        <w:rPr>
          <w:rStyle w:val="FootnoteReference"/>
          <w:rFonts w:eastAsia="Times New Roman"/>
          <w:bCs/>
        </w:rPr>
        <w:footnoteReference w:id="226"/>
      </w:r>
      <w:r w:rsidR="00B45195" w:rsidRPr="00B642DD">
        <w:t xml:space="preserve">  The errors related to the aggregation of model outputs concerning the plants that AEP Ohio operated, </w:t>
      </w:r>
      <w:r w:rsidR="00F912D0" w:rsidRPr="00B642DD">
        <w:t>instead of plants</w:t>
      </w:r>
      <w:r w:rsidR="00B45195" w:rsidRPr="00B642DD">
        <w:t xml:space="preserve"> </w:t>
      </w:r>
      <w:r w:rsidR="00F912D0" w:rsidRPr="00B642DD">
        <w:t xml:space="preserve">it </w:t>
      </w:r>
      <w:r w:rsidR="00B45195" w:rsidRPr="00B642DD">
        <w:t>owned, and the description of model inputs that were dis</w:t>
      </w:r>
      <w:r w:rsidR="009E0AA6">
        <w:softHyphen/>
      </w:r>
      <w:r w:rsidR="00B45195" w:rsidRPr="00B642DD">
        <w:t>covered when Mr. Harter testified and produced workpapers.</w:t>
      </w:r>
      <w:r w:rsidR="00B45195" w:rsidRPr="00B642DD">
        <w:rPr>
          <w:rStyle w:val="FootnoteReference"/>
          <w:rFonts w:eastAsia="Times New Roman"/>
          <w:bCs/>
        </w:rPr>
        <w:footnoteReference w:id="227"/>
      </w:r>
      <w:r w:rsidR="00B45195" w:rsidRPr="00B642DD">
        <w:t xml:space="preserve">  Although the initial run of the model was fine, Staff conducted a rerun of the model to simply fine tune two of the retirement decisions.</w:t>
      </w:r>
      <w:r w:rsidR="00B45195" w:rsidRPr="00B642DD">
        <w:rPr>
          <w:rStyle w:val="FootnoteReference"/>
          <w:rFonts w:eastAsia="Times New Roman"/>
          <w:bCs/>
        </w:rPr>
        <w:footnoteReference w:id="228"/>
      </w:r>
      <w:r w:rsidR="008B5FEA" w:rsidRPr="00B642DD">
        <w:t xml:space="preserve">  Staff adjusted retirement dates for the AEP Conesville 3 and Beckjord 6 coal plants.</w:t>
      </w:r>
      <w:r w:rsidR="00AA1548" w:rsidRPr="00B642DD">
        <w:rPr>
          <w:rStyle w:val="FootnoteReference"/>
          <w:rFonts w:eastAsia="Times New Roman"/>
          <w:bCs/>
        </w:rPr>
        <w:footnoteReference w:id="229"/>
      </w:r>
      <w:r w:rsidR="00B45195" w:rsidRPr="00B642DD">
        <w:t xml:space="preserve">  </w:t>
      </w:r>
    </w:p>
    <w:p w:rsidR="00B45195" w:rsidRPr="00B642DD" w:rsidRDefault="002E4B56" w:rsidP="000D1941">
      <w:pPr>
        <w:pStyle w:val="textstyle"/>
      </w:pPr>
      <w:r>
        <w:tab/>
      </w:r>
      <w:r w:rsidR="00B45195" w:rsidRPr="00B642DD">
        <w:t>The changes had very little impact on the results.  The work that was done was pri</w:t>
      </w:r>
      <w:r w:rsidR="009E0AA6">
        <w:softHyphen/>
      </w:r>
      <w:r w:rsidR="00B45195" w:rsidRPr="00B642DD">
        <w:t>marily in reaggregating the results.</w:t>
      </w:r>
      <w:r w:rsidR="00B45195" w:rsidRPr="00B642DD">
        <w:rPr>
          <w:rStyle w:val="FootnoteReference"/>
          <w:rFonts w:eastAsia="Times New Roman"/>
          <w:bCs/>
        </w:rPr>
        <w:footnoteReference w:id="230"/>
      </w:r>
      <w:r w:rsidR="00B45195" w:rsidRPr="00B642DD">
        <w:t xml:space="preserve">  Mr. Harter served as a Staff expert on the opera</w:t>
      </w:r>
      <w:r w:rsidR="009E0AA6">
        <w:softHyphen/>
      </w:r>
      <w:r w:rsidR="00B45195" w:rsidRPr="00B642DD">
        <w:t xml:space="preserve">tion of the AURORAxmp model and Ms. Medine served as an expert on the model inputs </w:t>
      </w:r>
      <w:r w:rsidR="00B45195" w:rsidRPr="00B642DD">
        <w:lastRenderedPageBreak/>
        <w:t xml:space="preserve">and </w:t>
      </w:r>
      <w:r w:rsidR="00FD3020" w:rsidRPr="00B642DD">
        <w:t>aggregated results, as model outputs</w:t>
      </w:r>
      <w:r w:rsidR="00B45195" w:rsidRPr="00B642DD">
        <w:t>.</w:t>
      </w:r>
      <w:r w:rsidR="00B45195" w:rsidRPr="00B642DD">
        <w:rPr>
          <w:rStyle w:val="FootnoteReference"/>
          <w:rFonts w:eastAsia="Times New Roman"/>
          <w:bCs/>
        </w:rPr>
        <w:footnoteReference w:id="231"/>
      </w:r>
      <w:r w:rsidR="00B45195" w:rsidRPr="00B642DD">
        <w:t xml:space="preserve"> </w:t>
      </w:r>
      <w:r w:rsidR="00077735">
        <w:t xml:space="preserve"> Staff witness Medine revised the capacity rate provided by staff witness Smith to conform with the revised energy credits.</w:t>
      </w:r>
      <w:r w:rsidR="00077735">
        <w:rPr>
          <w:rStyle w:val="FootnoteReference"/>
        </w:rPr>
        <w:footnoteReference w:id="232"/>
      </w:r>
    </w:p>
    <w:p w:rsidR="00530F40" w:rsidRPr="00B642DD" w:rsidRDefault="002E4B56" w:rsidP="000D1941">
      <w:pPr>
        <w:pStyle w:val="textstyle"/>
      </w:pPr>
      <w:r>
        <w:tab/>
      </w:r>
      <w:r w:rsidR="007261C9" w:rsidRPr="00B642DD">
        <w:t xml:space="preserve">Staff </w:t>
      </w:r>
      <w:r w:rsidR="00F13F10" w:rsidRPr="00B642DD">
        <w:t xml:space="preserve">witness Medine </w:t>
      </w:r>
      <w:r w:rsidR="007261C9" w:rsidRPr="00B642DD">
        <w:t>revised the ener</w:t>
      </w:r>
      <w:r w:rsidR="00F13F10" w:rsidRPr="00B642DD">
        <w:t>gy credits to address adjustments for owned capacity and retirement dates.</w:t>
      </w:r>
      <w:r w:rsidR="0016333A" w:rsidRPr="00B642DD">
        <w:rPr>
          <w:rStyle w:val="FootnoteReference"/>
          <w:rFonts w:eastAsia="Times New Roman"/>
          <w:bCs/>
        </w:rPr>
        <w:footnoteReference w:id="233"/>
      </w:r>
      <w:r w:rsidR="0016333A" w:rsidRPr="00B642DD">
        <w:t xml:space="preserve">  The initial aggregations included the entire CSP and OPCo operated plants.</w:t>
      </w:r>
      <w:r w:rsidR="007546D7" w:rsidRPr="00B642DD">
        <w:t xml:space="preserve">  The changes resulted in decreased capacity at Conesville 4 and capacity increases due to CSP’s ownership shares of Beckjord 6, Stuart, and Zimmer and OPCo’s ownership shares of Cardinal and Sporn.</w:t>
      </w:r>
      <w:r w:rsidR="00907C83" w:rsidRPr="00B642DD">
        <w:rPr>
          <w:rStyle w:val="FootnoteReference"/>
          <w:rFonts w:eastAsia="Times New Roman"/>
          <w:bCs/>
        </w:rPr>
        <w:footnoteReference w:id="234"/>
      </w:r>
      <w:r w:rsidR="00907C83" w:rsidRPr="00B642DD">
        <w:t xml:space="preserve">  </w:t>
      </w:r>
      <w:r w:rsidR="00FC457E" w:rsidRPr="00B642DD">
        <w:t>A table showing all plants owned or partially owned by CSP and OPCo is provided in Ms. Medine’s testimony.</w:t>
      </w:r>
      <w:r w:rsidR="005B7C72" w:rsidRPr="00B642DD">
        <w:rPr>
          <w:rStyle w:val="FootnoteReference"/>
          <w:rFonts w:eastAsia="Times New Roman"/>
          <w:bCs/>
        </w:rPr>
        <w:footnoteReference w:id="235"/>
      </w:r>
      <w:r w:rsidR="005B7C72" w:rsidRPr="00B642DD">
        <w:t xml:space="preserve">  </w:t>
      </w:r>
      <w:r w:rsidR="00161250" w:rsidRPr="00B642DD">
        <w:t>Lawrenceburg was added to the table because of the long-term contract with CSP.</w:t>
      </w:r>
      <w:r w:rsidR="00161250" w:rsidRPr="00B642DD">
        <w:rPr>
          <w:rStyle w:val="FootnoteReference"/>
          <w:rFonts w:eastAsia="Times New Roman"/>
          <w:bCs/>
        </w:rPr>
        <w:footnoteReference w:id="236"/>
      </w:r>
      <w:r w:rsidR="00161250" w:rsidRPr="00B642DD">
        <w:t xml:space="preserve">  </w:t>
      </w:r>
      <w:r w:rsidR="00A97059" w:rsidRPr="00B642DD">
        <w:t xml:space="preserve">EVA continued to exclude </w:t>
      </w:r>
      <w:r w:rsidR="005B7C72" w:rsidRPr="00B642DD">
        <w:t xml:space="preserve">Amos </w:t>
      </w:r>
      <w:r w:rsidR="00A97059" w:rsidRPr="00B642DD">
        <w:t>and</w:t>
      </w:r>
      <w:r w:rsidR="005B7C72" w:rsidRPr="00B642DD">
        <w:t xml:space="preserve"> Mitchell because their full accounting costs are paid for by affiliates.</w:t>
      </w:r>
      <w:r w:rsidR="00161250" w:rsidRPr="00B642DD">
        <w:rPr>
          <w:rStyle w:val="FootnoteReference"/>
          <w:rFonts w:eastAsia="Times New Roman"/>
          <w:bCs/>
        </w:rPr>
        <w:footnoteReference w:id="237"/>
      </w:r>
    </w:p>
    <w:p w:rsidR="00544359" w:rsidRPr="00B642DD" w:rsidRDefault="002E4B56" w:rsidP="000D1941">
      <w:pPr>
        <w:pStyle w:val="textstyle"/>
      </w:pPr>
      <w:r>
        <w:tab/>
      </w:r>
      <w:r w:rsidR="00F41E84" w:rsidRPr="00B642DD">
        <w:t xml:space="preserve">The </w:t>
      </w:r>
      <w:r w:rsidR="00300078" w:rsidRPr="00B642DD">
        <w:t xml:space="preserve">AURORAxmp </w:t>
      </w:r>
      <w:r w:rsidR="00F41E84" w:rsidRPr="00B642DD">
        <w:t xml:space="preserve">model only </w:t>
      </w:r>
      <w:r w:rsidR="00300078" w:rsidRPr="00B642DD">
        <w:t>has</w:t>
      </w:r>
      <w:r w:rsidR="00F41E84" w:rsidRPr="00B642DD">
        <w:t xml:space="preserve"> to be run once to calculate the initial data, but the model has</w:t>
      </w:r>
      <w:r w:rsidR="0084349F" w:rsidRPr="00B642DD">
        <w:t>, in fact,</w:t>
      </w:r>
      <w:r w:rsidR="00F41E84" w:rsidRPr="00B642DD">
        <w:t xml:space="preserve"> been run dozens of time</w:t>
      </w:r>
      <w:r w:rsidR="00300078" w:rsidRPr="00B642DD">
        <w:t>s</w:t>
      </w:r>
      <w:r w:rsidR="00F41E84" w:rsidRPr="00B642DD">
        <w:t xml:space="preserve"> before it was run for this case.</w:t>
      </w:r>
      <w:r w:rsidR="00300078" w:rsidRPr="00B642DD">
        <w:rPr>
          <w:rStyle w:val="FootnoteReference"/>
          <w:rFonts w:eastAsia="Times New Roman"/>
          <w:bCs/>
        </w:rPr>
        <w:footnoteReference w:id="238"/>
      </w:r>
      <w:r w:rsidR="00F41E84" w:rsidRPr="00B642DD">
        <w:t xml:space="preserve">  </w:t>
      </w:r>
      <w:r w:rsidR="00300078" w:rsidRPr="00B642DD">
        <w:t xml:space="preserve">For example, Staff witness </w:t>
      </w:r>
      <w:proofErr w:type="spellStart"/>
      <w:r w:rsidR="00300078" w:rsidRPr="00B642DD">
        <w:t>Medine</w:t>
      </w:r>
      <w:proofErr w:type="spellEnd"/>
      <w:r w:rsidR="00300078" w:rsidRPr="00B642DD">
        <w:t xml:space="preserve"> worked on an engagement for the federal government </w:t>
      </w:r>
      <w:r w:rsidR="00300078" w:rsidRPr="00B642DD">
        <w:lastRenderedPageBreak/>
        <w:t>using this model and exercised the model quite a bit.</w:t>
      </w:r>
      <w:r w:rsidR="00841473" w:rsidRPr="00B642DD">
        <w:rPr>
          <w:rStyle w:val="FootnoteReference"/>
          <w:rFonts w:eastAsia="Times New Roman"/>
          <w:bCs/>
        </w:rPr>
        <w:footnoteReference w:id="239"/>
      </w:r>
      <w:r w:rsidR="00300078" w:rsidRPr="00B642DD">
        <w:t xml:space="preserve">  </w:t>
      </w:r>
      <w:r w:rsidR="00F41E84" w:rsidRPr="00B642DD">
        <w:t>EVA keeps the model hot with their latest assumptions</w:t>
      </w:r>
      <w:r w:rsidR="003042DE">
        <w:t xml:space="preserve">.  Those assumptions did not </w:t>
      </w:r>
      <w:r w:rsidR="0084349F" w:rsidRPr="00B642DD">
        <w:t xml:space="preserve">change </w:t>
      </w:r>
      <w:r w:rsidR="003042DE">
        <w:t xml:space="preserve">for this analysis </w:t>
      </w:r>
      <w:r w:rsidR="0084349F" w:rsidRPr="00B642DD">
        <w:t xml:space="preserve">and EVA </w:t>
      </w:r>
      <w:r w:rsidR="003042DE">
        <w:t>did</w:t>
      </w:r>
      <w:r w:rsidR="0084349F" w:rsidRPr="00B642DD">
        <w:t xml:space="preserve"> not pick and choose inputs to bias the results.</w:t>
      </w:r>
      <w:r w:rsidR="0084349F" w:rsidRPr="00B642DD">
        <w:rPr>
          <w:rStyle w:val="FootnoteReference"/>
          <w:rFonts w:eastAsia="Times New Roman"/>
          <w:bCs/>
        </w:rPr>
        <w:footnoteReference w:id="240"/>
      </w:r>
      <w:r w:rsidR="005B7C72" w:rsidRPr="00B642DD">
        <w:t xml:space="preserve"> </w:t>
      </w:r>
    </w:p>
    <w:p w:rsidR="007261C9" w:rsidRPr="00B642DD" w:rsidRDefault="002E4B56" w:rsidP="000D1941">
      <w:pPr>
        <w:pStyle w:val="textstyle"/>
      </w:pPr>
      <w:r>
        <w:tab/>
      </w:r>
      <w:r w:rsidR="00544359" w:rsidRPr="00B642DD">
        <w:t xml:space="preserve">The AURORAxmp was properly calibrated by EVA prior to the run </w:t>
      </w:r>
      <w:r w:rsidR="004033B1" w:rsidRPr="00B642DD">
        <w:t xml:space="preserve">it </w:t>
      </w:r>
      <w:r w:rsidR="00544359" w:rsidRPr="00B642DD">
        <w:t>made for this case.  EVA did multiple runs for another engagement prior to this case and conducted a sensitivity analysis using alternative gas prices, alternative coal prices, alternative emis</w:t>
      </w:r>
      <w:r w:rsidR="009E0AA6">
        <w:softHyphen/>
      </w:r>
      <w:r w:rsidR="00544359" w:rsidRPr="00B642DD">
        <w:t>sion allowances</w:t>
      </w:r>
      <w:r w:rsidR="001D496E" w:rsidRPr="00B642DD">
        <w:t>.</w:t>
      </w:r>
      <w:r w:rsidR="00011F2F" w:rsidRPr="00B642DD">
        <w:rPr>
          <w:rStyle w:val="FootnoteReference"/>
          <w:rFonts w:eastAsia="Times New Roman"/>
          <w:bCs/>
        </w:rPr>
        <w:footnoteReference w:id="241"/>
      </w:r>
      <w:r w:rsidR="001D496E" w:rsidRPr="00B642DD">
        <w:t xml:space="preserve">  As a result, </w:t>
      </w:r>
      <w:r w:rsidR="00544359" w:rsidRPr="00B642DD">
        <w:t>EVA was able to</w:t>
      </w:r>
      <w:r w:rsidR="00080F38">
        <w:t xml:space="preserve"> spend a considerable amount of </w:t>
      </w:r>
      <w:r w:rsidR="00544359" w:rsidRPr="00B642DD">
        <w:t xml:space="preserve">time looking at the results and assessing how accurate they were, and </w:t>
      </w:r>
      <w:r w:rsidR="00544359" w:rsidRPr="003042DE">
        <w:rPr>
          <w:i/>
        </w:rPr>
        <w:t>EVA did make some changes as part of that</w:t>
      </w:r>
      <w:r w:rsidR="00B7030F" w:rsidRPr="003042DE">
        <w:rPr>
          <w:i/>
        </w:rPr>
        <w:t xml:space="preserve"> review</w:t>
      </w:r>
      <w:r w:rsidR="00C86A92" w:rsidRPr="003042DE">
        <w:rPr>
          <w:i/>
        </w:rPr>
        <w:t xml:space="preserve"> and analysis</w:t>
      </w:r>
      <w:r w:rsidR="00544359" w:rsidRPr="00B642DD">
        <w:t>.</w:t>
      </w:r>
      <w:r w:rsidR="00BD0279" w:rsidRPr="00B642DD">
        <w:rPr>
          <w:rStyle w:val="FootnoteReference"/>
          <w:rFonts w:eastAsia="Times New Roman"/>
          <w:bCs/>
        </w:rPr>
        <w:footnoteReference w:id="242"/>
      </w:r>
      <w:r w:rsidR="00544359" w:rsidRPr="00B642DD">
        <w:t xml:space="preserve"> </w:t>
      </w:r>
    </w:p>
    <w:p w:rsidR="0084349F" w:rsidRPr="00B642DD" w:rsidRDefault="002E4B56" w:rsidP="000D1941">
      <w:pPr>
        <w:pStyle w:val="textstyle"/>
      </w:pPr>
      <w:r>
        <w:tab/>
      </w:r>
      <w:r w:rsidR="00A651ED" w:rsidRPr="00B642DD">
        <w:t xml:space="preserve">It is </w:t>
      </w:r>
      <w:r w:rsidR="00241541" w:rsidRPr="00B642DD">
        <w:t>EVA</w:t>
      </w:r>
      <w:r w:rsidR="005934F4" w:rsidRPr="00B642DD">
        <w:t>’s</w:t>
      </w:r>
      <w:r w:rsidR="00241541" w:rsidRPr="00B642DD">
        <w:t xml:space="preserve"> </w:t>
      </w:r>
      <w:r w:rsidR="00A651ED" w:rsidRPr="00B642DD">
        <w:t xml:space="preserve">position, after </w:t>
      </w:r>
      <w:r w:rsidR="00241541" w:rsidRPr="00B642DD">
        <w:t>compar</w:t>
      </w:r>
      <w:r w:rsidR="005934F4" w:rsidRPr="00B642DD">
        <w:t>ing</w:t>
      </w:r>
      <w:r w:rsidR="00241541" w:rsidRPr="00B642DD">
        <w:t xml:space="preserve"> the model’s market prices against actual mar</w:t>
      </w:r>
      <w:r w:rsidR="009E0AA6">
        <w:softHyphen/>
      </w:r>
      <w:r w:rsidR="00241541" w:rsidRPr="00B642DD">
        <w:t>ket prices</w:t>
      </w:r>
      <w:r w:rsidR="00A651ED" w:rsidRPr="00B642DD">
        <w:t xml:space="preserve">, that </w:t>
      </w:r>
      <w:r w:rsidR="005934F4" w:rsidRPr="00B642DD">
        <w:t>its</w:t>
      </w:r>
      <w:r w:rsidR="00241541" w:rsidRPr="00B642DD">
        <w:t xml:space="preserve"> </w:t>
      </w:r>
      <w:r w:rsidR="005934F4" w:rsidRPr="00B642DD">
        <w:t xml:space="preserve">AURORAxmp </w:t>
      </w:r>
      <w:r w:rsidR="00241541" w:rsidRPr="00B642DD">
        <w:t>model produces a justifiable LMP.</w:t>
      </w:r>
      <w:r w:rsidR="003E258F" w:rsidRPr="00B642DD">
        <w:rPr>
          <w:rStyle w:val="FootnoteReference"/>
          <w:rFonts w:eastAsia="Times New Roman"/>
          <w:bCs/>
        </w:rPr>
        <w:footnoteReference w:id="243"/>
      </w:r>
      <w:r w:rsidR="003E258F" w:rsidRPr="00B642DD">
        <w:t xml:space="preserve">  EVA starts its analysis with actual prices and then they add to that understanding based upon being actively involved in buying and selling coal.</w:t>
      </w:r>
      <w:r w:rsidR="00AE3612" w:rsidRPr="00B642DD">
        <w:rPr>
          <w:rStyle w:val="FootnoteReference"/>
          <w:rFonts w:eastAsia="Times New Roman"/>
          <w:bCs/>
        </w:rPr>
        <w:footnoteReference w:id="244"/>
      </w:r>
      <w:r w:rsidR="00AE3612" w:rsidRPr="00B642DD">
        <w:t xml:space="preserve">  EVA conducts a very detailed analysis to determine future market prices both in supply and demand.</w:t>
      </w:r>
      <w:r w:rsidR="00985057" w:rsidRPr="00B642DD">
        <w:rPr>
          <w:rStyle w:val="FootnoteReference"/>
          <w:rFonts w:eastAsia="Times New Roman"/>
          <w:bCs/>
        </w:rPr>
        <w:footnoteReference w:id="245"/>
      </w:r>
      <w:r w:rsidR="006E1F06" w:rsidRPr="00B642DD">
        <w:t xml:space="preserve">  </w:t>
      </w:r>
      <w:r w:rsidR="0017798B" w:rsidRPr="00B642DD">
        <w:t xml:space="preserve">A fundamental forecast is more accurate to use than a forward price curve because forward price curves go up and </w:t>
      </w:r>
      <w:r w:rsidR="0017798B" w:rsidRPr="00B642DD">
        <w:lastRenderedPageBreak/>
        <w:t xml:space="preserve">down </w:t>
      </w:r>
      <w:r w:rsidR="005366CC" w:rsidRPr="00B642DD">
        <w:t>with everything.</w:t>
      </w:r>
      <w:r w:rsidR="008F014F" w:rsidRPr="00B642DD">
        <w:rPr>
          <w:rStyle w:val="FootnoteReference"/>
          <w:rFonts w:eastAsia="Times New Roman"/>
          <w:bCs/>
        </w:rPr>
        <w:footnoteReference w:id="246"/>
      </w:r>
      <w:r w:rsidR="008F014F" w:rsidRPr="00B642DD">
        <w:t xml:space="preserve">  Forward price curves do influence EVA’s analysis but it does not form EVA’s forecast.</w:t>
      </w:r>
      <w:r w:rsidR="00BF3F03" w:rsidRPr="00B642DD">
        <w:rPr>
          <w:rStyle w:val="FootnoteReference"/>
          <w:rFonts w:eastAsia="Times New Roman"/>
          <w:bCs/>
        </w:rPr>
        <w:footnoteReference w:id="247"/>
      </w:r>
      <w:r w:rsidR="00BF3F03" w:rsidRPr="00B642DD">
        <w:t xml:space="preserve">  No input was adjusted </w:t>
      </w:r>
      <w:r w:rsidR="003042DE">
        <w:t>for the purposes of obtaining a pre-determined</w:t>
      </w:r>
      <w:r w:rsidR="00BF3F03" w:rsidRPr="00B642DD">
        <w:t xml:space="preserve"> output.</w:t>
      </w:r>
      <w:r w:rsidR="00D73E52" w:rsidRPr="00B642DD">
        <w:rPr>
          <w:rStyle w:val="FootnoteReference"/>
          <w:rFonts w:eastAsia="Times New Roman"/>
          <w:bCs/>
        </w:rPr>
        <w:footnoteReference w:id="248"/>
      </w:r>
      <w:r w:rsidR="00BF3F03" w:rsidRPr="00B642DD">
        <w:t xml:space="preserve">  </w:t>
      </w:r>
      <w:r w:rsidR="00D73E52" w:rsidRPr="00B642DD">
        <w:t xml:space="preserve">In other words, </w:t>
      </w:r>
      <w:r w:rsidR="00BF3F03" w:rsidRPr="00B642DD">
        <w:t>EVA did not run a results-oriented analysis</w:t>
      </w:r>
      <w:r w:rsidR="00D73E52" w:rsidRPr="00B642DD">
        <w:t xml:space="preserve">.  Anytime EVA generates </w:t>
      </w:r>
      <w:r w:rsidR="00B53343" w:rsidRPr="00B642DD">
        <w:t xml:space="preserve">a </w:t>
      </w:r>
      <w:r w:rsidR="00D73E52" w:rsidRPr="00B642DD">
        <w:t xml:space="preserve">new delivered price for coal for their clients </w:t>
      </w:r>
      <w:r w:rsidR="0060546E" w:rsidRPr="00B642DD">
        <w:t>who</w:t>
      </w:r>
      <w:r w:rsidR="00DA5641" w:rsidRPr="00B642DD">
        <w:t xml:space="preserve"> get a f</w:t>
      </w:r>
      <w:r w:rsidR="00080F38">
        <w:t xml:space="preserve">orecast every quarter, EVA will </w:t>
      </w:r>
      <w:r w:rsidR="00DA5641" w:rsidRPr="00B642DD">
        <w:t>put</w:t>
      </w:r>
      <w:r w:rsidR="003042DE">
        <w:t>s</w:t>
      </w:r>
      <w:r w:rsidR="00DA5641" w:rsidRPr="00B642DD">
        <w:t xml:space="preserve"> that in AURORAxmp.</w:t>
      </w:r>
      <w:r w:rsidR="0060546E" w:rsidRPr="00B642DD">
        <w:rPr>
          <w:rStyle w:val="FootnoteReference"/>
          <w:rFonts w:eastAsia="Times New Roman"/>
          <w:bCs/>
        </w:rPr>
        <w:footnoteReference w:id="249"/>
      </w:r>
      <w:r w:rsidR="0060546E" w:rsidRPr="00B642DD">
        <w:t xml:space="preserve">  The same is true for gas and emis</w:t>
      </w:r>
      <w:r w:rsidR="003042DE">
        <w:softHyphen/>
      </w:r>
      <w:r w:rsidR="0060546E" w:rsidRPr="00B642DD">
        <w:t>sion prices</w:t>
      </w:r>
      <w:r w:rsidR="003042DE">
        <w:t xml:space="preserve">.  </w:t>
      </w:r>
      <w:r w:rsidR="0060546E" w:rsidRPr="00B642DD">
        <w:t xml:space="preserve">EVA put the updated </w:t>
      </w:r>
      <w:r w:rsidR="003042DE">
        <w:t xml:space="preserve">default </w:t>
      </w:r>
      <w:r w:rsidR="0060546E" w:rsidRPr="00B642DD">
        <w:t>prices in the model</w:t>
      </w:r>
      <w:r w:rsidR="003042DE">
        <w:t xml:space="preserve"> for use in this case</w:t>
      </w:r>
      <w:r w:rsidR="0060546E" w:rsidRPr="00B642DD">
        <w:t>.</w:t>
      </w:r>
      <w:r w:rsidR="00867C09" w:rsidRPr="00B642DD">
        <w:rPr>
          <w:rStyle w:val="FootnoteReference"/>
          <w:rFonts w:eastAsia="Times New Roman"/>
          <w:bCs/>
        </w:rPr>
        <w:footnoteReference w:id="250"/>
      </w:r>
      <w:r w:rsidR="006E1F06" w:rsidRPr="00B642DD">
        <w:t xml:space="preserve"> </w:t>
      </w:r>
      <w:r w:rsidR="003E258F" w:rsidRPr="00B642DD">
        <w:t xml:space="preserve"> </w:t>
      </w:r>
    </w:p>
    <w:p w:rsidR="00FC374D" w:rsidRDefault="002E4B56" w:rsidP="000D1941">
      <w:pPr>
        <w:pStyle w:val="textstyle"/>
      </w:pPr>
      <w:r>
        <w:tab/>
      </w:r>
      <w:r w:rsidR="00FC374D" w:rsidRPr="00B642DD">
        <w:t>AEP Ohio witness Allen testified that he thought using forward prices when they exist are more appropriate to use as opposed to using fundamentals analysis.</w:t>
      </w:r>
      <w:r w:rsidR="00FC374D" w:rsidRPr="00B642DD">
        <w:rPr>
          <w:rStyle w:val="FootnoteReference"/>
          <w:rFonts w:eastAsia="Times New Roman"/>
          <w:bCs/>
        </w:rPr>
        <w:footnoteReference w:id="251"/>
      </w:r>
      <w:r w:rsidR="00FC374D" w:rsidRPr="00B642DD">
        <w:t xml:space="preserve">  </w:t>
      </w:r>
      <w:r w:rsidR="00D66EA8" w:rsidRPr="00B642DD">
        <w:t xml:space="preserve">On cross, Mr. Allen </w:t>
      </w:r>
      <w:r w:rsidR="00C822EE" w:rsidRPr="00B642DD">
        <w:t xml:space="preserve">reviewed Staff Exhibit 106 and </w:t>
      </w:r>
      <w:r w:rsidR="00D66EA8" w:rsidRPr="00B642DD">
        <w:t xml:space="preserve">testified that changes </w:t>
      </w:r>
      <w:r w:rsidR="002530D3" w:rsidRPr="00B642DD">
        <w:t xml:space="preserve">did occur at the AEP Dayton Hub </w:t>
      </w:r>
      <w:r w:rsidR="00D66EA8" w:rsidRPr="00B642DD">
        <w:t>for Peak Forward Power prices between December 29, 2011 and January 5, 2012</w:t>
      </w:r>
      <w:r w:rsidR="002530D3" w:rsidRPr="00B642DD">
        <w:t>.</w:t>
      </w:r>
      <w:r w:rsidR="005934F4" w:rsidRPr="00B642DD">
        <w:rPr>
          <w:rStyle w:val="FootnoteReference"/>
          <w:rFonts w:eastAsia="Times New Roman"/>
          <w:bCs/>
        </w:rPr>
        <w:footnoteReference w:id="252"/>
      </w:r>
      <w:r w:rsidR="00D66EA8" w:rsidRPr="00B642DD">
        <w:t xml:space="preserve"> </w:t>
      </w:r>
      <w:r w:rsidR="00C822EE" w:rsidRPr="00B642DD">
        <w:t xml:space="preserve"> </w:t>
      </w:r>
      <w:r w:rsidR="00D71251" w:rsidRPr="00B642DD">
        <w:t>Mr. Allen testified that changes in forward prices, according to Staff Exhibit 106, decline</w:t>
      </w:r>
      <w:r w:rsidR="00C4463E">
        <w:t>d</w:t>
      </w:r>
      <w:r w:rsidR="00D71251" w:rsidRPr="00B642DD">
        <w:t xml:space="preserve"> 9% for Jan-12, forward prices decline</w:t>
      </w:r>
      <w:r w:rsidR="00C4463E">
        <w:t>d</w:t>
      </w:r>
      <w:r w:rsidR="00D71251" w:rsidRPr="00B642DD">
        <w:t xml:space="preserve"> 7% for Jul-12, and forward prices decline</w:t>
      </w:r>
      <w:r w:rsidR="00C4463E">
        <w:t>d</w:t>
      </w:r>
      <w:r w:rsidR="00D71251" w:rsidRPr="00B642DD">
        <w:t xml:space="preserve"> 6% for Jan-13.</w:t>
      </w:r>
      <w:r w:rsidR="00D71251" w:rsidRPr="00B642DD">
        <w:rPr>
          <w:rStyle w:val="FootnoteReference"/>
          <w:rFonts w:eastAsia="Times New Roman"/>
          <w:bCs/>
        </w:rPr>
        <w:footnoteReference w:id="253"/>
      </w:r>
      <w:r w:rsidR="00D71251" w:rsidRPr="00B642DD">
        <w:t xml:space="preserve">  </w:t>
      </w:r>
      <w:r w:rsidR="00676C2F" w:rsidRPr="00B642DD">
        <w:t xml:space="preserve">The changes to the Forward Power Price curves between December 29, 2011 and January 5, 2012, as reflected at the AEP-Dayton Hub and shown </w:t>
      </w:r>
      <w:r w:rsidR="00676C2F" w:rsidRPr="00B642DD">
        <w:lastRenderedPageBreak/>
        <w:t xml:space="preserve">in Staff Exhibit </w:t>
      </w:r>
      <w:proofErr w:type="gramStart"/>
      <w:r w:rsidR="00676C2F" w:rsidRPr="00B642DD">
        <w:t>106,</w:t>
      </w:r>
      <w:proofErr w:type="gramEnd"/>
      <w:r w:rsidR="00676C2F" w:rsidRPr="00B642DD">
        <w:t xml:space="preserve"> are significant.  </w:t>
      </w:r>
      <w:r w:rsidR="00FC374D" w:rsidRPr="00B642DD">
        <w:t xml:space="preserve">In regard to </w:t>
      </w:r>
      <w:r w:rsidR="00D71251" w:rsidRPr="00B642DD">
        <w:t xml:space="preserve">AEP Ohio’s analysis of the </w:t>
      </w:r>
      <w:r w:rsidR="005F1445">
        <w:t>e</w:t>
      </w:r>
      <w:r w:rsidR="00D71251" w:rsidRPr="00B642DD">
        <w:t xml:space="preserve">nergy credit involving </w:t>
      </w:r>
      <w:r w:rsidR="00FC374D" w:rsidRPr="00B642DD">
        <w:t xml:space="preserve">the </w:t>
      </w:r>
      <w:r w:rsidR="005F1445">
        <w:t>CSAPR</w:t>
      </w:r>
      <w:r w:rsidR="00FC374D" w:rsidRPr="00B642DD">
        <w:t xml:space="preserve">, Mr. Allen testified that he makes the same assumption </w:t>
      </w:r>
      <w:r w:rsidR="00452225" w:rsidRPr="00B642DD">
        <w:t xml:space="preserve">that </w:t>
      </w:r>
      <w:r w:rsidR="00FC374D" w:rsidRPr="00B642DD">
        <w:t xml:space="preserve">the market </w:t>
      </w:r>
      <w:r w:rsidR="00452225" w:rsidRPr="00B642DD">
        <w:t xml:space="preserve">as a whole </w:t>
      </w:r>
      <w:r w:rsidR="00FC374D" w:rsidRPr="00B642DD">
        <w:t xml:space="preserve">makes </w:t>
      </w:r>
      <w:r w:rsidR="00452225" w:rsidRPr="00B642DD">
        <w:t xml:space="preserve">about that regulation </w:t>
      </w:r>
      <w:r w:rsidR="00FC374D" w:rsidRPr="00B642DD">
        <w:t xml:space="preserve">by using </w:t>
      </w:r>
      <w:r w:rsidR="00452225" w:rsidRPr="00B642DD">
        <w:t xml:space="preserve">the </w:t>
      </w:r>
      <w:r w:rsidR="00FC374D" w:rsidRPr="00B642DD">
        <w:t>forwa</w:t>
      </w:r>
      <w:r w:rsidR="00452225" w:rsidRPr="00B642DD">
        <w:t>rd price curves.</w:t>
      </w:r>
      <w:r w:rsidR="001D42E0" w:rsidRPr="00B642DD">
        <w:rPr>
          <w:rStyle w:val="FootnoteReference"/>
          <w:rFonts w:eastAsia="Times New Roman"/>
          <w:bCs/>
        </w:rPr>
        <w:footnoteReference w:id="254"/>
      </w:r>
    </w:p>
    <w:p w:rsidR="004A2FCA" w:rsidRPr="00B642DD" w:rsidRDefault="002E4B56" w:rsidP="000D1941">
      <w:pPr>
        <w:pStyle w:val="textstyle"/>
      </w:pPr>
      <w:r>
        <w:tab/>
      </w:r>
      <w:r w:rsidR="004A2FCA">
        <w:t>AEP Ohio witness Meehan was shown Staff Exhibit 110 that depicted forward price curves for power from trading between January 4, 2010 and May 7, 2012.</w:t>
      </w:r>
      <w:r w:rsidR="002E5C8B">
        <w:rPr>
          <w:rStyle w:val="FootnoteReference"/>
          <w:rFonts w:eastAsia="Times New Roman"/>
          <w:bCs/>
        </w:rPr>
        <w:footnoteReference w:id="255"/>
      </w:r>
      <w:r w:rsidR="000F1074">
        <w:t xml:space="preserve">  He testified that gross margins on December 31, 2010 are significantly higher than what gross margins would be in March 2012 based on the change in price curves depicted in the graph in between that time frame.</w:t>
      </w:r>
      <w:r w:rsidR="007F2B66">
        <w:rPr>
          <w:rStyle w:val="FootnoteReference"/>
          <w:rFonts w:eastAsia="Times New Roman"/>
          <w:bCs/>
        </w:rPr>
        <w:footnoteReference w:id="256"/>
      </w:r>
      <w:r w:rsidR="004A2FCA">
        <w:t xml:space="preserve">  </w:t>
      </w:r>
    </w:p>
    <w:p w:rsidR="00F26053" w:rsidRPr="00B642DD" w:rsidRDefault="002E4B56" w:rsidP="000D1941">
      <w:pPr>
        <w:pStyle w:val="textstyle"/>
      </w:pPr>
      <w:r>
        <w:tab/>
      </w:r>
      <w:r w:rsidR="001228BA" w:rsidRPr="00B642DD">
        <w:t>Furthermore, on cross examination, Mr. Allen acknowledged that AEP</w:t>
      </w:r>
      <w:r w:rsidR="008D165F" w:rsidRPr="00B642DD">
        <w:t>’s</w:t>
      </w:r>
      <w:r w:rsidR="001228BA" w:rsidRPr="00B642DD">
        <w:t xml:space="preserve"> Kentucky Power </w:t>
      </w:r>
      <w:r w:rsidR="008D165F" w:rsidRPr="00B642DD">
        <w:t xml:space="preserve">Company </w:t>
      </w:r>
      <w:r w:rsidR="001228BA" w:rsidRPr="00B642DD">
        <w:t xml:space="preserve">recently used the </w:t>
      </w:r>
      <w:r w:rsidR="00623053" w:rsidRPr="00B642DD">
        <w:t>AURORAxmp</w:t>
      </w:r>
      <w:r w:rsidR="001228BA" w:rsidRPr="00B642DD">
        <w:t xml:space="preserve"> model </w:t>
      </w:r>
      <w:r w:rsidR="008D165F" w:rsidRPr="00B642DD">
        <w:t xml:space="preserve">before the Public Service Commission of Kentucky </w:t>
      </w:r>
      <w:r w:rsidR="001228BA" w:rsidRPr="00B642DD">
        <w:t xml:space="preserve">to justify the costs of retrofitting a scrubber </w:t>
      </w:r>
      <w:r w:rsidR="008D165F" w:rsidRPr="00B642DD">
        <w:t>for its Big Sandy</w:t>
      </w:r>
      <w:r w:rsidR="001228BA" w:rsidRPr="00B642DD">
        <w:t xml:space="preserve"> plant in Kentucky.</w:t>
      </w:r>
      <w:r w:rsidR="008D165F" w:rsidRPr="00B642DD">
        <w:rPr>
          <w:rStyle w:val="FootnoteReference"/>
          <w:rFonts w:eastAsia="Times New Roman"/>
          <w:bCs/>
        </w:rPr>
        <w:footnoteReference w:id="257"/>
      </w:r>
      <w:r w:rsidR="002D1277" w:rsidRPr="00B642DD">
        <w:t xml:space="preserve">  In its application to the Kentucky Commission, Kentucky Power Company describes the AURORA</w:t>
      </w:r>
      <w:r w:rsidR="00623053">
        <w:t>xmp</w:t>
      </w:r>
      <w:r w:rsidR="002D1277" w:rsidRPr="00B642DD">
        <w:t xml:space="preserve"> model as a tool to forecast power prices for all regions within the Eastern Interconnect.</w:t>
      </w:r>
      <w:r w:rsidR="001F6BA6" w:rsidRPr="00B642DD">
        <w:rPr>
          <w:rStyle w:val="FootnoteReference"/>
          <w:rFonts w:eastAsia="Times New Roman"/>
          <w:bCs/>
        </w:rPr>
        <w:footnoteReference w:id="258"/>
      </w:r>
      <w:r w:rsidR="001F6BA6" w:rsidRPr="00B642DD">
        <w:t xml:space="preserve">  EVA used the same model to forecast power prices within the Eastern interconnect.</w:t>
      </w:r>
      <w:r w:rsidR="00B40DE2" w:rsidRPr="00B642DD">
        <w:t xml:space="preserve">  Mr. Allen </w:t>
      </w:r>
      <w:r w:rsidR="00290EBF" w:rsidRPr="00B642DD">
        <w:t>further</w:t>
      </w:r>
      <w:r w:rsidR="00B40DE2" w:rsidRPr="00B642DD">
        <w:t xml:space="preserve"> confirmed that the AEP Fun</w:t>
      </w:r>
      <w:r w:rsidR="003042DE">
        <w:softHyphen/>
      </w:r>
      <w:r w:rsidR="00B40DE2" w:rsidRPr="00B642DD">
        <w:lastRenderedPageBreak/>
        <w:t>damental Analysis Group that operates the AURORA</w:t>
      </w:r>
      <w:r w:rsidR="00623053">
        <w:t>xmp</w:t>
      </w:r>
      <w:r w:rsidR="00B40DE2" w:rsidRPr="00B642DD">
        <w:t xml:space="preserve"> model</w:t>
      </w:r>
      <w:r w:rsidR="00290EBF" w:rsidRPr="00B642DD">
        <w:t xml:space="preserve"> for AEP</w:t>
      </w:r>
      <w:r w:rsidR="00B40DE2" w:rsidRPr="00B642DD">
        <w:t xml:space="preserve"> </w:t>
      </w:r>
      <w:r w:rsidR="00290EBF" w:rsidRPr="00B642DD">
        <w:t xml:space="preserve">also </w:t>
      </w:r>
      <w:r w:rsidR="00B40DE2" w:rsidRPr="00B642DD">
        <w:t>runs a zonal analysis.</w:t>
      </w:r>
      <w:r w:rsidR="00B40DE2" w:rsidRPr="00B642DD">
        <w:rPr>
          <w:rStyle w:val="FootnoteReference"/>
          <w:rFonts w:eastAsia="Times New Roman"/>
          <w:bCs/>
        </w:rPr>
        <w:footnoteReference w:id="259"/>
      </w:r>
      <w:r w:rsidR="008D165F" w:rsidRPr="00B642DD">
        <w:t xml:space="preserve"> </w:t>
      </w:r>
    </w:p>
    <w:p w:rsidR="00C95250" w:rsidRPr="00B642DD" w:rsidRDefault="002E4B56" w:rsidP="000D1941">
      <w:pPr>
        <w:pStyle w:val="textstyle"/>
      </w:pPr>
      <w:r>
        <w:tab/>
      </w:r>
      <w:r w:rsidR="00F26053" w:rsidRPr="00B642DD">
        <w:t xml:space="preserve">Mr. Allen </w:t>
      </w:r>
      <w:r w:rsidR="004B4893">
        <w:t xml:space="preserve">further </w:t>
      </w:r>
      <w:r w:rsidR="00F26053" w:rsidRPr="00B642DD">
        <w:t>acknowledged that the Summary of Long-Term Commodity Price Forecast Scenarios conducted by the same AEP Fundamental Analysis Group</w:t>
      </w:r>
      <w:r w:rsidR="00996971" w:rsidRPr="00B642DD">
        <w:t>, as depicted in FES Exhibit 124,</w:t>
      </w:r>
      <w:r w:rsidR="00F26053" w:rsidRPr="00B642DD">
        <w:t xml:space="preserve"> shows Natural Gas (Henry Hub) base prices going up from 4.48 in 2012 to 4.94 in 2013 with a low of 4.35 and a high of 5.43</w:t>
      </w:r>
      <w:r w:rsidR="001773FE" w:rsidRPr="00B642DD">
        <w:t>; and up to 5.38 in 2014 with a low of 4.73 and a high of 6.02</w:t>
      </w:r>
      <w:r w:rsidR="00F26053" w:rsidRPr="00B642DD">
        <w:t>.</w:t>
      </w:r>
      <w:r w:rsidR="00C31493" w:rsidRPr="00B642DD">
        <w:rPr>
          <w:rStyle w:val="FootnoteReference"/>
          <w:rFonts w:eastAsia="Times New Roman"/>
          <w:bCs/>
        </w:rPr>
        <w:footnoteReference w:id="260"/>
      </w:r>
      <w:r w:rsidR="00996971" w:rsidRPr="00B642DD">
        <w:t xml:space="preserve">  </w:t>
      </w:r>
      <w:r w:rsidR="00453734" w:rsidRPr="00B642DD">
        <w:t xml:space="preserve">This evidence </w:t>
      </w:r>
      <w:r w:rsidR="00B51FD2" w:rsidRPr="00B642DD">
        <w:t xml:space="preserve">contradicts AEP’s argument that Staff’s energy prices are overstated because FES Exhibit 124 </w:t>
      </w:r>
      <w:r w:rsidR="00453734" w:rsidRPr="00B642DD">
        <w:t>demonstrates that AEP’s forecast of energy prices over the next three years are higher than Staff’s forecasted energy prices</w:t>
      </w:r>
      <w:r w:rsidR="00B51FD2" w:rsidRPr="00B642DD">
        <w:t xml:space="preserve"> in this case</w:t>
      </w:r>
      <w:r w:rsidR="00453734" w:rsidRPr="00B642DD">
        <w:t>.</w:t>
      </w:r>
      <w:r w:rsidR="00F26053" w:rsidRPr="00B642DD">
        <w:t xml:space="preserve">  </w:t>
      </w:r>
      <w:r w:rsidR="008D165F" w:rsidRPr="00B642DD">
        <w:t xml:space="preserve">  </w:t>
      </w:r>
    </w:p>
    <w:p w:rsidR="00B45195" w:rsidRDefault="002E4B56" w:rsidP="000D1941">
      <w:pPr>
        <w:pStyle w:val="textstyle"/>
      </w:pPr>
      <w:r>
        <w:tab/>
      </w:r>
      <w:r w:rsidR="00C95250" w:rsidRPr="00B642DD">
        <w:t xml:space="preserve">Mr. Allen </w:t>
      </w:r>
      <w:r w:rsidR="00873423">
        <w:t xml:space="preserve">also </w:t>
      </w:r>
      <w:r w:rsidR="00C95250" w:rsidRPr="00B642DD">
        <w:t>acknowledged from Staff Exhibit 108 (EIA Short-Term Energy Out</w:t>
      </w:r>
      <w:r w:rsidR="009E0AA6">
        <w:softHyphen/>
      </w:r>
      <w:r w:rsidR="00C95250" w:rsidRPr="00B642DD">
        <w:t>look Released May 8, 2012) that EIA forecasts the average delivered coal price in 2012 will be 2.8% lower than the 2011 average price and the average delivered coal price in 2013 will be 3.8% lower than 2012.</w:t>
      </w:r>
      <w:r w:rsidR="00C95250" w:rsidRPr="00B642DD">
        <w:rPr>
          <w:rStyle w:val="FootnoteReference"/>
          <w:rFonts w:eastAsia="Times New Roman"/>
          <w:bCs/>
        </w:rPr>
        <w:footnoteReference w:id="261"/>
      </w:r>
      <w:r w:rsidR="00BC1BFE" w:rsidRPr="00B642DD">
        <w:t xml:space="preserve">  This outlook </w:t>
      </w:r>
      <w:r w:rsidR="005A4713" w:rsidRPr="00B642DD">
        <w:t>supports</w:t>
      </w:r>
      <w:r w:rsidR="00BC1BFE" w:rsidRPr="00B642DD">
        <w:t xml:space="preserve"> Staff witness Medine’s modeled forecast and analysis</w:t>
      </w:r>
      <w:r w:rsidR="0041521B" w:rsidRPr="00B642DD">
        <w:t xml:space="preserve"> with respect to coal prices</w:t>
      </w:r>
      <w:r w:rsidR="00BC1BFE" w:rsidRPr="00B642DD">
        <w:t>.</w:t>
      </w:r>
    </w:p>
    <w:p w:rsidR="000F450F" w:rsidRDefault="002E4B56" w:rsidP="000D1941">
      <w:pPr>
        <w:pStyle w:val="textstyle"/>
      </w:pPr>
      <w:r>
        <w:tab/>
      </w:r>
      <w:r w:rsidR="000F450F">
        <w:t xml:space="preserve">AEP Ohio’s argument </w:t>
      </w:r>
      <w:r w:rsidR="00CA2377">
        <w:t>opposing Staff’s</w:t>
      </w:r>
      <w:r w:rsidR="000F450F">
        <w:t xml:space="preserve"> energy credit </w:t>
      </w:r>
      <w:r w:rsidR="00CA2377">
        <w:t xml:space="preserve">to </w:t>
      </w:r>
      <w:r w:rsidR="000F450F">
        <w:t xml:space="preserve">offset the capacity price is inconsistent with </w:t>
      </w:r>
      <w:r w:rsidR="00CA2377">
        <w:t xml:space="preserve">how </w:t>
      </w:r>
      <w:r w:rsidR="000F450F">
        <w:t>PJM</w:t>
      </w:r>
      <w:r w:rsidR="00CA2377">
        <w:t xml:space="preserve"> calculates a capacity rate</w:t>
      </w:r>
      <w:r w:rsidR="000F450F">
        <w:t xml:space="preserve">.  Gross </w:t>
      </w:r>
      <w:r w:rsidR="00D746F4">
        <w:t>c</w:t>
      </w:r>
      <w:r w:rsidR="000F450F">
        <w:t>one (</w:t>
      </w:r>
      <w:r w:rsidR="005C577B">
        <w:t xml:space="preserve">gross </w:t>
      </w:r>
      <w:r w:rsidR="000F450F">
        <w:t xml:space="preserve">cost of new entry) is </w:t>
      </w:r>
      <w:r w:rsidR="00D746F4">
        <w:t>the</w:t>
      </w:r>
      <w:r w:rsidR="000F450F">
        <w:t xml:space="preserve"> benchmark for building a new </w:t>
      </w:r>
      <w:r w:rsidR="003042DE">
        <w:t>simple</w:t>
      </w:r>
      <w:r w:rsidR="000F450F">
        <w:t xml:space="preserve"> cycle unit</w:t>
      </w:r>
      <w:r w:rsidR="00CA2377">
        <w:t>.</w:t>
      </w:r>
      <w:r w:rsidR="00D746F4">
        <w:t xml:space="preserve">  To calculate net cone, PJM </w:t>
      </w:r>
      <w:r w:rsidR="00D746F4">
        <w:lastRenderedPageBreak/>
        <w:t>makes an energy and ancillary services adjustment to gross cone</w:t>
      </w:r>
      <w:r w:rsidR="00AB3042">
        <w:t>.</w:t>
      </w:r>
      <w:r w:rsidR="00AB3042">
        <w:rPr>
          <w:rStyle w:val="FootnoteReference"/>
          <w:rFonts w:eastAsia="Times New Roman"/>
          <w:bCs/>
        </w:rPr>
        <w:footnoteReference w:id="262"/>
      </w:r>
      <w:r w:rsidR="007E6632">
        <w:t xml:space="preserve">  EVA’s methodol</w:t>
      </w:r>
      <w:r w:rsidR="009E0AA6">
        <w:softHyphen/>
      </w:r>
      <w:r w:rsidR="007E6632">
        <w:t>ogy in this regard is the same as PJM’s.</w:t>
      </w:r>
      <w:r w:rsidR="004F7C38">
        <w:t xml:space="preserve">  </w:t>
      </w:r>
    </w:p>
    <w:p w:rsidR="009D1CCB" w:rsidRDefault="002E4B56" w:rsidP="000D1941">
      <w:pPr>
        <w:pStyle w:val="textstyle"/>
      </w:pPr>
      <w:r>
        <w:tab/>
      </w:r>
      <w:r w:rsidR="006916FC">
        <w:t>AEP Ohio agreed that t</w:t>
      </w:r>
      <w:r w:rsidR="00A81110">
        <w:t>he way the pool agreement works is the resources of the pool are assigned first to the internal load of members based on lowest cost per megawatt hour.</w:t>
      </w:r>
      <w:r w:rsidR="006916FC">
        <w:rPr>
          <w:rStyle w:val="FootnoteReference"/>
        </w:rPr>
        <w:footnoteReference w:id="263"/>
      </w:r>
      <w:r w:rsidR="007407C6">
        <w:t xml:space="preserve">  And once </w:t>
      </w:r>
      <w:r w:rsidR="00176B5F">
        <w:t xml:space="preserve">the internal load </w:t>
      </w:r>
      <w:r w:rsidR="00436968">
        <w:t>is satisfied the OSS are made from the remaining resources.</w:t>
      </w:r>
      <w:r w:rsidR="008220CE">
        <w:rPr>
          <w:rStyle w:val="FootnoteReference"/>
        </w:rPr>
        <w:footnoteReference w:id="264"/>
      </w:r>
      <w:proofErr w:type="gramStart"/>
      <w:r w:rsidR="000E74D7">
        <w:t xml:space="preserve">   </w:t>
      </w:r>
      <w:proofErr w:type="gramEnd"/>
      <w:r w:rsidR="000E74D7">
        <w:t xml:space="preserve">And then from </w:t>
      </w:r>
      <w:r w:rsidR="003042DE">
        <w:t>the</w:t>
      </w:r>
      <w:r w:rsidR="000E74D7">
        <w:t xml:space="preserve"> sales </w:t>
      </w:r>
      <w:r w:rsidR="003042DE">
        <w:t>of</w:t>
      </w:r>
      <w:r w:rsidR="000E74D7">
        <w:t xml:space="preserve"> those resources AEP Ohio could receive </w:t>
      </w:r>
      <w:r w:rsidR="00F70025">
        <w:t>40% of the revenues.</w:t>
      </w:r>
      <w:r w:rsidR="00493B4B">
        <w:rPr>
          <w:rStyle w:val="FootnoteReference"/>
        </w:rPr>
        <w:footnoteReference w:id="265"/>
      </w:r>
      <w:r w:rsidR="00F60044">
        <w:t xml:space="preserve"> APCo</w:t>
      </w:r>
      <w:r w:rsidR="007B1E44">
        <w:t>, as a member of the pool,</w:t>
      </w:r>
      <w:r w:rsidR="00F60044">
        <w:t xml:space="preserve"> receives a percent</w:t>
      </w:r>
      <w:r w:rsidR="009E0AA6">
        <w:softHyphen/>
      </w:r>
      <w:r w:rsidR="00F60044">
        <w:t>age of those sales</w:t>
      </w:r>
      <w:r w:rsidR="007B1E44">
        <w:t>.</w:t>
      </w:r>
      <w:r w:rsidR="00AD104C">
        <w:rPr>
          <w:rStyle w:val="FootnoteReference"/>
        </w:rPr>
        <w:footnoteReference w:id="266"/>
      </w:r>
      <w:r w:rsidR="009D1CCB">
        <w:t xml:space="preserve">  But West Virginia requires that 100% of those revenues that are shared under the pool and received by APCo must be credited 100% to retail custom</w:t>
      </w:r>
      <w:r w:rsidR="009E0AA6">
        <w:softHyphen/>
      </w:r>
      <w:r w:rsidR="009D1CCB">
        <w:t>ers.</w:t>
      </w:r>
      <w:r w:rsidR="00506D6D">
        <w:rPr>
          <w:rStyle w:val="FootnoteReference"/>
        </w:rPr>
        <w:footnoteReference w:id="267"/>
      </w:r>
      <w:r w:rsidR="009D1CCB">
        <w:t xml:space="preserve"> </w:t>
      </w:r>
      <w:r w:rsidR="00077735">
        <w:t xml:space="preserve"> </w:t>
      </w:r>
      <w:r w:rsidR="005724AF">
        <w:t>AEP Ohio decline</w:t>
      </w:r>
      <w:r w:rsidR="00D224AF">
        <w:t>d</w:t>
      </w:r>
      <w:r w:rsidR="005724AF">
        <w:t xml:space="preserve"> to characterize this credit as a subsidy</w:t>
      </w:r>
      <w:r w:rsidR="00D224AF">
        <w:t>.</w:t>
      </w:r>
      <w:r w:rsidR="0005071B">
        <w:rPr>
          <w:rStyle w:val="FootnoteReference"/>
        </w:rPr>
        <w:footnoteReference w:id="268"/>
      </w:r>
      <w:r w:rsidR="00D224AF">
        <w:t xml:space="preserve">  Instead, it character</w:t>
      </w:r>
      <w:r w:rsidR="009E0AA6">
        <w:softHyphen/>
      </w:r>
      <w:r w:rsidR="00D224AF">
        <w:t xml:space="preserve">ized it as </w:t>
      </w:r>
      <w:r w:rsidR="00187387">
        <w:t>in</w:t>
      </w:r>
      <w:r w:rsidR="00D224AF">
        <w:t>equitable.</w:t>
      </w:r>
      <w:r w:rsidR="002F17B5">
        <w:rPr>
          <w:rStyle w:val="FootnoteReference"/>
        </w:rPr>
        <w:footnoteReference w:id="269"/>
      </w:r>
      <w:r w:rsidR="00D224AF">
        <w:t xml:space="preserve"> </w:t>
      </w:r>
      <w:r w:rsidR="009D1CCB">
        <w:t xml:space="preserve"> </w:t>
      </w:r>
    </w:p>
    <w:p w:rsidR="00A23AA3" w:rsidRDefault="00A23AA3" w:rsidP="002E4B56">
      <w:pPr>
        <w:pStyle w:val="Heading1"/>
      </w:pPr>
      <w:bookmarkStart w:id="30" w:name="_Toc325543212"/>
      <w:r>
        <w:br w:type="page"/>
      </w:r>
    </w:p>
    <w:p w:rsidR="00314099" w:rsidRPr="005D1EE8" w:rsidRDefault="00994718" w:rsidP="002E4B56">
      <w:pPr>
        <w:pStyle w:val="Heading1"/>
      </w:pPr>
      <w:r w:rsidRPr="005D1EE8">
        <w:lastRenderedPageBreak/>
        <w:t>CONCLUSION</w:t>
      </w:r>
      <w:bookmarkEnd w:id="1"/>
      <w:bookmarkEnd w:id="2"/>
      <w:bookmarkEnd w:id="3"/>
      <w:bookmarkEnd w:id="4"/>
      <w:bookmarkEnd w:id="30"/>
    </w:p>
    <w:p w:rsidR="00994718" w:rsidRPr="00077735" w:rsidRDefault="002E4B56" w:rsidP="000D1941">
      <w:pPr>
        <w:pStyle w:val="textstyle"/>
      </w:pPr>
      <w:r>
        <w:tab/>
      </w:r>
      <w:r w:rsidR="000D4750" w:rsidRPr="005D1EE8">
        <w:t>The $355.72/MW-Day capacity rate proposed by AEP</w:t>
      </w:r>
      <w:r w:rsidR="00623053">
        <w:t xml:space="preserve"> Ohio</w:t>
      </w:r>
      <w:r w:rsidR="000D4750" w:rsidRPr="005D1EE8">
        <w:t xml:space="preserve"> is unjustified and must be rejected by the Commission.  Staff’s </w:t>
      </w:r>
      <w:r w:rsidR="00077735">
        <w:t xml:space="preserve">position is </w:t>
      </w:r>
      <w:r w:rsidR="003042DE">
        <w:t>that AEP Ohio should</w:t>
      </w:r>
      <w:r w:rsidR="00077735">
        <w:t xml:space="preserve"> charge CRES pro</w:t>
      </w:r>
      <w:r w:rsidR="00080F38">
        <w:softHyphen/>
      </w:r>
      <w:r w:rsidR="00077735">
        <w:t xml:space="preserve">viders the prevailing RPM rate for the 2012-2015 period </w:t>
      </w:r>
      <w:r w:rsidR="003042DE">
        <w:t>during which</w:t>
      </w:r>
      <w:r w:rsidR="00077735">
        <w:t xml:space="preserve"> AEP Ohio will remain an FRR entity.  But if the Commission finds that the prevailing RPM rate is not </w:t>
      </w:r>
      <w:r w:rsidR="003042DE">
        <w:t>appropriate</w:t>
      </w:r>
      <w:r w:rsidR="00077735">
        <w:t xml:space="preserve"> </w:t>
      </w:r>
      <w:r w:rsidR="003042DE">
        <w:t>for</w:t>
      </w:r>
      <w:r w:rsidR="00077735">
        <w:t xml:space="preserve"> AEP Ohio, then Staff </w:t>
      </w:r>
      <w:r w:rsidR="000D4750" w:rsidRPr="005D1EE8">
        <w:t>recommend</w:t>
      </w:r>
      <w:r w:rsidR="00077735">
        <w:t>s</w:t>
      </w:r>
      <w:r w:rsidR="000D4750" w:rsidRPr="005D1EE8">
        <w:t xml:space="preserve"> $</w:t>
      </w:r>
      <w:r w:rsidR="007F2813">
        <w:t>146</w:t>
      </w:r>
      <w:r w:rsidR="000D4750" w:rsidRPr="005D1EE8">
        <w:t>.</w:t>
      </w:r>
      <w:r w:rsidR="007F2813">
        <w:t>41</w:t>
      </w:r>
      <w:r w:rsidR="000D4750" w:rsidRPr="005D1EE8">
        <w:t xml:space="preserve">/MW-Day </w:t>
      </w:r>
      <w:r w:rsidR="00077735">
        <w:t>should be</w:t>
      </w:r>
      <w:r w:rsidR="000D4750" w:rsidRPr="005D1EE8">
        <w:t xml:space="preserve"> the </w:t>
      </w:r>
      <w:r w:rsidR="000D4750" w:rsidRPr="005D1EE8">
        <w:rPr>
          <w:bCs/>
        </w:rPr>
        <w:t xml:space="preserve">appropriate capacity rate to be set as a state compensation mechanism for </w:t>
      </w:r>
      <w:r w:rsidR="000D4750" w:rsidRPr="005D1EE8">
        <w:t>AEP</w:t>
      </w:r>
      <w:r w:rsidR="00623053">
        <w:t xml:space="preserve"> Ohio</w:t>
      </w:r>
      <w:r w:rsidR="00F809A5">
        <w:t xml:space="preserve"> to charge CRES for their shopping load</w:t>
      </w:r>
      <w:r w:rsidR="000D4750" w:rsidRPr="005D1EE8">
        <w:t xml:space="preserve">. </w:t>
      </w:r>
      <w:r w:rsidR="00077735">
        <w:t xml:space="preserve"> In the alternate proposal,</w:t>
      </w:r>
      <w:r w:rsidR="000D4750" w:rsidRPr="005D1EE8">
        <w:t xml:space="preserve"> Staff’s </w:t>
      </w:r>
      <w:r w:rsidR="00A42BA0">
        <w:t xml:space="preserve">cost </w:t>
      </w:r>
      <w:r w:rsidR="000D4750" w:rsidRPr="005D1EE8">
        <w:t xml:space="preserve">adjustments </w:t>
      </w:r>
      <w:r w:rsidR="001B248E">
        <w:t xml:space="preserve">and Energy credits </w:t>
      </w:r>
      <w:r w:rsidR="000D4750" w:rsidRPr="005D1EE8">
        <w:t>to</w:t>
      </w:r>
      <w:r w:rsidR="005D1EE8" w:rsidRPr="005D1EE8">
        <w:t xml:space="preserve"> </w:t>
      </w:r>
      <w:r w:rsidR="000D4750" w:rsidRPr="005D1EE8">
        <w:t>AEP’</w:t>
      </w:r>
      <w:r w:rsidR="005D1EE8" w:rsidRPr="005D1EE8">
        <w:t>s proposed rate of $355.72/MW are</w:t>
      </w:r>
      <w:r w:rsidR="000D4750" w:rsidRPr="005D1EE8">
        <w:t xml:space="preserve"> </w:t>
      </w:r>
      <w:r w:rsidR="00077735">
        <w:t>justified.  Staff’s alternative</w:t>
      </w:r>
      <w:r w:rsidR="001B248E">
        <w:t xml:space="preserve"> net capacity charge is </w:t>
      </w:r>
      <w:r w:rsidR="000D4750" w:rsidRPr="005D1EE8">
        <w:t>compensatory to the Company while still fos</w:t>
      </w:r>
      <w:r w:rsidR="003042DE">
        <w:softHyphen/>
      </w:r>
      <w:r w:rsidR="000D4750" w:rsidRPr="005D1EE8">
        <w:t xml:space="preserve">tering competition among </w:t>
      </w:r>
      <w:r w:rsidR="005D1EE8" w:rsidRPr="005D1EE8">
        <w:t>CRES</w:t>
      </w:r>
      <w:r w:rsidR="000D4750" w:rsidRPr="005D1EE8">
        <w:t xml:space="preserve"> providers in the State of Ohio.  </w:t>
      </w:r>
      <w:r w:rsidR="00637B32" w:rsidRPr="005D1EE8">
        <w:t>Accordingly, the Com</w:t>
      </w:r>
      <w:r w:rsidR="003042DE">
        <w:softHyphen/>
      </w:r>
      <w:r w:rsidR="00637B32" w:rsidRPr="005D1EE8">
        <w:t>mission should deny</w:t>
      </w:r>
      <w:r w:rsidR="006D5BA5" w:rsidRPr="005D1EE8">
        <w:t xml:space="preserve"> AEP</w:t>
      </w:r>
      <w:r w:rsidR="00623053">
        <w:t xml:space="preserve"> Ohio</w:t>
      </w:r>
      <w:r w:rsidR="006D5BA5" w:rsidRPr="005D1EE8">
        <w:t xml:space="preserve">’s proposed </w:t>
      </w:r>
      <w:r w:rsidR="00E445D6">
        <w:t>c</w:t>
      </w:r>
      <w:r w:rsidR="006D5BA5" w:rsidRPr="005D1EE8">
        <w:t xml:space="preserve">apacity </w:t>
      </w:r>
      <w:r w:rsidR="00E445D6">
        <w:t>r</w:t>
      </w:r>
      <w:r w:rsidR="006D5BA5" w:rsidRPr="005D1EE8">
        <w:t>ate</w:t>
      </w:r>
      <w:r w:rsidR="00077735">
        <w:t xml:space="preserve"> and adopt, instead, the RPM price or, in the alterna</w:t>
      </w:r>
      <w:r w:rsidR="00080F38">
        <w:softHyphen/>
      </w:r>
      <w:r w:rsidR="00077735">
        <w:t xml:space="preserve">tive, </w:t>
      </w:r>
      <w:r w:rsidR="002E69B2">
        <w:t>Staff’s netted capacity price</w:t>
      </w:r>
      <w:r w:rsidR="00077735">
        <w:t xml:space="preserve"> proposal, as the state compensa</w:t>
      </w:r>
      <w:r w:rsidR="003042DE">
        <w:softHyphen/>
      </w:r>
      <w:r w:rsidR="00077735">
        <w:t>tion mechanism for AEP Ohio.</w:t>
      </w:r>
      <w:r w:rsidR="00637B32" w:rsidRPr="005D1EE8">
        <w:t xml:space="preserve"> </w:t>
      </w:r>
    </w:p>
    <w:p w:rsidR="0063068E" w:rsidRDefault="0063068E" w:rsidP="002E4B56">
      <w:pPr>
        <w:spacing w:after="0" w:line="240" w:lineRule="auto"/>
        <w:ind w:left="4320"/>
        <w:rPr>
          <w:rFonts w:ascii="Times New Roman" w:hAnsi="Times New Roman" w:cs="Times New Roman"/>
          <w:sz w:val="26"/>
          <w:szCs w:val="26"/>
        </w:rPr>
      </w:pPr>
      <w:r>
        <w:rPr>
          <w:rFonts w:ascii="Times New Roman" w:hAnsi="Times New Roman" w:cs="Times New Roman"/>
          <w:sz w:val="26"/>
          <w:szCs w:val="26"/>
        </w:rPr>
        <w:br w:type="page"/>
      </w:r>
    </w:p>
    <w:p w:rsidR="002E4B56" w:rsidRDefault="002E4B56" w:rsidP="002E4B56">
      <w:pPr>
        <w:spacing w:after="0" w:line="240" w:lineRule="auto"/>
        <w:ind w:left="4320"/>
        <w:rPr>
          <w:rFonts w:ascii="Times New Roman" w:hAnsi="Times New Roman" w:cs="Times New Roman"/>
          <w:sz w:val="26"/>
          <w:szCs w:val="26"/>
        </w:rPr>
      </w:pPr>
      <w:r>
        <w:rPr>
          <w:rFonts w:ascii="Times New Roman" w:hAnsi="Times New Roman" w:cs="Times New Roman"/>
          <w:sz w:val="26"/>
          <w:szCs w:val="26"/>
        </w:rPr>
        <w:lastRenderedPageBreak/>
        <w:t>Respectfully submitted,</w:t>
      </w:r>
    </w:p>
    <w:p w:rsidR="002E4B56" w:rsidRDefault="002E4B56" w:rsidP="002E4B56">
      <w:pPr>
        <w:spacing w:after="0" w:line="240" w:lineRule="auto"/>
        <w:ind w:left="4320"/>
        <w:rPr>
          <w:rFonts w:ascii="Times New Roman" w:hAnsi="Times New Roman" w:cs="Times New Roman"/>
          <w:sz w:val="26"/>
          <w:szCs w:val="26"/>
        </w:rPr>
      </w:pPr>
    </w:p>
    <w:p w:rsidR="002E4B56" w:rsidRDefault="002E69B2" w:rsidP="002E4B56">
      <w:pPr>
        <w:spacing w:after="0" w:line="240" w:lineRule="auto"/>
        <w:ind w:left="4320"/>
        <w:rPr>
          <w:rFonts w:ascii="Times New Roman" w:eastAsia="Times New Roman" w:hAnsi="Times New Roman" w:cs="Times New Roman"/>
          <w:b/>
          <w:sz w:val="26"/>
          <w:szCs w:val="26"/>
        </w:rPr>
      </w:pPr>
      <w:r>
        <w:rPr>
          <w:rFonts w:ascii="Times New Roman" w:eastAsia="Times New Roman" w:hAnsi="Times New Roman" w:cs="Times New Roman"/>
          <w:b/>
          <w:sz w:val="26"/>
          <w:szCs w:val="26"/>
        </w:rPr>
        <w:t>Michael</w:t>
      </w:r>
      <w:r w:rsidR="002E4B56" w:rsidRPr="005D1EE8">
        <w:rPr>
          <w:rFonts w:ascii="Times New Roman" w:eastAsia="Times New Roman" w:hAnsi="Times New Roman" w:cs="Times New Roman"/>
          <w:b/>
          <w:sz w:val="26"/>
          <w:szCs w:val="26"/>
        </w:rPr>
        <w:t xml:space="preserve"> DeWine </w:t>
      </w:r>
    </w:p>
    <w:p w:rsidR="002E4B56" w:rsidRPr="004D2AC6" w:rsidRDefault="002E4B56" w:rsidP="002E4B56">
      <w:pPr>
        <w:spacing w:after="0" w:line="240" w:lineRule="auto"/>
        <w:ind w:left="4320"/>
        <w:rPr>
          <w:rFonts w:ascii="Times New Roman" w:eastAsia="Times New Roman" w:hAnsi="Times New Roman" w:cs="Times New Roman"/>
          <w:b/>
          <w:sz w:val="26"/>
          <w:szCs w:val="26"/>
        </w:rPr>
      </w:pPr>
      <w:r w:rsidRPr="005D1EE8">
        <w:rPr>
          <w:rFonts w:ascii="Times New Roman" w:eastAsia="Times New Roman" w:hAnsi="Times New Roman" w:cs="Times New Roman"/>
          <w:sz w:val="26"/>
          <w:szCs w:val="26"/>
        </w:rPr>
        <w:t>Ohio Attorney General</w:t>
      </w:r>
    </w:p>
    <w:p w:rsidR="002E4B56" w:rsidRPr="005D1EE8" w:rsidRDefault="002E4B56" w:rsidP="002E4B56">
      <w:pPr>
        <w:spacing w:after="0" w:line="240" w:lineRule="auto"/>
        <w:ind w:left="4320"/>
        <w:rPr>
          <w:rFonts w:ascii="Times New Roman" w:eastAsia="Times New Roman" w:hAnsi="Times New Roman" w:cs="Times New Roman"/>
          <w:sz w:val="26"/>
          <w:szCs w:val="26"/>
        </w:rPr>
      </w:pPr>
    </w:p>
    <w:p w:rsidR="002E4B56" w:rsidRPr="005D1EE8" w:rsidRDefault="002E4B56" w:rsidP="002E4B56">
      <w:pPr>
        <w:spacing w:after="0" w:line="240" w:lineRule="auto"/>
        <w:ind w:left="4320"/>
        <w:rPr>
          <w:rFonts w:ascii="Times New Roman" w:eastAsia="Times New Roman" w:hAnsi="Times New Roman" w:cs="Times New Roman"/>
          <w:b/>
          <w:sz w:val="26"/>
          <w:szCs w:val="26"/>
        </w:rPr>
      </w:pPr>
      <w:r w:rsidRPr="005D1EE8">
        <w:rPr>
          <w:rFonts w:ascii="Times New Roman" w:eastAsia="Times New Roman" w:hAnsi="Times New Roman" w:cs="Times New Roman"/>
          <w:b/>
          <w:sz w:val="26"/>
          <w:szCs w:val="26"/>
        </w:rPr>
        <w:t>William L. Wright</w:t>
      </w:r>
    </w:p>
    <w:p w:rsidR="002E4B56" w:rsidRPr="005D1EE8" w:rsidRDefault="002E4B56" w:rsidP="002E4B5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Section Chief</w:t>
      </w:r>
    </w:p>
    <w:p w:rsidR="002E4B56" w:rsidRPr="005D1EE8" w:rsidRDefault="002E4B56" w:rsidP="002E4B56">
      <w:pPr>
        <w:spacing w:after="0" w:line="240" w:lineRule="auto"/>
        <w:ind w:left="4320"/>
        <w:rPr>
          <w:rFonts w:ascii="Times New Roman" w:eastAsia="Times New Roman" w:hAnsi="Times New Roman" w:cs="Times New Roman"/>
          <w:sz w:val="26"/>
          <w:szCs w:val="26"/>
        </w:rPr>
      </w:pPr>
    </w:p>
    <w:p w:rsidR="002E4B56" w:rsidRDefault="002E4B56" w:rsidP="002E4B56">
      <w:pPr>
        <w:spacing w:after="0" w:line="240" w:lineRule="auto"/>
        <w:ind w:left="4320"/>
        <w:rPr>
          <w:rFonts w:ascii="Times New Roman" w:eastAsia="Times New Roman" w:hAnsi="Times New Roman" w:cs="Times New Roman"/>
          <w:b/>
          <w:sz w:val="26"/>
          <w:szCs w:val="26"/>
        </w:rPr>
      </w:pPr>
    </w:p>
    <w:p w:rsidR="002E4B56" w:rsidRPr="004F1C29" w:rsidRDefault="004F1C29" w:rsidP="002E4B56">
      <w:pPr>
        <w:tabs>
          <w:tab w:val="right" w:pos="9360"/>
        </w:tabs>
        <w:spacing w:after="0" w:line="240" w:lineRule="auto"/>
        <w:ind w:left="4320"/>
        <w:rPr>
          <w:rFonts w:ascii="Viner Hand ITC" w:eastAsia="Times New Roman" w:hAnsi="Viner Hand ITC" w:cs="Times New Roman"/>
          <w:sz w:val="36"/>
          <w:szCs w:val="36"/>
          <w:u w:val="single"/>
        </w:rPr>
      </w:pPr>
      <w:r w:rsidRPr="004F1C29">
        <w:rPr>
          <w:rFonts w:ascii="Viner Hand ITC" w:eastAsia="Times New Roman" w:hAnsi="Viner Hand ITC" w:cs="Times New Roman"/>
          <w:sz w:val="36"/>
          <w:szCs w:val="36"/>
          <w:u w:val="single"/>
        </w:rPr>
        <w:t>/s/ John H. Jones</w:t>
      </w:r>
      <w:r w:rsidR="002E4B56" w:rsidRPr="004F1C29">
        <w:rPr>
          <w:rFonts w:ascii="Viner Hand ITC" w:eastAsia="Times New Roman" w:hAnsi="Viner Hand ITC" w:cs="Times New Roman"/>
          <w:sz w:val="36"/>
          <w:szCs w:val="36"/>
          <w:u w:val="single"/>
        </w:rPr>
        <w:tab/>
      </w:r>
    </w:p>
    <w:p w:rsidR="002E4B56" w:rsidRPr="005D1EE8" w:rsidRDefault="002E4B56" w:rsidP="002E4B5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b/>
          <w:sz w:val="26"/>
          <w:szCs w:val="26"/>
        </w:rPr>
        <w:t>John H. Jones</w:t>
      </w:r>
    </w:p>
    <w:p w:rsidR="002E4B56" w:rsidRPr="005D1EE8" w:rsidRDefault="002E4B56" w:rsidP="002E4B5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b/>
          <w:sz w:val="26"/>
          <w:szCs w:val="26"/>
        </w:rPr>
        <w:t>Steven L. Beeler</w:t>
      </w:r>
      <w:r w:rsidRPr="005D1EE8">
        <w:rPr>
          <w:rFonts w:ascii="Times New Roman" w:eastAsia="Times New Roman" w:hAnsi="Times New Roman" w:cs="Times New Roman"/>
          <w:sz w:val="26"/>
          <w:szCs w:val="26"/>
        </w:rPr>
        <w:t xml:space="preserve"> </w:t>
      </w:r>
    </w:p>
    <w:p w:rsidR="002E4B56" w:rsidRDefault="002E4B56" w:rsidP="002E4B5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Assistant Attorneys General</w:t>
      </w:r>
    </w:p>
    <w:p w:rsidR="002E4B56" w:rsidRPr="005D1EE8" w:rsidRDefault="002E4B56" w:rsidP="002E4B56">
      <w:pPr>
        <w:spacing w:after="0" w:line="240" w:lineRule="auto"/>
        <w:ind w:left="4320"/>
        <w:rPr>
          <w:rFonts w:ascii="Times New Roman" w:eastAsia="Times New Roman" w:hAnsi="Times New Roman" w:cs="Times New Roman"/>
          <w:sz w:val="26"/>
          <w:szCs w:val="26"/>
        </w:rPr>
      </w:pPr>
      <w:r>
        <w:rPr>
          <w:rFonts w:ascii="Times New Roman" w:eastAsia="Times New Roman" w:hAnsi="Times New Roman" w:cs="Times New Roman"/>
          <w:sz w:val="26"/>
          <w:szCs w:val="26"/>
        </w:rPr>
        <w:t>Public Utilities Section</w:t>
      </w:r>
    </w:p>
    <w:p w:rsidR="002E4B56" w:rsidRPr="005D1EE8" w:rsidRDefault="002E4B56" w:rsidP="002E4B5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180 East Broad Street, 6</w:t>
      </w:r>
      <w:r w:rsidRPr="005D1EE8">
        <w:rPr>
          <w:rFonts w:ascii="Times New Roman" w:eastAsia="Times New Roman" w:hAnsi="Times New Roman" w:cs="Times New Roman"/>
          <w:sz w:val="26"/>
          <w:szCs w:val="26"/>
          <w:vertAlign w:val="superscript"/>
        </w:rPr>
        <w:t>th</w:t>
      </w:r>
      <w:r w:rsidRPr="005D1EE8">
        <w:rPr>
          <w:rFonts w:ascii="Times New Roman" w:eastAsia="Times New Roman" w:hAnsi="Times New Roman" w:cs="Times New Roman"/>
          <w:sz w:val="26"/>
          <w:szCs w:val="26"/>
        </w:rPr>
        <w:t xml:space="preserve"> floor  </w:t>
      </w:r>
    </w:p>
    <w:p w:rsidR="002E4B56" w:rsidRPr="005D1EE8" w:rsidRDefault="002E4B56" w:rsidP="002E4B5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Columbus, Ohio 43215-3739</w:t>
      </w:r>
    </w:p>
    <w:p w:rsidR="002E4B56" w:rsidRPr="005D1EE8" w:rsidRDefault="002E4B56" w:rsidP="002E4B56">
      <w:pPr>
        <w:spacing w:after="0" w:line="240" w:lineRule="auto"/>
        <w:ind w:left="4320"/>
        <w:rPr>
          <w:rFonts w:ascii="Times New Roman" w:eastAsia="Times New Roman" w:hAnsi="Times New Roman" w:cs="Times New Roman"/>
          <w:sz w:val="26"/>
          <w:szCs w:val="26"/>
        </w:rPr>
      </w:pPr>
      <w:r>
        <w:rPr>
          <w:rFonts w:ascii="Times New Roman" w:eastAsia="Times New Roman" w:hAnsi="Times New Roman" w:cs="Times New Roman"/>
          <w:sz w:val="26"/>
          <w:szCs w:val="26"/>
        </w:rPr>
        <w:t>614.466.4397 (telephone)</w:t>
      </w:r>
    </w:p>
    <w:p w:rsidR="002E4B56" w:rsidRPr="005D1EE8" w:rsidRDefault="002E4B56" w:rsidP="002E4B56">
      <w:pPr>
        <w:spacing w:after="0" w:line="240" w:lineRule="auto"/>
        <w:ind w:left="4320"/>
        <w:rPr>
          <w:rFonts w:ascii="Times New Roman" w:eastAsia="Times New Roman" w:hAnsi="Times New Roman" w:cs="Times New Roman"/>
          <w:sz w:val="26"/>
          <w:szCs w:val="26"/>
        </w:rPr>
      </w:pPr>
      <w:r>
        <w:rPr>
          <w:rFonts w:ascii="Times New Roman" w:eastAsia="Times New Roman" w:hAnsi="Times New Roman" w:cs="Times New Roman"/>
          <w:sz w:val="26"/>
          <w:szCs w:val="26"/>
        </w:rPr>
        <w:t>614.644.8764 (fax)</w:t>
      </w:r>
    </w:p>
    <w:p w:rsidR="002E4B56" w:rsidRDefault="00A23AA3" w:rsidP="002E4B56">
      <w:pPr>
        <w:spacing w:after="0" w:line="240" w:lineRule="auto"/>
        <w:ind w:left="4320"/>
        <w:rPr>
          <w:rFonts w:ascii="Times New Roman" w:eastAsia="Times New Roman" w:hAnsi="Times New Roman" w:cs="Times New Roman"/>
          <w:sz w:val="26"/>
          <w:szCs w:val="26"/>
        </w:rPr>
      </w:pPr>
      <w:hyperlink r:id="rId18" w:history="1">
        <w:r w:rsidR="002E4B56" w:rsidRPr="009038DA">
          <w:rPr>
            <w:rStyle w:val="Hyperlink"/>
            <w:rFonts w:ascii="Times New Roman" w:eastAsia="Times New Roman" w:hAnsi="Times New Roman" w:cs="Times New Roman"/>
            <w:sz w:val="26"/>
            <w:szCs w:val="26"/>
          </w:rPr>
          <w:t>john.jones@puc.state.oh.us</w:t>
        </w:r>
      </w:hyperlink>
    </w:p>
    <w:p w:rsidR="002E4B56" w:rsidRDefault="00A23AA3" w:rsidP="002E4B56">
      <w:pPr>
        <w:spacing w:after="0" w:line="240" w:lineRule="auto"/>
        <w:ind w:left="4320"/>
        <w:rPr>
          <w:rFonts w:ascii="Times New Roman" w:eastAsia="Times New Roman" w:hAnsi="Times New Roman" w:cs="Times New Roman"/>
          <w:sz w:val="26"/>
          <w:szCs w:val="26"/>
        </w:rPr>
      </w:pPr>
      <w:hyperlink r:id="rId19" w:history="1">
        <w:r w:rsidR="002E4B56" w:rsidRPr="009038DA">
          <w:rPr>
            <w:rStyle w:val="Hyperlink"/>
            <w:rFonts w:ascii="Times New Roman" w:eastAsia="Times New Roman" w:hAnsi="Times New Roman" w:cs="Times New Roman"/>
            <w:sz w:val="26"/>
            <w:szCs w:val="26"/>
          </w:rPr>
          <w:t>steven.beeler@puc.state.oh.us</w:t>
        </w:r>
      </w:hyperlink>
    </w:p>
    <w:p w:rsidR="002E4B56" w:rsidRPr="005D1EE8" w:rsidRDefault="002E4B56" w:rsidP="002E4B56">
      <w:pPr>
        <w:spacing w:after="0" w:line="240" w:lineRule="auto"/>
        <w:ind w:left="4320"/>
        <w:rPr>
          <w:rFonts w:ascii="Times New Roman" w:eastAsia="Times New Roman" w:hAnsi="Times New Roman" w:cs="Times New Roman"/>
          <w:sz w:val="26"/>
          <w:szCs w:val="26"/>
        </w:rPr>
      </w:pPr>
    </w:p>
    <w:p w:rsidR="002E4B56" w:rsidRPr="005D1EE8" w:rsidRDefault="002E4B56" w:rsidP="002E4B56">
      <w:pPr>
        <w:spacing w:after="0" w:line="240" w:lineRule="auto"/>
        <w:ind w:left="4320"/>
        <w:rPr>
          <w:rFonts w:ascii="Times New Roman" w:eastAsia="Times New Roman" w:hAnsi="Times New Roman" w:cs="Times New Roman"/>
          <w:b/>
          <w:bCs/>
          <w:sz w:val="26"/>
          <w:szCs w:val="26"/>
        </w:rPr>
      </w:pPr>
      <w:r w:rsidRPr="005D1EE8">
        <w:rPr>
          <w:rFonts w:ascii="Times New Roman" w:eastAsia="Times New Roman" w:hAnsi="Times New Roman" w:cs="Times New Roman"/>
          <w:b/>
          <w:bCs/>
          <w:sz w:val="26"/>
          <w:szCs w:val="26"/>
        </w:rPr>
        <w:t>Counsel for the Staff of the</w:t>
      </w:r>
    </w:p>
    <w:p w:rsidR="002E4B56" w:rsidRPr="005D1EE8" w:rsidRDefault="002E4B56" w:rsidP="002E4B56">
      <w:pPr>
        <w:spacing w:after="0" w:line="240" w:lineRule="auto"/>
        <w:ind w:left="4320"/>
        <w:rPr>
          <w:rFonts w:ascii="Times New Roman" w:eastAsia="Times New Roman" w:hAnsi="Times New Roman" w:cs="Times New Roman"/>
          <w:b/>
          <w:bCs/>
          <w:sz w:val="26"/>
          <w:szCs w:val="26"/>
        </w:rPr>
      </w:pPr>
      <w:r w:rsidRPr="005D1EE8">
        <w:rPr>
          <w:rFonts w:ascii="Times New Roman" w:eastAsia="Times New Roman" w:hAnsi="Times New Roman" w:cs="Times New Roman"/>
          <w:b/>
          <w:bCs/>
          <w:sz w:val="26"/>
          <w:szCs w:val="26"/>
        </w:rPr>
        <w:t>Public Utilities Commission of Ohio</w:t>
      </w:r>
    </w:p>
    <w:p w:rsidR="002E4B56" w:rsidRPr="002E4B56" w:rsidRDefault="002E4B56" w:rsidP="002E4B56">
      <w:pPr>
        <w:spacing w:after="0" w:line="240" w:lineRule="auto"/>
        <w:ind w:left="4320"/>
        <w:rPr>
          <w:rFonts w:ascii="Times New Roman" w:hAnsi="Times New Roman" w:cs="Times New Roman"/>
          <w:sz w:val="26"/>
          <w:szCs w:val="26"/>
        </w:rPr>
      </w:pPr>
    </w:p>
    <w:p w:rsidR="002E4B56" w:rsidRDefault="002E4B56" w:rsidP="002228CE">
      <w:pPr>
        <w:keepNext/>
        <w:widowControl w:val="0"/>
        <w:spacing w:line="480" w:lineRule="auto"/>
        <w:jc w:val="center"/>
        <w:rPr>
          <w:rFonts w:ascii="Times New Roman" w:hAnsi="Times New Roman" w:cs="Times New Roman"/>
          <w:b/>
          <w:sz w:val="26"/>
          <w:szCs w:val="26"/>
        </w:rPr>
      </w:pPr>
      <w:r>
        <w:rPr>
          <w:rFonts w:ascii="Times New Roman" w:hAnsi="Times New Roman" w:cs="Times New Roman"/>
          <w:b/>
          <w:sz w:val="26"/>
          <w:szCs w:val="26"/>
        </w:rPr>
        <w:br w:type="page"/>
      </w:r>
    </w:p>
    <w:p w:rsidR="00994718" w:rsidRPr="005D1EE8" w:rsidRDefault="00994718" w:rsidP="002E4B56">
      <w:pPr>
        <w:pStyle w:val="Heading1"/>
      </w:pPr>
      <w:bookmarkStart w:id="31" w:name="_Toc325543213"/>
      <w:r w:rsidRPr="005D1EE8">
        <w:lastRenderedPageBreak/>
        <w:t>PROOF OF SERVICE</w:t>
      </w:r>
      <w:bookmarkEnd w:id="31"/>
    </w:p>
    <w:p w:rsidR="00994718" w:rsidRDefault="00994718" w:rsidP="000D1941">
      <w:pPr>
        <w:pStyle w:val="textstyle"/>
      </w:pPr>
      <w:r w:rsidRPr="005D1EE8">
        <w:tab/>
        <w:t xml:space="preserve">I hereby certify that a true copy of the foregoing </w:t>
      </w:r>
      <w:r w:rsidRPr="005D1EE8">
        <w:rPr>
          <w:b/>
        </w:rPr>
        <w:t>Initial Post-Hearing Brief</w:t>
      </w:r>
      <w:r w:rsidRPr="005D1EE8">
        <w:t xml:space="preserve"> submitted on behalf of the Staff of the Public Utilities Commission of Ohio, was served by electronic mail, upon the foll</w:t>
      </w:r>
      <w:r w:rsidR="006D5BA5" w:rsidRPr="005D1EE8">
        <w:t>ow</w:t>
      </w:r>
      <w:r w:rsidR="00E65F5F">
        <w:t>ing parties of record, this 23rd</w:t>
      </w:r>
      <w:r w:rsidR="006D5BA5" w:rsidRPr="005D1EE8">
        <w:t xml:space="preserve"> day of</w:t>
      </w:r>
      <w:r w:rsidR="000D4750" w:rsidRPr="005D1EE8">
        <w:t xml:space="preserve"> May</w:t>
      </w:r>
      <w:r w:rsidR="006D5BA5" w:rsidRPr="005D1EE8">
        <w:t>, 2012</w:t>
      </w:r>
      <w:r w:rsidRPr="005D1EE8">
        <w:t>.</w:t>
      </w:r>
    </w:p>
    <w:p w:rsidR="004F1C29" w:rsidRDefault="004F1C29" w:rsidP="004F1C29">
      <w:pPr>
        <w:tabs>
          <w:tab w:val="left" w:pos="9360"/>
        </w:tabs>
        <w:spacing w:after="0" w:line="240" w:lineRule="auto"/>
        <w:ind w:left="4320"/>
        <w:rPr>
          <w:rFonts w:ascii="Viner Hand ITC" w:eastAsia="Times New Roman" w:hAnsi="Viner Hand ITC" w:cs="Times New Roman"/>
          <w:sz w:val="36"/>
          <w:szCs w:val="36"/>
          <w:u w:val="single"/>
        </w:rPr>
      </w:pPr>
      <w:r w:rsidRPr="004F1C29">
        <w:rPr>
          <w:rFonts w:ascii="Viner Hand ITC" w:eastAsia="Times New Roman" w:hAnsi="Viner Hand ITC" w:cs="Times New Roman"/>
          <w:sz w:val="36"/>
          <w:szCs w:val="36"/>
          <w:u w:val="single"/>
        </w:rPr>
        <w:t>/s/ John H. Jones</w:t>
      </w:r>
      <w:r>
        <w:rPr>
          <w:rFonts w:ascii="Viner Hand ITC" w:eastAsia="Times New Roman" w:hAnsi="Viner Hand ITC" w:cs="Times New Roman"/>
          <w:sz w:val="36"/>
          <w:szCs w:val="36"/>
          <w:u w:val="single"/>
        </w:rPr>
        <w:tab/>
      </w:r>
    </w:p>
    <w:p w:rsidR="002E4B56" w:rsidRPr="005D1EE8" w:rsidRDefault="002E4B56" w:rsidP="002E4B5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b/>
          <w:sz w:val="26"/>
          <w:szCs w:val="26"/>
        </w:rPr>
        <w:t>John H. Jones</w:t>
      </w:r>
    </w:p>
    <w:p w:rsidR="002E4B56" w:rsidRPr="005D1EE8" w:rsidRDefault="002E4B56" w:rsidP="002E4B56">
      <w:pPr>
        <w:spacing w:after="0" w:line="240" w:lineRule="auto"/>
        <w:ind w:left="4320"/>
        <w:rPr>
          <w:rFonts w:ascii="Times New Roman" w:eastAsia="Times New Roman" w:hAnsi="Times New Roman" w:cs="Times New Roman"/>
          <w:sz w:val="26"/>
          <w:szCs w:val="26"/>
        </w:rPr>
      </w:pPr>
      <w:r w:rsidRPr="005D1EE8">
        <w:rPr>
          <w:rFonts w:ascii="Times New Roman" w:eastAsia="Times New Roman" w:hAnsi="Times New Roman" w:cs="Times New Roman"/>
          <w:sz w:val="26"/>
          <w:szCs w:val="26"/>
        </w:rPr>
        <w:t>Assistant Attorneys General</w:t>
      </w:r>
    </w:p>
    <w:p w:rsidR="00011111" w:rsidRPr="005D1EE8" w:rsidRDefault="00011111" w:rsidP="00011111">
      <w:pPr>
        <w:spacing w:after="0" w:line="240" w:lineRule="auto"/>
        <w:rPr>
          <w:rFonts w:ascii="Times New Roman" w:eastAsia="Times New Roman" w:hAnsi="Times New Roman" w:cs="Times New Roman"/>
          <w:b/>
          <w:sz w:val="26"/>
          <w:szCs w:val="26"/>
        </w:rPr>
      </w:pPr>
    </w:p>
    <w:p w:rsidR="00994718" w:rsidRPr="005D1EE8" w:rsidRDefault="00994718" w:rsidP="00011111">
      <w:pPr>
        <w:spacing w:after="0" w:line="240" w:lineRule="auto"/>
        <w:rPr>
          <w:rFonts w:ascii="Times New Roman" w:eastAsia="Times New Roman" w:hAnsi="Times New Roman" w:cs="Times New Roman"/>
          <w:b/>
          <w:sz w:val="26"/>
          <w:szCs w:val="26"/>
        </w:rPr>
        <w:sectPr w:rsidR="00994718" w:rsidRPr="005D1EE8" w:rsidSect="002228CE">
          <w:headerReference w:type="default" r:id="rId20"/>
          <w:footerReference w:type="default" r:id="rId21"/>
          <w:headerReference w:type="first" r:id="rId22"/>
          <w:footerReference w:type="first" r:id="rId23"/>
          <w:endnotePr>
            <w:numFmt w:val="decimal"/>
          </w:endnotePr>
          <w:pgSz w:w="12240" w:h="15840"/>
          <w:pgMar w:top="1440" w:right="1440" w:bottom="1440" w:left="1440" w:header="720" w:footer="720" w:gutter="0"/>
          <w:pgNumType w:start="1"/>
          <w:cols w:space="720"/>
          <w:titlePg/>
          <w:docGrid w:linePitch="360"/>
        </w:sectPr>
      </w:pPr>
      <w:r w:rsidRPr="005D1EE8">
        <w:rPr>
          <w:rFonts w:ascii="Times New Roman" w:eastAsia="Times New Roman" w:hAnsi="Times New Roman" w:cs="Times New Roman"/>
          <w:b/>
          <w:sz w:val="26"/>
          <w:szCs w:val="26"/>
        </w:rPr>
        <w:t>Parties of Record:</w:t>
      </w:r>
    </w:p>
    <w:tbl>
      <w:tblPr>
        <w:tblW w:w="0" w:type="auto"/>
        <w:tblBorders>
          <w:top w:val="nil"/>
          <w:left w:val="nil"/>
          <w:bottom w:val="nil"/>
          <w:right w:val="nil"/>
        </w:tblBorders>
        <w:tblLayout w:type="fixed"/>
        <w:tblLook w:val="0000" w:firstRow="0" w:lastRow="0" w:firstColumn="0" w:lastColumn="0" w:noHBand="0" w:noVBand="0"/>
      </w:tblPr>
      <w:tblGrid>
        <w:gridCol w:w="4197"/>
        <w:gridCol w:w="591"/>
        <w:gridCol w:w="4788"/>
      </w:tblGrid>
      <w:tr w:rsidR="009C7C22" w:rsidRPr="005D1EE8" w:rsidTr="00011111">
        <w:trPr>
          <w:gridAfter w:val="2"/>
          <w:wAfter w:w="5379" w:type="dxa"/>
          <w:trHeight w:val="270"/>
        </w:trPr>
        <w:tc>
          <w:tcPr>
            <w:tcW w:w="4197" w:type="dxa"/>
          </w:tcPr>
          <w:p w:rsidR="009C7C22" w:rsidRPr="005D1EE8" w:rsidRDefault="009C7C22" w:rsidP="00DD212C">
            <w:pPr>
              <w:autoSpaceDE w:val="0"/>
              <w:autoSpaceDN w:val="0"/>
              <w:adjustRightInd w:val="0"/>
              <w:spacing w:after="0" w:line="240" w:lineRule="auto"/>
              <w:rPr>
                <w:rFonts w:ascii="Times New Roman" w:hAnsi="Times New Roman" w:cs="Times New Roman"/>
                <w:sz w:val="26"/>
                <w:szCs w:val="26"/>
              </w:rPr>
            </w:pPr>
          </w:p>
        </w:tc>
      </w:tr>
      <w:tr w:rsidR="00011111" w:rsidRPr="005D1EE8" w:rsidTr="0001111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4788" w:type="dxa"/>
            <w:gridSpan w:val="2"/>
            <w:shd w:val="clear" w:color="auto" w:fill="auto"/>
          </w:tcPr>
          <w:p w:rsidR="00011111" w:rsidRPr="005D1EE8" w:rsidRDefault="00A23AA3" w:rsidP="00011111">
            <w:pPr>
              <w:spacing w:after="0" w:line="240" w:lineRule="auto"/>
              <w:rPr>
                <w:rFonts w:ascii="Times New Roman" w:hAnsi="Times New Roman" w:cs="Times New Roman"/>
                <w:sz w:val="26"/>
                <w:szCs w:val="26"/>
              </w:rPr>
            </w:pPr>
            <w:hyperlink r:id="rId24" w:history="1">
              <w:r w:rsidR="00011111" w:rsidRPr="005D1EE8">
                <w:rPr>
                  <w:rStyle w:val="Hyperlink"/>
                  <w:rFonts w:ascii="Times New Roman" w:hAnsi="Times New Roman" w:cs="Times New Roman"/>
                  <w:sz w:val="26"/>
                  <w:szCs w:val="26"/>
                </w:rPr>
                <w:t>greta.see@puc.state.oh.us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25" w:history="1">
              <w:r w:rsidR="00011111" w:rsidRPr="005D1EE8">
                <w:rPr>
                  <w:rStyle w:val="Hyperlink"/>
                  <w:rFonts w:ascii="Times New Roman" w:hAnsi="Times New Roman" w:cs="Times New Roman"/>
                  <w:sz w:val="26"/>
                  <w:szCs w:val="26"/>
                </w:rPr>
                <w:t>jeff.jones@puc.state.oh.us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26" w:history="1">
              <w:r w:rsidR="00011111" w:rsidRPr="005D1EE8">
                <w:rPr>
                  <w:rStyle w:val="Hyperlink"/>
                  <w:rFonts w:ascii="Times New Roman" w:hAnsi="Times New Roman" w:cs="Times New Roman"/>
                  <w:sz w:val="26"/>
                  <w:szCs w:val="26"/>
                </w:rPr>
                <w:t>Daniel.Shields@puc.state.oh.us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27" w:history="1">
              <w:r w:rsidR="00011111" w:rsidRPr="005D1EE8">
                <w:rPr>
                  <w:rStyle w:val="Hyperlink"/>
                  <w:rFonts w:ascii="Times New Roman" w:hAnsi="Times New Roman" w:cs="Times New Roman"/>
                  <w:sz w:val="26"/>
                  <w:szCs w:val="26"/>
                </w:rPr>
                <w:t>Tammy.Turkenton@puc.state.oh.us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28" w:history="1">
              <w:r w:rsidR="00011111" w:rsidRPr="005D1EE8">
                <w:rPr>
                  <w:rStyle w:val="Hyperlink"/>
                  <w:rFonts w:ascii="Times New Roman" w:hAnsi="Times New Roman" w:cs="Times New Roman"/>
                  <w:sz w:val="26"/>
                  <w:szCs w:val="26"/>
                </w:rPr>
                <w:t>Sarah.Parrot@puc.state.ohio.us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29" w:history="1">
              <w:r w:rsidR="00011111" w:rsidRPr="005D1EE8">
                <w:rPr>
                  <w:rStyle w:val="Hyperlink"/>
                  <w:rFonts w:ascii="Times New Roman" w:hAnsi="Times New Roman" w:cs="Times New Roman"/>
                  <w:sz w:val="26"/>
                  <w:szCs w:val="26"/>
                </w:rPr>
                <w:t>Jodi.Bair@puc.state.oh.us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0" w:history="1">
              <w:r w:rsidR="00011111" w:rsidRPr="005D1EE8">
                <w:rPr>
                  <w:rStyle w:val="Hyperlink"/>
                  <w:rFonts w:ascii="Times New Roman" w:hAnsi="Times New Roman" w:cs="Times New Roman"/>
                  <w:sz w:val="26"/>
                  <w:szCs w:val="26"/>
                </w:rPr>
                <w:t>Bob.Fortney@puc.state.oh.us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1" w:history="1">
              <w:r w:rsidR="00011111" w:rsidRPr="005D1EE8">
                <w:rPr>
                  <w:rStyle w:val="Hyperlink"/>
                  <w:rFonts w:ascii="Times New Roman" w:hAnsi="Times New Roman" w:cs="Times New Roman"/>
                  <w:sz w:val="26"/>
                  <w:szCs w:val="26"/>
                </w:rPr>
                <w:t>Doris.McCarter@puc.state.oh.us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2" w:history="1">
              <w:r w:rsidR="00011111" w:rsidRPr="005D1EE8">
                <w:rPr>
                  <w:rStyle w:val="Hyperlink"/>
                  <w:rFonts w:ascii="Times New Roman" w:hAnsi="Times New Roman" w:cs="Times New Roman"/>
                  <w:sz w:val="26"/>
                  <w:szCs w:val="26"/>
                </w:rPr>
                <w:t>Greg.Price@puc.state.oh.us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3" w:history="1">
              <w:r w:rsidR="00011111" w:rsidRPr="005D1EE8">
                <w:rPr>
                  <w:rStyle w:val="Hyperlink"/>
                  <w:rFonts w:ascii="Times New Roman" w:hAnsi="Times New Roman" w:cs="Times New Roman"/>
                  <w:sz w:val="26"/>
                  <w:szCs w:val="26"/>
                </w:rPr>
                <w:t>Kim.Wissman@puc.state.oh.us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4" w:history="1">
              <w:r w:rsidR="00011111" w:rsidRPr="005D1EE8">
                <w:rPr>
                  <w:rStyle w:val="Hyperlink"/>
                  <w:rFonts w:ascii="Times New Roman" w:hAnsi="Times New Roman" w:cs="Times New Roman"/>
                  <w:sz w:val="26"/>
                  <w:szCs w:val="26"/>
                </w:rPr>
                <w:t>Hisham.Choueiki@puc.state.oh.us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5" w:history="1">
              <w:r w:rsidR="00011111" w:rsidRPr="005D1EE8">
                <w:rPr>
                  <w:rStyle w:val="Hyperlink"/>
                  <w:rFonts w:ascii="Times New Roman" w:hAnsi="Times New Roman" w:cs="Times New Roman"/>
                  <w:sz w:val="26"/>
                  <w:szCs w:val="26"/>
                </w:rPr>
                <w:t>Dan.Johnson@puc.state.oh.us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6" w:history="1">
              <w:r w:rsidR="00011111" w:rsidRPr="005D1EE8">
                <w:rPr>
                  <w:rStyle w:val="Hyperlink"/>
                  <w:rFonts w:ascii="Times New Roman" w:hAnsi="Times New Roman" w:cs="Times New Roman"/>
                  <w:sz w:val="26"/>
                  <w:szCs w:val="26"/>
                </w:rPr>
                <w:t>dclark1@aep.com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7" w:history="1">
              <w:r w:rsidR="00011111" w:rsidRPr="005D1EE8">
                <w:rPr>
                  <w:rStyle w:val="Hyperlink"/>
                  <w:rFonts w:ascii="Times New Roman" w:hAnsi="Times New Roman" w:cs="Times New Roman"/>
                  <w:sz w:val="26"/>
                  <w:szCs w:val="26"/>
                </w:rPr>
                <w:t>grady@occ.state.oh.us</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8" w:history="1">
              <w:r w:rsidR="00011111" w:rsidRPr="005D1EE8">
                <w:rPr>
                  <w:rStyle w:val="Hyperlink"/>
                  <w:rFonts w:ascii="Times New Roman" w:hAnsi="Times New Roman" w:cs="Times New Roman"/>
                  <w:sz w:val="26"/>
                  <w:szCs w:val="26"/>
                </w:rPr>
                <w:t>keith.nusbaum@snrdenton.com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39" w:history="1">
              <w:r w:rsidR="00011111" w:rsidRPr="005D1EE8">
                <w:rPr>
                  <w:rStyle w:val="Hyperlink"/>
                  <w:rFonts w:ascii="Times New Roman" w:hAnsi="Times New Roman" w:cs="Times New Roman"/>
                  <w:sz w:val="26"/>
                  <w:szCs w:val="26"/>
                </w:rPr>
                <w:t>kpkreider@kmklaw.com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0" w:history="1">
              <w:r w:rsidR="00011111" w:rsidRPr="005D1EE8">
                <w:rPr>
                  <w:rStyle w:val="Hyperlink"/>
                  <w:rFonts w:ascii="Times New Roman" w:hAnsi="Times New Roman" w:cs="Times New Roman"/>
                  <w:sz w:val="26"/>
                  <w:szCs w:val="26"/>
                </w:rPr>
                <w:t>mjsatterwhite@aep.com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1" w:history="1">
              <w:r w:rsidR="00011111" w:rsidRPr="005D1EE8">
                <w:rPr>
                  <w:rStyle w:val="Hyperlink"/>
                  <w:rFonts w:ascii="Times New Roman" w:hAnsi="Times New Roman" w:cs="Times New Roman"/>
                  <w:sz w:val="26"/>
                  <w:szCs w:val="26"/>
                </w:rPr>
                <w:t>ned.ford@fuse.net</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2" w:history="1">
              <w:r w:rsidR="00011111" w:rsidRPr="005D1EE8">
                <w:rPr>
                  <w:rStyle w:val="Hyperlink"/>
                  <w:rFonts w:ascii="Times New Roman" w:hAnsi="Times New Roman" w:cs="Times New Roman"/>
                  <w:sz w:val="26"/>
                  <w:szCs w:val="26"/>
                </w:rPr>
                <w:t>pfox@hilliardohio.gov</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3" w:history="1">
              <w:r w:rsidR="00011111" w:rsidRPr="005D1EE8">
                <w:rPr>
                  <w:rStyle w:val="Hyperlink"/>
                  <w:rFonts w:ascii="Times New Roman" w:hAnsi="Times New Roman" w:cs="Times New Roman"/>
                  <w:sz w:val="26"/>
                  <w:szCs w:val="26"/>
                </w:rPr>
                <w:t>ricks@ohanet.org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4" w:history="1">
              <w:r w:rsidR="00011111" w:rsidRPr="005D1EE8">
                <w:rPr>
                  <w:rStyle w:val="Hyperlink"/>
                  <w:rFonts w:ascii="Times New Roman" w:hAnsi="Times New Roman" w:cs="Times New Roman"/>
                  <w:sz w:val="26"/>
                  <w:szCs w:val="26"/>
                </w:rPr>
                <w:t>stnourse@aep.com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5" w:history="1">
              <w:r w:rsidR="00011111" w:rsidRPr="005D1EE8">
                <w:rPr>
                  <w:rStyle w:val="Hyperlink"/>
                  <w:rFonts w:ascii="Times New Roman" w:hAnsi="Times New Roman" w:cs="Times New Roman"/>
                  <w:sz w:val="26"/>
                  <w:szCs w:val="26"/>
                </w:rPr>
                <w:t>whitt@whitt-sturtevant.com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6" w:history="1">
              <w:r w:rsidR="00011111" w:rsidRPr="005D1EE8">
                <w:rPr>
                  <w:rStyle w:val="Hyperlink"/>
                  <w:rFonts w:ascii="Times New Roman" w:hAnsi="Times New Roman" w:cs="Times New Roman"/>
                  <w:sz w:val="26"/>
                  <w:szCs w:val="26"/>
                </w:rPr>
                <w:t>thompson@whitt-sturtevant.com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7" w:history="1">
              <w:r w:rsidR="00011111" w:rsidRPr="005D1EE8">
                <w:rPr>
                  <w:rStyle w:val="Hyperlink"/>
                  <w:rFonts w:ascii="Times New Roman" w:hAnsi="Times New Roman" w:cs="Times New Roman"/>
                  <w:sz w:val="26"/>
                  <w:szCs w:val="26"/>
                </w:rPr>
                <w:t>sandy.grace@exeloncorp.com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8" w:history="1">
              <w:r w:rsidR="00011111" w:rsidRPr="005D1EE8">
                <w:rPr>
                  <w:rStyle w:val="Hyperlink"/>
                  <w:rFonts w:ascii="Times New Roman" w:hAnsi="Times New Roman" w:cs="Times New Roman"/>
                  <w:sz w:val="26"/>
                  <w:szCs w:val="26"/>
                </w:rPr>
                <w:t>smhoward@vorys.com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49" w:history="1">
              <w:r w:rsidR="00011111" w:rsidRPr="005D1EE8">
                <w:rPr>
                  <w:rStyle w:val="Hyperlink"/>
                  <w:rFonts w:ascii="Times New Roman" w:hAnsi="Times New Roman" w:cs="Times New Roman"/>
                  <w:sz w:val="26"/>
                  <w:szCs w:val="26"/>
                </w:rPr>
                <w:t>mjsettineri@vorys.com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0" w:history="1">
              <w:r w:rsidR="00011111" w:rsidRPr="005D1EE8">
                <w:rPr>
                  <w:rStyle w:val="Hyperlink"/>
                  <w:rFonts w:ascii="Times New Roman" w:hAnsi="Times New Roman" w:cs="Times New Roman"/>
                  <w:sz w:val="26"/>
                  <w:szCs w:val="26"/>
                </w:rPr>
                <w:t>lkalepsclark@vorys.com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1" w:history="1">
              <w:r w:rsidR="00011111" w:rsidRPr="005D1EE8">
                <w:rPr>
                  <w:rStyle w:val="Hyperlink"/>
                  <w:rFonts w:ascii="Times New Roman" w:hAnsi="Times New Roman" w:cs="Times New Roman"/>
                  <w:sz w:val="26"/>
                  <w:szCs w:val="26"/>
                </w:rPr>
                <w:t>bakahn@vorys.com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2" w:history="1">
              <w:r w:rsidR="00011111" w:rsidRPr="005D1EE8">
                <w:rPr>
                  <w:rStyle w:val="Hyperlink"/>
                  <w:rFonts w:ascii="Times New Roman" w:hAnsi="Times New Roman" w:cs="Times New Roman"/>
                  <w:sz w:val="26"/>
                  <w:szCs w:val="26"/>
                </w:rPr>
                <w:t>terrance.mebane@thompsonhine.com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3" w:history="1">
              <w:r w:rsidR="00011111" w:rsidRPr="005D1EE8">
                <w:rPr>
                  <w:rStyle w:val="Hyperlink"/>
                  <w:rFonts w:ascii="Times New Roman" w:hAnsi="Times New Roman" w:cs="Times New Roman"/>
                  <w:sz w:val="26"/>
                  <w:szCs w:val="26"/>
                </w:rPr>
                <w:t>cmooney2@columbus.rr.com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4" w:history="1">
              <w:r w:rsidR="00011111" w:rsidRPr="005D1EE8">
                <w:rPr>
                  <w:rStyle w:val="Hyperlink"/>
                  <w:rFonts w:ascii="Times New Roman" w:hAnsi="Times New Roman" w:cs="Times New Roman"/>
                  <w:sz w:val="26"/>
                  <w:szCs w:val="26"/>
                </w:rPr>
                <w:t>drinebolt@ohiopartners.org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5" w:history="1">
              <w:r w:rsidR="00011111" w:rsidRPr="005D1EE8">
                <w:rPr>
                  <w:rStyle w:val="Hyperlink"/>
                  <w:rFonts w:ascii="Times New Roman" w:hAnsi="Times New Roman" w:cs="Times New Roman"/>
                  <w:sz w:val="26"/>
                  <w:szCs w:val="26"/>
                </w:rPr>
                <w:t>trent@theoec.org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6" w:history="1">
              <w:r w:rsidR="00011111" w:rsidRPr="005D1EE8">
                <w:rPr>
                  <w:rStyle w:val="Hyperlink"/>
                  <w:rFonts w:ascii="Times New Roman" w:hAnsi="Times New Roman" w:cs="Times New Roman"/>
                  <w:sz w:val="26"/>
                  <w:szCs w:val="26"/>
                </w:rPr>
                <w:t>nolan@theoec.org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7" w:history="1">
              <w:r w:rsidR="00011111" w:rsidRPr="005D1EE8">
                <w:rPr>
                  <w:rStyle w:val="Hyperlink"/>
                  <w:rFonts w:ascii="Times New Roman" w:hAnsi="Times New Roman" w:cs="Times New Roman"/>
                  <w:sz w:val="26"/>
                  <w:szCs w:val="26"/>
                </w:rPr>
                <w:t>gpoulos@enernoc.com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8" w:history="1">
              <w:r w:rsidR="00011111" w:rsidRPr="005D1EE8">
                <w:rPr>
                  <w:rStyle w:val="Hyperlink"/>
                  <w:rFonts w:ascii="Times New Roman" w:hAnsi="Times New Roman" w:cs="Times New Roman"/>
                  <w:sz w:val="26"/>
                  <w:szCs w:val="26"/>
                </w:rPr>
                <w:t>emma.hand@snrdenton.com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59" w:history="1">
              <w:r w:rsidR="00011111" w:rsidRPr="005D1EE8">
                <w:rPr>
                  <w:rStyle w:val="Hyperlink"/>
                  <w:rFonts w:ascii="Times New Roman" w:hAnsi="Times New Roman" w:cs="Times New Roman"/>
                  <w:sz w:val="26"/>
                  <w:szCs w:val="26"/>
                </w:rPr>
                <w:t>doug.bonner@snrdenton.com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0" w:history="1">
              <w:r w:rsidR="00011111" w:rsidRPr="005D1EE8">
                <w:rPr>
                  <w:rStyle w:val="Hyperlink"/>
                  <w:rFonts w:ascii="Times New Roman" w:hAnsi="Times New Roman" w:cs="Times New Roman"/>
                  <w:sz w:val="26"/>
                  <w:szCs w:val="26"/>
                </w:rPr>
                <w:t>clinton.vince@snrdenton.com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1" w:history="1">
              <w:r w:rsidR="00011111" w:rsidRPr="005D1EE8">
                <w:rPr>
                  <w:rStyle w:val="Hyperlink"/>
                  <w:rFonts w:ascii="Times New Roman" w:hAnsi="Times New Roman" w:cs="Times New Roman"/>
                  <w:sz w:val="26"/>
                  <w:szCs w:val="26"/>
                </w:rPr>
                <w:t>sam@mwncmh.com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2" w:history="1">
              <w:r w:rsidR="00011111" w:rsidRPr="005D1EE8">
                <w:rPr>
                  <w:rStyle w:val="Hyperlink"/>
                  <w:rFonts w:ascii="Times New Roman" w:hAnsi="Times New Roman" w:cs="Times New Roman"/>
                  <w:sz w:val="26"/>
                  <w:szCs w:val="26"/>
                </w:rPr>
                <w:t>joliker@mwncmh.com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3" w:history="1">
              <w:r w:rsidR="00011111" w:rsidRPr="005D1EE8">
                <w:rPr>
                  <w:rStyle w:val="Hyperlink"/>
                  <w:rFonts w:ascii="Times New Roman" w:hAnsi="Times New Roman" w:cs="Times New Roman"/>
                  <w:sz w:val="26"/>
                  <w:szCs w:val="26"/>
                </w:rPr>
                <w:t>cynthia.a.fonner@constellation.com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4" w:history="1">
              <w:r w:rsidR="00011111" w:rsidRPr="005D1EE8">
                <w:rPr>
                  <w:rStyle w:val="Hyperlink"/>
                  <w:rFonts w:ascii="Times New Roman" w:hAnsi="Times New Roman" w:cs="Times New Roman"/>
                  <w:sz w:val="26"/>
                  <w:szCs w:val="26"/>
                </w:rPr>
                <w:t>David.fein@constellation.com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5" w:history="1">
              <w:r w:rsidR="00011111" w:rsidRPr="005D1EE8">
                <w:rPr>
                  <w:rStyle w:val="Hyperlink"/>
                  <w:rFonts w:ascii="Times New Roman" w:hAnsi="Times New Roman" w:cs="Times New Roman"/>
                  <w:sz w:val="26"/>
                  <w:szCs w:val="26"/>
                </w:rPr>
                <w:t>Dorothy.corbett@duke-energy.com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6" w:history="1">
              <w:r w:rsidR="00011111" w:rsidRPr="005D1EE8">
                <w:rPr>
                  <w:rStyle w:val="Hyperlink"/>
                  <w:rFonts w:ascii="Times New Roman" w:hAnsi="Times New Roman" w:cs="Times New Roman"/>
                  <w:sz w:val="26"/>
                  <w:szCs w:val="26"/>
                </w:rPr>
                <w:t>Amy.spiller@duke-energy.com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7" w:history="1">
              <w:r w:rsidR="00011111" w:rsidRPr="005D1EE8">
                <w:rPr>
                  <w:rStyle w:val="Hyperlink"/>
                  <w:rFonts w:ascii="Times New Roman" w:hAnsi="Times New Roman" w:cs="Times New Roman"/>
                  <w:sz w:val="26"/>
                  <w:szCs w:val="26"/>
                </w:rPr>
                <w:t>dboehm@bkllawfirm.com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8" w:history="1">
              <w:r w:rsidR="00011111" w:rsidRPr="005D1EE8">
                <w:rPr>
                  <w:rStyle w:val="Hyperlink"/>
                  <w:rFonts w:ascii="Times New Roman" w:hAnsi="Times New Roman" w:cs="Times New Roman"/>
                  <w:sz w:val="26"/>
                  <w:szCs w:val="26"/>
                </w:rPr>
                <w:t>mkurtz@bkllawfirm.com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69" w:history="1">
              <w:r w:rsidR="00011111" w:rsidRPr="005D1EE8">
                <w:rPr>
                  <w:rStyle w:val="Hyperlink"/>
                  <w:rFonts w:ascii="Times New Roman" w:hAnsi="Times New Roman" w:cs="Times New Roman"/>
                  <w:sz w:val="26"/>
                  <w:szCs w:val="26"/>
                </w:rPr>
                <w:t>ricks@ohanet.org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0" w:history="1">
              <w:r w:rsidR="00011111" w:rsidRPr="005D1EE8">
                <w:rPr>
                  <w:rStyle w:val="Hyperlink"/>
                  <w:rFonts w:ascii="Times New Roman" w:hAnsi="Times New Roman" w:cs="Times New Roman"/>
                  <w:sz w:val="26"/>
                  <w:szCs w:val="26"/>
                </w:rPr>
                <w:t>tobrien@bricker.com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1" w:history="1">
              <w:r w:rsidR="00011111" w:rsidRPr="005D1EE8">
                <w:rPr>
                  <w:rStyle w:val="Hyperlink"/>
                  <w:rFonts w:ascii="Times New Roman" w:hAnsi="Times New Roman" w:cs="Times New Roman"/>
                  <w:sz w:val="26"/>
                  <w:szCs w:val="26"/>
                </w:rPr>
                <w:t>myurick@cwslaw.com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2" w:history="1">
              <w:r w:rsidR="00011111" w:rsidRPr="005D1EE8">
                <w:rPr>
                  <w:rStyle w:val="Hyperlink"/>
                  <w:rFonts w:ascii="Times New Roman" w:hAnsi="Times New Roman" w:cs="Times New Roman"/>
                  <w:sz w:val="26"/>
                  <w:szCs w:val="26"/>
                </w:rPr>
                <w:t>jejadwin@aep.com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3" w:history="1">
              <w:r w:rsidR="00011111" w:rsidRPr="005D1EE8">
                <w:rPr>
                  <w:rStyle w:val="Hyperlink"/>
                  <w:rFonts w:ascii="Times New Roman" w:hAnsi="Times New Roman" w:cs="Times New Roman"/>
                  <w:sz w:val="26"/>
                  <w:szCs w:val="26"/>
                </w:rPr>
                <w:t>dweiss@aep.com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4" w:history="1">
              <w:r w:rsidR="00011111" w:rsidRPr="005D1EE8">
                <w:rPr>
                  <w:rStyle w:val="Hyperlink"/>
                  <w:rFonts w:ascii="Times New Roman" w:hAnsi="Times New Roman" w:cs="Times New Roman"/>
                  <w:sz w:val="26"/>
                  <w:szCs w:val="26"/>
                </w:rPr>
                <w:t>rsugarman@keglerbrown.com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5" w:history="1">
              <w:r w:rsidR="00011111" w:rsidRPr="005D1EE8">
                <w:rPr>
                  <w:rStyle w:val="Hyperlink"/>
                  <w:rFonts w:ascii="Times New Roman" w:hAnsi="Times New Roman" w:cs="Times New Roman"/>
                  <w:sz w:val="26"/>
                  <w:szCs w:val="26"/>
                </w:rPr>
                <w:t>bpbarger@bcslawyers.com</w:t>
              </w:r>
            </w:hyperlink>
          </w:p>
          <w:p w:rsidR="00011111" w:rsidRPr="005D1EE8" w:rsidRDefault="00011111" w:rsidP="00011111">
            <w:pPr>
              <w:spacing w:after="0" w:line="240" w:lineRule="auto"/>
              <w:rPr>
                <w:rFonts w:ascii="Times New Roman" w:hAnsi="Times New Roman" w:cs="Times New Roman"/>
                <w:b/>
                <w:sz w:val="26"/>
                <w:szCs w:val="26"/>
              </w:rPr>
            </w:pPr>
          </w:p>
        </w:tc>
        <w:tc>
          <w:tcPr>
            <w:tcW w:w="4788" w:type="dxa"/>
            <w:shd w:val="clear" w:color="auto" w:fill="auto"/>
          </w:tcPr>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6" w:history="1">
              <w:r w:rsidR="00011111" w:rsidRPr="005D1EE8">
                <w:rPr>
                  <w:rStyle w:val="Hyperlink"/>
                  <w:rFonts w:ascii="Times New Roman" w:hAnsi="Times New Roman" w:cs="Times New Roman"/>
                  <w:sz w:val="26"/>
                  <w:szCs w:val="26"/>
                </w:rPr>
                <w:t>cathy@theoec.org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7" w:history="1">
              <w:r w:rsidR="00011111" w:rsidRPr="005D1EE8">
                <w:rPr>
                  <w:rStyle w:val="Hyperlink"/>
                  <w:rFonts w:ascii="Times New Roman" w:hAnsi="Times New Roman" w:cs="Times New Roman"/>
                  <w:sz w:val="26"/>
                  <w:szCs w:val="26"/>
                </w:rPr>
                <w:t>dsullivan@nrdc.org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8" w:history="1">
              <w:r w:rsidR="00011111" w:rsidRPr="005D1EE8">
                <w:rPr>
                  <w:rStyle w:val="Hyperlink"/>
                  <w:rFonts w:ascii="Times New Roman" w:hAnsi="Times New Roman" w:cs="Times New Roman"/>
                  <w:sz w:val="26"/>
                  <w:szCs w:val="26"/>
                </w:rPr>
                <w:t>aehaedt@jonesday.com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79" w:history="1">
              <w:r w:rsidR="00011111" w:rsidRPr="005D1EE8">
                <w:rPr>
                  <w:rStyle w:val="Hyperlink"/>
                  <w:rFonts w:ascii="Times New Roman" w:hAnsi="Times New Roman" w:cs="Times New Roman"/>
                  <w:sz w:val="26"/>
                  <w:szCs w:val="26"/>
                </w:rPr>
                <w:t>dakutik@jonesday.com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0" w:history="1">
              <w:r w:rsidR="00011111" w:rsidRPr="005D1EE8">
                <w:rPr>
                  <w:rStyle w:val="Hyperlink"/>
                  <w:rFonts w:ascii="Times New Roman" w:hAnsi="Times New Roman" w:cs="Times New Roman"/>
                  <w:sz w:val="26"/>
                  <w:szCs w:val="26"/>
                </w:rPr>
                <w:t>haydenm@firstenergycorp.com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1" w:history="1">
              <w:r w:rsidR="00011111" w:rsidRPr="005D1EE8">
                <w:rPr>
                  <w:rStyle w:val="Hyperlink"/>
                  <w:rFonts w:ascii="Times New Roman" w:hAnsi="Times New Roman" w:cs="Times New Roman"/>
                  <w:sz w:val="26"/>
                  <w:szCs w:val="26"/>
                </w:rPr>
                <w:t>dconway@porterwright.com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2" w:history="1">
              <w:r w:rsidR="00011111" w:rsidRPr="005D1EE8">
                <w:rPr>
                  <w:rStyle w:val="Hyperlink"/>
                  <w:rFonts w:ascii="Times New Roman" w:hAnsi="Times New Roman" w:cs="Times New Roman"/>
                  <w:sz w:val="26"/>
                  <w:szCs w:val="26"/>
                </w:rPr>
                <w:t>cmoore@porterwright.com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3" w:history="1">
              <w:r w:rsidR="00011111" w:rsidRPr="005D1EE8">
                <w:rPr>
                  <w:rStyle w:val="Hyperlink"/>
                  <w:rFonts w:ascii="Times New Roman" w:hAnsi="Times New Roman" w:cs="Times New Roman"/>
                  <w:sz w:val="26"/>
                  <w:szCs w:val="26"/>
                </w:rPr>
                <w:t>jlang@calfee.com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4" w:history="1">
              <w:r w:rsidR="00011111" w:rsidRPr="005D1EE8">
                <w:rPr>
                  <w:rStyle w:val="Hyperlink"/>
                  <w:rFonts w:ascii="Times New Roman" w:hAnsi="Times New Roman" w:cs="Times New Roman"/>
                  <w:sz w:val="26"/>
                  <w:szCs w:val="26"/>
                </w:rPr>
                <w:t>lmcbride@calfee.com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5" w:history="1">
              <w:r w:rsidR="00011111" w:rsidRPr="005D1EE8">
                <w:rPr>
                  <w:rStyle w:val="Hyperlink"/>
                  <w:rFonts w:ascii="Times New Roman" w:hAnsi="Times New Roman" w:cs="Times New Roman"/>
                  <w:sz w:val="26"/>
                  <w:szCs w:val="26"/>
                </w:rPr>
                <w:t>talexander@calfee.com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6" w:history="1">
              <w:r w:rsidR="00011111" w:rsidRPr="005D1EE8">
                <w:rPr>
                  <w:rStyle w:val="Hyperlink"/>
                  <w:rFonts w:ascii="Times New Roman" w:hAnsi="Times New Roman" w:cs="Times New Roman"/>
                  <w:sz w:val="26"/>
                  <w:szCs w:val="26"/>
                </w:rPr>
                <w:t>todonnell@bricker.com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7" w:history="1">
              <w:r w:rsidR="00011111" w:rsidRPr="005D1EE8">
                <w:rPr>
                  <w:rStyle w:val="Hyperlink"/>
                  <w:rFonts w:ascii="Times New Roman" w:hAnsi="Times New Roman" w:cs="Times New Roman"/>
                  <w:sz w:val="26"/>
                  <w:szCs w:val="26"/>
                </w:rPr>
                <w:t>cmontgomery@bricker.com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8" w:history="1">
              <w:r w:rsidR="00011111" w:rsidRPr="005D1EE8">
                <w:rPr>
                  <w:rStyle w:val="Hyperlink"/>
                  <w:rFonts w:ascii="Times New Roman" w:hAnsi="Times New Roman" w:cs="Times New Roman"/>
                  <w:sz w:val="26"/>
                  <w:szCs w:val="26"/>
                </w:rPr>
                <w:t>lmcalister@bricker.com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89" w:history="1">
              <w:r w:rsidR="00011111" w:rsidRPr="005D1EE8">
                <w:rPr>
                  <w:rStyle w:val="Hyperlink"/>
                  <w:rFonts w:ascii="Times New Roman" w:hAnsi="Times New Roman" w:cs="Times New Roman"/>
                  <w:sz w:val="26"/>
                  <w:szCs w:val="26"/>
                </w:rPr>
                <w:t>mwarnock@bricker.com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0" w:history="1">
              <w:r w:rsidR="00011111" w:rsidRPr="005D1EE8">
                <w:rPr>
                  <w:rStyle w:val="Hyperlink"/>
                  <w:rFonts w:ascii="Times New Roman" w:hAnsi="Times New Roman" w:cs="Times New Roman"/>
                  <w:sz w:val="26"/>
                  <w:szCs w:val="26"/>
                </w:rPr>
                <w:t>gthomas@gtpowergroup.com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1" w:history="1">
              <w:r w:rsidR="00011111" w:rsidRPr="005D1EE8">
                <w:rPr>
                  <w:rStyle w:val="Hyperlink"/>
                  <w:rFonts w:ascii="Times New Roman" w:hAnsi="Times New Roman" w:cs="Times New Roman"/>
                  <w:sz w:val="26"/>
                  <w:szCs w:val="26"/>
                </w:rPr>
                <w:t>wmassey@cov.com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2" w:history="1">
              <w:r w:rsidR="00011111" w:rsidRPr="005D1EE8">
                <w:rPr>
                  <w:rStyle w:val="Hyperlink"/>
                  <w:rFonts w:ascii="Times New Roman" w:hAnsi="Times New Roman" w:cs="Times New Roman"/>
                  <w:sz w:val="26"/>
                  <w:szCs w:val="26"/>
                </w:rPr>
                <w:t>henryeckhart@aol.com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3" w:history="1">
              <w:r w:rsidR="00011111" w:rsidRPr="005D1EE8">
                <w:rPr>
                  <w:rStyle w:val="Hyperlink"/>
                  <w:rFonts w:ascii="Times New Roman" w:hAnsi="Times New Roman" w:cs="Times New Roman"/>
                  <w:sz w:val="26"/>
                  <w:szCs w:val="26"/>
                </w:rPr>
                <w:t>laurac@chappelleconsulting.net</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4" w:history="1">
              <w:r w:rsidR="00011111" w:rsidRPr="005D1EE8">
                <w:rPr>
                  <w:rStyle w:val="Hyperlink"/>
                  <w:rFonts w:ascii="Times New Roman" w:hAnsi="Times New Roman" w:cs="Times New Roman"/>
                  <w:sz w:val="26"/>
                  <w:szCs w:val="26"/>
                </w:rPr>
                <w:t>cmiller@szd.com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5" w:history="1">
              <w:r w:rsidR="00011111" w:rsidRPr="005D1EE8">
                <w:rPr>
                  <w:rStyle w:val="Hyperlink"/>
                  <w:rFonts w:ascii="Times New Roman" w:hAnsi="Times New Roman" w:cs="Times New Roman"/>
                  <w:sz w:val="26"/>
                  <w:szCs w:val="26"/>
                </w:rPr>
                <w:t>ahaque@szd.com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6" w:history="1">
              <w:r w:rsidR="00011111" w:rsidRPr="005D1EE8">
                <w:rPr>
                  <w:rStyle w:val="Hyperlink"/>
                  <w:rFonts w:ascii="Times New Roman" w:hAnsi="Times New Roman" w:cs="Times New Roman"/>
                  <w:sz w:val="26"/>
                  <w:szCs w:val="26"/>
                </w:rPr>
                <w:t>gdunn@szd.com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7" w:history="1">
              <w:r w:rsidR="00011111" w:rsidRPr="005D1EE8">
                <w:rPr>
                  <w:rStyle w:val="Hyperlink"/>
                  <w:rFonts w:ascii="Times New Roman" w:hAnsi="Times New Roman" w:cs="Times New Roman"/>
                  <w:sz w:val="26"/>
                  <w:szCs w:val="26"/>
                </w:rPr>
                <w:t>mhpetricoff@vorys.com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8" w:history="1">
              <w:r w:rsidR="00011111" w:rsidRPr="005D1EE8">
                <w:rPr>
                  <w:rStyle w:val="Hyperlink"/>
                  <w:rFonts w:ascii="Times New Roman" w:hAnsi="Times New Roman" w:cs="Times New Roman"/>
                  <w:sz w:val="26"/>
                  <w:szCs w:val="26"/>
                </w:rPr>
                <w:t>Gary.A.Jeffries@dom.com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99" w:history="1">
              <w:r w:rsidR="00011111" w:rsidRPr="005D1EE8">
                <w:rPr>
                  <w:rStyle w:val="Hyperlink"/>
                  <w:rFonts w:ascii="Times New Roman" w:hAnsi="Times New Roman" w:cs="Times New Roman"/>
                  <w:sz w:val="26"/>
                  <w:szCs w:val="26"/>
                </w:rPr>
                <w:t>Stephen.chriss@wal-mart.com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0" w:history="1">
              <w:r w:rsidR="00011111" w:rsidRPr="005D1EE8">
                <w:rPr>
                  <w:rStyle w:val="Hyperlink"/>
                  <w:rFonts w:ascii="Times New Roman" w:hAnsi="Times New Roman" w:cs="Times New Roman"/>
                  <w:sz w:val="26"/>
                  <w:szCs w:val="26"/>
                </w:rPr>
                <w:t>dmeyer@kmklaw.com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1" w:history="1">
              <w:r w:rsidR="00011111" w:rsidRPr="005D1EE8">
                <w:rPr>
                  <w:rStyle w:val="Hyperlink"/>
                  <w:rFonts w:ascii="Times New Roman" w:hAnsi="Times New Roman" w:cs="Times New Roman"/>
                  <w:sz w:val="26"/>
                  <w:szCs w:val="26"/>
                </w:rPr>
                <w:t>holly@raysmithlaw.com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2" w:history="1">
              <w:r w:rsidR="00011111" w:rsidRPr="005D1EE8">
                <w:rPr>
                  <w:rStyle w:val="Hyperlink"/>
                  <w:rFonts w:ascii="Times New Roman" w:hAnsi="Times New Roman" w:cs="Times New Roman"/>
                  <w:sz w:val="26"/>
                  <w:szCs w:val="26"/>
                </w:rPr>
                <w:t>barthroyer@aol.com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3" w:history="1">
              <w:r w:rsidR="00011111" w:rsidRPr="005D1EE8">
                <w:rPr>
                  <w:rStyle w:val="Hyperlink"/>
                  <w:rFonts w:ascii="Times New Roman" w:hAnsi="Times New Roman" w:cs="Times New Roman"/>
                  <w:sz w:val="26"/>
                  <w:szCs w:val="26"/>
                </w:rPr>
                <w:t>philip.sineneng@thompsonhine.com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4" w:history="1">
              <w:r w:rsidR="00011111" w:rsidRPr="005D1EE8">
                <w:rPr>
                  <w:rStyle w:val="Hyperlink"/>
                  <w:rFonts w:ascii="Times New Roman" w:hAnsi="Times New Roman" w:cs="Times New Roman"/>
                  <w:sz w:val="26"/>
                  <w:szCs w:val="26"/>
                </w:rPr>
                <w:t>carolyn.flahive@thompsonhine.com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5" w:history="1">
              <w:r w:rsidR="00011111" w:rsidRPr="005D1EE8">
                <w:rPr>
                  <w:rStyle w:val="Hyperlink"/>
                  <w:rFonts w:ascii="Times New Roman" w:hAnsi="Times New Roman" w:cs="Times New Roman"/>
                  <w:sz w:val="26"/>
                  <w:szCs w:val="26"/>
                </w:rPr>
                <w:t>fdarr@mwncmh.com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6" w:history="1">
              <w:r w:rsidR="00011111" w:rsidRPr="005D1EE8">
                <w:rPr>
                  <w:rStyle w:val="Hyperlink"/>
                  <w:rFonts w:ascii="Times New Roman" w:hAnsi="Times New Roman" w:cs="Times New Roman"/>
                  <w:sz w:val="26"/>
                  <w:szCs w:val="26"/>
                </w:rPr>
                <w:t>msmalz@ohiopovertylaw.org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7" w:history="1">
              <w:r w:rsidR="00011111" w:rsidRPr="005D1EE8">
                <w:rPr>
                  <w:rStyle w:val="Hyperlink"/>
                  <w:rFonts w:ascii="Times New Roman" w:hAnsi="Times New Roman" w:cs="Times New Roman"/>
                  <w:sz w:val="26"/>
                  <w:szCs w:val="26"/>
                </w:rPr>
                <w:t>jmaskovyak@ohiopovertylaw.org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8" w:history="1">
              <w:r w:rsidR="00011111" w:rsidRPr="005D1EE8">
                <w:rPr>
                  <w:rStyle w:val="Hyperlink"/>
                  <w:rFonts w:ascii="Times New Roman" w:hAnsi="Times New Roman" w:cs="Times New Roman"/>
                  <w:sz w:val="26"/>
                  <w:szCs w:val="26"/>
                </w:rPr>
                <w:t>yalami@aep.com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09" w:history="1">
              <w:r w:rsidR="00011111" w:rsidRPr="005D1EE8">
                <w:rPr>
                  <w:rStyle w:val="Hyperlink"/>
                  <w:rFonts w:ascii="Times New Roman" w:hAnsi="Times New Roman" w:cs="Times New Roman"/>
                  <w:sz w:val="26"/>
                  <w:szCs w:val="26"/>
                </w:rPr>
                <w:t>jestes@skadden.com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0" w:history="1">
              <w:r w:rsidR="00011111" w:rsidRPr="005D1EE8">
                <w:rPr>
                  <w:rStyle w:val="Hyperlink"/>
                  <w:rFonts w:ascii="Times New Roman" w:hAnsi="Times New Roman" w:cs="Times New Roman"/>
                  <w:sz w:val="26"/>
                  <w:szCs w:val="26"/>
                </w:rPr>
                <w:t>paul.wight@skadden.com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1" w:history="1">
              <w:r w:rsidR="00011111" w:rsidRPr="005D1EE8">
                <w:rPr>
                  <w:rStyle w:val="Hyperlink"/>
                  <w:rFonts w:ascii="Times New Roman" w:hAnsi="Times New Roman" w:cs="Times New Roman"/>
                  <w:sz w:val="26"/>
                  <w:szCs w:val="26"/>
                </w:rPr>
                <w:t>dstahl@eimerstahl.com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2" w:history="1">
              <w:r w:rsidR="00011111" w:rsidRPr="005D1EE8">
                <w:rPr>
                  <w:rStyle w:val="Hyperlink"/>
                  <w:rFonts w:ascii="Times New Roman" w:hAnsi="Times New Roman" w:cs="Times New Roman"/>
                  <w:sz w:val="26"/>
                  <w:szCs w:val="26"/>
                </w:rPr>
                <w:t>aaragona@eimerstahl.com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3" w:history="1">
              <w:r w:rsidR="00011111" w:rsidRPr="005D1EE8">
                <w:rPr>
                  <w:rStyle w:val="Hyperlink"/>
                  <w:rFonts w:ascii="Times New Roman" w:hAnsi="Times New Roman" w:cs="Times New Roman"/>
                  <w:sz w:val="26"/>
                  <w:szCs w:val="26"/>
                </w:rPr>
                <w:t>ssolberg@eimerstahl.com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4" w:history="1">
              <w:r w:rsidR="00011111" w:rsidRPr="005D1EE8">
                <w:rPr>
                  <w:rStyle w:val="Hyperlink"/>
                  <w:rFonts w:ascii="Times New Roman" w:hAnsi="Times New Roman" w:cs="Times New Roman"/>
                  <w:sz w:val="26"/>
                  <w:szCs w:val="26"/>
                </w:rPr>
                <w:t>tsantarelli@elpc.org</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5" w:history="1">
              <w:r w:rsidR="00011111" w:rsidRPr="005D1EE8">
                <w:rPr>
                  <w:rStyle w:val="Hyperlink"/>
                  <w:rFonts w:ascii="Times New Roman" w:hAnsi="Times New Roman" w:cs="Times New Roman"/>
                  <w:sz w:val="26"/>
                  <w:szCs w:val="26"/>
                </w:rPr>
                <w:t>callwein@wamenergylaw.com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6" w:history="1">
              <w:r w:rsidR="00011111" w:rsidRPr="005D1EE8">
                <w:rPr>
                  <w:rStyle w:val="Hyperlink"/>
                  <w:rFonts w:ascii="Times New Roman" w:hAnsi="Times New Roman" w:cs="Times New Roman"/>
                  <w:sz w:val="26"/>
                  <w:szCs w:val="26"/>
                </w:rPr>
                <w:t>malina@wexlerwalker.com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7" w:history="1">
              <w:r w:rsidR="00011111" w:rsidRPr="005D1EE8">
                <w:rPr>
                  <w:rStyle w:val="Hyperlink"/>
                  <w:rFonts w:ascii="Times New Roman" w:hAnsi="Times New Roman" w:cs="Times New Roman"/>
                  <w:sz w:val="26"/>
                  <w:szCs w:val="26"/>
                </w:rPr>
                <w:t>jkooper@hess.com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8" w:history="1">
              <w:r w:rsidR="00011111" w:rsidRPr="005D1EE8">
                <w:rPr>
                  <w:rStyle w:val="Hyperlink"/>
                  <w:rFonts w:ascii="Times New Roman" w:hAnsi="Times New Roman" w:cs="Times New Roman"/>
                  <w:sz w:val="26"/>
                  <w:szCs w:val="26"/>
                </w:rPr>
                <w:t>kguerry@hess.com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19" w:history="1">
              <w:r w:rsidR="00011111" w:rsidRPr="005D1EE8">
                <w:rPr>
                  <w:rStyle w:val="Hyperlink"/>
                  <w:rFonts w:ascii="Times New Roman" w:hAnsi="Times New Roman" w:cs="Times New Roman"/>
                  <w:sz w:val="26"/>
                  <w:szCs w:val="26"/>
                </w:rPr>
                <w:t>afreifeld@viridityenergy.com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20" w:history="1">
              <w:r w:rsidR="00011111" w:rsidRPr="005D1EE8">
                <w:rPr>
                  <w:rStyle w:val="Hyperlink"/>
                  <w:rFonts w:ascii="Times New Roman" w:hAnsi="Times New Roman" w:cs="Times New Roman"/>
                  <w:sz w:val="26"/>
                  <w:szCs w:val="26"/>
                </w:rPr>
                <w:t>swolfe@viridityenergy.com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21" w:history="1">
              <w:r w:rsidR="00011111" w:rsidRPr="005D1EE8">
                <w:rPr>
                  <w:rStyle w:val="Hyperlink"/>
                  <w:rFonts w:ascii="Times New Roman" w:hAnsi="Times New Roman" w:cs="Times New Roman"/>
                  <w:sz w:val="26"/>
                  <w:szCs w:val="26"/>
                </w:rPr>
                <w:t>korenergy@insight.rr.com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22" w:history="1">
              <w:r w:rsidR="00011111" w:rsidRPr="005D1EE8">
                <w:rPr>
                  <w:rStyle w:val="Hyperlink"/>
                  <w:rFonts w:ascii="Times New Roman" w:hAnsi="Times New Roman" w:cs="Times New Roman"/>
                  <w:sz w:val="26"/>
                  <w:szCs w:val="26"/>
                </w:rPr>
                <w:t>sasloan@aep.com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23" w:history="1">
              <w:r w:rsidR="00011111" w:rsidRPr="005D1EE8">
                <w:rPr>
                  <w:rStyle w:val="Hyperlink"/>
                  <w:rFonts w:ascii="Times New Roman" w:hAnsi="Times New Roman" w:cs="Times New Roman"/>
                  <w:sz w:val="26"/>
                  <w:szCs w:val="26"/>
                </w:rPr>
                <w:t>Dane.Stinson@baileycavalieri.com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24" w:history="1">
              <w:r w:rsidR="00011111" w:rsidRPr="005D1EE8">
                <w:rPr>
                  <w:rStyle w:val="Hyperlink"/>
                  <w:rFonts w:ascii="Times New Roman" w:hAnsi="Times New Roman" w:cs="Times New Roman"/>
                  <w:sz w:val="26"/>
                  <w:szCs w:val="26"/>
                </w:rPr>
                <w:t>Jeanne.Kingery@duke-energy.com</w:t>
              </w:r>
            </w:hyperlink>
          </w:p>
          <w:p w:rsidR="00011111" w:rsidRPr="005D1EE8" w:rsidRDefault="00A23AA3" w:rsidP="00011111">
            <w:pPr>
              <w:autoSpaceDE w:val="0"/>
              <w:autoSpaceDN w:val="0"/>
              <w:adjustRightInd w:val="0"/>
              <w:spacing w:after="0" w:line="240" w:lineRule="auto"/>
              <w:rPr>
                <w:rFonts w:ascii="Times New Roman" w:hAnsi="Times New Roman" w:cs="Times New Roman"/>
                <w:sz w:val="26"/>
                <w:szCs w:val="26"/>
              </w:rPr>
            </w:pPr>
            <w:hyperlink r:id="rId125" w:history="1">
              <w:r w:rsidR="00011111" w:rsidRPr="005D1EE8">
                <w:rPr>
                  <w:rStyle w:val="Hyperlink"/>
                  <w:rFonts w:ascii="Times New Roman" w:hAnsi="Times New Roman" w:cs="Times New Roman"/>
                  <w:sz w:val="26"/>
                  <w:szCs w:val="26"/>
                </w:rPr>
                <w:t>zkravitz@taftlaw.com</w:t>
              </w:r>
            </w:hyperlink>
          </w:p>
          <w:p w:rsidR="00011111" w:rsidRPr="005D1EE8" w:rsidRDefault="00011111" w:rsidP="00011111">
            <w:pPr>
              <w:autoSpaceDE w:val="0"/>
              <w:autoSpaceDN w:val="0"/>
              <w:adjustRightInd w:val="0"/>
              <w:spacing w:after="0" w:line="240" w:lineRule="auto"/>
              <w:rPr>
                <w:rFonts w:ascii="Times New Roman" w:hAnsi="Times New Roman" w:cs="Times New Roman"/>
                <w:sz w:val="26"/>
                <w:szCs w:val="26"/>
              </w:rPr>
            </w:pPr>
          </w:p>
          <w:p w:rsidR="00011111" w:rsidRPr="005D1EE8" w:rsidRDefault="00011111" w:rsidP="00011111">
            <w:pPr>
              <w:autoSpaceDE w:val="0"/>
              <w:autoSpaceDN w:val="0"/>
              <w:adjustRightInd w:val="0"/>
              <w:spacing w:after="0" w:line="240" w:lineRule="auto"/>
              <w:rPr>
                <w:rFonts w:ascii="Times New Roman" w:hAnsi="Times New Roman" w:cs="Times New Roman"/>
                <w:sz w:val="26"/>
                <w:szCs w:val="26"/>
              </w:rPr>
            </w:pPr>
          </w:p>
        </w:tc>
      </w:tr>
    </w:tbl>
    <w:p w:rsidR="000075D2" w:rsidRPr="005D1EE8" w:rsidRDefault="000075D2" w:rsidP="00DD212C">
      <w:pPr>
        <w:rPr>
          <w:rFonts w:ascii="Times New Roman" w:hAnsi="Times New Roman" w:cs="Times New Roman"/>
          <w:sz w:val="26"/>
          <w:szCs w:val="26"/>
        </w:rPr>
      </w:pPr>
    </w:p>
    <w:p w:rsidR="00126FCC" w:rsidRPr="005D1EE8" w:rsidRDefault="00126FCC">
      <w:pPr>
        <w:rPr>
          <w:rFonts w:ascii="Times New Roman" w:hAnsi="Times New Roman" w:cs="Times New Roman"/>
          <w:sz w:val="26"/>
          <w:szCs w:val="26"/>
        </w:rPr>
      </w:pPr>
    </w:p>
    <w:sectPr w:rsidR="00126FCC" w:rsidRPr="005D1EE8" w:rsidSect="00994718">
      <w:headerReference w:type="default" r:id="rId126"/>
      <w:footerReference w:type="default" r:id="rId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2B" w:rsidRDefault="0067532B" w:rsidP="00060403">
      <w:pPr>
        <w:spacing w:after="0" w:line="240" w:lineRule="auto"/>
      </w:pPr>
      <w:r>
        <w:separator/>
      </w:r>
    </w:p>
  </w:endnote>
  <w:endnote w:type="continuationSeparator" w:id="0">
    <w:p w:rsidR="0067532B" w:rsidRDefault="0067532B" w:rsidP="0006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2B" w:rsidRPr="004D2AC6" w:rsidRDefault="0067532B" w:rsidP="004D2AC6">
    <w:pPr>
      <w:pStyle w:val="Footer"/>
      <w:rPr>
        <w:rFonts w:ascii="Times New Roman" w:hAnsi="Times New Roman" w:cs="Times New Roman"/>
        <w:b/>
        <w:sz w:val="26"/>
        <w:szCs w:val="26"/>
      </w:rPr>
    </w:pPr>
    <w:r>
      <w:rPr>
        <w:rFonts w:ascii="Times New Roman" w:hAnsi="Times New Roman" w:cs="Times New Roman"/>
        <w:b/>
        <w:sz w:val="26"/>
        <w:szCs w:val="26"/>
      </w:rPr>
      <w:t>May 23,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69004"/>
      <w:docPartObj>
        <w:docPartGallery w:val="Page Numbers (Bottom of Page)"/>
        <w:docPartUnique/>
      </w:docPartObj>
    </w:sdtPr>
    <w:sdtEndPr>
      <w:rPr>
        <w:rFonts w:ascii="Times New Roman" w:hAnsi="Times New Roman" w:cs="Times New Roman"/>
        <w:noProof/>
      </w:rPr>
    </w:sdtEndPr>
    <w:sdtContent>
      <w:p w:rsidR="0067532B" w:rsidRPr="002B4081" w:rsidRDefault="0067532B">
        <w:pPr>
          <w:pStyle w:val="Footer"/>
          <w:jc w:val="center"/>
          <w:rPr>
            <w:rFonts w:ascii="Times New Roman" w:hAnsi="Times New Roman" w:cs="Times New Roman"/>
          </w:rPr>
        </w:pPr>
        <w:r w:rsidRPr="002B4081">
          <w:rPr>
            <w:rFonts w:ascii="Times New Roman" w:hAnsi="Times New Roman" w:cs="Times New Roman"/>
          </w:rPr>
          <w:fldChar w:fldCharType="begin"/>
        </w:r>
        <w:r w:rsidRPr="002B4081">
          <w:rPr>
            <w:rFonts w:ascii="Times New Roman" w:hAnsi="Times New Roman" w:cs="Times New Roman"/>
          </w:rPr>
          <w:instrText xml:space="preserve"> PAGE   \* MERGEFORMAT </w:instrText>
        </w:r>
        <w:r w:rsidRPr="002B4081">
          <w:rPr>
            <w:rFonts w:ascii="Times New Roman" w:hAnsi="Times New Roman" w:cs="Times New Roman"/>
          </w:rPr>
          <w:fldChar w:fldCharType="separate"/>
        </w:r>
        <w:r w:rsidR="00A23AA3">
          <w:rPr>
            <w:rFonts w:ascii="Times New Roman" w:hAnsi="Times New Roman" w:cs="Times New Roman"/>
            <w:noProof/>
          </w:rPr>
          <w:t>ii</w:t>
        </w:r>
        <w:r w:rsidRPr="002B4081">
          <w:rPr>
            <w:rFonts w:ascii="Times New Roman" w:hAnsi="Times New Roman" w:cs="Times New Roman"/>
            <w:noProof/>
          </w:rPr>
          <w:fldChar w:fldCharType="end"/>
        </w:r>
      </w:p>
    </w:sdtContent>
  </w:sdt>
  <w:p w:rsidR="0067532B" w:rsidRDefault="00675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2B" w:rsidRDefault="006753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96950"/>
      <w:docPartObj>
        <w:docPartGallery w:val="Page Numbers (Bottom of Page)"/>
        <w:docPartUnique/>
      </w:docPartObj>
    </w:sdtPr>
    <w:sdtEndPr>
      <w:rPr>
        <w:rFonts w:ascii="Times New Roman" w:hAnsi="Times New Roman" w:cs="Times New Roman"/>
        <w:noProof/>
      </w:rPr>
    </w:sdtEndPr>
    <w:sdtContent>
      <w:p w:rsidR="0067532B" w:rsidRPr="00714F09" w:rsidRDefault="0067532B" w:rsidP="00714F09">
        <w:pPr>
          <w:pStyle w:val="Footer"/>
          <w:jc w:val="center"/>
          <w:rPr>
            <w:rFonts w:ascii="Times New Roman" w:hAnsi="Times New Roman" w:cs="Times New Roman"/>
          </w:rPr>
        </w:pPr>
        <w:r w:rsidRPr="002B4081">
          <w:rPr>
            <w:rFonts w:ascii="Times New Roman" w:hAnsi="Times New Roman" w:cs="Times New Roman"/>
          </w:rPr>
          <w:fldChar w:fldCharType="begin"/>
        </w:r>
        <w:r w:rsidRPr="002B4081">
          <w:rPr>
            <w:rFonts w:ascii="Times New Roman" w:hAnsi="Times New Roman" w:cs="Times New Roman"/>
          </w:rPr>
          <w:instrText xml:space="preserve"> PAGE   \* MERGEFORMAT </w:instrText>
        </w:r>
        <w:r w:rsidRPr="002B4081">
          <w:rPr>
            <w:rFonts w:ascii="Times New Roman" w:hAnsi="Times New Roman" w:cs="Times New Roman"/>
          </w:rPr>
          <w:fldChar w:fldCharType="separate"/>
        </w:r>
        <w:r w:rsidR="00A23AA3">
          <w:rPr>
            <w:rFonts w:ascii="Times New Roman" w:hAnsi="Times New Roman" w:cs="Times New Roman"/>
            <w:noProof/>
          </w:rPr>
          <w:t>65</w:t>
        </w:r>
        <w:r w:rsidRPr="002B4081">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2B" w:rsidRDefault="006753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3969"/>
      <w:docPartObj>
        <w:docPartGallery w:val="Page Numbers (Bottom of Page)"/>
        <w:docPartUnique/>
      </w:docPartObj>
    </w:sdtPr>
    <w:sdtEndPr>
      <w:rPr>
        <w:rFonts w:ascii="Times New Roman" w:hAnsi="Times New Roman" w:cs="Times New Roman"/>
        <w:noProof/>
      </w:rPr>
    </w:sdtEndPr>
    <w:sdtContent>
      <w:p w:rsidR="0067532B" w:rsidRPr="00714F09" w:rsidRDefault="0067532B" w:rsidP="00714F09">
        <w:pPr>
          <w:pStyle w:val="Footer"/>
          <w:jc w:val="center"/>
          <w:rPr>
            <w:rFonts w:ascii="Times New Roman" w:hAnsi="Times New Roman" w:cs="Times New Roman"/>
          </w:rPr>
        </w:pPr>
        <w:r w:rsidRPr="002B4081">
          <w:rPr>
            <w:rFonts w:ascii="Times New Roman" w:hAnsi="Times New Roman" w:cs="Times New Roman"/>
          </w:rPr>
          <w:fldChar w:fldCharType="begin"/>
        </w:r>
        <w:r w:rsidRPr="002B4081">
          <w:rPr>
            <w:rFonts w:ascii="Times New Roman" w:hAnsi="Times New Roman" w:cs="Times New Roman"/>
          </w:rPr>
          <w:instrText xml:space="preserve"> PAGE   \* MERGEFORMAT </w:instrText>
        </w:r>
        <w:r w:rsidRPr="002B4081">
          <w:rPr>
            <w:rFonts w:ascii="Times New Roman" w:hAnsi="Times New Roman" w:cs="Times New Roman"/>
          </w:rPr>
          <w:fldChar w:fldCharType="separate"/>
        </w:r>
        <w:r w:rsidR="00A23AA3">
          <w:rPr>
            <w:rFonts w:ascii="Times New Roman" w:hAnsi="Times New Roman" w:cs="Times New Roman"/>
            <w:noProof/>
          </w:rPr>
          <w:t>68</w:t>
        </w:r>
        <w:r w:rsidRPr="002B408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2B" w:rsidRDefault="0067532B" w:rsidP="00060403">
      <w:pPr>
        <w:spacing w:after="0" w:line="240" w:lineRule="auto"/>
      </w:pPr>
      <w:r>
        <w:separator/>
      </w:r>
    </w:p>
  </w:footnote>
  <w:footnote w:type="continuationSeparator" w:id="0">
    <w:p w:rsidR="0067532B" w:rsidRDefault="0067532B" w:rsidP="00060403">
      <w:pPr>
        <w:spacing w:after="0" w:line="240" w:lineRule="auto"/>
      </w:pPr>
      <w:r>
        <w:continuationSeparator/>
      </w:r>
    </w:p>
  </w:footnote>
  <w:footnote w:id="1">
    <w:p w:rsidR="0067532B" w:rsidRPr="00E03510" w:rsidRDefault="0067532B" w:rsidP="00883CBB">
      <w:pPr>
        <w:pStyle w:val="FootnoteText"/>
      </w:pPr>
      <w:r w:rsidRPr="00E03510">
        <w:rPr>
          <w:rStyle w:val="FootnoteReference"/>
        </w:rPr>
        <w:footnoteRef/>
      </w:r>
      <w:r w:rsidRPr="00E03510">
        <w:t xml:space="preserve"> </w:t>
      </w:r>
      <w:r>
        <w:tab/>
      </w:r>
      <w:r>
        <w:tab/>
      </w:r>
      <w:r w:rsidRPr="00E03510">
        <w:t>Columbus Souther</w:t>
      </w:r>
      <w:r>
        <w:t>n Power Company (</w:t>
      </w:r>
      <w:r w:rsidR="00080F38">
        <w:t>“</w:t>
      </w:r>
      <w:r>
        <w:t>CSP</w:t>
      </w:r>
      <w:r w:rsidR="00080F38">
        <w:t>”</w:t>
      </w:r>
      <w:r>
        <w:t>) has been</w:t>
      </w:r>
      <w:r w:rsidRPr="00E03510">
        <w:t xml:space="preserve"> merged with </w:t>
      </w:r>
      <w:r>
        <w:t>Ohio Power (</w:t>
      </w:r>
      <w:r w:rsidR="00080F38">
        <w:t>“</w:t>
      </w:r>
      <w:r w:rsidRPr="00E03510">
        <w:t>OP</w:t>
      </w:r>
      <w:r w:rsidR="00080F38">
        <w:t>”</w:t>
      </w:r>
      <w:r>
        <w:t xml:space="preserve">).  </w:t>
      </w:r>
      <w:r w:rsidRPr="00E03510">
        <w:t xml:space="preserve">For purposes of this </w:t>
      </w:r>
      <w:r>
        <w:t xml:space="preserve">brief, </w:t>
      </w:r>
      <w:r w:rsidR="00080F38">
        <w:t>“</w:t>
      </w:r>
      <w:r>
        <w:t>AEP Ohio</w:t>
      </w:r>
      <w:r w:rsidR="00080F38">
        <w:t>”</w:t>
      </w:r>
      <w:r w:rsidRPr="00E03510">
        <w:t xml:space="preserve"> refers to the post-merger electric distribution utility (</w:t>
      </w:r>
      <w:r w:rsidR="00080F38">
        <w:t>“</w:t>
      </w:r>
      <w:r w:rsidRPr="00E03510">
        <w:t>EDU</w:t>
      </w:r>
      <w:r w:rsidR="00080F38">
        <w:t>”</w:t>
      </w:r>
      <w:r w:rsidRPr="00E03510">
        <w:t>).</w:t>
      </w:r>
    </w:p>
  </w:footnote>
  <w:footnote w:id="2">
    <w:p w:rsidR="00077735" w:rsidRDefault="00077735" w:rsidP="00077735">
      <w:pPr>
        <w:pStyle w:val="FootnoteText"/>
      </w:pPr>
      <w:r>
        <w:rPr>
          <w:rStyle w:val="FootnoteReference"/>
          <w:rFonts w:eastAsiaTheme="majorEastAsia"/>
        </w:rPr>
        <w:footnoteRef/>
      </w:r>
      <w:r>
        <w:t xml:space="preserve"> </w:t>
      </w:r>
      <w:r>
        <w:tab/>
      </w:r>
      <w:r>
        <w:tab/>
        <w:t>Tr. Vol. I at 97.</w:t>
      </w:r>
    </w:p>
  </w:footnote>
  <w:footnote w:id="3">
    <w:p w:rsidR="0067532B" w:rsidRDefault="0067532B" w:rsidP="00883CBB">
      <w:pPr>
        <w:pStyle w:val="FootnoteText"/>
      </w:pPr>
      <w:r>
        <w:rPr>
          <w:rStyle w:val="FootnoteReference"/>
        </w:rPr>
        <w:footnoteRef/>
      </w:r>
      <w:r>
        <w:t xml:space="preserve"> </w:t>
      </w:r>
      <w:r>
        <w:tab/>
      </w:r>
      <w:r>
        <w:tab/>
        <w:t>Tr. Vol. I at 82.</w:t>
      </w:r>
    </w:p>
  </w:footnote>
  <w:footnote w:id="4">
    <w:p w:rsidR="0067532B" w:rsidRDefault="0067532B" w:rsidP="00883CBB">
      <w:pPr>
        <w:pStyle w:val="FootnoteText"/>
      </w:pPr>
      <w:r>
        <w:rPr>
          <w:rStyle w:val="FootnoteReference"/>
        </w:rPr>
        <w:footnoteRef/>
      </w:r>
      <w:r>
        <w:t xml:space="preserve"> </w:t>
      </w:r>
      <w:r>
        <w:tab/>
      </w:r>
      <w:r>
        <w:tab/>
      </w:r>
      <w:r w:rsidRPr="00AA0F37">
        <w:rPr>
          <w:i/>
        </w:rPr>
        <w:t>Id</w:t>
      </w:r>
      <w:r>
        <w:t>. at 84.</w:t>
      </w:r>
    </w:p>
  </w:footnote>
  <w:footnote w:id="5">
    <w:p w:rsidR="0067532B" w:rsidRDefault="0067532B" w:rsidP="00883CBB">
      <w:pPr>
        <w:pStyle w:val="FootnoteText"/>
      </w:pPr>
      <w:r>
        <w:rPr>
          <w:rStyle w:val="FootnoteReference"/>
        </w:rPr>
        <w:footnoteRef/>
      </w:r>
      <w:r>
        <w:t xml:space="preserve"> </w:t>
      </w:r>
      <w:r>
        <w:tab/>
      </w:r>
      <w:r>
        <w:tab/>
      </w:r>
      <w:r w:rsidRPr="00AA0F37">
        <w:rPr>
          <w:i/>
        </w:rPr>
        <w:t>Id</w:t>
      </w:r>
      <w:r>
        <w:t>. at 84, 160; Tr. Vol. II at 330-331.</w:t>
      </w:r>
    </w:p>
  </w:footnote>
  <w:footnote w:id="6">
    <w:p w:rsidR="0067532B" w:rsidRDefault="0067532B" w:rsidP="00883CBB">
      <w:pPr>
        <w:pStyle w:val="FootnoteText"/>
      </w:pPr>
      <w:r>
        <w:rPr>
          <w:rStyle w:val="FootnoteReference"/>
        </w:rPr>
        <w:footnoteRef/>
      </w:r>
      <w:r>
        <w:t xml:space="preserve"> </w:t>
      </w:r>
      <w:r>
        <w:tab/>
      </w:r>
      <w:r>
        <w:tab/>
        <w:t>Tr. Vol. I at 82.</w:t>
      </w:r>
    </w:p>
  </w:footnote>
  <w:footnote w:id="7">
    <w:p w:rsidR="0067532B" w:rsidRDefault="0067532B" w:rsidP="00883CBB">
      <w:pPr>
        <w:pStyle w:val="FootnoteText"/>
      </w:pPr>
      <w:r>
        <w:rPr>
          <w:rStyle w:val="FootnoteReference"/>
        </w:rPr>
        <w:footnoteRef/>
      </w:r>
      <w:r>
        <w:t xml:space="preserve"> </w:t>
      </w:r>
      <w:r>
        <w:tab/>
      </w:r>
      <w:r>
        <w:tab/>
        <w:t>PJM RPM Prices taken from AEP Ohio Exhibit 102 (Pearce Testimony) at Exhibit KDP-7.</w:t>
      </w:r>
    </w:p>
  </w:footnote>
  <w:footnote w:id="8">
    <w:p w:rsidR="0067532B" w:rsidRDefault="0067532B" w:rsidP="00883CBB">
      <w:pPr>
        <w:pStyle w:val="FootnoteText"/>
      </w:pPr>
      <w:r>
        <w:rPr>
          <w:rStyle w:val="FootnoteReference"/>
        </w:rPr>
        <w:footnoteRef/>
      </w:r>
      <w:r>
        <w:t xml:space="preserve"> </w:t>
      </w:r>
      <w:r>
        <w:tab/>
      </w:r>
      <w:r>
        <w:tab/>
        <w:t>FES Ex.</w:t>
      </w:r>
      <w:r w:rsidR="00B52407">
        <w:t xml:space="preserve"> 101 </w:t>
      </w:r>
      <w:r>
        <w:t>(Stoddard Testimony) at 20-21.</w:t>
      </w:r>
    </w:p>
  </w:footnote>
  <w:footnote w:id="9">
    <w:p w:rsidR="0067532B" w:rsidRDefault="0067532B" w:rsidP="00883CBB">
      <w:pPr>
        <w:pStyle w:val="FootnoteText"/>
      </w:pPr>
      <w:r>
        <w:rPr>
          <w:rStyle w:val="FootnoteReference"/>
        </w:rPr>
        <w:footnoteRef/>
      </w:r>
      <w:r>
        <w:t xml:space="preserve"> </w:t>
      </w:r>
      <w:r>
        <w:tab/>
      </w:r>
      <w:r>
        <w:tab/>
        <w:t>OEG Ex. 102 (Kollen Testimony) at 22; Tr. Vol. VI at 1180.</w:t>
      </w:r>
    </w:p>
  </w:footnote>
  <w:footnote w:id="10">
    <w:p w:rsidR="0067532B" w:rsidRDefault="0067532B" w:rsidP="00883CBB">
      <w:pPr>
        <w:pStyle w:val="FootnoteText"/>
      </w:pPr>
      <w:r>
        <w:rPr>
          <w:rStyle w:val="FootnoteReference"/>
        </w:rPr>
        <w:footnoteRef/>
      </w:r>
      <w:r>
        <w:t xml:space="preserve"> </w:t>
      </w:r>
      <w:r>
        <w:tab/>
      </w:r>
      <w:r>
        <w:tab/>
        <w:t>Tr. Vol. II at 263-264.</w:t>
      </w:r>
    </w:p>
  </w:footnote>
  <w:footnote w:id="11">
    <w:p w:rsidR="0067532B" w:rsidRPr="00304100" w:rsidRDefault="0067532B" w:rsidP="00883CBB">
      <w:pPr>
        <w:pStyle w:val="FootnoteText"/>
      </w:pPr>
      <w:r w:rsidRPr="00304100">
        <w:rPr>
          <w:rStyle w:val="FootnoteReference"/>
        </w:rPr>
        <w:footnoteRef/>
      </w:r>
      <w:r w:rsidRPr="00304100">
        <w:t xml:space="preserve"> </w:t>
      </w:r>
      <w:r>
        <w:tab/>
      </w:r>
      <w:r>
        <w:tab/>
      </w:r>
      <w:r w:rsidRPr="00304100">
        <w:t>RAA, Schedule 8.1., Section D.8.</w:t>
      </w:r>
    </w:p>
  </w:footnote>
  <w:footnote w:id="12">
    <w:p w:rsidR="0067532B" w:rsidRPr="005D29FD" w:rsidRDefault="0067532B" w:rsidP="00883CBB">
      <w:pPr>
        <w:pStyle w:val="FootnoteText"/>
      </w:pPr>
      <w:r>
        <w:rPr>
          <w:rStyle w:val="FootnoteReference"/>
        </w:rPr>
        <w:footnoteRef/>
      </w:r>
      <w:r>
        <w:t xml:space="preserve"> </w:t>
      </w:r>
      <w:r>
        <w:tab/>
      </w:r>
      <w:r>
        <w:tab/>
      </w:r>
      <w:r w:rsidRPr="005D29FD">
        <w:t>Direct Testimony of Richard Munczinski at 5.</w:t>
      </w:r>
    </w:p>
  </w:footnote>
  <w:footnote w:id="13">
    <w:p w:rsidR="0067532B" w:rsidRPr="005D29FD" w:rsidRDefault="0067532B" w:rsidP="00883CBB">
      <w:pPr>
        <w:pStyle w:val="FootnoteText"/>
      </w:pPr>
      <w:r w:rsidRPr="005D29FD">
        <w:rPr>
          <w:rStyle w:val="FootnoteReference"/>
        </w:rPr>
        <w:footnoteRef/>
      </w:r>
      <w:r w:rsidRPr="005D29FD">
        <w:t xml:space="preserve"> </w:t>
      </w:r>
      <w:r>
        <w:tab/>
      </w:r>
      <w:r>
        <w:tab/>
      </w:r>
      <w:r>
        <w:rPr>
          <w:i/>
        </w:rPr>
        <w:t>Id</w:t>
      </w:r>
      <w:r w:rsidRPr="005D29FD">
        <w:t>.</w:t>
      </w:r>
    </w:p>
  </w:footnote>
  <w:footnote w:id="14">
    <w:p w:rsidR="0067532B" w:rsidRPr="00A06FC3" w:rsidRDefault="0067532B" w:rsidP="00883CBB">
      <w:pPr>
        <w:pStyle w:val="FootnoteText"/>
      </w:pPr>
      <w:r w:rsidRPr="00A06FC3">
        <w:rPr>
          <w:rStyle w:val="FootnoteReference"/>
        </w:rPr>
        <w:footnoteRef/>
      </w:r>
      <w:r w:rsidRPr="00A06FC3">
        <w:t xml:space="preserve"> </w:t>
      </w:r>
      <w:r>
        <w:tab/>
      </w:r>
      <w:r>
        <w:tab/>
      </w:r>
      <w:r w:rsidRPr="00883CBB">
        <w:rPr>
          <w:i/>
        </w:rPr>
        <w:t>In the Matter of the Commission Review of the Capacity Charges of Ohio Power Company and Columbus Southern Power Company</w:t>
      </w:r>
      <w:r>
        <w:t>, Case No. 10-2929-EL-UNC (</w:t>
      </w:r>
      <w:r w:rsidRPr="00883CBB">
        <w:rPr>
          <w:i/>
        </w:rPr>
        <w:t xml:space="preserve">In re </w:t>
      </w:r>
      <w:r w:rsidR="00B478F3">
        <w:rPr>
          <w:i/>
        </w:rPr>
        <w:t>AEP Capacity Charges</w:t>
      </w:r>
      <w:r>
        <w:t>) (</w:t>
      </w:r>
      <w:r w:rsidRPr="00A06FC3">
        <w:t>Entry at 1</w:t>
      </w:r>
      <w:r>
        <w:t>)</w:t>
      </w:r>
      <w:r w:rsidRPr="00A06FC3">
        <w:t xml:space="preserve"> (Dec</w:t>
      </w:r>
      <w:r>
        <w:t>ember</w:t>
      </w:r>
      <w:r w:rsidRPr="00A06FC3">
        <w:t xml:space="preserve"> 8, 2010).</w:t>
      </w:r>
    </w:p>
  </w:footnote>
  <w:footnote w:id="15">
    <w:p w:rsidR="0067532B" w:rsidRPr="00A06FC3" w:rsidRDefault="0067532B" w:rsidP="00883CBB">
      <w:pPr>
        <w:pStyle w:val="FootnoteText"/>
      </w:pPr>
      <w:r w:rsidRPr="00A06FC3">
        <w:rPr>
          <w:rStyle w:val="FootnoteReference"/>
        </w:rPr>
        <w:footnoteRef/>
      </w:r>
      <w:r w:rsidRPr="00A06FC3">
        <w:t xml:space="preserve"> </w:t>
      </w:r>
      <w:r>
        <w:tab/>
      </w:r>
      <w:r>
        <w:tab/>
      </w:r>
      <w:r w:rsidRPr="00A06FC3">
        <w:rPr>
          <w:i/>
        </w:rPr>
        <w:t xml:space="preserve">Id. </w:t>
      </w:r>
      <w:r w:rsidRPr="00A06FC3">
        <w:t>at 1-2.</w:t>
      </w:r>
    </w:p>
  </w:footnote>
  <w:footnote w:id="16">
    <w:p w:rsidR="0067532B" w:rsidRPr="00A06FC3" w:rsidRDefault="0067532B" w:rsidP="00883CBB">
      <w:pPr>
        <w:pStyle w:val="FootnoteText"/>
      </w:pPr>
      <w:r w:rsidRPr="00A06FC3">
        <w:rPr>
          <w:rStyle w:val="FootnoteReference"/>
        </w:rPr>
        <w:footnoteRef/>
      </w:r>
      <w:r w:rsidRPr="00A06FC3">
        <w:t xml:space="preserve"> </w:t>
      </w:r>
      <w:r>
        <w:tab/>
      </w:r>
      <w:r>
        <w:tab/>
      </w:r>
      <w:r>
        <w:rPr>
          <w:i/>
        </w:rPr>
        <w:t xml:space="preserve">In re </w:t>
      </w:r>
      <w:r w:rsidR="00B478F3">
        <w:rPr>
          <w:i/>
        </w:rPr>
        <w:t>AEP Capacity Charges</w:t>
      </w:r>
      <w:r>
        <w:t xml:space="preserve"> (</w:t>
      </w:r>
      <w:r w:rsidRPr="00A06FC3">
        <w:t>Entry at 2</w:t>
      </w:r>
      <w:r>
        <w:t>)</w:t>
      </w:r>
      <w:r w:rsidRPr="00A06FC3">
        <w:t xml:space="preserve"> (Aug</w:t>
      </w:r>
      <w:r>
        <w:t>ust</w:t>
      </w:r>
      <w:r w:rsidRPr="00A06FC3">
        <w:t xml:space="preserve"> 11, 2011).</w:t>
      </w:r>
    </w:p>
  </w:footnote>
  <w:footnote w:id="17">
    <w:p w:rsidR="0067532B" w:rsidRPr="00A06FC3" w:rsidRDefault="0067532B" w:rsidP="00883CBB">
      <w:pPr>
        <w:pStyle w:val="FootnoteText"/>
      </w:pPr>
      <w:r w:rsidRPr="00A06FC3">
        <w:rPr>
          <w:rStyle w:val="FootnoteReference"/>
        </w:rPr>
        <w:footnoteRef/>
      </w:r>
      <w:r w:rsidRPr="00A06FC3">
        <w:t xml:space="preserve"> </w:t>
      </w:r>
      <w:r>
        <w:tab/>
      </w:r>
      <w:r>
        <w:tab/>
      </w:r>
      <w:r>
        <w:rPr>
          <w:i/>
        </w:rPr>
        <w:t xml:space="preserve">In re </w:t>
      </w:r>
      <w:r w:rsidR="00B478F3">
        <w:rPr>
          <w:i/>
        </w:rPr>
        <w:t>AEP Capacity Charges</w:t>
      </w:r>
      <w:r>
        <w:t xml:space="preserve"> (</w:t>
      </w:r>
      <w:r w:rsidRPr="00A06FC3">
        <w:t>Opinion and Order at 54-55</w:t>
      </w:r>
      <w:r>
        <w:t>)</w:t>
      </w:r>
      <w:r w:rsidRPr="00A06FC3">
        <w:t xml:space="preserve"> (De</w:t>
      </w:r>
      <w:r>
        <w:t xml:space="preserve">cember </w:t>
      </w:r>
      <w:r w:rsidRPr="00A06FC3">
        <w:t>14, 2011).</w:t>
      </w:r>
    </w:p>
  </w:footnote>
  <w:footnote w:id="18">
    <w:p w:rsidR="0067532B" w:rsidRPr="00304100" w:rsidRDefault="0067532B" w:rsidP="00883CBB">
      <w:pPr>
        <w:pStyle w:val="FootnoteText"/>
      </w:pPr>
      <w:r>
        <w:rPr>
          <w:rStyle w:val="FootnoteReference"/>
        </w:rPr>
        <w:footnoteRef/>
      </w:r>
      <w:r>
        <w:t xml:space="preserve"> </w:t>
      </w:r>
      <w:r>
        <w:tab/>
      </w:r>
      <w:r>
        <w:tab/>
      </w:r>
      <w:r w:rsidRPr="00572502">
        <w:rPr>
          <w:i/>
        </w:rPr>
        <w:t>Id.</w:t>
      </w:r>
    </w:p>
  </w:footnote>
  <w:footnote w:id="19">
    <w:p w:rsidR="0067532B" w:rsidRDefault="0067532B" w:rsidP="00883CBB">
      <w:pPr>
        <w:pStyle w:val="FootnoteText"/>
      </w:pPr>
      <w:r w:rsidRPr="00A06FC3">
        <w:rPr>
          <w:rStyle w:val="FootnoteReference"/>
        </w:rPr>
        <w:footnoteRef/>
      </w:r>
      <w:r w:rsidRPr="00A06FC3">
        <w:t xml:space="preserve"> </w:t>
      </w:r>
      <w:r>
        <w:tab/>
      </w:r>
      <w:r>
        <w:tab/>
      </w:r>
      <w:r>
        <w:rPr>
          <w:i/>
        </w:rPr>
        <w:t xml:space="preserve">In re </w:t>
      </w:r>
      <w:r w:rsidR="00B478F3">
        <w:rPr>
          <w:i/>
        </w:rPr>
        <w:t>AEP Capacity Charges</w:t>
      </w:r>
      <w:r>
        <w:t xml:space="preserve"> (</w:t>
      </w:r>
      <w:r w:rsidRPr="00A06FC3">
        <w:t>Entry on Rehearing</w:t>
      </w:r>
      <w:r>
        <w:t>)</w:t>
      </w:r>
      <w:r w:rsidRPr="00A06FC3">
        <w:t xml:space="preserve"> (Feb</w:t>
      </w:r>
      <w:r>
        <w:t xml:space="preserve">ruary </w:t>
      </w:r>
      <w:r w:rsidRPr="00A06FC3">
        <w:t>23, 2012).</w:t>
      </w:r>
    </w:p>
  </w:footnote>
  <w:footnote w:id="20">
    <w:p w:rsidR="0067532B" w:rsidRPr="00A06FC3" w:rsidRDefault="0067532B" w:rsidP="00883CBB">
      <w:pPr>
        <w:pStyle w:val="FootnoteText"/>
      </w:pPr>
      <w:r w:rsidRPr="00A06FC3">
        <w:rPr>
          <w:rStyle w:val="FootnoteReference"/>
        </w:rPr>
        <w:footnoteRef/>
      </w:r>
      <w:r w:rsidRPr="00A06FC3">
        <w:t xml:space="preserve"> </w:t>
      </w:r>
      <w:r>
        <w:tab/>
      </w:r>
      <w:r>
        <w:tab/>
      </w:r>
      <w:r w:rsidRPr="00A06FC3">
        <w:rPr>
          <w:i/>
        </w:rPr>
        <w:t>Id.</w:t>
      </w:r>
      <w:r w:rsidRPr="00A06FC3">
        <w:t xml:space="preserve"> at 12</w:t>
      </w:r>
    </w:p>
  </w:footnote>
  <w:footnote w:id="21">
    <w:p w:rsidR="0067532B" w:rsidRDefault="0067532B" w:rsidP="00883CBB">
      <w:pPr>
        <w:pStyle w:val="FootnoteText"/>
      </w:pPr>
      <w:r w:rsidRPr="00A06FC3">
        <w:rPr>
          <w:rStyle w:val="FootnoteReference"/>
        </w:rPr>
        <w:footnoteRef/>
      </w:r>
      <w:r w:rsidRPr="00A06FC3">
        <w:t xml:space="preserve"> </w:t>
      </w:r>
      <w:r>
        <w:tab/>
      </w:r>
      <w:r>
        <w:tab/>
      </w:r>
      <w:r>
        <w:rPr>
          <w:i/>
        </w:rPr>
        <w:t xml:space="preserve">In re </w:t>
      </w:r>
      <w:r w:rsidR="00B478F3">
        <w:rPr>
          <w:i/>
        </w:rPr>
        <w:t>AEP Capacity Charges</w:t>
      </w:r>
      <w:r>
        <w:t xml:space="preserve"> (</w:t>
      </w:r>
      <w:r w:rsidRPr="00A06FC3">
        <w:t>Entry</w:t>
      </w:r>
      <w:r>
        <w:t>)</w:t>
      </w:r>
      <w:r w:rsidRPr="00A06FC3">
        <w:t xml:space="preserve"> (Mar</w:t>
      </w:r>
      <w:r>
        <w:t>ch</w:t>
      </w:r>
      <w:r w:rsidRPr="00A06FC3">
        <w:t xml:space="preserve"> 7, 2012).</w:t>
      </w:r>
    </w:p>
  </w:footnote>
  <w:footnote w:id="22">
    <w:p w:rsidR="0067532B" w:rsidRDefault="0067532B" w:rsidP="00883CBB">
      <w:pPr>
        <w:pStyle w:val="FootnoteText"/>
      </w:pPr>
      <w:r>
        <w:rPr>
          <w:rStyle w:val="FootnoteReference"/>
        </w:rPr>
        <w:footnoteRef/>
      </w:r>
      <w:r>
        <w:t xml:space="preserve"> </w:t>
      </w:r>
      <w:r>
        <w:tab/>
      </w:r>
      <w:r>
        <w:tab/>
        <w:t>Staff Ex. 103 (</w:t>
      </w:r>
      <w:r w:rsidR="00080F38">
        <w:t>Smith Testimony</w:t>
      </w:r>
      <w:r>
        <w:t>) at 12</w:t>
      </w:r>
      <w:r w:rsidRPr="005D29FD">
        <w:t>.</w:t>
      </w:r>
    </w:p>
  </w:footnote>
  <w:footnote w:id="23">
    <w:p w:rsidR="0067532B" w:rsidRDefault="0067532B" w:rsidP="00883CBB">
      <w:pPr>
        <w:pStyle w:val="FootnoteText"/>
      </w:pPr>
      <w:r>
        <w:rPr>
          <w:rStyle w:val="FootnoteReference"/>
        </w:rPr>
        <w:footnoteRef/>
      </w:r>
      <w:r>
        <w:t xml:space="preserve"> </w:t>
      </w:r>
      <w:r>
        <w:tab/>
      </w:r>
      <w:r>
        <w:tab/>
      </w:r>
      <w:r>
        <w:rPr>
          <w:i/>
        </w:rPr>
        <w:t>Id</w:t>
      </w:r>
      <w:r>
        <w:t>. at 12-13.</w:t>
      </w:r>
    </w:p>
  </w:footnote>
  <w:footnote w:id="24">
    <w:p w:rsidR="0067532B" w:rsidRPr="00AF448E" w:rsidRDefault="0067532B" w:rsidP="00883CBB">
      <w:pPr>
        <w:pStyle w:val="FootnoteText"/>
      </w:pPr>
      <w:r>
        <w:rPr>
          <w:rStyle w:val="FootnoteReference"/>
        </w:rPr>
        <w:footnoteRef/>
      </w:r>
      <w:r>
        <w:t xml:space="preserve"> </w:t>
      </w:r>
      <w:r>
        <w:tab/>
      </w:r>
      <w:r>
        <w:tab/>
        <w:t>Staff Ex. 103 (</w:t>
      </w:r>
      <w:r w:rsidR="00080F38">
        <w:t>Smith Testimony) at</w:t>
      </w:r>
      <w:r>
        <w:t xml:space="preserve"> 13.</w:t>
      </w:r>
    </w:p>
  </w:footnote>
  <w:footnote w:id="25">
    <w:p w:rsidR="0067532B" w:rsidRDefault="0067532B" w:rsidP="00883CBB">
      <w:pPr>
        <w:pStyle w:val="FootnoteText"/>
      </w:pPr>
      <w:r>
        <w:rPr>
          <w:rStyle w:val="FootnoteReference"/>
        </w:rPr>
        <w:footnoteRef/>
      </w:r>
      <w:r>
        <w:t xml:space="preserve"> </w:t>
      </w:r>
      <w:r>
        <w:tab/>
      </w:r>
      <w:r>
        <w:tab/>
        <w:t>Ohio Rev. Code Ann. § 4909.15 (West 2012).</w:t>
      </w:r>
    </w:p>
  </w:footnote>
  <w:footnote w:id="26">
    <w:p w:rsidR="0067532B" w:rsidRPr="000D4750" w:rsidRDefault="0067532B" w:rsidP="00883CBB">
      <w:pPr>
        <w:pStyle w:val="FootnoteText"/>
      </w:pPr>
      <w:r w:rsidRPr="000D4750">
        <w:rPr>
          <w:rStyle w:val="FootnoteReference"/>
        </w:rPr>
        <w:footnoteRef/>
      </w:r>
      <w:r w:rsidRPr="000D4750">
        <w:t xml:space="preserve"> </w:t>
      </w:r>
      <w:r>
        <w:tab/>
      </w:r>
      <w:r>
        <w:tab/>
      </w:r>
      <w:r>
        <w:rPr>
          <w:i/>
        </w:rPr>
        <w:t xml:space="preserve">Id.  </w:t>
      </w:r>
      <w:r w:rsidRPr="000D4750">
        <w:t xml:space="preserve">This concept of returning any sums of </w:t>
      </w:r>
      <w:r>
        <w:t xml:space="preserve">money that the Company may have </w:t>
      </w:r>
      <w:r w:rsidRPr="000D4750">
        <w:t xml:space="preserve">received during the construction period to the customers once the property has been placed into service is sometimes referred to as </w:t>
      </w:r>
      <w:r w:rsidR="00080F38">
        <w:t>“</w:t>
      </w:r>
      <w:r w:rsidRPr="000D4750">
        <w:t>mirror CWIP.</w:t>
      </w:r>
      <w:r w:rsidR="00080F38">
        <w:t>”</w:t>
      </w:r>
    </w:p>
  </w:footnote>
  <w:footnote w:id="27">
    <w:p w:rsidR="0067532B" w:rsidRDefault="0067532B" w:rsidP="00883CBB">
      <w:pPr>
        <w:pStyle w:val="FootnoteText"/>
      </w:pPr>
      <w:r>
        <w:rPr>
          <w:rStyle w:val="FootnoteReference"/>
        </w:rPr>
        <w:footnoteRef/>
      </w:r>
      <w:r>
        <w:t xml:space="preserve"> </w:t>
      </w:r>
      <w:r>
        <w:tab/>
      </w:r>
      <w:r>
        <w:tab/>
        <w:t>Staff Ex. 103 (Smith Testimony) at 14-15.</w:t>
      </w:r>
    </w:p>
  </w:footnote>
  <w:footnote w:id="28">
    <w:p w:rsidR="0067532B" w:rsidRPr="00BD2990" w:rsidRDefault="0067532B" w:rsidP="00883CBB">
      <w:pPr>
        <w:pStyle w:val="FootnoteText"/>
      </w:pPr>
      <w:r>
        <w:rPr>
          <w:rStyle w:val="FootnoteReference"/>
        </w:rPr>
        <w:footnoteRef/>
      </w:r>
      <w:r>
        <w:t xml:space="preserve"> </w:t>
      </w:r>
      <w:r>
        <w:tab/>
      </w:r>
      <w:r>
        <w:tab/>
      </w:r>
      <w:r>
        <w:rPr>
          <w:i/>
        </w:rPr>
        <w:t xml:space="preserve">Id. </w:t>
      </w:r>
      <w:r>
        <w:t>at 15.</w:t>
      </w:r>
    </w:p>
  </w:footnote>
  <w:footnote w:id="29">
    <w:p w:rsidR="0067532B" w:rsidRPr="00BD2990" w:rsidRDefault="0067532B" w:rsidP="00883CBB">
      <w:pPr>
        <w:pStyle w:val="FootnoteText"/>
      </w:pPr>
      <w:r>
        <w:rPr>
          <w:rStyle w:val="FootnoteReference"/>
        </w:rPr>
        <w:footnoteRef/>
      </w:r>
      <w:r>
        <w:t xml:space="preserve"> </w:t>
      </w:r>
      <w:r>
        <w:tab/>
      </w:r>
      <w:r>
        <w:tab/>
      </w:r>
      <w:r>
        <w:rPr>
          <w:i/>
        </w:rPr>
        <w:t>Id</w:t>
      </w:r>
      <w:r w:rsidRPr="00FD1107">
        <w:rPr>
          <w:i/>
        </w:rPr>
        <w:t>.</w:t>
      </w:r>
    </w:p>
  </w:footnote>
  <w:footnote w:id="30">
    <w:p w:rsidR="0067532B" w:rsidRPr="00BD2990" w:rsidRDefault="0067532B" w:rsidP="00883CBB">
      <w:pPr>
        <w:pStyle w:val="FootnoteText"/>
      </w:pPr>
      <w:r>
        <w:rPr>
          <w:rStyle w:val="FootnoteReference"/>
        </w:rPr>
        <w:footnoteRef/>
      </w:r>
      <w:r>
        <w:t xml:space="preserve"> </w:t>
      </w:r>
      <w:r>
        <w:tab/>
      </w:r>
      <w:r>
        <w:tab/>
      </w:r>
      <w:r w:rsidRPr="00FD1107">
        <w:rPr>
          <w:i/>
        </w:rPr>
        <w:t>Id.</w:t>
      </w:r>
    </w:p>
  </w:footnote>
  <w:footnote w:id="31">
    <w:p w:rsidR="0067532B" w:rsidRPr="0048669F" w:rsidRDefault="0067532B" w:rsidP="00883CBB">
      <w:pPr>
        <w:pStyle w:val="FootnoteText"/>
      </w:pPr>
      <w:r w:rsidRPr="0048669F">
        <w:rPr>
          <w:rStyle w:val="FootnoteReference"/>
        </w:rPr>
        <w:footnoteRef/>
      </w:r>
      <w:r w:rsidRPr="0048669F">
        <w:t xml:space="preserve"> </w:t>
      </w:r>
      <w:r>
        <w:tab/>
      </w:r>
      <w:r>
        <w:tab/>
      </w:r>
      <w:r w:rsidRPr="006C22E2">
        <w:rPr>
          <w:i/>
        </w:rPr>
        <w:t>Id.</w:t>
      </w:r>
    </w:p>
  </w:footnote>
  <w:footnote w:id="32">
    <w:p w:rsidR="0067532B" w:rsidRDefault="0067532B" w:rsidP="00883CBB">
      <w:pPr>
        <w:pStyle w:val="FootnoteText"/>
      </w:pPr>
      <w:r w:rsidRPr="0048669F">
        <w:rPr>
          <w:rStyle w:val="FootnoteReference"/>
        </w:rPr>
        <w:footnoteRef/>
      </w:r>
      <w:r w:rsidRPr="0048669F">
        <w:t xml:space="preserve"> </w:t>
      </w:r>
      <w:r>
        <w:tab/>
      </w:r>
      <w:r>
        <w:tab/>
      </w:r>
      <w:r w:rsidRPr="0048669F">
        <w:t xml:space="preserve">CSP's 2010 FERC Form 1, at page 214, lists as being originally included in account 105, Plant Held for Future Use, on 12/80 and 12/87 with balances of $4,991,594 and $61,220.  Nothing is listed in CSP's 2010 FERC Form 1 for a </w:t>
      </w:r>
      <w:r w:rsidR="00080F38">
        <w:t>“</w:t>
      </w:r>
      <w:r w:rsidRPr="0048669F">
        <w:t>date expected to be used in utility service</w:t>
      </w:r>
      <w:r w:rsidR="00080F38">
        <w:t>”</w:t>
      </w:r>
      <w:r w:rsidRPr="0048669F">
        <w:t xml:space="preserve"> for those items.</w:t>
      </w:r>
    </w:p>
  </w:footnote>
  <w:footnote w:id="33">
    <w:p w:rsidR="0067532B" w:rsidRDefault="0067532B" w:rsidP="00883CBB">
      <w:pPr>
        <w:pStyle w:val="FootnoteText"/>
      </w:pPr>
      <w:r>
        <w:rPr>
          <w:rStyle w:val="FootnoteReference"/>
        </w:rPr>
        <w:footnoteRef/>
      </w:r>
      <w:r>
        <w:t xml:space="preserve"> </w:t>
      </w:r>
      <w:r>
        <w:tab/>
      </w:r>
      <w:r>
        <w:tab/>
        <w:t>Staff Ex. 103 (Smith Testimony) at 16.</w:t>
      </w:r>
    </w:p>
  </w:footnote>
  <w:footnote w:id="34">
    <w:p w:rsidR="0067532B" w:rsidRDefault="0067532B" w:rsidP="00883CBB">
      <w:pPr>
        <w:pStyle w:val="FootnoteText"/>
      </w:pPr>
      <w:r>
        <w:rPr>
          <w:rStyle w:val="FootnoteReference"/>
        </w:rPr>
        <w:footnoteRef/>
      </w:r>
      <w:r>
        <w:t xml:space="preserve"> </w:t>
      </w:r>
      <w:r>
        <w:tab/>
      </w:r>
      <w:r>
        <w:tab/>
        <w:t>Staff Ex. 103 (Smith Testimony) at 17.</w:t>
      </w:r>
    </w:p>
  </w:footnote>
  <w:footnote w:id="35">
    <w:p w:rsidR="0067532B" w:rsidRPr="0048669F" w:rsidRDefault="0067532B" w:rsidP="00883CBB">
      <w:pPr>
        <w:pStyle w:val="FootnoteText"/>
      </w:pPr>
      <w:r w:rsidRPr="0048669F">
        <w:rPr>
          <w:rStyle w:val="FootnoteReference"/>
        </w:rPr>
        <w:footnoteRef/>
      </w:r>
      <w:r w:rsidRPr="0048669F">
        <w:t xml:space="preserve"> </w:t>
      </w:r>
      <w:r>
        <w:tab/>
      </w:r>
      <w:r>
        <w:tab/>
      </w:r>
      <w:r w:rsidRPr="009E5D8E">
        <w:rPr>
          <w:i/>
        </w:rPr>
        <w:t>In the Matter of the Pre-Notification of the Application of Columbus Southern Power Company and Ohio Power Company, Individually and, if Their Proposed Merger is Approved, as a Merged Company (Collectively AEP Oh</w:t>
      </w:r>
      <w:r>
        <w:rPr>
          <w:i/>
        </w:rPr>
        <w:t>io) for an Increase in Electric</w:t>
      </w:r>
      <w:r w:rsidRPr="009E5D8E">
        <w:rPr>
          <w:i/>
        </w:rPr>
        <w:t xml:space="preserve"> Distribution Rates</w:t>
      </w:r>
      <w:r>
        <w:t>, Case Nos. 11-351</w:t>
      </w:r>
      <w:r w:rsidRPr="0048669F">
        <w:t>-EL-AIR</w:t>
      </w:r>
      <w:r>
        <w:t xml:space="preserve">, </w:t>
      </w:r>
      <w:r>
        <w:rPr>
          <w:i/>
        </w:rPr>
        <w:t>et al</w:t>
      </w:r>
      <w:r w:rsidRPr="0048669F">
        <w:t>.</w:t>
      </w:r>
    </w:p>
  </w:footnote>
  <w:footnote w:id="36">
    <w:p w:rsidR="0067532B" w:rsidRDefault="0067532B" w:rsidP="00883CBB">
      <w:pPr>
        <w:pStyle w:val="FootnoteText"/>
      </w:pPr>
      <w:r>
        <w:rPr>
          <w:rStyle w:val="FootnoteReference"/>
        </w:rPr>
        <w:footnoteRef/>
      </w:r>
      <w:r>
        <w:t xml:space="preserve"> </w:t>
      </w:r>
      <w:r>
        <w:tab/>
      </w:r>
      <w:r>
        <w:tab/>
        <w:t>Staff Ex. 103 (Smith Testimony) at 17.</w:t>
      </w:r>
    </w:p>
  </w:footnote>
  <w:footnote w:id="37">
    <w:p w:rsidR="0067532B" w:rsidRPr="00F1097F" w:rsidRDefault="0067532B" w:rsidP="00883CBB">
      <w:pPr>
        <w:pStyle w:val="FootnoteText"/>
      </w:pPr>
      <w:r>
        <w:rPr>
          <w:rStyle w:val="FootnoteReference"/>
        </w:rPr>
        <w:footnoteRef/>
      </w:r>
      <w:r>
        <w:t xml:space="preserve"> </w:t>
      </w:r>
      <w:r>
        <w:tab/>
      </w:r>
      <w:r>
        <w:tab/>
      </w:r>
      <w:r>
        <w:rPr>
          <w:i/>
        </w:rPr>
        <w:t>Id</w:t>
      </w:r>
      <w:r>
        <w:t>.</w:t>
      </w:r>
      <w:r>
        <w:rPr>
          <w:i/>
        </w:rPr>
        <w:t xml:space="preserve"> </w:t>
      </w:r>
      <w:r>
        <w:t>at 18.</w:t>
      </w:r>
    </w:p>
  </w:footnote>
  <w:footnote w:id="38">
    <w:p w:rsidR="0067532B" w:rsidRPr="001229BE" w:rsidRDefault="0067532B" w:rsidP="00883CBB">
      <w:pPr>
        <w:pStyle w:val="FootnoteText"/>
      </w:pPr>
      <w:r>
        <w:rPr>
          <w:rStyle w:val="FootnoteReference"/>
        </w:rPr>
        <w:footnoteRef/>
      </w:r>
      <w:r>
        <w:t xml:space="preserve"> </w:t>
      </w:r>
      <w:r>
        <w:tab/>
      </w:r>
      <w:r>
        <w:tab/>
        <w:t>Staff Ex. 103 (Smith Testimony) at 18-19.</w:t>
      </w:r>
    </w:p>
  </w:footnote>
  <w:footnote w:id="39">
    <w:p w:rsidR="0067532B" w:rsidRPr="00F07730" w:rsidRDefault="0067532B" w:rsidP="00883CBB">
      <w:pPr>
        <w:pStyle w:val="FootnoteText"/>
      </w:pPr>
      <w:r>
        <w:rPr>
          <w:rStyle w:val="FootnoteReference"/>
        </w:rPr>
        <w:footnoteRef/>
      </w:r>
      <w:r>
        <w:t xml:space="preserve"> </w:t>
      </w:r>
      <w:r>
        <w:tab/>
      </w:r>
      <w:r>
        <w:tab/>
        <w:t>Staff Ex. 103 (Smith Testimony)</w:t>
      </w:r>
      <w:r>
        <w:rPr>
          <w:i/>
        </w:rPr>
        <w:t xml:space="preserve"> </w:t>
      </w:r>
      <w:r>
        <w:t>at 19-21.</w:t>
      </w:r>
    </w:p>
  </w:footnote>
  <w:footnote w:id="40">
    <w:p w:rsidR="0067532B" w:rsidRPr="00A264C3" w:rsidRDefault="0067532B" w:rsidP="00883CBB">
      <w:pPr>
        <w:pStyle w:val="FootnoteText"/>
      </w:pPr>
      <w:r w:rsidRPr="00A264C3">
        <w:rPr>
          <w:rStyle w:val="FootnoteReference"/>
        </w:rPr>
        <w:footnoteRef/>
      </w:r>
      <w:r w:rsidRPr="00A264C3">
        <w:t xml:space="preserve"> </w:t>
      </w:r>
      <w:r>
        <w:tab/>
      </w:r>
      <w:r>
        <w:tab/>
      </w:r>
      <w:r>
        <w:rPr>
          <w:i/>
        </w:rPr>
        <w:t>Id</w:t>
      </w:r>
      <w:r>
        <w:t>.</w:t>
      </w:r>
      <w:r w:rsidRPr="00A264C3">
        <w:rPr>
          <w:i/>
        </w:rPr>
        <w:t xml:space="preserve"> </w:t>
      </w:r>
      <w:r w:rsidRPr="00A264C3">
        <w:t>at 21-22.</w:t>
      </w:r>
    </w:p>
  </w:footnote>
  <w:footnote w:id="41">
    <w:p w:rsidR="0067532B" w:rsidRPr="009E5D8E" w:rsidRDefault="0067532B" w:rsidP="00883CBB">
      <w:pPr>
        <w:pStyle w:val="FootnoteText"/>
      </w:pPr>
      <w:r>
        <w:rPr>
          <w:rStyle w:val="FootnoteReference"/>
        </w:rPr>
        <w:footnoteRef/>
      </w:r>
      <w:r>
        <w:t xml:space="preserve"> </w:t>
      </w:r>
      <w:r>
        <w:tab/>
      </w:r>
      <w:r w:rsidRPr="009E5D8E">
        <w:tab/>
      </w:r>
      <w:r w:rsidRPr="009E5D8E">
        <w:rPr>
          <w:i/>
        </w:rPr>
        <w:t>In the Matter of the Pre-Notification of the Application of Columbus Southern Power Company and Ohio Power Company, Individually and, if Their Proposed Merger is Approved, as a Merged Company (Collectively AEP Oh</w:t>
      </w:r>
      <w:r>
        <w:rPr>
          <w:i/>
        </w:rPr>
        <w:t>io) for an Increase in Electric</w:t>
      </w:r>
      <w:r w:rsidRPr="009E5D8E">
        <w:rPr>
          <w:i/>
        </w:rPr>
        <w:t xml:space="preserve"> Distribution Rates</w:t>
      </w:r>
      <w:r>
        <w:t>, C</w:t>
      </w:r>
      <w:r w:rsidRPr="009E5D8E">
        <w:t xml:space="preserve">ase Nos. 11-351-EL-AIR, </w:t>
      </w:r>
      <w:r>
        <w:rPr>
          <w:i/>
        </w:rPr>
        <w:t>et</w:t>
      </w:r>
      <w:r w:rsidRPr="009E5D8E">
        <w:rPr>
          <w:i/>
        </w:rPr>
        <w:t xml:space="preserve"> al</w:t>
      </w:r>
      <w:r w:rsidRPr="009E5D8E">
        <w:t>.</w:t>
      </w:r>
    </w:p>
  </w:footnote>
  <w:footnote w:id="42">
    <w:p w:rsidR="0067532B" w:rsidRDefault="0067532B" w:rsidP="00883CBB">
      <w:pPr>
        <w:pStyle w:val="FootnoteText"/>
      </w:pPr>
      <w:r>
        <w:rPr>
          <w:rStyle w:val="FootnoteReference"/>
        </w:rPr>
        <w:footnoteRef/>
      </w:r>
      <w:r>
        <w:t xml:space="preserve"> </w:t>
      </w:r>
      <w:r>
        <w:tab/>
      </w:r>
      <w:r>
        <w:tab/>
        <w:t>Staff Ex. 103 (Smith Testimony) at 22.</w:t>
      </w:r>
    </w:p>
  </w:footnote>
  <w:footnote w:id="43">
    <w:p w:rsidR="0067532B" w:rsidRPr="00EB707E" w:rsidRDefault="0067532B" w:rsidP="00883CBB">
      <w:pPr>
        <w:pStyle w:val="FootnoteText"/>
        <w:rPr>
          <w:i/>
        </w:rPr>
      </w:pPr>
      <w:r>
        <w:rPr>
          <w:rStyle w:val="FootnoteReference"/>
        </w:rPr>
        <w:footnoteRef/>
      </w:r>
      <w:r>
        <w:t xml:space="preserve"> </w:t>
      </w:r>
      <w:r>
        <w:tab/>
      </w:r>
      <w:r>
        <w:tab/>
        <w:t>AEP 2010 FERC Form 1 at 123.32.</w:t>
      </w:r>
    </w:p>
  </w:footnote>
  <w:footnote w:id="44">
    <w:p w:rsidR="0067532B" w:rsidRDefault="0067532B" w:rsidP="00883CBB">
      <w:pPr>
        <w:pStyle w:val="FootnoteText"/>
      </w:pPr>
      <w:r>
        <w:rPr>
          <w:rStyle w:val="FootnoteReference"/>
        </w:rPr>
        <w:footnoteRef/>
      </w:r>
      <w:r>
        <w:t xml:space="preserve"> </w:t>
      </w:r>
      <w:r>
        <w:tab/>
      </w:r>
      <w:r>
        <w:tab/>
        <w:t>Staff Ex. 103 (Smith Testimony) at 24.</w:t>
      </w:r>
    </w:p>
  </w:footnote>
  <w:footnote w:id="45">
    <w:p w:rsidR="0067532B" w:rsidRPr="00F919A9" w:rsidRDefault="0067532B" w:rsidP="00883CBB">
      <w:pPr>
        <w:pStyle w:val="FootnoteText"/>
      </w:pPr>
      <w:r>
        <w:rPr>
          <w:rStyle w:val="FootnoteReference"/>
        </w:rPr>
        <w:footnoteRef/>
      </w:r>
      <w:r>
        <w:t xml:space="preserve"> </w:t>
      </w:r>
      <w:r>
        <w:tab/>
      </w:r>
      <w:r>
        <w:tab/>
        <w:t>Staff Ex. 103 (Smith Testimony) at 24.</w:t>
      </w:r>
    </w:p>
  </w:footnote>
  <w:footnote w:id="46">
    <w:p w:rsidR="0067532B" w:rsidRPr="00F919A9" w:rsidRDefault="0067532B" w:rsidP="00883CBB">
      <w:pPr>
        <w:pStyle w:val="FootnoteText"/>
      </w:pPr>
      <w:r>
        <w:rPr>
          <w:rStyle w:val="FootnoteReference"/>
        </w:rPr>
        <w:footnoteRef/>
      </w:r>
      <w:r>
        <w:t xml:space="preserve"> </w:t>
      </w:r>
      <w:r>
        <w:tab/>
      </w:r>
      <w:r>
        <w:tab/>
      </w:r>
      <w:r w:rsidRPr="009E5D8E">
        <w:rPr>
          <w:i/>
        </w:rPr>
        <w:t>Id</w:t>
      </w:r>
      <w:r>
        <w:t>.</w:t>
      </w:r>
    </w:p>
  </w:footnote>
  <w:footnote w:id="47">
    <w:p w:rsidR="0067532B" w:rsidRPr="00F919A9" w:rsidRDefault="0067532B" w:rsidP="00883CBB">
      <w:pPr>
        <w:pStyle w:val="FootnoteText"/>
      </w:pPr>
      <w:r>
        <w:rPr>
          <w:rStyle w:val="FootnoteReference"/>
        </w:rPr>
        <w:footnoteRef/>
      </w:r>
      <w:r>
        <w:t xml:space="preserve"> </w:t>
      </w:r>
      <w:r>
        <w:tab/>
      </w:r>
      <w:r>
        <w:tab/>
      </w:r>
      <w:r>
        <w:rPr>
          <w:i/>
        </w:rPr>
        <w:t xml:space="preserve">Id. </w:t>
      </w:r>
      <w:r>
        <w:t>at 24-25.</w:t>
      </w:r>
    </w:p>
  </w:footnote>
  <w:footnote w:id="48">
    <w:p w:rsidR="0067532B" w:rsidRPr="00F919A9" w:rsidRDefault="0067532B" w:rsidP="00883CBB">
      <w:pPr>
        <w:pStyle w:val="FootnoteText"/>
      </w:pPr>
      <w:r>
        <w:rPr>
          <w:rStyle w:val="FootnoteReference"/>
        </w:rPr>
        <w:footnoteRef/>
      </w:r>
      <w:r>
        <w:t xml:space="preserve"> </w:t>
      </w:r>
      <w:r>
        <w:tab/>
      </w:r>
      <w:r>
        <w:tab/>
      </w:r>
      <w:r>
        <w:rPr>
          <w:i/>
        </w:rPr>
        <w:t xml:space="preserve">Id. </w:t>
      </w:r>
      <w:r>
        <w:t>at 25-27.</w:t>
      </w:r>
    </w:p>
  </w:footnote>
  <w:footnote w:id="49">
    <w:p w:rsidR="0067532B" w:rsidRPr="00871BA8" w:rsidRDefault="0067532B" w:rsidP="00883CBB">
      <w:pPr>
        <w:pStyle w:val="FootnoteText"/>
      </w:pPr>
      <w:r>
        <w:rPr>
          <w:rStyle w:val="FootnoteReference"/>
        </w:rPr>
        <w:footnoteRef/>
      </w:r>
      <w:r>
        <w:t xml:space="preserve"> </w:t>
      </w:r>
      <w:r>
        <w:tab/>
      </w:r>
      <w:r>
        <w:tab/>
      </w:r>
      <w:r>
        <w:rPr>
          <w:i/>
        </w:rPr>
        <w:t>Id</w:t>
      </w:r>
      <w:r>
        <w:t>. at 27-28.</w:t>
      </w:r>
    </w:p>
  </w:footnote>
  <w:footnote w:id="50">
    <w:p w:rsidR="0067532B" w:rsidRPr="00871BA8" w:rsidRDefault="0067532B" w:rsidP="00883CBB">
      <w:pPr>
        <w:pStyle w:val="FootnoteText"/>
      </w:pPr>
      <w:r>
        <w:rPr>
          <w:rStyle w:val="FootnoteReference"/>
        </w:rPr>
        <w:footnoteRef/>
      </w:r>
      <w:r>
        <w:t xml:space="preserve"> </w:t>
      </w:r>
      <w:r>
        <w:tab/>
      </w:r>
      <w:r>
        <w:tab/>
      </w:r>
      <w:r>
        <w:rPr>
          <w:i/>
        </w:rPr>
        <w:t xml:space="preserve">Id. </w:t>
      </w:r>
      <w:r>
        <w:t>at 28.</w:t>
      </w:r>
    </w:p>
  </w:footnote>
  <w:footnote w:id="51">
    <w:p w:rsidR="0067532B" w:rsidRPr="00871BA8" w:rsidRDefault="0067532B" w:rsidP="00883CBB">
      <w:pPr>
        <w:pStyle w:val="FootnoteText"/>
      </w:pPr>
      <w:r>
        <w:rPr>
          <w:rStyle w:val="FootnoteReference"/>
        </w:rPr>
        <w:footnoteRef/>
      </w:r>
      <w:r>
        <w:t xml:space="preserve"> </w:t>
      </w:r>
      <w:r>
        <w:tab/>
      </w:r>
      <w:r>
        <w:tab/>
        <w:t>Staff Ex. 103 (Smith Testimony) at 28-29.</w:t>
      </w:r>
    </w:p>
  </w:footnote>
  <w:footnote w:id="52">
    <w:p w:rsidR="0067532B" w:rsidRPr="00AD2F6F" w:rsidRDefault="0067532B" w:rsidP="00883CBB">
      <w:pPr>
        <w:pStyle w:val="FootnoteText"/>
      </w:pPr>
      <w:r>
        <w:rPr>
          <w:rStyle w:val="FootnoteReference"/>
        </w:rPr>
        <w:footnoteRef/>
      </w:r>
      <w:r>
        <w:t xml:space="preserve"> </w:t>
      </w:r>
      <w:r>
        <w:tab/>
      </w:r>
      <w:r>
        <w:tab/>
      </w:r>
      <w:r>
        <w:rPr>
          <w:i/>
        </w:rPr>
        <w:t>Id</w:t>
      </w:r>
      <w:r>
        <w:t>. at 29.</w:t>
      </w:r>
    </w:p>
  </w:footnote>
  <w:footnote w:id="53">
    <w:p w:rsidR="0067532B" w:rsidRPr="00AD2F6F" w:rsidRDefault="0067532B" w:rsidP="00883CBB">
      <w:pPr>
        <w:pStyle w:val="FootnoteText"/>
      </w:pPr>
      <w:r>
        <w:rPr>
          <w:rStyle w:val="FootnoteReference"/>
        </w:rPr>
        <w:footnoteRef/>
      </w:r>
      <w:r>
        <w:t xml:space="preserve"> </w:t>
      </w:r>
      <w:r>
        <w:tab/>
      </w:r>
      <w:r>
        <w:tab/>
      </w:r>
      <w:r w:rsidRPr="009E5D8E">
        <w:rPr>
          <w:i/>
        </w:rPr>
        <w:t>Id</w:t>
      </w:r>
      <w:r>
        <w:t>.</w:t>
      </w:r>
    </w:p>
  </w:footnote>
  <w:footnote w:id="54">
    <w:p w:rsidR="0067532B" w:rsidRPr="00746444" w:rsidRDefault="0067532B" w:rsidP="00883CBB">
      <w:pPr>
        <w:pStyle w:val="FootnoteText"/>
      </w:pPr>
      <w:r>
        <w:rPr>
          <w:rStyle w:val="FootnoteReference"/>
        </w:rPr>
        <w:footnoteRef/>
      </w:r>
      <w:r>
        <w:t xml:space="preserve"> </w:t>
      </w:r>
      <w:r>
        <w:tab/>
      </w:r>
      <w:r>
        <w:tab/>
        <w:t>Staff Ex. 103 (Smith Testimony</w:t>
      </w:r>
      <w:r w:rsidR="00080F38">
        <w:t>) at</w:t>
      </w:r>
      <w:r>
        <w:t xml:space="preserve"> 29-30.</w:t>
      </w:r>
    </w:p>
  </w:footnote>
  <w:footnote w:id="55">
    <w:p w:rsidR="0067532B" w:rsidRPr="00E01D2B" w:rsidRDefault="0067532B" w:rsidP="00883CBB">
      <w:pPr>
        <w:pStyle w:val="FootnoteText"/>
      </w:pPr>
      <w:r>
        <w:rPr>
          <w:rStyle w:val="FootnoteReference"/>
        </w:rPr>
        <w:footnoteRef/>
      </w:r>
      <w:r>
        <w:t xml:space="preserve"> </w:t>
      </w:r>
      <w:r>
        <w:tab/>
      </w:r>
      <w:r>
        <w:tab/>
      </w:r>
      <w:r>
        <w:rPr>
          <w:i/>
        </w:rPr>
        <w:t>Id</w:t>
      </w:r>
      <w:r>
        <w:t>.</w:t>
      </w:r>
      <w:r>
        <w:rPr>
          <w:i/>
        </w:rPr>
        <w:t xml:space="preserve"> </w:t>
      </w:r>
      <w:r>
        <w:t>at 30.</w:t>
      </w:r>
    </w:p>
  </w:footnote>
  <w:footnote w:id="56">
    <w:p w:rsidR="0067532B" w:rsidRDefault="0067532B" w:rsidP="00883CBB">
      <w:pPr>
        <w:pStyle w:val="FootnoteText"/>
      </w:pPr>
      <w:r>
        <w:rPr>
          <w:rStyle w:val="FootnoteReference"/>
        </w:rPr>
        <w:footnoteRef/>
      </w:r>
      <w:r>
        <w:t xml:space="preserve"> </w:t>
      </w:r>
      <w:r>
        <w:tab/>
      </w:r>
      <w:r>
        <w:tab/>
        <w:t>The interest expense related to imputing the debt-based financing would then be included above-the-line as a utility operating expense for ratemaking purposes.</w:t>
      </w:r>
    </w:p>
  </w:footnote>
  <w:footnote w:id="57">
    <w:p w:rsidR="0067532B" w:rsidRDefault="0067532B" w:rsidP="00883CBB">
      <w:pPr>
        <w:pStyle w:val="FootnoteText"/>
      </w:pPr>
      <w:r>
        <w:rPr>
          <w:rStyle w:val="FootnoteReference"/>
        </w:rPr>
        <w:footnoteRef/>
      </w:r>
      <w:r>
        <w:t xml:space="preserve"> </w:t>
      </w:r>
      <w:r>
        <w:tab/>
      </w:r>
      <w:r>
        <w:tab/>
        <w:t>Staff Ex. 103 (Smith Testimony) at 30-31.</w:t>
      </w:r>
    </w:p>
  </w:footnote>
  <w:footnote w:id="58">
    <w:p w:rsidR="0067532B" w:rsidRPr="00D36A5D" w:rsidRDefault="0067532B" w:rsidP="00883CBB">
      <w:pPr>
        <w:pStyle w:val="FootnoteText"/>
      </w:pPr>
      <w:r>
        <w:rPr>
          <w:rStyle w:val="FootnoteReference"/>
        </w:rPr>
        <w:footnoteRef/>
      </w:r>
      <w:r>
        <w:t xml:space="preserve"> </w:t>
      </w:r>
      <w:r>
        <w:tab/>
      </w:r>
      <w:r>
        <w:tab/>
      </w:r>
      <w:r>
        <w:rPr>
          <w:i/>
        </w:rPr>
        <w:t>Id</w:t>
      </w:r>
      <w:r>
        <w:t>.</w:t>
      </w:r>
      <w:r>
        <w:rPr>
          <w:i/>
        </w:rPr>
        <w:t xml:space="preserve"> </w:t>
      </w:r>
      <w:r>
        <w:t>at 31.</w:t>
      </w:r>
    </w:p>
  </w:footnote>
  <w:footnote w:id="59">
    <w:p w:rsidR="0067532B" w:rsidRPr="008F0F79" w:rsidRDefault="0067532B" w:rsidP="00883CBB">
      <w:pPr>
        <w:pStyle w:val="FootnoteText"/>
      </w:pPr>
      <w:r>
        <w:rPr>
          <w:rStyle w:val="FootnoteReference"/>
        </w:rPr>
        <w:footnoteRef/>
      </w:r>
      <w:r>
        <w:t xml:space="preserve"> </w:t>
      </w:r>
      <w:r>
        <w:tab/>
      </w:r>
      <w:r>
        <w:tab/>
        <w:t>Staff Ex. 103 (Smith Testimony)</w:t>
      </w:r>
      <w:r>
        <w:rPr>
          <w:i/>
        </w:rPr>
        <w:t xml:space="preserve"> </w:t>
      </w:r>
      <w:r>
        <w:t>at 33.</w:t>
      </w:r>
    </w:p>
  </w:footnote>
  <w:footnote w:id="60">
    <w:p w:rsidR="0067532B" w:rsidRPr="008F0F79" w:rsidRDefault="0067532B" w:rsidP="00883CBB">
      <w:pPr>
        <w:pStyle w:val="FootnoteText"/>
      </w:pPr>
      <w:r>
        <w:rPr>
          <w:rStyle w:val="FootnoteReference"/>
        </w:rPr>
        <w:footnoteRef/>
      </w:r>
      <w:r>
        <w:t xml:space="preserve"> </w:t>
      </w:r>
      <w:r>
        <w:tab/>
      </w:r>
      <w:r>
        <w:tab/>
        <w:t>Staff Ex. 103 (Smith Testimony) at 34.</w:t>
      </w:r>
    </w:p>
  </w:footnote>
  <w:footnote w:id="61">
    <w:p w:rsidR="0067532B" w:rsidRDefault="0067532B" w:rsidP="00883CBB">
      <w:pPr>
        <w:pStyle w:val="FootnoteText"/>
      </w:pPr>
      <w:r>
        <w:rPr>
          <w:rStyle w:val="FootnoteReference"/>
        </w:rPr>
        <w:footnoteRef/>
      </w:r>
      <w:r>
        <w:t xml:space="preserve"> </w:t>
      </w:r>
      <w:r>
        <w:tab/>
      </w:r>
      <w:r>
        <w:tab/>
        <w:t>Financial Accounting Standards Interpretation No. 48 (</w:t>
      </w:r>
      <w:r w:rsidR="00080F38">
        <w:t>“</w:t>
      </w:r>
      <w:r>
        <w:t>FIN 48</w:t>
      </w:r>
      <w:r w:rsidR="00080F38">
        <w:t>”</w:t>
      </w:r>
      <w:r>
        <w:t>) has subsequently been codified in the Accounting Standards Codification (</w:t>
      </w:r>
      <w:r w:rsidR="00080F38">
        <w:t>“</w:t>
      </w:r>
      <w:r>
        <w:t>ASC</w:t>
      </w:r>
      <w:r w:rsidR="00080F38">
        <w:t>”</w:t>
      </w:r>
      <w:r>
        <w:t>) as part of ASC 740 Income Taxes.</w:t>
      </w:r>
    </w:p>
  </w:footnote>
  <w:footnote w:id="62">
    <w:p w:rsidR="0067532B" w:rsidRDefault="0067532B" w:rsidP="00883CBB">
      <w:pPr>
        <w:pStyle w:val="FootnoteText"/>
      </w:pPr>
      <w:r>
        <w:rPr>
          <w:rStyle w:val="FootnoteReference"/>
        </w:rPr>
        <w:footnoteRef/>
      </w:r>
      <w:r>
        <w:t xml:space="preserve"> </w:t>
      </w:r>
      <w:r>
        <w:tab/>
      </w:r>
      <w:r>
        <w:tab/>
        <w:t>Staff Ex. 103 (Smith Testimony) at 34-36.</w:t>
      </w:r>
    </w:p>
  </w:footnote>
  <w:footnote w:id="63">
    <w:p w:rsidR="0067532B" w:rsidRPr="00C4044C" w:rsidRDefault="0067532B" w:rsidP="00883CBB">
      <w:pPr>
        <w:pStyle w:val="FootnoteText"/>
      </w:pPr>
      <w:r>
        <w:rPr>
          <w:rStyle w:val="FootnoteReference"/>
        </w:rPr>
        <w:footnoteRef/>
      </w:r>
      <w:r>
        <w:t xml:space="preserve"> </w:t>
      </w:r>
      <w:r>
        <w:tab/>
      </w:r>
      <w:r>
        <w:tab/>
        <w:t>Staff Ex. 103 (Smith Testimony)</w:t>
      </w:r>
      <w:r>
        <w:rPr>
          <w:i/>
        </w:rPr>
        <w:t xml:space="preserve"> </w:t>
      </w:r>
      <w:r>
        <w:t>at 36.</w:t>
      </w:r>
    </w:p>
  </w:footnote>
  <w:footnote w:id="64">
    <w:p w:rsidR="0067532B" w:rsidRPr="00C4044C" w:rsidRDefault="0067532B" w:rsidP="00883CBB">
      <w:pPr>
        <w:pStyle w:val="FootnoteText"/>
      </w:pPr>
      <w:r>
        <w:rPr>
          <w:rStyle w:val="FootnoteReference"/>
        </w:rPr>
        <w:footnoteRef/>
      </w:r>
      <w:r>
        <w:t xml:space="preserve"> </w:t>
      </w:r>
      <w:r>
        <w:tab/>
      </w:r>
      <w:r>
        <w:tab/>
      </w:r>
      <w:r>
        <w:rPr>
          <w:i/>
        </w:rPr>
        <w:t xml:space="preserve">Id. </w:t>
      </w:r>
      <w:r>
        <w:t>at 36-37 (e</w:t>
      </w:r>
      <w:r w:rsidRPr="005D1EE8">
        <w:t xml:space="preserve">mphasis </w:t>
      </w:r>
      <w:r>
        <w:t>a</w:t>
      </w:r>
      <w:r w:rsidRPr="005D1EE8">
        <w:t>dded.)</w:t>
      </w:r>
      <w:r>
        <w:t>.</w:t>
      </w:r>
    </w:p>
  </w:footnote>
  <w:footnote w:id="65">
    <w:p w:rsidR="0067532B" w:rsidRPr="004E5225" w:rsidRDefault="0067532B" w:rsidP="00883CBB">
      <w:pPr>
        <w:pStyle w:val="FootnoteText"/>
      </w:pPr>
      <w:r>
        <w:rPr>
          <w:rStyle w:val="FootnoteReference"/>
        </w:rPr>
        <w:footnoteRef/>
      </w:r>
      <w:r>
        <w:t xml:space="preserve"> </w:t>
      </w:r>
      <w:r>
        <w:tab/>
      </w:r>
      <w:r>
        <w:tab/>
      </w:r>
      <w:r>
        <w:rPr>
          <w:i/>
        </w:rPr>
        <w:t>Id</w:t>
      </w:r>
      <w:r>
        <w:t xml:space="preserve">. </w:t>
      </w:r>
      <w:r>
        <w:rPr>
          <w:i/>
        </w:rPr>
        <w:t xml:space="preserve"> </w:t>
      </w:r>
      <w:r>
        <w:t>at 38.</w:t>
      </w:r>
    </w:p>
  </w:footnote>
  <w:footnote w:id="66">
    <w:p w:rsidR="0067532B" w:rsidRPr="004E5225" w:rsidRDefault="0067532B" w:rsidP="00883CBB">
      <w:pPr>
        <w:pStyle w:val="FootnoteText"/>
      </w:pPr>
      <w:r>
        <w:rPr>
          <w:rStyle w:val="FootnoteReference"/>
        </w:rPr>
        <w:footnoteRef/>
      </w:r>
      <w:r>
        <w:t xml:space="preserve"> </w:t>
      </w:r>
      <w:r>
        <w:tab/>
      </w:r>
      <w:r>
        <w:tab/>
        <w:t>Staff Ex. 103 (Smith Testimony)</w:t>
      </w:r>
      <w:r>
        <w:rPr>
          <w:i/>
        </w:rPr>
        <w:t xml:space="preserve"> </w:t>
      </w:r>
      <w:r>
        <w:t>at 38.</w:t>
      </w:r>
    </w:p>
  </w:footnote>
  <w:footnote w:id="67">
    <w:p w:rsidR="0067532B" w:rsidRPr="004E5225" w:rsidRDefault="0067532B" w:rsidP="00883CBB">
      <w:pPr>
        <w:pStyle w:val="FootnoteText"/>
      </w:pPr>
      <w:r>
        <w:rPr>
          <w:rStyle w:val="FootnoteReference"/>
        </w:rPr>
        <w:footnoteRef/>
      </w:r>
      <w:r>
        <w:t xml:space="preserve"> </w:t>
      </w:r>
      <w:r>
        <w:tab/>
      </w:r>
      <w:r>
        <w:tab/>
      </w:r>
      <w:r w:rsidRPr="003F778E">
        <w:rPr>
          <w:i/>
        </w:rPr>
        <w:t>Id</w:t>
      </w:r>
      <w:r>
        <w:t>.</w:t>
      </w:r>
    </w:p>
  </w:footnote>
  <w:footnote w:id="68">
    <w:p w:rsidR="0067532B" w:rsidRPr="004E5225" w:rsidRDefault="0067532B" w:rsidP="00883CBB">
      <w:pPr>
        <w:pStyle w:val="FootnoteText"/>
      </w:pPr>
      <w:r>
        <w:rPr>
          <w:rStyle w:val="FootnoteReference"/>
        </w:rPr>
        <w:footnoteRef/>
      </w:r>
      <w:r>
        <w:t xml:space="preserve"> </w:t>
      </w:r>
      <w:r>
        <w:tab/>
      </w:r>
      <w:r>
        <w:tab/>
      </w:r>
      <w:r w:rsidRPr="003F778E">
        <w:rPr>
          <w:i/>
        </w:rPr>
        <w:t>Id</w:t>
      </w:r>
      <w:r>
        <w:t>.</w:t>
      </w:r>
    </w:p>
  </w:footnote>
  <w:footnote w:id="69">
    <w:p w:rsidR="0067532B" w:rsidRDefault="0067532B" w:rsidP="00883CBB">
      <w:pPr>
        <w:pStyle w:val="FootnoteText"/>
      </w:pPr>
      <w:r>
        <w:rPr>
          <w:rStyle w:val="FootnoteReference"/>
        </w:rPr>
        <w:footnoteRef/>
      </w:r>
      <w:r>
        <w:t xml:space="preserve"> </w:t>
      </w:r>
      <w:r>
        <w:tab/>
      </w:r>
      <w:r>
        <w:tab/>
      </w:r>
      <w:r>
        <w:rPr>
          <w:i/>
        </w:rPr>
        <w:t xml:space="preserve">Id. </w:t>
      </w:r>
      <w:r>
        <w:t xml:space="preserve">at </w:t>
      </w:r>
      <w:r w:rsidRPr="003011C2">
        <w:t>RCS-1 and RCS-2, Schedule B-1, line 3</w:t>
      </w:r>
      <w:r>
        <w:t>.</w:t>
      </w:r>
    </w:p>
  </w:footnote>
  <w:footnote w:id="70">
    <w:p w:rsidR="0067532B" w:rsidRPr="003011C2" w:rsidRDefault="0067532B" w:rsidP="00883CBB">
      <w:pPr>
        <w:pStyle w:val="FootnoteText"/>
      </w:pPr>
      <w:r>
        <w:rPr>
          <w:rStyle w:val="FootnoteReference"/>
        </w:rPr>
        <w:footnoteRef/>
      </w:r>
      <w:r>
        <w:t xml:space="preserve"> </w:t>
      </w:r>
      <w:r>
        <w:tab/>
      </w:r>
      <w:r>
        <w:tab/>
      </w:r>
      <w:r>
        <w:rPr>
          <w:i/>
        </w:rPr>
        <w:t xml:space="preserve">Id. </w:t>
      </w:r>
      <w:r>
        <w:t xml:space="preserve">at </w:t>
      </w:r>
      <w:r w:rsidRPr="003011C2">
        <w:t>RCS-1 and RCS-2, Schedule B-1, line 4</w:t>
      </w:r>
      <w:r>
        <w:t>.</w:t>
      </w:r>
    </w:p>
  </w:footnote>
  <w:footnote w:id="71">
    <w:p w:rsidR="0067532B" w:rsidRDefault="0067532B" w:rsidP="003F778E">
      <w:pPr>
        <w:pStyle w:val="FootnoteText"/>
      </w:pPr>
      <w:r w:rsidRPr="004E5225">
        <w:rPr>
          <w:rStyle w:val="FootnoteReference"/>
          <w:b/>
        </w:rPr>
        <w:footnoteRef/>
      </w:r>
      <w:r w:rsidRPr="004E5225">
        <w:t xml:space="preserve"> </w:t>
      </w:r>
      <w:r w:rsidRPr="004E5225">
        <w:tab/>
      </w:r>
      <w:r>
        <w:tab/>
        <w:t xml:space="preserve">Staff Ex. 103 (Smith Testimony) </w:t>
      </w:r>
      <w:r w:rsidRPr="004E5225">
        <w:t>at RCS</w:t>
      </w:r>
      <w:r w:rsidRPr="00B90C56">
        <w:t>-2, Schedule B-1, l</w:t>
      </w:r>
      <w:r>
        <w:t xml:space="preserve">ines 14 and 22, respectively.  </w:t>
      </w:r>
      <w:r w:rsidRPr="00B90C56">
        <w:t>AEP</w:t>
      </w:r>
      <w:r>
        <w:t xml:space="preserve"> has</w:t>
      </w:r>
      <w:r w:rsidRPr="00B90C56">
        <w:t xml:space="preserve"> indicated that it would be providing additional information for some of tho</w:t>
      </w:r>
      <w:r>
        <w:t>se items.</w:t>
      </w:r>
    </w:p>
  </w:footnote>
  <w:footnote w:id="72">
    <w:p w:rsidR="0067532B" w:rsidRPr="00D41FBB" w:rsidRDefault="0067532B" w:rsidP="00883CBB">
      <w:pPr>
        <w:pStyle w:val="FootnoteText"/>
      </w:pPr>
      <w:r>
        <w:rPr>
          <w:rStyle w:val="FootnoteReference"/>
        </w:rPr>
        <w:footnoteRef/>
      </w:r>
      <w:r>
        <w:t xml:space="preserve"> </w:t>
      </w:r>
      <w:r>
        <w:tab/>
      </w:r>
      <w:r>
        <w:tab/>
      </w:r>
      <w:r>
        <w:rPr>
          <w:i/>
        </w:rPr>
        <w:t>Id.</w:t>
      </w:r>
      <w:r>
        <w:t xml:space="preserve"> at 39-40.</w:t>
      </w:r>
    </w:p>
  </w:footnote>
  <w:footnote w:id="73">
    <w:p w:rsidR="0067532B" w:rsidRPr="00714F09" w:rsidRDefault="0067532B" w:rsidP="00883CBB">
      <w:pPr>
        <w:pStyle w:val="FootnoteText"/>
      </w:pPr>
      <w:r>
        <w:rPr>
          <w:rStyle w:val="FootnoteReference"/>
        </w:rPr>
        <w:footnoteRef/>
      </w:r>
      <w:r>
        <w:t xml:space="preserve"> </w:t>
      </w:r>
      <w:r>
        <w:tab/>
      </w:r>
      <w:r>
        <w:tab/>
      </w:r>
      <w:r>
        <w:rPr>
          <w:i/>
        </w:rPr>
        <w:t>Id.</w:t>
      </w:r>
      <w:r>
        <w:t xml:space="preserve"> at 40.</w:t>
      </w:r>
    </w:p>
  </w:footnote>
  <w:footnote w:id="74">
    <w:p w:rsidR="0067532B" w:rsidRPr="00714F09" w:rsidRDefault="0067532B" w:rsidP="00883CBB">
      <w:pPr>
        <w:pStyle w:val="FootnoteText"/>
      </w:pPr>
      <w:r>
        <w:rPr>
          <w:rStyle w:val="FootnoteReference"/>
        </w:rPr>
        <w:footnoteRef/>
      </w:r>
      <w:r>
        <w:t xml:space="preserve"> </w:t>
      </w:r>
      <w:r>
        <w:tab/>
      </w:r>
      <w:r>
        <w:tab/>
      </w:r>
      <w:r w:rsidRPr="003F778E">
        <w:rPr>
          <w:i/>
        </w:rPr>
        <w:t>Id</w:t>
      </w:r>
      <w:r>
        <w:t>.</w:t>
      </w:r>
    </w:p>
  </w:footnote>
  <w:footnote w:id="75">
    <w:p w:rsidR="0067532B" w:rsidRPr="00714F09" w:rsidRDefault="0067532B" w:rsidP="00883CBB">
      <w:pPr>
        <w:pStyle w:val="FootnoteText"/>
      </w:pPr>
      <w:r>
        <w:rPr>
          <w:rStyle w:val="FootnoteReference"/>
        </w:rPr>
        <w:footnoteRef/>
      </w:r>
      <w:r>
        <w:t xml:space="preserve"> </w:t>
      </w:r>
      <w:r>
        <w:tab/>
      </w:r>
      <w:r>
        <w:tab/>
      </w:r>
      <w:r w:rsidR="00EB37F1">
        <w:rPr>
          <w:i/>
        </w:rPr>
        <w:t>Id</w:t>
      </w:r>
      <w:r>
        <w:t>.</w:t>
      </w:r>
    </w:p>
  </w:footnote>
  <w:footnote w:id="76">
    <w:p w:rsidR="0067532B" w:rsidRPr="00714F09" w:rsidRDefault="0067532B" w:rsidP="00883CBB">
      <w:pPr>
        <w:pStyle w:val="FootnoteText"/>
      </w:pPr>
      <w:r>
        <w:rPr>
          <w:rStyle w:val="FootnoteReference"/>
        </w:rPr>
        <w:footnoteRef/>
      </w:r>
      <w:r>
        <w:t xml:space="preserve"> </w:t>
      </w:r>
      <w:r>
        <w:tab/>
      </w:r>
      <w:r>
        <w:tab/>
      </w:r>
      <w:r w:rsidRPr="003F778E">
        <w:rPr>
          <w:i/>
        </w:rPr>
        <w:t>Id</w:t>
      </w:r>
      <w:r>
        <w:t>.</w:t>
      </w:r>
    </w:p>
  </w:footnote>
  <w:footnote w:id="77">
    <w:p w:rsidR="0067532B" w:rsidRPr="00714F09" w:rsidRDefault="0067532B" w:rsidP="00883CBB">
      <w:pPr>
        <w:pStyle w:val="FootnoteText"/>
      </w:pPr>
      <w:r>
        <w:rPr>
          <w:rStyle w:val="FootnoteReference"/>
        </w:rPr>
        <w:footnoteRef/>
      </w:r>
      <w:r>
        <w:t xml:space="preserve"> </w:t>
      </w:r>
      <w:r>
        <w:tab/>
      </w:r>
      <w:r>
        <w:tab/>
        <w:t>Staff Ex. 103 (Smith Testimony</w:t>
      </w:r>
      <w:r w:rsidR="00080F38">
        <w:t>) at</w:t>
      </w:r>
      <w:r>
        <w:t xml:space="preserve"> 40-41.</w:t>
      </w:r>
    </w:p>
  </w:footnote>
  <w:footnote w:id="78">
    <w:p w:rsidR="0067532B" w:rsidRPr="00714F09" w:rsidRDefault="0067532B" w:rsidP="00883CBB">
      <w:pPr>
        <w:pStyle w:val="FootnoteText"/>
      </w:pPr>
      <w:r>
        <w:rPr>
          <w:rStyle w:val="FootnoteReference"/>
        </w:rPr>
        <w:footnoteRef/>
      </w:r>
      <w:r>
        <w:t xml:space="preserve"> </w:t>
      </w:r>
      <w:r>
        <w:tab/>
      </w:r>
      <w:r>
        <w:tab/>
      </w:r>
      <w:r>
        <w:rPr>
          <w:i/>
        </w:rPr>
        <w:t xml:space="preserve">Id. </w:t>
      </w:r>
      <w:r>
        <w:t>at 41.</w:t>
      </w:r>
    </w:p>
  </w:footnote>
  <w:footnote w:id="79">
    <w:p w:rsidR="0067532B" w:rsidRPr="00714F09" w:rsidRDefault="0067532B" w:rsidP="00883CBB">
      <w:pPr>
        <w:pStyle w:val="FootnoteText"/>
      </w:pPr>
      <w:r>
        <w:rPr>
          <w:rStyle w:val="FootnoteReference"/>
        </w:rPr>
        <w:footnoteRef/>
      </w:r>
      <w:r>
        <w:t xml:space="preserve"> </w:t>
      </w:r>
      <w:r>
        <w:tab/>
      </w:r>
      <w:r>
        <w:tab/>
      </w:r>
      <w:r w:rsidRPr="003F778E">
        <w:rPr>
          <w:i/>
        </w:rPr>
        <w:t>Id</w:t>
      </w:r>
      <w:r>
        <w:t>.</w:t>
      </w:r>
    </w:p>
  </w:footnote>
  <w:footnote w:id="80">
    <w:p w:rsidR="0067532B" w:rsidRDefault="0067532B" w:rsidP="00883CBB">
      <w:pPr>
        <w:pStyle w:val="FootnoteText"/>
      </w:pPr>
      <w:r>
        <w:rPr>
          <w:rStyle w:val="FootnoteReference"/>
        </w:rPr>
        <w:footnoteRef/>
      </w:r>
      <w:r>
        <w:t xml:space="preserve"> </w:t>
      </w:r>
      <w:r>
        <w:tab/>
      </w:r>
      <w:r>
        <w:tab/>
      </w:r>
      <w:r>
        <w:rPr>
          <w:i/>
        </w:rPr>
        <w:t>Id.</w:t>
      </w:r>
    </w:p>
  </w:footnote>
  <w:footnote w:id="81">
    <w:p w:rsidR="0067532B" w:rsidRDefault="0067532B" w:rsidP="00883CBB">
      <w:pPr>
        <w:pStyle w:val="FootnoteText"/>
      </w:pPr>
      <w:r>
        <w:rPr>
          <w:rStyle w:val="FootnoteReference"/>
        </w:rPr>
        <w:footnoteRef/>
      </w:r>
      <w:r>
        <w:t xml:space="preserve"> </w:t>
      </w:r>
      <w:r>
        <w:tab/>
      </w:r>
      <w:r>
        <w:tab/>
      </w:r>
      <w:r>
        <w:rPr>
          <w:i/>
        </w:rPr>
        <w:t>Id.</w:t>
      </w:r>
    </w:p>
  </w:footnote>
  <w:footnote w:id="82">
    <w:p w:rsidR="0067532B" w:rsidRDefault="0067532B" w:rsidP="00883CBB">
      <w:pPr>
        <w:pStyle w:val="FootnoteText"/>
      </w:pPr>
      <w:r>
        <w:rPr>
          <w:rStyle w:val="FootnoteReference"/>
        </w:rPr>
        <w:footnoteRef/>
      </w:r>
      <w:r>
        <w:t xml:space="preserve"> </w:t>
      </w:r>
      <w:r>
        <w:tab/>
      </w:r>
      <w:r>
        <w:tab/>
      </w:r>
      <w:r>
        <w:rPr>
          <w:i/>
        </w:rPr>
        <w:t>Id</w:t>
      </w:r>
      <w:r>
        <w:t>.</w:t>
      </w:r>
    </w:p>
  </w:footnote>
  <w:footnote w:id="83">
    <w:p w:rsidR="0067532B" w:rsidRPr="0031655F" w:rsidRDefault="0067532B" w:rsidP="00883CBB">
      <w:pPr>
        <w:pStyle w:val="FootnoteText"/>
      </w:pPr>
      <w:r>
        <w:rPr>
          <w:rStyle w:val="FootnoteReference"/>
        </w:rPr>
        <w:footnoteRef/>
      </w:r>
      <w:r>
        <w:t xml:space="preserve"> </w:t>
      </w:r>
      <w:r>
        <w:tab/>
      </w:r>
      <w:r>
        <w:tab/>
        <w:t>Staff Ex. 103 (Smith Testimony</w:t>
      </w:r>
      <w:r w:rsidR="00080F38">
        <w:t>) at</w:t>
      </w:r>
      <w:r>
        <w:t xml:space="preserve"> 43.</w:t>
      </w:r>
    </w:p>
  </w:footnote>
  <w:footnote w:id="84">
    <w:p w:rsidR="0067532B" w:rsidRPr="00F470C3" w:rsidRDefault="0067532B" w:rsidP="00883CBB">
      <w:pPr>
        <w:pStyle w:val="FootnoteText"/>
      </w:pPr>
      <w:r>
        <w:rPr>
          <w:rStyle w:val="FootnoteReference"/>
        </w:rPr>
        <w:footnoteRef/>
      </w:r>
      <w:r>
        <w:t xml:space="preserve"> </w:t>
      </w:r>
      <w:r>
        <w:tab/>
      </w:r>
      <w:r>
        <w:tab/>
      </w:r>
      <w:r>
        <w:rPr>
          <w:i/>
        </w:rPr>
        <w:t xml:space="preserve">Id. </w:t>
      </w:r>
      <w:r>
        <w:t>at 44.</w:t>
      </w:r>
    </w:p>
  </w:footnote>
  <w:footnote w:id="85">
    <w:p w:rsidR="0067532B" w:rsidRPr="00F470C3" w:rsidRDefault="0067532B" w:rsidP="00883CBB">
      <w:pPr>
        <w:pStyle w:val="FootnoteText"/>
      </w:pPr>
      <w:r>
        <w:rPr>
          <w:rStyle w:val="FootnoteReference"/>
        </w:rPr>
        <w:footnoteRef/>
      </w:r>
      <w:r>
        <w:t xml:space="preserve"> </w:t>
      </w:r>
      <w:r>
        <w:tab/>
      </w:r>
      <w:r>
        <w:tab/>
        <w:t xml:space="preserve">Staff Ex. 103 (Smith Testimony) at 44. </w:t>
      </w:r>
    </w:p>
  </w:footnote>
  <w:footnote w:id="86">
    <w:p w:rsidR="0067532B" w:rsidRPr="00AC1D42" w:rsidRDefault="0067532B" w:rsidP="00883CBB">
      <w:pPr>
        <w:pStyle w:val="FootnoteText"/>
      </w:pPr>
      <w:r>
        <w:rPr>
          <w:rStyle w:val="FootnoteReference"/>
        </w:rPr>
        <w:footnoteRef/>
      </w:r>
      <w:r>
        <w:t xml:space="preserve"> </w:t>
      </w:r>
      <w:r>
        <w:tab/>
        <w:t>Staff Ex. 103 (Smith Testimony</w:t>
      </w:r>
      <w:r w:rsidR="00080F38">
        <w:t xml:space="preserve">) </w:t>
      </w:r>
      <w:r w:rsidR="00080F38">
        <w:rPr>
          <w:i/>
        </w:rPr>
        <w:t>at</w:t>
      </w:r>
      <w:r>
        <w:t xml:space="preserve"> 45.</w:t>
      </w:r>
    </w:p>
  </w:footnote>
  <w:footnote w:id="87">
    <w:p w:rsidR="0067532B" w:rsidRPr="00CB7272" w:rsidRDefault="0067532B" w:rsidP="00883CBB">
      <w:pPr>
        <w:pStyle w:val="FootnoteText"/>
      </w:pPr>
      <w:r>
        <w:rPr>
          <w:rStyle w:val="FootnoteReference"/>
        </w:rPr>
        <w:footnoteRef/>
      </w:r>
      <w:r>
        <w:t xml:space="preserve"> </w:t>
      </w:r>
      <w:r>
        <w:tab/>
      </w:r>
      <w:r w:rsidRPr="00374992">
        <w:rPr>
          <w:i/>
        </w:rPr>
        <w:t>Id</w:t>
      </w:r>
      <w:r>
        <w:t>.</w:t>
      </w:r>
    </w:p>
  </w:footnote>
  <w:footnote w:id="88">
    <w:p w:rsidR="0067532B" w:rsidRPr="00CB7272" w:rsidRDefault="0067532B" w:rsidP="00883CBB">
      <w:pPr>
        <w:pStyle w:val="FootnoteText"/>
      </w:pPr>
      <w:r>
        <w:rPr>
          <w:rStyle w:val="FootnoteReference"/>
        </w:rPr>
        <w:footnoteRef/>
      </w:r>
      <w:r>
        <w:t xml:space="preserve"> </w:t>
      </w:r>
      <w:r>
        <w:tab/>
      </w:r>
      <w:r w:rsidRPr="00374992">
        <w:rPr>
          <w:i/>
        </w:rPr>
        <w:t>Id</w:t>
      </w:r>
      <w:r>
        <w:t>.</w:t>
      </w:r>
    </w:p>
  </w:footnote>
  <w:footnote w:id="89">
    <w:p w:rsidR="0067532B" w:rsidRPr="00CB7272" w:rsidRDefault="0067532B" w:rsidP="00883CBB">
      <w:pPr>
        <w:pStyle w:val="FootnoteText"/>
      </w:pPr>
      <w:r>
        <w:rPr>
          <w:rStyle w:val="FootnoteReference"/>
        </w:rPr>
        <w:footnoteRef/>
      </w:r>
      <w:r>
        <w:t xml:space="preserve"> </w:t>
      </w:r>
      <w:r>
        <w:tab/>
      </w:r>
      <w:r>
        <w:tab/>
        <w:t>Staff Ex. 103 (Smith Testimony</w:t>
      </w:r>
      <w:r w:rsidR="00080F38">
        <w:t>) at</w:t>
      </w:r>
      <w:r>
        <w:t xml:space="preserve"> 45.</w:t>
      </w:r>
    </w:p>
  </w:footnote>
  <w:footnote w:id="90">
    <w:p w:rsidR="0067532B" w:rsidRPr="00CB7272" w:rsidRDefault="0067532B" w:rsidP="00883CBB">
      <w:pPr>
        <w:pStyle w:val="FootnoteText"/>
      </w:pPr>
      <w:r>
        <w:rPr>
          <w:rStyle w:val="FootnoteReference"/>
        </w:rPr>
        <w:footnoteRef/>
      </w:r>
      <w:r>
        <w:t xml:space="preserve"> </w:t>
      </w:r>
      <w:r>
        <w:tab/>
      </w:r>
      <w:r>
        <w:tab/>
      </w:r>
      <w:r>
        <w:rPr>
          <w:i/>
        </w:rPr>
        <w:t>Id</w:t>
      </w:r>
      <w:r>
        <w:t>. at 45.</w:t>
      </w:r>
    </w:p>
  </w:footnote>
  <w:footnote w:id="91">
    <w:p w:rsidR="0067532B" w:rsidRPr="00CB7272" w:rsidRDefault="0067532B" w:rsidP="00883CBB">
      <w:pPr>
        <w:pStyle w:val="FootnoteText"/>
      </w:pPr>
      <w:r>
        <w:rPr>
          <w:rStyle w:val="FootnoteReference"/>
        </w:rPr>
        <w:footnoteRef/>
      </w:r>
      <w:r>
        <w:t xml:space="preserve"> </w:t>
      </w:r>
      <w:r>
        <w:tab/>
      </w:r>
      <w:r>
        <w:tab/>
      </w:r>
      <w:r w:rsidRPr="003F778E">
        <w:rPr>
          <w:i/>
        </w:rPr>
        <w:t>Id</w:t>
      </w:r>
      <w:r>
        <w:t>.</w:t>
      </w:r>
    </w:p>
  </w:footnote>
  <w:footnote w:id="92">
    <w:p w:rsidR="0067532B" w:rsidRPr="00CB7272" w:rsidRDefault="0067532B" w:rsidP="00883CBB">
      <w:pPr>
        <w:pStyle w:val="FootnoteText"/>
      </w:pPr>
      <w:r>
        <w:rPr>
          <w:rStyle w:val="FootnoteReference"/>
        </w:rPr>
        <w:footnoteRef/>
      </w:r>
      <w:r>
        <w:t xml:space="preserve"> </w:t>
      </w:r>
      <w:r>
        <w:tab/>
      </w:r>
      <w:r>
        <w:tab/>
      </w:r>
      <w:r>
        <w:rPr>
          <w:i/>
        </w:rPr>
        <w:t xml:space="preserve">Id. </w:t>
      </w:r>
      <w:r>
        <w:t>at 45-46.</w:t>
      </w:r>
    </w:p>
  </w:footnote>
  <w:footnote w:id="93">
    <w:p w:rsidR="0067532B" w:rsidRPr="00CB7272" w:rsidRDefault="0067532B" w:rsidP="00883CBB">
      <w:pPr>
        <w:pStyle w:val="FootnoteText"/>
      </w:pPr>
      <w:r>
        <w:rPr>
          <w:rStyle w:val="FootnoteReference"/>
        </w:rPr>
        <w:footnoteRef/>
      </w:r>
      <w:r>
        <w:t xml:space="preserve"> </w:t>
      </w:r>
      <w:r>
        <w:tab/>
      </w:r>
      <w:r>
        <w:tab/>
      </w:r>
      <w:r>
        <w:rPr>
          <w:i/>
        </w:rPr>
        <w:t xml:space="preserve">Id. </w:t>
      </w:r>
      <w:r>
        <w:t>at 46.</w:t>
      </w:r>
    </w:p>
  </w:footnote>
  <w:footnote w:id="94">
    <w:p w:rsidR="0067532B" w:rsidRPr="00B93EA2" w:rsidRDefault="0067532B" w:rsidP="00883CBB">
      <w:pPr>
        <w:pStyle w:val="FootnoteText"/>
      </w:pPr>
      <w:r>
        <w:rPr>
          <w:rStyle w:val="FootnoteReference"/>
        </w:rPr>
        <w:footnoteRef/>
      </w:r>
      <w:r>
        <w:t xml:space="preserve"> </w:t>
      </w:r>
      <w:r>
        <w:tab/>
      </w:r>
      <w:r>
        <w:tab/>
        <w:t>Staff Ex. 103 (Smith Testimony)</w:t>
      </w:r>
      <w:r>
        <w:rPr>
          <w:i/>
        </w:rPr>
        <w:t xml:space="preserve"> </w:t>
      </w:r>
      <w:r>
        <w:t>at 46-47.</w:t>
      </w:r>
    </w:p>
  </w:footnote>
  <w:footnote w:id="95">
    <w:p w:rsidR="0067532B" w:rsidRPr="00B93EA2" w:rsidRDefault="0067532B" w:rsidP="00883CBB">
      <w:pPr>
        <w:pStyle w:val="FootnoteText"/>
      </w:pPr>
      <w:r>
        <w:rPr>
          <w:rStyle w:val="FootnoteReference"/>
        </w:rPr>
        <w:footnoteRef/>
      </w:r>
      <w:r>
        <w:t xml:space="preserve"> </w:t>
      </w:r>
      <w:r>
        <w:tab/>
      </w:r>
      <w:r>
        <w:tab/>
      </w:r>
      <w:r w:rsidRPr="003F778E">
        <w:rPr>
          <w:i/>
        </w:rPr>
        <w:t>Id</w:t>
      </w:r>
      <w:r>
        <w:t>.</w:t>
      </w:r>
    </w:p>
  </w:footnote>
  <w:footnote w:id="96">
    <w:p w:rsidR="0067532B" w:rsidRPr="00B93EA2" w:rsidRDefault="0067532B" w:rsidP="00883CBB">
      <w:pPr>
        <w:pStyle w:val="FootnoteText"/>
      </w:pPr>
      <w:r>
        <w:rPr>
          <w:rStyle w:val="FootnoteReference"/>
        </w:rPr>
        <w:footnoteRef/>
      </w:r>
      <w:r>
        <w:t xml:space="preserve"> </w:t>
      </w:r>
      <w:r>
        <w:tab/>
      </w:r>
      <w:r>
        <w:tab/>
      </w:r>
      <w:r w:rsidRPr="003F778E">
        <w:rPr>
          <w:i/>
        </w:rPr>
        <w:t>Id</w:t>
      </w:r>
      <w:r>
        <w:t>.</w:t>
      </w:r>
    </w:p>
  </w:footnote>
  <w:footnote w:id="97">
    <w:p w:rsidR="0067532B" w:rsidRPr="00B93EA2" w:rsidRDefault="0067532B" w:rsidP="00883CBB">
      <w:pPr>
        <w:pStyle w:val="FootnoteText"/>
      </w:pPr>
      <w:r>
        <w:rPr>
          <w:rStyle w:val="FootnoteReference"/>
        </w:rPr>
        <w:footnoteRef/>
      </w:r>
      <w:r>
        <w:t xml:space="preserve"> </w:t>
      </w:r>
      <w:r>
        <w:tab/>
      </w:r>
      <w:r>
        <w:tab/>
      </w:r>
      <w:r w:rsidRPr="003F778E">
        <w:rPr>
          <w:i/>
        </w:rPr>
        <w:t>Id</w:t>
      </w:r>
      <w:r>
        <w:t>.</w:t>
      </w:r>
    </w:p>
  </w:footnote>
  <w:footnote w:id="98">
    <w:p w:rsidR="0067532B" w:rsidRPr="00B93EA2" w:rsidRDefault="0067532B" w:rsidP="00883CBB">
      <w:pPr>
        <w:pStyle w:val="FootnoteText"/>
      </w:pPr>
      <w:r>
        <w:rPr>
          <w:rStyle w:val="FootnoteReference"/>
        </w:rPr>
        <w:footnoteRef/>
      </w:r>
      <w:r>
        <w:t xml:space="preserve"> </w:t>
      </w:r>
      <w:r>
        <w:tab/>
      </w:r>
      <w:r>
        <w:tab/>
        <w:t>Staff Ex. 103 (Smith Testimony) at 48.</w:t>
      </w:r>
    </w:p>
  </w:footnote>
  <w:footnote w:id="99">
    <w:p w:rsidR="0067532B" w:rsidRPr="00044F79" w:rsidRDefault="0067532B" w:rsidP="00883CBB">
      <w:pPr>
        <w:pStyle w:val="FootnoteText"/>
      </w:pPr>
      <w:r>
        <w:rPr>
          <w:rStyle w:val="FootnoteReference"/>
        </w:rPr>
        <w:footnoteRef/>
      </w:r>
      <w:r>
        <w:t xml:space="preserve"> </w:t>
      </w:r>
      <w:r>
        <w:tab/>
      </w:r>
      <w:r>
        <w:tab/>
      </w:r>
      <w:r w:rsidRPr="003F778E">
        <w:rPr>
          <w:i/>
        </w:rPr>
        <w:t>Id</w:t>
      </w:r>
      <w:r>
        <w:t>.</w:t>
      </w:r>
    </w:p>
  </w:footnote>
  <w:footnote w:id="100">
    <w:p w:rsidR="0067532B" w:rsidRPr="00044F79" w:rsidRDefault="0067532B" w:rsidP="00883CBB">
      <w:pPr>
        <w:pStyle w:val="FootnoteText"/>
      </w:pPr>
      <w:r>
        <w:rPr>
          <w:rStyle w:val="FootnoteReference"/>
        </w:rPr>
        <w:footnoteRef/>
      </w:r>
      <w:r>
        <w:t xml:space="preserve"> </w:t>
      </w:r>
      <w:r>
        <w:tab/>
      </w:r>
      <w:r>
        <w:tab/>
      </w:r>
      <w:r w:rsidRPr="003F778E">
        <w:rPr>
          <w:i/>
        </w:rPr>
        <w:t>Id</w:t>
      </w:r>
      <w:r>
        <w:t>.</w:t>
      </w:r>
    </w:p>
  </w:footnote>
  <w:footnote w:id="101">
    <w:p w:rsidR="0067532B" w:rsidRDefault="0067532B" w:rsidP="00883CBB">
      <w:pPr>
        <w:pStyle w:val="FootnoteText"/>
      </w:pPr>
      <w:r>
        <w:rPr>
          <w:rStyle w:val="FootnoteReference"/>
        </w:rPr>
        <w:footnoteRef/>
      </w:r>
      <w:r>
        <w:t xml:space="preserve"> </w:t>
      </w:r>
      <w:r>
        <w:tab/>
      </w:r>
      <w:r>
        <w:tab/>
      </w:r>
      <w:r>
        <w:rPr>
          <w:i/>
        </w:rPr>
        <w:t>Id.</w:t>
      </w:r>
    </w:p>
  </w:footnote>
  <w:footnote w:id="102">
    <w:p w:rsidR="0067532B" w:rsidRPr="00044F79" w:rsidRDefault="0067532B" w:rsidP="00883CBB">
      <w:pPr>
        <w:pStyle w:val="FootnoteText"/>
      </w:pPr>
      <w:r>
        <w:rPr>
          <w:rStyle w:val="FootnoteReference"/>
        </w:rPr>
        <w:footnoteRef/>
      </w:r>
      <w:r>
        <w:t xml:space="preserve"> </w:t>
      </w:r>
      <w:r>
        <w:tab/>
      </w:r>
      <w:r>
        <w:tab/>
        <w:t>Staff Ex. 103 (Smith Testimony) at 49.</w:t>
      </w:r>
    </w:p>
  </w:footnote>
  <w:footnote w:id="103">
    <w:p w:rsidR="0067532B" w:rsidRDefault="0067532B" w:rsidP="00883CBB">
      <w:pPr>
        <w:pStyle w:val="FootnoteText"/>
      </w:pPr>
      <w:r>
        <w:rPr>
          <w:rStyle w:val="FootnoteReference"/>
        </w:rPr>
        <w:footnoteRef/>
      </w:r>
      <w:r>
        <w:t xml:space="preserve"> </w:t>
      </w:r>
      <w:r>
        <w:tab/>
      </w:r>
      <w:r>
        <w:tab/>
      </w:r>
      <w:r w:rsidRPr="00017296">
        <w:t>In Virgin</w:t>
      </w:r>
      <w:r>
        <w:t>ia Case No. PUE-2011-00037, APCO</w:t>
      </w:r>
      <w:r w:rsidRPr="00017296">
        <w:t xml:space="preserve"> had proposed to defer and amortize severance cost for itself and for AEPSC charges, commencing with December 1, 2012, the date when APCO’s application had initially assumed new rates from that proceeding would become effective.</w:t>
      </w:r>
      <w:r w:rsidRPr="00017296">
        <w:rPr>
          <w:b/>
        </w:rPr>
        <w:t xml:space="preserve">  </w:t>
      </w:r>
      <w:r w:rsidRPr="00017296">
        <w:t>Due to various delays encountered in processing that case, expectations about the rate effective date were adjusted accordingly such that the rate year was subsequently expected to commence on or about February 1, 2012.</w:t>
      </w:r>
    </w:p>
  </w:footnote>
  <w:footnote w:id="104">
    <w:p w:rsidR="0067532B" w:rsidRPr="00044F79" w:rsidRDefault="0067532B" w:rsidP="00883CBB">
      <w:pPr>
        <w:pStyle w:val="FootnoteText"/>
      </w:pPr>
      <w:r>
        <w:rPr>
          <w:rStyle w:val="FootnoteReference"/>
        </w:rPr>
        <w:footnoteRef/>
      </w:r>
      <w:r>
        <w:t xml:space="preserve"> </w:t>
      </w:r>
      <w:r>
        <w:rPr>
          <w:i/>
        </w:rPr>
        <w:t xml:space="preserve"> </w:t>
      </w:r>
      <w:r>
        <w:rPr>
          <w:i/>
        </w:rPr>
        <w:tab/>
      </w:r>
      <w:r>
        <w:rPr>
          <w:i/>
        </w:rPr>
        <w:tab/>
      </w:r>
      <w:r>
        <w:t>Staff Ex. 103 (Smith Testimony)</w:t>
      </w:r>
      <w:r>
        <w:rPr>
          <w:i/>
        </w:rPr>
        <w:t xml:space="preserve"> </w:t>
      </w:r>
      <w:r>
        <w:t>at 50.</w:t>
      </w:r>
    </w:p>
  </w:footnote>
  <w:footnote w:id="105">
    <w:p w:rsidR="0067532B" w:rsidRPr="00CD1758" w:rsidRDefault="0067532B" w:rsidP="00883CBB">
      <w:pPr>
        <w:pStyle w:val="FootnoteText"/>
      </w:pPr>
      <w:r>
        <w:rPr>
          <w:rStyle w:val="FootnoteReference"/>
        </w:rPr>
        <w:footnoteRef/>
      </w:r>
      <w:r>
        <w:t xml:space="preserve"> </w:t>
      </w:r>
      <w:r>
        <w:tab/>
      </w:r>
      <w:r>
        <w:tab/>
        <w:t>Staff Ex. 103 (Smith Testimony)</w:t>
      </w:r>
      <w:r>
        <w:rPr>
          <w:i/>
        </w:rPr>
        <w:t xml:space="preserve"> </w:t>
      </w:r>
      <w:r>
        <w:t>at 50-52.</w:t>
      </w:r>
    </w:p>
  </w:footnote>
  <w:footnote w:id="106">
    <w:p w:rsidR="0067532B" w:rsidRDefault="0067532B" w:rsidP="00883CBB">
      <w:pPr>
        <w:pStyle w:val="FootnoteText"/>
      </w:pPr>
      <w:r>
        <w:rPr>
          <w:rStyle w:val="FootnoteReference"/>
        </w:rPr>
        <w:footnoteRef/>
      </w:r>
      <w:r>
        <w:t xml:space="preserve"> </w:t>
      </w:r>
      <w:r>
        <w:tab/>
      </w:r>
      <w:r>
        <w:tab/>
      </w:r>
      <w:r w:rsidRPr="00EC1829">
        <w:t>Th</w:t>
      </w:r>
      <w:r>
        <w:t>e AEP</w:t>
      </w:r>
      <w:r w:rsidRPr="00EC1829">
        <w:t xml:space="preserve"> </w:t>
      </w:r>
      <w:r>
        <w:t xml:space="preserve">Ohio </w:t>
      </w:r>
      <w:r w:rsidRPr="00EC1829">
        <w:t>calculations of income taxes are reproduced for CSP and OPCo, respectively, on Exhibits RCS-1 and RCS-2, Schedule E, lines 1-5.</w:t>
      </w:r>
    </w:p>
  </w:footnote>
  <w:footnote w:id="107">
    <w:p w:rsidR="0067532B" w:rsidRDefault="0067532B" w:rsidP="00883CBB">
      <w:pPr>
        <w:pStyle w:val="FootnoteText"/>
      </w:pPr>
      <w:r>
        <w:rPr>
          <w:rStyle w:val="FootnoteReference"/>
        </w:rPr>
        <w:footnoteRef/>
      </w:r>
      <w:r>
        <w:t xml:space="preserve"> </w:t>
      </w:r>
      <w:r>
        <w:tab/>
      </w:r>
      <w:r>
        <w:tab/>
        <w:t>Staff Ex. 103 (Smith Testimony) at 52-53.</w:t>
      </w:r>
    </w:p>
  </w:footnote>
  <w:footnote w:id="108">
    <w:p w:rsidR="0067532B" w:rsidRPr="00363876" w:rsidRDefault="0067532B" w:rsidP="00883CBB">
      <w:pPr>
        <w:pStyle w:val="FootnoteText"/>
      </w:pPr>
      <w:r>
        <w:rPr>
          <w:rStyle w:val="FootnoteReference"/>
        </w:rPr>
        <w:footnoteRef/>
      </w:r>
      <w:r>
        <w:t xml:space="preserve"> </w:t>
      </w:r>
      <w:r>
        <w:tab/>
      </w:r>
      <w:r>
        <w:tab/>
        <w:t>Staff Ex. 103 (Smith Testimony) at 53.</w:t>
      </w:r>
    </w:p>
  </w:footnote>
  <w:footnote w:id="109">
    <w:p w:rsidR="0067532B" w:rsidRPr="00363876" w:rsidRDefault="0067532B" w:rsidP="00883CBB">
      <w:pPr>
        <w:pStyle w:val="FootnoteText"/>
      </w:pPr>
      <w:r>
        <w:rPr>
          <w:rStyle w:val="FootnoteReference"/>
        </w:rPr>
        <w:footnoteRef/>
      </w:r>
      <w:r>
        <w:t xml:space="preserve"> </w:t>
      </w:r>
      <w:r>
        <w:tab/>
      </w:r>
      <w:r>
        <w:tab/>
      </w:r>
      <w:r w:rsidRPr="00C54F64">
        <w:rPr>
          <w:i/>
        </w:rPr>
        <w:t>Id</w:t>
      </w:r>
      <w:r>
        <w:t>.</w:t>
      </w:r>
    </w:p>
  </w:footnote>
  <w:footnote w:id="110">
    <w:p w:rsidR="0067532B" w:rsidRPr="00363876" w:rsidRDefault="0067532B" w:rsidP="00883CBB">
      <w:pPr>
        <w:pStyle w:val="FootnoteText"/>
      </w:pPr>
      <w:r>
        <w:rPr>
          <w:rStyle w:val="FootnoteReference"/>
        </w:rPr>
        <w:footnoteRef/>
      </w:r>
      <w:r>
        <w:t xml:space="preserve"> </w:t>
      </w:r>
      <w:r>
        <w:tab/>
      </w:r>
      <w:r>
        <w:tab/>
      </w:r>
      <w:r w:rsidRPr="00C54F64">
        <w:rPr>
          <w:i/>
        </w:rPr>
        <w:t>Id</w:t>
      </w:r>
      <w:r>
        <w:t>.</w:t>
      </w:r>
    </w:p>
  </w:footnote>
  <w:footnote w:id="111">
    <w:p w:rsidR="0067532B" w:rsidRDefault="0067532B" w:rsidP="00883CBB">
      <w:pPr>
        <w:pStyle w:val="FootnoteText"/>
      </w:pPr>
      <w:r>
        <w:rPr>
          <w:rStyle w:val="FootnoteReference"/>
        </w:rPr>
        <w:footnoteRef/>
      </w:r>
      <w:r>
        <w:t xml:space="preserve"> </w:t>
      </w:r>
      <w:r>
        <w:tab/>
      </w:r>
      <w:r>
        <w:tab/>
      </w:r>
      <w:r>
        <w:rPr>
          <w:i/>
        </w:rPr>
        <w:t>Id.</w:t>
      </w:r>
    </w:p>
  </w:footnote>
  <w:footnote w:id="112">
    <w:p w:rsidR="0067532B" w:rsidRPr="00363876" w:rsidRDefault="0067532B" w:rsidP="00883CBB">
      <w:pPr>
        <w:pStyle w:val="FootnoteText"/>
      </w:pPr>
      <w:r>
        <w:rPr>
          <w:rStyle w:val="FootnoteReference"/>
        </w:rPr>
        <w:footnoteRef/>
      </w:r>
      <w:r>
        <w:t xml:space="preserve"> </w:t>
      </w:r>
      <w:r>
        <w:tab/>
      </w:r>
      <w:r>
        <w:tab/>
        <w:t>Staff Ex. 103 (Smith Testimony) at 53-54.</w:t>
      </w:r>
    </w:p>
  </w:footnote>
  <w:footnote w:id="113">
    <w:p w:rsidR="0067532B" w:rsidRPr="00363876" w:rsidRDefault="0067532B" w:rsidP="00883CBB">
      <w:pPr>
        <w:pStyle w:val="FootnoteText"/>
      </w:pPr>
      <w:r>
        <w:rPr>
          <w:rStyle w:val="FootnoteReference"/>
        </w:rPr>
        <w:footnoteRef/>
      </w:r>
      <w:r>
        <w:t xml:space="preserve"> </w:t>
      </w:r>
      <w:r>
        <w:tab/>
      </w:r>
      <w:r>
        <w:tab/>
      </w:r>
      <w:r>
        <w:rPr>
          <w:i/>
        </w:rPr>
        <w:t xml:space="preserve">Id. </w:t>
      </w:r>
      <w:r>
        <w:t>at 54.</w:t>
      </w:r>
    </w:p>
  </w:footnote>
  <w:footnote w:id="114">
    <w:p w:rsidR="0067532B" w:rsidRDefault="0067532B" w:rsidP="00883CBB">
      <w:pPr>
        <w:pStyle w:val="FootnoteText"/>
      </w:pPr>
      <w:r>
        <w:rPr>
          <w:rStyle w:val="FootnoteReference"/>
        </w:rPr>
        <w:footnoteRef/>
      </w:r>
      <w:r>
        <w:t xml:space="preserve"> </w:t>
      </w:r>
      <w:r>
        <w:tab/>
      </w:r>
      <w:r>
        <w:tab/>
      </w:r>
      <w:r>
        <w:rPr>
          <w:i/>
        </w:rPr>
        <w:t>Id.</w:t>
      </w:r>
    </w:p>
  </w:footnote>
  <w:footnote w:id="115">
    <w:p w:rsidR="0067532B" w:rsidRDefault="0067532B" w:rsidP="00883CBB">
      <w:pPr>
        <w:pStyle w:val="FootnoteText"/>
      </w:pPr>
      <w:r>
        <w:rPr>
          <w:rStyle w:val="FootnoteReference"/>
        </w:rPr>
        <w:footnoteRef/>
      </w:r>
      <w:r>
        <w:t xml:space="preserve"> </w:t>
      </w:r>
      <w:r>
        <w:tab/>
      </w:r>
      <w:r>
        <w:tab/>
      </w:r>
      <w:r>
        <w:rPr>
          <w:i/>
        </w:rPr>
        <w:t>Id.</w:t>
      </w:r>
    </w:p>
  </w:footnote>
  <w:footnote w:id="116">
    <w:p w:rsidR="0067532B" w:rsidRDefault="0067532B" w:rsidP="00883CBB">
      <w:pPr>
        <w:pStyle w:val="FootnoteText"/>
      </w:pPr>
      <w:r>
        <w:rPr>
          <w:rStyle w:val="FootnoteReference"/>
        </w:rPr>
        <w:footnoteRef/>
      </w:r>
      <w:r>
        <w:t xml:space="preserve"> </w:t>
      </w:r>
      <w:r>
        <w:tab/>
      </w:r>
      <w:r>
        <w:tab/>
      </w:r>
      <w:r>
        <w:rPr>
          <w:i/>
        </w:rPr>
        <w:t>Id.</w:t>
      </w:r>
    </w:p>
  </w:footnote>
  <w:footnote w:id="117">
    <w:p w:rsidR="0067532B" w:rsidRDefault="0067532B" w:rsidP="00883CBB">
      <w:pPr>
        <w:pStyle w:val="FootnoteText"/>
      </w:pPr>
      <w:r>
        <w:rPr>
          <w:rStyle w:val="FootnoteReference"/>
        </w:rPr>
        <w:footnoteRef/>
      </w:r>
      <w:r>
        <w:t xml:space="preserve"> </w:t>
      </w:r>
      <w:r>
        <w:tab/>
      </w:r>
      <w:r>
        <w:tab/>
      </w:r>
      <w:r>
        <w:rPr>
          <w:i/>
        </w:rPr>
        <w:t>Id.</w:t>
      </w:r>
    </w:p>
  </w:footnote>
  <w:footnote w:id="118">
    <w:p w:rsidR="0067532B" w:rsidRPr="00363876" w:rsidRDefault="0067532B" w:rsidP="00883CBB">
      <w:pPr>
        <w:pStyle w:val="FootnoteText"/>
      </w:pPr>
      <w:r>
        <w:rPr>
          <w:rStyle w:val="FootnoteReference"/>
        </w:rPr>
        <w:footnoteRef/>
      </w:r>
      <w:r>
        <w:t xml:space="preserve"> </w:t>
      </w:r>
      <w:r>
        <w:tab/>
      </w:r>
      <w:r>
        <w:tab/>
        <w:t>Staff Ex. 103 (Smith Testimony)</w:t>
      </w:r>
      <w:r>
        <w:rPr>
          <w:i/>
        </w:rPr>
        <w:t xml:space="preserve"> </w:t>
      </w:r>
      <w:r>
        <w:t>at 54-55.</w:t>
      </w:r>
    </w:p>
  </w:footnote>
  <w:footnote w:id="119">
    <w:p w:rsidR="0067532B" w:rsidRPr="00363876" w:rsidRDefault="0067532B" w:rsidP="00883CBB">
      <w:pPr>
        <w:pStyle w:val="FootnoteText"/>
      </w:pPr>
      <w:r>
        <w:rPr>
          <w:rStyle w:val="FootnoteReference"/>
        </w:rPr>
        <w:footnoteRef/>
      </w:r>
      <w:r>
        <w:t xml:space="preserve"> </w:t>
      </w:r>
      <w:r>
        <w:tab/>
      </w:r>
      <w:r>
        <w:tab/>
      </w:r>
      <w:r>
        <w:rPr>
          <w:i/>
        </w:rPr>
        <w:t xml:space="preserve">Id. </w:t>
      </w:r>
      <w:r>
        <w:t>at 55.</w:t>
      </w:r>
    </w:p>
  </w:footnote>
  <w:footnote w:id="120">
    <w:p w:rsidR="0067532B" w:rsidRDefault="0067532B" w:rsidP="00883CBB">
      <w:pPr>
        <w:pStyle w:val="FootnoteText"/>
      </w:pPr>
      <w:r>
        <w:rPr>
          <w:rStyle w:val="FootnoteReference"/>
        </w:rPr>
        <w:footnoteRef/>
      </w:r>
      <w:r>
        <w:t xml:space="preserve"> </w:t>
      </w:r>
      <w:r>
        <w:tab/>
      </w:r>
      <w:r>
        <w:tab/>
      </w:r>
      <w:r>
        <w:rPr>
          <w:i/>
        </w:rPr>
        <w:t>Id.</w:t>
      </w:r>
    </w:p>
  </w:footnote>
  <w:footnote w:id="121">
    <w:p w:rsidR="0067532B" w:rsidRDefault="0067532B" w:rsidP="00883CBB">
      <w:pPr>
        <w:pStyle w:val="FootnoteText"/>
      </w:pPr>
      <w:r>
        <w:rPr>
          <w:rStyle w:val="FootnoteReference"/>
        </w:rPr>
        <w:footnoteRef/>
      </w:r>
      <w:r>
        <w:t xml:space="preserve"> </w:t>
      </w:r>
      <w:r>
        <w:tab/>
      </w:r>
      <w:r>
        <w:tab/>
      </w:r>
      <w:r>
        <w:rPr>
          <w:i/>
        </w:rPr>
        <w:t>Id.</w:t>
      </w:r>
    </w:p>
  </w:footnote>
  <w:footnote w:id="122">
    <w:p w:rsidR="0067532B" w:rsidRDefault="0067532B" w:rsidP="00883CBB">
      <w:pPr>
        <w:pStyle w:val="FootnoteText"/>
      </w:pPr>
      <w:r>
        <w:rPr>
          <w:rStyle w:val="FootnoteReference"/>
        </w:rPr>
        <w:footnoteRef/>
      </w:r>
      <w:r>
        <w:t xml:space="preserve"> </w:t>
      </w:r>
      <w:r>
        <w:tab/>
      </w:r>
      <w:r>
        <w:tab/>
      </w:r>
      <w:r>
        <w:rPr>
          <w:i/>
        </w:rPr>
        <w:t>Id.</w:t>
      </w:r>
    </w:p>
  </w:footnote>
  <w:footnote w:id="123">
    <w:p w:rsidR="0067532B" w:rsidRPr="00324CFC" w:rsidRDefault="0067532B" w:rsidP="00883CBB">
      <w:pPr>
        <w:pStyle w:val="FootnoteText"/>
      </w:pPr>
      <w:r>
        <w:rPr>
          <w:rStyle w:val="FootnoteReference"/>
        </w:rPr>
        <w:footnoteRef/>
      </w:r>
      <w:r>
        <w:t xml:space="preserve"> </w:t>
      </w:r>
      <w:r>
        <w:tab/>
      </w:r>
      <w:r>
        <w:tab/>
        <w:t>Staff Ex. 103 (Smith Testimony)</w:t>
      </w:r>
      <w:r>
        <w:rPr>
          <w:i/>
        </w:rPr>
        <w:t xml:space="preserve"> </w:t>
      </w:r>
      <w:r>
        <w:t>at 55-56.</w:t>
      </w:r>
    </w:p>
  </w:footnote>
  <w:footnote w:id="124">
    <w:p w:rsidR="0067532B" w:rsidRPr="00324CFC" w:rsidRDefault="0067532B" w:rsidP="00883CBB">
      <w:pPr>
        <w:pStyle w:val="FootnoteText"/>
      </w:pPr>
      <w:r>
        <w:rPr>
          <w:rStyle w:val="FootnoteReference"/>
        </w:rPr>
        <w:footnoteRef/>
      </w:r>
      <w:r>
        <w:t xml:space="preserve"> </w:t>
      </w:r>
      <w:r>
        <w:tab/>
      </w:r>
      <w:r>
        <w:tab/>
        <w:t>Staff Ex. 103 (Smith Testimony) at 57.</w:t>
      </w:r>
    </w:p>
  </w:footnote>
  <w:footnote w:id="125">
    <w:p w:rsidR="0067532B" w:rsidRPr="00324CFC" w:rsidRDefault="0067532B" w:rsidP="00883CBB">
      <w:pPr>
        <w:pStyle w:val="FootnoteText"/>
      </w:pPr>
      <w:r>
        <w:rPr>
          <w:rStyle w:val="FootnoteReference"/>
        </w:rPr>
        <w:footnoteRef/>
      </w:r>
      <w:r>
        <w:t xml:space="preserve"> </w:t>
      </w:r>
      <w:r>
        <w:tab/>
      </w:r>
      <w:r>
        <w:tab/>
      </w:r>
      <w:r>
        <w:rPr>
          <w:i/>
        </w:rPr>
        <w:t xml:space="preserve">Id. </w:t>
      </w:r>
      <w:r>
        <w:t>at 58.</w:t>
      </w:r>
    </w:p>
  </w:footnote>
  <w:footnote w:id="126">
    <w:p w:rsidR="0067532B" w:rsidRDefault="0067532B" w:rsidP="00883CBB">
      <w:pPr>
        <w:pStyle w:val="FootnoteText"/>
      </w:pPr>
      <w:r>
        <w:rPr>
          <w:rStyle w:val="FootnoteReference"/>
        </w:rPr>
        <w:footnoteRef/>
      </w:r>
      <w:r>
        <w:t xml:space="preserve"> </w:t>
      </w:r>
      <w:r>
        <w:tab/>
      </w:r>
      <w:r>
        <w:tab/>
      </w:r>
      <w:r>
        <w:rPr>
          <w:i/>
        </w:rPr>
        <w:t xml:space="preserve">Id. </w:t>
      </w:r>
      <w:r>
        <w:t>at</w:t>
      </w:r>
      <w:r w:rsidRPr="00A35AC7">
        <w:t xml:space="preserve"> RCS-1 and RCS-2, Schedule E, for each company.</w:t>
      </w:r>
    </w:p>
  </w:footnote>
  <w:footnote w:id="127">
    <w:p w:rsidR="0067532B" w:rsidRPr="00324CFC" w:rsidRDefault="0067532B" w:rsidP="00883CBB">
      <w:pPr>
        <w:pStyle w:val="FootnoteText"/>
      </w:pPr>
      <w:r>
        <w:rPr>
          <w:rStyle w:val="FootnoteReference"/>
        </w:rPr>
        <w:footnoteRef/>
      </w:r>
      <w:r>
        <w:t xml:space="preserve"> </w:t>
      </w:r>
      <w:r>
        <w:tab/>
      </w:r>
      <w:r>
        <w:tab/>
      </w:r>
      <w:r>
        <w:rPr>
          <w:i/>
        </w:rPr>
        <w:t xml:space="preserve">Id. </w:t>
      </w:r>
      <w:r>
        <w:t>at 58.</w:t>
      </w:r>
    </w:p>
  </w:footnote>
  <w:footnote w:id="128">
    <w:p w:rsidR="0067532B" w:rsidRDefault="0067532B" w:rsidP="00883CBB">
      <w:pPr>
        <w:pStyle w:val="FootnoteText"/>
      </w:pPr>
      <w:r>
        <w:rPr>
          <w:rStyle w:val="FootnoteReference"/>
        </w:rPr>
        <w:footnoteRef/>
      </w:r>
      <w:r>
        <w:t xml:space="preserve"> </w:t>
      </w:r>
      <w:r>
        <w:tab/>
      </w:r>
      <w:r>
        <w:tab/>
      </w:r>
      <w:r>
        <w:rPr>
          <w:i/>
        </w:rPr>
        <w:t>Id.</w:t>
      </w:r>
    </w:p>
  </w:footnote>
  <w:footnote w:id="129">
    <w:p w:rsidR="0067532B" w:rsidRDefault="0067532B" w:rsidP="00883CBB">
      <w:pPr>
        <w:pStyle w:val="FootnoteText"/>
      </w:pPr>
      <w:r>
        <w:rPr>
          <w:rStyle w:val="FootnoteReference"/>
        </w:rPr>
        <w:footnoteRef/>
      </w:r>
      <w:r>
        <w:t xml:space="preserve"> </w:t>
      </w:r>
      <w:r>
        <w:tab/>
      </w:r>
      <w:r>
        <w:tab/>
        <w:t>Staff Ex. 103 (Smith Testimony) at 58</w:t>
      </w:r>
      <w:r>
        <w:rPr>
          <w:i/>
        </w:rPr>
        <w:t>.</w:t>
      </w:r>
    </w:p>
  </w:footnote>
  <w:footnote w:id="130">
    <w:p w:rsidR="0067532B" w:rsidRDefault="0067532B" w:rsidP="00883CBB">
      <w:pPr>
        <w:pStyle w:val="FootnoteText"/>
      </w:pPr>
      <w:r>
        <w:rPr>
          <w:rStyle w:val="FootnoteReference"/>
        </w:rPr>
        <w:footnoteRef/>
      </w:r>
      <w:r>
        <w:t xml:space="preserve"> </w:t>
      </w:r>
      <w:r>
        <w:tab/>
      </w:r>
      <w:r>
        <w:tab/>
      </w:r>
      <w:r>
        <w:rPr>
          <w:i/>
        </w:rPr>
        <w:t>Id.</w:t>
      </w:r>
    </w:p>
  </w:footnote>
  <w:footnote w:id="131">
    <w:p w:rsidR="0067532B" w:rsidRDefault="0067532B" w:rsidP="00883CBB">
      <w:pPr>
        <w:pStyle w:val="FootnoteText"/>
      </w:pPr>
      <w:r>
        <w:rPr>
          <w:rStyle w:val="FootnoteReference"/>
        </w:rPr>
        <w:footnoteRef/>
      </w:r>
      <w:r>
        <w:t xml:space="preserve"> </w:t>
      </w:r>
      <w:r>
        <w:tab/>
      </w:r>
      <w:r>
        <w:tab/>
      </w:r>
      <w:r>
        <w:rPr>
          <w:i/>
        </w:rPr>
        <w:t xml:space="preserve">Id. </w:t>
      </w:r>
      <w:r>
        <w:t xml:space="preserve">at </w:t>
      </w:r>
      <w:r w:rsidRPr="00A35AC7">
        <w:t>Exhibits RCS-1 and RCS-2, Schedule F</w:t>
      </w:r>
      <w:r>
        <w:t>.</w:t>
      </w:r>
    </w:p>
  </w:footnote>
  <w:footnote w:id="132">
    <w:p w:rsidR="0067532B" w:rsidRPr="009C1F5E" w:rsidRDefault="0067532B" w:rsidP="00883CBB">
      <w:pPr>
        <w:pStyle w:val="FootnoteText"/>
      </w:pPr>
      <w:r>
        <w:rPr>
          <w:rStyle w:val="FootnoteReference"/>
        </w:rPr>
        <w:footnoteRef/>
      </w:r>
      <w:r>
        <w:t xml:space="preserve"> </w:t>
      </w:r>
      <w:r>
        <w:tab/>
      </w:r>
      <w:r>
        <w:tab/>
      </w:r>
      <w:r>
        <w:rPr>
          <w:i/>
        </w:rPr>
        <w:t xml:space="preserve">Id. </w:t>
      </w:r>
      <w:r>
        <w:t>at 59.</w:t>
      </w:r>
    </w:p>
  </w:footnote>
  <w:footnote w:id="133">
    <w:p w:rsidR="0067532B" w:rsidRPr="009C1F5E" w:rsidRDefault="0067532B" w:rsidP="00883CBB">
      <w:pPr>
        <w:pStyle w:val="FootnoteText"/>
      </w:pPr>
      <w:r>
        <w:rPr>
          <w:rStyle w:val="FootnoteReference"/>
        </w:rPr>
        <w:footnoteRef/>
      </w:r>
      <w:r>
        <w:t xml:space="preserve"> </w:t>
      </w:r>
      <w:r>
        <w:tab/>
      </w:r>
      <w:r>
        <w:tab/>
      </w:r>
      <w:r w:rsidRPr="00C54F64">
        <w:rPr>
          <w:i/>
        </w:rPr>
        <w:t>Id</w:t>
      </w:r>
      <w:r>
        <w:t>.</w:t>
      </w:r>
    </w:p>
  </w:footnote>
  <w:footnote w:id="134">
    <w:p w:rsidR="0067532B" w:rsidRPr="009C1F5E" w:rsidRDefault="0067532B" w:rsidP="00883CBB">
      <w:pPr>
        <w:pStyle w:val="FootnoteText"/>
      </w:pPr>
      <w:r>
        <w:rPr>
          <w:rStyle w:val="FootnoteReference"/>
        </w:rPr>
        <w:footnoteRef/>
      </w:r>
      <w:r>
        <w:t xml:space="preserve"> </w:t>
      </w:r>
      <w:r>
        <w:tab/>
      </w:r>
      <w:r>
        <w:tab/>
      </w:r>
      <w:r w:rsidRPr="00C54F64">
        <w:rPr>
          <w:i/>
        </w:rPr>
        <w:t>Id</w:t>
      </w:r>
      <w:r>
        <w:t>.</w:t>
      </w:r>
    </w:p>
  </w:footnote>
  <w:footnote w:id="135">
    <w:p w:rsidR="0067532B" w:rsidRPr="009C1F5E" w:rsidRDefault="0067532B" w:rsidP="00883CBB">
      <w:pPr>
        <w:pStyle w:val="FootnoteText"/>
      </w:pPr>
      <w:r>
        <w:rPr>
          <w:rStyle w:val="FootnoteReference"/>
        </w:rPr>
        <w:footnoteRef/>
      </w:r>
      <w:r>
        <w:t xml:space="preserve"> </w:t>
      </w:r>
      <w:r>
        <w:tab/>
      </w:r>
      <w:r>
        <w:tab/>
      </w:r>
      <w:r w:rsidRPr="00C54F64">
        <w:rPr>
          <w:i/>
        </w:rPr>
        <w:t>Id</w:t>
      </w:r>
      <w:r>
        <w:t>.</w:t>
      </w:r>
    </w:p>
  </w:footnote>
  <w:footnote w:id="136">
    <w:p w:rsidR="0067532B" w:rsidRPr="009C1F5E" w:rsidRDefault="0067532B" w:rsidP="00883CBB">
      <w:pPr>
        <w:pStyle w:val="FootnoteText"/>
      </w:pPr>
      <w:r>
        <w:rPr>
          <w:rStyle w:val="FootnoteReference"/>
        </w:rPr>
        <w:footnoteRef/>
      </w:r>
      <w:r>
        <w:t xml:space="preserve"> </w:t>
      </w:r>
      <w:r>
        <w:tab/>
      </w:r>
      <w:r>
        <w:tab/>
        <w:t>Staff Ex. 103 (Smith Testimony)</w:t>
      </w:r>
      <w:r>
        <w:rPr>
          <w:i/>
        </w:rPr>
        <w:t xml:space="preserve"> </w:t>
      </w:r>
      <w:r>
        <w:t>at 60.</w:t>
      </w:r>
    </w:p>
  </w:footnote>
  <w:footnote w:id="137">
    <w:p w:rsidR="0067532B" w:rsidRPr="009C1F5E" w:rsidRDefault="0067532B" w:rsidP="00883CBB">
      <w:pPr>
        <w:pStyle w:val="FootnoteText"/>
      </w:pPr>
      <w:r>
        <w:rPr>
          <w:rStyle w:val="FootnoteReference"/>
        </w:rPr>
        <w:footnoteRef/>
      </w:r>
      <w:r>
        <w:t xml:space="preserve"> </w:t>
      </w:r>
      <w:r>
        <w:tab/>
      </w:r>
      <w:r>
        <w:tab/>
      </w:r>
      <w:r w:rsidRPr="00C54F64">
        <w:rPr>
          <w:i/>
        </w:rPr>
        <w:t>Id</w:t>
      </w:r>
      <w:r>
        <w:t>.</w:t>
      </w:r>
    </w:p>
  </w:footnote>
  <w:footnote w:id="138">
    <w:p w:rsidR="0067532B" w:rsidRPr="009C1F5E" w:rsidRDefault="0067532B" w:rsidP="00883CBB">
      <w:pPr>
        <w:pStyle w:val="FootnoteText"/>
      </w:pPr>
      <w:r>
        <w:rPr>
          <w:rStyle w:val="FootnoteReference"/>
        </w:rPr>
        <w:footnoteRef/>
      </w:r>
      <w:r>
        <w:t xml:space="preserve"> </w:t>
      </w:r>
      <w:r>
        <w:tab/>
      </w:r>
      <w:r>
        <w:tab/>
      </w:r>
      <w:r w:rsidRPr="00C54F64">
        <w:rPr>
          <w:i/>
        </w:rPr>
        <w:t>Id</w:t>
      </w:r>
      <w:r>
        <w:t>.</w:t>
      </w:r>
    </w:p>
  </w:footnote>
  <w:footnote w:id="139">
    <w:p w:rsidR="0067532B" w:rsidRPr="009C1F5E" w:rsidRDefault="0067532B" w:rsidP="00883CBB">
      <w:pPr>
        <w:pStyle w:val="FootnoteText"/>
      </w:pPr>
      <w:r>
        <w:rPr>
          <w:rStyle w:val="FootnoteReference"/>
        </w:rPr>
        <w:footnoteRef/>
      </w:r>
      <w:r>
        <w:t xml:space="preserve"> </w:t>
      </w:r>
      <w:r>
        <w:tab/>
      </w:r>
      <w:r>
        <w:tab/>
      </w:r>
      <w:r w:rsidRPr="00C54F64">
        <w:rPr>
          <w:i/>
        </w:rPr>
        <w:t>Id</w:t>
      </w:r>
      <w:r>
        <w:t>.</w:t>
      </w:r>
    </w:p>
  </w:footnote>
  <w:footnote w:id="140">
    <w:p w:rsidR="0067532B" w:rsidRPr="009C1F5E" w:rsidRDefault="0067532B" w:rsidP="00883CBB">
      <w:pPr>
        <w:pStyle w:val="FootnoteText"/>
      </w:pPr>
      <w:r>
        <w:rPr>
          <w:rStyle w:val="FootnoteReference"/>
        </w:rPr>
        <w:footnoteRef/>
      </w:r>
      <w:r>
        <w:t xml:space="preserve"> </w:t>
      </w:r>
      <w:r>
        <w:tab/>
      </w:r>
      <w:r>
        <w:tab/>
      </w:r>
      <w:r w:rsidRPr="00C54F64">
        <w:rPr>
          <w:i/>
        </w:rPr>
        <w:t>Id</w:t>
      </w:r>
      <w:r>
        <w:t>.</w:t>
      </w:r>
    </w:p>
  </w:footnote>
  <w:footnote w:id="141">
    <w:p w:rsidR="0067532B" w:rsidRPr="009C1F5E" w:rsidRDefault="0067532B" w:rsidP="00883CBB">
      <w:pPr>
        <w:pStyle w:val="FootnoteText"/>
      </w:pPr>
      <w:r>
        <w:rPr>
          <w:rStyle w:val="FootnoteReference"/>
        </w:rPr>
        <w:footnoteRef/>
      </w:r>
      <w:r>
        <w:t xml:space="preserve"> </w:t>
      </w:r>
      <w:r>
        <w:tab/>
      </w:r>
      <w:r>
        <w:tab/>
        <w:t>Staff Ex. 103 (Smith Testimony) at 60.</w:t>
      </w:r>
    </w:p>
  </w:footnote>
  <w:footnote w:id="142">
    <w:p w:rsidR="0067532B" w:rsidRPr="009C1F5E" w:rsidRDefault="0067532B" w:rsidP="00883CBB">
      <w:pPr>
        <w:pStyle w:val="FootnoteText"/>
      </w:pPr>
      <w:r>
        <w:rPr>
          <w:rStyle w:val="FootnoteReference"/>
        </w:rPr>
        <w:footnoteRef/>
      </w:r>
      <w:r>
        <w:t xml:space="preserve"> </w:t>
      </w:r>
      <w:r>
        <w:tab/>
      </w:r>
      <w:r>
        <w:tab/>
      </w:r>
      <w:r w:rsidRPr="002E4B56">
        <w:rPr>
          <w:i/>
        </w:rPr>
        <w:t>Id</w:t>
      </w:r>
      <w:r>
        <w:t>.</w:t>
      </w:r>
    </w:p>
  </w:footnote>
  <w:footnote w:id="143">
    <w:p w:rsidR="0067532B" w:rsidRPr="00A3652F" w:rsidRDefault="0067532B" w:rsidP="00883CBB">
      <w:pPr>
        <w:pStyle w:val="FootnoteText"/>
      </w:pPr>
      <w:r>
        <w:rPr>
          <w:rStyle w:val="FootnoteReference"/>
        </w:rPr>
        <w:footnoteRef/>
      </w:r>
      <w:r>
        <w:t xml:space="preserve"> </w:t>
      </w:r>
      <w:r>
        <w:tab/>
      </w:r>
      <w:r>
        <w:tab/>
      </w:r>
      <w:r>
        <w:rPr>
          <w:i/>
        </w:rPr>
        <w:t xml:space="preserve">Id. </w:t>
      </w:r>
      <w:r>
        <w:t>at 61.</w:t>
      </w:r>
    </w:p>
  </w:footnote>
  <w:footnote w:id="144">
    <w:p w:rsidR="0067532B" w:rsidRPr="00A3652F" w:rsidRDefault="0067532B" w:rsidP="00883CBB">
      <w:pPr>
        <w:pStyle w:val="FootnoteText"/>
      </w:pPr>
      <w:r>
        <w:rPr>
          <w:rStyle w:val="FootnoteReference"/>
        </w:rPr>
        <w:footnoteRef/>
      </w:r>
      <w:r>
        <w:t xml:space="preserve"> </w:t>
      </w:r>
      <w:r>
        <w:tab/>
      </w:r>
      <w:r>
        <w:tab/>
      </w:r>
      <w:r w:rsidRPr="002E4B56">
        <w:rPr>
          <w:i/>
        </w:rPr>
        <w:t>Id</w:t>
      </w:r>
      <w:r>
        <w:t>.</w:t>
      </w:r>
    </w:p>
  </w:footnote>
  <w:footnote w:id="145">
    <w:p w:rsidR="0067532B" w:rsidRPr="00A3652F" w:rsidRDefault="0067532B" w:rsidP="00883CBB">
      <w:pPr>
        <w:pStyle w:val="FootnoteText"/>
      </w:pPr>
      <w:r>
        <w:rPr>
          <w:rStyle w:val="FootnoteReference"/>
        </w:rPr>
        <w:footnoteRef/>
      </w:r>
      <w:r>
        <w:t xml:space="preserve"> </w:t>
      </w:r>
      <w:r>
        <w:tab/>
      </w:r>
      <w:r>
        <w:tab/>
      </w:r>
      <w:r w:rsidRPr="002E4B56">
        <w:rPr>
          <w:i/>
        </w:rPr>
        <w:t>Id</w:t>
      </w:r>
      <w:r>
        <w:t>.</w:t>
      </w:r>
    </w:p>
  </w:footnote>
  <w:footnote w:id="146">
    <w:p w:rsidR="0067532B" w:rsidRPr="00A3652F" w:rsidRDefault="0067532B" w:rsidP="00883CBB">
      <w:pPr>
        <w:pStyle w:val="FootnoteText"/>
      </w:pPr>
      <w:r>
        <w:rPr>
          <w:rStyle w:val="FootnoteReference"/>
        </w:rPr>
        <w:footnoteRef/>
      </w:r>
      <w:r>
        <w:t xml:space="preserve"> </w:t>
      </w:r>
      <w:r>
        <w:tab/>
      </w:r>
      <w:r>
        <w:tab/>
      </w:r>
      <w:r w:rsidRPr="002E4B56">
        <w:rPr>
          <w:i/>
        </w:rPr>
        <w:t>Id</w:t>
      </w:r>
      <w:r>
        <w:t>.</w:t>
      </w:r>
    </w:p>
  </w:footnote>
  <w:footnote w:id="147">
    <w:p w:rsidR="0067532B" w:rsidRPr="00A3652F" w:rsidRDefault="0067532B" w:rsidP="00883CBB">
      <w:pPr>
        <w:pStyle w:val="FootnoteText"/>
      </w:pPr>
      <w:r>
        <w:rPr>
          <w:rStyle w:val="FootnoteReference"/>
        </w:rPr>
        <w:footnoteRef/>
      </w:r>
      <w:r>
        <w:t xml:space="preserve"> </w:t>
      </w:r>
      <w:r>
        <w:tab/>
      </w:r>
      <w:r>
        <w:tab/>
      </w:r>
      <w:r w:rsidRPr="002E4B56">
        <w:rPr>
          <w:i/>
        </w:rPr>
        <w:t>Id</w:t>
      </w:r>
      <w:r>
        <w:t>.</w:t>
      </w:r>
    </w:p>
  </w:footnote>
  <w:footnote w:id="148">
    <w:p w:rsidR="0067532B" w:rsidRPr="00A3652F" w:rsidRDefault="0067532B" w:rsidP="00883CBB">
      <w:pPr>
        <w:pStyle w:val="FootnoteText"/>
      </w:pPr>
      <w:r>
        <w:rPr>
          <w:rStyle w:val="FootnoteReference"/>
        </w:rPr>
        <w:footnoteRef/>
      </w:r>
      <w:r>
        <w:t xml:space="preserve"> </w:t>
      </w:r>
      <w:r>
        <w:tab/>
      </w:r>
      <w:r>
        <w:tab/>
        <w:t>Staff Ex. 103 (Smith Testimony) at 61.</w:t>
      </w:r>
    </w:p>
  </w:footnote>
  <w:footnote w:id="149">
    <w:p w:rsidR="0067532B" w:rsidRPr="00A3652F" w:rsidRDefault="0067532B" w:rsidP="00883CBB">
      <w:pPr>
        <w:pStyle w:val="FootnoteText"/>
      </w:pPr>
      <w:r>
        <w:rPr>
          <w:rStyle w:val="FootnoteReference"/>
        </w:rPr>
        <w:footnoteRef/>
      </w:r>
      <w:r>
        <w:t xml:space="preserve"> </w:t>
      </w:r>
      <w:r>
        <w:tab/>
      </w:r>
      <w:r>
        <w:tab/>
      </w:r>
      <w:r w:rsidRPr="002E4B56">
        <w:rPr>
          <w:i/>
        </w:rPr>
        <w:t>Id</w:t>
      </w:r>
      <w:r>
        <w:t>.</w:t>
      </w:r>
    </w:p>
  </w:footnote>
  <w:footnote w:id="150">
    <w:p w:rsidR="0067532B" w:rsidRPr="00B004E1" w:rsidRDefault="0067532B" w:rsidP="00883CBB">
      <w:pPr>
        <w:pStyle w:val="FootnoteText"/>
      </w:pPr>
      <w:r>
        <w:rPr>
          <w:rStyle w:val="FootnoteReference"/>
        </w:rPr>
        <w:footnoteRef/>
      </w:r>
      <w:r>
        <w:t xml:space="preserve"> </w:t>
      </w:r>
      <w:r>
        <w:tab/>
      </w:r>
      <w:r>
        <w:tab/>
        <w:t>Staff Ex. 105 (</w:t>
      </w:r>
      <w:r w:rsidR="00080F38">
        <w:t>Medine Testimony</w:t>
      </w:r>
      <w:r>
        <w:t>).</w:t>
      </w:r>
    </w:p>
  </w:footnote>
  <w:footnote w:id="151">
    <w:p w:rsidR="0067532B" w:rsidRPr="00B004E1" w:rsidRDefault="0067532B" w:rsidP="00883CBB">
      <w:pPr>
        <w:pStyle w:val="FootnoteText"/>
        <w:rPr>
          <w:i/>
        </w:rPr>
      </w:pPr>
      <w:r>
        <w:rPr>
          <w:rStyle w:val="FootnoteReference"/>
        </w:rPr>
        <w:footnoteRef/>
      </w:r>
      <w:r>
        <w:t xml:space="preserve"> </w:t>
      </w:r>
      <w:r>
        <w:tab/>
      </w:r>
      <w:r>
        <w:tab/>
        <w:t>Staff Ex. 103 (Smith Testimony) at 62</w:t>
      </w:r>
      <w:r>
        <w:rPr>
          <w:i/>
        </w:rPr>
        <w:t>.</w:t>
      </w:r>
    </w:p>
  </w:footnote>
  <w:footnote w:id="152">
    <w:p w:rsidR="0067532B" w:rsidRDefault="0067532B" w:rsidP="00883CBB">
      <w:pPr>
        <w:pStyle w:val="FootnoteText"/>
      </w:pPr>
      <w:r>
        <w:rPr>
          <w:rStyle w:val="FootnoteReference"/>
        </w:rPr>
        <w:footnoteRef/>
      </w:r>
      <w:r>
        <w:t xml:space="preserve"> </w:t>
      </w:r>
      <w:r>
        <w:tab/>
      </w:r>
      <w:r>
        <w:tab/>
        <w:t>Staff Ex. 105 (Medine Testimony) at 19-20.</w:t>
      </w:r>
    </w:p>
  </w:footnote>
  <w:footnote w:id="153">
    <w:p w:rsidR="0067532B" w:rsidRDefault="0067532B" w:rsidP="00883CBB">
      <w:pPr>
        <w:pStyle w:val="FootnoteText"/>
      </w:pPr>
      <w:r>
        <w:rPr>
          <w:rStyle w:val="FootnoteReference"/>
        </w:rPr>
        <w:footnoteRef/>
      </w:r>
      <w:r>
        <w:t xml:space="preserve"> </w:t>
      </w:r>
      <w:r>
        <w:tab/>
      </w:r>
      <w:r>
        <w:tab/>
        <w:t>Staff Ex. 101 (Harter Testimony) at 6.</w:t>
      </w:r>
    </w:p>
  </w:footnote>
  <w:footnote w:id="154">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55">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56">
    <w:p w:rsidR="0067532B" w:rsidRDefault="0067532B" w:rsidP="00883CBB">
      <w:pPr>
        <w:pStyle w:val="FootnoteText"/>
      </w:pPr>
      <w:r>
        <w:rPr>
          <w:rStyle w:val="FootnoteReference"/>
        </w:rPr>
        <w:footnoteRef/>
      </w:r>
      <w:r>
        <w:t xml:space="preserve"> </w:t>
      </w:r>
      <w:r>
        <w:tab/>
      </w:r>
      <w:r>
        <w:tab/>
        <w:t>Tr. Vol. XII at 2766.</w:t>
      </w:r>
    </w:p>
  </w:footnote>
  <w:footnote w:id="157">
    <w:p w:rsidR="0067532B" w:rsidRDefault="0067532B" w:rsidP="00883CBB">
      <w:pPr>
        <w:pStyle w:val="FootnoteText"/>
      </w:pPr>
      <w:r>
        <w:rPr>
          <w:rStyle w:val="FootnoteReference"/>
        </w:rPr>
        <w:footnoteRef/>
      </w:r>
      <w:r>
        <w:t xml:space="preserve"> </w:t>
      </w:r>
      <w:r>
        <w:tab/>
      </w:r>
      <w:r>
        <w:tab/>
        <w:t>Tr. Vol. X at 2146, 2149; Tr. Vol. XII at 2637.</w:t>
      </w:r>
    </w:p>
  </w:footnote>
  <w:footnote w:id="158">
    <w:p w:rsidR="0067532B" w:rsidRDefault="0067532B" w:rsidP="00883CBB">
      <w:pPr>
        <w:pStyle w:val="FootnoteText"/>
      </w:pPr>
      <w:r>
        <w:rPr>
          <w:rStyle w:val="FootnoteReference"/>
        </w:rPr>
        <w:footnoteRef/>
      </w:r>
      <w:r>
        <w:t xml:space="preserve"> </w:t>
      </w:r>
      <w:r>
        <w:tab/>
      </w:r>
      <w:r>
        <w:tab/>
        <w:t>Tr. Vol. X at 2171.</w:t>
      </w:r>
    </w:p>
  </w:footnote>
  <w:footnote w:id="159">
    <w:p w:rsidR="0067532B" w:rsidRDefault="0067532B" w:rsidP="00883CBB">
      <w:pPr>
        <w:pStyle w:val="FootnoteText"/>
      </w:pPr>
      <w:r>
        <w:rPr>
          <w:rStyle w:val="FootnoteReference"/>
        </w:rPr>
        <w:footnoteRef/>
      </w:r>
      <w:r>
        <w:t xml:space="preserve"> </w:t>
      </w:r>
      <w:r>
        <w:tab/>
      </w:r>
      <w:r>
        <w:tab/>
      </w:r>
      <w:r w:rsidRPr="00425E46">
        <w:rPr>
          <w:i/>
        </w:rPr>
        <w:t>Id</w:t>
      </w:r>
      <w:r>
        <w:rPr>
          <w:i/>
        </w:rPr>
        <w:t>.</w:t>
      </w:r>
      <w:r>
        <w:t xml:space="preserve"> at 2173-2174.</w:t>
      </w:r>
    </w:p>
  </w:footnote>
  <w:footnote w:id="160">
    <w:p w:rsidR="0067532B" w:rsidRDefault="0067532B" w:rsidP="00883CBB">
      <w:pPr>
        <w:pStyle w:val="FootnoteText"/>
      </w:pPr>
      <w:r>
        <w:rPr>
          <w:rStyle w:val="FootnoteReference"/>
        </w:rPr>
        <w:footnoteRef/>
      </w:r>
      <w:r>
        <w:t xml:space="preserve"> </w:t>
      </w:r>
      <w:r>
        <w:tab/>
      </w:r>
      <w:r>
        <w:tab/>
        <w:t>Staff Ex. 101 (Harter Testimony) at 6-7.</w:t>
      </w:r>
    </w:p>
  </w:footnote>
  <w:footnote w:id="161">
    <w:p w:rsidR="0067532B" w:rsidRDefault="0067532B" w:rsidP="00883CBB">
      <w:pPr>
        <w:pStyle w:val="FootnoteText"/>
      </w:pPr>
      <w:r>
        <w:rPr>
          <w:rStyle w:val="FootnoteReference"/>
        </w:rPr>
        <w:footnoteRef/>
      </w:r>
      <w:r>
        <w:t xml:space="preserve"> </w:t>
      </w:r>
      <w:r>
        <w:tab/>
      </w:r>
      <w:r>
        <w:tab/>
        <w:t>Tr. Vol. X at 2157.</w:t>
      </w:r>
    </w:p>
  </w:footnote>
  <w:footnote w:id="162">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63">
    <w:p w:rsidR="0067532B" w:rsidRDefault="0067532B" w:rsidP="00883CBB">
      <w:pPr>
        <w:pStyle w:val="FootnoteText"/>
      </w:pPr>
      <w:r>
        <w:rPr>
          <w:rStyle w:val="FootnoteReference"/>
        </w:rPr>
        <w:footnoteRef/>
      </w:r>
      <w:r>
        <w:t xml:space="preserve"> </w:t>
      </w:r>
      <w:r>
        <w:tab/>
      </w:r>
      <w:r>
        <w:tab/>
        <w:t xml:space="preserve">Staff </w:t>
      </w:r>
      <w:r w:rsidR="00080F38">
        <w:t>Ex. 101</w:t>
      </w:r>
      <w:r>
        <w:t xml:space="preserve"> (Harter Testimony) at 7.</w:t>
      </w:r>
    </w:p>
  </w:footnote>
  <w:footnote w:id="164">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65">
    <w:p w:rsidR="0067532B" w:rsidRDefault="0067532B" w:rsidP="00883CBB">
      <w:pPr>
        <w:pStyle w:val="FootnoteText"/>
      </w:pPr>
      <w:r>
        <w:rPr>
          <w:rStyle w:val="FootnoteReference"/>
        </w:rPr>
        <w:footnoteRef/>
      </w:r>
      <w:r>
        <w:t xml:space="preserve"> </w:t>
      </w:r>
      <w:r>
        <w:tab/>
      </w:r>
      <w:r>
        <w:tab/>
        <w:t>Staff Ex. 105 (Medine Testimony) at 5-6.</w:t>
      </w:r>
    </w:p>
  </w:footnote>
  <w:footnote w:id="166">
    <w:p w:rsidR="0067532B" w:rsidRDefault="0067532B" w:rsidP="00883CBB">
      <w:pPr>
        <w:pStyle w:val="FootnoteText"/>
      </w:pPr>
      <w:r>
        <w:rPr>
          <w:rStyle w:val="FootnoteReference"/>
        </w:rPr>
        <w:footnoteRef/>
      </w:r>
      <w:r>
        <w:t xml:space="preserve"> </w:t>
      </w:r>
      <w:r>
        <w:tab/>
      </w:r>
      <w:r>
        <w:tab/>
        <w:t>Staff Ex. 105 (Medine Testimony) at 5-6.</w:t>
      </w:r>
    </w:p>
  </w:footnote>
  <w:footnote w:id="167">
    <w:p w:rsidR="0067532B" w:rsidRDefault="0067532B" w:rsidP="00883CBB">
      <w:pPr>
        <w:pStyle w:val="FootnoteText"/>
      </w:pPr>
      <w:r>
        <w:rPr>
          <w:rStyle w:val="FootnoteReference"/>
        </w:rPr>
        <w:footnoteRef/>
      </w:r>
      <w:r>
        <w:t xml:space="preserve"> </w:t>
      </w:r>
      <w:r>
        <w:tab/>
      </w:r>
      <w:r>
        <w:tab/>
      </w:r>
      <w:r>
        <w:rPr>
          <w:i/>
        </w:rPr>
        <w:t>Id</w:t>
      </w:r>
      <w:r>
        <w:t>. at 6.</w:t>
      </w:r>
    </w:p>
  </w:footnote>
  <w:footnote w:id="168">
    <w:p w:rsidR="0067532B" w:rsidRDefault="0067532B" w:rsidP="00883CBB">
      <w:pPr>
        <w:pStyle w:val="FootnoteText"/>
      </w:pPr>
      <w:r>
        <w:rPr>
          <w:rStyle w:val="FootnoteReference"/>
        </w:rPr>
        <w:footnoteRef/>
      </w:r>
      <w:r>
        <w:t xml:space="preserve"> </w:t>
      </w:r>
      <w:r>
        <w:tab/>
      </w:r>
      <w:r>
        <w:tab/>
      </w:r>
      <w:r>
        <w:rPr>
          <w:i/>
        </w:rPr>
        <w:t xml:space="preserve">Id. </w:t>
      </w:r>
      <w:r>
        <w:t>at 7.</w:t>
      </w:r>
    </w:p>
  </w:footnote>
  <w:footnote w:id="169">
    <w:p w:rsidR="0067532B" w:rsidRDefault="0067532B" w:rsidP="00883CBB">
      <w:pPr>
        <w:pStyle w:val="FootnoteText"/>
      </w:pPr>
      <w:r>
        <w:rPr>
          <w:rStyle w:val="FootnoteReference"/>
        </w:rPr>
        <w:footnoteRef/>
      </w:r>
      <w:r>
        <w:t xml:space="preserve"> </w:t>
      </w:r>
      <w:r>
        <w:tab/>
      </w:r>
      <w:r>
        <w:tab/>
      </w:r>
      <w:r w:rsidRPr="00425E46">
        <w:rPr>
          <w:i/>
        </w:rPr>
        <w:t>Id</w:t>
      </w:r>
      <w:r>
        <w:t>. at 8.</w:t>
      </w:r>
    </w:p>
  </w:footnote>
  <w:footnote w:id="170">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71">
    <w:p w:rsidR="0067532B" w:rsidRDefault="0067532B" w:rsidP="00883CBB">
      <w:pPr>
        <w:pStyle w:val="FootnoteText"/>
      </w:pPr>
      <w:r>
        <w:rPr>
          <w:rStyle w:val="FootnoteReference"/>
        </w:rPr>
        <w:footnoteRef/>
      </w:r>
      <w:r>
        <w:t xml:space="preserve"> </w:t>
      </w:r>
      <w:r>
        <w:tab/>
      </w:r>
      <w:r>
        <w:tab/>
      </w:r>
      <w:r w:rsidRPr="00425E46">
        <w:rPr>
          <w:i/>
        </w:rPr>
        <w:t>Id</w:t>
      </w:r>
      <w:r>
        <w:t>. at 9.</w:t>
      </w:r>
    </w:p>
  </w:footnote>
  <w:footnote w:id="172">
    <w:p w:rsidR="0067532B" w:rsidRDefault="0067532B" w:rsidP="00883CBB">
      <w:pPr>
        <w:pStyle w:val="FootnoteText"/>
      </w:pPr>
      <w:r>
        <w:rPr>
          <w:rStyle w:val="FootnoteReference"/>
        </w:rPr>
        <w:footnoteRef/>
      </w:r>
      <w:r>
        <w:t xml:space="preserve"> </w:t>
      </w:r>
      <w:r>
        <w:tab/>
      </w:r>
      <w:r>
        <w:tab/>
        <w:t>Staff Ex. 105 (Medine Testimony) at 9.</w:t>
      </w:r>
    </w:p>
  </w:footnote>
  <w:footnote w:id="173">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74">
    <w:p w:rsidR="0067532B" w:rsidRDefault="0067532B" w:rsidP="00883CBB">
      <w:pPr>
        <w:pStyle w:val="FootnoteText"/>
      </w:pPr>
      <w:r>
        <w:rPr>
          <w:rStyle w:val="FootnoteReference"/>
        </w:rPr>
        <w:footnoteRef/>
      </w:r>
      <w:r>
        <w:t xml:space="preserve"> </w:t>
      </w:r>
      <w:r>
        <w:tab/>
      </w:r>
      <w:r>
        <w:tab/>
        <w:t>Tr. Vol. X at 2283.</w:t>
      </w:r>
    </w:p>
  </w:footnote>
  <w:footnote w:id="175">
    <w:p w:rsidR="0067532B" w:rsidRDefault="0067532B" w:rsidP="00883CBB">
      <w:pPr>
        <w:pStyle w:val="FootnoteText"/>
      </w:pPr>
      <w:r>
        <w:rPr>
          <w:rStyle w:val="FootnoteReference"/>
        </w:rPr>
        <w:footnoteRef/>
      </w:r>
      <w:r>
        <w:t xml:space="preserve"> </w:t>
      </w:r>
      <w:r>
        <w:tab/>
      </w:r>
      <w:r>
        <w:tab/>
        <w:t>Staff Ex. 105 (Medine Testimony) at 10.</w:t>
      </w:r>
    </w:p>
  </w:footnote>
  <w:footnote w:id="176">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77">
    <w:p w:rsidR="0067532B" w:rsidRDefault="0067532B" w:rsidP="00883CBB">
      <w:pPr>
        <w:pStyle w:val="FootnoteText"/>
      </w:pPr>
      <w:r>
        <w:rPr>
          <w:rStyle w:val="FootnoteReference"/>
        </w:rPr>
        <w:footnoteRef/>
      </w:r>
      <w:r>
        <w:t xml:space="preserve"> </w:t>
      </w:r>
      <w:r>
        <w:tab/>
      </w:r>
      <w:r>
        <w:tab/>
      </w:r>
      <w:r w:rsidRPr="00425E46">
        <w:rPr>
          <w:i/>
        </w:rPr>
        <w:t>Id</w:t>
      </w:r>
      <w:r>
        <w:t>. at 11.</w:t>
      </w:r>
    </w:p>
  </w:footnote>
  <w:footnote w:id="178">
    <w:p w:rsidR="0067532B" w:rsidRDefault="0067532B" w:rsidP="00883CBB">
      <w:pPr>
        <w:pStyle w:val="FootnoteText"/>
      </w:pPr>
      <w:r>
        <w:rPr>
          <w:rStyle w:val="FootnoteReference"/>
        </w:rPr>
        <w:footnoteRef/>
      </w:r>
      <w:r>
        <w:t xml:space="preserve"> </w:t>
      </w:r>
      <w:r>
        <w:tab/>
      </w:r>
      <w:r>
        <w:tab/>
      </w:r>
      <w:r w:rsidRPr="00425E46">
        <w:rPr>
          <w:i/>
        </w:rPr>
        <w:t>Id</w:t>
      </w:r>
      <w:r>
        <w:t xml:space="preserve"> at 12.</w:t>
      </w:r>
    </w:p>
  </w:footnote>
  <w:footnote w:id="179">
    <w:p w:rsidR="0067532B" w:rsidRDefault="0067532B" w:rsidP="00883CBB">
      <w:pPr>
        <w:pStyle w:val="FootnoteText"/>
      </w:pPr>
      <w:r>
        <w:rPr>
          <w:rStyle w:val="FootnoteReference"/>
        </w:rPr>
        <w:footnoteRef/>
      </w:r>
      <w:r>
        <w:t xml:space="preserve"> </w:t>
      </w:r>
      <w:r>
        <w:tab/>
      </w:r>
      <w:r>
        <w:tab/>
        <w:t>Staff Ex. 105 (Medine Testimony) at 12.</w:t>
      </w:r>
    </w:p>
  </w:footnote>
  <w:footnote w:id="180">
    <w:p w:rsidR="0067532B" w:rsidRDefault="0067532B" w:rsidP="00883CBB">
      <w:pPr>
        <w:pStyle w:val="FootnoteText"/>
      </w:pPr>
      <w:r>
        <w:rPr>
          <w:rStyle w:val="FootnoteReference"/>
        </w:rPr>
        <w:footnoteRef/>
      </w:r>
      <w:r>
        <w:t xml:space="preserve"> </w:t>
      </w:r>
      <w:r>
        <w:tab/>
      </w:r>
      <w:r>
        <w:tab/>
      </w:r>
      <w:r>
        <w:rPr>
          <w:i/>
        </w:rPr>
        <w:t>Id</w:t>
      </w:r>
      <w:r>
        <w:t>. at 11.</w:t>
      </w:r>
    </w:p>
  </w:footnote>
  <w:footnote w:id="181">
    <w:p w:rsidR="0067532B" w:rsidRDefault="0067532B" w:rsidP="00883CBB">
      <w:pPr>
        <w:pStyle w:val="FootnoteText"/>
      </w:pPr>
      <w:r>
        <w:rPr>
          <w:rStyle w:val="FootnoteReference"/>
        </w:rPr>
        <w:footnoteRef/>
      </w:r>
      <w:r>
        <w:t xml:space="preserve"> </w:t>
      </w:r>
      <w:r>
        <w:tab/>
      </w:r>
      <w:r>
        <w:tab/>
      </w:r>
      <w:r w:rsidRPr="00425E46">
        <w:rPr>
          <w:i/>
        </w:rPr>
        <w:t>Id</w:t>
      </w:r>
      <w:r>
        <w:t>. at 13.</w:t>
      </w:r>
    </w:p>
  </w:footnote>
  <w:footnote w:id="182">
    <w:p w:rsidR="0067532B" w:rsidRDefault="0067532B" w:rsidP="00883CBB">
      <w:pPr>
        <w:pStyle w:val="FootnoteText"/>
      </w:pPr>
      <w:r>
        <w:rPr>
          <w:rStyle w:val="FootnoteReference"/>
        </w:rPr>
        <w:footnoteRef/>
      </w:r>
      <w:r>
        <w:t xml:space="preserve"> </w:t>
      </w:r>
      <w:r>
        <w:tab/>
      </w:r>
      <w:r>
        <w:tab/>
      </w:r>
      <w:r w:rsidRPr="00425E46">
        <w:rPr>
          <w:i/>
        </w:rPr>
        <w:t>Id</w:t>
      </w:r>
      <w:r>
        <w:t>. at 13.</w:t>
      </w:r>
    </w:p>
  </w:footnote>
  <w:footnote w:id="183">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84">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85">
    <w:p w:rsidR="0067532B" w:rsidRDefault="0067532B" w:rsidP="00883CBB">
      <w:pPr>
        <w:pStyle w:val="FootnoteText"/>
      </w:pPr>
      <w:r>
        <w:rPr>
          <w:rStyle w:val="FootnoteReference"/>
        </w:rPr>
        <w:footnoteRef/>
      </w:r>
      <w:r>
        <w:t xml:space="preserve"> </w:t>
      </w:r>
      <w:r>
        <w:tab/>
      </w:r>
      <w:r>
        <w:tab/>
        <w:t>Tr. Vol. X at 2282.</w:t>
      </w:r>
    </w:p>
  </w:footnote>
  <w:footnote w:id="186">
    <w:p w:rsidR="0067532B" w:rsidRDefault="0067532B" w:rsidP="00883CBB">
      <w:pPr>
        <w:pStyle w:val="FootnoteText"/>
      </w:pPr>
      <w:r>
        <w:rPr>
          <w:rStyle w:val="FootnoteReference"/>
        </w:rPr>
        <w:footnoteRef/>
      </w:r>
      <w:r>
        <w:t xml:space="preserve"> </w:t>
      </w:r>
      <w:r>
        <w:tab/>
      </w:r>
      <w:r>
        <w:tab/>
      </w:r>
      <w:r w:rsidRPr="00AA0F37">
        <w:rPr>
          <w:i/>
        </w:rPr>
        <w:t>Id</w:t>
      </w:r>
      <w:r>
        <w:t>.</w:t>
      </w:r>
    </w:p>
  </w:footnote>
  <w:footnote w:id="187">
    <w:p w:rsidR="0067532B" w:rsidRDefault="0067532B" w:rsidP="00883CBB">
      <w:pPr>
        <w:pStyle w:val="FootnoteText"/>
      </w:pPr>
      <w:r>
        <w:rPr>
          <w:rStyle w:val="FootnoteReference"/>
        </w:rPr>
        <w:footnoteRef/>
      </w:r>
      <w:r>
        <w:t xml:space="preserve"> </w:t>
      </w:r>
      <w:r>
        <w:tab/>
      </w:r>
      <w:r>
        <w:tab/>
        <w:t xml:space="preserve">Staff </w:t>
      </w:r>
      <w:r w:rsidR="00080F38">
        <w:t>Ex. 101</w:t>
      </w:r>
      <w:r>
        <w:t xml:space="preserve"> (Harter Testimony) at 7.</w:t>
      </w:r>
    </w:p>
  </w:footnote>
  <w:footnote w:id="188">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89">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90">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91">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92">
    <w:p w:rsidR="0067532B" w:rsidRDefault="0067532B" w:rsidP="00883CBB">
      <w:pPr>
        <w:pStyle w:val="FootnoteText"/>
      </w:pPr>
      <w:r>
        <w:rPr>
          <w:rStyle w:val="FootnoteReference"/>
        </w:rPr>
        <w:footnoteRef/>
      </w:r>
      <w:r>
        <w:t xml:space="preserve"> </w:t>
      </w:r>
      <w:r>
        <w:tab/>
      </w:r>
      <w:r>
        <w:tab/>
        <w:t>Staff Ex. 105 (Medine Testimony) at 16.</w:t>
      </w:r>
    </w:p>
  </w:footnote>
  <w:footnote w:id="193">
    <w:p w:rsidR="0067532B" w:rsidRDefault="0067532B" w:rsidP="00883CBB">
      <w:pPr>
        <w:pStyle w:val="FootnoteText"/>
      </w:pPr>
      <w:r>
        <w:rPr>
          <w:rStyle w:val="FootnoteReference"/>
        </w:rPr>
        <w:footnoteRef/>
      </w:r>
      <w:r>
        <w:t xml:space="preserve"> </w:t>
      </w:r>
      <w:r>
        <w:tab/>
      </w:r>
      <w:r>
        <w:tab/>
      </w:r>
      <w:r>
        <w:rPr>
          <w:i/>
        </w:rPr>
        <w:t>Id</w:t>
      </w:r>
      <w:r>
        <w:t>.</w:t>
      </w:r>
    </w:p>
  </w:footnote>
  <w:footnote w:id="194">
    <w:p w:rsidR="0067532B" w:rsidRDefault="0067532B" w:rsidP="00883CBB">
      <w:pPr>
        <w:pStyle w:val="FootnoteText"/>
      </w:pPr>
      <w:r>
        <w:rPr>
          <w:rStyle w:val="FootnoteReference"/>
        </w:rPr>
        <w:footnoteRef/>
      </w:r>
      <w:r>
        <w:t xml:space="preserve"> </w:t>
      </w:r>
      <w:r>
        <w:tab/>
      </w:r>
      <w:r>
        <w:tab/>
      </w:r>
      <w:r>
        <w:rPr>
          <w:i/>
        </w:rPr>
        <w:t>Id</w:t>
      </w:r>
      <w:r>
        <w:t>. at 16.</w:t>
      </w:r>
    </w:p>
  </w:footnote>
  <w:footnote w:id="195">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96">
    <w:p w:rsidR="0067532B" w:rsidRDefault="0067532B" w:rsidP="00883CBB">
      <w:pPr>
        <w:pStyle w:val="FootnoteText"/>
      </w:pPr>
      <w:r>
        <w:rPr>
          <w:rStyle w:val="FootnoteReference"/>
        </w:rPr>
        <w:footnoteRef/>
      </w:r>
      <w:r>
        <w:t xml:space="preserve"> </w:t>
      </w:r>
      <w:r>
        <w:tab/>
      </w:r>
      <w:r>
        <w:tab/>
      </w:r>
      <w:r w:rsidRPr="00425E46">
        <w:rPr>
          <w:i/>
        </w:rPr>
        <w:t>Id</w:t>
      </w:r>
      <w:r>
        <w:t>. at 16-17.</w:t>
      </w:r>
    </w:p>
  </w:footnote>
  <w:footnote w:id="197">
    <w:p w:rsidR="0067532B" w:rsidRDefault="0067532B" w:rsidP="00883CBB">
      <w:pPr>
        <w:pStyle w:val="FootnoteText"/>
      </w:pPr>
      <w:r>
        <w:rPr>
          <w:rStyle w:val="FootnoteReference"/>
        </w:rPr>
        <w:footnoteRef/>
      </w:r>
      <w:r>
        <w:t xml:space="preserve"> </w:t>
      </w:r>
      <w:r>
        <w:tab/>
      </w:r>
      <w:r>
        <w:tab/>
      </w:r>
      <w:r w:rsidRPr="00425E46">
        <w:rPr>
          <w:i/>
        </w:rPr>
        <w:t>Id</w:t>
      </w:r>
      <w:r>
        <w:t>. at 17.</w:t>
      </w:r>
    </w:p>
  </w:footnote>
  <w:footnote w:id="198">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199">
    <w:p w:rsidR="0067532B" w:rsidRDefault="0067532B" w:rsidP="00883CBB">
      <w:pPr>
        <w:pStyle w:val="FootnoteText"/>
      </w:pPr>
      <w:r>
        <w:rPr>
          <w:rStyle w:val="FootnoteReference"/>
        </w:rPr>
        <w:footnoteRef/>
      </w:r>
      <w:r>
        <w:t xml:space="preserve"> </w:t>
      </w:r>
      <w:r>
        <w:tab/>
      </w:r>
      <w:r>
        <w:tab/>
        <w:t>Tr. Vol. XII at 2660.</w:t>
      </w:r>
    </w:p>
  </w:footnote>
  <w:footnote w:id="200">
    <w:p w:rsidR="0067532B" w:rsidRDefault="0067532B" w:rsidP="00883CBB">
      <w:pPr>
        <w:pStyle w:val="FootnoteText"/>
      </w:pPr>
      <w:r>
        <w:rPr>
          <w:rStyle w:val="FootnoteReference"/>
        </w:rPr>
        <w:footnoteRef/>
      </w:r>
      <w:r>
        <w:t xml:space="preserve"> </w:t>
      </w:r>
      <w:r>
        <w:tab/>
      </w:r>
      <w:r>
        <w:tab/>
        <w:t>Staff Ex. 105 (Medine Testimony) at 17.</w:t>
      </w:r>
    </w:p>
  </w:footnote>
  <w:footnote w:id="201">
    <w:p w:rsidR="0067532B" w:rsidRDefault="0067532B" w:rsidP="00883CBB">
      <w:pPr>
        <w:pStyle w:val="FootnoteText"/>
      </w:pPr>
      <w:r>
        <w:rPr>
          <w:rStyle w:val="FootnoteReference"/>
        </w:rPr>
        <w:footnoteRef/>
      </w:r>
      <w:r>
        <w:t xml:space="preserve"> </w:t>
      </w:r>
      <w:r>
        <w:tab/>
      </w:r>
      <w:r>
        <w:tab/>
      </w:r>
      <w:r>
        <w:rPr>
          <w:i/>
        </w:rPr>
        <w:t>Id</w:t>
      </w:r>
      <w:r>
        <w:t>. at 17.</w:t>
      </w:r>
    </w:p>
  </w:footnote>
  <w:footnote w:id="202">
    <w:p w:rsidR="0067532B" w:rsidRDefault="0067532B" w:rsidP="00883CBB">
      <w:pPr>
        <w:pStyle w:val="FootnoteText"/>
      </w:pPr>
      <w:r>
        <w:rPr>
          <w:rStyle w:val="FootnoteReference"/>
        </w:rPr>
        <w:footnoteRef/>
      </w:r>
      <w:r>
        <w:t xml:space="preserve"> </w:t>
      </w:r>
      <w:r>
        <w:tab/>
      </w:r>
      <w:r>
        <w:tab/>
        <w:t>Tr. Vol. XII at 2664.</w:t>
      </w:r>
    </w:p>
  </w:footnote>
  <w:footnote w:id="203">
    <w:p w:rsidR="0067532B" w:rsidRDefault="0067532B" w:rsidP="00883CBB">
      <w:pPr>
        <w:pStyle w:val="FootnoteText"/>
      </w:pPr>
      <w:r>
        <w:rPr>
          <w:rStyle w:val="FootnoteReference"/>
        </w:rPr>
        <w:footnoteRef/>
      </w:r>
      <w:r>
        <w:t xml:space="preserve"> </w:t>
      </w:r>
      <w:r>
        <w:tab/>
      </w:r>
      <w:r>
        <w:tab/>
        <w:t>Staff Ex. 105 (Medine Testimony) at 18.</w:t>
      </w:r>
    </w:p>
  </w:footnote>
  <w:footnote w:id="204">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205">
    <w:p w:rsidR="0067532B" w:rsidRDefault="0067532B" w:rsidP="00883CBB">
      <w:pPr>
        <w:pStyle w:val="FootnoteText"/>
      </w:pPr>
      <w:r>
        <w:rPr>
          <w:rStyle w:val="FootnoteReference"/>
        </w:rPr>
        <w:footnoteRef/>
      </w:r>
      <w:r>
        <w:t xml:space="preserve"> </w:t>
      </w:r>
      <w:r>
        <w:tab/>
      </w:r>
      <w:r>
        <w:tab/>
        <w:t>Staff Ex. 105 (Medine Testimony) at 18</w:t>
      </w:r>
    </w:p>
  </w:footnote>
  <w:footnote w:id="206">
    <w:p w:rsidR="0067532B" w:rsidRDefault="0067532B" w:rsidP="00883CBB">
      <w:pPr>
        <w:pStyle w:val="FootnoteText"/>
      </w:pPr>
      <w:r>
        <w:rPr>
          <w:rStyle w:val="FootnoteReference"/>
        </w:rPr>
        <w:footnoteRef/>
      </w:r>
      <w:r>
        <w:t xml:space="preserve"> </w:t>
      </w:r>
      <w:r>
        <w:tab/>
      </w:r>
      <w:r>
        <w:tab/>
        <w:t>Tr. Vol. XII at 2664.</w:t>
      </w:r>
    </w:p>
  </w:footnote>
  <w:footnote w:id="207">
    <w:p w:rsidR="0067532B" w:rsidRDefault="0067532B" w:rsidP="00883CBB">
      <w:pPr>
        <w:pStyle w:val="FootnoteText"/>
      </w:pPr>
      <w:r>
        <w:rPr>
          <w:rStyle w:val="FootnoteReference"/>
        </w:rPr>
        <w:footnoteRef/>
      </w:r>
      <w:r>
        <w:t xml:space="preserve"> </w:t>
      </w:r>
      <w:r>
        <w:tab/>
      </w:r>
      <w:r>
        <w:tab/>
      </w:r>
      <w:r w:rsidRPr="00AA0F37">
        <w:rPr>
          <w:i/>
        </w:rPr>
        <w:t>Id</w:t>
      </w:r>
      <w:r>
        <w:t>. at 2665.</w:t>
      </w:r>
    </w:p>
  </w:footnote>
  <w:footnote w:id="208">
    <w:p w:rsidR="0067532B" w:rsidRDefault="0067532B" w:rsidP="00883CBB">
      <w:pPr>
        <w:pStyle w:val="FootnoteText"/>
      </w:pPr>
      <w:r>
        <w:rPr>
          <w:rStyle w:val="FootnoteReference"/>
        </w:rPr>
        <w:footnoteRef/>
      </w:r>
      <w:r>
        <w:t xml:space="preserve"> </w:t>
      </w:r>
      <w:r>
        <w:tab/>
      </w:r>
      <w:r>
        <w:tab/>
        <w:t>Staff Ex. 105 (Medine Testimony) at 19.</w:t>
      </w:r>
    </w:p>
  </w:footnote>
  <w:footnote w:id="209">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210">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211">
    <w:p w:rsidR="0067532B" w:rsidRDefault="0067532B" w:rsidP="00883CBB">
      <w:pPr>
        <w:pStyle w:val="FootnoteText"/>
      </w:pPr>
      <w:r>
        <w:rPr>
          <w:rStyle w:val="FootnoteReference"/>
        </w:rPr>
        <w:footnoteRef/>
      </w:r>
      <w:r>
        <w:t xml:space="preserve"> </w:t>
      </w:r>
      <w:r>
        <w:tab/>
      </w:r>
      <w:r>
        <w:tab/>
        <w:t>Tr. Vol. X at 2193-2194.</w:t>
      </w:r>
    </w:p>
  </w:footnote>
  <w:footnote w:id="212">
    <w:p w:rsidR="0067532B" w:rsidRDefault="0067532B" w:rsidP="00883CBB">
      <w:pPr>
        <w:pStyle w:val="FootnoteText"/>
      </w:pPr>
      <w:r>
        <w:rPr>
          <w:rStyle w:val="FootnoteReference"/>
        </w:rPr>
        <w:footnoteRef/>
      </w:r>
      <w:r>
        <w:t xml:space="preserve"> </w:t>
      </w:r>
      <w:r>
        <w:tab/>
      </w:r>
      <w:r>
        <w:tab/>
        <w:t>Tr. Vol. II at 327.</w:t>
      </w:r>
    </w:p>
  </w:footnote>
  <w:footnote w:id="213">
    <w:p w:rsidR="0067532B" w:rsidRDefault="0067532B" w:rsidP="00883CBB">
      <w:pPr>
        <w:pStyle w:val="FootnoteText"/>
      </w:pPr>
      <w:r>
        <w:rPr>
          <w:rStyle w:val="FootnoteReference"/>
        </w:rPr>
        <w:footnoteRef/>
      </w:r>
      <w:r>
        <w:t xml:space="preserve"> </w:t>
      </w:r>
      <w:r>
        <w:tab/>
      </w:r>
      <w:r>
        <w:tab/>
      </w:r>
      <w:r w:rsidRPr="00AA0F37">
        <w:rPr>
          <w:i/>
        </w:rPr>
        <w:t>Id</w:t>
      </w:r>
      <w:r>
        <w:t>.</w:t>
      </w:r>
    </w:p>
  </w:footnote>
  <w:footnote w:id="214">
    <w:p w:rsidR="0067532B" w:rsidRDefault="0067532B" w:rsidP="00883CBB">
      <w:pPr>
        <w:pStyle w:val="FootnoteText"/>
      </w:pPr>
      <w:r>
        <w:rPr>
          <w:rStyle w:val="FootnoteReference"/>
        </w:rPr>
        <w:footnoteRef/>
      </w:r>
      <w:r>
        <w:t xml:space="preserve"> </w:t>
      </w:r>
      <w:r>
        <w:tab/>
      </w:r>
      <w:r>
        <w:tab/>
      </w:r>
      <w:r>
        <w:rPr>
          <w:i/>
        </w:rPr>
        <w:t>Id</w:t>
      </w:r>
      <w:r>
        <w:t>.</w:t>
      </w:r>
    </w:p>
  </w:footnote>
  <w:footnote w:id="215">
    <w:p w:rsidR="0067532B" w:rsidRDefault="0067532B" w:rsidP="00883CBB">
      <w:pPr>
        <w:pStyle w:val="FootnoteText"/>
      </w:pPr>
      <w:r>
        <w:rPr>
          <w:rStyle w:val="FootnoteReference"/>
        </w:rPr>
        <w:footnoteRef/>
      </w:r>
      <w:r>
        <w:t xml:space="preserve"> </w:t>
      </w:r>
      <w:r>
        <w:tab/>
      </w:r>
      <w:r>
        <w:tab/>
      </w:r>
      <w:r w:rsidRPr="00AA0F37">
        <w:rPr>
          <w:i/>
        </w:rPr>
        <w:t>Id</w:t>
      </w:r>
      <w:r>
        <w:t>. at 327-328.</w:t>
      </w:r>
    </w:p>
  </w:footnote>
  <w:footnote w:id="216">
    <w:p w:rsidR="0067532B" w:rsidRDefault="0067532B" w:rsidP="00883CBB">
      <w:pPr>
        <w:pStyle w:val="FootnoteText"/>
      </w:pPr>
      <w:r>
        <w:rPr>
          <w:rStyle w:val="FootnoteReference"/>
        </w:rPr>
        <w:footnoteRef/>
      </w:r>
      <w:r>
        <w:t xml:space="preserve"> </w:t>
      </w:r>
      <w:r>
        <w:tab/>
      </w:r>
      <w:r>
        <w:tab/>
      </w:r>
      <w:r w:rsidRPr="00AA0F37">
        <w:rPr>
          <w:i/>
        </w:rPr>
        <w:t>Id</w:t>
      </w:r>
      <w:r>
        <w:t>. at 328.</w:t>
      </w:r>
    </w:p>
  </w:footnote>
  <w:footnote w:id="217">
    <w:p w:rsidR="0067532B" w:rsidRDefault="0067532B" w:rsidP="00883CBB">
      <w:pPr>
        <w:pStyle w:val="FootnoteText"/>
      </w:pPr>
      <w:r>
        <w:rPr>
          <w:rStyle w:val="FootnoteReference"/>
        </w:rPr>
        <w:footnoteRef/>
      </w:r>
      <w:r>
        <w:t xml:space="preserve"> </w:t>
      </w:r>
      <w:r>
        <w:tab/>
      </w:r>
      <w:r>
        <w:tab/>
      </w:r>
      <w:r w:rsidRPr="00AA0F37">
        <w:rPr>
          <w:i/>
        </w:rPr>
        <w:t>Id</w:t>
      </w:r>
      <w:r>
        <w:t>. at 329.</w:t>
      </w:r>
    </w:p>
  </w:footnote>
  <w:footnote w:id="218">
    <w:p w:rsidR="0067532B" w:rsidRDefault="0067532B" w:rsidP="00883CBB">
      <w:pPr>
        <w:pStyle w:val="FootnoteText"/>
      </w:pPr>
      <w:r>
        <w:rPr>
          <w:rStyle w:val="FootnoteReference"/>
        </w:rPr>
        <w:footnoteRef/>
      </w:r>
      <w:r>
        <w:t xml:space="preserve"> </w:t>
      </w:r>
      <w:r>
        <w:tab/>
      </w:r>
      <w:r>
        <w:tab/>
        <w:t>Staff Ex. 101 (Harter Testimony) at 8.</w:t>
      </w:r>
    </w:p>
  </w:footnote>
  <w:footnote w:id="219">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220">
    <w:p w:rsidR="0067532B" w:rsidRDefault="0067532B" w:rsidP="00883CBB">
      <w:pPr>
        <w:pStyle w:val="FootnoteText"/>
      </w:pPr>
      <w:r>
        <w:rPr>
          <w:rStyle w:val="FootnoteReference"/>
        </w:rPr>
        <w:footnoteRef/>
      </w:r>
      <w:r>
        <w:t xml:space="preserve"> </w:t>
      </w:r>
      <w:r>
        <w:tab/>
      </w:r>
      <w:r>
        <w:tab/>
      </w:r>
      <w:r w:rsidRPr="007577EC">
        <w:rPr>
          <w:i/>
        </w:rPr>
        <w:t>Id</w:t>
      </w:r>
      <w:r>
        <w:t>.</w:t>
      </w:r>
    </w:p>
  </w:footnote>
  <w:footnote w:id="221">
    <w:p w:rsidR="0067532B" w:rsidRDefault="0067532B" w:rsidP="00883CBB">
      <w:pPr>
        <w:pStyle w:val="FootnoteText"/>
      </w:pPr>
      <w:r>
        <w:rPr>
          <w:rStyle w:val="FootnoteReference"/>
        </w:rPr>
        <w:footnoteRef/>
      </w:r>
      <w:r>
        <w:t xml:space="preserve"> </w:t>
      </w:r>
      <w:r>
        <w:tab/>
      </w:r>
      <w:r>
        <w:tab/>
      </w:r>
      <w:r>
        <w:rPr>
          <w:i/>
        </w:rPr>
        <w:t>Id</w:t>
      </w:r>
      <w:r>
        <w:t>.</w:t>
      </w:r>
    </w:p>
  </w:footnote>
  <w:footnote w:id="222">
    <w:p w:rsidR="0067532B" w:rsidRDefault="0067532B" w:rsidP="00883CBB">
      <w:pPr>
        <w:pStyle w:val="FootnoteText"/>
      </w:pPr>
      <w:r>
        <w:rPr>
          <w:rStyle w:val="FootnoteReference"/>
        </w:rPr>
        <w:footnoteRef/>
      </w:r>
      <w:r>
        <w:t xml:space="preserve"> </w:t>
      </w:r>
      <w:r>
        <w:tab/>
      </w:r>
      <w:r>
        <w:tab/>
      </w:r>
      <w:r>
        <w:rPr>
          <w:i/>
        </w:rPr>
        <w:t>Id.</w:t>
      </w:r>
      <w:r>
        <w:t xml:space="preserve"> at 8-9.</w:t>
      </w:r>
    </w:p>
  </w:footnote>
  <w:footnote w:id="223">
    <w:p w:rsidR="0067532B" w:rsidRDefault="0067532B" w:rsidP="00883CBB">
      <w:pPr>
        <w:pStyle w:val="FootnoteText"/>
      </w:pPr>
      <w:r>
        <w:rPr>
          <w:rStyle w:val="FootnoteReference"/>
        </w:rPr>
        <w:footnoteRef/>
      </w:r>
      <w:r>
        <w:t xml:space="preserve"> </w:t>
      </w:r>
      <w:r>
        <w:tab/>
      </w:r>
      <w:r>
        <w:tab/>
      </w:r>
      <w:r>
        <w:rPr>
          <w:i/>
        </w:rPr>
        <w:t xml:space="preserve">Id. </w:t>
      </w:r>
      <w:r>
        <w:t>at 11.</w:t>
      </w:r>
    </w:p>
  </w:footnote>
  <w:footnote w:id="224">
    <w:p w:rsidR="0067532B" w:rsidRDefault="0067532B" w:rsidP="00883CBB">
      <w:pPr>
        <w:pStyle w:val="FootnoteText"/>
      </w:pPr>
      <w:r>
        <w:rPr>
          <w:rStyle w:val="FootnoteReference"/>
        </w:rPr>
        <w:footnoteRef/>
      </w:r>
      <w:r>
        <w:t xml:space="preserve"> </w:t>
      </w:r>
      <w:r>
        <w:tab/>
      </w:r>
      <w:r>
        <w:tab/>
        <w:t>Staff Ex. 101 (Harter Testimony) at 9.</w:t>
      </w:r>
    </w:p>
  </w:footnote>
  <w:footnote w:id="225">
    <w:p w:rsidR="0067532B" w:rsidRDefault="0067532B" w:rsidP="00883CBB">
      <w:pPr>
        <w:pStyle w:val="FootnoteText"/>
      </w:pPr>
      <w:r>
        <w:rPr>
          <w:rStyle w:val="FootnoteReference"/>
        </w:rPr>
        <w:footnoteRef/>
      </w:r>
      <w:r>
        <w:t xml:space="preserve"> </w:t>
      </w:r>
      <w:r>
        <w:tab/>
      </w:r>
      <w:r>
        <w:tab/>
      </w:r>
      <w:r w:rsidRPr="007577EC">
        <w:rPr>
          <w:i/>
        </w:rPr>
        <w:t>Id</w:t>
      </w:r>
      <w:r>
        <w:t>.</w:t>
      </w:r>
    </w:p>
  </w:footnote>
  <w:footnote w:id="226">
    <w:p w:rsidR="0067532B" w:rsidRDefault="0067532B" w:rsidP="00883CBB">
      <w:pPr>
        <w:pStyle w:val="FootnoteText"/>
      </w:pPr>
      <w:r>
        <w:rPr>
          <w:rStyle w:val="FootnoteReference"/>
        </w:rPr>
        <w:footnoteRef/>
      </w:r>
      <w:r>
        <w:t xml:space="preserve"> </w:t>
      </w:r>
      <w:r>
        <w:tab/>
      </w:r>
      <w:r>
        <w:tab/>
        <w:t>Tr. Vol. X at 2116.</w:t>
      </w:r>
    </w:p>
  </w:footnote>
  <w:footnote w:id="227">
    <w:p w:rsidR="0067532B" w:rsidRDefault="0067532B" w:rsidP="00883CBB">
      <w:pPr>
        <w:pStyle w:val="FootnoteText"/>
      </w:pPr>
      <w:r>
        <w:rPr>
          <w:rStyle w:val="FootnoteReference"/>
        </w:rPr>
        <w:footnoteRef/>
      </w:r>
      <w:r>
        <w:t xml:space="preserve"> </w:t>
      </w:r>
      <w:r>
        <w:tab/>
      </w:r>
      <w:r>
        <w:tab/>
      </w:r>
      <w:r>
        <w:rPr>
          <w:i/>
        </w:rPr>
        <w:t>Id</w:t>
      </w:r>
      <w:r>
        <w:t>.</w:t>
      </w:r>
    </w:p>
  </w:footnote>
  <w:footnote w:id="228">
    <w:p w:rsidR="0067532B" w:rsidRDefault="0067532B" w:rsidP="00883CBB">
      <w:pPr>
        <w:pStyle w:val="FootnoteText"/>
      </w:pPr>
      <w:r>
        <w:rPr>
          <w:rStyle w:val="FootnoteReference"/>
        </w:rPr>
        <w:footnoteRef/>
      </w:r>
      <w:r>
        <w:t xml:space="preserve"> </w:t>
      </w:r>
      <w:r>
        <w:tab/>
      </w:r>
      <w:r>
        <w:tab/>
      </w:r>
      <w:r w:rsidRPr="00425E46">
        <w:rPr>
          <w:i/>
        </w:rPr>
        <w:t>Id</w:t>
      </w:r>
      <w:r>
        <w:t>. at 2116-2117.</w:t>
      </w:r>
    </w:p>
  </w:footnote>
  <w:footnote w:id="229">
    <w:p w:rsidR="0067532B" w:rsidRDefault="0067532B" w:rsidP="00883CBB">
      <w:pPr>
        <w:pStyle w:val="FootnoteText"/>
      </w:pPr>
      <w:r>
        <w:rPr>
          <w:rStyle w:val="FootnoteReference"/>
        </w:rPr>
        <w:footnoteRef/>
      </w:r>
      <w:r>
        <w:t xml:space="preserve"> </w:t>
      </w:r>
      <w:r>
        <w:tab/>
      </w:r>
      <w:r>
        <w:tab/>
        <w:t>Staff Ex. 105 (Medine Testimony) at 7.</w:t>
      </w:r>
    </w:p>
  </w:footnote>
  <w:footnote w:id="230">
    <w:p w:rsidR="0067532B" w:rsidRDefault="0067532B" w:rsidP="00883CBB">
      <w:pPr>
        <w:pStyle w:val="FootnoteText"/>
      </w:pPr>
      <w:r>
        <w:rPr>
          <w:rStyle w:val="FootnoteReference"/>
        </w:rPr>
        <w:footnoteRef/>
      </w:r>
      <w:r>
        <w:t xml:space="preserve"> </w:t>
      </w:r>
      <w:r>
        <w:tab/>
      </w:r>
      <w:r>
        <w:tab/>
        <w:t>Tr. Vol. X at 2117.</w:t>
      </w:r>
    </w:p>
  </w:footnote>
  <w:footnote w:id="231">
    <w:p w:rsidR="0067532B" w:rsidRDefault="0067532B" w:rsidP="00883CBB">
      <w:pPr>
        <w:pStyle w:val="FootnoteText"/>
      </w:pPr>
      <w:r>
        <w:rPr>
          <w:rStyle w:val="FootnoteReference"/>
        </w:rPr>
        <w:footnoteRef/>
      </w:r>
      <w:r>
        <w:t xml:space="preserve"> </w:t>
      </w:r>
      <w:r>
        <w:tab/>
      </w:r>
      <w:r>
        <w:tab/>
        <w:t>Tr. Vol. X at 2117.</w:t>
      </w:r>
    </w:p>
  </w:footnote>
  <w:footnote w:id="232">
    <w:p w:rsidR="00077735" w:rsidRDefault="00077735">
      <w:pPr>
        <w:pStyle w:val="FootnoteText"/>
      </w:pPr>
      <w:r>
        <w:rPr>
          <w:rStyle w:val="FootnoteReference"/>
        </w:rPr>
        <w:footnoteRef/>
      </w:r>
      <w:r>
        <w:t xml:space="preserve"> </w:t>
      </w:r>
      <w:r>
        <w:tab/>
      </w:r>
      <w:r>
        <w:tab/>
        <w:t>Staff Ex. 105 (Medine Testimony) at 19-20 and Exs. ESM-2, ESM-3, and ESM-4.</w:t>
      </w:r>
    </w:p>
  </w:footnote>
  <w:footnote w:id="233">
    <w:p w:rsidR="0067532B" w:rsidRDefault="0067532B" w:rsidP="00883CBB">
      <w:pPr>
        <w:pStyle w:val="FootnoteText"/>
      </w:pPr>
      <w:r>
        <w:rPr>
          <w:rStyle w:val="FootnoteReference"/>
        </w:rPr>
        <w:footnoteRef/>
      </w:r>
      <w:r>
        <w:t xml:space="preserve"> </w:t>
      </w:r>
      <w:r>
        <w:tab/>
      </w:r>
      <w:r>
        <w:tab/>
      </w:r>
      <w:r w:rsidR="00077735">
        <w:rPr>
          <w:i/>
        </w:rPr>
        <w:t>Id</w:t>
      </w:r>
      <w:r w:rsidR="00077735">
        <w:t>.</w:t>
      </w:r>
      <w:r>
        <w:t xml:space="preserve"> at 14-15.</w:t>
      </w:r>
    </w:p>
  </w:footnote>
  <w:footnote w:id="234">
    <w:p w:rsidR="0067532B" w:rsidRDefault="0067532B" w:rsidP="00883CBB">
      <w:pPr>
        <w:pStyle w:val="FootnoteText"/>
      </w:pPr>
      <w:r>
        <w:rPr>
          <w:rStyle w:val="FootnoteReference"/>
        </w:rPr>
        <w:footnoteRef/>
      </w:r>
      <w:r>
        <w:t xml:space="preserve"> </w:t>
      </w:r>
      <w:r>
        <w:tab/>
      </w:r>
      <w:r>
        <w:tab/>
      </w:r>
      <w:r>
        <w:rPr>
          <w:i/>
        </w:rPr>
        <w:t xml:space="preserve">Id. </w:t>
      </w:r>
      <w:r>
        <w:t>at 15.</w:t>
      </w:r>
    </w:p>
  </w:footnote>
  <w:footnote w:id="235">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236">
    <w:p w:rsidR="0067532B" w:rsidRDefault="0067532B" w:rsidP="00883CBB">
      <w:pPr>
        <w:pStyle w:val="FootnoteText"/>
      </w:pPr>
      <w:r>
        <w:rPr>
          <w:rStyle w:val="FootnoteReference"/>
        </w:rPr>
        <w:footnoteRef/>
      </w:r>
      <w:r>
        <w:t xml:space="preserve"> </w:t>
      </w:r>
      <w:r>
        <w:tab/>
      </w:r>
      <w:r>
        <w:tab/>
      </w:r>
      <w:r>
        <w:rPr>
          <w:i/>
        </w:rPr>
        <w:t>Id</w:t>
      </w:r>
      <w:r>
        <w:t>. at 116.</w:t>
      </w:r>
    </w:p>
  </w:footnote>
  <w:footnote w:id="237">
    <w:p w:rsidR="0067532B" w:rsidRDefault="0067532B" w:rsidP="00883CBB">
      <w:pPr>
        <w:pStyle w:val="FootnoteText"/>
      </w:pPr>
      <w:r>
        <w:rPr>
          <w:rStyle w:val="FootnoteReference"/>
        </w:rPr>
        <w:footnoteRef/>
      </w:r>
      <w:r>
        <w:t xml:space="preserve"> </w:t>
      </w:r>
      <w:r>
        <w:tab/>
      </w:r>
      <w:r>
        <w:tab/>
      </w:r>
      <w:r>
        <w:rPr>
          <w:i/>
        </w:rPr>
        <w:t>Id.</w:t>
      </w:r>
      <w:r>
        <w:t xml:space="preserve"> at 115-116.</w:t>
      </w:r>
    </w:p>
  </w:footnote>
  <w:footnote w:id="238">
    <w:p w:rsidR="0067532B" w:rsidRDefault="0067532B" w:rsidP="00883CBB">
      <w:pPr>
        <w:pStyle w:val="FootnoteText"/>
      </w:pPr>
      <w:r>
        <w:rPr>
          <w:rStyle w:val="FootnoteReference"/>
        </w:rPr>
        <w:footnoteRef/>
      </w:r>
      <w:r>
        <w:t xml:space="preserve"> </w:t>
      </w:r>
      <w:r>
        <w:tab/>
      </w:r>
      <w:r>
        <w:tab/>
        <w:t>Tr. Vol. X at 2163.</w:t>
      </w:r>
    </w:p>
  </w:footnote>
  <w:footnote w:id="239">
    <w:p w:rsidR="0067532B" w:rsidRDefault="0067532B" w:rsidP="00883CBB">
      <w:pPr>
        <w:pStyle w:val="FootnoteText"/>
      </w:pPr>
      <w:r>
        <w:rPr>
          <w:rStyle w:val="FootnoteReference"/>
        </w:rPr>
        <w:footnoteRef/>
      </w:r>
      <w:r>
        <w:t xml:space="preserve"> </w:t>
      </w:r>
      <w:r>
        <w:tab/>
      </w:r>
      <w:r>
        <w:tab/>
        <w:t>Tr. Vol. X at 2163.</w:t>
      </w:r>
    </w:p>
  </w:footnote>
  <w:footnote w:id="240">
    <w:p w:rsidR="0067532B" w:rsidRDefault="0067532B" w:rsidP="00883CBB">
      <w:pPr>
        <w:pStyle w:val="FootnoteText"/>
      </w:pPr>
      <w:r>
        <w:rPr>
          <w:rStyle w:val="FootnoteReference"/>
        </w:rPr>
        <w:footnoteRef/>
      </w:r>
      <w:r>
        <w:t xml:space="preserve"> </w:t>
      </w:r>
      <w:r>
        <w:tab/>
      </w:r>
      <w:r>
        <w:tab/>
      </w:r>
      <w:r w:rsidRPr="00425E46">
        <w:rPr>
          <w:i/>
        </w:rPr>
        <w:t>Id</w:t>
      </w:r>
      <w:r>
        <w:t>. at 2164.</w:t>
      </w:r>
    </w:p>
  </w:footnote>
  <w:footnote w:id="241">
    <w:p w:rsidR="0067532B" w:rsidRDefault="0067532B" w:rsidP="00883CBB">
      <w:pPr>
        <w:pStyle w:val="FootnoteText"/>
      </w:pPr>
      <w:r>
        <w:rPr>
          <w:rStyle w:val="FootnoteReference"/>
        </w:rPr>
        <w:footnoteRef/>
      </w:r>
      <w:r>
        <w:t xml:space="preserve"> </w:t>
      </w:r>
      <w:r>
        <w:tab/>
      </w:r>
      <w:r>
        <w:tab/>
      </w:r>
      <w:r w:rsidRPr="00425E46">
        <w:rPr>
          <w:i/>
        </w:rPr>
        <w:t>Id</w:t>
      </w:r>
      <w:r>
        <w:t>. at 2209-2211.</w:t>
      </w:r>
    </w:p>
  </w:footnote>
  <w:footnote w:id="242">
    <w:p w:rsidR="0067532B" w:rsidRDefault="0067532B" w:rsidP="00883CBB">
      <w:pPr>
        <w:pStyle w:val="FootnoteText"/>
      </w:pPr>
      <w:r>
        <w:rPr>
          <w:rStyle w:val="FootnoteReference"/>
        </w:rPr>
        <w:footnoteRef/>
      </w:r>
      <w:r>
        <w:t xml:space="preserve"> </w:t>
      </w:r>
      <w:r>
        <w:tab/>
      </w:r>
      <w:r>
        <w:tab/>
      </w:r>
      <w:r>
        <w:rPr>
          <w:i/>
        </w:rPr>
        <w:t>Id</w:t>
      </w:r>
      <w:r>
        <w:t xml:space="preserve">. </w:t>
      </w:r>
    </w:p>
  </w:footnote>
  <w:footnote w:id="243">
    <w:p w:rsidR="0067532B" w:rsidRDefault="0067532B" w:rsidP="00883CBB">
      <w:pPr>
        <w:pStyle w:val="FootnoteText"/>
      </w:pPr>
      <w:r>
        <w:rPr>
          <w:rStyle w:val="FootnoteReference"/>
        </w:rPr>
        <w:footnoteRef/>
      </w:r>
      <w:r>
        <w:t xml:space="preserve"> </w:t>
      </w:r>
      <w:r>
        <w:tab/>
      </w:r>
      <w:r>
        <w:tab/>
      </w:r>
      <w:r w:rsidRPr="00425E46">
        <w:rPr>
          <w:i/>
        </w:rPr>
        <w:t>Id</w:t>
      </w:r>
      <w:r>
        <w:t>. at 2165.</w:t>
      </w:r>
    </w:p>
  </w:footnote>
  <w:footnote w:id="244">
    <w:p w:rsidR="0067532B" w:rsidRDefault="0067532B" w:rsidP="00883CBB">
      <w:pPr>
        <w:pStyle w:val="FootnoteText"/>
      </w:pPr>
      <w:r>
        <w:rPr>
          <w:rStyle w:val="FootnoteReference"/>
        </w:rPr>
        <w:footnoteRef/>
      </w:r>
      <w:r>
        <w:t xml:space="preserve"> </w:t>
      </w:r>
      <w:r>
        <w:tab/>
      </w:r>
      <w:r>
        <w:tab/>
      </w:r>
      <w:r w:rsidRPr="00425E46">
        <w:rPr>
          <w:i/>
        </w:rPr>
        <w:t>Id</w:t>
      </w:r>
      <w:r>
        <w:t>.</w:t>
      </w:r>
    </w:p>
  </w:footnote>
  <w:footnote w:id="245">
    <w:p w:rsidR="0067532B" w:rsidRDefault="0067532B" w:rsidP="00883CBB">
      <w:pPr>
        <w:pStyle w:val="FootnoteText"/>
      </w:pPr>
      <w:r>
        <w:rPr>
          <w:rStyle w:val="FootnoteReference"/>
        </w:rPr>
        <w:footnoteRef/>
      </w:r>
      <w:r>
        <w:t xml:space="preserve"> </w:t>
      </w:r>
      <w:r>
        <w:tab/>
      </w:r>
      <w:r>
        <w:tab/>
      </w:r>
      <w:r w:rsidRPr="00425E46">
        <w:rPr>
          <w:i/>
        </w:rPr>
        <w:t>Id</w:t>
      </w:r>
      <w:r>
        <w:t>. at 2165-2166.</w:t>
      </w:r>
    </w:p>
  </w:footnote>
  <w:footnote w:id="246">
    <w:p w:rsidR="0067532B" w:rsidRDefault="0067532B" w:rsidP="00883CBB">
      <w:pPr>
        <w:pStyle w:val="FootnoteText"/>
      </w:pPr>
      <w:r>
        <w:rPr>
          <w:rStyle w:val="FootnoteReference"/>
        </w:rPr>
        <w:footnoteRef/>
      </w:r>
      <w:r>
        <w:t xml:space="preserve"> </w:t>
      </w:r>
      <w:r>
        <w:tab/>
      </w:r>
      <w:r>
        <w:tab/>
        <w:t>Tr. Vol. X at 2166.</w:t>
      </w:r>
    </w:p>
  </w:footnote>
  <w:footnote w:id="247">
    <w:p w:rsidR="0067532B" w:rsidRDefault="0067532B" w:rsidP="00883CBB">
      <w:pPr>
        <w:pStyle w:val="FootnoteText"/>
      </w:pPr>
      <w:r>
        <w:rPr>
          <w:rStyle w:val="FootnoteReference"/>
        </w:rPr>
        <w:footnoteRef/>
      </w:r>
      <w:r>
        <w:t xml:space="preserve"> </w:t>
      </w:r>
      <w:r>
        <w:tab/>
      </w:r>
      <w:r>
        <w:tab/>
      </w:r>
      <w:r w:rsidRPr="00425E46">
        <w:rPr>
          <w:i/>
        </w:rPr>
        <w:t>Id</w:t>
      </w:r>
      <w:r>
        <w:t>. at 2168.</w:t>
      </w:r>
    </w:p>
  </w:footnote>
  <w:footnote w:id="248">
    <w:p w:rsidR="0067532B" w:rsidRDefault="0067532B" w:rsidP="00883CBB">
      <w:pPr>
        <w:pStyle w:val="FootnoteText"/>
      </w:pPr>
      <w:r>
        <w:rPr>
          <w:rStyle w:val="FootnoteReference"/>
        </w:rPr>
        <w:footnoteRef/>
      </w:r>
      <w:r>
        <w:t xml:space="preserve"> </w:t>
      </w:r>
      <w:r>
        <w:tab/>
      </w:r>
      <w:r>
        <w:tab/>
      </w:r>
      <w:r w:rsidRPr="00425E46">
        <w:rPr>
          <w:i/>
        </w:rPr>
        <w:t>Id</w:t>
      </w:r>
      <w:r>
        <w:t>. at 2169.</w:t>
      </w:r>
    </w:p>
  </w:footnote>
  <w:footnote w:id="249">
    <w:p w:rsidR="0067532B" w:rsidRDefault="0067532B" w:rsidP="00883CBB">
      <w:pPr>
        <w:pStyle w:val="FootnoteText"/>
      </w:pPr>
      <w:r>
        <w:rPr>
          <w:rStyle w:val="FootnoteReference"/>
        </w:rPr>
        <w:footnoteRef/>
      </w:r>
      <w:r>
        <w:t xml:space="preserve"> </w:t>
      </w:r>
      <w:r>
        <w:tab/>
      </w:r>
      <w:r>
        <w:tab/>
      </w:r>
      <w:r>
        <w:rPr>
          <w:i/>
        </w:rPr>
        <w:t>Id</w:t>
      </w:r>
      <w:r>
        <w:t>.</w:t>
      </w:r>
    </w:p>
  </w:footnote>
  <w:footnote w:id="250">
    <w:p w:rsidR="0067532B" w:rsidRPr="003A65ED" w:rsidRDefault="0067532B" w:rsidP="00883CBB">
      <w:pPr>
        <w:pStyle w:val="FootnoteText"/>
      </w:pPr>
      <w:r>
        <w:rPr>
          <w:rStyle w:val="FootnoteReference"/>
        </w:rPr>
        <w:footnoteRef/>
      </w:r>
      <w:r>
        <w:t xml:space="preserve"> </w:t>
      </w:r>
      <w:r>
        <w:tab/>
      </w:r>
      <w:r>
        <w:tab/>
      </w:r>
      <w:r>
        <w:rPr>
          <w:i/>
        </w:rPr>
        <w:t>Id</w:t>
      </w:r>
      <w:r>
        <w:t>.</w:t>
      </w:r>
    </w:p>
  </w:footnote>
  <w:footnote w:id="251">
    <w:p w:rsidR="0067532B" w:rsidRDefault="0067532B" w:rsidP="00883CBB">
      <w:pPr>
        <w:pStyle w:val="FootnoteText"/>
      </w:pPr>
      <w:r>
        <w:rPr>
          <w:rStyle w:val="FootnoteReference"/>
        </w:rPr>
        <w:footnoteRef/>
      </w:r>
      <w:r>
        <w:t xml:space="preserve"> </w:t>
      </w:r>
      <w:r>
        <w:tab/>
      </w:r>
      <w:r>
        <w:tab/>
        <w:t>Tr. Vol. XI at 2414.</w:t>
      </w:r>
    </w:p>
  </w:footnote>
  <w:footnote w:id="252">
    <w:p w:rsidR="0067532B" w:rsidRDefault="0067532B" w:rsidP="00883CBB">
      <w:pPr>
        <w:pStyle w:val="FootnoteText"/>
      </w:pPr>
      <w:r>
        <w:rPr>
          <w:rStyle w:val="FootnoteReference"/>
        </w:rPr>
        <w:footnoteRef/>
      </w:r>
      <w:r>
        <w:t xml:space="preserve"> </w:t>
      </w:r>
      <w:r>
        <w:tab/>
      </w:r>
      <w:r>
        <w:tab/>
      </w:r>
      <w:r w:rsidRPr="005F1445">
        <w:rPr>
          <w:i/>
        </w:rPr>
        <w:t>Id</w:t>
      </w:r>
      <w:r>
        <w:t>. at 2417-2418.</w:t>
      </w:r>
    </w:p>
  </w:footnote>
  <w:footnote w:id="253">
    <w:p w:rsidR="0067532B" w:rsidRDefault="0067532B" w:rsidP="00883CBB">
      <w:pPr>
        <w:pStyle w:val="FootnoteText"/>
      </w:pPr>
      <w:r>
        <w:rPr>
          <w:rStyle w:val="FootnoteReference"/>
        </w:rPr>
        <w:footnoteRef/>
      </w:r>
      <w:r>
        <w:t xml:space="preserve"> </w:t>
      </w:r>
      <w:r>
        <w:tab/>
      </w:r>
      <w:r>
        <w:tab/>
      </w:r>
      <w:r w:rsidRPr="005F1445">
        <w:rPr>
          <w:i/>
        </w:rPr>
        <w:t>Id</w:t>
      </w:r>
      <w:r>
        <w:t>. at 2418-2419.</w:t>
      </w:r>
    </w:p>
  </w:footnote>
  <w:footnote w:id="254">
    <w:p w:rsidR="0067532B" w:rsidRDefault="0067532B" w:rsidP="00883CBB">
      <w:pPr>
        <w:pStyle w:val="FootnoteText"/>
      </w:pPr>
      <w:r>
        <w:rPr>
          <w:rStyle w:val="FootnoteReference"/>
        </w:rPr>
        <w:footnoteRef/>
      </w:r>
      <w:r>
        <w:t xml:space="preserve"> </w:t>
      </w:r>
      <w:r>
        <w:tab/>
      </w:r>
      <w:r>
        <w:tab/>
        <w:t>Tr. Vol. XI at 2415-2416.</w:t>
      </w:r>
    </w:p>
  </w:footnote>
  <w:footnote w:id="255">
    <w:p w:rsidR="0067532B" w:rsidRDefault="0067532B" w:rsidP="00883CBB">
      <w:pPr>
        <w:pStyle w:val="FootnoteText"/>
      </w:pPr>
      <w:r>
        <w:rPr>
          <w:rStyle w:val="FootnoteReference"/>
        </w:rPr>
        <w:footnoteRef/>
      </w:r>
      <w:r>
        <w:t xml:space="preserve"> </w:t>
      </w:r>
      <w:r>
        <w:tab/>
      </w:r>
      <w:r>
        <w:tab/>
        <w:t>Tr. Vol. XII at 2768-2770.</w:t>
      </w:r>
    </w:p>
  </w:footnote>
  <w:footnote w:id="256">
    <w:p w:rsidR="0067532B" w:rsidRDefault="0067532B" w:rsidP="00883CBB">
      <w:pPr>
        <w:pStyle w:val="FootnoteText"/>
      </w:pPr>
      <w:r>
        <w:rPr>
          <w:rStyle w:val="FootnoteReference"/>
        </w:rPr>
        <w:footnoteRef/>
      </w:r>
      <w:r>
        <w:t xml:space="preserve"> </w:t>
      </w:r>
      <w:r>
        <w:tab/>
      </w:r>
      <w:r>
        <w:tab/>
      </w:r>
      <w:r>
        <w:rPr>
          <w:i/>
        </w:rPr>
        <w:t>Id</w:t>
      </w:r>
      <w:r>
        <w:t>.</w:t>
      </w:r>
    </w:p>
  </w:footnote>
  <w:footnote w:id="257">
    <w:p w:rsidR="0067532B" w:rsidRDefault="0067532B" w:rsidP="00883CBB">
      <w:pPr>
        <w:pStyle w:val="FootnoteText"/>
      </w:pPr>
      <w:r>
        <w:rPr>
          <w:rStyle w:val="FootnoteReference"/>
        </w:rPr>
        <w:footnoteRef/>
      </w:r>
      <w:r>
        <w:t xml:space="preserve"> </w:t>
      </w:r>
      <w:r>
        <w:tab/>
      </w:r>
      <w:r>
        <w:tab/>
        <w:t>Tr. Vol. XI at 2420-2422.</w:t>
      </w:r>
    </w:p>
  </w:footnote>
  <w:footnote w:id="258">
    <w:p w:rsidR="0067532B" w:rsidRDefault="0067532B" w:rsidP="00883CBB">
      <w:pPr>
        <w:pStyle w:val="FootnoteText"/>
      </w:pPr>
      <w:r>
        <w:rPr>
          <w:rStyle w:val="FootnoteReference"/>
        </w:rPr>
        <w:footnoteRef/>
      </w:r>
      <w:r>
        <w:t xml:space="preserve"> </w:t>
      </w:r>
      <w:r>
        <w:tab/>
      </w:r>
      <w:r>
        <w:tab/>
      </w:r>
      <w:r w:rsidRPr="005F1445">
        <w:rPr>
          <w:i/>
        </w:rPr>
        <w:t>Id</w:t>
      </w:r>
      <w:r>
        <w:t>. at 2422.</w:t>
      </w:r>
    </w:p>
  </w:footnote>
  <w:footnote w:id="259">
    <w:p w:rsidR="0067532B" w:rsidRDefault="0067532B" w:rsidP="00883CBB">
      <w:pPr>
        <w:pStyle w:val="FootnoteText"/>
      </w:pPr>
      <w:r>
        <w:rPr>
          <w:rStyle w:val="FootnoteReference"/>
        </w:rPr>
        <w:footnoteRef/>
      </w:r>
      <w:r>
        <w:t xml:space="preserve"> </w:t>
      </w:r>
      <w:r>
        <w:tab/>
      </w:r>
      <w:r>
        <w:tab/>
        <w:t>Tr. Vol. XI at 2423-2424.</w:t>
      </w:r>
    </w:p>
  </w:footnote>
  <w:footnote w:id="260">
    <w:p w:rsidR="0067532B" w:rsidRDefault="0067532B" w:rsidP="00883CBB">
      <w:pPr>
        <w:pStyle w:val="FootnoteText"/>
      </w:pPr>
      <w:r>
        <w:rPr>
          <w:rStyle w:val="FootnoteReference"/>
        </w:rPr>
        <w:footnoteRef/>
      </w:r>
      <w:r>
        <w:t xml:space="preserve"> </w:t>
      </w:r>
      <w:r>
        <w:tab/>
      </w:r>
      <w:r>
        <w:tab/>
      </w:r>
      <w:r w:rsidRPr="005F1445">
        <w:rPr>
          <w:i/>
        </w:rPr>
        <w:t>Id</w:t>
      </w:r>
      <w:r>
        <w:t>. at 2424-2425.</w:t>
      </w:r>
    </w:p>
  </w:footnote>
  <w:footnote w:id="261">
    <w:p w:rsidR="0067532B" w:rsidRDefault="0067532B" w:rsidP="00883CBB">
      <w:pPr>
        <w:pStyle w:val="FootnoteText"/>
      </w:pPr>
      <w:r>
        <w:rPr>
          <w:rStyle w:val="FootnoteReference"/>
        </w:rPr>
        <w:footnoteRef/>
      </w:r>
      <w:r>
        <w:t xml:space="preserve"> </w:t>
      </w:r>
      <w:r>
        <w:tab/>
      </w:r>
      <w:r>
        <w:tab/>
      </w:r>
      <w:r>
        <w:rPr>
          <w:i/>
        </w:rPr>
        <w:t>Id</w:t>
      </w:r>
      <w:r>
        <w:t>. at 2429-2430.</w:t>
      </w:r>
    </w:p>
  </w:footnote>
  <w:footnote w:id="262">
    <w:p w:rsidR="0067532B" w:rsidRDefault="0067532B" w:rsidP="00883CBB">
      <w:pPr>
        <w:pStyle w:val="FootnoteText"/>
      </w:pPr>
      <w:r>
        <w:rPr>
          <w:rStyle w:val="FootnoteReference"/>
        </w:rPr>
        <w:footnoteRef/>
      </w:r>
      <w:r>
        <w:t xml:space="preserve"> </w:t>
      </w:r>
      <w:r>
        <w:tab/>
      </w:r>
      <w:r>
        <w:tab/>
        <w:t>Tr. Vol. II at 267.</w:t>
      </w:r>
    </w:p>
  </w:footnote>
  <w:footnote w:id="263">
    <w:p w:rsidR="0067532B" w:rsidRDefault="0067532B" w:rsidP="00883CBB">
      <w:pPr>
        <w:pStyle w:val="FootnoteText"/>
      </w:pPr>
      <w:r>
        <w:rPr>
          <w:rStyle w:val="FootnoteReference"/>
        </w:rPr>
        <w:footnoteRef/>
      </w:r>
      <w:r>
        <w:t xml:space="preserve"> </w:t>
      </w:r>
      <w:r>
        <w:tab/>
      </w:r>
      <w:r>
        <w:tab/>
      </w:r>
      <w:r>
        <w:rPr>
          <w:i/>
        </w:rPr>
        <w:t>I</w:t>
      </w:r>
      <w:r>
        <w:t>d</w:t>
      </w:r>
      <w:r>
        <w:rPr>
          <w:i/>
        </w:rPr>
        <w:t>. a</w:t>
      </w:r>
      <w:r>
        <w:t>t 275.</w:t>
      </w:r>
    </w:p>
  </w:footnote>
  <w:footnote w:id="264">
    <w:p w:rsidR="0067532B" w:rsidRDefault="0067532B" w:rsidP="00883CBB">
      <w:pPr>
        <w:pStyle w:val="FootnoteText"/>
      </w:pPr>
      <w:r>
        <w:rPr>
          <w:rStyle w:val="FootnoteReference"/>
        </w:rPr>
        <w:footnoteRef/>
      </w:r>
      <w:r>
        <w:t xml:space="preserve"> </w:t>
      </w:r>
      <w:r>
        <w:tab/>
      </w:r>
      <w:r>
        <w:tab/>
      </w:r>
      <w:r w:rsidRPr="00014DB2">
        <w:rPr>
          <w:i/>
        </w:rPr>
        <w:t>Id</w:t>
      </w:r>
      <w:r>
        <w:t>.</w:t>
      </w:r>
    </w:p>
  </w:footnote>
  <w:footnote w:id="265">
    <w:p w:rsidR="0067532B" w:rsidRDefault="0067532B" w:rsidP="00883CBB">
      <w:pPr>
        <w:pStyle w:val="FootnoteText"/>
      </w:pPr>
      <w:r>
        <w:rPr>
          <w:rStyle w:val="FootnoteReference"/>
        </w:rPr>
        <w:footnoteRef/>
      </w:r>
      <w:r>
        <w:t xml:space="preserve"> </w:t>
      </w:r>
      <w:r>
        <w:tab/>
      </w:r>
      <w:r>
        <w:tab/>
      </w:r>
      <w:r w:rsidRPr="00014DB2">
        <w:rPr>
          <w:i/>
        </w:rPr>
        <w:t>Id</w:t>
      </w:r>
      <w:r>
        <w:t>.</w:t>
      </w:r>
    </w:p>
  </w:footnote>
  <w:footnote w:id="266">
    <w:p w:rsidR="0067532B" w:rsidRDefault="0067532B" w:rsidP="00883CBB">
      <w:pPr>
        <w:pStyle w:val="FootnoteText"/>
      </w:pPr>
      <w:r>
        <w:rPr>
          <w:rStyle w:val="FootnoteReference"/>
        </w:rPr>
        <w:footnoteRef/>
      </w:r>
      <w:r>
        <w:t xml:space="preserve"> </w:t>
      </w:r>
      <w:r>
        <w:tab/>
      </w:r>
      <w:r>
        <w:tab/>
      </w:r>
      <w:r w:rsidRPr="00014DB2">
        <w:rPr>
          <w:i/>
        </w:rPr>
        <w:t>Id</w:t>
      </w:r>
      <w:r>
        <w:t>. at 275-276.</w:t>
      </w:r>
    </w:p>
  </w:footnote>
  <w:footnote w:id="267">
    <w:p w:rsidR="0067532B" w:rsidRDefault="0067532B" w:rsidP="00883CBB">
      <w:pPr>
        <w:pStyle w:val="FootnoteText"/>
      </w:pPr>
      <w:r>
        <w:rPr>
          <w:rStyle w:val="FootnoteReference"/>
        </w:rPr>
        <w:footnoteRef/>
      </w:r>
      <w:r>
        <w:t xml:space="preserve"> </w:t>
      </w:r>
      <w:r>
        <w:tab/>
      </w:r>
      <w:r>
        <w:tab/>
      </w:r>
      <w:r w:rsidR="00A23AA3">
        <w:rPr>
          <w:i/>
        </w:rPr>
        <w:t>Id</w:t>
      </w:r>
      <w:r w:rsidR="00A23AA3">
        <w:t>.</w:t>
      </w:r>
      <w:r>
        <w:t xml:space="preserve"> at 276.</w:t>
      </w:r>
    </w:p>
  </w:footnote>
  <w:footnote w:id="268">
    <w:p w:rsidR="0067532B" w:rsidRDefault="0067532B" w:rsidP="00883CBB">
      <w:pPr>
        <w:pStyle w:val="FootnoteText"/>
      </w:pPr>
      <w:r>
        <w:rPr>
          <w:rStyle w:val="FootnoteReference"/>
        </w:rPr>
        <w:footnoteRef/>
      </w:r>
      <w:r>
        <w:t xml:space="preserve"> </w:t>
      </w:r>
      <w:r>
        <w:tab/>
      </w:r>
      <w:r>
        <w:tab/>
      </w:r>
      <w:r w:rsidR="00080F38">
        <w:rPr>
          <w:i/>
        </w:rPr>
        <w:t>Id</w:t>
      </w:r>
      <w:r w:rsidR="00080F38">
        <w:t>.</w:t>
      </w:r>
    </w:p>
  </w:footnote>
  <w:footnote w:id="269">
    <w:p w:rsidR="0067532B" w:rsidRDefault="0067532B" w:rsidP="00883CBB">
      <w:pPr>
        <w:pStyle w:val="FootnoteText"/>
      </w:pPr>
      <w:r>
        <w:rPr>
          <w:rStyle w:val="FootnoteReference"/>
        </w:rPr>
        <w:footnoteRef/>
      </w:r>
      <w:r>
        <w:t xml:space="preserve"> </w:t>
      </w:r>
      <w:r>
        <w:tab/>
      </w:r>
      <w:r>
        <w:tab/>
      </w:r>
      <w:r w:rsidRPr="00014DB2">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2B" w:rsidRDefault="0067532B" w:rsidP="004D2AC6">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67532B" w:rsidRDefault="0067532B" w:rsidP="004D2AC6">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67532B" w:rsidRPr="004D2AC6" w:rsidRDefault="0067532B" w:rsidP="004D2AC6">
    <w:pPr>
      <w:pStyle w:val="Header"/>
      <w:jc w:val="right"/>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2B" w:rsidRDefault="00675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2B" w:rsidRPr="004D2AC6" w:rsidRDefault="0067532B" w:rsidP="004D2A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2B" w:rsidRDefault="00675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205"/>
    <w:multiLevelType w:val="hybridMultilevel"/>
    <w:tmpl w:val="A81CD7D4"/>
    <w:lvl w:ilvl="0" w:tplc="1C6E1E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E66D11"/>
    <w:multiLevelType w:val="hybridMultilevel"/>
    <w:tmpl w:val="A642AD08"/>
    <w:lvl w:ilvl="0" w:tplc="37122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1592"/>
    <w:multiLevelType w:val="hybridMultilevel"/>
    <w:tmpl w:val="3216C338"/>
    <w:lvl w:ilvl="0" w:tplc="09984742">
      <w:start w:val="1"/>
      <w:numFmt w:val="decimal"/>
      <w:pStyle w:val="Heading4"/>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B234B"/>
    <w:multiLevelType w:val="hybridMultilevel"/>
    <w:tmpl w:val="73B2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24E94"/>
    <w:multiLevelType w:val="hybridMultilevel"/>
    <w:tmpl w:val="CFA45D78"/>
    <w:lvl w:ilvl="0" w:tplc="39A285A6">
      <w:start w:val="1"/>
      <w:numFmt w:val="lowerRoman"/>
      <w:pStyle w:val="Heading6"/>
      <w:lvlText w:val="%1."/>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66EE6"/>
    <w:multiLevelType w:val="hybridMultilevel"/>
    <w:tmpl w:val="AF305646"/>
    <w:lvl w:ilvl="0" w:tplc="9A343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B41D2"/>
    <w:multiLevelType w:val="hybridMultilevel"/>
    <w:tmpl w:val="00865036"/>
    <w:lvl w:ilvl="0" w:tplc="7EBED7F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E19FF"/>
    <w:multiLevelType w:val="hybridMultilevel"/>
    <w:tmpl w:val="707E0DB6"/>
    <w:lvl w:ilvl="0" w:tplc="489E588C">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520D1"/>
    <w:multiLevelType w:val="hybridMultilevel"/>
    <w:tmpl w:val="BDFC14C0"/>
    <w:lvl w:ilvl="0" w:tplc="3F88A7B8">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5AB7A8D"/>
    <w:multiLevelType w:val="hybridMultilevel"/>
    <w:tmpl w:val="06D0A9CC"/>
    <w:lvl w:ilvl="0" w:tplc="5AFAA2FC">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9CB3AE9"/>
    <w:multiLevelType w:val="hybridMultilevel"/>
    <w:tmpl w:val="8112F746"/>
    <w:lvl w:ilvl="0" w:tplc="A9F6E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E2D6B"/>
    <w:multiLevelType w:val="hybridMultilevel"/>
    <w:tmpl w:val="078A7D6C"/>
    <w:lvl w:ilvl="0" w:tplc="A9F6E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E27AA"/>
    <w:multiLevelType w:val="hybridMultilevel"/>
    <w:tmpl w:val="39D403E4"/>
    <w:lvl w:ilvl="0" w:tplc="AB14C6A0">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CD3292"/>
    <w:multiLevelType w:val="hybridMultilevel"/>
    <w:tmpl w:val="609CC8BE"/>
    <w:lvl w:ilvl="0" w:tplc="AC68855E">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22EF0"/>
    <w:multiLevelType w:val="hybridMultilevel"/>
    <w:tmpl w:val="7D382A28"/>
    <w:lvl w:ilvl="0" w:tplc="21ECE0D2">
      <w:start w:val="1"/>
      <w:numFmt w:val="decimal"/>
      <w:lvlText w:val="(%1)"/>
      <w:lvlJc w:val="left"/>
      <w:pPr>
        <w:ind w:left="1800" w:hanging="360"/>
      </w:pPr>
      <w:rPr>
        <w:rFonts w:eastAsiaTheme="minorHAnsi"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C8216D"/>
    <w:multiLevelType w:val="hybridMultilevel"/>
    <w:tmpl w:val="F988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B4EF6"/>
    <w:multiLevelType w:val="hybridMultilevel"/>
    <w:tmpl w:val="EF1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37399"/>
    <w:multiLevelType w:val="hybridMultilevel"/>
    <w:tmpl w:val="89283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2D4F0F"/>
    <w:multiLevelType w:val="hybridMultilevel"/>
    <w:tmpl w:val="FFEED5CA"/>
    <w:lvl w:ilvl="0" w:tplc="A25C3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774882"/>
    <w:multiLevelType w:val="hybridMultilevel"/>
    <w:tmpl w:val="E7B008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E54B2C"/>
    <w:multiLevelType w:val="hybridMultilevel"/>
    <w:tmpl w:val="1744FB3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19"/>
  </w:num>
  <w:num w:numId="5">
    <w:abstractNumId w:val="3"/>
  </w:num>
  <w:num w:numId="6">
    <w:abstractNumId w:val="20"/>
  </w:num>
  <w:num w:numId="7">
    <w:abstractNumId w:val="6"/>
  </w:num>
  <w:num w:numId="8">
    <w:abstractNumId w:val="15"/>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0"/>
  </w:num>
  <w:num w:numId="14">
    <w:abstractNumId w:val="14"/>
  </w:num>
  <w:num w:numId="15">
    <w:abstractNumId w:val="8"/>
  </w:num>
  <w:num w:numId="16">
    <w:abstractNumId w:val="16"/>
  </w:num>
  <w:num w:numId="17">
    <w:abstractNumId w:val="9"/>
  </w:num>
  <w:num w:numId="18">
    <w:abstractNumId w:val="13"/>
  </w:num>
  <w:num w:numId="19">
    <w:abstractNumId w:val="12"/>
  </w:num>
  <w:num w:numId="20">
    <w:abstractNumId w:val="2"/>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6801"/>
  </w:hdrShapeDefaults>
  <w:footnotePr>
    <w:footnote w:id="-1"/>
    <w:footnote w:id="0"/>
  </w:footnotePr>
  <w:endnotePr>
    <w:numFmt w:val="decimal"/>
    <w:endnote w:id="-1"/>
    <w:endnote w:id="0"/>
  </w:endnotePr>
  <w:compat>
    <w:compatSetting w:name="compatibilityMode" w:uri="http://schemas.microsoft.com/office/word" w:val="12"/>
  </w:compat>
  <w:rsids>
    <w:rsidRoot w:val="00994718"/>
    <w:rsid w:val="000075D2"/>
    <w:rsid w:val="00011111"/>
    <w:rsid w:val="00011F2F"/>
    <w:rsid w:val="00014DB2"/>
    <w:rsid w:val="00017296"/>
    <w:rsid w:val="00026C3E"/>
    <w:rsid w:val="000331C8"/>
    <w:rsid w:val="00035AEC"/>
    <w:rsid w:val="00037A9C"/>
    <w:rsid w:val="00042333"/>
    <w:rsid w:val="000426BE"/>
    <w:rsid w:val="00044751"/>
    <w:rsid w:val="00044F79"/>
    <w:rsid w:val="0004540C"/>
    <w:rsid w:val="0004551C"/>
    <w:rsid w:val="00045571"/>
    <w:rsid w:val="0005071B"/>
    <w:rsid w:val="00060403"/>
    <w:rsid w:val="000608C4"/>
    <w:rsid w:val="00065466"/>
    <w:rsid w:val="000660FE"/>
    <w:rsid w:val="00075C64"/>
    <w:rsid w:val="000760C9"/>
    <w:rsid w:val="00077735"/>
    <w:rsid w:val="00080F38"/>
    <w:rsid w:val="000830D7"/>
    <w:rsid w:val="00087789"/>
    <w:rsid w:val="000A0CAC"/>
    <w:rsid w:val="000A3CEC"/>
    <w:rsid w:val="000A4B80"/>
    <w:rsid w:val="000B0837"/>
    <w:rsid w:val="000B1052"/>
    <w:rsid w:val="000B1151"/>
    <w:rsid w:val="000B46D5"/>
    <w:rsid w:val="000B6A32"/>
    <w:rsid w:val="000B72C6"/>
    <w:rsid w:val="000B79FA"/>
    <w:rsid w:val="000C0757"/>
    <w:rsid w:val="000C0AF6"/>
    <w:rsid w:val="000C1C01"/>
    <w:rsid w:val="000C21F7"/>
    <w:rsid w:val="000C69D1"/>
    <w:rsid w:val="000D1941"/>
    <w:rsid w:val="000D4750"/>
    <w:rsid w:val="000D6B3A"/>
    <w:rsid w:val="000D7018"/>
    <w:rsid w:val="000E74D7"/>
    <w:rsid w:val="000F1074"/>
    <w:rsid w:val="000F450F"/>
    <w:rsid w:val="000F6B5D"/>
    <w:rsid w:val="00101AB3"/>
    <w:rsid w:val="001022BF"/>
    <w:rsid w:val="001048CB"/>
    <w:rsid w:val="0010724F"/>
    <w:rsid w:val="00112562"/>
    <w:rsid w:val="00112E5F"/>
    <w:rsid w:val="001151B4"/>
    <w:rsid w:val="001204B4"/>
    <w:rsid w:val="001228BA"/>
    <w:rsid w:val="001229BE"/>
    <w:rsid w:val="0012337D"/>
    <w:rsid w:val="00126FCC"/>
    <w:rsid w:val="00131075"/>
    <w:rsid w:val="001322FA"/>
    <w:rsid w:val="001328EE"/>
    <w:rsid w:val="00145138"/>
    <w:rsid w:val="00145C11"/>
    <w:rsid w:val="001476A0"/>
    <w:rsid w:val="0014783E"/>
    <w:rsid w:val="00150138"/>
    <w:rsid w:val="001539EE"/>
    <w:rsid w:val="001540F2"/>
    <w:rsid w:val="001557AF"/>
    <w:rsid w:val="00161250"/>
    <w:rsid w:val="00162829"/>
    <w:rsid w:val="0016333A"/>
    <w:rsid w:val="00163E16"/>
    <w:rsid w:val="001644D8"/>
    <w:rsid w:val="001649E0"/>
    <w:rsid w:val="00176B5F"/>
    <w:rsid w:val="001773FE"/>
    <w:rsid w:val="0017798B"/>
    <w:rsid w:val="00177FE7"/>
    <w:rsid w:val="001819CD"/>
    <w:rsid w:val="0018319D"/>
    <w:rsid w:val="00187387"/>
    <w:rsid w:val="00187916"/>
    <w:rsid w:val="00192248"/>
    <w:rsid w:val="001A5819"/>
    <w:rsid w:val="001A6CF5"/>
    <w:rsid w:val="001B1DAD"/>
    <w:rsid w:val="001B248E"/>
    <w:rsid w:val="001B572A"/>
    <w:rsid w:val="001C4964"/>
    <w:rsid w:val="001D016A"/>
    <w:rsid w:val="001D0E9A"/>
    <w:rsid w:val="001D42E0"/>
    <w:rsid w:val="001D496E"/>
    <w:rsid w:val="001D6BDE"/>
    <w:rsid w:val="001E3521"/>
    <w:rsid w:val="001E3F1A"/>
    <w:rsid w:val="001E4CCF"/>
    <w:rsid w:val="001F14D3"/>
    <w:rsid w:val="001F50E6"/>
    <w:rsid w:val="001F5493"/>
    <w:rsid w:val="001F6BA6"/>
    <w:rsid w:val="00200713"/>
    <w:rsid w:val="00204704"/>
    <w:rsid w:val="002059A0"/>
    <w:rsid w:val="00210BAF"/>
    <w:rsid w:val="00214B5C"/>
    <w:rsid w:val="00216305"/>
    <w:rsid w:val="00220479"/>
    <w:rsid w:val="002228CE"/>
    <w:rsid w:val="00224D4D"/>
    <w:rsid w:val="00227735"/>
    <w:rsid w:val="002317AE"/>
    <w:rsid w:val="002317C4"/>
    <w:rsid w:val="002338C6"/>
    <w:rsid w:val="00237129"/>
    <w:rsid w:val="00240333"/>
    <w:rsid w:val="00241541"/>
    <w:rsid w:val="00241DDA"/>
    <w:rsid w:val="00243D0C"/>
    <w:rsid w:val="002447D2"/>
    <w:rsid w:val="002530D3"/>
    <w:rsid w:val="00255BA2"/>
    <w:rsid w:val="002562F4"/>
    <w:rsid w:val="002624A7"/>
    <w:rsid w:val="002625DA"/>
    <w:rsid w:val="002628AE"/>
    <w:rsid w:val="00265E47"/>
    <w:rsid w:val="00270F2F"/>
    <w:rsid w:val="00271943"/>
    <w:rsid w:val="00271E28"/>
    <w:rsid w:val="00275F53"/>
    <w:rsid w:val="0028204D"/>
    <w:rsid w:val="0028326E"/>
    <w:rsid w:val="00287AE7"/>
    <w:rsid w:val="00290EBF"/>
    <w:rsid w:val="00291D4F"/>
    <w:rsid w:val="0029229A"/>
    <w:rsid w:val="0029260D"/>
    <w:rsid w:val="00296D9F"/>
    <w:rsid w:val="00297B07"/>
    <w:rsid w:val="002B01B1"/>
    <w:rsid w:val="002B4081"/>
    <w:rsid w:val="002B5775"/>
    <w:rsid w:val="002C008E"/>
    <w:rsid w:val="002C18E6"/>
    <w:rsid w:val="002C526A"/>
    <w:rsid w:val="002D1277"/>
    <w:rsid w:val="002E4B56"/>
    <w:rsid w:val="002E5C8B"/>
    <w:rsid w:val="002E69B2"/>
    <w:rsid w:val="002E7035"/>
    <w:rsid w:val="002E7A42"/>
    <w:rsid w:val="002F0646"/>
    <w:rsid w:val="002F17B5"/>
    <w:rsid w:val="002F43F0"/>
    <w:rsid w:val="002F66F2"/>
    <w:rsid w:val="00300078"/>
    <w:rsid w:val="00300B54"/>
    <w:rsid w:val="003011C2"/>
    <w:rsid w:val="003020A0"/>
    <w:rsid w:val="00303090"/>
    <w:rsid w:val="00304100"/>
    <w:rsid w:val="00304179"/>
    <w:rsid w:val="003042DE"/>
    <w:rsid w:val="00304628"/>
    <w:rsid w:val="00306457"/>
    <w:rsid w:val="0031152E"/>
    <w:rsid w:val="00314099"/>
    <w:rsid w:val="00316339"/>
    <w:rsid w:val="0031655F"/>
    <w:rsid w:val="00321CD8"/>
    <w:rsid w:val="00322298"/>
    <w:rsid w:val="00324CFC"/>
    <w:rsid w:val="00332C0A"/>
    <w:rsid w:val="00335D79"/>
    <w:rsid w:val="00341F1D"/>
    <w:rsid w:val="003429F8"/>
    <w:rsid w:val="00343456"/>
    <w:rsid w:val="00344796"/>
    <w:rsid w:val="00346963"/>
    <w:rsid w:val="003503FE"/>
    <w:rsid w:val="0035592E"/>
    <w:rsid w:val="00356302"/>
    <w:rsid w:val="00356DE6"/>
    <w:rsid w:val="0036256E"/>
    <w:rsid w:val="00363876"/>
    <w:rsid w:val="00366C8C"/>
    <w:rsid w:val="003705C2"/>
    <w:rsid w:val="00374992"/>
    <w:rsid w:val="00377834"/>
    <w:rsid w:val="0039268E"/>
    <w:rsid w:val="0039464E"/>
    <w:rsid w:val="003A03F2"/>
    <w:rsid w:val="003A0EEB"/>
    <w:rsid w:val="003A133B"/>
    <w:rsid w:val="003A2FA5"/>
    <w:rsid w:val="003A3928"/>
    <w:rsid w:val="003A4F35"/>
    <w:rsid w:val="003A65ED"/>
    <w:rsid w:val="003C5977"/>
    <w:rsid w:val="003D23F6"/>
    <w:rsid w:val="003D77EC"/>
    <w:rsid w:val="003D7844"/>
    <w:rsid w:val="003E0F43"/>
    <w:rsid w:val="003E258F"/>
    <w:rsid w:val="003E5F3E"/>
    <w:rsid w:val="003F50D2"/>
    <w:rsid w:val="003F59F0"/>
    <w:rsid w:val="003F778E"/>
    <w:rsid w:val="004033B1"/>
    <w:rsid w:val="00405AE9"/>
    <w:rsid w:val="00407FB6"/>
    <w:rsid w:val="0041521B"/>
    <w:rsid w:val="00423F28"/>
    <w:rsid w:val="00425E46"/>
    <w:rsid w:val="00426062"/>
    <w:rsid w:val="00431F95"/>
    <w:rsid w:val="004328D6"/>
    <w:rsid w:val="00436968"/>
    <w:rsid w:val="00441892"/>
    <w:rsid w:val="00451967"/>
    <w:rsid w:val="004521C5"/>
    <w:rsid w:val="00452225"/>
    <w:rsid w:val="00453734"/>
    <w:rsid w:val="00457D1A"/>
    <w:rsid w:val="004625B6"/>
    <w:rsid w:val="00464D17"/>
    <w:rsid w:val="004659C4"/>
    <w:rsid w:val="0047097A"/>
    <w:rsid w:val="00471868"/>
    <w:rsid w:val="00471AE1"/>
    <w:rsid w:val="004743CC"/>
    <w:rsid w:val="00474689"/>
    <w:rsid w:val="0048669F"/>
    <w:rsid w:val="00490C5D"/>
    <w:rsid w:val="00493B4B"/>
    <w:rsid w:val="004A0311"/>
    <w:rsid w:val="004A244A"/>
    <w:rsid w:val="004A2B49"/>
    <w:rsid w:val="004A2FCA"/>
    <w:rsid w:val="004A3E58"/>
    <w:rsid w:val="004A4B37"/>
    <w:rsid w:val="004A5659"/>
    <w:rsid w:val="004A6C34"/>
    <w:rsid w:val="004A75A7"/>
    <w:rsid w:val="004A7911"/>
    <w:rsid w:val="004B128B"/>
    <w:rsid w:val="004B40D6"/>
    <w:rsid w:val="004B4893"/>
    <w:rsid w:val="004B6189"/>
    <w:rsid w:val="004B7AFB"/>
    <w:rsid w:val="004C763C"/>
    <w:rsid w:val="004D2AC6"/>
    <w:rsid w:val="004D3F24"/>
    <w:rsid w:val="004E19B5"/>
    <w:rsid w:val="004E5225"/>
    <w:rsid w:val="004E5517"/>
    <w:rsid w:val="004E6747"/>
    <w:rsid w:val="004E6888"/>
    <w:rsid w:val="004F0650"/>
    <w:rsid w:val="004F1C29"/>
    <w:rsid w:val="004F7C38"/>
    <w:rsid w:val="00502730"/>
    <w:rsid w:val="00504B2D"/>
    <w:rsid w:val="005054A8"/>
    <w:rsid w:val="00505D6D"/>
    <w:rsid w:val="00506D6D"/>
    <w:rsid w:val="00507027"/>
    <w:rsid w:val="005100D9"/>
    <w:rsid w:val="005162B5"/>
    <w:rsid w:val="0051747E"/>
    <w:rsid w:val="00520305"/>
    <w:rsid w:val="00520FB5"/>
    <w:rsid w:val="00521321"/>
    <w:rsid w:val="00526305"/>
    <w:rsid w:val="00530F40"/>
    <w:rsid w:val="005366CC"/>
    <w:rsid w:val="00544359"/>
    <w:rsid w:val="00553B4F"/>
    <w:rsid w:val="00557317"/>
    <w:rsid w:val="00560BB4"/>
    <w:rsid w:val="00567990"/>
    <w:rsid w:val="005706F6"/>
    <w:rsid w:val="005724AF"/>
    <w:rsid w:val="00572502"/>
    <w:rsid w:val="00572F4A"/>
    <w:rsid w:val="0057639E"/>
    <w:rsid w:val="00581FA5"/>
    <w:rsid w:val="00585034"/>
    <w:rsid w:val="005854E9"/>
    <w:rsid w:val="00586E6F"/>
    <w:rsid w:val="00586FEE"/>
    <w:rsid w:val="005934F4"/>
    <w:rsid w:val="00596D47"/>
    <w:rsid w:val="005A023E"/>
    <w:rsid w:val="005A2998"/>
    <w:rsid w:val="005A4713"/>
    <w:rsid w:val="005B6D80"/>
    <w:rsid w:val="005B74FA"/>
    <w:rsid w:val="005B7C72"/>
    <w:rsid w:val="005C5709"/>
    <w:rsid w:val="005C577B"/>
    <w:rsid w:val="005C6DA2"/>
    <w:rsid w:val="005C7EB0"/>
    <w:rsid w:val="005D1B1F"/>
    <w:rsid w:val="005D1EE8"/>
    <w:rsid w:val="005D277D"/>
    <w:rsid w:val="005D29FD"/>
    <w:rsid w:val="005D2EAD"/>
    <w:rsid w:val="005D3803"/>
    <w:rsid w:val="005E010C"/>
    <w:rsid w:val="005E2E5C"/>
    <w:rsid w:val="005E4F3F"/>
    <w:rsid w:val="005F1445"/>
    <w:rsid w:val="005F4517"/>
    <w:rsid w:val="005F472E"/>
    <w:rsid w:val="00600A75"/>
    <w:rsid w:val="006019B9"/>
    <w:rsid w:val="00604A05"/>
    <w:rsid w:val="0060546E"/>
    <w:rsid w:val="00613507"/>
    <w:rsid w:val="006223DC"/>
    <w:rsid w:val="00623053"/>
    <w:rsid w:val="006256C6"/>
    <w:rsid w:val="0063068E"/>
    <w:rsid w:val="006341B7"/>
    <w:rsid w:val="006341DA"/>
    <w:rsid w:val="0063522A"/>
    <w:rsid w:val="00637B32"/>
    <w:rsid w:val="00642A7E"/>
    <w:rsid w:val="00643D67"/>
    <w:rsid w:val="00647663"/>
    <w:rsid w:val="00647E3D"/>
    <w:rsid w:val="00651251"/>
    <w:rsid w:val="006531FC"/>
    <w:rsid w:val="0065328F"/>
    <w:rsid w:val="00657D3C"/>
    <w:rsid w:val="00661F0C"/>
    <w:rsid w:val="00663E5F"/>
    <w:rsid w:val="00670126"/>
    <w:rsid w:val="0067532B"/>
    <w:rsid w:val="00676C2F"/>
    <w:rsid w:val="006803F8"/>
    <w:rsid w:val="00684668"/>
    <w:rsid w:val="006916FC"/>
    <w:rsid w:val="00695818"/>
    <w:rsid w:val="006A63DB"/>
    <w:rsid w:val="006B58C7"/>
    <w:rsid w:val="006B66CB"/>
    <w:rsid w:val="006B7059"/>
    <w:rsid w:val="006C22E2"/>
    <w:rsid w:val="006C3AE2"/>
    <w:rsid w:val="006C4E52"/>
    <w:rsid w:val="006C7351"/>
    <w:rsid w:val="006D2E06"/>
    <w:rsid w:val="006D5BA5"/>
    <w:rsid w:val="006D5F0F"/>
    <w:rsid w:val="006D6531"/>
    <w:rsid w:val="006D7BD4"/>
    <w:rsid w:val="006E1F06"/>
    <w:rsid w:val="006E203D"/>
    <w:rsid w:val="006E2B6C"/>
    <w:rsid w:val="006F214B"/>
    <w:rsid w:val="006F4D88"/>
    <w:rsid w:val="006F6609"/>
    <w:rsid w:val="0070089E"/>
    <w:rsid w:val="00703FD8"/>
    <w:rsid w:val="007046D5"/>
    <w:rsid w:val="0070680D"/>
    <w:rsid w:val="00714F09"/>
    <w:rsid w:val="007205AA"/>
    <w:rsid w:val="00720A45"/>
    <w:rsid w:val="00722C91"/>
    <w:rsid w:val="00723B78"/>
    <w:rsid w:val="007261C9"/>
    <w:rsid w:val="00727624"/>
    <w:rsid w:val="00731567"/>
    <w:rsid w:val="00734C50"/>
    <w:rsid w:val="007356D8"/>
    <w:rsid w:val="007407C6"/>
    <w:rsid w:val="0074365B"/>
    <w:rsid w:val="00743D02"/>
    <w:rsid w:val="00746444"/>
    <w:rsid w:val="0075335C"/>
    <w:rsid w:val="007546D7"/>
    <w:rsid w:val="00754E46"/>
    <w:rsid w:val="00755EF8"/>
    <w:rsid w:val="007577EC"/>
    <w:rsid w:val="0076541A"/>
    <w:rsid w:val="00765F0A"/>
    <w:rsid w:val="00766887"/>
    <w:rsid w:val="007712F1"/>
    <w:rsid w:val="0077351C"/>
    <w:rsid w:val="0077481E"/>
    <w:rsid w:val="007759DE"/>
    <w:rsid w:val="007766CC"/>
    <w:rsid w:val="007831D6"/>
    <w:rsid w:val="00794070"/>
    <w:rsid w:val="00795179"/>
    <w:rsid w:val="007A0119"/>
    <w:rsid w:val="007A2754"/>
    <w:rsid w:val="007A5AAB"/>
    <w:rsid w:val="007A6878"/>
    <w:rsid w:val="007A7762"/>
    <w:rsid w:val="007B0B7D"/>
    <w:rsid w:val="007B1E44"/>
    <w:rsid w:val="007B36DD"/>
    <w:rsid w:val="007B4D35"/>
    <w:rsid w:val="007B7127"/>
    <w:rsid w:val="007C6B0C"/>
    <w:rsid w:val="007C6EFE"/>
    <w:rsid w:val="007C7C47"/>
    <w:rsid w:val="007C7D5E"/>
    <w:rsid w:val="007D28AF"/>
    <w:rsid w:val="007D4757"/>
    <w:rsid w:val="007D4ACF"/>
    <w:rsid w:val="007E2CEC"/>
    <w:rsid w:val="007E6632"/>
    <w:rsid w:val="007F0416"/>
    <w:rsid w:val="007F2813"/>
    <w:rsid w:val="007F2B66"/>
    <w:rsid w:val="008010E1"/>
    <w:rsid w:val="008021B9"/>
    <w:rsid w:val="00810437"/>
    <w:rsid w:val="0081139C"/>
    <w:rsid w:val="008117D6"/>
    <w:rsid w:val="00816BFA"/>
    <w:rsid w:val="0081721E"/>
    <w:rsid w:val="008220CE"/>
    <w:rsid w:val="0082293E"/>
    <w:rsid w:val="00825128"/>
    <w:rsid w:val="00832DC0"/>
    <w:rsid w:val="008362A4"/>
    <w:rsid w:val="008363D2"/>
    <w:rsid w:val="00836A4B"/>
    <w:rsid w:val="00841473"/>
    <w:rsid w:val="00842E5A"/>
    <w:rsid w:val="0084349F"/>
    <w:rsid w:val="00843F9F"/>
    <w:rsid w:val="008450BD"/>
    <w:rsid w:val="00845C19"/>
    <w:rsid w:val="0085547D"/>
    <w:rsid w:val="00856BEF"/>
    <w:rsid w:val="008628D8"/>
    <w:rsid w:val="00866079"/>
    <w:rsid w:val="00867B33"/>
    <w:rsid w:val="00867C09"/>
    <w:rsid w:val="008717CF"/>
    <w:rsid w:val="00871BA8"/>
    <w:rsid w:val="00873423"/>
    <w:rsid w:val="008800C3"/>
    <w:rsid w:val="0088191A"/>
    <w:rsid w:val="00881BFD"/>
    <w:rsid w:val="0088232A"/>
    <w:rsid w:val="00882D66"/>
    <w:rsid w:val="00883CBB"/>
    <w:rsid w:val="00894811"/>
    <w:rsid w:val="00896289"/>
    <w:rsid w:val="00896EF3"/>
    <w:rsid w:val="008A29DD"/>
    <w:rsid w:val="008A4888"/>
    <w:rsid w:val="008A5DF3"/>
    <w:rsid w:val="008A7562"/>
    <w:rsid w:val="008A76D4"/>
    <w:rsid w:val="008B4C1A"/>
    <w:rsid w:val="008B5F37"/>
    <w:rsid w:val="008B5FEA"/>
    <w:rsid w:val="008B6B5A"/>
    <w:rsid w:val="008B6B81"/>
    <w:rsid w:val="008C27BA"/>
    <w:rsid w:val="008C6FF8"/>
    <w:rsid w:val="008D165F"/>
    <w:rsid w:val="008D469F"/>
    <w:rsid w:val="008D6886"/>
    <w:rsid w:val="008E3D02"/>
    <w:rsid w:val="008F014F"/>
    <w:rsid w:val="008F0F79"/>
    <w:rsid w:val="008F7E95"/>
    <w:rsid w:val="00901FBB"/>
    <w:rsid w:val="00903C85"/>
    <w:rsid w:val="00905544"/>
    <w:rsid w:val="00907C83"/>
    <w:rsid w:val="009106EB"/>
    <w:rsid w:val="00911DC4"/>
    <w:rsid w:val="0092156B"/>
    <w:rsid w:val="009216ED"/>
    <w:rsid w:val="0092196C"/>
    <w:rsid w:val="009273E5"/>
    <w:rsid w:val="00934523"/>
    <w:rsid w:val="00936BC4"/>
    <w:rsid w:val="0093796B"/>
    <w:rsid w:val="00941B38"/>
    <w:rsid w:val="009478F8"/>
    <w:rsid w:val="009511C1"/>
    <w:rsid w:val="00951B44"/>
    <w:rsid w:val="00953FD5"/>
    <w:rsid w:val="00955CA2"/>
    <w:rsid w:val="009565C2"/>
    <w:rsid w:val="00957293"/>
    <w:rsid w:val="00964EB8"/>
    <w:rsid w:val="00965648"/>
    <w:rsid w:val="009656A0"/>
    <w:rsid w:val="00977219"/>
    <w:rsid w:val="00985057"/>
    <w:rsid w:val="009938E9"/>
    <w:rsid w:val="00994718"/>
    <w:rsid w:val="00994DC0"/>
    <w:rsid w:val="00995D95"/>
    <w:rsid w:val="00996971"/>
    <w:rsid w:val="009A0B7A"/>
    <w:rsid w:val="009A60CD"/>
    <w:rsid w:val="009A7148"/>
    <w:rsid w:val="009A78EE"/>
    <w:rsid w:val="009B184C"/>
    <w:rsid w:val="009C0DDC"/>
    <w:rsid w:val="009C1F5E"/>
    <w:rsid w:val="009C5E92"/>
    <w:rsid w:val="009C7184"/>
    <w:rsid w:val="009C7C22"/>
    <w:rsid w:val="009D17FD"/>
    <w:rsid w:val="009D1CCB"/>
    <w:rsid w:val="009D3DED"/>
    <w:rsid w:val="009E0AA6"/>
    <w:rsid w:val="009E16FD"/>
    <w:rsid w:val="009E47A6"/>
    <w:rsid w:val="009E4D3B"/>
    <w:rsid w:val="009E5D8E"/>
    <w:rsid w:val="009F7B72"/>
    <w:rsid w:val="00A02560"/>
    <w:rsid w:val="00A02A9F"/>
    <w:rsid w:val="00A06427"/>
    <w:rsid w:val="00A06EBC"/>
    <w:rsid w:val="00A06FC3"/>
    <w:rsid w:val="00A07692"/>
    <w:rsid w:val="00A148DE"/>
    <w:rsid w:val="00A1615F"/>
    <w:rsid w:val="00A16F82"/>
    <w:rsid w:val="00A23AA3"/>
    <w:rsid w:val="00A242E4"/>
    <w:rsid w:val="00A264C3"/>
    <w:rsid w:val="00A31CB1"/>
    <w:rsid w:val="00A343AE"/>
    <w:rsid w:val="00A34C6C"/>
    <w:rsid w:val="00A359A4"/>
    <w:rsid w:val="00A35AC7"/>
    <w:rsid w:val="00A3652F"/>
    <w:rsid w:val="00A427B6"/>
    <w:rsid w:val="00A42BA0"/>
    <w:rsid w:val="00A43DA5"/>
    <w:rsid w:val="00A55089"/>
    <w:rsid w:val="00A551F7"/>
    <w:rsid w:val="00A63A98"/>
    <w:rsid w:val="00A64ADC"/>
    <w:rsid w:val="00A651ED"/>
    <w:rsid w:val="00A66569"/>
    <w:rsid w:val="00A7055F"/>
    <w:rsid w:val="00A80F29"/>
    <w:rsid w:val="00A81110"/>
    <w:rsid w:val="00A84211"/>
    <w:rsid w:val="00A84566"/>
    <w:rsid w:val="00A84EAC"/>
    <w:rsid w:val="00A87E55"/>
    <w:rsid w:val="00A9481A"/>
    <w:rsid w:val="00A97059"/>
    <w:rsid w:val="00AA0F37"/>
    <w:rsid w:val="00AA1113"/>
    <w:rsid w:val="00AA1548"/>
    <w:rsid w:val="00AA3973"/>
    <w:rsid w:val="00AA4D63"/>
    <w:rsid w:val="00AA4F6D"/>
    <w:rsid w:val="00AA507E"/>
    <w:rsid w:val="00AA7266"/>
    <w:rsid w:val="00AB0737"/>
    <w:rsid w:val="00AB1AB9"/>
    <w:rsid w:val="00AB2242"/>
    <w:rsid w:val="00AB3042"/>
    <w:rsid w:val="00AC1D42"/>
    <w:rsid w:val="00AC27C3"/>
    <w:rsid w:val="00AC7698"/>
    <w:rsid w:val="00AD104C"/>
    <w:rsid w:val="00AD20A1"/>
    <w:rsid w:val="00AD2F6F"/>
    <w:rsid w:val="00AE3612"/>
    <w:rsid w:val="00AE45CC"/>
    <w:rsid w:val="00AE6C68"/>
    <w:rsid w:val="00AF448E"/>
    <w:rsid w:val="00AF718E"/>
    <w:rsid w:val="00B00030"/>
    <w:rsid w:val="00B004E1"/>
    <w:rsid w:val="00B02D62"/>
    <w:rsid w:val="00B119D9"/>
    <w:rsid w:val="00B12433"/>
    <w:rsid w:val="00B1679C"/>
    <w:rsid w:val="00B20C02"/>
    <w:rsid w:val="00B26698"/>
    <w:rsid w:val="00B2796E"/>
    <w:rsid w:val="00B30D89"/>
    <w:rsid w:val="00B32CDD"/>
    <w:rsid w:val="00B37EC6"/>
    <w:rsid w:val="00B409BF"/>
    <w:rsid w:val="00B40DE2"/>
    <w:rsid w:val="00B419E8"/>
    <w:rsid w:val="00B45195"/>
    <w:rsid w:val="00B46B81"/>
    <w:rsid w:val="00B478F3"/>
    <w:rsid w:val="00B51FD2"/>
    <w:rsid w:val="00B52407"/>
    <w:rsid w:val="00B53343"/>
    <w:rsid w:val="00B642DD"/>
    <w:rsid w:val="00B64FBD"/>
    <w:rsid w:val="00B7030F"/>
    <w:rsid w:val="00B71B90"/>
    <w:rsid w:val="00B7354B"/>
    <w:rsid w:val="00B90C56"/>
    <w:rsid w:val="00B910DC"/>
    <w:rsid w:val="00B93EA2"/>
    <w:rsid w:val="00B97462"/>
    <w:rsid w:val="00BA1A32"/>
    <w:rsid w:val="00BA1C0D"/>
    <w:rsid w:val="00BA6915"/>
    <w:rsid w:val="00BA7793"/>
    <w:rsid w:val="00BB539F"/>
    <w:rsid w:val="00BC1BFE"/>
    <w:rsid w:val="00BC30FB"/>
    <w:rsid w:val="00BC3101"/>
    <w:rsid w:val="00BC5409"/>
    <w:rsid w:val="00BD0279"/>
    <w:rsid w:val="00BD2990"/>
    <w:rsid w:val="00BD4E0C"/>
    <w:rsid w:val="00BD51F2"/>
    <w:rsid w:val="00BD7614"/>
    <w:rsid w:val="00BE62C1"/>
    <w:rsid w:val="00BF3F03"/>
    <w:rsid w:val="00BF445C"/>
    <w:rsid w:val="00BF6C13"/>
    <w:rsid w:val="00BF789F"/>
    <w:rsid w:val="00C0176D"/>
    <w:rsid w:val="00C0500E"/>
    <w:rsid w:val="00C063CF"/>
    <w:rsid w:val="00C0769E"/>
    <w:rsid w:val="00C079C0"/>
    <w:rsid w:val="00C123C6"/>
    <w:rsid w:val="00C2132D"/>
    <w:rsid w:val="00C21E78"/>
    <w:rsid w:val="00C31493"/>
    <w:rsid w:val="00C4044C"/>
    <w:rsid w:val="00C42586"/>
    <w:rsid w:val="00C4463E"/>
    <w:rsid w:val="00C44FBC"/>
    <w:rsid w:val="00C46383"/>
    <w:rsid w:val="00C54F64"/>
    <w:rsid w:val="00C61DE5"/>
    <w:rsid w:val="00C62458"/>
    <w:rsid w:val="00C63C9A"/>
    <w:rsid w:val="00C63E62"/>
    <w:rsid w:val="00C65BF3"/>
    <w:rsid w:val="00C67B0E"/>
    <w:rsid w:val="00C70206"/>
    <w:rsid w:val="00C71FFE"/>
    <w:rsid w:val="00C8055E"/>
    <w:rsid w:val="00C809B5"/>
    <w:rsid w:val="00C822EE"/>
    <w:rsid w:val="00C82383"/>
    <w:rsid w:val="00C86A92"/>
    <w:rsid w:val="00C91F9B"/>
    <w:rsid w:val="00C95250"/>
    <w:rsid w:val="00C97F57"/>
    <w:rsid w:val="00CA2377"/>
    <w:rsid w:val="00CB53FB"/>
    <w:rsid w:val="00CB7272"/>
    <w:rsid w:val="00CC12AA"/>
    <w:rsid w:val="00CC3C72"/>
    <w:rsid w:val="00CC4A83"/>
    <w:rsid w:val="00CC793E"/>
    <w:rsid w:val="00CC7B50"/>
    <w:rsid w:val="00CC7BF5"/>
    <w:rsid w:val="00CD1758"/>
    <w:rsid w:val="00CD1E5C"/>
    <w:rsid w:val="00CD4F43"/>
    <w:rsid w:val="00CE24AC"/>
    <w:rsid w:val="00CE32C7"/>
    <w:rsid w:val="00CE6ACB"/>
    <w:rsid w:val="00CE78AD"/>
    <w:rsid w:val="00CF1D0F"/>
    <w:rsid w:val="00CF4E48"/>
    <w:rsid w:val="00CF7824"/>
    <w:rsid w:val="00D06E5B"/>
    <w:rsid w:val="00D112CC"/>
    <w:rsid w:val="00D1796E"/>
    <w:rsid w:val="00D224AF"/>
    <w:rsid w:val="00D23DA3"/>
    <w:rsid w:val="00D25C6A"/>
    <w:rsid w:val="00D26E50"/>
    <w:rsid w:val="00D36A5D"/>
    <w:rsid w:val="00D37BFF"/>
    <w:rsid w:val="00D41FBB"/>
    <w:rsid w:val="00D51F4F"/>
    <w:rsid w:val="00D51FF6"/>
    <w:rsid w:val="00D66EA8"/>
    <w:rsid w:val="00D6750F"/>
    <w:rsid w:val="00D71251"/>
    <w:rsid w:val="00D73443"/>
    <w:rsid w:val="00D73E52"/>
    <w:rsid w:val="00D746F4"/>
    <w:rsid w:val="00D74F67"/>
    <w:rsid w:val="00D7665B"/>
    <w:rsid w:val="00D80325"/>
    <w:rsid w:val="00D91A0B"/>
    <w:rsid w:val="00D940AD"/>
    <w:rsid w:val="00D96728"/>
    <w:rsid w:val="00DA1580"/>
    <w:rsid w:val="00DA3AD3"/>
    <w:rsid w:val="00DA3DB9"/>
    <w:rsid w:val="00DA4633"/>
    <w:rsid w:val="00DA5641"/>
    <w:rsid w:val="00DA7D6E"/>
    <w:rsid w:val="00DB19FF"/>
    <w:rsid w:val="00DC0DB7"/>
    <w:rsid w:val="00DC2673"/>
    <w:rsid w:val="00DC3DBB"/>
    <w:rsid w:val="00DC6AB1"/>
    <w:rsid w:val="00DC75A9"/>
    <w:rsid w:val="00DC798A"/>
    <w:rsid w:val="00DD212C"/>
    <w:rsid w:val="00DD370C"/>
    <w:rsid w:val="00DD4BA6"/>
    <w:rsid w:val="00DD635F"/>
    <w:rsid w:val="00DD6B9F"/>
    <w:rsid w:val="00DD76C1"/>
    <w:rsid w:val="00DD7E55"/>
    <w:rsid w:val="00DE24F1"/>
    <w:rsid w:val="00DE2907"/>
    <w:rsid w:val="00DE5CF1"/>
    <w:rsid w:val="00E015E5"/>
    <w:rsid w:val="00E01D2B"/>
    <w:rsid w:val="00E028AA"/>
    <w:rsid w:val="00E03510"/>
    <w:rsid w:val="00E0563B"/>
    <w:rsid w:val="00E2071E"/>
    <w:rsid w:val="00E233A5"/>
    <w:rsid w:val="00E32329"/>
    <w:rsid w:val="00E32A22"/>
    <w:rsid w:val="00E33D2B"/>
    <w:rsid w:val="00E35558"/>
    <w:rsid w:val="00E412B7"/>
    <w:rsid w:val="00E430AE"/>
    <w:rsid w:val="00E4427F"/>
    <w:rsid w:val="00E445D6"/>
    <w:rsid w:val="00E45176"/>
    <w:rsid w:val="00E454F9"/>
    <w:rsid w:val="00E47BD6"/>
    <w:rsid w:val="00E47C74"/>
    <w:rsid w:val="00E527FD"/>
    <w:rsid w:val="00E5344D"/>
    <w:rsid w:val="00E65F5F"/>
    <w:rsid w:val="00E71BD7"/>
    <w:rsid w:val="00E71FD4"/>
    <w:rsid w:val="00E87E45"/>
    <w:rsid w:val="00E93D0D"/>
    <w:rsid w:val="00EA3058"/>
    <w:rsid w:val="00EA5889"/>
    <w:rsid w:val="00EB37F1"/>
    <w:rsid w:val="00EB707E"/>
    <w:rsid w:val="00EC0489"/>
    <w:rsid w:val="00EC2E6B"/>
    <w:rsid w:val="00EC33E7"/>
    <w:rsid w:val="00EC51F9"/>
    <w:rsid w:val="00EC57E3"/>
    <w:rsid w:val="00EC5C5F"/>
    <w:rsid w:val="00EC6033"/>
    <w:rsid w:val="00ED5EF9"/>
    <w:rsid w:val="00ED7E4A"/>
    <w:rsid w:val="00EE03E1"/>
    <w:rsid w:val="00EE163B"/>
    <w:rsid w:val="00EE5AB7"/>
    <w:rsid w:val="00EE5FF5"/>
    <w:rsid w:val="00EF01A2"/>
    <w:rsid w:val="00F02396"/>
    <w:rsid w:val="00F04B64"/>
    <w:rsid w:val="00F0772E"/>
    <w:rsid w:val="00F07730"/>
    <w:rsid w:val="00F1097F"/>
    <w:rsid w:val="00F13F10"/>
    <w:rsid w:val="00F162C6"/>
    <w:rsid w:val="00F216F0"/>
    <w:rsid w:val="00F22280"/>
    <w:rsid w:val="00F22672"/>
    <w:rsid w:val="00F23E18"/>
    <w:rsid w:val="00F25ADF"/>
    <w:rsid w:val="00F26053"/>
    <w:rsid w:val="00F31708"/>
    <w:rsid w:val="00F32EC1"/>
    <w:rsid w:val="00F35EFA"/>
    <w:rsid w:val="00F3681D"/>
    <w:rsid w:val="00F37BC0"/>
    <w:rsid w:val="00F41E84"/>
    <w:rsid w:val="00F470C3"/>
    <w:rsid w:val="00F53915"/>
    <w:rsid w:val="00F56339"/>
    <w:rsid w:val="00F60044"/>
    <w:rsid w:val="00F6374A"/>
    <w:rsid w:val="00F70025"/>
    <w:rsid w:val="00F72C96"/>
    <w:rsid w:val="00F73144"/>
    <w:rsid w:val="00F76447"/>
    <w:rsid w:val="00F77C40"/>
    <w:rsid w:val="00F809A5"/>
    <w:rsid w:val="00F854D7"/>
    <w:rsid w:val="00F912D0"/>
    <w:rsid w:val="00F919A9"/>
    <w:rsid w:val="00F93569"/>
    <w:rsid w:val="00F977B0"/>
    <w:rsid w:val="00FA0853"/>
    <w:rsid w:val="00FB0136"/>
    <w:rsid w:val="00FB0F7E"/>
    <w:rsid w:val="00FB4B07"/>
    <w:rsid w:val="00FB7AF8"/>
    <w:rsid w:val="00FC0E5A"/>
    <w:rsid w:val="00FC374D"/>
    <w:rsid w:val="00FC457E"/>
    <w:rsid w:val="00FD002D"/>
    <w:rsid w:val="00FD1107"/>
    <w:rsid w:val="00FD1AA7"/>
    <w:rsid w:val="00FD23E0"/>
    <w:rsid w:val="00FD3020"/>
    <w:rsid w:val="00FE6662"/>
    <w:rsid w:val="00FE6803"/>
    <w:rsid w:val="00FF1A45"/>
    <w:rsid w:val="00FF47A6"/>
    <w:rsid w:val="00FF4AC2"/>
    <w:rsid w:val="00FF6E91"/>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C6"/>
  </w:style>
  <w:style w:type="paragraph" w:styleId="Heading1">
    <w:name w:val="heading 1"/>
    <w:basedOn w:val="Normal"/>
    <w:next w:val="Normal"/>
    <w:link w:val="Heading1Char"/>
    <w:autoRedefine/>
    <w:uiPriority w:val="9"/>
    <w:qFormat/>
    <w:rsid w:val="004D2AC6"/>
    <w:pPr>
      <w:keepNext/>
      <w:keepLines/>
      <w:spacing w:before="360" w:after="24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883CBB"/>
    <w:pPr>
      <w:keepNext/>
      <w:keepLines/>
      <w:numPr>
        <w:numId w:val="18"/>
      </w:numPr>
      <w:spacing w:before="360" w:after="240" w:line="240" w:lineRule="auto"/>
      <w:ind w:right="720"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883CBB"/>
    <w:pPr>
      <w:keepNext/>
      <w:keepLines/>
      <w:numPr>
        <w:numId w:val="19"/>
      </w:numPr>
      <w:spacing w:before="360" w:after="240" w:line="240" w:lineRule="auto"/>
      <w:ind w:right="720" w:hanging="720"/>
      <w:outlineLvl w:val="2"/>
    </w:pPr>
    <w:rPr>
      <w:rFonts w:ascii="Times New Roman" w:eastAsiaTheme="majorEastAsia" w:hAnsi="Times New Roman" w:cstheme="majorBidi"/>
      <w:b/>
      <w:bCs/>
      <w:sz w:val="26"/>
    </w:rPr>
  </w:style>
  <w:style w:type="paragraph" w:styleId="Heading4">
    <w:name w:val="heading 4"/>
    <w:basedOn w:val="Normal"/>
    <w:next w:val="Normal"/>
    <w:link w:val="Heading4Char"/>
    <w:autoRedefine/>
    <w:uiPriority w:val="9"/>
    <w:unhideWhenUsed/>
    <w:qFormat/>
    <w:rsid w:val="0067532B"/>
    <w:pPr>
      <w:keepNext/>
      <w:keepLines/>
      <w:numPr>
        <w:numId w:val="20"/>
      </w:numPr>
      <w:spacing w:before="360" w:after="240" w:line="240" w:lineRule="auto"/>
      <w:ind w:left="2160" w:right="720" w:hanging="720"/>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autoRedefine/>
    <w:uiPriority w:val="9"/>
    <w:unhideWhenUsed/>
    <w:qFormat/>
    <w:rsid w:val="009E5D8E"/>
    <w:pPr>
      <w:keepNext/>
      <w:keepLines/>
      <w:numPr>
        <w:numId w:val="21"/>
      </w:numPr>
      <w:spacing w:before="360" w:after="240" w:line="240" w:lineRule="auto"/>
      <w:ind w:left="2880" w:right="1440" w:hanging="720"/>
      <w:outlineLvl w:val="4"/>
    </w:pPr>
    <w:rPr>
      <w:rFonts w:ascii="Times New Roman" w:eastAsiaTheme="majorEastAsia" w:hAnsi="Times New Roman" w:cstheme="majorBidi"/>
      <w:b/>
      <w:sz w:val="26"/>
    </w:rPr>
  </w:style>
  <w:style w:type="paragraph" w:styleId="Heading6">
    <w:name w:val="heading 6"/>
    <w:basedOn w:val="Normal"/>
    <w:next w:val="Normal"/>
    <w:link w:val="Heading6Char"/>
    <w:autoRedefine/>
    <w:uiPriority w:val="9"/>
    <w:unhideWhenUsed/>
    <w:qFormat/>
    <w:rsid w:val="009E5D8E"/>
    <w:pPr>
      <w:keepNext/>
      <w:keepLines/>
      <w:numPr>
        <w:numId w:val="22"/>
      </w:numPr>
      <w:spacing w:before="360" w:after="240" w:line="240" w:lineRule="auto"/>
      <w:ind w:left="3600" w:right="1440" w:hanging="720"/>
      <w:outlineLvl w:val="5"/>
    </w:pPr>
    <w:rPr>
      <w:rFonts w:ascii="Times New Roman" w:eastAsiaTheme="majorEastAsia" w:hAnsi="Times New Roman"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AC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83CBB"/>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883CBB"/>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67532B"/>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9E5D8E"/>
    <w:rPr>
      <w:rFonts w:ascii="Times New Roman" w:eastAsiaTheme="majorEastAsia" w:hAnsi="Times New Roman" w:cstheme="majorBidi"/>
      <w:b/>
      <w:sz w:val="26"/>
    </w:rPr>
  </w:style>
  <w:style w:type="character" w:customStyle="1" w:styleId="Heading6Char">
    <w:name w:val="Heading 6 Char"/>
    <w:basedOn w:val="DefaultParagraphFont"/>
    <w:link w:val="Heading6"/>
    <w:uiPriority w:val="9"/>
    <w:rsid w:val="009E5D8E"/>
    <w:rPr>
      <w:rFonts w:ascii="Times New Roman" w:eastAsiaTheme="majorEastAsia" w:hAnsi="Times New Roman" w:cstheme="majorBidi"/>
      <w:b/>
      <w:iCs/>
      <w:sz w:val="26"/>
    </w:rPr>
  </w:style>
  <w:style w:type="paragraph" w:styleId="NoSpacing">
    <w:name w:val="No Spacing"/>
    <w:uiPriority w:val="1"/>
    <w:qFormat/>
    <w:rsid w:val="00994718"/>
    <w:pPr>
      <w:spacing w:after="0" w:line="240" w:lineRule="auto"/>
    </w:pPr>
  </w:style>
  <w:style w:type="character" w:styleId="Hyperlink">
    <w:name w:val="Hyperlink"/>
    <w:basedOn w:val="DefaultParagraphFont"/>
    <w:uiPriority w:val="99"/>
    <w:unhideWhenUsed/>
    <w:rsid w:val="00A84211"/>
    <w:rPr>
      <w:color w:val="0000FF" w:themeColor="hyperlink"/>
      <w:u w:val="single"/>
    </w:rPr>
  </w:style>
  <w:style w:type="paragraph" w:styleId="FootnoteText">
    <w:name w:val="footnote text"/>
    <w:basedOn w:val="Normal"/>
    <w:link w:val="FootnoteTextChar"/>
    <w:autoRedefine/>
    <w:uiPriority w:val="99"/>
    <w:rsid w:val="00883CBB"/>
    <w:pPr>
      <w:spacing w:before="240" w:after="240" w:line="240" w:lineRule="auto"/>
      <w:ind w:left="720" w:hanging="720"/>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883CBB"/>
    <w:rPr>
      <w:rFonts w:ascii="Times New Roman" w:eastAsia="Times New Roman" w:hAnsi="Times New Roman" w:cs="Times New Roman"/>
      <w:sz w:val="24"/>
      <w:szCs w:val="24"/>
    </w:rPr>
  </w:style>
  <w:style w:type="character" w:styleId="FootnoteReference">
    <w:name w:val="footnote reference"/>
    <w:basedOn w:val="DefaultParagraphFont"/>
    <w:uiPriority w:val="99"/>
    <w:rsid w:val="00C54F64"/>
    <w:rPr>
      <w:vertAlign w:val="superscript"/>
    </w:rPr>
  </w:style>
  <w:style w:type="paragraph" w:styleId="EndnoteText">
    <w:name w:val="endnote text"/>
    <w:basedOn w:val="Normal"/>
    <w:link w:val="EndnoteTextChar"/>
    <w:uiPriority w:val="99"/>
    <w:semiHidden/>
    <w:unhideWhenUsed/>
    <w:rsid w:val="009106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6EB"/>
    <w:rPr>
      <w:sz w:val="20"/>
      <w:szCs w:val="20"/>
    </w:rPr>
  </w:style>
  <w:style w:type="character" w:styleId="EndnoteReference">
    <w:name w:val="endnote reference"/>
    <w:basedOn w:val="DefaultParagraphFont"/>
    <w:uiPriority w:val="99"/>
    <w:semiHidden/>
    <w:unhideWhenUsed/>
    <w:rsid w:val="009106EB"/>
    <w:rPr>
      <w:vertAlign w:val="superscript"/>
    </w:rPr>
  </w:style>
  <w:style w:type="paragraph" w:styleId="BalloonText">
    <w:name w:val="Balloon Text"/>
    <w:basedOn w:val="Normal"/>
    <w:link w:val="BalloonTextChar"/>
    <w:uiPriority w:val="99"/>
    <w:semiHidden/>
    <w:unhideWhenUsed/>
    <w:rsid w:val="00EC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33"/>
    <w:rPr>
      <w:rFonts w:ascii="Tahoma" w:hAnsi="Tahoma" w:cs="Tahoma"/>
      <w:sz w:val="16"/>
      <w:szCs w:val="16"/>
    </w:rPr>
  </w:style>
  <w:style w:type="paragraph" w:styleId="Header">
    <w:name w:val="header"/>
    <w:basedOn w:val="Normal"/>
    <w:link w:val="HeaderChar"/>
    <w:uiPriority w:val="99"/>
    <w:unhideWhenUsed/>
    <w:rsid w:val="0022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8CE"/>
  </w:style>
  <w:style w:type="paragraph" w:styleId="Footer">
    <w:name w:val="footer"/>
    <w:basedOn w:val="Normal"/>
    <w:link w:val="FooterChar"/>
    <w:uiPriority w:val="99"/>
    <w:unhideWhenUsed/>
    <w:rsid w:val="0022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CE"/>
  </w:style>
  <w:style w:type="paragraph" w:customStyle="1" w:styleId="textstyle">
    <w:name w:val="text style"/>
    <w:basedOn w:val="Normal"/>
    <w:rsid w:val="000D1941"/>
    <w:pPr>
      <w:spacing w:after="0" w:line="480" w:lineRule="auto"/>
    </w:pPr>
    <w:rPr>
      <w:rFonts w:ascii="Times New Roman" w:hAnsi="Times New Roman" w:cs="Times New Roman"/>
      <w:sz w:val="26"/>
      <w:szCs w:val="26"/>
    </w:rPr>
  </w:style>
  <w:style w:type="paragraph" w:customStyle="1" w:styleId="Blockquote">
    <w:name w:val="Block quote"/>
    <w:basedOn w:val="Normal"/>
    <w:rsid w:val="004D2AC6"/>
    <w:pPr>
      <w:autoSpaceDE w:val="0"/>
      <w:autoSpaceDN w:val="0"/>
      <w:adjustRightInd w:val="0"/>
      <w:spacing w:after="240" w:line="240" w:lineRule="auto"/>
      <w:ind w:left="1440" w:right="1440"/>
    </w:pPr>
    <w:rPr>
      <w:rFonts w:ascii="Times New Roman" w:hAnsi="Times New Roman" w:cs="Times New Roman"/>
      <w:sz w:val="26"/>
      <w:szCs w:val="26"/>
    </w:rPr>
  </w:style>
  <w:style w:type="paragraph" w:styleId="TOC1">
    <w:name w:val="toc 1"/>
    <w:basedOn w:val="Normal"/>
    <w:next w:val="Normal"/>
    <w:autoRedefine/>
    <w:uiPriority w:val="39"/>
    <w:unhideWhenUsed/>
    <w:rsid w:val="0067532B"/>
    <w:pPr>
      <w:tabs>
        <w:tab w:val="right" w:leader="dot" w:pos="9346"/>
      </w:tabs>
      <w:spacing w:after="240" w:line="240" w:lineRule="auto"/>
    </w:pPr>
    <w:rPr>
      <w:rFonts w:ascii="Times New Roman" w:hAnsi="Times New Roman"/>
      <w:sz w:val="26"/>
    </w:rPr>
  </w:style>
  <w:style w:type="paragraph" w:styleId="TOC2">
    <w:name w:val="toc 2"/>
    <w:basedOn w:val="Normal"/>
    <w:next w:val="Normal"/>
    <w:autoRedefine/>
    <w:uiPriority w:val="39"/>
    <w:unhideWhenUsed/>
    <w:rsid w:val="0067532B"/>
    <w:pPr>
      <w:tabs>
        <w:tab w:val="left" w:pos="720"/>
        <w:tab w:val="right" w:leader="dot" w:pos="9350"/>
      </w:tabs>
      <w:spacing w:before="240" w:after="240" w:line="240" w:lineRule="auto"/>
      <w:ind w:left="1382" w:right="1440" w:hanging="662"/>
    </w:pPr>
    <w:rPr>
      <w:rFonts w:ascii="Times New Roman" w:hAnsi="Times New Roman"/>
      <w:sz w:val="26"/>
    </w:rPr>
  </w:style>
  <w:style w:type="paragraph" w:styleId="TOC3">
    <w:name w:val="toc 3"/>
    <w:basedOn w:val="Normal"/>
    <w:next w:val="Normal"/>
    <w:autoRedefine/>
    <w:uiPriority w:val="39"/>
    <w:unhideWhenUsed/>
    <w:rsid w:val="0067532B"/>
    <w:pPr>
      <w:tabs>
        <w:tab w:val="right" w:pos="1440"/>
        <w:tab w:val="right" w:leader="dot" w:pos="9350"/>
      </w:tabs>
      <w:spacing w:before="240" w:after="240" w:line="240" w:lineRule="auto"/>
      <w:ind w:left="2160" w:right="1440" w:hanging="720"/>
    </w:pPr>
    <w:rPr>
      <w:rFonts w:ascii="Times New Roman" w:eastAsia="Times New Roman" w:hAnsi="Times New Roman"/>
      <w:noProof/>
      <w:sz w:val="26"/>
    </w:rPr>
  </w:style>
  <w:style w:type="paragraph" w:styleId="TOC4">
    <w:name w:val="toc 4"/>
    <w:basedOn w:val="Normal"/>
    <w:next w:val="Normal"/>
    <w:autoRedefine/>
    <w:uiPriority w:val="39"/>
    <w:unhideWhenUsed/>
    <w:rsid w:val="0067532B"/>
    <w:pPr>
      <w:tabs>
        <w:tab w:val="left" w:pos="1320"/>
        <w:tab w:val="left" w:pos="2880"/>
        <w:tab w:val="right" w:leader="dot" w:pos="9350"/>
      </w:tabs>
      <w:spacing w:before="240" w:after="240" w:line="240" w:lineRule="auto"/>
      <w:ind w:left="2880" w:right="1440" w:hanging="720"/>
    </w:pPr>
    <w:rPr>
      <w:rFonts w:ascii="Times New Roman" w:hAnsi="Times New Roman"/>
      <w:noProof/>
      <w:sz w:val="26"/>
    </w:rPr>
  </w:style>
  <w:style w:type="paragraph" w:styleId="TOC5">
    <w:name w:val="toc 5"/>
    <w:basedOn w:val="Normal"/>
    <w:next w:val="Normal"/>
    <w:autoRedefine/>
    <w:uiPriority w:val="39"/>
    <w:unhideWhenUsed/>
    <w:rsid w:val="0067532B"/>
    <w:pPr>
      <w:tabs>
        <w:tab w:val="left" w:pos="1320"/>
        <w:tab w:val="left" w:pos="2880"/>
        <w:tab w:val="right" w:leader="dot" w:pos="9350"/>
      </w:tabs>
      <w:spacing w:before="240" w:after="240" w:line="240" w:lineRule="auto"/>
      <w:ind w:left="3600" w:right="1440" w:hanging="720"/>
    </w:pPr>
    <w:rPr>
      <w:rFonts w:ascii="Times New Roman" w:hAnsi="Times New Roman"/>
      <w:sz w:val="26"/>
    </w:rPr>
  </w:style>
  <w:style w:type="paragraph" w:styleId="TOC6">
    <w:name w:val="toc 6"/>
    <w:basedOn w:val="Normal"/>
    <w:next w:val="Normal"/>
    <w:autoRedefine/>
    <w:uiPriority w:val="39"/>
    <w:unhideWhenUsed/>
    <w:rsid w:val="0067532B"/>
    <w:pPr>
      <w:tabs>
        <w:tab w:val="left" w:pos="1540"/>
        <w:tab w:val="right" w:leader="dot" w:pos="9350"/>
      </w:tabs>
      <w:spacing w:before="240" w:after="240" w:line="240" w:lineRule="auto"/>
      <w:ind w:left="4320" w:right="1440" w:hanging="720"/>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No Spacing"/>
    <w:uiPriority w:val="1"/>
    <w:qFormat/>
    <w:rsid w:val="00994718"/>
    <w:pPr>
      <w:spacing w:after="0" w:line="240" w:lineRule="auto"/>
    </w:pPr>
  </w:style>
  <w:style w:type="paragraph" w:styleId="Heading2Char">
    <w:name w:val="List Paragraph"/>
    <w:basedOn w:val="Normal"/>
    <w:link w:val="HeaderChar"/>
    <w:uiPriority w:val="99"/>
    <w:qFormat/>
    <w:rsid w:val="00994718"/>
    <w:pPr>
      <w:ind w:left="720"/>
      <w:contextualSpacing/>
    </w:pPr>
  </w:style>
  <w:style w:type="character" w:styleId="Heading3Char">
    <w:name w:val="Hyperlink"/>
    <w:basedOn w:val="DefaultParagraphFont"/>
    <w:uiPriority w:val="99"/>
    <w:unhideWhenUsed/>
    <w:rsid w:val="00A84211"/>
    <w:rPr>
      <w:color w:val="0000FF" w:themeColor="hyperlink"/>
      <w:u w:val="single"/>
    </w:rPr>
  </w:style>
  <w:style w:type="paragraph" w:styleId="Heading4Char">
    <w:name w:val="footnote text"/>
    <w:basedOn w:val="Normal"/>
    <w:link w:val="Heading5Char"/>
    <w:autoRedefine/>
    <w:uiPriority w:val="99"/>
    <w:rsid w:val="00A264C3"/>
    <w:pPr>
      <w:spacing w:before="240" w:after="240" w:line="240" w:lineRule="auto"/>
    </w:pPr>
    <w:rPr>
      <w:rFonts w:ascii="Times New Roman" w:eastAsia="Times New Roman" w:hAnsi="Times New Roman" w:cs="Times New Roman"/>
      <w:sz w:val="24"/>
      <w:szCs w:val="24"/>
    </w:rPr>
  </w:style>
  <w:style w:type="character" w:customStyle="1" w:styleId="Heading5Char">
    <w:name w:val="Footnote Text Char"/>
    <w:basedOn w:val="DefaultParagraphFont"/>
    <w:link w:val="Heading4Char"/>
    <w:uiPriority w:val="99"/>
    <w:rsid w:val="00A264C3"/>
    <w:rPr>
      <w:rFonts w:ascii="Times New Roman" w:eastAsia="Times New Roman" w:hAnsi="Times New Roman" w:cs="Times New Roman"/>
      <w:sz w:val="24"/>
      <w:szCs w:val="24"/>
    </w:rPr>
  </w:style>
  <w:style w:type="character" w:styleId="Heading6Char">
    <w:name w:val="footnote reference"/>
    <w:basedOn w:val="DefaultParagraphFont"/>
    <w:uiPriority w:val="99"/>
    <w:rsid w:val="00060403"/>
    <w:rPr>
      <w:vertAlign w:val="superscript"/>
    </w:rPr>
  </w:style>
  <w:style w:type="paragraph" w:customStyle="1" w:styleId="NoSpacing">
    <w:name w:val="testimony"/>
    <w:basedOn w:val="Normal"/>
    <w:rsid w:val="00060403"/>
    <w:pPr>
      <w:tabs>
        <w:tab w:val="decimal" w:pos="360"/>
        <w:tab w:val="left" w:pos="630"/>
      </w:tabs>
      <w:spacing w:after="0" w:line="480" w:lineRule="auto"/>
      <w:ind w:left="1179" w:hanging="1179"/>
    </w:pPr>
    <w:rPr>
      <w:rFonts w:ascii="Palatino" w:eastAsia="Times New Roman" w:hAnsi="Palatino" w:cs="Times New Roman"/>
      <w:sz w:val="24"/>
      <w:szCs w:val="20"/>
    </w:rPr>
  </w:style>
  <w:style w:type="paragraph" w:styleId="Hyperlink">
    <w:name w:val="endnote text"/>
    <w:basedOn w:val="Normal"/>
    <w:link w:val="FootnoteText"/>
    <w:uiPriority w:val="99"/>
    <w:semiHidden/>
    <w:unhideWhenUsed/>
    <w:rsid w:val="009106EB"/>
    <w:pPr>
      <w:spacing w:after="0" w:line="240" w:lineRule="auto"/>
    </w:pPr>
    <w:rPr>
      <w:sz w:val="20"/>
      <w:szCs w:val="20"/>
    </w:rPr>
  </w:style>
  <w:style w:type="character" w:customStyle="1" w:styleId="FootnoteText">
    <w:name w:val="Endnote Text Char"/>
    <w:basedOn w:val="DefaultParagraphFont"/>
    <w:link w:val="Hyperlink"/>
    <w:uiPriority w:val="99"/>
    <w:semiHidden/>
    <w:rsid w:val="009106EB"/>
    <w:rPr>
      <w:sz w:val="20"/>
      <w:szCs w:val="20"/>
    </w:rPr>
  </w:style>
  <w:style w:type="character" w:styleId="FootnoteTextChar">
    <w:name w:val="endnote reference"/>
    <w:basedOn w:val="DefaultParagraphFont"/>
    <w:uiPriority w:val="99"/>
    <w:semiHidden/>
    <w:unhideWhenUsed/>
    <w:rsid w:val="009106EB"/>
    <w:rPr>
      <w:vertAlign w:val="superscript"/>
    </w:rPr>
  </w:style>
  <w:style w:type="paragraph" w:styleId="FootnoteReference">
    <w:name w:val="Balloon Text"/>
    <w:basedOn w:val="Normal"/>
    <w:link w:val="EndnoteText"/>
    <w:uiPriority w:val="99"/>
    <w:semiHidden/>
    <w:unhideWhenUsed/>
    <w:rsid w:val="00EC6033"/>
    <w:pPr>
      <w:spacing w:after="0" w:line="240" w:lineRule="auto"/>
    </w:pPr>
    <w:rPr>
      <w:rFonts w:ascii="Tahoma" w:hAnsi="Tahoma" w:cs="Tahoma"/>
      <w:sz w:val="16"/>
      <w:szCs w:val="16"/>
    </w:rPr>
  </w:style>
  <w:style w:type="character" w:customStyle="1" w:styleId="EndnoteText">
    <w:name w:val="Balloon Text Char"/>
    <w:basedOn w:val="DefaultParagraphFont"/>
    <w:link w:val="FootnoteReference"/>
    <w:uiPriority w:val="99"/>
    <w:semiHidden/>
    <w:rsid w:val="00EC6033"/>
    <w:rPr>
      <w:rFonts w:ascii="Tahoma" w:hAnsi="Tahoma" w:cs="Tahoma"/>
      <w:sz w:val="16"/>
      <w:szCs w:val="16"/>
    </w:rPr>
  </w:style>
  <w:style w:type="paragraph" w:styleId="EndnoteTextChar">
    <w:name w:val="header"/>
    <w:basedOn w:val="Normal"/>
    <w:link w:val="EndnoteReference"/>
    <w:uiPriority w:val="99"/>
    <w:unhideWhenUsed/>
    <w:rsid w:val="002228CE"/>
    <w:pPr>
      <w:tabs>
        <w:tab w:val="center" w:pos="4680"/>
        <w:tab w:val="right" w:pos="9360"/>
      </w:tabs>
      <w:spacing w:after="0" w:line="240" w:lineRule="auto"/>
    </w:pPr>
  </w:style>
  <w:style w:type="character" w:customStyle="1" w:styleId="EndnoteReference">
    <w:name w:val="Header Char"/>
    <w:basedOn w:val="DefaultParagraphFont"/>
    <w:link w:val="EndnoteTextChar"/>
    <w:uiPriority w:val="99"/>
    <w:rsid w:val="002228CE"/>
  </w:style>
  <w:style w:type="paragraph" w:styleId="BalloonText">
    <w:name w:val="footer"/>
    <w:basedOn w:val="Normal"/>
    <w:link w:val="BalloonTextChar"/>
    <w:uiPriority w:val="99"/>
    <w:unhideWhenUsed/>
    <w:rsid w:val="002228CE"/>
    <w:pPr>
      <w:tabs>
        <w:tab w:val="center" w:pos="4680"/>
        <w:tab w:val="right" w:pos="9360"/>
      </w:tabs>
      <w:spacing w:after="0" w:line="240" w:lineRule="auto"/>
    </w:pPr>
  </w:style>
  <w:style w:type="character" w:customStyle="1" w:styleId="BalloonTextChar">
    <w:name w:val="Footer Char"/>
    <w:basedOn w:val="DefaultParagraphFont"/>
    <w:link w:val="BalloonText"/>
    <w:uiPriority w:val="99"/>
    <w:rsid w:val="002228CE"/>
  </w:style>
  <w:style w:type="paragraph" w:customStyle="1" w:styleId="Header">
    <w:name w:val="question"/>
    <w:basedOn w:val="Normal"/>
    <w:rsid w:val="00E47BD6"/>
    <w:pPr>
      <w:tabs>
        <w:tab w:val="left" w:pos="720"/>
      </w:tabs>
      <w:spacing w:after="0" w:line="480" w:lineRule="auto"/>
      <w:ind w:left="1440" w:hanging="1440"/>
    </w:pPr>
    <w:rPr>
      <w:rFonts w:ascii="Times New Roman" w:eastAsia="Times New Roman" w:hAnsi="Times New Roman" w:cs="Times New Roman"/>
      <w:sz w:val="26"/>
      <w:szCs w:val="26"/>
    </w:rPr>
  </w:style>
  <w:style w:type="character" w:customStyle="1" w:styleId="HeaderChar">
    <w:name w:val="List Paragraph Char"/>
    <w:link w:val="Heading2Char"/>
    <w:uiPriority w:val="99"/>
    <w:rsid w:val="00E47BD6"/>
  </w:style>
  <w:style w:type="paragraph" w:customStyle="1" w:styleId="Footer">
    <w:name w:val="question for"/>
    <w:basedOn w:val="Normal"/>
    <w:rsid w:val="00E47BD6"/>
    <w:pPr>
      <w:tabs>
        <w:tab w:val="left" w:pos="720"/>
      </w:tabs>
      <w:spacing w:after="0" w:line="480" w:lineRule="auto"/>
      <w:ind w:left="1440" w:hanging="1440"/>
    </w:pPr>
    <w:rPr>
      <w:rFonts w:ascii="Times New Roman" w:eastAsia="Times New Roman" w:hAnsi="Times New Roman" w:cs="Times New Roman"/>
      <w:b/>
      <w:sz w:val="26"/>
      <w:szCs w:val="26"/>
      <w:lang w:eastAsia="zh-CN"/>
    </w:rPr>
  </w:style>
  <w:style w:type="paragraph" w:customStyle="1" w:styleId="FooterChar">
    <w:name w:val="Body-IL"/>
    <w:basedOn w:val="Normal"/>
    <w:next w:val="Normal"/>
    <w:link w:val="textstyle"/>
    <w:qFormat/>
    <w:rsid w:val="00E47BD6"/>
    <w:pPr>
      <w:spacing w:after="0" w:line="480" w:lineRule="auto"/>
      <w:ind w:left="720"/>
    </w:pPr>
    <w:rPr>
      <w:rFonts w:ascii="Times New Roman" w:eastAsia="Times New Roman" w:hAnsi="Times New Roman" w:cs="Times New Roman"/>
      <w:sz w:val="24"/>
      <w:szCs w:val="20"/>
      <w:lang w:eastAsia="zh-CN"/>
    </w:rPr>
  </w:style>
  <w:style w:type="character" w:customStyle="1" w:styleId="textstyle">
    <w:name w:val="Body-IL Char"/>
    <w:link w:val="FooterChar"/>
    <w:rsid w:val="00E47BD6"/>
    <w:rPr>
      <w:rFonts w:ascii="Times New Roman" w:eastAsia="Times New Roman" w:hAnsi="Times New Roman" w:cs="Times New Roman"/>
      <w:sz w:val="24"/>
      <w:szCs w:val="20"/>
      <w:lang w:eastAsia="zh-CN"/>
    </w:rPr>
  </w:style>
  <w:style w:type="paragraph" w:styleId="Blockquote">
    <w:name w:val="Quote"/>
    <w:basedOn w:val="Normal"/>
    <w:next w:val="Normal"/>
    <w:link w:val="TOC1"/>
    <w:uiPriority w:val="29"/>
    <w:qFormat/>
    <w:rsid w:val="00044751"/>
    <w:pPr>
      <w:spacing w:after="120" w:line="240" w:lineRule="auto"/>
      <w:ind w:left="1440" w:right="1440"/>
      <w:jc w:val="both"/>
    </w:pPr>
    <w:rPr>
      <w:rFonts w:ascii="Times New Roman" w:eastAsia="Times New Roman" w:hAnsi="Times New Roman" w:cs="Times New Roman"/>
      <w:iCs/>
      <w:color w:val="000000"/>
      <w:sz w:val="24"/>
      <w:szCs w:val="20"/>
      <w:lang w:eastAsia="zh-CN"/>
    </w:rPr>
  </w:style>
  <w:style w:type="character" w:customStyle="1" w:styleId="TOC1">
    <w:name w:val="Quote Char"/>
    <w:basedOn w:val="DefaultParagraphFont"/>
    <w:link w:val="Blockquote"/>
    <w:uiPriority w:val="29"/>
    <w:rsid w:val="00044751"/>
    <w:rPr>
      <w:rFonts w:ascii="Times New Roman" w:eastAsia="Times New Roman" w:hAnsi="Times New Roman" w:cs="Times New Roman"/>
      <w:iCs/>
      <w:color w:val="000000"/>
      <w:sz w:val="24"/>
      <w:szCs w:val="20"/>
      <w:lang w:eastAsia="zh-CN"/>
    </w:rPr>
  </w:style>
  <w:style w:type="paragraph" w:customStyle="1" w:styleId="TOC2">
    <w:name w:val="Question-IL"/>
    <w:basedOn w:val="Normal"/>
    <w:next w:val="TOC4"/>
    <w:link w:val="TOC3"/>
    <w:qFormat/>
    <w:rsid w:val="00BA1C0D"/>
    <w:pPr>
      <w:spacing w:after="0" w:line="480" w:lineRule="auto"/>
      <w:ind w:left="720" w:hanging="720"/>
    </w:pPr>
    <w:rPr>
      <w:rFonts w:ascii="Times New Roman" w:eastAsia="Times New Roman" w:hAnsi="Times New Roman" w:cs="Times New Roman"/>
      <w:b/>
      <w:sz w:val="24"/>
      <w:szCs w:val="20"/>
      <w:lang w:eastAsia="zh-CN"/>
    </w:rPr>
  </w:style>
  <w:style w:type="character" w:customStyle="1" w:styleId="TOC3">
    <w:name w:val="Question-IL Char"/>
    <w:link w:val="TOC2"/>
    <w:rsid w:val="00BA1C0D"/>
    <w:rPr>
      <w:rFonts w:ascii="Times New Roman" w:eastAsia="Times New Roman" w:hAnsi="Times New Roman" w:cs="Times New Roman"/>
      <w:b/>
      <w:sz w:val="24"/>
      <w:szCs w:val="20"/>
      <w:lang w:eastAsia="zh-CN"/>
    </w:rPr>
  </w:style>
  <w:style w:type="paragraph" w:customStyle="1" w:styleId="TOC4">
    <w:name w:val="Answer-IL"/>
    <w:basedOn w:val="Normal"/>
    <w:next w:val="FooterChar"/>
    <w:link w:val="TOC5"/>
    <w:qFormat/>
    <w:rsid w:val="00BA1C0D"/>
    <w:pPr>
      <w:spacing w:after="0" w:line="480" w:lineRule="auto"/>
      <w:ind w:left="720" w:hanging="720"/>
    </w:pPr>
    <w:rPr>
      <w:rFonts w:ascii="Times New Roman" w:eastAsia="Times New Roman" w:hAnsi="Times New Roman" w:cs="Times New Roman"/>
      <w:sz w:val="24"/>
      <w:szCs w:val="20"/>
      <w:lang w:eastAsia="zh-CN"/>
    </w:rPr>
  </w:style>
  <w:style w:type="character" w:customStyle="1" w:styleId="TOC5">
    <w:name w:val="Answer-IL Char"/>
    <w:link w:val="TOC4"/>
    <w:rsid w:val="00BA1C0D"/>
    <w:rPr>
      <w:rFonts w:ascii="Times New Roman" w:eastAsia="Times New Roman" w:hAnsi="Times New Roman" w:cs="Times New Roman"/>
      <w:sz w:val="24"/>
      <w:szCs w:val="20"/>
      <w:lang w:eastAsia="zh-CN"/>
    </w:rPr>
  </w:style>
  <w:style w:type="paragraph" w:customStyle="1" w:styleId="TOC6">
    <w:name w:val="VA_Body"/>
    <w:basedOn w:val="Normal"/>
    <w:next w:val="Normal"/>
    <w:link w:val="VABodyChar"/>
    <w:uiPriority w:val="99"/>
    <w:rsid w:val="00714F09"/>
    <w:pPr>
      <w:spacing w:after="0" w:line="480" w:lineRule="auto"/>
      <w:ind w:left="720" w:firstLine="720"/>
      <w:jc w:val="both"/>
    </w:pPr>
    <w:rPr>
      <w:rFonts w:ascii="Times New Roman" w:eastAsia="Times New Roman" w:hAnsi="Times New Roman" w:cs="Times New Roman"/>
      <w:sz w:val="24"/>
      <w:szCs w:val="20"/>
    </w:rPr>
  </w:style>
  <w:style w:type="character" w:customStyle="1" w:styleId="VABodyChar">
    <w:name w:val="VA_Body Char"/>
    <w:link w:val="TOC6"/>
    <w:uiPriority w:val="99"/>
    <w:locked/>
    <w:rsid w:val="00714F09"/>
    <w:rPr>
      <w:rFonts w:ascii="Times New Roman" w:eastAsia="Times New Roman" w:hAnsi="Times New Roman" w:cs="Times New Roman"/>
      <w:sz w:val="24"/>
      <w:szCs w:val="20"/>
    </w:rPr>
  </w:style>
  <w:style w:type="paragraph" w:customStyle="1" w:styleId="VAQuote">
    <w:name w:val="VA_Quote"/>
    <w:basedOn w:val="Normal"/>
    <w:link w:val="VAQuoteChar"/>
    <w:uiPriority w:val="99"/>
    <w:rsid w:val="00714F09"/>
    <w:pPr>
      <w:spacing w:before="120" w:after="240" w:line="240" w:lineRule="auto"/>
      <w:ind w:left="1440" w:right="720"/>
      <w:jc w:val="both"/>
    </w:pPr>
    <w:rPr>
      <w:rFonts w:ascii="Times New Roman" w:eastAsia="Times New Roman" w:hAnsi="Times New Roman" w:cs="Times New Roman"/>
      <w:sz w:val="24"/>
      <w:szCs w:val="24"/>
    </w:rPr>
  </w:style>
  <w:style w:type="character" w:customStyle="1" w:styleId="VAQuoteChar">
    <w:name w:val="VA_Quote Char"/>
    <w:link w:val="VAQuote"/>
    <w:uiPriority w:val="99"/>
    <w:locked/>
    <w:rsid w:val="00714F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6303">
      <w:bodyDiv w:val="1"/>
      <w:marLeft w:val="0"/>
      <w:marRight w:val="0"/>
      <w:marTop w:val="0"/>
      <w:marBottom w:val="0"/>
      <w:divBdr>
        <w:top w:val="none" w:sz="0" w:space="0" w:color="auto"/>
        <w:left w:val="none" w:sz="0" w:space="0" w:color="auto"/>
        <w:bottom w:val="none" w:sz="0" w:space="0" w:color="auto"/>
        <w:right w:val="none" w:sz="0" w:space="0" w:color="auto"/>
      </w:divBdr>
    </w:div>
    <w:div w:id="992753757">
      <w:bodyDiv w:val="1"/>
      <w:marLeft w:val="0"/>
      <w:marRight w:val="0"/>
      <w:marTop w:val="0"/>
      <w:marBottom w:val="0"/>
      <w:divBdr>
        <w:top w:val="none" w:sz="0" w:space="0" w:color="auto"/>
        <w:left w:val="none" w:sz="0" w:space="0" w:color="auto"/>
        <w:bottom w:val="none" w:sz="0" w:space="0" w:color="auto"/>
        <w:right w:val="none" w:sz="0" w:space="0" w:color="auto"/>
      </w:divBdr>
      <w:divsChild>
        <w:div w:id="1734428345">
          <w:marLeft w:val="0"/>
          <w:marRight w:val="-5040"/>
          <w:marTop w:val="0"/>
          <w:marBottom w:val="0"/>
          <w:divBdr>
            <w:top w:val="none" w:sz="0" w:space="0" w:color="auto"/>
            <w:left w:val="none" w:sz="0" w:space="0" w:color="auto"/>
            <w:bottom w:val="none" w:sz="0" w:space="0" w:color="auto"/>
            <w:right w:val="none" w:sz="0" w:space="0" w:color="auto"/>
          </w:divBdr>
          <w:divsChild>
            <w:div w:id="763496765">
              <w:marLeft w:val="0"/>
              <w:marRight w:val="5040"/>
              <w:marTop w:val="0"/>
              <w:marBottom w:val="0"/>
              <w:divBdr>
                <w:top w:val="none" w:sz="0" w:space="0" w:color="auto"/>
                <w:left w:val="none" w:sz="0" w:space="0" w:color="auto"/>
                <w:bottom w:val="none" w:sz="0" w:space="0" w:color="auto"/>
                <w:right w:val="none" w:sz="0" w:space="0" w:color="auto"/>
              </w:divBdr>
              <w:divsChild>
                <w:div w:id="7641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57674">
      <w:bodyDiv w:val="1"/>
      <w:marLeft w:val="0"/>
      <w:marRight w:val="0"/>
      <w:marTop w:val="0"/>
      <w:marBottom w:val="0"/>
      <w:divBdr>
        <w:top w:val="none" w:sz="0" w:space="0" w:color="auto"/>
        <w:left w:val="none" w:sz="0" w:space="0" w:color="auto"/>
        <w:bottom w:val="none" w:sz="0" w:space="0" w:color="auto"/>
        <w:right w:val="none" w:sz="0" w:space="0" w:color="auto"/>
      </w:divBdr>
      <w:divsChild>
        <w:div w:id="691564938">
          <w:marLeft w:val="0"/>
          <w:marRight w:val="-5040"/>
          <w:marTop w:val="0"/>
          <w:marBottom w:val="0"/>
          <w:divBdr>
            <w:top w:val="none" w:sz="0" w:space="0" w:color="auto"/>
            <w:left w:val="none" w:sz="0" w:space="0" w:color="auto"/>
            <w:bottom w:val="none" w:sz="0" w:space="0" w:color="auto"/>
            <w:right w:val="none" w:sz="0" w:space="0" w:color="auto"/>
          </w:divBdr>
          <w:divsChild>
            <w:div w:id="9534037">
              <w:marLeft w:val="0"/>
              <w:marRight w:val="5040"/>
              <w:marTop w:val="0"/>
              <w:marBottom w:val="0"/>
              <w:divBdr>
                <w:top w:val="none" w:sz="0" w:space="0" w:color="auto"/>
                <w:left w:val="none" w:sz="0" w:space="0" w:color="auto"/>
                <w:bottom w:val="none" w:sz="0" w:space="0" w:color="auto"/>
                <w:right w:val="none" w:sz="0" w:space="0" w:color="auto"/>
              </w:divBdr>
              <w:divsChild>
                <w:div w:id="7499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niel.Shields@puc.state.oh.us" TargetMode="External"/><Relationship Id="rId117" Type="http://schemas.openxmlformats.org/officeDocument/2006/relationships/hyperlink" Target="mailto:jkooper@hess.com" TargetMode="External"/><Relationship Id="rId21" Type="http://schemas.openxmlformats.org/officeDocument/2006/relationships/footer" Target="footer4.xml"/><Relationship Id="rId42" Type="http://schemas.openxmlformats.org/officeDocument/2006/relationships/hyperlink" Target="mailto:pfox@hilliardohio.gov" TargetMode="External"/><Relationship Id="rId47" Type="http://schemas.openxmlformats.org/officeDocument/2006/relationships/hyperlink" Target="mailto:sandy.grace@exeloncorp.com" TargetMode="External"/><Relationship Id="rId63" Type="http://schemas.openxmlformats.org/officeDocument/2006/relationships/hyperlink" Target="mailto:cynthia.a.fonner@constellation.com" TargetMode="External"/><Relationship Id="rId68" Type="http://schemas.openxmlformats.org/officeDocument/2006/relationships/hyperlink" Target="mailto:mkurtz@bkllawfirm.com" TargetMode="External"/><Relationship Id="rId84" Type="http://schemas.openxmlformats.org/officeDocument/2006/relationships/hyperlink" Target="mailto:lmcbride@calfee.com" TargetMode="External"/><Relationship Id="rId89" Type="http://schemas.openxmlformats.org/officeDocument/2006/relationships/hyperlink" Target="mailto:mwarnock@bricker.com" TargetMode="External"/><Relationship Id="rId112" Type="http://schemas.openxmlformats.org/officeDocument/2006/relationships/hyperlink" Target="mailto:aaragona@eimerstahl.com" TargetMode="External"/><Relationship Id="rId16" Type="http://schemas.openxmlformats.org/officeDocument/2006/relationships/image" Target="media/image2.emf"/><Relationship Id="rId107" Type="http://schemas.openxmlformats.org/officeDocument/2006/relationships/hyperlink" Target="mailto:jmaskovyak@ohiopovertylaw.org" TargetMode="External"/><Relationship Id="rId11" Type="http://schemas.openxmlformats.org/officeDocument/2006/relationships/footer" Target="footer1.xml"/><Relationship Id="rId32" Type="http://schemas.openxmlformats.org/officeDocument/2006/relationships/hyperlink" Target="mailto:Greg.Price@puc.state.oh.us" TargetMode="External"/><Relationship Id="rId37" Type="http://schemas.openxmlformats.org/officeDocument/2006/relationships/hyperlink" Target="mailto:grady@occ.state.oh.us" TargetMode="External"/><Relationship Id="rId53" Type="http://schemas.openxmlformats.org/officeDocument/2006/relationships/hyperlink" Target="mailto:cmooney2@columbus.rr.com" TargetMode="External"/><Relationship Id="rId58" Type="http://schemas.openxmlformats.org/officeDocument/2006/relationships/hyperlink" Target="mailto:emma.hand@snrdenton.com" TargetMode="External"/><Relationship Id="rId74" Type="http://schemas.openxmlformats.org/officeDocument/2006/relationships/hyperlink" Target="mailto:rsugarman@keglerbrown.com" TargetMode="External"/><Relationship Id="rId79" Type="http://schemas.openxmlformats.org/officeDocument/2006/relationships/hyperlink" Target="mailto:dakutik@jonesday.com" TargetMode="External"/><Relationship Id="rId102" Type="http://schemas.openxmlformats.org/officeDocument/2006/relationships/hyperlink" Target="mailto:barthroyer@aol.com" TargetMode="External"/><Relationship Id="rId123" Type="http://schemas.openxmlformats.org/officeDocument/2006/relationships/hyperlink" Target="mailto:Dane.Stinson@baileycavalieri.com"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mailto:gthomas@gtpowergroup.com" TargetMode="External"/><Relationship Id="rId95" Type="http://schemas.openxmlformats.org/officeDocument/2006/relationships/hyperlink" Target="mailto:ahaque@szd.com" TargetMode="External"/><Relationship Id="rId19" Type="http://schemas.openxmlformats.org/officeDocument/2006/relationships/hyperlink" Target="mailto:steven.beeler@puc.state.oh.us" TargetMode="Externa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yperlink" Target="mailto:Tammy.Turkenton@puc.state.oh.us" TargetMode="External"/><Relationship Id="rId30" Type="http://schemas.openxmlformats.org/officeDocument/2006/relationships/hyperlink" Target="mailto:Bob.Fortney@puc.state.oh.us" TargetMode="External"/><Relationship Id="rId35" Type="http://schemas.openxmlformats.org/officeDocument/2006/relationships/hyperlink" Target="mailto:Dan.Johnson@puc.state.oh.us" TargetMode="External"/><Relationship Id="rId43" Type="http://schemas.openxmlformats.org/officeDocument/2006/relationships/hyperlink" Target="mailto:ricks@ohanet.org" TargetMode="External"/><Relationship Id="rId48" Type="http://schemas.openxmlformats.org/officeDocument/2006/relationships/hyperlink" Target="mailto:smhoward@vorys.com" TargetMode="External"/><Relationship Id="rId56" Type="http://schemas.openxmlformats.org/officeDocument/2006/relationships/hyperlink" Target="mailto:nolan@theoec.org" TargetMode="External"/><Relationship Id="rId64" Type="http://schemas.openxmlformats.org/officeDocument/2006/relationships/hyperlink" Target="mailto:David.fein@constellation.com" TargetMode="External"/><Relationship Id="rId69" Type="http://schemas.openxmlformats.org/officeDocument/2006/relationships/hyperlink" Target="mailto:ricks@ohanet.org" TargetMode="External"/><Relationship Id="rId77" Type="http://schemas.openxmlformats.org/officeDocument/2006/relationships/hyperlink" Target="mailto:dsullivan@nrdc.org" TargetMode="External"/><Relationship Id="rId100" Type="http://schemas.openxmlformats.org/officeDocument/2006/relationships/hyperlink" Target="mailto:dmeyer@kmklaw.com" TargetMode="External"/><Relationship Id="rId105" Type="http://schemas.openxmlformats.org/officeDocument/2006/relationships/hyperlink" Target="mailto:fdarr@mwncmh.com" TargetMode="External"/><Relationship Id="rId113" Type="http://schemas.openxmlformats.org/officeDocument/2006/relationships/hyperlink" Target="mailto:ssolberg@eimerstahl.com" TargetMode="External"/><Relationship Id="rId118" Type="http://schemas.openxmlformats.org/officeDocument/2006/relationships/hyperlink" Target="mailto:kguerry@hess.com" TargetMode="External"/><Relationship Id="rId12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mailto:bakahn@vorys.com" TargetMode="External"/><Relationship Id="rId72" Type="http://schemas.openxmlformats.org/officeDocument/2006/relationships/hyperlink" Target="mailto:jejadwin@aep.com" TargetMode="External"/><Relationship Id="rId80" Type="http://schemas.openxmlformats.org/officeDocument/2006/relationships/hyperlink" Target="mailto:haydenm@firstenergycorp.com" TargetMode="External"/><Relationship Id="rId85" Type="http://schemas.openxmlformats.org/officeDocument/2006/relationships/hyperlink" Target="mailto:talexander@calfee.com" TargetMode="External"/><Relationship Id="rId93" Type="http://schemas.openxmlformats.org/officeDocument/2006/relationships/hyperlink" Target="mailto:laurac@chappelleconsulting.net" TargetMode="External"/><Relationship Id="rId98" Type="http://schemas.openxmlformats.org/officeDocument/2006/relationships/hyperlink" Target="mailto:Gary.A.Jeffries@dom.com" TargetMode="External"/><Relationship Id="rId121" Type="http://schemas.openxmlformats.org/officeDocument/2006/relationships/hyperlink" Target="mailto:korenergy@insight.rr.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mailto:jeff.jones@puc.state.oh.us" TargetMode="External"/><Relationship Id="rId33" Type="http://schemas.openxmlformats.org/officeDocument/2006/relationships/hyperlink" Target="mailto:Kim.Wissman@puc.state.oh.us" TargetMode="External"/><Relationship Id="rId38" Type="http://schemas.openxmlformats.org/officeDocument/2006/relationships/hyperlink" Target="mailto:keith.nusbaum@snrdenton.com" TargetMode="External"/><Relationship Id="rId46" Type="http://schemas.openxmlformats.org/officeDocument/2006/relationships/hyperlink" Target="mailto:thompson@whitt-sturtevant.com" TargetMode="External"/><Relationship Id="rId59" Type="http://schemas.openxmlformats.org/officeDocument/2006/relationships/hyperlink" Target="mailto:doug.bonner@snrdenton.com" TargetMode="External"/><Relationship Id="rId67" Type="http://schemas.openxmlformats.org/officeDocument/2006/relationships/hyperlink" Target="mailto:dboehm@bkllawfirm.com" TargetMode="External"/><Relationship Id="rId103" Type="http://schemas.openxmlformats.org/officeDocument/2006/relationships/hyperlink" Target="mailto:philip.sineneng@thompsonhine.com" TargetMode="External"/><Relationship Id="rId108" Type="http://schemas.openxmlformats.org/officeDocument/2006/relationships/hyperlink" Target="mailto:yalami@aep.com" TargetMode="External"/><Relationship Id="rId116" Type="http://schemas.openxmlformats.org/officeDocument/2006/relationships/hyperlink" Target="mailto:malina@wexlerwalker.com" TargetMode="External"/><Relationship Id="rId124" Type="http://schemas.openxmlformats.org/officeDocument/2006/relationships/hyperlink" Target="mailto:Jeanne.Kingery@duke-energy.com" TargetMode="External"/><Relationship Id="rId129"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mailto:ned.ford@fuse.net" TargetMode="External"/><Relationship Id="rId54" Type="http://schemas.openxmlformats.org/officeDocument/2006/relationships/hyperlink" Target="mailto:drinebolt@ohiopartners.org" TargetMode="External"/><Relationship Id="rId62" Type="http://schemas.openxmlformats.org/officeDocument/2006/relationships/hyperlink" Target="mailto:joliker@mwncmh.com" TargetMode="External"/><Relationship Id="rId70" Type="http://schemas.openxmlformats.org/officeDocument/2006/relationships/hyperlink" Target="mailto:tobrien@bricker.com" TargetMode="External"/><Relationship Id="rId75" Type="http://schemas.openxmlformats.org/officeDocument/2006/relationships/hyperlink" Target="mailto:bpbarger@bcslawyers.com" TargetMode="External"/><Relationship Id="rId83" Type="http://schemas.openxmlformats.org/officeDocument/2006/relationships/hyperlink" Target="mailto:jlang@calfee.com" TargetMode="External"/><Relationship Id="rId88" Type="http://schemas.openxmlformats.org/officeDocument/2006/relationships/hyperlink" Target="mailto:lmcalister@bricker.com" TargetMode="External"/><Relationship Id="rId91" Type="http://schemas.openxmlformats.org/officeDocument/2006/relationships/hyperlink" Target="mailto:wmassey@cov.com" TargetMode="External"/><Relationship Id="rId96" Type="http://schemas.openxmlformats.org/officeDocument/2006/relationships/hyperlink" Target="mailto:gdunn@szd.com" TargetMode="External"/><Relationship Id="rId111" Type="http://schemas.openxmlformats.org/officeDocument/2006/relationships/hyperlink" Target="mailto:dstahl@eimerstah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28" Type="http://schemas.openxmlformats.org/officeDocument/2006/relationships/hyperlink" Target="mailto:Sarah.Parrot@puc.state.ohio.us" TargetMode="External"/><Relationship Id="rId36" Type="http://schemas.openxmlformats.org/officeDocument/2006/relationships/hyperlink" Target="mailto:dclark1@aep.com" TargetMode="External"/><Relationship Id="rId49" Type="http://schemas.openxmlformats.org/officeDocument/2006/relationships/hyperlink" Target="mailto:mjsettineri@vorys.com" TargetMode="External"/><Relationship Id="rId57" Type="http://schemas.openxmlformats.org/officeDocument/2006/relationships/hyperlink" Target="mailto:gpoulos@enernoc.com" TargetMode="External"/><Relationship Id="rId106" Type="http://schemas.openxmlformats.org/officeDocument/2006/relationships/hyperlink" Target="mailto:msmalz@ohiopovertylaw.org" TargetMode="External"/><Relationship Id="rId114" Type="http://schemas.openxmlformats.org/officeDocument/2006/relationships/hyperlink" Target="mailto:tsantarelli@elpc.org" TargetMode="External"/><Relationship Id="rId119" Type="http://schemas.openxmlformats.org/officeDocument/2006/relationships/hyperlink" Target="mailto:afreifeld@viridityenergy.com" TargetMode="External"/><Relationship Id="rId127" Type="http://schemas.openxmlformats.org/officeDocument/2006/relationships/footer" Target="footer6.xml"/><Relationship Id="rId10" Type="http://schemas.openxmlformats.org/officeDocument/2006/relationships/hyperlink" Target="mailto:steven.beeler@puc.state.oh.us" TargetMode="External"/><Relationship Id="rId31" Type="http://schemas.openxmlformats.org/officeDocument/2006/relationships/hyperlink" Target="mailto:Doris.McCarter@puc.state.oh.us" TargetMode="External"/><Relationship Id="rId44" Type="http://schemas.openxmlformats.org/officeDocument/2006/relationships/hyperlink" Target="mailto:stnourse@aep.com" TargetMode="External"/><Relationship Id="rId52" Type="http://schemas.openxmlformats.org/officeDocument/2006/relationships/hyperlink" Target="mailto:terrance.mebane@thompsonhine.com" TargetMode="External"/><Relationship Id="rId60" Type="http://schemas.openxmlformats.org/officeDocument/2006/relationships/hyperlink" Target="mailto:clinton.vince@snrdenton.com" TargetMode="External"/><Relationship Id="rId65" Type="http://schemas.openxmlformats.org/officeDocument/2006/relationships/hyperlink" Target="mailto:Dorothy.corbett@duke-energy.com" TargetMode="External"/><Relationship Id="rId73" Type="http://schemas.openxmlformats.org/officeDocument/2006/relationships/hyperlink" Target="mailto:dweiss@aep.com" TargetMode="External"/><Relationship Id="rId78" Type="http://schemas.openxmlformats.org/officeDocument/2006/relationships/hyperlink" Target="mailto:aehaedt@jonesday.com" TargetMode="External"/><Relationship Id="rId81" Type="http://schemas.openxmlformats.org/officeDocument/2006/relationships/hyperlink" Target="mailto:dconway@porterwright.com" TargetMode="External"/><Relationship Id="rId86" Type="http://schemas.openxmlformats.org/officeDocument/2006/relationships/hyperlink" Target="mailto:todonnell@bricker.com" TargetMode="External"/><Relationship Id="rId94" Type="http://schemas.openxmlformats.org/officeDocument/2006/relationships/hyperlink" Target="mailto:cmiller@szd.com" TargetMode="External"/><Relationship Id="rId99" Type="http://schemas.openxmlformats.org/officeDocument/2006/relationships/hyperlink" Target="mailto:Stephen.chriss@wal-mart.com" TargetMode="External"/><Relationship Id="rId101" Type="http://schemas.openxmlformats.org/officeDocument/2006/relationships/hyperlink" Target="mailto:holly@raysmithlaw.com" TargetMode="External"/><Relationship Id="rId122" Type="http://schemas.openxmlformats.org/officeDocument/2006/relationships/hyperlink" Target="mailto:sasloan@aep.com" TargetMode="External"/><Relationship Id="rId4" Type="http://schemas.microsoft.com/office/2007/relationships/stylesWithEffects" Target="stylesWithEffects.xml"/><Relationship Id="rId9" Type="http://schemas.openxmlformats.org/officeDocument/2006/relationships/hyperlink" Target="mailto:john.jones@puc.state.oh.us" TargetMode="External"/><Relationship Id="rId13" Type="http://schemas.openxmlformats.org/officeDocument/2006/relationships/header" Target="header1.xml"/><Relationship Id="rId18" Type="http://schemas.openxmlformats.org/officeDocument/2006/relationships/hyperlink" Target="mailto:john.jones@puc.state.oh.us" TargetMode="External"/><Relationship Id="rId39" Type="http://schemas.openxmlformats.org/officeDocument/2006/relationships/hyperlink" Target="mailto:kpkreider@kmklaw.com" TargetMode="External"/><Relationship Id="rId109" Type="http://schemas.openxmlformats.org/officeDocument/2006/relationships/hyperlink" Target="mailto:jestes@skadden.com" TargetMode="External"/><Relationship Id="rId34" Type="http://schemas.openxmlformats.org/officeDocument/2006/relationships/hyperlink" Target="mailto:Hisham.Choueiki@puc.state.oh.us" TargetMode="External"/><Relationship Id="rId50" Type="http://schemas.openxmlformats.org/officeDocument/2006/relationships/hyperlink" Target="mailto:lkalepsclark@vorys.com" TargetMode="External"/><Relationship Id="rId55" Type="http://schemas.openxmlformats.org/officeDocument/2006/relationships/hyperlink" Target="mailto:trent@theoec.org" TargetMode="External"/><Relationship Id="rId76" Type="http://schemas.openxmlformats.org/officeDocument/2006/relationships/hyperlink" Target="mailto:cathy@theoec.org" TargetMode="External"/><Relationship Id="rId97" Type="http://schemas.openxmlformats.org/officeDocument/2006/relationships/hyperlink" Target="mailto:mhpetricoff@vorys.com" TargetMode="External"/><Relationship Id="rId104" Type="http://schemas.openxmlformats.org/officeDocument/2006/relationships/hyperlink" Target="mailto:carolyn.flahive@thompsonhine.com" TargetMode="External"/><Relationship Id="rId120" Type="http://schemas.openxmlformats.org/officeDocument/2006/relationships/hyperlink" Target="mailto:swolfe@viridityenergy.com" TargetMode="External"/><Relationship Id="rId125" Type="http://schemas.openxmlformats.org/officeDocument/2006/relationships/hyperlink" Target="mailto:zkravitz@taftlaw.com" TargetMode="External"/><Relationship Id="rId7" Type="http://schemas.openxmlformats.org/officeDocument/2006/relationships/footnotes" Target="footnotes.xml"/><Relationship Id="rId71" Type="http://schemas.openxmlformats.org/officeDocument/2006/relationships/hyperlink" Target="mailto:myurick@cwslaw.com" TargetMode="External"/><Relationship Id="rId92" Type="http://schemas.openxmlformats.org/officeDocument/2006/relationships/hyperlink" Target="mailto:henryeckhart@aol.com" TargetMode="External"/><Relationship Id="rId2" Type="http://schemas.openxmlformats.org/officeDocument/2006/relationships/numbering" Target="numbering.xml"/><Relationship Id="rId29" Type="http://schemas.openxmlformats.org/officeDocument/2006/relationships/hyperlink" Target="mailto:Jodi.Bair@puc.state.oh.us" TargetMode="External"/><Relationship Id="rId24" Type="http://schemas.openxmlformats.org/officeDocument/2006/relationships/hyperlink" Target="mailto:greta.see@puc.state.oh.us" TargetMode="External"/><Relationship Id="rId40" Type="http://schemas.openxmlformats.org/officeDocument/2006/relationships/hyperlink" Target="mailto:mjsatterwhite@aep.com" TargetMode="External"/><Relationship Id="rId45" Type="http://schemas.openxmlformats.org/officeDocument/2006/relationships/hyperlink" Target="mailto:whitt@whitt-sturtevant.com" TargetMode="External"/><Relationship Id="rId66" Type="http://schemas.openxmlformats.org/officeDocument/2006/relationships/hyperlink" Target="mailto:Amy.spiller@duke-energy.com" TargetMode="External"/><Relationship Id="rId87" Type="http://schemas.openxmlformats.org/officeDocument/2006/relationships/hyperlink" Target="mailto:cmontgomery@bricker.com" TargetMode="External"/><Relationship Id="rId110" Type="http://schemas.openxmlformats.org/officeDocument/2006/relationships/hyperlink" Target="mailto:paul.wight@skadden.com" TargetMode="External"/><Relationship Id="rId115" Type="http://schemas.openxmlformats.org/officeDocument/2006/relationships/hyperlink" Target="mailto:callwein@wamenergylaw.com" TargetMode="External"/><Relationship Id="rId61" Type="http://schemas.openxmlformats.org/officeDocument/2006/relationships/hyperlink" Target="mailto:sam@mwncmh.com" TargetMode="External"/><Relationship Id="rId82" Type="http://schemas.openxmlformats.org/officeDocument/2006/relationships/hyperlink" Target="mailto:cmoore@porterw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5AEA-8FC0-4612-9C26-5D5E1A14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71</Pages>
  <Words>14126</Words>
  <Characters>80523</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94461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Beeler, Steven</dc:creator>
  <cp:lastModifiedBy>Keeton, Kim</cp:lastModifiedBy>
  <cp:revision>25</cp:revision>
  <cp:lastPrinted>2012-05-23T17:33:00Z</cp:lastPrinted>
  <dcterms:created xsi:type="dcterms:W3CDTF">2012-05-23T13:49:00Z</dcterms:created>
  <dcterms:modified xsi:type="dcterms:W3CDTF">2012-05-23T20:12:00Z</dcterms:modified>
</cp:coreProperties>
</file>