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D2" w:rsidRPr="005314B0" w:rsidRDefault="00E171D2" w:rsidP="00E171D2">
      <w:pPr>
        <w:spacing w:after="0"/>
        <w:jc w:val="center"/>
        <w:rPr>
          <w:b/>
        </w:rPr>
      </w:pPr>
      <w:r w:rsidRPr="005314B0">
        <w:rPr>
          <w:b/>
        </w:rPr>
        <w:t>BEFORE</w:t>
      </w:r>
    </w:p>
    <w:p w:rsidR="00E171D2" w:rsidRPr="005314B0" w:rsidRDefault="00E171D2" w:rsidP="00E171D2">
      <w:pPr>
        <w:spacing w:after="0" w:line="480" w:lineRule="auto"/>
        <w:jc w:val="center"/>
        <w:rPr>
          <w:b/>
        </w:rPr>
      </w:pPr>
      <w:r w:rsidRPr="005314B0">
        <w:rPr>
          <w:b/>
        </w:rPr>
        <w:t>THE PUBLIC UTILITIES COMMISSION OF OHIO</w:t>
      </w:r>
    </w:p>
    <w:p w:rsidR="00E171D2" w:rsidRPr="005314B0" w:rsidRDefault="00E171D2" w:rsidP="00E171D2">
      <w:pPr>
        <w:spacing w:after="0"/>
        <w:jc w:val="center"/>
        <w:rPr>
          <w:b/>
        </w:rPr>
      </w:pPr>
    </w:p>
    <w:tbl>
      <w:tblPr>
        <w:tblW w:w="0" w:type="auto"/>
        <w:tblLook w:val="04A0" w:firstRow="1" w:lastRow="0" w:firstColumn="1" w:lastColumn="0" w:noHBand="0" w:noVBand="1"/>
      </w:tblPr>
      <w:tblGrid>
        <w:gridCol w:w="4655"/>
        <w:gridCol w:w="877"/>
        <w:gridCol w:w="4044"/>
      </w:tblGrid>
      <w:tr w:rsidR="00E171D2" w:rsidRPr="005314B0" w:rsidTr="00E171D2">
        <w:tc>
          <w:tcPr>
            <w:tcW w:w="4655" w:type="dxa"/>
            <w:hideMark/>
          </w:tcPr>
          <w:p w:rsidR="00E171D2" w:rsidRPr="005314B0" w:rsidRDefault="00E171D2">
            <w:pPr>
              <w:autoSpaceDE w:val="0"/>
              <w:autoSpaceDN w:val="0"/>
              <w:adjustRightInd w:val="0"/>
              <w:spacing w:after="0"/>
            </w:pPr>
            <w:r w:rsidRPr="005314B0">
              <w:rPr>
                <w:rFonts w:eastAsiaTheme="minorHAnsi"/>
              </w:rPr>
              <w:t>In the Matter of the Commission’s Investigation of Ohio’s Retail Electric Service Market.</w:t>
            </w:r>
          </w:p>
        </w:tc>
        <w:tc>
          <w:tcPr>
            <w:tcW w:w="877" w:type="dxa"/>
            <w:hideMark/>
          </w:tcPr>
          <w:p w:rsidR="00E171D2" w:rsidRPr="005314B0" w:rsidRDefault="00E171D2">
            <w:pPr>
              <w:spacing w:after="0"/>
            </w:pPr>
            <w:r w:rsidRPr="005314B0">
              <w:t>)</w:t>
            </w:r>
          </w:p>
          <w:p w:rsidR="00E171D2" w:rsidRPr="005314B0" w:rsidRDefault="00E171D2">
            <w:pPr>
              <w:spacing w:after="0"/>
            </w:pPr>
            <w:r w:rsidRPr="005314B0">
              <w:t>)</w:t>
            </w:r>
          </w:p>
          <w:p w:rsidR="00E171D2" w:rsidRPr="005314B0" w:rsidRDefault="00E171D2">
            <w:pPr>
              <w:spacing w:after="0"/>
            </w:pPr>
            <w:r w:rsidRPr="005314B0">
              <w:t>)</w:t>
            </w:r>
          </w:p>
        </w:tc>
        <w:tc>
          <w:tcPr>
            <w:tcW w:w="4044" w:type="dxa"/>
          </w:tcPr>
          <w:p w:rsidR="00E171D2" w:rsidRPr="005314B0" w:rsidRDefault="00E171D2">
            <w:pPr>
              <w:spacing w:after="0"/>
            </w:pPr>
          </w:p>
          <w:p w:rsidR="00E171D2" w:rsidRPr="005314B0" w:rsidRDefault="00E171D2">
            <w:pPr>
              <w:spacing w:after="0"/>
            </w:pPr>
            <w:r w:rsidRPr="005314B0">
              <w:t>Case No. 12-3151-EL-COI</w:t>
            </w:r>
          </w:p>
        </w:tc>
      </w:tr>
      <w:tr w:rsidR="00E171D2" w:rsidRPr="005314B0" w:rsidTr="00E171D2">
        <w:tc>
          <w:tcPr>
            <w:tcW w:w="4655" w:type="dxa"/>
          </w:tcPr>
          <w:p w:rsidR="00E171D2" w:rsidRPr="005314B0" w:rsidRDefault="00E171D2">
            <w:pPr>
              <w:spacing w:after="0"/>
            </w:pPr>
          </w:p>
        </w:tc>
        <w:tc>
          <w:tcPr>
            <w:tcW w:w="877" w:type="dxa"/>
          </w:tcPr>
          <w:p w:rsidR="00E171D2" w:rsidRPr="005314B0" w:rsidRDefault="00E171D2">
            <w:pPr>
              <w:spacing w:after="0"/>
            </w:pPr>
          </w:p>
        </w:tc>
        <w:tc>
          <w:tcPr>
            <w:tcW w:w="4044" w:type="dxa"/>
          </w:tcPr>
          <w:p w:rsidR="00E171D2" w:rsidRPr="005314B0" w:rsidRDefault="00E171D2">
            <w:pPr>
              <w:spacing w:after="0"/>
            </w:pPr>
          </w:p>
        </w:tc>
      </w:tr>
      <w:tr w:rsidR="00E171D2" w:rsidRPr="005314B0" w:rsidTr="00E171D2">
        <w:tc>
          <w:tcPr>
            <w:tcW w:w="4655" w:type="dxa"/>
            <w:hideMark/>
          </w:tcPr>
          <w:p w:rsidR="00E171D2" w:rsidRPr="005314B0" w:rsidRDefault="00E171D2">
            <w:pPr>
              <w:spacing w:after="0"/>
            </w:pPr>
            <w:r w:rsidRPr="005314B0">
              <w:t>In the Matter of the Market Development Working Group.</w:t>
            </w:r>
          </w:p>
        </w:tc>
        <w:tc>
          <w:tcPr>
            <w:tcW w:w="877" w:type="dxa"/>
            <w:hideMark/>
          </w:tcPr>
          <w:p w:rsidR="00E171D2" w:rsidRPr="005314B0" w:rsidRDefault="00E171D2">
            <w:pPr>
              <w:spacing w:after="0"/>
            </w:pPr>
            <w:r w:rsidRPr="005314B0">
              <w:t>)</w:t>
            </w:r>
          </w:p>
          <w:p w:rsidR="00E171D2" w:rsidRPr="005314B0" w:rsidRDefault="00E171D2">
            <w:pPr>
              <w:spacing w:after="0"/>
            </w:pPr>
            <w:r w:rsidRPr="005314B0">
              <w:t>)</w:t>
            </w:r>
          </w:p>
        </w:tc>
        <w:tc>
          <w:tcPr>
            <w:tcW w:w="4044" w:type="dxa"/>
          </w:tcPr>
          <w:p w:rsidR="00E171D2" w:rsidRPr="005314B0" w:rsidRDefault="00E171D2">
            <w:pPr>
              <w:spacing w:after="0"/>
            </w:pPr>
          </w:p>
          <w:p w:rsidR="00E171D2" w:rsidRPr="005314B0" w:rsidRDefault="00E171D2">
            <w:pPr>
              <w:spacing w:after="0"/>
            </w:pPr>
            <w:r w:rsidRPr="005314B0">
              <w:t>Case No. 14-2074-EL-EDI</w:t>
            </w:r>
          </w:p>
        </w:tc>
      </w:tr>
    </w:tbl>
    <w:p w:rsidR="00E171D2" w:rsidRPr="005314B0" w:rsidRDefault="00E171D2" w:rsidP="00E171D2">
      <w:pPr>
        <w:pBdr>
          <w:bottom w:val="single" w:sz="12" w:space="1" w:color="auto"/>
        </w:pBdr>
        <w:spacing w:after="0"/>
      </w:pPr>
    </w:p>
    <w:p w:rsidR="00E171D2" w:rsidRPr="005314B0" w:rsidRDefault="00E171D2" w:rsidP="00E171D2">
      <w:pPr>
        <w:spacing w:after="0"/>
        <w:jc w:val="center"/>
        <w:rPr>
          <w:b/>
        </w:rPr>
      </w:pPr>
    </w:p>
    <w:p w:rsidR="00E171D2" w:rsidRPr="005314B0" w:rsidRDefault="00E171D2" w:rsidP="00E171D2">
      <w:pPr>
        <w:spacing w:after="0"/>
        <w:jc w:val="center"/>
        <w:rPr>
          <w:b/>
        </w:rPr>
      </w:pPr>
      <w:r w:rsidRPr="005314B0">
        <w:rPr>
          <w:b/>
        </w:rPr>
        <w:t>INITIAL COMMENTS</w:t>
      </w:r>
    </w:p>
    <w:p w:rsidR="00E171D2" w:rsidRPr="005314B0" w:rsidRDefault="00E171D2" w:rsidP="00E171D2">
      <w:pPr>
        <w:spacing w:after="0"/>
        <w:jc w:val="center"/>
        <w:rPr>
          <w:b/>
        </w:rPr>
      </w:pPr>
      <w:r w:rsidRPr="005314B0">
        <w:rPr>
          <w:b/>
        </w:rPr>
        <w:t>OF</w:t>
      </w:r>
    </w:p>
    <w:p w:rsidR="00E171D2" w:rsidRPr="005314B0" w:rsidRDefault="00E171D2" w:rsidP="00E171D2">
      <w:pPr>
        <w:spacing w:after="0"/>
        <w:jc w:val="center"/>
        <w:rPr>
          <w:b/>
        </w:rPr>
      </w:pPr>
      <w:r w:rsidRPr="005314B0">
        <w:rPr>
          <w:b/>
        </w:rPr>
        <w:t>IGS ENERGY</w:t>
      </w:r>
    </w:p>
    <w:p w:rsidR="00E171D2" w:rsidRPr="005314B0" w:rsidRDefault="00E171D2" w:rsidP="00E171D2">
      <w:pPr>
        <w:pBdr>
          <w:bottom w:val="single" w:sz="12" w:space="1" w:color="auto"/>
        </w:pBdr>
        <w:spacing w:after="0"/>
        <w:jc w:val="center"/>
        <w:rPr>
          <w:b/>
        </w:rPr>
      </w:pPr>
    </w:p>
    <w:p w:rsidR="008F6EF9" w:rsidRPr="005314B0" w:rsidRDefault="008F6EF9"/>
    <w:p w:rsidR="00E171D2" w:rsidRPr="005314B0" w:rsidRDefault="00E171D2" w:rsidP="00E171D2">
      <w:pPr>
        <w:spacing w:line="480" w:lineRule="auto"/>
      </w:pPr>
      <w:r w:rsidRPr="005314B0">
        <w:tab/>
        <w:t>IGS Energy (“IGS”) hereby submits the following comments to the Public Utility Commission of Ohio (“Commission”) in the above captioned proceeding</w:t>
      </w:r>
      <w:r w:rsidR="00F6618C" w:rsidRPr="005314B0">
        <w:t>.</w:t>
      </w:r>
      <w:r w:rsidRPr="005314B0">
        <w:t xml:space="preserve"> In an effort to</w:t>
      </w:r>
      <w:r w:rsidR="00A6318D">
        <w:t xml:space="preserve"> save</w:t>
      </w:r>
      <w:r w:rsidRPr="005314B0">
        <w:t xml:space="preserve"> judicial resou</w:t>
      </w:r>
      <w:r w:rsidR="005B0F4E" w:rsidRPr="005314B0">
        <w:t>rces</w:t>
      </w:r>
      <w:r w:rsidR="000E4573">
        <w:t xml:space="preserve"> and to not be duplicative</w:t>
      </w:r>
      <w:r w:rsidRPr="005314B0">
        <w:t xml:space="preserve"> IGS </w:t>
      </w:r>
      <w:r w:rsidR="000065E9" w:rsidRPr="005314B0">
        <w:t xml:space="preserve">also </w:t>
      </w:r>
      <w:r w:rsidRPr="005314B0">
        <w:t>incorporates by reference into its comments the comments filed by the Retail Energy Supply Association (“RESA”).</w:t>
      </w:r>
    </w:p>
    <w:p w:rsidR="005758E1" w:rsidRPr="005314B0" w:rsidRDefault="00E171D2" w:rsidP="00E171D2">
      <w:pPr>
        <w:spacing w:line="480" w:lineRule="auto"/>
      </w:pPr>
      <w:r w:rsidRPr="005314B0">
        <w:tab/>
      </w:r>
      <w:r w:rsidR="000065E9" w:rsidRPr="005314B0">
        <w:t>As an initial matter IGS would like to recognize</w:t>
      </w:r>
      <w:r w:rsidR="00B10D28">
        <w:t xml:space="preserve"> the</w:t>
      </w:r>
      <w:r w:rsidR="000065E9" w:rsidRPr="005314B0">
        <w:t xml:space="preserve"> efforts of the Commission Staff (“Staff”) to facilitate the Ohio Market Development Working Group (“MDWG”) process.   The MDWG process has been going on for nearly two years and Staff has</w:t>
      </w:r>
      <w:r w:rsidR="00A059C0" w:rsidRPr="005314B0">
        <w:t xml:space="preserve"> hosted numerous</w:t>
      </w:r>
      <w:r w:rsidR="000E4573">
        <w:t>,</w:t>
      </w:r>
      <w:r w:rsidR="00A059C0" w:rsidRPr="005314B0">
        <w:t xml:space="preserve"> and </w:t>
      </w:r>
      <w:r w:rsidR="006E1DFD">
        <w:t xml:space="preserve">in some cases </w:t>
      </w:r>
      <w:r w:rsidR="00A059C0" w:rsidRPr="005314B0">
        <w:t>lengthy</w:t>
      </w:r>
      <w:r w:rsidR="000E4573">
        <w:t>,</w:t>
      </w:r>
      <w:r w:rsidR="00A059C0" w:rsidRPr="005314B0">
        <w:t xml:space="preserve"> MDWG meetings</w:t>
      </w:r>
      <w:r w:rsidR="00B10D28">
        <w:t>.  Staff</w:t>
      </w:r>
      <w:r w:rsidR="00A059C0" w:rsidRPr="005314B0">
        <w:t xml:space="preserve"> has</w:t>
      </w:r>
      <w:r w:rsidR="000065E9" w:rsidRPr="005314B0">
        <w:t xml:space="preserve"> worked hard to ensur</w:t>
      </w:r>
      <w:r w:rsidR="00A059C0" w:rsidRPr="005314B0">
        <w:t>e that all view-points were heard</w:t>
      </w:r>
      <w:r w:rsidR="000065E9" w:rsidRPr="005314B0">
        <w:t xml:space="preserve"> and the appropriate topics were discussed</w:t>
      </w:r>
      <w:r w:rsidR="00A059C0" w:rsidRPr="005314B0">
        <w:t>.</w:t>
      </w:r>
      <w:r w:rsidR="000065E9" w:rsidRPr="005314B0">
        <w:t xml:space="preserve"> </w:t>
      </w:r>
      <w:r w:rsidR="005758E1" w:rsidRPr="005314B0">
        <w:t xml:space="preserve"> </w:t>
      </w:r>
      <w:r w:rsidR="00C11B09" w:rsidRPr="005314B0">
        <w:t xml:space="preserve">IGS’ </w:t>
      </w:r>
      <w:r w:rsidR="00FD19CD" w:rsidRPr="005314B0">
        <w:t xml:space="preserve">critiques about </w:t>
      </w:r>
      <w:r w:rsidR="00C11B09" w:rsidRPr="005314B0">
        <w:t xml:space="preserve">the recommendations filed in the Staff Report on July 16, 2015 (“Staff Report”) are </w:t>
      </w:r>
      <w:r w:rsidR="005E35DB" w:rsidRPr="005314B0">
        <w:t>not</w:t>
      </w:r>
      <w:r w:rsidR="00C11B09" w:rsidRPr="005314B0">
        <w:t xml:space="preserve"> </w:t>
      </w:r>
      <w:r w:rsidR="006E1DFD">
        <w:t xml:space="preserve">intended to </w:t>
      </w:r>
      <w:r w:rsidR="00B10D28">
        <w:t>be</w:t>
      </w:r>
      <w:r w:rsidR="006E1DFD">
        <w:t xml:space="preserve"> </w:t>
      </w:r>
      <w:r w:rsidR="00C11B09" w:rsidRPr="005314B0">
        <w:t xml:space="preserve">reflective of Staff’s efforts throughout the MDWG process.  </w:t>
      </w:r>
    </w:p>
    <w:p w:rsidR="00E171D2" w:rsidRPr="005314B0" w:rsidRDefault="000065E9" w:rsidP="00E171D2">
      <w:pPr>
        <w:spacing w:line="480" w:lineRule="auto"/>
      </w:pPr>
      <w:r w:rsidRPr="005314B0">
        <w:tab/>
      </w:r>
      <w:r w:rsidR="005758E1" w:rsidRPr="005314B0">
        <w:t xml:space="preserve">That said </w:t>
      </w:r>
      <w:r w:rsidR="00E171D2" w:rsidRPr="005314B0">
        <w:t>IGS is</w:t>
      </w:r>
      <w:r w:rsidR="00F6618C" w:rsidRPr="005314B0">
        <w:t xml:space="preserve"> </w:t>
      </w:r>
      <w:r w:rsidR="00E171D2" w:rsidRPr="005314B0">
        <w:t xml:space="preserve">disappointed in the recommendations </w:t>
      </w:r>
      <w:r w:rsidR="00B10D28" w:rsidRPr="005314B0">
        <w:t>filed in the Staff Report on July 16, 2015 (“Staff Report”)</w:t>
      </w:r>
      <w:r w:rsidR="00C11B09" w:rsidRPr="005314B0">
        <w:t>.</w:t>
      </w:r>
      <w:r w:rsidR="007855D5" w:rsidRPr="005314B0">
        <w:t xml:space="preserve">  The establishment of the</w:t>
      </w:r>
      <w:r w:rsidR="008D0D31" w:rsidRPr="005314B0">
        <w:t xml:space="preserve"> MDWG, in the Opinion and Order on </w:t>
      </w:r>
      <w:r w:rsidR="008D0D31" w:rsidRPr="005314B0">
        <w:lastRenderedPageBreak/>
        <w:t>March 26, 201</w:t>
      </w:r>
      <w:r w:rsidR="000E4573">
        <w:t>4</w:t>
      </w:r>
      <w:r w:rsidRPr="005314B0">
        <w:t xml:space="preserve"> (“COI Order”)</w:t>
      </w:r>
      <w:r w:rsidR="00A059C0" w:rsidRPr="005314B0">
        <w:t>,</w:t>
      </w:r>
      <w:r w:rsidRPr="005314B0">
        <w:t xml:space="preserve"> represented</w:t>
      </w:r>
      <w:r w:rsidR="007855D5" w:rsidRPr="005314B0">
        <w:t xml:space="preserve"> an opportunity to make progress </w:t>
      </w:r>
      <w:r w:rsidR="006E1DFD">
        <w:t>in</w:t>
      </w:r>
      <w:r w:rsidR="007855D5" w:rsidRPr="005314B0">
        <w:t xml:space="preserve"> the </w:t>
      </w:r>
      <w:r w:rsidR="006E1DFD">
        <w:t xml:space="preserve">continuing </w:t>
      </w:r>
      <w:r w:rsidR="007855D5" w:rsidRPr="005314B0">
        <w:t xml:space="preserve">development of retail electric markets in Ohio. </w:t>
      </w:r>
      <w:r w:rsidRPr="005314B0">
        <w:t>T</w:t>
      </w:r>
      <w:r w:rsidR="007855D5" w:rsidRPr="005314B0">
        <w:t xml:space="preserve">he COI Order directed Staff and participants in the MDWG to explore (among other items) </w:t>
      </w:r>
      <w:r w:rsidR="00786009" w:rsidRPr="005314B0">
        <w:t xml:space="preserve">proposals to implement </w:t>
      </w:r>
      <w:r w:rsidRPr="005314B0">
        <w:t>contract portability,</w:t>
      </w:r>
      <w:r w:rsidR="007855D5" w:rsidRPr="005314B0">
        <w:t xml:space="preserve"> </w:t>
      </w:r>
      <w:r w:rsidR="00075B68" w:rsidRPr="005314B0">
        <w:t>seamless move, instant connect and warm transfer</w:t>
      </w:r>
      <w:r w:rsidR="00786009" w:rsidRPr="005314B0">
        <w:t xml:space="preserve"> for Ohio’s electric utilities</w:t>
      </w:r>
      <w:r w:rsidR="00075B68" w:rsidRPr="005314B0">
        <w:t>.</w:t>
      </w:r>
      <w:r w:rsidRPr="005314B0">
        <w:t xml:space="preserve"> </w:t>
      </w:r>
      <w:r w:rsidR="00B10D28">
        <w:t>W</w:t>
      </w:r>
      <w:r w:rsidR="00EA2B31" w:rsidRPr="005314B0">
        <w:t>ith all of the efforts put forth by parties that attended the lengthy MDWG meetings,</w:t>
      </w:r>
      <w:r w:rsidR="00B10D28">
        <w:t xml:space="preserve"> i</w:t>
      </w:r>
      <w:r w:rsidR="00B10D28" w:rsidRPr="005314B0">
        <w:t>t was IGS’ hope that</w:t>
      </w:r>
      <w:r w:rsidR="00EA2B31" w:rsidRPr="005314B0">
        <w:t xml:space="preserve"> </w:t>
      </w:r>
      <w:r w:rsidR="00B10D28" w:rsidRPr="005314B0">
        <w:t>he Staff Report</w:t>
      </w:r>
      <w:r w:rsidR="00B10D28">
        <w:t xml:space="preserve"> would recommend </w:t>
      </w:r>
      <w:r w:rsidR="00EA2B31" w:rsidRPr="005314B0">
        <w:t xml:space="preserve">meaningful proposals that </w:t>
      </w:r>
      <w:r w:rsidR="00B10D28">
        <w:t>could</w:t>
      </w:r>
      <w:r w:rsidR="00B10D28" w:rsidRPr="005314B0">
        <w:t xml:space="preserve"> </w:t>
      </w:r>
      <w:r w:rsidR="00EA2B31" w:rsidRPr="005314B0">
        <w:t xml:space="preserve">advance competition. </w:t>
      </w:r>
      <w:r w:rsidR="00A059C0" w:rsidRPr="005314B0">
        <w:t xml:space="preserve"> Unfortunately</w:t>
      </w:r>
      <w:r w:rsidR="000E4573">
        <w:t>,</w:t>
      </w:r>
      <w:r w:rsidR="00A059C0" w:rsidRPr="005314B0">
        <w:t xml:space="preserve"> the recommendations made in the Staff Report</w:t>
      </w:r>
      <w:r w:rsidR="00D15610" w:rsidRPr="005314B0">
        <w:t xml:space="preserve"> </w:t>
      </w:r>
      <w:r w:rsidR="00A059C0" w:rsidRPr="005314B0">
        <w:t>would do little to move competitive retail electric market</w:t>
      </w:r>
      <w:r w:rsidR="005758E1" w:rsidRPr="005314B0">
        <w:t>s forward</w:t>
      </w:r>
      <w:r w:rsidR="00A059C0" w:rsidRPr="005314B0">
        <w:t>.</w:t>
      </w:r>
    </w:p>
    <w:p w:rsidR="00C11B09" w:rsidRPr="005314B0" w:rsidRDefault="00152DBE" w:rsidP="00E171D2">
      <w:pPr>
        <w:spacing w:line="480" w:lineRule="auto"/>
      </w:pPr>
      <w:r w:rsidRPr="005314B0">
        <w:tab/>
      </w:r>
      <w:r w:rsidR="00A059C0" w:rsidRPr="005314B0">
        <w:t>Currently Ohio</w:t>
      </w:r>
      <w:r w:rsidR="00EA2B31" w:rsidRPr="005314B0">
        <w:t>’s electric market</w:t>
      </w:r>
      <w:r w:rsidR="00A059C0" w:rsidRPr="005314B0">
        <w:t xml:space="preserve"> operates under a regulatory construct where all new and legacy electric generation customers are automatically enrolled in the utility generation service by default (</w:t>
      </w:r>
      <w:r w:rsidR="005758E1" w:rsidRPr="005314B0">
        <w:t xml:space="preserve"> a.k.a. </w:t>
      </w:r>
      <w:r w:rsidR="00C11B09" w:rsidRPr="005314B0">
        <w:t>default s</w:t>
      </w:r>
      <w:r w:rsidR="00A059C0" w:rsidRPr="005314B0">
        <w:t>ervice)</w:t>
      </w:r>
      <w:r w:rsidR="005758E1" w:rsidRPr="005314B0">
        <w:t>.</w:t>
      </w:r>
      <w:r w:rsidR="008C3126">
        <w:t xml:space="preserve"> The existence of default service is, in and of itself, a barrier to competition.</w:t>
      </w:r>
      <w:r w:rsidR="005758E1" w:rsidRPr="005314B0">
        <w:t xml:space="preserve"> </w:t>
      </w:r>
      <w:r w:rsidR="00786009" w:rsidRPr="005314B0">
        <w:t xml:space="preserve"> N</w:t>
      </w:r>
      <w:r w:rsidR="005758E1" w:rsidRPr="005314B0">
        <w:t>early all other products and services that are offered in a competitive market</w:t>
      </w:r>
      <w:r w:rsidR="005E35DB" w:rsidRPr="005314B0">
        <w:t>place</w:t>
      </w:r>
      <w:r w:rsidR="005758E1" w:rsidRPr="005314B0">
        <w:t xml:space="preserve"> (e.g. insurance, banking, telephone) require customers to make an affirmative election of a provider in order to receive that service.</w:t>
      </w:r>
      <w:r w:rsidR="00B934C9">
        <w:t xml:space="preserve"> Default service does not exist </w:t>
      </w:r>
      <w:r w:rsidR="008C3126">
        <w:t>for other products and services</w:t>
      </w:r>
      <w:r w:rsidR="00A6318D">
        <w:t xml:space="preserve"> because default service</w:t>
      </w:r>
      <w:r w:rsidR="00B934C9">
        <w:t xml:space="preserve"> </w:t>
      </w:r>
      <w:r w:rsidR="008C3126">
        <w:t>breeds customer complacency</w:t>
      </w:r>
      <w:r w:rsidR="00B934C9">
        <w:t xml:space="preserve">, </w:t>
      </w:r>
      <w:r w:rsidR="008C3126">
        <w:t>stifles innovation</w:t>
      </w:r>
      <w:r w:rsidR="00B934C9">
        <w:t xml:space="preserve"> and requires substantial regulatory resources to administer.</w:t>
      </w:r>
      <w:r w:rsidR="00B934C9" w:rsidRPr="005314B0">
        <w:t xml:space="preserve">  </w:t>
      </w:r>
    </w:p>
    <w:p w:rsidR="00D15610" w:rsidRPr="005314B0" w:rsidRDefault="00C11B09" w:rsidP="00E171D2">
      <w:pPr>
        <w:spacing w:line="480" w:lineRule="auto"/>
      </w:pPr>
      <w:r w:rsidRPr="005314B0">
        <w:tab/>
      </w:r>
      <w:r w:rsidR="005E35DB" w:rsidRPr="005314B0">
        <w:t>Because</w:t>
      </w:r>
      <w:r w:rsidRPr="005314B0">
        <w:t xml:space="preserve"> Ohio currently maintains a </w:t>
      </w:r>
      <w:r w:rsidR="00152DBE" w:rsidRPr="005314B0">
        <w:t>default service construct</w:t>
      </w:r>
      <w:r w:rsidRPr="005314B0">
        <w:t xml:space="preserve"> </w:t>
      </w:r>
      <w:r w:rsidR="00152DBE" w:rsidRPr="005314B0">
        <w:t>(</w:t>
      </w:r>
      <w:r w:rsidRPr="005314B0">
        <w:t>which c</w:t>
      </w:r>
      <w:r w:rsidR="00152DBE" w:rsidRPr="005314B0">
        <w:t>reates barrier</w:t>
      </w:r>
      <w:r w:rsidR="005E35DB" w:rsidRPr="005314B0">
        <w:t>s</w:t>
      </w:r>
      <w:r w:rsidR="00152DBE" w:rsidRPr="005314B0">
        <w:t xml:space="preserve"> to competition)</w:t>
      </w:r>
      <w:r w:rsidRPr="005314B0">
        <w:t xml:space="preserve"> it is extremely important </w:t>
      </w:r>
      <w:r w:rsidR="00EA2B31" w:rsidRPr="005314B0">
        <w:t>that</w:t>
      </w:r>
      <w:r w:rsidR="005E35DB" w:rsidRPr="005314B0">
        <w:t xml:space="preserve"> the Commission</w:t>
      </w:r>
      <w:r w:rsidRPr="005314B0">
        <w:t xml:space="preserve"> to</w:t>
      </w:r>
      <w:r w:rsidR="00A6318D">
        <w:t>,</w:t>
      </w:r>
      <w:r w:rsidRPr="005314B0">
        <w:t xml:space="preserve"> </w:t>
      </w:r>
      <w:r w:rsidR="00A6318D">
        <w:t>at a minimum</w:t>
      </w:r>
      <w:r w:rsidRPr="005314B0">
        <w:t xml:space="preserve">, </w:t>
      </w:r>
      <w:r w:rsidR="006E1DFD">
        <w:t>minimize</w:t>
      </w:r>
      <w:r w:rsidR="006E1DFD" w:rsidRPr="005314B0">
        <w:t xml:space="preserve"> </w:t>
      </w:r>
      <w:r w:rsidRPr="005314B0">
        <w:t xml:space="preserve">all other barriers for customers to </w:t>
      </w:r>
      <w:r w:rsidR="00152DBE" w:rsidRPr="005314B0">
        <w:t xml:space="preserve">affirmatively </w:t>
      </w:r>
      <w:r w:rsidR="005314B0">
        <w:t xml:space="preserve">enroll in </w:t>
      </w:r>
      <w:r w:rsidR="00152DBE" w:rsidRPr="005314B0">
        <w:t>a retail electric product</w:t>
      </w:r>
      <w:r w:rsidRPr="005314B0">
        <w:t>.</w:t>
      </w:r>
      <w:r w:rsidR="00152DBE" w:rsidRPr="005314B0">
        <w:t xml:space="preserve">  Unfortunately, there still are a number of barriers</w:t>
      </w:r>
      <w:r w:rsidR="00D15610" w:rsidRPr="005314B0">
        <w:t xml:space="preserve"> (beyond default service) that interfere with </w:t>
      </w:r>
      <w:r w:rsidR="000E4573">
        <w:t xml:space="preserve">a </w:t>
      </w:r>
      <w:r w:rsidR="00D15610" w:rsidRPr="005314B0">
        <w:t>customer’s ability to enroll with a competitive supplier.  Those barriers include:</w:t>
      </w:r>
    </w:p>
    <w:p w:rsidR="00D15610" w:rsidRPr="005314B0" w:rsidRDefault="00D15610" w:rsidP="00D15610">
      <w:pPr>
        <w:pStyle w:val="ListParagraph"/>
        <w:numPr>
          <w:ilvl w:val="0"/>
          <w:numId w:val="1"/>
        </w:numPr>
        <w:spacing w:line="480" w:lineRule="auto"/>
      </w:pPr>
      <w:r w:rsidRPr="005314B0">
        <w:lastRenderedPageBreak/>
        <w:t>Currently customers cannot immediately enroll in electric generation service with a competitive retail electric service (“CRES”</w:t>
      </w:r>
      <w:r w:rsidR="00FD19CD" w:rsidRPr="005314B0">
        <w:t>) provider.  C</w:t>
      </w:r>
      <w:r w:rsidRPr="005314B0">
        <w:t xml:space="preserve">ustomers must be on default SSO service for a period of time before they </w:t>
      </w:r>
      <w:r w:rsidR="00FD19CD" w:rsidRPr="005314B0">
        <w:t xml:space="preserve">can </w:t>
      </w:r>
      <w:r w:rsidRPr="005314B0">
        <w:t>take service from a CRES</w:t>
      </w:r>
      <w:r w:rsidR="00FD19CD" w:rsidRPr="005314B0">
        <w:t>;</w:t>
      </w:r>
    </w:p>
    <w:p w:rsidR="00C11B09" w:rsidRPr="005314B0" w:rsidRDefault="00D15610" w:rsidP="00D15610">
      <w:pPr>
        <w:pStyle w:val="ListParagraph"/>
        <w:numPr>
          <w:ilvl w:val="0"/>
          <w:numId w:val="1"/>
        </w:numPr>
        <w:spacing w:line="480" w:lineRule="auto"/>
      </w:pPr>
      <w:r w:rsidRPr="005314B0">
        <w:t>CRES customers that move cannot take their contract with them, or otherwise remain on CRES service at their new residence; those customers must switch back to the SSO and relinquish the terms of their contract  onc</w:t>
      </w:r>
      <w:r w:rsidR="00114CDB" w:rsidRPr="005314B0">
        <w:t>e they move from their premises;</w:t>
      </w:r>
    </w:p>
    <w:p w:rsidR="00114CDB" w:rsidRPr="005314B0" w:rsidRDefault="00114CDB" w:rsidP="00D15610">
      <w:pPr>
        <w:pStyle w:val="ListParagraph"/>
        <w:numPr>
          <w:ilvl w:val="0"/>
          <w:numId w:val="1"/>
        </w:numPr>
        <w:spacing w:line="480" w:lineRule="auto"/>
      </w:pPr>
      <w:r w:rsidRPr="005314B0">
        <w:t>Many customers currently are not aware of the alternative electric products and services that are available to them in the market beyond default service.</w:t>
      </w:r>
    </w:p>
    <w:p w:rsidR="00114CDB" w:rsidRPr="005314B0" w:rsidRDefault="00114CDB" w:rsidP="00114CDB">
      <w:pPr>
        <w:spacing w:line="480" w:lineRule="auto"/>
      </w:pPr>
      <w:r w:rsidRPr="005314B0">
        <w:tab/>
        <w:t xml:space="preserve">The contract portability, seamless move and instant connect proposals </w:t>
      </w:r>
      <w:r w:rsidR="006E1DFD">
        <w:t>are</w:t>
      </w:r>
      <w:r w:rsidR="006E1DFD" w:rsidRPr="005314B0">
        <w:t xml:space="preserve"> </w:t>
      </w:r>
      <w:r w:rsidRPr="005314B0">
        <w:t xml:space="preserve">designed to remedy some of the current barriers to customer Choice in </w:t>
      </w:r>
      <w:r w:rsidR="004613A8" w:rsidRPr="005314B0">
        <w:t>Ohio.</w:t>
      </w:r>
      <w:r w:rsidRPr="005314B0">
        <w:t xml:space="preserve">  Contract portability and seamless move would allow the CRES contract to move with the customer if the customer moved within the utility service territory.  Instant connect would allow customers to enroll with a CRES upon initiation of electric generation service.  Unfortunately</w:t>
      </w:r>
      <w:r w:rsidR="000E4573">
        <w:t>,</w:t>
      </w:r>
      <w:r w:rsidRPr="005314B0">
        <w:t xml:space="preserve"> the Staff Report dismissed many of these proposals, and simply recommend</w:t>
      </w:r>
      <w:r w:rsidR="009D56DF" w:rsidRPr="005314B0">
        <w:t>ed</w:t>
      </w:r>
      <w:r w:rsidR="00FD19CD" w:rsidRPr="005314B0">
        <w:t xml:space="preserve"> implementing a watered-down</w:t>
      </w:r>
      <w:r w:rsidRPr="005314B0">
        <w:t xml:space="preserve"> warm transfer proposal</w:t>
      </w:r>
      <w:r w:rsidR="006E1DFD">
        <w:t xml:space="preserve"> </w:t>
      </w:r>
      <w:r w:rsidRPr="005314B0">
        <w:t xml:space="preserve">that </w:t>
      </w:r>
      <w:r w:rsidR="00FD19CD" w:rsidRPr="005314B0">
        <w:t xml:space="preserve">does </w:t>
      </w:r>
      <w:r w:rsidRPr="005314B0">
        <w:t xml:space="preserve">little to enable customers to exercise their rights to </w:t>
      </w:r>
      <w:r w:rsidR="004613A8" w:rsidRPr="005314B0">
        <w:t>choose a CRES provider</w:t>
      </w:r>
      <w:r w:rsidRPr="005314B0">
        <w:t>.</w:t>
      </w:r>
    </w:p>
    <w:p w:rsidR="00FD19CD" w:rsidRPr="005314B0" w:rsidRDefault="00114CDB" w:rsidP="00114CDB">
      <w:pPr>
        <w:spacing w:line="480" w:lineRule="auto"/>
      </w:pPr>
      <w:r w:rsidRPr="005314B0">
        <w:tab/>
        <w:t>IGS will defer to the RESA comments</w:t>
      </w:r>
      <w:r w:rsidR="00A6318D">
        <w:t xml:space="preserve"> for the details</w:t>
      </w:r>
      <w:r w:rsidRPr="005314B0">
        <w:t xml:space="preserve"> as to why the dismissal of the contract portability, seamless move and instant connect proposals </w:t>
      </w:r>
      <w:r w:rsidR="00FD19CD" w:rsidRPr="005314B0">
        <w:t>are</w:t>
      </w:r>
      <w:r w:rsidRPr="005314B0">
        <w:t xml:space="preserve"> unreasonable.  </w:t>
      </w:r>
      <w:r w:rsidR="00FD19CD" w:rsidRPr="005314B0">
        <w:t xml:space="preserve">However, the Staff Report largely dismissed these proposals citing too much additional costs and difficulty to implement.  Staff’s analysis about the implementation costs of these proposals is penny wise and pound foolish.  </w:t>
      </w:r>
    </w:p>
    <w:p w:rsidR="00114CDB" w:rsidRPr="005314B0" w:rsidRDefault="00FD19CD" w:rsidP="00114CDB">
      <w:pPr>
        <w:spacing w:line="480" w:lineRule="auto"/>
      </w:pPr>
      <w:r w:rsidRPr="005314B0">
        <w:tab/>
        <w:t xml:space="preserve">Customers greatly benefit from the innovation and increased efficiencies brought by the development of competition in the retail electric market.  The cost to implement contract </w:t>
      </w:r>
      <w:r w:rsidRPr="005314B0">
        <w:lastRenderedPageBreak/>
        <w:t>portability, seamless move and instant connect proposals would represent a demin</w:t>
      </w:r>
      <w:r w:rsidR="002D3640" w:rsidRPr="005314B0">
        <w:t xml:space="preserve">imis amount on the average customer’s electric bill, particularly if these costs were allocated over a period of years.  Further, while the costs will be incurred over a fixed period of time, the benefits will be </w:t>
      </w:r>
      <w:r w:rsidR="00B934C9">
        <w:t>lasting</w:t>
      </w:r>
      <w:r w:rsidR="002D3640" w:rsidRPr="005314B0">
        <w:t>, as the</w:t>
      </w:r>
      <w:r w:rsidR="004613A8" w:rsidRPr="005314B0">
        <w:t xml:space="preserve">se proposals </w:t>
      </w:r>
      <w:r w:rsidR="002D3640" w:rsidRPr="005314B0">
        <w:t xml:space="preserve">will enhance the customer’s ability to choose for </w:t>
      </w:r>
      <w:r w:rsidR="00B934C9">
        <w:t>an indefinite period of time.</w:t>
      </w:r>
    </w:p>
    <w:p w:rsidR="005E35DB" w:rsidRPr="005314B0" w:rsidRDefault="005E35DB" w:rsidP="00114CDB">
      <w:pPr>
        <w:spacing w:line="480" w:lineRule="auto"/>
      </w:pPr>
      <w:r w:rsidRPr="005314B0">
        <w:tab/>
        <w:t>It should also be noted that efforts to lower the barriers to competition by measures such as contract portability, seamless move and instant connect are moving forward in</w:t>
      </w:r>
      <w:r w:rsidR="009D56DF" w:rsidRPr="005314B0">
        <w:t xml:space="preserve"> the State of</w:t>
      </w:r>
      <w:r w:rsidRPr="005314B0">
        <w:t xml:space="preserve"> Pennsylvania.</w:t>
      </w:r>
      <w:r w:rsidR="005314B0">
        <w:t xml:space="preserve">  Pennsylvania has</w:t>
      </w:r>
      <w:r w:rsidR="008C3126">
        <w:t xml:space="preserve"> also</w:t>
      </w:r>
      <w:r w:rsidR="005314B0">
        <w:t xml:space="preserve"> successfully implemented a customer referral program for all its electric utilities that is designed to educate customers about their competitive options in the marketplace.  </w:t>
      </w:r>
      <w:r w:rsidRPr="005314B0">
        <w:t>Thus many of the purported reasons cited in the Staff Report and by other parties in the MDWG</w:t>
      </w:r>
      <w:r w:rsidR="005314B0">
        <w:t xml:space="preserve"> </w:t>
      </w:r>
      <w:r w:rsidRPr="005314B0">
        <w:t>against implementation of these measures are largely illusory.</w:t>
      </w:r>
    </w:p>
    <w:p w:rsidR="00E24740" w:rsidRPr="005314B0" w:rsidRDefault="00E24740" w:rsidP="00114CDB">
      <w:pPr>
        <w:spacing w:line="480" w:lineRule="auto"/>
      </w:pPr>
      <w:r w:rsidRPr="005314B0">
        <w:tab/>
        <w:t xml:space="preserve">For these reasons, IGS respectfully requests that the Commission </w:t>
      </w:r>
      <w:r w:rsidR="005B0F4E" w:rsidRPr="005314B0">
        <w:t>reject</w:t>
      </w:r>
      <w:r w:rsidR="005314B0">
        <w:t xml:space="preserve"> the </w:t>
      </w:r>
      <w:r w:rsidRPr="005314B0">
        <w:t xml:space="preserve">warm transfer </w:t>
      </w:r>
      <w:r w:rsidR="005314B0" w:rsidRPr="005314B0">
        <w:t>recommendation</w:t>
      </w:r>
      <w:r w:rsidRPr="005314B0">
        <w:t xml:space="preserve"> made in the Staff Report and require a </w:t>
      </w:r>
      <w:r w:rsidR="00EA2B31" w:rsidRPr="005314B0">
        <w:t>state-</w:t>
      </w:r>
      <w:r w:rsidRPr="005314B0">
        <w:t xml:space="preserve">wide implementation of seamless move, contract portability and instant connect as </w:t>
      </w:r>
      <w:r w:rsidR="005E35DB" w:rsidRPr="005314B0">
        <w:t xml:space="preserve">more fully </w:t>
      </w:r>
      <w:r w:rsidRPr="005314B0">
        <w:t>explained in the comments filed by RESA.</w:t>
      </w:r>
    </w:p>
    <w:p w:rsidR="005E35DB" w:rsidRDefault="005E35DB" w:rsidP="005E35DB">
      <w:pPr>
        <w:spacing w:after="0"/>
        <w:ind w:left="5040"/>
      </w:pPr>
      <w:r w:rsidRPr="005314B0">
        <w:t>Respectfully submitted,</w:t>
      </w:r>
    </w:p>
    <w:p w:rsidR="005314B0" w:rsidRPr="005314B0" w:rsidRDefault="005314B0" w:rsidP="005E35DB">
      <w:pPr>
        <w:spacing w:after="0"/>
        <w:ind w:left="5040"/>
      </w:pPr>
    </w:p>
    <w:p w:rsidR="005E35DB" w:rsidRPr="005314B0" w:rsidRDefault="005314B0" w:rsidP="005E35DB">
      <w:pPr>
        <w:spacing w:after="0"/>
        <w:ind w:left="5040"/>
        <w:jc w:val="both"/>
        <w:rPr>
          <w:rFonts w:eastAsia="Arial"/>
          <w:u w:val="single"/>
        </w:rPr>
      </w:pPr>
      <w:r>
        <w:rPr>
          <w:rFonts w:eastAsia="Arial"/>
          <w:u w:val="single"/>
        </w:rPr>
        <w:t xml:space="preserve">/s/ </w:t>
      </w:r>
      <w:r w:rsidRPr="005314B0">
        <w:rPr>
          <w:rFonts w:eastAsia="Arial"/>
          <w:i/>
          <w:u w:val="single"/>
        </w:rPr>
        <w:t>Matthew White</w:t>
      </w:r>
    </w:p>
    <w:p w:rsidR="005E35DB" w:rsidRPr="005314B0" w:rsidRDefault="005E35DB" w:rsidP="005E35DB">
      <w:pPr>
        <w:spacing w:after="0"/>
        <w:ind w:left="5040"/>
      </w:pPr>
      <w:r w:rsidRPr="005314B0">
        <w:t>Matthew White (0082859)</w:t>
      </w:r>
    </w:p>
    <w:p w:rsidR="005E35DB" w:rsidRPr="005314B0" w:rsidRDefault="005B0F4E" w:rsidP="005E35DB">
      <w:pPr>
        <w:spacing w:after="0"/>
        <w:ind w:left="5040"/>
      </w:pPr>
      <w:r w:rsidRPr="005314B0">
        <w:t>Counsel o</w:t>
      </w:r>
      <w:r w:rsidR="005E35DB" w:rsidRPr="005314B0">
        <w:t>f Record</w:t>
      </w:r>
    </w:p>
    <w:p w:rsidR="005E35DB" w:rsidRPr="005314B0" w:rsidRDefault="005E35DB" w:rsidP="005E35DB">
      <w:pPr>
        <w:spacing w:after="0"/>
        <w:ind w:left="5040"/>
      </w:pPr>
      <w:r w:rsidRPr="005314B0">
        <w:t>Email: mswhite@igsenergy.com</w:t>
      </w:r>
    </w:p>
    <w:p w:rsidR="005E35DB" w:rsidRPr="005314B0" w:rsidRDefault="005E35DB" w:rsidP="005E35DB">
      <w:pPr>
        <w:spacing w:after="0"/>
        <w:ind w:left="5040"/>
      </w:pPr>
      <w:r w:rsidRPr="005314B0">
        <w:t>Interstate Gas Supply, Inc.</w:t>
      </w:r>
    </w:p>
    <w:p w:rsidR="005E35DB" w:rsidRPr="005314B0" w:rsidRDefault="005E35DB" w:rsidP="005E35DB">
      <w:pPr>
        <w:spacing w:after="0"/>
        <w:ind w:left="5040"/>
      </w:pPr>
      <w:r w:rsidRPr="005314B0">
        <w:t>6100 Emerald Parkway</w:t>
      </w:r>
    </w:p>
    <w:p w:rsidR="005E35DB" w:rsidRPr="005314B0" w:rsidRDefault="005E35DB" w:rsidP="005E35DB">
      <w:pPr>
        <w:spacing w:after="0"/>
        <w:ind w:left="5040"/>
      </w:pPr>
      <w:r w:rsidRPr="005314B0">
        <w:t>Dublin, Ohio 43016</w:t>
      </w:r>
    </w:p>
    <w:p w:rsidR="005E35DB" w:rsidRPr="005314B0" w:rsidRDefault="005E35DB" w:rsidP="005E35DB">
      <w:pPr>
        <w:spacing w:after="0"/>
        <w:ind w:left="5040"/>
      </w:pPr>
      <w:r w:rsidRPr="005314B0">
        <w:t>Telephone:</w:t>
      </w:r>
      <w:r w:rsidRPr="005314B0">
        <w:tab/>
        <w:t>(614) 659-5000</w:t>
      </w:r>
    </w:p>
    <w:p w:rsidR="005E35DB" w:rsidRDefault="005E35DB" w:rsidP="00114CDB">
      <w:pPr>
        <w:spacing w:line="480" w:lineRule="auto"/>
      </w:pPr>
    </w:p>
    <w:p w:rsidR="00FD19CD" w:rsidRDefault="00FD19CD" w:rsidP="00114CDB">
      <w:pPr>
        <w:spacing w:line="480" w:lineRule="auto"/>
      </w:pPr>
      <w:r>
        <w:tab/>
      </w:r>
    </w:p>
    <w:p w:rsidR="005758E1" w:rsidRDefault="005758E1" w:rsidP="00E171D2">
      <w:pPr>
        <w:spacing w:line="480" w:lineRule="auto"/>
      </w:pPr>
      <w:r>
        <w:lastRenderedPageBreak/>
        <w:tab/>
      </w:r>
      <w:bookmarkStart w:id="0" w:name="_GoBack"/>
      <w:bookmarkEnd w:id="0"/>
    </w:p>
    <w:sectPr w:rsidR="005758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640" w:rsidRDefault="002D3640" w:rsidP="002D3640">
      <w:pPr>
        <w:spacing w:after="0"/>
      </w:pPr>
      <w:r>
        <w:separator/>
      </w:r>
    </w:p>
  </w:endnote>
  <w:endnote w:type="continuationSeparator" w:id="0">
    <w:p w:rsidR="002D3640" w:rsidRDefault="002D3640" w:rsidP="002D3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498484"/>
      <w:docPartObj>
        <w:docPartGallery w:val="Page Numbers (Bottom of Page)"/>
        <w:docPartUnique/>
      </w:docPartObj>
    </w:sdtPr>
    <w:sdtEndPr>
      <w:rPr>
        <w:noProof/>
      </w:rPr>
    </w:sdtEndPr>
    <w:sdtContent>
      <w:p w:rsidR="002D3640" w:rsidRDefault="002D3640">
        <w:pPr>
          <w:pStyle w:val="Footer"/>
          <w:jc w:val="center"/>
        </w:pPr>
        <w:r>
          <w:fldChar w:fldCharType="begin"/>
        </w:r>
        <w:r>
          <w:instrText xml:space="preserve"> PAGE   \* MERGEFORMAT </w:instrText>
        </w:r>
        <w:r>
          <w:fldChar w:fldCharType="separate"/>
        </w:r>
        <w:r w:rsidR="00A6318D">
          <w:rPr>
            <w:noProof/>
          </w:rPr>
          <w:t>5</w:t>
        </w:r>
        <w:r>
          <w:rPr>
            <w:noProof/>
          </w:rPr>
          <w:fldChar w:fldCharType="end"/>
        </w:r>
      </w:p>
    </w:sdtContent>
  </w:sdt>
  <w:p w:rsidR="002D3640" w:rsidRDefault="002D3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640" w:rsidRDefault="002D3640" w:rsidP="002D3640">
      <w:pPr>
        <w:spacing w:after="0"/>
      </w:pPr>
      <w:r>
        <w:separator/>
      </w:r>
    </w:p>
  </w:footnote>
  <w:footnote w:type="continuationSeparator" w:id="0">
    <w:p w:rsidR="002D3640" w:rsidRDefault="002D3640" w:rsidP="002D364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A201E"/>
    <w:multiLevelType w:val="hybridMultilevel"/>
    <w:tmpl w:val="8DD001B4"/>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wrence Friedeman">
    <w15:presenceInfo w15:providerId="AD" w15:userId="S-1-5-21-1316090093-710254092-3585433132-10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D2"/>
    <w:rsid w:val="000065E9"/>
    <w:rsid w:val="00075B68"/>
    <w:rsid w:val="000E4573"/>
    <w:rsid w:val="00114CDB"/>
    <w:rsid w:val="00152DBE"/>
    <w:rsid w:val="002D3640"/>
    <w:rsid w:val="004613A8"/>
    <w:rsid w:val="005314B0"/>
    <w:rsid w:val="005758E1"/>
    <w:rsid w:val="005B0F4E"/>
    <w:rsid w:val="005E35DB"/>
    <w:rsid w:val="006A24A5"/>
    <w:rsid w:val="006E1DFD"/>
    <w:rsid w:val="007855D5"/>
    <w:rsid w:val="00786009"/>
    <w:rsid w:val="00866565"/>
    <w:rsid w:val="008C3126"/>
    <w:rsid w:val="008D0D31"/>
    <w:rsid w:val="008F6EF9"/>
    <w:rsid w:val="009D56DF"/>
    <w:rsid w:val="009E1E84"/>
    <w:rsid w:val="00A059C0"/>
    <w:rsid w:val="00A6318D"/>
    <w:rsid w:val="00B10D28"/>
    <w:rsid w:val="00B934C9"/>
    <w:rsid w:val="00C11B09"/>
    <w:rsid w:val="00D15610"/>
    <w:rsid w:val="00E171D2"/>
    <w:rsid w:val="00E24740"/>
    <w:rsid w:val="00EA2B31"/>
    <w:rsid w:val="00F6618C"/>
    <w:rsid w:val="00FD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D2"/>
    <w:pPr>
      <w:spacing w:after="24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610"/>
    <w:pPr>
      <w:ind w:left="720"/>
      <w:contextualSpacing/>
    </w:pPr>
  </w:style>
  <w:style w:type="paragraph" w:styleId="Header">
    <w:name w:val="header"/>
    <w:basedOn w:val="Normal"/>
    <w:link w:val="HeaderChar"/>
    <w:uiPriority w:val="99"/>
    <w:unhideWhenUsed/>
    <w:rsid w:val="002D3640"/>
    <w:pPr>
      <w:tabs>
        <w:tab w:val="center" w:pos="4680"/>
        <w:tab w:val="right" w:pos="9360"/>
      </w:tabs>
      <w:spacing w:after="0"/>
    </w:pPr>
  </w:style>
  <w:style w:type="character" w:customStyle="1" w:styleId="HeaderChar">
    <w:name w:val="Header Char"/>
    <w:basedOn w:val="DefaultParagraphFont"/>
    <w:link w:val="Header"/>
    <w:uiPriority w:val="99"/>
    <w:rsid w:val="002D3640"/>
    <w:rPr>
      <w:rFonts w:ascii="Times New Roman" w:eastAsia="Calibri" w:hAnsi="Times New Roman" w:cs="Times New Roman"/>
      <w:sz w:val="24"/>
      <w:szCs w:val="24"/>
    </w:rPr>
  </w:style>
  <w:style w:type="paragraph" w:styleId="Footer">
    <w:name w:val="footer"/>
    <w:basedOn w:val="Normal"/>
    <w:link w:val="FooterChar"/>
    <w:uiPriority w:val="99"/>
    <w:unhideWhenUsed/>
    <w:rsid w:val="002D3640"/>
    <w:pPr>
      <w:tabs>
        <w:tab w:val="center" w:pos="4680"/>
        <w:tab w:val="right" w:pos="9360"/>
      </w:tabs>
      <w:spacing w:after="0"/>
    </w:pPr>
  </w:style>
  <w:style w:type="character" w:customStyle="1" w:styleId="FooterChar">
    <w:name w:val="Footer Char"/>
    <w:basedOn w:val="DefaultParagraphFont"/>
    <w:link w:val="Footer"/>
    <w:uiPriority w:val="99"/>
    <w:rsid w:val="002D3640"/>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EA2B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B3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D2"/>
    <w:pPr>
      <w:spacing w:after="24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610"/>
    <w:pPr>
      <w:ind w:left="720"/>
      <w:contextualSpacing/>
    </w:pPr>
  </w:style>
  <w:style w:type="paragraph" w:styleId="Header">
    <w:name w:val="header"/>
    <w:basedOn w:val="Normal"/>
    <w:link w:val="HeaderChar"/>
    <w:uiPriority w:val="99"/>
    <w:unhideWhenUsed/>
    <w:rsid w:val="002D3640"/>
    <w:pPr>
      <w:tabs>
        <w:tab w:val="center" w:pos="4680"/>
        <w:tab w:val="right" w:pos="9360"/>
      </w:tabs>
      <w:spacing w:after="0"/>
    </w:pPr>
  </w:style>
  <w:style w:type="character" w:customStyle="1" w:styleId="HeaderChar">
    <w:name w:val="Header Char"/>
    <w:basedOn w:val="DefaultParagraphFont"/>
    <w:link w:val="Header"/>
    <w:uiPriority w:val="99"/>
    <w:rsid w:val="002D3640"/>
    <w:rPr>
      <w:rFonts w:ascii="Times New Roman" w:eastAsia="Calibri" w:hAnsi="Times New Roman" w:cs="Times New Roman"/>
      <w:sz w:val="24"/>
      <w:szCs w:val="24"/>
    </w:rPr>
  </w:style>
  <w:style w:type="paragraph" w:styleId="Footer">
    <w:name w:val="footer"/>
    <w:basedOn w:val="Normal"/>
    <w:link w:val="FooterChar"/>
    <w:uiPriority w:val="99"/>
    <w:unhideWhenUsed/>
    <w:rsid w:val="002D3640"/>
    <w:pPr>
      <w:tabs>
        <w:tab w:val="center" w:pos="4680"/>
        <w:tab w:val="right" w:pos="9360"/>
      </w:tabs>
      <w:spacing w:after="0"/>
    </w:pPr>
  </w:style>
  <w:style w:type="character" w:customStyle="1" w:styleId="FooterChar">
    <w:name w:val="Footer Char"/>
    <w:basedOn w:val="DefaultParagraphFont"/>
    <w:link w:val="Footer"/>
    <w:uiPriority w:val="99"/>
    <w:rsid w:val="002D3640"/>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EA2B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B3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44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8CA50-59A6-4053-BFCE-3BFE0842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mswhite</dc:creator>
  <cp:lastModifiedBy>mswhite</cp:lastModifiedBy>
  <cp:revision>3</cp:revision>
  <cp:lastPrinted>2016-01-06T17:06:00Z</cp:lastPrinted>
  <dcterms:created xsi:type="dcterms:W3CDTF">2016-01-06T22:00:00Z</dcterms:created>
  <dcterms:modified xsi:type="dcterms:W3CDTF">2016-01-06T22:04:00Z</dcterms:modified>
</cp:coreProperties>
</file>