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7176D2BB" w14:textId="6F05BC81" w:rsidR="00545F29" w:rsidRPr="009D71F6" w:rsidRDefault="00732F9F" w:rsidP="00732F9F">
            <w:pPr>
              <w:autoSpaceDE w:val="0"/>
              <w:autoSpaceDN w:val="0"/>
              <w:adjustRightInd w:val="0"/>
              <w:spacing w:after="0" w:line="240" w:lineRule="auto"/>
              <w:jc w:val="both"/>
              <w:rPr>
                <w:rFonts w:ascii="Arial" w:hAnsi="Arial" w:cs="Arial"/>
                <w:sz w:val="24"/>
                <w:szCs w:val="24"/>
              </w:rPr>
            </w:pPr>
            <w:r w:rsidRPr="00732F9F">
              <w:rPr>
                <w:rFonts w:ascii="Arial" w:hAnsi="Arial" w:cs="Arial"/>
                <w:sz w:val="24"/>
                <w:szCs w:val="24"/>
              </w:rPr>
              <w:t xml:space="preserve">IN </w:t>
            </w:r>
            <w:r>
              <w:rPr>
                <w:rFonts w:ascii="Arial" w:hAnsi="Arial" w:cs="Arial"/>
                <w:sz w:val="24"/>
                <w:szCs w:val="24"/>
              </w:rPr>
              <w:t xml:space="preserve">THE MATTER OF THE REVIEW OF THE </w:t>
            </w:r>
            <w:r w:rsidRPr="00732F9F">
              <w:rPr>
                <w:rFonts w:ascii="Arial" w:hAnsi="Arial" w:cs="Arial"/>
                <w:sz w:val="24"/>
                <w:szCs w:val="24"/>
              </w:rPr>
              <w:t>OHI</w:t>
            </w:r>
            <w:r>
              <w:rPr>
                <w:rFonts w:ascii="Arial" w:hAnsi="Arial" w:cs="Arial"/>
                <w:sz w:val="24"/>
                <w:szCs w:val="24"/>
              </w:rPr>
              <w:t xml:space="preserve">O EDISON COMPANY, THE CLEVELAND </w:t>
            </w:r>
            <w:r w:rsidRPr="00732F9F">
              <w:rPr>
                <w:rFonts w:ascii="Arial" w:hAnsi="Arial" w:cs="Arial"/>
                <w:sz w:val="24"/>
                <w:szCs w:val="24"/>
              </w:rPr>
              <w:t>ELE</w:t>
            </w:r>
            <w:r>
              <w:rPr>
                <w:rFonts w:ascii="Arial" w:hAnsi="Arial" w:cs="Arial"/>
                <w:sz w:val="24"/>
                <w:szCs w:val="24"/>
              </w:rPr>
              <w:t xml:space="preserve">CTRIC ILLUMINATING COMPANY, AND THE TOLEDO EDISON COMPANY'S </w:t>
            </w:r>
            <w:r w:rsidRPr="00732F9F">
              <w:rPr>
                <w:rFonts w:ascii="Arial" w:hAnsi="Arial" w:cs="Arial"/>
                <w:sz w:val="24"/>
                <w:szCs w:val="24"/>
              </w:rPr>
              <w:t>COMPL</w:t>
            </w:r>
            <w:r>
              <w:rPr>
                <w:rFonts w:ascii="Arial" w:hAnsi="Arial" w:cs="Arial"/>
                <w:sz w:val="24"/>
                <w:szCs w:val="24"/>
              </w:rPr>
              <w:t xml:space="preserve">IANCE WITH R.C. 4928.17 AND THE </w:t>
            </w:r>
            <w:r w:rsidRPr="00732F9F">
              <w:rPr>
                <w:rFonts w:ascii="Arial" w:hAnsi="Arial" w:cs="Arial"/>
                <w:sz w:val="24"/>
                <w:szCs w:val="24"/>
              </w:rPr>
              <w:t>OHIO ADM.</w:t>
            </w:r>
            <w:r w:rsidR="009B4C01">
              <w:rPr>
                <w:rFonts w:ascii="Arial" w:hAnsi="Arial" w:cs="Arial"/>
                <w:sz w:val="24"/>
                <w:szCs w:val="24"/>
              </w:rPr>
              <w:t xml:space="preserve"> </w:t>
            </w:r>
            <w:r w:rsidRPr="00732F9F">
              <w:rPr>
                <w:rFonts w:ascii="Arial" w:hAnsi="Arial" w:cs="Arial"/>
                <w:sz w:val="24"/>
                <w:szCs w:val="24"/>
              </w:rPr>
              <w:t>CODE CHAPTER 4901:1-37</w:t>
            </w: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C0" w14:textId="77777777" w:rsidR="00545F29" w:rsidRPr="009D71F6" w:rsidRDefault="002F05DC"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1D3D3F26" w:rsidR="00545F29" w:rsidRPr="009D71F6" w:rsidRDefault="00732F9F">
            <w:pPr>
              <w:widowControl w:val="0"/>
              <w:spacing w:after="0" w:line="240" w:lineRule="auto"/>
              <w:rPr>
                <w:rFonts w:ascii="Arial" w:hAnsi="Arial" w:cs="Arial"/>
                <w:sz w:val="24"/>
                <w:szCs w:val="24"/>
              </w:rPr>
            </w:pPr>
            <w:r>
              <w:rPr>
                <w:rFonts w:ascii="Arial" w:hAnsi="Arial" w:cs="Arial"/>
                <w:sz w:val="24"/>
                <w:szCs w:val="24"/>
              </w:rPr>
              <w:t>Case No. 17-0974</w:t>
            </w:r>
            <w:r w:rsidR="0082422E">
              <w:rPr>
                <w:rFonts w:ascii="Arial" w:hAnsi="Arial" w:cs="Arial"/>
                <w:sz w:val="24"/>
                <w:szCs w:val="24"/>
              </w:rPr>
              <w:t>-EL-UNC</w:t>
            </w:r>
          </w:p>
          <w:p w14:paraId="7176D2C4" w14:textId="77777777" w:rsidR="00545F29" w:rsidRPr="009D71F6" w:rsidRDefault="00545F29">
            <w:pPr>
              <w:widowControl w:val="0"/>
              <w:spacing w:after="0" w:line="240" w:lineRule="auto"/>
              <w:rPr>
                <w:rFonts w:ascii="Arial" w:hAnsi="Arial" w:cs="Arial"/>
                <w:sz w:val="24"/>
                <w:szCs w:val="24"/>
              </w:rPr>
            </w:pPr>
          </w:p>
          <w:p w14:paraId="325D121B" w14:textId="77777777" w:rsidR="00545F29" w:rsidRDefault="00545F29">
            <w:pPr>
              <w:widowControl w:val="0"/>
              <w:spacing w:after="0" w:line="240" w:lineRule="auto"/>
              <w:rPr>
                <w:rFonts w:ascii="Arial" w:hAnsi="Arial" w:cs="Arial"/>
                <w:sz w:val="24"/>
                <w:szCs w:val="24"/>
              </w:rPr>
            </w:pPr>
          </w:p>
          <w:p w14:paraId="378C5952" w14:textId="77777777" w:rsidR="00613140" w:rsidRDefault="00613140">
            <w:pPr>
              <w:widowControl w:val="0"/>
              <w:spacing w:after="0" w:line="240" w:lineRule="auto"/>
              <w:rPr>
                <w:rFonts w:ascii="Arial" w:hAnsi="Arial" w:cs="Arial"/>
                <w:sz w:val="24"/>
                <w:szCs w:val="24"/>
              </w:rPr>
            </w:pPr>
          </w:p>
          <w:p w14:paraId="7176D2C5" w14:textId="498FC0F9" w:rsidR="00613140" w:rsidRPr="009D71F6" w:rsidRDefault="00613140">
            <w:pPr>
              <w:widowControl w:val="0"/>
              <w:spacing w:after="0" w:line="240" w:lineRule="auto"/>
              <w:rPr>
                <w:rFonts w:ascii="Arial" w:hAnsi="Arial" w:cs="Arial"/>
                <w:sz w:val="24"/>
                <w:szCs w:val="24"/>
              </w:rPr>
            </w:pP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9" w14:textId="364DC250" w:rsidR="00545F29" w:rsidRPr="009D71F6" w:rsidRDefault="00FA7609">
      <w:pPr>
        <w:widowControl w:val="0"/>
        <w:spacing w:after="0" w:line="240" w:lineRule="auto"/>
        <w:jc w:val="center"/>
        <w:rPr>
          <w:rFonts w:ascii="Arial" w:hAnsi="Arial" w:cs="Arial"/>
          <w:b/>
          <w:bCs/>
          <w:sz w:val="24"/>
          <w:szCs w:val="24"/>
        </w:rPr>
      </w:pPr>
      <w:r>
        <w:rPr>
          <w:rFonts w:ascii="Arial" w:hAnsi="Arial" w:cs="Arial"/>
          <w:b/>
          <w:bCs/>
          <w:sz w:val="24"/>
          <w:szCs w:val="24"/>
        </w:rPr>
        <w:t xml:space="preserve">REPLY IN SUPPORT OF </w:t>
      </w:r>
      <w:r w:rsidR="0056270F" w:rsidRPr="009D71F6">
        <w:rPr>
          <w:rFonts w:ascii="Arial" w:hAnsi="Arial" w:cs="Arial"/>
          <w:b/>
          <w:bCs/>
          <w:sz w:val="24"/>
          <w:szCs w:val="24"/>
        </w:rPr>
        <w:t xml:space="preserve">MOTION TO INTERVENE </w:t>
      </w:r>
    </w:p>
    <w:p w14:paraId="7176D2CA" w14:textId="5DE42FB5" w:rsidR="00545F29" w:rsidRPr="009D71F6" w:rsidRDefault="0056270F">
      <w:pPr>
        <w:widowControl w:val="0"/>
        <w:spacing w:after="0" w:line="240" w:lineRule="auto"/>
        <w:jc w:val="center"/>
        <w:rPr>
          <w:rFonts w:ascii="Arial" w:hAnsi="Arial" w:cs="Arial"/>
          <w:b/>
          <w:bCs/>
          <w:sz w:val="24"/>
          <w:szCs w:val="24"/>
        </w:rPr>
      </w:pPr>
      <w:r w:rsidRPr="009D71F6">
        <w:rPr>
          <w:rFonts w:ascii="Arial" w:hAnsi="Arial" w:cs="Arial"/>
          <w:b/>
          <w:bCs/>
          <w:sz w:val="24"/>
          <w:szCs w:val="24"/>
        </w:rPr>
        <w:t>AND MEMORANDUM IN SUPPORT</w:t>
      </w:r>
      <w:r w:rsidR="00732F9F">
        <w:rPr>
          <w:rFonts w:ascii="Arial" w:hAnsi="Arial" w:cs="Arial"/>
          <w:b/>
          <w:bCs/>
          <w:sz w:val="24"/>
          <w:szCs w:val="24"/>
        </w:rPr>
        <w:t xml:space="preserve"> OF INTERSTATE GAS SUPPLY, INC.</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D434B1A"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19A5282C"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7002DFE5"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39545212"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1FFAC93F" w14:textId="5772FB47" w:rsidR="00237730" w:rsidRDefault="00237730" w:rsidP="00237730">
      <w:pPr>
        <w:spacing w:after="0" w:line="240" w:lineRule="auto"/>
        <w:ind w:left="5040"/>
        <w:rPr>
          <w:rFonts w:ascii="Arial" w:eastAsia="Calibri" w:hAnsi="Arial" w:cs="Arial"/>
          <w:sz w:val="24"/>
          <w:szCs w:val="24"/>
          <w:u w:val="single"/>
        </w:rPr>
      </w:pPr>
    </w:p>
    <w:p w14:paraId="7307477B" w14:textId="2D25732C" w:rsidR="00237730" w:rsidRDefault="00237730" w:rsidP="00237730">
      <w:pPr>
        <w:spacing w:after="0" w:line="240" w:lineRule="auto"/>
        <w:ind w:left="5040"/>
        <w:rPr>
          <w:rFonts w:ascii="Arial" w:hAnsi="Arial" w:cs="Arial"/>
          <w:sz w:val="24"/>
          <w:szCs w:val="24"/>
        </w:rPr>
      </w:pPr>
      <w:r>
        <w:rPr>
          <w:rFonts w:ascii="Arial" w:hAnsi="Arial" w:cs="Arial"/>
          <w:sz w:val="24"/>
          <w:szCs w:val="24"/>
        </w:rPr>
        <w:t>Joseph Oliker</w:t>
      </w:r>
      <w:r w:rsidR="007B3399">
        <w:rPr>
          <w:rFonts w:ascii="Arial" w:hAnsi="Arial" w:cs="Arial"/>
          <w:sz w:val="24"/>
          <w:szCs w:val="24"/>
        </w:rPr>
        <w:t xml:space="preserve"> (0086088)</w:t>
      </w:r>
    </w:p>
    <w:p w14:paraId="02FF4AB7" w14:textId="56F87A16" w:rsidR="00732F9F" w:rsidRDefault="00732F9F" w:rsidP="00237730">
      <w:pPr>
        <w:spacing w:after="0" w:line="240" w:lineRule="auto"/>
        <w:ind w:left="5040"/>
        <w:rPr>
          <w:rFonts w:ascii="Arial" w:hAnsi="Arial" w:cs="Arial"/>
          <w:sz w:val="24"/>
          <w:szCs w:val="24"/>
        </w:rPr>
      </w:pPr>
      <w:r w:rsidRPr="00732F9F">
        <w:rPr>
          <w:rFonts w:ascii="Arial" w:hAnsi="Arial" w:cs="Arial"/>
          <w:sz w:val="24"/>
          <w:szCs w:val="24"/>
        </w:rPr>
        <w:t>Counsel of Record</w:t>
      </w:r>
    </w:p>
    <w:p w14:paraId="794E3277"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8" w:history="1">
        <w:r w:rsidRPr="00A71E20">
          <w:rPr>
            <w:rStyle w:val="Hyperlink"/>
            <w:rFonts w:ascii="Arial" w:hAnsi="Arial" w:cs="Arial"/>
            <w:color w:val="auto"/>
            <w:sz w:val="24"/>
            <w:szCs w:val="24"/>
            <w:u w:val="none"/>
          </w:rPr>
          <w:t>joliker@igsenergy.com</w:t>
        </w:r>
      </w:hyperlink>
    </w:p>
    <w:p w14:paraId="6ECE5D61" w14:textId="471BC97F" w:rsidR="00732F9F" w:rsidRPr="00732F9F" w:rsidRDefault="00732F9F" w:rsidP="00732F9F">
      <w:pPr>
        <w:spacing w:after="0" w:line="240" w:lineRule="auto"/>
        <w:ind w:left="5040"/>
        <w:rPr>
          <w:rFonts w:ascii="Arial" w:hAnsi="Arial" w:cs="Arial"/>
          <w:sz w:val="24"/>
          <w:szCs w:val="24"/>
        </w:rPr>
      </w:pPr>
      <w:r w:rsidRPr="00732F9F">
        <w:rPr>
          <w:rFonts w:ascii="Arial" w:hAnsi="Arial" w:cs="Arial"/>
          <w:sz w:val="24"/>
          <w:szCs w:val="24"/>
        </w:rPr>
        <w:t>Michael Nugent</w:t>
      </w:r>
      <w:r w:rsidR="00124D9F">
        <w:rPr>
          <w:rFonts w:ascii="Arial" w:hAnsi="Arial" w:cs="Arial"/>
          <w:sz w:val="24"/>
          <w:szCs w:val="24"/>
        </w:rPr>
        <w:t xml:space="preserve"> (0090408)</w:t>
      </w:r>
    </w:p>
    <w:p w14:paraId="116F4738" w14:textId="7DE13B36" w:rsidR="00732F9F" w:rsidRDefault="00732F9F" w:rsidP="00732F9F">
      <w:pPr>
        <w:spacing w:after="0" w:line="240" w:lineRule="auto"/>
        <w:ind w:left="5040"/>
        <w:rPr>
          <w:rFonts w:ascii="Arial" w:hAnsi="Arial" w:cs="Arial"/>
          <w:sz w:val="24"/>
          <w:szCs w:val="24"/>
        </w:rPr>
      </w:pPr>
      <w:r w:rsidRPr="00732F9F">
        <w:rPr>
          <w:rFonts w:ascii="Arial" w:hAnsi="Arial" w:cs="Arial"/>
          <w:sz w:val="24"/>
          <w:szCs w:val="24"/>
        </w:rPr>
        <w:t>Mnugent@igsenergy.com</w:t>
      </w:r>
    </w:p>
    <w:p w14:paraId="1C54B0A0" w14:textId="1FE88325" w:rsidR="00237730" w:rsidRDefault="00AA75B4" w:rsidP="00237730">
      <w:pPr>
        <w:spacing w:after="0" w:line="240" w:lineRule="auto"/>
        <w:ind w:left="5040"/>
        <w:rPr>
          <w:rFonts w:ascii="Arial" w:hAnsi="Arial" w:cs="Arial"/>
          <w:sz w:val="24"/>
          <w:szCs w:val="24"/>
        </w:rPr>
      </w:pPr>
      <w:r>
        <w:rPr>
          <w:rFonts w:ascii="Arial" w:hAnsi="Arial" w:cs="Arial"/>
          <w:sz w:val="24"/>
          <w:szCs w:val="24"/>
        </w:rPr>
        <w:t>IGS Energy</w:t>
      </w:r>
    </w:p>
    <w:p w14:paraId="7808A77D"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6100 Emerald Parkway</w:t>
      </w:r>
    </w:p>
    <w:p w14:paraId="7F0E5D8B"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Dublin, Ohio 43016</w:t>
      </w:r>
    </w:p>
    <w:p w14:paraId="6527965A"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3ABFFA73"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F7DC00" w14:textId="77777777" w:rsidR="00237730" w:rsidRDefault="00237730" w:rsidP="00237730">
      <w:pPr>
        <w:spacing w:after="0" w:line="240" w:lineRule="auto"/>
        <w:ind w:left="5040"/>
        <w:rPr>
          <w:rFonts w:ascii="Arial" w:hAnsi="Arial" w:cs="Arial"/>
          <w:sz w:val="24"/>
          <w:szCs w:val="24"/>
        </w:rPr>
      </w:pPr>
    </w:p>
    <w:p w14:paraId="5C805413" w14:textId="2E43D73C" w:rsidR="00237730" w:rsidRDefault="003C11D0" w:rsidP="00237730">
      <w:pPr>
        <w:spacing w:after="0" w:line="240" w:lineRule="auto"/>
        <w:ind w:left="5040"/>
        <w:rPr>
          <w:rFonts w:ascii="Arial" w:hAnsi="Arial" w:cs="Arial"/>
          <w:b/>
          <w:i/>
          <w:sz w:val="24"/>
          <w:szCs w:val="24"/>
        </w:rPr>
      </w:pPr>
      <w:r>
        <w:rPr>
          <w:rFonts w:ascii="Arial" w:hAnsi="Arial" w:cs="Arial"/>
          <w:b/>
          <w:i/>
          <w:sz w:val="24"/>
          <w:szCs w:val="24"/>
        </w:rPr>
        <w:t>Attorney</w:t>
      </w:r>
      <w:r w:rsidR="00732F9F">
        <w:rPr>
          <w:rFonts w:ascii="Arial" w:hAnsi="Arial" w:cs="Arial"/>
          <w:b/>
          <w:i/>
          <w:sz w:val="24"/>
          <w:szCs w:val="24"/>
        </w:rPr>
        <w:t>s</w:t>
      </w:r>
      <w:r w:rsidR="00237730">
        <w:rPr>
          <w:rFonts w:ascii="Arial" w:hAnsi="Arial" w:cs="Arial"/>
          <w:b/>
          <w:i/>
          <w:sz w:val="24"/>
          <w:szCs w:val="24"/>
        </w:rPr>
        <w:t xml:space="preserve"> for IGS Energy</w:t>
      </w:r>
    </w:p>
    <w:p w14:paraId="29245C49" w14:textId="77777777" w:rsidR="00237730" w:rsidRDefault="00237730" w:rsidP="00237730">
      <w:pPr>
        <w:spacing w:after="0" w:line="240" w:lineRule="auto"/>
        <w:ind w:left="5040"/>
        <w:rPr>
          <w:rFonts w:ascii="Arial" w:hAnsi="Arial" w:cs="Arial"/>
          <w:b/>
          <w:i/>
          <w:sz w:val="24"/>
          <w:szCs w:val="24"/>
        </w:rPr>
      </w:pPr>
    </w:p>
    <w:p w14:paraId="5B238123" w14:textId="77777777" w:rsidR="003C11D0" w:rsidRDefault="003C11D0" w:rsidP="00237730">
      <w:pPr>
        <w:spacing w:after="0" w:line="240" w:lineRule="auto"/>
        <w:ind w:left="5040"/>
        <w:rPr>
          <w:rFonts w:ascii="Arial" w:hAnsi="Arial" w:cs="Arial"/>
          <w:b/>
          <w:i/>
          <w:sz w:val="24"/>
          <w:szCs w:val="24"/>
        </w:rPr>
      </w:pPr>
    </w:p>
    <w:p w14:paraId="7C1DFB2C" w14:textId="77777777" w:rsidR="003C11D0" w:rsidRDefault="003C11D0" w:rsidP="00237730">
      <w:pPr>
        <w:spacing w:after="0" w:line="240" w:lineRule="auto"/>
        <w:ind w:left="5040"/>
        <w:rPr>
          <w:rFonts w:ascii="Arial" w:hAnsi="Arial" w:cs="Arial"/>
          <w:b/>
          <w:i/>
          <w:sz w:val="24"/>
          <w:szCs w:val="24"/>
        </w:rPr>
      </w:pPr>
    </w:p>
    <w:p w14:paraId="2539B08F" w14:textId="77777777" w:rsidR="003C11D0" w:rsidRDefault="003C11D0" w:rsidP="00237730">
      <w:pPr>
        <w:spacing w:after="0" w:line="240" w:lineRule="auto"/>
        <w:ind w:left="5040"/>
        <w:rPr>
          <w:rFonts w:ascii="Arial" w:hAnsi="Arial" w:cs="Arial"/>
          <w:b/>
          <w:i/>
          <w:sz w:val="24"/>
          <w:szCs w:val="24"/>
        </w:rPr>
      </w:pPr>
    </w:p>
    <w:p w14:paraId="3137353E" w14:textId="77777777" w:rsidR="003C11D0" w:rsidRDefault="003C11D0" w:rsidP="00237730">
      <w:pPr>
        <w:spacing w:after="0" w:line="240" w:lineRule="auto"/>
        <w:ind w:left="5040"/>
        <w:rPr>
          <w:rFonts w:ascii="Arial" w:hAnsi="Arial" w:cs="Arial"/>
          <w:b/>
          <w:i/>
          <w:sz w:val="24"/>
          <w:szCs w:val="24"/>
        </w:rPr>
      </w:pPr>
    </w:p>
    <w:p w14:paraId="72F51C0E" w14:textId="689143E1" w:rsidR="00237730" w:rsidRDefault="00973044" w:rsidP="00D13280">
      <w:pPr>
        <w:spacing w:after="0" w:line="240" w:lineRule="auto"/>
        <w:rPr>
          <w:rFonts w:ascii="Arial" w:hAnsi="Arial" w:cs="Arial"/>
          <w:b/>
          <w:sz w:val="24"/>
          <w:szCs w:val="24"/>
        </w:rPr>
      </w:pPr>
      <w:r>
        <w:rPr>
          <w:rFonts w:ascii="Arial" w:hAnsi="Arial" w:cs="Arial"/>
          <w:b/>
          <w:sz w:val="24"/>
          <w:szCs w:val="24"/>
        </w:rPr>
        <w:t>September 21</w:t>
      </w:r>
      <w:r w:rsidR="00732F9F">
        <w:rPr>
          <w:rFonts w:ascii="Arial" w:hAnsi="Arial" w:cs="Arial"/>
          <w:b/>
          <w:sz w:val="24"/>
          <w:szCs w:val="24"/>
        </w:rPr>
        <w:t>, 2017</w:t>
      </w:r>
    </w:p>
    <w:p w14:paraId="4F731599" w14:textId="77777777" w:rsidR="00732F9F" w:rsidRPr="00D13280" w:rsidRDefault="00732F9F" w:rsidP="00D13280">
      <w:pPr>
        <w:spacing w:after="0" w:line="240" w:lineRule="auto"/>
        <w:rPr>
          <w:rFonts w:ascii="Arial" w:hAnsi="Arial" w:cs="Arial"/>
          <w:b/>
          <w:sz w:val="24"/>
          <w:szCs w:val="24"/>
        </w:rPr>
      </w:pPr>
    </w:p>
    <w:p w14:paraId="567BE3E1" w14:textId="1D5229FF" w:rsidR="00EC2ABB" w:rsidRDefault="00EC2ABB">
      <w:pPr>
        <w:rPr>
          <w:rFonts w:ascii="Arial" w:eastAsia="Times New Roman" w:hAnsi="Arial" w:cs="Arial"/>
          <w:b/>
          <w:sz w:val="24"/>
          <w:szCs w:val="24"/>
        </w:rPr>
      </w:pPr>
      <w:r>
        <w:rPr>
          <w:rFonts w:ascii="Arial" w:hAnsi="Arial" w:cs="Arial"/>
          <w:szCs w:val="24"/>
        </w:rPr>
        <w:br w:type="page"/>
      </w:r>
    </w:p>
    <w:p w14:paraId="04781E9E" w14:textId="75A7187B" w:rsidR="00EC2ABB" w:rsidRPr="00C43A24" w:rsidRDefault="00EC2ABB" w:rsidP="00EC2ABB">
      <w:pPr>
        <w:widowControl w:val="0"/>
        <w:spacing w:after="0" w:line="240" w:lineRule="auto"/>
        <w:jc w:val="center"/>
        <w:rPr>
          <w:rFonts w:ascii="Arial" w:hAnsi="Arial" w:cs="Arial"/>
          <w:b/>
          <w:bCs/>
          <w:sz w:val="24"/>
          <w:szCs w:val="24"/>
          <w:u w:val="single"/>
        </w:rPr>
      </w:pPr>
      <w:r w:rsidRPr="00C43A24">
        <w:rPr>
          <w:rFonts w:ascii="Arial" w:hAnsi="Arial" w:cs="Arial"/>
          <w:b/>
          <w:bCs/>
          <w:sz w:val="24"/>
          <w:szCs w:val="24"/>
          <w:u w:val="single"/>
        </w:rPr>
        <w:lastRenderedPageBreak/>
        <w:t>TABLE OF CONTENTS</w:t>
      </w:r>
    </w:p>
    <w:p w14:paraId="2663191A" w14:textId="3A9770B0" w:rsidR="00AE7A34" w:rsidRPr="00C43A24" w:rsidRDefault="00AE7A34" w:rsidP="00EC2ABB">
      <w:pPr>
        <w:widowControl w:val="0"/>
        <w:spacing w:after="0" w:line="240" w:lineRule="auto"/>
        <w:jc w:val="center"/>
        <w:rPr>
          <w:rFonts w:ascii="Arial" w:hAnsi="Arial" w:cs="Arial"/>
          <w:b/>
          <w:bCs/>
          <w:sz w:val="24"/>
          <w:szCs w:val="24"/>
          <w:u w:val="single"/>
        </w:rPr>
      </w:pP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Pr="00C43A24">
        <w:rPr>
          <w:rFonts w:ascii="Arial" w:hAnsi="Arial" w:cs="Arial"/>
          <w:b/>
          <w:bCs/>
          <w:sz w:val="24"/>
          <w:szCs w:val="24"/>
        </w:rPr>
        <w:tab/>
      </w:r>
      <w:r w:rsidR="00C43A24">
        <w:rPr>
          <w:rFonts w:ascii="Arial" w:hAnsi="Arial" w:cs="Arial"/>
          <w:b/>
          <w:bCs/>
          <w:sz w:val="24"/>
          <w:szCs w:val="24"/>
        </w:rPr>
        <w:t xml:space="preserve">               </w:t>
      </w:r>
      <w:r w:rsidRPr="00C43A24">
        <w:rPr>
          <w:rFonts w:ascii="Arial" w:hAnsi="Arial" w:cs="Arial"/>
          <w:b/>
          <w:bCs/>
          <w:sz w:val="24"/>
          <w:szCs w:val="24"/>
          <w:u w:val="single"/>
        </w:rPr>
        <w:t>PAGE</w:t>
      </w:r>
    </w:p>
    <w:p w14:paraId="527DE07B" w14:textId="77777777" w:rsidR="00EC2ABB" w:rsidRPr="00C43A24" w:rsidRDefault="00EC2ABB" w:rsidP="00EC2ABB">
      <w:pPr>
        <w:pStyle w:val="Level1"/>
        <w:rPr>
          <w:rFonts w:ascii="Arial" w:hAnsi="Arial" w:cs="Arial"/>
          <w:webHidden/>
          <w:sz w:val="24"/>
          <w:szCs w:val="24"/>
        </w:rPr>
      </w:pPr>
    </w:p>
    <w:p w14:paraId="0F3B527E" w14:textId="45482665" w:rsidR="00EC2ABB" w:rsidRPr="00C43A24" w:rsidRDefault="00EC2ABB" w:rsidP="00C43A24">
      <w:pPr>
        <w:pStyle w:val="Level1"/>
        <w:numPr>
          <w:ilvl w:val="0"/>
          <w:numId w:val="13"/>
        </w:numPr>
        <w:tabs>
          <w:tab w:val="clear" w:pos="8630"/>
          <w:tab w:val="right" w:leader="dot" w:pos="8910"/>
        </w:tabs>
        <w:rPr>
          <w:rFonts w:ascii="Arial" w:hAnsi="Arial" w:cs="Arial"/>
          <w:sz w:val="24"/>
          <w:szCs w:val="24"/>
        </w:rPr>
      </w:pPr>
      <w:r w:rsidRPr="00C43A24">
        <w:rPr>
          <w:rFonts w:ascii="Arial" w:hAnsi="Arial" w:cs="Arial"/>
          <w:webHidden/>
          <w:sz w:val="24"/>
          <w:szCs w:val="24"/>
        </w:rPr>
        <w:t>introduction</w:t>
      </w:r>
      <w:r w:rsidR="00C43A24">
        <w:rPr>
          <w:rFonts w:ascii="Arial" w:hAnsi="Arial" w:cs="Arial"/>
          <w:webHidden/>
          <w:sz w:val="24"/>
          <w:szCs w:val="24"/>
        </w:rPr>
        <w:t xml:space="preserve">..………………………………………………………..….. </w:t>
      </w:r>
      <w:r w:rsidRPr="00C43A24">
        <w:rPr>
          <w:rFonts w:ascii="Arial" w:hAnsi="Arial" w:cs="Arial"/>
          <w:webHidden/>
          <w:sz w:val="24"/>
          <w:szCs w:val="24"/>
        </w:rPr>
        <w:t>1</w:t>
      </w:r>
    </w:p>
    <w:p w14:paraId="2729D0DD" w14:textId="71FB2288" w:rsidR="00EC2ABB" w:rsidRPr="00C43A24" w:rsidRDefault="00EC2ABB" w:rsidP="00C43A24">
      <w:pPr>
        <w:pStyle w:val="Level1"/>
        <w:numPr>
          <w:ilvl w:val="0"/>
          <w:numId w:val="13"/>
        </w:numPr>
        <w:tabs>
          <w:tab w:val="clear" w:pos="8630"/>
          <w:tab w:val="right" w:leader="dot" w:pos="8820"/>
        </w:tabs>
        <w:rPr>
          <w:rFonts w:ascii="Arial" w:hAnsi="Arial" w:cs="Arial"/>
          <w:sz w:val="24"/>
          <w:szCs w:val="24"/>
        </w:rPr>
      </w:pPr>
      <w:r w:rsidRPr="00C43A24">
        <w:rPr>
          <w:rFonts w:ascii="Arial" w:hAnsi="Arial" w:cs="Arial"/>
          <w:webHidden/>
          <w:sz w:val="24"/>
          <w:szCs w:val="24"/>
        </w:rPr>
        <w:t>background</w:t>
      </w:r>
      <w:r w:rsidRPr="00C43A24">
        <w:rPr>
          <w:rFonts w:ascii="Arial" w:hAnsi="Arial" w:cs="Arial"/>
          <w:webHidden/>
          <w:sz w:val="24"/>
          <w:szCs w:val="24"/>
        </w:rPr>
        <w:tab/>
      </w:r>
      <w:r w:rsidR="00C43A24">
        <w:rPr>
          <w:rFonts w:ascii="Arial" w:hAnsi="Arial" w:cs="Arial"/>
          <w:webHidden/>
          <w:sz w:val="24"/>
          <w:szCs w:val="24"/>
        </w:rPr>
        <w:t>….…..</w:t>
      </w:r>
      <w:r w:rsidRPr="00C43A24">
        <w:rPr>
          <w:rFonts w:ascii="Arial" w:hAnsi="Arial" w:cs="Arial"/>
          <w:webHidden/>
          <w:sz w:val="24"/>
          <w:szCs w:val="24"/>
        </w:rPr>
        <w:t>3</w:t>
      </w:r>
    </w:p>
    <w:p w14:paraId="54D6762D" w14:textId="7BF5CDF9" w:rsidR="00EC2ABB" w:rsidRPr="00C43A24" w:rsidRDefault="00EC2ABB" w:rsidP="00C43A24">
      <w:pPr>
        <w:pStyle w:val="Level1"/>
        <w:numPr>
          <w:ilvl w:val="0"/>
          <w:numId w:val="13"/>
        </w:numPr>
        <w:tabs>
          <w:tab w:val="clear" w:pos="8630"/>
          <w:tab w:val="right" w:leader="dot" w:pos="8820"/>
        </w:tabs>
        <w:rPr>
          <w:rFonts w:ascii="Arial" w:hAnsi="Arial" w:cs="Arial"/>
          <w:webHidden/>
          <w:sz w:val="24"/>
          <w:szCs w:val="24"/>
        </w:rPr>
      </w:pPr>
      <w:r w:rsidRPr="00C43A24">
        <w:rPr>
          <w:rFonts w:ascii="Arial" w:hAnsi="Arial" w:cs="Arial"/>
          <w:webHidden/>
          <w:sz w:val="24"/>
          <w:szCs w:val="24"/>
        </w:rPr>
        <w:t>reply in support of motion to intervene</w:t>
      </w:r>
      <w:r w:rsidRPr="00C43A24">
        <w:rPr>
          <w:rFonts w:ascii="Arial" w:hAnsi="Arial" w:cs="Arial"/>
          <w:webHidden/>
          <w:sz w:val="24"/>
          <w:szCs w:val="24"/>
        </w:rPr>
        <w:tab/>
      </w:r>
      <w:r w:rsidR="00C43A24">
        <w:rPr>
          <w:rFonts w:ascii="Arial" w:hAnsi="Arial" w:cs="Arial"/>
          <w:webHidden/>
          <w:sz w:val="24"/>
          <w:szCs w:val="24"/>
        </w:rPr>
        <w:t>.</w:t>
      </w:r>
      <w:r w:rsidRPr="00C43A24">
        <w:rPr>
          <w:rFonts w:ascii="Arial" w:hAnsi="Arial" w:cs="Arial"/>
          <w:webHidden/>
          <w:sz w:val="24"/>
          <w:szCs w:val="24"/>
        </w:rPr>
        <w:t>6</w:t>
      </w:r>
    </w:p>
    <w:p w14:paraId="3A9893A1" w14:textId="7CA33F46" w:rsidR="00E5550F" w:rsidRPr="00C43A24" w:rsidRDefault="00E5550F" w:rsidP="00C43A24">
      <w:pPr>
        <w:pStyle w:val="Level1"/>
        <w:numPr>
          <w:ilvl w:val="1"/>
          <w:numId w:val="13"/>
        </w:numPr>
        <w:tabs>
          <w:tab w:val="clear" w:pos="8630"/>
          <w:tab w:val="right" w:leader="dot" w:pos="8820"/>
        </w:tabs>
        <w:rPr>
          <w:rFonts w:ascii="Arial" w:hAnsi="Arial" w:cs="Arial"/>
          <w:webHidden/>
          <w:sz w:val="24"/>
          <w:szCs w:val="24"/>
        </w:rPr>
      </w:pPr>
      <w:r w:rsidRPr="00C43A24">
        <w:rPr>
          <w:rFonts w:ascii="Arial" w:hAnsi="Arial" w:cs="Arial"/>
          <w:webHidden/>
          <w:sz w:val="24"/>
          <w:szCs w:val="24"/>
        </w:rPr>
        <w:t>igs has</w:t>
      </w:r>
      <w:r w:rsidR="00C43A24">
        <w:rPr>
          <w:rFonts w:ascii="Arial" w:hAnsi="Arial" w:cs="Arial"/>
          <w:webHidden/>
          <w:sz w:val="24"/>
          <w:szCs w:val="24"/>
        </w:rPr>
        <w:t xml:space="preserve"> a substantial interest in this </w:t>
      </w:r>
      <w:r w:rsidR="00AE7A34" w:rsidRPr="00C43A24">
        <w:rPr>
          <w:rFonts w:ascii="Arial" w:hAnsi="Arial" w:cs="Arial"/>
          <w:webHidden/>
          <w:sz w:val="24"/>
          <w:szCs w:val="24"/>
        </w:rPr>
        <w:t>P</w:t>
      </w:r>
      <w:r w:rsidRPr="00C43A24">
        <w:rPr>
          <w:rFonts w:ascii="Arial" w:hAnsi="Arial" w:cs="Arial"/>
          <w:webHidden/>
          <w:sz w:val="24"/>
          <w:szCs w:val="24"/>
        </w:rPr>
        <w:t>roceeding</w:t>
      </w:r>
      <w:r w:rsidR="00AE7A34" w:rsidRPr="00C43A24">
        <w:rPr>
          <w:rFonts w:ascii="Arial" w:hAnsi="Arial" w:cs="Arial"/>
          <w:webHidden/>
          <w:sz w:val="24"/>
          <w:szCs w:val="24"/>
        </w:rPr>
        <w:t>...</w:t>
      </w:r>
      <w:r w:rsidRPr="00C43A24">
        <w:rPr>
          <w:rFonts w:ascii="Arial" w:hAnsi="Arial" w:cs="Arial"/>
          <w:webHidden/>
          <w:sz w:val="24"/>
          <w:szCs w:val="24"/>
        </w:rPr>
        <w:t>.</w:t>
      </w:r>
      <w:r w:rsidR="00C43A24">
        <w:rPr>
          <w:rFonts w:ascii="Arial" w:hAnsi="Arial" w:cs="Arial"/>
          <w:webHidden/>
          <w:sz w:val="24"/>
          <w:szCs w:val="24"/>
        </w:rPr>
        <w:t>..</w:t>
      </w:r>
      <w:r w:rsidRPr="00C43A24">
        <w:rPr>
          <w:rFonts w:ascii="Arial" w:hAnsi="Arial" w:cs="Arial"/>
          <w:webHidden/>
          <w:sz w:val="24"/>
          <w:szCs w:val="24"/>
        </w:rPr>
        <w:t>6</w:t>
      </w:r>
    </w:p>
    <w:p w14:paraId="143D56B9" w14:textId="77777777" w:rsidR="00C43A24" w:rsidRDefault="00E5550F" w:rsidP="00C43A24">
      <w:pPr>
        <w:pStyle w:val="Level1"/>
        <w:numPr>
          <w:ilvl w:val="1"/>
          <w:numId w:val="13"/>
        </w:numPr>
        <w:rPr>
          <w:rFonts w:ascii="Arial" w:hAnsi="Arial" w:cs="Arial"/>
          <w:webHidden/>
          <w:sz w:val="24"/>
          <w:szCs w:val="24"/>
        </w:rPr>
      </w:pPr>
      <w:r w:rsidRPr="00C43A24">
        <w:rPr>
          <w:rFonts w:ascii="Arial" w:hAnsi="Arial" w:cs="Arial"/>
          <w:webHidden/>
          <w:sz w:val="24"/>
          <w:szCs w:val="24"/>
        </w:rPr>
        <w:t xml:space="preserve">igs’s Participation will streamline this proceeding </w:t>
      </w:r>
    </w:p>
    <w:p w14:paraId="4A71B958" w14:textId="1F6FB2F0" w:rsidR="00E5550F" w:rsidRPr="00C43A24" w:rsidRDefault="00E5550F" w:rsidP="00C43A24">
      <w:pPr>
        <w:pStyle w:val="Level1"/>
        <w:tabs>
          <w:tab w:val="clear" w:pos="8630"/>
          <w:tab w:val="right" w:leader="dot" w:pos="8820"/>
        </w:tabs>
        <w:ind w:left="1440"/>
        <w:rPr>
          <w:rFonts w:ascii="Arial" w:hAnsi="Arial" w:cs="Arial"/>
          <w:webHidden/>
          <w:sz w:val="24"/>
          <w:szCs w:val="24"/>
        </w:rPr>
      </w:pPr>
      <w:r w:rsidRPr="00C43A24">
        <w:rPr>
          <w:rFonts w:ascii="Arial" w:hAnsi="Arial" w:cs="Arial"/>
          <w:webHidden/>
          <w:sz w:val="24"/>
          <w:szCs w:val="24"/>
        </w:rPr>
        <w:t>and</w:t>
      </w:r>
      <w:r w:rsidR="00C43A24" w:rsidRPr="00C43A24">
        <w:rPr>
          <w:rFonts w:ascii="Arial" w:hAnsi="Arial" w:cs="Arial"/>
          <w:webHidden/>
          <w:sz w:val="24"/>
          <w:szCs w:val="24"/>
        </w:rPr>
        <w:t xml:space="preserve"> </w:t>
      </w:r>
      <w:r w:rsidRPr="00C43A24">
        <w:rPr>
          <w:rFonts w:ascii="Arial" w:hAnsi="Arial" w:cs="Arial"/>
          <w:webHidden/>
          <w:sz w:val="24"/>
          <w:szCs w:val="24"/>
        </w:rPr>
        <w:t xml:space="preserve">refine </w:t>
      </w:r>
      <w:r w:rsidR="00C43A24">
        <w:rPr>
          <w:rFonts w:ascii="Arial" w:hAnsi="Arial" w:cs="Arial"/>
          <w:webHidden/>
          <w:sz w:val="24"/>
          <w:szCs w:val="24"/>
        </w:rPr>
        <w:t>the issue</w:t>
      </w:r>
      <w:r w:rsidR="00AA3698">
        <w:rPr>
          <w:rFonts w:ascii="Arial" w:hAnsi="Arial" w:cs="Arial"/>
          <w:webHidden/>
          <w:sz w:val="24"/>
          <w:szCs w:val="24"/>
        </w:rPr>
        <w:t xml:space="preserve">s </w:t>
      </w:r>
      <w:r w:rsidR="00C43A24" w:rsidRPr="00C43A24">
        <w:rPr>
          <w:rFonts w:ascii="Arial" w:hAnsi="Arial" w:cs="Arial"/>
          <w:webHidden/>
          <w:sz w:val="24"/>
          <w:szCs w:val="24"/>
        </w:rPr>
        <w:t>under</w:t>
      </w:r>
      <w:r w:rsidR="00C43A24">
        <w:rPr>
          <w:rFonts w:ascii="Arial" w:hAnsi="Arial" w:cs="Arial"/>
          <w:webHidden/>
          <w:sz w:val="24"/>
          <w:szCs w:val="24"/>
        </w:rPr>
        <w:t xml:space="preserve"> </w:t>
      </w:r>
      <w:r w:rsidRPr="00C43A24">
        <w:rPr>
          <w:rFonts w:ascii="Arial" w:hAnsi="Arial" w:cs="Arial"/>
          <w:webHidden/>
          <w:sz w:val="24"/>
          <w:szCs w:val="24"/>
        </w:rPr>
        <w:t>considerati</w:t>
      </w:r>
      <w:r w:rsidR="00C43A24">
        <w:rPr>
          <w:rFonts w:ascii="Arial" w:hAnsi="Arial" w:cs="Arial"/>
          <w:webHidden/>
          <w:sz w:val="24"/>
          <w:szCs w:val="24"/>
        </w:rPr>
        <w:t>on</w:t>
      </w:r>
      <w:r w:rsidR="00871BA7" w:rsidRPr="00C43A24">
        <w:rPr>
          <w:rFonts w:ascii="Arial" w:hAnsi="Arial" w:cs="Arial"/>
          <w:webHidden/>
          <w:sz w:val="24"/>
          <w:szCs w:val="24"/>
        </w:rPr>
        <w:t>…………</w:t>
      </w:r>
      <w:r w:rsidR="00C43A24">
        <w:rPr>
          <w:rFonts w:ascii="Arial" w:hAnsi="Arial" w:cs="Arial"/>
          <w:webHidden/>
          <w:sz w:val="24"/>
          <w:szCs w:val="24"/>
        </w:rPr>
        <w:t>…</w:t>
      </w:r>
      <w:r w:rsidR="00871BA7" w:rsidRPr="00C43A24">
        <w:rPr>
          <w:rFonts w:ascii="Arial" w:hAnsi="Arial" w:cs="Arial"/>
          <w:webHidden/>
          <w:sz w:val="24"/>
          <w:szCs w:val="24"/>
        </w:rPr>
        <w:t>14</w:t>
      </w:r>
    </w:p>
    <w:p w14:paraId="2BBF57B1" w14:textId="3FF4AA2B" w:rsidR="00E80593" w:rsidRPr="00C43A24" w:rsidRDefault="00E80593" w:rsidP="00C43A24">
      <w:pPr>
        <w:pStyle w:val="Level1"/>
        <w:numPr>
          <w:ilvl w:val="0"/>
          <w:numId w:val="13"/>
        </w:numPr>
        <w:tabs>
          <w:tab w:val="clear" w:pos="8630"/>
          <w:tab w:val="right" w:leader="dot" w:pos="8910"/>
        </w:tabs>
        <w:rPr>
          <w:rFonts w:ascii="Arial" w:hAnsi="Arial" w:cs="Arial"/>
          <w:sz w:val="24"/>
          <w:szCs w:val="24"/>
        </w:rPr>
      </w:pPr>
      <w:r w:rsidRPr="00C43A24">
        <w:rPr>
          <w:rFonts w:ascii="Arial" w:hAnsi="Arial" w:cs="Arial"/>
          <w:webHidden/>
          <w:sz w:val="24"/>
          <w:szCs w:val="24"/>
        </w:rPr>
        <w:t xml:space="preserve">Conclusion </w:t>
      </w:r>
      <w:r w:rsidRPr="00C43A24">
        <w:rPr>
          <w:rFonts w:ascii="Arial" w:hAnsi="Arial" w:cs="Arial"/>
          <w:webHidden/>
          <w:sz w:val="24"/>
          <w:szCs w:val="24"/>
        </w:rPr>
        <w:tab/>
        <w:t>15</w:t>
      </w:r>
    </w:p>
    <w:p w14:paraId="6693E46F" w14:textId="77777777" w:rsidR="00E80593" w:rsidRPr="00C43A24" w:rsidRDefault="00E80593" w:rsidP="00E80593">
      <w:pPr>
        <w:rPr>
          <w:rFonts w:ascii="Arial" w:hAnsi="Arial" w:cs="Arial"/>
          <w:sz w:val="24"/>
          <w:szCs w:val="24"/>
        </w:rPr>
      </w:pPr>
      <w:r w:rsidRPr="00C43A24">
        <w:rPr>
          <w:rFonts w:ascii="Arial" w:hAnsi="Arial" w:cs="Arial"/>
          <w:sz w:val="24"/>
          <w:szCs w:val="24"/>
        </w:rPr>
        <w:tab/>
      </w:r>
      <w:r w:rsidRPr="00C43A24">
        <w:rPr>
          <w:rFonts w:ascii="Arial" w:hAnsi="Arial" w:cs="Arial"/>
          <w:sz w:val="24"/>
          <w:szCs w:val="24"/>
        </w:rPr>
        <w:tab/>
      </w:r>
    </w:p>
    <w:p w14:paraId="10B249E1" w14:textId="1DE17B96" w:rsidR="00E80593" w:rsidRPr="0003028F" w:rsidRDefault="00E80593" w:rsidP="00E80593">
      <w:pPr>
        <w:pStyle w:val="Level1"/>
        <w:ind w:left="1080"/>
      </w:pPr>
    </w:p>
    <w:p w14:paraId="04D6ABCA" w14:textId="77777777" w:rsidR="004E56AB" w:rsidRDefault="004E56AB">
      <w:pPr>
        <w:rPr>
          <w:rFonts w:ascii="Arial" w:hAnsi="Arial" w:cs="Arial"/>
          <w:szCs w:val="24"/>
        </w:rPr>
      </w:pPr>
      <w:r>
        <w:rPr>
          <w:rFonts w:ascii="Arial" w:hAnsi="Arial" w:cs="Arial"/>
          <w:szCs w:val="24"/>
        </w:rPr>
        <w:br w:type="page"/>
      </w:r>
    </w:p>
    <w:p w14:paraId="4587435D" w14:textId="77777777" w:rsidR="00732F9F" w:rsidRPr="009D71F6" w:rsidRDefault="00732F9F" w:rsidP="00732F9F">
      <w:pPr>
        <w:pStyle w:val="Title"/>
        <w:widowControl w:val="0"/>
        <w:rPr>
          <w:rFonts w:ascii="Arial" w:hAnsi="Arial" w:cs="Arial"/>
          <w:szCs w:val="24"/>
        </w:rPr>
      </w:pPr>
      <w:r w:rsidRPr="009D71F6">
        <w:rPr>
          <w:rFonts w:ascii="Arial" w:hAnsi="Arial" w:cs="Arial"/>
          <w:szCs w:val="24"/>
        </w:rPr>
        <w:lastRenderedPageBreak/>
        <w:t>BEFORE</w:t>
      </w:r>
    </w:p>
    <w:p w14:paraId="7130245E" w14:textId="77777777" w:rsidR="00732F9F" w:rsidRPr="009D71F6" w:rsidRDefault="00732F9F" w:rsidP="00732F9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732F9F" w:rsidRPr="009D71F6" w14:paraId="6D536B04" w14:textId="77777777" w:rsidTr="001049EC">
        <w:trPr>
          <w:trHeight w:val="873"/>
          <w:jc w:val="center"/>
        </w:trPr>
        <w:tc>
          <w:tcPr>
            <w:tcW w:w="4739" w:type="dxa"/>
          </w:tcPr>
          <w:p w14:paraId="5EF02554" w14:textId="4A1DA530" w:rsidR="00732F9F" w:rsidRPr="009D71F6" w:rsidRDefault="00732F9F" w:rsidP="001049EC">
            <w:pPr>
              <w:autoSpaceDE w:val="0"/>
              <w:autoSpaceDN w:val="0"/>
              <w:adjustRightInd w:val="0"/>
              <w:spacing w:after="0" w:line="240" w:lineRule="auto"/>
              <w:jc w:val="both"/>
              <w:rPr>
                <w:rFonts w:ascii="Arial" w:hAnsi="Arial" w:cs="Arial"/>
                <w:sz w:val="24"/>
                <w:szCs w:val="24"/>
              </w:rPr>
            </w:pPr>
            <w:r w:rsidRPr="00732F9F">
              <w:rPr>
                <w:rFonts w:ascii="Arial" w:hAnsi="Arial" w:cs="Arial"/>
                <w:sz w:val="24"/>
                <w:szCs w:val="24"/>
              </w:rPr>
              <w:t xml:space="preserve">IN </w:t>
            </w:r>
            <w:r>
              <w:rPr>
                <w:rFonts w:ascii="Arial" w:hAnsi="Arial" w:cs="Arial"/>
                <w:sz w:val="24"/>
                <w:szCs w:val="24"/>
              </w:rPr>
              <w:t xml:space="preserve">THE MATTER OF THE REVIEW OF THE </w:t>
            </w:r>
            <w:r w:rsidRPr="00732F9F">
              <w:rPr>
                <w:rFonts w:ascii="Arial" w:hAnsi="Arial" w:cs="Arial"/>
                <w:sz w:val="24"/>
                <w:szCs w:val="24"/>
              </w:rPr>
              <w:t>OHI</w:t>
            </w:r>
            <w:r>
              <w:rPr>
                <w:rFonts w:ascii="Arial" w:hAnsi="Arial" w:cs="Arial"/>
                <w:sz w:val="24"/>
                <w:szCs w:val="24"/>
              </w:rPr>
              <w:t xml:space="preserve">O EDISON COMPANY, THE CLEVELAND </w:t>
            </w:r>
            <w:r w:rsidRPr="00732F9F">
              <w:rPr>
                <w:rFonts w:ascii="Arial" w:hAnsi="Arial" w:cs="Arial"/>
                <w:sz w:val="24"/>
                <w:szCs w:val="24"/>
              </w:rPr>
              <w:t>ELE</w:t>
            </w:r>
            <w:r>
              <w:rPr>
                <w:rFonts w:ascii="Arial" w:hAnsi="Arial" w:cs="Arial"/>
                <w:sz w:val="24"/>
                <w:szCs w:val="24"/>
              </w:rPr>
              <w:t xml:space="preserve">CTRIC ILLUMINATING COMPANY, AND THE TOLEDO EDISON COMPANY'S </w:t>
            </w:r>
            <w:r w:rsidRPr="00732F9F">
              <w:rPr>
                <w:rFonts w:ascii="Arial" w:hAnsi="Arial" w:cs="Arial"/>
                <w:sz w:val="24"/>
                <w:szCs w:val="24"/>
              </w:rPr>
              <w:t>COMPL</w:t>
            </w:r>
            <w:r>
              <w:rPr>
                <w:rFonts w:ascii="Arial" w:hAnsi="Arial" w:cs="Arial"/>
                <w:sz w:val="24"/>
                <w:szCs w:val="24"/>
              </w:rPr>
              <w:t xml:space="preserve">IANCE WITH R.C. 4928.17 AND THE </w:t>
            </w:r>
            <w:r w:rsidRPr="00732F9F">
              <w:rPr>
                <w:rFonts w:ascii="Arial" w:hAnsi="Arial" w:cs="Arial"/>
                <w:sz w:val="24"/>
                <w:szCs w:val="24"/>
              </w:rPr>
              <w:t>OHIO ADM.</w:t>
            </w:r>
            <w:r w:rsidR="009B4C01">
              <w:rPr>
                <w:rFonts w:ascii="Arial" w:hAnsi="Arial" w:cs="Arial"/>
                <w:sz w:val="24"/>
                <w:szCs w:val="24"/>
              </w:rPr>
              <w:t xml:space="preserve"> </w:t>
            </w:r>
            <w:r w:rsidRPr="00732F9F">
              <w:rPr>
                <w:rFonts w:ascii="Arial" w:hAnsi="Arial" w:cs="Arial"/>
                <w:sz w:val="24"/>
                <w:szCs w:val="24"/>
              </w:rPr>
              <w:t>CODE CHAPTER 4901:1-37</w:t>
            </w:r>
          </w:p>
        </w:tc>
        <w:tc>
          <w:tcPr>
            <w:tcW w:w="630" w:type="dxa"/>
          </w:tcPr>
          <w:p w14:paraId="3DD4F908" w14:textId="77777777" w:rsidR="00732F9F" w:rsidRPr="009D71F6" w:rsidRDefault="00732F9F" w:rsidP="001049E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2E6288DD" w14:textId="77777777" w:rsidR="00732F9F" w:rsidRPr="009D71F6" w:rsidRDefault="00732F9F" w:rsidP="001049E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52961C7" w14:textId="77777777" w:rsidR="00732F9F" w:rsidRPr="009D71F6" w:rsidRDefault="00732F9F" w:rsidP="001049E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6F98BA73" w14:textId="77777777" w:rsidR="00732F9F" w:rsidRPr="009D71F6" w:rsidRDefault="00732F9F" w:rsidP="001049E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5135BF98" w14:textId="77777777" w:rsidR="00732F9F" w:rsidRPr="009D71F6" w:rsidRDefault="00732F9F" w:rsidP="001049EC">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160400C4" w14:textId="77777777" w:rsidR="00732F9F" w:rsidRPr="009D71F6" w:rsidRDefault="00732F9F" w:rsidP="001049EC">
            <w:pPr>
              <w:widowControl w:val="0"/>
              <w:spacing w:after="0" w:line="240" w:lineRule="auto"/>
              <w:rPr>
                <w:rFonts w:ascii="Arial" w:hAnsi="Arial" w:cs="Arial"/>
                <w:sz w:val="24"/>
                <w:szCs w:val="24"/>
              </w:rPr>
            </w:pPr>
          </w:p>
          <w:p w14:paraId="329E0AD0" w14:textId="77777777" w:rsidR="00732F9F" w:rsidRPr="009D71F6" w:rsidRDefault="00732F9F" w:rsidP="001049EC">
            <w:pPr>
              <w:widowControl w:val="0"/>
              <w:spacing w:after="0" w:line="240" w:lineRule="auto"/>
              <w:rPr>
                <w:rFonts w:ascii="Arial" w:hAnsi="Arial" w:cs="Arial"/>
                <w:sz w:val="24"/>
                <w:szCs w:val="24"/>
              </w:rPr>
            </w:pPr>
          </w:p>
          <w:p w14:paraId="74119C76" w14:textId="77777777" w:rsidR="00732F9F" w:rsidRPr="009D71F6" w:rsidRDefault="00732F9F" w:rsidP="001049EC">
            <w:pPr>
              <w:widowControl w:val="0"/>
              <w:spacing w:after="0" w:line="240" w:lineRule="auto"/>
              <w:rPr>
                <w:rFonts w:ascii="Arial" w:hAnsi="Arial" w:cs="Arial"/>
                <w:sz w:val="24"/>
                <w:szCs w:val="24"/>
              </w:rPr>
            </w:pPr>
            <w:r>
              <w:rPr>
                <w:rFonts w:ascii="Arial" w:hAnsi="Arial" w:cs="Arial"/>
                <w:sz w:val="24"/>
                <w:szCs w:val="24"/>
              </w:rPr>
              <w:t>Case No. 17-0974-EL-UNC</w:t>
            </w:r>
          </w:p>
          <w:p w14:paraId="62AC3EF8" w14:textId="77777777" w:rsidR="00732F9F" w:rsidRPr="009D71F6" w:rsidRDefault="00732F9F" w:rsidP="001049EC">
            <w:pPr>
              <w:widowControl w:val="0"/>
              <w:spacing w:after="0" w:line="240" w:lineRule="auto"/>
              <w:rPr>
                <w:rFonts w:ascii="Arial" w:hAnsi="Arial" w:cs="Arial"/>
                <w:sz w:val="24"/>
                <w:szCs w:val="24"/>
              </w:rPr>
            </w:pPr>
          </w:p>
          <w:p w14:paraId="04F8A3B6" w14:textId="77777777" w:rsidR="00732F9F" w:rsidRDefault="00732F9F" w:rsidP="001049EC">
            <w:pPr>
              <w:widowControl w:val="0"/>
              <w:spacing w:after="0" w:line="240" w:lineRule="auto"/>
              <w:rPr>
                <w:rFonts w:ascii="Arial" w:hAnsi="Arial" w:cs="Arial"/>
                <w:sz w:val="24"/>
                <w:szCs w:val="24"/>
              </w:rPr>
            </w:pPr>
          </w:p>
          <w:p w14:paraId="51AD3B02" w14:textId="77777777" w:rsidR="00732F9F" w:rsidRDefault="00732F9F" w:rsidP="001049EC">
            <w:pPr>
              <w:widowControl w:val="0"/>
              <w:spacing w:after="0" w:line="240" w:lineRule="auto"/>
              <w:rPr>
                <w:rFonts w:ascii="Arial" w:hAnsi="Arial" w:cs="Arial"/>
                <w:sz w:val="24"/>
                <w:szCs w:val="24"/>
              </w:rPr>
            </w:pPr>
          </w:p>
          <w:p w14:paraId="7DBD96E9" w14:textId="77777777" w:rsidR="00732F9F" w:rsidRPr="009D71F6" w:rsidRDefault="00732F9F" w:rsidP="001049EC">
            <w:pPr>
              <w:widowControl w:val="0"/>
              <w:spacing w:after="0" w:line="240" w:lineRule="auto"/>
              <w:rPr>
                <w:rFonts w:ascii="Arial" w:hAnsi="Arial" w:cs="Arial"/>
                <w:sz w:val="24"/>
                <w:szCs w:val="24"/>
              </w:rPr>
            </w:pPr>
          </w:p>
        </w:tc>
      </w:tr>
    </w:tbl>
    <w:p w14:paraId="343D7AC1" w14:textId="77777777" w:rsidR="00732F9F" w:rsidRPr="009D71F6" w:rsidRDefault="00732F9F" w:rsidP="00732F9F">
      <w:pPr>
        <w:widowControl w:val="0"/>
        <w:pBdr>
          <w:bottom w:val="single" w:sz="12" w:space="0" w:color="auto"/>
        </w:pBdr>
        <w:spacing w:after="0" w:line="240" w:lineRule="auto"/>
        <w:rPr>
          <w:rFonts w:ascii="Arial" w:hAnsi="Arial" w:cs="Arial"/>
          <w:sz w:val="24"/>
          <w:szCs w:val="24"/>
        </w:rPr>
      </w:pPr>
    </w:p>
    <w:p w14:paraId="0804716A"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4BE8BCAF" w14:textId="77777777" w:rsidR="00C43A24" w:rsidRPr="009D71F6" w:rsidRDefault="00C43A24" w:rsidP="00C43A24">
      <w:pPr>
        <w:widowControl w:val="0"/>
        <w:spacing w:after="0" w:line="240" w:lineRule="auto"/>
        <w:rPr>
          <w:rFonts w:ascii="Arial" w:hAnsi="Arial" w:cs="Arial"/>
          <w:b/>
          <w:bCs/>
          <w:sz w:val="24"/>
          <w:szCs w:val="24"/>
        </w:rPr>
      </w:pPr>
    </w:p>
    <w:p w14:paraId="3A9B7298" w14:textId="77777777" w:rsidR="00C43A24" w:rsidRPr="009D71F6" w:rsidRDefault="00C43A24" w:rsidP="00C43A24">
      <w:pPr>
        <w:widowControl w:val="0"/>
        <w:spacing w:after="0" w:line="240" w:lineRule="auto"/>
        <w:jc w:val="center"/>
        <w:rPr>
          <w:rFonts w:ascii="Arial" w:hAnsi="Arial" w:cs="Arial"/>
          <w:b/>
          <w:bCs/>
          <w:sz w:val="24"/>
          <w:szCs w:val="24"/>
        </w:rPr>
      </w:pPr>
      <w:r>
        <w:rPr>
          <w:rFonts w:ascii="Arial" w:hAnsi="Arial" w:cs="Arial"/>
          <w:b/>
          <w:bCs/>
          <w:sz w:val="24"/>
          <w:szCs w:val="24"/>
        </w:rPr>
        <w:t xml:space="preserve">REPLY IN SUPPORT OF </w:t>
      </w:r>
      <w:r w:rsidRPr="009D71F6">
        <w:rPr>
          <w:rFonts w:ascii="Arial" w:hAnsi="Arial" w:cs="Arial"/>
          <w:b/>
          <w:bCs/>
          <w:sz w:val="24"/>
          <w:szCs w:val="24"/>
        </w:rPr>
        <w:t xml:space="preserve">MOTION TO INTERVENE </w:t>
      </w:r>
    </w:p>
    <w:p w14:paraId="78881612" w14:textId="77777777" w:rsidR="00C43A24" w:rsidRPr="009D71F6" w:rsidRDefault="00C43A24" w:rsidP="00C43A24">
      <w:pPr>
        <w:widowControl w:val="0"/>
        <w:spacing w:after="0" w:line="240" w:lineRule="auto"/>
        <w:jc w:val="center"/>
        <w:rPr>
          <w:rFonts w:ascii="Arial" w:hAnsi="Arial" w:cs="Arial"/>
          <w:b/>
          <w:bCs/>
          <w:sz w:val="24"/>
          <w:szCs w:val="24"/>
        </w:rPr>
      </w:pPr>
      <w:r w:rsidRPr="009D71F6">
        <w:rPr>
          <w:rFonts w:ascii="Arial" w:hAnsi="Arial" w:cs="Arial"/>
          <w:b/>
          <w:bCs/>
          <w:sz w:val="24"/>
          <w:szCs w:val="24"/>
        </w:rPr>
        <w:t>AND MEMORANDUM IN SUPPORT</w:t>
      </w:r>
      <w:r>
        <w:rPr>
          <w:rFonts w:ascii="Arial" w:hAnsi="Arial" w:cs="Arial"/>
          <w:b/>
          <w:bCs/>
          <w:sz w:val="24"/>
          <w:szCs w:val="24"/>
        </w:rPr>
        <w:t xml:space="preserve"> OF INTERSTATE GAS SUPPLY, INC.</w:t>
      </w:r>
    </w:p>
    <w:p w14:paraId="5C6BDE06"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602456E5" w14:textId="77777777" w:rsidR="00FA7609" w:rsidRDefault="00FA7609" w:rsidP="00F76A4E">
      <w:pPr>
        <w:autoSpaceDE w:val="0"/>
        <w:autoSpaceDN w:val="0"/>
        <w:adjustRightInd w:val="0"/>
        <w:spacing w:after="120" w:line="240" w:lineRule="auto"/>
        <w:jc w:val="both"/>
        <w:rPr>
          <w:rFonts w:ascii="Arial" w:hAnsi="Arial" w:cs="Arial"/>
          <w:sz w:val="24"/>
          <w:szCs w:val="24"/>
        </w:rPr>
      </w:pPr>
    </w:p>
    <w:p w14:paraId="43B0A135" w14:textId="58E11584" w:rsidR="00FA7609" w:rsidRDefault="00FA7609" w:rsidP="00FA7609">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INTRODUCTION</w:t>
      </w:r>
    </w:p>
    <w:p w14:paraId="00CC7A6B" w14:textId="4CFDE2AB" w:rsidR="002D6247" w:rsidRDefault="002D6247" w:rsidP="002D624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 purpose of this proceeding is to ensure that Ohio Edison Company, Toledo Edison Company, and Cleveland Electric Illuminating Company (collectively “FirstEnergy”) have complied with R.C. 4928.17 and Chapter 4901:1-37, ie, Ohio’s corporate separation laws and rules.  Simply put, c</w:t>
      </w:r>
      <w:r w:rsidRPr="002D6247">
        <w:rPr>
          <w:rFonts w:ascii="Arial" w:hAnsi="Arial" w:cs="Arial"/>
          <w:sz w:val="24"/>
          <w:szCs w:val="24"/>
        </w:rPr>
        <w:t>orp</w:t>
      </w:r>
      <w:r>
        <w:rPr>
          <w:rFonts w:ascii="Arial" w:hAnsi="Arial" w:cs="Arial"/>
          <w:sz w:val="24"/>
          <w:szCs w:val="24"/>
        </w:rPr>
        <w:t xml:space="preserve">orate separation </w:t>
      </w:r>
      <w:r w:rsidRPr="002D6247">
        <w:rPr>
          <w:rFonts w:ascii="Arial" w:hAnsi="Arial" w:cs="Arial"/>
          <w:sz w:val="24"/>
          <w:szCs w:val="24"/>
        </w:rPr>
        <w:t>provide</w:t>
      </w:r>
      <w:r>
        <w:rPr>
          <w:rFonts w:ascii="Arial" w:hAnsi="Arial" w:cs="Arial"/>
          <w:sz w:val="24"/>
          <w:szCs w:val="24"/>
        </w:rPr>
        <w:t>s</w:t>
      </w:r>
      <w:r w:rsidRPr="002D6247">
        <w:rPr>
          <w:rFonts w:ascii="Arial" w:hAnsi="Arial" w:cs="Arial"/>
          <w:sz w:val="24"/>
          <w:szCs w:val="24"/>
        </w:rPr>
        <w:t xml:space="preserve"> the foundation for effective competition and consumer protection</w:t>
      </w:r>
      <w:r>
        <w:rPr>
          <w:rFonts w:ascii="Arial" w:hAnsi="Arial" w:cs="Arial"/>
          <w:sz w:val="24"/>
          <w:szCs w:val="24"/>
        </w:rPr>
        <w:t xml:space="preserve">.  Therefore, this proceeding is imperative to safeguarding against the risk that FirstEnergy has utilized non-competitive monopoly-based assets or information to harm competition or its customers.  </w:t>
      </w:r>
    </w:p>
    <w:p w14:paraId="676E9704" w14:textId="606E7AC8" w:rsidR="009E0830" w:rsidRDefault="00C43A24" w:rsidP="002D624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Because the resolution of the</w:t>
      </w:r>
      <w:r w:rsidR="009E0830">
        <w:rPr>
          <w:rFonts w:ascii="Arial" w:hAnsi="Arial" w:cs="Arial"/>
          <w:sz w:val="24"/>
          <w:szCs w:val="24"/>
        </w:rPr>
        <w:t xml:space="preserve"> factual and legal matters in this proceeding will have a direct bearing on </w:t>
      </w:r>
      <w:r w:rsidR="002D6247">
        <w:rPr>
          <w:rFonts w:ascii="Arial" w:hAnsi="Arial" w:cs="Arial"/>
          <w:sz w:val="24"/>
          <w:szCs w:val="24"/>
        </w:rPr>
        <w:t>Interstate Gas Supply, Inc.</w:t>
      </w:r>
      <w:r w:rsidR="009E0830">
        <w:rPr>
          <w:rFonts w:ascii="Arial" w:hAnsi="Arial" w:cs="Arial"/>
          <w:sz w:val="24"/>
          <w:szCs w:val="24"/>
        </w:rPr>
        <w:t xml:space="preserve"> (“IGS”), IGS moved to intervene in</w:t>
      </w:r>
      <w:r>
        <w:rPr>
          <w:rFonts w:ascii="Arial" w:hAnsi="Arial" w:cs="Arial"/>
          <w:sz w:val="24"/>
          <w:szCs w:val="24"/>
        </w:rPr>
        <w:t xml:space="preserve"> this proceeding to protect its</w:t>
      </w:r>
      <w:r w:rsidR="009E0830">
        <w:rPr>
          <w:rFonts w:ascii="Arial" w:hAnsi="Arial" w:cs="Arial"/>
          <w:sz w:val="24"/>
          <w:szCs w:val="24"/>
        </w:rPr>
        <w:t xml:space="preserve"> interest.  FirstEnergy opposes IGS’s intervention for several reasons.  Each lacks merit; therefore, the Commission should grant IGS’s motion and provide IGS full party status in this proceeding. </w:t>
      </w:r>
    </w:p>
    <w:p w14:paraId="3C9B59CE" w14:textId="77777777" w:rsidR="00800927" w:rsidRDefault="00800927" w:rsidP="002D6247">
      <w:pPr>
        <w:autoSpaceDE w:val="0"/>
        <w:autoSpaceDN w:val="0"/>
        <w:adjustRightInd w:val="0"/>
        <w:spacing w:after="120" w:line="480" w:lineRule="auto"/>
        <w:ind w:firstLine="720"/>
        <w:jc w:val="both"/>
        <w:rPr>
          <w:rFonts w:ascii="Arial" w:hAnsi="Arial" w:cs="Arial"/>
          <w:sz w:val="24"/>
          <w:szCs w:val="24"/>
        </w:rPr>
      </w:pPr>
    </w:p>
    <w:p w14:paraId="5E3E0AAF" w14:textId="07ACF93E" w:rsidR="009E0830" w:rsidRDefault="009E0830" w:rsidP="009E0830">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lastRenderedPageBreak/>
        <w:t>BACKGROUND</w:t>
      </w:r>
    </w:p>
    <w:p w14:paraId="3ED3973A" w14:textId="40EE2FA5" w:rsidR="00973044" w:rsidRDefault="00973044" w:rsidP="005268E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December 12, 2012, the Commission initiated an investigation into the development of the retail electric service market.</w:t>
      </w:r>
      <w:r w:rsidR="00F76A4E">
        <w:rPr>
          <w:rStyle w:val="FootnoteReference"/>
          <w:rFonts w:ascii="Arial" w:hAnsi="Arial" w:cs="Arial"/>
          <w:sz w:val="24"/>
          <w:szCs w:val="24"/>
        </w:rPr>
        <w:footnoteReference w:id="1"/>
      </w:r>
      <w:r>
        <w:rPr>
          <w:rFonts w:ascii="Arial" w:hAnsi="Arial" w:cs="Arial"/>
          <w:sz w:val="24"/>
          <w:szCs w:val="24"/>
        </w:rPr>
        <w:t xml:space="preserve">  In that entry, the Commission stated</w:t>
      </w:r>
      <w:r w:rsidR="005268E7">
        <w:rPr>
          <w:rFonts w:ascii="Arial" w:hAnsi="Arial" w:cs="Arial"/>
          <w:sz w:val="24"/>
          <w:szCs w:val="24"/>
        </w:rPr>
        <w:t>, “[a]</w:t>
      </w:r>
      <w:r w:rsidRPr="00973044">
        <w:rPr>
          <w:rFonts w:ascii="Arial" w:hAnsi="Arial" w:cs="Arial"/>
          <w:sz w:val="24"/>
          <w:szCs w:val="24"/>
        </w:rPr>
        <w:t>s Ohio electric utilities</w:t>
      </w:r>
      <w:r w:rsidR="005268E7">
        <w:rPr>
          <w:rFonts w:ascii="Arial" w:hAnsi="Arial" w:cs="Arial"/>
          <w:sz w:val="24"/>
          <w:szCs w:val="24"/>
        </w:rPr>
        <w:t xml:space="preserve"> are making the transition from </w:t>
      </w:r>
      <w:r w:rsidRPr="00973044">
        <w:rPr>
          <w:rFonts w:ascii="Arial" w:hAnsi="Arial" w:cs="Arial"/>
          <w:sz w:val="24"/>
          <w:szCs w:val="24"/>
        </w:rPr>
        <w:t>functional to structural sepa</w:t>
      </w:r>
      <w:r w:rsidR="005268E7">
        <w:rPr>
          <w:rFonts w:ascii="Arial" w:hAnsi="Arial" w:cs="Arial"/>
          <w:sz w:val="24"/>
          <w:szCs w:val="24"/>
        </w:rPr>
        <w:t xml:space="preserve">ration, the Commission finds it </w:t>
      </w:r>
      <w:r w:rsidRPr="00973044">
        <w:rPr>
          <w:rFonts w:ascii="Arial" w:hAnsi="Arial" w:cs="Arial"/>
          <w:sz w:val="24"/>
          <w:szCs w:val="24"/>
        </w:rPr>
        <w:t>appropriate to evaluate the vit</w:t>
      </w:r>
      <w:r w:rsidR="005268E7">
        <w:rPr>
          <w:rFonts w:ascii="Arial" w:hAnsi="Arial" w:cs="Arial"/>
          <w:sz w:val="24"/>
          <w:szCs w:val="24"/>
        </w:rPr>
        <w:t xml:space="preserve">ality of the competitive retail </w:t>
      </w:r>
      <w:r w:rsidRPr="00973044">
        <w:rPr>
          <w:rFonts w:ascii="Arial" w:hAnsi="Arial" w:cs="Arial"/>
          <w:sz w:val="24"/>
          <w:szCs w:val="24"/>
        </w:rPr>
        <w:t>electric service markets supporte</w:t>
      </w:r>
      <w:r w:rsidR="005268E7">
        <w:rPr>
          <w:rFonts w:ascii="Arial" w:hAnsi="Arial" w:cs="Arial"/>
          <w:sz w:val="24"/>
          <w:szCs w:val="24"/>
        </w:rPr>
        <w:t xml:space="preserve">d by these legislative </w:t>
      </w:r>
      <w:r w:rsidRPr="00973044">
        <w:rPr>
          <w:rFonts w:ascii="Arial" w:hAnsi="Arial" w:cs="Arial"/>
          <w:sz w:val="24"/>
          <w:szCs w:val="24"/>
        </w:rPr>
        <w:t>mandates now that the mandate</w:t>
      </w:r>
      <w:r w:rsidR="005268E7">
        <w:rPr>
          <w:rFonts w:ascii="Arial" w:hAnsi="Arial" w:cs="Arial"/>
          <w:sz w:val="24"/>
          <w:szCs w:val="24"/>
        </w:rPr>
        <w:t xml:space="preserve">s have been in place sufficient </w:t>
      </w:r>
      <w:r w:rsidRPr="00973044">
        <w:rPr>
          <w:rFonts w:ascii="Arial" w:hAnsi="Arial" w:cs="Arial"/>
          <w:sz w:val="24"/>
          <w:szCs w:val="24"/>
        </w:rPr>
        <w:t>time to assess the results.</w:t>
      </w:r>
      <w:r w:rsidR="005268E7">
        <w:rPr>
          <w:rFonts w:ascii="Arial" w:hAnsi="Arial" w:cs="Arial"/>
          <w:sz w:val="24"/>
          <w:szCs w:val="24"/>
        </w:rPr>
        <w:t>”</w:t>
      </w:r>
      <w:r w:rsidR="00F76A4E">
        <w:rPr>
          <w:rStyle w:val="FootnoteReference"/>
          <w:rFonts w:ascii="Arial" w:hAnsi="Arial" w:cs="Arial"/>
          <w:sz w:val="24"/>
          <w:szCs w:val="24"/>
        </w:rPr>
        <w:footnoteReference w:id="2"/>
      </w:r>
      <w:r w:rsidR="005268E7">
        <w:rPr>
          <w:rFonts w:ascii="Arial" w:hAnsi="Arial" w:cs="Arial"/>
          <w:sz w:val="24"/>
          <w:szCs w:val="24"/>
        </w:rPr>
        <w:t xml:space="preserve"> In furtherance of its evaluation, the Commission solicited comments regarding s</w:t>
      </w:r>
      <w:r w:rsidR="005F3414">
        <w:rPr>
          <w:rFonts w:ascii="Arial" w:hAnsi="Arial" w:cs="Arial"/>
          <w:sz w:val="24"/>
          <w:szCs w:val="24"/>
        </w:rPr>
        <w:t>everal subjects and questions, including matters related to utilities</w:t>
      </w:r>
      <w:r w:rsidR="00E72FBC">
        <w:rPr>
          <w:rFonts w:ascii="Arial" w:hAnsi="Arial" w:cs="Arial"/>
          <w:sz w:val="24"/>
          <w:szCs w:val="24"/>
        </w:rPr>
        <w:t>’</w:t>
      </w:r>
      <w:r w:rsidR="005F3414">
        <w:rPr>
          <w:rFonts w:ascii="Arial" w:hAnsi="Arial" w:cs="Arial"/>
          <w:sz w:val="24"/>
          <w:szCs w:val="24"/>
        </w:rPr>
        <w:t xml:space="preserve"> corporate separation practic</w:t>
      </w:r>
      <w:r w:rsidR="00E72FBC">
        <w:rPr>
          <w:rFonts w:ascii="Arial" w:hAnsi="Arial" w:cs="Arial"/>
          <w:sz w:val="24"/>
          <w:szCs w:val="24"/>
        </w:rPr>
        <w:t>es and their impact on the competitive market</w:t>
      </w:r>
      <w:r w:rsidR="005F3414">
        <w:rPr>
          <w:rFonts w:ascii="Arial" w:hAnsi="Arial" w:cs="Arial"/>
          <w:sz w:val="24"/>
          <w:szCs w:val="24"/>
        </w:rPr>
        <w:t>.</w:t>
      </w:r>
      <w:r w:rsidR="00F76A4E">
        <w:rPr>
          <w:rStyle w:val="FootnoteReference"/>
          <w:rFonts w:ascii="Arial" w:hAnsi="Arial" w:cs="Arial"/>
          <w:sz w:val="24"/>
          <w:szCs w:val="24"/>
        </w:rPr>
        <w:footnoteReference w:id="3"/>
      </w:r>
      <w:r w:rsidR="00846340">
        <w:rPr>
          <w:rFonts w:ascii="Arial" w:hAnsi="Arial" w:cs="Arial"/>
          <w:sz w:val="24"/>
          <w:szCs w:val="24"/>
        </w:rPr>
        <w:t xml:space="preserve">  </w:t>
      </w:r>
    </w:p>
    <w:p w14:paraId="4E4908D0" w14:textId="5C277A35" w:rsidR="00846340" w:rsidRDefault="00E72FBC" w:rsidP="0084634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January 16, 2014, f</w:t>
      </w:r>
      <w:r w:rsidR="00846340">
        <w:rPr>
          <w:rFonts w:ascii="Arial" w:hAnsi="Arial" w:cs="Arial"/>
          <w:sz w:val="24"/>
          <w:szCs w:val="24"/>
        </w:rPr>
        <w:t>ollowing the submission of comments, Commission Staff is</w:t>
      </w:r>
      <w:r w:rsidR="00F76A4E">
        <w:rPr>
          <w:rFonts w:ascii="Arial" w:hAnsi="Arial" w:cs="Arial"/>
          <w:sz w:val="24"/>
          <w:szCs w:val="24"/>
        </w:rPr>
        <w:t>sued a Market Development Work Plan finding, among other things</w:t>
      </w:r>
      <w:r w:rsidR="00846340">
        <w:rPr>
          <w:rFonts w:ascii="Arial" w:hAnsi="Arial" w:cs="Arial"/>
          <w:sz w:val="24"/>
          <w:szCs w:val="24"/>
        </w:rPr>
        <w:t xml:space="preserve">, that </w:t>
      </w:r>
      <w:r w:rsidR="00846340" w:rsidRPr="00846340">
        <w:rPr>
          <w:rFonts w:ascii="Arial" w:hAnsi="Arial" w:cs="Arial"/>
          <w:sz w:val="24"/>
          <w:szCs w:val="24"/>
        </w:rPr>
        <w:t>“Staff fully believes it is imperative that utility and its affiliate activities should be vigilantly monitored to ensure compliance with section 4928.17, O.R.C. and Chapter 4901:1-37, O.A.C. Furthermore, alignment of cost causation with cost recovery is important in order to further Ohio's policy goals pursuant to Section 4928.02, O.R.C.”</w:t>
      </w:r>
      <w:r w:rsidR="00F76A4E">
        <w:rPr>
          <w:rStyle w:val="FootnoteReference"/>
          <w:rFonts w:ascii="Arial" w:hAnsi="Arial" w:cs="Arial"/>
          <w:sz w:val="24"/>
          <w:szCs w:val="24"/>
        </w:rPr>
        <w:footnoteReference w:id="4"/>
      </w:r>
      <w:r w:rsidR="00846340">
        <w:rPr>
          <w:rFonts w:ascii="Arial" w:hAnsi="Arial" w:cs="Arial"/>
          <w:sz w:val="24"/>
          <w:szCs w:val="24"/>
        </w:rPr>
        <w:t xml:space="preserve">  To that end, “</w:t>
      </w:r>
      <w:r w:rsidR="00846340" w:rsidRPr="00846340">
        <w:rPr>
          <w:rFonts w:ascii="Arial" w:hAnsi="Arial" w:cs="Arial"/>
          <w:sz w:val="24"/>
          <w:szCs w:val="24"/>
        </w:rPr>
        <w:t>Staff recommends that each utility's policy and proc</w:t>
      </w:r>
      <w:r w:rsidR="00846340">
        <w:rPr>
          <w:rFonts w:ascii="Arial" w:hAnsi="Arial" w:cs="Arial"/>
          <w:sz w:val="24"/>
          <w:szCs w:val="24"/>
        </w:rPr>
        <w:t xml:space="preserve">edures pertaining to compliance </w:t>
      </w:r>
      <w:r w:rsidR="00846340" w:rsidRPr="00846340">
        <w:rPr>
          <w:rFonts w:ascii="Arial" w:hAnsi="Arial" w:cs="Arial"/>
          <w:sz w:val="24"/>
          <w:szCs w:val="24"/>
        </w:rPr>
        <w:t>with the Code of Conduct rules between affiliates be audited at a minimum, every four</w:t>
      </w:r>
      <w:r w:rsidR="00846340">
        <w:rPr>
          <w:rFonts w:ascii="Arial" w:hAnsi="Arial" w:cs="Arial"/>
          <w:sz w:val="24"/>
          <w:szCs w:val="24"/>
        </w:rPr>
        <w:t xml:space="preserve"> </w:t>
      </w:r>
      <w:r w:rsidR="00846340" w:rsidRPr="00846340">
        <w:rPr>
          <w:rFonts w:ascii="Arial" w:hAnsi="Arial" w:cs="Arial"/>
          <w:sz w:val="24"/>
          <w:szCs w:val="24"/>
        </w:rPr>
        <w:t xml:space="preserve">years by </w:t>
      </w:r>
      <w:r w:rsidR="00846340" w:rsidRPr="00846340">
        <w:rPr>
          <w:rFonts w:ascii="Arial" w:hAnsi="Arial" w:cs="Arial"/>
          <w:sz w:val="24"/>
          <w:szCs w:val="24"/>
        </w:rPr>
        <w:lastRenderedPageBreak/>
        <w:t>the Staff of the Commission or by a th</w:t>
      </w:r>
      <w:r w:rsidR="00846340">
        <w:rPr>
          <w:rFonts w:ascii="Arial" w:hAnsi="Arial" w:cs="Arial"/>
          <w:sz w:val="24"/>
          <w:szCs w:val="24"/>
        </w:rPr>
        <w:t xml:space="preserve">ird party auditor chosen by the </w:t>
      </w:r>
      <w:r w:rsidR="00846340" w:rsidRPr="00846340">
        <w:rPr>
          <w:rFonts w:ascii="Arial" w:hAnsi="Arial" w:cs="Arial"/>
          <w:sz w:val="24"/>
          <w:szCs w:val="24"/>
        </w:rPr>
        <w:t>Commission and under the direction of Staff.</w:t>
      </w:r>
      <w:r w:rsidR="00846340">
        <w:rPr>
          <w:rFonts w:ascii="Arial" w:hAnsi="Arial" w:cs="Arial"/>
          <w:sz w:val="24"/>
          <w:szCs w:val="24"/>
        </w:rPr>
        <w:t>”</w:t>
      </w:r>
      <w:r w:rsidR="00F76A4E">
        <w:rPr>
          <w:rStyle w:val="FootnoteReference"/>
          <w:rFonts w:ascii="Arial" w:hAnsi="Arial" w:cs="Arial"/>
          <w:sz w:val="24"/>
          <w:szCs w:val="24"/>
        </w:rPr>
        <w:footnoteReference w:id="5"/>
      </w:r>
      <w:r w:rsidR="00846340">
        <w:rPr>
          <w:rFonts w:ascii="Arial" w:hAnsi="Arial" w:cs="Arial"/>
          <w:sz w:val="24"/>
          <w:szCs w:val="24"/>
        </w:rPr>
        <w:t xml:space="preserve">  </w:t>
      </w:r>
    </w:p>
    <w:p w14:paraId="477F090C" w14:textId="04EE2F62" w:rsidR="00AE76CC" w:rsidRDefault="00AE76CC" w:rsidP="0084634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March 26, 2014, the Commission is</w:t>
      </w:r>
      <w:r w:rsidR="00553017">
        <w:rPr>
          <w:rFonts w:ascii="Arial" w:hAnsi="Arial" w:cs="Arial"/>
          <w:sz w:val="24"/>
          <w:szCs w:val="24"/>
        </w:rPr>
        <w:t xml:space="preserve">sued its order in the </w:t>
      </w:r>
      <w:r w:rsidR="00553017">
        <w:rPr>
          <w:rFonts w:ascii="Arial" w:hAnsi="Arial" w:cs="Arial"/>
          <w:i/>
          <w:sz w:val="24"/>
          <w:szCs w:val="24"/>
        </w:rPr>
        <w:t>RMI Docket</w:t>
      </w:r>
      <w:r>
        <w:rPr>
          <w:rFonts w:ascii="Arial" w:hAnsi="Arial" w:cs="Arial"/>
          <w:sz w:val="24"/>
          <w:szCs w:val="24"/>
        </w:rPr>
        <w:t xml:space="preserve">, holding that </w:t>
      </w:r>
      <w:r w:rsidRPr="00AE76CC">
        <w:rPr>
          <w:rFonts w:ascii="Arial" w:hAnsi="Arial" w:cs="Arial"/>
          <w:sz w:val="24"/>
          <w:szCs w:val="24"/>
        </w:rPr>
        <w:t>“in light of the importance of vigilant monitoring of utility and affiliate activities, the Commission adopts Staff</w:t>
      </w:r>
      <w:r w:rsidR="00452D5B">
        <w:rPr>
          <w:rFonts w:ascii="Arial" w:hAnsi="Arial" w:cs="Arial"/>
          <w:sz w:val="24"/>
          <w:szCs w:val="24"/>
        </w:rPr>
        <w:t>’</w:t>
      </w:r>
      <w:r w:rsidRPr="00AE76CC">
        <w:rPr>
          <w:rFonts w:ascii="Arial" w:hAnsi="Arial" w:cs="Arial"/>
          <w:sz w:val="24"/>
          <w:szCs w:val="24"/>
        </w:rPr>
        <w:t>s recommended audit schedule, unless the Commission subsequently orders otherwise, with the recovery of the cost of the audit as a normal operating expense.”</w:t>
      </w:r>
      <w:r w:rsidR="00F76A4E">
        <w:rPr>
          <w:rStyle w:val="FootnoteReference"/>
          <w:rFonts w:ascii="Arial" w:hAnsi="Arial" w:cs="Arial"/>
          <w:sz w:val="24"/>
          <w:szCs w:val="24"/>
        </w:rPr>
        <w:footnoteReference w:id="6"/>
      </w:r>
      <w:r>
        <w:rPr>
          <w:rFonts w:ascii="Arial" w:hAnsi="Arial" w:cs="Arial"/>
          <w:sz w:val="24"/>
          <w:szCs w:val="24"/>
        </w:rPr>
        <w:t xml:space="preserve">  </w:t>
      </w:r>
    </w:p>
    <w:p w14:paraId="4A81A9EC" w14:textId="797CB559" w:rsidR="00973044" w:rsidRPr="00973044" w:rsidRDefault="00973044" w:rsidP="0097304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April 12, 2017, the Commission opened this docket to initiate an audit of FirstEnergy’s compliance with R.C. 4928.17 and OAC 4901:1-37.  On July 5, 2017, the Commission selected Sage Management Consultants, LLC to provide audit services to assist the Commission in its review.</w:t>
      </w:r>
      <w:r w:rsidR="00E72FBC">
        <w:rPr>
          <w:rStyle w:val="FootnoteReference"/>
          <w:rFonts w:ascii="Arial" w:hAnsi="Arial" w:cs="Arial"/>
          <w:sz w:val="24"/>
          <w:szCs w:val="24"/>
        </w:rPr>
        <w:footnoteReference w:id="7"/>
      </w:r>
    </w:p>
    <w:p w14:paraId="36C4E940" w14:textId="48CD1C5A" w:rsidR="008D4D24" w:rsidRDefault="008D4D24" w:rsidP="008D4D24">
      <w:pPr>
        <w:widowControl w:val="0"/>
        <w:spacing w:after="0" w:line="480" w:lineRule="auto"/>
        <w:ind w:firstLine="720"/>
        <w:jc w:val="both"/>
        <w:rPr>
          <w:rFonts w:ascii="Arial" w:hAnsi="Arial" w:cs="Arial"/>
          <w:sz w:val="24"/>
          <w:szCs w:val="24"/>
        </w:rPr>
      </w:pPr>
      <w:r>
        <w:rPr>
          <w:rFonts w:ascii="Arial" w:hAnsi="Arial" w:cs="Arial"/>
          <w:sz w:val="24"/>
          <w:szCs w:val="24"/>
        </w:rPr>
        <w:t>On August 30, 2017, pur</w:t>
      </w:r>
      <w:r w:rsidR="00E72FBC">
        <w:rPr>
          <w:rFonts w:ascii="Arial" w:hAnsi="Arial" w:cs="Arial"/>
          <w:sz w:val="24"/>
          <w:szCs w:val="24"/>
        </w:rPr>
        <w:t xml:space="preserve">suant to RC 4903.221(B) and OAC 4901-1-11(B), </w:t>
      </w:r>
      <w:r>
        <w:rPr>
          <w:rFonts w:ascii="Arial" w:hAnsi="Arial" w:cs="Arial"/>
          <w:sz w:val="24"/>
          <w:szCs w:val="24"/>
        </w:rPr>
        <w:t xml:space="preserve">IGS moved to intervene in this proceeding.  Those sections provide that the Commission, in ruling upon applications to intervene in its proceedings, shall consider the following criteria: </w:t>
      </w:r>
    </w:p>
    <w:p w14:paraId="29BCE824" w14:textId="5296BE08" w:rsidR="008D4D24" w:rsidRPr="00553017" w:rsidRDefault="008D4D24" w:rsidP="00553017">
      <w:pPr>
        <w:pStyle w:val="ListParagraph"/>
        <w:widowControl w:val="0"/>
        <w:numPr>
          <w:ilvl w:val="0"/>
          <w:numId w:val="12"/>
        </w:numPr>
        <w:ind w:right="720"/>
        <w:jc w:val="both"/>
        <w:rPr>
          <w:rFonts w:ascii="Arial" w:hAnsi="Arial" w:cs="Arial"/>
          <w:sz w:val="24"/>
          <w:szCs w:val="24"/>
        </w:rPr>
      </w:pPr>
      <w:r w:rsidRPr="00553017">
        <w:rPr>
          <w:rFonts w:ascii="Arial" w:hAnsi="Arial" w:cs="Arial"/>
          <w:sz w:val="24"/>
          <w:szCs w:val="24"/>
        </w:rPr>
        <w:t>The nature and ext</w:t>
      </w:r>
      <w:r w:rsidR="00C863F1">
        <w:rPr>
          <w:rFonts w:ascii="Arial" w:hAnsi="Arial" w:cs="Arial"/>
          <w:sz w:val="24"/>
          <w:szCs w:val="24"/>
        </w:rPr>
        <w:t>ent of the prospective interveno</w:t>
      </w:r>
      <w:r w:rsidRPr="00553017">
        <w:rPr>
          <w:rFonts w:ascii="Arial" w:hAnsi="Arial" w:cs="Arial"/>
          <w:sz w:val="24"/>
          <w:szCs w:val="24"/>
        </w:rPr>
        <w:t>r’s interest; (2) The legal position advanced by the prospe</w:t>
      </w:r>
      <w:r w:rsidR="00C863F1">
        <w:rPr>
          <w:rFonts w:ascii="Arial" w:hAnsi="Arial" w:cs="Arial"/>
          <w:sz w:val="24"/>
          <w:szCs w:val="24"/>
        </w:rPr>
        <w:t>ctive interveno</w:t>
      </w:r>
      <w:r w:rsidRPr="00553017">
        <w:rPr>
          <w:rFonts w:ascii="Arial" w:hAnsi="Arial" w:cs="Arial"/>
          <w:sz w:val="24"/>
          <w:szCs w:val="24"/>
        </w:rPr>
        <w:t>r and its probable relation to the merits of the case; (3) Whether the intervent</w:t>
      </w:r>
      <w:r w:rsidR="00C863F1">
        <w:rPr>
          <w:rFonts w:ascii="Arial" w:hAnsi="Arial" w:cs="Arial"/>
          <w:sz w:val="24"/>
          <w:szCs w:val="24"/>
        </w:rPr>
        <w:t>ion by the prospective interveno</w:t>
      </w:r>
      <w:r w:rsidRPr="00553017">
        <w:rPr>
          <w:rFonts w:ascii="Arial" w:hAnsi="Arial" w:cs="Arial"/>
          <w:sz w:val="24"/>
          <w:szCs w:val="24"/>
        </w:rPr>
        <w:t>r will unduly prolong or delay the proceedings; (4) W</w:t>
      </w:r>
      <w:r w:rsidR="00C863F1">
        <w:rPr>
          <w:rFonts w:ascii="Arial" w:hAnsi="Arial" w:cs="Arial"/>
          <w:sz w:val="24"/>
          <w:szCs w:val="24"/>
        </w:rPr>
        <w:t>hether the prospective interveno</w:t>
      </w:r>
      <w:r w:rsidRPr="00553017">
        <w:rPr>
          <w:rFonts w:ascii="Arial" w:hAnsi="Arial" w:cs="Arial"/>
          <w:sz w:val="24"/>
          <w:szCs w:val="24"/>
        </w:rPr>
        <w:t>r will significantly contribute to full development and equitable resolution of the factual issues.</w:t>
      </w:r>
    </w:p>
    <w:p w14:paraId="1C6CB301" w14:textId="77777777" w:rsidR="00175454" w:rsidRDefault="00175454" w:rsidP="00175454">
      <w:pPr>
        <w:autoSpaceDE w:val="0"/>
        <w:autoSpaceDN w:val="0"/>
        <w:adjustRightInd w:val="0"/>
        <w:spacing w:after="120" w:line="480" w:lineRule="auto"/>
        <w:ind w:firstLine="720"/>
        <w:jc w:val="both"/>
        <w:rPr>
          <w:rFonts w:ascii="Arial" w:hAnsi="Arial" w:cs="Arial"/>
          <w:sz w:val="24"/>
          <w:szCs w:val="24"/>
        </w:rPr>
      </w:pPr>
    </w:p>
    <w:p w14:paraId="111BFEAA" w14:textId="16FD2FF2" w:rsidR="00175454" w:rsidRDefault="00175454" w:rsidP="00175454">
      <w:pPr>
        <w:autoSpaceDE w:val="0"/>
        <w:autoSpaceDN w:val="0"/>
        <w:adjustRightInd w:val="0"/>
        <w:spacing w:after="120" w:line="480" w:lineRule="auto"/>
        <w:jc w:val="both"/>
        <w:rPr>
          <w:rFonts w:ascii="Arial" w:hAnsi="Arial" w:cs="Arial"/>
          <w:sz w:val="24"/>
          <w:szCs w:val="24"/>
        </w:rPr>
      </w:pPr>
      <w:r w:rsidRPr="00175454">
        <w:rPr>
          <w:rFonts w:ascii="Arial" w:hAnsi="Arial" w:cs="Arial"/>
          <w:sz w:val="24"/>
          <w:szCs w:val="24"/>
        </w:rPr>
        <w:lastRenderedPageBreak/>
        <w:t>Finally, the Supreme Court of Ohio has held that intervention should be liberally allowed for those with an interest in the proceeding.</w:t>
      </w:r>
      <w:r>
        <w:rPr>
          <w:rStyle w:val="FootnoteReference"/>
          <w:rFonts w:ascii="Arial" w:hAnsi="Arial" w:cs="Arial"/>
          <w:sz w:val="24"/>
          <w:szCs w:val="24"/>
        </w:rPr>
        <w:footnoteReference w:id="8"/>
      </w:r>
      <w:r>
        <w:rPr>
          <w:rFonts w:ascii="Arial" w:hAnsi="Arial" w:cs="Arial"/>
          <w:sz w:val="24"/>
          <w:szCs w:val="24"/>
        </w:rPr>
        <w:t xml:space="preserve">  </w:t>
      </w:r>
    </w:p>
    <w:p w14:paraId="463D0959" w14:textId="7F4C0FA8" w:rsidR="00553017" w:rsidRPr="00553017" w:rsidRDefault="00070535" w:rsidP="0017545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IGS’s motion meets the standard for intervention.  </w:t>
      </w:r>
      <w:r w:rsidR="00553017">
        <w:rPr>
          <w:rFonts w:ascii="Arial" w:hAnsi="Arial" w:cs="Arial"/>
          <w:sz w:val="24"/>
          <w:szCs w:val="24"/>
        </w:rPr>
        <w:t>In its motion, IGS identified that it has a substantial interest in this p</w:t>
      </w:r>
      <w:r w:rsidR="004753AF">
        <w:rPr>
          <w:rFonts w:ascii="Arial" w:hAnsi="Arial" w:cs="Arial"/>
          <w:sz w:val="24"/>
          <w:szCs w:val="24"/>
        </w:rPr>
        <w:t>roceeding because FirstEnergy’s</w:t>
      </w:r>
      <w:r w:rsidR="00553017">
        <w:rPr>
          <w:rFonts w:ascii="Arial" w:hAnsi="Arial" w:cs="Arial"/>
          <w:sz w:val="24"/>
          <w:szCs w:val="24"/>
        </w:rPr>
        <w:t xml:space="preserve"> corporate separation compliance—or non-compliance—has a direct bearing on IGS’s ability to provide both retail electric service and products and services other than retail electric service (non-commodity products) in the FirstEnergy service territory and throughout the state.</w:t>
      </w:r>
      <w:r w:rsidR="004753AF">
        <w:rPr>
          <w:rStyle w:val="FootnoteReference"/>
          <w:rFonts w:ascii="Arial" w:hAnsi="Arial" w:cs="Arial"/>
          <w:sz w:val="24"/>
          <w:szCs w:val="24"/>
        </w:rPr>
        <w:footnoteReference w:id="9"/>
      </w:r>
      <w:r w:rsidR="00553017">
        <w:rPr>
          <w:rFonts w:ascii="Arial" w:hAnsi="Arial" w:cs="Arial"/>
          <w:sz w:val="24"/>
          <w:szCs w:val="24"/>
        </w:rPr>
        <w:t xml:space="preserve">  With respect to its legal position, IGS stated that it will advocate for corporate separation policies and practices consistent with the General Assembly’s intent to restructure the retail market in favor of market-based solutions.</w:t>
      </w:r>
      <w:r w:rsidR="004753AF">
        <w:rPr>
          <w:rStyle w:val="FootnoteReference"/>
          <w:rFonts w:ascii="Arial" w:hAnsi="Arial" w:cs="Arial"/>
          <w:sz w:val="24"/>
          <w:szCs w:val="24"/>
        </w:rPr>
        <w:footnoteReference w:id="10"/>
      </w:r>
      <w:r w:rsidR="00175454">
        <w:rPr>
          <w:rFonts w:ascii="Arial" w:hAnsi="Arial" w:cs="Arial"/>
          <w:sz w:val="24"/>
          <w:szCs w:val="24"/>
        </w:rPr>
        <w:t xml:space="preserve">  Additionally, IGS indicated that it will contribute to the just and expeditious resolution of the issues and concerns raised in these proceedings.</w:t>
      </w:r>
      <w:r w:rsidR="004753AF">
        <w:rPr>
          <w:rStyle w:val="FootnoteReference"/>
          <w:rFonts w:ascii="Arial" w:hAnsi="Arial" w:cs="Arial"/>
          <w:sz w:val="24"/>
          <w:szCs w:val="24"/>
        </w:rPr>
        <w:footnoteReference w:id="11"/>
      </w:r>
      <w:r w:rsidR="00175454">
        <w:rPr>
          <w:rFonts w:ascii="Arial" w:hAnsi="Arial" w:cs="Arial"/>
          <w:sz w:val="24"/>
          <w:szCs w:val="24"/>
        </w:rPr>
        <w:t xml:space="preserve">  </w:t>
      </w:r>
      <w:r w:rsidR="00553017">
        <w:rPr>
          <w:rFonts w:ascii="Arial" w:hAnsi="Arial" w:cs="Arial"/>
          <w:sz w:val="24"/>
          <w:szCs w:val="24"/>
        </w:rPr>
        <w:t>Finally, IGS committed to contribute to the development of the record and equitable resolution of the factual issues in the proceeding.</w:t>
      </w:r>
      <w:r w:rsidR="004753AF">
        <w:rPr>
          <w:rStyle w:val="FootnoteReference"/>
          <w:rFonts w:ascii="Arial" w:hAnsi="Arial" w:cs="Arial"/>
          <w:sz w:val="24"/>
          <w:szCs w:val="24"/>
        </w:rPr>
        <w:footnoteReference w:id="12"/>
      </w:r>
      <w:r w:rsidR="00175454" w:rsidRPr="00175454">
        <w:rPr>
          <w:rFonts w:ascii="Arial" w:hAnsi="Arial" w:cs="Arial"/>
          <w:sz w:val="24"/>
          <w:szCs w:val="24"/>
        </w:rPr>
        <w:t xml:space="preserve">   In light of the liberal interpretation of the int</w:t>
      </w:r>
      <w:r w:rsidR="00175454">
        <w:rPr>
          <w:rFonts w:ascii="Arial" w:hAnsi="Arial" w:cs="Arial"/>
          <w:sz w:val="24"/>
          <w:szCs w:val="24"/>
        </w:rPr>
        <w:t>ervention rules, IGS clearly me</w:t>
      </w:r>
      <w:r>
        <w:rPr>
          <w:rFonts w:ascii="Arial" w:hAnsi="Arial" w:cs="Arial"/>
          <w:sz w:val="24"/>
          <w:szCs w:val="24"/>
        </w:rPr>
        <w:t>e</w:t>
      </w:r>
      <w:r w:rsidR="00175454">
        <w:rPr>
          <w:rFonts w:ascii="Arial" w:hAnsi="Arial" w:cs="Arial"/>
          <w:sz w:val="24"/>
          <w:szCs w:val="24"/>
        </w:rPr>
        <w:t>t</w:t>
      </w:r>
      <w:r>
        <w:rPr>
          <w:rFonts w:ascii="Arial" w:hAnsi="Arial" w:cs="Arial"/>
          <w:sz w:val="24"/>
          <w:szCs w:val="24"/>
        </w:rPr>
        <w:t>s</w:t>
      </w:r>
      <w:r w:rsidR="00175454">
        <w:rPr>
          <w:rFonts w:ascii="Arial" w:hAnsi="Arial" w:cs="Arial"/>
          <w:sz w:val="24"/>
          <w:szCs w:val="24"/>
        </w:rPr>
        <w:t xml:space="preserve"> the standard</w:t>
      </w:r>
      <w:r w:rsidR="00175454" w:rsidRPr="00175454">
        <w:rPr>
          <w:rFonts w:ascii="Arial" w:hAnsi="Arial" w:cs="Arial"/>
          <w:sz w:val="24"/>
          <w:szCs w:val="24"/>
        </w:rPr>
        <w:t xml:space="preserve"> for intervention in</w:t>
      </w:r>
      <w:r w:rsidR="00175454">
        <w:rPr>
          <w:rFonts w:ascii="Arial" w:hAnsi="Arial" w:cs="Arial"/>
          <w:sz w:val="24"/>
          <w:szCs w:val="24"/>
        </w:rPr>
        <w:t xml:space="preserve"> this proceeding</w:t>
      </w:r>
      <w:r w:rsidR="00175454" w:rsidRPr="00175454">
        <w:rPr>
          <w:rFonts w:ascii="Arial" w:hAnsi="Arial" w:cs="Arial"/>
          <w:sz w:val="24"/>
          <w:szCs w:val="24"/>
        </w:rPr>
        <w:t>.</w:t>
      </w:r>
    </w:p>
    <w:p w14:paraId="173281DF" w14:textId="2F09E2BE" w:rsidR="009E0830" w:rsidRDefault="00973044" w:rsidP="009D67B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On September 14, 2017, FirstEnergy filed a memorandum contra</w:t>
      </w:r>
      <w:r w:rsidR="00E72FBC">
        <w:rPr>
          <w:rFonts w:ascii="Arial" w:hAnsi="Arial" w:cs="Arial"/>
          <w:sz w:val="24"/>
          <w:szCs w:val="24"/>
        </w:rPr>
        <w:t xml:space="preserve"> IGS’s motion to intervene</w:t>
      </w:r>
      <w:r>
        <w:rPr>
          <w:rFonts w:ascii="Arial" w:hAnsi="Arial" w:cs="Arial"/>
          <w:sz w:val="24"/>
          <w:szCs w:val="24"/>
        </w:rPr>
        <w:t>.  FirstEnergy alleges that IGS should not be granted party status or have the right to s</w:t>
      </w:r>
      <w:r w:rsidR="009D67B4">
        <w:rPr>
          <w:rFonts w:ascii="Arial" w:hAnsi="Arial" w:cs="Arial"/>
          <w:sz w:val="24"/>
          <w:szCs w:val="24"/>
        </w:rPr>
        <w:t>erve discovery for two</w:t>
      </w:r>
      <w:r>
        <w:rPr>
          <w:rFonts w:ascii="Arial" w:hAnsi="Arial" w:cs="Arial"/>
          <w:sz w:val="24"/>
          <w:szCs w:val="24"/>
        </w:rPr>
        <w:t xml:space="preserve"> reasons.</w:t>
      </w:r>
      <w:r w:rsidR="009D67B4">
        <w:rPr>
          <w:rFonts w:ascii="Arial" w:hAnsi="Arial" w:cs="Arial"/>
          <w:sz w:val="24"/>
          <w:szCs w:val="24"/>
        </w:rPr>
        <w:t xml:space="preserve">  First, FirstEnergy alleges that IGS has no real </w:t>
      </w:r>
      <w:r w:rsidR="009D67B4">
        <w:rPr>
          <w:rFonts w:ascii="Arial" w:hAnsi="Arial" w:cs="Arial"/>
          <w:sz w:val="24"/>
          <w:szCs w:val="24"/>
        </w:rPr>
        <w:lastRenderedPageBreak/>
        <w:t>or substantial interest in this proceeding that will be impaired.  Second, FirstEnergy claims that IGS will unduly prolong this proceeding and therefore any intervention rights should be limited.  As discussed below, each of these arguments lacks merit; therefore, the Commissio</w:t>
      </w:r>
      <w:r w:rsidR="00175454">
        <w:rPr>
          <w:rFonts w:ascii="Arial" w:hAnsi="Arial" w:cs="Arial"/>
          <w:sz w:val="24"/>
          <w:szCs w:val="24"/>
        </w:rPr>
        <w:t>n should grant IGS’s motion to i</w:t>
      </w:r>
      <w:r w:rsidR="009D67B4">
        <w:rPr>
          <w:rFonts w:ascii="Arial" w:hAnsi="Arial" w:cs="Arial"/>
          <w:sz w:val="24"/>
          <w:szCs w:val="24"/>
        </w:rPr>
        <w:t>ntervene with full party status.</w:t>
      </w:r>
    </w:p>
    <w:p w14:paraId="15FFD202" w14:textId="210AB6DC" w:rsidR="008D4D24" w:rsidRPr="00175454" w:rsidRDefault="00970888" w:rsidP="00175454">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REPLY IN SUPPORT OF MOTION TO INTERVENE</w:t>
      </w:r>
    </w:p>
    <w:p w14:paraId="1E5B2613" w14:textId="77777777" w:rsidR="00970888" w:rsidRDefault="00970888" w:rsidP="00970888">
      <w:pPr>
        <w:pStyle w:val="ListParagraph"/>
        <w:numPr>
          <w:ilvl w:val="0"/>
          <w:numId w:val="11"/>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IGS has a substantial interest in this proceeding</w:t>
      </w:r>
    </w:p>
    <w:p w14:paraId="01489A18" w14:textId="7CA0F39C" w:rsidR="00E90098" w:rsidRDefault="009D67B4" w:rsidP="00E90098">
      <w:pPr>
        <w:autoSpaceDE w:val="0"/>
        <w:autoSpaceDN w:val="0"/>
        <w:adjustRightInd w:val="0"/>
        <w:spacing w:after="120" w:line="480" w:lineRule="auto"/>
        <w:ind w:firstLine="720"/>
        <w:jc w:val="both"/>
        <w:rPr>
          <w:rFonts w:ascii="Arial" w:hAnsi="Arial" w:cs="Arial"/>
          <w:sz w:val="24"/>
          <w:szCs w:val="24"/>
        </w:rPr>
      </w:pPr>
      <w:r w:rsidRPr="009D67B4">
        <w:rPr>
          <w:rFonts w:ascii="Arial" w:hAnsi="Arial" w:cs="Arial"/>
          <w:sz w:val="24"/>
          <w:szCs w:val="24"/>
        </w:rPr>
        <w:t xml:space="preserve">  FirstEnergy claims that</w:t>
      </w:r>
      <w:r w:rsidR="00AB730A">
        <w:rPr>
          <w:rFonts w:ascii="Arial" w:hAnsi="Arial" w:cs="Arial"/>
          <w:sz w:val="24"/>
          <w:szCs w:val="24"/>
        </w:rPr>
        <w:t xml:space="preserve"> IGS’s only alleged interest is that “</w:t>
      </w:r>
      <w:r w:rsidRPr="009D67B4">
        <w:rPr>
          <w:rFonts w:ascii="Arial" w:hAnsi="Arial" w:cs="Arial"/>
          <w:sz w:val="24"/>
          <w:szCs w:val="24"/>
        </w:rPr>
        <w:t>it operates in the competitive market.”</w:t>
      </w:r>
      <w:r w:rsidR="00E65BDE">
        <w:rPr>
          <w:rStyle w:val="FootnoteReference"/>
          <w:rFonts w:ascii="Arial" w:hAnsi="Arial" w:cs="Arial"/>
          <w:sz w:val="24"/>
          <w:szCs w:val="24"/>
        </w:rPr>
        <w:footnoteReference w:id="13"/>
      </w:r>
      <w:r w:rsidRPr="009D67B4">
        <w:rPr>
          <w:rFonts w:ascii="Arial" w:hAnsi="Arial" w:cs="Arial"/>
          <w:sz w:val="24"/>
          <w:szCs w:val="24"/>
        </w:rPr>
        <w:t xml:space="preserve"> </w:t>
      </w:r>
      <w:r w:rsidR="00E65BDE">
        <w:rPr>
          <w:rFonts w:ascii="Arial" w:hAnsi="Arial" w:cs="Arial"/>
          <w:sz w:val="24"/>
          <w:szCs w:val="24"/>
        </w:rPr>
        <w:t xml:space="preserve"> </w:t>
      </w:r>
      <w:r w:rsidRPr="009D67B4">
        <w:rPr>
          <w:rFonts w:ascii="Arial" w:hAnsi="Arial" w:cs="Arial"/>
          <w:sz w:val="24"/>
          <w:szCs w:val="24"/>
        </w:rPr>
        <w:t>FirstEnergy further claims that the Commission has routinely denied intervention when an entity asserts a competitive interest in the resolution of the proceeding, relying on a decision issued by the Commission in a chilled water and steam rate case</w:t>
      </w:r>
      <w:r w:rsidR="00E65BDE">
        <w:rPr>
          <w:rFonts w:ascii="Arial" w:hAnsi="Arial" w:cs="Arial"/>
          <w:sz w:val="24"/>
          <w:szCs w:val="24"/>
        </w:rPr>
        <w:t xml:space="preserve"> that predates the Supreme Court’s decision in</w:t>
      </w:r>
      <w:r w:rsidR="00E65BDE" w:rsidRPr="00E65BDE">
        <w:t xml:space="preserve"> </w:t>
      </w:r>
      <w:r w:rsidR="00E65BDE" w:rsidRPr="00E65BDE">
        <w:rPr>
          <w:rFonts w:ascii="Arial" w:hAnsi="Arial" w:cs="Arial"/>
          <w:i/>
          <w:sz w:val="24"/>
          <w:szCs w:val="24"/>
        </w:rPr>
        <w:t>Ohio Consum</w:t>
      </w:r>
      <w:r w:rsidR="004753AF">
        <w:rPr>
          <w:rFonts w:ascii="Arial" w:hAnsi="Arial" w:cs="Arial"/>
          <w:i/>
          <w:sz w:val="24"/>
          <w:szCs w:val="24"/>
        </w:rPr>
        <w:t>ers' Counsel v. Pub. Util. Comm’n</w:t>
      </w:r>
      <w:r w:rsidR="00E65BDE">
        <w:rPr>
          <w:rFonts w:ascii="Arial" w:hAnsi="Arial" w:cs="Arial"/>
          <w:sz w:val="24"/>
          <w:szCs w:val="24"/>
        </w:rPr>
        <w:t>, 111 OhioSt.3d 384</w:t>
      </w:r>
      <w:r w:rsidR="004753AF">
        <w:rPr>
          <w:rFonts w:ascii="Arial" w:hAnsi="Arial" w:cs="Arial"/>
          <w:sz w:val="24"/>
          <w:szCs w:val="24"/>
        </w:rPr>
        <w:t xml:space="preserve"> (2006)</w:t>
      </w:r>
      <w:r w:rsidR="00E65BDE" w:rsidRPr="00E65BDE">
        <w:rPr>
          <w:rFonts w:ascii="Arial" w:hAnsi="Arial" w:cs="Arial"/>
          <w:sz w:val="24"/>
          <w:szCs w:val="24"/>
        </w:rPr>
        <w:t>.</w:t>
      </w:r>
      <w:r w:rsidR="00AB730A">
        <w:rPr>
          <w:rFonts w:ascii="Arial" w:hAnsi="Arial" w:cs="Arial"/>
          <w:sz w:val="24"/>
          <w:szCs w:val="24"/>
        </w:rPr>
        <w:t xml:space="preserve">  FirstEnergy</w:t>
      </w:r>
      <w:r w:rsidR="003D0034">
        <w:rPr>
          <w:rFonts w:ascii="Arial" w:hAnsi="Arial" w:cs="Arial"/>
          <w:sz w:val="24"/>
          <w:szCs w:val="24"/>
        </w:rPr>
        <w:t>’s argument not only</w:t>
      </w:r>
      <w:r w:rsidR="00AB730A">
        <w:rPr>
          <w:rFonts w:ascii="Arial" w:hAnsi="Arial" w:cs="Arial"/>
          <w:sz w:val="24"/>
          <w:szCs w:val="24"/>
        </w:rPr>
        <w:t xml:space="preserve"> ignores a substantial body of precedent</w:t>
      </w:r>
      <w:r w:rsidR="003D0034">
        <w:rPr>
          <w:rFonts w:ascii="Arial" w:hAnsi="Arial" w:cs="Arial"/>
          <w:sz w:val="24"/>
          <w:szCs w:val="24"/>
        </w:rPr>
        <w:t>, but also</w:t>
      </w:r>
      <w:r w:rsidR="00AB730A">
        <w:rPr>
          <w:rFonts w:ascii="Arial" w:hAnsi="Arial" w:cs="Arial"/>
          <w:sz w:val="24"/>
          <w:szCs w:val="24"/>
        </w:rPr>
        <w:t xml:space="preserve"> misapplies the holding in the Akron Thermal case </w:t>
      </w:r>
      <w:r w:rsidR="003D0034">
        <w:rPr>
          <w:rFonts w:ascii="Arial" w:hAnsi="Arial" w:cs="Arial"/>
          <w:sz w:val="24"/>
          <w:szCs w:val="24"/>
        </w:rPr>
        <w:t xml:space="preserve">upon </w:t>
      </w:r>
      <w:r w:rsidR="00AB730A">
        <w:rPr>
          <w:rFonts w:ascii="Arial" w:hAnsi="Arial" w:cs="Arial"/>
          <w:sz w:val="24"/>
          <w:szCs w:val="24"/>
        </w:rPr>
        <w:t>which it relies.</w:t>
      </w:r>
      <w:r w:rsidRPr="009D67B4">
        <w:rPr>
          <w:rFonts w:ascii="Arial" w:hAnsi="Arial" w:cs="Arial"/>
          <w:sz w:val="24"/>
          <w:szCs w:val="24"/>
        </w:rPr>
        <w:t xml:space="preserve">  </w:t>
      </w:r>
    </w:p>
    <w:p w14:paraId="2D6E7D94" w14:textId="61B7B702" w:rsidR="00E90098" w:rsidRDefault="000E789B" w:rsidP="00E9009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Initially, the Commission has previously permitted parties to intervene in audits of corporate separation plans,</w:t>
      </w:r>
      <w:r w:rsidR="00FD754F">
        <w:rPr>
          <w:rStyle w:val="FootnoteReference"/>
          <w:rFonts w:ascii="Arial" w:hAnsi="Arial" w:cs="Arial"/>
          <w:sz w:val="24"/>
          <w:szCs w:val="24"/>
        </w:rPr>
        <w:footnoteReference w:id="14"/>
      </w:r>
      <w:r>
        <w:rPr>
          <w:rFonts w:ascii="Arial" w:hAnsi="Arial" w:cs="Arial"/>
          <w:sz w:val="24"/>
          <w:szCs w:val="24"/>
        </w:rPr>
        <w:t xml:space="preserve"> and another party has already intervened with</w:t>
      </w:r>
      <w:r w:rsidR="00BE4E0A">
        <w:rPr>
          <w:rFonts w:ascii="Arial" w:hAnsi="Arial" w:cs="Arial"/>
          <w:sz w:val="24"/>
          <w:szCs w:val="24"/>
        </w:rPr>
        <w:t>out</w:t>
      </w:r>
      <w:r>
        <w:rPr>
          <w:rFonts w:ascii="Arial" w:hAnsi="Arial" w:cs="Arial"/>
          <w:sz w:val="24"/>
          <w:szCs w:val="24"/>
        </w:rPr>
        <w:t xml:space="preserve"> opposition in this proceeding.</w:t>
      </w:r>
      <w:r w:rsidR="00FD754F">
        <w:rPr>
          <w:rStyle w:val="FootnoteReference"/>
          <w:rFonts w:ascii="Arial" w:hAnsi="Arial" w:cs="Arial"/>
          <w:sz w:val="24"/>
          <w:szCs w:val="24"/>
        </w:rPr>
        <w:footnoteReference w:id="15"/>
      </w:r>
      <w:r>
        <w:rPr>
          <w:rFonts w:ascii="Arial" w:hAnsi="Arial" w:cs="Arial"/>
          <w:sz w:val="24"/>
          <w:szCs w:val="24"/>
        </w:rPr>
        <w:t xml:space="preserve"> </w:t>
      </w:r>
      <w:r w:rsidR="00FD754F">
        <w:rPr>
          <w:rFonts w:ascii="Arial" w:hAnsi="Arial" w:cs="Arial"/>
          <w:sz w:val="24"/>
          <w:szCs w:val="24"/>
        </w:rPr>
        <w:t xml:space="preserve">Indeed, </w:t>
      </w:r>
      <w:r w:rsidR="003D0034">
        <w:rPr>
          <w:rFonts w:ascii="Arial" w:hAnsi="Arial" w:cs="Arial"/>
          <w:sz w:val="24"/>
          <w:szCs w:val="24"/>
        </w:rPr>
        <w:t xml:space="preserve">in </w:t>
      </w:r>
      <w:r w:rsidR="00FD754F">
        <w:rPr>
          <w:rFonts w:ascii="Arial" w:hAnsi="Arial" w:cs="Arial"/>
          <w:sz w:val="24"/>
          <w:szCs w:val="24"/>
        </w:rPr>
        <w:t xml:space="preserve">the </w:t>
      </w:r>
      <w:r w:rsidR="00FD754F">
        <w:rPr>
          <w:rFonts w:ascii="Arial" w:hAnsi="Arial" w:cs="Arial"/>
          <w:i/>
          <w:sz w:val="24"/>
          <w:szCs w:val="24"/>
        </w:rPr>
        <w:t>AEP Corporate Separation Audit</w:t>
      </w:r>
      <w:r w:rsidR="004753AF">
        <w:rPr>
          <w:rFonts w:ascii="Arial" w:hAnsi="Arial" w:cs="Arial"/>
          <w:i/>
          <w:sz w:val="24"/>
          <w:szCs w:val="24"/>
        </w:rPr>
        <w:t xml:space="preserve"> case</w:t>
      </w:r>
      <w:r w:rsidR="00FD754F">
        <w:rPr>
          <w:rFonts w:ascii="Arial" w:hAnsi="Arial" w:cs="Arial"/>
          <w:sz w:val="24"/>
          <w:szCs w:val="24"/>
        </w:rPr>
        <w:t xml:space="preserve">, the </w:t>
      </w:r>
      <w:r w:rsidR="00FD754F">
        <w:rPr>
          <w:rFonts w:ascii="Arial" w:hAnsi="Arial" w:cs="Arial"/>
          <w:sz w:val="24"/>
          <w:szCs w:val="24"/>
        </w:rPr>
        <w:lastRenderedPageBreak/>
        <w:t>Commission specifically established a deadline for part</w:t>
      </w:r>
      <w:r w:rsidR="003D0034">
        <w:rPr>
          <w:rFonts w:ascii="Arial" w:hAnsi="Arial" w:cs="Arial"/>
          <w:sz w:val="24"/>
          <w:szCs w:val="24"/>
        </w:rPr>
        <w:t>ies</w:t>
      </w:r>
      <w:r w:rsidR="004753AF">
        <w:rPr>
          <w:rFonts w:ascii="Arial" w:hAnsi="Arial" w:cs="Arial"/>
          <w:sz w:val="24"/>
          <w:szCs w:val="24"/>
        </w:rPr>
        <w:t xml:space="preserve"> filing motions to intervene.</w:t>
      </w:r>
      <w:r w:rsidR="00FD754F">
        <w:rPr>
          <w:rStyle w:val="FootnoteReference"/>
          <w:rFonts w:ascii="Arial" w:hAnsi="Arial" w:cs="Arial"/>
          <w:sz w:val="24"/>
          <w:szCs w:val="24"/>
        </w:rPr>
        <w:footnoteReference w:id="16"/>
      </w:r>
      <w:r w:rsidR="00FD754F">
        <w:rPr>
          <w:rFonts w:ascii="Arial" w:hAnsi="Arial" w:cs="Arial"/>
          <w:sz w:val="24"/>
          <w:szCs w:val="24"/>
        </w:rPr>
        <w:t xml:space="preserve">  Ultimately, the Commission granted all motions to intervene filed in the proceeding.</w:t>
      </w:r>
      <w:r w:rsidR="00FD754F">
        <w:rPr>
          <w:rStyle w:val="FootnoteReference"/>
          <w:rFonts w:ascii="Arial" w:hAnsi="Arial" w:cs="Arial"/>
          <w:sz w:val="24"/>
          <w:szCs w:val="24"/>
        </w:rPr>
        <w:footnoteReference w:id="17"/>
      </w:r>
    </w:p>
    <w:p w14:paraId="568B9750" w14:textId="1257B27B" w:rsidR="00E90098" w:rsidRPr="00FD754F" w:rsidRDefault="00E90098" w:rsidP="00E9009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 Commission’s prior rulings permitting liberal intervention in corporate s</w:t>
      </w:r>
      <w:r w:rsidR="004753AF">
        <w:rPr>
          <w:rFonts w:ascii="Arial" w:hAnsi="Arial" w:cs="Arial"/>
          <w:sz w:val="24"/>
          <w:szCs w:val="24"/>
        </w:rPr>
        <w:t>eparation-related proceedings are</w:t>
      </w:r>
      <w:r>
        <w:rPr>
          <w:rFonts w:ascii="Arial" w:hAnsi="Arial" w:cs="Arial"/>
          <w:sz w:val="24"/>
          <w:szCs w:val="24"/>
        </w:rPr>
        <w:t xml:space="preserve"> not surprising.  The very purpose of Ohio’s corporate separation statutes is to ensure an electric distribution utility does not subsidize competitive activities with its distribution assets or otherwise does not negatively impact competitive businesses.</w:t>
      </w:r>
      <w:r>
        <w:rPr>
          <w:rStyle w:val="FootnoteReference"/>
          <w:rFonts w:ascii="Arial" w:hAnsi="Arial" w:cs="Arial"/>
          <w:sz w:val="24"/>
          <w:szCs w:val="24"/>
        </w:rPr>
        <w:footnoteReference w:id="18"/>
      </w:r>
      <w:r>
        <w:rPr>
          <w:rFonts w:ascii="Arial" w:hAnsi="Arial" w:cs="Arial"/>
          <w:sz w:val="24"/>
          <w:szCs w:val="24"/>
        </w:rPr>
        <w:t xml:space="preserve">  Many different parties may have a direct inte</w:t>
      </w:r>
      <w:r w:rsidR="004753AF">
        <w:rPr>
          <w:rFonts w:ascii="Arial" w:hAnsi="Arial" w:cs="Arial"/>
          <w:sz w:val="24"/>
          <w:szCs w:val="24"/>
        </w:rPr>
        <w:t>rest in the audit of a utility’s</w:t>
      </w:r>
      <w:r>
        <w:rPr>
          <w:rFonts w:ascii="Arial" w:hAnsi="Arial" w:cs="Arial"/>
          <w:sz w:val="24"/>
          <w:szCs w:val="24"/>
        </w:rPr>
        <w:t xml:space="preserve"> compliance with corporate separation requirements. IGS operates in Ohio’s </w:t>
      </w:r>
      <w:r>
        <w:rPr>
          <w:rFonts w:ascii="Arial" w:hAnsi="Arial" w:cs="Arial"/>
          <w:sz w:val="24"/>
          <w:szCs w:val="24"/>
        </w:rPr>
        <w:lastRenderedPageBreak/>
        <w:t>competitive markets, not just as a retail electric supplier, but also provides other competitive businesses related to energy.  Therefore, FirstEnergy’s compliance with corporate separation requirements is extremely relevant to IGS’</w:t>
      </w:r>
      <w:r w:rsidR="004753AF">
        <w:rPr>
          <w:rFonts w:ascii="Arial" w:hAnsi="Arial" w:cs="Arial"/>
          <w:sz w:val="24"/>
          <w:szCs w:val="24"/>
        </w:rPr>
        <w:t>s</w:t>
      </w:r>
      <w:r>
        <w:rPr>
          <w:rFonts w:ascii="Arial" w:hAnsi="Arial" w:cs="Arial"/>
          <w:sz w:val="24"/>
          <w:szCs w:val="24"/>
        </w:rPr>
        <w:t xml:space="preserve"> businesses. </w:t>
      </w:r>
    </w:p>
    <w:p w14:paraId="67B1023B" w14:textId="76470549" w:rsidR="00182822" w:rsidRDefault="00B971FC" w:rsidP="00B971F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Contrary to FirstEnergy’s claim, the Commission has routinely permitted parties to intervene in cases involving the resolution of issues that will impact the competitive market, including audit cases.</w:t>
      </w:r>
      <w:r w:rsidR="00182822">
        <w:rPr>
          <w:rFonts w:ascii="Arial" w:hAnsi="Arial" w:cs="Arial"/>
          <w:sz w:val="24"/>
          <w:szCs w:val="24"/>
        </w:rPr>
        <w:t xml:space="preserve">  Indeed, the Commission has flatly rejected </w:t>
      </w:r>
      <w:r w:rsidR="00175454">
        <w:rPr>
          <w:rFonts w:ascii="Arial" w:hAnsi="Arial" w:cs="Arial"/>
          <w:sz w:val="24"/>
          <w:szCs w:val="24"/>
        </w:rPr>
        <w:t xml:space="preserve">FirstEnergy’s </w:t>
      </w:r>
      <w:r w:rsidR="00182822">
        <w:rPr>
          <w:rFonts w:ascii="Arial" w:hAnsi="Arial" w:cs="Arial"/>
          <w:sz w:val="24"/>
          <w:szCs w:val="24"/>
        </w:rPr>
        <w:t xml:space="preserve">reasoning on several occasions, finding that matters that may impact the competitive market do in fact constitute a substantial interest warranting </w:t>
      </w:r>
      <w:r w:rsidR="00175454">
        <w:rPr>
          <w:rFonts w:ascii="Arial" w:hAnsi="Arial" w:cs="Arial"/>
          <w:sz w:val="24"/>
          <w:szCs w:val="24"/>
        </w:rPr>
        <w:t xml:space="preserve">intervention. For example, in the audit of Duke Energy Ohio’s gas cost recovery mechanism, the Commission determined that IGS had a substantial interest in the resolution of competitive matters at issue in the proceeding: </w:t>
      </w:r>
      <w:r w:rsidR="00182822">
        <w:rPr>
          <w:rFonts w:ascii="Arial" w:hAnsi="Arial" w:cs="Arial"/>
          <w:sz w:val="24"/>
          <w:szCs w:val="24"/>
        </w:rPr>
        <w:t xml:space="preserve">  </w:t>
      </w:r>
      <w:r>
        <w:rPr>
          <w:rFonts w:ascii="Arial" w:hAnsi="Arial" w:cs="Arial"/>
          <w:sz w:val="24"/>
          <w:szCs w:val="24"/>
        </w:rPr>
        <w:t xml:space="preserve">  </w:t>
      </w:r>
    </w:p>
    <w:p w14:paraId="1ECFEECA" w14:textId="1DA2C000" w:rsidR="00182822" w:rsidRDefault="00182822" w:rsidP="00AB730A">
      <w:pPr>
        <w:autoSpaceDE w:val="0"/>
        <w:autoSpaceDN w:val="0"/>
        <w:adjustRightInd w:val="0"/>
        <w:spacing w:after="120" w:line="240" w:lineRule="auto"/>
        <w:ind w:left="720" w:right="720"/>
        <w:jc w:val="both"/>
        <w:rPr>
          <w:rFonts w:ascii="Arial" w:hAnsi="Arial" w:cs="Arial"/>
          <w:sz w:val="24"/>
          <w:szCs w:val="24"/>
        </w:rPr>
      </w:pPr>
      <w:r>
        <w:rPr>
          <w:rFonts w:ascii="Arial" w:hAnsi="Arial" w:cs="Arial"/>
          <w:sz w:val="24"/>
          <w:szCs w:val="24"/>
        </w:rPr>
        <w:t>The examiner finds that</w:t>
      </w:r>
      <w:r w:rsidRPr="00182822">
        <w:rPr>
          <w:rFonts w:ascii="Arial" w:hAnsi="Arial" w:cs="Arial"/>
          <w:sz w:val="24"/>
          <w:szCs w:val="24"/>
        </w:rPr>
        <w:t xml:space="preserve"> issues related to the competitive market, competitive gas suppliers, and their customers may arise in this proceeding.  Such issues have been a part of the utility’s prior GCR cases before the Commission.  Moreover, the competitive program was specifically addressed by CG&amp;E’s most recent management and performance audit report and the parties in that GCR proceeding agreed to discuss CG&amp;E’s choice prog</w:t>
      </w:r>
      <w:r>
        <w:rPr>
          <w:rFonts w:ascii="Arial" w:hAnsi="Arial" w:cs="Arial"/>
          <w:sz w:val="24"/>
          <w:szCs w:val="24"/>
        </w:rPr>
        <w:t>ram further.  Therefore, the examiner finds that a real and substantial interest has been stated and the motion by IGS for intervention should be granted.</w:t>
      </w:r>
      <w:r w:rsidR="00175454">
        <w:rPr>
          <w:rStyle w:val="FootnoteReference"/>
          <w:rFonts w:ascii="Arial" w:hAnsi="Arial" w:cs="Arial"/>
          <w:sz w:val="24"/>
          <w:szCs w:val="24"/>
        </w:rPr>
        <w:footnoteReference w:id="19"/>
      </w:r>
    </w:p>
    <w:p w14:paraId="6AC7F94C" w14:textId="77777777" w:rsidR="004753AF" w:rsidRDefault="004753AF" w:rsidP="004753AF">
      <w:pPr>
        <w:autoSpaceDE w:val="0"/>
        <w:autoSpaceDN w:val="0"/>
        <w:adjustRightInd w:val="0"/>
        <w:spacing w:after="0" w:line="240" w:lineRule="auto"/>
        <w:ind w:left="720" w:right="720"/>
        <w:jc w:val="both"/>
        <w:rPr>
          <w:rFonts w:ascii="Arial" w:hAnsi="Arial" w:cs="Arial"/>
          <w:sz w:val="24"/>
          <w:szCs w:val="24"/>
        </w:rPr>
      </w:pPr>
    </w:p>
    <w:p w14:paraId="2EF4CFEE" w14:textId="000C626A" w:rsidR="00E90098" w:rsidRDefault="00AB730A" w:rsidP="00182822">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Time and again t</w:t>
      </w:r>
      <w:r w:rsidR="00182822">
        <w:rPr>
          <w:rFonts w:ascii="Arial" w:hAnsi="Arial" w:cs="Arial"/>
          <w:sz w:val="24"/>
          <w:szCs w:val="24"/>
        </w:rPr>
        <w:t>he Commission has gr</w:t>
      </w:r>
      <w:r>
        <w:rPr>
          <w:rFonts w:ascii="Arial" w:hAnsi="Arial" w:cs="Arial"/>
          <w:sz w:val="24"/>
          <w:szCs w:val="24"/>
        </w:rPr>
        <w:t>anted intervention on the basis that a matter may have an impact on the competitive market</w:t>
      </w:r>
      <w:r w:rsidR="00182822">
        <w:rPr>
          <w:rFonts w:ascii="Arial" w:hAnsi="Arial" w:cs="Arial"/>
          <w:sz w:val="24"/>
          <w:szCs w:val="24"/>
        </w:rPr>
        <w:t>.</w:t>
      </w:r>
      <w:r w:rsidR="00182822">
        <w:rPr>
          <w:rStyle w:val="FootnoteReference"/>
          <w:rFonts w:ascii="Arial" w:hAnsi="Arial" w:cs="Arial"/>
          <w:sz w:val="24"/>
          <w:szCs w:val="24"/>
        </w:rPr>
        <w:footnoteReference w:id="20"/>
      </w:r>
      <w:r w:rsidR="00182822">
        <w:rPr>
          <w:rFonts w:ascii="Arial" w:hAnsi="Arial" w:cs="Arial"/>
          <w:sz w:val="24"/>
          <w:szCs w:val="24"/>
        </w:rPr>
        <w:t xml:space="preserve">  For example,</w:t>
      </w:r>
      <w:r w:rsidR="00B971FC">
        <w:rPr>
          <w:rFonts w:ascii="Arial" w:hAnsi="Arial" w:cs="Arial"/>
          <w:sz w:val="24"/>
          <w:szCs w:val="24"/>
        </w:rPr>
        <w:t xml:space="preserve"> Duke Energy Ohio, Inc. </w:t>
      </w:r>
      <w:r w:rsidR="00B971FC">
        <w:rPr>
          <w:rFonts w:ascii="Arial" w:hAnsi="Arial" w:cs="Arial"/>
          <w:sz w:val="24"/>
          <w:szCs w:val="24"/>
        </w:rPr>
        <w:lastRenderedPageBreak/>
        <w:t>(“Duke”) and Duke Energy Commercial Asset Management (“DECAM”) intervened in the audit of AEP-Ohio’s fuel adjustment (“FAC”) clause case for that reason.</w:t>
      </w:r>
      <w:r w:rsidR="00B971FC">
        <w:rPr>
          <w:rStyle w:val="FootnoteReference"/>
          <w:rFonts w:ascii="Arial" w:hAnsi="Arial" w:cs="Arial"/>
          <w:sz w:val="24"/>
          <w:szCs w:val="24"/>
        </w:rPr>
        <w:footnoteReference w:id="21"/>
      </w:r>
      <w:r w:rsidR="00B971FC">
        <w:rPr>
          <w:rFonts w:ascii="Arial" w:hAnsi="Arial" w:cs="Arial"/>
          <w:sz w:val="24"/>
          <w:szCs w:val="24"/>
        </w:rPr>
        <w:t xml:space="preserve">  Over AEP-Ohio’s objection, the Commission permitted Duke and DECAM to participate in that proceeding without limitation.</w:t>
      </w:r>
      <w:r w:rsidR="00F651DC">
        <w:rPr>
          <w:rStyle w:val="FootnoteReference"/>
          <w:rFonts w:ascii="Arial" w:hAnsi="Arial" w:cs="Arial"/>
          <w:sz w:val="24"/>
          <w:szCs w:val="24"/>
        </w:rPr>
        <w:footnoteReference w:id="22"/>
      </w:r>
      <w:r w:rsidR="00B971FC">
        <w:rPr>
          <w:rFonts w:ascii="Arial" w:hAnsi="Arial" w:cs="Arial"/>
          <w:sz w:val="24"/>
          <w:szCs w:val="24"/>
        </w:rPr>
        <w:t xml:space="preserve"> Likewise, </w:t>
      </w:r>
      <w:r>
        <w:rPr>
          <w:rFonts w:ascii="Arial" w:hAnsi="Arial" w:cs="Arial"/>
          <w:sz w:val="24"/>
          <w:szCs w:val="24"/>
        </w:rPr>
        <w:t>the Commission granted IGS’s</w:t>
      </w:r>
      <w:r w:rsidR="00B971FC">
        <w:rPr>
          <w:rFonts w:ascii="Arial" w:hAnsi="Arial" w:cs="Arial"/>
          <w:sz w:val="24"/>
          <w:szCs w:val="24"/>
        </w:rPr>
        <w:t xml:space="preserve"> in</w:t>
      </w:r>
      <w:r>
        <w:rPr>
          <w:rFonts w:ascii="Arial" w:hAnsi="Arial" w:cs="Arial"/>
          <w:sz w:val="24"/>
          <w:szCs w:val="24"/>
        </w:rPr>
        <w:t>tervention</w:t>
      </w:r>
      <w:r w:rsidR="00B971FC">
        <w:rPr>
          <w:rFonts w:ascii="Arial" w:hAnsi="Arial" w:cs="Arial"/>
          <w:sz w:val="24"/>
          <w:szCs w:val="24"/>
        </w:rPr>
        <w:t xml:space="preserve"> in AEP’s last fuel adjustment clause case—over AEP’s objection—with full party status:  “</w:t>
      </w:r>
      <w:r w:rsidR="00175454">
        <w:rPr>
          <w:rFonts w:ascii="Arial" w:hAnsi="Arial" w:cs="Arial"/>
          <w:sz w:val="24"/>
          <w:szCs w:val="24"/>
        </w:rPr>
        <w:t>[t]</w:t>
      </w:r>
      <w:r w:rsidR="00B971FC" w:rsidRPr="00B971FC">
        <w:rPr>
          <w:rFonts w:ascii="Arial" w:hAnsi="Arial" w:cs="Arial"/>
          <w:sz w:val="24"/>
          <w:szCs w:val="24"/>
        </w:rPr>
        <w:t>he Commission finds the motions to in</w:t>
      </w:r>
      <w:r w:rsidR="00B971FC">
        <w:rPr>
          <w:rFonts w:ascii="Arial" w:hAnsi="Arial" w:cs="Arial"/>
          <w:sz w:val="24"/>
          <w:szCs w:val="24"/>
        </w:rPr>
        <w:t xml:space="preserve">tervene filed by IGS, RESA, and </w:t>
      </w:r>
      <w:r w:rsidR="00B971FC" w:rsidRPr="00B971FC">
        <w:rPr>
          <w:rFonts w:ascii="Arial" w:hAnsi="Arial" w:cs="Arial"/>
          <w:sz w:val="24"/>
          <w:szCs w:val="24"/>
        </w:rPr>
        <w:t>OMAEG, for full party status in the FAC Audit Cases, are reasonable and should be</w:t>
      </w:r>
      <w:r w:rsidR="00B971FC">
        <w:rPr>
          <w:rFonts w:ascii="Arial" w:hAnsi="Arial" w:cs="Arial"/>
          <w:sz w:val="24"/>
          <w:szCs w:val="24"/>
        </w:rPr>
        <w:t xml:space="preserve"> granted.”</w:t>
      </w:r>
      <w:r w:rsidR="002155F8">
        <w:rPr>
          <w:rStyle w:val="FootnoteReference"/>
          <w:rFonts w:ascii="Arial" w:hAnsi="Arial" w:cs="Arial"/>
          <w:sz w:val="24"/>
          <w:szCs w:val="24"/>
        </w:rPr>
        <w:footnoteReference w:id="23"/>
      </w:r>
      <w:r w:rsidR="00B971FC">
        <w:rPr>
          <w:rFonts w:ascii="Arial" w:hAnsi="Arial" w:cs="Arial"/>
          <w:sz w:val="24"/>
          <w:szCs w:val="24"/>
        </w:rPr>
        <w:t xml:space="preserve">  </w:t>
      </w:r>
    </w:p>
    <w:p w14:paraId="044933D9" w14:textId="4DFE0739" w:rsidR="00DA56D7" w:rsidRDefault="00AB730A" w:rsidP="00182822">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r>
      <w:r w:rsidR="00AE2FF0">
        <w:rPr>
          <w:rFonts w:ascii="Arial" w:hAnsi="Arial" w:cs="Arial"/>
          <w:sz w:val="24"/>
          <w:szCs w:val="24"/>
        </w:rPr>
        <w:t>Moreover, t</w:t>
      </w:r>
      <w:r>
        <w:rPr>
          <w:rFonts w:ascii="Arial" w:hAnsi="Arial" w:cs="Arial"/>
          <w:sz w:val="24"/>
          <w:szCs w:val="24"/>
        </w:rPr>
        <w:t>he Akron Thermal case FirstEnergy cites in its memo contra</w:t>
      </w:r>
      <w:r w:rsidR="00DA56D7">
        <w:rPr>
          <w:rFonts w:ascii="Arial" w:hAnsi="Arial" w:cs="Arial"/>
          <w:sz w:val="24"/>
          <w:szCs w:val="24"/>
        </w:rPr>
        <w:t xml:space="preserve"> was decided by the Commission prior to the Supreme Court’s decision in </w:t>
      </w:r>
      <w:r w:rsidR="00DA56D7" w:rsidRPr="00E65BDE">
        <w:rPr>
          <w:rFonts w:ascii="Arial" w:hAnsi="Arial" w:cs="Arial"/>
          <w:i/>
          <w:sz w:val="24"/>
          <w:szCs w:val="24"/>
        </w:rPr>
        <w:t>Ohio Consumers' Counsel v. Pub. Util. Comm</w:t>
      </w:r>
      <w:r w:rsidR="00DA56D7">
        <w:rPr>
          <w:rFonts w:ascii="Arial" w:hAnsi="Arial" w:cs="Arial"/>
          <w:i/>
          <w:sz w:val="24"/>
          <w:szCs w:val="24"/>
        </w:rPr>
        <w:t>.</w:t>
      </w:r>
      <w:r w:rsidR="00DA56D7">
        <w:rPr>
          <w:rFonts w:ascii="Arial" w:hAnsi="Arial" w:cs="Arial"/>
          <w:sz w:val="24"/>
          <w:szCs w:val="24"/>
        </w:rPr>
        <w:t xml:space="preserve">, </w:t>
      </w:r>
      <w:r w:rsidR="00DA56D7" w:rsidRPr="00DA56D7">
        <w:rPr>
          <w:rFonts w:ascii="Arial" w:hAnsi="Arial" w:cs="Arial"/>
          <w:sz w:val="24"/>
          <w:szCs w:val="24"/>
        </w:rPr>
        <w:t>111 Ohio St. 3d 384</w:t>
      </w:r>
      <w:r w:rsidR="00DA56D7">
        <w:rPr>
          <w:rFonts w:ascii="Arial" w:hAnsi="Arial" w:cs="Arial"/>
          <w:sz w:val="24"/>
          <w:szCs w:val="24"/>
        </w:rPr>
        <w:t xml:space="preserve"> (2006). </w:t>
      </w:r>
      <w:r w:rsidR="00AE2FF0">
        <w:rPr>
          <w:rFonts w:ascii="Arial" w:hAnsi="Arial" w:cs="Arial"/>
          <w:sz w:val="24"/>
          <w:szCs w:val="24"/>
        </w:rPr>
        <w:t xml:space="preserve"> </w:t>
      </w:r>
      <w:r w:rsidR="00DA56D7">
        <w:rPr>
          <w:rFonts w:ascii="Arial" w:hAnsi="Arial" w:cs="Arial"/>
          <w:sz w:val="24"/>
          <w:szCs w:val="24"/>
        </w:rPr>
        <w:t xml:space="preserve">In that case, the Supreme </w:t>
      </w:r>
      <w:r w:rsidR="00DA56D7">
        <w:rPr>
          <w:rFonts w:ascii="Arial" w:hAnsi="Arial" w:cs="Arial"/>
          <w:sz w:val="24"/>
          <w:szCs w:val="24"/>
        </w:rPr>
        <w:lastRenderedPageBreak/>
        <w:t>Court</w:t>
      </w:r>
      <w:r w:rsidR="002F2653">
        <w:rPr>
          <w:rFonts w:ascii="Arial" w:hAnsi="Arial" w:cs="Arial"/>
          <w:sz w:val="24"/>
          <w:szCs w:val="24"/>
        </w:rPr>
        <w:t xml:space="preserve"> of Ohio</w:t>
      </w:r>
      <w:r w:rsidR="00DA56D7">
        <w:rPr>
          <w:rFonts w:ascii="Arial" w:hAnsi="Arial" w:cs="Arial"/>
          <w:sz w:val="24"/>
          <w:szCs w:val="24"/>
        </w:rPr>
        <w:t xml:space="preserve"> held that “</w:t>
      </w:r>
      <w:r w:rsidR="00DA56D7" w:rsidRPr="00DA56D7">
        <w:rPr>
          <w:rFonts w:ascii="Arial" w:hAnsi="Arial" w:cs="Arial"/>
          <w:sz w:val="24"/>
          <w:szCs w:val="24"/>
        </w:rPr>
        <w:t xml:space="preserve">intervention ought to be liberally allowed so that the positions of all persons with a real and substantial interest in the proceedings can be considered by the PUCO.”  </w:t>
      </w:r>
      <w:r w:rsidR="00DA56D7" w:rsidRPr="00DA56D7">
        <w:rPr>
          <w:rFonts w:ascii="Arial" w:hAnsi="Arial" w:cs="Arial"/>
          <w:i/>
          <w:sz w:val="24"/>
          <w:szCs w:val="24"/>
        </w:rPr>
        <w:t>Id.</w:t>
      </w:r>
      <w:r w:rsidR="00DA56D7" w:rsidRPr="00DA56D7">
        <w:rPr>
          <w:rFonts w:ascii="Arial" w:hAnsi="Arial" w:cs="Arial"/>
          <w:sz w:val="24"/>
          <w:szCs w:val="24"/>
        </w:rPr>
        <w:t xml:space="preserve"> at 388.  </w:t>
      </w:r>
    </w:p>
    <w:p w14:paraId="17032AC1" w14:textId="2532360D" w:rsidR="00AB730A" w:rsidRDefault="00DA56D7" w:rsidP="00DA56D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In any event,</w:t>
      </w:r>
      <w:r w:rsidR="00AE2FF0">
        <w:rPr>
          <w:rFonts w:ascii="Arial" w:hAnsi="Arial" w:cs="Arial"/>
          <w:sz w:val="24"/>
          <w:szCs w:val="24"/>
        </w:rPr>
        <w:t xml:space="preserve"> the</w:t>
      </w:r>
      <w:r>
        <w:rPr>
          <w:rFonts w:ascii="Arial" w:hAnsi="Arial" w:cs="Arial"/>
          <w:sz w:val="24"/>
          <w:szCs w:val="24"/>
        </w:rPr>
        <w:t xml:space="preserve"> Akron Thermal</w:t>
      </w:r>
      <w:r w:rsidR="00AE2FF0">
        <w:rPr>
          <w:rFonts w:ascii="Arial" w:hAnsi="Arial" w:cs="Arial"/>
          <w:sz w:val="24"/>
          <w:szCs w:val="24"/>
        </w:rPr>
        <w:t xml:space="preserve"> case</w:t>
      </w:r>
      <w:r>
        <w:rPr>
          <w:rFonts w:ascii="Arial" w:hAnsi="Arial" w:cs="Arial"/>
          <w:i/>
          <w:sz w:val="24"/>
          <w:szCs w:val="24"/>
        </w:rPr>
        <w:t xml:space="preserve"> </w:t>
      </w:r>
      <w:r w:rsidR="00AB730A">
        <w:rPr>
          <w:rFonts w:ascii="Arial" w:hAnsi="Arial" w:cs="Arial"/>
          <w:sz w:val="24"/>
          <w:szCs w:val="24"/>
        </w:rPr>
        <w:t>contains a different set of circumstances not present here.  In that case, FirstEnergy Facilities Service Group, LLC (“FSG”) sought to intervene in Akron Thermal’s rate case</w:t>
      </w:r>
      <w:r w:rsidR="00F651DC">
        <w:rPr>
          <w:rFonts w:ascii="Arial" w:hAnsi="Arial" w:cs="Arial"/>
          <w:sz w:val="24"/>
          <w:szCs w:val="24"/>
        </w:rPr>
        <w:t>.</w:t>
      </w:r>
      <w:r w:rsidR="00094217">
        <w:rPr>
          <w:rStyle w:val="FootnoteReference"/>
          <w:rFonts w:ascii="Arial" w:hAnsi="Arial" w:cs="Arial"/>
          <w:sz w:val="24"/>
          <w:szCs w:val="24"/>
        </w:rPr>
        <w:footnoteReference w:id="24"/>
      </w:r>
      <w:r>
        <w:rPr>
          <w:rFonts w:ascii="Arial" w:hAnsi="Arial" w:cs="Arial"/>
          <w:sz w:val="24"/>
          <w:szCs w:val="24"/>
        </w:rPr>
        <w:t xml:space="preserve">  </w:t>
      </w:r>
      <w:r w:rsidR="00094217" w:rsidRPr="00094217">
        <w:rPr>
          <w:rFonts w:ascii="Arial" w:hAnsi="Arial" w:cs="Arial"/>
          <w:sz w:val="24"/>
          <w:szCs w:val="24"/>
        </w:rPr>
        <w:t>FSG had filed a complaint</w:t>
      </w:r>
      <w:r>
        <w:rPr>
          <w:rFonts w:ascii="Arial" w:hAnsi="Arial" w:cs="Arial"/>
          <w:sz w:val="24"/>
          <w:szCs w:val="24"/>
        </w:rPr>
        <w:t xml:space="preserve"> in a separate case</w:t>
      </w:r>
      <w:r w:rsidR="00094217" w:rsidRPr="00094217">
        <w:rPr>
          <w:rFonts w:ascii="Arial" w:hAnsi="Arial" w:cs="Arial"/>
          <w:sz w:val="24"/>
          <w:szCs w:val="24"/>
        </w:rPr>
        <w:t xml:space="preserve"> alleging that Akron Thermal’s existing rates and proposed rates failed to cover their cost of service to the detriment of competition.</w:t>
      </w:r>
      <w:r w:rsidR="00094217">
        <w:rPr>
          <w:rStyle w:val="FootnoteReference"/>
          <w:rFonts w:ascii="Arial" w:hAnsi="Arial" w:cs="Arial"/>
          <w:sz w:val="24"/>
          <w:szCs w:val="24"/>
        </w:rPr>
        <w:footnoteReference w:id="25"/>
      </w:r>
      <w:r w:rsidR="00094217" w:rsidRPr="00094217">
        <w:rPr>
          <w:rFonts w:ascii="Arial" w:hAnsi="Arial" w:cs="Arial"/>
          <w:sz w:val="24"/>
          <w:szCs w:val="24"/>
        </w:rPr>
        <w:t xml:space="preserve"> </w:t>
      </w:r>
      <w:r w:rsidR="00F651DC">
        <w:rPr>
          <w:rFonts w:ascii="Arial" w:hAnsi="Arial" w:cs="Arial"/>
          <w:sz w:val="24"/>
          <w:szCs w:val="24"/>
        </w:rPr>
        <w:t xml:space="preserve">  In denying FSG’s motion to intervene</w:t>
      </w:r>
      <w:r w:rsidR="00094217">
        <w:rPr>
          <w:rFonts w:ascii="Arial" w:hAnsi="Arial" w:cs="Arial"/>
          <w:sz w:val="24"/>
          <w:szCs w:val="24"/>
        </w:rPr>
        <w:t xml:space="preserve"> in the rate case</w:t>
      </w:r>
      <w:r w:rsidR="00F651DC">
        <w:rPr>
          <w:rFonts w:ascii="Arial" w:hAnsi="Arial" w:cs="Arial"/>
          <w:sz w:val="24"/>
          <w:szCs w:val="24"/>
        </w:rPr>
        <w:t>, the attorney examiner noted that</w:t>
      </w:r>
      <w:r w:rsidR="00F651DC" w:rsidRPr="00F651DC">
        <w:rPr>
          <w:rFonts w:ascii="Arial" w:hAnsi="Arial" w:cs="Arial"/>
          <w:sz w:val="24"/>
          <w:szCs w:val="24"/>
        </w:rPr>
        <w:t xml:space="preserve"> Akron Thermal </w:t>
      </w:r>
      <w:r w:rsidR="00094217">
        <w:rPr>
          <w:rFonts w:ascii="Arial" w:hAnsi="Arial" w:cs="Arial"/>
          <w:sz w:val="24"/>
          <w:szCs w:val="24"/>
        </w:rPr>
        <w:t xml:space="preserve">specifically </w:t>
      </w:r>
      <w:r w:rsidR="00F651DC" w:rsidRPr="00F651DC">
        <w:rPr>
          <w:rFonts w:ascii="Arial" w:hAnsi="Arial" w:cs="Arial"/>
          <w:sz w:val="24"/>
          <w:szCs w:val="24"/>
        </w:rPr>
        <w:t>stated in its application that it</w:t>
      </w:r>
      <w:r w:rsidR="00452D5B">
        <w:rPr>
          <w:rFonts w:ascii="Arial" w:hAnsi="Arial" w:cs="Arial"/>
          <w:sz w:val="24"/>
          <w:szCs w:val="24"/>
        </w:rPr>
        <w:t>s</w:t>
      </w:r>
      <w:r w:rsidR="00F651DC" w:rsidRPr="00F651DC">
        <w:rPr>
          <w:rFonts w:ascii="Arial" w:hAnsi="Arial" w:cs="Arial"/>
          <w:sz w:val="24"/>
          <w:szCs w:val="24"/>
        </w:rPr>
        <w:t xml:space="preserve"> current rates are too low but that its “proposed rates and charges are just and reasonable.”</w:t>
      </w:r>
      <w:r w:rsidR="00094217">
        <w:rPr>
          <w:rStyle w:val="FootnoteReference"/>
          <w:rFonts w:ascii="Arial" w:hAnsi="Arial" w:cs="Arial"/>
          <w:sz w:val="24"/>
          <w:szCs w:val="24"/>
        </w:rPr>
        <w:footnoteReference w:id="26"/>
      </w:r>
      <w:r w:rsidR="00AB730A">
        <w:rPr>
          <w:rFonts w:ascii="Arial" w:hAnsi="Arial" w:cs="Arial"/>
          <w:sz w:val="24"/>
          <w:szCs w:val="24"/>
        </w:rPr>
        <w:t xml:space="preserve">  </w:t>
      </w:r>
      <w:r w:rsidR="00094217">
        <w:rPr>
          <w:rFonts w:ascii="Arial" w:hAnsi="Arial" w:cs="Arial"/>
          <w:sz w:val="24"/>
          <w:szCs w:val="24"/>
        </w:rPr>
        <w:t>The Commission noted that “[t]</w:t>
      </w:r>
      <w:r w:rsidR="00AB730A">
        <w:rPr>
          <w:rFonts w:ascii="Arial" w:hAnsi="Arial" w:cs="Arial"/>
          <w:sz w:val="24"/>
          <w:szCs w:val="24"/>
        </w:rPr>
        <w:t>he only potential contribution FSG can bring to the instant rate increase proceeding is to argue that Akron Thermal’s regulated rates should cover its cost of providing service, an interest that can be adequately represented by Akron Thermal.”</w:t>
      </w:r>
      <w:r w:rsidR="00AE2FF0">
        <w:rPr>
          <w:rStyle w:val="FootnoteReference"/>
          <w:rFonts w:ascii="Arial" w:hAnsi="Arial" w:cs="Arial"/>
          <w:sz w:val="24"/>
          <w:szCs w:val="24"/>
        </w:rPr>
        <w:footnoteReference w:id="27"/>
      </w:r>
      <w:r w:rsidR="00AB730A">
        <w:rPr>
          <w:rFonts w:ascii="Arial" w:hAnsi="Arial" w:cs="Arial"/>
          <w:sz w:val="24"/>
          <w:szCs w:val="24"/>
        </w:rPr>
        <w:t xml:space="preserve">  In conclusion, the Commission determined that “FSG’s interest as a provider of heating and cooling equipment systems is not related to the purposes of the rate increase proceeding and the resolution of issues raised und</w:t>
      </w:r>
      <w:r w:rsidR="00094217">
        <w:rPr>
          <w:rFonts w:ascii="Arial" w:hAnsi="Arial" w:cs="Arial"/>
          <w:sz w:val="24"/>
          <w:szCs w:val="24"/>
        </w:rPr>
        <w:t>er Chapter 4909, Revised Code.”</w:t>
      </w:r>
      <w:r w:rsidR="001D76DA">
        <w:rPr>
          <w:rStyle w:val="FootnoteReference"/>
          <w:rFonts w:ascii="Arial" w:hAnsi="Arial" w:cs="Arial"/>
          <w:sz w:val="24"/>
          <w:szCs w:val="24"/>
        </w:rPr>
        <w:footnoteReference w:id="28"/>
      </w:r>
      <w:r w:rsidR="00094217">
        <w:rPr>
          <w:rFonts w:ascii="Arial" w:hAnsi="Arial" w:cs="Arial"/>
          <w:sz w:val="24"/>
          <w:szCs w:val="24"/>
        </w:rPr>
        <w:t xml:space="preserve">  The Commission further noted that “</w:t>
      </w:r>
      <w:r w:rsidR="001D76DA">
        <w:rPr>
          <w:rFonts w:ascii="Arial" w:hAnsi="Arial" w:cs="Arial"/>
          <w:sz w:val="24"/>
          <w:szCs w:val="24"/>
        </w:rPr>
        <w:t xml:space="preserve">FSG does not </w:t>
      </w:r>
      <w:r w:rsidR="001D76DA">
        <w:rPr>
          <w:rFonts w:ascii="Arial" w:hAnsi="Arial" w:cs="Arial"/>
          <w:sz w:val="24"/>
          <w:szCs w:val="24"/>
        </w:rPr>
        <w:lastRenderedPageBreak/>
        <w:t xml:space="preserve">demonstrate a real and substantial interest in the rate increase case proceeding of the type that assists </w:t>
      </w:r>
      <w:r w:rsidR="00094217">
        <w:rPr>
          <w:rFonts w:ascii="Arial" w:hAnsi="Arial" w:cs="Arial"/>
          <w:sz w:val="24"/>
          <w:szCs w:val="24"/>
        </w:rPr>
        <w:t>the Commission’s primary interest</w:t>
      </w:r>
      <w:r w:rsidR="001D76DA">
        <w:rPr>
          <w:rFonts w:ascii="Arial" w:hAnsi="Arial" w:cs="Arial"/>
          <w:sz w:val="24"/>
          <w:szCs w:val="24"/>
        </w:rPr>
        <w:t xml:space="preserve"> of securing the best possible service for the public under a just and reasonable rate structure.”</w:t>
      </w:r>
      <w:r w:rsidR="001D76DA">
        <w:rPr>
          <w:rStyle w:val="FootnoteReference"/>
          <w:rFonts w:ascii="Arial" w:hAnsi="Arial" w:cs="Arial"/>
          <w:sz w:val="24"/>
          <w:szCs w:val="24"/>
        </w:rPr>
        <w:footnoteReference w:id="29"/>
      </w:r>
      <w:r w:rsidR="00AB730A">
        <w:rPr>
          <w:rFonts w:ascii="Arial" w:hAnsi="Arial" w:cs="Arial"/>
          <w:sz w:val="24"/>
          <w:szCs w:val="24"/>
        </w:rPr>
        <w:t xml:space="preserve"> </w:t>
      </w:r>
      <w:r w:rsidR="001D76DA">
        <w:rPr>
          <w:rFonts w:ascii="Arial" w:hAnsi="Arial" w:cs="Arial"/>
          <w:sz w:val="24"/>
          <w:szCs w:val="24"/>
        </w:rPr>
        <w:t xml:space="preserve"> </w:t>
      </w:r>
      <w:r w:rsidR="00AB730A">
        <w:rPr>
          <w:rFonts w:ascii="Arial" w:hAnsi="Arial" w:cs="Arial"/>
          <w:sz w:val="24"/>
          <w:szCs w:val="24"/>
        </w:rPr>
        <w:t>But, the Commission went on further to state “the Commission has granted intervention to competitive interests in more recent years with the advent of more competitive utility services, intervention by competitors usually involves utility services by regulated or unregulated providers of those services and where there has been a direct relationship to the proceeding.”</w:t>
      </w:r>
      <w:r w:rsidR="001D76DA">
        <w:rPr>
          <w:rStyle w:val="FootnoteReference"/>
          <w:rFonts w:ascii="Arial" w:hAnsi="Arial" w:cs="Arial"/>
          <w:sz w:val="24"/>
          <w:szCs w:val="24"/>
        </w:rPr>
        <w:footnoteReference w:id="30"/>
      </w:r>
      <w:r w:rsidR="001D76DA">
        <w:rPr>
          <w:rFonts w:ascii="Arial" w:hAnsi="Arial" w:cs="Arial"/>
          <w:sz w:val="24"/>
          <w:szCs w:val="24"/>
        </w:rPr>
        <w:t xml:space="preserve"> As discussed below, the</w:t>
      </w:r>
      <w:r w:rsidR="00AB730A">
        <w:rPr>
          <w:rFonts w:ascii="Arial" w:hAnsi="Arial" w:cs="Arial"/>
          <w:sz w:val="24"/>
          <w:szCs w:val="24"/>
        </w:rPr>
        <w:t xml:space="preserve"> latter reasoning is more applicable to this case.</w:t>
      </w:r>
    </w:p>
    <w:p w14:paraId="64B06BA5" w14:textId="12504540" w:rsidR="00AB730A" w:rsidRDefault="00AB730A" w:rsidP="00182822">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r>
      <w:r w:rsidR="009449B5">
        <w:rPr>
          <w:rFonts w:ascii="Arial" w:hAnsi="Arial" w:cs="Arial"/>
          <w:sz w:val="24"/>
          <w:szCs w:val="24"/>
        </w:rPr>
        <w:t>Unlike the Akron Thermal case, which</w:t>
      </w:r>
      <w:r>
        <w:rPr>
          <w:rFonts w:ascii="Arial" w:hAnsi="Arial" w:cs="Arial"/>
          <w:sz w:val="24"/>
          <w:szCs w:val="24"/>
        </w:rPr>
        <w:t xml:space="preserve"> involved a general rate increase, </w:t>
      </w:r>
      <w:r w:rsidR="009449B5">
        <w:rPr>
          <w:rFonts w:ascii="Arial" w:hAnsi="Arial" w:cs="Arial"/>
          <w:sz w:val="24"/>
          <w:szCs w:val="24"/>
        </w:rPr>
        <w:t>this case</w:t>
      </w:r>
      <w:r>
        <w:rPr>
          <w:rFonts w:ascii="Arial" w:hAnsi="Arial" w:cs="Arial"/>
          <w:sz w:val="24"/>
          <w:szCs w:val="24"/>
        </w:rPr>
        <w:t xml:space="preserve"> </w:t>
      </w:r>
      <w:r w:rsidR="00F661D0">
        <w:rPr>
          <w:rFonts w:ascii="Arial" w:hAnsi="Arial" w:cs="Arial"/>
          <w:sz w:val="24"/>
          <w:szCs w:val="24"/>
        </w:rPr>
        <w:t>involves</w:t>
      </w:r>
      <w:r w:rsidR="001D76DA">
        <w:rPr>
          <w:rFonts w:ascii="Arial" w:hAnsi="Arial" w:cs="Arial"/>
          <w:sz w:val="24"/>
          <w:szCs w:val="24"/>
        </w:rPr>
        <w:t xml:space="preserve"> an audit of a utility’s </w:t>
      </w:r>
      <w:r>
        <w:rPr>
          <w:rFonts w:ascii="Arial" w:hAnsi="Arial" w:cs="Arial"/>
          <w:sz w:val="24"/>
          <w:szCs w:val="24"/>
        </w:rPr>
        <w:t>compliance with Ohio’s corporate separation requirements.  Th</w:t>
      </w:r>
      <w:r w:rsidR="00F661D0">
        <w:rPr>
          <w:rFonts w:ascii="Arial" w:hAnsi="Arial" w:cs="Arial"/>
          <w:sz w:val="24"/>
          <w:szCs w:val="24"/>
        </w:rPr>
        <w:t>e</w:t>
      </w:r>
      <w:r>
        <w:rPr>
          <w:rFonts w:ascii="Arial" w:hAnsi="Arial" w:cs="Arial"/>
          <w:sz w:val="24"/>
          <w:szCs w:val="24"/>
        </w:rPr>
        <w:t>se requirements exist for the very purpose of safeguarding competition and entitie</w:t>
      </w:r>
      <w:r w:rsidR="001D76DA">
        <w:rPr>
          <w:rFonts w:ascii="Arial" w:hAnsi="Arial" w:cs="Arial"/>
          <w:sz w:val="24"/>
          <w:szCs w:val="24"/>
        </w:rPr>
        <w:t>s such as IGS from regulated utilities utilizing their monopoly functions to uniquely and unfairly benefit unregulated business activities entities operating under a common corporate umbrella</w:t>
      </w:r>
      <w:r w:rsidR="002E438A">
        <w:rPr>
          <w:rFonts w:ascii="Arial" w:hAnsi="Arial" w:cs="Arial"/>
          <w:sz w:val="24"/>
          <w:szCs w:val="24"/>
        </w:rPr>
        <w:t>.</w:t>
      </w:r>
      <w:r w:rsidR="001D76DA">
        <w:rPr>
          <w:rStyle w:val="FootnoteReference"/>
          <w:rFonts w:ascii="Arial" w:hAnsi="Arial" w:cs="Arial"/>
          <w:sz w:val="24"/>
          <w:szCs w:val="24"/>
        </w:rPr>
        <w:footnoteReference w:id="31"/>
      </w:r>
      <w:r>
        <w:rPr>
          <w:rFonts w:ascii="Arial" w:hAnsi="Arial" w:cs="Arial"/>
          <w:sz w:val="24"/>
          <w:szCs w:val="24"/>
        </w:rPr>
        <w:t xml:space="preserve">  For example, the audit in this case will examine whether FirstEnergy’s corporate separation plan is functioning properly and </w:t>
      </w:r>
      <w:r w:rsidR="00480A92">
        <w:rPr>
          <w:rFonts w:ascii="Arial" w:hAnsi="Arial" w:cs="Arial"/>
          <w:sz w:val="24"/>
          <w:szCs w:val="24"/>
        </w:rPr>
        <w:t xml:space="preserve">ensuring that </w:t>
      </w:r>
      <w:r>
        <w:rPr>
          <w:rFonts w:ascii="Arial" w:hAnsi="Arial" w:cs="Arial"/>
          <w:sz w:val="24"/>
          <w:szCs w:val="24"/>
        </w:rPr>
        <w:t xml:space="preserve">unregulated and regulated functions are </w:t>
      </w:r>
      <w:r w:rsidR="009449B5">
        <w:rPr>
          <w:rFonts w:ascii="Arial" w:hAnsi="Arial" w:cs="Arial"/>
          <w:sz w:val="24"/>
          <w:szCs w:val="24"/>
        </w:rPr>
        <w:t xml:space="preserve">not </w:t>
      </w:r>
      <w:r>
        <w:rPr>
          <w:rFonts w:ascii="Arial" w:hAnsi="Arial" w:cs="Arial"/>
          <w:sz w:val="24"/>
          <w:szCs w:val="24"/>
        </w:rPr>
        <w:t>cross-subsidizing each other with either resources or information that is not publicly available.</w:t>
      </w:r>
      <w:r w:rsidR="001D76DA">
        <w:rPr>
          <w:rFonts w:ascii="Arial" w:hAnsi="Arial" w:cs="Arial"/>
          <w:sz w:val="24"/>
          <w:szCs w:val="24"/>
        </w:rPr>
        <w:t xml:space="preserve">  Either of the</w:t>
      </w:r>
      <w:r w:rsidR="00AE2FF0">
        <w:rPr>
          <w:rFonts w:ascii="Arial" w:hAnsi="Arial" w:cs="Arial"/>
          <w:sz w:val="24"/>
          <w:szCs w:val="24"/>
        </w:rPr>
        <w:t>se</w:t>
      </w:r>
      <w:r w:rsidR="001D76DA">
        <w:rPr>
          <w:rFonts w:ascii="Arial" w:hAnsi="Arial" w:cs="Arial"/>
          <w:sz w:val="24"/>
          <w:szCs w:val="24"/>
        </w:rPr>
        <w:t xml:space="preserve"> scenarios would negatively impact IGS.</w:t>
      </w:r>
      <w:r>
        <w:rPr>
          <w:rFonts w:ascii="Arial" w:hAnsi="Arial" w:cs="Arial"/>
          <w:sz w:val="24"/>
          <w:szCs w:val="24"/>
        </w:rPr>
        <w:t xml:space="preserve">  Thus, IGS has a clear and direct interest in the resolution of this proceeding. </w:t>
      </w:r>
    </w:p>
    <w:p w14:paraId="677B83A0" w14:textId="0C952E4B" w:rsidR="009449B5" w:rsidRDefault="009449B5" w:rsidP="009449B5">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lastRenderedPageBreak/>
        <w:tab/>
        <w:t>FirstEnergy further claims that “it is not IGS’s role to ensure that the Companies are complying with the law – it is the Commission’s role – the Commission (and its Staff) is quite capable of making these determinati</w:t>
      </w:r>
      <w:r w:rsidR="00480A92">
        <w:rPr>
          <w:rFonts w:ascii="Arial" w:hAnsi="Arial" w:cs="Arial"/>
          <w:sz w:val="24"/>
          <w:szCs w:val="24"/>
        </w:rPr>
        <w:t>ons without IGS’s assistance.”</w:t>
      </w:r>
      <w:r w:rsidR="00480A92">
        <w:rPr>
          <w:rStyle w:val="FootnoteReference"/>
          <w:rFonts w:ascii="Arial" w:hAnsi="Arial" w:cs="Arial"/>
          <w:sz w:val="24"/>
          <w:szCs w:val="24"/>
        </w:rPr>
        <w:footnoteReference w:id="32"/>
      </w:r>
      <w:r>
        <w:rPr>
          <w:rFonts w:ascii="Arial" w:hAnsi="Arial" w:cs="Arial"/>
          <w:sz w:val="24"/>
          <w:szCs w:val="24"/>
        </w:rPr>
        <w:t xml:space="preserve">  IGS agrees that it is the Commission that will</w:t>
      </w:r>
      <w:r w:rsidRPr="009449B5">
        <w:rPr>
          <w:rFonts w:ascii="Arial" w:hAnsi="Arial" w:cs="Arial"/>
          <w:sz w:val="24"/>
          <w:szCs w:val="24"/>
        </w:rPr>
        <w:t xml:space="preserve"> determine</w:t>
      </w:r>
      <w:r>
        <w:rPr>
          <w:rFonts w:ascii="Arial" w:hAnsi="Arial" w:cs="Arial"/>
          <w:sz w:val="24"/>
          <w:szCs w:val="24"/>
        </w:rPr>
        <w:t xml:space="preserve"> whether FirstEnergy is or is not </w:t>
      </w:r>
      <w:r w:rsidRPr="009449B5">
        <w:rPr>
          <w:rFonts w:ascii="Arial" w:hAnsi="Arial" w:cs="Arial"/>
          <w:sz w:val="24"/>
          <w:szCs w:val="24"/>
        </w:rPr>
        <w:t xml:space="preserve">complying with the law.  But that </w:t>
      </w:r>
      <w:r w:rsidR="00480A92">
        <w:rPr>
          <w:rFonts w:ascii="Arial" w:hAnsi="Arial" w:cs="Arial"/>
          <w:sz w:val="24"/>
          <w:szCs w:val="24"/>
        </w:rPr>
        <w:t>does not change</w:t>
      </w:r>
      <w:r>
        <w:rPr>
          <w:rFonts w:ascii="Arial" w:hAnsi="Arial" w:cs="Arial"/>
          <w:sz w:val="24"/>
          <w:szCs w:val="24"/>
        </w:rPr>
        <w:t xml:space="preserve"> the</w:t>
      </w:r>
      <w:r w:rsidR="00480A92">
        <w:rPr>
          <w:rFonts w:ascii="Arial" w:hAnsi="Arial" w:cs="Arial"/>
          <w:sz w:val="24"/>
          <w:szCs w:val="24"/>
        </w:rPr>
        <w:t xml:space="preserve"> fact that IGS has</w:t>
      </w:r>
      <w:r>
        <w:rPr>
          <w:rFonts w:ascii="Arial" w:hAnsi="Arial" w:cs="Arial"/>
          <w:sz w:val="24"/>
          <w:szCs w:val="24"/>
        </w:rPr>
        <w:t xml:space="preserve"> </w:t>
      </w:r>
      <w:r w:rsidRPr="009449B5">
        <w:rPr>
          <w:rFonts w:ascii="Arial" w:hAnsi="Arial" w:cs="Arial"/>
          <w:sz w:val="24"/>
          <w:szCs w:val="24"/>
        </w:rPr>
        <w:t>a substantial interest</w:t>
      </w:r>
      <w:r>
        <w:rPr>
          <w:rFonts w:ascii="Arial" w:hAnsi="Arial" w:cs="Arial"/>
          <w:sz w:val="24"/>
          <w:szCs w:val="24"/>
        </w:rPr>
        <w:t xml:space="preserve"> in</w:t>
      </w:r>
      <w:r w:rsidRPr="009449B5">
        <w:rPr>
          <w:rFonts w:ascii="Arial" w:hAnsi="Arial" w:cs="Arial"/>
          <w:sz w:val="24"/>
          <w:szCs w:val="24"/>
        </w:rPr>
        <w:t xml:space="preserve"> ensuring that the Commission makes its determination bas</w:t>
      </w:r>
      <w:r>
        <w:rPr>
          <w:rFonts w:ascii="Arial" w:hAnsi="Arial" w:cs="Arial"/>
          <w:sz w:val="24"/>
          <w:szCs w:val="24"/>
        </w:rPr>
        <w:t>ed upon an appropriately developed</w:t>
      </w:r>
      <w:r w:rsidRPr="009449B5">
        <w:rPr>
          <w:rFonts w:ascii="Arial" w:hAnsi="Arial" w:cs="Arial"/>
          <w:sz w:val="24"/>
          <w:szCs w:val="24"/>
        </w:rPr>
        <w:t xml:space="preserve"> record</w:t>
      </w:r>
      <w:r>
        <w:rPr>
          <w:rFonts w:ascii="Arial" w:hAnsi="Arial" w:cs="Arial"/>
          <w:sz w:val="24"/>
          <w:szCs w:val="24"/>
        </w:rPr>
        <w:t xml:space="preserve"> and the correct legal standard.</w:t>
      </w:r>
      <w:r w:rsidR="00480A92">
        <w:rPr>
          <w:rFonts w:ascii="Arial" w:hAnsi="Arial" w:cs="Arial"/>
          <w:sz w:val="24"/>
          <w:szCs w:val="24"/>
        </w:rPr>
        <w:t xml:space="preserve">  Nor does it change the fact that IGS has a substantial interest in ensuring that FirstEnergy does not provide a competitive advantage to unregulated operations under its common corporate umbrella to IGS’s detriment.  Indeed, </w:t>
      </w:r>
      <w:r>
        <w:rPr>
          <w:rFonts w:ascii="Arial" w:hAnsi="Arial" w:cs="Arial"/>
          <w:sz w:val="24"/>
          <w:szCs w:val="24"/>
        </w:rPr>
        <w:t xml:space="preserve">under FirstEnergy’s reasoning, no party could intervene </w:t>
      </w:r>
      <w:r>
        <w:rPr>
          <w:rFonts w:ascii="Arial" w:hAnsi="Arial" w:cs="Arial"/>
          <w:i/>
          <w:sz w:val="24"/>
          <w:szCs w:val="24"/>
        </w:rPr>
        <w:t xml:space="preserve">in any proceeding </w:t>
      </w:r>
      <w:r>
        <w:rPr>
          <w:rFonts w:ascii="Arial" w:hAnsi="Arial" w:cs="Arial"/>
          <w:sz w:val="24"/>
          <w:szCs w:val="24"/>
        </w:rPr>
        <w:t>if the Staff par</w:t>
      </w:r>
      <w:r w:rsidR="00480A92">
        <w:rPr>
          <w:rFonts w:ascii="Arial" w:hAnsi="Arial" w:cs="Arial"/>
          <w:sz w:val="24"/>
          <w:szCs w:val="24"/>
        </w:rPr>
        <w:t>ticipates and the Commission issues</w:t>
      </w:r>
      <w:r>
        <w:rPr>
          <w:rFonts w:ascii="Arial" w:hAnsi="Arial" w:cs="Arial"/>
          <w:sz w:val="24"/>
          <w:szCs w:val="24"/>
        </w:rPr>
        <w:t xml:space="preserve"> the final decision.  Given the Commission’s liberal standard for intervention, FirstEnergy’s argument should be rejected out of hand.  </w:t>
      </w:r>
    </w:p>
    <w:p w14:paraId="534D96E7" w14:textId="2FC6FA4F" w:rsidR="009449B5" w:rsidRDefault="009449B5" w:rsidP="009449B5">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IGS agrees that the Staff and Commission are capable, but a diversity of intervening parties </w:t>
      </w:r>
      <w:r w:rsidR="00E31526">
        <w:rPr>
          <w:rFonts w:ascii="Arial" w:hAnsi="Arial" w:cs="Arial"/>
          <w:sz w:val="24"/>
          <w:szCs w:val="24"/>
        </w:rPr>
        <w:t xml:space="preserve">will </w:t>
      </w:r>
      <w:r>
        <w:rPr>
          <w:rFonts w:ascii="Arial" w:hAnsi="Arial" w:cs="Arial"/>
          <w:sz w:val="24"/>
          <w:szCs w:val="24"/>
        </w:rPr>
        <w:t xml:space="preserve">enhance the dynamic in </w:t>
      </w:r>
      <w:r w:rsidR="00E31526">
        <w:rPr>
          <w:rFonts w:ascii="Arial" w:hAnsi="Arial" w:cs="Arial"/>
          <w:sz w:val="24"/>
          <w:szCs w:val="24"/>
        </w:rPr>
        <w:t xml:space="preserve">the </w:t>
      </w:r>
      <w:r>
        <w:rPr>
          <w:rFonts w:ascii="Arial" w:hAnsi="Arial" w:cs="Arial"/>
          <w:sz w:val="24"/>
          <w:szCs w:val="24"/>
        </w:rPr>
        <w:t>proceeding by providing differing legal and factual perspectives.  Through this diversity we may construct a better record and sharpen issues for Commission consideration.</w:t>
      </w:r>
      <w:r w:rsidRPr="009449B5">
        <w:t xml:space="preserve"> </w:t>
      </w:r>
      <w:r w:rsidR="008D4D24">
        <w:t xml:space="preserve"> </w:t>
      </w:r>
      <w:r w:rsidR="008D4D24">
        <w:rPr>
          <w:rFonts w:ascii="Arial" w:hAnsi="Arial" w:cs="Arial"/>
          <w:sz w:val="24"/>
          <w:szCs w:val="24"/>
        </w:rPr>
        <w:t>Additionally,</w:t>
      </w:r>
      <w:r>
        <w:t xml:space="preserve"> </w:t>
      </w:r>
      <w:r w:rsidR="008D4D24">
        <w:rPr>
          <w:rFonts w:ascii="Arial" w:hAnsi="Arial" w:cs="Arial"/>
          <w:sz w:val="24"/>
          <w:szCs w:val="24"/>
        </w:rPr>
        <w:t>w</w:t>
      </w:r>
      <w:r w:rsidRPr="009449B5">
        <w:rPr>
          <w:rFonts w:ascii="Arial" w:hAnsi="Arial" w:cs="Arial"/>
          <w:sz w:val="24"/>
          <w:szCs w:val="24"/>
        </w:rPr>
        <w:t>hile IGS appreciates the Staff’s capability and hard</w:t>
      </w:r>
      <w:r w:rsidR="007E416C">
        <w:rPr>
          <w:rFonts w:ascii="Arial" w:hAnsi="Arial" w:cs="Arial"/>
          <w:sz w:val="24"/>
          <w:szCs w:val="24"/>
        </w:rPr>
        <w:t xml:space="preserve"> work</w:t>
      </w:r>
      <w:r w:rsidRPr="009449B5">
        <w:rPr>
          <w:rFonts w:ascii="Arial" w:hAnsi="Arial" w:cs="Arial"/>
          <w:sz w:val="24"/>
          <w:szCs w:val="24"/>
        </w:rPr>
        <w:t>, IGS</w:t>
      </w:r>
      <w:r w:rsidR="00E65BDE">
        <w:rPr>
          <w:rFonts w:ascii="Arial" w:hAnsi="Arial" w:cs="Arial"/>
          <w:sz w:val="24"/>
          <w:szCs w:val="24"/>
        </w:rPr>
        <w:t>’s</w:t>
      </w:r>
      <w:r w:rsidRPr="009449B5">
        <w:rPr>
          <w:rFonts w:ascii="Arial" w:hAnsi="Arial" w:cs="Arial"/>
          <w:sz w:val="24"/>
          <w:szCs w:val="24"/>
        </w:rPr>
        <w:t xml:space="preserve"> and </w:t>
      </w:r>
      <w:r w:rsidR="007E416C">
        <w:rPr>
          <w:rFonts w:ascii="Arial" w:hAnsi="Arial" w:cs="Arial"/>
          <w:sz w:val="24"/>
          <w:szCs w:val="24"/>
        </w:rPr>
        <w:t>Staff</w:t>
      </w:r>
      <w:r w:rsidR="00E31526">
        <w:rPr>
          <w:rFonts w:ascii="Arial" w:hAnsi="Arial" w:cs="Arial"/>
          <w:sz w:val="24"/>
          <w:szCs w:val="24"/>
        </w:rPr>
        <w:t>’s interests</w:t>
      </w:r>
      <w:r w:rsidR="00E65BDE">
        <w:rPr>
          <w:rFonts w:ascii="Arial" w:hAnsi="Arial" w:cs="Arial"/>
          <w:sz w:val="24"/>
          <w:szCs w:val="24"/>
        </w:rPr>
        <w:t xml:space="preserve"> and advocacy</w:t>
      </w:r>
      <w:r w:rsidR="007E416C">
        <w:rPr>
          <w:rFonts w:ascii="Arial" w:hAnsi="Arial" w:cs="Arial"/>
          <w:sz w:val="24"/>
          <w:szCs w:val="24"/>
        </w:rPr>
        <w:t xml:space="preserve"> have not always </w:t>
      </w:r>
      <w:r w:rsidR="00E31526">
        <w:rPr>
          <w:rFonts w:ascii="Arial" w:hAnsi="Arial" w:cs="Arial"/>
          <w:sz w:val="24"/>
          <w:szCs w:val="24"/>
        </w:rPr>
        <w:t>been aligned</w:t>
      </w:r>
      <w:r w:rsidR="007E416C">
        <w:rPr>
          <w:rFonts w:ascii="Arial" w:hAnsi="Arial" w:cs="Arial"/>
          <w:sz w:val="24"/>
          <w:szCs w:val="24"/>
        </w:rPr>
        <w:t xml:space="preserve"> with respect to the </w:t>
      </w:r>
      <w:r w:rsidRPr="009449B5">
        <w:rPr>
          <w:rFonts w:ascii="Arial" w:hAnsi="Arial" w:cs="Arial"/>
          <w:sz w:val="24"/>
          <w:szCs w:val="24"/>
        </w:rPr>
        <w:t xml:space="preserve">application </w:t>
      </w:r>
      <w:r w:rsidR="007E416C">
        <w:rPr>
          <w:rFonts w:ascii="Arial" w:hAnsi="Arial" w:cs="Arial"/>
          <w:sz w:val="24"/>
          <w:szCs w:val="24"/>
        </w:rPr>
        <w:t xml:space="preserve">or interpretation </w:t>
      </w:r>
      <w:r w:rsidRPr="009449B5">
        <w:rPr>
          <w:rFonts w:ascii="Arial" w:hAnsi="Arial" w:cs="Arial"/>
          <w:sz w:val="24"/>
          <w:szCs w:val="24"/>
        </w:rPr>
        <w:t>of Ohio’s corporate separation laws</w:t>
      </w:r>
      <w:r w:rsidR="007E416C">
        <w:rPr>
          <w:rFonts w:ascii="Arial" w:hAnsi="Arial" w:cs="Arial"/>
          <w:sz w:val="24"/>
          <w:szCs w:val="24"/>
        </w:rPr>
        <w:t xml:space="preserve"> and rules</w:t>
      </w:r>
      <w:r w:rsidRPr="009449B5">
        <w:rPr>
          <w:rFonts w:ascii="Arial" w:hAnsi="Arial" w:cs="Arial"/>
          <w:sz w:val="24"/>
          <w:szCs w:val="24"/>
        </w:rPr>
        <w:t>.</w:t>
      </w:r>
      <w:r>
        <w:rPr>
          <w:rStyle w:val="FootnoteReference"/>
          <w:rFonts w:ascii="Arial" w:hAnsi="Arial" w:cs="Arial"/>
          <w:sz w:val="24"/>
          <w:szCs w:val="24"/>
        </w:rPr>
        <w:footnoteReference w:id="33"/>
      </w:r>
      <w:r w:rsidR="008D4D24">
        <w:rPr>
          <w:rFonts w:ascii="Arial" w:hAnsi="Arial" w:cs="Arial"/>
          <w:sz w:val="24"/>
          <w:szCs w:val="24"/>
        </w:rPr>
        <w:t xml:space="preserve">  Thus, there is no</w:t>
      </w:r>
      <w:r>
        <w:rPr>
          <w:rFonts w:ascii="Arial" w:hAnsi="Arial" w:cs="Arial"/>
          <w:sz w:val="24"/>
          <w:szCs w:val="24"/>
        </w:rPr>
        <w:t xml:space="preserve"> certainty that the Staff will assert the same </w:t>
      </w:r>
      <w:r>
        <w:rPr>
          <w:rFonts w:ascii="Arial" w:hAnsi="Arial" w:cs="Arial"/>
          <w:sz w:val="24"/>
          <w:szCs w:val="24"/>
        </w:rPr>
        <w:lastRenderedPageBreak/>
        <w:t>or even similar posi</w:t>
      </w:r>
      <w:r w:rsidR="008D4D24">
        <w:rPr>
          <w:rFonts w:ascii="Arial" w:hAnsi="Arial" w:cs="Arial"/>
          <w:sz w:val="24"/>
          <w:szCs w:val="24"/>
        </w:rPr>
        <w:t>tions as IGS.  Co</w:t>
      </w:r>
      <w:r w:rsidR="007E416C">
        <w:rPr>
          <w:rFonts w:ascii="Arial" w:hAnsi="Arial" w:cs="Arial"/>
          <w:sz w:val="24"/>
          <w:szCs w:val="24"/>
        </w:rPr>
        <w:t>nsequently, IGS should be permitted to intervene to protect its substantial interest in this proceeding—an interest that is not represented by any other party</w:t>
      </w:r>
      <w:r w:rsidR="008D4D24">
        <w:rPr>
          <w:rFonts w:ascii="Arial" w:hAnsi="Arial" w:cs="Arial"/>
          <w:sz w:val="24"/>
          <w:szCs w:val="24"/>
        </w:rPr>
        <w:t xml:space="preserve"> that will be prejudiced in the absence of granting IGS’s motion</w:t>
      </w:r>
      <w:r w:rsidR="007E416C">
        <w:rPr>
          <w:rFonts w:ascii="Arial" w:hAnsi="Arial" w:cs="Arial"/>
          <w:sz w:val="24"/>
          <w:szCs w:val="24"/>
        </w:rPr>
        <w:t>.</w:t>
      </w:r>
    </w:p>
    <w:p w14:paraId="5DA14413" w14:textId="0D7E7460" w:rsidR="00C339E3" w:rsidRDefault="00DF6975" w:rsidP="009449B5">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Finally, FirstEnergy claims that the Commission may, in its discretion, provide IGS with an opportunity to file comments following the issuance of the audit report without granting IGS party status</w:t>
      </w:r>
      <w:r w:rsidR="00E31526">
        <w:rPr>
          <w:rFonts w:ascii="Arial" w:hAnsi="Arial" w:cs="Arial"/>
          <w:sz w:val="24"/>
          <w:szCs w:val="24"/>
        </w:rPr>
        <w:t xml:space="preserve">, yet, in the same memo, First Energy </w:t>
      </w:r>
      <w:r w:rsidR="007F55E6">
        <w:rPr>
          <w:rFonts w:ascii="Arial" w:hAnsi="Arial" w:cs="Arial"/>
          <w:sz w:val="24"/>
          <w:szCs w:val="24"/>
        </w:rPr>
        <w:t xml:space="preserve">also makes the assertion </w:t>
      </w:r>
      <w:r w:rsidRPr="008162F2">
        <w:rPr>
          <w:rFonts w:ascii="Arial" w:hAnsi="Arial" w:cs="Arial"/>
          <w:sz w:val="24"/>
          <w:szCs w:val="24"/>
        </w:rPr>
        <w:t>that “[a]s IGS and other participants already mad</w:t>
      </w:r>
      <w:r w:rsidR="00480A92" w:rsidRPr="008162F2">
        <w:rPr>
          <w:rFonts w:ascii="Arial" w:hAnsi="Arial" w:cs="Arial"/>
          <w:sz w:val="24"/>
          <w:szCs w:val="24"/>
        </w:rPr>
        <w:t>e comments in the</w:t>
      </w:r>
      <w:r w:rsidR="00480A92" w:rsidRPr="008162F2">
        <w:rPr>
          <w:rFonts w:ascii="Arial" w:hAnsi="Arial" w:cs="Arial"/>
          <w:i/>
          <w:sz w:val="24"/>
          <w:szCs w:val="24"/>
        </w:rPr>
        <w:t xml:space="preserve"> RMI Docket</w:t>
      </w:r>
      <w:r w:rsidRPr="008162F2">
        <w:rPr>
          <w:rFonts w:ascii="Arial" w:hAnsi="Arial" w:cs="Arial"/>
          <w:sz w:val="24"/>
          <w:szCs w:val="24"/>
        </w:rPr>
        <w:t>, such an opportunity has</w:t>
      </w:r>
      <w:r>
        <w:rPr>
          <w:rFonts w:ascii="Arial" w:hAnsi="Arial" w:cs="Arial"/>
          <w:sz w:val="24"/>
          <w:szCs w:val="24"/>
        </w:rPr>
        <w:t xml:space="preserve"> already been given and further comments are not necessary.”</w:t>
      </w:r>
      <w:r w:rsidR="00480A92">
        <w:rPr>
          <w:rStyle w:val="FootnoteReference"/>
          <w:rFonts w:ascii="Arial" w:hAnsi="Arial" w:cs="Arial"/>
          <w:sz w:val="24"/>
          <w:szCs w:val="24"/>
        </w:rPr>
        <w:footnoteReference w:id="34"/>
      </w:r>
      <w:r w:rsidR="00C339E3">
        <w:rPr>
          <w:rFonts w:ascii="Arial" w:hAnsi="Arial" w:cs="Arial"/>
          <w:sz w:val="24"/>
          <w:szCs w:val="24"/>
        </w:rPr>
        <w:t xml:space="preserve">  </w:t>
      </w:r>
    </w:p>
    <w:p w14:paraId="51C7248A" w14:textId="78F87AA9" w:rsidR="008D4D24" w:rsidRDefault="00C339E3" w:rsidP="00C339E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Although </w:t>
      </w:r>
      <w:r w:rsidR="00DF6975">
        <w:rPr>
          <w:rFonts w:ascii="Arial" w:hAnsi="Arial" w:cs="Arial"/>
          <w:sz w:val="24"/>
          <w:szCs w:val="24"/>
        </w:rPr>
        <w:t xml:space="preserve">IGS agrees that the Commission should permit parties </w:t>
      </w:r>
      <w:r>
        <w:rPr>
          <w:rFonts w:ascii="Arial" w:hAnsi="Arial" w:cs="Arial"/>
          <w:sz w:val="24"/>
          <w:szCs w:val="24"/>
        </w:rPr>
        <w:t xml:space="preserve">to file comments, </w:t>
      </w:r>
      <w:r w:rsidR="00DF6975">
        <w:rPr>
          <w:rFonts w:ascii="Arial" w:hAnsi="Arial" w:cs="Arial"/>
          <w:sz w:val="24"/>
          <w:szCs w:val="24"/>
        </w:rPr>
        <w:t xml:space="preserve">the Commission should also grant IGS’s intervention and permit the filing of discovery prior to the issuance of the audit report to permit IGS to assist in the development of the record.  </w:t>
      </w:r>
      <w:r>
        <w:rPr>
          <w:rFonts w:ascii="Arial" w:hAnsi="Arial" w:cs="Arial"/>
          <w:sz w:val="24"/>
          <w:szCs w:val="24"/>
        </w:rPr>
        <w:t>Based upon IGS’s expertise in competitive retail electric service, non-commodity products and services, and corporate separation requirements, IGS is uniquely situated to contribute toward the development of the record in this proceeding.</w:t>
      </w:r>
      <w:r w:rsidR="008D4D24">
        <w:rPr>
          <w:rFonts w:ascii="Arial" w:hAnsi="Arial" w:cs="Arial"/>
          <w:sz w:val="24"/>
          <w:szCs w:val="24"/>
        </w:rPr>
        <w:tab/>
      </w:r>
    </w:p>
    <w:p w14:paraId="321B2915" w14:textId="6D0A8206" w:rsidR="00C339E3" w:rsidRPr="009449B5" w:rsidRDefault="00C339E3" w:rsidP="00C339E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Regarding FirstEnergy’s claim that IGS has already had an opportunity </w:t>
      </w:r>
      <w:r w:rsidR="008162F2">
        <w:rPr>
          <w:rFonts w:ascii="Arial" w:hAnsi="Arial" w:cs="Arial"/>
          <w:sz w:val="24"/>
          <w:szCs w:val="24"/>
        </w:rPr>
        <w:t xml:space="preserve">to comment in the </w:t>
      </w:r>
      <w:r w:rsidR="008162F2">
        <w:rPr>
          <w:rFonts w:ascii="Arial" w:hAnsi="Arial" w:cs="Arial"/>
          <w:i/>
          <w:sz w:val="24"/>
          <w:szCs w:val="24"/>
        </w:rPr>
        <w:t>RMI Docket</w:t>
      </w:r>
      <w:r>
        <w:rPr>
          <w:rFonts w:ascii="Arial" w:hAnsi="Arial" w:cs="Arial"/>
          <w:sz w:val="24"/>
          <w:szCs w:val="24"/>
        </w:rPr>
        <w:t>, that argument completely misses the point.  The RMI proceeding related to a statewide discussion of corporate separation issues.  It did not relate to the actual compliance or non-compliance of each electric distribution utility based upon actual facts and circumstances.  This proceeding will evaluate FirstEnergy</w:t>
      </w:r>
      <w:r w:rsidR="008162F2">
        <w:rPr>
          <w:rFonts w:ascii="Arial" w:hAnsi="Arial" w:cs="Arial"/>
          <w:sz w:val="24"/>
          <w:szCs w:val="24"/>
        </w:rPr>
        <w:t>’s</w:t>
      </w:r>
      <w:r>
        <w:rPr>
          <w:rFonts w:ascii="Arial" w:hAnsi="Arial" w:cs="Arial"/>
          <w:sz w:val="24"/>
          <w:szCs w:val="24"/>
        </w:rPr>
        <w:t xml:space="preserve"> actual business activities to determine whether it has adhered to the law.  To date, IGS has not </w:t>
      </w:r>
      <w:r>
        <w:rPr>
          <w:rFonts w:ascii="Arial" w:hAnsi="Arial" w:cs="Arial"/>
          <w:sz w:val="24"/>
          <w:szCs w:val="24"/>
        </w:rPr>
        <w:lastRenderedPageBreak/>
        <w:t xml:space="preserve">had an opportunity to weigh in one way or another on that </w:t>
      </w:r>
      <w:r w:rsidR="00E65BDE">
        <w:rPr>
          <w:rFonts w:ascii="Arial" w:hAnsi="Arial" w:cs="Arial"/>
          <w:sz w:val="24"/>
          <w:szCs w:val="24"/>
        </w:rPr>
        <w:t>issue;</w:t>
      </w:r>
      <w:r w:rsidR="007F55E6">
        <w:rPr>
          <w:rFonts w:ascii="Arial" w:hAnsi="Arial" w:cs="Arial"/>
          <w:sz w:val="24"/>
          <w:szCs w:val="24"/>
        </w:rPr>
        <w:t xml:space="preserve"> therefore</w:t>
      </w:r>
      <w:r>
        <w:rPr>
          <w:rFonts w:ascii="Arial" w:hAnsi="Arial" w:cs="Arial"/>
          <w:sz w:val="24"/>
          <w:szCs w:val="24"/>
        </w:rPr>
        <w:t xml:space="preserve">, intervention in this proceeding is warranted. </w:t>
      </w:r>
    </w:p>
    <w:p w14:paraId="0694EF38" w14:textId="283FFFEA" w:rsidR="00970888" w:rsidRDefault="00970888" w:rsidP="00970888">
      <w:pPr>
        <w:pStyle w:val="ListParagraph"/>
        <w:numPr>
          <w:ilvl w:val="0"/>
          <w:numId w:val="11"/>
        </w:num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IGS’s participation will streamline this proceeding and refine the issues under consideration</w:t>
      </w:r>
    </w:p>
    <w:p w14:paraId="3B40320A" w14:textId="77777777" w:rsidR="008D4D24" w:rsidRPr="00C863F1" w:rsidRDefault="008D4D24" w:rsidP="00C863F1">
      <w:pPr>
        <w:autoSpaceDE w:val="0"/>
        <w:autoSpaceDN w:val="0"/>
        <w:adjustRightInd w:val="0"/>
        <w:spacing w:after="0" w:line="240" w:lineRule="auto"/>
        <w:jc w:val="both"/>
        <w:rPr>
          <w:rFonts w:ascii="Arial" w:hAnsi="Arial" w:cs="Arial"/>
          <w:b/>
          <w:sz w:val="24"/>
          <w:szCs w:val="24"/>
        </w:rPr>
      </w:pPr>
    </w:p>
    <w:p w14:paraId="28CC6D4C" w14:textId="0DF2F76B" w:rsidR="008D4D24" w:rsidRDefault="008D4D24" w:rsidP="00C339E3">
      <w:pPr>
        <w:autoSpaceDE w:val="0"/>
        <w:autoSpaceDN w:val="0"/>
        <w:adjustRightInd w:val="0"/>
        <w:spacing w:after="120" w:line="480" w:lineRule="auto"/>
        <w:ind w:firstLine="720"/>
        <w:jc w:val="both"/>
        <w:rPr>
          <w:rFonts w:ascii="Arial" w:hAnsi="Arial" w:cs="Arial"/>
          <w:sz w:val="24"/>
          <w:szCs w:val="24"/>
        </w:rPr>
      </w:pPr>
      <w:r w:rsidRPr="00C339E3">
        <w:rPr>
          <w:rFonts w:ascii="Arial" w:hAnsi="Arial" w:cs="Arial"/>
          <w:sz w:val="24"/>
          <w:szCs w:val="24"/>
        </w:rPr>
        <w:t xml:space="preserve">FirstEnergy alleges that </w:t>
      </w:r>
      <w:r w:rsidR="00C339E3">
        <w:rPr>
          <w:rFonts w:ascii="Arial" w:hAnsi="Arial" w:cs="Arial"/>
          <w:sz w:val="24"/>
          <w:szCs w:val="24"/>
        </w:rPr>
        <w:t xml:space="preserve">allowing IGS to intervene would unduly prolong this proceeding because </w:t>
      </w:r>
      <w:r w:rsidR="008162F2">
        <w:rPr>
          <w:rFonts w:ascii="Arial" w:hAnsi="Arial" w:cs="Arial"/>
          <w:sz w:val="24"/>
          <w:szCs w:val="24"/>
        </w:rPr>
        <w:t>it will allow IGS</w:t>
      </w:r>
      <w:r w:rsidR="00C339E3" w:rsidRPr="00C339E3">
        <w:rPr>
          <w:rFonts w:ascii="Arial" w:hAnsi="Arial" w:cs="Arial"/>
          <w:sz w:val="24"/>
          <w:szCs w:val="24"/>
        </w:rPr>
        <w:t xml:space="preserve"> to serve discovery on FirstEnergy </w:t>
      </w:r>
      <w:r w:rsidR="00C339E3">
        <w:rPr>
          <w:rFonts w:ascii="Arial" w:hAnsi="Arial" w:cs="Arial"/>
          <w:sz w:val="24"/>
          <w:szCs w:val="24"/>
        </w:rPr>
        <w:t>while the audit is ongoing.  FirstEnergy alleges that this would be inappropriate “and will require the Commission to engage in lengthy motion practice and discovery disputes as the Companies will resist any premature discovery and requirement that the Companies produce information that is protected by R.C. 4901.16.”</w:t>
      </w:r>
      <w:r w:rsidR="00480A92">
        <w:rPr>
          <w:rStyle w:val="FootnoteReference"/>
          <w:rFonts w:ascii="Arial" w:hAnsi="Arial" w:cs="Arial"/>
          <w:sz w:val="24"/>
          <w:szCs w:val="24"/>
        </w:rPr>
        <w:footnoteReference w:id="35"/>
      </w:r>
      <w:r w:rsidR="00C339E3">
        <w:rPr>
          <w:rFonts w:ascii="Arial" w:hAnsi="Arial" w:cs="Arial"/>
          <w:sz w:val="24"/>
          <w:szCs w:val="24"/>
        </w:rPr>
        <w:t xml:space="preserve">  If the Commission permits IGS to intervene, FirstEnergy argues that it should not be</w:t>
      </w:r>
      <w:r w:rsidR="00C863F1">
        <w:rPr>
          <w:rFonts w:ascii="Arial" w:hAnsi="Arial" w:cs="Arial"/>
          <w:sz w:val="24"/>
          <w:szCs w:val="24"/>
        </w:rPr>
        <w:t xml:space="preserve"> permitted to submit discovery</w:t>
      </w:r>
      <w:r w:rsidR="00C339E3">
        <w:rPr>
          <w:rFonts w:ascii="Arial" w:hAnsi="Arial" w:cs="Arial"/>
          <w:sz w:val="24"/>
          <w:szCs w:val="24"/>
        </w:rPr>
        <w:t xml:space="preserve"> until after a final audit report is issued.  Each of these arguments lacks merit. </w:t>
      </w:r>
    </w:p>
    <w:p w14:paraId="17A786B9" w14:textId="7835F762" w:rsidR="00BA50DB" w:rsidRDefault="00C339E3" w:rsidP="00BA50DB">
      <w:pPr>
        <w:autoSpaceDE w:val="0"/>
        <w:autoSpaceDN w:val="0"/>
        <w:adjustRightInd w:val="0"/>
        <w:spacing w:after="120" w:line="480" w:lineRule="auto"/>
        <w:ind w:firstLine="720"/>
        <w:jc w:val="both"/>
      </w:pPr>
      <w:r>
        <w:rPr>
          <w:rFonts w:ascii="Arial" w:hAnsi="Arial" w:cs="Arial"/>
          <w:sz w:val="24"/>
          <w:szCs w:val="24"/>
        </w:rPr>
        <w:t>While FirstEnergy claims that IGS’s intervention will delay the proceeding, FirstEnergy’s memo contra appears to concede that any delay will be the result of FirstEnergy’s own litigiousness</w:t>
      </w:r>
      <w:r w:rsidR="00BA50DB">
        <w:rPr>
          <w:rFonts w:ascii="Arial" w:hAnsi="Arial" w:cs="Arial"/>
          <w:sz w:val="24"/>
          <w:szCs w:val="24"/>
        </w:rPr>
        <w:t xml:space="preserve"> rather than any conduct from IGS</w:t>
      </w:r>
      <w:r>
        <w:rPr>
          <w:rFonts w:ascii="Arial" w:hAnsi="Arial" w:cs="Arial"/>
          <w:sz w:val="24"/>
          <w:szCs w:val="24"/>
        </w:rPr>
        <w:t>.</w:t>
      </w:r>
      <w:r w:rsidR="00BA50DB">
        <w:rPr>
          <w:rFonts w:ascii="Arial" w:hAnsi="Arial" w:cs="Arial"/>
          <w:sz w:val="24"/>
          <w:szCs w:val="24"/>
        </w:rPr>
        <w:t xml:space="preserve">  Indeed, </w:t>
      </w:r>
      <w:r>
        <w:rPr>
          <w:rFonts w:ascii="Arial" w:hAnsi="Arial" w:cs="Arial"/>
          <w:sz w:val="24"/>
          <w:szCs w:val="24"/>
        </w:rPr>
        <w:t xml:space="preserve">FirstEnergy baldly states that it intends </w:t>
      </w:r>
      <w:r w:rsidR="00BA50DB">
        <w:rPr>
          <w:rFonts w:ascii="Arial" w:hAnsi="Arial" w:cs="Arial"/>
          <w:sz w:val="24"/>
          <w:szCs w:val="24"/>
        </w:rPr>
        <w:t>to oppose any discovery</w:t>
      </w:r>
      <w:r>
        <w:rPr>
          <w:rFonts w:ascii="Arial" w:hAnsi="Arial" w:cs="Arial"/>
          <w:sz w:val="24"/>
          <w:szCs w:val="24"/>
        </w:rPr>
        <w:t>.</w:t>
      </w:r>
      <w:r w:rsidR="00BA50DB">
        <w:rPr>
          <w:rFonts w:ascii="Arial" w:hAnsi="Arial" w:cs="Arial"/>
          <w:sz w:val="24"/>
          <w:szCs w:val="24"/>
        </w:rPr>
        <w:t xml:space="preserve">  Such a position defies common sense, reason, and the Commission rules</w:t>
      </w:r>
      <w:r w:rsidR="007F55E6">
        <w:rPr>
          <w:rFonts w:ascii="Arial" w:hAnsi="Arial" w:cs="Arial"/>
          <w:sz w:val="24"/>
          <w:szCs w:val="24"/>
        </w:rPr>
        <w:t>.</w:t>
      </w:r>
      <w:r w:rsidR="00031823">
        <w:rPr>
          <w:rStyle w:val="FootnoteReference"/>
          <w:rFonts w:ascii="Arial" w:hAnsi="Arial" w:cs="Arial"/>
          <w:sz w:val="24"/>
          <w:szCs w:val="24"/>
        </w:rPr>
        <w:footnoteReference w:id="36"/>
      </w:r>
      <w:r w:rsidR="00BA50DB">
        <w:rPr>
          <w:rFonts w:ascii="Arial" w:hAnsi="Arial" w:cs="Arial"/>
          <w:sz w:val="24"/>
          <w:szCs w:val="24"/>
        </w:rPr>
        <w:t xml:space="preserve"> </w:t>
      </w:r>
      <w:r w:rsidR="007F55E6">
        <w:rPr>
          <w:rFonts w:ascii="Arial" w:hAnsi="Arial" w:cs="Arial"/>
          <w:sz w:val="24"/>
          <w:szCs w:val="24"/>
        </w:rPr>
        <w:t>A</w:t>
      </w:r>
      <w:r w:rsidR="00BA50DB">
        <w:rPr>
          <w:rFonts w:ascii="Arial" w:hAnsi="Arial" w:cs="Arial"/>
          <w:sz w:val="24"/>
          <w:szCs w:val="24"/>
        </w:rPr>
        <w:t>n audit case, by definition,</w:t>
      </w:r>
      <w:r>
        <w:rPr>
          <w:rFonts w:ascii="Arial" w:hAnsi="Arial" w:cs="Arial"/>
          <w:sz w:val="24"/>
          <w:szCs w:val="24"/>
        </w:rPr>
        <w:t xml:space="preserve"> </w:t>
      </w:r>
      <w:r w:rsidR="007F55E6">
        <w:rPr>
          <w:rFonts w:ascii="Arial" w:hAnsi="Arial" w:cs="Arial"/>
          <w:sz w:val="24"/>
          <w:szCs w:val="24"/>
        </w:rPr>
        <w:t xml:space="preserve">involves </w:t>
      </w:r>
      <w:r>
        <w:rPr>
          <w:rFonts w:ascii="Arial" w:hAnsi="Arial" w:cs="Arial"/>
          <w:sz w:val="24"/>
          <w:szCs w:val="24"/>
        </w:rPr>
        <w:t xml:space="preserve">the evaluation of </w:t>
      </w:r>
      <w:r w:rsidR="00E65BDE">
        <w:rPr>
          <w:rFonts w:ascii="Arial" w:hAnsi="Arial" w:cs="Arial"/>
          <w:sz w:val="24"/>
          <w:szCs w:val="24"/>
        </w:rPr>
        <w:t xml:space="preserve">company-specific </w:t>
      </w:r>
      <w:r>
        <w:rPr>
          <w:rFonts w:ascii="Arial" w:hAnsi="Arial" w:cs="Arial"/>
          <w:sz w:val="24"/>
          <w:szCs w:val="24"/>
        </w:rPr>
        <w:t>information</w:t>
      </w:r>
      <w:r w:rsidR="007F55E6">
        <w:rPr>
          <w:rFonts w:ascii="Arial" w:hAnsi="Arial" w:cs="Arial"/>
          <w:sz w:val="24"/>
          <w:szCs w:val="24"/>
        </w:rPr>
        <w:t>.</w:t>
      </w:r>
      <w:r w:rsidR="00BA50DB">
        <w:rPr>
          <w:rFonts w:ascii="Arial" w:hAnsi="Arial" w:cs="Arial"/>
          <w:sz w:val="24"/>
          <w:szCs w:val="24"/>
        </w:rPr>
        <w:t xml:space="preserve">  Such information does not fall from the sky—it is produced in response to discovery.</w:t>
      </w:r>
      <w:r w:rsidR="00BA50DB" w:rsidRPr="00BA50DB">
        <w:t xml:space="preserve"> </w:t>
      </w:r>
    </w:p>
    <w:p w14:paraId="2EBF32A1" w14:textId="1AAA2616" w:rsidR="004F712E" w:rsidRDefault="00BA50DB" w:rsidP="00BA50D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Further, l</w:t>
      </w:r>
      <w:r w:rsidRPr="00BA50DB">
        <w:rPr>
          <w:rFonts w:ascii="Arial" w:hAnsi="Arial" w:cs="Arial"/>
          <w:sz w:val="24"/>
          <w:szCs w:val="24"/>
        </w:rPr>
        <w:t>imiting IGS’s ability to serve discovery until after the audit report</w:t>
      </w:r>
      <w:r w:rsidR="007F55E6">
        <w:rPr>
          <w:rFonts w:ascii="Arial" w:hAnsi="Arial" w:cs="Arial"/>
          <w:sz w:val="24"/>
          <w:szCs w:val="24"/>
        </w:rPr>
        <w:t xml:space="preserve"> is</w:t>
      </w:r>
      <w:r w:rsidRPr="00BA50DB">
        <w:rPr>
          <w:rFonts w:ascii="Arial" w:hAnsi="Arial" w:cs="Arial"/>
          <w:sz w:val="24"/>
          <w:szCs w:val="24"/>
        </w:rPr>
        <w:t xml:space="preserve"> issued would frustrate administrative economy by denying the auditor the ability to examine and consider information that IGS may solicit in discovery. </w:t>
      </w:r>
      <w:r w:rsidR="003643AD">
        <w:rPr>
          <w:rFonts w:ascii="Arial" w:hAnsi="Arial" w:cs="Arial"/>
          <w:sz w:val="24"/>
          <w:szCs w:val="24"/>
        </w:rPr>
        <w:t>The proposed</w:t>
      </w:r>
      <w:r>
        <w:rPr>
          <w:rFonts w:ascii="Arial" w:hAnsi="Arial" w:cs="Arial"/>
          <w:sz w:val="24"/>
          <w:szCs w:val="24"/>
        </w:rPr>
        <w:t xml:space="preserve"> ruling would</w:t>
      </w:r>
      <w:r w:rsidR="007F55E6">
        <w:rPr>
          <w:rFonts w:ascii="Arial" w:hAnsi="Arial" w:cs="Arial"/>
          <w:sz w:val="24"/>
          <w:szCs w:val="24"/>
        </w:rPr>
        <w:t xml:space="preserve"> also</w:t>
      </w:r>
      <w:r>
        <w:rPr>
          <w:rFonts w:ascii="Arial" w:hAnsi="Arial" w:cs="Arial"/>
          <w:sz w:val="24"/>
          <w:szCs w:val="24"/>
        </w:rPr>
        <w:t xml:space="preserve"> defy Commission rules.</w:t>
      </w:r>
      <w:r w:rsidRPr="00BA50DB">
        <w:rPr>
          <w:rFonts w:ascii="Arial" w:hAnsi="Arial" w:cs="Arial"/>
          <w:sz w:val="24"/>
          <w:szCs w:val="24"/>
        </w:rPr>
        <w:t xml:space="preserve"> Under </w:t>
      </w:r>
      <w:r w:rsidR="000E789B">
        <w:rPr>
          <w:rFonts w:ascii="Arial" w:hAnsi="Arial" w:cs="Arial"/>
          <w:sz w:val="24"/>
          <w:szCs w:val="24"/>
        </w:rPr>
        <w:t xml:space="preserve">OAC </w:t>
      </w:r>
      <w:r w:rsidRPr="00BA50DB">
        <w:rPr>
          <w:rFonts w:ascii="Arial" w:hAnsi="Arial" w:cs="Arial"/>
          <w:sz w:val="24"/>
          <w:szCs w:val="24"/>
        </w:rPr>
        <w:t>4901-1-17(A)</w:t>
      </w:r>
      <w:r w:rsidR="00E65BDE">
        <w:rPr>
          <w:rFonts w:ascii="Arial" w:hAnsi="Arial" w:cs="Arial"/>
          <w:sz w:val="24"/>
          <w:szCs w:val="24"/>
        </w:rPr>
        <w:t>,</w:t>
      </w:r>
      <w:r w:rsidRPr="00BA50DB">
        <w:rPr>
          <w:rFonts w:ascii="Arial" w:hAnsi="Arial" w:cs="Arial"/>
          <w:sz w:val="24"/>
          <w:szCs w:val="24"/>
        </w:rPr>
        <w:t xml:space="preserve"> “discovery may begin immediately after a proceeding is commenced and should be completed as expeditiously as possible.”</w:t>
      </w:r>
      <w:r w:rsidR="000E789B">
        <w:rPr>
          <w:rFonts w:ascii="Arial" w:hAnsi="Arial" w:cs="Arial"/>
          <w:sz w:val="24"/>
          <w:szCs w:val="24"/>
        </w:rPr>
        <w:t xml:space="preserve">  </w:t>
      </w:r>
      <w:r w:rsidR="00DC144A">
        <w:rPr>
          <w:rFonts w:ascii="Arial" w:hAnsi="Arial" w:cs="Arial"/>
          <w:sz w:val="24"/>
          <w:szCs w:val="24"/>
        </w:rPr>
        <w:t xml:space="preserve">First Energy’s argument that requests </w:t>
      </w:r>
      <w:r w:rsidR="00C448F9">
        <w:rPr>
          <w:rFonts w:ascii="Arial" w:hAnsi="Arial" w:cs="Arial"/>
          <w:sz w:val="24"/>
          <w:szCs w:val="24"/>
        </w:rPr>
        <w:t xml:space="preserve">for </w:t>
      </w:r>
      <w:r w:rsidR="00DC144A">
        <w:rPr>
          <w:rFonts w:ascii="Arial" w:hAnsi="Arial" w:cs="Arial"/>
          <w:sz w:val="24"/>
          <w:szCs w:val="24"/>
        </w:rPr>
        <w:t xml:space="preserve">discovery should not be served until after the audit report is issued runs contrary to the express </w:t>
      </w:r>
      <w:r w:rsidR="00C448F9">
        <w:rPr>
          <w:rFonts w:ascii="Arial" w:hAnsi="Arial" w:cs="Arial"/>
          <w:sz w:val="24"/>
          <w:szCs w:val="24"/>
        </w:rPr>
        <w:t>language</w:t>
      </w:r>
      <w:r w:rsidR="00E65BDE">
        <w:rPr>
          <w:rFonts w:ascii="Arial" w:hAnsi="Arial" w:cs="Arial"/>
          <w:sz w:val="24"/>
          <w:szCs w:val="24"/>
        </w:rPr>
        <w:t xml:space="preserve"> of the Commission’s discovery rules</w:t>
      </w:r>
      <w:r w:rsidR="00DC144A">
        <w:rPr>
          <w:rFonts w:ascii="Arial" w:hAnsi="Arial" w:cs="Arial"/>
          <w:sz w:val="24"/>
          <w:szCs w:val="24"/>
        </w:rPr>
        <w:t xml:space="preserve">.  </w:t>
      </w:r>
      <w:r w:rsidR="000E789B">
        <w:rPr>
          <w:rFonts w:ascii="Arial" w:hAnsi="Arial" w:cs="Arial"/>
          <w:sz w:val="24"/>
          <w:szCs w:val="24"/>
        </w:rPr>
        <w:t xml:space="preserve">Accordingly, IGS should be permitted to intervene with full party status.  </w:t>
      </w:r>
      <w:r>
        <w:rPr>
          <w:rFonts w:ascii="Arial" w:hAnsi="Arial" w:cs="Arial"/>
          <w:sz w:val="24"/>
          <w:szCs w:val="24"/>
        </w:rPr>
        <w:t xml:space="preserve"> </w:t>
      </w:r>
    </w:p>
    <w:p w14:paraId="214ECC6C" w14:textId="5ADC31EF" w:rsidR="004F712E" w:rsidRDefault="004F712E" w:rsidP="004F712E">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FirstEnergy’s reliance </w:t>
      </w:r>
      <w:r w:rsidR="003643AD">
        <w:rPr>
          <w:rFonts w:ascii="Arial" w:hAnsi="Arial" w:cs="Arial"/>
          <w:sz w:val="24"/>
          <w:szCs w:val="24"/>
        </w:rPr>
        <w:t xml:space="preserve">on </w:t>
      </w:r>
      <w:r>
        <w:rPr>
          <w:rFonts w:ascii="Arial" w:hAnsi="Arial" w:cs="Arial"/>
          <w:sz w:val="24"/>
          <w:szCs w:val="24"/>
        </w:rPr>
        <w:t>R.C. 4901.16 is</w:t>
      </w:r>
      <w:r w:rsidR="003643AD">
        <w:rPr>
          <w:rFonts w:ascii="Arial" w:hAnsi="Arial" w:cs="Arial"/>
          <w:sz w:val="24"/>
          <w:szCs w:val="24"/>
        </w:rPr>
        <w:t xml:space="preserve"> also</w:t>
      </w:r>
      <w:r>
        <w:rPr>
          <w:rFonts w:ascii="Arial" w:hAnsi="Arial" w:cs="Arial"/>
          <w:sz w:val="24"/>
          <w:szCs w:val="24"/>
        </w:rPr>
        <w:t xml:space="preserve"> misplaced.  As the Commission has noted,</w:t>
      </w:r>
      <w:r w:rsidRPr="004F712E">
        <w:t xml:space="preserve"> </w:t>
      </w:r>
      <w:r>
        <w:rPr>
          <w:rFonts w:ascii="Arial" w:hAnsi="Arial" w:cs="Arial"/>
          <w:sz w:val="24"/>
          <w:szCs w:val="24"/>
        </w:rPr>
        <w:t>“[t]</w:t>
      </w:r>
      <w:r w:rsidRPr="004F712E">
        <w:rPr>
          <w:rFonts w:ascii="Arial" w:hAnsi="Arial" w:cs="Arial"/>
          <w:sz w:val="24"/>
          <w:szCs w:val="24"/>
        </w:rPr>
        <w:t>hat statute provides that</w:t>
      </w:r>
      <w:r>
        <w:rPr>
          <w:rFonts w:ascii="Arial" w:hAnsi="Arial" w:cs="Arial"/>
          <w:sz w:val="24"/>
          <w:szCs w:val="24"/>
        </w:rPr>
        <w:t xml:space="preserve"> the Commission staff shall not publicly release pu</w:t>
      </w:r>
      <w:r w:rsidRPr="004F712E">
        <w:rPr>
          <w:rFonts w:ascii="Arial" w:hAnsi="Arial" w:cs="Arial"/>
          <w:sz w:val="24"/>
          <w:szCs w:val="24"/>
        </w:rPr>
        <w:t>blic utilit</w:t>
      </w:r>
      <w:r>
        <w:rPr>
          <w:rFonts w:ascii="Arial" w:hAnsi="Arial" w:cs="Arial"/>
          <w:sz w:val="24"/>
          <w:szCs w:val="24"/>
        </w:rPr>
        <w:t xml:space="preserve">y information acquired by staff </w:t>
      </w:r>
      <w:r w:rsidRPr="004F712E">
        <w:rPr>
          <w:rFonts w:ascii="Arial" w:hAnsi="Arial" w:cs="Arial"/>
          <w:sz w:val="24"/>
          <w:szCs w:val="24"/>
        </w:rPr>
        <w:t>other than through a staff report to the Commissio</w:t>
      </w:r>
      <w:r>
        <w:rPr>
          <w:rFonts w:ascii="Arial" w:hAnsi="Arial" w:cs="Arial"/>
          <w:sz w:val="24"/>
          <w:szCs w:val="24"/>
        </w:rPr>
        <w:t xml:space="preserve">n or through </w:t>
      </w:r>
      <w:r w:rsidRPr="004F712E">
        <w:rPr>
          <w:rFonts w:ascii="Arial" w:hAnsi="Arial" w:cs="Arial"/>
          <w:sz w:val="24"/>
          <w:szCs w:val="24"/>
        </w:rPr>
        <w:t>staff testimony in a Commission or court proceeding.</w:t>
      </w:r>
      <w:r>
        <w:rPr>
          <w:rFonts w:ascii="Arial" w:hAnsi="Arial" w:cs="Arial"/>
          <w:sz w:val="24"/>
          <w:szCs w:val="24"/>
        </w:rPr>
        <w:t>”</w:t>
      </w:r>
      <w:r>
        <w:rPr>
          <w:rStyle w:val="FootnoteReference"/>
          <w:rFonts w:ascii="Arial" w:hAnsi="Arial" w:cs="Arial"/>
          <w:sz w:val="24"/>
          <w:szCs w:val="24"/>
        </w:rPr>
        <w:footnoteReference w:id="37"/>
      </w:r>
      <w:r>
        <w:rPr>
          <w:rFonts w:ascii="Arial" w:hAnsi="Arial" w:cs="Arial"/>
          <w:sz w:val="24"/>
          <w:szCs w:val="24"/>
        </w:rPr>
        <w:t xml:space="preserve">  In other words, the statute prohibits the </w:t>
      </w:r>
      <w:r w:rsidRPr="00E90098">
        <w:rPr>
          <w:rFonts w:ascii="Arial" w:hAnsi="Arial" w:cs="Arial"/>
          <w:i/>
          <w:sz w:val="24"/>
          <w:szCs w:val="24"/>
        </w:rPr>
        <w:t>staff and the auditor</w:t>
      </w:r>
      <w:r>
        <w:rPr>
          <w:rFonts w:ascii="Arial" w:hAnsi="Arial" w:cs="Arial"/>
          <w:sz w:val="24"/>
          <w:szCs w:val="24"/>
        </w:rPr>
        <w:t xml:space="preserve"> from disclosing information prematurely</w:t>
      </w:r>
      <w:r w:rsidR="000E789B">
        <w:rPr>
          <w:rFonts w:ascii="Arial" w:hAnsi="Arial" w:cs="Arial"/>
          <w:sz w:val="24"/>
          <w:szCs w:val="24"/>
        </w:rPr>
        <w:t>, for example, pursuant to a public records request.  With respect to any discovery that IGS may independently serve on FirstEnergy</w:t>
      </w:r>
      <w:r w:rsidR="00E90098">
        <w:rPr>
          <w:rFonts w:ascii="Arial" w:hAnsi="Arial" w:cs="Arial"/>
          <w:sz w:val="24"/>
          <w:szCs w:val="24"/>
        </w:rPr>
        <w:t xml:space="preserve"> as party in this proceeding</w:t>
      </w:r>
      <w:r w:rsidR="000E789B">
        <w:rPr>
          <w:rFonts w:ascii="Arial" w:hAnsi="Arial" w:cs="Arial"/>
          <w:sz w:val="24"/>
          <w:szCs w:val="24"/>
        </w:rPr>
        <w:t xml:space="preserve">, R.C. 4901.16 is completely inapplicable.  Thus, FirstEnergy’s reliance on the statute </w:t>
      </w:r>
      <w:r w:rsidR="00B22026">
        <w:rPr>
          <w:rFonts w:ascii="Arial" w:hAnsi="Arial" w:cs="Arial"/>
          <w:sz w:val="24"/>
          <w:szCs w:val="24"/>
        </w:rPr>
        <w:t xml:space="preserve">to prohibit IGS from seeking discovery during the course of the audit </w:t>
      </w:r>
      <w:r w:rsidR="000E789B">
        <w:rPr>
          <w:rFonts w:ascii="Arial" w:hAnsi="Arial" w:cs="Arial"/>
          <w:sz w:val="24"/>
          <w:szCs w:val="24"/>
        </w:rPr>
        <w:t>is a red herring</w:t>
      </w:r>
      <w:r w:rsidR="00E90098">
        <w:rPr>
          <w:rFonts w:ascii="Arial" w:hAnsi="Arial" w:cs="Arial"/>
          <w:sz w:val="24"/>
          <w:szCs w:val="24"/>
        </w:rPr>
        <w:t>.</w:t>
      </w:r>
      <w:r w:rsidR="000E789B">
        <w:rPr>
          <w:rFonts w:ascii="Arial" w:hAnsi="Arial" w:cs="Arial"/>
          <w:sz w:val="24"/>
          <w:szCs w:val="24"/>
        </w:rPr>
        <w:t xml:space="preserve"> </w:t>
      </w:r>
    </w:p>
    <w:p w14:paraId="20E13319" w14:textId="3032AE56" w:rsidR="00BA50DB" w:rsidRPr="002D3719" w:rsidRDefault="0092449F" w:rsidP="002D3719">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CONCLUSION</w:t>
      </w:r>
      <w:r w:rsidR="00BA50DB" w:rsidRPr="002D3719">
        <w:rPr>
          <w:rFonts w:ascii="Arial" w:hAnsi="Arial" w:cs="Arial"/>
          <w:b/>
          <w:sz w:val="24"/>
          <w:szCs w:val="24"/>
        </w:rPr>
        <w:t xml:space="preserve"> </w:t>
      </w:r>
    </w:p>
    <w:p w14:paraId="34E56C82" w14:textId="21824230" w:rsidR="00031823" w:rsidRPr="00031823" w:rsidRDefault="00031823" w:rsidP="00031823">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For the reasons stated herein, IGS respectfully requests that the Commission grant IGS’s motion to intervene.  IGS looks forward to participating in this proceeding to </w:t>
      </w:r>
      <w:r>
        <w:rPr>
          <w:rFonts w:ascii="Arial" w:hAnsi="Arial" w:cs="Arial"/>
          <w:sz w:val="24"/>
          <w:szCs w:val="24"/>
        </w:rPr>
        <w:lastRenderedPageBreak/>
        <w:t>expeditiously and judiciously develop the record</w:t>
      </w:r>
      <w:r w:rsidR="00212844">
        <w:rPr>
          <w:rFonts w:ascii="Arial" w:hAnsi="Arial" w:cs="Arial"/>
          <w:sz w:val="24"/>
          <w:szCs w:val="24"/>
        </w:rPr>
        <w:t xml:space="preserve"> with the ultimate goal of</w:t>
      </w:r>
      <w:r>
        <w:rPr>
          <w:rFonts w:ascii="Arial" w:hAnsi="Arial" w:cs="Arial"/>
          <w:sz w:val="24"/>
          <w:szCs w:val="24"/>
        </w:rPr>
        <w:t xml:space="preserve"> </w:t>
      </w:r>
      <w:r w:rsidR="00C863F1">
        <w:rPr>
          <w:rFonts w:ascii="Arial" w:hAnsi="Arial" w:cs="Arial"/>
          <w:sz w:val="24"/>
          <w:szCs w:val="24"/>
        </w:rPr>
        <w:t>enhancing</w:t>
      </w:r>
      <w:r w:rsidR="00212844">
        <w:rPr>
          <w:rFonts w:ascii="Arial" w:hAnsi="Arial" w:cs="Arial"/>
          <w:sz w:val="24"/>
          <w:szCs w:val="24"/>
        </w:rPr>
        <w:t xml:space="preserve"> and improving</w:t>
      </w:r>
      <w:r>
        <w:rPr>
          <w:rFonts w:ascii="Arial" w:hAnsi="Arial" w:cs="Arial"/>
          <w:sz w:val="24"/>
          <w:szCs w:val="24"/>
        </w:rPr>
        <w:t xml:space="preserve"> the market for retail electric and non-commodity products and services.</w:t>
      </w: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2" w14:textId="77777777" w:rsidR="00545F29" w:rsidRDefault="00545F29" w:rsidP="009B4C01">
      <w:pPr>
        <w:spacing w:after="0" w:line="240" w:lineRule="auto"/>
        <w:rPr>
          <w:rFonts w:ascii="Arial" w:eastAsia="Calibri" w:hAnsi="Arial" w:cs="Arial"/>
          <w:sz w:val="24"/>
          <w:szCs w:val="24"/>
        </w:rPr>
      </w:pPr>
    </w:p>
    <w:p w14:paraId="7176D2D3" w14:textId="77777777" w:rsidR="00545F29" w:rsidRDefault="00545F29">
      <w:pPr>
        <w:spacing w:after="0" w:line="240" w:lineRule="auto"/>
        <w:ind w:left="5040"/>
        <w:rPr>
          <w:rFonts w:ascii="Arial" w:eastAsia="Calibri" w:hAnsi="Arial" w:cs="Arial"/>
          <w:sz w:val="24"/>
          <w:szCs w:val="24"/>
          <w:u w:val="single"/>
        </w:rPr>
      </w:pPr>
    </w:p>
    <w:p w14:paraId="7176D2D4" w14:textId="71202B1E" w:rsidR="00F10F9B" w:rsidRDefault="00F5720A">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0181F1A6" w14:textId="1A5098FC" w:rsidR="00F5720A" w:rsidRPr="007B3399" w:rsidRDefault="00F5720A" w:rsidP="007B3399">
      <w:pPr>
        <w:spacing w:after="0" w:line="240" w:lineRule="auto"/>
        <w:ind w:left="5040"/>
        <w:rPr>
          <w:rFonts w:ascii="Arial" w:hAnsi="Arial" w:cs="Arial"/>
          <w:sz w:val="24"/>
          <w:szCs w:val="24"/>
        </w:rPr>
      </w:pPr>
      <w:r>
        <w:rPr>
          <w:rFonts w:ascii="Arial" w:eastAsia="Arial" w:hAnsi="Arial" w:cs="Arial"/>
          <w:sz w:val="24"/>
          <w:szCs w:val="24"/>
        </w:rPr>
        <w:t>Joseph Oliker</w:t>
      </w:r>
      <w:r w:rsidR="007B3399">
        <w:rPr>
          <w:rFonts w:ascii="Arial" w:eastAsia="Arial" w:hAnsi="Arial" w:cs="Arial"/>
          <w:sz w:val="24"/>
          <w:szCs w:val="24"/>
        </w:rPr>
        <w:t xml:space="preserve"> </w:t>
      </w:r>
      <w:r w:rsidR="007B3399">
        <w:rPr>
          <w:rFonts w:ascii="Arial" w:hAnsi="Arial" w:cs="Arial"/>
          <w:sz w:val="24"/>
          <w:szCs w:val="24"/>
        </w:rPr>
        <w:t>(0086088)</w:t>
      </w:r>
    </w:p>
    <w:p w14:paraId="0936F70B" w14:textId="1CB024E2" w:rsidR="00732F9F" w:rsidRPr="00732F9F" w:rsidRDefault="00F5720A" w:rsidP="00732F9F">
      <w:pPr>
        <w:spacing w:after="0" w:line="240" w:lineRule="auto"/>
        <w:ind w:left="5040"/>
        <w:rPr>
          <w:rFonts w:ascii="Arial" w:eastAsia="Arial" w:hAnsi="Arial" w:cs="Arial"/>
          <w:sz w:val="24"/>
          <w:szCs w:val="24"/>
        </w:rPr>
      </w:pPr>
      <w:r>
        <w:rPr>
          <w:rFonts w:ascii="Arial" w:eastAsia="Arial" w:hAnsi="Arial" w:cs="Arial"/>
          <w:sz w:val="24"/>
          <w:szCs w:val="24"/>
        </w:rPr>
        <w:t xml:space="preserve">Counsel of Record </w:t>
      </w:r>
    </w:p>
    <w:p w14:paraId="7176D2D6" w14:textId="74C02129" w:rsidR="00545F29" w:rsidRPr="00732F9F" w:rsidRDefault="00F5720A" w:rsidP="00F5720A">
      <w:pPr>
        <w:spacing w:after="0" w:line="240" w:lineRule="auto"/>
        <w:ind w:left="5040"/>
        <w:rPr>
          <w:rFonts w:ascii="Arial" w:hAnsi="Arial" w:cs="Arial"/>
          <w:sz w:val="24"/>
          <w:szCs w:val="24"/>
        </w:rPr>
      </w:pPr>
      <w:r>
        <w:rPr>
          <w:rFonts w:ascii="Arial" w:hAnsi="Arial" w:cs="Arial"/>
          <w:sz w:val="24"/>
          <w:szCs w:val="24"/>
        </w:rPr>
        <w:t xml:space="preserve">Email:  </w:t>
      </w:r>
      <w:hyperlink r:id="rId9" w:history="1">
        <w:r w:rsidR="00732F9F" w:rsidRPr="00732F9F">
          <w:rPr>
            <w:rStyle w:val="Hyperlink"/>
            <w:rFonts w:ascii="Arial" w:hAnsi="Arial" w:cs="Arial"/>
            <w:color w:val="auto"/>
            <w:sz w:val="24"/>
            <w:szCs w:val="24"/>
            <w:u w:val="none"/>
          </w:rPr>
          <w:t>joliker@igsenergy.com</w:t>
        </w:r>
      </w:hyperlink>
    </w:p>
    <w:p w14:paraId="2C83BB4F" w14:textId="5F2AD7DE" w:rsidR="00732F9F" w:rsidRPr="00732F9F" w:rsidRDefault="00732F9F" w:rsidP="00F5720A">
      <w:pPr>
        <w:spacing w:after="0" w:line="240" w:lineRule="auto"/>
        <w:ind w:left="5040"/>
        <w:rPr>
          <w:rFonts w:ascii="Arial" w:hAnsi="Arial" w:cs="Arial"/>
          <w:sz w:val="24"/>
          <w:szCs w:val="24"/>
        </w:rPr>
      </w:pPr>
      <w:r w:rsidRPr="00732F9F">
        <w:rPr>
          <w:rFonts w:ascii="Arial" w:hAnsi="Arial" w:cs="Arial"/>
          <w:sz w:val="24"/>
          <w:szCs w:val="24"/>
        </w:rPr>
        <w:t>Michael Nugent</w:t>
      </w:r>
      <w:r w:rsidR="00124D9F">
        <w:rPr>
          <w:rFonts w:ascii="Arial" w:hAnsi="Arial" w:cs="Arial"/>
          <w:sz w:val="24"/>
          <w:szCs w:val="24"/>
        </w:rPr>
        <w:t xml:space="preserve"> </w:t>
      </w:r>
      <w:r w:rsidR="00124D9F" w:rsidRPr="00124D9F">
        <w:rPr>
          <w:rFonts w:ascii="Arial" w:hAnsi="Arial" w:cs="Arial"/>
          <w:sz w:val="24"/>
          <w:szCs w:val="24"/>
        </w:rPr>
        <w:t>(0090408)</w:t>
      </w:r>
    </w:p>
    <w:p w14:paraId="09C5051A" w14:textId="53E82F9E" w:rsidR="00732F9F" w:rsidRPr="00732F9F" w:rsidRDefault="00732F9F" w:rsidP="00F5720A">
      <w:pPr>
        <w:spacing w:after="0" w:line="240" w:lineRule="auto"/>
        <w:ind w:left="5040"/>
        <w:rPr>
          <w:rFonts w:ascii="Arial" w:hAnsi="Arial" w:cs="Arial"/>
          <w:sz w:val="24"/>
          <w:szCs w:val="24"/>
        </w:rPr>
      </w:pPr>
      <w:r w:rsidRPr="00732F9F">
        <w:rPr>
          <w:rFonts w:ascii="Arial" w:hAnsi="Arial" w:cs="Arial"/>
          <w:sz w:val="24"/>
          <w:szCs w:val="24"/>
        </w:rPr>
        <w:t>Mnugent@igsenergy.com</w:t>
      </w:r>
    </w:p>
    <w:p w14:paraId="7176D2DA" w14:textId="71124126" w:rsidR="00545F29" w:rsidRPr="00732F9F" w:rsidRDefault="00AA75B4">
      <w:pPr>
        <w:spacing w:after="0" w:line="240" w:lineRule="auto"/>
        <w:ind w:left="5040"/>
        <w:rPr>
          <w:rFonts w:ascii="Arial" w:hAnsi="Arial" w:cs="Arial"/>
          <w:sz w:val="24"/>
          <w:szCs w:val="24"/>
        </w:rPr>
      </w:pPr>
      <w:r w:rsidRPr="00732F9F">
        <w:rPr>
          <w:rFonts w:ascii="Arial" w:hAnsi="Arial" w:cs="Arial"/>
          <w:sz w:val="24"/>
          <w:szCs w:val="24"/>
        </w:rPr>
        <w:t>IGS Energy</w:t>
      </w:r>
    </w:p>
    <w:p w14:paraId="7176D2DB" w14:textId="77777777" w:rsidR="00545F29" w:rsidRPr="00732F9F" w:rsidRDefault="0056270F">
      <w:pPr>
        <w:spacing w:after="0" w:line="240" w:lineRule="auto"/>
        <w:ind w:left="5040"/>
        <w:rPr>
          <w:rFonts w:ascii="Arial" w:hAnsi="Arial" w:cs="Arial"/>
          <w:sz w:val="24"/>
          <w:szCs w:val="24"/>
        </w:rPr>
      </w:pPr>
      <w:r w:rsidRPr="00732F9F">
        <w:rPr>
          <w:rFonts w:ascii="Arial" w:hAnsi="Arial" w:cs="Arial"/>
          <w:sz w:val="24"/>
          <w:szCs w:val="24"/>
        </w:rPr>
        <w:t>6100 Emerald Parkway</w:t>
      </w:r>
    </w:p>
    <w:p w14:paraId="7176D2DC" w14:textId="77777777" w:rsidR="00545F29" w:rsidRPr="00732F9F" w:rsidRDefault="0056270F">
      <w:pPr>
        <w:spacing w:after="0" w:line="240" w:lineRule="auto"/>
        <w:ind w:left="5040"/>
        <w:rPr>
          <w:rFonts w:ascii="Arial" w:hAnsi="Arial" w:cs="Arial"/>
          <w:sz w:val="24"/>
          <w:szCs w:val="24"/>
        </w:rPr>
      </w:pPr>
      <w:r w:rsidRPr="00732F9F">
        <w:rPr>
          <w:rFonts w:ascii="Arial" w:hAnsi="Arial" w:cs="Arial"/>
          <w:sz w:val="24"/>
          <w:szCs w:val="24"/>
        </w:rPr>
        <w:t>Dublin, Ohio 43016</w:t>
      </w:r>
    </w:p>
    <w:p w14:paraId="7176D2DD" w14:textId="77777777" w:rsidR="00545F29" w:rsidRPr="00732F9F" w:rsidRDefault="0056270F">
      <w:pPr>
        <w:spacing w:after="0" w:line="240" w:lineRule="auto"/>
        <w:ind w:left="5040"/>
        <w:rPr>
          <w:rFonts w:ascii="Arial" w:hAnsi="Arial" w:cs="Arial"/>
          <w:sz w:val="24"/>
          <w:szCs w:val="24"/>
        </w:rPr>
      </w:pPr>
      <w:r w:rsidRPr="00732F9F">
        <w:rPr>
          <w:rFonts w:ascii="Arial" w:hAnsi="Arial" w:cs="Arial"/>
          <w:sz w:val="24"/>
          <w:szCs w:val="24"/>
        </w:rPr>
        <w:t>Telephone:</w:t>
      </w:r>
      <w:r w:rsidRPr="00732F9F">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2E1" w14:textId="0D77A04F" w:rsidR="00545F29" w:rsidRPr="00237730" w:rsidRDefault="003C11D0" w:rsidP="00237730">
      <w:pPr>
        <w:spacing w:after="0" w:line="240" w:lineRule="auto"/>
        <w:ind w:left="5040"/>
        <w:rPr>
          <w:rFonts w:ascii="Arial" w:hAnsi="Arial" w:cs="Arial"/>
          <w:b/>
          <w:i/>
          <w:sz w:val="24"/>
          <w:szCs w:val="24"/>
        </w:rPr>
      </w:pPr>
      <w:r>
        <w:rPr>
          <w:rFonts w:ascii="Arial" w:hAnsi="Arial" w:cs="Arial"/>
          <w:b/>
          <w:i/>
          <w:sz w:val="24"/>
          <w:szCs w:val="24"/>
        </w:rPr>
        <w:t>Attorney</w:t>
      </w:r>
      <w:r w:rsidR="00732F9F">
        <w:rPr>
          <w:rFonts w:ascii="Arial" w:hAnsi="Arial" w:cs="Arial"/>
          <w:b/>
          <w:i/>
          <w:sz w:val="24"/>
          <w:szCs w:val="24"/>
        </w:rPr>
        <w:t>s</w:t>
      </w:r>
      <w:r>
        <w:rPr>
          <w:rFonts w:ascii="Arial" w:hAnsi="Arial" w:cs="Arial"/>
          <w:b/>
          <w:i/>
          <w:sz w:val="24"/>
          <w:szCs w:val="24"/>
        </w:rPr>
        <w:t xml:space="preserve"> </w:t>
      </w:r>
      <w:r w:rsidR="00237730">
        <w:rPr>
          <w:rFonts w:ascii="Arial" w:hAnsi="Arial" w:cs="Arial"/>
          <w:b/>
          <w:i/>
          <w:sz w:val="24"/>
          <w:szCs w:val="24"/>
        </w:rPr>
        <w:t>for IGS Energy</w:t>
      </w:r>
    </w:p>
    <w:p w14:paraId="7BA4EB71" w14:textId="77777777" w:rsidR="00732F9F" w:rsidRDefault="00732F9F" w:rsidP="00734E39">
      <w:pPr>
        <w:jc w:val="center"/>
        <w:rPr>
          <w:rFonts w:ascii="Arial" w:hAnsi="Arial" w:cs="Arial"/>
          <w:b/>
          <w:szCs w:val="24"/>
        </w:rPr>
      </w:pPr>
    </w:p>
    <w:p w14:paraId="00E9354E" w14:textId="77777777" w:rsidR="00732F9F" w:rsidRDefault="00732F9F" w:rsidP="00734E39">
      <w:pPr>
        <w:jc w:val="center"/>
        <w:rPr>
          <w:rFonts w:ascii="Arial" w:hAnsi="Arial" w:cs="Arial"/>
          <w:b/>
          <w:szCs w:val="24"/>
        </w:rPr>
      </w:pPr>
    </w:p>
    <w:p w14:paraId="0DAEB081" w14:textId="77777777" w:rsidR="00732F9F" w:rsidRDefault="00732F9F" w:rsidP="00734E39">
      <w:pPr>
        <w:jc w:val="center"/>
        <w:rPr>
          <w:rFonts w:ascii="Arial" w:hAnsi="Arial" w:cs="Arial"/>
          <w:b/>
          <w:szCs w:val="24"/>
        </w:rPr>
      </w:pPr>
    </w:p>
    <w:p w14:paraId="01B5FD11" w14:textId="77777777" w:rsidR="00732F9F" w:rsidRDefault="00732F9F" w:rsidP="00734E39">
      <w:pPr>
        <w:jc w:val="center"/>
        <w:rPr>
          <w:rFonts w:ascii="Arial" w:hAnsi="Arial" w:cs="Arial"/>
          <w:b/>
          <w:szCs w:val="24"/>
        </w:rPr>
      </w:pPr>
    </w:p>
    <w:p w14:paraId="3DBA16A2" w14:textId="77777777" w:rsidR="00732F9F" w:rsidRDefault="00732F9F" w:rsidP="00734E39">
      <w:pPr>
        <w:jc w:val="center"/>
        <w:rPr>
          <w:rFonts w:ascii="Arial" w:hAnsi="Arial" w:cs="Arial"/>
          <w:b/>
          <w:szCs w:val="24"/>
        </w:rPr>
      </w:pPr>
    </w:p>
    <w:p w14:paraId="27030F72" w14:textId="77777777" w:rsidR="00732F9F" w:rsidRDefault="00732F9F" w:rsidP="00734E39">
      <w:pPr>
        <w:jc w:val="center"/>
        <w:rPr>
          <w:rFonts w:ascii="Arial" w:hAnsi="Arial" w:cs="Arial"/>
          <w:b/>
          <w:szCs w:val="24"/>
        </w:rPr>
      </w:pPr>
    </w:p>
    <w:p w14:paraId="3B745F42" w14:textId="77777777" w:rsidR="00732F9F" w:rsidRDefault="00732F9F" w:rsidP="00734E39">
      <w:pPr>
        <w:jc w:val="center"/>
        <w:rPr>
          <w:rFonts w:ascii="Arial" w:hAnsi="Arial" w:cs="Arial"/>
          <w:b/>
          <w:szCs w:val="24"/>
        </w:rPr>
      </w:pPr>
    </w:p>
    <w:p w14:paraId="7A772E74" w14:textId="77777777" w:rsidR="00732F9F" w:rsidRDefault="00732F9F" w:rsidP="00734E39">
      <w:pPr>
        <w:jc w:val="center"/>
        <w:rPr>
          <w:rFonts w:ascii="Arial" w:hAnsi="Arial" w:cs="Arial"/>
          <w:b/>
          <w:szCs w:val="24"/>
        </w:rPr>
      </w:pPr>
    </w:p>
    <w:p w14:paraId="493E2348" w14:textId="77777777" w:rsidR="00732F9F" w:rsidRDefault="00732F9F" w:rsidP="00734E39">
      <w:pPr>
        <w:jc w:val="center"/>
        <w:rPr>
          <w:rFonts w:ascii="Arial" w:hAnsi="Arial" w:cs="Arial"/>
          <w:b/>
          <w:szCs w:val="24"/>
        </w:rPr>
      </w:pPr>
    </w:p>
    <w:p w14:paraId="56E1CBD1" w14:textId="77777777" w:rsidR="004170DE" w:rsidRDefault="004170DE" w:rsidP="00734E39">
      <w:pPr>
        <w:jc w:val="center"/>
        <w:rPr>
          <w:rFonts w:ascii="Arial" w:hAnsi="Arial" w:cs="Arial"/>
          <w:b/>
          <w:szCs w:val="24"/>
        </w:rPr>
      </w:pPr>
    </w:p>
    <w:p w14:paraId="2F5506F0" w14:textId="77777777" w:rsidR="004170DE" w:rsidRDefault="004170DE" w:rsidP="00734E39">
      <w:pPr>
        <w:jc w:val="center"/>
        <w:rPr>
          <w:rFonts w:ascii="Arial" w:hAnsi="Arial" w:cs="Arial"/>
          <w:b/>
          <w:szCs w:val="24"/>
        </w:rPr>
      </w:pPr>
    </w:p>
    <w:p w14:paraId="6BF8023F" w14:textId="77777777" w:rsidR="004170DE" w:rsidRDefault="004170DE" w:rsidP="00734E39">
      <w:pPr>
        <w:jc w:val="center"/>
        <w:rPr>
          <w:rFonts w:ascii="Arial" w:hAnsi="Arial" w:cs="Arial"/>
          <w:b/>
          <w:szCs w:val="24"/>
        </w:rPr>
      </w:pPr>
    </w:p>
    <w:p w14:paraId="247B1BA8" w14:textId="77777777" w:rsidR="004170DE" w:rsidRDefault="004170DE" w:rsidP="00734E39">
      <w:pPr>
        <w:jc w:val="center"/>
        <w:rPr>
          <w:rFonts w:ascii="Arial" w:hAnsi="Arial" w:cs="Arial"/>
          <w:b/>
          <w:szCs w:val="24"/>
        </w:rPr>
      </w:pPr>
    </w:p>
    <w:p w14:paraId="43839094" w14:textId="77777777" w:rsidR="004170DE" w:rsidRDefault="004170DE" w:rsidP="002F2653">
      <w:pPr>
        <w:rPr>
          <w:rFonts w:ascii="Arial" w:hAnsi="Arial" w:cs="Arial"/>
          <w:b/>
          <w:szCs w:val="24"/>
        </w:rPr>
      </w:pPr>
    </w:p>
    <w:p w14:paraId="7561E5DF" w14:textId="77777777" w:rsidR="00732F9F" w:rsidRDefault="00732F9F" w:rsidP="002D3719">
      <w:pPr>
        <w:rPr>
          <w:rFonts w:ascii="Arial" w:hAnsi="Arial" w:cs="Arial"/>
          <w:b/>
          <w:szCs w:val="24"/>
        </w:rPr>
      </w:pP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317AE851" w:rsidR="00545F29" w:rsidRPr="009D71F6" w:rsidRDefault="0056270F">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 xml:space="preserve">The undersigned hereby certifies that a copy of the foregoing </w:t>
      </w:r>
      <w:r w:rsidR="004170DE">
        <w:rPr>
          <w:rFonts w:ascii="Arial" w:eastAsia="Calibri" w:hAnsi="Arial" w:cs="Arial"/>
          <w:i/>
          <w:sz w:val="24"/>
          <w:szCs w:val="24"/>
        </w:rPr>
        <w:t xml:space="preserve">Reply in Support of </w:t>
      </w:r>
      <w:r w:rsidRPr="009D71F6">
        <w:rPr>
          <w:rFonts w:ascii="Arial" w:eastAsia="Calibri" w:hAnsi="Arial" w:cs="Arial"/>
          <w:i/>
          <w:sz w:val="24"/>
          <w:szCs w:val="24"/>
        </w:rPr>
        <w:t>Motion to Intervene and Memorandum in Support</w:t>
      </w:r>
      <w:r w:rsidR="0003001D">
        <w:rPr>
          <w:rFonts w:ascii="Arial" w:eastAsia="Calibri" w:hAnsi="Arial" w:cs="Arial"/>
          <w:i/>
          <w:sz w:val="24"/>
          <w:szCs w:val="24"/>
        </w:rPr>
        <w:t xml:space="preserve"> of Interstate Gas Supply, Inc.</w:t>
      </w:r>
      <w:r w:rsidRPr="009D71F6">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sidR="006C495D">
        <w:rPr>
          <w:rFonts w:ascii="Arial" w:eastAsia="Calibri" w:hAnsi="Arial" w:cs="Arial"/>
          <w:sz w:val="24"/>
          <w:szCs w:val="24"/>
        </w:rPr>
        <w:t>21st</w:t>
      </w:r>
      <w:r w:rsidRPr="009D71F6">
        <w:rPr>
          <w:rFonts w:ascii="Arial" w:eastAsia="Calibri" w:hAnsi="Arial" w:cs="Arial"/>
          <w:sz w:val="24"/>
          <w:szCs w:val="24"/>
        </w:rPr>
        <w:t xml:space="preserve"> day of </w:t>
      </w:r>
      <w:r w:rsidR="006C495D">
        <w:rPr>
          <w:rFonts w:ascii="Arial" w:eastAsia="Calibri" w:hAnsi="Arial" w:cs="Arial"/>
          <w:sz w:val="24"/>
          <w:szCs w:val="24"/>
        </w:rPr>
        <w:t xml:space="preserve">September </w:t>
      </w:r>
      <w:r w:rsidR="0003001D">
        <w:rPr>
          <w:rFonts w:ascii="Arial" w:eastAsia="Calibri" w:hAnsi="Arial" w:cs="Arial"/>
          <w:sz w:val="24"/>
          <w:szCs w:val="24"/>
        </w:rPr>
        <w:t>2017</w:t>
      </w:r>
      <w:r w:rsidRPr="009D71F6">
        <w:rPr>
          <w:rFonts w:ascii="Arial" w:eastAsia="Calibri" w:hAnsi="Arial" w:cs="Arial"/>
          <w:sz w:val="24"/>
          <w:szCs w:val="24"/>
        </w:rPr>
        <w:t xml:space="preserve"> via electronic mail upon the following:</w:t>
      </w:r>
    </w:p>
    <w:p w14:paraId="7176D30D" w14:textId="77777777" w:rsidR="00545F29" w:rsidRPr="009D71F6" w:rsidRDefault="00545F29">
      <w:pPr>
        <w:spacing w:after="0" w:line="240" w:lineRule="auto"/>
        <w:jc w:val="both"/>
        <w:rPr>
          <w:rFonts w:ascii="Arial" w:eastAsia="Calibri" w:hAnsi="Arial" w:cs="Arial"/>
          <w:sz w:val="24"/>
          <w:szCs w:val="24"/>
        </w:rPr>
      </w:pPr>
    </w:p>
    <w:p w14:paraId="7176D312" w14:textId="77777777" w:rsidR="00545F29" w:rsidRPr="0003001D" w:rsidRDefault="00545F29">
      <w:pPr>
        <w:spacing w:after="0" w:line="240" w:lineRule="auto"/>
        <w:rPr>
          <w:rFonts w:ascii="Arial" w:hAnsi="Arial" w:cs="Arial"/>
          <w:sz w:val="24"/>
          <w:szCs w:val="24"/>
        </w:rPr>
      </w:pPr>
    </w:p>
    <w:p w14:paraId="4E30D280" w14:textId="6DF08319" w:rsidR="002F2653" w:rsidRPr="002F2653" w:rsidRDefault="0001601F">
      <w:pPr>
        <w:spacing w:after="0" w:line="240" w:lineRule="auto"/>
        <w:rPr>
          <w:rFonts w:ascii="Arial" w:hAnsi="Arial" w:cs="Arial"/>
          <w:sz w:val="24"/>
          <w:szCs w:val="24"/>
        </w:rPr>
      </w:pPr>
      <w:hyperlink r:id="rId10" w:history="1">
        <w:r w:rsidR="002F2653" w:rsidRPr="002F2653">
          <w:rPr>
            <w:rStyle w:val="Hyperlink"/>
            <w:rFonts w:ascii="Arial" w:hAnsi="Arial" w:cs="Arial"/>
            <w:color w:val="auto"/>
            <w:sz w:val="24"/>
            <w:szCs w:val="24"/>
            <w:u w:val="none"/>
          </w:rPr>
          <w:t>Maureen.willis@occ.ohio.gov</w:t>
        </w:r>
      </w:hyperlink>
    </w:p>
    <w:p w14:paraId="5D7DE879" w14:textId="42084A06" w:rsidR="00237730" w:rsidRPr="0003001D" w:rsidRDefault="0001601F">
      <w:pPr>
        <w:spacing w:after="0" w:line="240" w:lineRule="auto"/>
        <w:rPr>
          <w:rFonts w:ascii="Arial" w:hAnsi="Arial" w:cs="Arial"/>
          <w:sz w:val="24"/>
          <w:szCs w:val="24"/>
        </w:rPr>
      </w:pPr>
      <w:hyperlink r:id="rId11" w:history="1">
        <w:r w:rsidR="0003001D" w:rsidRPr="0003001D">
          <w:rPr>
            <w:rStyle w:val="Hyperlink"/>
            <w:rFonts w:ascii="Arial" w:hAnsi="Arial" w:cs="Arial"/>
            <w:color w:val="auto"/>
            <w:sz w:val="24"/>
            <w:szCs w:val="24"/>
            <w:u w:val="none"/>
          </w:rPr>
          <w:t>William.wright@ohioattorneygeneral.gov</w:t>
        </w:r>
      </w:hyperlink>
    </w:p>
    <w:p w14:paraId="1BF6C53E" w14:textId="1776F569" w:rsidR="0003001D" w:rsidRPr="0003001D" w:rsidRDefault="0001601F">
      <w:pPr>
        <w:spacing w:after="0" w:line="240" w:lineRule="auto"/>
        <w:rPr>
          <w:rFonts w:ascii="Arial" w:hAnsi="Arial" w:cs="Arial"/>
          <w:sz w:val="24"/>
          <w:szCs w:val="24"/>
        </w:rPr>
      </w:pPr>
      <w:hyperlink r:id="rId12" w:history="1">
        <w:r w:rsidR="0003001D" w:rsidRPr="0003001D">
          <w:rPr>
            <w:rStyle w:val="Hyperlink"/>
            <w:rFonts w:ascii="Arial" w:hAnsi="Arial" w:cs="Arial"/>
            <w:color w:val="auto"/>
            <w:sz w:val="24"/>
            <w:szCs w:val="24"/>
            <w:u w:val="none"/>
          </w:rPr>
          <w:t>cdunn@firstenergycorp.com</w:t>
        </w:r>
      </w:hyperlink>
    </w:p>
    <w:p w14:paraId="17EC80BD" w14:textId="77777777" w:rsidR="0003001D" w:rsidRPr="0003001D" w:rsidRDefault="0003001D">
      <w:pPr>
        <w:spacing w:after="0" w:line="240" w:lineRule="auto"/>
        <w:rPr>
          <w:rFonts w:ascii="Arial" w:hAnsi="Arial" w:cs="Arial"/>
          <w:sz w:val="24"/>
          <w:szCs w:val="24"/>
        </w:rPr>
      </w:pPr>
    </w:p>
    <w:p w14:paraId="5DDB23AD" w14:textId="532F4603" w:rsidR="0003001D" w:rsidRPr="0003001D" w:rsidRDefault="0003001D" w:rsidP="0003001D">
      <w:pPr>
        <w:spacing w:after="0" w:line="240" w:lineRule="auto"/>
        <w:ind w:left="5760"/>
        <w:rPr>
          <w:rFonts w:ascii="Arial" w:hAnsi="Arial" w:cs="Arial"/>
          <w:sz w:val="24"/>
          <w:szCs w:val="24"/>
          <w:u w:val="single"/>
        </w:rPr>
      </w:pPr>
      <w:r w:rsidRPr="0003001D">
        <w:rPr>
          <w:rFonts w:ascii="Arial" w:hAnsi="Arial" w:cs="Arial"/>
          <w:i/>
          <w:sz w:val="24"/>
          <w:szCs w:val="24"/>
          <w:u w:val="single"/>
        </w:rPr>
        <w:t>/s/ Joseph Oliker</w:t>
      </w:r>
    </w:p>
    <w:p w14:paraId="3AF486AE" w14:textId="77777777" w:rsidR="0003001D" w:rsidRPr="0003001D" w:rsidRDefault="0003001D" w:rsidP="0003001D">
      <w:pPr>
        <w:spacing w:after="0" w:line="240" w:lineRule="auto"/>
        <w:ind w:left="5760"/>
        <w:rPr>
          <w:rFonts w:ascii="Arial" w:hAnsi="Arial" w:cs="Arial"/>
          <w:sz w:val="24"/>
          <w:szCs w:val="24"/>
        </w:rPr>
      </w:pPr>
      <w:r w:rsidRPr="0003001D">
        <w:rPr>
          <w:rFonts w:ascii="Arial" w:hAnsi="Arial" w:cs="Arial"/>
          <w:sz w:val="24"/>
          <w:szCs w:val="24"/>
        </w:rPr>
        <w:t>Joseph Oliker</w:t>
      </w:r>
    </w:p>
    <w:p w14:paraId="49B16ED2" w14:textId="77777777" w:rsidR="0003001D" w:rsidRDefault="0003001D">
      <w:pPr>
        <w:spacing w:after="0" w:line="240" w:lineRule="auto"/>
        <w:rPr>
          <w:rFonts w:ascii="Arial" w:hAnsi="Arial" w:cs="Arial"/>
          <w:sz w:val="16"/>
          <w:szCs w:val="16"/>
        </w:rPr>
      </w:pPr>
    </w:p>
    <w:sectPr w:rsidR="0003001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84B57" w14:textId="77777777" w:rsidR="00651FBE" w:rsidRDefault="00651FBE">
      <w:pPr>
        <w:spacing w:after="0" w:line="240" w:lineRule="auto"/>
      </w:pPr>
      <w:r>
        <w:separator/>
      </w:r>
    </w:p>
  </w:endnote>
  <w:endnote w:type="continuationSeparator" w:id="0">
    <w:p w14:paraId="01A9B311" w14:textId="77777777" w:rsidR="00651FBE" w:rsidRDefault="0065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8AF6" w14:textId="77777777" w:rsidR="000A304C" w:rsidRDefault="000A3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5860"/>
      <w:docPartObj>
        <w:docPartGallery w:val="Page Numbers (Bottom of Page)"/>
        <w:docPartUnique/>
      </w:docPartObj>
    </w:sdtPr>
    <w:sdtEndPr/>
    <w:sdtContent>
      <w:p w14:paraId="7176D32E" w14:textId="324F2895" w:rsidR="0098338B" w:rsidRDefault="0098338B">
        <w:pPr>
          <w:pStyle w:val="Footer"/>
          <w:jc w:val="center"/>
        </w:pPr>
        <w:r>
          <w:fldChar w:fldCharType="begin"/>
        </w:r>
        <w:r>
          <w:instrText xml:space="preserve"> PAGE   \* MERGEFORMAT </w:instrText>
        </w:r>
        <w:r>
          <w:fldChar w:fldCharType="separate"/>
        </w:r>
        <w:r w:rsidR="0001601F">
          <w:rPr>
            <w:noProof/>
          </w:rPr>
          <w:t>17</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03155" w14:textId="77777777" w:rsidR="000A304C" w:rsidRDefault="000A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19337" w14:textId="77777777" w:rsidR="00651FBE" w:rsidRDefault="00651FBE">
      <w:pPr>
        <w:spacing w:after="0" w:line="240" w:lineRule="auto"/>
      </w:pPr>
      <w:r>
        <w:separator/>
      </w:r>
    </w:p>
  </w:footnote>
  <w:footnote w:type="continuationSeparator" w:id="0">
    <w:p w14:paraId="387991A3" w14:textId="77777777" w:rsidR="00651FBE" w:rsidRDefault="00651FBE">
      <w:pPr>
        <w:spacing w:after="0" w:line="240" w:lineRule="auto"/>
      </w:pPr>
      <w:r>
        <w:continuationSeparator/>
      </w:r>
    </w:p>
  </w:footnote>
  <w:footnote w:id="1">
    <w:p w14:paraId="043170D3" w14:textId="50D5BB31" w:rsidR="00F76A4E" w:rsidRPr="00E65BDE" w:rsidRDefault="00F76A4E" w:rsidP="00800927">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In the Matter of the Commission's Investigation of Ohio’s Retail Electric Service Market</w:t>
      </w:r>
      <w:r w:rsidRPr="00E65BDE">
        <w:rPr>
          <w:rFonts w:ascii="Arial" w:hAnsi="Arial" w:cs="Arial"/>
        </w:rPr>
        <w:t>, Case No. 12-3151-EL-COI, Entry (Dec. 12, 2012) (hereinafter referred to as the “</w:t>
      </w:r>
      <w:r w:rsidRPr="00E65BDE">
        <w:rPr>
          <w:rFonts w:ascii="Arial" w:hAnsi="Arial" w:cs="Arial"/>
          <w:i/>
        </w:rPr>
        <w:t>RMI Docket</w:t>
      </w:r>
      <w:r w:rsidRPr="00E65BDE">
        <w:rPr>
          <w:rFonts w:ascii="Arial" w:hAnsi="Arial" w:cs="Arial"/>
        </w:rPr>
        <w:t>”).</w:t>
      </w:r>
    </w:p>
    <w:p w14:paraId="34563676" w14:textId="77777777" w:rsidR="00F76A4E" w:rsidRPr="00E65BDE" w:rsidRDefault="00F76A4E" w:rsidP="00800927">
      <w:pPr>
        <w:pStyle w:val="FootnoteText"/>
        <w:jc w:val="both"/>
        <w:rPr>
          <w:rFonts w:ascii="Arial" w:hAnsi="Arial" w:cs="Arial"/>
        </w:rPr>
      </w:pPr>
    </w:p>
  </w:footnote>
  <w:footnote w:id="2">
    <w:p w14:paraId="3C6E7969" w14:textId="38371610" w:rsidR="00F76A4E" w:rsidRPr="00E65BDE" w:rsidRDefault="00F76A4E" w:rsidP="00800927">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 xml:space="preserve">Id. </w:t>
      </w:r>
      <w:r w:rsidRPr="00E65BDE">
        <w:rPr>
          <w:rFonts w:ascii="Arial" w:hAnsi="Arial" w:cs="Arial"/>
        </w:rPr>
        <w:t xml:space="preserve">at 1. </w:t>
      </w:r>
    </w:p>
    <w:p w14:paraId="24A4280B" w14:textId="77777777" w:rsidR="00F76A4E" w:rsidRPr="00E65BDE" w:rsidRDefault="00F76A4E" w:rsidP="00800927">
      <w:pPr>
        <w:pStyle w:val="FootnoteText"/>
        <w:jc w:val="both"/>
        <w:rPr>
          <w:rFonts w:ascii="Arial" w:hAnsi="Arial" w:cs="Arial"/>
        </w:rPr>
      </w:pPr>
    </w:p>
  </w:footnote>
  <w:footnote w:id="3">
    <w:p w14:paraId="01408A7F" w14:textId="4DDFFAC5" w:rsidR="00F76A4E" w:rsidRPr="00E65BDE" w:rsidRDefault="00F76A4E" w:rsidP="00800927">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 xml:space="preserve">Id. </w:t>
      </w:r>
      <w:r w:rsidRPr="00E65BDE">
        <w:rPr>
          <w:rFonts w:ascii="Arial" w:hAnsi="Arial" w:cs="Arial"/>
        </w:rPr>
        <w:t xml:space="preserve">at 3-5. </w:t>
      </w:r>
    </w:p>
    <w:p w14:paraId="0035DBCE" w14:textId="77777777" w:rsidR="00F76A4E" w:rsidRPr="00E65BDE" w:rsidRDefault="00F76A4E" w:rsidP="00800927">
      <w:pPr>
        <w:pStyle w:val="FootnoteText"/>
        <w:jc w:val="both"/>
        <w:rPr>
          <w:rFonts w:ascii="Arial" w:hAnsi="Arial" w:cs="Arial"/>
        </w:rPr>
      </w:pPr>
    </w:p>
  </w:footnote>
  <w:footnote w:id="4">
    <w:p w14:paraId="5E403A7C" w14:textId="1CAF46FF" w:rsidR="00F76A4E" w:rsidRPr="00E65BDE" w:rsidRDefault="00F76A4E" w:rsidP="00800927">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RMI Docket</w:t>
      </w:r>
      <w:r w:rsidRPr="00E65BDE">
        <w:rPr>
          <w:rFonts w:ascii="Arial" w:hAnsi="Arial" w:cs="Arial"/>
        </w:rPr>
        <w:t xml:space="preserve">, Market Development Work Plan at 12 (Jan. 16, 2014) (hereinafter “Staff Report”). </w:t>
      </w:r>
    </w:p>
  </w:footnote>
  <w:footnote w:id="5">
    <w:p w14:paraId="35BC5C63" w14:textId="45EC7094" w:rsidR="00F76A4E" w:rsidRPr="00E65BDE" w:rsidRDefault="00F76A4E">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RMI Docket</w:t>
      </w:r>
      <w:r w:rsidRPr="00E65BDE">
        <w:rPr>
          <w:rFonts w:ascii="Arial" w:hAnsi="Arial" w:cs="Arial"/>
        </w:rPr>
        <w:t>, Staff Report at 13.</w:t>
      </w:r>
    </w:p>
    <w:p w14:paraId="295C0533" w14:textId="77777777" w:rsidR="00E72FBC" w:rsidRPr="00E65BDE" w:rsidRDefault="00E72FBC">
      <w:pPr>
        <w:pStyle w:val="FootnoteText"/>
        <w:rPr>
          <w:rFonts w:ascii="Arial" w:hAnsi="Arial" w:cs="Arial"/>
        </w:rPr>
      </w:pPr>
    </w:p>
  </w:footnote>
  <w:footnote w:id="6">
    <w:p w14:paraId="2E1C13EA" w14:textId="1E6B6F42" w:rsidR="00F76A4E" w:rsidRPr="00E65BDE" w:rsidRDefault="00F76A4E">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RMI Docket</w:t>
      </w:r>
      <w:r w:rsidRPr="00E65BDE">
        <w:rPr>
          <w:rFonts w:ascii="Arial" w:hAnsi="Arial" w:cs="Arial"/>
        </w:rPr>
        <w:t>, Finding and Order at 16</w:t>
      </w:r>
      <w:r w:rsidR="00E72FBC" w:rsidRPr="00E65BDE">
        <w:rPr>
          <w:rFonts w:ascii="Arial" w:hAnsi="Arial" w:cs="Arial"/>
        </w:rPr>
        <w:t>.</w:t>
      </w:r>
    </w:p>
    <w:p w14:paraId="4A404387" w14:textId="77777777" w:rsidR="00E72FBC" w:rsidRPr="00E65BDE" w:rsidRDefault="00E72FBC">
      <w:pPr>
        <w:pStyle w:val="FootnoteText"/>
        <w:rPr>
          <w:rFonts w:ascii="Arial" w:hAnsi="Arial" w:cs="Arial"/>
        </w:rPr>
      </w:pPr>
    </w:p>
  </w:footnote>
  <w:footnote w:id="7">
    <w:p w14:paraId="40461B48" w14:textId="2ED0F6F9" w:rsidR="00E72FBC" w:rsidRPr="00E65BDE" w:rsidRDefault="00E72FBC">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Entry at 1 (Jul. 5, 2017)</w:t>
      </w:r>
      <w:r w:rsidR="00800927">
        <w:rPr>
          <w:rFonts w:ascii="Arial" w:hAnsi="Arial" w:cs="Arial"/>
        </w:rPr>
        <w:t>.</w:t>
      </w:r>
    </w:p>
  </w:footnote>
  <w:footnote w:id="8">
    <w:p w14:paraId="13AD6EDB" w14:textId="57EE938C" w:rsidR="00175454" w:rsidRPr="004753AF" w:rsidRDefault="00175454">
      <w:pPr>
        <w:pStyle w:val="FootnoteText"/>
        <w:rPr>
          <w:rStyle w:val="apple-style-span"/>
          <w:rFonts w:ascii="Arial" w:hAnsi="Arial" w:cs="Arial"/>
        </w:rPr>
      </w:pPr>
      <w:r w:rsidRPr="004753AF">
        <w:rPr>
          <w:rStyle w:val="FootnoteReference"/>
          <w:rFonts w:ascii="Arial" w:hAnsi="Arial" w:cs="Arial"/>
        </w:rPr>
        <w:footnoteRef/>
      </w:r>
      <w:r w:rsidRPr="004753AF">
        <w:rPr>
          <w:rFonts w:ascii="Arial" w:hAnsi="Arial" w:cs="Arial"/>
        </w:rPr>
        <w:t xml:space="preserve"> </w:t>
      </w:r>
      <w:r w:rsidRPr="004753AF">
        <w:rPr>
          <w:rStyle w:val="apple-style-span"/>
          <w:rFonts w:ascii="Arial" w:hAnsi="Arial" w:cs="Arial"/>
          <w:i/>
          <w:iCs/>
          <w:color w:val="000000"/>
        </w:rPr>
        <w:t>Ohio Consumers' Counsel v. Pub. Util. Comm</w:t>
      </w:r>
      <w:r w:rsidR="004753AF">
        <w:rPr>
          <w:rStyle w:val="apple-style-span"/>
          <w:rFonts w:ascii="Arial" w:hAnsi="Arial" w:cs="Arial"/>
          <w:i/>
          <w:iCs/>
          <w:color w:val="000000"/>
        </w:rPr>
        <w:t>’n</w:t>
      </w:r>
      <w:r w:rsidRPr="004753AF">
        <w:rPr>
          <w:rStyle w:val="apple-style-span"/>
          <w:rFonts w:ascii="Arial" w:hAnsi="Arial" w:cs="Arial"/>
          <w:i/>
          <w:iCs/>
          <w:color w:val="000000"/>
        </w:rPr>
        <w:t>,</w:t>
      </w:r>
      <w:r w:rsidR="004753AF">
        <w:rPr>
          <w:rStyle w:val="apple-converted-space"/>
          <w:rFonts w:ascii="Arial" w:hAnsi="Arial" w:cs="Arial"/>
          <w:color w:val="000000"/>
        </w:rPr>
        <w:t> </w:t>
      </w:r>
      <w:r w:rsidRPr="004753AF">
        <w:rPr>
          <w:rStyle w:val="apple-style-span"/>
          <w:rFonts w:ascii="Arial" w:hAnsi="Arial" w:cs="Arial"/>
        </w:rPr>
        <w:t>111</w:t>
      </w:r>
      <w:r w:rsidRPr="004753AF">
        <w:rPr>
          <w:rStyle w:val="apple-converted-space"/>
          <w:rFonts w:ascii="Arial" w:hAnsi="Arial" w:cs="Arial"/>
        </w:rPr>
        <w:t> </w:t>
      </w:r>
      <w:r w:rsidRPr="004753AF">
        <w:rPr>
          <w:rStyle w:val="apple-style-span"/>
          <w:rFonts w:ascii="Arial" w:hAnsi="Arial" w:cs="Arial"/>
        </w:rPr>
        <w:t>OhioSt.3d</w:t>
      </w:r>
      <w:r w:rsidRPr="004753AF">
        <w:rPr>
          <w:rStyle w:val="apple-converted-space"/>
          <w:rFonts w:ascii="Arial" w:hAnsi="Arial" w:cs="Arial"/>
        </w:rPr>
        <w:t> </w:t>
      </w:r>
      <w:r w:rsidRPr="004753AF">
        <w:rPr>
          <w:rStyle w:val="apple-style-span"/>
          <w:rFonts w:ascii="Arial" w:hAnsi="Arial" w:cs="Arial"/>
        </w:rPr>
        <w:t>384,</w:t>
      </w:r>
      <w:r w:rsidRPr="004753AF">
        <w:rPr>
          <w:rStyle w:val="apple-converted-space"/>
          <w:rFonts w:ascii="Arial" w:hAnsi="Arial" w:cs="Arial"/>
        </w:rPr>
        <w:t> </w:t>
      </w:r>
      <w:r w:rsidRPr="004753AF">
        <w:rPr>
          <w:rStyle w:val="apple-style-span"/>
          <w:rFonts w:ascii="Arial" w:hAnsi="Arial" w:cs="Arial"/>
        </w:rPr>
        <w:t>388</w:t>
      </w:r>
      <w:r w:rsidR="004753AF">
        <w:rPr>
          <w:rStyle w:val="apple-style-span"/>
          <w:rFonts w:ascii="Arial" w:hAnsi="Arial" w:cs="Arial"/>
        </w:rPr>
        <w:t xml:space="preserve"> (2006)</w:t>
      </w:r>
      <w:r w:rsidRPr="004753AF">
        <w:rPr>
          <w:rStyle w:val="apple-style-span"/>
          <w:rFonts w:ascii="Arial" w:hAnsi="Arial" w:cs="Arial"/>
        </w:rPr>
        <w:t>.</w:t>
      </w:r>
    </w:p>
    <w:p w14:paraId="42BB7BE4" w14:textId="77777777" w:rsidR="004753AF" w:rsidRPr="004753AF" w:rsidRDefault="004753AF">
      <w:pPr>
        <w:pStyle w:val="FootnoteText"/>
        <w:rPr>
          <w:rFonts w:ascii="Arial" w:hAnsi="Arial" w:cs="Arial"/>
        </w:rPr>
      </w:pPr>
    </w:p>
  </w:footnote>
  <w:footnote w:id="9">
    <w:p w14:paraId="404432E4" w14:textId="77777777" w:rsidR="004753AF" w:rsidRPr="004753AF" w:rsidRDefault="004753AF">
      <w:pPr>
        <w:pStyle w:val="FootnoteText"/>
        <w:rPr>
          <w:rFonts w:ascii="Arial" w:hAnsi="Arial" w:cs="Arial"/>
        </w:rPr>
      </w:pPr>
      <w:r w:rsidRPr="004753AF">
        <w:rPr>
          <w:rStyle w:val="FootnoteReference"/>
          <w:rFonts w:ascii="Arial" w:hAnsi="Arial" w:cs="Arial"/>
        </w:rPr>
        <w:footnoteRef/>
      </w:r>
      <w:r w:rsidRPr="004753AF">
        <w:rPr>
          <w:rFonts w:ascii="Arial" w:hAnsi="Arial" w:cs="Arial"/>
        </w:rPr>
        <w:t xml:space="preserve"> Motion to Intervene and Memorandum in Support of Interstate Gas Supply, Inc. at 4-5.</w:t>
      </w:r>
    </w:p>
    <w:p w14:paraId="1DD48B70" w14:textId="77777777" w:rsidR="004753AF" w:rsidRPr="004753AF" w:rsidRDefault="004753AF">
      <w:pPr>
        <w:pStyle w:val="FootnoteText"/>
        <w:rPr>
          <w:rFonts w:ascii="Arial" w:hAnsi="Arial" w:cs="Arial"/>
        </w:rPr>
      </w:pPr>
    </w:p>
  </w:footnote>
  <w:footnote w:id="10">
    <w:p w14:paraId="50965399" w14:textId="322982A4" w:rsidR="004753AF" w:rsidRPr="004753AF" w:rsidRDefault="004753AF">
      <w:pPr>
        <w:pStyle w:val="FootnoteText"/>
        <w:rPr>
          <w:rFonts w:ascii="Arial" w:hAnsi="Arial" w:cs="Arial"/>
          <w:i/>
        </w:rPr>
      </w:pPr>
      <w:r w:rsidRPr="004753AF">
        <w:rPr>
          <w:rStyle w:val="FootnoteReference"/>
          <w:rFonts w:ascii="Arial" w:hAnsi="Arial" w:cs="Arial"/>
        </w:rPr>
        <w:footnoteRef/>
      </w:r>
      <w:r w:rsidRPr="004753AF">
        <w:rPr>
          <w:rFonts w:ascii="Arial" w:hAnsi="Arial" w:cs="Arial"/>
        </w:rPr>
        <w:t xml:space="preserve"> </w:t>
      </w:r>
      <w:r w:rsidRPr="004753AF">
        <w:rPr>
          <w:rFonts w:ascii="Arial" w:hAnsi="Arial" w:cs="Arial"/>
          <w:i/>
        </w:rPr>
        <w:t xml:space="preserve">Id. </w:t>
      </w:r>
    </w:p>
    <w:p w14:paraId="68ACA825" w14:textId="77777777" w:rsidR="004753AF" w:rsidRPr="004753AF" w:rsidRDefault="004753AF">
      <w:pPr>
        <w:pStyle w:val="FootnoteText"/>
        <w:rPr>
          <w:rFonts w:ascii="Arial" w:hAnsi="Arial" w:cs="Arial"/>
          <w:i/>
        </w:rPr>
      </w:pPr>
    </w:p>
  </w:footnote>
  <w:footnote w:id="11">
    <w:p w14:paraId="0C4EFBB8" w14:textId="4BA27632" w:rsidR="004753AF" w:rsidRPr="004753AF" w:rsidRDefault="004753AF">
      <w:pPr>
        <w:pStyle w:val="FootnoteText"/>
        <w:rPr>
          <w:rFonts w:ascii="Arial" w:hAnsi="Arial" w:cs="Arial"/>
        </w:rPr>
      </w:pPr>
      <w:r w:rsidRPr="004753AF">
        <w:rPr>
          <w:rStyle w:val="FootnoteReference"/>
          <w:rFonts w:ascii="Arial" w:hAnsi="Arial" w:cs="Arial"/>
        </w:rPr>
        <w:footnoteRef/>
      </w:r>
      <w:r w:rsidRPr="004753AF">
        <w:rPr>
          <w:rFonts w:ascii="Arial" w:hAnsi="Arial" w:cs="Arial"/>
        </w:rPr>
        <w:t xml:space="preserve"> </w:t>
      </w:r>
      <w:r w:rsidRPr="004753AF">
        <w:rPr>
          <w:rFonts w:ascii="Arial" w:hAnsi="Arial" w:cs="Arial"/>
          <w:i/>
        </w:rPr>
        <w:t xml:space="preserve">Id. </w:t>
      </w:r>
      <w:r w:rsidRPr="004753AF">
        <w:rPr>
          <w:rFonts w:ascii="Arial" w:hAnsi="Arial" w:cs="Arial"/>
        </w:rPr>
        <w:t>at 2,</w:t>
      </w:r>
      <w:r>
        <w:rPr>
          <w:rFonts w:ascii="Arial" w:hAnsi="Arial" w:cs="Arial"/>
        </w:rPr>
        <w:t xml:space="preserve"> </w:t>
      </w:r>
      <w:r w:rsidRPr="004753AF">
        <w:rPr>
          <w:rFonts w:ascii="Arial" w:hAnsi="Arial" w:cs="Arial"/>
        </w:rPr>
        <w:t>5.</w:t>
      </w:r>
    </w:p>
    <w:p w14:paraId="1D65E270" w14:textId="77777777" w:rsidR="004753AF" w:rsidRPr="004753AF" w:rsidRDefault="004753AF">
      <w:pPr>
        <w:pStyle w:val="FootnoteText"/>
        <w:rPr>
          <w:rFonts w:ascii="Arial" w:hAnsi="Arial" w:cs="Arial"/>
        </w:rPr>
      </w:pPr>
    </w:p>
  </w:footnote>
  <w:footnote w:id="12">
    <w:p w14:paraId="2401A9E7" w14:textId="6165E743" w:rsidR="004753AF" w:rsidRPr="004753AF" w:rsidRDefault="004753AF">
      <w:pPr>
        <w:pStyle w:val="FootnoteText"/>
      </w:pPr>
      <w:r w:rsidRPr="004753AF">
        <w:rPr>
          <w:rStyle w:val="FootnoteReference"/>
          <w:rFonts w:ascii="Arial" w:hAnsi="Arial" w:cs="Arial"/>
        </w:rPr>
        <w:footnoteRef/>
      </w:r>
      <w:r w:rsidRPr="004753AF">
        <w:rPr>
          <w:rFonts w:ascii="Arial" w:hAnsi="Arial" w:cs="Arial"/>
        </w:rPr>
        <w:t xml:space="preserve"> </w:t>
      </w:r>
      <w:r w:rsidRPr="004753AF">
        <w:rPr>
          <w:rFonts w:ascii="Arial" w:hAnsi="Arial" w:cs="Arial"/>
          <w:i/>
        </w:rPr>
        <w:t xml:space="preserve">Id. </w:t>
      </w:r>
      <w:r w:rsidRPr="004753AF">
        <w:rPr>
          <w:rFonts w:ascii="Arial" w:hAnsi="Arial" w:cs="Arial"/>
        </w:rPr>
        <w:t>at 2.</w:t>
      </w:r>
    </w:p>
  </w:footnote>
  <w:footnote w:id="13">
    <w:p w14:paraId="58B216C5" w14:textId="00A89B5D" w:rsidR="00E65BDE" w:rsidRPr="00E65BDE" w:rsidRDefault="00E65BDE">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Memo Contra at 2.  </w:t>
      </w:r>
    </w:p>
    <w:p w14:paraId="5F5CEBE4" w14:textId="77777777" w:rsidR="00E65BDE" w:rsidRPr="00E65BDE" w:rsidRDefault="00E65BDE">
      <w:pPr>
        <w:pStyle w:val="FootnoteText"/>
        <w:rPr>
          <w:rFonts w:ascii="Arial" w:hAnsi="Arial" w:cs="Arial"/>
        </w:rPr>
      </w:pPr>
    </w:p>
  </w:footnote>
  <w:footnote w:id="14">
    <w:p w14:paraId="34D6243A" w14:textId="5C25AC96" w:rsidR="00FD754F" w:rsidRPr="00E65BDE" w:rsidRDefault="00FD754F" w:rsidP="007B1862">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See In the Matter of the Application of Columbus Southern Power Company and Ohio Power Company for Approval of Their Corporate Separation Plan</w:t>
      </w:r>
      <w:r w:rsidRPr="00E65BDE">
        <w:rPr>
          <w:rFonts w:ascii="Arial" w:hAnsi="Arial" w:cs="Arial"/>
        </w:rPr>
        <w:t>, Case No. 09-464-EL-UNC (hereinafter “</w:t>
      </w:r>
      <w:r w:rsidRPr="00E65BDE">
        <w:rPr>
          <w:rFonts w:ascii="Arial" w:hAnsi="Arial" w:cs="Arial"/>
          <w:i/>
        </w:rPr>
        <w:t>AEP Corporate Separate Separation Audit</w:t>
      </w:r>
      <w:r w:rsidRPr="00E65BDE">
        <w:rPr>
          <w:rFonts w:ascii="Arial" w:hAnsi="Arial" w:cs="Arial"/>
        </w:rPr>
        <w:t xml:space="preserve">”). </w:t>
      </w:r>
    </w:p>
    <w:p w14:paraId="18579B24" w14:textId="77777777" w:rsidR="00FD754F" w:rsidRPr="00E65BDE" w:rsidRDefault="00FD754F" w:rsidP="00FD754F">
      <w:pPr>
        <w:pStyle w:val="FootnoteText"/>
        <w:jc w:val="both"/>
        <w:rPr>
          <w:rFonts w:ascii="Arial" w:hAnsi="Arial" w:cs="Arial"/>
        </w:rPr>
      </w:pPr>
    </w:p>
  </w:footnote>
  <w:footnote w:id="15">
    <w:p w14:paraId="208CAB6C" w14:textId="1F2CE4F0" w:rsidR="00FD754F" w:rsidRPr="00E65BDE" w:rsidRDefault="00FD754F" w:rsidP="00FD754F">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 xml:space="preserve">See </w:t>
      </w:r>
      <w:r w:rsidRPr="00E65BDE">
        <w:rPr>
          <w:rFonts w:ascii="Arial" w:hAnsi="Arial" w:cs="Arial"/>
        </w:rPr>
        <w:t xml:space="preserve">Motion to Intervene and Memorandum in Support of the Office of the Ohio Consumers’ Counsel (Jun. 9, 2017). </w:t>
      </w:r>
    </w:p>
    <w:p w14:paraId="1C1D1677" w14:textId="77777777" w:rsidR="00FD754F" w:rsidRPr="00E65BDE" w:rsidRDefault="00FD754F" w:rsidP="00FD754F">
      <w:pPr>
        <w:pStyle w:val="FootnoteText"/>
        <w:jc w:val="both"/>
        <w:rPr>
          <w:rFonts w:ascii="Arial" w:hAnsi="Arial" w:cs="Arial"/>
        </w:rPr>
      </w:pPr>
    </w:p>
  </w:footnote>
  <w:footnote w:id="16">
    <w:p w14:paraId="5B8C4D69" w14:textId="2B67DFF0" w:rsidR="00FD754F" w:rsidRPr="00E65BDE" w:rsidRDefault="00FD754F" w:rsidP="00FD754F">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AEP Corporate Separation Audit</w:t>
      </w:r>
      <w:r w:rsidRPr="00E65BDE">
        <w:rPr>
          <w:rFonts w:ascii="Arial" w:hAnsi="Arial" w:cs="Arial"/>
        </w:rPr>
        <w:t>, Entry at 2 (Oct. 28, 2009).</w:t>
      </w:r>
      <w:r w:rsidR="007B1862" w:rsidRPr="00E65BDE">
        <w:rPr>
          <w:rFonts w:ascii="Arial" w:hAnsi="Arial" w:cs="Arial"/>
          <w:i/>
        </w:rPr>
        <w:t xml:space="preserve"> See also In the Matter of the Application of Duke Energy Ohio for Approval of the Second Amended Corporate Separation Plan Under 4901:1-37, Ohio Administrative Code</w:t>
      </w:r>
      <w:r w:rsidR="007B1862" w:rsidRPr="00E65BDE">
        <w:rPr>
          <w:rFonts w:ascii="Arial" w:hAnsi="Arial" w:cs="Arial"/>
        </w:rPr>
        <w:t>, Case No. 09-495-EL-UNC, Entry at 2 (Aug. 26, 2009) (hereinafter “</w:t>
      </w:r>
      <w:r w:rsidR="007B1862" w:rsidRPr="00E65BDE">
        <w:rPr>
          <w:rFonts w:ascii="Arial" w:hAnsi="Arial" w:cs="Arial"/>
          <w:i/>
        </w:rPr>
        <w:t>Duke Corporate Separation Audit</w:t>
      </w:r>
      <w:r w:rsidR="007B1862" w:rsidRPr="00E65BDE">
        <w:rPr>
          <w:rFonts w:ascii="Arial" w:hAnsi="Arial" w:cs="Arial"/>
        </w:rPr>
        <w:t>”)</w:t>
      </w:r>
      <w:r w:rsidR="0001601F">
        <w:rPr>
          <w:rFonts w:ascii="Arial" w:hAnsi="Arial" w:cs="Arial"/>
        </w:rPr>
        <w:t>.</w:t>
      </w:r>
    </w:p>
    <w:p w14:paraId="537A0C67" w14:textId="4612EF64" w:rsidR="00FD754F" w:rsidRPr="00DA56D7" w:rsidRDefault="00FD754F" w:rsidP="00DA56D7">
      <w:pPr>
        <w:pStyle w:val="FootnoteText"/>
        <w:jc w:val="both"/>
        <w:rPr>
          <w:rFonts w:ascii="Arial" w:hAnsi="Arial" w:cs="Arial"/>
        </w:rPr>
      </w:pPr>
    </w:p>
  </w:footnote>
  <w:footnote w:id="17">
    <w:p w14:paraId="06587156" w14:textId="255FFEDD" w:rsidR="00FD754F" w:rsidRPr="00DA56D7" w:rsidRDefault="00FD754F" w:rsidP="00DA56D7">
      <w:pPr>
        <w:pStyle w:val="FootnoteText"/>
        <w:jc w:val="both"/>
        <w:rPr>
          <w:rFonts w:ascii="Arial" w:hAnsi="Arial" w:cs="Arial"/>
        </w:rPr>
      </w:pPr>
      <w:r w:rsidRPr="00DA56D7">
        <w:rPr>
          <w:rStyle w:val="FootnoteReference"/>
          <w:rFonts w:ascii="Arial" w:hAnsi="Arial" w:cs="Arial"/>
        </w:rPr>
        <w:footnoteRef/>
      </w:r>
      <w:r w:rsidRPr="00DA56D7">
        <w:rPr>
          <w:rFonts w:ascii="Arial" w:hAnsi="Arial" w:cs="Arial"/>
        </w:rPr>
        <w:t xml:space="preserve"> </w:t>
      </w:r>
      <w:r w:rsidRPr="00DA56D7">
        <w:rPr>
          <w:rFonts w:ascii="Arial" w:hAnsi="Arial" w:cs="Arial"/>
          <w:i/>
        </w:rPr>
        <w:t xml:space="preserve">AEP Corporate Separation Audit, </w:t>
      </w:r>
      <w:r w:rsidRPr="00DA56D7">
        <w:rPr>
          <w:rFonts w:ascii="Arial" w:hAnsi="Arial" w:cs="Arial"/>
        </w:rPr>
        <w:t xml:space="preserve">Entry at 1 (Apr. 7, 2010). </w:t>
      </w:r>
      <w:r w:rsidR="007B1862" w:rsidRPr="00DA56D7">
        <w:rPr>
          <w:rFonts w:ascii="Arial" w:hAnsi="Arial" w:cs="Arial"/>
          <w:i/>
        </w:rPr>
        <w:t xml:space="preserve">See also Duke Corporate Separation Audit, </w:t>
      </w:r>
      <w:r w:rsidR="007B1862" w:rsidRPr="00DA56D7">
        <w:rPr>
          <w:rFonts w:ascii="Arial" w:hAnsi="Arial" w:cs="Arial"/>
        </w:rPr>
        <w:t>Entry at 2 (Apr. 8, 2010).</w:t>
      </w:r>
    </w:p>
    <w:p w14:paraId="68C646A7" w14:textId="77777777" w:rsidR="00DA56D7" w:rsidRPr="00DA56D7" w:rsidRDefault="00DA56D7" w:rsidP="00DA56D7">
      <w:pPr>
        <w:pStyle w:val="FootnoteText"/>
        <w:jc w:val="both"/>
        <w:rPr>
          <w:rFonts w:ascii="Arial" w:hAnsi="Arial" w:cs="Arial"/>
        </w:rPr>
      </w:pPr>
    </w:p>
  </w:footnote>
  <w:footnote w:id="18">
    <w:p w14:paraId="53E9A440" w14:textId="77777777" w:rsidR="002E438A" w:rsidRPr="00E65BDE" w:rsidRDefault="00E90098" w:rsidP="002E438A">
      <w:pPr>
        <w:pStyle w:val="FootnoteText"/>
        <w:jc w:val="both"/>
        <w:rPr>
          <w:rFonts w:ascii="Arial" w:hAnsi="Arial" w:cs="Arial"/>
        </w:rPr>
      </w:pPr>
      <w:r w:rsidRPr="00DA56D7">
        <w:rPr>
          <w:rStyle w:val="FootnoteReference"/>
          <w:rFonts w:ascii="Arial" w:hAnsi="Arial" w:cs="Arial"/>
        </w:rPr>
        <w:footnoteRef/>
      </w:r>
      <w:r w:rsidRPr="00DA56D7">
        <w:rPr>
          <w:rFonts w:ascii="Arial" w:hAnsi="Arial" w:cs="Arial"/>
        </w:rPr>
        <w:t xml:space="preserve"> </w:t>
      </w:r>
      <w:r w:rsidRPr="00DA56D7">
        <w:rPr>
          <w:rFonts w:ascii="Arial" w:hAnsi="Arial" w:cs="Arial"/>
          <w:i/>
        </w:rPr>
        <w:t>See</w:t>
      </w:r>
      <w:r w:rsidR="002E438A" w:rsidRPr="00E65BDE">
        <w:rPr>
          <w:rFonts w:ascii="Arial" w:hAnsi="Arial" w:cs="Arial"/>
          <w:i/>
        </w:rPr>
        <w:t xml:space="preserve"> </w:t>
      </w:r>
      <w:r w:rsidR="002E438A" w:rsidRPr="00E65BDE">
        <w:rPr>
          <w:rFonts w:ascii="Arial" w:hAnsi="Arial" w:cs="Arial"/>
        </w:rPr>
        <w:t xml:space="preserve">R.C. 4928.17(A)(1)-(3), which states that a corporate separation plan must achieve each of the following (in addition to, among other things, the anti-subsidization policy contained in R.C. 4928.02(h)): </w:t>
      </w:r>
    </w:p>
    <w:p w14:paraId="454F1E44" w14:textId="77777777" w:rsidR="002E438A" w:rsidRPr="00E65BDE" w:rsidRDefault="002E438A" w:rsidP="002E438A">
      <w:pPr>
        <w:pStyle w:val="FootnoteText"/>
        <w:jc w:val="both"/>
        <w:rPr>
          <w:rFonts w:ascii="Arial" w:hAnsi="Arial" w:cs="Arial"/>
        </w:rPr>
      </w:pPr>
    </w:p>
    <w:p w14:paraId="0748E994" w14:textId="77777777" w:rsidR="002E438A" w:rsidRPr="00E65BDE" w:rsidRDefault="002E438A" w:rsidP="002E438A">
      <w:pPr>
        <w:pStyle w:val="FootnoteText"/>
        <w:ind w:left="720" w:right="720"/>
        <w:jc w:val="both"/>
        <w:rPr>
          <w:rFonts w:ascii="Arial" w:hAnsi="Arial" w:cs="Arial"/>
        </w:rPr>
      </w:pPr>
      <w:r w:rsidRPr="00E65BDE">
        <w:rPr>
          <w:rFonts w:ascii="Arial" w:hAnsi="Arial" w:cs="Arial"/>
        </w:rPr>
        <w:t>(1) The plan provides, at minimum, for the provision of the competitive retail electric service or the nonelectric product or service through a fully separated affiliate of the utility, and the plan includes separate accounting requirements, the code of conduct as ordered by the commission pursuant to a rule it shall adopt under division (A) of section 4928.06 of the Revised Code, and such other measures as are necessary to effectuate the policy specified in section 4928.02 of the Revised Code.</w:t>
      </w:r>
    </w:p>
    <w:p w14:paraId="13358233" w14:textId="77777777" w:rsidR="002E438A" w:rsidRPr="00E65BDE" w:rsidRDefault="002E438A" w:rsidP="002E438A">
      <w:pPr>
        <w:pStyle w:val="FootnoteText"/>
        <w:ind w:left="720" w:right="720"/>
        <w:jc w:val="both"/>
        <w:rPr>
          <w:rFonts w:ascii="Arial" w:hAnsi="Arial" w:cs="Arial"/>
        </w:rPr>
      </w:pPr>
    </w:p>
    <w:p w14:paraId="06D0912F" w14:textId="77777777" w:rsidR="002E438A" w:rsidRPr="00E65BDE" w:rsidRDefault="002E438A" w:rsidP="002E438A">
      <w:pPr>
        <w:pStyle w:val="FootnoteText"/>
        <w:ind w:left="720" w:right="720"/>
        <w:jc w:val="both"/>
        <w:rPr>
          <w:rFonts w:ascii="Arial" w:hAnsi="Arial" w:cs="Arial"/>
        </w:rPr>
      </w:pPr>
      <w:r w:rsidRPr="00E65BDE">
        <w:rPr>
          <w:rFonts w:ascii="Arial" w:hAnsi="Arial" w:cs="Arial"/>
        </w:rPr>
        <w:t>(2) The plan satisfies the public interest in preventing unfair competitive advantage and preventing the abuse of market power.</w:t>
      </w:r>
    </w:p>
    <w:p w14:paraId="0A5E6376" w14:textId="77777777" w:rsidR="002E438A" w:rsidRPr="00E65BDE" w:rsidRDefault="002E438A" w:rsidP="002E438A">
      <w:pPr>
        <w:pStyle w:val="FootnoteText"/>
        <w:ind w:left="720" w:right="720"/>
        <w:jc w:val="both"/>
        <w:rPr>
          <w:rFonts w:ascii="Arial" w:hAnsi="Arial" w:cs="Arial"/>
        </w:rPr>
      </w:pPr>
    </w:p>
    <w:p w14:paraId="621A5FDC" w14:textId="77777777" w:rsidR="002E438A" w:rsidRPr="00E65BDE" w:rsidRDefault="002E438A" w:rsidP="002E438A">
      <w:pPr>
        <w:pStyle w:val="FootnoteText"/>
        <w:ind w:left="720" w:right="720"/>
        <w:jc w:val="both"/>
        <w:rPr>
          <w:rFonts w:ascii="Arial" w:hAnsi="Arial" w:cs="Arial"/>
        </w:rPr>
      </w:pPr>
      <w:r w:rsidRPr="00E65BDE">
        <w:rPr>
          <w:rFonts w:ascii="Arial" w:hAnsi="Arial" w:cs="Arial"/>
        </w:rPr>
        <w:t>(3) The plan is sufficient to ensure that the utility will not extend any undue preference or advantage to any affiliate, division, or part of its own business engaged in the business of supplying the competitive retail electric service or nonelectric product or service, including, but not limited to, utility resources such as trucks, tools, office equipment, office space, supplies, customer and marketing information, advertising, billing and mailing systems, personnel, and training, without compensation based upon fully loaded embedded costs charged to the affiliate; and to ensure that any such affiliate, division, or part will not receive undue preference or advantage from any affiliate, division, or part of the business engaged in business of supplying the noncompetitive retail electric service. No such utility, affiliate, division, or part shall extend such undue preference. Notwithstanding any other division of this section, a utility's obligation under division (A)(3) of this section shall be effective January 1, 2000.</w:t>
      </w:r>
    </w:p>
    <w:p w14:paraId="4E36063E" w14:textId="741139F7" w:rsidR="00E90098" w:rsidRPr="00DA56D7" w:rsidRDefault="00E90098" w:rsidP="00DA56D7">
      <w:pPr>
        <w:pStyle w:val="FootnoteText"/>
        <w:jc w:val="both"/>
        <w:rPr>
          <w:rFonts w:ascii="Arial" w:hAnsi="Arial" w:cs="Arial"/>
        </w:rPr>
      </w:pPr>
    </w:p>
  </w:footnote>
  <w:footnote w:id="19">
    <w:p w14:paraId="4FE4F942" w14:textId="5F76B468" w:rsidR="00175454" w:rsidRPr="00E65BDE" w:rsidRDefault="00175454" w:rsidP="00DA56D7">
      <w:pPr>
        <w:pStyle w:val="FootnoteText"/>
        <w:jc w:val="both"/>
        <w:rPr>
          <w:rFonts w:ascii="Arial" w:hAnsi="Arial" w:cs="Arial"/>
        </w:rPr>
      </w:pPr>
      <w:r w:rsidRPr="00DA56D7">
        <w:rPr>
          <w:rStyle w:val="FootnoteReference"/>
          <w:rFonts w:ascii="Arial" w:hAnsi="Arial" w:cs="Arial"/>
        </w:rPr>
        <w:footnoteRef/>
      </w:r>
      <w:r w:rsidRPr="00DA56D7">
        <w:rPr>
          <w:rFonts w:ascii="Arial" w:hAnsi="Arial" w:cs="Arial"/>
        </w:rPr>
        <w:t xml:space="preserve"> </w:t>
      </w:r>
      <w:r w:rsidRPr="00DA56D7">
        <w:rPr>
          <w:rFonts w:ascii="Arial" w:hAnsi="Arial" w:cs="Arial"/>
          <w:i/>
          <w:iCs/>
        </w:rPr>
        <w:t xml:space="preserve">In the Matter of the Regulation of the Purchased Gas Adjustment Clause Contained Within the Rate </w:t>
      </w:r>
      <w:r w:rsidRPr="00E65BDE">
        <w:rPr>
          <w:rFonts w:ascii="Arial" w:hAnsi="Arial" w:cs="Arial"/>
          <w:i/>
          <w:iCs/>
        </w:rPr>
        <w:t xml:space="preserve">Schedules of The Cincinnati Gas &amp; Electric Company and Related Matters, </w:t>
      </w:r>
      <w:r w:rsidRPr="00E65BDE">
        <w:rPr>
          <w:rFonts w:ascii="Arial" w:hAnsi="Arial" w:cs="Arial"/>
        </w:rPr>
        <w:t>Case No. 05-218-GA-GCR, Entry at 2 (Nov. 15, 2005).</w:t>
      </w:r>
    </w:p>
    <w:p w14:paraId="07AC8ADB" w14:textId="1D53578D" w:rsidR="00175454" w:rsidRPr="00E65BDE" w:rsidRDefault="00175454">
      <w:pPr>
        <w:pStyle w:val="FootnoteText"/>
        <w:rPr>
          <w:rFonts w:ascii="Arial" w:hAnsi="Arial" w:cs="Arial"/>
        </w:rPr>
      </w:pPr>
    </w:p>
  </w:footnote>
  <w:footnote w:id="20">
    <w:p w14:paraId="524E5F44" w14:textId="202CF758" w:rsidR="00182822" w:rsidRPr="00E65BDE" w:rsidRDefault="00182822" w:rsidP="002155F8">
      <w:pPr>
        <w:pStyle w:val="FootnoteText"/>
        <w:jc w:val="both"/>
        <w:rPr>
          <w:rFonts w:ascii="Arial" w:hAnsi="Arial" w:cs="Arial"/>
          <w:i/>
        </w:rPr>
      </w:pPr>
      <w:r w:rsidRPr="00E65BDE">
        <w:rPr>
          <w:rStyle w:val="FootnoteReference"/>
          <w:rFonts w:ascii="Arial" w:hAnsi="Arial" w:cs="Arial"/>
        </w:rPr>
        <w:footnoteRef/>
      </w:r>
      <w:r w:rsidRPr="00E65BDE">
        <w:rPr>
          <w:rFonts w:ascii="Arial" w:hAnsi="Arial" w:cs="Arial"/>
        </w:rPr>
        <w:t xml:space="preserve"> </w:t>
      </w:r>
      <w:r w:rsidR="00F651DC" w:rsidRPr="00E65BDE">
        <w:rPr>
          <w:rFonts w:ascii="Arial" w:hAnsi="Arial" w:cs="Arial"/>
        </w:rPr>
        <w:t xml:space="preserve">Indeed, </w:t>
      </w:r>
      <w:r w:rsidRPr="00E65BDE">
        <w:rPr>
          <w:rFonts w:ascii="Arial" w:hAnsi="Arial" w:cs="Arial"/>
        </w:rPr>
        <w:t>FirstEnergy’s own affiliates have routinely intervened in corporate separati</w:t>
      </w:r>
      <w:r w:rsidR="002155F8" w:rsidRPr="00E65BDE">
        <w:rPr>
          <w:rFonts w:ascii="Arial" w:hAnsi="Arial" w:cs="Arial"/>
        </w:rPr>
        <w:t>on matters on the basis that they may impact t</w:t>
      </w:r>
      <w:r w:rsidRPr="00E65BDE">
        <w:rPr>
          <w:rFonts w:ascii="Arial" w:hAnsi="Arial" w:cs="Arial"/>
        </w:rPr>
        <w:t>he competitive market:  “</w:t>
      </w:r>
      <w:r w:rsidR="00175454" w:rsidRPr="00E65BDE">
        <w:rPr>
          <w:rFonts w:ascii="Arial" w:hAnsi="Arial" w:cs="Arial"/>
        </w:rPr>
        <w:t>[a]</w:t>
      </w:r>
      <w:r w:rsidRPr="00E65BDE">
        <w:rPr>
          <w:rFonts w:ascii="Arial" w:hAnsi="Arial" w:cs="Arial"/>
        </w:rPr>
        <w:t xml:space="preserve">s a CRES and wholesale provider, FES is impacted by the corporate separation of AEP Ohio and AEP Generation Resources, Inc. </w:t>
      </w:r>
      <w:r w:rsidR="002155F8" w:rsidRPr="00E65BDE">
        <w:rPr>
          <w:rFonts w:ascii="Arial" w:hAnsi="Arial" w:cs="Arial"/>
        </w:rPr>
        <w:t xml:space="preserve"> </w:t>
      </w:r>
      <w:r w:rsidRPr="00E65BDE">
        <w:rPr>
          <w:rFonts w:ascii="Arial" w:hAnsi="Arial" w:cs="Arial"/>
        </w:rPr>
        <w:t xml:space="preserve">For example, FES and other CRES providers are affected when generation-related costs are passed on to all customers, including shopping customers, through an unjustified POLR, GRR, or capacity charge. CRES providers like FES are also impacted by the competitive information which may be shared between employees of AEP Ohio and employees of AEP Generation Resources, Inc.”  </w:t>
      </w:r>
      <w:r w:rsidRPr="00E65BDE">
        <w:rPr>
          <w:rFonts w:ascii="Arial" w:hAnsi="Arial" w:cs="Arial"/>
          <w:i/>
        </w:rPr>
        <w:t>In the Matter of the Application of Ohio Power Company for Approval of Full Legal Corporate Separation and Amendment to its Corporate Separation Plan</w:t>
      </w:r>
      <w:r w:rsidRPr="00E65BDE">
        <w:rPr>
          <w:rFonts w:ascii="Arial" w:hAnsi="Arial" w:cs="Arial"/>
        </w:rPr>
        <w:t>,</w:t>
      </w:r>
      <w:r w:rsidR="002155F8" w:rsidRPr="00E65BDE">
        <w:rPr>
          <w:rFonts w:ascii="Arial" w:hAnsi="Arial" w:cs="Arial"/>
        </w:rPr>
        <w:t xml:space="preserve"> Case No. 12-1126-EL-UNC,</w:t>
      </w:r>
      <w:r w:rsidRPr="00E65BDE">
        <w:rPr>
          <w:rFonts w:ascii="Arial" w:hAnsi="Arial" w:cs="Arial"/>
        </w:rPr>
        <w:t xml:space="preserve"> Motion to Intervene of FirstEnergy Solutions Corp.</w:t>
      </w:r>
      <w:r w:rsidR="002155F8" w:rsidRPr="00E65BDE">
        <w:rPr>
          <w:rFonts w:ascii="Arial" w:hAnsi="Arial" w:cs="Arial"/>
        </w:rPr>
        <w:t xml:space="preserve"> at 5</w:t>
      </w:r>
      <w:r w:rsidRPr="00E65BDE">
        <w:rPr>
          <w:rFonts w:ascii="Arial" w:hAnsi="Arial" w:cs="Arial"/>
        </w:rPr>
        <w:t>, (Apr. 10, 2012).</w:t>
      </w:r>
      <w:r w:rsidR="002155F8" w:rsidRPr="00E65BDE">
        <w:rPr>
          <w:rFonts w:ascii="Arial" w:hAnsi="Arial" w:cs="Arial"/>
        </w:rPr>
        <w:t xml:space="preserve">  </w:t>
      </w:r>
      <w:r w:rsidR="002155F8" w:rsidRPr="00E65BDE">
        <w:rPr>
          <w:rFonts w:ascii="Arial" w:hAnsi="Arial" w:cs="Arial"/>
          <w:i/>
        </w:rPr>
        <w:t>See also In the Matter of the Application of The Dayton Power and Light Company for Authority to Transfer or Sell its Generation Assets</w:t>
      </w:r>
      <w:r w:rsidR="002155F8" w:rsidRPr="00E65BDE">
        <w:rPr>
          <w:rFonts w:ascii="Arial" w:hAnsi="Arial" w:cs="Arial"/>
        </w:rPr>
        <w:t xml:space="preserve">, 13-2420-EL-UNC, Motion to Intervene of FirstEnergy Solutions Corp. (Jan. 9, 2014). </w:t>
      </w:r>
    </w:p>
    <w:p w14:paraId="1C0946AA" w14:textId="77777777" w:rsidR="002155F8" w:rsidRPr="00E65BDE" w:rsidRDefault="002155F8" w:rsidP="00182822">
      <w:pPr>
        <w:pStyle w:val="FootnoteText"/>
        <w:rPr>
          <w:rFonts w:ascii="Arial" w:hAnsi="Arial" w:cs="Arial"/>
        </w:rPr>
      </w:pPr>
    </w:p>
  </w:footnote>
  <w:footnote w:id="21">
    <w:p w14:paraId="2F18EFA4" w14:textId="2158CBF5" w:rsidR="00B971FC" w:rsidRPr="00E65BDE" w:rsidRDefault="00B971FC" w:rsidP="0001601F">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In the Matter of the Fuel Adjustment Clause of Columbus Southern Power Company and Ohio Power Company and Related Matters for 2011</w:t>
      </w:r>
      <w:r w:rsidRPr="00E65BDE">
        <w:rPr>
          <w:rFonts w:ascii="Arial" w:hAnsi="Arial" w:cs="Arial"/>
        </w:rPr>
        <w:t xml:space="preserve">, Case Nos. 11-281-EL-FAC, </w:t>
      </w:r>
      <w:r w:rsidRPr="00E65BDE">
        <w:rPr>
          <w:rFonts w:ascii="Arial" w:hAnsi="Arial" w:cs="Arial"/>
          <w:i/>
        </w:rPr>
        <w:t>et al.</w:t>
      </w:r>
      <w:r w:rsidRPr="00E65BDE">
        <w:rPr>
          <w:rFonts w:ascii="Arial" w:hAnsi="Arial" w:cs="Arial"/>
        </w:rPr>
        <w:t>, Tr. Vol. I at 10 (</w:t>
      </w:r>
      <w:r w:rsidR="002155F8" w:rsidRPr="00E65BDE">
        <w:rPr>
          <w:rFonts w:ascii="Arial" w:hAnsi="Arial" w:cs="Arial"/>
        </w:rPr>
        <w:t>“Upon review of the pleadings that were filed, the motions will be granted as Duke Energy Ohio and Duke Energy Commercial Asset Management have met the intervention criteria which are liberally construed in favor of intervention.”</w:t>
      </w:r>
      <w:r w:rsidRPr="00E65BDE">
        <w:rPr>
          <w:rFonts w:ascii="Arial" w:hAnsi="Arial" w:cs="Arial"/>
        </w:rPr>
        <w:t>) (hereinafter “</w:t>
      </w:r>
      <w:r w:rsidRPr="00E65BDE">
        <w:rPr>
          <w:rFonts w:ascii="Arial" w:hAnsi="Arial" w:cs="Arial"/>
          <w:i/>
        </w:rPr>
        <w:t>2011 FAC Case</w:t>
      </w:r>
      <w:r w:rsidRPr="00E65BDE">
        <w:rPr>
          <w:rFonts w:ascii="Arial" w:hAnsi="Arial" w:cs="Arial"/>
        </w:rPr>
        <w:t xml:space="preserve">”); </w:t>
      </w:r>
      <w:r w:rsidRPr="00E65BDE">
        <w:rPr>
          <w:rFonts w:ascii="Arial" w:hAnsi="Arial" w:cs="Arial"/>
          <w:i/>
        </w:rPr>
        <w:t>2011 FAC Case</w:t>
      </w:r>
      <w:r w:rsidRPr="00E65BDE">
        <w:rPr>
          <w:rFonts w:ascii="Arial" w:hAnsi="Arial" w:cs="Arial"/>
        </w:rPr>
        <w:t xml:space="preserve">, Motion to Intervene by Duke Energy Commercial Asset Management </w:t>
      </w:r>
      <w:r w:rsidR="002155F8" w:rsidRPr="00E65BDE">
        <w:rPr>
          <w:rFonts w:ascii="Arial" w:hAnsi="Arial" w:cs="Arial"/>
        </w:rPr>
        <w:t xml:space="preserve">at 4 </w:t>
      </w:r>
      <w:r w:rsidRPr="00E65BDE">
        <w:rPr>
          <w:rFonts w:ascii="Arial" w:hAnsi="Arial" w:cs="Arial"/>
        </w:rPr>
        <w:t>(O</w:t>
      </w:r>
      <w:bookmarkStart w:id="0" w:name="_GoBack"/>
      <w:bookmarkEnd w:id="0"/>
      <w:r w:rsidRPr="00E65BDE">
        <w:rPr>
          <w:rFonts w:ascii="Arial" w:hAnsi="Arial" w:cs="Arial"/>
        </w:rPr>
        <w:t xml:space="preserve">ct. 10, 2013) (“DECAM is a participant in the wholesale electric market in Ohio. That wholesale market will be directly impacted by the rates being charged under the standard service offer of AEP Ohio.”); </w:t>
      </w:r>
      <w:r w:rsidRPr="00E65BDE">
        <w:rPr>
          <w:rFonts w:ascii="Arial" w:hAnsi="Arial" w:cs="Arial"/>
          <w:i/>
        </w:rPr>
        <w:t>2011 FAC Case</w:t>
      </w:r>
      <w:r w:rsidRPr="00E65BDE">
        <w:rPr>
          <w:rFonts w:ascii="Arial" w:hAnsi="Arial" w:cs="Arial"/>
        </w:rPr>
        <w:t>, Reply of Duke Energy Commercial Asset Management in Support of Intervention</w:t>
      </w:r>
      <w:r w:rsidR="002155F8" w:rsidRPr="00E65BDE">
        <w:rPr>
          <w:rFonts w:ascii="Arial" w:hAnsi="Arial" w:cs="Arial"/>
        </w:rPr>
        <w:t xml:space="preserve"> at 2</w:t>
      </w:r>
      <w:r w:rsidRPr="00E65BDE">
        <w:rPr>
          <w:rFonts w:ascii="Arial" w:hAnsi="Arial" w:cs="Arial"/>
        </w:rPr>
        <w:t xml:space="preserve"> (Oct. 22, 2013) (“DECAM has a real and substantial interest in protecting its ability to compete in the SSO. Contrary to AEP Ohio’s contention that purely competitive interests do not justify intervention, the Commission has routinely recognized that such interests are indeed an adequate basis for intervention.”</w:t>
      </w:r>
      <w:r w:rsidR="002F2653">
        <w:rPr>
          <w:rFonts w:ascii="Arial" w:hAnsi="Arial" w:cs="Arial"/>
        </w:rPr>
        <w:t>).</w:t>
      </w:r>
      <w:r w:rsidRPr="00E65BDE">
        <w:rPr>
          <w:rFonts w:ascii="Arial" w:hAnsi="Arial" w:cs="Arial"/>
          <w:i/>
        </w:rPr>
        <w:t>See also In re Purchased Gas Adjustment Clause of The East Ohio Gas Company</w:t>
      </w:r>
      <w:r w:rsidRPr="00E65BDE">
        <w:rPr>
          <w:rFonts w:ascii="Arial" w:hAnsi="Arial" w:cs="Arial"/>
        </w:rPr>
        <w:t>, Case No. 05-219-GA-GCR at 6 (Dec. 2, 2005)(granting IGS’</w:t>
      </w:r>
      <w:r w:rsidR="002F2653">
        <w:rPr>
          <w:rFonts w:ascii="Arial" w:hAnsi="Arial" w:cs="Arial"/>
        </w:rPr>
        <w:t>s</w:t>
      </w:r>
      <w:r w:rsidRPr="00E65BDE">
        <w:rPr>
          <w:rFonts w:ascii="Arial" w:hAnsi="Arial" w:cs="Arial"/>
        </w:rPr>
        <w:t xml:space="preserve"> motion to intervene because gas cost recovery rate proceedings had a demonstrated impact on competitive markets and the interests of competitive suppliers).</w:t>
      </w:r>
    </w:p>
    <w:p w14:paraId="3E98263F" w14:textId="77777777" w:rsidR="00F651DC" w:rsidRPr="00E65BDE" w:rsidRDefault="00F651DC" w:rsidP="0001601F">
      <w:pPr>
        <w:pStyle w:val="FootnoteText"/>
        <w:jc w:val="both"/>
        <w:rPr>
          <w:rFonts w:ascii="Arial" w:hAnsi="Arial" w:cs="Arial"/>
        </w:rPr>
      </w:pPr>
    </w:p>
  </w:footnote>
  <w:footnote w:id="22">
    <w:p w14:paraId="4DC175B5" w14:textId="4C6807BF" w:rsidR="00F651DC" w:rsidRPr="00E65BDE" w:rsidRDefault="00F651DC" w:rsidP="0001601F">
      <w:pPr>
        <w:pStyle w:val="FootnoteText"/>
        <w:jc w:val="both"/>
        <w:rPr>
          <w:rFonts w:ascii="Arial" w:hAnsi="Arial" w:cs="Arial"/>
          <w:i/>
        </w:rPr>
      </w:pPr>
      <w:r w:rsidRPr="00E65BDE">
        <w:rPr>
          <w:rStyle w:val="FootnoteReference"/>
          <w:rFonts w:ascii="Arial" w:hAnsi="Arial" w:cs="Arial"/>
        </w:rPr>
        <w:footnoteRef/>
      </w:r>
      <w:r w:rsidRPr="00E65BDE">
        <w:rPr>
          <w:rFonts w:ascii="Arial" w:hAnsi="Arial" w:cs="Arial"/>
        </w:rPr>
        <w:t xml:space="preserve"> </w:t>
      </w:r>
      <w:r w:rsidR="002F2653" w:rsidRPr="00E65BDE">
        <w:rPr>
          <w:rFonts w:ascii="Arial" w:hAnsi="Arial" w:cs="Arial"/>
          <w:i/>
        </w:rPr>
        <w:t>In the Matter of the Fuel Adjustment Clause of Columbus Southern Power Company and Ohio Power Company and Related Matters for 2011</w:t>
      </w:r>
      <w:r w:rsidR="002F2653" w:rsidRPr="00E65BDE">
        <w:rPr>
          <w:rFonts w:ascii="Arial" w:hAnsi="Arial" w:cs="Arial"/>
        </w:rPr>
        <w:t xml:space="preserve">, Case Nos. 11-281-EL-FAC, </w:t>
      </w:r>
      <w:r w:rsidR="002F2653" w:rsidRPr="00E65BDE">
        <w:rPr>
          <w:rFonts w:ascii="Arial" w:hAnsi="Arial" w:cs="Arial"/>
          <w:i/>
        </w:rPr>
        <w:t>et al.</w:t>
      </w:r>
      <w:r w:rsidR="002F2653" w:rsidRPr="00E65BDE">
        <w:rPr>
          <w:rFonts w:ascii="Arial" w:hAnsi="Arial" w:cs="Arial"/>
        </w:rPr>
        <w:t>, Tr. Vol. I at 10</w:t>
      </w:r>
      <w:r w:rsidR="002F2653">
        <w:rPr>
          <w:rFonts w:ascii="Arial" w:hAnsi="Arial" w:cs="Arial"/>
        </w:rPr>
        <w:t>.</w:t>
      </w:r>
    </w:p>
    <w:p w14:paraId="6EC12F83" w14:textId="77777777" w:rsidR="007B1862" w:rsidRPr="00E65BDE" w:rsidRDefault="007B1862" w:rsidP="0001601F">
      <w:pPr>
        <w:pStyle w:val="FootnoteText"/>
        <w:jc w:val="both"/>
        <w:rPr>
          <w:rFonts w:ascii="Arial" w:hAnsi="Arial" w:cs="Arial"/>
          <w:i/>
        </w:rPr>
      </w:pPr>
    </w:p>
  </w:footnote>
  <w:footnote w:id="23">
    <w:p w14:paraId="0AEEF245" w14:textId="721D67C4" w:rsidR="002155F8" w:rsidRPr="00E65BDE" w:rsidRDefault="002155F8" w:rsidP="0001601F">
      <w:pPr>
        <w:autoSpaceDE w:val="0"/>
        <w:autoSpaceDN w:val="0"/>
        <w:adjustRightInd w:val="0"/>
        <w:spacing w:after="120" w:line="240" w:lineRule="auto"/>
        <w:jc w:val="both"/>
        <w:rPr>
          <w:rFonts w:ascii="Arial" w:hAnsi="Arial" w:cs="Arial"/>
          <w:sz w:val="20"/>
          <w:szCs w:val="20"/>
        </w:rPr>
      </w:pPr>
      <w:r w:rsidRPr="00E65BDE">
        <w:rPr>
          <w:rStyle w:val="FootnoteReference"/>
          <w:rFonts w:ascii="Arial" w:hAnsi="Arial" w:cs="Arial"/>
          <w:sz w:val="20"/>
          <w:szCs w:val="20"/>
        </w:rPr>
        <w:footnoteRef/>
      </w:r>
      <w:r w:rsidRPr="00E65BDE">
        <w:rPr>
          <w:rFonts w:ascii="Arial" w:hAnsi="Arial" w:cs="Arial"/>
          <w:sz w:val="20"/>
          <w:szCs w:val="20"/>
        </w:rPr>
        <w:t xml:space="preserve"> </w:t>
      </w:r>
      <w:r w:rsidRPr="00E65BDE">
        <w:rPr>
          <w:rFonts w:ascii="Arial" w:hAnsi="Arial" w:cs="Arial"/>
          <w:i/>
          <w:sz w:val="20"/>
          <w:szCs w:val="20"/>
        </w:rPr>
        <w:t>In the Matter of the Application of the Fuel Adjustment Clauses of Columbus Southern Power Company and Ohio Power Company and Related Matters</w:t>
      </w:r>
      <w:r w:rsidRPr="00E65BDE">
        <w:rPr>
          <w:rFonts w:ascii="Arial" w:hAnsi="Arial" w:cs="Arial"/>
          <w:sz w:val="20"/>
          <w:szCs w:val="20"/>
        </w:rPr>
        <w:t xml:space="preserve">, Case Nos. 09-872-EL-FAC, </w:t>
      </w:r>
      <w:r w:rsidRPr="00E65BDE">
        <w:rPr>
          <w:rFonts w:ascii="Arial" w:hAnsi="Arial" w:cs="Arial"/>
          <w:i/>
          <w:sz w:val="20"/>
          <w:szCs w:val="20"/>
        </w:rPr>
        <w:t>et al.</w:t>
      </w:r>
      <w:r w:rsidRPr="00E65BDE">
        <w:rPr>
          <w:rFonts w:ascii="Arial" w:hAnsi="Arial" w:cs="Arial"/>
          <w:sz w:val="20"/>
          <w:szCs w:val="20"/>
        </w:rPr>
        <w:t>,</w:t>
      </w:r>
      <w:r w:rsidRPr="00E65BDE">
        <w:rPr>
          <w:rFonts w:ascii="Arial" w:hAnsi="Arial" w:cs="Arial"/>
          <w:i/>
          <w:sz w:val="20"/>
          <w:szCs w:val="20"/>
        </w:rPr>
        <w:t xml:space="preserve"> </w:t>
      </w:r>
      <w:r w:rsidRPr="00E65BDE">
        <w:rPr>
          <w:rFonts w:ascii="Arial" w:hAnsi="Arial" w:cs="Arial"/>
          <w:sz w:val="20"/>
          <w:szCs w:val="20"/>
        </w:rPr>
        <w:t xml:space="preserve">Order on Global Settlement Stipulation at 17 (Feb. 23, 2017). </w:t>
      </w:r>
    </w:p>
    <w:p w14:paraId="2F22F429" w14:textId="1F5E97B6" w:rsidR="002155F8" w:rsidRPr="00E65BDE" w:rsidRDefault="002155F8">
      <w:pPr>
        <w:pStyle w:val="FootnoteText"/>
        <w:rPr>
          <w:rFonts w:ascii="Arial" w:hAnsi="Arial" w:cs="Arial"/>
        </w:rPr>
      </w:pPr>
    </w:p>
  </w:footnote>
  <w:footnote w:id="24">
    <w:p w14:paraId="47E674E5" w14:textId="51666114" w:rsidR="00094217" w:rsidRPr="00AE2FF0" w:rsidRDefault="00094217" w:rsidP="00AE2FF0">
      <w:pPr>
        <w:pStyle w:val="FootnoteText"/>
        <w:jc w:val="both"/>
        <w:rPr>
          <w:rFonts w:ascii="Arial" w:hAnsi="Arial" w:cs="Arial"/>
          <w:i/>
        </w:rPr>
      </w:pPr>
      <w:r w:rsidRPr="00AE2FF0">
        <w:rPr>
          <w:rStyle w:val="FootnoteReference"/>
          <w:rFonts w:ascii="Arial" w:hAnsi="Arial" w:cs="Arial"/>
        </w:rPr>
        <w:footnoteRef/>
      </w:r>
      <w:r w:rsidRPr="00AE2FF0">
        <w:rPr>
          <w:rFonts w:ascii="Arial" w:hAnsi="Arial" w:cs="Arial"/>
        </w:rPr>
        <w:t xml:space="preserve"> </w:t>
      </w:r>
      <w:r w:rsidRPr="00AE2FF0">
        <w:rPr>
          <w:rFonts w:ascii="Arial" w:hAnsi="Arial" w:cs="Arial"/>
          <w:i/>
        </w:rPr>
        <w:t>In the Matter of the Application of Akron Thermal, Limited Partnership for an Increase in its Rates for Steam and Hot Water Service</w:t>
      </w:r>
      <w:r w:rsidRPr="00AE2FF0">
        <w:rPr>
          <w:rFonts w:ascii="Arial" w:hAnsi="Arial" w:cs="Arial"/>
        </w:rPr>
        <w:t xml:space="preserve">, Case Nos. 05-5-HT-AIR, </w:t>
      </w:r>
      <w:r w:rsidRPr="00AE2FF0">
        <w:rPr>
          <w:rFonts w:ascii="Arial" w:hAnsi="Arial" w:cs="Arial"/>
          <w:i/>
        </w:rPr>
        <w:t>et al.</w:t>
      </w:r>
      <w:r w:rsidRPr="00AE2FF0">
        <w:rPr>
          <w:rFonts w:ascii="Arial" w:hAnsi="Arial" w:cs="Arial"/>
        </w:rPr>
        <w:t>, Entry a 1 (Jun. 14, 2005) (hereinafter “</w:t>
      </w:r>
      <w:r w:rsidRPr="00AE2FF0">
        <w:rPr>
          <w:rFonts w:ascii="Arial" w:hAnsi="Arial" w:cs="Arial"/>
          <w:i/>
        </w:rPr>
        <w:t>Akron Thermal</w:t>
      </w:r>
      <w:r w:rsidRPr="00AE2FF0">
        <w:rPr>
          <w:rFonts w:ascii="Arial" w:hAnsi="Arial" w:cs="Arial"/>
        </w:rPr>
        <w:t xml:space="preserve">”). </w:t>
      </w:r>
      <w:r w:rsidRPr="00AE2FF0">
        <w:rPr>
          <w:rFonts w:ascii="Arial" w:hAnsi="Arial" w:cs="Arial"/>
          <w:i/>
        </w:rPr>
        <w:t xml:space="preserve"> </w:t>
      </w:r>
    </w:p>
    <w:p w14:paraId="27E2978C" w14:textId="77777777" w:rsidR="00094217" w:rsidRPr="00AE2FF0" w:rsidRDefault="00094217">
      <w:pPr>
        <w:pStyle w:val="FootnoteText"/>
        <w:rPr>
          <w:rFonts w:ascii="Arial" w:hAnsi="Arial" w:cs="Arial"/>
          <w:i/>
        </w:rPr>
      </w:pPr>
    </w:p>
  </w:footnote>
  <w:footnote w:id="25">
    <w:p w14:paraId="757B0584" w14:textId="77777777" w:rsidR="001D76DA" w:rsidRPr="00AE2FF0" w:rsidRDefault="00094217">
      <w:pPr>
        <w:pStyle w:val="FootnoteText"/>
        <w:rPr>
          <w:rFonts w:ascii="Arial" w:hAnsi="Arial" w:cs="Arial"/>
          <w:i/>
        </w:rPr>
      </w:pPr>
      <w:r w:rsidRPr="00AE2FF0">
        <w:rPr>
          <w:rStyle w:val="FootnoteReference"/>
          <w:rFonts w:ascii="Arial" w:hAnsi="Arial" w:cs="Arial"/>
        </w:rPr>
        <w:footnoteRef/>
      </w:r>
      <w:r w:rsidRPr="00AE2FF0">
        <w:rPr>
          <w:rFonts w:ascii="Arial" w:hAnsi="Arial" w:cs="Arial"/>
        </w:rPr>
        <w:t xml:space="preserve"> </w:t>
      </w:r>
      <w:r w:rsidRPr="00AE2FF0">
        <w:rPr>
          <w:rFonts w:ascii="Arial" w:hAnsi="Arial" w:cs="Arial"/>
          <w:i/>
        </w:rPr>
        <w:t>Id.</w:t>
      </w:r>
    </w:p>
    <w:p w14:paraId="26E2A8AC" w14:textId="0B8F9EB4" w:rsidR="00094217" w:rsidRPr="00AE2FF0" w:rsidRDefault="00094217">
      <w:pPr>
        <w:pStyle w:val="FootnoteText"/>
        <w:rPr>
          <w:rFonts w:ascii="Arial" w:hAnsi="Arial" w:cs="Arial"/>
          <w:i/>
        </w:rPr>
      </w:pPr>
      <w:r w:rsidRPr="00AE2FF0">
        <w:rPr>
          <w:rFonts w:ascii="Arial" w:hAnsi="Arial" w:cs="Arial"/>
          <w:i/>
        </w:rPr>
        <w:t xml:space="preserve"> </w:t>
      </w:r>
    </w:p>
  </w:footnote>
  <w:footnote w:id="26">
    <w:p w14:paraId="3AB86C77" w14:textId="7D0E61B5" w:rsidR="00094217" w:rsidRPr="00AE2FF0" w:rsidRDefault="00094217">
      <w:pPr>
        <w:pStyle w:val="FootnoteText"/>
        <w:rPr>
          <w:rFonts w:ascii="Arial" w:hAnsi="Arial" w:cs="Arial"/>
        </w:rPr>
      </w:pPr>
      <w:r w:rsidRPr="00AE2FF0">
        <w:rPr>
          <w:rStyle w:val="FootnoteReference"/>
          <w:rFonts w:ascii="Arial" w:hAnsi="Arial" w:cs="Arial"/>
        </w:rPr>
        <w:footnoteRef/>
      </w:r>
      <w:r w:rsidRPr="00AE2FF0">
        <w:rPr>
          <w:rFonts w:ascii="Arial" w:hAnsi="Arial" w:cs="Arial"/>
        </w:rPr>
        <w:t xml:space="preserve"> </w:t>
      </w:r>
      <w:r w:rsidRPr="00AE2FF0">
        <w:rPr>
          <w:rFonts w:ascii="Arial" w:hAnsi="Arial" w:cs="Arial"/>
          <w:i/>
        </w:rPr>
        <w:t xml:space="preserve">Id. </w:t>
      </w:r>
      <w:r w:rsidRPr="00AE2FF0">
        <w:rPr>
          <w:rFonts w:ascii="Arial" w:hAnsi="Arial" w:cs="Arial"/>
        </w:rPr>
        <w:t xml:space="preserve">at 2-3. </w:t>
      </w:r>
    </w:p>
    <w:p w14:paraId="1FC81BB6" w14:textId="77777777" w:rsidR="001D76DA" w:rsidRPr="00AE2FF0" w:rsidRDefault="001D76DA">
      <w:pPr>
        <w:pStyle w:val="FootnoteText"/>
        <w:rPr>
          <w:rFonts w:ascii="Arial" w:hAnsi="Arial" w:cs="Arial"/>
        </w:rPr>
      </w:pPr>
    </w:p>
  </w:footnote>
  <w:footnote w:id="27">
    <w:p w14:paraId="22C40763" w14:textId="0D655DC6" w:rsidR="00AE2FF0" w:rsidRPr="00AE2FF0" w:rsidRDefault="00AE2FF0">
      <w:pPr>
        <w:pStyle w:val="FootnoteText"/>
        <w:rPr>
          <w:rFonts w:ascii="Arial" w:hAnsi="Arial" w:cs="Arial"/>
        </w:rPr>
      </w:pPr>
      <w:r w:rsidRPr="00AE2FF0">
        <w:rPr>
          <w:rStyle w:val="FootnoteReference"/>
          <w:rFonts w:ascii="Arial" w:hAnsi="Arial" w:cs="Arial"/>
        </w:rPr>
        <w:footnoteRef/>
      </w:r>
      <w:r w:rsidRPr="00AE2FF0">
        <w:rPr>
          <w:rFonts w:ascii="Arial" w:hAnsi="Arial" w:cs="Arial"/>
        </w:rPr>
        <w:t xml:space="preserve"> </w:t>
      </w:r>
      <w:r w:rsidRPr="00AE2FF0">
        <w:rPr>
          <w:rFonts w:ascii="Arial" w:hAnsi="Arial" w:cs="Arial"/>
          <w:i/>
        </w:rPr>
        <w:t xml:space="preserve">Id. </w:t>
      </w:r>
      <w:r w:rsidRPr="00AE2FF0">
        <w:rPr>
          <w:rFonts w:ascii="Arial" w:hAnsi="Arial" w:cs="Arial"/>
        </w:rPr>
        <w:t xml:space="preserve">at 2. </w:t>
      </w:r>
    </w:p>
    <w:p w14:paraId="3E48E426" w14:textId="77777777" w:rsidR="00AE2FF0" w:rsidRPr="00AE2FF0" w:rsidRDefault="00AE2FF0">
      <w:pPr>
        <w:pStyle w:val="FootnoteText"/>
        <w:rPr>
          <w:rFonts w:ascii="Arial" w:hAnsi="Arial" w:cs="Arial"/>
        </w:rPr>
      </w:pPr>
    </w:p>
  </w:footnote>
  <w:footnote w:id="28">
    <w:p w14:paraId="07217C03" w14:textId="6CC24FC4" w:rsidR="001D76DA" w:rsidRPr="00AE2FF0" w:rsidRDefault="001D76DA">
      <w:pPr>
        <w:pStyle w:val="FootnoteText"/>
        <w:rPr>
          <w:rFonts w:ascii="Arial" w:hAnsi="Arial" w:cs="Arial"/>
        </w:rPr>
      </w:pPr>
      <w:r w:rsidRPr="00AE2FF0">
        <w:rPr>
          <w:rStyle w:val="FootnoteReference"/>
          <w:rFonts w:ascii="Arial" w:hAnsi="Arial" w:cs="Arial"/>
        </w:rPr>
        <w:footnoteRef/>
      </w:r>
      <w:r w:rsidRPr="00AE2FF0">
        <w:rPr>
          <w:rFonts w:ascii="Arial" w:hAnsi="Arial" w:cs="Arial"/>
        </w:rPr>
        <w:t xml:space="preserve"> </w:t>
      </w:r>
      <w:r w:rsidRPr="00AE2FF0">
        <w:rPr>
          <w:rFonts w:ascii="Arial" w:hAnsi="Arial" w:cs="Arial"/>
          <w:i/>
        </w:rPr>
        <w:t xml:space="preserve">Id. </w:t>
      </w:r>
      <w:r w:rsidRPr="00AE2FF0">
        <w:rPr>
          <w:rFonts w:ascii="Arial" w:hAnsi="Arial" w:cs="Arial"/>
        </w:rPr>
        <w:t xml:space="preserve">at 3. </w:t>
      </w:r>
    </w:p>
    <w:p w14:paraId="04489C85" w14:textId="77777777" w:rsidR="007B1862" w:rsidRPr="00E65BDE" w:rsidRDefault="007B1862">
      <w:pPr>
        <w:pStyle w:val="FootnoteText"/>
        <w:rPr>
          <w:rFonts w:ascii="Arial" w:hAnsi="Arial" w:cs="Arial"/>
        </w:rPr>
      </w:pPr>
    </w:p>
  </w:footnote>
  <w:footnote w:id="29">
    <w:p w14:paraId="4697D227" w14:textId="77777777" w:rsidR="001D76DA" w:rsidRPr="00E65BDE" w:rsidRDefault="001D76DA" w:rsidP="00480A92">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 xml:space="preserve">Id. </w:t>
      </w:r>
      <w:r w:rsidRPr="00E65BDE">
        <w:rPr>
          <w:rFonts w:ascii="Arial" w:hAnsi="Arial" w:cs="Arial"/>
        </w:rPr>
        <w:t>at 3.</w:t>
      </w:r>
    </w:p>
    <w:p w14:paraId="10CF6AF5" w14:textId="4965F08B" w:rsidR="001D76DA" w:rsidRPr="00E65BDE" w:rsidRDefault="001D76DA" w:rsidP="00480A92">
      <w:pPr>
        <w:pStyle w:val="FootnoteText"/>
        <w:jc w:val="both"/>
        <w:rPr>
          <w:rFonts w:ascii="Arial" w:hAnsi="Arial" w:cs="Arial"/>
        </w:rPr>
      </w:pPr>
      <w:r w:rsidRPr="00E65BDE">
        <w:rPr>
          <w:rFonts w:ascii="Arial" w:hAnsi="Arial" w:cs="Arial"/>
        </w:rPr>
        <w:t xml:space="preserve"> </w:t>
      </w:r>
    </w:p>
  </w:footnote>
  <w:footnote w:id="30">
    <w:p w14:paraId="3DF01247" w14:textId="47774B7D" w:rsidR="001D76DA" w:rsidRPr="00E65BDE" w:rsidRDefault="001D76DA" w:rsidP="00480A92">
      <w:pPr>
        <w:pStyle w:val="FootnoteText"/>
        <w:jc w:val="both"/>
        <w:rPr>
          <w:rFonts w:ascii="Arial" w:hAnsi="Arial" w:cs="Arial"/>
          <w:i/>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 xml:space="preserve">Id. </w:t>
      </w:r>
    </w:p>
    <w:p w14:paraId="6E44E90F" w14:textId="77777777" w:rsidR="00480A92" w:rsidRPr="00E65BDE" w:rsidRDefault="00480A92" w:rsidP="00480A92">
      <w:pPr>
        <w:pStyle w:val="FootnoteText"/>
        <w:jc w:val="both"/>
        <w:rPr>
          <w:rFonts w:ascii="Arial" w:hAnsi="Arial" w:cs="Arial"/>
          <w:i/>
        </w:rPr>
      </w:pPr>
    </w:p>
  </w:footnote>
  <w:footnote w:id="31">
    <w:p w14:paraId="6489D14C" w14:textId="2972D8A5" w:rsidR="001D76DA" w:rsidRPr="002E438A" w:rsidRDefault="001D76DA" w:rsidP="002E438A">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w:t>
      </w:r>
      <w:r w:rsidRPr="00E65BDE">
        <w:rPr>
          <w:rFonts w:ascii="Arial" w:hAnsi="Arial" w:cs="Arial"/>
          <w:i/>
        </w:rPr>
        <w:t>See</w:t>
      </w:r>
      <w:r w:rsidR="002E438A">
        <w:rPr>
          <w:rFonts w:ascii="Arial" w:hAnsi="Arial" w:cs="Arial"/>
          <w:i/>
        </w:rPr>
        <w:t xml:space="preserve"> </w:t>
      </w:r>
      <w:r w:rsidR="002E438A">
        <w:rPr>
          <w:rFonts w:ascii="Arial" w:hAnsi="Arial" w:cs="Arial"/>
        </w:rPr>
        <w:t>R.C. 4928.17(A)(1)-(3) and R.C. 4928.02(H).</w:t>
      </w:r>
    </w:p>
    <w:p w14:paraId="5FA1BA0C" w14:textId="77777777" w:rsidR="00480A92" w:rsidRPr="00E65BDE" w:rsidRDefault="00480A92" w:rsidP="00480A92">
      <w:pPr>
        <w:pStyle w:val="FootnoteText"/>
        <w:ind w:left="720" w:right="720"/>
        <w:jc w:val="both"/>
        <w:rPr>
          <w:rFonts w:ascii="Arial" w:hAnsi="Arial" w:cs="Arial"/>
        </w:rPr>
      </w:pPr>
    </w:p>
  </w:footnote>
  <w:footnote w:id="32">
    <w:p w14:paraId="03DD2890" w14:textId="29BE3A8F" w:rsidR="00480A92" w:rsidRPr="00E65BDE" w:rsidRDefault="00480A92">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Memo Contra at 3</w:t>
      </w:r>
      <w:r w:rsidR="007B1862" w:rsidRPr="00E65BDE">
        <w:rPr>
          <w:rFonts w:ascii="Arial" w:hAnsi="Arial" w:cs="Arial"/>
        </w:rPr>
        <w:t>.</w:t>
      </w:r>
    </w:p>
    <w:p w14:paraId="70A94B64" w14:textId="77777777" w:rsidR="007B1862" w:rsidRPr="00E65BDE" w:rsidRDefault="007B1862">
      <w:pPr>
        <w:pStyle w:val="FootnoteText"/>
        <w:rPr>
          <w:rFonts w:ascii="Arial" w:hAnsi="Arial" w:cs="Arial"/>
        </w:rPr>
      </w:pPr>
    </w:p>
  </w:footnote>
  <w:footnote w:id="33">
    <w:p w14:paraId="79507CA3" w14:textId="2567F192" w:rsidR="009449B5" w:rsidRPr="00AE2FF0" w:rsidRDefault="009449B5" w:rsidP="00AE2FF0">
      <w:pPr>
        <w:pStyle w:val="FootnoteText"/>
        <w:jc w:val="both"/>
        <w:rPr>
          <w:rFonts w:ascii="Arial" w:hAnsi="Arial" w:cs="Arial"/>
          <w:smallCaps/>
        </w:rPr>
      </w:pPr>
      <w:r w:rsidRPr="00E65BDE">
        <w:rPr>
          <w:rStyle w:val="FootnoteReference"/>
          <w:rFonts w:ascii="Arial" w:hAnsi="Arial" w:cs="Arial"/>
        </w:rPr>
        <w:footnoteRef/>
      </w:r>
      <w:r w:rsidRPr="00E65BDE">
        <w:rPr>
          <w:rFonts w:ascii="Arial" w:hAnsi="Arial" w:cs="Arial"/>
        </w:rPr>
        <w:t xml:space="preserve"> </w:t>
      </w:r>
      <w:r w:rsidR="002E438A">
        <w:rPr>
          <w:rFonts w:ascii="Arial" w:hAnsi="Arial" w:cs="Arial"/>
          <w:i/>
        </w:rPr>
        <w:t>See g</w:t>
      </w:r>
      <w:r w:rsidRPr="00E65BDE">
        <w:rPr>
          <w:rFonts w:ascii="Arial" w:hAnsi="Arial" w:cs="Arial"/>
          <w:i/>
        </w:rPr>
        <w:t>enerally In re Application of Duke Energy Ohio, Inc., for Approval of its Fourth Amended Corporate Separation Plan</w:t>
      </w:r>
      <w:r w:rsidRPr="00E65BDE">
        <w:rPr>
          <w:rFonts w:ascii="Arial" w:hAnsi="Arial" w:cs="Arial"/>
        </w:rPr>
        <w:t>,</w:t>
      </w:r>
      <w:r w:rsidRPr="00E65BDE">
        <w:rPr>
          <w:rFonts w:ascii="Arial" w:hAnsi="Arial" w:cs="Arial"/>
          <w:i/>
        </w:rPr>
        <w:t xml:space="preserve"> </w:t>
      </w:r>
      <w:r w:rsidRPr="00E65BDE">
        <w:rPr>
          <w:rFonts w:ascii="Arial" w:hAnsi="Arial" w:cs="Arial"/>
        </w:rPr>
        <w:t xml:space="preserve">148 Ohio St.3d 510 (Nov. </w:t>
      </w:r>
      <w:r w:rsidR="00AE2FF0">
        <w:rPr>
          <w:rFonts w:ascii="Arial" w:hAnsi="Arial" w:cs="Arial"/>
        </w:rPr>
        <w:t xml:space="preserve">1, </w:t>
      </w:r>
      <w:r w:rsidR="00AE2FF0" w:rsidRPr="00AE2FF0">
        <w:rPr>
          <w:rFonts w:ascii="Arial" w:hAnsi="Arial" w:cs="Arial"/>
          <w:i/>
        </w:rPr>
        <w:t>2016); In the Matter of the Application of Duke Energy Ohio for Approval of the Fourth Amended Corporate Separation Plan under Section 4928.17, Revised Code, and Chapter 4901:1-37, Ohio Administrative Code</w:t>
      </w:r>
      <w:r w:rsidR="00AE2FF0">
        <w:rPr>
          <w:rFonts w:ascii="Arial" w:hAnsi="Arial" w:cs="Arial"/>
        </w:rPr>
        <w:t xml:space="preserve">, Case Nos. 14-689-EL-UNC, </w:t>
      </w:r>
      <w:r w:rsidR="00AE2FF0">
        <w:rPr>
          <w:rFonts w:ascii="Arial" w:hAnsi="Arial" w:cs="Arial"/>
          <w:i/>
        </w:rPr>
        <w:t>et al.</w:t>
      </w:r>
      <w:r w:rsidR="00AE2FF0">
        <w:rPr>
          <w:rFonts w:ascii="Arial" w:hAnsi="Arial" w:cs="Arial"/>
        </w:rPr>
        <w:t>, Initial Comments Submitted on Behalf of the Staff of Public Utilities Commission of Ohio (May 15, 2014) (hereinafter “</w:t>
      </w:r>
      <w:r w:rsidR="00AE2FF0">
        <w:rPr>
          <w:rFonts w:ascii="Arial" w:hAnsi="Arial" w:cs="Arial"/>
          <w:i/>
        </w:rPr>
        <w:t>Duke Corporate Separation Case</w:t>
      </w:r>
      <w:r w:rsidR="00AE2FF0">
        <w:rPr>
          <w:rFonts w:ascii="Arial" w:hAnsi="Arial" w:cs="Arial"/>
        </w:rPr>
        <w:t>”</w:t>
      </w:r>
      <w:r w:rsidR="00C863F1">
        <w:rPr>
          <w:rFonts w:ascii="Arial" w:hAnsi="Arial" w:cs="Arial"/>
        </w:rPr>
        <w:t>);</w:t>
      </w:r>
      <w:r w:rsidR="00AE2FF0">
        <w:rPr>
          <w:rFonts w:ascii="Arial" w:hAnsi="Arial" w:cs="Arial"/>
          <w:i/>
        </w:rPr>
        <w:t xml:space="preserve"> </w:t>
      </w:r>
      <w:r w:rsidR="00C863F1">
        <w:rPr>
          <w:rFonts w:ascii="Arial" w:hAnsi="Arial" w:cs="Arial"/>
          <w:i/>
        </w:rPr>
        <w:t xml:space="preserve">see </w:t>
      </w:r>
      <w:r w:rsidR="00AE2FF0">
        <w:rPr>
          <w:rFonts w:ascii="Arial" w:hAnsi="Arial" w:cs="Arial"/>
          <w:i/>
        </w:rPr>
        <w:t>Duke Corporate Separation Case</w:t>
      </w:r>
      <w:r w:rsidR="00AE2FF0">
        <w:rPr>
          <w:rFonts w:ascii="Arial" w:hAnsi="Arial" w:cs="Arial"/>
        </w:rPr>
        <w:t xml:space="preserve">, Objections of IGS Energy (May 15, 2014). </w:t>
      </w:r>
    </w:p>
    <w:p w14:paraId="526F747A" w14:textId="77777777" w:rsidR="00480A92" w:rsidRPr="00E65BDE" w:rsidRDefault="00480A92" w:rsidP="007E416C">
      <w:pPr>
        <w:pStyle w:val="FootnoteText"/>
        <w:jc w:val="both"/>
        <w:rPr>
          <w:rFonts w:ascii="Arial" w:hAnsi="Arial" w:cs="Arial"/>
        </w:rPr>
      </w:pPr>
    </w:p>
  </w:footnote>
  <w:footnote w:id="34">
    <w:p w14:paraId="55A16904" w14:textId="6E523DB1" w:rsidR="00480A92" w:rsidRPr="00E65BDE" w:rsidRDefault="00480A92">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Memo Contra at 3-4.</w:t>
      </w:r>
    </w:p>
  </w:footnote>
  <w:footnote w:id="35">
    <w:p w14:paraId="238B9972" w14:textId="289F7EEB" w:rsidR="00480A92" w:rsidRPr="00E65BDE" w:rsidRDefault="00480A92">
      <w:pPr>
        <w:pStyle w:val="FootnoteText"/>
        <w:rPr>
          <w:rFonts w:ascii="Arial" w:hAnsi="Arial" w:cs="Arial"/>
        </w:rPr>
      </w:pPr>
      <w:r w:rsidRPr="00E65BDE">
        <w:rPr>
          <w:rStyle w:val="FootnoteReference"/>
          <w:rFonts w:ascii="Arial" w:hAnsi="Arial" w:cs="Arial"/>
        </w:rPr>
        <w:footnoteRef/>
      </w:r>
      <w:r w:rsidRPr="00E65BDE">
        <w:rPr>
          <w:rFonts w:ascii="Arial" w:hAnsi="Arial" w:cs="Arial"/>
        </w:rPr>
        <w:t xml:space="preserve"> Memo Contra at 4.</w:t>
      </w:r>
    </w:p>
    <w:p w14:paraId="01D943EA" w14:textId="77777777" w:rsidR="007B1862" w:rsidRPr="00E65BDE" w:rsidRDefault="007B1862">
      <w:pPr>
        <w:pStyle w:val="FootnoteText"/>
        <w:rPr>
          <w:rFonts w:ascii="Arial" w:hAnsi="Arial" w:cs="Arial"/>
        </w:rPr>
      </w:pPr>
    </w:p>
  </w:footnote>
  <w:footnote w:id="36">
    <w:p w14:paraId="2C88CB82" w14:textId="5946DCD4" w:rsidR="00031823" w:rsidRDefault="00031823" w:rsidP="00031823">
      <w:pPr>
        <w:pStyle w:val="FootnoteText"/>
        <w:jc w:val="both"/>
        <w:rPr>
          <w:rFonts w:ascii="Arial" w:hAnsi="Arial" w:cs="Arial"/>
        </w:rPr>
      </w:pPr>
      <w:r w:rsidRPr="00E65BDE">
        <w:rPr>
          <w:rStyle w:val="FootnoteReference"/>
          <w:rFonts w:ascii="Arial" w:hAnsi="Arial" w:cs="Arial"/>
        </w:rPr>
        <w:footnoteRef/>
      </w:r>
      <w:r w:rsidRPr="00E65BDE">
        <w:rPr>
          <w:rFonts w:ascii="Arial" w:hAnsi="Arial" w:cs="Arial"/>
        </w:rPr>
        <w:t xml:space="preserve"> Under the Commission’s rules, discovery may commence immediately. </w:t>
      </w:r>
      <w:r w:rsidR="002D3719">
        <w:rPr>
          <w:rFonts w:ascii="Arial" w:hAnsi="Arial" w:cs="Arial"/>
        </w:rPr>
        <w:t>OAC</w:t>
      </w:r>
      <w:r w:rsidRPr="00E65BDE">
        <w:rPr>
          <w:rFonts w:ascii="Arial" w:hAnsi="Arial" w:cs="Arial"/>
        </w:rPr>
        <w:t xml:space="preserve"> 4901-1-17.</w:t>
      </w:r>
    </w:p>
    <w:p w14:paraId="260F4346" w14:textId="77777777" w:rsidR="00E65BDE" w:rsidRPr="00E65BDE" w:rsidRDefault="00E65BDE" w:rsidP="00031823">
      <w:pPr>
        <w:pStyle w:val="FootnoteText"/>
        <w:jc w:val="both"/>
        <w:rPr>
          <w:rFonts w:ascii="Arial" w:hAnsi="Arial" w:cs="Arial"/>
        </w:rPr>
      </w:pPr>
    </w:p>
  </w:footnote>
  <w:footnote w:id="37">
    <w:p w14:paraId="7B718219" w14:textId="542B12B4" w:rsidR="004F712E" w:rsidRPr="00E65BDE" w:rsidRDefault="004F712E" w:rsidP="004F712E">
      <w:pPr>
        <w:pStyle w:val="FootnoteText"/>
        <w:jc w:val="both"/>
        <w:rPr>
          <w:rFonts w:ascii="Arial" w:hAnsi="Arial" w:cs="Arial"/>
        </w:rPr>
      </w:pPr>
      <w:r w:rsidRPr="00E65BDE">
        <w:rPr>
          <w:rStyle w:val="FootnoteReference"/>
          <w:rFonts w:ascii="Arial" w:hAnsi="Arial" w:cs="Arial"/>
          <w:i/>
        </w:rPr>
        <w:footnoteRef/>
      </w:r>
      <w:r w:rsidRPr="00E65BDE">
        <w:rPr>
          <w:rFonts w:ascii="Arial" w:hAnsi="Arial" w:cs="Arial"/>
          <w:i/>
        </w:rPr>
        <w:t xml:space="preserve"> In the Matter of the Investigation of The Cincinnati Gas &amp; Electric Company Relative to Its Compliance With the Natural Gas Pipeline Safety Standards and Related Matters</w:t>
      </w:r>
      <w:r w:rsidRPr="00E65BDE">
        <w:rPr>
          <w:rFonts w:ascii="Arial" w:hAnsi="Arial" w:cs="Arial"/>
        </w:rPr>
        <w:t xml:space="preserve">, Case No. 00-681-GA-GPA, Entry on Rehearing at 4 (Jul. 28,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433F" w14:textId="77777777" w:rsidR="000A304C" w:rsidRDefault="000A3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358A" w14:textId="77777777" w:rsidR="000A304C" w:rsidRDefault="000A3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A9E"/>
    <w:multiLevelType w:val="hybridMultilevel"/>
    <w:tmpl w:val="044AFBAC"/>
    <w:lvl w:ilvl="0" w:tplc="22AC9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9601D"/>
    <w:multiLevelType w:val="hybridMultilevel"/>
    <w:tmpl w:val="3C167F70"/>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D7ED6"/>
    <w:multiLevelType w:val="hybridMultilevel"/>
    <w:tmpl w:val="C32ABE16"/>
    <w:lvl w:ilvl="0" w:tplc="B5E242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A4152C"/>
    <w:multiLevelType w:val="hybridMultilevel"/>
    <w:tmpl w:val="09EA9C3C"/>
    <w:lvl w:ilvl="0" w:tplc="7C74E9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10334C"/>
    <w:multiLevelType w:val="hybridMultilevel"/>
    <w:tmpl w:val="D8A014D0"/>
    <w:lvl w:ilvl="0" w:tplc="5E08B6D0">
      <w:start w:val="1"/>
      <w:numFmt w:val="decimal"/>
      <w:lvlText w:val="(%1)"/>
      <w:lvlJc w:val="left"/>
      <w:pPr>
        <w:ind w:left="1097" w:hanging="37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F0184"/>
    <w:multiLevelType w:val="hybridMultilevel"/>
    <w:tmpl w:val="CB005158"/>
    <w:lvl w:ilvl="0" w:tplc="C30C49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
  </w:num>
  <w:num w:numId="3">
    <w:abstractNumId w:val="11"/>
  </w:num>
  <w:num w:numId="4">
    <w:abstractNumId w:val="8"/>
  </w:num>
  <w:num w:numId="5">
    <w:abstractNumId w:val="4"/>
  </w:num>
  <w:num w:numId="6">
    <w:abstractNumId w:val="9"/>
  </w:num>
  <w:num w:numId="7">
    <w:abstractNumId w:val="2"/>
  </w:num>
  <w:num w:numId="8">
    <w:abstractNumId w:val="6"/>
  </w:num>
  <w:num w:numId="9">
    <w:abstractNumId w:val="12"/>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1601F"/>
    <w:rsid w:val="0003001D"/>
    <w:rsid w:val="00031823"/>
    <w:rsid w:val="00070535"/>
    <w:rsid w:val="00075429"/>
    <w:rsid w:val="00094217"/>
    <w:rsid w:val="000A304C"/>
    <w:rsid w:val="000A4AE4"/>
    <w:rsid w:val="000B223F"/>
    <w:rsid w:val="000E789B"/>
    <w:rsid w:val="0012111F"/>
    <w:rsid w:val="00121836"/>
    <w:rsid w:val="00124D9F"/>
    <w:rsid w:val="00175454"/>
    <w:rsid w:val="00182822"/>
    <w:rsid w:val="00187DBC"/>
    <w:rsid w:val="001D6630"/>
    <w:rsid w:val="001D76DA"/>
    <w:rsid w:val="00212844"/>
    <w:rsid w:val="0021313B"/>
    <w:rsid w:val="002155F8"/>
    <w:rsid w:val="00231B62"/>
    <w:rsid w:val="00237730"/>
    <w:rsid w:val="00240FFB"/>
    <w:rsid w:val="0024588F"/>
    <w:rsid w:val="0026046D"/>
    <w:rsid w:val="00292C7B"/>
    <w:rsid w:val="002D3719"/>
    <w:rsid w:val="002D6247"/>
    <w:rsid w:val="002E438A"/>
    <w:rsid w:val="002F05DC"/>
    <w:rsid w:val="002F2653"/>
    <w:rsid w:val="00355B90"/>
    <w:rsid w:val="003643AD"/>
    <w:rsid w:val="003C11D0"/>
    <w:rsid w:val="003D0034"/>
    <w:rsid w:val="004170DE"/>
    <w:rsid w:val="0045281C"/>
    <w:rsid w:val="00452D5B"/>
    <w:rsid w:val="004753AF"/>
    <w:rsid w:val="00480A92"/>
    <w:rsid w:val="00492AD6"/>
    <w:rsid w:val="004E56AB"/>
    <w:rsid w:val="004F712E"/>
    <w:rsid w:val="005268E7"/>
    <w:rsid w:val="00545F29"/>
    <w:rsid w:val="00553017"/>
    <w:rsid w:val="0056270F"/>
    <w:rsid w:val="005F3414"/>
    <w:rsid w:val="00613140"/>
    <w:rsid w:val="00645BF6"/>
    <w:rsid w:val="00651FBE"/>
    <w:rsid w:val="00663E44"/>
    <w:rsid w:val="006C495D"/>
    <w:rsid w:val="00732F9F"/>
    <w:rsid w:val="00733950"/>
    <w:rsid w:val="00734E39"/>
    <w:rsid w:val="00741166"/>
    <w:rsid w:val="007B1862"/>
    <w:rsid w:val="007B3399"/>
    <w:rsid w:val="007D2210"/>
    <w:rsid w:val="007E416C"/>
    <w:rsid w:val="007F55E6"/>
    <w:rsid w:val="00800927"/>
    <w:rsid w:val="00813BFB"/>
    <w:rsid w:val="008162F2"/>
    <w:rsid w:val="0082422E"/>
    <w:rsid w:val="00846340"/>
    <w:rsid w:val="00846419"/>
    <w:rsid w:val="0085772B"/>
    <w:rsid w:val="00871BA7"/>
    <w:rsid w:val="008D4D24"/>
    <w:rsid w:val="0092449F"/>
    <w:rsid w:val="00933F23"/>
    <w:rsid w:val="00935CA7"/>
    <w:rsid w:val="009449B5"/>
    <w:rsid w:val="00955F86"/>
    <w:rsid w:val="00970888"/>
    <w:rsid w:val="00973044"/>
    <w:rsid w:val="0098338B"/>
    <w:rsid w:val="0098755F"/>
    <w:rsid w:val="00991A27"/>
    <w:rsid w:val="00993E15"/>
    <w:rsid w:val="009B4C01"/>
    <w:rsid w:val="009D67B4"/>
    <w:rsid w:val="009D71F6"/>
    <w:rsid w:val="009E0830"/>
    <w:rsid w:val="009F4632"/>
    <w:rsid w:val="009F6674"/>
    <w:rsid w:val="00A71E20"/>
    <w:rsid w:val="00A940AD"/>
    <w:rsid w:val="00AA3698"/>
    <w:rsid w:val="00AA75B4"/>
    <w:rsid w:val="00AB730A"/>
    <w:rsid w:val="00AD5E1E"/>
    <w:rsid w:val="00AE2FF0"/>
    <w:rsid w:val="00AE363C"/>
    <w:rsid w:val="00AE76CC"/>
    <w:rsid w:val="00AE7A34"/>
    <w:rsid w:val="00B22026"/>
    <w:rsid w:val="00B67F72"/>
    <w:rsid w:val="00B92A76"/>
    <w:rsid w:val="00B971FC"/>
    <w:rsid w:val="00BA50DB"/>
    <w:rsid w:val="00BE4E0A"/>
    <w:rsid w:val="00C02D07"/>
    <w:rsid w:val="00C20F96"/>
    <w:rsid w:val="00C339E3"/>
    <w:rsid w:val="00C43A24"/>
    <w:rsid w:val="00C448F9"/>
    <w:rsid w:val="00C64120"/>
    <w:rsid w:val="00C84BD1"/>
    <w:rsid w:val="00C863F1"/>
    <w:rsid w:val="00D13280"/>
    <w:rsid w:val="00D57E21"/>
    <w:rsid w:val="00D76C4C"/>
    <w:rsid w:val="00DA56D7"/>
    <w:rsid w:val="00DC01BC"/>
    <w:rsid w:val="00DC144A"/>
    <w:rsid w:val="00DE4973"/>
    <w:rsid w:val="00DE6DDC"/>
    <w:rsid w:val="00DF6975"/>
    <w:rsid w:val="00E31526"/>
    <w:rsid w:val="00E5550F"/>
    <w:rsid w:val="00E65BDE"/>
    <w:rsid w:val="00E72FBC"/>
    <w:rsid w:val="00E73B6D"/>
    <w:rsid w:val="00E80593"/>
    <w:rsid w:val="00E90098"/>
    <w:rsid w:val="00EC2ABB"/>
    <w:rsid w:val="00F10F9B"/>
    <w:rsid w:val="00F111C7"/>
    <w:rsid w:val="00F46B7B"/>
    <w:rsid w:val="00F5720A"/>
    <w:rsid w:val="00F651DC"/>
    <w:rsid w:val="00F661D0"/>
    <w:rsid w:val="00F76A4E"/>
    <w:rsid w:val="00FA7609"/>
    <w:rsid w:val="00FD754F"/>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customStyle="1" w:styleId="Level3">
    <w:name w:val="Level 3"/>
    <w:basedOn w:val="TOC3"/>
    <w:link w:val="Level3CharChar"/>
    <w:qFormat/>
    <w:rsid w:val="00EC2ABB"/>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EC2ABB"/>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EC2ABB"/>
    <w:rPr>
      <w:rFonts w:asciiTheme="majorHAnsi" w:eastAsia="Times New Roman" w:hAnsiTheme="majorHAnsi" w:cs="Times New Roman"/>
      <w:i/>
      <w:iCs/>
      <w:sz w:val="20"/>
      <w:szCs w:val="20"/>
    </w:rPr>
  </w:style>
  <w:style w:type="paragraph" w:customStyle="1" w:styleId="Level1">
    <w:name w:val="Level 1"/>
    <w:basedOn w:val="TOC1"/>
    <w:link w:val="Level1Char"/>
    <w:qFormat/>
    <w:rsid w:val="00EC2ABB"/>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EC2ABB"/>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EC2ABB"/>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EC2ABB"/>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EC2ABB"/>
    <w:pPr>
      <w:spacing w:after="100"/>
      <w:ind w:left="440"/>
    </w:pPr>
  </w:style>
  <w:style w:type="paragraph" w:styleId="TOC1">
    <w:name w:val="toc 1"/>
    <w:basedOn w:val="Normal"/>
    <w:next w:val="Normal"/>
    <w:autoRedefine/>
    <w:uiPriority w:val="39"/>
    <w:semiHidden/>
    <w:unhideWhenUsed/>
    <w:rsid w:val="00EC2ABB"/>
    <w:pPr>
      <w:spacing w:after="100"/>
    </w:pPr>
  </w:style>
  <w:style w:type="paragraph" w:styleId="TOC2">
    <w:name w:val="toc 2"/>
    <w:basedOn w:val="Normal"/>
    <w:next w:val="Normal"/>
    <w:autoRedefine/>
    <w:uiPriority w:val="39"/>
    <w:semiHidden/>
    <w:unhideWhenUsed/>
    <w:rsid w:val="00EC2AB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 w:id="1543244364">
      <w:bodyDiv w:val="1"/>
      <w:marLeft w:val="0"/>
      <w:marRight w:val="0"/>
      <w:marTop w:val="0"/>
      <w:marBottom w:val="0"/>
      <w:divBdr>
        <w:top w:val="none" w:sz="0" w:space="0" w:color="auto"/>
        <w:left w:val="none" w:sz="0" w:space="0" w:color="auto"/>
        <w:bottom w:val="none" w:sz="0" w:space="0" w:color="auto"/>
        <w:right w:val="none" w:sz="0" w:space="0" w:color="auto"/>
      </w:divBdr>
    </w:div>
    <w:div w:id="16649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unn@firstenergycor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wright@ohioattorneygeneral.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ureen.willis@occ.ohio.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liker@igsenergy.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6293-5763-4F16-A92F-221A85B5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3229</Words>
  <Characters>18541</Characters>
  <Application>Microsoft Office Word</Application>
  <DocSecurity>0</DocSecurity>
  <Lines>394</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2017-09-21T18:57:00Z</dcterms:created>
  <dcterms:modified xsi:type="dcterms:W3CDTF">2017-09-21T20:48:00Z</dcterms:modified>
</cp:coreProperties>
</file>