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0C8D" w14:textId="77777777" w:rsidR="001B6B6B" w:rsidRDefault="001B6B6B" w:rsidP="001B6B6B">
      <w:pPr>
        <w:jc w:val="center"/>
        <w:rPr>
          <w:rFonts w:ascii="Times New Roman" w:hAnsi="Times New Roman" w:cs="Times New Roman"/>
          <w:b/>
        </w:rPr>
      </w:pPr>
      <w:bookmarkStart w:id="0" w:name="_GoBack"/>
      <w:bookmarkEnd w:id="0"/>
      <w:r>
        <w:rPr>
          <w:rFonts w:ascii="Times New Roman" w:hAnsi="Times New Roman" w:cs="Times New Roman"/>
          <w:b/>
        </w:rPr>
        <w:t>BEFORE</w:t>
      </w:r>
      <w:r>
        <w:rPr>
          <w:rFonts w:ascii="Times New Roman" w:hAnsi="Times New Roman" w:cs="Times New Roman"/>
          <w:b/>
        </w:rPr>
        <w:br/>
        <w:t>THE PUBLIC UTILITIES COMMISSION OF OHIO</w:t>
      </w:r>
    </w:p>
    <w:p w14:paraId="2D5C43F5" w14:textId="77777777" w:rsidR="001B6B6B" w:rsidRDefault="001B6B6B" w:rsidP="001B6B6B">
      <w:pPr>
        <w:jc w:val="center"/>
        <w:rPr>
          <w:rFonts w:ascii="Times New Roman" w:hAnsi="Times New Roman" w:cs="Times New Roman"/>
          <w:b/>
        </w:rPr>
      </w:pPr>
    </w:p>
    <w:tbl>
      <w:tblPr>
        <w:tblW w:w="0" w:type="auto"/>
        <w:tblLook w:val="04A0" w:firstRow="1" w:lastRow="0" w:firstColumn="1" w:lastColumn="0" w:noHBand="0" w:noVBand="1"/>
      </w:tblPr>
      <w:tblGrid>
        <w:gridCol w:w="4608"/>
        <w:gridCol w:w="360"/>
        <w:gridCol w:w="4608"/>
      </w:tblGrid>
      <w:tr w:rsidR="001B6B6B" w:rsidRPr="003968CE" w14:paraId="6DF30129" w14:textId="77777777" w:rsidTr="001B6B6B">
        <w:trPr>
          <w:trHeight w:val="882"/>
        </w:trPr>
        <w:tc>
          <w:tcPr>
            <w:tcW w:w="4608" w:type="dxa"/>
            <w:shd w:val="clear" w:color="auto" w:fill="auto"/>
          </w:tcPr>
          <w:p w14:paraId="47A7D376" w14:textId="77777777" w:rsidR="001B6B6B" w:rsidRDefault="001B6B6B"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GWENDOLYN TANDY,</w:t>
            </w:r>
          </w:p>
          <w:p w14:paraId="0C683E52" w14:textId="77777777" w:rsidR="001B6B6B" w:rsidRDefault="001B6B6B" w:rsidP="001B6B6B">
            <w:pPr>
              <w:pStyle w:val="Footer"/>
              <w:tabs>
                <w:tab w:val="clear" w:pos="8640"/>
                <w:tab w:val="left" w:pos="4320"/>
                <w:tab w:val="right" w:pos="9360"/>
              </w:tabs>
              <w:rPr>
                <w:rFonts w:ascii="Times New Roman" w:hAnsi="Times New Roman" w:cs="Times New Roman"/>
              </w:rPr>
            </w:pPr>
          </w:p>
          <w:p w14:paraId="162B8B36" w14:textId="77777777" w:rsidR="001B6B6B" w:rsidRDefault="001B6B6B" w:rsidP="001B6B6B">
            <w:pPr>
              <w:pStyle w:val="Footer"/>
              <w:tabs>
                <w:tab w:val="clear" w:pos="8640"/>
                <w:tab w:val="left" w:pos="4320"/>
                <w:tab w:val="right" w:pos="9360"/>
              </w:tabs>
              <w:ind w:left="720" w:hanging="720"/>
              <w:rPr>
                <w:rFonts w:ascii="Times New Roman" w:hAnsi="Times New Roman" w:cs="Times New Roman"/>
              </w:rPr>
            </w:pPr>
            <w:r>
              <w:rPr>
                <w:rFonts w:ascii="Times New Roman" w:hAnsi="Times New Roman" w:cs="Times New Roman"/>
              </w:rPr>
              <w:tab/>
              <w:t>Complainant,</w:t>
            </w:r>
          </w:p>
          <w:p w14:paraId="1F884BAB" w14:textId="77777777" w:rsidR="001B6B6B" w:rsidRDefault="001B6B6B" w:rsidP="001B6B6B">
            <w:pPr>
              <w:pStyle w:val="Footer"/>
              <w:tabs>
                <w:tab w:val="clear" w:pos="8640"/>
                <w:tab w:val="left" w:pos="4320"/>
                <w:tab w:val="right" w:pos="9360"/>
              </w:tabs>
              <w:ind w:left="720" w:hanging="720"/>
              <w:rPr>
                <w:rFonts w:ascii="Times New Roman" w:hAnsi="Times New Roman" w:cs="Times New Roman"/>
              </w:rPr>
            </w:pPr>
          </w:p>
          <w:p w14:paraId="4ACBA9AD" w14:textId="77777777" w:rsidR="001B6B6B" w:rsidRDefault="001B6B6B" w:rsidP="001B6B6B">
            <w:pPr>
              <w:pStyle w:val="Footer"/>
              <w:tabs>
                <w:tab w:val="clear" w:pos="8640"/>
                <w:tab w:val="left" w:pos="4320"/>
                <w:tab w:val="right" w:pos="9360"/>
              </w:tabs>
              <w:ind w:left="720"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v</w:t>
            </w:r>
            <w:proofErr w:type="gramEnd"/>
            <w:r>
              <w:rPr>
                <w:rFonts w:ascii="Times New Roman" w:hAnsi="Times New Roman" w:cs="Times New Roman"/>
              </w:rPr>
              <w:t>.</w:t>
            </w:r>
          </w:p>
          <w:p w14:paraId="0239216D" w14:textId="77777777" w:rsidR="001B6B6B" w:rsidRDefault="001B6B6B" w:rsidP="001B6B6B">
            <w:pPr>
              <w:pStyle w:val="Footer"/>
              <w:tabs>
                <w:tab w:val="clear" w:pos="8640"/>
                <w:tab w:val="left" w:pos="4320"/>
                <w:tab w:val="right" w:pos="9360"/>
              </w:tabs>
              <w:ind w:left="720" w:hanging="720"/>
              <w:rPr>
                <w:rFonts w:ascii="Times New Roman" w:hAnsi="Times New Roman" w:cs="Times New Roman"/>
              </w:rPr>
            </w:pPr>
          </w:p>
          <w:p w14:paraId="64C40253" w14:textId="77777777" w:rsidR="001B6B6B" w:rsidRDefault="001B6B6B"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THE CLEVELAND ELECTRIC ILLUMINATING COMPANY,</w:t>
            </w:r>
          </w:p>
          <w:p w14:paraId="4E9A1F0B" w14:textId="77777777" w:rsidR="001B6B6B" w:rsidRDefault="001B6B6B" w:rsidP="001B6B6B">
            <w:pPr>
              <w:pStyle w:val="Footer"/>
              <w:tabs>
                <w:tab w:val="clear" w:pos="8640"/>
                <w:tab w:val="left" w:pos="4320"/>
                <w:tab w:val="right" w:pos="9360"/>
              </w:tabs>
              <w:rPr>
                <w:rFonts w:ascii="Times New Roman" w:hAnsi="Times New Roman" w:cs="Times New Roman"/>
              </w:rPr>
            </w:pPr>
          </w:p>
          <w:p w14:paraId="09A5C144" w14:textId="77777777" w:rsidR="001B6B6B" w:rsidRPr="003968CE" w:rsidRDefault="001B6B6B" w:rsidP="001B6B6B">
            <w:pPr>
              <w:pStyle w:val="Footer"/>
              <w:tabs>
                <w:tab w:val="clear" w:pos="8640"/>
                <w:tab w:val="left" w:pos="4320"/>
                <w:tab w:val="right" w:pos="9360"/>
              </w:tabs>
              <w:ind w:left="720" w:hanging="720"/>
              <w:rPr>
                <w:rFonts w:ascii="Times New Roman" w:hAnsi="Times New Roman" w:cs="Times New Roman"/>
              </w:rPr>
            </w:pPr>
            <w:r>
              <w:rPr>
                <w:rFonts w:ascii="Times New Roman" w:hAnsi="Times New Roman" w:cs="Times New Roman"/>
              </w:rPr>
              <w:tab/>
              <w:t>Respondent.</w:t>
            </w:r>
          </w:p>
        </w:tc>
        <w:tc>
          <w:tcPr>
            <w:tcW w:w="360" w:type="dxa"/>
            <w:shd w:val="clear" w:color="auto" w:fill="auto"/>
          </w:tcPr>
          <w:p w14:paraId="36F40021" w14:textId="77777777" w:rsidR="001B6B6B" w:rsidRPr="003968CE" w:rsidRDefault="001B6B6B" w:rsidP="001B6B6B">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49B5D531" w14:textId="77777777" w:rsidR="001B6B6B" w:rsidRPr="003968CE" w:rsidRDefault="001B6B6B" w:rsidP="001B6B6B">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5FC0A585" w14:textId="77777777" w:rsidR="001B6B6B" w:rsidRPr="003968CE" w:rsidRDefault="001B6B6B" w:rsidP="001B6B6B">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7C9ACEA8" w14:textId="77777777" w:rsidR="001B6B6B" w:rsidRPr="003968CE" w:rsidRDefault="001B6B6B" w:rsidP="001B6B6B">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59F70016" w14:textId="77777777" w:rsidR="001B6B6B" w:rsidRPr="003968CE" w:rsidRDefault="001B6B6B" w:rsidP="001B6B6B">
            <w:pPr>
              <w:pStyle w:val="Footer"/>
              <w:tabs>
                <w:tab w:val="clear" w:pos="8640"/>
                <w:tab w:val="left" w:pos="4320"/>
                <w:tab w:val="right" w:pos="9360"/>
              </w:tabs>
              <w:rPr>
                <w:rFonts w:ascii="Times New Roman" w:hAnsi="Times New Roman" w:cs="Times New Roman"/>
              </w:rPr>
            </w:pPr>
            <w:r w:rsidRPr="003968CE">
              <w:rPr>
                <w:rFonts w:ascii="Times New Roman" w:hAnsi="Times New Roman" w:cs="Times New Roman"/>
              </w:rPr>
              <w:t>)</w:t>
            </w:r>
          </w:p>
          <w:p w14:paraId="73CB2BF9" w14:textId="77777777" w:rsidR="001B6B6B" w:rsidRDefault="001B6B6B"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p>
          <w:p w14:paraId="5462E372" w14:textId="77777777" w:rsidR="001B6B6B" w:rsidRDefault="001B6B6B"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r>
              <w:rPr>
                <w:rFonts w:ascii="Times New Roman" w:hAnsi="Times New Roman" w:cs="Times New Roman"/>
              </w:rPr>
              <w:br/>
              <w:t>)</w:t>
            </w:r>
          </w:p>
          <w:p w14:paraId="70BC6D25" w14:textId="77777777" w:rsidR="001B6B6B" w:rsidRDefault="001B6B6B"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p>
          <w:p w14:paraId="07B41164" w14:textId="77777777" w:rsidR="001B6B6B" w:rsidRDefault="001B6B6B" w:rsidP="001B6B6B">
            <w:pPr>
              <w:pStyle w:val="Footer"/>
              <w:tabs>
                <w:tab w:val="clear" w:pos="8640"/>
                <w:tab w:val="left" w:pos="4320"/>
                <w:tab w:val="right" w:pos="9360"/>
              </w:tabs>
              <w:rPr>
                <w:rFonts w:ascii="Times New Roman" w:hAnsi="Times New Roman" w:cs="Times New Roman"/>
              </w:rPr>
            </w:pPr>
            <w:r>
              <w:rPr>
                <w:rFonts w:ascii="Times New Roman" w:hAnsi="Times New Roman" w:cs="Times New Roman"/>
              </w:rPr>
              <w:t>)</w:t>
            </w:r>
          </w:p>
          <w:p w14:paraId="220BE101" w14:textId="77777777" w:rsidR="001B6B6B" w:rsidRPr="003968CE" w:rsidRDefault="001B6B6B" w:rsidP="001B6B6B">
            <w:pPr>
              <w:pStyle w:val="Footer"/>
              <w:tabs>
                <w:tab w:val="clear" w:pos="8640"/>
                <w:tab w:val="left" w:pos="4320"/>
                <w:tab w:val="right" w:pos="9360"/>
              </w:tabs>
              <w:rPr>
                <w:rFonts w:ascii="Times New Roman" w:hAnsi="Times New Roman" w:cs="Times New Roman"/>
              </w:rPr>
            </w:pPr>
          </w:p>
        </w:tc>
        <w:tc>
          <w:tcPr>
            <w:tcW w:w="4608" w:type="dxa"/>
            <w:shd w:val="clear" w:color="auto" w:fill="auto"/>
          </w:tcPr>
          <w:p w14:paraId="3CC39544" w14:textId="77777777" w:rsidR="001B6B6B" w:rsidRDefault="001B6B6B" w:rsidP="001B6B6B">
            <w:pPr>
              <w:pStyle w:val="Footer"/>
              <w:tabs>
                <w:tab w:val="clear" w:pos="8640"/>
                <w:tab w:val="left" w:pos="4320"/>
                <w:tab w:val="right" w:pos="9360"/>
              </w:tabs>
              <w:ind w:firstLine="612"/>
              <w:rPr>
                <w:rFonts w:ascii="Times New Roman" w:hAnsi="Times New Roman" w:cs="Times New Roman"/>
              </w:rPr>
            </w:pPr>
          </w:p>
          <w:p w14:paraId="36422A7E" w14:textId="77777777" w:rsidR="001B6B6B" w:rsidRDefault="001B6B6B" w:rsidP="001B6B6B">
            <w:pPr>
              <w:pStyle w:val="Footer"/>
              <w:tabs>
                <w:tab w:val="clear" w:pos="8640"/>
                <w:tab w:val="left" w:pos="4320"/>
                <w:tab w:val="right" w:pos="9360"/>
              </w:tabs>
              <w:ind w:firstLine="612"/>
              <w:rPr>
                <w:rFonts w:ascii="Times New Roman" w:hAnsi="Times New Roman" w:cs="Times New Roman"/>
              </w:rPr>
            </w:pPr>
          </w:p>
          <w:p w14:paraId="236506FB" w14:textId="77777777" w:rsidR="001B6B6B" w:rsidRDefault="001B6B6B" w:rsidP="001B6B6B">
            <w:pPr>
              <w:pStyle w:val="Footer"/>
              <w:tabs>
                <w:tab w:val="clear" w:pos="8640"/>
                <w:tab w:val="left" w:pos="4320"/>
                <w:tab w:val="right" w:pos="9360"/>
              </w:tabs>
              <w:ind w:firstLine="612"/>
              <w:rPr>
                <w:rFonts w:ascii="Times New Roman" w:hAnsi="Times New Roman" w:cs="Times New Roman"/>
              </w:rPr>
            </w:pPr>
          </w:p>
          <w:p w14:paraId="75C9918A" w14:textId="77777777" w:rsidR="001B6B6B" w:rsidRDefault="001B6B6B" w:rsidP="001B6B6B">
            <w:pPr>
              <w:pStyle w:val="Footer"/>
              <w:tabs>
                <w:tab w:val="clear" w:pos="8640"/>
                <w:tab w:val="left" w:pos="4320"/>
                <w:tab w:val="right" w:pos="9360"/>
              </w:tabs>
              <w:ind w:firstLine="612"/>
              <w:rPr>
                <w:rFonts w:ascii="Times New Roman" w:hAnsi="Times New Roman" w:cs="Times New Roman"/>
              </w:rPr>
            </w:pPr>
          </w:p>
          <w:p w14:paraId="50E14A7A" w14:textId="77777777" w:rsidR="001B6B6B" w:rsidRPr="003968CE" w:rsidRDefault="001B6B6B" w:rsidP="001B6B6B">
            <w:pPr>
              <w:pStyle w:val="Footer"/>
              <w:tabs>
                <w:tab w:val="clear" w:pos="8640"/>
                <w:tab w:val="left" w:pos="4320"/>
                <w:tab w:val="right" w:pos="9360"/>
              </w:tabs>
              <w:ind w:firstLine="612"/>
              <w:rPr>
                <w:rFonts w:ascii="Times New Roman" w:hAnsi="Times New Roman" w:cs="Times New Roman"/>
              </w:rPr>
            </w:pPr>
            <w:r>
              <w:rPr>
                <w:rFonts w:ascii="Times New Roman" w:hAnsi="Times New Roman" w:cs="Times New Roman"/>
              </w:rPr>
              <w:t>Case No. 15-395-EL-CSS</w:t>
            </w:r>
          </w:p>
        </w:tc>
      </w:tr>
    </w:tbl>
    <w:p w14:paraId="1E806FBE" w14:textId="77777777" w:rsidR="001B6B6B" w:rsidRDefault="001B6B6B" w:rsidP="001B6B6B">
      <w:pPr>
        <w:jc w:val="center"/>
        <w:rPr>
          <w:rFonts w:ascii="Times New Roman" w:hAnsi="Times New Roman" w:cs="Times New Roman"/>
          <w:b/>
        </w:rPr>
      </w:pPr>
      <w:r>
        <w:rPr>
          <w:rFonts w:ascii="Times New Roman" w:hAnsi="Times New Roman" w:cs="Times New Roman"/>
          <w:b/>
        </w:rPr>
        <w:t xml:space="preserve">THE CLEVELAND ELECTRIC ILLUMINATING COMPANY’S </w:t>
      </w:r>
    </w:p>
    <w:p w14:paraId="404B8A97" w14:textId="77777777" w:rsidR="001B6B6B" w:rsidRPr="009542AC" w:rsidRDefault="001B6B6B" w:rsidP="001B6B6B">
      <w:pPr>
        <w:jc w:val="center"/>
        <w:rPr>
          <w:rFonts w:ascii="Times New Roman" w:hAnsi="Times New Roman" w:cs="Times New Roman"/>
          <w:b/>
          <w:u w:val="single"/>
        </w:rPr>
      </w:pPr>
      <w:r w:rsidRPr="009542AC">
        <w:rPr>
          <w:rFonts w:ascii="Times New Roman" w:hAnsi="Times New Roman" w:cs="Times New Roman"/>
          <w:b/>
          <w:u w:val="single"/>
        </w:rPr>
        <w:t>MOTION TO DISMISS AND MEMORANDUM IN SUPPORT</w:t>
      </w:r>
    </w:p>
    <w:p w14:paraId="2D109008" w14:textId="77777777" w:rsidR="001B6B6B" w:rsidRDefault="001B6B6B" w:rsidP="001B6B6B">
      <w:pPr>
        <w:jc w:val="center"/>
        <w:rPr>
          <w:rFonts w:ascii="Times New Roman" w:hAnsi="Times New Roman" w:cs="Times New Roman"/>
          <w:b/>
        </w:rPr>
      </w:pPr>
    </w:p>
    <w:p w14:paraId="6F726030" w14:textId="2E9D1820" w:rsidR="001B6B6B" w:rsidRPr="00AE4328" w:rsidRDefault="001B6B6B" w:rsidP="001B6B6B">
      <w:pPr>
        <w:pStyle w:val="MemoBodyText"/>
      </w:pPr>
      <w:r w:rsidRPr="009542AC">
        <w:t xml:space="preserve">In accordance with Ohio Adm. Code 4901-1-12, The </w:t>
      </w:r>
      <w:r>
        <w:t>Cleveland Electric Illuminating Company</w:t>
      </w:r>
      <w:r w:rsidRPr="009542AC">
        <w:t xml:space="preserve"> (</w:t>
      </w:r>
      <w:r>
        <w:t>CEI or the Company</w:t>
      </w:r>
      <w:r w:rsidRPr="009542AC">
        <w:t>) respectfully requests that the Commission dismiss the complaint in this case with prejudice.</w:t>
      </w:r>
      <w:r>
        <w:t xml:space="preserve"> Complainant’s allegations have already been litigated and her claims decided</w:t>
      </w:r>
      <w:r w:rsidR="00F81B71">
        <w:t xml:space="preserve"> multiple times</w:t>
      </w:r>
      <w:r>
        <w:t xml:space="preserve">. Reasonable grounds do not exist to litigate or decide these claims </w:t>
      </w:r>
      <w:r w:rsidR="00F81B71">
        <w:t xml:space="preserve">yet </w:t>
      </w:r>
      <w:r>
        <w:t xml:space="preserve">again. A </w:t>
      </w:r>
      <w:r w:rsidRPr="009542AC">
        <w:t>Memorandum in Support</w:t>
      </w:r>
      <w:r>
        <w:t xml:space="preserve"> is attached</w:t>
      </w:r>
      <w:r w:rsidRPr="009542AC">
        <w:t>.</w:t>
      </w:r>
    </w:p>
    <w:p w14:paraId="11E1171D" w14:textId="77777777" w:rsidR="001B6B6B" w:rsidRPr="0032154A" w:rsidRDefault="001B6B6B" w:rsidP="001B6B6B">
      <w:pPr>
        <w:tabs>
          <w:tab w:val="left" w:pos="5040"/>
        </w:tabs>
        <w:rPr>
          <w:rFonts w:ascii="Times New Roman" w:hAnsi="Times New Roman" w:cs="Times New Roman"/>
        </w:rPr>
      </w:pPr>
      <w:r>
        <w:rPr>
          <w:rFonts w:ascii="Times New Roman" w:hAnsi="Times New Roman" w:cs="Times New Roman"/>
        </w:rPr>
        <w:t>Dated: March 16, 2015</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034068D0" w14:textId="77777777" w:rsidR="001B6B6B" w:rsidRPr="0032154A" w:rsidRDefault="001B6B6B" w:rsidP="001B6B6B">
      <w:pPr>
        <w:ind w:left="5040"/>
        <w:rPr>
          <w:rFonts w:ascii="Times New Roman" w:hAnsi="Times New Roman" w:cs="Times New Roman"/>
        </w:rPr>
      </w:pPr>
    </w:p>
    <w:p w14:paraId="5901ACA8" w14:textId="77777777" w:rsidR="001B6B6B" w:rsidRPr="0032154A" w:rsidRDefault="001B6B6B" w:rsidP="001B6B6B">
      <w:pPr>
        <w:ind w:left="5040"/>
        <w:rPr>
          <w:rFonts w:ascii="Times New Roman" w:hAnsi="Times New Roman" w:cs="Times New Roman"/>
        </w:rPr>
      </w:pPr>
      <w:r>
        <w:rPr>
          <w:rFonts w:ascii="Times New Roman" w:hAnsi="Times New Roman" w:cs="Times New Roman"/>
          <w:u w:val="single"/>
        </w:rPr>
        <w:t>/s/ Andrew J. Campbell</w:t>
      </w:r>
      <w:r>
        <w:rPr>
          <w:rFonts w:ascii="Times New Roman" w:hAnsi="Times New Roman" w:cs="Times New Roman"/>
          <w:u w:val="single"/>
        </w:rPr>
        <w:tab/>
      </w:r>
      <w:r>
        <w:rPr>
          <w:rFonts w:ascii="Times New Roman" w:hAnsi="Times New Roman" w:cs="Times New Roman"/>
          <w:u w:val="single"/>
        </w:rPr>
        <w:tab/>
      </w:r>
      <w:r w:rsidRPr="0032154A">
        <w:rPr>
          <w:rFonts w:ascii="Times New Roman" w:hAnsi="Times New Roman" w:cs="Times New Roman"/>
          <w:u w:val="single"/>
        </w:rPr>
        <w:tab/>
      </w:r>
    </w:p>
    <w:p w14:paraId="06C81C48" w14:textId="77777777" w:rsidR="00F81B71" w:rsidRPr="00F81B71" w:rsidRDefault="00F81B71" w:rsidP="00F81B71">
      <w:pPr>
        <w:keepLines/>
        <w:ind w:left="5040"/>
        <w:rPr>
          <w:rFonts w:ascii="Times New Roman" w:hAnsi="Times New Roman"/>
        </w:rPr>
      </w:pPr>
      <w:r w:rsidRPr="00F81B71">
        <w:rPr>
          <w:rFonts w:ascii="Times New Roman" w:hAnsi="Times New Roman"/>
        </w:rPr>
        <w:t>Mark A. Whitt (0067996)</w:t>
      </w:r>
    </w:p>
    <w:p w14:paraId="45F1BA6A" w14:textId="77777777" w:rsidR="00F81B71" w:rsidRDefault="00F81B71" w:rsidP="00F81B71">
      <w:pPr>
        <w:keepLines/>
        <w:ind w:left="5040"/>
        <w:rPr>
          <w:rFonts w:ascii="Times New Roman" w:hAnsi="Times New Roman"/>
        </w:rPr>
      </w:pPr>
      <w:r w:rsidRPr="00F81B71">
        <w:rPr>
          <w:rFonts w:ascii="Times New Roman" w:hAnsi="Times New Roman"/>
        </w:rPr>
        <w:t>Andrew J. Campbell (0081485)</w:t>
      </w:r>
    </w:p>
    <w:p w14:paraId="5FCDC212" w14:textId="447F4CC3" w:rsidR="00F81B71" w:rsidRPr="00F81B71" w:rsidRDefault="00F81B71" w:rsidP="00F81B71">
      <w:pPr>
        <w:keepLines/>
        <w:ind w:left="5040"/>
        <w:rPr>
          <w:rFonts w:ascii="Times New Roman" w:hAnsi="Times New Roman"/>
        </w:rPr>
      </w:pPr>
      <w:r>
        <w:rPr>
          <w:rFonts w:ascii="Times New Roman" w:hAnsi="Times New Roman"/>
        </w:rPr>
        <w:t>Rebekah J. Glover (</w:t>
      </w:r>
      <w:r w:rsidRPr="00F81B71">
        <w:rPr>
          <w:rFonts w:ascii="Times New Roman" w:hAnsi="Times New Roman"/>
        </w:rPr>
        <w:t>0088798</w:t>
      </w:r>
      <w:r>
        <w:rPr>
          <w:rFonts w:ascii="Times New Roman" w:hAnsi="Times New Roman"/>
        </w:rPr>
        <w:t>)</w:t>
      </w:r>
    </w:p>
    <w:p w14:paraId="6589608D" w14:textId="77777777" w:rsidR="00F81B71" w:rsidRPr="00F81B71" w:rsidRDefault="00F81B71" w:rsidP="00F81B71">
      <w:pPr>
        <w:keepLines/>
        <w:ind w:left="5040"/>
        <w:rPr>
          <w:rFonts w:ascii="Times New Roman" w:hAnsi="Times New Roman"/>
        </w:rPr>
      </w:pPr>
      <w:r w:rsidRPr="00F81B71">
        <w:rPr>
          <w:rFonts w:ascii="Times New Roman" w:hAnsi="Times New Roman"/>
        </w:rPr>
        <w:t>WHITT STURTEVANT LLP</w:t>
      </w:r>
    </w:p>
    <w:p w14:paraId="6249FE93" w14:textId="77777777" w:rsidR="00F81B71" w:rsidRPr="00F81B71" w:rsidRDefault="00F81B71" w:rsidP="00F81B71">
      <w:pPr>
        <w:keepLines/>
        <w:ind w:left="5040"/>
        <w:rPr>
          <w:rFonts w:ascii="Times New Roman" w:hAnsi="Times New Roman"/>
        </w:rPr>
      </w:pPr>
      <w:r w:rsidRPr="00F81B71">
        <w:rPr>
          <w:rFonts w:ascii="Times New Roman" w:hAnsi="Times New Roman"/>
        </w:rPr>
        <w:t>The KeyBank Building, Suite 1590</w:t>
      </w:r>
    </w:p>
    <w:p w14:paraId="4BB8492F" w14:textId="77777777" w:rsidR="00F81B71" w:rsidRPr="00F81B71" w:rsidRDefault="00F81B71" w:rsidP="00F81B71">
      <w:pPr>
        <w:keepLines/>
        <w:ind w:left="5040"/>
        <w:rPr>
          <w:rFonts w:ascii="Times New Roman" w:hAnsi="Times New Roman"/>
        </w:rPr>
      </w:pPr>
      <w:r w:rsidRPr="00F81B71">
        <w:rPr>
          <w:rFonts w:ascii="Times New Roman" w:hAnsi="Times New Roman"/>
        </w:rPr>
        <w:t>88 East Broad Street</w:t>
      </w:r>
    </w:p>
    <w:p w14:paraId="77DC6C9C" w14:textId="77777777" w:rsidR="00F81B71" w:rsidRPr="00F81B71" w:rsidRDefault="00F81B71" w:rsidP="00F81B71">
      <w:pPr>
        <w:keepLines/>
        <w:ind w:left="5040"/>
        <w:rPr>
          <w:rFonts w:ascii="Times New Roman" w:hAnsi="Times New Roman"/>
        </w:rPr>
      </w:pPr>
      <w:r w:rsidRPr="00F81B71">
        <w:rPr>
          <w:rFonts w:ascii="Times New Roman" w:hAnsi="Times New Roman"/>
        </w:rPr>
        <w:t>Columbus, Ohio 43215</w:t>
      </w:r>
    </w:p>
    <w:p w14:paraId="5E3F8306" w14:textId="77777777" w:rsidR="00F81B71" w:rsidRPr="00F81B71" w:rsidRDefault="00F81B71" w:rsidP="00F81B71">
      <w:pPr>
        <w:keepLines/>
        <w:ind w:left="5040"/>
        <w:rPr>
          <w:rFonts w:ascii="Times New Roman" w:hAnsi="Times New Roman"/>
        </w:rPr>
      </w:pPr>
      <w:r w:rsidRPr="00F81B71">
        <w:rPr>
          <w:rFonts w:ascii="Times New Roman" w:hAnsi="Times New Roman"/>
        </w:rPr>
        <w:t>Telephone: (614) 224-3911</w:t>
      </w:r>
    </w:p>
    <w:p w14:paraId="45925BD0" w14:textId="77777777" w:rsidR="00F81B71" w:rsidRPr="00F81B71" w:rsidRDefault="00F81B71" w:rsidP="00F81B71">
      <w:pPr>
        <w:keepLines/>
        <w:ind w:left="5040"/>
        <w:rPr>
          <w:rFonts w:ascii="Times New Roman" w:hAnsi="Times New Roman"/>
        </w:rPr>
      </w:pPr>
      <w:r w:rsidRPr="00F81B71">
        <w:rPr>
          <w:rFonts w:ascii="Times New Roman" w:hAnsi="Times New Roman"/>
        </w:rPr>
        <w:t>Facsimile:  (614) 224-3960</w:t>
      </w:r>
    </w:p>
    <w:p w14:paraId="1AD92437" w14:textId="77777777" w:rsidR="00F81B71" w:rsidRPr="00F81B71" w:rsidRDefault="00F81B71" w:rsidP="00F81B71">
      <w:pPr>
        <w:keepLines/>
        <w:ind w:left="5040"/>
        <w:rPr>
          <w:rFonts w:ascii="Times New Roman" w:hAnsi="Times New Roman"/>
        </w:rPr>
      </w:pPr>
      <w:r w:rsidRPr="00F81B71">
        <w:rPr>
          <w:rFonts w:ascii="Times New Roman" w:hAnsi="Times New Roman"/>
        </w:rPr>
        <w:t>whitt@whitt-sturtevant.com</w:t>
      </w:r>
    </w:p>
    <w:p w14:paraId="174F09CE" w14:textId="77777777" w:rsidR="00F81B71" w:rsidRPr="00F81B71" w:rsidRDefault="00F81B71" w:rsidP="00F81B71">
      <w:pPr>
        <w:keepLines/>
        <w:ind w:left="5040"/>
        <w:rPr>
          <w:rFonts w:ascii="Times New Roman" w:hAnsi="Times New Roman"/>
        </w:rPr>
      </w:pPr>
      <w:r w:rsidRPr="00F81B71">
        <w:rPr>
          <w:rFonts w:ascii="Times New Roman" w:hAnsi="Times New Roman"/>
        </w:rPr>
        <w:t>campbell@whitt-sturtevant.com</w:t>
      </w:r>
    </w:p>
    <w:p w14:paraId="3938D48D" w14:textId="77777777" w:rsidR="00F81B71" w:rsidRDefault="00F81B71" w:rsidP="00F81B71">
      <w:pPr>
        <w:keepLines/>
        <w:ind w:left="5040"/>
        <w:rPr>
          <w:rFonts w:ascii="Times New Roman" w:hAnsi="Times New Roman"/>
        </w:rPr>
      </w:pPr>
      <w:r>
        <w:rPr>
          <w:rFonts w:ascii="Times New Roman" w:hAnsi="Times New Roman"/>
        </w:rPr>
        <w:t>glover@whitt-sturtevant.com</w:t>
      </w:r>
      <w:r w:rsidRPr="00F81B71">
        <w:rPr>
          <w:rFonts w:ascii="Times New Roman" w:hAnsi="Times New Roman"/>
        </w:rPr>
        <w:t xml:space="preserve"> </w:t>
      </w:r>
    </w:p>
    <w:p w14:paraId="262AB92C" w14:textId="00B35C12" w:rsidR="001B6B6B" w:rsidRDefault="001B6B6B" w:rsidP="001B6B6B">
      <w:pPr>
        <w:keepLines/>
        <w:ind w:left="5040"/>
        <w:rPr>
          <w:rFonts w:ascii="Times New Roman" w:hAnsi="Times New Roman"/>
        </w:rPr>
      </w:pPr>
    </w:p>
    <w:p w14:paraId="500E99EF" w14:textId="77777777" w:rsidR="001B6B6B" w:rsidRDefault="001B6B6B" w:rsidP="001B6B6B">
      <w:pPr>
        <w:ind w:left="5040"/>
        <w:rPr>
          <w:rFonts w:ascii="Times New Roman" w:hAnsi="Times New Roman" w:cs="Times New Roman"/>
        </w:rPr>
      </w:pPr>
    </w:p>
    <w:p w14:paraId="5B345491" w14:textId="77777777" w:rsidR="001B6B6B" w:rsidRDefault="001B6B6B" w:rsidP="001B6B6B">
      <w:pPr>
        <w:ind w:left="5040"/>
        <w:rPr>
          <w:rFonts w:ascii="Times New Roman" w:hAnsi="Times New Roman" w:cs="Times New Roman"/>
        </w:rPr>
      </w:pPr>
    </w:p>
    <w:p w14:paraId="019D2A5A" w14:textId="77777777" w:rsidR="001B6B6B" w:rsidRDefault="001B6B6B" w:rsidP="001B6B6B">
      <w:pPr>
        <w:ind w:left="5040"/>
        <w:rPr>
          <w:rFonts w:ascii="Times New Roman" w:hAnsi="Times New Roman" w:cs="Times New Roman"/>
        </w:rPr>
      </w:pPr>
    </w:p>
    <w:p w14:paraId="056E72D9" w14:textId="77777777" w:rsidR="001B6B6B" w:rsidRDefault="001B6B6B" w:rsidP="001B6B6B">
      <w:pPr>
        <w:ind w:left="5040"/>
        <w:rPr>
          <w:rFonts w:ascii="Times New Roman" w:hAnsi="Times New Roman" w:cs="Times New Roman"/>
        </w:rPr>
      </w:pPr>
    </w:p>
    <w:p w14:paraId="7938B27E" w14:textId="77777777" w:rsidR="001B6B6B" w:rsidRDefault="001B6B6B" w:rsidP="001B6B6B">
      <w:pPr>
        <w:ind w:left="5040"/>
        <w:rPr>
          <w:rFonts w:ascii="Times New Roman" w:hAnsi="Times New Roman" w:cs="Times New Roman"/>
        </w:rPr>
      </w:pPr>
    </w:p>
    <w:p w14:paraId="0F2471F0" w14:textId="6ED35BE3" w:rsidR="001B6B6B" w:rsidRDefault="001B6B6B" w:rsidP="001B6B6B">
      <w:pPr>
        <w:ind w:left="5040"/>
        <w:rPr>
          <w:rFonts w:ascii="Times New Roman" w:hAnsi="Times New Roman" w:cs="Times New Roman"/>
        </w:rPr>
      </w:pPr>
      <w:r w:rsidRPr="00473D17">
        <w:rPr>
          <w:rFonts w:ascii="Times New Roman" w:hAnsi="Times New Roman" w:cs="Times New Roman"/>
        </w:rPr>
        <w:t>Carrie M. Dunn</w:t>
      </w:r>
      <w:r w:rsidR="00F81B71">
        <w:rPr>
          <w:rFonts w:ascii="Times New Roman" w:hAnsi="Times New Roman" w:cs="Times New Roman"/>
        </w:rPr>
        <w:t xml:space="preserve"> (</w:t>
      </w:r>
      <w:r w:rsidR="00F81B71" w:rsidRPr="00F81B71">
        <w:rPr>
          <w:rFonts w:ascii="Times New Roman" w:hAnsi="Times New Roman" w:cs="Times New Roman"/>
        </w:rPr>
        <w:t>0076952</w:t>
      </w:r>
      <w:r w:rsidR="00F81B71">
        <w:rPr>
          <w:rFonts w:ascii="Times New Roman" w:hAnsi="Times New Roman" w:cs="Times New Roman"/>
        </w:rPr>
        <w:t>)</w:t>
      </w:r>
      <w:r w:rsidRPr="00473D17">
        <w:rPr>
          <w:rFonts w:ascii="Times New Roman" w:hAnsi="Times New Roman" w:cs="Times New Roman"/>
        </w:rPr>
        <w:br/>
        <w:t xml:space="preserve">FirstEnergy Service Company </w:t>
      </w:r>
      <w:r w:rsidRPr="00473D17">
        <w:rPr>
          <w:rFonts w:ascii="Times New Roman" w:hAnsi="Times New Roman" w:cs="Times New Roman"/>
        </w:rPr>
        <w:br/>
        <w:t>76 South Main Street</w:t>
      </w:r>
      <w:r w:rsidRPr="00473D17">
        <w:rPr>
          <w:rFonts w:ascii="Times New Roman" w:hAnsi="Times New Roman" w:cs="Times New Roman"/>
        </w:rPr>
        <w:br/>
        <w:t>Akron, Ohio 44308</w:t>
      </w:r>
      <w:r w:rsidRPr="00473D17">
        <w:rPr>
          <w:rFonts w:ascii="Times New Roman" w:hAnsi="Times New Roman" w:cs="Times New Roman"/>
        </w:rPr>
        <w:br/>
        <w:t>Telephone: (330) 761-2352</w:t>
      </w:r>
      <w:r w:rsidRPr="00473D17">
        <w:rPr>
          <w:rFonts w:ascii="Times New Roman" w:hAnsi="Times New Roman" w:cs="Times New Roman"/>
        </w:rPr>
        <w:br/>
        <w:t xml:space="preserve">Facsimile: (330) 384-3875 cdunn@firstenergycorp.com </w:t>
      </w:r>
    </w:p>
    <w:p w14:paraId="6BA40BD9" w14:textId="77777777" w:rsidR="00F81B71" w:rsidRDefault="00F81B71" w:rsidP="001B6B6B">
      <w:pPr>
        <w:ind w:left="5040"/>
        <w:rPr>
          <w:rFonts w:ascii="Times New Roman" w:hAnsi="Times New Roman" w:cs="Times New Roman"/>
        </w:rPr>
      </w:pPr>
    </w:p>
    <w:p w14:paraId="0DAF0825" w14:textId="7F1781E7" w:rsidR="00F81B71" w:rsidRPr="00F81B71" w:rsidRDefault="00F81B71" w:rsidP="00F81B71">
      <w:pPr>
        <w:keepLines/>
        <w:ind w:left="5040"/>
        <w:rPr>
          <w:rFonts w:ascii="Times New Roman" w:hAnsi="Times New Roman"/>
        </w:rPr>
      </w:pPr>
      <w:r w:rsidRPr="00F81B71">
        <w:rPr>
          <w:rFonts w:ascii="Times New Roman" w:hAnsi="Times New Roman"/>
        </w:rPr>
        <w:t>(</w:t>
      </w:r>
      <w:r>
        <w:rPr>
          <w:rFonts w:ascii="Times New Roman" w:hAnsi="Times New Roman"/>
        </w:rPr>
        <w:t>All c</w:t>
      </w:r>
      <w:r w:rsidRPr="00F81B71">
        <w:rPr>
          <w:rFonts w:ascii="Times New Roman" w:hAnsi="Times New Roman"/>
        </w:rPr>
        <w:t xml:space="preserve">ounsel </w:t>
      </w:r>
      <w:proofErr w:type="gramStart"/>
      <w:r w:rsidRPr="00F81B71">
        <w:rPr>
          <w:rFonts w:ascii="Times New Roman" w:hAnsi="Times New Roman"/>
        </w:rPr>
        <w:t>are</w:t>
      </w:r>
      <w:proofErr w:type="gramEnd"/>
      <w:r w:rsidRPr="00F81B71">
        <w:rPr>
          <w:rFonts w:ascii="Times New Roman" w:hAnsi="Times New Roman"/>
        </w:rPr>
        <w:t xml:space="preserve"> willing to accept service by email)</w:t>
      </w:r>
    </w:p>
    <w:p w14:paraId="0433B678" w14:textId="77777777" w:rsidR="001B6B6B" w:rsidRDefault="001B6B6B" w:rsidP="001B6B6B">
      <w:pPr>
        <w:ind w:left="5040"/>
        <w:rPr>
          <w:rFonts w:ascii="Times New Roman" w:hAnsi="Times New Roman" w:cs="Times New Roman"/>
        </w:rPr>
      </w:pPr>
    </w:p>
    <w:p w14:paraId="4677A51A" w14:textId="71BF1F58" w:rsidR="001B6B6B" w:rsidRDefault="001B6B6B" w:rsidP="001B6B6B">
      <w:pPr>
        <w:ind w:left="5040"/>
        <w:rPr>
          <w:rFonts w:ascii="Times New Roman" w:hAnsi="Times New Roman" w:cs="Times New Roman"/>
        </w:rPr>
      </w:pPr>
      <w:r>
        <w:rPr>
          <w:rFonts w:ascii="Times New Roman" w:hAnsi="Times New Roman" w:cs="Times New Roman"/>
        </w:rPr>
        <w:t>ATTORNEYS FOR</w:t>
      </w:r>
      <w:r w:rsidR="00F81B71">
        <w:rPr>
          <w:rFonts w:ascii="Times New Roman" w:hAnsi="Times New Roman" w:cs="Times New Roman"/>
        </w:rPr>
        <w:t xml:space="preserve"> </w:t>
      </w:r>
      <w:r>
        <w:rPr>
          <w:rFonts w:ascii="Times New Roman" w:hAnsi="Times New Roman" w:cs="Times New Roman"/>
        </w:rPr>
        <w:t>THE CLEVELAND ELECTRIC ILLUMINATING COMPANY</w:t>
      </w:r>
    </w:p>
    <w:p w14:paraId="77059EAC" w14:textId="77777777" w:rsidR="001B6B6B" w:rsidRDefault="001B6B6B" w:rsidP="001B6B6B">
      <w:pPr>
        <w:ind w:left="5040"/>
        <w:rPr>
          <w:rFonts w:ascii="Times New Roman" w:hAnsi="Times New Roman" w:cs="Times New Roman"/>
        </w:rPr>
      </w:pPr>
    </w:p>
    <w:p w14:paraId="2DA53096" w14:textId="77777777" w:rsidR="001B6B6B" w:rsidRDefault="001B6B6B" w:rsidP="001B6B6B">
      <w:pPr>
        <w:ind w:left="5040"/>
        <w:rPr>
          <w:rFonts w:ascii="Times New Roman" w:hAnsi="Times New Roman" w:cs="Times New Roman"/>
        </w:rPr>
        <w:sectPr w:rsidR="001B6B6B" w:rsidSect="001B6B6B">
          <w:footerReference w:type="even" r:id="rId8"/>
          <w:pgSz w:w="12240" w:h="15840"/>
          <w:pgMar w:top="1440" w:right="1440" w:bottom="1440" w:left="1440" w:header="720" w:footer="720" w:gutter="0"/>
          <w:cols w:space="720"/>
          <w:titlePg/>
          <w:docGrid w:linePitch="360"/>
        </w:sectPr>
      </w:pPr>
    </w:p>
    <w:p w14:paraId="3545A6F6" w14:textId="77777777" w:rsidR="00D80854" w:rsidRPr="00D80854" w:rsidRDefault="00D80854" w:rsidP="00D80854">
      <w:pPr>
        <w:spacing w:line="480" w:lineRule="auto"/>
        <w:jc w:val="center"/>
        <w:rPr>
          <w:rFonts w:ascii="Times New Roman" w:hAnsi="Times New Roman" w:cs="Times New Roman"/>
          <w:b/>
          <w:u w:val="single"/>
        </w:rPr>
      </w:pPr>
      <w:r w:rsidRPr="00D80854">
        <w:rPr>
          <w:rFonts w:ascii="Times New Roman" w:hAnsi="Times New Roman" w:cs="Times New Roman"/>
          <w:b/>
          <w:u w:val="single"/>
        </w:rPr>
        <w:lastRenderedPageBreak/>
        <w:t>MEMORANDUM IN SUPPORT</w:t>
      </w:r>
    </w:p>
    <w:p w14:paraId="4C22F53F" w14:textId="77777777" w:rsidR="00EF7556" w:rsidRDefault="00EF7556" w:rsidP="00EF7556">
      <w:pPr>
        <w:pStyle w:val="MemoHeading1"/>
      </w:pPr>
      <w:r w:rsidRPr="004E69E4">
        <w:t>Introduction</w:t>
      </w:r>
    </w:p>
    <w:p w14:paraId="74274F78" w14:textId="7251017C" w:rsidR="00D80854" w:rsidRDefault="00D80854" w:rsidP="00D80854">
      <w:pPr>
        <w:spacing w:line="480" w:lineRule="auto"/>
        <w:rPr>
          <w:rFonts w:ascii="Times New Roman" w:hAnsi="Times New Roman" w:cs="Times New Roman"/>
        </w:rPr>
      </w:pPr>
      <w:r>
        <w:rPr>
          <w:rFonts w:ascii="Times New Roman" w:hAnsi="Times New Roman" w:cs="Times New Roman"/>
        </w:rPr>
        <w:tab/>
        <w:t xml:space="preserve">This is a repeat </w:t>
      </w:r>
      <w:r w:rsidR="00F81B71">
        <w:rPr>
          <w:rFonts w:ascii="Times New Roman" w:hAnsi="Times New Roman" w:cs="Times New Roman"/>
        </w:rPr>
        <w:t xml:space="preserve">of a repeat </w:t>
      </w:r>
      <w:r>
        <w:rPr>
          <w:rFonts w:ascii="Times New Roman" w:hAnsi="Times New Roman" w:cs="Times New Roman"/>
        </w:rPr>
        <w:t xml:space="preserve">complaint. In 2013, the Commission </w:t>
      </w:r>
      <w:r w:rsidR="00CB17AF">
        <w:rPr>
          <w:rFonts w:ascii="Times New Roman" w:hAnsi="Times New Roman" w:cs="Times New Roman"/>
        </w:rPr>
        <w:t xml:space="preserve">dismissed Gwendolyn Tandy’s first complaint against CEI. That complaint alleged that CEI improperly transferred a balance to her account; that it improperly accounted for her payments; and that she had been improperly denied energy assistance. She lost on all counts. </w:t>
      </w:r>
      <w:r w:rsidR="00522BD3">
        <w:rPr>
          <w:rFonts w:ascii="Times New Roman" w:hAnsi="Times New Roman" w:cs="Times New Roman"/>
        </w:rPr>
        <w:t xml:space="preserve">Last year, </w:t>
      </w:r>
      <w:r w:rsidR="00CB17AF">
        <w:rPr>
          <w:rFonts w:ascii="Times New Roman" w:hAnsi="Times New Roman" w:cs="Times New Roman"/>
        </w:rPr>
        <w:t xml:space="preserve">Ms. Tandy returned to the Commission </w:t>
      </w:r>
      <w:r w:rsidR="00522BD3">
        <w:rPr>
          <w:rFonts w:ascii="Times New Roman" w:hAnsi="Times New Roman" w:cs="Times New Roman"/>
        </w:rPr>
        <w:t xml:space="preserve">a second time raising </w:t>
      </w:r>
      <w:r w:rsidR="00CB17AF">
        <w:rPr>
          <w:rFonts w:ascii="Times New Roman" w:hAnsi="Times New Roman" w:cs="Times New Roman"/>
        </w:rPr>
        <w:t xml:space="preserve">the </w:t>
      </w:r>
      <w:r w:rsidR="00522BD3">
        <w:rPr>
          <w:rFonts w:ascii="Times New Roman" w:hAnsi="Times New Roman" w:cs="Times New Roman"/>
        </w:rPr>
        <w:t xml:space="preserve">same </w:t>
      </w:r>
      <w:r w:rsidR="00CB17AF">
        <w:rPr>
          <w:rFonts w:ascii="Times New Roman" w:hAnsi="Times New Roman" w:cs="Times New Roman"/>
        </w:rPr>
        <w:t xml:space="preserve">complaints in a new proceeding. The Commission rightly dismissed her claims once more. Ms. Tandy is back now for the third time with the same grievances: improper transfer of balances, accounting of payments, and </w:t>
      </w:r>
      <w:r w:rsidR="00FC6791">
        <w:rPr>
          <w:rFonts w:ascii="Times New Roman" w:hAnsi="Times New Roman" w:cs="Times New Roman"/>
        </w:rPr>
        <w:t>illegal disconnection</w:t>
      </w:r>
      <w:r w:rsidR="00CB17AF">
        <w:rPr>
          <w:rFonts w:ascii="Times New Roman" w:hAnsi="Times New Roman" w:cs="Times New Roman"/>
        </w:rPr>
        <w:t>.</w:t>
      </w:r>
      <w:r w:rsidR="00522BD3">
        <w:rPr>
          <w:rStyle w:val="FootnoteReference"/>
          <w:rFonts w:ascii="Times New Roman" w:hAnsi="Times New Roman" w:cs="Times New Roman"/>
        </w:rPr>
        <w:footnoteReference w:id="1"/>
      </w:r>
    </w:p>
    <w:p w14:paraId="2320A9C7" w14:textId="4A682A31" w:rsidR="00D80854" w:rsidRDefault="00D80854" w:rsidP="00D80854">
      <w:pPr>
        <w:spacing w:line="480" w:lineRule="auto"/>
        <w:rPr>
          <w:rFonts w:ascii="Times New Roman" w:hAnsi="Times New Roman" w:cs="Times New Roman"/>
        </w:rPr>
      </w:pPr>
      <w:r>
        <w:rPr>
          <w:rFonts w:ascii="Times New Roman" w:hAnsi="Times New Roman" w:cs="Times New Roman"/>
        </w:rPr>
        <w:tab/>
        <w:t>This complaint must be dismissed. The doctrine of res judicata exists for situations like this: a complaining party who repeatedly refuses to accept the tribunal’s decision. Every claim raised in Ms. Tandy’s most recent complaint was directly and expressly resolved by the Commission’s original order, could have been rais</w:t>
      </w:r>
      <w:r w:rsidR="00FC6791">
        <w:rPr>
          <w:rFonts w:ascii="Times New Roman" w:hAnsi="Times New Roman" w:cs="Times New Roman"/>
        </w:rPr>
        <w:t>ed but was not, or arose as a consequence of the previous decisions. For these reasons, as discussed in detail below, the Commission should dismiss this complaint.</w:t>
      </w:r>
    </w:p>
    <w:p w14:paraId="371E0272" w14:textId="77777777" w:rsidR="00EF7556" w:rsidRPr="006F40CF" w:rsidRDefault="00EF7556" w:rsidP="00EF7556">
      <w:pPr>
        <w:pStyle w:val="MemoHeading1"/>
      </w:pPr>
      <w:r w:rsidRPr="006F40CF">
        <w:t>PROCEDURAL HISTORY</w:t>
      </w:r>
    </w:p>
    <w:p w14:paraId="5568254F" w14:textId="19276A5A" w:rsidR="00522BD3" w:rsidRPr="00D378BD" w:rsidRDefault="00522BD3" w:rsidP="00D378BD">
      <w:pPr>
        <w:pStyle w:val="MemoHeading2"/>
        <w:rPr>
          <w:i/>
        </w:rPr>
      </w:pPr>
      <w:r w:rsidRPr="00D378BD">
        <w:rPr>
          <w:i/>
        </w:rPr>
        <w:t>Tandy I</w:t>
      </w:r>
      <w:r w:rsidR="00CB17AF" w:rsidRPr="00D378BD">
        <w:rPr>
          <w:i/>
        </w:rPr>
        <w:tab/>
      </w:r>
    </w:p>
    <w:p w14:paraId="1550B060" w14:textId="176C1C85" w:rsidR="00CB17AF" w:rsidRDefault="00CB17AF" w:rsidP="00D378BD">
      <w:pPr>
        <w:pStyle w:val="MemoBodyText"/>
      </w:pPr>
      <w:r>
        <w:t>During the summer and fall of 2012, Gwendolyn Tandy filed her first complaint (</w:t>
      </w:r>
      <w:r w:rsidRPr="00CB17AF">
        <w:rPr>
          <w:i/>
        </w:rPr>
        <w:t xml:space="preserve">Tandy </w:t>
      </w:r>
      <w:r w:rsidR="00EF7556">
        <w:rPr>
          <w:i/>
        </w:rPr>
        <w:t>I</w:t>
      </w:r>
      <w:r>
        <w:t xml:space="preserve">) against CEI. </w:t>
      </w:r>
      <w:r w:rsidRPr="00D26D5E">
        <w:rPr>
          <w:i/>
        </w:rPr>
        <w:t>See</w:t>
      </w:r>
      <w:r>
        <w:t xml:space="preserve"> Case No. 12-2102-EL-CSS. </w:t>
      </w:r>
      <w:r w:rsidRPr="00D26D5E">
        <w:rPr>
          <w:i/>
        </w:rPr>
        <w:t xml:space="preserve">Tandy </w:t>
      </w:r>
      <w:r w:rsidR="00EF7556">
        <w:rPr>
          <w:i/>
        </w:rPr>
        <w:t xml:space="preserve">I </w:t>
      </w:r>
      <w:r>
        <w:t>boiled down to four issues:</w:t>
      </w:r>
    </w:p>
    <w:p w14:paraId="538B0800" w14:textId="77777777" w:rsidR="00CB17AF" w:rsidRDefault="00CB17AF" w:rsidP="00B40947">
      <w:pPr>
        <w:pStyle w:val="ListParagraph"/>
        <w:numPr>
          <w:ilvl w:val="0"/>
          <w:numId w:val="2"/>
        </w:numPr>
        <w:spacing w:after="240"/>
        <w:ind w:right="720"/>
        <w:contextualSpacing w:val="0"/>
        <w:rPr>
          <w:rFonts w:ascii="Times New Roman" w:hAnsi="Times New Roman" w:cs="Times New Roman"/>
        </w:rPr>
      </w:pPr>
      <w:r w:rsidRPr="00CB17AF">
        <w:rPr>
          <w:rFonts w:ascii="Times New Roman" w:hAnsi="Times New Roman" w:cs="Times New Roman"/>
          <w:i/>
        </w:rPr>
        <w:t>Balance Transfers</w:t>
      </w:r>
      <w:r>
        <w:rPr>
          <w:rFonts w:ascii="Times New Roman" w:hAnsi="Times New Roman" w:cs="Times New Roman"/>
        </w:rPr>
        <w:t xml:space="preserve">: whether CEI properly transferred an account balance from her account at 1441 Sulzer Avenue to her account at 1439 Sulzer Avenue; </w:t>
      </w:r>
    </w:p>
    <w:p w14:paraId="17BEB986" w14:textId="77777777" w:rsidR="00CB17AF" w:rsidRDefault="00CB17AF" w:rsidP="00B40947">
      <w:pPr>
        <w:pStyle w:val="ListParagraph"/>
        <w:numPr>
          <w:ilvl w:val="0"/>
          <w:numId w:val="2"/>
        </w:numPr>
        <w:spacing w:after="240"/>
        <w:ind w:right="720"/>
        <w:contextualSpacing w:val="0"/>
        <w:rPr>
          <w:rFonts w:ascii="Times New Roman" w:hAnsi="Times New Roman" w:cs="Times New Roman"/>
        </w:rPr>
      </w:pPr>
      <w:r w:rsidRPr="00CB17AF">
        <w:rPr>
          <w:rFonts w:ascii="Times New Roman" w:hAnsi="Times New Roman" w:cs="Times New Roman"/>
          <w:i/>
        </w:rPr>
        <w:lastRenderedPageBreak/>
        <w:t>Accounting of Payments</w:t>
      </w:r>
      <w:r>
        <w:rPr>
          <w:rFonts w:ascii="Times New Roman" w:hAnsi="Times New Roman" w:cs="Times New Roman"/>
        </w:rPr>
        <w:t>: whether CEI properly accounted for payments made on her account dating from January 2011 to the time she filed the complaint;</w:t>
      </w:r>
    </w:p>
    <w:p w14:paraId="0AE01523" w14:textId="77777777" w:rsidR="00CB17AF" w:rsidRDefault="00CB17AF" w:rsidP="00B40947">
      <w:pPr>
        <w:pStyle w:val="ListParagraph"/>
        <w:numPr>
          <w:ilvl w:val="0"/>
          <w:numId w:val="2"/>
        </w:numPr>
        <w:spacing w:after="240"/>
        <w:ind w:right="720"/>
        <w:contextualSpacing w:val="0"/>
        <w:rPr>
          <w:rFonts w:ascii="Times New Roman" w:hAnsi="Times New Roman" w:cs="Times New Roman"/>
        </w:rPr>
      </w:pPr>
      <w:r w:rsidRPr="00CB17AF">
        <w:rPr>
          <w:rFonts w:ascii="Times New Roman" w:hAnsi="Times New Roman" w:cs="Times New Roman"/>
          <w:i/>
        </w:rPr>
        <w:t>Eligibility for Energy Assistance</w:t>
      </w:r>
      <w:r>
        <w:rPr>
          <w:rFonts w:ascii="Times New Roman" w:hAnsi="Times New Roman" w:cs="Times New Roman"/>
        </w:rPr>
        <w:t>: whether CEI properly considered her ineligible for the PIPP Plus program; and</w:t>
      </w:r>
    </w:p>
    <w:p w14:paraId="51978FD1" w14:textId="77777777" w:rsidR="00B40947" w:rsidRDefault="00CB17AF" w:rsidP="00EF7556">
      <w:pPr>
        <w:pStyle w:val="ListParagraph"/>
        <w:numPr>
          <w:ilvl w:val="0"/>
          <w:numId w:val="2"/>
        </w:numPr>
        <w:spacing w:after="240"/>
        <w:ind w:right="720"/>
        <w:contextualSpacing w:val="0"/>
        <w:rPr>
          <w:rFonts w:ascii="Times New Roman" w:hAnsi="Times New Roman" w:cs="Times New Roman"/>
        </w:rPr>
      </w:pPr>
      <w:r w:rsidRPr="00B40947">
        <w:rPr>
          <w:rFonts w:ascii="Times New Roman" w:hAnsi="Times New Roman" w:cs="Times New Roman"/>
          <w:i/>
        </w:rPr>
        <w:t>Summary of Account</w:t>
      </w:r>
      <w:r w:rsidRPr="00B40947">
        <w:rPr>
          <w:rFonts w:ascii="Times New Roman" w:hAnsi="Times New Roman" w:cs="Times New Roman"/>
        </w:rPr>
        <w:t>: whether CEI properly provided her with a summary of her account.</w:t>
      </w:r>
    </w:p>
    <w:p w14:paraId="3E75364B" w14:textId="77777777" w:rsidR="00B40947" w:rsidRDefault="00D26D5E" w:rsidP="00B40947">
      <w:pPr>
        <w:spacing w:after="240" w:line="480" w:lineRule="auto"/>
        <w:contextualSpacing/>
        <w:rPr>
          <w:rFonts w:ascii="Times New Roman" w:hAnsi="Times New Roman" w:cs="Times New Roman"/>
        </w:rPr>
      </w:pPr>
      <w:proofErr w:type="gramStart"/>
      <w:r w:rsidRPr="00B40947">
        <w:rPr>
          <w:rFonts w:ascii="Times New Roman" w:hAnsi="Times New Roman" w:cs="Times New Roman"/>
          <w:i/>
        </w:rPr>
        <w:t xml:space="preserve">Tandy </w:t>
      </w:r>
      <w:r w:rsidR="00EF7556">
        <w:rPr>
          <w:rFonts w:ascii="Times New Roman" w:hAnsi="Times New Roman" w:cs="Times New Roman"/>
          <w:i/>
        </w:rPr>
        <w:t>I</w:t>
      </w:r>
      <w:r w:rsidRPr="00B40947">
        <w:rPr>
          <w:rFonts w:ascii="Times New Roman" w:hAnsi="Times New Roman" w:cs="Times New Roman"/>
        </w:rPr>
        <w:t>, Entry at 1 (Nov. 1, 2012).</w:t>
      </w:r>
      <w:proofErr w:type="gramEnd"/>
      <w:r w:rsidRPr="00B40947">
        <w:rPr>
          <w:rFonts w:ascii="Times New Roman" w:hAnsi="Times New Roman" w:cs="Times New Roman"/>
        </w:rPr>
        <w:t xml:space="preserve"> The Commission heard her complaint on January 15, 2013, and about two months later dismissed it. </w:t>
      </w:r>
      <w:r w:rsidRPr="00B40947">
        <w:rPr>
          <w:rFonts w:ascii="Times New Roman" w:hAnsi="Times New Roman" w:cs="Times New Roman"/>
          <w:i/>
        </w:rPr>
        <w:t>See</w:t>
      </w:r>
      <w:r w:rsidRPr="00B40947">
        <w:rPr>
          <w:rFonts w:ascii="Times New Roman" w:hAnsi="Times New Roman" w:cs="Times New Roman"/>
        </w:rPr>
        <w:t xml:space="preserve"> </w:t>
      </w:r>
      <w:r w:rsidRPr="00B40947">
        <w:rPr>
          <w:rFonts w:ascii="Times New Roman" w:hAnsi="Times New Roman" w:cs="Times New Roman"/>
          <w:i/>
        </w:rPr>
        <w:t xml:space="preserve">Tandy </w:t>
      </w:r>
      <w:r w:rsidR="00EF7556">
        <w:rPr>
          <w:rFonts w:ascii="Times New Roman" w:hAnsi="Times New Roman" w:cs="Times New Roman"/>
          <w:i/>
        </w:rPr>
        <w:t>I</w:t>
      </w:r>
      <w:r w:rsidRPr="00B40947">
        <w:rPr>
          <w:rFonts w:ascii="Times New Roman" w:hAnsi="Times New Roman" w:cs="Times New Roman"/>
        </w:rPr>
        <w:t>, Order at 9 (Mar. 6, 2013). The Commission resolved all four issues in CEI’s favor.</w:t>
      </w:r>
    </w:p>
    <w:p w14:paraId="31B0AE45" w14:textId="77777777" w:rsidR="00D26D5E" w:rsidRDefault="00D26D5E" w:rsidP="00B40947">
      <w:pPr>
        <w:spacing w:after="240" w:line="480" w:lineRule="auto"/>
        <w:contextualSpacing/>
        <w:rPr>
          <w:rFonts w:ascii="Times New Roman" w:hAnsi="Times New Roman" w:cs="Times New Roman"/>
        </w:rPr>
      </w:pPr>
      <w:r>
        <w:rPr>
          <w:rFonts w:ascii="Times New Roman" w:hAnsi="Times New Roman" w:cs="Times New Roman"/>
        </w:rPr>
        <w:tab/>
      </w:r>
      <w:r w:rsidRPr="00D26D5E">
        <w:rPr>
          <w:rFonts w:ascii="Times New Roman" w:hAnsi="Times New Roman" w:cs="Times New Roman"/>
          <w:i/>
        </w:rPr>
        <w:t>First</w:t>
      </w:r>
      <w:r>
        <w:rPr>
          <w:rFonts w:ascii="Times New Roman" w:hAnsi="Times New Roman" w:cs="Times New Roman"/>
        </w:rPr>
        <w:t xml:space="preserve">, the balance transfer was proper: “CEI properly transferred the accrued residential service charges from the account for 1441 Sulzer Avenue to Ms. Tandy’s active residential account for service at 1439 Sulzer Avenue…including the February 17, 2012 transfer of charges.” </w:t>
      </w:r>
      <w:proofErr w:type="gramStart"/>
      <w:r w:rsidRPr="0019242C">
        <w:rPr>
          <w:rFonts w:ascii="Times New Roman" w:hAnsi="Times New Roman" w:cs="Times New Roman"/>
          <w:i/>
        </w:rPr>
        <w:t>Id.</w:t>
      </w:r>
      <w:r>
        <w:rPr>
          <w:rFonts w:ascii="Times New Roman" w:hAnsi="Times New Roman" w:cs="Times New Roman"/>
        </w:rPr>
        <w:t xml:space="preserve"> at 7-8.</w:t>
      </w:r>
      <w:proofErr w:type="gramEnd"/>
      <w:r>
        <w:rPr>
          <w:rFonts w:ascii="Times New Roman" w:hAnsi="Times New Roman" w:cs="Times New Roman"/>
        </w:rPr>
        <w:t xml:space="preserve"> </w:t>
      </w:r>
    </w:p>
    <w:p w14:paraId="621A4A6E" w14:textId="77777777" w:rsidR="00D26D5E" w:rsidRDefault="00D26D5E" w:rsidP="00B40947">
      <w:pPr>
        <w:spacing w:line="480" w:lineRule="auto"/>
        <w:contextualSpacing/>
        <w:rPr>
          <w:rFonts w:ascii="Times New Roman" w:hAnsi="Times New Roman" w:cs="Times New Roman"/>
        </w:rPr>
      </w:pPr>
      <w:r>
        <w:rPr>
          <w:rFonts w:ascii="Times New Roman" w:hAnsi="Times New Roman" w:cs="Times New Roman"/>
        </w:rPr>
        <w:tab/>
      </w:r>
      <w:r w:rsidRPr="00D26D5E">
        <w:rPr>
          <w:rFonts w:ascii="Times New Roman" w:hAnsi="Times New Roman" w:cs="Times New Roman"/>
          <w:i/>
        </w:rPr>
        <w:t>Second</w:t>
      </w:r>
      <w:r>
        <w:rPr>
          <w:rFonts w:ascii="Times New Roman" w:hAnsi="Times New Roman" w:cs="Times New Roman"/>
        </w:rPr>
        <w:t xml:space="preserve">, CEI properly accounted for her payments: “nothing in the record supports the claims that CEI has failed to correctly reflect her PIPP installments or other payments made on her account at 1439 Sulzer Avenue.” </w:t>
      </w:r>
      <w:proofErr w:type="gramStart"/>
      <w:r w:rsidRPr="0019242C">
        <w:rPr>
          <w:rFonts w:ascii="Times New Roman" w:hAnsi="Times New Roman" w:cs="Times New Roman"/>
          <w:i/>
        </w:rPr>
        <w:t>Id.</w:t>
      </w:r>
      <w:r>
        <w:rPr>
          <w:rFonts w:ascii="Times New Roman" w:hAnsi="Times New Roman" w:cs="Times New Roman"/>
        </w:rPr>
        <w:t xml:space="preserve"> at 8.</w:t>
      </w:r>
      <w:proofErr w:type="gramEnd"/>
    </w:p>
    <w:p w14:paraId="25A65519" w14:textId="77777777" w:rsidR="00D26D5E" w:rsidRDefault="00D26D5E" w:rsidP="00D26D5E">
      <w:pPr>
        <w:spacing w:line="480" w:lineRule="auto"/>
        <w:rPr>
          <w:rFonts w:ascii="Times New Roman" w:hAnsi="Times New Roman" w:cs="Times New Roman"/>
        </w:rPr>
      </w:pPr>
      <w:r>
        <w:rPr>
          <w:rFonts w:ascii="Times New Roman" w:hAnsi="Times New Roman" w:cs="Times New Roman"/>
        </w:rPr>
        <w:tab/>
      </w:r>
      <w:r w:rsidRPr="00D26D5E">
        <w:rPr>
          <w:rFonts w:ascii="Times New Roman" w:hAnsi="Times New Roman" w:cs="Times New Roman"/>
          <w:i/>
        </w:rPr>
        <w:t>Third</w:t>
      </w:r>
      <w:r>
        <w:rPr>
          <w:rFonts w:ascii="Times New Roman" w:hAnsi="Times New Roman" w:cs="Times New Roman"/>
        </w:rPr>
        <w:t xml:space="preserve">, </w:t>
      </w:r>
      <w:r w:rsidR="00B40947" w:rsidRPr="00B40947">
        <w:rPr>
          <w:rFonts w:ascii="Times New Roman" w:hAnsi="Times New Roman" w:cs="Times New Roman"/>
        </w:rPr>
        <w:t xml:space="preserve">the denial of energy assistance was proper: Ms. Tandy was “no longer eligible for PIPP” under the rules governing fraudulent enrollment. </w:t>
      </w:r>
      <w:proofErr w:type="gramStart"/>
      <w:r w:rsidR="00B40947" w:rsidRPr="0019242C">
        <w:rPr>
          <w:rFonts w:ascii="Times New Roman" w:hAnsi="Times New Roman" w:cs="Times New Roman"/>
          <w:i/>
        </w:rPr>
        <w:t>Id.</w:t>
      </w:r>
      <w:r w:rsidR="00B40947" w:rsidRPr="00B40947">
        <w:rPr>
          <w:rFonts w:ascii="Times New Roman" w:hAnsi="Times New Roman" w:cs="Times New Roman"/>
        </w:rPr>
        <w:t xml:space="preserve"> at 7 (citing Rule 122:5-3-02(I)).</w:t>
      </w:r>
      <w:proofErr w:type="gramEnd"/>
    </w:p>
    <w:p w14:paraId="791B7293" w14:textId="77777777" w:rsidR="00B40947" w:rsidRDefault="00B40947" w:rsidP="00B40947">
      <w:pPr>
        <w:pStyle w:val="MemoBodyText"/>
      </w:pPr>
      <w:r w:rsidRPr="004E69E4">
        <w:rPr>
          <w:i/>
        </w:rPr>
        <w:t>Finally</w:t>
      </w:r>
      <w:r>
        <w:t xml:space="preserve">, CEI’s account summary was </w:t>
      </w:r>
      <w:r w:rsidRPr="00AF0644">
        <w:rPr>
          <w:i/>
        </w:rPr>
        <w:t xml:space="preserve">not </w:t>
      </w:r>
      <w:r>
        <w:t xml:space="preserve">unreasonable: “Ms. Tandy has failed to sustain her burden to demonstrate . . . that the Summary of Statement is unreasonable or a violation of a rule, Commission order or Ohio law.” </w:t>
      </w:r>
      <w:proofErr w:type="gramStart"/>
      <w:r>
        <w:rPr>
          <w:i/>
        </w:rPr>
        <w:t>Id.</w:t>
      </w:r>
      <w:r>
        <w:t xml:space="preserve"> at 8.</w:t>
      </w:r>
      <w:proofErr w:type="gramEnd"/>
    </w:p>
    <w:p w14:paraId="2D077115" w14:textId="77777777" w:rsidR="00D80854" w:rsidRDefault="00D26D5E" w:rsidP="00D80854">
      <w:pPr>
        <w:spacing w:line="480" w:lineRule="auto"/>
        <w:rPr>
          <w:rFonts w:ascii="Times New Roman" w:hAnsi="Times New Roman" w:cs="Times New Roman"/>
        </w:rPr>
      </w:pPr>
      <w:r>
        <w:rPr>
          <w:rFonts w:ascii="Times New Roman" w:hAnsi="Times New Roman" w:cs="Times New Roman"/>
        </w:rPr>
        <w:tab/>
        <w:t xml:space="preserve">Ms. Tandy sought rehearing on April 5, which the Commission denied on May 1. </w:t>
      </w:r>
      <w:proofErr w:type="gramStart"/>
      <w:r w:rsidRPr="00D26D5E">
        <w:rPr>
          <w:rFonts w:ascii="Times New Roman" w:hAnsi="Times New Roman" w:cs="Times New Roman"/>
          <w:i/>
        </w:rPr>
        <w:t xml:space="preserve">Tandy </w:t>
      </w:r>
      <w:r w:rsidR="00EF7556">
        <w:rPr>
          <w:rFonts w:ascii="Times New Roman" w:hAnsi="Times New Roman" w:cs="Times New Roman"/>
          <w:i/>
        </w:rPr>
        <w:t>I</w:t>
      </w:r>
      <w:r>
        <w:rPr>
          <w:rFonts w:ascii="Times New Roman" w:hAnsi="Times New Roman" w:cs="Times New Roman"/>
        </w:rPr>
        <w:t>, Entry on Rehg.</w:t>
      </w:r>
      <w:proofErr w:type="gramEnd"/>
      <w:r>
        <w:rPr>
          <w:rFonts w:ascii="Times New Roman" w:hAnsi="Times New Roman" w:cs="Times New Roman"/>
        </w:rPr>
        <w:t xml:space="preserve"> </w:t>
      </w:r>
      <w:proofErr w:type="gramStart"/>
      <w:r>
        <w:rPr>
          <w:rFonts w:ascii="Times New Roman" w:hAnsi="Times New Roman" w:cs="Times New Roman"/>
        </w:rPr>
        <w:t>at</w:t>
      </w:r>
      <w:proofErr w:type="gramEnd"/>
      <w:r>
        <w:rPr>
          <w:rFonts w:ascii="Times New Roman" w:hAnsi="Times New Roman" w:cs="Times New Roman"/>
        </w:rPr>
        <w:t xml:space="preserve"> 3 (May 1, 2013). The decision in </w:t>
      </w:r>
      <w:r w:rsidRPr="00D26D5E">
        <w:rPr>
          <w:rFonts w:ascii="Times New Roman" w:hAnsi="Times New Roman" w:cs="Times New Roman"/>
          <w:i/>
        </w:rPr>
        <w:t xml:space="preserve">Tandy </w:t>
      </w:r>
      <w:r w:rsidR="00EF7556">
        <w:rPr>
          <w:rFonts w:ascii="Times New Roman" w:hAnsi="Times New Roman" w:cs="Times New Roman"/>
          <w:i/>
        </w:rPr>
        <w:t>I</w:t>
      </w:r>
      <w:r>
        <w:rPr>
          <w:rFonts w:ascii="Times New Roman" w:hAnsi="Times New Roman" w:cs="Times New Roman"/>
        </w:rPr>
        <w:t xml:space="preserve"> thus became final. Nevertheless, despite the Commission’s validation of her account balance, Ms. Tandy never paid her bills in full and was disconnected on September 24, 2013.</w:t>
      </w:r>
    </w:p>
    <w:p w14:paraId="75762559" w14:textId="476F2232" w:rsidR="00522BD3" w:rsidRDefault="00522BD3" w:rsidP="00D378BD">
      <w:pPr>
        <w:pStyle w:val="MemoHeading2"/>
      </w:pPr>
      <w:r>
        <w:rPr>
          <w:i/>
        </w:rPr>
        <w:t>Tandy II</w:t>
      </w:r>
    </w:p>
    <w:p w14:paraId="1189F9E4" w14:textId="5083C1D7" w:rsidR="00D26D5E" w:rsidRDefault="00D26D5E" w:rsidP="00D378BD">
      <w:pPr>
        <w:pStyle w:val="MemoBodyText"/>
      </w:pPr>
      <w:r>
        <w:t>In April 2014, Ms. Tandy filed her second complaint (</w:t>
      </w:r>
      <w:r w:rsidRPr="001A3797">
        <w:rPr>
          <w:i/>
        </w:rPr>
        <w:t xml:space="preserve">Tandy </w:t>
      </w:r>
      <w:r w:rsidR="00EF7556">
        <w:rPr>
          <w:i/>
        </w:rPr>
        <w:t>II</w:t>
      </w:r>
      <w:r>
        <w:t xml:space="preserve">) against CEI. </w:t>
      </w:r>
      <w:r w:rsidRPr="001A3797">
        <w:rPr>
          <w:i/>
        </w:rPr>
        <w:t>See</w:t>
      </w:r>
      <w:r>
        <w:t xml:space="preserve"> Case No. 14-0686-EL-CSS. </w:t>
      </w:r>
      <w:r w:rsidR="001A3797">
        <w:t xml:space="preserve">The complaint raised the same issues resolved in </w:t>
      </w:r>
      <w:r w:rsidR="001A3797">
        <w:rPr>
          <w:i/>
        </w:rPr>
        <w:t xml:space="preserve">Tandy </w:t>
      </w:r>
      <w:r w:rsidR="00EF7556">
        <w:rPr>
          <w:i/>
        </w:rPr>
        <w:t>I</w:t>
      </w:r>
      <w:r w:rsidR="001A3797">
        <w:t xml:space="preserve">: </w:t>
      </w:r>
    </w:p>
    <w:p w14:paraId="75444956" w14:textId="77777777" w:rsidR="00B40947" w:rsidRPr="00B40947" w:rsidRDefault="00B40947" w:rsidP="00B40947">
      <w:pPr>
        <w:numPr>
          <w:ilvl w:val="0"/>
          <w:numId w:val="4"/>
        </w:numPr>
        <w:spacing w:after="240"/>
        <w:ind w:right="720"/>
        <w:rPr>
          <w:rFonts w:ascii="Times New Roman" w:hAnsi="Times New Roman" w:cs="Times New Roman"/>
        </w:rPr>
      </w:pPr>
      <w:r w:rsidRPr="00B40947">
        <w:rPr>
          <w:rFonts w:ascii="Times New Roman" w:hAnsi="Times New Roman" w:cs="Times New Roman"/>
          <w:i/>
        </w:rPr>
        <w:t>Balance Transfers:</w:t>
      </w:r>
      <w:r w:rsidRPr="00B40947">
        <w:rPr>
          <w:rFonts w:ascii="Times New Roman" w:hAnsi="Times New Roman" w:cs="Times New Roman"/>
        </w:rPr>
        <w:t xml:space="preserve"> </w:t>
      </w:r>
      <w:r w:rsidR="003C7383">
        <w:rPr>
          <w:rFonts w:ascii="Times New Roman" w:hAnsi="Times New Roman" w:cs="Times New Roman"/>
        </w:rPr>
        <w:t>whether</w:t>
      </w:r>
      <w:r w:rsidRPr="00B40947">
        <w:rPr>
          <w:rFonts w:ascii="Times New Roman" w:hAnsi="Times New Roman" w:cs="Times New Roman"/>
        </w:rPr>
        <w:t xml:space="preserve"> balance transfers from her account at 1441 Sulzer Avenue to her account at 1439 Sulzer Avenu</w:t>
      </w:r>
      <w:r w:rsidR="003C7383">
        <w:rPr>
          <w:rFonts w:ascii="Times New Roman" w:hAnsi="Times New Roman" w:cs="Times New Roman"/>
        </w:rPr>
        <w:t xml:space="preserve">e were </w:t>
      </w:r>
      <w:r w:rsidR="001174D5">
        <w:rPr>
          <w:rFonts w:ascii="Times New Roman" w:hAnsi="Times New Roman" w:cs="Times New Roman"/>
        </w:rPr>
        <w:t>proper</w:t>
      </w:r>
      <w:r w:rsidR="003C7383">
        <w:rPr>
          <w:rFonts w:ascii="Times New Roman" w:hAnsi="Times New Roman" w:cs="Times New Roman"/>
        </w:rPr>
        <w:t>;</w:t>
      </w:r>
    </w:p>
    <w:p w14:paraId="57BE5A35" w14:textId="77777777" w:rsidR="00B40947" w:rsidRPr="00B40947" w:rsidRDefault="00B40947" w:rsidP="00B40947">
      <w:pPr>
        <w:numPr>
          <w:ilvl w:val="0"/>
          <w:numId w:val="4"/>
        </w:numPr>
        <w:spacing w:after="240"/>
        <w:ind w:right="720"/>
        <w:rPr>
          <w:rFonts w:ascii="Times New Roman" w:hAnsi="Times New Roman" w:cs="Times New Roman"/>
        </w:rPr>
      </w:pPr>
      <w:r w:rsidRPr="00B40947">
        <w:rPr>
          <w:rFonts w:ascii="Times New Roman" w:hAnsi="Times New Roman" w:cs="Times New Roman"/>
          <w:i/>
        </w:rPr>
        <w:t>Accounting of Payments:</w:t>
      </w:r>
      <w:r w:rsidRPr="00B40947">
        <w:rPr>
          <w:rFonts w:ascii="Times New Roman" w:hAnsi="Times New Roman" w:cs="Times New Roman"/>
        </w:rPr>
        <w:t xml:space="preserve"> </w:t>
      </w:r>
      <w:r w:rsidR="001174D5">
        <w:rPr>
          <w:rFonts w:ascii="Times New Roman" w:hAnsi="Times New Roman" w:cs="Times New Roman"/>
        </w:rPr>
        <w:t xml:space="preserve">whether </w:t>
      </w:r>
      <w:r w:rsidRPr="00B40947">
        <w:rPr>
          <w:rFonts w:ascii="Times New Roman" w:hAnsi="Times New Roman" w:cs="Times New Roman"/>
        </w:rPr>
        <w:t>CEI properly account</w:t>
      </w:r>
      <w:r w:rsidR="001174D5">
        <w:rPr>
          <w:rFonts w:ascii="Times New Roman" w:hAnsi="Times New Roman" w:cs="Times New Roman"/>
        </w:rPr>
        <w:t>ed</w:t>
      </w:r>
      <w:r w:rsidRPr="00B40947">
        <w:rPr>
          <w:rFonts w:ascii="Times New Roman" w:hAnsi="Times New Roman" w:cs="Times New Roman"/>
        </w:rPr>
        <w:t xml:space="preserve"> for payments made on her account dating from January 2011 (and earlier) to th</w:t>
      </w:r>
      <w:r w:rsidR="001174D5">
        <w:rPr>
          <w:rFonts w:ascii="Times New Roman" w:hAnsi="Times New Roman" w:cs="Times New Roman"/>
        </w:rPr>
        <w:t>e time she filed the complaint;</w:t>
      </w:r>
    </w:p>
    <w:p w14:paraId="3C9787BC" w14:textId="77777777" w:rsidR="001A3797" w:rsidRDefault="00B40947" w:rsidP="00B40947">
      <w:pPr>
        <w:numPr>
          <w:ilvl w:val="0"/>
          <w:numId w:val="4"/>
        </w:numPr>
        <w:spacing w:after="240"/>
        <w:ind w:right="720"/>
        <w:rPr>
          <w:rFonts w:ascii="Times New Roman" w:hAnsi="Times New Roman" w:cs="Times New Roman"/>
        </w:rPr>
      </w:pPr>
      <w:r w:rsidRPr="00B40947">
        <w:rPr>
          <w:rFonts w:ascii="Times New Roman" w:hAnsi="Times New Roman" w:cs="Times New Roman"/>
          <w:i/>
        </w:rPr>
        <w:t>Eligibility for Energy Assistance</w:t>
      </w:r>
      <w:r w:rsidRPr="00B40947">
        <w:rPr>
          <w:rFonts w:ascii="Times New Roman" w:hAnsi="Times New Roman" w:cs="Times New Roman"/>
        </w:rPr>
        <w:t xml:space="preserve">: </w:t>
      </w:r>
      <w:r w:rsidR="001174D5">
        <w:rPr>
          <w:rFonts w:ascii="Times New Roman" w:hAnsi="Times New Roman" w:cs="Times New Roman"/>
        </w:rPr>
        <w:t>whether she was impermissibly enrolled in the Percentage of Income Payment Plan (PIPP) Plus program, and whether she was denied assistance from the Fuel Fund grant program.</w:t>
      </w:r>
      <w:r w:rsidRPr="00B40947">
        <w:rPr>
          <w:rFonts w:ascii="Times New Roman" w:hAnsi="Times New Roman" w:cs="Times New Roman"/>
        </w:rPr>
        <w:t xml:space="preserve"> </w:t>
      </w:r>
    </w:p>
    <w:p w14:paraId="1C3F0107" w14:textId="09421F30" w:rsidR="001174D5" w:rsidRDefault="001174D5" w:rsidP="00D378BD">
      <w:pPr>
        <w:pStyle w:val="MemoBodyText"/>
        <w:ind w:firstLine="0"/>
      </w:pPr>
      <w:r>
        <w:rPr>
          <w:i/>
        </w:rPr>
        <w:t xml:space="preserve">Tandy </w:t>
      </w:r>
      <w:r w:rsidRPr="001174D5">
        <w:rPr>
          <w:i/>
        </w:rPr>
        <w:t>II</w:t>
      </w:r>
      <w:r w:rsidRPr="001174D5">
        <w:t xml:space="preserve">, </w:t>
      </w:r>
      <w:r>
        <w:t xml:space="preserve">Entry at 1 (July 30, 2014). </w:t>
      </w:r>
      <w:r w:rsidRPr="001174D5">
        <w:t>In</w:t>
      </w:r>
      <w:r>
        <w:t xml:space="preserve"> addition</w:t>
      </w:r>
      <w:r w:rsidRPr="006F40CF">
        <w:rPr>
          <w:rFonts w:asciiTheme="minorHAnsi" w:hAnsiTheme="minorHAnsi"/>
        </w:rPr>
        <w:t xml:space="preserve"> to </w:t>
      </w:r>
      <w:r>
        <w:t xml:space="preserve">these issues, </w:t>
      </w:r>
      <w:r w:rsidRPr="008621BF">
        <w:rPr>
          <w:i/>
        </w:rPr>
        <w:t xml:space="preserve">Tandy </w:t>
      </w:r>
      <w:r>
        <w:rPr>
          <w:i/>
        </w:rPr>
        <w:t xml:space="preserve">II </w:t>
      </w:r>
      <w:r>
        <w:t xml:space="preserve">also alleged that her </w:t>
      </w:r>
      <w:r w:rsidRPr="00C36554">
        <w:t>September 2013 disconnection</w:t>
      </w:r>
      <w:r>
        <w:t xml:space="preserve"> </w:t>
      </w:r>
      <w:r w:rsidRPr="00C36554">
        <w:t>was unlawful</w:t>
      </w:r>
      <w:r>
        <w:t xml:space="preserve"> because she did not owe the underlying balance. </w:t>
      </w:r>
      <w:r w:rsidRPr="008621BF">
        <w:rPr>
          <w:i/>
        </w:rPr>
        <w:t>Id</w:t>
      </w:r>
      <w:r w:rsidRPr="0019242C">
        <w:rPr>
          <w:i/>
        </w:rPr>
        <w:t>.</w:t>
      </w:r>
      <w:r>
        <w:t xml:space="preserve"> </w:t>
      </w:r>
      <w:r w:rsidR="00522BD3">
        <w:t>Then, later in the proceeding, she also challenged the propriety of a pending May</w:t>
      </w:r>
      <w:r>
        <w:t xml:space="preserve"> </w:t>
      </w:r>
      <w:r w:rsidR="00522BD3">
        <w:t xml:space="preserve">30, 2014 disconnection. </w:t>
      </w:r>
      <w:r w:rsidR="003E042F">
        <w:t>(</w:t>
      </w:r>
      <w:r w:rsidR="00522BD3">
        <w:rPr>
          <w:i/>
        </w:rPr>
        <w:t>See Tandy II</w:t>
      </w:r>
      <w:r w:rsidR="00522BD3">
        <w:t>, Correspondence (June 3, 2014).</w:t>
      </w:r>
      <w:r w:rsidR="003E042F">
        <w:t>)</w:t>
      </w:r>
    </w:p>
    <w:p w14:paraId="38173931" w14:textId="704F5101" w:rsidR="001174D5" w:rsidRDefault="00522BD3" w:rsidP="00EB7071">
      <w:pPr>
        <w:spacing w:line="480" w:lineRule="auto"/>
        <w:ind w:firstLine="720"/>
        <w:contextualSpacing/>
        <w:rPr>
          <w:rFonts w:ascii="Times New Roman" w:hAnsi="Times New Roman" w:cs="Times New Roman"/>
        </w:rPr>
      </w:pPr>
      <w:r>
        <w:rPr>
          <w:rFonts w:ascii="Times New Roman" w:hAnsi="Times New Roman" w:cs="Times New Roman"/>
        </w:rPr>
        <w:t xml:space="preserve">CEI moved to dismiss </w:t>
      </w:r>
      <w:r>
        <w:rPr>
          <w:rFonts w:ascii="Times New Roman" w:hAnsi="Times New Roman" w:cs="Times New Roman"/>
          <w:i/>
        </w:rPr>
        <w:t>Tandy II</w:t>
      </w:r>
      <w:r>
        <w:rPr>
          <w:rFonts w:ascii="Times New Roman" w:hAnsi="Times New Roman" w:cs="Times New Roman"/>
        </w:rPr>
        <w:t xml:space="preserve"> on the basis of res judicata, and t</w:t>
      </w:r>
      <w:r w:rsidR="00D96B83">
        <w:rPr>
          <w:rFonts w:ascii="Times New Roman" w:hAnsi="Times New Roman" w:cs="Times New Roman"/>
        </w:rPr>
        <w:t xml:space="preserve">he Commission </w:t>
      </w:r>
      <w:r w:rsidR="009D5440">
        <w:rPr>
          <w:rFonts w:ascii="Times New Roman" w:hAnsi="Times New Roman" w:cs="Times New Roman"/>
        </w:rPr>
        <w:t>grant</w:t>
      </w:r>
      <w:r>
        <w:rPr>
          <w:rFonts w:ascii="Times New Roman" w:hAnsi="Times New Roman" w:cs="Times New Roman"/>
        </w:rPr>
        <w:t>ed</w:t>
      </w:r>
      <w:r w:rsidR="009D5440">
        <w:rPr>
          <w:rFonts w:ascii="Times New Roman" w:hAnsi="Times New Roman" w:cs="Times New Roman"/>
        </w:rPr>
        <w:t xml:space="preserve"> CEI’s </w:t>
      </w:r>
      <w:r>
        <w:rPr>
          <w:rFonts w:ascii="Times New Roman" w:hAnsi="Times New Roman" w:cs="Times New Roman"/>
        </w:rPr>
        <w:t>m</w:t>
      </w:r>
      <w:r w:rsidR="009D5440">
        <w:rPr>
          <w:rFonts w:ascii="Times New Roman" w:hAnsi="Times New Roman" w:cs="Times New Roman"/>
        </w:rPr>
        <w:t xml:space="preserve">otion </w:t>
      </w:r>
      <w:r w:rsidR="00D96B83">
        <w:rPr>
          <w:rFonts w:ascii="Times New Roman" w:hAnsi="Times New Roman" w:cs="Times New Roman"/>
        </w:rPr>
        <w:t>on July 30, 2014.</w:t>
      </w:r>
      <w:r w:rsidR="00EB7071">
        <w:rPr>
          <w:rFonts w:ascii="Times New Roman" w:hAnsi="Times New Roman" w:cs="Times New Roman"/>
        </w:rPr>
        <w:t xml:space="preserve"> </w:t>
      </w:r>
      <w:r>
        <w:rPr>
          <w:rFonts w:ascii="Times New Roman" w:hAnsi="Times New Roman" w:cs="Times New Roman"/>
        </w:rPr>
        <w:t>T</w:t>
      </w:r>
      <w:r w:rsidR="00EB7071">
        <w:rPr>
          <w:rFonts w:ascii="Times New Roman" w:hAnsi="Times New Roman" w:cs="Times New Roman"/>
        </w:rPr>
        <w:t>he Commission found that Ms. Tandy was “precluded from raising the same issues</w:t>
      </w:r>
      <w:r>
        <w:rPr>
          <w:rFonts w:ascii="Times New Roman" w:hAnsi="Times New Roman" w:cs="Times New Roman"/>
        </w:rPr>
        <w:t xml:space="preserve"> . . . </w:t>
      </w:r>
      <w:r w:rsidR="00EB7071">
        <w:rPr>
          <w:rFonts w:ascii="Times New Roman" w:hAnsi="Times New Roman" w:cs="Times New Roman"/>
        </w:rPr>
        <w:t xml:space="preserve">that were previously decided by the Commission” in </w:t>
      </w:r>
      <w:r w:rsidR="00EB7071">
        <w:rPr>
          <w:rFonts w:ascii="Times New Roman" w:hAnsi="Times New Roman" w:cs="Times New Roman"/>
          <w:i/>
        </w:rPr>
        <w:t xml:space="preserve">Tandy I, </w:t>
      </w:r>
      <w:r w:rsidR="00EB7071">
        <w:rPr>
          <w:rFonts w:ascii="Times New Roman" w:hAnsi="Times New Roman" w:cs="Times New Roman"/>
        </w:rPr>
        <w:t xml:space="preserve">under the doctrine of res judicata. </w:t>
      </w:r>
      <w:proofErr w:type="gramStart"/>
      <w:r w:rsidR="00EB7071">
        <w:rPr>
          <w:rFonts w:ascii="Times New Roman" w:hAnsi="Times New Roman" w:cs="Times New Roman"/>
        </w:rPr>
        <w:t>Entry at 4.</w:t>
      </w:r>
      <w:proofErr w:type="gramEnd"/>
      <w:r w:rsidR="00EB7071">
        <w:rPr>
          <w:rFonts w:ascii="Times New Roman" w:hAnsi="Times New Roman" w:cs="Times New Roman"/>
        </w:rPr>
        <w:t xml:space="preserve"> Additionally, the Commission found that the September 24, 2013 disconnection of service was a consequence of the previous decision, and therefore that claim was also barred. </w:t>
      </w:r>
      <w:proofErr w:type="gramStart"/>
      <w:r w:rsidR="009D5440">
        <w:rPr>
          <w:rFonts w:ascii="Times New Roman" w:hAnsi="Times New Roman" w:cs="Times New Roman"/>
          <w:i/>
        </w:rPr>
        <w:t>Id</w:t>
      </w:r>
      <w:r w:rsidR="009D5440" w:rsidRPr="0019242C">
        <w:rPr>
          <w:rFonts w:ascii="Times New Roman" w:hAnsi="Times New Roman" w:cs="Times New Roman"/>
          <w:i/>
        </w:rPr>
        <w:t>.</w:t>
      </w:r>
      <w:r w:rsidR="009D5440">
        <w:rPr>
          <w:rFonts w:ascii="Times New Roman" w:hAnsi="Times New Roman" w:cs="Times New Roman"/>
        </w:rPr>
        <w:t xml:space="preserve"> at 6.</w:t>
      </w:r>
      <w:proofErr w:type="gramEnd"/>
      <w:r w:rsidR="009D5440">
        <w:rPr>
          <w:rFonts w:ascii="Times New Roman" w:hAnsi="Times New Roman" w:cs="Times New Roman"/>
          <w:i/>
        </w:rPr>
        <w:t xml:space="preserve"> </w:t>
      </w:r>
      <w:r>
        <w:rPr>
          <w:rFonts w:ascii="Times New Roman" w:hAnsi="Times New Roman" w:cs="Times New Roman"/>
        </w:rPr>
        <w:t>T</w:t>
      </w:r>
      <w:r w:rsidR="00EB7071">
        <w:rPr>
          <w:rFonts w:ascii="Times New Roman" w:hAnsi="Times New Roman" w:cs="Times New Roman"/>
        </w:rPr>
        <w:t xml:space="preserve">he Commission </w:t>
      </w:r>
      <w:r>
        <w:rPr>
          <w:rFonts w:ascii="Times New Roman" w:hAnsi="Times New Roman" w:cs="Times New Roman"/>
        </w:rPr>
        <w:t xml:space="preserve">also </w:t>
      </w:r>
      <w:r w:rsidR="00EB7071">
        <w:rPr>
          <w:rFonts w:ascii="Times New Roman" w:hAnsi="Times New Roman" w:cs="Times New Roman"/>
        </w:rPr>
        <w:t>found that CEI’s denial of assistance to Ms. Tandy through the Fuel Fund program was based on a determination</w:t>
      </w:r>
      <w:r w:rsidR="009D5440">
        <w:rPr>
          <w:rFonts w:ascii="Times New Roman" w:hAnsi="Times New Roman" w:cs="Times New Roman"/>
        </w:rPr>
        <w:t xml:space="preserve"> of fraud</w:t>
      </w:r>
      <w:r w:rsidR="00EB7071">
        <w:rPr>
          <w:rFonts w:ascii="Times New Roman" w:hAnsi="Times New Roman" w:cs="Times New Roman"/>
        </w:rPr>
        <w:t xml:space="preserve"> by the Ohio Development Services Agency</w:t>
      </w:r>
      <w:r w:rsidR="009D5440">
        <w:rPr>
          <w:rFonts w:ascii="Times New Roman" w:hAnsi="Times New Roman" w:cs="Times New Roman"/>
        </w:rPr>
        <w:t xml:space="preserve">, which falls outside the Commission’s jurisdiction. </w:t>
      </w:r>
      <w:proofErr w:type="gramStart"/>
      <w:r w:rsidR="009D5440">
        <w:rPr>
          <w:rFonts w:ascii="Times New Roman" w:hAnsi="Times New Roman" w:cs="Times New Roman"/>
          <w:i/>
        </w:rPr>
        <w:t>Id</w:t>
      </w:r>
      <w:r w:rsidR="009D5440" w:rsidRPr="0019242C">
        <w:rPr>
          <w:rFonts w:ascii="Times New Roman" w:hAnsi="Times New Roman" w:cs="Times New Roman"/>
          <w:i/>
        </w:rPr>
        <w:t>.</w:t>
      </w:r>
      <w:r w:rsidR="009D5440">
        <w:rPr>
          <w:rFonts w:ascii="Times New Roman" w:hAnsi="Times New Roman" w:cs="Times New Roman"/>
        </w:rPr>
        <w:t xml:space="preserve"> at 7.</w:t>
      </w:r>
      <w:proofErr w:type="gramEnd"/>
      <w:r w:rsidR="009D5440">
        <w:rPr>
          <w:rFonts w:ascii="Times New Roman" w:hAnsi="Times New Roman" w:cs="Times New Roman"/>
        </w:rPr>
        <w:t xml:space="preserve"> </w:t>
      </w:r>
      <w:r>
        <w:rPr>
          <w:rFonts w:ascii="Times New Roman" w:hAnsi="Times New Roman" w:cs="Times New Roman"/>
        </w:rPr>
        <w:t xml:space="preserve">Finally, the Commission also took note of the fact CEI had disconnected Ms. Tandy’s service on May 30, 2014, without questioning the propriety of the disconnection. </w:t>
      </w:r>
      <w:r w:rsidRPr="00522BD3">
        <w:rPr>
          <w:rFonts w:ascii="Times New Roman" w:hAnsi="Times New Roman" w:cs="Times New Roman"/>
          <w:i/>
        </w:rPr>
        <w:t>Id</w:t>
      </w:r>
      <w:r w:rsidRPr="0019242C">
        <w:rPr>
          <w:rFonts w:ascii="Times New Roman" w:hAnsi="Times New Roman" w:cs="Times New Roman"/>
          <w:i/>
        </w:rPr>
        <w:t>.</w:t>
      </w:r>
      <w:r>
        <w:rPr>
          <w:rFonts w:ascii="Times New Roman" w:hAnsi="Times New Roman" w:cs="Times New Roman"/>
        </w:rPr>
        <w:t xml:space="preserve"> at 3–4. </w:t>
      </w:r>
      <w:r w:rsidR="009D5440" w:rsidRPr="00522BD3">
        <w:rPr>
          <w:rFonts w:ascii="Times New Roman" w:hAnsi="Times New Roman" w:cs="Times New Roman"/>
        </w:rPr>
        <w:t>The</w:t>
      </w:r>
      <w:r w:rsidR="009D5440">
        <w:rPr>
          <w:rFonts w:ascii="Times New Roman" w:hAnsi="Times New Roman" w:cs="Times New Roman"/>
        </w:rPr>
        <w:t xml:space="preserve"> Commission </w:t>
      </w:r>
      <w:r w:rsidR="009F35AE">
        <w:rPr>
          <w:rFonts w:ascii="Times New Roman" w:hAnsi="Times New Roman" w:cs="Times New Roman"/>
        </w:rPr>
        <w:t>dismissed the case</w:t>
      </w:r>
      <w:r w:rsidR="009D5440">
        <w:rPr>
          <w:rFonts w:ascii="Times New Roman" w:hAnsi="Times New Roman" w:cs="Times New Roman"/>
        </w:rPr>
        <w:t xml:space="preserve"> and closed the matter.</w:t>
      </w:r>
    </w:p>
    <w:p w14:paraId="3E6424D8" w14:textId="0D7FC4AA" w:rsidR="00ED37A7" w:rsidRPr="009D5440" w:rsidRDefault="00ED37A7" w:rsidP="00D378BD">
      <w:pPr>
        <w:pStyle w:val="MemoHeading2"/>
      </w:pPr>
      <w:r>
        <w:rPr>
          <w:i/>
        </w:rPr>
        <w:t>Tandy III</w:t>
      </w:r>
    </w:p>
    <w:p w14:paraId="6DF9E9DC" w14:textId="0F19ADFF" w:rsidR="00B40947" w:rsidRDefault="00ED37A7" w:rsidP="00D96B83">
      <w:pPr>
        <w:spacing w:line="480" w:lineRule="auto"/>
        <w:ind w:firstLine="720"/>
        <w:contextualSpacing/>
        <w:rPr>
          <w:rFonts w:ascii="Times New Roman" w:hAnsi="Times New Roman" w:cs="Times New Roman"/>
        </w:rPr>
      </w:pPr>
      <w:r>
        <w:rPr>
          <w:rFonts w:ascii="Times New Roman" w:hAnsi="Times New Roman" w:cs="Times New Roman"/>
        </w:rPr>
        <w:t xml:space="preserve">Now, for a third time, </w:t>
      </w:r>
      <w:r w:rsidR="001174D5">
        <w:rPr>
          <w:rFonts w:ascii="Times New Roman" w:hAnsi="Times New Roman" w:cs="Times New Roman"/>
        </w:rPr>
        <w:t xml:space="preserve">Ms. Tandy has </w:t>
      </w:r>
      <w:r>
        <w:rPr>
          <w:rFonts w:ascii="Times New Roman" w:hAnsi="Times New Roman" w:cs="Times New Roman"/>
        </w:rPr>
        <w:t xml:space="preserve">filed </w:t>
      </w:r>
      <w:r w:rsidR="001174D5">
        <w:rPr>
          <w:rFonts w:ascii="Times New Roman" w:hAnsi="Times New Roman" w:cs="Times New Roman"/>
        </w:rPr>
        <w:t>another complaint</w:t>
      </w:r>
      <w:r>
        <w:rPr>
          <w:rFonts w:ascii="Times New Roman" w:hAnsi="Times New Roman" w:cs="Times New Roman"/>
        </w:rPr>
        <w:t xml:space="preserve"> raising the same claims</w:t>
      </w:r>
      <w:r w:rsidR="001174D5">
        <w:rPr>
          <w:rFonts w:ascii="Times New Roman" w:hAnsi="Times New Roman" w:cs="Times New Roman"/>
        </w:rPr>
        <w:t xml:space="preserve">, </w:t>
      </w:r>
      <w:r w:rsidR="001174D5">
        <w:rPr>
          <w:rFonts w:ascii="Times New Roman" w:hAnsi="Times New Roman" w:cs="Times New Roman"/>
          <w:i/>
        </w:rPr>
        <w:t>Tandy III</w:t>
      </w:r>
      <w:r w:rsidR="001174D5">
        <w:rPr>
          <w:rFonts w:ascii="Times New Roman" w:hAnsi="Times New Roman" w:cs="Times New Roman"/>
        </w:rPr>
        <w:t xml:space="preserve">. </w:t>
      </w:r>
      <w:r w:rsidR="009D5440">
        <w:rPr>
          <w:rFonts w:ascii="Times New Roman" w:hAnsi="Times New Roman" w:cs="Times New Roman"/>
        </w:rPr>
        <w:t xml:space="preserve">She has submitted 49 pages in which she </w:t>
      </w:r>
      <w:r>
        <w:rPr>
          <w:rFonts w:ascii="Times New Roman" w:hAnsi="Times New Roman" w:cs="Times New Roman"/>
        </w:rPr>
        <w:t xml:space="preserve">yet again </w:t>
      </w:r>
      <w:r w:rsidR="009D5440">
        <w:rPr>
          <w:rFonts w:ascii="Times New Roman" w:hAnsi="Times New Roman" w:cs="Times New Roman"/>
        </w:rPr>
        <w:t>raises the same issues resolved</w:t>
      </w:r>
      <w:r>
        <w:rPr>
          <w:rFonts w:ascii="Times New Roman" w:hAnsi="Times New Roman" w:cs="Times New Roman"/>
        </w:rPr>
        <w:t xml:space="preserve"> twice before</w:t>
      </w:r>
      <w:r w:rsidR="009D5440">
        <w:rPr>
          <w:rFonts w:ascii="Times New Roman" w:hAnsi="Times New Roman" w:cs="Times New Roman"/>
        </w:rPr>
        <w:t>:</w:t>
      </w:r>
    </w:p>
    <w:p w14:paraId="049C60E1" w14:textId="77777777" w:rsidR="009D5440" w:rsidRPr="009D5440" w:rsidRDefault="009D5440" w:rsidP="009D5440">
      <w:pPr>
        <w:numPr>
          <w:ilvl w:val="0"/>
          <w:numId w:val="4"/>
        </w:numPr>
        <w:spacing w:after="240"/>
        <w:ind w:right="720"/>
        <w:rPr>
          <w:rFonts w:ascii="Times New Roman" w:hAnsi="Times New Roman" w:cs="Times New Roman"/>
        </w:rPr>
      </w:pPr>
      <w:r w:rsidRPr="009D5440">
        <w:rPr>
          <w:rFonts w:ascii="Times New Roman" w:hAnsi="Times New Roman" w:cs="Times New Roman"/>
          <w:i/>
        </w:rPr>
        <w:t>Balance Transfers:</w:t>
      </w:r>
      <w:r w:rsidRPr="009D5440">
        <w:rPr>
          <w:rFonts w:ascii="Times New Roman" w:hAnsi="Times New Roman" w:cs="Times New Roman"/>
        </w:rPr>
        <w:t xml:space="preserve"> She again alleges that balance transfers from her account at 1441 Sulzer Avenue to her account at 1439 Sulzer Avenue were unjust and unreasonable. </w:t>
      </w:r>
    </w:p>
    <w:p w14:paraId="7E3D50AE" w14:textId="683E20DB" w:rsidR="009D5440" w:rsidRPr="009D5440" w:rsidRDefault="009D5440" w:rsidP="009D5440">
      <w:pPr>
        <w:numPr>
          <w:ilvl w:val="1"/>
          <w:numId w:val="4"/>
        </w:numPr>
        <w:spacing w:after="240"/>
        <w:ind w:right="720"/>
        <w:rPr>
          <w:rFonts w:ascii="Times New Roman" w:hAnsi="Times New Roman" w:cs="Times New Roman"/>
        </w:rPr>
      </w:pPr>
      <w:r w:rsidRPr="009D5440">
        <w:rPr>
          <w:rFonts w:ascii="Times New Roman" w:hAnsi="Times New Roman" w:cs="Times New Roman"/>
          <w:i/>
        </w:rPr>
        <w:t>See, e.g.</w:t>
      </w:r>
      <w:r w:rsidRPr="009D5440">
        <w:rPr>
          <w:rFonts w:ascii="Times New Roman" w:hAnsi="Times New Roman" w:cs="Times New Roman"/>
        </w:rPr>
        <w:t>,</w:t>
      </w:r>
      <w:r w:rsidRPr="009D5440">
        <w:rPr>
          <w:rFonts w:ascii="Times New Roman" w:hAnsi="Times New Roman" w:cs="Times New Roman"/>
          <w:i/>
        </w:rPr>
        <w:t xml:space="preserve"> id</w:t>
      </w:r>
      <w:r w:rsidRPr="00F269F4">
        <w:rPr>
          <w:rFonts w:ascii="Times New Roman" w:hAnsi="Times New Roman" w:cs="Times New Roman"/>
        </w:rPr>
        <w:t>.</w:t>
      </w:r>
      <w:r w:rsidRPr="009D5440">
        <w:rPr>
          <w:rFonts w:ascii="Times New Roman" w:hAnsi="Times New Roman" w:cs="Times New Roman"/>
          <w:i/>
        </w:rPr>
        <w:t xml:space="preserve"> </w:t>
      </w:r>
      <w:proofErr w:type="gramStart"/>
      <w:r w:rsidRPr="009D5440">
        <w:rPr>
          <w:rFonts w:ascii="Times New Roman" w:hAnsi="Times New Roman" w:cs="Times New Roman"/>
        </w:rPr>
        <w:t>at</w:t>
      </w:r>
      <w:proofErr w:type="gramEnd"/>
      <w:r w:rsidRPr="009D5440">
        <w:rPr>
          <w:rFonts w:ascii="Times New Roman" w:hAnsi="Times New Roman" w:cs="Times New Roman"/>
        </w:rPr>
        <w:t xml:space="preserve"> </w:t>
      </w:r>
      <w:r w:rsidR="001D1503">
        <w:rPr>
          <w:rFonts w:ascii="Times New Roman" w:hAnsi="Times New Roman" w:cs="Times New Roman"/>
        </w:rPr>
        <w:t>3-4</w:t>
      </w:r>
      <w:r w:rsidRPr="009D5440">
        <w:rPr>
          <w:rFonts w:ascii="Times New Roman" w:hAnsi="Times New Roman" w:cs="Times New Roman"/>
        </w:rPr>
        <w:t xml:space="preserve"> (“</w:t>
      </w:r>
      <w:r w:rsidR="001D1503">
        <w:rPr>
          <w:rFonts w:ascii="Times New Roman" w:hAnsi="Times New Roman" w:cs="Times New Roman"/>
        </w:rPr>
        <w:t>$43.00 payment was stolen</w:t>
      </w:r>
      <w:r w:rsidRPr="009D5440">
        <w:rPr>
          <w:rFonts w:ascii="Times New Roman" w:hAnsi="Times New Roman" w:cs="Times New Roman"/>
        </w:rPr>
        <w:t>”</w:t>
      </w:r>
      <w:r w:rsidR="001D1503">
        <w:rPr>
          <w:rFonts w:ascii="Times New Roman" w:hAnsi="Times New Roman" w:cs="Times New Roman"/>
        </w:rPr>
        <w:t xml:space="preserve"> by CEI to “create an illegal deficit”</w:t>
      </w:r>
      <w:r w:rsidRPr="009D5440">
        <w:rPr>
          <w:rFonts w:ascii="Times New Roman" w:hAnsi="Times New Roman" w:cs="Times New Roman"/>
        </w:rPr>
        <w:t>)</w:t>
      </w:r>
      <w:r w:rsidRPr="009D5440">
        <w:rPr>
          <w:rFonts w:ascii="Times New Roman" w:hAnsi="Times New Roman" w:cs="Times New Roman"/>
          <w:vertAlign w:val="superscript"/>
        </w:rPr>
        <w:footnoteReference w:id="2"/>
      </w:r>
      <w:r w:rsidRPr="009D5440">
        <w:rPr>
          <w:rFonts w:ascii="Times New Roman" w:hAnsi="Times New Roman" w:cs="Times New Roman"/>
        </w:rPr>
        <w:t xml:space="preserve"> </w:t>
      </w:r>
      <w:r w:rsidRPr="009D5440">
        <w:rPr>
          <w:rFonts w:ascii="Times New Roman" w:hAnsi="Times New Roman" w:cs="Times New Roman"/>
          <w:i/>
        </w:rPr>
        <w:t>and id</w:t>
      </w:r>
      <w:r w:rsidRPr="0019242C">
        <w:rPr>
          <w:rFonts w:ascii="Times New Roman" w:hAnsi="Times New Roman" w:cs="Times New Roman"/>
          <w:i/>
        </w:rPr>
        <w:t>.</w:t>
      </w:r>
      <w:r w:rsidRPr="009D5440">
        <w:rPr>
          <w:rFonts w:ascii="Times New Roman" w:hAnsi="Times New Roman" w:cs="Times New Roman"/>
        </w:rPr>
        <w:t xml:space="preserve"> </w:t>
      </w:r>
      <w:proofErr w:type="gramStart"/>
      <w:r w:rsidRPr="009D5440">
        <w:rPr>
          <w:rFonts w:ascii="Times New Roman" w:hAnsi="Times New Roman" w:cs="Times New Roman"/>
        </w:rPr>
        <w:t>at</w:t>
      </w:r>
      <w:proofErr w:type="gramEnd"/>
      <w:r w:rsidRPr="009D5440">
        <w:rPr>
          <w:rFonts w:ascii="Times New Roman" w:hAnsi="Times New Roman" w:cs="Times New Roman"/>
        </w:rPr>
        <w:t xml:space="preserve"> </w:t>
      </w:r>
      <w:r w:rsidR="001D1503">
        <w:rPr>
          <w:rFonts w:ascii="Times New Roman" w:hAnsi="Times New Roman" w:cs="Times New Roman"/>
        </w:rPr>
        <w:t>7</w:t>
      </w:r>
      <w:r w:rsidRPr="009D5440">
        <w:rPr>
          <w:rFonts w:ascii="Times New Roman" w:hAnsi="Times New Roman" w:cs="Times New Roman"/>
        </w:rPr>
        <w:t xml:space="preserve"> (</w:t>
      </w:r>
      <w:r w:rsidR="001D1503">
        <w:rPr>
          <w:rFonts w:ascii="Times New Roman" w:hAnsi="Times New Roman" w:cs="Times New Roman"/>
        </w:rPr>
        <w:t>claiming CEI “added a transfer of $269.08” which “represents theft and fraud”</w:t>
      </w:r>
      <w:r w:rsidRPr="009D5440">
        <w:rPr>
          <w:rFonts w:ascii="Times New Roman" w:hAnsi="Times New Roman" w:cs="Times New Roman"/>
        </w:rPr>
        <w:t>).</w:t>
      </w:r>
    </w:p>
    <w:p w14:paraId="114D2537" w14:textId="13CEC4C8" w:rsidR="009D5440" w:rsidRPr="009D5440" w:rsidRDefault="009D5440" w:rsidP="009D5440">
      <w:pPr>
        <w:numPr>
          <w:ilvl w:val="0"/>
          <w:numId w:val="4"/>
        </w:numPr>
        <w:spacing w:after="240"/>
        <w:ind w:right="720"/>
        <w:rPr>
          <w:rFonts w:ascii="Times New Roman" w:hAnsi="Times New Roman" w:cs="Times New Roman"/>
        </w:rPr>
      </w:pPr>
      <w:r w:rsidRPr="009D5440">
        <w:rPr>
          <w:rFonts w:ascii="Times New Roman" w:hAnsi="Times New Roman" w:cs="Times New Roman"/>
          <w:i/>
        </w:rPr>
        <w:t>Accounting of Payments:</w:t>
      </w:r>
      <w:r w:rsidRPr="009D5440">
        <w:rPr>
          <w:rFonts w:ascii="Times New Roman" w:hAnsi="Times New Roman" w:cs="Times New Roman"/>
        </w:rPr>
        <w:t xml:space="preserve"> She again alleges that CEI did not properly account for payments made on her account dating from </w:t>
      </w:r>
      <w:r w:rsidR="001D1503">
        <w:rPr>
          <w:rFonts w:ascii="Times New Roman" w:hAnsi="Times New Roman" w:cs="Times New Roman"/>
        </w:rPr>
        <w:t>2009</w:t>
      </w:r>
      <w:r w:rsidRPr="009D5440">
        <w:rPr>
          <w:rFonts w:ascii="Times New Roman" w:hAnsi="Times New Roman" w:cs="Times New Roman"/>
        </w:rPr>
        <w:t xml:space="preserve"> to </w:t>
      </w:r>
      <w:r w:rsidR="00ED37A7">
        <w:rPr>
          <w:rFonts w:ascii="Times New Roman" w:hAnsi="Times New Roman" w:cs="Times New Roman"/>
        </w:rPr>
        <w:t>2013</w:t>
      </w:r>
      <w:r w:rsidRPr="009D5440">
        <w:rPr>
          <w:rFonts w:ascii="Times New Roman" w:hAnsi="Times New Roman" w:cs="Times New Roman"/>
        </w:rPr>
        <w:t xml:space="preserve">. </w:t>
      </w:r>
    </w:p>
    <w:p w14:paraId="57996826" w14:textId="26183C7A" w:rsidR="009D5440" w:rsidRPr="009D5440" w:rsidRDefault="009D5440" w:rsidP="009D5440">
      <w:pPr>
        <w:numPr>
          <w:ilvl w:val="1"/>
          <w:numId w:val="4"/>
        </w:numPr>
        <w:spacing w:after="240"/>
        <w:ind w:right="720"/>
        <w:rPr>
          <w:rFonts w:ascii="Times New Roman" w:hAnsi="Times New Roman" w:cs="Times New Roman"/>
        </w:rPr>
      </w:pPr>
      <w:r w:rsidRPr="009D5440">
        <w:rPr>
          <w:rFonts w:ascii="Times New Roman" w:hAnsi="Times New Roman" w:cs="Times New Roman"/>
          <w:i/>
        </w:rPr>
        <w:t>See, e.g.</w:t>
      </w:r>
      <w:r w:rsidRPr="009D5440">
        <w:rPr>
          <w:rFonts w:ascii="Times New Roman" w:hAnsi="Times New Roman" w:cs="Times New Roman"/>
        </w:rPr>
        <w:t>,</w:t>
      </w:r>
      <w:r w:rsidRPr="009D5440">
        <w:rPr>
          <w:rFonts w:ascii="Times New Roman" w:hAnsi="Times New Roman" w:cs="Times New Roman"/>
          <w:i/>
        </w:rPr>
        <w:t xml:space="preserve"> id</w:t>
      </w:r>
      <w:r w:rsidRPr="0019242C">
        <w:rPr>
          <w:rFonts w:ascii="Times New Roman" w:hAnsi="Times New Roman" w:cs="Times New Roman"/>
          <w:i/>
        </w:rPr>
        <w:t>.</w:t>
      </w:r>
      <w:r w:rsidRPr="009D5440">
        <w:rPr>
          <w:rFonts w:ascii="Times New Roman" w:hAnsi="Times New Roman" w:cs="Times New Roman"/>
        </w:rPr>
        <w:t xml:space="preserve"> </w:t>
      </w:r>
      <w:proofErr w:type="gramStart"/>
      <w:r w:rsidRPr="009D5440">
        <w:rPr>
          <w:rFonts w:ascii="Times New Roman" w:hAnsi="Times New Roman" w:cs="Times New Roman"/>
        </w:rPr>
        <w:t>at</w:t>
      </w:r>
      <w:proofErr w:type="gramEnd"/>
      <w:r w:rsidRPr="009D5440">
        <w:rPr>
          <w:rFonts w:ascii="Times New Roman" w:hAnsi="Times New Roman" w:cs="Times New Roman"/>
        </w:rPr>
        <w:t xml:space="preserve"> </w:t>
      </w:r>
      <w:r w:rsidR="00BA3C0C">
        <w:rPr>
          <w:rFonts w:ascii="Times New Roman" w:hAnsi="Times New Roman" w:cs="Times New Roman"/>
        </w:rPr>
        <w:t>5-</w:t>
      </w:r>
      <w:r w:rsidRPr="009D5440">
        <w:rPr>
          <w:rFonts w:ascii="Times New Roman" w:hAnsi="Times New Roman" w:cs="Times New Roman"/>
        </w:rPr>
        <w:t>6 (</w:t>
      </w:r>
      <w:r w:rsidR="00BA3C0C">
        <w:rPr>
          <w:rFonts w:ascii="Times New Roman" w:hAnsi="Times New Roman" w:cs="Times New Roman"/>
        </w:rPr>
        <w:t xml:space="preserve">“6 $36.00 payments were made but there were no dates” shown on bills as to when the payments were </w:t>
      </w:r>
      <w:r w:rsidR="00E87785">
        <w:rPr>
          <w:rFonts w:ascii="Times New Roman" w:hAnsi="Times New Roman" w:cs="Times New Roman"/>
        </w:rPr>
        <w:t>received</w:t>
      </w:r>
      <w:r w:rsidRPr="009D5440">
        <w:rPr>
          <w:rFonts w:ascii="Times New Roman" w:hAnsi="Times New Roman" w:cs="Times New Roman"/>
        </w:rPr>
        <w:t xml:space="preserve">); </w:t>
      </w:r>
      <w:r w:rsidRPr="009D5440">
        <w:rPr>
          <w:rFonts w:ascii="Times New Roman" w:hAnsi="Times New Roman" w:cs="Times New Roman"/>
          <w:i/>
        </w:rPr>
        <w:t>id</w:t>
      </w:r>
      <w:r w:rsidRPr="0019242C">
        <w:rPr>
          <w:rFonts w:ascii="Times New Roman" w:hAnsi="Times New Roman" w:cs="Times New Roman"/>
          <w:i/>
        </w:rPr>
        <w:t>.</w:t>
      </w:r>
      <w:r w:rsidRPr="009D5440">
        <w:rPr>
          <w:rFonts w:ascii="Times New Roman" w:hAnsi="Times New Roman" w:cs="Times New Roman"/>
        </w:rPr>
        <w:t xml:space="preserve"> </w:t>
      </w:r>
      <w:proofErr w:type="gramStart"/>
      <w:r w:rsidRPr="009D5440">
        <w:rPr>
          <w:rFonts w:ascii="Times New Roman" w:hAnsi="Times New Roman" w:cs="Times New Roman"/>
        </w:rPr>
        <w:t>at</w:t>
      </w:r>
      <w:proofErr w:type="gramEnd"/>
      <w:r w:rsidRPr="009D5440">
        <w:rPr>
          <w:rFonts w:ascii="Times New Roman" w:hAnsi="Times New Roman" w:cs="Times New Roman"/>
        </w:rPr>
        <w:t xml:space="preserve"> </w:t>
      </w:r>
      <w:r w:rsidR="001D1503">
        <w:rPr>
          <w:rFonts w:ascii="Times New Roman" w:hAnsi="Times New Roman" w:cs="Times New Roman"/>
        </w:rPr>
        <w:t>14-29</w:t>
      </w:r>
      <w:r w:rsidR="00821B75">
        <w:rPr>
          <w:rFonts w:ascii="Times New Roman" w:hAnsi="Times New Roman" w:cs="Times New Roman"/>
        </w:rPr>
        <w:t>, 35-36, 38-46</w:t>
      </w:r>
      <w:r w:rsidRPr="009D5440">
        <w:rPr>
          <w:rFonts w:ascii="Times New Roman" w:hAnsi="Times New Roman" w:cs="Times New Roman"/>
        </w:rPr>
        <w:t xml:space="preserve"> (providing commentary on series of bills </w:t>
      </w:r>
      <w:r w:rsidR="00ED37A7">
        <w:rPr>
          <w:rFonts w:ascii="Times New Roman" w:hAnsi="Times New Roman" w:cs="Times New Roman"/>
        </w:rPr>
        <w:t xml:space="preserve">from </w:t>
      </w:r>
      <w:r w:rsidR="00586E0A" w:rsidRPr="00A06D9C">
        <w:rPr>
          <w:rFonts w:ascii="Times New Roman" w:hAnsi="Times New Roman" w:cs="Times New Roman"/>
        </w:rPr>
        <w:t>January to July 2009, September to November 2009, and all of 2013 (except July),</w:t>
      </w:r>
      <w:r w:rsidR="00ED37A7">
        <w:rPr>
          <w:rFonts w:ascii="Times New Roman" w:hAnsi="Times New Roman" w:cs="Times New Roman"/>
        </w:rPr>
        <w:t xml:space="preserve"> </w:t>
      </w:r>
      <w:r w:rsidRPr="009D5440">
        <w:rPr>
          <w:rFonts w:ascii="Times New Roman" w:hAnsi="Times New Roman" w:cs="Times New Roman"/>
        </w:rPr>
        <w:t xml:space="preserve">implying that </w:t>
      </w:r>
      <w:r w:rsidR="00E87785">
        <w:rPr>
          <w:rFonts w:ascii="Times New Roman" w:hAnsi="Times New Roman" w:cs="Times New Roman"/>
        </w:rPr>
        <w:t>late payments were improper and that credits should be applied</w:t>
      </w:r>
      <w:r w:rsidRPr="009D5440">
        <w:rPr>
          <w:rFonts w:ascii="Times New Roman" w:hAnsi="Times New Roman" w:cs="Times New Roman"/>
        </w:rPr>
        <w:t>).</w:t>
      </w:r>
    </w:p>
    <w:p w14:paraId="333D6A59" w14:textId="6C28381D" w:rsidR="009D5440" w:rsidRPr="009D5440" w:rsidRDefault="001D1503" w:rsidP="009D5440">
      <w:pPr>
        <w:numPr>
          <w:ilvl w:val="0"/>
          <w:numId w:val="4"/>
        </w:numPr>
        <w:spacing w:after="240"/>
        <w:ind w:right="720"/>
        <w:rPr>
          <w:rFonts w:ascii="Times New Roman" w:hAnsi="Times New Roman" w:cs="Times New Roman"/>
        </w:rPr>
      </w:pPr>
      <w:r>
        <w:rPr>
          <w:rFonts w:ascii="Times New Roman" w:hAnsi="Times New Roman" w:cs="Times New Roman"/>
          <w:i/>
        </w:rPr>
        <w:t>PIPP Plus Enrollment</w:t>
      </w:r>
      <w:r w:rsidR="009D5440" w:rsidRPr="009D5440">
        <w:rPr>
          <w:rFonts w:ascii="Times New Roman" w:hAnsi="Times New Roman" w:cs="Times New Roman"/>
        </w:rPr>
        <w:t xml:space="preserve">: She again alleges </w:t>
      </w:r>
      <w:r>
        <w:rPr>
          <w:rFonts w:ascii="Times New Roman" w:hAnsi="Times New Roman" w:cs="Times New Roman"/>
        </w:rPr>
        <w:t xml:space="preserve">that CEI enrolled her in the PIPP Plus program without her </w:t>
      </w:r>
      <w:r w:rsidR="00821B75">
        <w:rPr>
          <w:rFonts w:ascii="Times New Roman" w:hAnsi="Times New Roman" w:cs="Times New Roman"/>
        </w:rPr>
        <w:t>permission</w:t>
      </w:r>
      <w:r>
        <w:rPr>
          <w:rFonts w:ascii="Times New Roman" w:hAnsi="Times New Roman" w:cs="Times New Roman"/>
        </w:rPr>
        <w:t>.</w:t>
      </w:r>
    </w:p>
    <w:p w14:paraId="5625AB6D" w14:textId="6D2766FB" w:rsidR="009D5440" w:rsidRDefault="009D5440" w:rsidP="009D5440">
      <w:pPr>
        <w:numPr>
          <w:ilvl w:val="1"/>
          <w:numId w:val="4"/>
        </w:numPr>
        <w:spacing w:after="240"/>
        <w:ind w:right="720"/>
        <w:rPr>
          <w:rFonts w:ascii="Times New Roman" w:hAnsi="Times New Roman" w:cs="Times New Roman"/>
        </w:rPr>
      </w:pPr>
      <w:r w:rsidRPr="009D5440">
        <w:rPr>
          <w:rFonts w:ascii="Times New Roman" w:hAnsi="Times New Roman" w:cs="Times New Roman"/>
          <w:i/>
        </w:rPr>
        <w:t>See, e.g.</w:t>
      </w:r>
      <w:r w:rsidRPr="009D5440">
        <w:rPr>
          <w:rFonts w:ascii="Times New Roman" w:hAnsi="Times New Roman" w:cs="Times New Roman"/>
        </w:rPr>
        <w:t>,</w:t>
      </w:r>
      <w:r w:rsidRPr="009D5440">
        <w:rPr>
          <w:rFonts w:ascii="Times New Roman" w:hAnsi="Times New Roman" w:cs="Times New Roman"/>
          <w:i/>
        </w:rPr>
        <w:t xml:space="preserve"> id. </w:t>
      </w:r>
      <w:proofErr w:type="gramStart"/>
      <w:r w:rsidRPr="009D5440">
        <w:rPr>
          <w:rFonts w:ascii="Times New Roman" w:hAnsi="Times New Roman" w:cs="Times New Roman"/>
        </w:rPr>
        <w:t>at</w:t>
      </w:r>
      <w:proofErr w:type="gramEnd"/>
      <w:r w:rsidRPr="009D5440">
        <w:rPr>
          <w:rFonts w:ascii="Times New Roman" w:hAnsi="Times New Roman" w:cs="Times New Roman"/>
        </w:rPr>
        <w:t xml:space="preserve"> 10 (</w:t>
      </w:r>
      <w:r w:rsidR="00821B75">
        <w:rPr>
          <w:rFonts w:ascii="Times New Roman" w:hAnsi="Times New Roman" w:cs="Times New Roman"/>
        </w:rPr>
        <w:t>claiming that on November 1, 2010, CEI converted her PIPP account to PIPP Plus, in violation of PIPP guidelines</w:t>
      </w:r>
      <w:r w:rsidRPr="009D5440">
        <w:rPr>
          <w:rFonts w:ascii="Times New Roman" w:hAnsi="Times New Roman" w:cs="Times New Roman"/>
        </w:rPr>
        <w:t>).</w:t>
      </w:r>
    </w:p>
    <w:p w14:paraId="398BE449" w14:textId="47A8D434" w:rsidR="009D5440" w:rsidRDefault="009D5440" w:rsidP="009D5440">
      <w:pPr>
        <w:numPr>
          <w:ilvl w:val="0"/>
          <w:numId w:val="4"/>
        </w:numPr>
        <w:spacing w:after="240"/>
        <w:ind w:right="720"/>
        <w:rPr>
          <w:rFonts w:ascii="Times New Roman" w:hAnsi="Times New Roman" w:cs="Times New Roman"/>
        </w:rPr>
      </w:pPr>
      <w:r w:rsidRPr="009D5440">
        <w:rPr>
          <w:rFonts w:ascii="Times New Roman" w:hAnsi="Times New Roman" w:cs="Times New Roman"/>
          <w:i/>
        </w:rPr>
        <w:t>Illegal Disconnection</w:t>
      </w:r>
      <w:r>
        <w:rPr>
          <w:rFonts w:ascii="Times New Roman" w:hAnsi="Times New Roman" w:cs="Times New Roman"/>
        </w:rPr>
        <w:t xml:space="preserve">: </w:t>
      </w:r>
      <w:r w:rsidR="00BA3C0C">
        <w:rPr>
          <w:rFonts w:ascii="Times New Roman" w:hAnsi="Times New Roman" w:cs="Times New Roman"/>
        </w:rPr>
        <w:t xml:space="preserve">She again disputes the legitimacy </w:t>
      </w:r>
      <w:r w:rsidR="00E87785">
        <w:rPr>
          <w:rFonts w:ascii="Times New Roman" w:hAnsi="Times New Roman" w:cs="Times New Roman"/>
        </w:rPr>
        <w:t>of the</w:t>
      </w:r>
      <w:r w:rsidR="00BA3C0C">
        <w:rPr>
          <w:rFonts w:ascii="Times New Roman" w:hAnsi="Times New Roman" w:cs="Times New Roman"/>
        </w:rPr>
        <w:t xml:space="preserve"> disconnect</w:t>
      </w:r>
      <w:r w:rsidR="00E87785">
        <w:rPr>
          <w:rFonts w:ascii="Times New Roman" w:hAnsi="Times New Roman" w:cs="Times New Roman"/>
        </w:rPr>
        <w:t>ion of</w:t>
      </w:r>
      <w:r w:rsidR="00BA3C0C">
        <w:rPr>
          <w:rFonts w:ascii="Times New Roman" w:hAnsi="Times New Roman" w:cs="Times New Roman"/>
        </w:rPr>
        <w:t xml:space="preserve"> service on September 24, 2013, as well as the disconnection on May 30, 2014.</w:t>
      </w:r>
    </w:p>
    <w:p w14:paraId="6F3B5538" w14:textId="0BF23711" w:rsidR="00BA3C0C" w:rsidRPr="009D5440" w:rsidRDefault="00BA3C0C" w:rsidP="00BA3C0C">
      <w:pPr>
        <w:numPr>
          <w:ilvl w:val="1"/>
          <w:numId w:val="4"/>
        </w:numPr>
        <w:spacing w:after="240"/>
        <w:ind w:right="720"/>
        <w:rPr>
          <w:rFonts w:ascii="Times New Roman" w:hAnsi="Times New Roman" w:cs="Times New Roman"/>
        </w:rPr>
      </w:pPr>
      <w:r>
        <w:rPr>
          <w:rFonts w:ascii="Times New Roman" w:hAnsi="Times New Roman" w:cs="Times New Roman"/>
          <w:i/>
        </w:rPr>
        <w:t>See, e.g., id</w:t>
      </w:r>
      <w:r w:rsidRPr="0019242C">
        <w:rPr>
          <w:rFonts w:ascii="Times New Roman" w:hAnsi="Times New Roman" w:cs="Times New Roman"/>
          <w:i/>
        </w:rPr>
        <w:t>.</w:t>
      </w:r>
      <w:r>
        <w:rPr>
          <w:rFonts w:ascii="Times New Roman" w:hAnsi="Times New Roman" w:cs="Times New Roman"/>
        </w:rPr>
        <w:t xml:space="preserve"> </w:t>
      </w:r>
      <w:proofErr w:type="gramStart"/>
      <w:r>
        <w:rPr>
          <w:rFonts w:ascii="Times New Roman" w:hAnsi="Times New Roman" w:cs="Times New Roman"/>
        </w:rPr>
        <w:t>at</w:t>
      </w:r>
      <w:proofErr w:type="gramEnd"/>
      <w:r>
        <w:rPr>
          <w:rFonts w:ascii="Times New Roman" w:hAnsi="Times New Roman" w:cs="Times New Roman"/>
        </w:rPr>
        <w:t xml:space="preserve"> 44 (claiming CEI charged her to disconnect service while she had a credit on her account); </w:t>
      </w:r>
      <w:r>
        <w:rPr>
          <w:rFonts w:ascii="Times New Roman" w:hAnsi="Times New Roman" w:cs="Times New Roman"/>
          <w:i/>
        </w:rPr>
        <w:t>id.</w:t>
      </w:r>
      <w:r>
        <w:rPr>
          <w:rFonts w:ascii="Times New Roman" w:hAnsi="Times New Roman" w:cs="Times New Roman"/>
        </w:rPr>
        <w:t xml:space="preserve"> </w:t>
      </w:r>
      <w:proofErr w:type="gramStart"/>
      <w:r>
        <w:rPr>
          <w:rFonts w:ascii="Times New Roman" w:hAnsi="Times New Roman" w:cs="Times New Roman"/>
        </w:rPr>
        <w:t>at</w:t>
      </w:r>
      <w:proofErr w:type="gramEnd"/>
      <w:r>
        <w:rPr>
          <w:rFonts w:ascii="Times New Roman" w:hAnsi="Times New Roman" w:cs="Times New Roman"/>
        </w:rPr>
        <w:t xml:space="preserve"> 48 (calling May 2014 disconnection “unwarranted”).</w:t>
      </w:r>
    </w:p>
    <w:p w14:paraId="6C3EE73B" w14:textId="20F693F7" w:rsidR="009D5440" w:rsidRPr="001174D5" w:rsidRDefault="00FC6791" w:rsidP="00D96B83">
      <w:pPr>
        <w:spacing w:line="480" w:lineRule="auto"/>
        <w:ind w:firstLine="720"/>
        <w:rPr>
          <w:rFonts w:ascii="Times New Roman" w:hAnsi="Times New Roman" w:cs="Times New Roman"/>
        </w:rPr>
      </w:pPr>
      <w:r>
        <w:rPr>
          <w:rFonts w:ascii="Times New Roman" w:hAnsi="Times New Roman" w:cs="Times New Roman"/>
        </w:rPr>
        <w:t xml:space="preserve">Ms. Tandy has </w:t>
      </w:r>
      <w:r w:rsidR="00ED37A7">
        <w:rPr>
          <w:rFonts w:ascii="Times New Roman" w:hAnsi="Times New Roman" w:cs="Times New Roman"/>
        </w:rPr>
        <w:t xml:space="preserve">also </w:t>
      </w:r>
      <w:r>
        <w:rPr>
          <w:rFonts w:ascii="Times New Roman" w:hAnsi="Times New Roman" w:cs="Times New Roman"/>
        </w:rPr>
        <w:t xml:space="preserve">requested that the Company not be allowed to disconnect her service until the Commission has resolved this complaint. </w:t>
      </w:r>
      <w:r w:rsidR="00586E0A">
        <w:rPr>
          <w:rFonts w:ascii="Times New Roman" w:hAnsi="Times New Roman" w:cs="Times New Roman"/>
        </w:rPr>
        <w:t>(</w:t>
      </w:r>
      <w:r>
        <w:rPr>
          <w:rFonts w:ascii="Times New Roman" w:hAnsi="Times New Roman" w:cs="Times New Roman"/>
          <w:i/>
        </w:rPr>
        <w:t>Id</w:t>
      </w:r>
      <w:r w:rsidRPr="0019242C">
        <w:rPr>
          <w:rFonts w:ascii="Times New Roman" w:hAnsi="Times New Roman" w:cs="Times New Roman"/>
          <w:i/>
        </w:rPr>
        <w:t>.</w:t>
      </w:r>
      <w:r>
        <w:rPr>
          <w:rFonts w:ascii="Times New Roman" w:hAnsi="Times New Roman" w:cs="Times New Roman"/>
        </w:rPr>
        <w:t xml:space="preserve"> at 1, 12.</w:t>
      </w:r>
      <w:r w:rsidR="00586E0A">
        <w:rPr>
          <w:rFonts w:ascii="Times New Roman" w:hAnsi="Times New Roman" w:cs="Times New Roman"/>
        </w:rPr>
        <w:t>)</w:t>
      </w:r>
      <w:r>
        <w:rPr>
          <w:rFonts w:ascii="Times New Roman" w:hAnsi="Times New Roman" w:cs="Times New Roman"/>
        </w:rPr>
        <w:t xml:space="preserve"> </w:t>
      </w:r>
    </w:p>
    <w:p w14:paraId="7C818102" w14:textId="77777777" w:rsidR="00EF7556" w:rsidRDefault="00EF7556" w:rsidP="00EF7556">
      <w:pPr>
        <w:pStyle w:val="MemoHeading1"/>
      </w:pPr>
      <w:r w:rsidRPr="006F40CF">
        <w:t>ARGUMENT</w:t>
      </w:r>
    </w:p>
    <w:p w14:paraId="0F3F3565" w14:textId="73F6DCBF" w:rsidR="00EF7556" w:rsidRPr="004E5E45" w:rsidRDefault="00131DC2" w:rsidP="00EF7556">
      <w:pPr>
        <w:pStyle w:val="MemoBodyText"/>
      </w:pPr>
      <w:r>
        <w:t>Once again, r</w:t>
      </w:r>
      <w:r w:rsidR="00EF7556">
        <w:t xml:space="preserve">es judicata bars this complaint. </w:t>
      </w:r>
      <w:proofErr w:type="gramStart"/>
      <w:r w:rsidR="00EF7556">
        <w:t xml:space="preserve">All of the claims raised in </w:t>
      </w:r>
      <w:r w:rsidR="00EF7556">
        <w:rPr>
          <w:i/>
        </w:rPr>
        <w:t>Tandy II</w:t>
      </w:r>
      <w:r w:rsidR="001174D5">
        <w:rPr>
          <w:i/>
        </w:rPr>
        <w:t>I</w:t>
      </w:r>
      <w:r w:rsidR="00EF7556">
        <w:t xml:space="preserve"> have already been resolved by </w:t>
      </w:r>
      <w:r w:rsidR="00EF7556">
        <w:rPr>
          <w:i/>
        </w:rPr>
        <w:t>Tandy I</w:t>
      </w:r>
      <w:r w:rsidR="001174D5">
        <w:rPr>
          <w:i/>
        </w:rPr>
        <w:t xml:space="preserve"> </w:t>
      </w:r>
      <w:r w:rsidR="001174D5" w:rsidRPr="001174D5">
        <w:t>and</w:t>
      </w:r>
      <w:r w:rsidR="001174D5">
        <w:rPr>
          <w:i/>
        </w:rPr>
        <w:t xml:space="preserve"> Tandy II</w:t>
      </w:r>
      <w:proofErr w:type="gramEnd"/>
      <w:r w:rsidR="00EF7556">
        <w:t xml:space="preserve">. Most of </w:t>
      </w:r>
      <w:r w:rsidR="00EF7556" w:rsidRPr="004E5E45">
        <w:rPr>
          <w:i/>
        </w:rPr>
        <w:t>Tandy I</w:t>
      </w:r>
      <w:r w:rsidR="001174D5">
        <w:rPr>
          <w:i/>
        </w:rPr>
        <w:t>I</w:t>
      </w:r>
      <w:r w:rsidR="00EF7556" w:rsidRPr="004E5E45">
        <w:rPr>
          <w:i/>
        </w:rPr>
        <w:t>I</w:t>
      </w:r>
      <w:r w:rsidR="00EF7556">
        <w:t>’s claims were directly raised and resolved in the earlier case</w:t>
      </w:r>
      <w:r>
        <w:t>s</w:t>
      </w:r>
      <w:r w:rsidR="00EF7556">
        <w:t xml:space="preserve">. </w:t>
      </w:r>
      <w:r w:rsidR="00FC6791">
        <w:t>Any</w:t>
      </w:r>
      <w:r w:rsidR="00EF7556">
        <w:t xml:space="preserve"> remaining claims either could have been raised in </w:t>
      </w:r>
      <w:r w:rsidR="00ED37A7">
        <w:t xml:space="preserve">the prior </w:t>
      </w:r>
      <w:r>
        <w:t>cases</w:t>
      </w:r>
      <w:r w:rsidR="00EF7556">
        <w:t xml:space="preserve"> or pertain to the necessary consequences of the Commission’s prior decision</w:t>
      </w:r>
      <w:r>
        <w:t>s</w:t>
      </w:r>
      <w:r w:rsidR="00EF7556">
        <w:rPr>
          <w:i/>
        </w:rPr>
        <w:t xml:space="preserve">. </w:t>
      </w:r>
      <w:r w:rsidR="00EF7556" w:rsidRPr="004E5E45">
        <w:t xml:space="preserve">For </w:t>
      </w:r>
      <w:r w:rsidR="00EF7556">
        <w:t xml:space="preserve">these reasons, the Commission should dismiss </w:t>
      </w:r>
      <w:r w:rsidR="00EF7556">
        <w:rPr>
          <w:i/>
        </w:rPr>
        <w:t>Tandy I</w:t>
      </w:r>
      <w:r>
        <w:rPr>
          <w:i/>
        </w:rPr>
        <w:t>I</w:t>
      </w:r>
      <w:r w:rsidR="00EF7556">
        <w:rPr>
          <w:i/>
        </w:rPr>
        <w:t xml:space="preserve">I </w:t>
      </w:r>
      <w:r w:rsidR="00EF7556">
        <w:t>in its entirety.</w:t>
      </w:r>
    </w:p>
    <w:p w14:paraId="06F02D5A" w14:textId="77777777" w:rsidR="00EF7556" w:rsidRPr="004C69E6" w:rsidRDefault="00EF7556" w:rsidP="00ED37A7">
      <w:pPr>
        <w:pStyle w:val="MemoHeading2"/>
        <w:numPr>
          <w:ilvl w:val="0"/>
          <w:numId w:val="10"/>
        </w:numPr>
        <w:ind w:left="720"/>
      </w:pPr>
      <w:r w:rsidRPr="009255A2">
        <w:t xml:space="preserve">Res judicata </w:t>
      </w:r>
      <w:r>
        <w:t>bars relitigation of claims that were or could have been raised in an earlier proceeding.</w:t>
      </w:r>
    </w:p>
    <w:p w14:paraId="47087803" w14:textId="77777777" w:rsidR="00EF7556" w:rsidRDefault="00EF7556" w:rsidP="00EF7556">
      <w:pPr>
        <w:pStyle w:val="MemoBodyText"/>
      </w:pPr>
      <w:r w:rsidRPr="009255A2">
        <w:rPr>
          <w:iCs/>
        </w:rPr>
        <w:t>Res judicata</w:t>
      </w:r>
      <w:r w:rsidRPr="00E451DA">
        <w:rPr>
          <w:i/>
          <w:iCs/>
        </w:rPr>
        <w:t xml:space="preserve"> </w:t>
      </w:r>
      <w:r>
        <w:t>“</w:t>
      </w:r>
      <w:r w:rsidRPr="00E451DA">
        <w:t>bars all subsequent actions based upon any claim arising out of the transaction or occurrence that was the subject matter of the previous actio</w:t>
      </w:r>
      <w:r>
        <w:t xml:space="preserve">n.” </w:t>
      </w:r>
      <w:proofErr w:type="gramStart"/>
      <w:r w:rsidRPr="00E451DA">
        <w:rPr>
          <w:i/>
          <w:iCs/>
        </w:rPr>
        <w:t xml:space="preserve">Grava v. Parkman </w:t>
      </w:r>
      <w:r>
        <w:rPr>
          <w:i/>
          <w:iCs/>
        </w:rPr>
        <w:t>Twp.</w:t>
      </w:r>
      <w:r w:rsidRPr="00E451DA">
        <w:t>, 73 Ohio St.3d 379, 382 (1995).</w:t>
      </w:r>
      <w:proofErr w:type="gramEnd"/>
      <w:r w:rsidRPr="00E451DA">
        <w:t xml:space="preserve"> </w:t>
      </w:r>
      <w:r>
        <w:t>Under the doctrine, “</w:t>
      </w:r>
      <w:r w:rsidRPr="00E451DA">
        <w:t xml:space="preserve">an existing final judgment or decree between </w:t>
      </w:r>
      <w:r>
        <w:t xml:space="preserve">the parties to litigation is </w:t>
      </w:r>
      <w:r w:rsidRPr="00E451DA">
        <w:t xml:space="preserve">conclusive as to all claims which were </w:t>
      </w:r>
      <w:r w:rsidRPr="00E451DA">
        <w:rPr>
          <w:i/>
          <w:iCs/>
        </w:rPr>
        <w:t xml:space="preserve">or might have been </w:t>
      </w:r>
      <w:r>
        <w:t>litigated in a first lawsuit.”</w:t>
      </w:r>
      <w:r w:rsidRPr="00E451DA">
        <w:t xml:space="preserve"> </w:t>
      </w:r>
      <w:r w:rsidRPr="00E451DA">
        <w:rPr>
          <w:i/>
          <w:iCs/>
        </w:rPr>
        <w:t>Id.</w:t>
      </w:r>
      <w:r w:rsidRPr="00E451DA">
        <w:t> (emphasis sic) (internal</w:t>
      </w:r>
      <w:r>
        <w:t xml:space="preserve"> quotations omitted). This means that a plaintiff </w:t>
      </w:r>
      <w:r w:rsidRPr="00BD6DA3">
        <w:rPr>
          <w:i/>
        </w:rPr>
        <w:t xml:space="preserve">must </w:t>
      </w:r>
      <w:r>
        <w:t>“</w:t>
      </w:r>
      <w:r w:rsidRPr="00E451DA">
        <w:t>present every ground for relief in the first action, or be fo</w:t>
      </w:r>
      <w:r>
        <w:t>rever barred from asserting it.”</w:t>
      </w:r>
      <w:r w:rsidRPr="00E451DA">
        <w:t xml:space="preserve"> </w:t>
      </w:r>
      <w:r w:rsidRPr="00E451DA">
        <w:rPr>
          <w:i/>
          <w:iCs/>
        </w:rPr>
        <w:t>Id.</w:t>
      </w:r>
      <w:r>
        <w:t xml:space="preserve"> </w:t>
      </w:r>
    </w:p>
    <w:p w14:paraId="2AF0EC46" w14:textId="77777777" w:rsidR="00EF7556" w:rsidRPr="008621BF" w:rsidRDefault="00EF7556" w:rsidP="00EF7556">
      <w:pPr>
        <w:pStyle w:val="MemoBodyText"/>
      </w:pPr>
      <w:r w:rsidRPr="00BD6DA3">
        <w:t xml:space="preserve">In addition to court proceedings, </w:t>
      </w:r>
      <w:r w:rsidRPr="009255A2">
        <w:t>res judicata</w:t>
      </w:r>
      <w:r>
        <w:rPr>
          <w:i/>
        </w:rPr>
        <w:t xml:space="preserve"> </w:t>
      </w:r>
      <w:r>
        <w:t>“</w:t>
      </w:r>
      <w:r w:rsidRPr="00E451DA">
        <w:t>applies to administrative proceedings that are of a judicial nature and where the parties have had an ample opportunity to litigate the iss</w:t>
      </w:r>
      <w:r>
        <w:t>ues involved in the proceeding.”</w:t>
      </w:r>
      <w:r w:rsidRPr="00E451DA">
        <w:t xml:space="preserve"> </w:t>
      </w:r>
      <w:proofErr w:type="gramStart"/>
      <w:r>
        <w:rPr>
          <w:i/>
          <w:iCs/>
        </w:rPr>
        <w:t>I</w:t>
      </w:r>
      <w:r w:rsidRPr="00E451DA">
        <w:rPr>
          <w:i/>
          <w:iCs/>
        </w:rPr>
        <w:t xml:space="preserve">d. </w:t>
      </w:r>
      <w:r w:rsidRPr="00E451DA">
        <w:t>at 380</w:t>
      </w:r>
      <w:r>
        <w:t xml:space="preserve"> (internal quotations omitted).</w:t>
      </w:r>
      <w:proofErr w:type="gramEnd"/>
      <w:r>
        <w:t xml:space="preserve"> The rule specifically governs Commission proceedings. </w:t>
      </w:r>
      <w:r>
        <w:rPr>
          <w:i/>
        </w:rPr>
        <w:t>See, e.g.,</w:t>
      </w:r>
      <w:r>
        <w:t xml:space="preserve"> </w:t>
      </w:r>
      <w:r w:rsidRPr="002040BE">
        <w:rPr>
          <w:i/>
        </w:rPr>
        <w:t>Office of Consumers’ Counsel v</w:t>
      </w:r>
      <w:r>
        <w:rPr>
          <w:i/>
        </w:rPr>
        <w:t xml:space="preserve">. Pub. </w:t>
      </w:r>
      <w:proofErr w:type="gramStart"/>
      <w:r>
        <w:rPr>
          <w:i/>
        </w:rPr>
        <w:t>Util.</w:t>
      </w:r>
      <w:r w:rsidRPr="002040BE">
        <w:rPr>
          <w:i/>
        </w:rPr>
        <w:t xml:space="preserve"> Com</w:t>
      </w:r>
      <w:r>
        <w:rPr>
          <w:i/>
        </w:rPr>
        <w:t>m’n</w:t>
      </w:r>
      <w:r w:rsidRPr="002040BE">
        <w:t>, 16 Ohio St. 3d 9</w:t>
      </w:r>
      <w:r>
        <w:t>, 11 (</w:t>
      </w:r>
      <w:r w:rsidRPr="002040BE">
        <w:t>1985)</w:t>
      </w:r>
      <w:r>
        <w:t>.</w:t>
      </w:r>
      <w:proofErr w:type="gramEnd"/>
      <w:r>
        <w:t xml:space="preserve"> The Commission has applied res judicata to dismiss </w:t>
      </w:r>
      <w:r w:rsidRPr="00BD6DA3">
        <w:rPr>
          <w:i/>
        </w:rPr>
        <w:t xml:space="preserve">pro se </w:t>
      </w:r>
      <w:r>
        <w:t xml:space="preserve">complaints such as this one. </w:t>
      </w:r>
      <w:r>
        <w:rPr>
          <w:i/>
        </w:rPr>
        <w:t xml:space="preserve">See In re Complaint of Debbie </w:t>
      </w:r>
      <w:r w:rsidRPr="008621BF">
        <w:rPr>
          <w:i/>
        </w:rPr>
        <w:t>Malloy</w:t>
      </w:r>
      <w:r>
        <w:t xml:space="preserve">, </w:t>
      </w:r>
      <w:r w:rsidRPr="008621BF">
        <w:t>Case</w:t>
      </w:r>
      <w:r>
        <w:t xml:space="preserve"> No. 11-1947-EL-CSS, </w:t>
      </w:r>
      <w:proofErr w:type="gramStart"/>
      <w:r>
        <w:t>Entry</w:t>
      </w:r>
      <w:proofErr w:type="gramEnd"/>
      <w:r>
        <w:t xml:space="preserve"> at 1 (July 6, 2011); </w:t>
      </w:r>
      <w:r>
        <w:rPr>
          <w:i/>
        </w:rPr>
        <w:t>In re Warren Jay Yerian</w:t>
      </w:r>
      <w:r>
        <w:t xml:space="preserve">, Case No. 05-886-EL-CSS, Entry at 3 (Aug. 25, 2005); </w:t>
      </w:r>
      <w:r>
        <w:rPr>
          <w:i/>
        </w:rPr>
        <w:t>In re Complaint of David Wellman</w:t>
      </w:r>
      <w:r>
        <w:t>, Case No. 00-1136-TP-CSS, Entry at 3–4 (Feb. 8, 2001).</w:t>
      </w:r>
    </w:p>
    <w:p w14:paraId="77A50375" w14:textId="77777777" w:rsidR="00EF7556" w:rsidRDefault="00EF7556" w:rsidP="00EF7556">
      <w:pPr>
        <w:pStyle w:val="MemoHeading3"/>
      </w:pPr>
      <w:r>
        <w:t>Res judicata also prohibits challenges to actions taken to implement the decision from the prior case.</w:t>
      </w:r>
    </w:p>
    <w:p w14:paraId="10828B07" w14:textId="77777777" w:rsidR="00EF7556" w:rsidRDefault="00EF7556" w:rsidP="00EF7556">
      <w:pPr>
        <w:pStyle w:val="MemoBodyText"/>
      </w:pPr>
      <w:r>
        <w:t>R</w:t>
      </w:r>
      <w:r w:rsidRPr="009255A2">
        <w:t>es judicata</w:t>
      </w:r>
      <w:r>
        <w:rPr>
          <w:i/>
        </w:rPr>
        <w:t xml:space="preserve"> </w:t>
      </w:r>
      <w:r>
        <w:t>not only prohibits claims that were actually litigated, but also challenges to a utility’s actions that necessarily followed from the prior decision</w:t>
      </w:r>
      <w:r>
        <w:rPr>
          <w:i/>
        </w:rPr>
        <w:t>.</w:t>
      </w:r>
      <w:r>
        <w:t xml:space="preserve"> The case of </w:t>
      </w:r>
      <w:r>
        <w:rPr>
          <w:i/>
        </w:rPr>
        <w:t>In re the Complaint of Debbie Malloy</w:t>
      </w:r>
      <w:r>
        <w:t xml:space="preserve"> is particularly instructive. </w:t>
      </w:r>
    </w:p>
    <w:p w14:paraId="7B1C5831" w14:textId="77777777" w:rsidR="00EF7556" w:rsidRDefault="00EF7556" w:rsidP="00EF7556">
      <w:pPr>
        <w:pStyle w:val="MemoBodyText"/>
      </w:pPr>
      <w:r>
        <w:t xml:space="preserve">In </w:t>
      </w:r>
      <w:r>
        <w:rPr>
          <w:i/>
        </w:rPr>
        <w:t xml:space="preserve">Malloy </w:t>
      </w:r>
      <w:r w:rsidRPr="00BD6DA3">
        <w:rPr>
          <w:i/>
        </w:rPr>
        <w:t>I</w:t>
      </w:r>
      <w:r>
        <w:t xml:space="preserve">, </w:t>
      </w:r>
      <w:r w:rsidRPr="00BD6DA3">
        <w:t>Case</w:t>
      </w:r>
      <w:r>
        <w:t xml:space="preserve"> No. 10-158-EL-CSS, the complainant alleged that her electric bill was “excessively high.” </w:t>
      </w:r>
      <w:r>
        <w:rPr>
          <w:i/>
        </w:rPr>
        <w:t>Malloy I</w:t>
      </w:r>
      <w:r>
        <w:t xml:space="preserve">, Opin. </w:t>
      </w:r>
      <w:proofErr w:type="gramStart"/>
      <w:r>
        <w:t>&amp; Ord. at 1 (Mar. 9, 2011).</w:t>
      </w:r>
      <w:proofErr w:type="gramEnd"/>
      <w:r>
        <w:rPr>
          <w:i/>
        </w:rPr>
        <w:t xml:space="preserve"> </w:t>
      </w:r>
      <w:r>
        <w:t xml:space="preserve">The Commission, however, found that she had not met her burden and ruled in favor of the utility. </w:t>
      </w:r>
      <w:proofErr w:type="gramStart"/>
      <w:r>
        <w:rPr>
          <w:i/>
        </w:rPr>
        <w:t>Id.</w:t>
      </w:r>
      <w:r>
        <w:t xml:space="preserve"> at 8.</w:t>
      </w:r>
      <w:proofErr w:type="gramEnd"/>
      <w:r>
        <w:t xml:space="preserve"> </w:t>
      </w:r>
    </w:p>
    <w:p w14:paraId="0970490A" w14:textId="77777777" w:rsidR="00EF7556" w:rsidRDefault="00EF7556" w:rsidP="00EF7556">
      <w:pPr>
        <w:pStyle w:val="MemoBodyText"/>
      </w:pPr>
      <w:r>
        <w:rPr>
          <w:i/>
        </w:rPr>
        <w:t xml:space="preserve">Malloy II </w:t>
      </w:r>
      <w:r>
        <w:t xml:space="preserve">was filed about a month later. </w:t>
      </w:r>
      <w:r>
        <w:rPr>
          <w:i/>
        </w:rPr>
        <w:t xml:space="preserve">See </w:t>
      </w:r>
      <w:r>
        <w:t xml:space="preserve">Case No. 11-1947-EL-CSS. Ms. Malloy alleged that the EDU “asserted that her bills are unpaid” and “notified her of imminent disconnection.” </w:t>
      </w:r>
      <w:r>
        <w:rPr>
          <w:i/>
        </w:rPr>
        <w:t xml:space="preserve">Malloy </w:t>
      </w:r>
      <w:r w:rsidRPr="00BD6DA3">
        <w:rPr>
          <w:i/>
        </w:rPr>
        <w:t>II</w:t>
      </w:r>
      <w:r>
        <w:t xml:space="preserve">, </w:t>
      </w:r>
      <w:r w:rsidRPr="00BD6DA3">
        <w:t>Entry</w:t>
      </w:r>
      <w:r>
        <w:t xml:space="preserve"> at 1 (July 6, 2011). The challenged balance comprised two elements:</w:t>
      </w:r>
    </w:p>
    <w:p w14:paraId="33AEB437" w14:textId="77777777" w:rsidR="00EF7556" w:rsidRDefault="00EF7556" w:rsidP="00EF7556">
      <w:pPr>
        <w:pStyle w:val="MemoBodyText"/>
        <w:numPr>
          <w:ilvl w:val="1"/>
          <w:numId w:val="6"/>
        </w:numPr>
        <w:spacing w:after="240" w:line="240" w:lineRule="auto"/>
        <w:ind w:right="720"/>
        <w:rPr>
          <w:i/>
        </w:rPr>
      </w:pPr>
      <w:proofErr w:type="gramStart"/>
      <w:r>
        <w:t>the</w:t>
      </w:r>
      <w:proofErr w:type="gramEnd"/>
      <w:r>
        <w:t xml:space="preserve"> original balance that was upheld in </w:t>
      </w:r>
      <w:r>
        <w:rPr>
          <w:i/>
        </w:rPr>
        <w:t>Malloy I</w:t>
      </w:r>
      <w:r>
        <w:t>, and</w:t>
      </w:r>
      <w:r>
        <w:rPr>
          <w:i/>
        </w:rPr>
        <w:t xml:space="preserve"> </w:t>
      </w:r>
    </w:p>
    <w:p w14:paraId="50446291" w14:textId="77777777" w:rsidR="00EF7556" w:rsidRDefault="00EF7556" w:rsidP="00EF7556">
      <w:pPr>
        <w:pStyle w:val="MemoBodyText"/>
        <w:numPr>
          <w:ilvl w:val="1"/>
          <w:numId w:val="6"/>
        </w:numPr>
        <w:spacing w:after="240" w:line="240" w:lineRule="auto"/>
        <w:ind w:right="720"/>
      </w:pPr>
      <w:proofErr w:type="gramStart"/>
      <w:r>
        <w:t>a</w:t>
      </w:r>
      <w:proofErr w:type="gramEnd"/>
      <w:r>
        <w:t xml:space="preserve"> security deposit that was not reviewed in </w:t>
      </w:r>
      <w:r>
        <w:rPr>
          <w:i/>
        </w:rPr>
        <w:t>Malloy I</w:t>
      </w:r>
      <w:r>
        <w:t xml:space="preserve"> but that was charged based on the balance approved in the first complaint. </w:t>
      </w:r>
    </w:p>
    <w:p w14:paraId="6A86448B" w14:textId="77777777" w:rsidR="00EF7556" w:rsidRDefault="00EF7556" w:rsidP="00EF7556">
      <w:pPr>
        <w:pStyle w:val="MemoBodyText"/>
        <w:ind w:firstLine="0"/>
      </w:pPr>
      <w:proofErr w:type="gramStart"/>
      <w:r>
        <w:rPr>
          <w:i/>
        </w:rPr>
        <w:t xml:space="preserve">Id. </w:t>
      </w:r>
      <w:r>
        <w:t>at 3.</w:t>
      </w:r>
      <w:proofErr w:type="gramEnd"/>
      <w:r>
        <w:t xml:space="preserve"> That the first element required dismissal was obvious—it had already been expressly litigated—but what about the second? The charging of the security deposit had not been litigated in </w:t>
      </w:r>
      <w:r w:rsidRPr="002423AC">
        <w:rPr>
          <w:i/>
        </w:rPr>
        <w:t>Malloy I</w:t>
      </w:r>
      <w:r>
        <w:t xml:space="preserve">. Indeed, it could not have been: the deposit </w:t>
      </w:r>
      <w:r>
        <w:rPr>
          <w:i/>
        </w:rPr>
        <w:t>post</w:t>
      </w:r>
      <w:r w:rsidRPr="00574100">
        <w:rPr>
          <w:i/>
        </w:rPr>
        <w:t xml:space="preserve">dated </w:t>
      </w:r>
      <w:r>
        <w:t xml:space="preserve">the complaint and the original order. </w:t>
      </w:r>
    </w:p>
    <w:p w14:paraId="3C00699B" w14:textId="0CCC5A9C" w:rsidR="00EF7556" w:rsidRPr="004F738C" w:rsidRDefault="00EF7556" w:rsidP="00EF7556">
      <w:pPr>
        <w:pStyle w:val="MemoBodyText"/>
      </w:pPr>
      <w:r>
        <w:t xml:space="preserve">Nevertheless, the Commission dismissed the </w:t>
      </w:r>
      <w:r w:rsidRPr="00574100">
        <w:rPr>
          <w:i/>
        </w:rPr>
        <w:t xml:space="preserve">entire </w:t>
      </w:r>
      <w:r>
        <w:t xml:space="preserve">complaint: “it is apparent that </w:t>
      </w:r>
      <w:r>
        <w:rPr>
          <w:i/>
        </w:rPr>
        <w:t>Malloy II</w:t>
      </w:r>
      <w:r>
        <w:t xml:space="preserve"> is based on the same claim and the same nucleus of facts as were alleged, considered, and determined by the Commission in </w:t>
      </w:r>
      <w:r>
        <w:rPr>
          <w:i/>
        </w:rPr>
        <w:t>Malloy I</w:t>
      </w:r>
      <w:r>
        <w:t xml:space="preserve">.” </w:t>
      </w:r>
      <w:r>
        <w:rPr>
          <w:i/>
        </w:rPr>
        <w:t>Id</w:t>
      </w:r>
      <w:r w:rsidRPr="006012AB">
        <w:t xml:space="preserve">. </w:t>
      </w:r>
      <w:r>
        <w:t xml:space="preserve">And having upheld her underlying balance, the Commission specifically noted that the utility was entitled to “assess a deposit.” </w:t>
      </w:r>
      <w:r w:rsidRPr="002423AC">
        <w:rPr>
          <w:i/>
        </w:rPr>
        <w:t>Id</w:t>
      </w:r>
      <w:r>
        <w:t xml:space="preserve">. </w:t>
      </w:r>
      <w:r w:rsidRPr="002423AC">
        <w:t>Thus</w:t>
      </w:r>
      <w:r>
        <w:t>, “</w:t>
      </w:r>
      <w:r w:rsidRPr="009255A2">
        <w:t>res judicata</w:t>
      </w:r>
      <w:r w:rsidRPr="000C5823">
        <w:t xml:space="preserve"> </w:t>
      </w:r>
      <w:proofErr w:type="spellStart"/>
      <w:proofErr w:type="gramStart"/>
      <w:r>
        <w:t>applie</w:t>
      </w:r>
      <w:proofErr w:type="spellEnd"/>
      <w:r>
        <w:t>[</w:t>
      </w:r>
      <w:proofErr w:type="gramEnd"/>
      <w:r>
        <w:t xml:space="preserve">d] to bar relitigation of Ms. Malloy’s claim in </w:t>
      </w:r>
      <w:r>
        <w:rPr>
          <w:i/>
        </w:rPr>
        <w:t>Malloy II</w:t>
      </w:r>
      <w:r>
        <w:t xml:space="preserve">” and the entire complaint was dismissed. </w:t>
      </w:r>
      <w:proofErr w:type="gramStart"/>
      <w:r>
        <w:rPr>
          <w:i/>
        </w:rPr>
        <w:t>Id.</w:t>
      </w:r>
      <w:r>
        <w:t xml:space="preserve"> at 4.</w:t>
      </w:r>
      <w:proofErr w:type="gramEnd"/>
      <w:r>
        <w:rPr>
          <w:i/>
        </w:rPr>
        <w:t xml:space="preserve">  </w:t>
      </w:r>
      <w:r>
        <w:t xml:space="preserve">This case is the same and the Commission, like it did in </w:t>
      </w:r>
      <w:r>
        <w:rPr>
          <w:i/>
        </w:rPr>
        <w:t>Malloy II</w:t>
      </w:r>
      <w:r>
        <w:t xml:space="preserve">, </w:t>
      </w:r>
      <w:r w:rsidR="00131DC2">
        <w:t xml:space="preserve">and likewise did in </w:t>
      </w:r>
      <w:r w:rsidR="00131DC2">
        <w:rPr>
          <w:i/>
        </w:rPr>
        <w:t xml:space="preserve">Tandy II, </w:t>
      </w:r>
      <w:r w:rsidR="00C579C4">
        <w:t>should dismiss Ms. Tandy’s c</w:t>
      </w:r>
      <w:r>
        <w:t xml:space="preserve">omplaint.  </w:t>
      </w:r>
    </w:p>
    <w:p w14:paraId="76E0225E" w14:textId="77777777" w:rsidR="00EF7556" w:rsidRDefault="00EF7556" w:rsidP="00EF7556">
      <w:pPr>
        <w:pStyle w:val="MemoHeading3"/>
      </w:pPr>
      <w:r>
        <w:t>Res judicata also prohibits claims that could have been litigated in previous proceedings—even if they were not.</w:t>
      </w:r>
    </w:p>
    <w:p w14:paraId="0F935FCB" w14:textId="77777777" w:rsidR="00EF7556" w:rsidRPr="00574100" w:rsidRDefault="00EF7556" w:rsidP="00EF7556">
      <w:pPr>
        <w:pStyle w:val="MemoBodyText"/>
      </w:pPr>
      <w:r>
        <w:t xml:space="preserve">Finally, as noted in </w:t>
      </w:r>
      <w:r>
        <w:rPr>
          <w:i/>
        </w:rPr>
        <w:t>Grava</w:t>
      </w:r>
      <w:r>
        <w:t>, res judicata bars “</w:t>
      </w:r>
      <w:r w:rsidRPr="003B6094">
        <w:t xml:space="preserve">claims which were </w:t>
      </w:r>
      <w:r w:rsidRPr="003B6094">
        <w:rPr>
          <w:i/>
          <w:iCs/>
        </w:rPr>
        <w:t xml:space="preserve">or might have been </w:t>
      </w:r>
      <w:r w:rsidRPr="003B6094">
        <w:t xml:space="preserve">litigated in a first lawsuit.” </w:t>
      </w:r>
      <w:proofErr w:type="gramStart"/>
      <w:r w:rsidRPr="003B6094">
        <w:t xml:space="preserve">73 Ohio St.3d </w:t>
      </w:r>
      <w:r>
        <w:t xml:space="preserve">at </w:t>
      </w:r>
      <w:r w:rsidRPr="003B6094">
        <w:t>382</w:t>
      </w:r>
      <w:r>
        <w:t xml:space="preserve"> (emphasis sic).</w:t>
      </w:r>
      <w:proofErr w:type="gramEnd"/>
      <w:r>
        <w:t xml:space="preserve"> </w:t>
      </w:r>
    </w:p>
    <w:p w14:paraId="23CEBB1A" w14:textId="77777777" w:rsidR="00EF7556" w:rsidRDefault="00EF7556" w:rsidP="00EF7556">
      <w:pPr>
        <w:pStyle w:val="MemoBodyText"/>
      </w:pPr>
      <w:r>
        <w:t xml:space="preserve">The Commission has recognized and applied this very point. </w:t>
      </w:r>
      <w:r>
        <w:rPr>
          <w:i/>
        </w:rPr>
        <w:t>See In re the Complaint of Warren Jay Yerian</w:t>
      </w:r>
      <w:r>
        <w:t>, Case No. 05-886-EL-CSS (</w:t>
      </w:r>
      <w:r>
        <w:rPr>
          <w:i/>
        </w:rPr>
        <w:t>Yerian II</w:t>
      </w:r>
      <w:r>
        <w:t xml:space="preserve">). In </w:t>
      </w:r>
      <w:r>
        <w:rPr>
          <w:i/>
        </w:rPr>
        <w:t>Yerian II</w:t>
      </w:r>
      <w:r w:rsidRPr="003B6094">
        <w:t>,</w:t>
      </w:r>
      <w:r>
        <w:t xml:space="preserve"> the Commission recognized that </w:t>
      </w:r>
      <w:r w:rsidRPr="009255A2">
        <w:t>res judicata</w:t>
      </w:r>
      <w:r>
        <w:rPr>
          <w:i/>
        </w:rPr>
        <w:t xml:space="preserve"> </w:t>
      </w:r>
      <w:r>
        <w:t xml:space="preserve">“applies even to instances in which a party is prepared to present new evidence or new causes of action not presented in the first action, or to seek remedies or forms of relief not sought in the first action.” </w:t>
      </w:r>
      <w:r>
        <w:rPr>
          <w:i/>
        </w:rPr>
        <w:t>Yerian II</w:t>
      </w:r>
      <w:r>
        <w:t>, Entry at 3 (Aug. 24, 2005) (internal quotations omitted). There, the Commission found that “</w:t>
      </w:r>
      <w:r>
        <w:rPr>
          <w:i/>
        </w:rPr>
        <w:t>res judicata</w:t>
      </w:r>
      <w:r>
        <w:t xml:space="preserve"> applies to bar the relitigation of this </w:t>
      </w:r>
      <w:proofErr w:type="gramStart"/>
      <w:r>
        <w:t>claim.</w:t>
      </w:r>
      <w:proofErr w:type="gramEnd"/>
      <w:r>
        <w:t xml:space="preserve"> . . . This issue was fully litigated between these two parties, and was determined by the Commission, in </w:t>
      </w:r>
      <w:r>
        <w:rPr>
          <w:i/>
        </w:rPr>
        <w:t>Yerian I.</w:t>
      </w:r>
      <w:r>
        <w:t xml:space="preserve">” </w:t>
      </w:r>
      <w:proofErr w:type="gramStart"/>
      <w:r>
        <w:rPr>
          <w:i/>
        </w:rPr>
        <w:t xml:space="preserve">Id. </w:t>
      </w:r>
      <w:r>
        <w:t>at 4.</w:t>
      </w:r>
      <w:proofErr w:type="gramEnd"/>
    </w:p>
    <w:p w14:paraId="4CEC8B71" w14:textId="77777777" w:rsidR="00EF7556" w:rsidRPr="00574100" w:rsidRDefault="00EF7556" w:rsidP="00EF7556">
      <w:pPr>
        <w:pStyle w:val="MemoBodyText"/>
      </w:pPr>
      <w:r>
        <w:t xml:space="preserve">These rules make sense. If res judicata did not reach such claims—that is, those that could have been raised but were not, and those that simply challenge the implementation of an earlier litigation—the doctrine would be toothless. No case or controversy would ever become final, and the prevailing litigant (not to mention the adjudicator) would potentially be doomed to relitigate the same dispute </w:t>
      </w:r>
      <w:r>
        <w:rPr>
          <w:i/>
        </w:rPr>
        <w:t>ad infinitum</w:t>
      </w:r>
      <w:r>
        <w:t xml:space="preserve">. </w:t>
      </w:r>
    </w:p>
    <w:p w14:paraId="29AE5454" w14:textId="77777777" w:rsidR="00EF7556" w:rsidRDefault="00EF7556" w:rsidP="00EF7556">
      <w:pPr>
        <w:pStyle w:val="MemoHeading2"/>
      </w:pPr>
      <w:r>
        <w:t xml:space="preserve">The claims alleged in </w:t>
      </w:r>
      <w:r>
        <w:rPr>
          <w:i/>
        </w:rPr>
        <w:t>Tandy I</w:t>
      </w:r>
      <w:r w:rsidR="00131DC2">
        <w:rPr>
          <w:i/>
        </w:rPr>
        <w:t>I</w:t>
      </w:r>
      <w:r>
        <w:rPr>
          <w:i/>
        </w:rPr>
        <w:t>I</w:t>
      </w:r>
      <w:r>
        <w:t xml:space="preserve"> are barred by the doctrine of </w:t>
      </w:r>
      <w:r>
        <w:rPr>
          <w:i/>
        </w:rPr>
        <w:t xml:space="preserve">res judicata </w:t>
      </w:r>
      <w:r>
        <w:t>and should be dismissed.</w:t>
      </w:r>
    </w:p>
    <w:p w14:paraId="1FE5F209" w14:textId="168B6382" w:rsidR="00EF7556" w:rsidRDefault="00EF7556" w:rsidP="00EF7556">
      <w:pPr>
        <w:pStyle w:val="MemoBodyText"/>
      </w:pPr>
      <w:r>
        <w:t xml:space="preserve">Applying these principles, </w:t>
      </w:r>
      <w:r>
        <w:rPr>
          <w:i/>
        </w:rPr>
        <w:t xml:space="preserve">Tandy </w:t>
      </w:r>
      <w:r w:rsidR="00131DC2">
        <w:rPr>
          <w:i/>
        </w:rPr>
        <w:t>I</w:t>
      </w:r>
      <w:r>
        <w:rPr>
          <w:i/>
        </w:rPr>
        <w:t>II</w:t>
      </w:r>
      <w:r>
        <w:t xml:space="preserve"> should be dismissed in its entirety. </w:t>
      </w:r>
      <w:r w:rsidRPr="00C15808">
        <w:rPr>
          <w:i/>
        </w:rPr>
        <w:t xml:space="preserve">Tandy I </w:t>
      </w:r>
      <w:r>
        <w:t xml:space="preserve">was litigated and resolved by a final order. </w:t>
      </w:r>
      <w:r w:rsidRPr="00C15808">
        <w:rPr>
          <w:i/>
        </w:rPr>
        <w:t xml:space="preserve">Tandy II </w:t>
      </w:r>
      <w:r w:rsidR="00C579C4">
        <w:t>involved</w:t>
      </w:r>
      <w:r>
        <w:t xml:space="preserve"> the same parties, and every claim raised in the new complaint either was or could have been raised in the first. </w:t>
      </w:r>
      <w:r w:rsidR="00C579C4">
        <w:t xml:space="preserve">The Commission then rightfully dismissed that complaint. </w:t>
      </w:r>
      <w:r>
        <w:t xml:space="preserve">And </w:t>
      </w:r>
      <w:r w:rsidR="00C579C4">
        <w:t>now, the only claim that postdates</w:t>
      </w:r>
      <w:r w:rsidR="00034DF6">
        <w:t xml:space="preserve"> the filing of</w:t>
      </w:r>
      <w:r w:rsidR="00C579C4">
        <w:t xml:space="preserve"> </w:t>
      </w:r>
      <w:r w:rsidR="00C579C4" w:rsidRPr="00C579C4">
        <w:rPr>
          <w:i/>
        </w:rPr>
        <w:t>Tandy II</w:t>
      </w:r>
      <w:r w:rsidR="00034DF6">
        <w:t xml:space="preserve"> </w:t>
      </w:r>
      <w:r w:rsidR="00ED37A7">
        <w:t xml:space="preserve">goes </w:t>
      </w:r>
      <w:r>
        <w:t xml:space="preserve">solely to whether she owed the underlying balance—which was the core issue resolved in </w:t>
      </w:r>
      <w:r>
        <w:rPr>
          <w:i/>
        </w:rPr>
        <w:t>Tandy I</w:t>
      </w:r>
      <w:r w:rsidR="00C579C4">
        <w:t xml:space="preserve"> and dismissed in </w:t>
      </w:r>
      <w:r w:rsidR="00C579C4" w:rsidRPr="00C579C4">
        <w:rPr>
          <w:i/>
        </w:rPr>
        <w:t>Tandy II</w:t>
      </w:r>
      <w:r w:rsidR="00C579C4">
        <w:t>.</w:t>
      </w:r>
    </w:p>
    <w:p w14:paraId="5382FCBD" w14:textId="77777777" w:rsidR="00EF7556" w:rsidRPr="00C15808" w:rsidRDefault="00EF7556" w:rsidP="00EF7556">
      <w:pPr>
        <w:pStyle w:val="MemoBodyText"/>
      </w:pPr>
      <w:r>
        <w:t>Accordingly, the entire complaint should be dismissed.</w:t>
      </w:r>
    </w:p>
    <w:p w14:paraId="6326C4B6" w14:textId="6B594F9D" w:rsidR="00EF7556" w:rsidRDefault="00EF7556" w:rsidP="00EF7556">
      <w:pPr>
        <w:pStyle w:val="MemoHeading3"/>
        <w:numPr>
          <w:ilvl w:val="0"/>
          <w:numId w:val="9"/>
        </w:numPr>
        <w:ind w:hanging="720"/>
      </w:pPr>
      <w:r>
        <w:t xml:space="preserve">The vast majority of the complaint concerns issues expressly resolved in </w:t>
      </w:r>
      <w:r>
        <w:rPr>
          <w:i/>
        </w:rPr>
        <w:t>Tandy I</w:t>
      </w:r>
      <w:r w:rsidR="006F1B81">
        <w:t xml:space="preserve"> or </w:t>
      </w:r>
      <w:r w:rsidR="006F1B81">
        <w:rPr>
          <w:i/>
        </w:rPr>
        <w:t>Tandy II</w:t>
      </w:r>
      <w:r w:rsidR="006F1B81">
        <w:t xml:space="preserve">. </w:t>
      </w:r>
    </w:p>
    <w:p w14:paraId="61556317" w14:textId="6A8795C2" w:rsidR="00EF7556" w:rsidRDefault="00EF7556" w:rsidP="00EF7556">
      <w:pPr>
        <w:pStyle w:val="MemoBodyText"/>
      </w:pPr>
      <w:r>
        <w:t xml:space="preserve">The bulk of the complaint expressly seeks to relitigate issues resolved in </w:t>
      </w:r>
      <w:r w:rsidRPr="004613DF">
        <w:rPr>
          <w:i/>
        </w:rPr>
        <w:t>Tandy I</w:t>
      </w:r>
      <w:r w:rsidR="00ED37A7">
        <w:rPr>
          <w:i/>
        </w:rPr>
        <w:t xml:space="preserve"> </w:t>
      </w:r>
      <w:r w:rsidR="00ED37A7">
        <w:t xml:space="preserve">and dismissed in </w:t>
      </w:r>
      <w:r w:rsidR="00ED37A7">
        <w:rPr>
          <w:i/>
        </w:rPr>
        <w:t>Tandy II</w:t>
      </w:r>
      <w:r>
        <w:t xml:space="preserve">. </w:t>
      </w:r>
    </w:p>
    <w:p w14:paraId="23C7558E" w14:textId="77777777" w:rsidR="00EF7556" w:rsidRDefault="00EF7556" w:rsidP="00EF7556">
      <w:pPr>
        <w:pStyle w:val="MemoHeading4"/>
      </w:pPr>
      <w:r>
        <w:rPr>
          <w:i/>
        </w:rPr>
        <w:t xml:space="preserve">Tandy I </w:t>
      </w:r>
      <w:r>
        <w:t>expressly resolved the legality of transfers from 1441 Sulzer to 1439 Sulzer</w:t>
      </w:r>
      <w:r>
        <w:rPr>
          <w:i/>
        </w:rPr>
        <w:t>.</w:t>
      </w:r>
    </w:p>
    <w:p w14:paraId="3129E727" w14:textId="77777777" w:rsidR="00EF7556" w:rsidRDefault="00EF7556" w:rsidP="00EF7556">
      <w:pPr>
        <w:pStyle w:val="MemoBodyText"/>
      </w:pPr>
      <w:r>
        <w:t xml:space="preserve">As noted above, </w:t>
      </w:r>
      <w:r>
        <w:rPr>
          <w:i/>
        </w:rPr>
        <w:t xml:space="preserve">Tandy I </w:t>
      </w:r>
      <w:r>
        <w:t xml:space="preserve">specifically held that “CEI properly transferred the accrued residential service charges from the account for 1441 Sulzer Avenue to Ms. Tandy’s active residential account for service at 1439 Sulzer Avenue.” </w:t>
      </w:r>
      <w:r>
        <w:rPr>
          <w:i/>
        </w:rPr>
        <w:t>Tandy I</w:t>
      </w:r>
      <w:r>
        <w:t>, Order at 7–8. And it specifically noted the date (“</w:t>
      </w:r>
      <w:r w:rsidRPr="0061550E">
        <w:t>February 17, 2012”</w:t>
      </w:r>
      <w:r>
        <w:t xml:space="preserve">) and amount (“$269.08”) of a particular transfer that was challenged but approved. </w:t>
      </w:r>
      <w:proofErr w:type="gramStart"/>
      <w:r>
        <w:rPr>
          <w:i/>
        </w:rPr>
        <w:t>Id</w:t>
      </w:r>
      <w:r w:rsidRPr="0019242C">
        <w:rPr>
          <w:i/>
        </w:rPr>
        <w:t>.</w:t>
      </w:r>
      <w:r>
        <w:t xml:space="preserve"> at 8.</w:t>
      </w:r>
      <w:proofErr w:type="gramEnd"/>
      <w:r>
        <w:t xml:space="preserve"> </w:t>
      </w:r>
    </w:p>
    <w:p w14:paraId="107E66BB" w14:textId="34BE615E" w:rsidR="00D033DF" w:rsidRPr="00543D12" w:rsidRDefault="00543D12" w:rsidP="00D033DF">
      <w:pPr>
        <w:pStyle w:val="MemoBodyText"/>
      </w:pPr>
      <w:r>
        <w:t xml:space="preserve">Although resolved by </w:t>
      </w:r>
      <w:r>
        <w:rPr>
          <w:i/>
        </w:rPr>
        <w:t xml:space="preserve">Tandy </w:t>
      </w:r>
      <w:r w:rsidRPr="00EE507E">
        <w:rPr>
          <w:i/>
        </w:rPr>
        <w:t>I</w:t>
      </w:r>
      <w:r>
        <w:t xml:space="preserve">, Ms. Tandy once again questions the propriety of these balance transfers in </w:t>
      </w:r>
      <w:r>
        <w:rPr>
          <w:i/>
        </w:rPr>
        <w:t>Tandy I</w:t>
      </w:r>
      <w:r w:rsidRPr="00B01EC0">
        <w:rPr>
          <w:i/>
        </w:rPr>
        <w:t>II</w:t>
      </w:r>
      <w:r>
        <w:t xml:space="preserve">. </w:t>
      </w:r>
      <w:r w:rsidR="00D033DF">
        <w:t xml:space="preserve">She alleges that an </w:t>
      </w:r>
      <w:r>
        <w:t>“</w:t>
      </w:r>
      <w:r w:rsidR="00D033DF">
        <w:t>illegal transfer</w:t>
      </w:r>
      <w:r>
        <w:t>”</w:t>
      </w:r>
      <w:r w:rsidR="00D033DF">
        <w:t xml:space="preserve"> occurred on </w:t>
      </w:r>
      <w:r w:rsidR="00ED37A7">
        <w:t>“</w:t>
      </w:r>
      <w:r w:rsidR="00D033DF">
        <w:t>February 17, 2012,</w:t>
      </w:r>
      <w:r w:rsidR="00ED37A7">
        <w:t>”</w:t>
      </w:r>
      <w:r w:rsidR="00D033DF">
        <w:t xml:space="preserve"> and she identifie</w:t>
      </w:r>
      <w:r>
        <w:t xml:space="preserve">s the amount as being $269.08. </w:t>
      </w:r>
      <w:r w:rsidR="00ED37A7">
        <w:t>(</w:t>
      </w:r>
      <w:r w:rsidR="00D033DF">
        <w:t>Complaint at 7</w:t>
      </w:r>
      <w:r w:rsidR="00ED37A7">
        <w:t>–</w:t>
      </w:r>
      <w:r w:rsidR="00D033DF">
        <w:t>8.</w:t>
      </w:r>
      <w:r w:rsidR="00ED37A7">
        <w:t>)</w:t>
      </w:r>
      <w:r w:rsidR="00D033DF">
        <w:t xml:space="preserve"> </w:t>
      </w:r>
      <w:r>
        <w:t>She again alleges that it came from her property at 1441 Sulzer Ave</w:t>
      </w:r>
      <w:r w:rsidR="00ED37A7">
        <w:t>nue</w:t>
      </w:r>
      <w:r>
        <w:t xml:space="preserve">, and that the transfer “represents theft and fraud.” </w:t>
      </w:r>
      <w:r w:rsidR="00ED37A7">
        <w:t>(</w:t>
      </w:r>
      <w:r>
        <w:rPr>
          <w:i/>
        </w:rPr>
        <w:t>Id</w:t>
      </w:r>
      <w:r w:rsidRPr="0019242C">
        <w:rPr>
          <w:i/>
        </w:rPr>
        <w:t>.</w:t>
      </w:r>
      <w:r w:rsidR="00ED37A7">
        <w:t>)</w:t>
      </w:r>
      <w:r>
        <w:t xml:space="preserve"> She claims that before the transfer, she had a zero balance, and that the Company never acknowledged her complaints or offered solutions.</w:t>
      </w:r>
      <w:r w:rsidRPr="00543D12">
        <w:rPr>
          <w:i/>
        </w:rPr>
        <w:t xml:space="preserve"> </w:t>
      </w:r>
      <w:r w:rsidR="00ED37A7">
        <w:t>(</w:t>
      </w:r>
      <w:r>
        <w:rPr>
          <w:i/>
        </w:rPr>
        <w:t>Id</w:t>
      </w:r>
      <w:r w:rsidRPr="0019242C">
        <w:rPr>
          <w:i/>
        </w:rPr>
        <w:t>.</w:t>
      </w:r>
      <w:r w:rsidR="00ED37A7">
        <w:t>)</w:t>
      </w:r>
    </w:p>
    <w:p w14:paraId="7A07EA5E" w14:textId="7BC399FA" w:rsidR="00EF7556" w:rsidRPr="0061550E" w:rsidRDefault="00543D12" w:rsidP="00EF7556">
      <w:pPr>
        <w:pStyle w:val="MemoBodyText"/>
      </w:pPr>
      <w:r>
        <w:t>Once again, th</w:t>
      </w:r>
      <w:r w:rsidR="00EF7556">
        <w:t xml:space="preserve">ese balance-transfer issues are </w:t>
      </w:r>
      <w:r>
        <w:t>identical</w:t>
      </w:r>
      <w:r w:rsidR="00EF7556">
        <w:t xml:space="preserve"> to those raised in </w:t>
      </w:r>
      <w:r w:rsidR="00EF7556">
        <w:rPr>
          <w:i/>
        </w:rPr>
        <w:t xml:space="preserve">Tandy </w:t>
      </w:r>
      <w:r w:rsidR="00EF7556" w:rsidRPr="00B01EC0">
        <w:rPr>
          <w:i/>
        </w:rPr>
        <w:t>I</w:t>
      </w:r>
      <w:r>
        <w:t xml:space="preserve"> and </w:t>
      </w:r>
      <w:r>
        <w:rPr>
          <w:i/>
        </w:rPr>
        <w:t>Tandy II</w:t>
      </w:r>
      <w:r w:rsidR="00EF7556">
        <w:t xml:space="preserve">. Res judicata bars </w:t>
      </w:r>
      <w:r>
        <w:t>Ms. Tandy’s</w:t>
      </w:r>
      <w:r w:rsidR="00EF7556">
        <w:t xml:space="preserve"> attempt to relitigate these issues</w:t>
      </w:r>
      <w:r w:rsidR="00ED37A7">
        <w:t xml:space="preserve"> a third time</w:t>
      </w:r>
      <w:r w:rsidR="00EF7556">
        <w:t xml:space="preserve">. </w:t>
      </w:r>
    </w:p>
    <w:p w14:paraId="1CB71DF9" w14:textId="77777777" w:rsidR="00EF7556" w:rsidRDefault="00EF7556" w:rsidP="00EF7556">
      <w:pPr>
        <w:pStyle w:val="MemoHeading4"/>
      </w:pPr>
      <w:r>
        <w:rPr>
          <w:i/>
        </w:rPr>
        <w:t>Tandy I</w:t>
      </w:r>
      <w:r>
        <w:t xml:space="preserve"> expressly resolved the propriety of CEI’s accounting of her payments. </w:t>
      </w:r>
    </w:p>
    <w:p w14:paraId="72DC30E3" w14:textId="77777777" w:rsidR="00B86459" w:rsidRDefault="00EF7556" w:rsidP="00EF7556">
      <w:pPr>
        <w:pStyle w:val="MemoBodyText"/>
      </w:pPr>
      <w:r>
        <w:rPr>
          <w:i/>
        </w:rPr>
        <w:t>Tandy I</w:t>
      </w:r>
      <w:r w:rsidR="00034DF6">
        <w:rPr>
          <w:i/>
        </w:rPr>
        <w:t>I</w:t>
      </w:r>
      <w:r>
        <w:rPr>
          <w:i/>
        </w:rPr>
        <w:t xml:space="preserve">I </w:t>
      </w:r>
      <w:r>
        <w:t xml:space="preserve">also alleges numerous times that CEI has failed to properly account for her payments. </w:t>
      </w:r>
      <w:r w:rsidR="00522974">
        <w:t>Throughout the complaint, Ms. Tandy notes instances where she believes she had a credit on her account</w:t>
      </w:r>
      <w:r w:rsidR="00AE13E9">
        <w:t>.</w:t>
      </w:r>
      <w:r w:rsidR="00522974">
        <w:t xml:space="preserve"> </w:t>
      </w:r>
      <w:r>
        <w:t>(</w:t>
      </w:r>
      <w:r>
        <w:rPr>
          <w:i/>
        </w:rPr>
        <w:t>See</w:t>
      </w:r>
      <w:r w:rsidR="00522974">
        <w:rPr>
          <w:i/>
        </w:rPr>
        <w:t>, e.g.,</w:t>
      </w:r>
      <w:r>
        <w:rPr>
          <w:i/>
        </w:rPr>
        <w:t xml:space="preserve"> id</w:t>
      </w:r>
      <w:r w:rsidRPr="0019242C">
        <w:rPr>
          <w:i/>
        </w:rPr>
        <w:t>.</w:t>
      </w:r>
      <w:r>
        <w:t xml:space="preserve"> at </w:t>
      </w:r>
      <w:r w:rsidR="00AE13E9">
        <w:t xml:space="preserve">14 (“$53.44 credit missing”); </w:t>
      </w:r>
      <w:r w:rsidR="00AE13E9">
        <w:rPr>
          <w:i/>
        </w:rPr>
        <w:t>id.</w:t>
      </w:r>
      <w:r w:rsidR="00AE13E9">
        <w:t xml:space="preserve"> at 18 (“where is my credit?”); </w:t>
      </w:r>
      <w:r w:rsidR="00AE13E9">
        <w:rPr>
          <w:i/>
        </w:rPr>
        <w:t>id</w:t>
      </w:r>
      <w:r w:rsidR="00AE13E9" w:rsidRPr="0019242C">
        <w:rPr>
          <w:i/>
        </w:rPr>
        <w:t>.</w:t>
      </w:r>
      <w:r w:rsidR="00AE13E9">
        <w:t xml:space="preserve"> at 23 (claiming “I have a credit” in response to a bill stating she is legally responsible for her account balance).</w:t>
      </w:r>
      <w:r>
        <w:t xml:space="preserve">) </w:t>
      </w:r>
      <w:r w:rsidR="00AE13E9">
        <w:t>The complaint contains pages of billing statements</w:t>
      </w:r>
      <w:r w:rsidR="00ED37A7">
        <w:t xml:space="preserve"> ranging from </w:t>
      </w:r>
      <w:r w:rsidR="00586E0A">
        <w:t>January to July 2009, September to November 2009, and all of 2013 (except July),</w:t>
      </w:r>
      <w:r w:rsidR="00AE13E9">
        <w:t xml:space="preserve"> on which Ms. Tandy has written commentary regarding what she owes versus what she is being asked to pay. </w:t>
      </w:r>
      <w:r w:rsidR="00ED37A7">
        <w:t>(</w:t>
      </w:r>
      <w:r w:rsidR="00AE13E9">
        <w:rPr>
          <w:i/>
        </w:rPr>
        <w:t>Id.</w:t>
      </w:r>
      <w:r w:rsidR="00AE13E9">
        <w:t xml:space="preserve"> at 14-29, 35-36, 38-46.</w:t>
      </w:r>
      <w:r w:rsidR="00ED37A7">
        <w:t>)</w:t>
      </w:r>
      <w:r w:rsidR="00AE13E9">
        <w:t xml:space="preserve"> </w:t>
      </w:r>
    </w:p>
    <w:p w14:paraId="0EDD585A" w14:textId="41381210" w:rsidR="00EF7556" w:rsidRDefault="00B86459" w:rsidP="00EF7556">
      <w:pPr>
        <w:pStyle w:val="MemoBodyText"/>
      </w:pPr>
      <w:r>
        <w:t xml:space="preserve">All of these bills predate the decision in </w:t>
      </w:r>
      <w:r>
        <w:rPr>
          <w:i/>
        </w:rPr>
        <w:t xml:space="preserve">Tandy </w:t>
      </w:r>
      <w:r w:rsidRPr="00B86459">
        <w:rPr>
          <w:i/>
        </w:rPr>
        <w:t>II</w:t>
      </w:r>
      <w:r>
        <w:t xml:space="preserve">. And they confirm that </w:t>
      </w:r>
      <w:r w:rsidR="00EF7556" w:rsidRPr="00B86459">
        <w:t>Ms</w:t>
      </w:r>
      <w:r w:rsidR="00EF7556">
        <w:t xml:space="preserve">. Tandy </w:t>
      </w:r>
      <w:r>
        <w:t>continues to believe</w:t>
      </w:r>
      <w:r w:rsidR="00EF7556">
        <w:t xml:space="preserve"> that she is only required to pay for current consumption.</w:t>
      </w:r>
      <w:r>
        <w:t xml:space="preserve"> </w:t>
      </w:r>
      <w:r w:rsidR="00EF7556">
        <w:t xml:space="preserve">But once again, this precise issue was raised and resolved in </w:t>
      </w:r>
      <w:r w:rsidR="00EF7556">
        <w:rPr>
          <w:i/>
        </w:rPr>
        <w:t>Tandy I</w:t>
      </w:r>
      <w:r w:rsidR="00EF7556">
        <w:t xml:space="preserve">: </w:t>
      </w:r>
    </w:p>
    <w:p w14:paraId="5C931F41" w14:textId="77777777" w:rsidR="00EF7556" w:rsidRDefault="00EF7556" w:rsidP="00EF7556">
      <w:pPr>
        <w:pStyle w:val="MemoBodyText"/>
        <w:spacing w:after="240" w:line="240" w:lineRule="auto"/>
        <w:ind w:left="720" w:right="720" w:firstLine="0"/>
      </w:pPr>
      <w:r w:rsidRPr="0061550E">
        <w:t>Although, the record demonstrates that Ms. Tandy consistently made a payment of at least $30.00 each month</w:t>
      </w:r>
      <w:r>
        <w:t> . . </w:t>
      </w:r>
      <w:proofErr w:type="gramStart"/>
      <w:r>
        <w:t xml:space="preserve">. </w:t>
      </w:r>
      <w:r w:rsidRPr="0061550E">
        <w:t>,</w:t>
      </w:r>
      <w:proofErr w:type="gramEnd"/>
      <w:r w:rsidRPr="0061550E">
        <w:t xml:space="preserve"> her actual outstanding balance remained approximately $400 through the bill issued December 7, 2012. Despite the complainant</w:t>
      </w:r>
      <w:r>
        <w:t>’</w:t>
      </w:r>
      <w:r w:rsidRPr="0061550E">
        <w:t xml:space="preserve">s allegations, nothing in the record supports the claims that CEI has </w:t>
      </w:r>
      <w:r>
        <w:t xml:space="preserve">failed to correctly reflect her . . . </w:t>
      </w:r>
      <w:r w:rsidRPr="0061550E">
        <w:t>payments made on her account at 1439 Sulzer Avenue.</w:t>
      </w:r>
      <w:r>
        <w:t xml:space="preserve">  </w:t>
      </w:r>
    </w:p>
    <w:p w14:paraId="3C205A6F" w14:textId="1AC4B97C" w:rsidR="00EF7556" w:rsidRPr="0061550E" w:rsidRDefault="00EF7556" w:rsidP="00B86459">
      <w:pPr>
        <w:pStyle w:val="MemoBodyText"/>
        <w:ind w:firstLine="0"/>
      </w:pPr>
      <w:r>
        <w:rPr>
          <w:i/>
        </w:rPr>
        <w:t>Tandy I</w:t>
      </w:r>
      <w:r>
        <w:t xml:space="preserve">, Order at 8. </w:t>
      </w:r>
      <w:r>
        <w:rPr>
          <w:i/>
        </w:rPr>
        <w:t xml:space="preserve">Tandy I </w:t>
      </w:r>
      <w:r>
        <w:t>already held that Ms. Tandy must pay the entire balance due; she cannot ignore past-due balances and merely pay for current consumption. Her attempt to relitigate this issue</w:t>
      </w:r>
      <w:r w:rsidR="00B86459">
        <w:t>—indeed, to relitigate these very bills—</w:t>
      </w:r>
      <w:r>
        <w:t>is also barred.</w:t>
      </w:r>
    </w:p>
    <w:p w14:paraId="403A1C55" w14:textId="46119FAC" w:rsidR="00EF7556" w:rsidRDefault="00EF7556" w:rsidP="00EF7556">
      <w:pPr>
        <w:pStyle w:val="MemoHeading4"/>
      </w:pPr>
      <w:r>
        <w:rPr>
          <w:i/>
        </w:rPr>
        <w:t xml:space="preserve">Tandy </w:t>
      </w:r>
      <w:r w:rsidR="006F1B81">
        <w:rPr>
          <w:i/>
        </w:rPr>
        <w:t>I</w:t>
      </w:r>
      <w:r>
        <w:rPr>
          <w:i/>
        </w:rPr>
        <w:t xml:space="preserve">I </w:t>
      </w:r>
      <w:r w:rsidR="003E042F">
        <w:t xml:space="preserve">settled </w:t>
      </w:r>
      <w:r>
        <w:t xml:space="preserve">the </w:t>
      </w:r>
      <w:r w:rsidR="003E042F">
        <w:t xml:space="preserve">legality </w:t>
      </w:r>
      <w:r w:rsidR="006F1B81">
        <w:t xml:space="preserve">of </w:t>
      </w:r>
      <w:r w:rsidR="003E042F">
        <w:t xml:space="preserve">both </w:t>
      </w:r>
      <w:r w:rsidR="006F1B81">
        <w:t>the September 24, 2013</w:t>
      </w:r>
      <w:r w:rsidR="00ED37A7">
        <w:t xml:space="preserve"> and May 30, 2014</w:t>
      </w:r>
      <w:r w:rsidR="006F1B81">
        <w:t xml:space="preserve"> disconnection</w:t>
      </w:r>
      <w:r w:rsidR="00ED37A7">
        <w:t>s</w:t>
      </w:r>
      <w:r>
        <w:t>.</w:t>
      </w:r>
    </w:p>
    <w:p w14:paraId="01EFC0F3" w14:textId="16365291" w:rsidR="00ED37A7" w:rsidRDefault="00ED37A7" w:rsidP="00EF7556">
      <w:pPr>
        <w:pStyle w:val="MemoBodyText"/>
      </w:pPr>
      <w:r>
        <w:t>Ms. Tandy also challenges t</w:t>
      </w:r>
      <w:r w:rsidR="006F1B81">
        <w:t xml:space="preserve">he disconnection of service on </w:t>
      </w:r>
      <w:r w:rsidR="003E042F">
        <w:t xml:space="preserve">two separate occasions, </w:t>
      </w:r>
      <w:r w:rsidR="006F1B81">
        <w:t>September 24, 2013,</w:t>
      </w:r>
      <w:r>
        <w:t xml:space="preserve"> and May 30, 2014. Both disconnections </w:t>
      </w:r>
      <w:r w:rsidR="006F1B81">
        <w:t>postdate</w:t>
      </w:r>
      <w:r>
        <w:t xml:space="preserve"> </w:t>
      </w:r>
      <w:r w:rsidR="006F1B81">
        <w:t xml:space="preserve">the Order in </w:t>
      </w:r>
      <w:r w:rsidR="006F1B81">
        <w:rPr>
          <w:i/>
        </w:rPr>
        <w:t>Tandy I</w:t>
      </w:r>
      <w:r w:rsidR="006F1B81">
        <w:t xml:space="preserve">. </w:t>
      </w:r>
      <w:r>
        <w:t xml:space="preserve">But </w:t>
      </w:r>
      <w:r w:rsidR="006F1B81">
        <w:t xml:space="preserve">Ms. Tandy raised </w:t>
      </w:r>
      <w:r>
        <w:t xml:space="preserve">both </w:t>
      </w:r>
      <w:r w:rsidR="006F1B81">
        <w:t>issue</w:t>
      </w:r>
      <w:r>
        <w:t>s</w:t>
      </w:r>
      <w:r w:rsidR="006F1B81">
        <w:t xml:space="preserve"> in </w:t>
      </w:r>
      <w:r w:rsidR="006F1B81">
        <w:rPr>
          <w:i/>
        </w:rPr>
        <w:t>Tandy II</w:t>
      </w:r>
      <w:r w:rsidR="003E042F">
        <w:t>.</w:t>
      </w:r>
      <w:r w:rsidR="006F1B81">
        <w:t xml:space="preserve"> </w:t>
      </w:r>
      <w:r w:rsidR="003E042F">
        <w:t xml:space="preserve">In her complaint, she </w:t>
      </w:r>
      <w:r w:rsidR="006F1B81">
        <w:t>claim</w:t>
      </w:r>
      <w:r w:rsidR="003E042F">
        <w:t>ed</w:t>
      </w:r>
      <w:r w:rsidR="006F1B81">
        <w:t xml:space="preserve"> </w:t>
      </w:r>
      <w:r w:rsidR="00345402">
        <w:t xml:space="preserve">her service was turned off </w:t>
      </w:r>
      <w:r w:rsidR="003E042F">
        <w:t xml:space="preserve">in September 2013 </w:t>
      </w:r>
      <w:r w:rsidR="00345402">
        <w:t>because she “refused to pay a company that acts like gangsters strong arming clients to pay money they don’t owe</w:t>
      </w:r>
      <w:r w:rsidR="003E042F">
        <w:t>.</w:t>
      </w:r>
      <w:r w:rsidR="00345402">
        <w:t xml:space="preserve">” </w:t>
      </w:r>
      <w:r>
        <w:t>(</w:t>
      </w:r>
      <w:r w:rsidR="00345402">
        <w:rPr>
          <w:i/>
        </w:rPr>
        <w:t>Tandy II</w:t>
      </w:r>
      <w:r w:rsidR="00D42049">
        <w:rPr>
          <w:i/>
        </w:rPr>
        <w:t>,</w:t>
      </w:r>
      <w:r w:rsidR="00345402">
        <w:rPr>
          <w:i/>
        </w:rPr>
        <w:t xml:space="preserve"> </w:t>
      </w:r>
      <w:r w:rsidR="00345402">
        <w:t>Complaint at 9</w:t>
      </w:r>
      <w:r w:rsidR="003E042F">
        <w:t>.</w:t>
      </w:r>
      <w:r>
        <w:t>)</w:t>
      </w:r>
      <w:r w:rsidR="00345402">
        <w:t xml:space="preserve"> </w:t>
      </w:r>
      <w:r w:rsidR="003E042F">
        <w:t>Then after her complaint, but before the Order, she also challenged the May 2014 disconnection. (</w:t>
      </w:r>
      <w:r w:rsidR="003E042F" w:rsidRPr="001022D2">
        <w:rPr>
          <w:i/>
        </w:rPr>
        <w:t xml:space="preserve">See </w:t>
      </w:r>
      <w:r w:rsidR="003E042F">
        <w:rPr>
          <w:i/>
        </w:rPr>
        <w:t>Tandy II</w:t>
      </w:r>
      <w:r w:rsidR="003E042F">
        <w:t>, Correspondence (June 3, 2014).)</w:t>
      </w:r>
    </w:p>
    <w:p w14:paraId="105DB1B6" w14:textId="5C77B698" w:rsidR="00EF7556" w:rsidRPr="003E042F" w:rsidRDefault="00ED37A7" w:rsidP="00EF7556">
      <w:pPr>
        <w:pStyle w:val="MemoBodyText"/>
      </w:pPr>
      <w:r>
        <w:t>T</w:t>
      </w:r>
      <w:r w:rsidR="00345402">
        <w:t xml:space="preserve">he Commission dismissed that </w:t>
      </w:r>
      <w:r w:rsidR="003E042F">
        <w:t>complaint in its entirety, and specifically upheld CEI’s right to disconnect her service.</w:t>
      </w:r>
      <w:r w:rsidR="00345402">
        <w:t xml:space="preserve"> “[</w:t>
      </w:r>
      <w:proofErr w:type="gramStart"/>
      <w:r w:rsidR="00345402">
        <w:t>T]he</w:t>
      </w:r>
      <w:proofErr w:type="gramEnd"/>
      <w:r w:rsidR="00345402">
        <w:t xml:space="preserve"> disconnection of Complainant’s electric service was a consequence of the Commission’s decision in </w:t>
      </w:r>
      <w:r w:rsidR="00345402">
        <w:rPr>
          <w:i/>
        </w:rPr>
        <w:t>Tandy CEI 1</w:t>
      </w:r>
      <w:r w:rsidR="00345402">
        <w:t xml:space="preserve"> and therefore, this claim is also barred.” </w:t>
      </w:r>
      <w:proofErr w:type="gramStart"/>
      <w:r w:rsidR="00345402">
        <w:t>Entry at 6.</w:t>
      </w:r>
      <w:proofErr w:type="gramEnd"/>
      <w:r w:rsidR="003E042F">
        <w:t xml:space="preserve"> Although the Commission specifically noted the May 30, 2014 disconnection, </w:t>
      </w:r>
      <w:r w:rsidR="003E042F">
        <w:rPr>
          <w:i/>
        </w:rPr>
        <w:t>see id</w:t>
      </w:r>
      <w:r w:rsidR="003E042F" w:rsidRPr="0019242C">
        <w:rPr>
          <w:i/>
        </w:rPr>
        <w:t>.</w:t>
      </w:r>
      <w:r w:rsidR="003E042F">
        <w:t xml:space="preserve"> </w:t>
      </w:r>
      <w:proofErr w:type="gramStart"/>
      <w:r w:rsidR="003E042F">
        <w:t>at</w:t>
      </w:r>
      <w:proofErr w:type="gramEnd"/>
      <w:r w:rsidR="003E042F">
        <w:t xml:space="preserve"> 3–4, it did not question its legality in any way. </w:t>
      </w:r>
    </w:p>
    <w:p w14:paraId="01EE5496" w14:textId="02170EDC" w:rsidR="00522974" w:rsidRPr="00345402" w:rsidRDefault="003E042F">
      <w:pPr>
        <w:pStyle w:val="MemoBodyText"/>
      </w:pPr>
      <w:r>
        <w:t xml:space="preserve">The fact that the Commission has already addressed both disconnections in prior orders conclusively settles their legality. Moreover, </w:t>
      </w:r>
      <w:r w:rsidRPr="00D42049">
        <w:t xml:space="preserve">Ms. Tandy’s only complaint regarding </w:t>
      </w:r>
      <w:r>
        <w:t xml:space="preserve">these </w:t>
      </w:r>
      <w:r w:rsidRPr="00D42049">
        <w:t>disconnection</w:t>
      </w:r>
      <w:r>
        <w:t>s</w:t>
      </w:r>
      <w:r w:rsidRPr="00D42049">
        <w:t xml:space="preserve"> </w:t>
      </w:r>
      <w:r>
        <w:t xml:space="preserve">is </w:t>
      </w:r>
      <w:r w:rsidRPr="00D42049">
        <w:t>that she did not owe the underlying balance</w:t>
      </w:r>
      <w:r>
        <w:t>s</w:t>
      </w:r>
      <w:r w:rsidRPr="00D42049">
        <w:t xml:space="preserve">—and this was the central issue </w:t>
      </w:r>
      <w:r>
        <w:t xml:space="preserve">expressly </w:t>
      </w:r>
      <w:r w:rsidRPr="00D42049">
        <w:t xml:space="preserve">resolved in </w:t>
      </w:r>
      <w:r w:rsidRPr="00D42049">
        <w:rPr>
          <w:i/>
        </w:rPr>
        <w:t>Tandy I</w:t>
      </w:r>
      <w:r w:rsidRPr="00D42049">
        <w:t xml:space="preserve">. </w:t>
      </w:r>
      <w:r>
        <w:t xml:space="preserve">Both disconnections were </w:t>
      </w:r>
      <w:r w:rsidR="00345402">
        <w:t xml:space="preserve">warranted </w:t>
      </w:r>
      <w:r>
        <w:t xml:space="preserve">by </w:t>
      </w:r>
      <w:r w:rsidR="00345402">
        <w:t>the Commission</w:t>
      </w:r>
      <w:r>
        <w:t>’s</w:t>
      </w:r>
      <w:r w:rsidR="00345402">
        <w:t xml:space="preserve"> Order in </w:t>
      </w:r>
      <w:r w:rsidR="00345402">
        <w:rPr>
          <w:i/>
        </w:rPr>
        <w:t>Tandy I,</w:t>
      </w:r>
      <w:r w:rsidR="00345402">
        <w:t xml:space="preserve"> and </w:t>
      </w:r>
      <w:r>
        <w:t xml:space="preserve">both were before the Commission </w:t>
      </w:r>
      <w:r w:rsidR="00345402">
        <w:t xml:space="preserve">in </w:t>
      </w:r>
      <w:r w:rsidR="00345402">
        <w:rPr>
          <w:i/>
        </w:rPr>
        <w:t>Tandy II</w:t>
      </w:r>
      <w:r w:rsidR="00345402">
        <w:t xml:space="preserve">. Her attempt to relitigate </w:t>
      </w:r>
      <w:r>
        <w:t xml:space="preserve">these </w:t>
      </w:r>
      <w:r w:rsidR="00345402">
        <w:t>issue</w:t>
      </w:r>
      <w:r>
        <w:t>s</w:t>
      </w:r>
      <w:r w:rsidR="00345402">
        <w:t xml:space="preserve"> is </w:t>
      </w:r>
      <w:r>
        <w:t xml:space="preserve">also </w:t>
      </w:r>
      <w:r w:rsidR="00345402">
        <w:t>barred.</w:t>
      </w:r>
    </w:p>
    <w:p w14:paraId="1A1AB93E" w14:textId="17DD74DF" w:rsidR="00EF7556" w:rsidRDefault="00EF7556" w:rsidP="00EF7556">
      <w:pPr>
        <w:pStyle w:val="MemoHeading3"/>
      </w:pPr>
      <w:r>
        <w:t xml:space="preserve">Other claims raised in </w:t>
      </w:r>
      <w:r>
        <w:rPr>
          <w:i/>
        </w:rPr>
        <w:t>Tandy I</w:t>
      </w:r>
      <w:r w:rsidR="006F1B81">
        <w:rPr>
          <w:i/>
        </w:rPr>
        <w:t>I</w:t>
      </w:r>
      <w:r>
        <w:rPr>
          <w:i/>
        </w:rPr>
        <w:t xml:space="preserve">I </w:t>
      </w:r>
      <w:r>
        <w:t xml:space="preserve">could have been raised in </w:t>
      </w:r>
      <w:r>
        <w:rPr>
          <w:i/>
        </w:rPr>
        <w:t>Tandy I</w:t>
      </w:r>
      <w:r w:rsidR="006F1B81">
        <w:t xml:space="preserve"> or </w:t>
      </w:r>
      <w:r w:rsidR="006F1B81">
        <w:rPr>
          <w:i/>
        </w:rPr>
        <w:t>Tandy II</w:t>
      </w:r>
      <w:r w:rsidR="006F1B81">
        <w:t xml:space="preserve">. </w:t>
      </w:r>
    </w:p>
    <w:p w14:paraId="0E413374" w14:textId="3E08624B" w:rsidR="00EF7556" w:rsidRPr="009903F2" w:rsidRDefault="003E042F" w:rsidP="00EF7556">
      <w:pPr>
        <w:pStyle w:val="MemoBodyText"/>
        <w:rPr>
          <w:i/>
        </w:rPr>
      </w:pPr>
      <w:r>
        <w:t xml:space="preserve">Finally, </w:t>
      </w:r>
      <w:r w:rsidR="00EF7556">
        <w:rPr>
          <w:i/>
        </w:rPr>
        <w:t>Tandy I</w:t>
      </w:r>
      <w:r w:rsidR="006F1B81">
        <w:rPr>
          <w:i/>
        </w:rPr>
        <w:t>I</w:t>
      </w:r>
      <w:r w:rsidR="00EF7556">
        <w:rPr>
          <w:i/>
        </w:rPr>
        <w:t>I</w:t>
      </w:r>
      <w:r w:rsidR="00EF7556">
        <w:t xml:space="preserve"> also raises numerous </w:t>
      </w:r>
      <w:r>
        <w:t xml:space="preserve">other </w:t>
      </w:r>
      <w:r w:rsidR="00EF7556">
        <w:t xml:space="preserve">claims that </w:t>
      </w:r>
      <w:r w:rsidR="00EF7556" w:rsidRPr="00EE507E">
        <w:t xml:space="preserve">could have been raised </w:t>
      </w:r>
      <w:r w:rsidR="00EF7556">
        <w:t xml:space="preserve">in </w:t>
      </w:r>
      <w:r w:rsidR="006F1B81">
        <w:t>either of the prior two cases.</w:t>
      </w:r>
      <w:r w:rsidR="00EF7556" w:rsidRPr="009903F2">
        <w:t xml:space="preserve"> </w:t>
      </w:r>
      <w:r w:rsidR="00EF7556">
        <w:t xml:space="preserve">Such claims are also barred by res judicata. </w:t>
      </w:r>
      <w:r w:rsidR="00EF7556">
        <w:rPr>
          <w:i/>
        </w:rPr>
        <w:t>See, e.g.</w:t>
      </w:r>
      <w:r w:rsidR="00EF7556">
        <w:t xml:space="preserve">, </w:t>
      </w:r>
      <w:r w:rsidR="00EF7556" w:rsidRPr="00E451DA">
        <w:rPr>
          <w:i/>
          <w:iCs/>
        </w:rPr>
        <w:t>Grava</w:t>
      </w:r>
      <w:r w:rsidR="00EF7556">
        <w:rPr>
          <w:iCs/>
        </w:rPr>
        <w:t>,</w:t>
      </w:r>
      <w:r w:rsidR="00EF7556" w:rsidRPr="00E451DA">
        <w:t xml:space="preserve"> 73 Ohio St.3d </w:t>
      </w:r>
      <w:r w:rsidR="00EF7556">
        <w:t>at</w:t>
      </w:r>
      <w:r w:rsidR="00EF7556" w:rsidRPr="00E451DA">
        <w:t xml:space="preserve"> 382 (1995) </w:t>
      </w:r>
      <w:r w:rsidR="00EF7556">
        <w:t>(“[</w:t>
      </w:r>
      <w:proofErr w:type="gramStart"/>
      <w:r w:rsidR="00EF7556">
        <w:t>A]</w:t>
      </w:r>
      <w:r w:rsidR="00EF7556" w:rsidRPr="00E451DA">
        <w:t>n</w:t>
      </w:r>
      <w:proofErr w:type="gramEnd"/>
      <w:r w:rsidR="00EF7556" w:rsidRPr="00E451DA">
        <w:t xml:space="preserve"> existing final judgment or decree between </w:t>
      </w:r>
      <w:r w:rsidR="00EF7556">
        <w:t xml:space="preserve">the parties to litigation . . . </w:t>
      </w:r>
      <w:r w:rsidR="00EF7556" w:rsidRPr="00E451DA">
        <w:t xml:space="preserve">conclusive as to all claims which were </w:t>
      </w:r>
      <w:r w:rsidR="00EF7556" w:rsidRPr="00E451DA">
        <w:rPr>
          <w:i/>
          <w:iCs/>
        </w:rPr>
        <w:t xml:space="preserve">or might have been </w:t>
      </w:r>
      <w:r w:rsidR="00EF7556">
        <w:t xml:space="preserve">litigated in a first lawsuit.”) </w:t>
      </w:r>
      <w:r w:rsidR="00EF7556" w:rsidRPr="00E451DA">
        <w:t>(</w:t>
      </w:r>
      <w:proofErr w:type="gramStart"/>
      <w:r w:rsidR="00EF7556" w:rsidRPr="00E451DA">
        <w:t>emphasis</w:t>
      </w:r>
      <w:proofErr w:type="gramEnd"/>
      <w:r w:rsidR="00EF7556" w:rsidRPr="00E451DA">
        <w:t xml:space="preserve"> sic) (</w:t>
      </w:r>
      <w:proofErr w:type="gramStart"/>
      <w:r w:rsidR="00EF7556" w:rsidRPr="00E451DA">
        <w:t>internal</w:t>
      </w:r>
      <w:proofErr w:type="gramEnd"/>
      <w:r w:rsidR="00EF7556">
        <w:t xml:space="preserve"> quotations omitted).</w:t>
      </w:r>
    </w:p>
    <w:p w14:paraId="765F97E5" w14:textId="4813E085" w:rsidR="00EF7556" w:rsidRPr="00345402" w:rsidRDefault="00EF7556" w:rsidP="00EF7556">
      <w:pPr>
        <w:pStyle w:val="MemoBodyText"/>
        <w:rPr>
          <w:highlight w:val="yellow"/>
        </w:rPr>
      </w:pPr>
      <w:r w:rsidRPr="00902DED">
        <w:t xml:space="preserve">For example, Ms. Tandy asserts that another illegal transfer occurred in </w:t>
      </w:r>
      <w:r w:rsidR="00345402" w:rsidRPr="00902DED">
        <w:t>April 2011</w:t>
      </w:r>
      <w:r w:rsidRPr="00902DED">
        <w:t>. (</w:t>
      </w:r>
      <w:r w:rsidRPr="00902DED">
        <w:rPr>
          <w:i/>
        </w:rPr>
        <w:t>See, e.g.</w:t>
      </w:r>
      <w:r w:rsidR="00902DED" w:rsidRPr="00902DED">
        <w:t>, Complaint at 3-4</w:t>
      </w:r>
      <w:r w:rsidRPr="00902DED">
        <w:t xml:space="preserve"> (“</w:t>
      </w:r>
      <w:r w:rsidR="00902DED" w:rsidRPr="00902DED">
        <w:t>On April 4, 2011, my $43.00 payment was stolen by the Illuminating [Co], sending that $43.00 payment to 1441 Sulzer, my rental</w:t>
      </w:r>
      <w:r w:rsidRPr="00902DED">
        <w:t>”</w:t>
      </w:r>
      <w:r w:rsidR="00902DED" w:rsidRPr="00902DED">
        <w:t xml:space="preserve"> and claiming CEI refused to correct the error so it could create an “illegal deficit”</w:t>
      </w:r>
      <w:r w:rsidRPr="00902DED">
        <w:t>)</w:t>
      </w:r>
      <w:r w:rsidR="00902DED" w:rsidRPr="00902DED">
        <w:t>.) The</w:t>
      </w:r>
      <w:r w:rsidRPr="00902DED">
        <w:t xml:space="preserve"> complaint </w:t>
      </w:r>
      <w:r w:rsidR="00902DED" w:rsidRPr="00902DED">
        <w:t>also contains multiple</w:t>
      </w:r>
      <w:r w:rsidRPr="00902DED">
        <w:t xml:space="preserve"> allegations </w:t>
      </w:r>
      <w:r w:rsidR="00902DED" w:rsidRPr="00902DED">
        <w:t xml:space="preserve">that Ms. Tandy’s PIPP status was adjusted without her consent </w:t>
      </w:r>
      <w:r w:rsidR="00902DED">
        <w:t>from 2009 to 2011</w:t>
      </w:r>
      <w:r w:rsidRPr="00902DED">
        <w:t xml:space="preserve"> (</w:t>
      </w:r>
      <w:r w:rsidRPr="00902DED">
        <w:rPr>
          <w:i/>
        </w:rPr>
        <w:t>See, e.g.</w:t>
      </w:r>
      <w:r w:rsidRPr="00902DED">
        <w:t xml:space="preserve">, </w:t>
      </w:r>
      <w:r w:rsidRPr="00902DED">
        <w:rPr>
          <w:i/>
        </w:rPr>
        <w:t>id</w:t>
      </w:r>
      <w:r w:rsidRPr="000B15AC">
        <w:rPr>
          <w:i/>
        </w:rPr>
        <w:t>.</w:t>
      </w:r>
      <w:r w:rsidRPr="00902DED">
        <w:t xml:space="preserve"> at </w:t>
      </w:r>
      <w:r w:rsidR="00902DED" w:rsidRPr="00902DED">
        <w:t>2, 6, 9</w:t>
      </w:r>
      <w:r w:rsidRPr="00902DED">
        <w:t xml:space="preserve"> (</w:t>
      </w:r>
      <w:r w:rsidR="00902DED" w:rsidRPr="00902DED">
        <w:t>claiming CEI converted her account from PIPP to PIPP Plus without her authorization</w:t>
      </w:r>
      <w:r w:rsidRPr="00902DED">
        <w:t>).)</w:t>
      </w:r>
    </w:p>
    <w:p w14:paraId="4C531338" w14:textId="43A0FB46" w:rsidR="00EF7556" w:rsidRDefault="00EF7556" w:rsidP="00EF7556">
      <w:pPr>
        <w:pStyle w:val="MemoBodyText"/>
      </w:pPr>
      <w:r w:rsidRPr="00902DED">
        <w:t xml:space="preserve">But because these claims predate </w:t>
      </w:r>
      <w:r w:rsidRPr="00902DED">
        <w:rPr>
          <w:i/>
        </w:rPr>
        <w:t>Tandy I</w:t>
      </w:r>
      <w:r w:rsidRPr="00902DED">
        <w:t xml:space="preserve"> and pertain to the same parties and issues, res judicata still applies. These claims could have been raised; whether they were or were not is irrelevant. For example, the allegedly </w:t>
      </w:r>
      <w:r w:rsidR="00902DED" w:rsidRPr="00902DED">
        <w:t>stolen payment</w:t>
      </w:r>
      <w:r w:rsidRPr="00902DED">
        <w:t xml:space="preserve"> occurred on </w:t>
      </w:r>
      <w:r w:rsidR="00902DED" w:rsidRPr="00902DED">
        <w:t>April 4, 2011</w:t>
      </w:r>
      <w:r w:rsidRPr="00902DED">
        <w:t xml:space="preserve">, </w:t>
      </w:r>
      <w:r w:rsidR="00902DED" w:rsidRPr="00902DED">
        <w:t>more than a year before the filing</w:t>
      </w:r>
      <w:r w:rsidRPr="00902DED">
        <w:t xml:space="preserve"> of Ms. Tandy’s original complaint</w:t>
      </w:r>
      <w:r w:rsidR="00902DED">
        <w:t xml:space="preserve"> in July 2012. </w:t>
      </w:r>
      <w:r>
        <w:t xml:space="preserve">And all of these claims involve the same parties and same nucleus of facts and transactions as </w:t>
      </w:r>
      <w:r>
        <w:rPr>
          <w:i/>
        </w:rPr>
        <w:t>Tandy I</w:t>
      </w:r>
      <w:r>
        <w:t xml:space="preserve">: CEI’s accounting of billing and payments on her electric service account at 1439 Sulzer Avenue, </w:t>
      </w:r>
      <w:r w:rsidR="00902DED">
        <w:t>and the validity of charges to that account.</w:t>
      </w:r>
    </w:p>
    <w:p w14:paraId="03818C1F" w14:textId="5BCFD162" w:rsidR="0040782E" w:rsidRDefault="00EF7556" w:rsidP="0040782E">
      <w:pPr>
        <w:pStyle w:val="MemoBodyText"/>
      </w:pPr>
      <w:r>
        <w:t xml:space="preserve">Thus, Ms. Tandy was required to raise these issues in </w:t>
      </w:r>
      <w:r>
        <w:rPr>
          <w:i/>
        </w:rPr>
        <w:t>Tandy I</w:t>
      </w:r>
      <w:r w:rsidR="00345402">
        <w:t xml:space="preserve"> or </w:t>
      </w:r>
      <w:r w:rsidR="00345402">
        <w:rPr>
          <w:i/>
        </w:rPr>
        <w:t>Tandy II</w:t>
      </w:r>
      <w:r>
        <w:t xml:space="preserve">. Her failure to do so then means that she is barred from raising them now. </w:t>
      </w:r>
    </w:p>
    <w:p w14:paraId="7DA77D30" w14:textId="1BE92F7F" w:rsidR="00EF7556" w:rsidRDefault="00EF7556">
      <w:pPr>
        <w:pStyle w:val="MemoHeading2"/>
      </w:pPr>
      <w:r>
        <w:t>Ms. Tandy has been given more than a fair opportunity to litigate her case; this dispute must be permitted to come to an end.</w:t>
      </w:r>
    </w:p>
    <w:p w14:paraId="1D7AA6A1" w14:textId="77777777" w:rsidR="00EF7556" w:rsidRDefault="00EF7556" w:rsidP="00EF7556">
      <w:pPr>
        <w:pStyle w:val="MemoBodyText"/>
      </w:pPr>
      <w:r w:rsidRPr="007B3CA2">
        <w:t xml:space="preserve">In </w:t>
      </w:r>
      <w:r w:rsidRPr="007B3CA2">
        <w:rPr>
          <w:i/>
        </w:rPr>
        <w:t>National Amusements, Inc. v. City of Springdale</w:t>
      </w:r>
      <w:r w:rsidRPr="007B3CA2">
        <w:t xml:space="preserve">, </w:t>
      </w:r>
      <w:r>
        <w:t xml:space="preserve">the Supreme Court of Ohio explained, “The doctrine of res judicata </w:t>
      </w:r>
      <w:r w:rsidRPr="007B3CA2">
        <w:t>encourages reliance on judicial decisions, bars vexatious litigation, and frees the co</w:t>
      </w:r>
      <w:r>
        <w:t xml:space="preserve">urt to resolve other </w:t>
      </w:r>
      <w:proofErr w:type="gramStart"/>
      <w:r>
        <w:t>disputes.</w:t>
      </w:r>
      <w:proofErr w:type="gramEnd"/>
      <w:r>
        <w:t> . . . I</w:t>
      </w:r>
      <w:r w:rsidRPr="007B3CA2">
        <w:t>ts enforcement is essential to th</w:t>
      </w:r>
      <w:r>
        <w:t xml:space="preserve">e maintenance of social order; for, the aid of judicial tribunals would not be invoked for the vindication of rights of person and property, if . . . conclusiveness did not attend the judgments of such tribunals.” </w:t>
      </w:r>
      <w:proofErr w:type="gramStart"/>
      <w:r w:rsidRPr="007B3CA2">
        <w:t>5</w:t>
      </w:r>
      <w:r>
        <w:t xml:space="preserve">3 Ohio St.3d 60, 62 </w:t>
      </w:r>
      <w:r w:rsidRPr="007B3CA2">
        <w:t>(1990</w:t>
      </w:r>
      <w:r>
        <w:t>) (internal quotations omitted).</w:t>
      </w:r>
      <w:proofErr w:type="gramEnd"/>
      <w:r>
        <w:t xml:space="preserve"> </w:t>
      </w:r>
    </w:p>
    <w:p w14:paraId="055742A3" w14:textId="77777777" w:rsidR="00EF7556" w:rsidRDefault="00EF7556" w:rsidP="00EF7556">
      <w:pPr>
        <w:pStyle w:val="MemoBodyText"/>
      </w:pPr>
      <w:r>
        <w:t xml:space="preserve">This case is a textbook example of why res judicata exists. In </w:t>
      </w:r>
      <w:r>
        <w:rPr>
          <w:i/>
        </w:rPr>
        <w:t>Tandy I</w:t>
      </w:r>
      <w:r>
        <w:t>,</w:t>
      </w:r>
      <w:r>
        <w:rPr>
          <w:i/>
        </w:rPr>
        <w:t xml:space="preserve"> </w:t>
      </w:r>
      <w:r>
        <w:t xml:space="preserve">the Commission gave Ms. Tandy a more-than-ample opportunity to litigate her case: she filed 99 pages of complaint material; submitted seven packets of “additional information” totaling roughly 140 pages; received a live, transcribed hearing before an attorney examiner; and presented a post-hearing brief and a </w:t>
      </w:r>
      <w:r w:rsidRPr="007574D0">
        <w:rPr>
          <w:i/>
        </w:rPr>
        <w:t>de facto</w:t>
      </w:r>
      <w:r>
        <w:t xml:space="preserve"> application for rehearing. She lost. </w:t>
      </w:r>
    </w:p>
    <w:p w14:paraId="0D42F383" w14:textId="3E062566" w:rsidR="00707F6B" w:rsidRPr="00707F6B" w:rsidRDefault="00707F6B" w:rsidP="00EF7556">
      <w:pPr>
        <w:pStyle w:val="MemoBodyText"/>
      </w:pPr>
      <w:r>
        <w:t xml:space="preserve">In </w:t>
      </w:r>
      <w:r>
        <w:rPr>
          <w:i/>
        </w:rPr>
        <w:t>Tandy II</w:t>
      </w:r>
      <w:r>
        <w:t xml:space="preserve">, she returned with the same grievances </w:t>
      </w:r>
      <w:r w:rsidR="00647D1F">
        <w:t>that</w:t>
      </w:r>
      <w:r>
        <w:t xml:space="preserve"> had already been heard and resolved. Her claims were rightfully </w:t>
      </w:r>
      <w:r w:rsidR="00647D1F">
        <w:t xml:space="preserve">held </w:t>
      </w:r>
      <w:r>
        <w:t>barred by res judicata.</w:t>
      </w:r>
    </w:p>
    <w:p w14:paraId="7FA41A03" w14:textId="1A6CADDC" w:rsidR="00EF7556" w:rsidRDefault="00EF7556" w:rsidP="00EF7556">
      <w:pPr>
        <w:pStyle w:val="MemoBodyText"/>
      </w:pPr>
      <w:r>
        <w:t>Now she has returned</w:t>
      </w:r>
      <w:r w:rsidR="00E7508C">
        <w:t xml:space="preserve"> with the </w:t>
      </w:r>
      <w:r w:rsidR="00E7508C" w:rsidRPr="001022D2">
        <w:rPr>
          <w:i/>
        </w:rPr>
        <w:t xml:space="preserve">same </w:t>
      </w:r>
      <w:r w:rsidR="00E7508C">
        <w:t xml:space="preserve">claims a </w:t>
      </w:r>
      <w:r w:rsidR="00E7508C" w:rsidRPr="001022D2">
        <w:rPr>
          <w:i/>
        </w:rPr>
        <w:t xml:space="preserve">third </w:t>
      </w:r>
      <w:r w:rsidR="00E7508C">
        <w:t>time</w:t>
      </w:r>
      <w:r>
        <w:t xml:space="preserve">, </w:t>
      </w:r>
      <w:r w:rsidR="00E7508C">
        <w:t xml:space="preserve">replete </w:t>
      </w:r>
      <w:r>
        <w:t xml:space="preserve">with </w:t>
      </w:r>
      <w:r w:rsidR="00707F6B">
        <w:t>another filing of dozens of pages</w:t>
      </w:r>
      <w:r>
        <w:t>, again covered with handwritten notes, excl</w:t>
      </w:r>
      <w:r w:rsidR="00707F6B">
        <w:t>amations, and other commentary</w:t>
      </w:r>
      <w:r w:rsidR="00D42049">
        <w:t xml:space="preserve">, again requiring pain-staking review to </w:t>
      </w:r>
      <w:r w:rsidR="00E7508C">
        <w:t xml:space="preserve">enable a </w:t>
      </w:r>
      <w:r w:rsidR="00D42049">
        <w:t>professional respon</w:t>
      </w:r>
      <w:r w:rsidR="00E7508C">
        <w:t>se</w:t>
      </w:r>
      <w:r w:rsidR="00707F6B">
        <w:t xml:space="preserve">. </w:t>
      </w:r>
      <w:r w:rsidR="00D42049">
        <w:t>And once again, that review has disclosed that there is nothing new in this case.</w:t>
      </w:r>
    </w:p>
    <w:p w14:paraId="5586EB23" w14:textId="4EA089EC" w:rsidR="00EF7556" w:rsidRDefault="00EF7556" w:rsidP="00EF7556">
      <w:pPr>
        <w:pStyle w:val="MemoBodyText"/>
      </w:pPr>
      <w:r>
        <w:t>Both the Commission and the Company have limited resources</w:t>
      </w:r>
      <w:r w:rsidR="00707F6B">
        <w:t>.</w:t>
      </w:r>
      <w:r>
        <w:t xml:space="preserve"> </w:t>
      </w:r>
      <w:r>
        <w:rPr>
          <w:i/>
        </w:rPr>
        <w:t xml:space="preserve">Tandy I </w:t>
      </w:r>
      <w:r w:rsidR="00707F6B">
        <w:t xml:space="preserve">and </w:t>
      </w:r>
      <w:r w:rsidR="00707F6B">
        <w:rPr>
          <w:i/>
        </w:rPr>
        <w:t xml:space="preserve">Tandy II </w:t>
      </w:r>
      <w:r w:rsidR="00707F6B" w:rsidRPr="00D42049">
        <w:t>have</w:t>
      </w:r>
      <w:r w:rsidR="00707F6B">
        <w:rPr>
          <w:i/>
        </w:rPr>
        <w:t xml:space="preserve"> </w:t>
      </w:r>
      <w:r>
        <w:t xml:space="preserve">already consumed a disproportionate share of those resources. No good purpose would be served by permitting a </w:t>
      </w:r>
      <w:r w:rsidR="00707F6B">
        <w:t>third</w:t>
      </w:r>
      <w:r>
        <w:t xml:space="preserve"> complaint on the same issues to go forward. Ms. Tandy has already had her day</w:t>
      </w:r>
      <w:r w:rsidR="00647D1F">
        <w:t>—or days—</w:t>
      </w:r>
      <w:r>
        <w:t xml:space="preserve">in court. </w:t>
      </w:r>
      <w:r>
        <w:rPr>
          <w:i/>
        </w:rPr>
        <w:t>Tandy I</w:t>
      </w:r>
      <w:r w:rsidR="00707F6B">
        <w:rPr>
          <w:i/>
        </w:rPr>
        <w:t>I</w:t>
      </w:r>
      <w:r>
        <w:rPr>
          <w:i/>
        </w:rPr>
        <w:t xml:space="preserve">I </w:t>
      </w:r>
      <w:r>
        <w:t>should be dismissed.</w:t>
      </w:r>
      <w:r w:rsidR="003E042F">
        <w:t xml:space="preserve"> </w:t>
      </w:r>
    </w:p>
    <w:p w14:paraId="3773171B" w14:textId="77777777" w:rsidR="00EF7556" w:rsidRPr="006F40CF" w:rsidRDefault="00EF7556" w:rsidP="00EF7556">
      <w:pPr>
        <w:pStyle w:val="MemoHeading1"/>
      </w:pPr>
      <w:r w:rsidRPr="006F40CF">
        <w:t>CONCLUSION</w:t>
      </w:r>
    </w:p>
    <w:p w14:paraId="554A27C5" w14:textId="77777777" w:rsidR="00EF7556" w:rsidRDefault="00EF7556" w:rsidP="00DA421C">
      <w:pPr>
        <w:pStyle w:val="MemoBodyText"/>
      </w:pPr>
      <w:r>
        <w:t xml:space="preserve">Accordingly, CEI respectfully requests that the Commission grant CEI’s motion to dismiss with prejudice. </w:t>
      </w:r>
    </w:p>
    <w:p w14:paraId="1B72810D" w14:textId="77777777" w:rsidR="00DA421C" w:rsidRDefault="00DA421C" w:rsidP="00E7508C">
      <w:pPr>
        <w:tabs>
          <w:tab w:val="left" w:pos="5040"/>
        </w:tabs>
        <w:rPr>
          <w:rFonts w:ascii="Times New Roman" w:hAnsi="Times New Roman" w:cs="Times New Roman"/>
        </w:rPr>
      </w:pPr>
    </w:p>
    <w:p w14:paraId="12CD9C4D" w14:textId="77777777" w:rsidR="00DA421C" w:rsidRDefault="00DA421C" w:rsidP="00E7508C">
      <w:pPr>
        <w:tabs>
          <w:tab w:val="left" w:pos="5040"/>
        </w:tabs>
        <w:rPr>
          <w:rFonts w:ascii="Times New Roman" w:hAnsi="Times New Roman" w:cs="Times New Roman"/>
        </w:rPr>
      </w:pPr>
    </w:p>
    <w:p w14:paraId="74F201DF" w14:textId="77777777" w:rsidR="00DA421C" w:rsidRDefault="00DA421C" w:rsidP="00E7508C">
      <w:pPr>
        <w:tabs>
          <w:tab w:val="left" w:pos="5040"/>
        </w:tabs>
        <w:rPr>
          <w:rFonts w:ascii="Times New Roman" w:hAnsi="Times New Roman" w:cs="Times New Roman"/>
        </w:rPr>
      </w:pPr>
    </w:p>
    <w:p w14:paraId="033EC84B" w14:textId="77777777" w:rsidR="00DA421C" w:rsidRDefault="00DA421C" w:rsidP="00E7508C">
      <w:pPr>
        <w:tabs>
          <w:tab w:val="left" w:pos="5040"/>
        </w:tabs>
        <w:rPr>
          <w:rFonts w:ascii="Times New Roman" w:hAnsi="Times New Roman" w:cs="Times New Roman"/>
        </w:rPr>
      </w:pPr>
    </w:p>
    <w:p w14:paraId="1A969787" w14:textId="77777777" w:rsidR="00DA421C" w:rsidRDefault="00DA421C" w:rsidP="00E7508C">
      <w:pPr>
        <w:tabs>
          <w:tab w:val="left" w:pos="5040"/>
        </w:tabs>
        <w:rPr>
          <w:rFonts w:ascii="Times New Roman" w:hAnsi="Times New Roman" w:cs="Times New Roman"/>
        </w:rPr>
      </w:pPr>
    </w:p>
    <w:p w14:paraId="1E3FC4F4" w14:textId="77777777" w:rsidR="00DA421C" w:rsidRDefault="00DA421C" w:rsidP="00E7508C">
      <w:pPr>
        <w:tabs>
          <w:tab w:val="left" w:pos="5040"/>
        </w:tabs>
        <w:rPr>
          <w:rFonts w:ascii="Times New Roman" w:hAnsi="Times New Roman" w:cs="Times New Roman"/>
        </w:rPr>
      </w:pPr>
    </w:p>
    <w:p w14:paraId="0F7383E2" w14:textId="77777777" w:rsidR="00DA421C" w:rsidRDefault="00DA421C" w:rsidP="00E7508C">
      <w:pPr>
        <w:tabs>
          <w:tab w:val="left" w:pos="5040"/>
        </w:tabs>
        <w:rPr>
          <w:rFonts w:ascii="Times New Roman" w:hAnsi="Times New Roman" w:cs="Times New Roman"/>
        </w:rPr>
      </w:pPr>
    </w:p>
    <w:p w14:paraId="5D973444" w14:textId="77777777" w:rsidR="00DA421C" w:rsidRDefault="00DA421C" w:rsidP="00E7508C">
      <w:pPr>
        <w:tabs>
          <w:tab w:val="left" w:pos="5040"/>
        </w:tabs>
        <w:rPr>
          <w:rFonts w:ascii="Times New Roman" w:hAnsi="Times New Roman" w:cs="Times New Roman"/>
        </w:rPr>
      </w:pPr>
    </w:p>
    <w:p w14:paraId="0CBCF344" w14:textId="77777777" w:rsidR="00DA421C" w:rsidRDefault="00DA421C" w:rsidP="00E7508C">
      <w:pPr>
        <w:tabs>
          <w:tab w:val="left" w:pos="5040"/>
        </w:tabs>
        <w:rPr>
          <w:rFonts w:ascii="Times New Roman" w:hAnsi="Times New Roman" w:cs="Times New Roman"/>
        </w:rPr>
      </w:pPr>
    </w:p>
    <w:p w14:paraId="47CD3405" w14:textId="77777777" w:rsidR="00DA421C" w:rsidRDefault="00DA421C" w:rsidP="00E7508C">
      <w:pPr>
        <w:tabs>
          <w:tab w:val="left" w:pos="5040"/>
        </w:tabs>
        <w:rPr>
          <w:rFonts w:ascii="Times New Roman" w:hAnsi="Times New Roman" w:cs="Times New Roman"/>
        </w:rPr>
      </w:pPr>
    </w:p>
    <w:p w14:paraId="26518620" w14:textId="77777777" w:rsidR="00DA421C" w:rsidRDefault="00DA421C" w:rsidP="00E7508C">
      <w:pPr>
        <w:tabs>
          <w:tab w:val="left" w:pos="5040"/>
        </w:tabs>
        <w:rPr>
          <w:rFonts w:ascii="Times New Roman" w:hAnsi="Times New Roman" w:cs="Times New Roman"/>
        </w:rPr>
      </w:pPr>
    </w:p>
    <w:p w14:paraId="20933917" w14:textId="77777777" w:rsidR="00DA421C" w:rsidRDefault="00DA421C" w:rsidP="00E7508C">
      <w:pPr>
        <w:tabs>
          <w:tab w:val="left" w:pos="5040"/>
        </w:tabs>
        <w:rPr>
          <w:rFonts w:ascii="Times New Roman" w:hAnsi="Times New Roman" w:cs="Times New Roman"/>
        </w:rPr>
      </w:pPr>
    </w:p>
    <w:p w14:paraId="4B01FB6D" w14:textId="77777777" w:rsidR="00DA421C" w:rsidRDefault="00DA421C" w:rsidP="00E7508C">
      <w:pPr>
        <w:tabs>
          <w:tab w:val="left" w:pos="5040"/>
        </w:tabs>
        <w:rPr>
          <w:rFonts w:ascii="Times New Roman" w:hAnsi="Times New Roman" w:cs="Times New Roman"/>
        </w:rPr>
      </w:pPr>
    </w:p>
    <w:p w14:paraId="261756CC" w14:textId="77777777" w:rsidR="00DA421C" w:rsidRDefault="00DA421C" w:rsidP="00E7508C">
      <w:pPr>
        <w:tabs>
          <w:tab w:val="left" w:pos="5040"/>
        </w:tabs>
        <w:rPr>
          <w:rFonts w:ascii="Times New Roman" w:hAnsi="Times New Roman" w:cs="Times New Roman"/>
        </w:rPr>
      </w:pPr>
    </w:p>
    <w:p w14:paraId="40648585" w14:textId="77777777" w:rsidR="00E7508C" w:rsidRPr="0032154A" w:rsidRDefault="00E7508C" w:rsidP="00E7508C">
      <w:pPr>
        <w:tabs>
          <w:tab w:val="left" w:pos="5040"/>
        </w:tabs>
        <w:rPr>
          <w:rFonts w:ascii="Times New Roman" w:hAnsi="Times New Roman" w:cs="Times New Roman"/>
        </w:rPr>
      </w:pPr>
      <w:r>
        <w:rPr>
          <w:rFonts w:ascii="Times New Roman" w:hAnsi="Times New Roman" w:cs="Times New Roman"/>
        </w:rPr>
        <w:t>Dated: March 16, 2015</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6B631448" w14:textId="77777777" w:rsidR="00E7508C" w:rsidRPr="0032154A" w:rsidRDefault="00E7508C" w:rsidP="00E7508C">
      <w:pPr>
        <w:ind w:left="5040"/>
        <w:rPr>
          <w:rFonts w:ascii="Times New Roman" w:hAnsi="Times New Roman" w:cs="Times New Roman"/>
        </w:rPr>
      </w:pPr>
    </w:p>
    <w:p w14:paraId="530E0D9C" w14:textId="77777777" w:rsidR="00E7508C" w:rsidRPr="0032154A" w:rsidRDefault="00E7508C" w:rsidP="00E7508C">
      <w:pPr>
        <w:ind w:left="5040"/>
        <w:rPr>
          <w:rFonts w:ascii="Times New Roman" w:hAnsi="Times New Roman" w:cs="Times New Roman"/>
        </w:rPr>
      </w:pPr>
      <w:r>
        <w:rPr>
          <w:rFonts w:ascii="Times New Roman" w:hAnsi="Times New Roman" w:cs="Times New Roman"/>
          <w:u w:val="single"/>
        </w:rPr>
        <w:t>/s/ Andrew J. Campbell</w:t>
      </w:r>
      <w:r>
        <w:rPr>
          <w:rFonts w:ascii="Times New Roman" w:hAnsi="Times New Roman" w:cs="Times New Roman"/>
          <w:u w:val="single"/>
        </w:rPr>
        <w:tab/>
      </w:r>
      <w:r>
        <w:rPr>
          <w:rFonts w:ascii="Times New Roman" w:hAnsi="Times New Roman" w:cs="Times New Roman"/>
          <w:u w:val="single"/>
        </w:rPr>
        <w:tab/>
      </w:r>
      <w:r w:rsidRPr="0032154A">
        <w:rPr>
          <w:rFonts w:ascii="Times New Roman" w:hAnsi="Times New Roman" w:cs="Times New Roman"/>
          <w:u w:val="single"/>
        </w:rPr>
        <w:tab/>
      </w:r>
    </w:p>
    <w:p w14:paraId="5D2CF276" w14:textId="77777777" w:rsidR="00E7508C" w:rsidRPr="00F81B71" w:rsidRDefault="00E7508C" w:rsidP="00E7508C">
      <w:pPr>
        <w:keepLines/>
        <w:ind w:left="5040"/>
        <w:rPr>
          <w:rFonts w:ascii="Times New Roman" w:hAnsi="Times New Roman"/>
        </w:rPr>
      </w:pPr>
      <w:r w:rsidRPr="00F81B71">
        <w:rPr>
          <w:rFonts w:ascii="Times New Roman" w:hAnsi="Times New Roman"/>
        </w:rPr>
        <w:t>Mark A. Whitt (0067996)</w:t>
      </w:r>
    </w:p>
    <w:p w14:paraId="205E7C13" w14:textId="77777777" w:rsidR="00E7508C" w:rsidRDefault="00E7508C" w:rsidP="00E7508C">
      <w:pPr>
        <w:keepLines/>
        <w:ind w:left="5040"/>
        <w:rPr>
          <w:rFonts w:ascii="Times New Roman" w:hAnsi="Times New Roman"/>
        </w:rPr>
      </w:pPr>
      <w:r w:rsidRPr="00F81B71">
        <w:rPr>
          <w:rFonts w:ascii="Times New Roman" w:hAnsi="Times New Roman"/>
        </w:rPr>
        <w:t>Andrew J. Campbell (0081485)</w:t>
      </w:r>
    </w:p>
    <w:p w14:paraId="63CAAB42" w14:textId="77777777" w:rsidR="00E7508C" w:rsidRPr="00F81B71" w:rsidRDefault="00E7508C" w:rsidP="00E7508C">
      <w:pPr>
        <w:keepLines/>
        <w:ind w:left="5040"/>
        <w:rPr>
          <w:rFonts w:ascii="Times New Roman" w:hAnsi="Times New Roman"/>
        </w:rPr>
      </w:pPr>
      <w:r>
        <w:rPr>
          <w:rFonts w:ascii="Times New Roman" w:hAnsi="Times New Roman"/>
        </w:rPr>
        <w:t>Rebekah J. Glover (</w:t>
      </w:r>
      <w:r w:rsidRPr="00F81B71">
        <w:rPr>
          <w:rFonts w:ascii="Times New Roman" w:hAnsi="Times New Roman"/>
        </w:rPr>
        <w:t>0088798</w:t>
      </w:r>
      <w:r>
        <w:rPr>
          <w:rFonts w:ascii="Times New Roman" w:hAnsi="Times New Roman"/>
        </w:rPr>
        <w:t>)</w:t>
      </w:r>
    </w:p>
    <w:p w14:paraId="7118F251" w14:textId="77777777" w:rsidR="00E7508C" w:rsidRPr="00F81B71" w:rsidRDefault="00E7508C" w:rsidP="00E7508C">
      <w:pPr>
        <w:keepLines/>
        <w:ind w:left="5040"/>
        <w:rPr>
          <w:rFonts w:ascii="Times New Roman" w:hAnsi="Times New Roman"/>
        </w:rPr>
      </w:pPr>
      <w:r w:rsidRPr="00F81B71">
        <w:rPr>
          <w:rFonts w:ascii="Times New Roman" w:hAnsi="Times New Roman"/>
        </w:rPr>
        <w:t>WHITT STURTEVANT LLP</w:t>
      </w:r>
    </w:p>
    <w:p w14:paraId="65150A7B" w14:textId="77777777" w:rsidR="00E7508C" w:rsidRPr="00F81B71" w:rsidRDefault="00E7508C" w:rsidP="00E7508C">
      <w:pPr>
        <w:keepLines/>
        <w:ind w:left="5040"/>
        <w:rPr>
          <w:rFonts w:ascii="Times New Roman" w:hAnsi="Times New Roman"/>
        </w:rPr>
      </w:pPr>
      <w:r w:rsidRPr="00F81B71">
        <w:rPr>
          <w:rFonts w:ascii="Times New Roman" w:hAnsi="Times New Roman"/>
        </w:rPr>
        <w:t>The KeyBank Building, Suite 1590</w:t>
      </w:r>
    </w:p>
    <w:p w14:paraId="733FF0AA" w14:textId="77777777" w:rsidR="00E7508C" w:rsidRPr="00F81B71" w:rsidRDefault="00E7508C" w:rsidP="00E7508C">
      <w:pPr>
        <w:keepLines/>
        <w:ind w:left="5040"/>
        <w:rPr>
          <w:rFonts w:ascii="Times New Roman" w:hAnsi="Times New Roman"/>
        </w:rPr>
      </w:pPr>
      <w:r w:rsidRPr="00F81B71">
        <w:rPr>
          <w:rFonts w:ascii="Times New Roman" w:hAnsi="Times New Roman"/>
        </w:rPr>
        <w:t>88 East Broad Street</w:t>
      </w:r>
    </w:p>
    <w:p w14:paraId="77009DBE" w14:textId="77777777" w:rsidR="00E7508C" w:rsidRPr="00F81B71" w:rsidRDefault="00E7508C" w:rsidP="00E7508C">
      <w:pPr>
        <w:keepLines/>
        <w:ind w:left="5040"/>
        <w:rPr>
          <w:rFonts w:ascii="Times New Roman" w:hAnsi="Times New Roman"/>
        </w:rPr>
      </w:pPr>
      <w:r w:rsidRPr="00F81B71">
        <w:rPr>
          <w:rFonts w:ascii="Times New Roman" w:hAnsi="Times New Roman"/>
        </w:rPr>
        <w:t>Columbus, Ohio 43215</w:t>
      </w:r>
    </w:p>
    <w:p w14:paraId="6DB0891E" w14:textId="77777777" w:rsidR="00E7508C" w:rsidRPr="00F81B71" w:rsidRDefault="00E7508C" w:rsidP="00E7508C">
      <w:pPr>
        <w:keepLines/>
        <w:ind w:left="5040"/>
        <w:rPr>
          <w:rFonts w:ascii="Times New Roman" w:hAnsi="Times New Roman"/>
        </w:rPr>
      </w:pPr>
      <w:r w:rsidRPr="00F81B71">
        <w:rPr>
          <w:rFonts w:ascii="Times New Roman" w:hAnsi="Times New Roman"/>
        </w:rPr>
        <w:t>Telephone: (614) 224-3911</w:t>
      </w:r>
    </w:p>
    <w:p w14:paraId="288930EC" w14:textId="77777777" w:rsidR="00E7508C" w:rsidRPr="00F81B71" w:rsidRDefault="00E7508C" w:rsidP="00E7508C">
      <w:pPr>
        <w:keepLines/>
        <w:ind w:left="5040"/>
        <w:rPr>
          <w:rFonts w:ascii="Times New Roman" w:hAnsi="Times New Roman"/>
        </w:rPr>
      </w:pPr>
      <w:r w:rsidRPr="00F81B71">
        <w:rPr>
          <w:rFonts w:ascii="Times New Roman" w:hAnsi="Times New Roman"/>
        </w:rPr>
        <w:t>Facsimile:  (614) 224-3960</w:t>
      </w:r>
    </w:p>
    <w:p w14:paraId="32268C4D" w14:textId="77777777" w:rsidR="00E7508C" w:rsidRPr="00F81B71" w:rsidRDefault="00E7508C" w:rsidP="00E7508C">
      <w:pPr>
        <w:keepLines/>
        <w:ind w:left="5040"/>
        <w:rPr>
          <w:rFonts w:ascii="Times New Roman" w:hAnsi="Times New Roman"/>
        </w:rPr>
      </w:pPr>
      <w:r w:rsidRPr="00F81B71">
        <w:rPr>
          <w:rFonts w:ascii="Times New Roman" w:hAnsi="Times New Roman"/>
        </w:rPr>
        <w:t>whitt@whitt-sturtevant.com</w:t>
      </w:r>
    </w:p>
    <w:p w14:paraId="0BE13327" w14:textId="77777777" w:rsidR="00E7508C" w:rsidRPr="00F81B71" w:rsidRDefault="00E7508C" w:rsidP="00E7508C">
      <w:pPr>
        <w:keepLines/>
        <w:ind w:left="5040"/>
        <w:rPr>
          <w:rFonts w:ascii="Times New Roman" w:hAnsi="Times New Roman"/>
        </w:rPr>
      </w:pPr>
      <w:r w:rsidRPr="00F81B71">
        <w:rPr>
          <w:rFonts w:ascii="Times New Roman" w:hAnsi="Times New Roman"/>
        </w:rPr>
        <w:t>campbell@whitt-sturtevant.com</w:t>
      </w:r>
    </w:p>
    <w:p w14:paraId="59741617" w14:textId="77777777" w:rsidR="00E7508C" w:rsidRDefault="00E7508C" w:rsidP="00E7508C">
      <w:pPr>
        <w:keepLines/>
        <w:ind w:left="5040"/>
        <w:rPr>
          <w:rFonts w:ascii="Times New Roman" w:hAnsi="Times New Roman"/>
        </w:rPr>
      </w:pPr>
      <w:r>
        <w:rPr>
          <w:rFonts w:ascii="Times New Roman" w:hAnsi="Times New Roman"/>
        </w:rPr>
        <w:t>glover@whitt-sturtevant.com</w:t>
      </w:r>
      <w:r w:rsidRPr="00F81B71">
        <w:rPr>
          <w:rFonts w:ascii="Times New Roman" w:hAnsi="Times New Roman"/>
        </w:rPr>
        <w:t xml:space="preserve"> </w:t>
      </w:r>
    </w:p>
    <w:p w14:paraId="55804FAA" w14:textId="77777777" w:rsidR="00E7508C" w:rsidRDefault="00E7508C" w:rsidP="00E7508C">
      <w:pPr>
        <w:keepLines/>
        <w:ind w:left="5040"/>
        <w:rPr>
          <w:rFonts w:ascii="Times New Roman" w:hAnsi="Times New Roman"/>
        </w:rPr>
      </w:pPr>
    </w:p>
    <w:p w14:paraId="2CCE1C4C" w14:textId="77777777" w:rsidR="00E7508C" w:rsidRDefault="00E7508C" w:rsidP="00E7508C">
      <w:pPr>
        <w:ind w:left="5040"/>
        <w:rPr>
          <w:rFonts w:ascii="Times New Roman" w:hAnsi="Times New Roman" w:cs="Times New Roman"/>
        </w:rPr>
      </w:pPr>
      <w:r w:rsidRPr="00473D17">
        <w:rPr>
          <w:rFonts w:ascii="Times New Roman" w:hAnsi="Times New Roman" w:cs="Times New Roman"/>
        </w:rPr>
        <w:t>Carrie M. Dunn</w:t>
      </w:r>
      <w:r>
        <w:rPr>
          <w:rFonts w:ascii="Times New Roman" w:hAnsi="Times New Roman" w:cs="Times New Roman"/>
        </w:rPr>
        <w:t xml:space="preserve"> (</w:t>
      </w:r>
      <w:r w:rsidRPr="00F81B71">
        <w:rPr>
          <w:rFonts w:ascii="Times New Roman" w:hAnsi="Times New Roman" w:cs="Times New Roman"/>
        </w:rPr>
        <w:t>0076952</w:t>
      </w:r>
      <w:r>
        <w:rPr>
          <w:rFonts w:ascii="Times New Roman" w:hAnsi="Times New Roman" w:cs="Times New Roman"/>
        </w:rPr>
        <w:t>)</w:t>
      </w:r>
      <w:r w:rsidRPr="00473D17">
        <w:rPr>
          <w:rFonts w:ascii="Times New Roman" w:hAnsi="Times New Roman" w:cs="Times New Roman"/>
        </w:rPr>
        <w:br/>
        <w:t xml:space="preserve">FirstEnergy Service Company </w:t>
      </w:r>
      <w:r w:rsidRPr="00473D17">
        <w:rPr>
          <w:rFonts w:ascii="Times New Roman" w:hAnsi="Times New Roman" w:cs="Times New Roman"/>
        </w:rPr>
        <w:br/>
        <w:t>76 South Main Street</w:t>
      </w:r>
      <w:r w:rsidRPr="00473D17">
        <w:rPr>
          <w:rFonts w:ascii="Times New Roman" w:hAnsi="Times New Roman" w:cs="Times New Roman"/>
        </w:rPr>
        <w:br/>
        <w:t>Akron, Ohio 44308</w:t>
      </w:r>
      <w:r w:rsidRPr="00473D17">
        <w:rPr>
          <w:rFonts w:ascii="Times New Roman" w:hAnsi="Times New Roman" w:cs="Times New Roman"/>
        </w:rPr>
        <w:br/>
        <w:t>Telephone: (330) 761-2352</w:t>
      </w:r>
      <w:r w:rsidRPr="00473D17">
        <w:rPr>
          <w:rFonts w:ascii="Times New Roman" w:hAnsi="Times New Roman" w:cs="Times New Roman"/>
        </w:rPr>
        <w:br/>
        <w:t xml:space="preserve">Facsimile: (330) 384-3875 cdunn@firstenergycorp.com </w:t>
      </w:r>
    </w:p>
    <w:p w14:paraId="7A205118" w14:textId="77777777" w:rsidR="00E7508C" w:rsidRDefault="00E7508C" w:rsidP="00E7508C">
      <w:pPr>
        <w:ind w:left="5040"/>
        <w:rPr>
          <w:rFonts w:ascii="Times New Roman" w:hAnsi="Times New Roman" w:cs="Times New Roman"/>
        </w:rPr>
      </w:pPr>
    </w:p>
    <w:p w14:paraId="44D407FB" w14:textId="77777777" w:rsidR="00E7508C" w:rsidRPr="00F81B71" w:rsidRDefault="00E7508C" w:rsidP="00E7508C">
      <w:pPr>
        <w:keepLines/>
        <w:ind w:left="5040"/>
        <w:rPr>
          <w:rFonts w:ascii="Times New Roman" w:hAnsi="Times New Roman"/>
        </w:rPr>
      </w:pPr>
      <w:r w:rsidRPr="00F81B71">
        <w:rPr>
          <w:rFonts w:ascii="Times New Roman" w:hAnsi="Times New Roman"/>
        </w:rPr>
        <w:t>(</w:t>
      </w:r>
      <w:r>
        <w:rPr>
          <w:rFonts w:ascii="Times New Roman" w:hAnsi="Times New Roman"/>
        </w:rPr>
        <w:t>All c</w:t>
      </w:r>
      <w:r w:rsidRPr="00F81B71">
        <w:rPr>
          <w:rFonts w:ascii="Times New Roman" w:hAnsi="Times New Roman"/>
        </w:rPr>
        <w:t xml:space="preserve">ounsel </w:t>
      </w:r>
      <w:proofErr w:type="gramStart"/>
      <w:r w:rsidRPr="00F81B71">
        <w:rPr>
          <w:rFonts w:ascii="Times New Roman" w:hAnsi="Times New Roman"/>
        </w:rPr>
        <w:t>are</w:t>
      </w:r>
      <w:proofErr w:type="gramEnd"/>
      <w:r w:rsidRPr="00F81B71">
        <w:rPr>
          <w:rFonts w:ascii="Times New Roman" w:hAnsi="Times New Roman"/>
        </w:rPr>
        <w:t xml:space="preserve"> willing to accept service by email)</w:t>
      </w:r>
    </w:p>
    <w:p w14:paraId="15430CF7" w14:textId="77777777" w:rsidR="00E7508C" w:rsidRDefault="00E7508C" w:rsidP="00E7508C">
      <w:pPr>
        <w:ind w:left="5040"/>
        <w:rPr>
          <w:rFonts w:ascii="Times New Roman" w:hAnsi="Times New Roman" w:cs="Times New Roman"/>
        </w:rPr>
      </w:pPr>
    </w:p>
    <w:p w14:paraId="48551EF8" w14:textId="77777777" w:rsidR="00E7508C" w:rsidRDefault="00E7508C" w:rsidP="00E7508C">
      <w:pPr>
        <w:ind w:left="5040"/>
        <w:rPr>
          <w:rFonts w:ascii="Times New Roman" w:hAnsi="Times New Roman" w:cs="Times New Roman"/>
        </w:rPr>
      </w:pPr>
      <w:r>
        <w:rPr>
          <w:rFonts w:ascii="Times New Roman" w:hAnsi="Times New Roman" w:cs="Times New Roman"/>
        </w:rPr>
        <w:t>ATTORNEYS FOR THE CLEVELAND ELECTRIC ILLUMINATING COMPANY</w:t>
      </w:r>
    </w:p>
    <w:p w14:paraId="6BC967C1" w14:textId="453FEC99" w:rsidR="00EF7556" w:rsidRDefault="00EF7556" w:rsidP="001D496E">
      <w:pPr>
        <w:ind w:left="5040"/>
        <w:rPr>
          <w:rFonts w:ascii="Times New Roman" w:hAnsi="Times New Roman" w:cs="Times New Roman"/>
        </w:rPr>
        <w:sectPr w:rsidR="00EF7556" w:rsidSect="003C7383">
          <w:footerReference w:type="default" r:id="rId9"/>
          <w:footerReference w:type="first" r:id="rId10"/>
          <w:pgSz w:w="12240" w:h="15840"/>
          <w:pgMar w:top="1440" w:right="1440" w:bottom="1440" w:left="1440" w:header="720" w:footer="720" w:gutter="0"/>
          <w:pgNumType w:start="1"/>
          <w:cols w:space="720"/>
          <w:docGrid w:linePitch="360"/>
        </w:sectPr>
      </w:pPr>
    </w:p>
    <w:p w14:paraId="289E5345" w14:textId="77777777" w:rsidR="00EF7556" w:rsidRDefault="00EF7556" w:rsidP="00EF7556">
      <w:pPr>
        <w:jc w:val="center"/>
        <w:rPr>
          <w:rFonts w:ascii="Times New Roman" w:hAnsi="Times New Roman" w:cs="Times New Roman"/>
        </w:rPr>
      </w:pPr>
      <w:r>
        <w:rPr>
          <w:rFonts w:ascii="Times New Roman" w:hAnsi="Times New Roman" w:cs="Times New Roman"/>
          <w:b/>
          <w:u w:val="single"/>
        </w:rPr>
        <w:t>CERTIFICATE OF SERVICE</w:t>
      </w:r>
    </w:p>
    <w:p w14:paraId="5CED5728" w14:textId="77777777" w:rsidR="00EF7556" w:rsidRDefault="00EF7556" w:rsidP="00EF7556">
      <w:pPr>
        <w:jc w:val="center"/>
        <w:rPr>
          <w:rFonts w:ascii="Times New Roman" w:hAnsi="Times New Roman" w:cs="Times New Roman"/>
        </w:rPr>
      </w:pPr>
    </w:p>
    <w:p w14:paraId="18357240" w14:textId="77777777" w:rsidR="00EF7556" w:rsidRDefault="00EF7556" w:rsidP="00EF7556">
      <w:pPr>
        <w:spacing w:line="480" w:lineRule="auto"/>
        <w:rPr>
          <w:rFonts w:ascii="Times New Roman" w:hAnsi="Times New Roman" w:cs="Times New Roman"/>
        </w:rPr>
      </w:pPr>
      <w:r>
        <w:rPr>
          <w:rFonts w:ascii="Times New Roman" w:hAnsi="Times New Roman" w:cs="Times New Roman"/>
        </w:rPr>
        <w:tab/>
        <w:t>I hereby certify that a copy of the foregoing Motion to Dismiss was served by U.S. mail this 16</w:t>
      </w:r>
      <w:r w:rsidRPr="00EF7556">
        <w:rPr>
          <w:rFonts w:ascii="Times New Roman" w:hAnsi="Times New Roman" w:cs="Times New Roman"/>
          <w:vertAlign w:val="superscript"/>
        </w:rPr>
        <w:t>th</w:t>
      </w:r>
      <w:r>
        <w:rPr>
          <w:rFonts w:ascii="Times New Roman" w:hAnsi="Times New Roman" w:cs="Times New Roman"/>
        </w:rPr>
        <w:t xml:space="preserve"> day of </w:t>
      </w:r>
      <w:proofErr w:type="gramStart"/>
      <w:r>
        <w:rPr>
          <w:rFonts w:ascii="Times New Roman" w:hAnsi="Times New Roman" w:cs="Times New Roman"/>
        </w:rPr>
        <w:t>March,</w:t>
      </w:r>
      <w:proofErr w:type="gramEnd"/>
      <w:r>
        <w:rPr>
          <w:rFonts w:ascii="Times New Roman" w:hAnsi="Times New Roman" w:cs="Times New Roman"/>
        </w:rPr>
        <w:t xml:space="preserve"> 2015, </w:t>
      </w:r>
      <w:r w:rsidRPr="00C56BDD">
        <w:rPr>
          <w:rFonts w:ascii="Times New Roman" w:hAnsi="Times New Roman" w:cs="Times New Roman"/>
        </w:rPr>
        <w:t>to</w:t>
      </w:r>
      <w:r>
        <w:rPr>
          <w:rFonts w:ascii="Times New Roman" w:hAnsi="Times New Roman" w:cs="Times New Roman"/>
        </w:rPr>
        <w:t xml:space="preserve"> the following:</w:t>
      </w:r>
    </w:p>
    <w:tbl>
      <w:tblPr>
        <w:tblStyle w:val="TableGrid"/>
        <w:tblW w:w="1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gridCol w:w="4788"/>
        <w:gridCol w:w="4788"/>
      </w:tblGrid>
      <w:tr w:rsidR="00EF7556" w14:paraId="5581D35A" w14:textId="77777777" w:rsidTr="003C7383">
        <w:tc>
          <w:tcPr>
            <w:tcW w:w="4788" w:type="dxa"/>
          </w:tcPr>
          <w:p w14:paraId="556CB71F" w14:textId="77777777" w:rsidR="00EF7556" w:rsidRDefault="00EF7556" w:rsidP="003C7383">
            <w:pPr>
              <w:rPr>
                <w:rFonts w:ascii="Times New Roman" w:hAnsi="Times New Roman" w:cs="Times New Roman"/>
              </w:rPr>
            </w:pPr>
            <w:r>
              <w:rPr>
                <w:rFonts w:ascii="Times New Roman" w:hAnsi="Times New Roman" w:cs="Times New Roman"/>
              </w:rPr>
              <w:t>Gwendolyn Tandy</w:t>
            </w:r>
          </w:p>
          <w:p w14:paraId="46BA111B" w14:textId="77777777" w:rsidR="00EF7556" w:rsidRDefault="00EF7556" w:rsidP="003C7383">
            <w:pPr>
              <w:rPr>
                <w:rFonts w:ascii="Times New Roman" w:hAnsi="Times New Roman" w:cs="Times New Roman"/>
              </w:rPr>
            </w:pPr>
            <w:r>
              <w:rPr>
                <w:rFonts w:ascii="Times New Roman" w:hAnsi="Times New Roman" w:cs="Times New Roman"/>
              </w:rPr>
              <w:t>1439 Sulzer Ave.</w:t>
            </w:r>
          </w:p>
          <w:p w14:paraId="6B2F0169" w14:textId="77777777" w:rsidR="00EF7556" w:rsidRPr="005E6121" w:rsidRDefault="00EF7556" w:rsidP="003C7383">
            <w:pPr>
              <w:rPr>
                <w:rFonts w:ascii="Times New Roman" w:hAnsi="Times New Roman" w:cs="Times New Roman"/>
              </w:rPr>
            </w:pPr>
            <w:r>
              <w:rPr>
                <w:rFonts w:ascii="Times New Roman" w:hAnsi="Times New Roman" w:cs="Times New Roman"/>
              </w:rPr>
              <w:t>Euclid, Ohio 44132</w:t>
            </w:r>
          </w:p>
        </w:tc>
        <w:tc>
          <w:tcPr>
            <w:tcW w:w="4788" w:type="dxa"/>
          </w:tcPr>
          <w:p w14:paraId="055619BA" w14:textId="77777777" w:rsidR="00EF7556" w:rsidRPr="00AE4328" w:rsidRDefault="00EF7556" w:rsidP="003C7383">
            <w:pPr>
              <w:rPr>
                <w:rFonts w:ascii="Times New Roman" w:hAnsi="Times New Roman" w:cs="Times New Roman"/>
              </w:rPr>
            </w:pPr>
          </w:p>
        </w:tc>
        <w:tc>
          <w:tcPr>
            <w:tcW w:w="4788" w:type="dxa"/>
          </w:tcPr>
          <w:p w14:paraId="53259C5B" w14:textId="77777777" w:rsidR="00EF7556" w:rsidRDefault="00EF7556" w:rsidP="003C7383">
            <w:pPr>
              <w:rPr>
                <w:rFonts w:ascii="Times New Roman" w:hAnsi="Times New Roman" w:cs="Times New Roman"/>
              </w:rPr>
            </w:pPr>
          </w:p>
        </w:tc>
        <w:tc>
          <w:tcPr>
            <w:tcW w:w="4788" w:type="dxa"/>
          </w:tcPr>
          <w:p w14:paraId="64EC3A34" w14:textId="77777777" w:rsidR="00EF7556" w:rsidRDefault="00EF7556" w:rsidP="003C7383">
            <w:pPr>
              <w:rPr>
                <w:rFonts w:ascii="Times New Roman" w:hAnsi="Times New Roman" w:cs="Times New Roman"/>
              </w:rPr>
            </w:pPr>
          </w:p>
        </w:tc>
      </w:tr>
    </w:tbl>
    <w:p w14:paraId="70960433" w14:textId="77777777" w:rsidR="00EF7556" w:rsidRDefault="00EF7556" w:rsidP="00EF7556">
      <w:pPr>
        <w:ind w:left="4770"/>
        <w:rPr>
          <w:rFonts w:ascii="Times New Roman" w:hAnsi="Times New Roman" w:cs="Times New Roman"/>
          <w:u w:val="single"/>
        </w:rPr>
      </w:pPr>
    </w:p>
    <w:p w14:paraId="462C16EE" w14:textId="77777777" w:rsidR="00EF7556" w:rsidRDefault="00EF7556" w:rsidP="00EF7556">
      <w:pPr>
        <w:ind w:left="4770"/>
        <w:rPr>
          <w:rFonts w:ascii="Times New Roman" w:hAnsi="Times New Roman" w:cs="Times New Roman"/>
          <w:u w:val="single"/>
        </w:rPr>
      </w:pPr>
      <w:r>
        <w:rPr>
          <w:rFonts w:ascii="Times New Roman" w:hAnsi="Times New Roman" w:cs="Times New Roman"/>
          <w:u w:val="single"/>
        </w:rPr>
        <w:t>/s/ Rebekah J. Glover</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47892C9" w14:textId="77777777" w:rsidR="00EF7556" w:rsidRDefault="00EF7556" w:rsidP="00EF7556">
      <w:pPr>
        <w:ind w:left="4770"/>
        <w:rPr>
          <w:rFonts w:ascii="Times New Roman" w:hAnsi="Times New Roman" w:cs="Times New Roman"/>
        </w:rPr>
      </w:pPr>
      <w:r>
        <w:rPr>
          <w:rFonts w:ascii="Times New Roman" w:hAnsi="Times New Roman" w:cs="Times New Roman"/>
        </w:rPr>
        <w:t>One of the Attorneys for</w:t>
      </w:r>
    </w:p>
    <w:p w14:paraId="40A3F931" w14:textId="77777777" w:rsidR="00EF7556" w:rsidRPr="00A8215C" w:rsidRDefault="00EF7556" w:rsidP="00EF7556">
      <w:pPr>
        <w:ind w:left="4770"/>
        <w:rPr>
          <w:rFonts w:ascii="Times New Roman" w:hAnsi="Times New Roman" w:cs="Times New Roman"/>
        </w:rPr>
      </w:pPr>
      <w:r>
        <w:rPr>
          <w:rFonts w:ascii="Times New Roman" w:hAnsi="Times New Roman" w:cs="Times New Roman"/>
        </w:rPr>
        <w:t>The Cleveland Electric Illuminating Company</w:t>
      </w:r>
    </w:p>
    <w:p w14:paraId="6D9BB446" w14:textId="77777777" w:rsidR="00EF7556" w:rsidRPr="00B40947" w:rsidRDefault="00EF7556" w:rsidP="00B40947">
      <w:pPr>
        <w:spacing w:after="240"/>
        <w:rPr>
          <w:rFonts w:ascii="Times New Roman" w:hAnsi="Times New Roman" w:cs="Times New Roman"/>
        </w:rPr>
      </w:pPr>
    </w:p>
    <w:sectPr w:rsidR="00EF7556" w:rsidRPr="00B40947" w:rsidSect="00CB17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13BE2" w14:textId="77777777" w:rsidR="00A06D9C" w:rsidRDefault="00A06D9C" w:rsidP="00B40947">
      <w:r>
        <w:separator/>
      </w:r>
    </w:p>
  </w:endnote>
  <w:endnote w:type="continuationSeparator" w:id="0">
    <w:p w14:paraId="418FAEA0" w14:textId="77777777" w:rsidR="00A06D9C" w:rsidRDefault="00A06D9C" w:rsidP="00B4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98DA" w14:textId="77777777" w:rsidR="00A06D9C" w:rsidRDefault="00A06D9C" w:rsidP="001B6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0B17E" w14:textId="77777777" w:rsidR="00A06D9C" w:rsidRDefault="00A06D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EAC8" w14:textId="77777777" w:rsidR="00A06D9C" w:rsidRPr="000823D1" w:rsidRDefault="00A06D9C" w:rsidP="003C7383">
    <w:pPr>
      <w:pStyle w:val="Footer"/>
      <w:framePr w:wrap="around" w:vAnchor="text" w:hAnchor="margin" w:xAlign="center" w:y="1"/>
      <w:rPr>
        <w:rStyle w:val="PageNumber"/>
        <w:rFonts w:ascii="Times New Roman" w:hAnsi="Times New Roman"/>
      </w:rPr>
    </w:pPr>
    <w:r w:rsidRPr="000823D1">
      <w:rPr>
        <w:rStyle w:val="PageNumber"/>
        <w:rFonts w:ascii="Times New Roman" w:hAnsi="Times New Roman"/>
      </w:rPr>
      <w:fldChar w:fldCharType="begin"/>
    </w:r>
    <w:r w:rsidRPr="000823D1">
      <w:rPr>
        <w:rStyle w:val="PageNumber"/>
        <w:rFonts w:ascii="Times New Roman" w:hAnsi="Times New Roman"/>
      </w:rPr>
      <w:instrText xml:space="preserve">PAGE  </w:instrText>
    </w:r>
    <w:r w:rsidRPr="000823D1">
      <w:rPr>
        <w:rStyle w:val="PageNumber"/>
        <w:rFonts w:ascii="Times New Roman" w:hAnsi="Times New Roman"/>
      </w:rPr>
      <w:fldChar w:fldCharType="separate"/>
    </w:r>
    <w:r w:rsidR="007540F3">
      <w:rPr>
        <w:rStyle w:val="PageNumber"/>
        <w:rFonts w:ascii="Times New Roman" w:hAnsi="Times New Roman"/>
        <w:noProof/>
      </w:rPr>
      <w:t>13</w:t>
    </w:r>
    <w:r w:rsidRPr="000823D1">
      <w:rPr>
        <w:rStyle w:val="PageNumber"/>
        <w:rFonts w:ascii="Times New Roman" w:hAnsi="Times New Roman"/>
      </w:rPr>
      <w:fldChar w:fldCharType="end"/>
    </w:r>
  </w:p>
  <w:p w14:paraId="4232B58D" w14:textId="77777777" w:rsidR="00A06D9C" w:rsidRPr="000823D1" w:rsidRDefault="00A06D9C" w:rsidP="003C73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52BE" w14:textId="77777777" w:rsidR="00A06D9C" w:rsidRDefault="00A06D9C" w:rsidP="003C7383">
    <w:pPr>
      <w:pStyle w:val="Footer"/>
      <w:tabs>
        <w:tab w:val="clear" w:pos="4320"/>
        <w:tab w:val="clear" w:pos="8640"/>
        <w:tab w:val="left" w:pos="4040"/>
      </w:tabs>
    </w:pP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472CD" w14:textId="77777777" w:rsidR="007540F3" w:rsidRPr="000823D1" w:rsidRDefault="007540F3" w:rsidP="003C73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FDBB7" w14:textId="77777777" w:rsidR="00A06D9C" w:rsidRDefault="00A06D9C" w:rsidP="00B40947">
      <w:r>
        <w:separator/>
      </w:r>
    </w:p>
  </w:footnote>
  <w:footnote w:type="continuationSeparator" w:id="0">
    <w:p w14:paraId="75D4A1B4" w14:textId="77777777" w:rsidR="00A06D9C" w:rsidRDefault="00A06D9C" w:rsidP="00B40947">
      <w:r>
        <w:continuationSeparator/>
      </w:r>
    </w:p>
  </w:footnote>
  <w:footnote w:id="1">
    <w:p w14:paraId="0ED456C7" w14:textId="259D6134" w:rsidR="00A06D9C" w:rsidRDefault="00A06D9C">
      <w:pPr>
        <w:pStyle w:val="FootnoteText"/>
        <w:rPr>
          <w:rFonts w:ascii="Times New Roman" w:hAnsi="Times New Roman"/>
        </w:rPr>
      </w:pPr>
      <w:r w:rsidRPr="00D378BD">
        <w:rPr>
          <w:rStyle w:val="FootnoteReference"/>
          <w:rFonts w:ascii="Times New Roman" w:hAnsi="Times New Roman"/>
        </w:rPr>
        <w:footnoteRef/>
      </w:r>
      <w:r w:rsidRPr="00D378BD">
        <w:rPr>
          <w:rFonts w:ascii="Times New Roman" w:hAnsi="Times New Roman"/>
        </w:rPr>
        <w:t xml:space="preserve"> </w:t>
      </w:r>
      <w:r>
        <w:rPr>
          <w:rFonts w:ascii="Times New Roman" w:hAnsi="Times New Roman"/>
        </w:rPr>
        <w:t xml:space="preserve">Although this complaint is the </w:t>
      </w:r>
      <w:r>
        <w:rPr>
          <w:rFonts w:ascii="Times New Roman" w:hAnsi="Times New Roman"/>
          <w:i/>
        </w:rPr>
        <w:t xml:space="preserve">third </w:t>
      </w:r>
      <w:r>
        <w:rPr>
          <w:rFonts w:ascii="Times New Roman" w:hAnsi="Times New Roman"/>
        </w:rPr>
        <w:t xml:space="preserve">one raising the same issues, it </w:t>
      </w:r>
      <w:r w:rsidRPr="00D378BD">
        <w:rPr>
          <w:rFonts w:ascii="Times New Roman" w:hAnsi="Times New Roman"/>
        </w:rPr>
        <w:t xml:space="preserve">is actually Ms. Tandy’s </w:t>
      </w:r>
      <w:r w:rsidRPr="00D378BD">
        <w:rPr>
          <w:rFonts w:ascii="Times New Roman" w:hAnsi="Times New Roman"/>
          <w:i/>
        </w:rPr>
        <w:t xml:space="preserve">fourth </w:t>
      </w:r>
      <w:r w:rsidRPr="00D378BD">
        <w:rPr>
          <w:rFonts w:ascii="Times New Roman" w:hAnsi="Times New Roman"/>
        </w:rPr>
        <w:t>complaint</w:t>
      </w:r>
      <w:r>
        <w:rPr>
          <w:rFonts w:ascii="Times New Roman" w:hAnsi="Times New Roman"/>
        </w:rPr>
        <w:t xml:space="preserve"> against CEI overall</w:t>
      </w:r>
      <w:r w:rsidRPr="00D378BD">
        <w:rPr>
          <w:rFonts w:ascii="Times New Roman" w:hAnsi="Times New Roman"/>
        </w:rPr>
        <w:t xml:space="preserve">. Her third complaint, </w:t>
      </w:r>
      <w:r>
        <w:rPr>
          <w:rFonts w:ascii="Times New Roman" w:hAnsi="Times New Roman"/>
        </w:rPr>
        <w:t xml:space="preserve">also </w:t>
      </w:r>
      <w:r w:rsidRPr="00D378BD">
        <w:rPr>
          <w:rFonts w:ascii="Times New Roman" w:hAnsi="Times New Roman"/>
        </w:rPr>
        <w:t>meritless, did pertain to different</w:t>
      </w:r>
      <w:r>
        <w:rPr>
          <w:rFonts w:ascii="Times New Roman" w:hAnsi="Times New Roman"/>
        </w:rPr>
        <w:t xml:space="preserve"> </w:t>
      </w:r>
      <w:r w:rsidRPr="00D378BD">
        <w:rPr>
          <w:rFonts w:ascii="Times New Roman" w:hAnsi="Times New Roman"/>
        </w:rPr>
        <w:t xml:space="preserve">issues, and was dismissed on December 10, 2014. </w:t>
      </w:r>
      <w:r w:rsidRPr="00D378BD">
        <w:rPr>
          <w:rFonts w:ascii="Times New Roman" w:hAnsi="Times New Roman"/>
          <w:i/>
        </w:rPr>
        <w:t xml:space="preserve">See </w:t>
      </w:r>
      <w:r w:rsidRPr="00D378BD">
        <w:rPr>
          <w:rFonts w:ascii="Times New Roman" w:hAnsi="Times New Roman"/>
        </w:rPr>
        <w:t>Case No. 14-1241-EL-CSS.</w:t>
      </w:r>
      <w:r>
        <w:rPr>
          <w:rFonts w:ascii="Times New Roman" w:hAnsi="Times New Roman"/>
        </w:rPr>
        <w:t xml:space="preserve"> </w:t>
      </w:r>
    </w:p>
    <w:p w14:paraId="21A6DA3D" w14:textId="77777777" w:rsidR="00A06D9C" w:rsidRPr="00D378BD" w:rsidRDefault="00A06D9C">
      <w:pPr>
        <w:pStyle w:val="FootnoteText"/>
        <w:rPr>
          <w:rFonts w:ascii="Times New Roman" w:hAnsi="Times New Roman"/>
        </w:rPr>
      </w:pPr>
    </w:p>
  </w:footnote>
  <w:footnote w:id="2">
    <w:p w14:paraId="540AB343" w14:textId="514FE126" w:rsidR="00A06D9C" w:rsidRPr="00ED37A7" w:rsidRDefault="00A06D9C" w:rsidP="009D5440">
      <w:pPr>
        <w:pStyle w:val="FootnoteText"/>
        <w:rPr>
          <w:rFonts w:ascii="Times New Roman" w:hAnsi="Times New Roman"/>
        </w:rPr>
      </w:pPr>
      <w:r w:rsidRPr="00ED37A7">
        <w:rPr>
          <w:rStyle w:val="FootnoteReference"/>
          <w:rFonts w:ascii="Times New Roman" w:hAnsi="Times New Roman"/>
        </w:rPr>
        <w:footnoteRef/>
      </w:r>
      <w:r w:rsidRPr="00ED37A7">
        <w:rPr>
          <w:rFonts w:ascii="Times New Roman" w:hAnsi="Times New Roman"/>
        </w:rPr>
        <w:t xml:space="preserve"> Here, and throughout this document, CEI has taken liberty to correct obvious typo</w:t>
      </w:r>
      <w:r>
        <w:rPr>
          <w:rFonts w:ascii="Times New Roman" w:hAnsi="Times New Roman"/>
        </w:rPr>
        <w:t>graphical</w:t>
      </w:r>
      <w:r w:rsidRPr="00ED37A7">
        <w:rPr>
          <w:rFonts w:ascii="Times New Roman" w:hAnsi="Times New Roman"/>
        </w:rPr>
        <w:t xml:space="preserve"> and grammatical errors in the complaint, to increase the readability of her allegations. It has only done so when there was no reasonable doubt as to the intended meaning.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9CB"/>
    <w:multiLevelType w:val="hybridMultilevel"/>
    <w:tmpl w:val="229C0D86"/>
    <w:lvl w:ilvl="0" w:tplc="330E1A34">
      <w:start w:val="1"/>
      <w:numFmt w:val="lowerLetter"/>
      <w:pStyle w:val="Memo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B3366B"/>
    <w:multiLevelType w:val="hybridMultilevel"/>
    <w:tmpl w:val="DF9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D279F"/>
    <w:multiLevelType w:val="hybridMultilevel"/>
    <w:tmpl w:val="1DDE3CF8"/>
    <w:lvl w:ilvl="0" w:tplc="7D243BF8">
      <w:start w:val="1"/>
      <w:numFmt w:val="decimal"/>
      <w:pStyle w:val="MemoHeading3"/>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E03564"/>
    <w:multiLevelType w:val="hybridMultilevel"/>
    <w:tmpl w:val="71B463A2"/>
    <w:lvl w:ilvl="0" w:tplc="5C2C5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87F09"/>
    <w:multiLevelType w:val="hybridMultilevel"/>
    <w:tmpl w:val="BBD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646B6"/>
    <w:multiLevelType w:val="hybridMultilevel"/>
    <w:tmpl w:val="EC34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B04AB"/>
    <w:multiLevelType w:val="hybridMultilevel"/>
    <w:tmpl w:val="0B94A4F8"/>
    <w:lvl w:ilvl="0" w:tplc="9FAE4A9A">
      <w:start w:val="1"/>
      <w:numFmt w:val="upperRoman"/>
      <w:pStyle w:val="MemoHeading1"/>
      <w:lvlText w:val="%1."/>
      <w:lvlJc w:val="right"/>
      <w:pPr>
        <w:ind w:left="720" w:hanging="180"/>
      </w:pPr>
    </w:lvl>
    <w:lvl w:ilvl="1" w:tplc="71B48100">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4F1AB6"/>
    <w:multiLevelType w:val="hybridMultilevel"/>
    <w:tmpl w:val="BC20A48E"/>
    <w:lvl w:ilvl="0" w:tplc="8A1A98FE">
      <w:start w:val="1"/>
      <w:numFmt w:val="upperLetter"/>
      <w:pStyle w:val="MemoHeading2"/>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7"/>
  </w:num>
  <w:num w:numId="6">
    <w:abstractNumId w:val="6"/>
  </w:num>
  <w:num w:numId="7">
    <w:abstractNumId w:val="2"/>
  </w:num>
  <w:num w:numId="8">
    <w:abstractNumId w:val="0"/>
  </w:num>
  <w:num w:numId="9">
    <w:abstractNumId w:val="2"/>
    <w:lvlOverride w:ilvl="0">
      <w:startOverride w:val="1"/>
    </w:lvlOverride>
  </w:num>
  <w:num w:numId="1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56"/>
    <w:rsid w:val="00034DF6"/>
    <w:rsid w:val="0005200C"/>
    <w:rsid w:val="000B15AC"/>
    <w:rsid w:val="001022D2"/>
    <w:rsid w:val="001174D5"/>
    <w:rsid w:val="00131DC2"/>
    <w:rsid w:val="0019242C"/>
    <w:rsid w:val="001A3797"/>
    <w:rsid w:val="001B6B6B"/>
    <w:rsid w:val="001D0B9C"/>
    <w:rsid w:val="001D1503"/>
    <w:rsid w:val="001D496E"/>
    <w:rsid w:val="00345402"/>
    <w:rsid w:val="003C7383"/>
    <w:rsid w:val="003E042F"/>
    <w:rsid w:val="0040782E"/>
    <w:rsid w:val="004B5A57"/>
    <w:rsid w:val="00522974"/>
    <w:rsid w:val="00522BD3"/>
    <w:rsid w:val="00543D12"/>
    <w:rsid w:val="00586E0A"/>
    <w:rsid w:val="00647D1F"/>
    <w:rsid w:val="006A13DA"/>
    <w:rsid w:val="006F1B81"/>
    <w:rsid w:val="00707F6B"/>
    <w:rsid w:val="007540F3"/>
    <w:rsid w:val="007835C2"/>
    <w:rsid w:val="0081605A"/>
    <w:rsid w:val="00821B75"/>
    <w:rsid w:val="00902DED"/>
    <w:rsid w:val="009D5440"/>
    <w:rsid w:val="009F35AE"/>
    <w:rsid w:val="00A06D9C"/>
    <w:rsid w:val="00A35EFC"/>
    <w:rsid w:val="00A371E2"/>
    <w:rsid w:val="00AE13E9"/>
    <w:rsid w:val="00B206C4"/>
    <w:rsid w:val="00B40947"/>
    <w:rsid w:val="00B86459"/>
    <w:rsid w:val="00BA3C0C"/>
    <w:rsid w:val="00C2341A"/>
    <w:rsid w:val="00C579C4"/>
    <w:rsid w:val="00C72A47"/>
    <w:rsid w:val="00CB17AF"/>
    <w:rsid w:val="00CF4538"/>
    <w:rsid w:val="00D033DF"/>
    <w:rsid w:val="00D26D5E"/>
    <w:rsid w:val="00D378BD"/>
    <w:rsid w:val="00D42049"/>
    <w:rsid w:val="00D80854"/>
    <w:rsid w:val="00D96B83"/>
    <w:rsid w:val="00DA421C"/>
    <w:rsid w:val="00E1149A"/>
    <w:rsid w:val="00E36956"/>
    <w:rsid w:val="00E7508C"/>
    <w:rsid w:val="00E87785"/>
    <w:rsid w:val="00EB7071"/>
    <w:rsid w:val="00ED37A7"/>
    <w:rsid w:val="00EF7556"/>
    <w:rsid w:val="00F269F4"/>
    <w:rsid w:val="00F81B71"/>
    <w:rsid w:val="00FC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312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54"/>
    <w:pPr>
      <w:ind w:left="720"/>
      <w:contextualSpacing/>
    </w:pPr>
  </w:style>
  <w:style w:type="paragraph" w:styleId="Footer">
    <w:name w:val="footer"/>
    <w:basedOn w:val="Normal"/>
    <w:link w:val="FooterChar"/>
    <w:uiPriority w:val="99"/>
    <w:unhideWhenUsed/>
    <w:rsid w:val="001B6B6B"/>
    <w:pPr>
      <w:tabs>
        <w:tab w:val="center" w:pos="4320"/>
        <w:tab w:val="right" w:pos="8640"/>
      </w:tabs>
    </w:pPr>
  </w:style>
  <w:style w:type="character" w:customStyle="1" w:styleId="FooterChar">
    <w:name w:val="Footer Char"/>
    <w:basedOn w:val="DefaultParagraphFont"/>
    <w:link w:val="Footer"/>
    <w:uiPriority w:val="99"/>
    <w:rsid w:val="001B6B6B"/>
  </w:style>
  <w:style w:type="character" w:styleId="PageNumber">
    <w:name w:val="page number"/>
    <w:basedOn w:val="DefaultParagraphFont"/>
    <w:uiPriority w:val="99"/>
    <w:semiHidden/>
    <w:unhideWhenUsed/>
    <w:rsid w:val="001B6B6B"/>
  </w:style>
  <w:style w:type="paragraph" w:customStyle="1" w:styleId="MemoBodyText">
    <w:name w:val="Memo Body Text"/>
    <w:basedOn w:val="Normal"/>
    <w:qFormat/>
    <w:rsid w:val="001B6B6B"/>
    <w:pPr>
      <w:spacing w:line="480" w:lineRule="auto"/>
      <w:ind w:firstLine="720"/>
    </w:pPr>
    <w:rPr>
      <w:rFonts w:ascii="Times New Roman" w:hAnsi="Times New Roman" w:cs="Times New Roman"/>
    </w:rPr>
  </w:style>
  <w:style w:type="paragraph" w:styleId="FootnoteText">
    <w:name w:val="footnote text"/>
    <w:basedOn w:val="Normal"/>
    <w:link w:val="FootnoteTextChar"/>
    <w:uiPriority w:val="99"/>
    <w:unhideWhenUsed/>
    <w:rsid w:val="00B40947"/>
  </w:style>
  <w:style w:type="character" w:customStyle="1" w:styleId="FootnoteTextChar">
    <w:name w:val="Footnote Text Char"/>
    <w:basedOn w:val="DefaultParagraphFont"/>
    <w:link w:val="FootnoteText"/>
    <w:uiPriority w:val="99"/>
    <w:rsid w:val="00B40947"/>
  </w:style>
  <w:style w:type="character" w:styleId="FootnoteReference">
    <w:name w:val="footnote reference"/>
    <w:basedOn w:val="DefaultParagraphFont"/>
    <w:uiPriority w:val="99"/>
    <w:unhideWhenUsed/>
    <w:rsid w:val="00B40947"/>
    <w:rPr>
      <w:vertAlign w:val="superscript"/>
    </w:rPr>
  </w:style>
  <w:style w:type="table" w:styleId="TableGrid">
    <w:name w:val="Table Grid"/>
    <w:basedOn w:val="TableNormal"/>
    <w:uiPriority w:val="59"/>
    <w:rsid w:val="00EF7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moHeading2">
    <w:name w:val="Memo Heading 2"/>
    <w:basedOn w:val="ListParagraph"/>
    <w:next w:val="MemoBodyText"/>
    <w:qFormat/>
    <w:rsid w:val="00EF7556"/>
    <w:pPr>
      <w:keepNext/>
      <w:keepLines/>
      <w:numPr>
        <w:numId w:val="5"/>
      </w:numPr>
      <w:spacing w:after="240"/>
      <w:ind w:left="720" w:right="720"/>
      <w:contextualSpacing w:val="0"/>
    </w:pPr>
    <w:rPr>
      <w:rFonts w:ascii="Times New Roman" w:hAnsi="Times New Roman" w:cs="Times New Roman"/>
      <w:b/>
    </w:rPr>
  </w:style>
  <w:style w:type="paragraph" w:customStyle="1" w:styleId="MemoHeading1">
    <w:name w:val="Memo Heading 1"/>
    <w:basedOn w:val="Normal"/>
    <w:next w:val="MemoBodyText"/>
    <w:qFormat/>
    <w:rsid w:val="00EF7556"/>
    <w:pPr>
      <w:keepNext/>
      <w:keepLines/>
      <w:numPr>
        <w:numId w:val="6"/>
      </w:numPr>
      <w:spacing w:line="480" w:lineRule="auto"/>
      <w:ind w:left="0" w:hanging="187"/>
      <w:jc w:val="center"/>
    </w:pPr>
    <w:rPr>
      <w:rFonts w:ascii="Times New Roman" w:hAnsi="Times New Roman" w:cs="Times New Roman"/>
      <w:b/>
      <w:bCs/>
      <w:caps/>
    </w:rPr>
  </w:style>
  <w:style w:type="paragraph" w:customStyle="1" w:styleId="MemoHeading3">
    <w:name w:val="Memo Heading 3"/>
    <w:basedOn w:val="MemoBodyText"/>
    <w:next w:val="MemoBodyText"/>
    <w:qFormat/>
    <w:rsid w:val="00EF7556"/>
    <w:pPr>
      <w:keepNext/>
      <w:keepLines/>
      <w:numPr>
        <w:numId w:val="7"/>
      </w:numPr>
      <w:spacing w:after="240" w:line="240" w:lineRule="auto"/>
      <w:ind w:hanging="720"/>
    </w:pPr>
    <w:rPr>
      <w:b/>
    </w:rPr>
  </w:style>
  <w:style w:type="paragraph" w:customStyle="1" w:styleId="MemoHeading4">
    <w:name w:val="Memo Heading 4"/>
    <w:basedOn w:val="MemoBodyText"/>
    <w:next w:val="MemoBodyText"/>
    <w:qFormat/>
    <w:rsid w:val="00EF7556"/>
    <w:pPr>
      <w:keepNext/>
      <w:keepLines/>
      <w:numPr>
        <w:numId w:val="8"/>
      </w:numPr>
      <w:spacing w:after="240" w:line="240" w:lineRule="auto"/>
      <w:ind w:left="2160" w:hanging="720"/>
    </w:pPr>
    <w:rPr>
      <w:b/>
    </w:rPr>
  </w:style>
  <w:style w:type="character" w:styleId="CommentReference">
    <w:name w:val="annotation reference"/>
    <w:basedOn w:val="DefaultParagraphFont"/>
    <w:uiPriority w:val="99"/>
    <w:semiHidden/>
    <w:unhideWhenUsed/>
    <w:rsid w:val="00A35EFC"/>
    <w:rPr>
      <w:sz w:val="18"/>
      <w:szCs w:val="18"/>
    </w:rPr>
  </w:style>
  <w:style w:type="paragraph" w:styleId="CommentText">
    <w:name w:val="annotation text"/>
    <w:basedOn w:val="Normal"/>
    <w:link w:val="CommentTextChar"/>
    <w:uiPriority w:val="99"/>
    <w:semiHidden/>
    <w:unhideWhenUsed/>
    <w:rsid w:val="00A35EFC"/>
  </w:style>
  <w:style w:type="character" w:customStyle="1" w:styleId="CommentTextChar">
    <w:name w:val="Comment Text Char"/>
    <w:basedOn w:val="DefaultParagraphFont"/>
    <w:link w:val="CommentText"/>
    <w:uiPriority w:val="99"/>
    <w:semiHidden/>
    <w:rsid w:val="00A35EFC"/>
  </w:style>
  <w:style w:type="paragraph" w:styleId="CommentSubject">
    <w:name w:val="annotation subject"/>
    <w:basedOn w:val="CommentText"/>
    <w:next w:val="CommentText"/>
    <w:link w:val="CommentSubjectChar"/>
    <w:uiPriority w:val="99"/>
    <w:semiHidden/>
    <w:unhideWhenUsed/>
    <w:rsid w:val="00A35EFC"/>
    <w:rPr>
      <w:b/>
      <w:bCs/>
      <w:sz w:val="20"/>
      <w:szCs w:val="20"/>
    </w:rPr>
  </w:style>
  <w:style w:type="character" w:customStyle="1" w:styleId="CommentSubjectChar">
    <w:name w:val="Comment Subject Char"/>
    <w:basedOn w:val="CommentTextChar"/>
    <w:link w:val="CommentSubject"/>
    <w:uiPriority w:val="99"/>
    <w:semiHidden/>
    <w:rsid w:val="00A35EFC"/>
    <w:rPr>
      <w:b/>
      <w:bCs/>
      <w:sz w:val="20"/>
      <w:szCs w:val="20"/>
    </w:rPr>
  </w:style>
  <w:style w:type="paragraph" w:styleId="BalloonText">
    <w:name w:val="Balloon Text"/>
    <w:basedOn w:val="Normal"/>
    <w:link w:val="BalloonTextChar"/>
    <w:uiPriority w:val="99"/>
    <w:semiHidden/>
    <w:unhideWhenUsed/>
    <w:rsid w:val="00A35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EFC"/>
    <w:rPr>
      <w:rFonts w:ascii="Lucida Grande" w:hAnsi="Lucida Grande" w:cs="Lucida Grande"/>
      <w:sz w:val="18"/>
      <w:szCs w:val="18"/>
    </w:rPr>
  </w:style>
  <w:style w:type="paragraph" w:styleId="Header">
    <w:name w:val="header"/>
    <w:basedOn w:val="Normal"/>
    <w:link w:val="HeaderChar"/>
    <w:uiPriority w:val="99"/>
    <w:unhideWhenUsed/>
    <w:rsid w:val="007540F3"/>
    <w:pPr>
      <w:tabs>
        <w:tab w:val="center" w:pos="4320"/>
        <w:tab w:val="right" w:pos="8640"/>
      </w:tabs>
    </w:pPr>
  </w:style>
  <w:style w:type="character" w:customStyle="1" w:styleId="HeaderChar">
    <w:name w:val="Header Char"/>
    <w:basedOn w:val="DefaultParagraphFont"/>
    <w:link w:val="Header"/>
    <w:uiPriority w:val="99"/>
    <w:rsid w:val="007540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54"/>
    <w:pPr>
      <w:ind w:left="720"/>
      <w:contextualSpacing/>
    </w:pPr>
  </w:style>
  <w:style w:type="paragraph" w:styleId="Footer">
    <w:name w:val="footer"/>
    <w:basedOn w:val="Normal"/>
    <w:link w:val="FooterChar"/>
    <w:uiPriority w:val="99"/>
    <w:unhideWhenUsed/>
    <w:rsid w:val="001B6B6B"/>
    <w:pPr>
      <w:tabs>
        <w:tab w:val="center" w:pos="4320"/>
        <w:tab w:val="right" w:pos="8640"/>
      </w:tabs>
    </w:pPr>
  </w:style>
  <w:style w:type="character" w:customStyle="1" w:styleId="FooterChar">
    <w:name w:val="Footer Char"/>
    <w:basedOn w:val="DefaultParagraphFont"/>
    <w:link w:val="Footer"/>
    <w:uiPriority w:val="99"/>
    <w:rsid w:val="001B6B6B"/>
  </w:style>
  <w:style w:type="character" w:styleId="PageNumber">
    <w:name w:val="page number"/>
    <w:basedOn w:val="DefaultParagraphFont"/>
    <w:uiPriority w:val="99"/>
    <w:semiHidden/>
    <w:unhideWhenUsed/>
    <w:rsid w:val="001B6B6B"/>
  </w:style>
  <w:style w:type="paragraph" w:customStyle="1" w:styleId="MemoBodyText">
    <w:name w:val="Memo Body Text"/>
    <w:basedOn w:val="Normal"/>
    <w:qFormat/>
    <w:rsid w:val="001B6B6B"/>
    <w:pPr>
      <w:spacing w:line="480" w:lineRule="auto"/>
      <w:ind w:firstLine="720"/>
    </w:pPr>
    <w:rPr>
      <w:rFonts w:ascii="Times New Roman" w:hAnsi="Times New Roman" w:cs="Times New Roman"/>
    </w:rPr>
  </w:style>
  <w:style w:type="paragraph" w:styleId="FootnoteText">
    <w:name w:val="footnote text"/>
    <w:basedOn w:val="Normal"/>
    <w:link w:val="FootnoteTextChar"/>
    <w:uiPriority w:val="99"/>
    <w:unhideWhenUsed/>
    <w:rsid w:val="00B40947"/>
  </w:style>
  <w:style w:type="character" w:customStyle="1" w:styleId="FootnoteTextChar">
    <w:name w:val="Footnote Text Char"/>
    <w:basedOn w:val="DefaultParagraphFont"/>
    <w:link w:val="FootnoteText"/>
    <w:uiPriority w:val="99"/>
    <w:rsid w:val="00B40947"/>
  </w:style>
  <w:style w:type="character" w:styleId="FootnoteReference">
    <w:name w:val="footnote reference"/>
    <w:basedOn w:val="DefaultParagraphFont"/>
    <w:uiPriority w:val="99"/>
    <w:unhideWhenUsed/>
    <w:rsid w:val="00B40947"/>
    <w:rPr>
      <w:vertAlign w:val="superscript"/>
    </w:rPr>
  </w:style>
  <w:style w:type="table" w:styleId="TableGrid">
    <w:name w:val="Table Grid"/>
    <w:basedOn w:val="TableNormal"/>
    <w:uiPriority w:val="59"/>
    <w:rsid w:val="00EF7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moHeading2">
    <w:name w:val="Memo Heading 2"/>
    <w:basedOn w:val="ListParagraph"/>
    <w:next w:val="MemoBodyText"/>
    <w:qFormat/>
    <w:rsid w:val="00EF7556"/>
    <w:pPr>
      <w:keepNext/>
      <w:keepLines/>
      <w:numPr>
        <w:numId w:val="5"/>
      </w:numPr>
      <w:spacing w:after="240"/>
      <w:ind w:left="720" w:right="720"/>
      <w:contextualSpacing w:val="0"/>
    </w:pPr>
    <w:rPr>
      <w:rFonts w:ascii="Times New Roman" w:hAnsi="Times New Roman" w:cs="Times New Roman"/>
      <w:b/>
    </w:rPr>
  </w:style>
  <w:style w:type="paragraph" w:customStyle="1" w:styleId="MemoHeading1">
    <w:name w:val="Memo Heading 1"/>
    <w:basedOn w:val="Normal"/>
    <w:next w:val="MemoBodyText"/>
    <w:qFormat/>
    <w:rsid w:val="00EF7556"/>
    <w:pPr>
      <w:keepNext/>
      <w:keepLines/>
      <w:numPr>
        <w:numId w:val="6"/>
      </w:numPr>
      <w:spacing w:line="480" w:lineRule="auto"/>
      <w:ind w:left="0" w:hanging="187"/>
      <w:jc w:val="center"/>
    </w:pPr>
    <w:rPr>
      <w:rFonts w:ascii="Times New Roman" w:hAnsi="Times New Roman" w:cs="Times New Roman"/>
      <w:b/>
      <w:bCs/>
      <w:caps/>
    </w:rPr>
  </w:style>
  <w:style w:type="paragraph" w:customStyle="1" w:styleId="MemoHeading3">
    <w:name w:val="Memo Heading 3"/>
    <w:basedOn w:val="MemoBodyText"/>
    <w:next w:val="MemoBodyText"/>
    <w:qFormat/>
    <w:rsid w:val="00EF7556"/>
    <w:pPr>
      <w:keepNext/>
      <w:keepLines/>
      <w:numPr>
        <w:numId w:val="7"/>
      </w:numPr>
      <w:spacing w:after="240" w:line="240" w:lineRule="auto"/>
      <w:ind w:hanging="720"/>
    </w:pPr>
    <w:rPr>
      <w:b/>
    </w:rPr>
  </w:style>
  <w:style w:type="paragraph" w:customStyle="1" w:styleId="MemoHeading4">
    <w:name w:val="Memo Heading 4"/>
    <w:basedOn w:val="MemoBodyText"/>
    <w:next w:val="MemoBodyText"/>
    <w:qFormat/>
    <w:rsid w:val="00EF7556"/>
    <w:pPr>
      <w:keepNext/>
      <w:keepLines/>
      <w:numPr>
        <w:numId w:val="8"/>
      </w:numPr>
      <w:spacing w:after="240" w:line="240" w:lineRule="auto"/>
      <w:ind w:left="2160" w:hanging="720"/>
    </w:pPr>
    <w:rPr>
      <w:b/>
    </w:rPr>
  </w:style>
  <w:style w:type="character" w:styleId="CommentReference">
    <w:name w:val="annotation reference"/>
    <w:basedOn w:val="DefaultParagraphFont"/>
    <w:uiPriority w:val="99"/>
    <w:semiHidden/>
    <w:unhideWhenUsed/>
    <w:rsid w:val="00A35EFC"/>
    <w:rPr>
      <w:sz w:val="18"/>
      <w:szCs w:val="18"/>
    </w:rPr>
  </w:style>
  <w:style w:type="paragraph" w:styleId="CommentText">
    <w:name w:val="annotation text"/>
    <w:basedOn w:val="Normal"/>
    <w:link w:val="CommentTextChar"/>
    <w:uiPriority w:val="99"/>
    <w:semiHidden/>
    <w:unhideWhenUsed/>
    <w:rsid w:val="00A35EFC"/>
  </w:style>
  <w:style w:type="character" w:customStyle="1" w:styleId="CommentTextChar">
    <w:name w:val="Comment Text Char"/>
    <w:basedOn w:val="DefaultParagraphFont"/>
    <w:link w:val="CommentText"/>
    <w:uiPriority w:val="99"/>
    <w:semiHidden/>
    <w:rsid w:val="00A35EFC"/>
  </w:style>
  <w:style w:type="paragraph" w:styleId="CommentSubject">
    <w:name w:val="annotation subject"/>
    <w:basedOn w:val="CommentText"/>
    <w:next w:val="CommentText"/>
    <w:link w:val="CommentSubjectChar"/>
    <w:uiPriority w:val="99"/>
    <w:semiHidden/>
    <w:unhideWhenUsed/>
    <w:rsid w:val="00A35EFC"/>
    <w:rPr>
      <w:b/>
      <w:bCs/>
      <w:sz w:val="20"/>
      <w:szCs w:val="20"/>
    </w:rPr>
  </w:style>
  <w:style w:type="character" w:customStyle="1" w:styleId="CommentSubjectChar">
    <w:name w:val="Comment Subject Char"/>
    <w:basedOn w:val="CommentTextChar"/>
    <w:link w:val="CommentSubject"/>
    <w:uiPriority w:val="99"/>
    <w:semiHidden/>
    <w:rsid w:val="00A35EFC"/>
    <w:rPr>
      <w:b/>
      <w:bCs/>
      <w:sz w:val="20"/>
      <w:szCs w:val="20"/>
    </w:rPr>
  </w:style>
  <w:style w:type="paragraph" w:styleId="BalloonText">
    <w:name w:val="Balloon Text"/>
    <w:basedOn w:val="Normal"/>
    <w:link w:val="BalloonTextChar"/>
    <w:uiPriority w:val="99"/>
    <w:semiHidden/>
    <w:unhideWhenUsed/>
    <w:rsid w:val="00A35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EFC"/>
    <w:rPr>
      <w:rFonts w:ascii="Lucida Grande" w:hAnsi="Lucida Grande" w:cs="Lucida Grande"/>
      <w:sz w:val="18"/>
      <w:szCs w:val="18"/>
    </w:rPr>
  </w:style>
  <w:style w:type="paragraph" w:styleId="Header">
    <w:name w:val="header"/>
    <w:basedOn w:val="Normal"/>
    <w:link w:val="HeaderChar"/>
    <w:uiPriority w:val="99"/>
    <w:unhideWhenUsed/>
    <w:rsid w:val="007540F3"/>
    <w:pPr>
      <w:tabs>
        <w:tab w:val="center" w:pos="4320"/>
        <w:tab w:val="right" w:pos="8640"/>
      </w:tabs>
    </w:pPr>
  </w:style>
  <w:style w:type="character" w:customStyle="1" w:styleId="HeaderChar">
    <w:name w:val="Header Char"/>
    <w:basedOn w:val="DefaultParagraphFont"/>
    <w:link w:val="Header"/>
    <w:uiPriority w:val="99"/>
    <w:rsid w:val="0075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3715</Words>
  <Characters>20211</Characters>
  <Application>Microsoft Macintosh Word</Application>
  <DocSecurity>0</DocSecurity>
  <Lines>673</Lines>
  <Paragraphs>405</Paragraphs>
  <ScaleCrop>false</ScaleCrop>
  <Company>Whitt Sturtevant</Company>
  <LinksUpToDate>false</LinksUpToDate>
  <CharactersWithSpaces>23521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Glover</dc:creator>
  <cp:keywords/>
  <dc:description/>
  <cp:lastModifiedBy>Rebekah Glover</cp:lastModifiedBy>
  <cp:revision>3</cp:revision>
  <cp:lastPrinted>2015-03-11T13:39:00Z</cp:lastPrinted>
  <dcterms:created xsi:type="dcterms:W3CDTF">2015-03-16T18:41:00Z</dcterms:created>
  <dcterms:modified xsi:type="dcterms:W3CDTF">2015-03-16T19:59:00Z</dcterms:modified>
</cp:coreProperties>
</file>