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7E" w:rsidRDefault="00681C7E" w:rsidP="00681C7E">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681C7E" w:rsidRDefault="00681C7E" w:rsidP="00681C7E">
      <w:pPr>
        <w:pStyle w:val="HTMLPreformatted"/>
        <w:jc w:val="center"/>
        <w:rPr>
          <w:rFonts w:ascii="Times New Roman" w:hAnsi="Times New Roman"/>
          <w:sz w:val="24"/>
        </w:rPr>
      </w:pPr>
      <w:r>
        <w:rPr>
          <w:rFonts w:ascii="Times New Roman" w:hAnsi="Times New Roman"/>
          <w:b/>
          <w:bCs/>
          <w:sz w:val="24"/>
        </w:rPr>
        <w:t>THE PUBLIC UTILITIES COMMISSION OF OHIO</w:t>
      </w:r>
    </w:p>
    <w:p w:rsidR="00681C7E" w:rsidRDefault="00681C7E" w:rsidP="00681C7E">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681C7E" w:rsidTr="00C214D7">
        <w:trPr>
          <w:trHeight w:val="807"/>
        </w:trPr>
        <w:tc>
          <w:tcPr>
            <w:tcW w:w="4332" w:type="dxa"/>
            <w:shd w:val="clear" w:color="auto" w:fill="auto"/>
          </w:tcPr>
          <w:p w:rsidR="00681C7E" w:rsidRPr="00A044B5" w:rsidRDefault="00681C7E" w:rsidP="00C214D7">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Duke Energy Ohio, Inc., for Approval to Continue Cost Recovery Mechanism for Energy Efficiency Programs Through 2016.</w:t>
            </w:r>
          </w:p>
        </w:tc>
        <w:tc>
          <w:tcPr>
            <w:tcW w:w="360" w:type="dxa"/>
            <w:shd w:val="clear" w:color="auto" w:fill="auto"/>
          </w:tcPr>
          <w:p w:rsidR="00681C7E" w:rsidRPr="00A044B5" w:rsidRDefault="00681C7E" w:rsidP="00C214D7">
            <w:pPr>
              <w:pStyle w:val="HTMLPreformatted"/>
              <w:rPr>
                <w:rFonts w:ascii="Times New Roman" w:hAnsi="Times New Roman"/>
                <w:sz w:val="24"/>
              </w:rPr>
            </w:pPr>
            <w:r w:rsidRPr="00A044B5">
              <w:rPr>
                <w:rFonts w:ascii="Times New Roman" w:hAnsi="Times New Roman"/>
                <w:sz w:val="24"/>
              </w:rPr>
              <w:t>)</w:t>
            </w:r>
          </w:p>
          <w:p w:rsidR="00681C7E" w:rsidRPr="00A044B5" w:rsidRDefault="00681C7E" w:rsidP="00C214D7">
            <w:pPr>
              <w:pStyle w:val="HTMLPreformatted"/>
              <w:rPr>
                <w:rFonts w:ascii="Times New Roman" w:hAnsi="Times New Roman"/>
                <w:sz w:val="24"/>
              </w:rPr>
            </w:pPr>
            <w:r w:rsidRPr="00A044B5">
              <w:rPr>
                <w:rFonts w:ascii="Times New Roman" w:hAnsi="Times New Roman"/>
                <w:sz w:val="24"/>
              </w:rPr>
              <w:t>)</w:t>
            </w:r>
          </w:p>
          <w:p w:rsidR="00681C7E" w:rsidRPr="00A044B5" w:rsidRDefault="00681C7E" w:rsidP="00C214D7">
            <w:pPr>
              <w:pStyle w:val="HTMLPreformatted"/>
              <w:rPr>
                <w:rFonts w:ascii="Times New Roman" w:hAnsi="Times New Roman"/>
                <w:sz w:val="24"/>
              </w:rPr>
            </w:pPr>
            <w:r w:rsidRPr="00A044B5">
              <w:rPr>
                <w:rFonts w:ascii="Times New Roman" w:hAnsi="Times New Roman"/>
                <w:sz w:val="24"/>
              </w:rPr>
              <w:t>)</w:t>
            </w:r>
          </w:p>
          <w:p w:rsidR="00681C7E" w:rsidRDefault="00681C7E" w:rsidP="00C214D7">
            <w:pPr>
              <w:pStyle w:val="HTMLPreformatted"/>
              <w:rPr>
                <w:rFonts w:ascii="Times New Roman" w:hAnsi="Times New Roman"/>
                <w:sz w:val="24"/>
              </w:rPr>
            </w:pPr>
            <w:r w:rsidRPr="00A044B5">
              <w:rPr>
                <w:rFonts w:ascii="Times New Roman" w:hAnsi="Times New Roman"/>
                <w:sz w:val="24"/>
              </w:rPr>
              <w:t>)</w:t>
            </w:r>
          </w:p>
          <w:p w:rsidR="00681C7E" w:rsidRPr="00A044B5" w:rsidRDefault="00681C7E" w:rsidP="00C214D7">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681C7E" w:rsidRPr="00A044B5" w:rsidRDefault="00681C7E" w:rsidP="00C214D7">
            <w:pPr>
              <w:pStyle w:val="HTMLPreformatted"/>
              <w:rPr>
                <w:rFonts w:ascii="Times New Roman" w:hAnsi="Times New Roman"/>
                <w:sz w:val="24"/>
              </w:rPr>
            </w:pPr>
          </w:p>
          <w:p w:rsidR="00681C7E" w:rsidRPr="00A044B5" w:rsidRDefault="00681C7E" w:rsidP="00C214D7">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14-1580-EL-RDR</w:t>
            </w:r>
          </w:p>
          <w:p w:rsidR="00681C7E" w:rsidRPr="00A044B5" w:rsidRDefault="00681C7E" w:rsidP="00C214D7">
            <w:pPr>
              <w:pStyle w:val="HTMLPreformatted"/>
              <w:rPr>
                <w:rFonts w:ascii="Times New Roman" w:hAnsi="Times New Roman"/>
                <w:sz w:val="24"/>
              </w:rPr>
            </w:pPr>
          </w:p>
          <w:p w:rsidR="00681C7E" w:rsidRPr="00A044B5" w:rsidRDefault="00681C7E" w:rsidP="00C214D7">
            <w:pPr>
              <w:pStyle w:val="HTMLPreformatted"/>
              <w:rPr>
                <w:rFonts w:ascii="Times New Roman" w:hAnsi="Times New Roman"/>
                <w:sz w:val="24"/>
              </w:rPr>
            </w:pPr>
          </w:p>
        </w:tc>
      </w:tr>
    </w:tbl>
    <w:p w:rsidR="00681C7E" w:rsidRDefault="00681C7E" w:rsidP="00681C7E">
      <w:pPr>
        <w:pBdr>
          <w:bottom w:val="single" w:sz="12" w:space="1" w:color="auto"/>
        </w:pBdr>
        <w:rPr>
          <w:szCs w:val="24"/>
        </w:rPr>
      </w:pPr>
    </w:p>
    <w:p w:rsidR="00681C7E" w:rsidRDefault="00681C7E" w:rsidP="00681C7E">
      <w:pPr>
        <w:rPr>
          <w:szCs w:val="24"/>
        </w:rPr>
      </w:pPr>
    </w:p>
    <w:p w:rsidR="00681C7E" w:rsidRPr="00341322" w:rsidRDefault="00681C7E" w:rsidP="00681C7E">
      <w:pPr>
        <w:jc w:val="center"/>
        <w:rPr>
          <w:b/>
          <w:szCs w:val="24"/>
        </w:rPr>
      </w:pPr>
      <w:r w:rsidRPr="00341322">
        <w:rPr>
          <w:b/>
          <w:szCs w:val="24"/>
        </w:rPr>
        <w:t>COMMENTS</w:t>
      </w:r>
    </w:p>
    <w:p w:rsidR="00681C7E" w:rsidRPr="00341322" w:rsidRDefault="00681C7E" w:rsidP="00681C7E">
      <w:pPr>
        <w:jc w:val="center"/>
        <w:rPr>
          <w:b/>
          <w:szCs w:val="24"/>
        </w:rPr>
      </w:pPr>
      <w:r w:rsidRPr="00341322">
        <w:rPr>
          <w:b/>
          <w:szCs w:val="24"/>
        </w:rPr>
        <w:t>BY</w:t>
      </w:r>
    </w:p>
    <w:p w:rsidR="00681C7E" w:rsidRPr="00341322" w:rsidRDefault="00681C7E" w:rsidP="00681C7E">
      <w:pPr>
        <w:jc w:val="center"/>
        <w:rPr>
          <w:b/>
          <w:szCs w:val="24"/>
        </w:rPr>
      </w:pPr>
      <w:r w:rsidRPr="00341322">
        <w:rPr>
          <w:b/>
          <w:szCs w:val="24"/>
        </w:rPr>
        <w:t>THE OFFICE OF THE OHIO CONSUMERS’ COUNSEL</w:t>
      </w:r>
    </w:p>
    <w:p w:rsidR="00681C7E" w:rsidRDefault="00681C7E" w:rsidP="00681C7E">
      <w:pPr>
        <w:pBdr>
          <w:bottom w:val="single" w:sz="12" w:space="1" w:color="auto"/>
        </w:pBdr>
        <w:jc w:val="center"/>
        <w:rPr>
          <w:szCs w:val="24"/>
        </w:rPr>
      </w:pPr>
    </w:p>
    <w:p w:rsidR="00681C7E" w:rsidRPr="005B26EC" w:rsidRDefault="00681C7E" w:rsidP="00681C7E">
      <w:pPr>
        <w:rPr>
          <w:b/>
          <w:szCs w:val="24"/>
        </w:rPr>
      </w:pPr>
    </w:p>
    <w:p w:rsidR="00681C7E" w:rsidRDefault="00681C7E">
      <w:pPr>
        <w:spacing w:after="200" w:line="276" w:lineRule="auto"/>
        <w:rPr>
          <w:rFonts w:eastAsia="Courier New" w:cs="Courier New"/>
          <w:b/>
          <w:bCs/>
        </w:rPr>
      </w:pPr>
    </w:p>
    <w:p w:rsidR="00681C7E" w:rsidRDefault="00681C7E" w:rsidP="00681C7E">
      <w:pPr>
        <w:tabs>
          <w:tab w:val="left" w:pos="4320"/>
        </w:tabs>
        <w:spacing w:before="240"/>
        <w:rPr>
          <w:szCs w:val="24"/>
        </w:rPr>
      </w:pPr>
      <w:r>
        <w:rPr>
          <w:szCs w:val="24"/>
        </w:rPr>
        <w:tab/>
      </w:r>
    </w:p>
    <w:p w:rsidR="00681C7E" w:rsidRDefault="00681C7E" w:rsidP="00681C7E">
      <w:pPr>
        <w:tabs>
          <w:tab w:val="left" w:pos="4320"/>
        </w:tabs>
        <w:spacing w:before="240"/>
        <w:rPr>
          <w:szCs w:val="24"/>
        </w:rPr>
      </w:pPr>
    </w:p>
    <w:p w:rsidR="00681C7E" w:rsidRDefault="00681C7E" w:rsidP="00681C7E">
      <w:pPr>
        <w:tabs>
          <w:tab w:val="left" w:pos="4320"/>
        </w:tabs>
        <w:spacing w:before="240"/>
        <w:rPr>
          <w:szCs w:val="24"/>
        </w:rPr>
      </w:pPr>
    </w:p>
    <w:p w:rsidR="00681C7E" w:rsidRDefault="00681C7E" w:rsidP="00681C7E">
      <w:pPr>
        <w:tabs>
          <w:tab w:val="left" w:pos="4320"/>
        </w:tabs>
        <w:spacing w:before="240"/>
        <w:rPr>
          <w:szCs w:val="24"/>
        </w:rPr>
      </w:pPr>
    </w:p>
    <w:p w:rsidR="00681C7E" w:rsidRDefault="00681C7E" w:rsidP="00681C7E">
      <w:pPr>
        <w:tabs>
          <w:tab w:val="left" w:pos="4320"/>
        </w:tabs>
        <w:spacing w:before="240"/>
        <w:rPr>
          <w:szCs w:val="24"/>
        </w:rPr>
      </w:pPr>
      <w:r>
        <w:rPr>
          <w:szCs w:val="24"/>
        </w:rPr>
        <w:tab/>
      </w:r>
    </w:p>
    <w:p w:rsidR="00681C7E" w:rsidRDefault="00681C7E" w:rsidP="00681C7E">
      <w:pPr>
        <w:tabs>
          <w:tab w:val="left" w:pos="4320"/>
        </w:tabs>
        <w:spacing w:before="240"/>
        <w:rPr>
          <w:szCs w:val="24"/>
        </w:rPr>
      </w:pPr>
      <w:r>
        <w:rPr>
          <w:szCs w:val="24"/>
        </w:rPr>
        <w:tab/>
      </w:r>
    </w:p>
    <w:p w:rsidR="00681C7E" w:rsidRPr="00341322" w:rsidRDefault="00681C7E" w:rsidP="00681C7E">
      <w:pPr>
        <w:tabs>
          <w:tab w:val="left" w:pos="4320"/>
        </w:tabs>
        <w:spacing w:before="240"/>
        <w:rPr>
          <w:szCs w:val="24"/>
        </w:rPr>
      </w:pPr>
      <w:r>
        <w:rPr>
          <w:szCs w:val="24"/>
        </w:rPr>
        <w:tab/>
      </w:r>
      <w:r w:rsidRPr="00341322">
        <w:rPr>
          <w:szCs w:val="24"/>
        </w:rPr>
        <w:t>BRUCE J. WESTON</w:t>
      </w:r>
    </w:p>
    <w:p w:rsidR="00681C7E" w:rsidRPr="00341322" w:rsidRDefault="00681C7E" w:rsidP="00681C7E">
      <w:pPr>
        <w:tabs>
          <w:tab w:val="left" w:pos="4320"/>
        </w:tabs>
        <w:rPr>
          <w:szCs w:val="24"/>
        </w:rPr>
      </w:pPr>
      <w:r w:rsidRPr="00341322">
        <w:rPr>
          <w:szCs w:val="24"/>
        </w:rPr>
        <w:tab/>
        <w:t>OHIO CONSUMERS’ COUNSEL</w:t>
      </w:r>
    </w:p>
    <w:p w:rsidR="00681C7E" w:rsidRPr="00341322" w:rsidRDefault="00681C7E" w:rsidP="00681C7E">
      <w:pPr>
        <w:tabs>
          <w:tab w:val="left" w:pos="4320"/>
        </w:tabs>
        <w:rPr>
          <w:szCs w:val="24"/>
        </w:rPr>
      </w:pPr>
      <w:r w:rsidRPr="00341322">
        <w:rPr>
          <w:szCs w:val="24"/>
        </w:rPr>
        <w:tab/>
      </w:r>
    </w:p>
    <w:p w:rsidR="00681C7E" w:rsidRDefault="00681C7E" w:rsidP="00681C7E">
      <w:pPr>
        <w:tabs>
          <w:tab w:val="left" w:pos="4320"/>
        </w:tabs>
        <w:rPr>
          <w:szCs w:val="24"/>
        </w:rPr>
      </w:pPr>
      <w:r w:rsidRPr="00341322">
        <w:rPr>
          <w:szCs w:val="24"/>
        </w:rPr>
        <w:tab/>
        <w:t>Kyle L. Kern, Counsel of Record</w:t>
      </w:r>
    </w:p>
    <w:p w:rsidR="00681C7E" w:rsidRPr="00341322" w:rsidRDefault="00681C7E" w:rsidP="00681C7E">
      <w:pPr>
        <w:tabs>
          <w:tab w:val="left" w:pos="4320"/>
        </w:tabs>
        <w:rPr>
          <w:szCs w:val="24"/>
        </w:rPr>
      </w:pPr>
      <w:r>
        <w:rPr>
          <w:szCs w:val="24"/>
        </w:rPr>
        <w:tab/>
        <w:t>(0084199)</w:t>
      </w:r>
    </w:p>
    <w:p w:rsidR="00681C7E" w:rsidRPr="00341322" w:rsidRDefault="00681C7E" w:rsidP="00681C7E">
      <w:pPr>
        <w:tabs>
          <w:tab w:val="left" w:pos="4320"/>
        </w:tabs>
        <w:rPr>
          <w:szCs w:val="24"/>
        </w:rPr>
      </w:pPr>
      <w:r w:rsidRPr="00341322">
        <w:rPr>
          <w:szCs w:val="24"/>
        </w:rPr>
        <w:tab/>
        <w:t>Michael J. Schuler</w:t>
      </w:r>
      <w:r>
        <w:rPr>
          <w:szCs w:val="24"/>
        </w:rPr>
        <w:t xml:space="preserve"> (0082390)</w:t>
      </w:r>
    </w:p>
    <w:p w:rsidR="00681C7E" w:rsidRPr="00341322" w:rsidRDefault="00681C7E" w:rsidP="00681C7E">
      <w:pPr>
        <w:tabs>
          <w:tab w:val="left" w:pos="4320"/>
        </w:tabs>
        <w:rPr>
          <w:szCs w:val="24"/>
        </w:rPr>
      </w:pPr>
      <w:r w:rsidRPr="00341322">
        <w:rPr>
          <w:szCs w:val="24"/>
        </w:rPr>
        <w:tab/>
        <w:t>Assistant Consumers’ Counsel</w:t>
      </w:r>
    </w:p>
    <w:p w:rsidR="00681C7E" w:rsidRPr="00341322" w:rsidRDefault="00681C7E" w:rsidP="00681C7E">
      <w:pPr>
        <w:keepNext/>
        <w:ind w:left="3240" w:right="-648" w:firstLine="720"/>
        <w:outlineLvl w:val="0"/>
        <w:rPr>
          <w:b/>
          <w:szCs w:val="24"/>
        </w:rPr>
      </w:pPr>
      <w:r w:rsidRPr="00341322">
        <w:rPr>
          <w:b/>
          <w:szCs w:val="24"/>
        </w:rPr>
        <w:tab/>
      </w:r>
    </w:p>
    <w:p w:rsidR="00681C7E" w:rsidRPr="00F40DC6" w:rsidRDefault="00681C7E" w:rsidP="00F40DC6">
      <w:pPr>
        <w:rPr>
          <w:b/>
        </w:rPr>
      </w:pPr>
      <w:r w:rsidRPr="00341322">
        <w:tab/>
      </w:r>
      <w:r w:rsidR="00F40DC6">
        <w:tab/>
      </w:r>
      <w:r w:rsidR="00F40DC6">
        <w:tab/>
      </w:r>
      <w:r w:rsidR="00F40DC6">
        <w:tab/>
      </w:r>
      <w:r w:rsidR="00F40DC6">
        <w:tab/>
      </w:r>
      <w:r w:rsidR="00F40DC6" w:rsidRPr="00F40DC6">
        <w:tab/>
      </w:r>
      <w:r w:rsidRPr="00F40DC6">
        <w:rPr>
          <w:b/>
        </w:rPr>
        <w:t>Office of the Ohio Consumers’ Counsel</w:t>
      </w:r>
    </w:p>
    <w:p w:rsidR="00681C7E" w:rsidRPr="00341322" w:rsidRDefault="00681C7E" w:rsidP="00F40DC6">
      <w:pPr>
        <w:ind w:left="4320"/>
        <w:rPr>
          <w:szCs w:val="24"/>
        </w:rPr>
      </w:pPr>
      <w:r w:rsidRPr="00341322">
        <w:rPr>
          <w:szCs w:val="24"/>
        </w:rPr>
        <w:t>10 West Broad Street, Suite 1800</w:t>
      </w:r>
    </w:p>
    <w:p w:rsidR="00681C7E" w:rsidRPr="00341322" w:rsidRDefault="00681C7E" w:rsidP="00F40DC6">
      <w:pPr>
        <w:ind w:left="4320"/>
        <w:rPr>
          <w:szCs w:val="24"/>
        </w:rPr>
      </w:pPr>
      <w:r w:rsidRPr="00341322">
        <w:rPr>
          <w:szCs w:val="24"/>
        </w:rPr>
        <w:t>Columbus, Ohio 43215-3485</w:t>
      </w:r>
    </w:p>
    <w:p w:rsidR="00681C7E" w:rsidRPr="00341322" w:rsidRDefault="00681C7E" w:rsidP="00681C7E">
      <w:pPr>
        <w:autoSpaceDE w:val="0"/>
        <w:autoSpaceDN w:val="0"/>
        <w:adjustRightInd w:val="0"/>
        <w:ind w:left="3600" w:firstLine="720"/>
        <w:rPr>
          <w:szCs w:val="24"/>
        </w:rPr>
      </w:pPr>
      <w:r w:rsidRPr="00341322">
        <w:rPr>
          <w:szCs w:val="24"/>
        </w:rPr>
        <w:t>Telephone:  Kern Direct – 614-466-9585</w:t>
      </w:r>
    </w:p>
    <w:p w:rsidR="00681C7E" w:rsidRPr="00341322" w:rsidRDefault="00681C7E" w:rsidP="00681C7E">
      <w:pPr>
        <w:autoSpaceDE w:val="0"/>
        <w:autoSpaceDN w:val="0"/>
        <w:adjustRightInd w:val="0"/>
        <w:ind w:left="3600" w:firstLine="720"/>
        <w:rPr>
          <w:szCs w:val="24"/>
        </w:rPr>
      </w:pPr>
      <w:r w:rsidRPr="00341322">
        <w:rPr>
          <w:szCs w:val="24"/>
        </w:rPr>
        <w:t>Telephone:  Schuler Direct – 614-466-9547</w:t>
      </w:r>
    </w:p>
    <w:p w:rsidR="00681C7E" w:rsidRPr="00341322" w:rsidRDefault="00BA1785" w:rsidP="00681C7E">
      <w:pPr>
        <w:autoSpaceDE w:val="0"/>
        <w:autoSpaceDN w:val="0"/>
        <w:adjustRightInd w:val="0"/>
        <w:ind w:left="3600" w:firstLine="720"/>
        <w:rPr>
          <w:szCs w:val="24"/>
        </w:rPr>
      </w:pPr>
      <w:hyperlink r:id="rId8" w:history="1">
        <w:r w:rsidR="00681C7E" w:rsidRPr="00341322">
          <w:rPr>
            <w:color w:val="0000FF"/>
            <w:szCs w:val="24"/>
            <w:u w:val="single"/>
          </w:rPr>
          <w:t>Kyle.kern@occ.ohio.gov</w:t>
        </w:r>
      </w:hyperlink>
    </w:p>
    <w:p w:rsidR="00681C7E" w:rsidRDefault="00681C7E" w:rsidP="00681C7E">
      <w:pPr>
        <w:autoSpaceDE w:val="0"/>
        <w:autoSpaceDN w:val="0"/>
        <w:adjustRightInd w:val="0"/>
        <w:rPr>
          <w:color w:val="0000FF"/>
          <w:szCs w:val="24"/>
          <w:u w:val="single"/>
        </w:rPr>
        <w:sectPr w:rsidR="00681C7E" w:rsidSect="007E51F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r>
        <w:t>December 5, 2014</w:t>
      </w:r>
      <w:r>
        <w:tab/>
      </w:r>
      <w:r>
        <w:tab/>
      </w:r>
      <w:r>
        <w:tab/>
      </w:r>
      <w:r>
        <w:tab/>
      </w:r>
      <w:hyperlink r:id="rId15" w:history="1">
        <w:r w:rsidRPr="00341322">
          <w:rPr>
            <w:color w:val="0000FF"/>
            <w:szCs w:val="24"/>
            <w:u w:val="single"/>
          </w:rPr>
          <w:t>Michael.schuler@occ.ohio.gov</w:t>
        </w:r>
      </w:hyperlink>
    </w:p>
    <w:p w:rsidR="00681C7E" w:rsidRPr="00F40DC6" w:rsidRDefault="00681C7E" w:rsidP="00681C7E">
      <w:pPr>
        <w:autoSpaceDE w:val="0"/>
        <w:autoSpaceDN w:val="0"/>
        <w:adjustRightInd w:val="0"/>
        <w:jc w:val="center"/>
        <w:rPr>
          <w:b/>
          <w:szCs w:val="24"/>
        </w:rPr>
      </w:pPr>
      <w:r w:rsidRPr="00F40DC6">
        <w:rPr>
          <w:b/>
          <w:szCs w:val="24"/>
        </w:rPr>
        <w:lastRenderedPageBreak/>
        <w:t>TABLE OF CONTENTS</w:t>
      </w:r>
    </w:p>
    <w:p w:rsidR="00681C7E" w:rsidRPr="00F40DC6" w:rsidRDefault="00681C7E" w:rsidP="00681C7E">
      <w:pPr>
        <w:autoSpaceDE w:val="0"/>
        <w:autoSpaceDN w:val="0"/>
        <w:adjustRightInd w:val="0"/>
        <w:jc w:val="center"/>
        <w:rPr>
          <w:b/>
          <w:szCs w:val="24"/>
        </w:rPr>
      </w:pPr>
    </w:p>
    <w:p w:rsidR="00681C7E" w:rsidRPr="00F40DC6" w:rsidRDefault="00681C7E" w:rsidP="00681C7E">
      <w:pPr>
        <w:autoSpaceDE w:val="0"/>
        <w:autoSpaceDN w:val="0"/>
        <w:adjustRightInd w:val="0"/>
        <w:jc w:val="center"/>
        <w:rPr>
          <w:b/>
          <w:szCs w:val="24"/>
        </w:rPr>
      </w:pPr>
      <w:r w:rsidRPr="00F40DC6">
        <w:rPr>
          <w:b/>
          <w:szCs w:val="24"/>
        </w:rPr>
        <w:tab/>
      </w:r>
      <w:r w:rsidRPr="00F40DC6">
        <w:rPr>
          <w:b/>
          <w:szCs w:val="24"/>
        </w:rPr>
        <w:tab/>
      </w:r>
      <w:r w:rsidRPr="00F40DC6">
        <w:rPr>
          <w:b/>
          <w:szCs w:val="24"/>
        </w:rPr>
        <w:tab/>
      </w:r>
      <w:r w:rsidRPr="00F40DC6">
        <w:rPr>
          <w:b/>
          <w:szCs w:val="24"/>
        </w:rPr>
        <w:tab/>
      </w:r>
      <w:r w:rsidRPr="00F40DC6">
        <w:rPr>
          <w:b/>
          <w:szCs w:val="24"/>
        </w:rPr>
        <w:tab/>
      </w:r>
      <w:r w:rsidRPr="00F40DC6">
        <w:rPr>
          <w:b/>
          <w:szCs w:val="24"/>
        </w:rPr>
        <w:tab/>
      </w:r>
      <w:r w:rsidRPr="00F40DC6">
        <w:rPr>
          <w:b/>
          <w:szCs w:val="24"/>
        </w:rPr>
        <w:tab/>
      </w:r>
      <w:r w:rsidRPr="00F40DC6">
        <w:rPr>
          <w:b/>
          <w:szCs w:val="24"/>
        </w:rPr>
        <w:tab/>
      </w:r>
      <w:r w:rsidRPr="00F40DC6">
        <w:rPr>
          <w:b/>
          <w:szCs w:val="24"/>
        </w:rPr>
        <w:tab/>
      </w:r>
      <w:r w:rsidR="00F40DC6" w:rsidRPr="00F40DC6">
        <w:rPr>
          <w:b/>
          <w:szCs w:val="24"/>
        </w:rPr>
        <w:tab/>
      </w:r>
      <w:r w:rsidR="00F40DC6">
        <w:rPr>
          <w:b/>
          <w:szCs w:val="24"/>
        </w:rPr>
        <w:t xml:space="preserve">            </w:t>
      </w:r>
      <w:r w:rsidRPr="00F40DC6">
        <w:rPr>
          <w:b/>
          <w:szCs w:val="24"/>
        </w:rPr>
        <w:t>PAGE</w:t>
      </w:r>
    </w:p>
    <w:p w:rsidR="00F40DC6" w:rsidRDefault="00F40DC6" w:rsidP="00681C7E">
      <w:pPr>
        <w:autoSpaceDE w:val="0"/>
        <w:autoSpaceDN w:val="0"/>
        <w:adjustRightInd w:val="0"/>
        <w:jc w:val="center"/>
        <w:rPr>
          <w:szCs w:val="24"/>
        </w:rPr>
      </w:pPr>
    </w:p>
    <w:p w:rsidR="005E17A2" w:rsidRDefault="00F40DC6">
      <w:pPr>
        <w:pStyle w:val="TOC1"/>
        <w:rPr>
          <w:rFonts w:asciiTheme="minorHAnsi" w:eastAsiaTheme="minorEastAsia" w:hAnsiTheme="minorHAnsi" w:cstheme="minorBidi"/>
          <w:caps w:val="0"/>
          <w:noProof/>
          <w:sz w:val="22"/>
          <w:szCs w:val="22"/>
        </w:rPr>
      </w:pPr>
      <w:r>
        <w:rPr>
          <w:szCs w:val="24"/>
        </w:rPr>
        <w:fldChar w:fldCharType="begin"/>
      </w:r>
      <w:r>
        <w:rPr>
          <w:szCs w:val="24"/>
        </w:rPr>
        <w:instrText xml:space="preserve"> TOC \o "1-2" \h \z \u </w:instrText>
      </w:r>
      <w:r>
        <w:rPr>
          <w:szCs w:val="24"/>
        </w:rPr>
        <w:fldChar w:fldCharType="separate"/>
      </w:r>
      <w:hyperlink w:anchor="_Toc405545397" w:history="1">
        <w:r w:rsidR="005E17A2" w:rsidRPr="00843142">
          <w:rPr>
            <w:rStyle w:val="Hyperlink"/>
            <w:noProof/>
          </w:rPr>
          <w:t>I.</w:t>
        </w:r>
        <w:r w:rsidR="005E17A2">
          <w:rPr>
            <w:rFonts w:asciiTheme="minorHAnsi" w:eastAsiaTheme="minorEastAsia" w:hAnsiTheme="minorHAnsi" w:cstheme="minorBidi"/>
            <w:caps w:val="0"/>
            <w:noProof/>
            <w:sz w:val="22"/>
            <w:szCs w:val="22"/>
          </w:rPr>
          <w:tab/>
        </w:r>
        <w:r w:rsidR="005E17A2" w:rsidRPr="00843142">
          <w:rPr>
            <w:rStyle w:val="Hyperlink"/>
            <w:noProof/>
          </w:rPr>
          <w:t>INTRODUCTION</w:t>
        </w:r>
        <w:r w:rsidR="005E17A2">
          <w:rPr>
            <w:noProof/>
            <w:webHidden/>
          </w:rPr>
          <w:tab/>
        </w:r>
        <w:r w:rsidR="005E17A2">
          <w:rPr>
            <w:noProof/>
            <w:webHidden/>
          </w:rPr>
          <w:fldChar w:fldCharType="begin"/>
        </w:r>
        <w:r w:rsidR="005E17A2">
          <w:rPr>
            <w:noProof/>
            <w:webHidden/>
          </w:rPr>
          <w:instrText xml:space="preserve"> PAGEREF _Toc405545397 \h </w:instrText>
        </w:r>
        <w:r w:rsidR="005E17A2">
          <w:rPr>
            <w:noProof/>
            <w:webHidden/>
          </w:rPr>
        </w:r>
        <w:r w:rsidR="005E17A2">
          <w:rPr>
            <w:noProof/>
            <w:webHidden/>
          </w:rPr>
          <w:fldChar w:fldCharType="separate"/>
        </w:r>
        <w:r w:rsidR="003A587A">
          <w:rPr>
            <w:noProof/>
            <w:webHidden/>
          </w:rPr>
          <w:t>1</w:t>
        </w:r>
        <w:r w:rsidR="005E17A2">
          <w:rPr>
            <w:noProof/>
            <w:webHidden/>
          </w:rPr>
          <w:fldChar w:fldCharType="end"/>
        </w:r>
      </w:hyperlink>
    </w:p>
    <w:p w:rsidR="005E17A2" w:rsidRDefault="00BA1785">
      <w:pPr>
        <w:pStyle w:val="TOC1"/>
        <w:rPr>
          <w:rFonts w:asciiTheme="minorHAnsi" w:eastAsiaTheme="minorEastAsia" w:hAnsiTheme="minorHAnsi" w:cstheme="minorBidi"/>
          <w:caps w:val="0"/>
          <w:noProof/>
          <w:sz w:val="22"/>
          <w:szCs w:val="22"/>
        </w:rPr>
      </w:pPr>
      <w:hyperlink w:anchor="_Toc405545398" w:history="1">
        <w:r w:rsidR="005E17A2" w:rsidRPr="00843142">
          <w:rPr>
            <w:rStyle w:val="Hyperlink"/>
            <w:noProof/>
          </w:rPr>
          <w:t>II.</w:t>
        </w:r>
        <w:r w:rsidR="005E17A2">
          <w:rPr>
            <w:rFonts w:asciiTheme="minorHAnsi" w:eastAsiaTheme="minorEastAsia" w:hAnsiTheme="minorHAnsi" w:cstheme="minorBidi"/>
            <w:caps w:val="0"/>
            <w:noProof/>
            <w:sz w:val="22"/>
            <w:szCs w:val="22"/>
          </w:rPr>
          <w:tab/>
        </w:r>
        <w:r w:rsidR="005E17A2" w:rsidRPr="00843142">
          <w:rPr>
            <w:rStyle w:val="Hyperlink"/>
            <w:noProof/>
          </w:rPr>
          <w:t>BACKGROUND</w:t>
        </w:r>
        <w:r w:rsidR="005E17A2">
          <w:rPr>
            <w:noProof/>
            <w:webHidden/>
          </w:rPr>
          <w:tab/>
        </w:r>
        <w:r w:rsidR="005E17A2">
          <w:rPr>
            <w:noProof/>
            <w:webHidden/>
          </w:rPr>
          <w:fldChar w:fldCharType="begin"/>
        </w:r>
        <w:r w:rsidR="005E17A2">
          <w:rPr>
            <w:noProof/>
            <w:webHidden/>
          </w:rPr>
          <w:instrText xml:space="preserve"> PAGEREF _Toc405545398 \h </w:instrText>
        </w:r>
        <w:r w:rsidR="005E17A2">
          <w:rPr>
            <w:noProof/>
            <w:webHidden/>
          </w:rPr>
        </w:r>
        <w:r w:rsidR="005E17A2">
          <w:rPr>
            <w:noProof/>
            <w:webHidden/>
          </w:rPr>
          <w:fldChar w:fldCharType="separate"/>
        </w:r>
        <w:r w:rsidR="003A587A">
          <w:rPr>
            <w:noProof/>
            <w:webHidden/>
          </w:rPr>
          <w:t>2</w:t>
        </w:r>
        <w:r w:rsidR="005E17A2">
          <w:rPr>
            <w:noProof/>
            <w:webHidden/>
          </w:rPr>
          <w:fldChar w:fldCharType="end"/>
        </w:r>
      </w:hyperlink>
    </w:p>
    <w:p w:rsidR="005E17A2" w:rsidRDefault="00BA1785">
      <w:pPr>
        <w:pStyle w:val="TOC1"/>
        <w:rPr>
          <w:rFonts w:asciiTheme="minorHAnsi" w:eastAsiaTheme="minorEastAsia" w:hAnsiTheme="minorHAnsi" w:cstheme="minorBidi"/>
          <w:caps w:val="0"/>
          <w:noProof/>
          <w:sz w:val="22"/>
          <w:szCs w:val="22"/>
        </w:rPr>
      </w:pPr>
      <w:hyperlink w:anchor="_Toc405545399" w:history="1">
        <w:r w:rsidR="005E17A2" w:rsidRPr="00843142">
          <w:rPr>
            <w:rStyle w:val="Hyperlink"/>
            <w:noProof/>
          </w:rPr>
          <w:t>III.</w:t>
        </w:r>
        <w:r w:rsidR="005E17A2">
          <w:rPr>
            <w:rFonts w:asciiTheme="minorHAnsi" w:eastAsiaTheme="minorEastAsia" w:hAnsiTheme="minorHAnsi" w:cstheme="minorBidi"/>
            <w:caps w:val="0"/>
            <w:noProof/>
            <w:sz w:val="22"/>
            <w:szCs w:val="22"/>
          </w:rPr>
          <w:tab/>
        </w:r>
        <w:r w:rsidR="005E17A2" w:rsidRPr="00843142">
          <w:rPr>
            <w:rStyle w:val="Hyperlink"/>
            <w:noProof/>
          </w:rPr>
          <w:t>COMMENTS</w:t>
        </w:r>
        <w:r w:rsidR="005E17A2">
          <w:rPr>
            <w:noProof/>
            <w:webHidden/>
          </w:rPr>
          <w:tab/>
        </w:r>
        <w:r w:rsidR="005E17A2">
          <w:rPr>
            <w:noProof/>
            <w:webHidden/>
          </w:rPr>
          <w:fldChar w:fldCharType="begin"/>
        </w:r>
        <w:r w:rsidR="005E17A2">
          <w:rPr>
            <w:noProof/>
            <w:webHidden/>
          </w:rPr>
          <w:instrText xml:space="preserve"> PAGEREF _Toc405545399 \h </w:instrText>
        </w:r>
        <w:r w:rsidR="005E17A2">
          <w:rPr>
            <w:noProof/>
            <w:webHidden/>
          </w:rPr>
        </w:r>
        <w:r w:rsidR="005E17A2">
          <w:rPr>
            <w:noProof/>
            <w:webHidden/>
          </w:rPr>
          <w:fldChar w:fldCharType="separate"/>
        </w:r>
        <w:r w:rsidR="003A587A">
          <w:rPr>
            <w:noProof/>
            <w:webHidden/>
          </w:rPr>
          <w:t>5</w:t>
        </w:r>
        <w:r w:rsidR="005E17A2">
          <w:rPr>
            <w:noProof/>
            <w:webHidden/>
          </w:rPr>
          <w:fldChar w:fldCharType="end"/>
        </w:r>
      </w:hyperlink>
    </w:p>
    <w:p w:rsidR="005E17A2" w:rsidRDefault="00BA1785">
      <w:pPr>
        <w:pStyle w:val="TOC2"/>
        <w:tabs>
          <w:tab w:val="left" w:pos="1440"/>
        </w:tabs>
        <w:rPr>
          <w:rFonts w:asciiTheme="minorHAnsi" w:eastAsiaTheme="minorEastAsia" w:hAnsiTheme="minorHAnsi" w:cstheme="minorBidi"/>
          <w:noProof/>
          <w:sz w:val="22"/>
          <w:szCs w:val="22"/>
        </w:rPr>
      </w:pPr>
      <w:hyperlink w:anchor="_Toc405545400" w:history="1">
        <w:r w:rsidR="005E17A2" w:rsidRPr="00843142">
          <w:rPr>
            <w:rStyle w:val="Hyperlink"/>
            <w:noProof/>
          </w:rPr>
          <w:t>A.</w:t>
        </w:r>
        <w:r w:rsidR="005E17A2">
          <w:rPr>
            <w:rFonts w:asciiTheme="minorHAnsi" w:eastAsiaTheme="minorEastAsia" w:hAnsiTheme="minorHAnsi" w:cstheme="minorBidi"/>
            <w:noProof/>
            <w:sz w:val="22"/>
            <w:szCs w:val="22"/>
          </w:rPr>
          <w:tab/>
        </w:r>
        <w:r w:rsidR="005E17A2" w:rsidRPr="00843142">
          <w:rPr>
            <w:rStyle w:val="Hyperlink"/>
            <w:noProof/>
          </w:rPr>
          <w:t>If the PUCO chooses to extend the shared savings mechanism (profit for Duke) to 2016, then the PUCO should impose an annual cap on shared savings of no more than 13% of actual prudent program spending, to protect consumers.</w:t>
        </w:r>
        <w:r w:rsidR="005E17A2">
          <w:rPr>
            <w:noProof/>
            <w:webHidden/>
          </w:rPr>
          <w:tab/>
        </w:r>
        <w:r w:rsidR="005E17A2">
          <w:rPr>
            <w:noProof/>
            <w:webHidden/>
          </w:rPr>
          <w:fldChar w:fldCharType="begin"/>
        </w:r>
        <w:r w:rsidR="005E17A2">
          <w:rPr>
            <w:noProof/>
            <w:webHidden/>
          </w:rPr>
          <w:instrText xml:space="preserve"> PAGEREF _Toc405545400 \h </w:instrText>
        </w:r>
        <w:r w:rsidR="005E17A2">
          <w:rPr>
            <w:noProof/>
            <w:webHidden/>
          </w:rPr>
        </w:r>
        <w:r w:rsidR="005E17A2">
          <w:rPr>
            <w:noProof/>
            <w:webHidden/>
          </w:rPr>
          <w:fldChar w:fldCharType="separate"/>
        </w:r>
        <w:r w:rsidR="003A587A">
          <w:rPr>
            <w:noProof/>
            <w:webHidden/>
          </w:rPr>
          <w:t>5</w:t>
        </w:r>
        <w:r w:rsidR="005E17A2">
          <w:rPr>
            <w:noProof/>
            <w:webHidden/>
          </w:rPr>
          <w:fldChar w:fldCharType="end"/>
        </w:r>
      </w:hyperlink>
    </w:p>
    <w:p w:rsidR="005E17A2" w:rsidRDefault="00BA1785">
      <w:pPr>
        <w:pStyle w:val="TOC2"/>
        <w:tabs>
          <w:tab w:val="left" w:pos="1440"/>
        </w:tabs>
        <w:rPr>
          <w:rFonts w:asciiTheme="minorHAnsi" w:eastAsiaTheme="minorEastAsia" w:hAnsiTheme="minorHAnsi" w:cstheme="minorBidi"/>
          <w:noProof/>
          <w:sz w:val="22"/>
          <w:szCs w:val="22"/>
        </w:rPr>
      </w:pPr>
      <w:hyperlink w:anchor="_Toc405545401" w:history="1">
        <w:r w:rsidR="005E17A2" w:rsidRPr="00843142">
          <w:rPr>
            <w:rStyle w:val="Hyperlink"/>
            <w:rFonts w:eastAsiaTheme="minorHAnsi"/>
            <w:noProof/>
          </w:rPr>
          <w:t>B.</w:t>
        </w:r>
        <w:r w:rsidR="005E17A2">
          <w:rPr>
            <w:rFonts w:asciiTheme="minorHAnsi" w:eastAsiaTheme="minorEastAsia" w:hAnsiTheme="minorHAnsi" w:cstheme="minorBidi"/>
            <w:noProof/>
            <w:sz w:val="22"/>
            <w:szCs w:val="22"/>
          </w:rPr>
          <w:tab/>
        </w:r>
        <w:r w:rsidR="005E17A2" w:rsidRPr="00843142">
          <w:rPr>
            <w:rStyle w:val="Hyperlink"/>
            <w:rFonts w:eastAsiaTheme="minorHAnsi"/>
            <w:noProof/>
          </w:rPr>
          <w:t>The Significantly Excessive Earnings Test produces a cap that is too expensive for customers with a shared savings mechanism.</w:t>
        </w:r>
        <w:r w:rsidR="005E17A2">
          <w:rPr>
            <w:noProof/>
            <w:webHidden/>
          </w:rPr>
          <w:tab/>
        </w:r>
        <w:r w:rsidR="005E17A2">
          <w:rPr>
            <w:noProof/>
            <w:webHidden/>
          </w:rPr>
          <w:fldChar w:fldCharType="begin"/>
        </w:r>
        <w:r w:rsidR="005E17A2">
          <w:rPr>
            <w:noProof/>
            <w:webHidden/>
          </w:rPr>
          <w:instrText xml:space="preserve"> PAGEREF _Toc405545401 \h </w:instrText>
        </w:r>
        <w:r w:rsidR="005E17A2">
          <w:rPr>
            <w:noProof/>
            <w:webHidden/>
          </w:rPr>
        </w:r>
        <w:r w:rsidR="005E17A2">
          <w:rPr>
            <w:noProof/>
            <w:webHidden/>
          </w:rPr>
          <w:fldChar w:fldCharType="separate"/>
        </w:r>
        <w:r w:rsidR="003A587A">
          <w:rPr>
            <w:noProof/>
            <w:webHidden/>
          </w:rPr>
          <w:t>8</w:t>
        </w:r>
        <w:r w:rsidR="005E17A2">
          <w:rPr>
            <w:noProof/>
            <w:webHidden/>
          </w:rPr>
          <w:fldChar w:fldCharType="end"/>
        </w:r>
      </w:hyperlink>
    </w:p>
    <w:p w:rsidR="005E17A2" w:rsidRDefault="00BA1785">
      <w:pPr>
        <w:pStyle w:val="TOC2"/>
        <w:tabs>
          <w:tab w:val="left" w:pos="1440"/>
        </w:tabs>
        <w:rPr>
          <w:rFonts w:asciiTheme="minorHAnsi" w:eastAsiaTheme="minorEastAsia" w:hAnsiTheme="minorHAnsi" w:cstheme="minorBidi"/>
          <w:noProof/>
          <w:sz w:val="22"/>
          <w:szCs w:val="22"/>
        </w:rPr>
      </w:pPr>
      <w:hyperlink w:anchor="_Toc405545402" w:history="1">
        <w:r w:rsidR="005E17A2" w:rsidRPr="00843142">
          <w:rPr>
            <w:rStyle w:val="Hyperlink"/>
            <w:noProof/>
          </w:rPr>
          <w:t>C.</w:t>
        </w:r>
        <w:r w:rsidR="005E17A2">
          <w:rPr>
            <w:rFonts w:asciiTheme="minorHAnsi" w:eastAsiaTheme="minorEastAsia" w:hAnsiTheme="minorHAnsi" w:cstheme="minorBidi"/>
            <w:noProof/>
            <w:sz w:val="22"/>
            <w:szCs w:val="22"/>
          </w:rPr>
          <w:tab/>
        </w:r>
        <w:r w:rsidR="005E17A2" w:rsidRPr="00843142">
          <w:rPr>
            <w:rStyle w:val="Hyperlink"/>
            <w:noProof/>
          </w:rPr>
          <w:t xml:space="preserve">Duke should be limited to charging customers for shared savings on </w:t>
        </w:r>
        <w:r w:rsidR="005E17A2">
          <w:rPr>
            <w:rStyle w:val="Hyperlink"/>
            <w:noProof/>
          </w:rPr>
          <w:br/>
        </w:r>
        <w:r w:rsidR="005E17A2" w:rsidRPr="00843142">
          <w:rPr>
            <w:rStyle w:val="Hyperlink"/>
            <w:noProof/>
          </w:rPr>
          <w:t>only the efficiency savings that exceed the statutory benchmark.</w:t>
        </w:r>
        <w:r w:rsidR="005E17A2">
          <w:rPr>
            <w:noProof/>
            <w:webHidden/>
          </w:rPr>
          <w:tab/>
        </w:r>
        <w:r w:rsidR="005E17A2">
          <w:rPr>
            <w:noProof/>
            <w:webHidden/>
          </w:rPr>
          <w:fldChar w:fldCharType="begin"/>
        </w:r>
        <w:r w:rsidR="005E17A2">
          <w:rPr>
            <w:noProof/>
            <w:webHidden/>
          </w:rPr>
          <w:instrText xml:space="preserve"> PAGEREF _Toc405545402 \h </w:instrText>
        </w:r>
        <w:r w:rsidR="005E17A2">
          <w:rPr>
            <w:noProof/>
            <w:webHidden/>
          </w:rPr>
        </w:r>
        <w:r w:rsidR="005E17A2">
          <w:rPr>
            <w:noProof/>
            <w:webHidden/>
          </w:rPr>
          <w:fldChar w:fldCharType="separate"/>
        </w:r>
        <w:r w:rsidR="003A587A">
          <w:rPr>
            <w:noProof/>
            <w:webHidden/>
          </w:rPr>
          <w:t>9</w:t>
        </w:r>
        <w:r w:rsidR="005E17A2">
          <w:rPr>
            <w:noProof/>
            <w:webHidden/>
          </w:rPr>
          <w:fldChar w:fldCharType="end"/>
        </w:r>
      </w:hyperlink>
    </w:p>
    <w:p w:rsidR="005E17A2" w:rsidRDefault="00BA1785">
      <w:pPr>
        <w:pStyle w:val="TOC2"/>
        <w:tabs>
          <w:tab w:val="left" w:pos="1440"/>
        </w:tabs>
        <w:rPr>
          <w:rFonts w:asciiTheme="minorHAnsi" w:eastAsiaTheme="minorEastAsia" w:hAnsiTheme="minorHAnsi" w:cstheme="minorBidi"/>
          <w:noProof/>
          <w:sz w:val="22"/>
          <w:szCs w:val="22"/>
        </w:rPr>
      </w:pPr>
      <w:hyperlink w:anchor="_Toc405545403" w:history="1">
        <w:r w:rsidR="005E17A2" w:rsidRPr="00843142">
          <w:rPr>
            <w:rStyle w:val="Hyperlink"/>
            <w:noProof/>
          </w:rPr>
          <w:t>D.</w:t>
        </w:r>
        <w:r w:rsidR="005E17A2">
          <w:rPr>
            <w:rFonts w:asciiTheme="minorHAnsi" w:eastAsiaTheme="minorEastAsia" w:hAnsiTheme="minorHAnsi" w:cstheme="minorBidi"/>
            <w:noProof/>
            <w:sz w:val="22"/>
            <w:szCs w:val="22"/>
          </w:rPr>
          <w:tab/>
        </w:r>
        <w:r w:rsidR="005E17A2" w:rsidRPr="00843142">
          <w:rPr>
            <w:rStyle w:val="Hyperlink"/>
            <w:noProof/>
          </w:rPr>
          <w:t>Duke should not be permitted to use “banked” savings from previous years to make customers pay more in 2016.</w:t>
        </w:r>
        <w:r w:rsidR="005E17A2">
          <w:rPr>
            <w:noProof/>
            <w:webHidden/>
          </w:rPr>
          <w:tab/>
        </w:r>
        <w:r w:rsidR="005E17A2">
          <w:rPr>
            <w:noProof/>
            <w:webHidden/>
          </w:rPr>
          <w:fldChar w:fldCharType="begin"/>
        </w:r>
        <w:r w:rsidR="005E17A2">
          <w:rPr>
            <w:noProof/>
            <w:webHidden/>
          </w:rPr>
          <w:instrText xml:space="preserve"> PAGEREF _Toc405545403 \h </w:instrText>
        </w:r>
        <w:r w:rsidR="005E17A2">
          <w:rPr>
            <w:noProof/>
            <w:webHidden/>
          </w:rPr>
        </w:r>
        <w:r w:rsidR="005E17A2">
          <w:rPr>
            <w:noProof/>
            <w:webHidden/>
          </w:rPr>
          <w:fldChar w:fldCharType="separate"/>
        </w:r>
        <w:r w:rsidR="003A587A">
          <w:rPr>
            <w:noProof/>
            <w:webHidden/>
          </w:rPr>
          <w:t>10</w:t>
        </w:r>
        <w:r w:rsidR="005E17A2">
          <w:rPr>
            <w:noProof/>
            <w:webHidden/>
          </w:rPr>
          <w:fldChar w:fldCharType="end"/>
        </w:r>
      </w:hyperlink>
    </w:p>
    <w:p w:rsidR="005E17A2" w:rsidRDefault="00BA1785">
      <w:pPr>
        <w:pStyle w:val="TOC2"/>
        <w:tabs>
          <w:tab w:val="left" w:pos="1440"/>
        </w:tabs>
        <w:rPr>
          <w:rFonts w:asciiTheme="minorHAnsi" w:eastAsiaTheme="minorEastAsia" w:hAnsiTheme="minorHAnsi" w:cstheme="minorBidi"/>
          <w:noProof/>
          <w:sz w:val="22"/>
          <w:szCs w:val="22"/>
        </w:rPr>
      </w:pPr>
      <w:hyperlink w:anchor="_Toc405545404" w:history="1">
        <w:r w:rsidR="005E17A2" w:rsidRPr="00843142">
          <w:rPr>
            <w:rStyle w:val="Hyperlink"/>
            <w:noProof/>
          </w:rPr>
          <w:t>E.</w:t>
        </w:r>
        <w:r w:rsidR="005E17A2">
          <w:rPr>
            <w:rFonts w:asciiTheme="minorHAnsi" w:eastAsiaTheme="minorEastAsia" w:hAnsiTheme="minorHAnsi" w:cstheme="minorBidi"/>
            <w:noProof/>
            <w:sz w:val="22"/>
            <w:szCs w:val="22"/>
          </w:rPr>
          <w:tab/>
        </w:r>
        <w:r w:rsidR="005E17A2" w:rsidRPr="00843142">
          <w:rPr>
            <w:rStyle w:val="Hyperlink"/>
            <w:noProof/>
          </w:rPr>
          <w:t xml:space="preserve">Duke should not be permitted to charge customers for a share of </w:t>
        </w:r>
        <w:r w:rsidR="005E17A2">
          <w:rPr>
            <w:rStyle w:val="Hyperlink"/>
            <w:noProof/>
          </w:rPr>
          <w:br/>
        </w:r>
        <w:r w:rsidR="005E17A2" w:rsidRPr="00843142">
          <w:rPr>
            <w:rStyle w:val="Hyperlink"/>
            <w:noProof/>
          </w:rPr>
          <w:t>resource savings that did not occur.</w:t>
        </w:r>
        <w:r w:rsidR="005E17A2">
          <w:rPr>
            <w:noProof/>
            <w:webHidden/>
          </w:rPr>
          <w:tab/>
        </w:r>
        <w:r w:rsidR="005E17A2">
          <w:rPr>
            <w:noProof/>
            <w:webHidden/>
          </w:rPr>
          <w:fldChar w:fldCharType="begin"/>
        </w:r>
        <w:r w:rsidR="005E17A2">
          <w:rPr>
            <w:noProof/>
            <w:webHidden/>
          </w:rPr>
          <w:instrText xml:space="preserve"> PAGEREF _Toc405545404 \h </w:instrText>
        </w:r>
        <w:r w:rsidR="005E17A2">
          <w:rPr>
            <w:noProof/>
            <w:webHidden/>
          </w:rPr>
        </w:r>
        <w:r w:rsidR="005E17A2">
          <w:rPr>
            <w:noProof/>
            <w:webHidden/>
          </w:rPr>
          <w:fldChar w:fldCharType="separate"/>
        </w:r>
        <w:r w:rsidR="003A587A">
          <w:rPr>
            <w:noProof/>
            <w:webHidden/>
          </w:rPr>
          <w:t>11</w:t>
        </w:r>
        <w:r w:rsidR="005E17A2">
          <w:rPr>
            <w:noProof/>
            <w:webHidden/>
          </w:rPr>
          <w:fldChar w:fldCharType="end"/>
        </w:r>
      </w:hyperlink>
    </w:p>
    <w:p w:rsidR="005E17A2" w:rsidRDefault="00BA1785">
      <w:pPr>
        <w:pStyle w:val="TOC2"/>
        <w:tabs>
          <w:tab w:val="left" w:pos="1440"/>
        </w:tabs>
        <w:rPr>
          <w:rFonts w:asciiTheme="minorHAnsi" w:eastAsiaTheme="minorEastAsia" w:hAnsiTheme="minorHAnsi" w:cstheme="minorBidi"/>
          <w:noProof/>
          <w:sz w:val="22"/>
          <w:szCs w:val="22"/>
        </w:rPr>
      </w:pPr>
      <w:hyperlink w:anchor="_Toc405545405" w:history="1">
        <w:r w:rsidR="005E17A2" w:rsidRPr="00843142">
          <w:rPr>
            <w:rStyle w:val="Hyperlink"/>
            <w:noProof/>
          </w:rPr>
          <w:t>F.</w:t>
        </w:r>
        <w:r w:rsidR="005E17A2">
          <w:rPr>
            <w:rFonts w:asciiTheme="minorHAnsi" w:eastAsiaTheme="minorEastAsia" w:hAnsiTheme="minorHAnsi" w:cstheme="minorBidi"/>
            <w:noProof/>
            <w:sz w:val="22"/>
            <w:szCs w:val="22"/>
          </w:rPr>
          <w:tab/>
        </w:r>
        <w:r w:rsidR="005E17A2" w:rsidRPr="00843142">
          <w:rPr>
            <w:rStyle w:val="Hyperlink"/>
            <w:noProof/>
          </w:rPr>
          <w:t xml:space="preserve">Duke is charging customers for shared savings before the savings </w:t>
        </w:r>
        <w:r w:rsidR="005E17A2">
          <w:rPr>
            <w:rStyle w:val="Hyperlink"/>
            <w:noProof/>
          </w:rPr>
          <w:br/>
        </w:r>
        <w:r w:rsidR="005E17A2" w:rsidRPr="00843142">
          <w:rPr>
            <w:rStyle w:val="Hyperlink"/>
            <w:noProof/>
          </w:rPr>
          <w:t>accrue to customers.</w:t>
        </w:r>
        <w:r w:rsidR="005E17A2">
          <w:rPr>
            <w:noProof/>
            <w:webHidden/>
          </w:rPr>
          <w:tab/>
        </w:r>
        <w:r w:rsidR="005E17A2">
          <w:rPr>
            <w:noProof/>
            <w:webHidden/>
          </w:rPr>
          <w:fldChar w:fldCharType="begin"/>
        </w:r>
        <w:r w:rsidR="005E17A2">
          <w:rPr>
            <w:noProof/>
            <w:webHidden/>
          </w:rPr>
          <w:instrText xml:space="preserve"> PAGEREF _Toc405545405 \h </w:instrText>
        </w:r>
        <w:r w:rsidR="005E17A2">
          <w:rPr>
            <w:noProof/>
            <w:webHidden/>
          </w:rPr>
        </w:r>
        <w:r w:rsidR="005E17A2">
          <w:rPr>
            <w:noProof/>
            <w:webHidden/>
          </w:rPr>
          <w:fldChar w:fldCharType="separate"/>
        </w:r>
        <w:r w:rsidR="003A587A">
          <w:rPr>
            <w:noProof/>
            <w:webHidden/>
          </w:rPr>
          <w:t>12</w:t>
        </w:r>
        <w:r w:rsidR="005E17A2">
          <w:rPr>
            <w:noProof/>
            <w:webHidden/>
          </w:rPr>
          <w:fldChar w:fldCharType="end"/>
        </w:r>
      </w:hyperlink>
    </w:p>
    <w:p w:rsidR="005E17A2" w:rsidRDefault="00BA1785">
      <w:pPr>
        <w:pStyle w:val="TOC1"/>
        <w:rPr>
          <w:rFonts w:asciiTheme="minorHAnsi" w:eastAsiaTheme="minorEastAsia" w:hAnsiTheme="minorHAnsi" w:cstheme="minorBidi"/>
          <w:caps w:val="0"/>
          <w:noProof/>
          <w:sz w:val="22"/>
          <w:szCs w:val="22"/>
        </w:rPr>
      </w:pPr>
      <w:hyperlink w:anchor="_Toc405545406" w:history="1">
        <w:r w:rsidR="005E17A2" w:rsidRPr="00843142">
          <w:rPr>
            <w:rStyle w:val="Hyperlink"/>
            <w:noProof/>
          </w:rPr>
          <w:t>IV.</w:t>
        </w:r>
        <w:r w:rsidR="005E17A2">
          <w:rPr>
            <w:rFonts w:asciiTheme="minorHAnsi" w:eastAsiaTheme="minorEastAsia" w:hAnsiTheme="minorHAnsi" w:cstheme="minorBidi"/>
            <w:caps w:val="0"/>
            <w:noProof/>
            <w:sz w:val="22"/>
            <w:szCs w:val="22"/>
          </w:rPr>
          <w:tab/>
        </w:r>
        <w:r w:rsidR="005E17A2" w:rsidRPr="00843142">
          <w:rPr>
            <w:rStyle w:val="Hyperlink"/>
            <w:noProof/>
          </w:rPr>
          <w:t>CONCLUSION</w:t>
        </w:r>
        <w:r w:rsidR="005E17A2">
          <w:rPr>
            <w:noProof/>
            <w:webHidden/>
          </w:rPr>
          <w:tab/>
        </w:r>
        <w:r w:rsidR="005E17A2">
          <w:rPr>
            <w:noProof/>
            <w:webHidden/>
          </w:rPr>
          <w:fldChar w:fldCharType="begin"/>
        </w:r>
        <w:r w:rsidR="005E17A2">
          <w:rPr>
            <w:noProof/>
            <w:webHidden/>
          </w:rPr>
          <w:instrText xml:space="preserve"> PAGEREF _Toc405545406 \h </w:instrText>
        </w:r>
        <w:r w:rsidR="005E17A2">
          <w:rPr>
            <w:noProof/>
            <w:webHidden/>
          </w:rPr>
        </w:r>
        <w:r w:rsidR="005E17A2">
          <w:rPr>
            <w:noProof/>
            <w:webHidden/>
          </w:rPr>
          <w:fldChar w:fldCharType="separate"/>
        </w:r>
        <w:r w:rsidR="003A587A">
          <w:rPr>
            <w:noProof/>
            <w:webHidden/>
          </w:rPr>
          <w:t>12</w:t>
        </w:r>
        <w:r w:rsidR="005E17A2">
          <w:rPr>
            <w:noProof/>
            <w:webHidden/>
          </w:rPr>
          <w:fldChar w:fldCharType="end"/>
        </w:r>
      </w:hyperlink>
    </w:p>
    <w:p w:rsidR="00F40DC6" w:rsidRPr="00341322" w:rsidRDefault="00F40DC6" w:rsidP="00681C7E">
      <w:pPr>
        <w:autoSpaceDE w:val="0"/>
        <w:autoSpaceDN w:val="0"/>
        <w:adjustRightInd w:val="0"/>
        <w:jc w:val="center"/>
        <w:rPr>
          <w:szCs w:val="24"/>
        </w:rPr>
      </w:pPr>
      <w:r>
        <w:rPr>
          <w:szCs w:val="24"/>
        </w:rPr>
        <w:fldChar w:fldCharType="end"/>
      </w:r>
    </w:p>
    <w:p w:rsidR="00681C7E" w:rsidRDefault="00681C7E">
      <w:pPr>
        <w:spacing w:after="200" w:line="276" w:lineRule="auto"/>
        <w:rPr>
          <w:rFonts w:eastAsia="Courier New" w:cs="Courier New"/>
          <w:b/>
          <w:bCs/>
        </w:rPr>
      </w:pPr>
    </w:p>
    <w:p w:rsidR="00F40DC6" w:rsidRDefault="00681C7E">
      <w:pPr>
        <w:spacing w:after="200" w:line="276" w:lineRule="auto"/>
        <w:rPr>
          <w:b/>
          <w:bCs/>
        </w:rPr>
        <w:sectPr w:rsidR="00F40DC6" w:rsidSect="00F40DC6">
          <w:headerReference w:type="even" r:id="rId16"/>
          <w:headerReference w:type="default" r:id="rId17"/>
          <w:footerReference w:type="default" r:id="rId18"/>
          <w:headerReference w:type="first" r:id="rId19"/>
          <w:pgSz w:w="12240" w:h="15840"/>
          <w:pgMar w:top="1440" w:right="1800" w:bottom="1440" w:left="1800" w:header="720" w:footer="720" w:gutter="0"/>
          <w:pgNumType w:fmt="lowerRoman" w:start="1"/>
          <w:cols w:space="720"/>
          <w:docGrid w:linePitch="360"/>
        </w:sectPr>
      </w:pPr>
      <w:r>
        <w:rPr>
          <w:b/>
          <w:bCs/>
        </w:rPr>
        <w:br w:type="page"/>
      </w:r>
    </w:p>
    <w:p w:rsidR="00341322" w:rsidRDefault="00341322" w:rsidP="00341322">
      <w:pPr>
        <w:pStyle w:val="HTMLPreformatted"/>
        <w:jc w:val="center"/>
        <w:rPr>
          <w:rFonts w:ascii="Times New Roman" w:hAnsi="Times New Roman"/>
          <w:b/>
          <w:bCs/>
          <w:sz w:val="24"/>
        </w:rPr>
      </w:pPr>
      <w:r>
        <w:rPr>
          <w:rFonts w:ascii="Times New Roman" w:hAnsi="Times New Roman"/>
          <w:b/>
          <w:bCs/>
          <w:sz w:val="24"/>
        </w:rPr>
        <w:lastRenderedPageBreak/>
        <w:t>BEFORE</w:t>
      </w:r>
    </w:p>
    <w:p w:rsidR="00341322" w:rsidRDefault="00341322" w:rsidP="00341322">
      <w:pPr>
        <w:pStyle w:val="HTMLPreformatted"/>
        <w:jc w:val="center"/>
        <w:rPr>
          <w:rFonts w:ascii="Times New Roman" w:hAnsi="Times New Roman"/>
          <w:sz w:val="24"/>
        </w:rPr>
      </w:pPr>
      <w:r>
        <w:rPr>
          <w:rFonts w:ascii="Times New Roman" w:hAnsi="Times New Roman"/>
          <w:b/>
          <w:bCs/>
          <w:sz w:val="24"/>
        </w:rPr>
        <w:t>THE PUBLIC UTILITIES COMMISSION OF OHIO</w:t>
      </w:r>
    </w:p>
    <w:p w:rsidR="00341322" w:rsidRDefault="00341322" w:rsidP="00341322">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341322" w:rsidTr="00C214D7">
        <w:trPr>
          <w:trHeight w:val="807"/>
        </w:trPr>
        <w:tc>
          <w:tcPr>
            <w:tcW w:w="4332" w:type="dxa"/>
            <w:shd w:val="clear" w:color="auto" w:fill="auto"/>
          </w:tcPr>
          <w:p w:rsidR="00341322" w:rsidRPr="00A044B5" w:rsidRDefault="00341322" w:rsidP="00C214D7">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Duke Energy Ohio, Inc., for Approval to Continue Cost Recovery Mechanism for Energy Efficiency Programs Through 2016.</w:t>
            </w:r>
          </w:p>
        </w:tc>
        <w:tc>
          <w:tcPr>
            <w:tcW w:w="360" w:type="dxa"/>
            <w:shd w:val="clear" w:color="auto" w:fill="auto"/>
          </w:tcPr>
          <w:p w:rsidR="00341322" w:rsidRPr="00A044B5" w:rsidRDefault="00341322" w:rsidP="00C214D7">
            <w:pPr>
              <w:pStyle w:val="HTMLPreformatted"/>
              <w:rPr>
                <w:rFonts w:ascii="Times New Roman" w:hAnsi="Times New Roman"/>
                <w:sz w:val="24"/>
              </w:rPr>
            </w:pPr>
            <w:r w:rsidRPr="00A044B5">
              <w:rPr>
                <w:rFonts w:ascii="Times New Roman" w:hAnsi="Times New Roman"/>
                <w:sz w:val="24"/>
              </w:rPr>
              <w:t>)</w:t>
            </w:r>
          </w:p>
          <w:p w:rsidR="00341322" w:rsidRPr="00A044B5" w:rsidRDefault="00341322" w:rsidP="00C214D7">
            <w:pPr>
              <w:pStyle w:val="HTMLPreformatted"/>
              <w:rPr>
                <w:rFonts w:ascii="Times New Roman" w:hAnsi="Times New Roman"/>
                <w:sz w:val="24"/>
              </w:rPr>
            </w:pPr>
            <w:r w:rsidRPr="00A044B5">
              <w:rPr>
                <w:rFonts w:ascii="Times New Roman" w:hAnsi="Times New Roman"/>
                <w:sz w:val="24"/>
              </w:rPr>
              <w:t>)</w:t>
            </w:r>
          </w:p>
          <w:p w:rsidR="00341322" w:rsidRPr="00A044B5" w:rsidRDefault="00341322" w:rsidP="00C214D7">
            <w:pPr>
              <w:pStyle w:val="HTMLPreformatted"/>
              <w:rPr>
                <w:rFonts w:ascii="Times New Roman" w:hAnsi="Times New Roman"/>
                <w:sz w:val="24"/>
              </w:rPr>
            </w:pPr>
            <w:r w:rsidRPr="00A044B5">
              <w:rPr>
                <w:rFonts w:ascii="Times New Roman" w:hAnsi="Times New Roman"/>
                <w:sz w:val="24"/>
              </w:rPr>
              <w:t>)</w:t>
            </w:r>
          </w:p>
          <w:p w:rsidR="00341322" w:rsidRDefault="00341322" w:rsidP="00C214D7">
            <w:pPr>
              <w:pStyle w:val="HTMLPreformatted"/>
              <w:rPr>
                <w:rFonts w:ascii="Times New Roman" w:hAnsi="Times New Roman"/>
                <w:sz w:val="24"/>
              </w:rPr>
            </w:pPr>
            <w:r w:rsidRPr="00A044B5">
              <w:rPr>
                <w:rFonts w:ascii="Times New Roman" w:hAnsi="Times New Roman"/>
                <w:sz w:val="24"/>
              </w:rPr>
              <w:t>)</w:t>
            </w:r>
          </w:p>
          <w:p w:rsidR="00341322" w:rsidRPr="00A044B5" w:rsidRDefault="00341322" w:rsidP="00C214D7">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341322" w:rsidRPr="00A044B5" w:rsidRDefault="00341322" w:rsidP="00C214D7">
            <w:pPr>
              <w:pStyle w:val="HTMLPreformatted"/>
              <w:rPr>
                <w:rFonts w:ascii="Times New Roman" w:hAnsi="Times New Roman"/>
                <w:sz w:val="24"/>
              </w:rPr>
            </w:pPr>
          </w:p>
          <w:p w:rsidR="00341322" w:rsidRPr="00A044B5" w:rsidRDefault="00341322" w:rsidP="00C214D7">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14-1580-EL-RDR</w:t>
            </w:r>
          </w:p>
          <w:p w:rsidR="00341322" w:rsidRPr="00A044B5" w:rsidRDefault="00341322" w:rsidP="00C214D7">
            <w:pPr>
              <w:pStyle w:val="HTMLPreformatted"/>
              <w:rPr>
                <w:rFonts w:ascii="Times New Roman" w:hAnsi="Times New Roman"/>
                <w:sz w:val="24"/>
              </w:rPr>
            </w:pPr>
          </w:p>
          <w:p w:rsidR="00341322" w:rsidRPr="00A044B5" w:rsidRDefault="00341322" w:rsidP="00C214D7">
            <w:pPr>
              <w:pStyle w:val="HTMLPreformatted"/>
              <w:rPr>
                <w:rFonts w:ascii="Times New Roman" w:hAnsi="Times New Roman"/>
                <w:sz w:val="24"/>
              </w:rPr>
            </w:pPr>
          </w:p>
        </w:tc>
      </w:tr>
    </w:tbl>
    <w:p w:rsidR="00C67C33" w:rsidRDefault="00C67C33">
      <w:pPr>
        <w:pBdr>
          <w:bottom w:val="single" w:sz="12" w:space="1" w:color="auto"/>
        </w:pBdr>
        <w:rPr>
          <w:szCs w:val="24"/>
        </w:rPr>
      </w:pPr>
    </w:p>
    <w:p w:rsidR="00341322" w:rsidRDefault="00341322">
      <w:pPr>
        <w:rPr>
          <w:szCs w:val="24"/>
        </w:rPr>
      </w:pPr>
    </w:p>
    <w:p w:rsidR="00341322" w:rsidRPr="00341322" w:rsidRDefault="00341322" w:rsidP="00341322">
      <w:pPr>
        <w:jc w:val="center"/>
        <w:rPr>
          <w:b/>
          <w:szCs w:val="24"/>
        </w:rPr>
      </w:pPr>
      <w:r w:rsidRPr="00341322">
        <w:rPr>
          <w:b/>
          <w:szCs w:val="24"/>
        </w:rPr>
        <w:t>COMMENTS</w:t>
      </w:r>
    </w:p>
    <w:p w:rsidR="00341322" w:rsidRPr="00341322" w:rsidRDefault="00341322" w:rsidP="00341322">
      <w:pPr>
        <w:jc w:val="center"/>
        <w:rPr>
          <w:b/>
          <w:szCs w:val="24"/>
        </w:rPr>
      </w:pPr>
      <w:r w:rsidRPr="00341322">
        <w:rPr>
          <w:b/>
          <w:szCs w:val="24"/>
        </w:rPr>
        <w:t>BY</w:t>
      </w:r>
    </w:p>
    <w:p w:rsidR="00341322" w:rsidRPr="00341322" w:rsidRDefault="00341322" w:rsidP="00341322">
      <w:pPr>
        <w:jc w:val="center"/>
        <w:rPr>
          <w:b/>
          <w:szCs w:val="24"/>
        </w:rPr>
      </w:pPr>
      <w:r w:rsidRPr="00341322">
        <w:rPr>
          <w:b/>
          <w:szCs w:val="24"/>
        </w:rPr>
        <w:t>THE OFFICE OF THE OHIO CONSUMERS’ COUNSEL</w:t>
      </w:r>
    </w:p>
    <w:p w:rsidR="00341322" w:rsidRDefault="00341322" w:rsidP="00341322">
      <w:pPr>
        <w:pBdr>
          <w:bottom w:val="single" w:sz="12" w:space="1" w:color="auto"/>
        </w:pBdr>
        <w:jc w:val="center"/>
        <w:rPr>
          <w:szCs w:val="24"/>
        </w:rPr>
      </w:pPr>
    </w:p>
    <w:p w:rsidR="00341322" w:rsidRPr="005B26EC" w:rsidRDefault="00341322" w:rsidP="00341322">
      <w:pPr>
        <w:rPr>
          <w:b/>
          <w:szCs w:val="24"/>
        </w:rPr>
      </w:pPr>
    </w:p>
    <w:p w:rsidR="00341322" w:rsidRPr="00E93DE6" w:rsidRDefault="00F40DC6" w:rsidP="00F40DC6">
      <w:pPr>
        <w:pStyle w:val="Heading1"/>
      </w:pPr>
      <w:bookmarkStart w:id="1" w:name="_Toc405545397"/>
      <w:r>
        <w:t>I.</w:t>
      </w:r>
      <w:r>
        <w:tab/>
      </w:r>
      <w:r w:rsidR="00341322" w:rsidRPr="00E93DE6">
        <w:t>INTRODUCTION</w:t>
      </w:r>
      <w:bookmarkEnd w:id="1"/>
    </w:p>
    <w:p w:rsidR="001F5839" w:rsidRDefault="00043884" w:rsidP="00DF324F">
      <w:pPr>
        <w:pStyle w:val="ListParagraph"/>
        <w:spacing w:line="480" w:lineRule="auto"/>
        <w:ind w:left="0" w:firstLine="720"/>
        <w:rPr>
          <w:szCs w:val="24"/>
        </w:rPr>
      </w:pPr>
      <w:r w:rsidRPr="001F5839">
        <w:rPr>
          <w:szCs w:val="24"/>
        </w:rPr>
        <w:t>A key</w:t>
      </w:r>
      <w:r w:rsidR="00C214D7">
        <w:rPr>
          <w:szCs w:val="24"/>
        </w:rPr>
        <w:t xml:space="preserve"> opportunity for</w:t>
      </w:r>
      <w:r w:rsidRPr="001F5839">
        <w:rPr>
          <w:szCs w:val="24"/>
        </w:rPr>
        <w:t xml:space="preserve"> consumer protection</w:t>
      </w:r>
      <w:r w:rsidR="000A5F0B">
        <w:rPr>
          <w:szCs w:val="24"/>
        </w:rPr>
        <w:t>—</w:t>
      </w:r>
      <w:r w:rsidR="00C214D7">
        <w:rPr>
          <w:szCs w:val="24"/>
        </w:rPr>
        <w:t>that was negotiated</w:t>
      </w:r>
      <w:r w:rsidRPr="001F5839">
        <w:rPr>
          <w:szCs w:val="24"/>
        </w:rPr>
        <w:t xml:space="preserve"> in </w:t>
      </w:r>
      <w:r w:rsidR="00C214D7">
        <w:rPr>
          <w:szCs w:val="24"/>
        </w:rPr>
        <w:t>a</w:t>
      </w:r>
      <w:r w:rsidR="000F6A4F">
        <w:rPr>
          <w:szCs w:val="24"/>
        </w:rPr>
        <w:t xml:space="preserve"> November</w:t>
      </w:r>
      <w:r w:rsidR="000A5F0B">
        <w:rPr>
          <w:szCs w:val="24"/>
        </w:rPr>
        <w:t xml:space="preserve"> 2011</w:t>
      </w:r>
      <w:r w:rsidRPr="001F5839">
        <w:rPr>
          <w:szCs w:val="24"/>
        </w:rPr>
        <w:t xml:space="preserve"> settlement</w:t>
      </w:r>
      <w:r w:rsidR="000A5F0B">
        <w:rPr>
          <w:szCs w:val="24"/>
        </w:rPr>
        <w:t>—will be resolved in this case where millions of dollars in potential utility charges to customers are at stake</w:t>
      </w:r>
      <w:r w:rsidR="008F1071">
        <w:rPr>
          <w:szCs w:val="24"/>
        </w:rPr>
        <w:t xml:space="preserve"> for the year 2016.</w:t>
      </w:r>
      <w:r>
        <w:rPr>
          <w:rStyle w:val="FootnoteReference"/>
          <w:szCs w:val="24"/>
        </w:rPr>
        <w:footnoteReference w:id="1"/>
      </w:r>
      <w:r w:rsidR="008F1071">
        <w:rPr>
          <w:szCs w:val="24"/>
        </w:rPr>
        <w:t xml:space="preserve"> T</w:t>
      </w:r>
      <w:r w:rsidR="001F5839">
        <w:rPr>
          <w:szCs w:val="24"/>
        </w:rPr>
        <w:t xml:space="preserve">he Public Utilities Commission of Ohio (“PUCO”) </w:t>
      </w:r>
      <w:r w:rsidR="008F1071">
        <w:rPr>
          <w:szCs w:val="24"/>
        </w:rPr>
        <w:t xml:space="preserve">will </w:t>
      </w:r>
      <w:r w:rsidR="001F5839">
        <w:rPr>
          <w:szCs w:val="24"/>
        </w:rPr>
        <w:t>determin</w:t>
      </w:r>
      <w:r w:rsidR="008F1071">
        <w:rPr>
          <w:szCs w:val="24"/>
        </w:rPr>
        <w:t>e</w:t>
      </w:r>
      <w:r w:rsidR="001F5839">
        <w:rPr>
          <w:szCs w:val="24"/>
        </w:rPr>
        <w:t xml:space="preserve"> </w:t>
      </w:r>
      <w:r w:rsidR="008F1071">
        <w:rPr>
          <w:szCs w:val="24"/>
        </w:rPr>
        <w:t xml:space="preserve">how little or much </w:t>
      </w:r>
      <w:r w:rsidR="00633D0C">
        <w:rPr>
          <w:szCs w:val="24"/>
        </w:rPr>
        <w:t xml:space="preserve">customers </w:t>
      </w:r>
      <w:r w:rsidR="008F1071">
        <w:rPr>
          <w:szCs w:val="24"/>
        </w:rPr>
        <w:t>might</w:t>
      </w:r>
      <w:r w:rsidR="00633D0C">
        <w:rPr>
          <w:szCs w:val="24"/>
        </w:rPr>
        <w:t xml:space="preserve"> pay</w:t>
      </w:r>
      <w:r w:rsidR="008F1071">
        <w:rPr>
          <w:szCs w:val="24"/>
        </w:rPr>
        <w:t xml:space="preserve"> to</w:t>
      </w:r>
      <w:r w:rsidR="002669A9">
        <w:rPr>
          <w:szCs w:val="24"/>
        </w:rPr>
        <w:t xml:space="preserve"> Duke Energy Ohio (“Duke” or “Utility”)</w:t>
      </w:r>
      <w:r w:rsidR="00633D0C">
        <w:rPr>
          <w:szCs w:val="24"/>
        </w:rPr>
        <w:t xml:space="preserve"> for energy efficiency in 2016.</w:t>
      </w:r>
      <w:r w:rsidR="001F5839">
        <w:rPr>
          <w:szCs w:val="24"/>
        </w:rPr>
        <w:t xml:space="preserve"> </w:t>
      </w:r>
      <w:r w:rsidR="00633D0C">
        <w:rPr>
          <w:szCs w:val="24"/>
        </w:rPr>
        <w:t>The Office of the</w:t>
      </w:r>
      <w:r w:rsidR="009E1E84">
        <w:rPr>
          <w:szCs w:val="24"/>
        </w:rPr>
        <w:t xml:space="preserve"> </w:t>
      </w:r>
      <w:r w:rsidR="00633D0C">
        <w:rPr>
          <w:szCs w:val="24"/>
        </w:rPr>
        <w:t>Ohio Consumers’ Counsel (“OCC”)</w:t>
      </w:r>
      <w:r w:rsidR="008F1071">
        <w:rPr>
          <w:szCs w:val="24"/>
        </w:rPr>
        <w:t>, one of the parties that negotiated the</w:t>
      </w:r>
      <w:r w:rsidR="000F6A4F">
        <w:rPr>
          <w:szCs w:val="24"/>
        </w:rPr>
        <w:t xml:space="preserve"> 2011</w:t>
      </w:r>
      <w:r w:rsidR="008F1071">
        <w:rPr>
          <w:szCs w:val="24"/>
        </w:rPr>
        <w:t xml:space="preserve"> settlement </w:t>
      </w:r>
      <w:r w:rsidR="000F6A4F">
        <w:rPr>
          <w:szCs w:val="24"/>
        </w:rPr>
        <w:t>at issue</w:t>
      </w:r>
      <w:r w:rsidR="008F1071">
        <w:rPr>
          <w:szCs w:val="24"/>
        </w:rPr>
        <w:t>,</w:t>
      </w:r>
      <w:r w:rsidR="00633D0C">
        <w:rPr>
          <w:szCs w:val="24"/>
        </w:rPr>
        <w:t xml:space="preserve"> welcomes the opportunity to file comments on behalf of Duke’s 618,000 residential utility customers.</w:t>
      </w:r>
      <w:r w:rsidR="00C21BE4">
        <w:rPr>
          <w:szCs w:val="24"/>
        </w:rPr>
        <w:t xml:space="preserve"> </w:t>
      </w:r>
    </w:p>
    <w:p w:rsidR="0016733D" w:rsidRDefault="000F6A4F" w:rsidP="003D1EE1">
      <w:pPr>
        <w:pStyle w:val="ListParagraph"/>
        <w:spacing w:line="480" w:lineRule="auto"/>
        <w:ind w:left="0" w:firstLine="720"/>
        <w:rPr>
          <w:szCs w:val="24"/>
        </w:rPr>
        <w:sectPr w:rsidR="0016733D" w:rsidSect="0016733D">
          <w:headerReference w:type="default" r:id="rId20"/>
          <w:footerReference w:type="default" r:id="rId21"/>
          <w:pgSz w:w="12240" w:h="15840"/>
          <w:pgMar w:top="1440" w:right="1800" w:bottom="1440" w:left="1800" w:header="720" w:footer="720" w:gutter="0"/>
          <w:pgNumType w:start="1"/>
          <w:cols w:space="720"/>
          <w:docGrid w:linePitch="360"/>
        </w:sectPr>
      </w:pPr>
      <w:r>
        <w:rPr>
          <w:szCs w:val="24"/>
        </w:rPr>
        <w:t>The PUCO should limit payments by customers for shared savings (i.e., Duke’s profit on energy efficien</w:t>
      </w:r>
      <w:r w:rsidR="003D1EE1">
        <w:rPr>
          <w:szCs w:val="24"/>
        </w:rPr>
        <w:t>cy) to no more than 13</w:t>
      </w:r>
      <w:r w:rsidR="00A955D5">
        <w:rPr>
          <w:szCs w:val="24"/>
        </w:rPr>
        <w:t xml:space="preserve">% </w:t>
      </w:r>
      <w:r>
        <w:rPr>
          <w:szCs w:val="24"/>
        </w:rPr>
        <w:t xml:space="preserve">of Duke’s prudent program spending for 2016, </w:t>
      </w:r>
      <w:r w:rsidR="00C21BE4">
        <w:rPr>
          <w:szCs w:val="24"/>
        </w:rPr>
        <w:t xml:space="preserve">if </w:t>
      </w:r>
      <w:r>
        <w:rPr>
          <w:szCs w:val="24"/>
        </w:rPr>
        <w:t xml:space="preserve">the PUCO allows </w:t>
      </w:r>
      <w:r w:rsidR="00C21BE4">
        <w:rPr>
          <w:szCs w:val="24"/>
        </w:rPr>
        <w:t xml:space="preserve">Duke </w:t>
      </w:r>
      <w:r>
        <w:rPr>
          <w:szCs w:val="24"/>
        </w:rPr>
        <w:t xml:space="preserve">to </w:t>
      </w:r>
      <w:r w:rsidR="00C21BE4">
        <w:rPr>
          <w:szCs w:val="24"/>
        </w:rPr>
        <w:t>charge customers for</w:t>
      </w:r>
      <w:r w:rsidR="00633D0C">
        <w:rPr>
          <w:szCs w:val="24"/>
        </w:rPr>
        <w:t xml:space="preserve"> </w:t>
      </w:r>
      <w:r>
        <w:rPr>
          <w:szCs w:val="24"/>
        </w:rPr>
        <w:t xml:space="preserve">any </w:t>
      </w:r>
      <w:r w:rsidR="00633D0C">
        <w:rPr>
          <w:szCs w:val="24"/>
        </w:rPr>
        <w:t>sh</w:t>
      </w:r>
      <w:r w:rsidR="002669A9">
        <w:rPr>
          <w:szCs w:val="24"/>
        </w:rPr>
        <w:t>ared savings</w:t>
      </w:r>
      <w:r>
        <w:rPr>
          <w:szCs w:val="24"/>
        </w:rPr>
        <w:t xml:space="preserve"> </w:t>
      </w:r>
      <w:r w:rsidR="002669A9">
        <w:rPr>
          <w:szCs w:val="24"/>
        </w:rPr>
        <w:t>for 2016</w:t>
      </w:r>
      <w:r w:rsidR="00C21BE4">
        <w:rPr>
          <w:szCs w:val="24"/>
        </w:rPr>
        <w:t xml:space="preserve">. </w:t>
      </w:r>
      <w:r>
        <w:rPr>
          <w:szCs w:val="24"/>
        </w:rPr>
        <w:t xml:space="preserve"> Further, the PUCO should protect customers from paying for shared savings that are </w:t>
      </w:r>
    </w:p>
    <w:p w:rsidR="00633D0C" w:rsidRDefault="000F6A4F" w:rsidP="0016733D">
      <w:pPr>
        <w:pStyle w:val="ListParagraph"/>
        <w:spacing w:line="480" w:lineRule="auto"/>
        <w:ind w:left="0"/>
        <w:rPr>
          <w:szCs w:val="24"/>
        </w:rPr>
      </w:pPr>
      <w:r>
        <w:rPr>
          <w:szCs w:val="24"/>
        </w:rPr>
        <w:t xml:space="preserve">based on Duke’s </w:t>
      </w:r>
      <w:r w:rsidR="001F5839">
        <w:rPr>
          <w:szCs w:val="24"/>
        </w:rPr>
        <w:t>mere compl</w:t>
      </w:r>
      <w:r>
        <w:rPr>
          <w:szCs w:val="24"/>
        </w:rPr>
        <w:t>iance</w:t>
      </w:r>
      <w:r w:rsidR="001F5839">
        <w:rPr>
          <w:szCs w:val="24"/>
        </w:rPr>
        <w:t xml:space="preserve"> with the statutory benchmark</w:t>
      </w:r>
      <w:r w:rsidR="00EC19EC">
        <w:rPr>
          <w:szCs w:val="24"/>
        </w:rPr>
        <w:t>. In</w:t>
      </w:r>
      <w:r w:rsidR="002C1D2E">
        <w:rPr>
          <w:szCs w:val="24"/>
        </w:rPr>
        <w:t>s</w:t>
      </w:r>
      <w:r w:rsidR="00EC19EC">
        <w:rPr>
          <w:szCs w:val="24"/>
        </w:rPr>
        <w:t xml:space="preserve">tead, shared savings payments should only be </w:t>
      </w:r>
      <w:r w:rsidR="002C1D2E">
        <w:rPr>
          <w:szCs w:val="24"/>
        </w:rPr>
        <w:t xml:space="preserve">charged to </w:t>
      </w:r>
      <w:r w:rsidR="00E8501A">
        <w:rPr>
          <w:szCs w:val="24"/>
        </w:rPr>
        <w:t>customers for energy</w:t>
      </w:r>
      <w:r w:rsidR="001F5839">
        <w:rPr>
          <w:szCs w:val="24"/>
        </w:rPr>
        <w:t xml:space="preserve"> efficiency </w:t>
      </w:r>
      <w:r w:rsidR="002C1D2E">
        <w:rPr>
          <w:szCs w:val="24"/>
        </w:rPr>
        <w:t xml:space="preserve">undertaken by the Utility </w:t>
      </w:r>
      <w:r w:rsidR="001F5839">
        <w:rPr>
          <w:szCs w:val="24"/>
        </w:rPr>
        <w:t xml:space="preserve">that exceeds </w:t>
      </w:r>
      <w:r>
        <w:rPr>
          <w:szCs w:val="24"/>
        </w:rPr>
        <w:t>(</w:t>
      </w:r>
      <w:r w:rsidR="002C1D2E">
        <w:rPr>
          <w:szCs w:val="24"/>
        </w:rPr>
        <w:t>not meets)</w:t>
      </w:r>
      <w:r w:rsidR="00E8501A">
        <w:rPr>
          <w:szCs w:val="24"/>
        </w:rPr>
        <w:t xml:space="preserve"> </w:t>
      </w:r>
      <w:r w:rsidR="001F5839">
        <w:rPr>
          <w:szCs w:val="24"/>
        </w:rPr>
        <w:t xml:space="preserve">the statutory benchmark. </w:t>
      </w:r>
      <w:r w:rsidR="00EC19EC">
        <w:rPr>
          <w:szCs w:val="24"/>
        </w:rPr>
        <w:t xml:space="preserve">In this way, </w:t>
      </w:r>
      <w:r>
        <w:rPr>
          <w:szCs w:val="24"/>
        </w:rPr>
        <w:t>customers would not be required to reward the</w:t>
      </w:r>
      <w:r w:rsidR="00EC19EC">
        <w:rPr>
          <w:szCs w:val="24"/>
        </w:rPr>
        <w:t xml:space="preserve"> Utility </w:t>
      </w:r>
      <w:r w:rsidR="002C1D2E">
        <w:rPr>
          <w:szCs w:val="24"/>
        </w:rPr>
        <w:t xml:space="preserve">for </w:t>
      </w:r>
      <w:r>
        <w:rPr>
          <w:szCs w:val="24"/>
        </w:rPr>
        <w:t xml:space="preserve">merely </w:t>
      </w:r>
      <w:r w:rsidR="002C1D2E">
        <w:rPr>
          <w:szCs w:val="24"/>
        </w:rPr>
        <w:t xml:space="preserve">complying with the law; instead </w:t>
      </w:r>
      <w:r>
        <w:rPr>
          <w:szCs w:val="24"/>
        </w:rPr>
        <w:t>the Utility</w:t>
      </w:r>
      <w:r w:rsidR="002C1D2E">
        <w:rPr>
          <w:szCs w:val="24"/>
        </w:rPr>
        <w:t xml:space="preserve"> would be rewarded if it </w:t>
      </w:r>
      <w:r w:rsidR="002C1D2E" w:rsidRPr="00A853B1">
        <w:rPr>
          <w:i/>
          <w:szCs w:val="24"/>
        </w:rPr>
        <w:t>exceeds</w:t>
      </w:r>
      <w:r w:rsidR="002C1D2E">
        <w:rPr>
          <w:szCs w:val="24"/>
        </w:rPr>
        <w:t xml:space="preserve"> the </w:t>
      </w:r>
      <w:r w:rsidR="00EC19EC">
        <w:rPr>
          <w:szCs w:val="24"/>
        </w:rPr>
        <w:t xml:space="preserve">energy efficiency savings </w:t>
      </w:r>
      <w:r w:rsidR="002C1D2E">
        <w:rPr>
          <w:szCs w:val="24"/>
        </w:rPr>
        <w:t xml:space="preserve">required by the law. </w:t>
      </w:r>
      <w:r w:rsidR="00026474">
        <w:rPr>
          <w:szCs w:val="24"/>
        </w:rPr>
        <w:t>Moreover, t</w:t>
      </w:r>
      <w:r w:rsidR="00C21BE4">
        <w:rPr>
          <w:szCs w:val="24"/>
        </w:rPr>
        <w:t xml:space="preserve">he Utility </w:t>
      </w:r>
      <w:r w:rsidR="00026474">
        <w:rPr>
          <w:szCs w:val="24"/>
        </w:rPr>
        <w:t xml:space="preserve">should not be allowed to </w:t>
      </w:r>
      <w:r w:rsidR="00C21BE4">
        <w:rPr>
          <w:szCs w:val="24"/>
        </w:rPr>
        <w:t>us</w:t>
      </w:r>
      <w:r w:rsidR="00026474">
        <w:rPr>
          <w:szCs w:val="24"/>
        </w:rPr>
        <w:t>e</w:t>
      </w:r>
      <w:r w:rsidR="00C21BE4">
        <w:rPr>
          <w:szCs w:val="24"/>
        </w:rPr>
        <w:t xml:space="preserve"> banked savings (savings earned in past years) to</w:t>
      </w:r>
      <w:r w:rsidR="00026474">
        <w:rPr>
          <w:szCs w:val="24"/>
        </w:rPr>
        <w:t xml:space="preserve"> </w:t>
      </w:r>
      <w:r w:rsidR="00C21BE4">
        <w:rPr>
          <w:szCs w:val="24"/>
        </w:rPr>
        <w:t>charge customers for shared savings</w:t>
      </w:r>
      <w:r w:rsidR="002669A9">
        <w:rPr>
          <w:szCs w:val="24"/>
        </w:rPr>
        <w:t xml:space="preserve"> for 2016</w:t>
      </w:r>
      <w:r w:rsidR="00C21BE4">
        <w:rPr>
          <w:szCs w:val="24"/>
        </w:rPr>
        <w:t>.</w:t>
      </w:r>
    </w:p>
    <w:p w:rsidR="00E80C8B" w:rsidRDefault="00E80C8B" w:rsidP="00E80C8B">
      <w:pPr>
        <w:pStyle w:val="ListParagraph"/>
        <w:ind w:left="0" w:firstLine="720"/>
        <w:rPr>
          <w:szCs w:val="24"/>
        </w:rPr>
      </w:pPr>
    </w:p>
    <w:p w:rsidR="00C21BE4" w:rsidRDefault="00C21BE4" w:rsidP="00F40DC6">
      <w:pPr>
        <w:pStyle w:val="Heading1"/>
      </w:pPr>
      <w:bookmarkStart w:id="2" w:name="_Toc405545398"/>
      <w:r w:rsidRPr="00C21BE4">
        <w:t>II.</w:t>
      </w:r>
      <w:r w:rsidRPr="00C21BE4">
        <w:tab/>
        <w:t>BACKGROUND</w:t>
      </w:r>
      <w:bookmarkEnd w:id="2"/>
    </w:p>
    <w:p w:rsidR="00E864B4" w:rsidRDefault="00C21BE4" w:rsidP="00981BA3">
      <w:pPr>
        <w:spacing w:line="480" w:lineRule="auto"/>
        <w:rPr>
          <w:szCs w:val="24"/>
        </w:rPr>
      </w:pPr>
      <w:r>
        <w:rPr>
          <w:b/>
          <w:szCs w:val="24"/>
        </w:rPr>
        <w:tab/>
      </w:r>
      <w:r w:rsidR="009E1E84">
        <w:rPr>
          <w:szCs w:val="24"/>
        </w:rPr>
        <w:t xml:space="preserve">Duke’s </w:t>
      </w:r>
      <w:r w:rsidR="00E8501A">
        <w:rPr>
          <w:szCs w:val="24"/>
        </w:rPr>
        <w:t xml:space="preserve">application </w:t>
      </w:r>
      <w:r w:rsidR="00E8501A" w:rsidRPr="00C21BE4">
        <w:rPr>
          <w:szCs w:val="24"/>
        </w:rPr>
        <w:t>stems</w:t>
      </w:r>
      <w:r w:rsidRPr="00C21BE4">
        <w:rPr>
          <w:szCs w:val="24"/>
        </w:rPr>
        <w:t xml:space="preserve"> from </w:t>
      </w:r>
      <w:r w:rsidR="009E1E84">
        <w:rPr>
          <w:szCs w:val="24"/>
        </w:rPr>
        <w:t>Case No.</w:t>
      </w:r>
      <w:r w:rsidR="00866FB6">
        <w:rPr>
          <w:szCs w:val="24"/>
        </w:rPr>
        <w:t xml:space="preserve"> </w:t>
      </w:r>
      <w:r w:rsidRPr="00C21BE4">
        <w:rPr>
          <w:szCs w:val="24"/>
        </w:rPr>
        <w:t>11-4393-</w:t>
      </w:r>
      <w:r w:rsidR="00681C7E">
        <w:rPr>
          <w:szCs w:val="24"/>
        </w:rPr>
        <w:t>E</w:t>
      </w:r>
      <w:r w:rsidRPr="00C21BE4">
        <w:rPr>
          <w:szCs w:val="24"/>
        </w:rPr>
        <w:t>L-R</w:t>
      </w:r>
      <w:r w:rsidR="00E864B4">
        <w:rPr>
          <w:szCs w:val="24"/>
        </w:rPr>
        <w:t>DR</w:t>
      </w:r>
      <w:r w:rsidR="009E1E84">
        <w:rPr>
          <w:szCs w:val="24"/>
        </w:rPr>
        <w:t xml:space="preserve"> (“11-4393”</w:t>
      </w:r>
      <w:r w:rsidR="00505048">
        <w:rPr>
          <w:szCs w:val="24"/>
        </w:rPr>
        <w:t>)</w:t>
      </w:r>
      <w:r w:rsidR="00EC19EC">
        <w:rPr>
          <w:szCs w:val="24"/>
        </w:rPr>
        <w:t xml:space="preserve">. </w:t>
      </w:r>
      <w:r w:rsidR="00A853B1">
        <w:rPr>
          <w:szCs w:val="24"/>
        </w:rPr>
        <w:t>There Duke</w:t>
      </w:r>
      <w:r w:rsidR="00DF324F">
        <w:rPr>
          <w:szCs w:val="24"/>
        </w:rPr>
        <w:t xml:space="preserve"> filed an a</w:t>
      </w:r>
      <w:r w:rsidRPr="00C21BE4">
        <w:rPr>
          <w:szCs w:val="24"/>
        </w:rPr>
        <w:t>pplication for approval of an “energy efficiency cost recovery mechanism.</w:t>
      </w:r>
      <w:r w:rsidR="00981BA3">
        <w:rPr>
          <w:szCs w:val="24"/>
        </w:rPr>
        <w:t xml:space="preserve">” </w:t>
      </w:r>
      <w:r>
        <w:rPr>
          <w:szCs w:val="24"/>
        </w:rPr>
        <w:t>As part of its application</w:t>
      </w:r>
      <w:r w:rsidR="002669A9">
        <w:rPr>
          <w:szCs w:val="24"/>
        </w:rPr>
        <w:t xml:space="preserve"> in that case</w:t>
      </w:r>
      <w:r>
        <w:rPr>
          <w:szCs w:val="24"/>
        </w:rPr>
        <w:t>, Duke included a request for a shared savings incentive.</w:t>
      </w:r>
      <w:r w:rsidR="00E864B4">
        <w:rPr>
          <w:rStyle w:val="FootnoteReference"/>
          <w:szCs w:val="24"/>
        </w:rPr>
        <w:footnoteReference w:id="2"/>
      </w:r>
      <w:r w:rsidR="00981BA3">
        <w:rPr>
          <w:szCs w:val="24"/>
        </w:rPr>
        <w:t xml:space="preserve"> Generally, </w:t>
      </w:r>
      <w:r w:rsidR="00981BA3" w:rsidRPr="00981BA3">
        <w:rPr>
          <w:szCs w:val="24"/>
        </w:rPr>
        <w:t xml:space="preserve">a </w:t>
      </w:r>
      <w:r w:rsidR="00981BA3">
        <w:rPr>
          <w:szCs w:val="24"/>
        </w:rPr>
        <w:t>shared savings incentive</w:t>
      </w:r>
      <w:r w:rsidR="007816D7">
        <w:rPr>
          <w:szCs w:val="24"/>
        </w:rPr>
        <w:t xml:space="preserve"> is a tool that can be used</w:t>
      </w:r>
      <w:r w:rsidR="00884C26">
        <w:rPr>
          <w:szCs w:val="24"/>
        </w:rPr>
        <w:t xml:space="preserve"> by regulators</w:t>
      </w:r>
      <w:r w:rsidR="007816D7">
        <w:rPr>
          <w:szCs w:val="24"/>
        </w:rPr>
        <w:t xml:space="preserve"> to</w:t>
      </w:r>
      <w:r w:rsidR="00981BA3">
        <w:rPr>
          <w:szCs w:val="24"/>
        </w:rPr>
        <w:t xml:space="preserve"> </w:t>
      </w:r>
      <w:r w:rsidR="00981BA3" w:rsidRPr="00981BA3">
        <w:rPr>
          <w:szCs w:val="24"/>
        </w:rPr>
        <w:t xml:space="preserve">encourage energy efficiency and reward exemplary </w:t>
      </w:r>
      <w:r w:rsidR="00920814">
        <w:rPr>
          <w:szCs w:val="24"/>
        </w:rPr>
        <w:t>U</w:t>
      </w:r>
      <w:r w:rsidR="009E1E84">
        <w:rPr>
          <w:szCs w:val="24"/>
        </w:rPr>
        <w:t xml:space="preserve">tility </w:t>
      </w:r>
      <w:r w:rsidR="00981BA3" w:rsidRPr="00981BA3">
        <w:rPr>
          <w:szCs w:val="24"/>
        </w:rPr>
        <w:t>performance, to provide benefits to</w:t>
      </w:r>
      <w:r w:rsidR="00981BA3">
        <w:rPr>
          <w:szCs w:val="24"/>
        </w:rPr>
        <w:t xml:space="preserve"> </w:t>
      </w:r>
      <w:r w:rsidR="00981BA3" w:rsidRPr="00981BA3">
        <w:rPr>
          <w:szCs w:val="24"/>
        </w:rPr>
        <w:t>customers.</w:t>
      </w:r>
      <w:r w:rsidR="00E864B4">
        <w:rPr>
          <w:szCs w:val="24"/>
        </w:rPr>
        <w:t xml:space="preserve"> </w:t>
      </w:r>
    </w:p>
    <w:p w:rsidR="00981BA3" w:rsidRDefault="00EC19EC" w:rsidP="00E864B4">
      <w:pPr>
        <w:spacing w:line="480" w:lineRule="auto"/>
        <w:ind w:firstLine="720"/>
        <w:rPr>
          <w:szCs w:val="24"/>
        </w:rPr>
      </w:pPr>
      <w:r>
        <w:rPr>
          <w:szCs w:val="24"/>
        </w:rPr>
        <w:t xml:space="preserve">Duke’s Application in </w:t>
      </w:r>
      <w:r w:rsidR="00E864B4">
        <w:rPr>
          <w:szCs w:val="24"/>
        </w:rPr>
        <w:t>11-4393 was resolved through a Stipulation, filed at the PUCO on November 18, 2011. The stipulating parties agreed that Duke’s incentive mechanism would be in place from 2012 through 2015, and would expire at the end of 2015.</w:t>
      </w:r>
      <w:r w:rsidR="00E864B4">
        <w:rPr>
          <w:rStyle w:val="FootnoteReference"/>
          <w:szCs w:val="24"/>
        </w:rPr>
        <w:footnoteReference w:id="3"/>
      </w:r>
      <w:r w:rsidR="009E1E84">
        <w:rPr>
          <w:szCs w:val="24"/>
        </w:rPr>
        <w:t xml:space="preserve"> </w:t>
      </w:r>
      <w:r w:rsidR="00E864B4">
        <w:rPr>
          <w:szCs w:val="24"/>
        </w:rPr>
        <w:t>The shared savings incentive</w:t>
      </w:r>
      <w:r w:rsidR="00981BA3">
        <w:rPr>
          <w:szCs w:val="24"/>
        </w:rPr>
        <w:t xml:space="preserve"> for Duke</w:t>
      </w:r>
      <w:r w:rsidR="00DF324F">
        <w:rPr>
          <w:szCs w:val="24"/>
        </w:rPr>
        <w:t xml:space="preserve"> </w:t>
      </w:r>
      <w:r w:rsidR="00866FB6">
        <w:rPr>
          <w:szCs w:val="24"/>
        </w:rPr>
        <w:t xml:space="preserve">lacked a </w:t>
      </w:r>
      <w:r w:rsidR="00DF324F">
        <w:rPr>
          <w:szCs w:val="24"/>
        </w:rPr>
        <w:t xml:space="preserve">hard </w:t>
      </w:r>
      <w:r w:rsidR="00E864B4">
        <w:rPr>
          <w:szCs w:val="24"/>
        </w:rPr>
        <w:t>dollar cap</w:t>
      </w:r>
      <w:r w:rsidR="00866FB6">
        <w:rPr>
          <w:szCs w:val="24"/>
        </w:rPr>
        <w:t xml:space="preserve"> </w:t>
      </w:r>
      <w:r w:rsidR="00C36F1A">
        <w:rPr>
          <w:szCs w:val="24"/>
        </w:rPr>
        <w:t>(for limiting customers’ payments)</w:t>
      </w:r>
      <w:r w:rsidR="00E864B4">
        <w:rPr>
          <w:szCs w:val="24"/>
        </w:rPr>
        <w:t xml:space="preserve"> for 2012 through 2015. But</w:t>
      </w:r>
      <w:r w:rsidR="00FE75BA">
        <w:rPr>
          <w:szCs w:val="24"/>
        </w:rPr>
        <w:t xml:space="preserve"> </w:t>
      </w:r>
      <w:r w:rsidR="00981BA3">
        <w:rPr>
          <w:szCs w:val="24"/>
        </w:rPr>
        <w:t>t</w:t>
      </w:r>
      <w:r w:rsidR="00FE75BA">
        <w:rPr>
          <w:szCs w:val="24"/>
        </w:rPr>
        <w:t xml:space="preserve">he </w:t>
      </w:r>
      <w:r w:rsidR="00DF324F">
        <w:rPr>
          <w:szCs w:val="24"/>
        </w:rPr>
        <w:t xml:space="preserve">parties agreed </w:t>
      </w:r>
      <w:r w:rsidR="00FE75BA">
        <w:rPr>
          <w:szCs w:val="24"/>
        </w:rPr>
        <w:t xml:space="preserve">that </w:t>
      </w:r>
      <w:r w:rsidR="00884C26">
        <w:rPr>
          <w:szCs w:val="24"/>
        </w:rPr>
        <w:t xml:space="preserve">for purposes of 2016, </w:t>
      </w:r>
      <w:r w:rsidR="00981BA3">
        <w:rPr>
          <w:szCs w:val="24"/>
        </w:rPr>
        <w:t>the incentive mechanism</w:t>
      </w:r>
      <w:r w:rsidR="00DF324F">
        <w:rPr>
          <w:szCs w:val="24"/>
        </w:rPr>
        <w:t xml:space="preserve"> would be</w:t>
      </w:r>
      <w:r w:rsidR="009E1E84">
        <w:rPr>
          <w:szCs w:val="24"/>
        </w:rPr>
        <w:t>:</w:t>
      </w:r>
      <w:r w:rsidR="00981BA3">
        <w:rPr>
          <w:szCs w:val="24"/>
        </w:rPr>
        <w:t xml:space="preserve"> </w:t>
      </w:r>
    </w:p>
    <w:p w:rsidR="00981BA3" w:rsidRDefault="00E864B4" w:rsidP="00E80C8B">
      <w:pPr>
        <w:ind w:left="1440" w:right="720"/>
        <w:rPr>
          <w:szCs w:val="24"/>
        </w:rPr>
      </w:pPr>
      <w:r>
        <w:rPr>
          <w:szCs w:val="24"/>
        </w:rPr>
        <w:t xml:space="preserve">reevaluated by all interested parties no sooner than third quarter </w:t>
      </w:r>
      <w:r w:rsidR="00A853B1">
        <w:rPr>
          <w:szCs w:val="24"/>
        </w:rPr>
        <w:t xml:space="preserve">of </w:t>
      </w:r>
      <w:r>
        <w:rPr>
          <w:szCs w:val="24"/>
        </w:rPr>
        <w:t>2014 to allow interested parties to assess the reasonableness and effectiveness of the incentive mechanism and to consider whether or not they support its further use (as structured or as modified) for the remaining year of the five year portfolio….</w:t>
      </w:r>
      <w:r>
        <w:rPr>
          <w:rStyle w:val="FootnoteReference"/>
          <w:szCs w:val="24"/>
        </w:rPr>
        <w:footnoteReference w:id="4"/>
      </w:r>
      <w:r>
        <w:rPr>
          <w:szCs w:val="24"/>
        </w:rPr>
        <w:t xml:space="preserve"> </w:t>
      </w:r>
    </w:p>
    <w:p w:rsidR="00981BA3" w:rsidRDefault="00981BA3" w:rsidP="00981BA3">
      <w:pPr>
        <w:ind w:left="720" w:right="720"/>
        <w:rPr>
          <w:szCs w:val="24"/>
        </w:rPr>
      </w:pPr>
    </w:p>
    <w:p w:rsidR="002669A9" w:rsidRDefault="002669A9" w:rsidP="00981BA3">
      <w:pPr>
        <w:spacing w:line="480" w:lineRule="auto"/>
      </w:pPr>
      <w:r>
        <w:t>In its Opinion and Order, the PUCO acknowledged that the incentive mechanism would expire in 2015, and that interested parties would have the opportunity to assess the reasonableness and effectiveness of the incentive mechanism in 2014.</w:t>
      </w:r>
      <w:r>
        <w:rPr>
          <w:rStyle w:val="FootnoteReference"/>
        </w:rPr>
        <w:footnoteReference w:id="5"/>
      </w:r>
    </w:p>
    <w:p w:rsidR="00981BA3" w:rsidRDefault="00981BA3" w:rsidP="002669A9">
      <w:pPr>
        <w:spacing w:line="480" w:lineRule="auto"/>
        <w:ind w:firstLine="720"/>
      </w:pPr>
      <w:r w:rsidRPr="00981BA3">
        <w:t>The carv</w:t>
      </w:r>
      <w:r w:rsidR="00A87C86">
        <w:t>ing</w:t>
      </w:r>
      <w:r w:rsidRPr="00981BA3">
        <w:t xml:space="preserve"> out </w:t>
      </w:r>
      <w:r w:rsidR="00A87C86">
        <w:t xml:space="preserve">of </w:t>
      </w:r>
      <w:r w:rsidRPr="00981BA3">
        <w:t>2016 for evaluation</w:t>
      </w:r>
      <w:r w:rsidR="00A87C86">
        <w:t xml:space="preserve"> of customers’ payments to Duke</w:t>
      </w:r>
      <w:r w:rsidRPr="00981BA3">
        <w:t xml:space="preserve"> is further e</w:t>
      </w:r>
      <w:r>
        <w:t xml:space="preserve">videnced in </w:t>
      </w:r>
      <w:r w:rsidR="009E1E84">
        <w:t>C</w:t>
      </w:r>
      <w:r>
        <w:t>ase</w:t>
      </w:r>
      <w:r w:rsidR="009E1E84">
        <w:t xml:space="preserve"> No.</w:t>
      </w:r>
      <w:r>
        <w:t xml:space="preserve"> 13-431-EL-POR</w:t>
      </w:r>
      <w:r w:rsidR="00EE6747">
        <w:t>.</w:t>
      </w:r>
      <w:r w:rsidR="00A955D5">
        <w:t xml:space="preserve"> </w:t>
      </w:r>
      <w:r w:rsidR="00EE6747">
        <w:t>There</w:t>
      </w:r>
      <w:r>
        <w:t xml:space="preserve"> the parties reiterated their agreement to assess the incentive mechanism and to consider whether or not they supported its further use for 2016.</w:t>
      </w:r>
      <w:r>
        <w:rPr>
          <w:rStyle w:val="FootnoteReference"/>
        </w:rPr>
        <w:footnoteReference w:id="6"/>
      </w:r>
      <w:r>
        <w:t xml:space="preserve"> The PUCO acknowledged the parties</w:t>
      </w:r>
      <w:r w:rsidR="00DF324F">
        <w:t>’</w:t>
      </w:r>
      <w:r>
        <w:t xml:space="preserve"> agreement in its Opinion and Order for 13-431</w:t>
      </w:r>
      <w:r w:rsidR="00DF324F">
        <w:t>-EL-POR</w:t>
      </w:r>
      <w:r>
        <w:t>, stating:</w:t>
      </w:r>
    </w:p>
    <w:p w:rsidR="00981BA3" w:rsidRDefault="00981BA3" w:rsidP="00E80C8B">
      <w:pPr>
        <w:autoSpaceDE w:val="0"/>
        <w:autoSpaceDN w:val="0"/>
        <w:adjustRightInd w:val="0"/>
        <w:ind w:left="1440" w:right="720"/>
        <w:rPr>
          <w:rFonts w:eastAsiaTheme="minorHAnsi"/>
          <w:szCs w:val="24"/>
        </w:rPr>
      </w:pPr>
      <w:r>
        <w:rPr>
          <w:rFonts w:eastAsiaTheme="minorHAnsi"/>
          <w:szCs w:val="24"/>
        </w:rPr>
        <w:t>The mechanism for recovering costs from Duke’s customers, including recovery of prudent program costs incurred, lost distribution revenues and an incentive mechanism, shall expire at the end of 2015, as controlled by the stipulation in the 2011 Portfolio Case.</w:t>
      </w:r>
      <w:r>
        <w:rPr>
          <w:rStyle w:val="FootnoteReference"/>
          <w:rFonts w:eastAsiaTheme="minorHAnsi"/>
          <w:szCs w:val="24"/>
        </w:rPr>
        <w:footnoteReference w:id="7"/>
      </w:r>
    </w:p>
    <w:p w:rsidR="00BA0815" w:rsidRPr="00981BA3" w:rsidRDefault="00BA0815" w:rsidP="00981BA3">
      <w:pPr>
        <w:autoSpaceDE w:val="0"/>
        <w:autoSpaceDN w:val="0"/>
        <w:adjustRightInd w:val="0"/>
        <w:ind w:left="720" w:right="720"/>
        <w:rPr>
          <w:rFonts w:eastAsiaTheme="minorHAnsi"/>
          <w:szCs w:val="24"/>
        </w:rPr>
      </w:pPr>
    </w:p>
    <w:p w:rsidR="00BA0815" w:rsidRPr="004F3555" w:rsidRDefault="00BA0815" w:rsidP="00F40DC6">
      <w:pPr>
        <w:spacing w:line="480" w:lineRule="auto"/>
      </w:pPr>
      <w:r>
        <w:tab/>
      </w:r>
      <w:r w:rsidRPr="004F3555">
        <w:t>Meanwhile, in legislation (Senate Bill 310) this year, the General Assembly allowed for two different options for energy efficiency programs and charges to consumers for the next two years (2015 and 2016). In this regard, uncodified Section 6 of Senate Bill 310 states:</w:t>
      </w:r>
    </w:p>
    <w:p w:rsidR="00BA0815" w:rsidRDefault="00BA0815" w:rsidP="00E80C8B">
      <w:pPr>
        <w:autoSpaceDE w:val="0"/>
        <w:autoSpaceDN w:val="0"/>
        <w:adjustRightInd w:val="0"/>
        <w:ind w:left="2160" w:right="720" w:hanging="720"/>
        <w:rPr>
          <w:rFonts w:eastAsiaTheme="minorHAnsi"/>
          <w:szCs w:val="24"/>
        </w:rPr>
      </w:pPr>
      <w:r>
        <w:rPr>
          <w:rFonts w:eastAsiaTheme="minorHAnsi"/>
          <w:szCs w:val="24"/>
        </w:rPr>
        <w:t xml:space="preserve">(A) </w:t>
      </w:r>
      <w:r w:rsidR="00E80C8B">
        <w:rPr>
          <w:rFonts w:eastAsiaTheme="minorHAnsi"/>
          <w:szCs w:val="24"/>
        </w:rPr>
        <w:tab/>
      </w:r>
      <w:r w:rsidR="00E114E4">
        <w:rPr>
          <w:rFonts w:eastAsiaTheme="minorHAnsi"/>
          <w:szCs w:val="24"/>
        </w:rPr>
        <w:t>I</w:t>
      </w:r>
      <w:r>
        <w:rPr>
          <w:rFonts w:eastAsiaTheme="minorHAnsi"/>
          <w:szCs w:val="24"/>
        </w:rPr>
        <w:t>f an electric distribution utility has a portfolio plan that is in effect on the effective date of this section, the utility shall do either of the following, at its sole discretion:</w:t>
      </w:r>
    </w:p>
    <w:p w:rsidR="00BA0815" w:rsidRDefault="00BA0815" w:rsidP="00BA0815">
      <w:pPr>
        <w:autoSpaceDE w:val="0"/>
        <w:autoSpaceDN w:val="0"/>
        <w:adjustRightInd w:val="0"/>
        <w:rPr>
          <w:rFonts w:eastAsiaTheme="minorHAnsi"/>
          <w:szCs w:val="24"/>
        </w:rPr>
      </w:pPr>
    </w:p>
    <w:p w:rsidR="00BA0815" w:rsidRPr="00E80C8B" w:rsidRDefault="00BA0815" w:rsidP="00E80C8B">
      <w:pPr>
        <w:pStyle w:val="ListParagraph"/>
        <w:numPr>
          <w:ilvl w:val="0"/>
          <w:numId w:val="12"/>
        </w:numPr>
        <w:autoSpaceDE w:val="0"/>
        <w:autoSpaceDN w:val="0"/>
        <w:adjustRightInd w:val="0"/>
        <w:ind w:left="2880" w:hanging="720"/>
        <w:rPr>
          <w:rFonts w:eastAsiaTheme="minorHAnsi"/>
          <w:szCs w:val="24"/>
        </w:rPr>
      </w:pPr>
      <w:r w:rsidRPr="00E80C8B">
        <w:rPr>
          <w:rFonts w:eastAsiaTheme="minorHAnsi"/>
          <w:szCs w:val="24"/>
        </w:rPr>
        <w:t>Continue to implement the portfolio plan with no amendments to the plan, for the duration that the Public Utilities Commission originally approved, subject to divisions (D) and (E) of this section;</w:t>
      </w:r>
    </w:p>
    <w:p w:rsidR="00E80C8B" w:rsidRPr="00E80C8B" w:rsidRDefault="00E80C8B" w:rsidP="00E80C8B">
      <w:pPr>
        <w:pStyle w:val="ListParagraph"/>
        <w:autoSpaceDE w:val="0"/>
        <w:autoSpaceDN w:val="0"/>
        <w:adjustRightInd w:val="0"/>
        <w:ind w:left="2520"/>
        <w:rPr>
          <w:rFonts w:eastAsiaTheme="minorHAnsi"/>
          <w:szCs w:val="24"/>
        </w:rPr>
      </w:pPr>
    </w:p>
    <w:p w:rsidR="00BA0815" w:rsidRDefault="00BA0815" w:rsidP="00E80C8B">
      <w:pPr>
        <w:autoSpaceDE w:val="0"/>
        <w:autoSpaceDN w:val="0"/>
        <w:adjustRightInd w:val="0"/>
        <w:ind w:left="2880" w:hanging="720"/>
        <w:rPr>
          <w:rFonts w:eastAsiaTheme="minorHAnsi"/>
          <w:szCs w:val="24"/>
        </w:rPr>
      </w:pPr>
      <w:r>
        <w:rPr>
          <w:rFonts w:eastAsiaTheme="minorHAnsi"/>
          <w:szCs w:val="24"/>
        </w:rPr>
        <w:t xml:space="preserve">(2) </w:t>
      </w:r>
      <w:r w:rsidR="00E80C8B">
        <w:rPr>
          <w:rFonts w:eastAsiaTheme="minorHAnsi"/>
          <w:szCs w:val="24"/>
        </w:rPr>
        <w:tab/>
      </w:r>
      <w:r>
        <w:rPr>
          <w:rFonts w:eastAsiaTheme="minorHAnsi"/>
          <w:szCs w:val="24"/>
        </w:rPr>
        <w:t>Seek an amendment of the portfolio plan under division (B) of this section.</w:t>
      </w:r>
    </w:p>
    <w:p w:rsidR="005B26EC" w:rsidRDefault="005B26EC" w:rsidP="00BA0815">
      <w:pPr>
        <w:autoSpaceDE w:val="0"/>
        <w:autoSpaceDN w:val="0"/>
        <w:adjustRightInd w:val="0"/>
        <w:ind w:left="1440"/>
        <w:rPr>
          <w:rFonts w:eastAsiaTheme="minorHAnsi"/>
          <w:szCs w:val="24"/>
        </w:rPr>
      </w:pPr>
    </w:p>
    <w:p w:rsidR="00981BA3" w:rsidRDefault="006262BA" w:rsidP="006262BA">
      <w:pPr>
        <w:autoSpaceDE w:val="0"/>
        <w:autoSpaceDN w:val="0"/>
        <w:adjustRightInd w:val="0"/>
        <w:spacing w:line="480" w:lineRule="auto"/>
      </w:pPr>
      <w:r>
        <w:rPr>
          <w:rFonts w:eastAsiaTheme="minorHAnsi"/>
          <w:szCs w:val="24"/>
        </w:rPr>
        <w:tab/>
      </w:r>
      <w:r w:rsidR="005B26EC">
        <w:t>The Utility held discussions</w:t>
      </w:r>
      <w:r>
        <w:t xml:space="preserve"> </w:t>
      </w:r>
      <w:r w:rsidR="0072387C">
        <w:t xml:space="preserve">with interested </w:t>
      </w:r>
      <w:r w:rsidR="005B26EC">
        <w:t xml:space="preserve">parties </w:t>
      </w:r>
      <w:r w:rsidR="00884C26">
        <w:t xml:space="preserve">in August of 2014 </w:t>
      </w:r>
      <w:r w:rsidR="005B26EC">
        <w:t>regarding the appropriateness of its incentive mechanism</w:t>
      </w:r>
      <w:r w:rsidR="00A87C86">
        <w:t xml:space="preserve"> for charging customers</w:t>
      </w:r>
      <w:r w:rsidR="005B26EC">
        <w:t xml:space="preserve"> </w:t>
      </w:r>
      <w:r w:rsidR="00A87C86">
        <w:t>in</w:t>
      </w:r>
      <w:r w:rsidR="005B26EC">
        <w:t xml:space="preserve"> 2016, and whether </w:t>
      </w:r>
      <w:r w:rsidR="00F060F6">
        <w:t>or not customers</w:t>
      </w:r>
      <w:r w:rsidR="005B26EC">
        <w:t xml:space="preserve"> should continue</w:t>
      </w:r>
      <w:r w:rsidR="00F060F6">
        <w:t xml:space="preserve"> to pay</w:t>
      </w:r>
      <w:r w:rsidR="003D1EE1">
        <w:t>, which OCC appreciated</w:t>
      </w:r>
      <w:r w:rsidR="00F060F6">
        <w:t>.</w:t>
      </w:r>
      <w:r w:rsidR="00A955D5">
        <w:t xml:space="preserve"> </w:t>
      </w:r>
      <w:r w:rsidR="00422753">
        <w:t xml:space="preserve">But, </w:t>
      </w:r>
      <w:r w:rsidR="00643CDF">
        <w:t xml:space="preserve">as Duke </w:t>
      </w:r>
      <w:r w:rsidR="00A955D5">
        <w:t xml:space="preserve">has </w:t>
      </w:r>
      <w:r w:rsidR="00643CDF">
        <w:t>acknowledged</w:t>
      </w:r>
      <w:r w:rsidR="003D1EE1">
        <w:t xml:space="preserve">, </w:t>
      </w:r>
      <w:r w:rsidR="00422753">
        <w:t>t</w:t>
      </w:r>
      <w:r>
        <w:t>he interested parties did not reach an agre</w:t>
      </w:r>
      <w:r w:rsidR="00643CDF">
        <w:t xml:space="preserve">ement as to the appropriateness or continuation </w:t>
      </w:r>
      <w:r>
        <w:t>of an incentive mechanism for Duke</w:t>
      </w:r>
      <w:r w:rsidR="00F060F6">
        <w:t xml:space="preserve"> to charge customers in</w:t>
      </w:r>
      <w:r>
        <w:t xml:space="preserve"> 2016.</w:t>
      </w:r>
      <w:r w:rsidR="003D1EE1">
        <w:rPr>
          <w:rStyle w:val="FootnoteReference"/>
        </w:rPr>
        <w:footnoteReference w:id="8"/>
      </w:r>
      <w:r w:rsidR="003D1EE1">
        <w:t xml:space="preserve"> </w:t>
      </w:r>
      <w:r>
        <w:t xml:space="preserve"> </w:t>
      </w:r>
    </w:p>
    <w:p w:rsidR="0072387C" w:rsidRDefault="006262BA" w:rsidP="006262BA">
      <w:pPr>
        <w:autoSpaceDE w:val="0"/>
        <w:autoSpaceDN w:val="0"/>
        <w:adjustRightInd w:val="0"/>
        <w:spacing w:line="480" w:lineRule="auto"/>
      </w:pPr>
      <w:r>
        <w:tab/>
        <w:t xml:space="preserve">On September 9, 2014, Duke filed an </w:t>
      </w:r>
      <w:r w:rsidR="0072387C">
        <w:t>A</w:t>
      </w:r>
      <w:r>
        <w:t>pplication</w:t>
      </w:r>
      <w:r w:rsidR="0072387C">
        <w:t xml:space="preserve"> in this docket</w:t>
      </w:r>
      <w:r>
        <w:t xml:space="preserve"> seeking the PUCO’s approval to keep its “cost recovery mechanism in place” through 2016.</w:t>
      </w:r>
      <w:r w:rsidR="00975042">
        <w:rPr>
          <w:rStyle w:val="FootnoteReference"/>
        </w:rPr>
        <w:footnoteReference w:id="9"/>
      </w:r>
      <w:r w:rsidR="00B34FA0">
        <w:t xml:space="preserve"> </w:t>
      </w:r>
      <w:r>
        <w:t>The Utility also asked that the PUCO find that the “continuation of the existing cost recovery and incentive mechanism continue through the end of 2016, in alignment with the approved term or the portfolio approval.”</w:t>
      </w:r>
      <w:r>
        <w:rPr>
          <w:rStyle w:val="FootnoteReference"/>
        </w:rPr>
        <w:footnoteReference w:id="10"/>
      </w:r>
      <w:r w:rsidR="0072387C">
        <w:t xml:space="preserve"> </w:t>
      </w:r>
      <w:r w:rsidR="00643CDF">
        <w:t xml:space="preserve">Duke is also apparently </w:t>
      </w:r>
      <w:r w:rsidR="00573D42">
        <w:t>asking to continue using past “banked” savings to charge</w:t>
      </w:r>
      <w:r w:rsidR="00547357">
        <w:t xml:space="preserve"> </w:t>
      </w:r>
      <w:r w:rsidR="00540365">
        <w:t>customers more money</w:t>
      </w:r>
      <w:r w:rsidR="00A955D5">
        <w:t xml:space="preserve"> in 2016</w:t>
      </w:r>
      <w:r w:rsidR="00540365">
        <w:t xml:space="preserve">. </w:t>
      </w:r>
    </w:p>
    <w:p w:rsidR="006262BA" w:rsidRDefault="00540365" w:rsidP="0072387C">
      <w:pPr>
        <w:autoSpaceDE w:val="0"/>
        <w:autoSpaceDN w:val="0"/>
        <w:adjustRightInd w:val="0"/>
        <w:spacing w:line="480" w:lineRule="auto"/>
        <w:ind w:firstLine="720"/>
      </w:pPr>
      <w:r>
        <w:t>Duke claims in its Application that “the majority of signatory parties are in agreement with continuing the cost recovery mechanism.”</w:t>
      </w:r>
      <w:r w:rsidR="003D1EE1">
        <w:rPr>
          <w:rStyle w:val="FootnoteReference"/>
        </w:rPr>
        <w:footnoteReference w:id="11"/>
      </w:r>
      <w:r>
        <w:t xml:space="preserve"> Duke did not </w:t>
      </w:r>
      <w:r w:rsidR="00C36F1A">
        <w:t xml:space="preserve">identify </w:t>
      </w:r>
      <w:r>
        <w:t>which parties are in agreement</w:t>
      </w:r>
      <w:r w:rsidR="00C36F1A">
        <w:t xml:space="preserve"> with continued payments from customers</w:t>
      </w:r>
      <w:r>
        <w:t xml:space="preserve">. </w:t>
      </w:r>
      <w:r w:rsidR="0072387C">
        <w:t>OCC is not in agreement, for the reasons explained below.</w:t>
      </w:r>
    </w:p>
    <w:p w:rsidR="00E114E4" w:rsidRDefault="00E114E4" w:rsidP="00E114E4">
      <w:pPr>
        <w:autoSpaceDE w:val="0"/>
        <w:autoSpaceDN w:val="0"/>
        <w:adjustRightInd w:val="0"/>
        <w:ind w:firstLine="720"/>
      </w:pPr>
    </w:p>
    <w:p w:rsidR="00341322" w:rsidRDefault="001B6530" w:rsidP="00F40DC6">
      <w:pPr>
        <w:pStyle w:val="Heading1"/>
      </w:pPr>
      <w:bookmarkStart w:id="3" w:name="_Toc405545399"/>
      <w:r>
        <w:t>I</w:t>
      </w:r>
      <w:r w:rsidR="00341322" w:rsidRPr="004F3555">
        <w:t>II.</w:t>
      </w:r>
      <w:r w:rsidR="00341322" w:rsidRPr="004F3555">
        <w:tab/>
        <w:t>COMMENTS</w:t>
      </w:r>
      <w:bookmarkEnd w:id="3"/>
    </w:p>
    <w:p w:rsidR="00341322" w:rsidRPr="00573D42" w:rsidRDefault="00C21BE4" w:rsidP="00F40DC6">
      <w:pPr>
        <w:pStyle w:val="Heading2"/>
      </w:pPr>
      <w:bookmarkStart w:id="4" w:name="_Toc405545400"/>
      <w:r w:rsidRPr="00573D42">
        <w:t xml:space="preserve">If </w:t>
      </w:r>
      <w:r w:rsidR="00573D42" w:rsidRPr="00573D42">
        <w:t>the PUCO chooses to extend the shared savings mechanism</w:t>
      </w:r>
      <w:r w:rsidR="00E76C56">
        <w:t xml:space="preserve"> (profit for Duke)</w:t>
      </w:r>
      <w:r w:rsidR="00573D42" w:rsidRPr="00573D42">
        <w:t xml:space="preserve"> to 2016, then the PUCO should impose </w:t>
      </w:r>
      <w:r w:rsidR="00B06ED9">
        <w:t>an annual cap</w:t>
      </w:r>
      <w:r w:rsidR="003D1EE1">
        <w:t xml:space="preserve"> on shared savings</w:t>
      </w:r>
      <w:r w:rsidR="00B06ED9">
        <w:t xml:space="preserve"> of no more than </w:t>
      </w:r>
      <w:r w:rsidR="00EE5AC8">
        <w:t>1</w:t>
      </w:r>
      <w:r w:rsidR="00265638">
        <w:t>3</w:t>
      </w:r>
      <w:r w:rsidR="008F68C4">
        <w:t xml:space="preserve">% </w:t>
      </w:r>
      <w:r w:rsidR="00EE5AC8">
        <w:t xml:space="preserve">of actual </w:t>
      </w:r>
      <w:r w:rsidR="007E51FF">
        <w:t xml:space="preserve">prudent </w:t>
      </w:r>
      <w:r w:rsidR="00EE5AC8">
        <w:t xml:space="preserve">program </w:t>
      </w:r>
      <w:r w:rsidR="007E51FF">
        <w:t>spending</w:t>
      </w:r>
      <w:r w:rsidR="00E76C56">
        <w:t>,</w:t>
      </w:r>
      <w:r w:rsidR="00EE5AC8">
        <w:t xml:space="preserve"> </w:t>
      </w:r>
      <w:r w:rsidR="00573D42" w:rsidRPr="00573D42">
        <w:t>to protect consumers.</w:t>
      </w:r>
      <w:bookmarkEnd w:id="4"/>
    </w:p>
    <w:p w:rsidR="000E5BC9" w:rsidRPr="0072387C" w:rsidRDefault="000E5BC9" w:rsidP="0072387C">
      <w:pPr>
        <w:pStyle w:val="ListParagraph"/>
        <w:spacing w:line="480" w:lineRule="auto"/>
        <w:ind w:left="0" w:firstLine="720"/>
        <w:rPr>
          <w:szCs w:val="24"/>
        </w:rPr>
      </w:pPr>
      <w:r>
        <w:rPr>
          <w:szCs w:val="24"/>
        </w:rPr>
        <w:t xml:space="preserve">Ohio law does not require that Duke be permitted to charge customers for shared savings. Rather, the PUCO’s rules state that with the filing of its Portfolio Plan, </w:t>
      </w:r>
      <w:r w:rsidR="0072387C">
        <w:rPr>
          <w:szCs w:val="24"/>
        </w:rPr>
        <w:t xml:space="preserve">an electric utility </w:t>
      </w:r>
      <w:r w:rsidRPr="0072387C">
        <w:rPr>
          <w:i/>
          <w:szCs w:val="24"/>
        </w:rPr>
        <w:t>may</w:t>
      </w:r>
      <w:r w:rsidRPr="0072387C">
        <w:rPr>
          <w:szCs w:val="24"/>
        </w:rPr>
        <w:t xml:space="preserve"> submit a request</w:t>
      </w:r>
      <w:r w:rsidR="00CA06A5">
        <w:rPr>
          <w:szCs w:val="24"/>
        </w:rPr>
        <w:t xml:space="preserve"> to</w:t>
      </w:r>
      <w:r w:rsidRPr="0072387C">
        <w:rPr>
          <w:szCs w:val="24"/>
        </w:rPr>
        <w:t xml:space="preserve"> </w:t>
      </w:r>
      <w:r w:rsidR="00E76C56">
        <w:rPr>
          <w:szCs w:val="24"/>
        </w:rPr>
        <w:t>charge customers for</w:t>
      </w:r>
      <w:r w:rsidRPr="0072387C">
        <w:rPr>
          <w:szCs w:val="24"/>
        </w:rPr>
        <w:t xml:space="preserve"> an approved rate mechanism</w:t>
      </w:r>
      <w:r w:rsidR="00EE6747">
        <w:rPr>
          <w:szCs w:val="24"/>
        </w:rPr>
        <w:t xml:space="preserve">.  Such a mechanism can </w:t>
      </w:r>
      <w:r w:rsidRPr="0072387C">
        <w:rPr>
          <w:szCs w:val="24"/>
        </w:rPr>
        <w:t>commenc</w:t>
      </w:r>
      <w:r w:rsidR="00EE6747">
        <w:rPr>
          <w:szCs w:val="24"/>
        </w:rPr>
        <w:t>e</w:t>
      </w:r>
      <w:r w:rsidRPr="0072387C">
        <w:rPr>
          <w:szCs w:val="24"/>
        </w:rPr>
        <w:t xml:space="preserve"> after </w:t>
      </w:r>
      <w:r w:rsidR="00EE6747">
        <w:rPr>
          <w:szCs w:val="24"/>
        </w:rPr>
        <w:t xml:space="preserve">the PUCO approves </w:t>
      </w:r>
      <w:r w:rsidRPr="0072387C">
        <w:rPr>
          <w:szCs w:val="24"/>
        </w:rPr>
        <w:t>the electric utility’s program portfolio plan</w:t>
      </w:r>
      <w:r w:rsidR="00EE6747">
        <w:rPr>
          <w:szCs w:val="24"/>
        </w:rPr>
        <w:t>.</w:t>
      </w:r>
      <w:r w:rsidR="00A955D5">
        <w:rPr>
          <w:szCs w:val="24"/>
        </w:rPr>
        <w:t xml:space="preserve"> </w:t>
      </w:r>
      <w:r w:rsidR="00EE6747">
        <w:rPr>
          <w:szCs w:val="24"/>
        </w:rPr>
        <w:t xml:space="preserve">The utility may be authorized to </w:t>
      </w:r>
      <w:r w:rsidR="00820F0A">
        <w:rPr>
          <w:szCs w:val="24"/>
        </w:rPr>
        <w:t>charge customers for</w:t>
      </w:r>
      <w:r w:rsidR="00EE6747">
        <w:rPr>
          <w:szCs w:val="24"/>
        </w:rPr>
        <w:t xml:space="preserve"> c</w:t>
      </w:r>
      <w:r w:rsidRPr="0072387C">
        <w:rPr>
          <w:szCs w:val="24"/>
        </w:rPr>
        <w:t>osts due to electric utility peak-demand reduction, demand response, energy efficiency program co</w:t>
      </w:r>
      <w:r w:rsidR="00820F0A">
        <w:rPr>
          <w:szCs w:val="24"/>
        </w:rPr>
        <w:t>s</w:t>
      </w:r>
      <w:r w:rsidRPr="0072387C">
        <w:rPr>
          <w:szCs w:val="24"/>
        </w:rPr>
        <w:t xml:space="preserve">ts, appropriate lost distribution revenues, and shared </w:t>
      </w:r>
      <w:r w:rsidR="0072387C">
        <w:rPr>
          <w:szCs w:val="24"/>
        </w:rPr>
        <w:t>savings</w:t>
      </w:r>
      <w:r w:rsidRPr="0072387C">
        <w:rPr>
          <w:szCs w:val="24"/>
        </w:rPr>
        <w:t>.</w:t>
      </w:r>
      <w:r>
        <w:rPr>
          <w:rStyle w:val="FootnoteReference"/>
          <w:szCs w:val="24"/>
        </w:rPr>
        <w:footnoteReference w:id="12"/>
      </w:r>
      <w:r w:rsidRPr="0072387C">
        <w:rPr>
          <w:szCs w:val="24"/>
        </w:rPr>
        <w:t xml:space="preserve"> </w:t>
      </w:r>
    </w:p>
    <w:p w:rsidR="00DA3B98" w:rsidRDefault="00E63B5C" w:rsidP="00353972">
      <w:pPr>
        <w:pStyle w:val="ListParagraph"/>
        <w:spacing w:line="480" w:lineRule="auto"/>
        <w:ind w:left="0" w:firstLine="720"/>
        <w:rPr>
          <w:szCs w:val="24"/>
        </w:rPr>
      </w:pPr>
      <w:r>
        <w:rPr>
          <w:szCs w:val="24"/>
        </w:rPr>
        <w:t>I</w:t>
      </w:r>
      <w:r w:rsidR="000E5BC9">
        <w:rPr>
          <w:szCs w:val="24"/>
        </w:rPr>
        <w:t>f the PUCO allows Duke to continue charging customers for shared savings in 2016</w:t>
      </w:r>
      <w:r>
        <w:rPr>
          <w:szCs w:val="24"/>
        </w:rPr>
        <w:t>, the PUCO</w:t>
      </w:r>
      <w:r w:rsidR="000E5BC9">
        <w:rPr>
          <w:szCs w:val="24"/>
        </w:rPr>
        <w:t xml:space="preserve"> should </w:t>
      </w:r>
      <w:r w:rsidR="00EE6747">
        <w:rPr>
          <w:szCs w:val="24"/>
        </w:rPr>
        <w:t xml:space="preserve">limit what customers pay to </w:t>
      </w:r>
      <w:r w:rsidR="00EE5AC8">
        <w:rPr>
          <w:szCs w:val="24"/>
        </w:rPr>
        <w:t>no more than 13</w:t>
      </w:r>
      <w:r w:rsidR="00EA3E43">
        <w:rPr>
          <w:szCs w:val="24"/>
        </w:rPr>
        <w:t xml:space="preserve">% </w:t>
      </w:r>
      <w:r w:rsidR="00EE5AC8">
        <w:rPr>
          <w:szCs w:val="24"/>
        </w:rPr>
        <w:t xml:space="preserve">of actual </w:t>
      </w:r>
      <w:r w:rsidR="00EA3E43">
        <w:rPr>
          <w:szCs w:val="24"/>
        </w:rPr>
        <w:t xml:space="preserve">prudent </w:t>
      </w:r>
      <w:r w:rsidR="00EE5AC8">
        <w:rPr>
          <w:szCs w:val="24"/>
        </w:rPr>
        <w:t xml:space="preserve">program </w:t>
      </w:r>
      <w:r w:rsidR="00EA3E43">
        <w:rPr>
          <w:szCs w:val="24"/>
        </w:rPr>
        <w:t>spending</w:t>
      </w:r>
      <w:r w:rsidR="00353972">
        <w:rPr>
          <w:szCs w:val="24"/>
        </w:rPr>
        <w:t>.</w:t>
      </w:r>
      <w:r w:rsidR="00EE6747">
        <w:rPr>
          <w:szCs w:val="24"/>
        </w:rPr>
        <w:t xml:space="preserve"> This would be a “hard dollar cap.”</w:t>
      </w:r>
      <w:r w:rsidR="00E8501A">
        <w:rPr>
          <w:szCs w:val="24"/>
        </w:rPr>
        <w:t xml:space="preserve"> A</w:t>
      </w:r>
      <w:r w:rsidR="00A955D5">
        <w:rPr>
          <w:szCs w:val="24"/>
        </w:rPr>
        <w:t xml:space="preserve"> </w:t>
      </w:r>
      <w:r w:rsidR="00DA3B98">
        <w:rPr>
          <w:szCs w:val="24"/>
        </w:rPr>
        <w:t xml:space="preserve">hard dollar cap means that no matter what the Utility’s shared savings </w:t>
      </w:r>
      <w:r w:rsidR="00EE6747">
        <w:rPr>
          <w:szCs w:val="24"/>
        </w:rPr>
        <w:t>are</w:t>
      </w:r>
      <w:r>
        <w:rPr>
          <w:szCs w:val="24"/>
        </w:rPr>
        <w:t xml:space="preserve">, </w:t>
      </w:r>
      <w:r w:rsidR="00B759CF">
        <w:rPr>
          <w:szCs w:val="24"/>
        </w:rPr>
        <w:t xml:space="preserve">they </w:t>
      </w:r>
      <w:r w:rsidR="00DA3B98">
        <w:rPr>
          <w:szCs w:val="24"/>
        </w:rPr>
        <w:t>cannot exceed a pre-determined dollar amount. A hard cap protects consumers from paying for excessive profits</w:t>
      </w:r>
      <w:r w:rsidR="003D1EE1">
        <w:rPr>
          <w:szCs w:val="24"/>
        </w:rPr>
        <w:t xml:space="preserve"> for energy efficiency</w:t>
      </w:r>
      <w:r w:rsidR="00DA3B98">
        <w:rPr>
          <w:szCs w:val="24"/>
        </w:rPr>
        <w:t>.</w:t>
      </w:r>
      <w:r w:rsidR="00E8501A">
        <w:rPr>
          <w:szCs w:val="24"/>
        </w:rPr>
        <w:t xml:space="preserve"> </w:t>
      </w:r>
    </w:p>
    <w:p w:rsidR="00573D42" w:rsidRPr="004F3555" w:rsidRDefault="00353972" w:rsidP="004F3555">
      <w:pPr>
        <w:spacing w:line="480" w:lineRule="auto"/>
        <w:ind w:firstLine="720"/>
        <w:rPr>
          <w:rFonts w:eastAsiaTheme="minorHAnsi"/>
          <w:szCs w:val="24"/>
        </w:rPr>
      </w:pPr>
      <w:r>
        <w:rPr>
          <w:szCs w:val="24"/>
        </w:rPr>
        <w:t>Duke</w:t>
      </w:r>
      <w:r w:rsidR="002C1D2E">
        <w:rPr>
          <w:szCs w:val="24"/>
        </w:rPr>
        <w:t xml:space="preserve"> was permitted to collect uncapped shared savings from customers </w:t>
      </w:r>
      <w:r w:rsidR="00A853B1">
        <w:rPr>
          <w:szCs w:val="24"/>
        </w:rPr>
        <w:t>from 2012</w:t>
      </w:r>
      <w:r>
        <w:rPr>
          <w:szCs w:val="24"/>
        </w:rPr>
        <w:t xml:space="preserve"> through 2015</w:t>
      </w:r>
      <w:r w:rsidR="007B04C0">
        <w:rPr>
          <w:szCs w:val="24"/>
        </w:rPr>
        <w:t>.</w:t>
      </w:r>
      <w:r w:rsidR="00EA3E43">
        <w:rPr>
          <w:szCs w:val="24"/>
        </w:rPr>
        <w:t xml:space="preserve"> </w:t>
      </w:r>
      <w:r w:rsidR="001F5839">
        <w:rPr>
          <w:rFonts w:eastAsiaTheme="minorHAnsi"/>
          <w:szCs w:val="24"/>
        </w:rPr>
        <w:t xml:space="preserve">Duke is currently the only </w:t>
      </w:r>
      <w:r w:rsidR="004F3555">
        <w:rPr>
          <w:rFonts w:eastAsiaTheme="minorHAnsi"/>
          <w:szCs w:val="24"/>
        </w:rPr>
        <w:t xml:space="preserve">Ohio </w:t>
      </w:r>
      <w:r w:rsidR="001F5839">
        <w:rPr>
          <w:rFonts w:eastAsiaTheme="minorHAnsi"/>
          <w:szCs w:val="24"/>
        </w:rPr>
        <w:t>electric utility without a cap</w:t>
      </w:r>
      <w:r w:rsidR="003D1EE1">
        <w:rPr>
          <w:rFonts w:eastAsiaTheme="minorHAnsi"/>
          <w:szCs w:val="24"/>
        </w:rPr>
        <w:t xml:space="preserve"> to protect customers</w:t>
      </w:r>
      <w:r w:rsidR="00E63B5C">
        <w:rPr>
          <w:rFonts w:eastAsiaTheme="minorHAnsi"/>
          <w:szCs w:val="24"/>
        </w:rPr>
        <w:t xml:space="preserve"> on its</w:t>
      </w:r>
      <w:r w:rsidR="001F5839">
        <w:rPr>
          <w:rFonts w:eastAsiaTheme="minorHAnsi"/>
          <w:szCs w:val="24"/>
        </w:rPr>
        <w:t xml:space="preserve"> shared savings mechanism.</w:t>
      </w:r>
      <w:r w:rsidR="001F5839">
        <w:rPr>
          <w:rStyle w:val="FootnoteReference"/>
          <w:rFonts w:eastAsiaTheme="minorHAnsi"/>
          <w:szCs w:val="24"/>
        </w:rPr>
        <w:footnoteReference w:id="13"/>
      </w:r>
      <w:r w:rsidR="004F3555">
        <w:rPr>
          <w:rFonts w:eastAsiaTheme="minorHAnsi"/>
          <w:szCs w:val="24"/>
        </w:rPr>
        <w:t xml:space="preserve"> </w:t>
      </w:r>
      <w:r w:rsidR="00884C26">
        <w:rPr>
          <w:rFonts w:eastAsiaTheme="minorHAnsi"/>
          <w:szCs w:val="24"/>
        </w:rPr>
        <w:t>And b</w:t>
      </w:r>
      <w:r w:rsidR="007E51FF">
        <w:rPr>
          <w:rFonts w:eastAsiaTheme="minorHAnsi"/>
          <w:szCs w:val="24"/>
        </w:rPr>
        <w:t>oth of the PUCO Staff’s Proposals for Incentivizing Utility Energy Efficiency Performance contained a hard cap.</w:t>
      </w:r>
      <w:r w:rsidR="007E51FF">
        <w:rPr>
          <w:rStyle w:val="FootnoteReference"/>
          <w:rFonts w:eastAsiaTheme="minorHAnsi"/>
          <w:szCs w:val="24"/>
        </w:rPr>
        <w:footnoteReference w:id="14"/>
      </w:r>
      <w:r w:rsidR="007E51FF">
        <w:rPr>
          <w:rFonts w:eastAsiaTheme="minorHAnsi"/>
          <w:szCs w:val="24"/>
        </w:rPr>
        <w:t xml:space="preserve"> </w:t>
      </w:r>
      <w:r>
        <w:rPr>
          <w:szCs w:val="24"/>
        </w:rPr>
        <w:t xml:space="preserve">An </w:t>
      </w:r>
      <w:r w:rsidR="00E63B5C">
        <w:rPr>
          <w:szCs w:val="24"/>
        </w:rPr>
        <w:t xml:space="preserve">uncapped </w:t>
      </w:r>
      <w:r>
        <w:rPr>
          <w:szCs w:val="24"/>
        </w:rPr>
        <w:t>shared savings incentive</w:t>
      </w:r>
      <w:r w:rsidR="00573D42" w:rsidRPr="00573D42">
        <w:rPr>
          <w:szCs w:val="24"/>
        </w:rPr>
        <w:t xml:space="preserve"> </w:t>
      </w:r>
      <w:r>
        <w:rPr>
          <w:szCs w:val="24"/>
        </w:rPr>
        <w:t>could</w:t>
      </w:r>
      <w:r w:rsidR="00573D42" w:rsidRPr="00573D42">
        <w:rPr>
          <w:szCs w:val="24"/>
        </w:rPr>
        <w:t xml:space="preserve"> allow Duk</w:t>
      </w:r>
      <w:r w:rsidR="00573D42">
        <w:rPr>
          <w:szCs w:val="24"/>
        </w:rPr>
        <w:t>e to c</w:t>
      </w:r>
      <w:r w:rsidR="002C1D2E">
        <w:rPr>
          <w:szCs w:val="24"/>
        </w:rPr>
        <w:t xml:space="preserve">harge customers millions of dollars for shared savings that could </w:t>
      </w:r>
      <w:r w:rsidR="00573D42" w:rsidRPr="00573D42">
        <w:rPr>
          <w:szCs w:val="24"/>
        </w:rPr>
        <w:t>exceed the estimates represented by Duke in the</w:t>
      </w:r>
      <w:r w:rsidR="00573D42">
        <w:rPr>
          <w:szCs w:val="24"/>
        </w:rPr>
        <w:t xml:space="preserve"> 11-4393 case. </w:t>
      </w:r>
    </w:p>
    <w:p w:rsidR="00353972" w:rsidRDefault="00E8501A" w:rsidP="00353972">
      <w:pPr>
        <w:spacing w:line="480" w:lineRule="auto"/>
        <w:ind w:firstLine="720"/>
        <w:rPr>
          <w:rFonts w:eastAsiaTheme="minorHAnsi"/>
          <w:szCs w:val="24"/>
        </w:rPr>
      </w:pPr>
      <w:r>
        <w:rPr>
          <w:szCs w:val="24"/>
        </w:rPr>
        <w:t>In the</w:t>
      </w:r>
      <w:r w:rsidR="002C1D2E">
        <w:rPr>
          <w:szCs w:val="24"/>
        </w:rPr>
        <w:t xml:space="preserve"> 11-4</w:t>
      </w:r>
      <w:r w:rsidR="00A853B1">
        <w:rPr>
          <w:szCs w:val="24"/>
        </w:rPr>
        <w:t>3</w:t>
      </w:r>
      <w:r w:rsidR="002C1D2E">
        <w:rPr>
          <w:szCs w:val="24"/>
        </w:rPr>
        <w:t xml:space="preserve">93 case, </w:t>
      </w:r>
      <w:r w:rsidR="00353972" w:rsidRPr="00353972">
        <w:rPr>
          <w:szCs w:val="24"/>
        </w:rPr>
        <w:t>Utility</w:t>
      </w:r>
      <w:r w:rsidR="00353972">
        <w:rPr>
          <w:szCs w:val="24"/>
        </w:rPr>
        <w:t xml:space="preserve"> </w:t>
      </w:r>
      <w:r w:rsidR="00353972" w:rsidRPr="00353972">
        <w:rPr>
          <w:szCs w:val="24"/>
        </w:rPr>
        <w:t>witness Timothy Duff estimated that Duke would receive $4.5 million in shared savings</w:t>
      </w:r>
      <w:r w:rsidR="00353972">
        <w:rPr>
          <w:szCs w:val="24"/>
        </w:rPr>
        <w:t xml:space="preserve"> </w:t>
      </w:r>
      <w:r w:rsidR="00353972" w:rsidRPr="00353972">
        <w:rPr>
          <w:szCs w:val="24"/>
        </w:rPr>
        <w:t>but no more than $8.2 million.</w:t>
      </w:r>
      <w:r w:rsidR="00353972">
        <w:rPr>
          <w:rStyle w:val="FootnoteReference"/>
          <w:szCs w:val="24"/>
        </w:rPr>
        <w:footnoteReference w:id="15"/>
      </w:r>
      <w:r w:rsidR="00353972" w:rsidRPr="00353972">
        <w:rPr>
          <w:szCs w:val="24"/>
        </w:rPr>
        <w:t xml:space="preserve"> However, in its 2013 filing, Duke requested $12.5</w:t>
      </w:r>
      <w:r w:rsidR="00353972">
        <w:rPr>
          <w:szCs w:val="24"/>
        </w:rPr>
        <w:t xml:space="preserve"> </w:t>
      </w:r>
      <w:r w:rsidR="00353972" w:rsidRPr="00353972">
        <w:rPr>
          <w:szCs w:val="24"/>
        </w:rPr>
        <w:t xml:space="preserve">million in shared savings incentives after spending $23.5 million on </w:t>
      </w:r>
      <w:r w:rsidR="00884C26">
        <w:rPr>
          <w:szCs w:val="24"/>
        </w:rPr>
        <w:t>energy efficiency and peak demand reduction</w:t>
      </w:r>
      <w:r w:rsidR="00353972" w:rsidRPr="00353972">
        <w:rPr>
          <w:szCs w:val="24"/>
        </w:rPr>
        <w:t xml:space="preserve"> programs in</w:t>
      </w:r>
      <w:r w:rsidR="00353972">
        <w:rPr>
          <w:szCs w:val="24"/>
        </w:rPr>
        <w:t xml:space="preserve"> </w:t>
      </w:r>
      <w:r w:rsidR="00353972">
        <w:rPr>
          <w:rFonts w:eastAsiaTheme="minorHAnsi"/>
          <w:szCs w:val="24"/>
        </w:rPr>
        <w:t>2012 alone.</w:t>
      </w:r>
      <w:r w:rsidR="00353972">
        <w:rPr>
          <w:rStyle w:val="FootnoteReference"/>
          <w:rFonts w:eastAsiaTheme="minorHAnsi"/>
          <w:szCs w:val="24"/>
        </w:rPr>
        <w:footnoteReference w:id="16"/>
      </w:r>
      <w:r w:rsidR="00EB62B1">
        <w:rPr>
          <w:rFonts w:eastAsiaTheme="minorHAnsi"/>
          <w:szCs w:val="24"/>
        </w:rPr>
        <w:t xml:space="preserve"> </w:t>
      </w:r>
      <w:r>
        <w:rPr>
          <w:rFonts w:eastAsiaTheme="minorHAnsi"/>
          <w:szCs w:val="24"/>
        </w:rPr>
        <w:t xml:space="preserve">A hard dollar cap is warranted to protect customers for 2016.  </w:t>
      </w:r>
    </w:p>
    <w:p w:rsidR="0063173A" w:rsidRDefault="00D10E5E" w:rsidP="00353972">
      <w:pPr>
        <w:spacing w:line="480" w:lineRule="auto"/>
        <w:ind w:firstLine="720"/>
        <w:rPr>
          <w:rFonts w:eastAsiaTheme="minorHAnsi"/>
          <w:szCs w:val="24"/>
        </w:rPr>
      </w:pPr>
      <w:r>
        <w:rPr>
          <w:rFonts w:eastAsiaTheme="minorHAnsi"/>
          <w:szCs w:val="24"/>
        </w:rPr>
        <w:t>OCC recommends that if</w:t>
      </w:r>
      <w:r w:rsidR="00B55AB6">
        <w:rPr>
          <w:rFonts w:eastAsiaTheme="minorHAnsi"/>
          <w:szCs w:val="24"/>
        </w:rPr>
        <w:t xml:space="preserve"> the PUCO extends the shared savings mechanism through 2016, it should</w:t>
      </w:r>
      <w:r w:rsidR="00EB62B1">
        <w:rPr>
          <w:rFonts w:eastAsiaTheme="minorHAnsi"/>
          <w:szCs w:val="24"/>
        </w:rPr>
        <w:t xml:space="preserve"> limit the amount customers pay for shared saving </w:t>
      </w:r>
      <w:r w:rsidR="00E8501A">
        <w:rPr>
          <w:rFonts w:eastAsiaTheme="minorHAnsi"/>
          <w:szCs w:val="24"/>
        </w:rPr>
        <w:t>to no</w:t>
      </w:r>
      <w:r w:rsidR="00EB62B1">
        <w:rPr>
          <w:rFonts w:eastAsiaTheme="minorHAnsi"/>
          <w:szCs w:val="24"/>
        </w:rPr>
        <w:t xml:space="preserve"> </w:t>
      </w:r>
      <w:r w:rsidR="00E8501A">
        <w:rPr>
          <w:rFonts w:eastAsiaTheme="minorHAnsi"/>
          <w:szCs w:val="24"/>
        </w:rPr>
        <w:t>more than</w:t>
      </w:r>
      <w:r w:rsidR="00B06ED9">
        <w:rPr>
          <w:rFonts w:eastAsiaTheme="minorHAnsi"/>
          <w:szCs w:val="24"/>
        </w:rPr>
        <w:t xml:space="preserve"> </w:t>
      </w:r>
      <w:r w:rsidR="00D124A0">
        <w:rPr>
          <w:rFonts w:eastAsiaTheme="minorHAnsi"/>
          <w:szCs w:val="24"/>
        </w:rPr>
        <w:t>13</w:t>
      </w:r>
      <w:r w:rsidR="008F68C4">
        <w:rPr>
          <w:rFonts w:eastAsiaTheme="minorHAnsi"/>
          <w:szCs w:val="24"/>
        </w:rPr>
        <w:t xml:space="preserve">% </w:t>
      </w:r>
      <w:r w:rsidR="00D124A0">
        <w:rPr>
          <w:rFonts w:eastAsiaTheme="minorHAnsi"/>
          <w:szCs w:val="24"/>
        </w:rPr>
        <w:t>of program</w:t>
      </w:r>
      <w:r w:rsidR="00D518ED">
        <w:rPr>
          <w:rFonts w:eastAsiaTheme="minorHAnsi"/>
          <w:szCs w:val="24"/>
        </w:rPr>
        <w:t xml:space="preserve"> spending</w:t>
      </w:r>
      <w:r w:rsidR="00D124A0">
        <w:rPr>
          <w:rFonts w:eastAsiaTheme="minorHAnsi"/>
          <w:szCs w:val="24"/>
        </w:rPr>
        <w:t xml:space="preserve"> </w:t>
      </w:r>
      <w:r w:rsidR="00B55AB6">
        <w:rPr>
          <w:rFonts w:eastAsiaTheme="minorHAnsi"/>
          <w:szCs w:val="24"/>
        </w:rPr>
        <w:t>beginning in 2016.</w:t>
      </w:r>
      <w:r w:rsidR="00B06ED9">
        <w:rPr>
          <w:rFonts w:eastAsiaTheme="minorHAnsi"/>
          <w:szCs w:val="24"/>
        </w:rPr>
        <w:t xml:space="preserve"> This recommendation is derived by examining the nationwide average of incentive caps from around the country. In this regard, </w:t>
      </w:r>
      <w:r w:rsidR="003C6D74">
        <w:rPr>
          <w:rFonts w:eastAsiaTheme="minorHAnsi"/>
          <w:szCs w:val="24"/>
        </w:rPr>
        <w:t xml:space="preserve">a study by </w:t>
      </w:r>
      <w:r w:rsidR="00D70E02">
        <w:rPr>
          <w:rFonts w:eastAsiaTheme="minorHAnsi"/>
          <w:szCs w:val="24"/>
        </w:rPr>
        <w:t xml:space="preserve">American </w:t>
      </w:r>
      <w:r w:rsidR="00B06ED9">
        <w:rPr>
          <w:rFonts w:eastAsiaTheme="minorHAnsi"/>
          <w:szCs w:val="24"/>
        </w:rPr>
        <w:t>C</w:t>
      </w:r>
      <w:r w:rsidR="003C6D74">
        <w:rPr>
          <w:rFonts w:eastAsiaTheme="minorHAnsi"/>
          <w:szCs w:val="24"/>
        </w:rPr>
        <w:t xml:space="preserve">ouncil for an </w:t>
      </w:r>
      <w:r w:rsidR="00B06ED9">
        <w:rPr>
          <w:rFonts w:eastAsiaTheme="minorHAnsi"/>
          <w:szCs w:val="24"/>
        </w:rPr>
        <w:t>E</w:t>
      </w:r>
      <w:r w:rsidR="003C6D74">
        <w:rPr>
          <w:rFonts w:eastAsiaTheme="minorHAnsi"/>
          <w:szCs w:val="24"/>
        </w:rPr>
        <w:t xml:space="preserve">nergy </w:t>
      </w:r>
      <w:r w:rsidR="00B06ED9">
        <w:rPr>
          <w:rFonts w:eastAsiaTheme="minorHAnsi"/>
          <w:szCs w:val="24"/>
        </w:rPr>
        <w:t>E</w:t>
      </w:r>
      <w:r w:rsidR="003C6D74">
        <w:rPr>
          <w:rFonts w:eastAsiaTheme="minorHAnsi"/>
          <w:szCs w:val="24"/>
        </w:rPr>
        <w:t xml:space="preserve">fficient </w:t>
      </w:r>
      <w:r w:rsidR="00B06ED9">
        <w:rPr>
          <w:rFonts w:eastAsiaTheme="minorHAnsi"/>
          <w:szCs w:val="24"/>
        </w:rPr>
        <w:t>E</w:t>
      </w:r>
      <w:r w:rsidR="003C6D74">
        <w:rPr>
          <w:rFonts w:eastAsiaTheme="minorHAnsi"/>
          <w:szCs w:val="24"/>
        </w:rPr>
        <w:t>conomy</w:t>
      </w:r>
      <w:r w:rsidR="00B06ED9">
        <w:rPr>
          <w:rFonts w:eastAsiaTheme="minorHAnsi"/>
          <w:szCs w:val="24"/>
        </w:rPr>
        <w:t xml:space="preserve"> states that “most states have a cap on the incentive. The cap is most frequently based on a percentage of</w:t>
      </w:r>
      <w:r w:rsidR="00DA3B98">
        <w:rPr>
          <w:rFonts w:eastAsiaTheme="minorHAnsi"/>
          <w:szCs w:val="24"/>
        </w:rPr>
        <w:t xml:space="preserve"> program spending and ranges fr</w:t>
      </w:r>
      <w:r w:rsidR="00B06ED9">
        <w:rPr>
          <w:rFonts w:eastAsiaTheme="minorHAnsi"/>
          <w:szCs w:val="24"/>
        </w:rPr>
        <w:t>om 5% to 20% of program spending with an average of 12% to 13%.</w:t>
      </w:r>
      <w:r w:rsidR="0063173A">
        <w:rPr>
          <w:rFonts w:eastAsiaTheme="minorHAnsi"/>
          <w:szCs w:val="24"/>
        </w:rPr>
        <w:t>”</w:t>
      </w:r>
      <w:r w:rsidR="00B06ED9">
        <w:rPr>
          <w:rStyle w:val="FootnoteReference"/>
          <w:rFonts w:eastAsiaTheme="minorHAnsi"/>
          <w:szCs w:val="24"/>
        </w:rPr>
        <w:footnoteReference w:id="17"/>
      </w:r>
      <w:r w:rsidR="00B55AB6">
        <w:rPr>
          <w:rFonts w:eastAsiaTheme="minorHAnsi"/>
          <w:szCs w:val="24"/>
        </w:rPr>
        <w:t xml:space="preserve"> </w:t>
      </w:r>
    </w:p>
    <w:p w:rsidR="008F68C4" w:rsidRDefault="008F68C4" w:rsidP="00353972">
      <w:pPr>
        <w:spacing w:line="480" w:lineRule="auto"/>
        <w:ind w:firstLine="720"/>
        <w:rPr>
          <w:rFonts w:eastAsiaTheme="minorHAnsi"/>
          <w:szCs w:val="24"/>
        </w:rPr>
      </w:pPr>
      <w:r>
        <w:rPr>
          <w:rFonts w:eastAsiaTheme="minorHAnsi"/>
          <w:szCs w:val="24"/>
        </w:rPr>
        <w:t>Duke’s current uncapped shared savings mechanism</w:t>
      </w:r>
      <w:r w:rsidR="000D0AB6">
        <w:rPr>
          <w:rFonts w:eastAsiaTheme="minorHAnsi"/>
          <w:szCs w:val="24"/>
        </w:rPr>
        <w:t xml:space="preserve"> structure for 2012 through 2015</w:t>
      </w:r>
      <w:r>
        <w:rPr>
          <w:rFonts w:eastAsiaTheme="minorHAnsi"/>
          <w:szCs w:val="24"/>
        </w:rPr>
        <w:t xml:space="preserve"> is as follows:</w:t>
      </w:r>
      <w:r w:rsidR="000D0AB6">
        <w:rPr>
          <w:rStyle w:val="FootnoteReference"/>
          <w:rFonts w:eastAsiaTheme="minorHAnsi"/>
          <w:szCs w:val="24"/>
        </w:rPr>
        <w:footnoteReference w:id="18"/>
      </w:r>
    </w:p>
    <w:tbl>
      <w:tblPr>
        <w:tblStyle w:val="TableGrid"/>
        <w:tblW w:w="0" w:type="auto"/>
        <w:tblInd w:w="2538" w:type="dxa"/>
        <w:tblLook w:val="04A0" w:firstRow="1" w:lastRow="0" w:firstColumn="1" w:lastColumn="0" w:noHBand="0" w:noVBand="1"/>
      </w:tblPr>
      <w:tblGrid>
        <w:gridCol w:w="1909"/>
        <w:gridCol w:w="1691"/>
      </w:tblGrid>
      <w:tr w:rsidR="000D0AB6" w:rsidTr="007E51FF">
        <w:tc>
          <w:tcPr>
            <w:tcW w:w="1909" w:type="dxa"/>
            <w:shd w:val="clear" w:color="auto" w:fill="000000" w:themeFill="text1"/>
          </w:tcPr>
          <w:p w:rsidR="000D0AB6" w:rsidRPr="007E51FF" w:rsidRDefault="000D0AB6" w:rsidP="007E51FF">
            <w:pPr>
              <w:rPr>
                <w:rFonts w:eastAsiaTheme="minorHAnsi"/>
                <w:b/>
                <w:szCs w:val="24"/>
              </w:rPr>
            </w:pPr>
            <w:r w:rsidRPr="007E51FF">
              <w:rPr>
                <w:rFonts w:eastAsiaTheme="minorHAnsi"/>
                <w:b/>
                <w:szCs w:val="24"/>
              </w:rPr>
              <w:t>Achievement of Annual Target</w:t>
            </w:r>
          </w:p>
        </w:tc>
        <w:tc>
          <w:tcPr>
            <w:tcW w:w="1691" w:type="dxa"/>
            <w:shd w:val="clear" w:color="auto" w:fill="000000" w:themeFill="text1"/>
          </w:tcPr>
          <w:p w:rsidR="000D0AB6" w:rsidRPr="007E51FF" w:rsidRDefault="000D0AB6" w:rsidP="007E51FF">
            <w:pPr>
              <w:rPr>
                <w:rFonts w:eastAsiaTheme="minorHAnsi"/>
                <w:b/>
                <w:szCs w:val="24"/>
              </w:rPr>
            </w:pPr>
            <w:r w:rsidRPr="007E51FF">
              <w:rPr>
                <w:rFonts w:eastAsiaTheme="minorHAnsi"/>
                <w:b/>
                <w:szCs w:val="24"/>
              </w:rPr>
              <w:t>Shared Savings</w:t>
            </w:r>
          </w:p>
        </w:tc>
      </w:tr>
      <w:tr w:rsidR="000D0AB6" w:rsidTr="007E51FF">
        <w:tc>
          <w:tcPr>
            <w:tcW w:w="1909" w:type="dxa"/>
          </w:tcPr>
          <w:p w:rsidR="000D0AB6" w:rsidRDefault="000D0AB6" w:rsidP="00EA3E43">
            <w:pPr>
              <w:rPr>
                <w:rFonts w:eastAsiaTheme="minorHAnsi"/>
                <w:szCs w:val="24"/>
              </w:rPr>
            </w:pPr>
            <w:r>
              <w:rPr>
                <w:rFonts w:eastAsiaTheme="minorHAnsi"/>
                <w:szCs w:val="24"/>
              </w:rPr>
              <w:t>≤100</w:t>
            </w:r>
          </w:p>
        </w:tc>
        <w:tc>
          <w:tcPr>
            <w:tcW w:w="1691" w:type="dxa"/>
          </w:tcPr>
          <w:p w:rsidR="000D0AB6" w:rsidRDefault="000D0AB6" w:rsidP="00EA3E43">
            <w:pPr>
              <w:rPr>
                <w:rFonts w:eastAsiaTheme="minorHAnsi"/>
                <w:szCs w:val="24"/>
              </w:rPr>
            </w:pPr>
            <w:r>
              <w:rPr>
                <w:rFonts w:eastAsiaTheme="minorHAnsi"/>
                <w:szCs w:val="24"/>
              </w:rPr>
              <w:t>0.0%</w:t>
            </w:r>
          </w:p>
        </w:tc>
      </w:tr>
      <w:tr w:rsidR="000D0AB6" w:rsidTr="007E51FF">
        <w:tc>
          <w:tcPr>
            <w:tcW w:w="1909" w:type="dxa"/>
          </w:tcPr>
          <w:p w:rsidR="000D0AB6" w:rsidRDefault="000D0AB6" w:rsidP="00EA3E43">
            <w:pPr>
              <w:rPr>
                <w:rFonts w:eastAsiaTheme="minorHAnsi"/>
                <w:szCs w:val="24"/>
              </w:rPr>
            </w:pPr>
            <w:r>
              <w:rPr>
                <w:rFonts w:eastAsiaTheme="minorHAnsi"/>
                <w:szCs w:val="24"/>
              </w:rPr>
              <w:t>100-105</w:t>
            </w:r>
          </w:p>
        </w:tc>
        <w:tc>
          <w:tcPr>
            <w:tcW w:w="1691" w:type="dxa"/>
          </w:tcPr>
          <w:p w:rsidR="000D0AB6" w:rsidRDefault="000D0AB6" w:rsidP="00EA3E43">
            <w:pPr>
              <w:rPr>
                <w:rFonts w:eastAsiaTheme="minorHAnsi"/>
                <w:szCs w:val="24"/>
              </w:rPr>
            </w:pPr>
            <w:r>
              <w:rPr>
                <w:rFonts w:eastAsiaTheme="minorHAnsi"/>
                <w:szCs w:val="24"/>
              </w:rPr>
              <w:t>5.0%</w:t>
            </w:r>
          </w:p>
        </w:tc>
      </w:tr>
      <w:tr w:rsidR="000D0AB6" w:rsidTr="007E51FF">
        <w:tc>
          <w:tcPr>
            <w:tcW w:w="1909" w:type="dxa"/>
          </w:tcPr>
          <w:p w:rsidR="000D0AB6" w:rsidRDefault="000D0AB6" w:rsidP="00EA3E43">
            <w:pPr>
              <w:rPr>
                <w:rFonts w:eastAsiaTheme="minorHAnsi"/>
                <w:szCs w:val="24"/>
              </w:rPr>
            </w:pPr>
            <w:r>
              <w:rPr>
                <w:rFonts w:eastAsiaTheme="minorHAnsi"/>
                <w:szCs w:val="24"/>
              </w:rPr>
              <w:t>≥105-110</w:t>
            </w:r>
          </w:p>
        </w:tc>
        <w:tc>
          <w:tcPr>
            <w:tcW w:w="1691" w:type="dxa"/>
          </w:tcPr>
          <w:p w:rsidR="000D0AB6" w:rsidRDefault="000D0AB6" w:rsidP="00EA3E43">
            <w:pPr>
              <w:rPr>
                <w:rFonts w:eastAsiaTheme="minorHAnsi"/>
                <w:szCs w:val="24"/>
              </w:rPr>
            </w:pPr>
            <w:r>
              <w:rPr>
                <w:rFonts w:eastAsiaTheme="minorHAnsi"/>
                <w:szCs w:val="24"/>
              </w:rPr>
              <w:t>7.5%</w:t>
            </w:r>
          </w:p>
        </w:tc>
      </w:tr>
      <w:tr w:rsidR="000D0AB6" w:rsidTr="007E51FF">
        <w:tc>
          <w:tcPr>
            <w:tcW w:w="1909" w:type="dxa"/>
          </w:tcPr>
          <w:p w:rsidR="000D0AB6" w:rsidRDefault="000D0AB6" w:rsidP="00EA3E43">
            <w:pPr>
              <w:rPr>
                <w:rFonts w:eastAsiaTheme="minorHAnsi"/>
                <w:szCs w:val="24"/>
              </w:rPr>
            </w:pPr>
            <w:r>
              <w:rPr>
                <w:rFonts w:eastAsiaTheme="minorHAnsi"/>
                <w:szCs w:val="24"/>
              </w:rPr>
              <w:t>≥110-115</w:t>
            </w:r>
          </w:p>
        </w:tc>
        <w:tc>
          <w:tcPr>
            <w:tcW w:w="1691" w:type="dxa"/>
          </w:tcPr>
          <w:p w:rsidR="000D0AB6" w:rsidRDefault="000D0AB6" w:rsidP="00EA3E43">
            <w:pPr>
              <w:rPr>
                <w:rFonts w:eastAsiaTheme="minorHAnsi"/>
                <w:szCs w:val="24"/>
              </w:rPr>
            </w:pPr>
            <w:r>
              <w:rPr>
                <w:rFonts w:eastAsiaTheme="minorHAnsi"/>
                <w:szCs w:val="24"/>
              </w:rPr>
              <w:t>10.0%</w:t>
            </w:r>
          </w:p>
        </w:tc>
      </w:tr>
      <w:tr w:rsidR="000D0AB6" w:rsidTr="007E51FF">
        <w:tc>
          <w:tcPr>
            <w:tcW w:w="1909" w:type="dxa"/>
          </w:tcPr>
          <w:p w:rsidR="000D0AB6" w:rsidRDefault="000D0AB6" w:rsidP="00EA3E43">
            <w:pPr>
              <w:rPr>
                <w:rFonts w:eastAsiaTheme="minorHAnsi"/>
                <w:szCs w:val="24"/>
              </w:rPr>
            </w:pPr>
            <w:r>
              <w:rPr>
                <w:rFonts w:eastAsiaTheme="minorHAnsi"/>
                <w:szCs w:val="24"/>
              </w:rPr>
              <w:t>≥115</w:t>
            </w:r>
          </w:p>
        </w:tc>
        <w:tc>
          <w:tcPr>
            <w:tcW w:w="1691" w:type="dxa"/>
          </w:tcPr>
          <w:p w:rsidR="000D0AB6" w:rsidRDefault="000D0AB6" w:rsidP="00EA3E43">
            <w:pPr>
              <w:rPr>
                <w:rFonts w:eastAsiaTheme="minorHAnsi"/>
                <w:szCs w:val="24"/>
              </w:rPr>
            </w:pPr>
            <w:r>
              <w:rPr>
                <w:rFonts w:eastAsiaTheme="minorHAnsi"/>
                <w:szCs w:val="24"/>
              </w:rPr>
              <w:t>13.0%</w:t>
            </w:r>
          </w:p>
        </w:tc>
      </w:tr>
    </w:tbl>
    <w:p w:rsidR="008F68C4" w:rsidRDefault="008F68C4" w:rsidP="00353972">
      <w:pPr>
        <w:spacing w:line="480" w:lineRule="auto"/>
        <w:ind w:firstLine="720"/>
        <w:rPr>
          <w:rFonts w:eastAsiaTheme="minorHAnsi"/>
          <w:szCs w:val="24"/>
        </w:rPr>
      </w:pPr>
    </w:p>
    <w:p w:rsidR="00EB62B1" w:rsidRDefault="000D0AB6" w:rsidP="00EA3E43">
      <w:pPr>
        <w:spacing w:line="480" w:lineRule="auto"/>
        <w:ind w:firstLine="720"/>
        <w:rPr>
          <w:rFonts w:eastAsiaTheme="minorHAnsi"/>
          <w:szCs w:val="24"/>
        </w:rPr>
      </w:pPr>
      <w:r>
        <w:rPr>
          <w:rFonts w:eastAsiaTheme="minorHAnsi"/>
          <w:szCs w:val="24"/>
        </w:rPr>
        <w:t xml:space="preserve">Under Duke’s incentive structure through 2015, Duke can charge customers </w:t>
      </w:r>
      <w:r w:rsidR="00EA3E43">
        <w:rPr>
          <w:rFonts w:eastAsiaTheme="minorHAnsi"/>
          <w:szCs w:val="24"/>
        </w:rPr>
        <w:t xml:space="preserve">up to 13% </w:t>
      </w:r>
      <w:r w:rsidR="00EA3E43" w:rsidRPr="00EA3E43">
        <w:rPr>
          <w:rFonts w:eastAsiaTheme="minorHAnsi"/>
          <w:szCs w:val="24"/>
        </w:rPr>
        <w:t>of the avoide</w:t>
      </w:r>
      <w:r w:rsidR="00EA3E43">
        <w:rPr>
          <w:rFonts w:eastAsiaTheme="minorHAnsi"/>
          <w:szCs w:val="24"/>
        </w:rPr>
        <w:t xml:space="preserve">d energy and capacity costs for </w:t>
      </w:r>
      <w:r w:rsidR="00EA3E43" w:rsidRPr="00EA3E43">
        <w:rPr>
          <w:rFonts w:eastAsiaTheme="minorHAnsi"/>
          <w:szCs w:val="24"/>
        </w:rPr>
        <w:t xml:space="preserve">savings (minus utility </w:t>
      </w:r>
      <w:r w:rsidR="003D1EE1">
        <w:rPr>
          <w:rFonts w:eastAsiaTheme="minorHAnsi"/>
          <w:szCs w:val="24"/>
        </w:rPr>
        <w:t>program costs) if they save 115</w:t>
      </w:r>
      <w:r w:rsidR="00E8501A">
        <w:rPr>
          <w:rFonts w:eastAsiaTheme="minorHAnsi"/>
          <w:szCs w:val="24"/>
        </w:rPr>
        <w:t xml:space="preserve">% </w:t>
      </w:r>
      <w:r w:rsidR="00EA3E43" w:rsidRPr="00EA3E43">
        <w:rPr>
          <w:rFonts w:eastAsiaTheme="minorHAnsi"/>
          <w:szCs w:val="24"/>
        </w:rPr>
        <w:t>of the statutory</w:t>
      </w:r>
      <w:r w:rsidR="00EA3E43">
        <w:rPr>
          <w:rFonts w:eastAsiaTheme="minorHAnsi"/>
          <w:szCs w:val="24"/>
        </w:rPr>
        <w:t xml:space="preserve"> </w:t>
      </w:r>
      <w:r w:rsidR="00EA3E43" w:rsidRPr="00EA3E43">
        <w:rPr>
          <w:rFonts w:eastAsiaTheme="minorHAnsi"/>
          <w:szCs w:val="24"/>
        </w:rPr>
        <w:t>benchmark</w:t>
      </w:r>
      <w:r w:rsidR="00EB62B1">
        <w:rPr>
          <w:rFonts w:eastAsiaTheme="minorHAnsi"/>
          <w:szCs w:val="24"/>
        </w:rPr>
        <w:t>.</w:t>
      </w:r>
      <w:r w:rsidR="00E8501A">
        <w:rPr>
          <w:rFonts w:eastAsiaTheme="minorHAnsi"/>
          <w:szCs w:val="24"/>
        </w:rPr>
        <w:t xml:space="preserve"> </w:t>
      </w:r>
      <w:r w:rsidR="00EB62B1">
        <w:rPr>
          <w:rFonts w:eastAsiaTheme="minorHAnsi"/>
          <w:szCs w:val="24"/>
        </w:rPr>
        <w:t>Bu</w:t>
      </w:r>
      <w:r w:rsidR="000B78B3">
        <w:rPr>
          <w:rFonts w:eastAsiaTheme="minorHAnsi"/>
          <w:szCs w:val="24"/>
        </w:rPr>
        <w:t>t</w:t>
      </w:r>
      <w:r w:rsidR="007E51FF">
        <w:rPr>
          <w:rFonts w:eastAsiaTheme="minorHAnsi"/>
          <w:szCs w:val="24"/>
        </w:rPr>
        <w:t xml:space="preserve"> </w:t>
      </w:r>
      <w:r w:rsidR="005B4272">
        <w:rPr>
          <w:rFonts w:eastAsiaTheme="minorHAnsi"/>
          <w:szCs w:val="24"/>
        </w:rPr>
        <w:t>the structure has no</w:t>
      </w:r>
      <w:r>
        <w:rPr>
          <w:rFonts w:eastAsiaTheme="minorHAnsi"/>
          <w:szCs w:val="24"/>
        </w:rPr>
        <w:t xml:space="preserve"> hard dollar cap.</w:t>
      </w:r>
      <w:r w:rsidR="005B4272">
        <w:rPr>
          <w:rFonts w:eastAsiaTheme="minorHAnsi"/>
          <w:szCs w:val="24"/>
        </w:rPr>
        <w:t xml:space="preserve"> </w:t>
      </w:r>
    </w:p>
    <w:p w:rsidR="00265638" w:rsidRDefault="00D70E02" w:rsidP="00EA3E43">
      <w:pPr>
        <w:spacing w:line="480" w:lineRule="auto"/>
        <w:ind w:firstLine="720"/>
        <w:rPr>
          <w:rFonts w:eastAsiaTheme="minorHAnsi"/>
          <w:szCs w:val="24"/>
        </w:rPr>
      </w:pPr>
      <w:r>
        <w:rPr>
          <w:rFonts w:eastAsiaTheme="minorHAnsi"/>
          <w:szCs w:val="24"/>
        </w:rPr>
        <w:t>U</w:t>
      </w:r>
      <w:r w:rsidR="005B4272">
        <w:rPr>
          <w:rFonts w:eastAsiaTheme="minorHAnsi"/>
          <w:szCs w:val="24"/>
        </w:rPr>
        <w:t xml:space="preserve">nder OCC’s recommendation, the maximum shared savings </w:t>
      </w:r>
      <w:r w:rsidR="00EB62B1">
        <w:rPr>
          <w:rFonts w:eastAsiaTheme="minorHAnsi"/>
          <w:szCs w:val="24"/>
        </w:rPr>
        <w:t xml:space="preserve">customers would pay to </w:t>
      </w:r>
      <w:r w:rsidR="005B4272">
        <w:rPr>
          <w:rFonts w:eastAsiaTheme="minorHAnsi"/>
          <w:szCs w:val="24"/>
        </w:rPr>
        <w:t>the Utility would be 13</w:t>
      </w:r>
      <w:r w:rsidR="00E8501A">
        <w:rPr>
          <w:rFonts w:eastAsiaTheme="minorHAnsi"/>
          <w:szCs w:val="24"/>
        </w:rPr>
        <w:t xml:space="preserve">% </w:t>
      </w:r>
      <w:r w:rsidR="005B4272">
        <w:rPr>
          <w:rFonts w:eastAsiaTheme="minorHAnsi"/>
          <w:szCs w:val="24"/>
        </w:rPr>
        <w:t>of Duke’s prudent program spending.</w:t>
      </w:r>
      <w:r w:rsidR="005B4272" w:rsidRPr="005B4272">
        <w:rPr>
          <w:rFonts w:eastAsiaTheme="minorHAnsi"/>
          <w:szCs w:val="24"/>
        </w:rPr>
        <w:t xml:space="preserve"> </w:t>
      </w:r>
      <w:r w:rsidR="005B4272">
        <w:rPr>
          <w:rFonts w:eastAsiaTheme="minorHAnsi"/>
          <w:szCs w:val="24"/>
        </w:rPr>
        <w:t>For example, in Duke’s last rider filing, the Utility projected that 2014 program costs would be $31.3 million.</w:t>
      </w:r>
      <w:r w:rsidR="005B4272">
        <w:rPr>
          <w:rStyle w:val="FootnoteReference"/>
          <w:rFonts w:eastAsiaTheme="minorHAnsi"/>
          <w:szCs w:val="24"/>
        </w:rPr>
        <w:footnoteReference w:id="19"/>
      </w:r>
      <w:r>
        <w:rPr>
          <w:rFonts w:eastAsiaTheme="minorHAnsi"/>
          <w:szCs w:val="24"/>
        </w:rPr>
        <w:t xml:space="preserve"> Under OCC’s recommendation, the maximum amount Duke could charge customers for shared savings would be $4</w:t>
      </w:r>
      <w:r w:rsidR="00AF6959">
        <w:rPr>
          <w:rFonts w:eastAsiaTheme="minorHAnsi"/>
          <w:szCs w:val="24"/>
        </w:rPr>
        <w:t>.1</w:t>
      </w:r>
      <w:r>
        <w:rPr>
          <w:rFonts w:eastAsiaTheme="minorHAnsi"/>
          <w:szCs w:val="24"/>
        </w:rPr>
        <w:t xml:space="preserve"> million</w:t>
      </w:r>
      <w:r w:rsidR="00AF6959">
        <w:rPr>
          <w:rFonts w:eastAsiaTheme="minorHAnsi"/>
          <w:szCs w:val="24"/>
        </w:rPr>
        <w:t xml:space="preserve"> ($31.3 million x 13</w:t>
      </w:r>
      <w:r w:rsidR="00A955D5">
        <w:rPr>
          <w:rFonts w:eastAsiaTheme="minorHAnsi"/>
          <w:szCs w:val="24"/>
        </w:rPr>
        <w:t>%</w:t>
      </w:r>
      <w:r w:rsidR="00AF6959">
        <w:rPr>
          <w:rFonts w:eastAsiaTheme="minorHAnsi"/>
          <w:szCs w:val="24"/>
        </w:rPr>
        <w:t>)</w:t>
      </w:r>
      <w:r>
        <w:rPr>
          <w:rFonts w:eastAsiaTheme="minorHAnsi"/>
          <w:szCs w:val="24"/>
        </w:rPr>
        <w:t>.</w:t>
      </w:r>
      <w:r w:rsidR="005B4272">
        <w:rPr>
          <w:rFonts w:eastAsiaTheme="minorHAnsi"/>
          <w:szCs w:val="24"/>
        </w:rPr>
        <w:t xml:space="preserve"> </w:t>
      </w:r>
      <w:r w:rsidR="00780AC5">
        <w:rPr>
          <w:rFonts w:eastAsiaTheme="minorHAnsi"/>
          <w:szCs w:val="24"/>
        </w:rPr>
        <w:t>Similarly, Duke projected in Case No. 13-341-EL-POR that its program costs for 2016 will be approximately $36 million. Thus, the hard dollar cap would be</w:t>
      </w:r>
      <w:r w:rsidR="00884C26">
        <w:rPr>
          <w:rFonts w:eastAsiaTheme="minorHAnsi"/>
          <w:szCs w:val="24"/>
        </w:rPr>
        <w:t xml:space="preserve"> approximately</w:t>
      </w:r>
      <w:r w:rsidR="00780AC5">
        <w:rPr>
          <w:rFonts w:eastAsiaTheme="minorHAnsi"/>
          <w:szCs w:val="24"/>
        </w:rPr>
        <w:t xml:space="preserve"> $4.</w:t>
      </w:r>
      <w:r w:rsidR="00AF6959">
        <w:rPr>
          <w:rFonts w:eastAsiaTheme="minorHAnsi"/>
          <w:szCs w:val="24"/>
        </w:rPr>
        <w:t>7</w:t>
      </w:r>
      <w:r w:rsidR="00780AC5">
        <w:rPr>
          <w:rFonts w:eastAsiaTheme="minorHAnsi"/>
          <w:szCs w:val="24"/>
        </w:rPr>
        <w:t xml:space="preserve"> million</w:t>
      </w:r>
      <w:r w:rsidR="00AF6959">
        <w:rPr>
          <w:rFonts w:eastAsiaTheme="minorHAnsi"/>
          <w:szCs w:val="24"/>
        </w:rPr>
        <w:t xml:space="preserve"> ($36 million x 13</w:t>
      </w:r>
      <w:r w:rsidR="00A955D5">
        <w:rPr>
          <w:rFonts w:eastAsiaTheme="minorHAnsi"/>
          <w:szCs w:val="24"/>
        </w:rPr>
        <w:t>%</w:t>
      </w:r>
      <w:r w:rsidR="00AF6959">
        <w:rPr>
          <w:rFonts w:eastAsiaTheme="minorHAnsi"/>
          <w:szCs w:val="24"/>
        </w:rPr>
        <w:t>)</w:t>
      </w:r>
      <w:r w:rsidR="00780AC5">
        <w:rPr>
          <w:rFonts w:eastAsiaTheme="minorHAnsi"/>
          <w:szCs w:val="24"/>
        </w:rPr>
        <w:t>.</w:t>
      </w:r>
      <w:r w:rsidR="00780AC5">
        <w:rPr>
          <w:rStyle w:val="FootnoteReference"/>
          <w:rFonts w:eastAsiaTheme="minorHAnsi"/>
          <w:szCs w:val="24"/>
        </w:rPr>
        <w:footnoteReference w:id="20"/>
      </w:r>
    </w:p>
    <w:p w:rsidR="0046484A" w:rsidRDefault="0046484A" w:rsidP="00353972">
      <w:pPr>
        <w:spacing w:line="480" w:lineRule="auto"/>
        <w:ind w:firstLine="720"/>
        <w:rPr>
          <w:rFonts w:eastAsiaTheme="minorHAnsi"/>
          <w:szCs w:val="24"/>
        </w:rPr>
      </w:pPr>
      <w:r>
        <w:rPr>
          <w:rFonts w:eastAsiaTheme="minorHAnsi"/>
          <w:szCs w:val="24"/>
        </w:rPr>
        <w:t xml:space="preserve">Duke touts its success with its current energy efficiency portfolio </w:t>
      </w:r>
      <w:r w:rsidR="00AA528B">
        <w:rPr>
          <w:rFonts w:eastAsiaTheme="minorHAnsi"/>
          <w:szCs w:val="24"/>
        </w:rPr>
        <w:t>as support for its energy efficiency mechanism continuing without a cap in 2016.</w:t>
      </w:r>
      <w:r w:rsidR="00AA528B">
        <w:rPr>
          <w:rStyle w:val="FootnoteReference"/>
          <w:rFonts w:eastAsiaTheme="minorHAnsi"/>
          <w:szCs w:val="24"/>
        </w:rPr>
        <w:footnoteReference w:id="21"/>
      </w:r>
      <w:r w:rsidR="00AA528B">
        <w:rPr>
          <w:rFonts w:eastAsiaTheme="minorHAnsi"/>
          <w:szCs w:val="24"/>
        </w:rPr>
        <w:t xml:space="preserve"> But in 2013, Duke only met the annual mandates for energy efficiency because it used prior years’ banked energy efficiency </w:t>
      </w:r>
      <w:r w:rsidR="00656C25">
        <w:rPr>
          <w:rFonts w:eastAsiaTheme="minorHAnsi"/>
          <w:szCs w:val="24"/>
        </w:rPr>
        <w:t>reductions</w:t>
      </w:r>
      <w:r w:rsidR="00AA528B">
        <w:rPr>
          <w:rFonts w:eastAsiaTheme="minorHAnsi"/>
          <w:szCs w:val="24"/>
        </w:rPr>
        <w:t>.</w:t>
      </w:r>
      <w:r w:rsidR="00AA528B">
        <w:rPr>
          <w:rStyle w:val="FootnoteReference"/>
          <w:rFonts w:eastAsiaTheme="minorHAnsi"/>
          <w:szCs w:val="24"/>
        </w:rPr>
        <w:footnoteReference w:id="22"/>
      </w:r>
      <w:r w:rsidR="00AA528B">
        <w:rPr>
          <w:rFonts w:eastAsiaTheme="minorHAnsi"/>
          <w:szCs w:val="24"/>
        </w:rPr>
        <w:t xml:space="preserve"> </w:t>
      </w:r>
      <w:r w:rsidR="003D1EE1">
        <w:rPr>
          <w:rFonts w:eastAsiaTheme="minorHAnsi"/>
          <w:szCs w:val="24"/>
        </w:rPr>
        <w:t xml:space="preserve">Using banked savings means that Duke </w:t>
      </w:r>
      <w:r w:rsidR="003D1EE1">
        <w:rPr>
          <w:szCs w:val="24"/>
        </w:rPr>
        <w:t>uses energy efficiency reductions from past years to charge its customers on a going forward basis for shared savings.</w:t>
      </w:r>
      <w:r w:rsidR="003D1EE1">
        <w:rPr>
          <w:rFonts w:eastAsiaTheme="minorHAnsi"/>
          <w:szCs w:val="24"/>
        </w:rPr>
        <w:t xml:space="preserve"> </w:t>
      </w:r>
      <w:r w:rsidR="00AA528B">
        <w:rPr>
          <w:rFonts w:eastAsiaTheme="minorHAnsi"/>
          <w:szCs w:val="24"/>
        </w:rPr>
        <w:t>After using the banke</w:t>
      </w:r>
      <w:r w:rsidR="003D1EE1">
        <w:rPr>
          <w:rFonts w:eastAsiaTheme="minorHAnsi"/>
          <w:szCs w:val="24"/>
        </w:rPr>
        <w:t xml:space="preserve">d savings for 2013, the Utility </w:t>
      </w:r>
      <w:r w:rsidR="00AA528B">
        <w:rPr>
          <w:rFonts w:eastAsiaTheme="minorHAnsi"/>
          <w:szCs w:val="24"/>
        </w:rPr>
        <w:t>“calculated an annual achievement of 116%,” which allowed Duke to charge customers for a 13% after tax shared savings incentive.</w:t>
      </w:r>
      <w:r w:rsidR="00AA528B">
        <w:rPr>
          <w:rStyle w:val="FootnoteReference"/>
          <w:rFonts w:eastAsiaTheme="minorHAnsi"/>
          <w:szCs w:val="24"/>
        </w:rPr>
        <w:footnoteReference w:id="23"/>
      </w:r>
      <w:r w:rsidR="00AA528B">
        <w:rPr>
          <w:rFonts w:eastAsiaTheme="minorHAnsi"/>
          <w:szCs w:val="24"/>
        </w:rPr>
        <w:t xml:space="preserve"> But for using “banked savings” the Utility would not have been able to charge customers for shared savings in 2013.</w:t>
      </w:r>
    </w:p>
    <w:p w:rsidR="00B55AB6" w:rsidRDefault="0072387C" w:rsidP="00353972">
      <w:pPr>
        <w:spacing w:line="480" w:lineRule="auto"/>
        <w:ind w:firstLine="720"/>
        <w:rPr>
          <w:rFonts w:eastAsiaTheme="minorHAnsi"/>
          <w:szCs w:val="24"/>
        </w:rPr>
      </w:pPr>
      <w:r>
        <w:rPr>
          <w:rFonts w:eastAsiaTheme="minorHAnsi"/>
          <w:szCs w:val="24"/>
        </w:rPr>
        <w:t xml:space="preserve">OCC’s recommended </w:t>
      </w:r>
      <w:r w:rsidR="00B55AB6">
        <w:rPr>
          <w:rFonts w:eastAsiaTheme="minorHAnsi"/>
          <w:szCs w:val="24"/>
        </w:rPr>
        <w:t xml:space="preserve">cap will serve as a </w:t>
      </w:r>
      <w:r w:rsidR="00656C25">
        <w:rPr>
          <w:rFonts w:eastAsiaTheme="minorHAnsi"/>
          <w:szCs w:val="24"/>
        </w:rPr>
        <w:t xml:space="preserve">necessary </w:t>
      </w:r>
      <w:r w:rsidR="00B55AB6">
        <w:rPr>
          <w:rFonts w:eastAsiaTheme="minorHAnsi"/>
          <w:szCs w:val="24"/>
        </w:rPr>
        <w:t>consume</w:t>
      </w:r>
      <w:r>
        <w:rPr>
          <w:rFonts w:eastAsiaTheme="minorHAnsi"/>
          <w:szCs w:val="24"/>
        </w:rPr>
        <w:t>r protection against excessive U</w:t>
      </w:r>
      <w:r w:rsidR="00B55AB6">
        <w:rPr>
          <w:rFonts w:eastAsiaTheme="minorHAnsi"/>
          <w:szCs w:val="24"/>
        </w:rPr>
        <w:t>tility incentive payments</w:t>
      </w:r>
      <w:r w:rsidR="009503EF">
        <w:rPr>
          <w:rFonts w:eastAsiaTheme="minorHAnsi"/>
          <w:szCs w:val="24"/>
        </w:rPr>
        <w:t>.</w:t>
      </w:r>
      <w:r w:rsidR="00D10E5E">
        <w:rPr>
          <w:rFonts w:eastAsiaTheme="minorHAnsi"/>
          <w:szCs w:val="24"/>
        </w:rPr>
        <w:t xml:space="preserve"> </w:t>
      </w:r>
      <w:r w:rsidR="009503EF">
        <w:rPr>
          <w:rFonts w:eastAsiaTheme="minorHAnsi"/>
          <w:szCs w:val="24"/>
        </w:rPr>
        <w:t xml:space="preserve">It </w:t>
      </w:r>
      <w:r w:rsidR="0063173A">
        <w:rPr>
          <w:rFonts w:eastAsiaTheme="minorHAnsi"/>
          <w:szCs w:val="24"/>
        </w:rPr>
        <w:t>is on par with nation</w:t>
      </w:r>
      <w:r w:rsidR="00D10E5E">
        <w:rPr>
          <w:rFonts w:eastAsiaTheme="minorHAnsi"/>
          <w:szCs w:val="24"/>
        </w:rPr>
        <w:t>wide precedent</w:t>
      </w:r>
      <w:r w:rsidR="003D1EE1">
        <w:rPr>
          <w:rFonts w:eastAsiaTheme="minorHAnsi"/>
          <w:szCs w:val="24"/>
        </w:rPr>
        <w:t xml:space="preserve"> (explained above)</w:t>
      </w:r>
      <w:r w:rsidR="00C80FE0">
        <w:rPr>
          <w:rFonts w:eastAsiaTheme="minorHAnsi"/>
          <w:szCs w:val="24"/>
        </w:rPr>
        <w:t xml:space="preserve"> and</w:t>
      </w:r>
      <w:r w:rsidR="009503EF" w:rsidRPr="009503EF">
        <w:rPr>
          <w:rFonts w:eastAsiaTheme="minorHAnsi"/>
          <w:szCs w:val="24"/>
        </w:rPr>
        <w:t xml:space="preserve"> </w:t>
      </w:r>
      <w:r w:rsidR="009503EF">
        <w:rPr>
          <w:rFonts w:eastAsiaTheme="minorHAnsi"/>
          <w:szCs w:val="24"/>
        </w:rPr>
        <w:t>should be implemented</w:t>
      </w:r>
      <w:r w:rsidR="00B55AB6">
        <w:rPr>
          <w:rFonts w:eastAsiaTheme="minorHAnsi"/>
          <w:szCs w:val="24"/>
        </w:rPr>
        <w:t>.</w:t>
      </w:r>
    </w:p>
    <w:p w:rsidR="0063173A" w:rsidRDefault="0063173A" w:rsidP="00F40DC6">
      <w:pPr>
        <w:pStyle w:val="Heading2"/>
        <w:rPr>
          <w:rFonts w:eastAsiaTheme="minorHAnsi"/>
        </w:rPr>
      </w:pPr>
      <w:bookmarkStart w:id="5" w:name="_Toc405545401"/>
      <w:r w:rsidRPr="002A69A1">
        <w:rPr>
          <w:rFonts w:eastAsiaTheme="minorHAnsi"/>
        </w:rPr>
        <w:t xml:space="preserve">The Significantly Excessive Earnings </w:t>
      </w:r>
      <w:r w:rsidR="002A69A1" w:rsidRPr="002A69A1">
        <w:rPr>
          <w:rFonts w:eastAsiaTheme="minorHAnsi"/>
        </w:rPr>
        <w:t xml:space="preserve">Test </w:t>
      </w:r>
      <w:r w:rsidR="00C80FE0">
        <w:rPr>
          <w:rFonts w:eastAsiaTheme="minorHAnsi"/>
        </w:rPr>
        <w:t>produces a</w:t>
      </w:r>
      <w:r w:rsidR="002A69A1" w:rsidRPr="002A69A1">
        <w:rPr>
          <w:rFonts w:eastAsiaTheme="minorHAnsi"/>
        </w:rPr>
        <w:t xml:space="preserve"> cap </w:t>
      </w:r>
      <w:r w:rsidR="00C80FE0">
        <w:rPr>
          <w:rFonts w:eastAsiaTheme="minorHAnsi"/>
        </w:rPr>
        <w:t>that is too expensive for customers with</w:t>
      </w:r>
      <w:r w:rsidR="002A69A1" w:rsidRPr="002A69A1">
        <w:rPr>
          <w:rFonts w:eastAsiaTheme="minorHAnsi"/>
        </w:rPr>
        <w:t xml:space="preserve"> a shared savings mechanism.</w:t>
      </w:r>
      <w:bookmarkEnd w:id="5"/>
    </w:p>
    <w:p w:rsidR="002B0C45" w:rsidRDefault="002A69A1" w:rsidP="0090384F">
      <w:pPr>
        <w:spacing w:line="480" w:lineRule="auto"/>
        <w:ind w:firstLine="720"/>
        <w:rPr>
          <w:rFonts w:eastAsiaTheme="minorHAnsi"/>
          <w:szCs w:val="24"/>
        </w:rPr>
      </w:pPr>
      <w:r w:rsidRPr="002A69A1">
        <w:rPr>
          <w:rFonts w:eastAsiaTheme="minorHAnsi"/>
          <w:szCs w:val="24"/>
        </w:rPr>
        <w:t xml:space="preserve">Duke </w:t>
      </w:r>
      <w:r>
        <w:rPr>
          <w:rFonts w:eastAsiaTheme="minorHAnsi"/>
          <w:szCs w:val="24"/>
        </w:rPr>
        <w:t xml:space="preserve">supports the </w:t>
      </w:r>
      <w:r w:rsidR="0090384F">
        <w:rPr>
          <w:rFonts w:eastAsiaTheme="minorHAnsi"/>
          <w:szCs w:val="24"/>
        </w:rPr>
        <w:t xml:space="preserve">continued </w:t>
      </w:r>
      <w:r>
        <w:rPr>
          <w:rFonts w:eastAsiaTheme="minorHAnsi"/>
          <w:szCs w:val="24"/>
        </w:rPr>
        <w:t xml:space="preserve">use of </w:t>
      </w:r>
      <w:r w:rsidR="00C80FE0">
        <w:rPr>
          <w:rFonts w:eastAsiaTheme="minorHAnsi"/>
          <w:szCs w:val="24"/>
        </w:rPr>
        <w:t xml:space="preserve">its potential for unlimited earnings </w:t>
      </w:r>
      <w:r w:rsidR="0090384F">
        <w:rPr>
          <w:rFonts w:eastAsiaTheme="minorHAnsi"/>
          <w:szCs w:val="24"/>
        </w:rPr>
        <w:t>in 2016</w:t>
      </w:r>
      <w:r>
        <w:rPr>
          <w:rFonts w:eastAsiaTheme="minorHAnsi"/>
          <w:szCs w:val="24"/>
        </w:rPr>
        <w:t xml:space="preserve"> by pointing out that “[i]n the two years that [Duke] has been operating its approved shared savings incentive, [Duke]’s earnings have not been found to be excessive [under the Significantly Excessive Earnings Test].”</w:t>
      </w:r>
      <w:r>
        <w:rPr>
          <w:rStyle w:val="FootnoteReference"/>
          <w:rFonts w:eastAsiaTheme="minorHAnsi"/>
          <w:szCs w:val="24"/>
        </w:rPr>
        <w:footnoteReference w:id="24"/>
      </w:r>
      <w:r>
        <w:rPr>
          <w:rFonts w:eastAsiaTheme="minorHAnsi"/>
          <w:szCs w:val="24"/>
        </w:rPr>
        <w:t xml:space="preserve"> The Significantly Excessive Earnings Test (“SEET”) is</w:t>
      </w:r>
      <w:r w:rsidR="005A7FD3">
        <w:rPr>
          <w:rFonts w:eastAsiaTheme="minorHAnsi"/>
          <w:szCs w:val="24"/>
        </w:rPr>
        <w:t xml:space="preserve"> one of the primary </w:t>
      </w:r>
      <w:r>
        <w:rPr>
          <w:rFonts w:eastAsiaTheme="minorHAnsi"/>
          <w:szCs w:val="24"/>
        </w:rPr>
        <w:t xml:space="preserve">consumer protection </w:t>
      </w:r>
      <w:r w:rsidR="0090384F">
        <w:rPr>
          <w:rFonts w:eastAsiaTheme="minorHAnsi"/>
          <w:szCs w:val="24"/>
        </w:rPr>
        <w:t>mechanism</w:t>
      </w:r>
      <w:r w:rsidR="005A7FD3">
        <w:rPr>
          <w:rFonts w:eastAsiaTheme="minorHAnsi"/>
          <w:szCs w:val="24"/>
        </w:rPr>
        <w:t>s built into the law</w:t>
      </w:r>
      <w:r w:rsidR="00A955D5">
        <w:rPr>
          <w:rFonts w:eastAsiaTheme="minorHAnsi"/>
          <w:szCs w:val="24"/>
        </w:rPr>
        <w:t xml:space="preserve">. </w:t>
      </w:r>
      <w:r>
        <w:rPr>
          <w:rFonts w:eastAsiaTheme="minorHAnsi"/>
          <w:szCs w:val="24"/>
        </w:rPr>
        <w:t xml:space="preserve">In Senate Bill 221 (“S.B. 221”) </w:t>
      </w:r>
      <w:r w:rsidR="00065FE3">
        <w:rPr>
          <w:rFonts w:eastAsiaTheme="minorHAnsi"/>
          <w:szCs w:val="24"/>
        </w:rPr>
        <w:t>t</w:t>
      </w:r>
      <w:r>
        <w:rPr>
          <w:rFonts w:eastAsiaTheme="minorHAnsi"/>
          <w:szCs w:val="24"/>
        </w:rPr>
        <w:t xml:space="preserve">he General Assembly determined that the PUCO must protect Ohio customers by requiring electric distribution utilities to return to customers </w:t>
      </w:r>
      <w:r w:rsidR="005A7FD3">
        <w:rPr>
          <w:rFonts w:eastAsiaTheme="minorHAnsi"/>
          <w:szCs w:val="24"/>
        </w:rPr>
        <w:t xml:space="preserve">earnings that are </w:t>
      </w:r>
      <w:r w:rsidR="003D1EE1">
        <w:rPr>
          <w:rFonts w:eastAsiaTheme="minorHAnsi"/>
          <w:szCs w:val="24"/>
        </w:rPr>
        <w:t>significantly excessive (unfortunately, the law allows the utilities to collect excessive profits from customers). E</w:t>
      </w:r>
      <w:r w:rsidR="00E8501A">
        <w:rPr>
          <w:rFonts w:eastAsiaTheme="minorHAnsi"/>
          <w:szCs w:val="24"/>
        </w:rPr>
        <w:t>xcessive</w:t>
      </w:r>
      <w:r w:rsidR="005A7FD3">
        <w:rPr>
          <w:rFonts w:eastAsiaTheme="minorHAnsi"/>
          <w:szCs w:val="24"/>
        </w:rPr>
        <w:t xml:space="preserve"> earnings by a utility may be retained by the utility.</w:t>
      </w:r>
      <w:r>
        <w:rPr>
          <w:rStyle w:val="FootnoteReference"/>
          <w:rFonts w:eastAsiaTheme="minorHAnsi"/>
          <w:szCs w:val="24"/>
        </w:rPr>
        <w:footnoteReference w:id="25"/>
      </w:r>
      <w:r w:rsidR="0090384F">
        <w:rPr>
          <w:rFonts w:eastAsiaTheme="minorHAnsi"/>
          <w:szCs w:val="24"/>
        </w:rPr>
        <w:t xml:space="preserve"> </w:t>
      </w:r>
    </w:p>
    <w:p w:rsidR="0090384F" w:rsidRDefault="002B0C45" w:rsidP="0090384F">
      <w:pPr>
        <w:spacing w:line="480" w:lineRule="auto"/>
        <w:ind w:firstLine="720"/>
        <w:rPr>
          <w:rFonts w:eastAsiaTheme="minorHAnsi"/>
          <w:szCs w:val="24"/>
        </w:rPr>
      </w:pPr>
      <w:r>
        <w:rPr>
          <w:rFonts w:eastAsiaTheme="minorHAnsi"/>
          <w:szCs w:val="24"/>
        </w:rPr>
        <w:t>T</w:t>
      </w:r>
      <w:r w:rsidR="0090384F">
        <w:rPr>
          <w:rFonts w:eastAsiaTheme="minorHAnsi"/>
          <w:szCs w:val="24"/>
        </w:rPr>
        <w:t xml:space="preserve">he fact that Duke’s </w:t>
      </w:r>
      <w:r w:rsidR="00C02640">
        <w:rPr>
          <w:rFonts w:eastAsiaTheme="minorHAnsi"/>
          <w:szCs w:val="24"/>
        </w:rPr>
        <w:t xml:space="preserve">total </w:t>
      </w:r>
      <w:r w:rsidR="0090384F">
        <w:rPr>
          <w:rFonts w:eastAsiaTheme="minorHAnsi"/>
          <w:szCs w:val="24"/>
        </w:rPr>
        <w:t>earnings were not significantly excessive in 2012 and 2013 does not justify using the SEET as a cap for an energy efficiency shared savings mechanism. An uncapped shared savings award could yield excessive charges to customers for energy efficiency even if Duke’s total earnings are not significantly excessive. No Ohio utility uses the SEET as a cap for shared savings</w:t>
      </w:r>
      <w:r w:rsidR="004F7821">
        <w:rPr>
          <w:rFonts w:eastAsiaTheme="minorHAnsi"/>
          <w:szCs w:val="24"/>
        </w:rPr>
        <w:t xml:space="preserve">. </w:t>
      </w:r>
      <w:r>
        <w:rPr>
          <w:rFonts w:eastAsiaTheme="minorHAnsi"/>
          <w:szCs w:val="24"/>
        </w:rPr>
        <w:t>Duke should not be the first</w:t>
      </w:r>
      <w:r w:rsidR="0090384F">
        <w:rPr>
          <w:rFonts w:eastAsiaTheme="minorHAnsi"/>
          <w:szCs w:val="24"/>
        </w:rPr>
        <w:t xml:space="preserve">. </w:t>
      </w:r>
    </w:p>
    <w:p w:rsidR="00422753" w:rsidRPr="00422753" w:rsidRDefault="00422753" w:rsidP="00F40DC6">
      <w:pPr>
        <w:pStyle w:val="Heading2"/>
      </w:pPr>
      <w:bookmarkStart w:id="6" w:name="_Toc405545402"/>
      <w:r w:rsidRPr="00422753">
        <w:t>Duke should be limited to charging customers for shared savings on only the efficiency savings that exceed the statutory benchmark.</w:t>
      </w:r>
      <w:bookmarkEnd w:id="6"/>
    </w:p>
    <w:p w:rsidR="00422753" w:rsidRPr="00422753" w:rsidRDefault="00265638" w:rsidP="00463470">
      <w:pPr>
        <w:spacing w:line="480" w:lineRule="auto"/>
        <w:ind w:firstLine="720"/>
        <w:rPr>
          <w:szCs w:val="24"/>
        </w:rPr>
      </w:pPr>
      <w:r>
        <w:rPr>
          <w:szCs w:val="24"/>
        </w:rPr>
        <w:t xml:space="preserve">Duke should not be permitted to charge customers for </w:t>
      </w:r>
      <w:r w:rsidR="00AF6959">
        <w:rPr>
          <w:szCs w:val="24"/>
        </w:rPr>
        <w:t xml:space="preserve">shared savings when </w:t>
      </w:r>
      <w:r>
        <w:rPr>
          <w:szCs w:val="24"/>
        </w:rPr>
        <w:t>energy efficiency</w:t>
      </w:r>
      <w:r w:rsidR="00AF6959">
        <w:rPr>
          <w:szCs w:val="24"/>
        </w:rPr>
        <w:t xml:space="preserve"> reductions are</w:t>
      </w:r>
      <w:r>
        <w:rPr>
          <w:szCs w:val="24"/>
        </w:rPr>
        <w:t xml:space="preserve"> below the statutory benchmark.</w:t>
      </w:r>
      <w:r w:rsidR="00EE5AC8">
        <w:rPr>
          <w:szCs w:val="24"/>
        </w:rPr>
        <w:t xml:space="preserve"> </w:t>
      </w:r>
      <w:r w:rsidR="009005B7">
        <w:rPr>
          <w:szCs w:val="24"/>
        </w:rPr>
        <w:t>I</w:t>
      </w:r>
      <w:r w:rsidR="00463470" w:rsidRPr="00463470">
        <w:rPr>
          <w:szCs w:val="24"/>
        </w:rPr>
        <w:t>ncentives</w:t>
      </w:r>
      <w:r w:rsidR="00812174">
        <w:rPr>
          <w:szCs w:val="24"/>
        </w:rPr>
        <w:t xml:space="preserve"> (payments from customers)</w:t>
      </w:r>
      <w:r w:rsidR="00463470" w:rsidRPr="00463470">
        <w:rPr>
          <w:szCs w:val="24"/>
        </w:rPr>
        <w:t xml:space="preserve"> </w:t>
      </w:r>
      <w:r w:rsidR="009005B7">
        <w:rPr>
          <w:szCs w:val="24"/>
        </w:rPr>
        <w:t xml:space="preserve">should </w:t>
      </w:r>
      <w:r w:rsidR="00463470" w:rsidRPr="00463470">
        <w:rPr>
          <w:szCs w:val="24"/>
        </w:rPr>
        <w:t>only be made available</w:t>
      </w:r>
      <w:r w:rsidR="00463470">
        <w:rPr>
          <w:szCs w:val="24"/>
        </w:rPr>
        <w:t xml:space="preserve"> for actual utility performance </w:t>
      </w:r>
      <w:r w:rsidR="00463470" w:rsidRPr="00463470">
        <w:rPr>
          <w:szCs w:val="24"/>
        </w:rPr>
        <w:t>that is demonstrated to have exceeded the statutory benchmarks.</w:t>
      </w:r>
      <w:r w:rsidR="002379C6">
        <w:rPr>
          <w:szCs w:val="24"/>
        </w:rPr>
        <w:t xml:space="preserve"> Incentive mechanisms should encourage innovation and motivate utilities to exceed statutory benchmarks.</w:t>
      </w:r>
      <w:r w:rsidR="00463470" w:rsidRPr="00463470">
        <w:rPr>
          <w:szCs w:val="24"/>
        </w:rPr>
        <w:t xml:space="preserve"> A utility should not be</w:t>
      </w:r>
      <w:r w:rsidR="00463470">
        <w:rPr>
          <w:szCs w:val="24"/>
        </w:rPr>
        <w:t xml:space="preserve"> </w:t>
      </w:r>
      <w:r w:rsidR="00463470" w:rsidRPr="00463470">
        <w:rPr>
          <w:szCs w:val="24"/>
        </w:rPr>
        <w:t>provided an incentive to comply with the law.</w:t>
      </w:r>
      <w:r w:rsidR="002A69A1">
        <w:rPr>
          <w:szCs w:val="24"/>
        </w:rPr>
        <w:t xml:space="preserve"> </w:t>
      </w:r>
      <w:r w:rsidR="00C02640">
        <w:rPr>
          <w:szCs w:val="24"/>
        </w:rPr>
        <w:t>Duke</w:t>
      </w:r>
      <w:r w:rsidR="00EA3E43">
        <w:rPr>
          <w:szCs w:val="24"/>
        </w:rPr>
        <w:t xml:space="preserve"> should only be allowed to charge customers for </w:t>
      </w:r>
      <w:r w:rsidR="00A405C1">
        <w:rPr>
          <w:szCs w:val="24"/>
        </w:rPr>
        <w:t xml:space="preserve">shared savings on the portions of </w:t>
      </w:r>
      <w:r w:rsidR="00EA3E43">
        <w:rPr>
          <w:szCs w:val="24"/>
        </w:rPr>
        <w:t xml:space="preserve">energy efficiency </w:t>
      </w:r>
      <w:r w:rsidR="00A405C1">
        <w:rPr>
          <w:szCs w:val="24"/>
        </w:rPr>
        <w:t xml:space="preserve">reductions that are </w:t>
      </w:r>
      <w:r w:rsidR="00EA3E43">
        <w:rPr>
          <w:szCs w:val="24"/>
        </w:rPr>
        <w:t>above the statutory benchmark.</w:t>
      </w:r>
    </w:p>
    <w:p w:rsidR="00422753" w:rsidRPr="000E5BC9" w:rsidRDefault="00422753" w:rsidP="00F40DC6">
      <w:pPr>
        <w:pStyle w:val="Heading2"/>
      </w:pPr>
      <w:bookmarkStart w:id="7" w:name="_Toc405545403"/>
      <w:r w:rsidRPr="000E5BC9">
        <w:t>Duke should not be permitted to use “banked” savings</w:t>
      </w:r>
      <w:r w:rsidR="002A69A1">
        <w:t xml:space="preserve"> from previous years</w:t>
      </w:r>
      <w:r w:rsidRPr="000E5BC9">
        <w:t xml:space="preserve"> to </w:t>
      </w:r>
      <w:r w:rsidR="0032137F">
        <w:t xml:space="preserve">make customers pay more </w:t>
      </w:r>
      <w:r w:rsidR="003D1EE1">
        <w:t>in</w:t>
      </w:r>
      <w:r w:rsidRPr="000E5BC9">
        <w:t xml:space="preserve"> 2016.</w:t>
      </w:r>
      <w:bookmarkEnd w:id="7"/>
    </w:p>
    <w:p w:rsidR="00422753" w:rsidRDefault="000E5BC9" w:rsidP="001F5839">
      <w:pPr>
        <w:pStyle w:val="ListParagraph"/>
        <w:spacing w:line="480" w:lineRule="auto"/>
        <w:ind w:left="0" w:firstLine="720"/>
        <w:rPr>
          <w:szCs w:val="24"/>
        </w:rPr>
      </w:pPr>
      <w:r>
        <w:rPr>
          <w:szCs w:val="24"/>
        </w:rPr>
        <w:t>Again, a shared savings incentive mechanism is a tool used by regulators to reward exemplary utility performance in delivering energy efficiency and peak demand reduction programs to its customers. It usually takes the form of a utility sharing in a portion of the net benefits created by the utility program. The net benefits are typically the avoided energy and capacity dollar savings minus the utility and individual customer costs of the programs implemented.</w:t>
      </w:r>
      <w:r w:rsidR="00463470">
        <w:rPr>
          <w:szCs w:val="24"/>
        </w:rPr>
        <w:t xml:space="preserve"> But Duke is currently using past (</w:t>
      </w:r>
      <w:r w:rsidR="00387082">
        <w:rPr>
          <w:szCs w:val="24"/>
        </w:rPr>
        <w:t xml:space="preserve">i.e., </w:t>
      </w:r>
      <w:r w:rsidR="00463470">
        <w:rPr>
          <w:szCs w:val="24"/>
        </w:rPr>
        <w:t>“banked”)</w:t>
      </w:r>
      <w:r w:rsidR="00656C25">
        <w:rPr>
          <w:szCs w:val="24"/>
        </w:rPr>
        <w:t xml:space="preserve"> </w:t>
      </w:r>
      <w:r w:rsidR="00A405C1">
        <w:rPr>
          <w:szCs w:val="24"/>
        </w:rPr>
        <w:t>energy efficiency reductions</w:t>
      </w:r>
      <w:r w:rsidR="00463470">
        <w:rPr>
          <w:szCs w:val="24"/>
        </w:rPr>
        <w:t xml:space="preserve"> to</w:t>
      </w:r>
      <w:r w:rsidR="00D124A0">
        <w:rPr>
          <w:szCs w:val="24"/>
        </w:rPr>
        <w:t xml:space="preserve"> </w:t>
      </w:r>
      <w:r w:rsidR="00463470">
        <w:rPr>
          <w:szCs w:val="24"/>
        </w:rPr>
        <w:t>charge</w:t>
      </w:r>
      <w:r w:rsidR="005A7FD3">
        <w:rPr>
          <w:szCs w:val="24"/>
        </w:rPr>
        <w:t xml:space="preserve"> its customers on a</w:t>
      </w:r>
      <w:r w:rsidR="00CC1169">
        <w:rPr>
          <w:szCs w:val="24"/>
        </w:rPr>
        <w:t xml:space="preserve"> </w:t>
      </w:r>
      <w:r w:rsidR="005A7FD3">
        <w:rPr>
          <w:szCs w:val="24"/>
        </w:rPr>
        <w:t xml:space="preserve">going forward basis for </w:t>
      </w:r>
      <w:r w:rsidR="00463470">
        <w:rPr>
          <w:szCs w:val="24"/>
        </w:rPr>
        <w:t>shared savings</w:t>
      </w:r>
      <w:r w:rsidR="005A7FD3">
        <w:rPr>
          <w:szCs w:val="24"/>
        </w:rPr>
        <w:t>.</w:t>
      </w:r>
      <w:r w:rsidR="0063173A">
        <w:rPr>
          <w:rStyle w:val="FootnoteReference"/>
          <w:szCs w:val="24"/>
        </w:rPr>
        <w:footnoteReference w:id="26"/>
      </w:r>
      <w:r w:rsidR="002943AC">
        <w:rPr>
          <w:szCs w:val="24"/>
        </w:rPr>
        <w:t xml:space="preserve"> Using banked savings to comply with the statutory benchmarks is one thing</w:t>
      </w:r>
      <w:r w:rsidR="00CC1169">
        <w:rPr>
          <w:szCs w:val="24"/>
        </w:rPr>
        <w:t xml:space="preserve"> (even if not necessarily a good thing for customers)</w:t>
      </w:r>
      <w:r w:rsidR="002943AC">
        <w:rPr>
          <w:szCs w:val="24"/>
        </w:rPr>
        <w:t xml:space="preserve">. But </w:t>
      </w:r>
      <w:r w:rsidR="00CC1169">
        <w:rPr>
          <w:szCs w:val="24"/>
        </w:rPr>
        <w:t xml:space="preserve">utility </w:t>
      </w:r>
      <w:r w:rsidR="002943AC">
        <w:rPr>
          <w:szCs w:val="24"/>
        </w:rPr>
        <w:t>u</w:t>
      </w:r>
      <w:r w:rsidR="00463470">
        <w:rPr>
          <w:szCs w:val="24"/>
        </w:rPr>
        <w:t>s</w:t>
      </w:r>
      <w:r w:rsidR="00CC1169">
        <w:rPr>
          <w:szCs w:val="24"/>
        </w:rPr>
        <w:t>e of</w:t>
      </w:r>
      <w:r w:rsidR="00463470">
        <w:rPr>
          <w:szCs w:val="24"/>
        </w:rPr>
        <w:t xml:space="preserve"> </w:t>
      </w:r>
      <w:r w:rsidR="0063173A">
        <w:rPr>
          <w:szCs w:val="24"/>
        </w:rPr>
        <w:t xml:space="preserve">banked </w:t>
      </w:r>
      <w:r w:rsidR="00463470">
        <w:rPr>
          <w:szCs w:val="24"/>
        </w:rPr>
        <w:t xml:space="preserve">savings from past years to </w:t>
      </w:r>
      <w:r w:rsidR="005A7FD3">
        <w:rPr>
          <w:szCs w:val="24"/>
        </w:rPr>
        <w:t xml:space="preserve">charge customers </w:t>
      </w:r>
      <w:r w:rsidR="00CC1169">
        <w:rPr>
          <w:szCs w:val="24"/>
        </w:rPr>
        <w:t xml:space="preserve">for shared savings </w:t>
      </w:r>
      <w:r w:rsidR="005A7FD3">
        <w:rPr>
          <w:szCs w:val="24"/>
        </w:rPr>
        <w:t xml:space="preserve">on a going forward basis </w:t>
      </w:r>
      <w:r w:rsidR="00C02640">
        <w:rPr>
          <w:szCs w:val="24"/>
        </w:rPr>
        <w:t>is contrary to the purpose of</w:t>
      </w:r>
      <w:r w:rsidR="00463470">
        <w:rPr>
          <w:szCs w:val="24"/>
        </w:rPr>
        <w:t xml:space="preserve"> an incentive. Shared savings incentives are performance incentives awarded for exceeding a meaningful annual savings benchmark.</w:t>
      </w:r>
      <w:r w:rsidR="005A7FD3">
        <w:rPr>
          <w:szCs w:val="24"/>
        </w:rPr>
        <w:t xml:space="preserve">  </w:t>
      </w:r>
      <w:r w:rsidR="00463470">
        <w:rPr>
          <w:szCs w:val="24"/>
        </w:rPr>
        <w:t xml:space="preserve"> </w:t>
      </w:r>
    </w:p>
    <w:p w:rsidR="00BC18DF" w:rsidRDefault="00BC18DF" w:rsidP="00BC18DF">
      <w:pPr>
        <w:pStyle w:val="ListParagraph"/>
        <w:spacing w:line="480" w:lineRule="auto"/>
        <w:ind w:left="0" w:firstLine="720"/>
        <w:rPr>
          <w:szCs w:val="24"/>
        </w:rPr>
      </w:pPr>
      <w:r>
        <w:rPr>
          <w:szCs w:val="24"/>
        </w:rPr>
        <w:t xml:space="preserve">The PUCO has previously held that for shared savings purposes, savings could only be counted in the year in which the savings were generated. Specifically, the PUCO found that Ohio Power Company could: </w:t>
      </w:r>
    </w:p>
    <w:p w:rsidR="00BC18DF" w:rsidRDefault="00BC18DF" w:rsidP="00681C7E">
      <w:pPr>
        <w:ind w:left="1440" w:right="720"/>
        <w:rPr>
          <w:szCs w:val="24"/>
        </w:rPr>
      </w:pPr>
      <w:r>
        <w:rPr>
          <w:szCs w:val="24"/>
        </w:rPr>
        <w:t>[</w:t>
      </w:r>
      <w:r w:rsidRPr="00BC18DF">
        <w:rPr>
          <w:szCs w:val="24"/>
        </w:rPr>
        <w:t>o]nly count savings for shared savings one time</w:t>
      </w:r>
      <w:r w:rsidRPr="00BC18DF">
        <w:rPr>
          <w:b/>
          <w:szCs w:val="24"/>
        </w:rPr>
        <w:t xml:space="preserve"> </w:t>
      </w:r>
      <w:r w:rsidRPr="00BC18DF">
        <w:rPr>
          <w:szCs w:val="24"/>
        </w:rPr>
        <w:t>(</w:t>
      </w:r>
      <w:r w:rsidRPr="00BC18DF">
        <w:rPr>
          <w:bCs/>
          <w:szCs w:val="24"/>
        </w:rPr>
        <w:t>meaning there is no double counting of shared savings</w:t>
      </w:r>
      <w:r w:rsidRPr="00BC18DF">
        <w:rPr>
          <w:szCs w:val="24"/>
        </w:rPr>
        <w:t>)</w:t>
      </w:r>
      <w:r w:rsidRPr="00BC18DF">
        <w:rPr>
          <w:b/>
          <w:szCs w:val="24"/>
        </w:rPr>
        <w:t xml:space="preserve"> </w:t>
      </w:r>
      <w:r w:rsidRPr="00D124A0">
        <w:rPr>
          <w:szCs w:val="24"/>
        </w:rPr>
        <w:t>and</w:t>
      </w:r>
      <w:r w:rsidRPr="00D124A0">
        <w:rPr>
          <w:b/>
          <w:szCs w:val="24"/>
        </w:rPr>
        <w:t xml:space="preserve"> in the year in which</w:t>
      </w:r>
      <w:r w:rsidRPr="00D124A0">
        <w:rPr>
          <w:b/>
          <w:bCs/>
          <w:szCs w:val="24"/>
        </w:rPr>
        <w:t xml:space="preserve"> </w:t>
      </w:r>
      <w:r w:rsidRPr="00D124A0">
        <w:rPr>
          <w:b/>
          <w:szCs w:val="24"/>
        </w:rPr>
        <w:t>the savings were generated.</w:t>
      </w:r>
      <w:r w:rsidRPr="00BC18DF">
        <w:rPr>
          <w:szCs w:val="24"/>
        </w:rPr>
        <w:t xml:space="preserve"> In a year in which previous years’</w:t>
      </w:r>
      <w:r>
        <w:rPr>
          <w:szCs w:val="24"/>
        </w:rPr>
        <w:t xml:space="preserve"> </w:t>
      </w:r>
      <w:r w:rsidRPr="00BC18DF">
        <w:rPr>
          <w:szCs w:val="24"/>
        </w:rPr>
        <w:t>over-compliance is used to comply with the benchmarks, shared</w:t>
      </w:r>
      <w:r>
        <w:rPr>
          <w:b/>
          <w:bCs/>
          <w:szCs w:val="24"/>
        </w:rPr>
        <w:t xml:space="preserve"> </w:t>
      </w:r>
      <w:r w:rsidRPr="00BC18DF">
        <w:rPr>
          <w:szCs w:val="24"/>
        </w:rPr>
        <w:t>savings shall be based only on impacts generated in the current</w:t>
      </w:r>
      <w:r>
        <w:rPr>
          <w:b/>
          <w:bCs/>
          <w:szCs w:val="24"/>
        </w:rPr>
        <w:t xml:space="preserve"> </w:t>
      </w:r>
      <w:r w:rsidRPr="00BC18DF">
        <w:rPr>
          <w:szCs w:val="24"/>
        </w:rPr>
        <w:t>year.</w:t>
      </w:r>
      <w:r>
        <w:rPr>
          <w:rStyle w:val="FootnoteReference"/>
          <w:szCs w:val="24"/>
        </w:rPr>
        <w:footnoteReference w:id="27"/>
      </w:r>
      <w:r w:rsidR="00D124A0">
        <w:rPr>
          <w:szCs w:val="24"/>
        </w:rPr>
        <w:t xml:space="preserve"> (Emphasis added).</w:t>
      </w:r>
    </w:p>
    <w:p w:rsidR="00AA528B" w:rsidRDefault="00AA528B" w:rsidP="00BC18DF">
      <w:pPr>
        <w:ind w:left="720" w:right="720"/>
        <w:rPr>
          <w:szCs w:val="24"/>
        </w:rPr>
      </w:pPr>
    </w:p>
    <w:p w:rsidR="00BC18DF" w:rsidRDefault="00BC18DF" w:rsidP="00A955D5">
      <w:pPr>
        <w:ind w:right="720"/>
        <w:rPr>
          <w:szCs w:val="24"/>
        </w:rPr>
      </w:pPr>
      <w:r>
        <w:rPr>
          <w:szCs w:val="24"/>
        </w:rPr>
        <w:t>This requirement should apply to Duke as well.</w:t>
      </w:r>
    </w:p>
    <w:p w:rsidR="00D70E02" w:rsidRDefault="00D70E02" w:rsidP="00BC18DF">
      <w:pPr>
        <w:ind w:left="720" w:right="720"/>
        <w:rPr>
          <w:szCs w:val="24"/>
        </w:rPr>
      </w:pPr>
    </w:p>
    <w:p w:rsidR="00D70E02" w:rsidRPr="000E5BC9" w:rsidRDefault="00D70E02" w:rsidP="00F40DC6">
      <w:pPr>
        <w:pStyle w:val="Heading2"/>
      </w:pPr>
      <w:bookmarkStart w:id="8" w:name="_Toc405545404"/>
      <w:r>
        <w:t>Duke should not be permitted to charge customers for a share of resource savings that did not occur.</w:t>
      </w:r>
      <w:bookmarkEnd w:id="8"/>
    </w:p>
    <w:p w:rsidR="00D70E02" w:rsidRDefault="00D70E02" w:rsidP="00CA06A5">
      <w:pPr>
        <w:spacing w:line="480" w:lineRule="auto"/>
        <w:ind w:right="720" w:firstLine="720"/>
        <w:rPr>
          <w:szCs w:val="24"/>
        </w:rPr>
      </w:pPr>
      <w:r>
        <w:rPr>
          <w:szCs w:val="24"/>
        </w:rPr>
        <w:t xml:space="preserve">Duke calculates shared savings as a percentage of the </w:t>
      </w:r>
      <w:r w:rsidR="00CA06A5">
        <w:rPr>
          <w:szCs w:val="24"/>
        </w:rPr>
        <w:t xml:space="preserve">total </w:t>
      </w:r>
      <w:r>
        <w:rPr>
          <w:szCs w:val="24"/>
        </w:rPr>
        <w:t xml:space="preserve">resource cost savings, and states that the </w:t>
      </w:r>
      <w:r w:rsidR="00CA06A5">
        <w:rPr>
          <w:szCs w:val="24"/>
        </w:rPr>
        <w:t>“</w:t>
      </w:r>
      <w:r>
        <w:rPr>
          <w:szCs w:val="24"/>
        </w:rPr>
        <w:t>...net present value of the system avoided costs associated with the energy and capacity achievements has been over 3.5 times the cost incurred to achieve the impacts.</w:t>
      </w:r>
      <w:r w:rsidR="00CA06A5">
        <w:rPr>
          <w:szCs w:val="24"/>
        </w:rPr>
        <w:t>”</w:t>
      </w:r>
      <w:r>
        <w:rPr>
          <w:rStyle w:val="FootnoteReference"/>
          <w:szCs w:val="24"/>
        </w:rPr>
        <w:footnoteReference w:id="28"/>
      </w:r>
    </w:p>
    <w:p w:rsidR="009D060C" w:rsidRDefault="00D70E02" w:rsidP="00D70E02">
      <w:pPr>
        <w:spacing w:line="480" w:lineRule="auto"/>
        <w:ind w:right="720" w:firstLine="720"/>
        <w:rPr>
          <w:szCs w:val="24"/>
        </w:rPr>
      </w:pPr>
      <w:r>
        <w:rPr>
          <w:szCs w:val="24"/>
        </w:rPr>
        <w:t>But not all of these sys</w:t>
      </w:r>
      <w:r w:rsidR="003D1EE1">
        <w:rPr>
          <w:szCs w:val="24"/>
        </w:rPr>
        <w:t>tem avoided costs have occurred. S</w:t>
      </w:r>
      <w:r>
        <w:rPr>
          <w:szCs w:val="24"/>
        </w:rPr>
        <w:t>pecifically, the system avoided costs associated with capacity</w:t>
      </w:r>
      <w:r w:rsidR="003D1EE1">
        <w:rPr>
          <w:szCs w:val="24"/>
        </w:rPr>
        <w:t xml:space="preserve"> have not occurred</w:t>
      </w:r>
      <w:r>
        <w:rPr>
          <w:szCs w:val="24"/>
        </w:rPr>
        <w:t xml:space="preserve">. For example, the cost of capacity for Ohio consumers, and thus any cost savings, is </w:t>
      </w:r>
      <w:r w:rsidR="00C02640">
        <w:rPr>
          <w:szCs w:val="24"/>
        </w:rPr>
        <w:t>established</w:t>
      </w:r>
      <w:r>
        <w:rPr>
          <w:szCs w:val="24"/>
        </w:rPr>
        <w:t xml:space="preserve"> in</w:t>
      </w:r>
      <w:r w:rsidR="00C02640">
        <w:rPr>
          <w:szCs w:val="24"/>
        </w:rPr>
        <w:t xml:space="preserve"> the</w:t>
      </w:r>
      <w:r>
        <w:rPr>
          <w:szCs w:val="24"/>
        </w:rPr>
        <w:t xml:space="preserve"> Base Residual Auctions </w:t>
      </w:r>
      <w:r w:rsidR="00A405C1">
        <w:rPr>
          <w:szCs w:val="24"/>
        </w:rPr>
        <w:t xml:space="preserve">(“BRA”) </w:t>
      </w:r>
      <w:r>
        <w:rPr>
          <w:szCs w:val="24"/>
        </w:rPr>
        <w:t>and Incremental Auctions as part of PJM’s Reliability Pricing Model (</w:t>
      </w:r>
      <w:r w:rsidR="00656C25">
        <w:rPr>
          <w:szCs w:val="24"/>
        </w:rPr>
        <w:t>“</w:t>
      </w:r>
      <w:r>
        <w:rPr>
          <w:szCs w:val="24"/>
        </w:rPr>
        <w:t>RPM</w:t>
      </w:r>
      <w:r w:rsidR="00656C25">
        <w:rPr>
          <w:szCs w:val="24"/>
        </w:rPr>
        <w:t>”</w:t>
      </w:r>
      <w:r>
        <w:rPr>
          <w:szCs w:val="24"/>
        </w:rPr>
        <w:t>). In order for the system</w:t>
      </w:r>
      <w:r w:rsidR="009D060C">
        <w:rPr>
          <w:szCs w:val="24"/>
        </w:rPr>
        <w:t>-</w:t>
      </w:r>
      <w:r>
        <w:rPr>
          <w:szCs w:val="24"/>
        </w:rPr>
        <w:t xml:space="preserve">avoided costs to accrue to Ohio consumers, the full capacity value of Duke’s energy-efficiency and peak-demand reduction portfolio would need to have been </w:t>
      </w:r>
      <w:r w:rsidR="00656C25">
        <w:rPr>
          <w:szCs w:val="24"/>
        </w:rPr>
        <w:t xml:space="preserve">offered </w:t>
      </w:r>
      <w:r>
        <w:rPr>
          <w:szCs w:val="24"/>
        </w:rPr>
        <w:t xml:space="preserve">into the auctions. </w:t>
      </w:r>
    </w:p>
    <w:p w:rsidR="00D70E02" w:rsidRDefault="00D70E02" w:rsidP="00D70E02">
      <w:pPr>
        <w:spacing w:line="480" w:lineRule="auto"/>
        <w:ind w:right="720" w:firstLine="720"/>
        <w:rPr>
          <w:szCs w:val="24"/>
        </w:rPr>
      </w:pPr>
      <w:r>
        <w:rPr>
          <w:szCs w:val="24"/>
        </w:rPr>
        <w:t xml:space="preserve">Duke did not </w:t>
      </w:r>
      <w:r w:rsidR="00656C25">
        <w:rPr>
          <w:szCs w:val="24"/>
        </w:rPr>
        <w:t xml:space="preserve">offer </w:t>
      </w:r>
      <w:r>
        <w:rPr>
          <w:szCs w:val="24"/>
        </w:rPr>
        <w:t>the full capacity reduction from their programs into the PJM auctions. As a result, some of the system</w:t>
      </w:r>
      <w:r w:rsidR="009D060C">
        <w:rPr>
          <w:szCs w:val="24"/>
        </w:rPr>
        <w:t>-</w:t>
      </w:r>
      <w:r>
        <w:rPr>
          <w:szCs w:val="24"/>
        </w:rPr>
        <w:t>avoided costs will not occur. Because the system avoided costs for capacity did not fully occur, Duke should be prohibited from “sharing” in these non-existent system savings. The Ohio Manufacturers’ Association</w:t>
      </w:r>
      <w:r w:rsidR="00E8501A">
        <w:rPr>
          <w:szCs w:val="24"/>
        </w:rPr>
        <w:t xml:space="preserve"> </w:t>
      </w:r>
      <w:r>
        <w:rPr>
          <w:szCs w:val="24"/>
        </w:rPr>
        <w:t xml:space="preserve">has estimated that the forgone avoided costs </w:t>
      </w:r>
      <w:r w:rsidR="009D060C">
        <w:rPr>
          <w:szCs w:val="24"/>
        </w:rPr>
        <w:t>are</w:t>
      </w:r>
      <w:r>
        <w:rPr>
          <w:szCs w:val="24"/>
        </w:rPr>
        <w:t xml:space="preserve"> $4.8 million for Duke</w:t>
      </w:r>
      <w:r w:rsidR="00656C25">
        <w:rPr>
          <w:szCs w:val="24"/>
        </w:rPr>
        <w:t>’s</w:t>
      </w:r>
      <w:r>
        <w:rPr>
          <w:szCs w:val="24"/>
        </w:rPr>
        <w:t xml:space="preserve"> customers</w:t>
      </w:r>
      <w:r w:rsidR="00E8501A">
        <w:rPr>
          <w:szCs w:val="24"/>
        </w:rPr>
        <w:t>.</w:t>
      </w:r>
      <w:r w:rsidR="00A955D5">
        <w:rPr>
          <w:szCs w:val="24"/>
        </w:rPr>
        <w:t xml:space="preserve"> This is </w:t>
      </w:r>
      <w:r>
        <w:rPr>
          <w:szCs w:val="24"/>
        </w:rPr>
        <w:t xml:space="preserve">because Duke did not fully </w:t>
      </w:r>
      <w:r w:rsidR="00656C25">
        <w:rPr>
          <w:szCs w:val="24"/>
        </w:rPr>
        <w:t>make available</w:t>
      </w:r>
      <w:r>
        <w:rPr>
          <w:szCs w:val="24"/>
        </w:rPr>
        <w:t xml:space="preserve"> its energy efficiency/peak demand reduction </w:t>
      </w:r>
      <w:r w:rsidR="00656C25">
        <w:rPr>
          <w:szCs w:val="24"/>
        </w:rPr>
        <w:t xml:space="preserve">as </w:t>
      </w:r>
      <w:r>
        <w:rPr>
          <w:szCs w:val="24"/>
        </w:rPr>
        <w:t>capacity resources</w:t>
      </w:r>
      <w:r w:rsidR="00656C25">
        <w:rPr>
          <w:szCs w:val="24"/>
        </w:rPr>
        <w:t xml:space="preserve"> in the </w:t>
      </w:r>
      <w:r w:rsidR="00A405C1">
        <w:rPr>
          <w:szCs w:val="24"/>
        </w:rPr>
        <w:t>BRA</w:t>
      </w:r>
      <w:r>
        <w:rPr>
          <w:szCs w:val="24"/>
        </w:rPr>
        <w:t>, with additional forgone avoided costs for non-Duke customers in PJM.</w:t>
      </w:r>
      <w:r>
        <w:rPr>
          <w:rStyle w:val="FootnoteReference"/>
          <w:szCs w:val="24"/>
        </w:rPr>
        <w:footnoteReference w:id="29"/>
      </w:r>
    </w:p>
    <w:p w:rsidR="00D70E02" w:rsidRDefault="00D70E02" w:rsidP="00D70E02">
      <w:pPr>
        <w:spacing w:line="480" w:lineRule="auto"/>
        <w:ind w:right="720" w:firstLine="720"/>
        <w:rPr>
          <w:szCs w:val="24"/>
        </w:rPr>
      </w:pPr>
      <w:r>
        <w:rPr>
          <w:szCs w:val="24"/>
        </w:rPr>
        <w:t xml:space="preserve">This further supports </w:t>
      </w:r>
      <w:r w:rsidR="004B3918">
        <w:rPr>
          <w:szCs w:val="24"/>
        </w:rPr>
        <w:t>instituting a</w:t>
      </w:r>
      <w:r>
        <w:rPr>
          <w:szCs w:val="24"/>
        </w:rPr>
        <w:t xml:space="preserve"> hard cap on shar</w:t>
      </w:r>
      <w:r w:rsidR="00C02640">
        <w:rPr>
          <w:szCs w:val="24"/>
        </w:rPr>
        <w:t>ed savings to protect consumers. T</w:t>
      </w:r>
      <w:r>
        <w:rPr>
          <w:szCs w:val="24"/>
        </w:rPr>
        <w:t>he existing shared savings mechanism is not properly incenting Duke to actually create the avoided system costs for its customers.</w:t>
      </w:r>
    </w:p>
    <w:p w:rsidR="00D70E02" w:rsidRPr="000E5BC9" w:rsidRDefault="00D70E02" w:rsidP="00681C7E">
      <w:pPr>
        <w:pStyle w:val="Heading2"/>
      </w:pPr>
      <w:bookmarkStart w:id="9" w:name="_Toc405545405"/>
      <w:r>
        <w:t>Duke is charging customers for shared savings before the savings accrue to customers.</w:t>
      </w:r>
      <w:bookmarkEnd w:id="9"/>
    </w:p>
    <w:p w:rsidR="00D70E02" w:rsidRDefault="00D70E02" w:rsidP="00D70E02">
      <w:pPr>
        <w:spacing w:line="480" w:lineRule="auto"/>
        <w:ind w:right="720" w:firstLine="720"/>
        <w:rPr>
          <w:szCs w:val="24"/>
        </w:rPr>
      </w:pPr>
      <w:r>
        <w:rPr>
          <w:szCs w:val="24"/>
        </w:rPr>
        <w:t>Duke calculates shared savings as a percentage of the net</w:t>
      </w:r>
      <w:r w:rsidR="00656C25">
        <w:rPr>
          <w:szCs w:val="24"/>
        </w:rPr>
        <w:t xml:space="preserve"> </w:t>
      </w:r>
      <w:r>
        <w:rPr>
          <w:szCs w:val="24"/>
        </w:rPr>
        <w:t xml:space="preserve">present value of the resource cost savings it calculates, suggesting that Duke is considering the lifetime avoided costs of its </w:t>
      </w:r>
      <w:r w:rsidR="00C02640">
        <w:rPr>
          <w:szCs w:val="24"/>
        </w:rPr>
        <w:t>energy efficiency and peak demand reduction</w:t>
      </w:r>
      <w:r>
        <w:rPr>
          <w:szCs w:val="24"/>
        </w:rPr>
        <w:t xml:space="preserve"> programs.</w:t>
      </w:r>
      <w:r>
        <w:rPr>
          <w:rStyle w:val="FootnoteReference"/>
          <w:szCs w:val="24"/>
        </w:rPr>
        <w:footnoteReference w:id="30"/>
      </w:r>
      <w:r>
        <w:rPr>
          <w:szCs w:val="24"/>
        </w:rPr>
        <w:t xml:space="preserve"> Thus, Duke is collecting its “share” of savings prior to the savings occurring. Collecting the full lifetime of shared savings in one year </w:t>
      </w:r>
      <w:r w:rsidR="00656C25">
        <w:rPr>
          <w:szCs w:val="24"/>
        </w:rPr>
        <w:t xml:space="preserve">will </w:t>
      </w:r>
      <w:r>
        <w:rPr>
          <w:szCs w:val="24"/>
        </w:rPr>
        <w:t xml:space="preserve">create </w:t>
      </w:r>
      <w:r w:rsidR="00656C25">
        <w:rPr>
          <w:szCs w:val="24"/>
        </w:rPr>
        <w:t xml:space="preserve">unwarranted additional </w:t>
      </w:r>
      <w:r>
        <w:rPr>
          <w:szCs w:val="24"/>
        </w:rPr>
        <w:t>high costs</w:t>
      </w:r>
      <w:r w:rsidR="00656C25">
        <w:rPr>
          <w:szCs w:val="24"/>
        </w:rPr>
        <w:t>, which</w:t>
      </w:r>
      <w:r>
        <w:rPr>
          <w:szCs w:val="24"/>
        </w:rPr>
        <w:t xml:space="preserve"> are </w:t>
      </w:r>
      <w:r w:rsidR="00656C25">
        <w:rPr>
          <w:szCs w:val="24"/>
        </w:rPr>
        <w:t>detrimental to</w:t>
      </w:r>
      <w:r>
        <w:rPr>
          <w:szCs w:val="24"/>
        </w:rPr>
        <w:t xml:space="preserve"> customers. This further supports the </w:t>
      </w:r>
      <w:r w:rsidR="00656C25">
        <w:rPr>
          <w:szCs w:val="24"/>
        </w:rPr>
        <w:t xml:space="preserve">OCC’s recommendation for </w:t>
      </w:r>
      <w:r>
        <w:rPr>
          <w:szCs w:val="24"/>
        </w:rPr>
        <w:t>a hard dollar cap on the amount of shared savings Duke can collect in a given year.</w:t>
      </w:r>
    </w:p>
    <w:p w:rsidR="00681C7E" w:rsidRDefault="00681C7E" w:rsidP="00681C7E">
      <w:pPr>
        <w:ind w:right="720" w:firstLine="720"/>
        <w:rPr>
          <w:szCs w:val="24"/>
        </w:rPr>
      </w:pPr>
    </w:p>
    <w:p w:rsidR="00341322" w:rsidRDefault="00341322" w:rsidP="00F40DC6">
      <w:pPr>
        <w:pStyle w:val="Heading1"/>
      </w:pPr>
      <w:bookmarkStart w:id="10" w:name="_Toc405545406"/>
      <w:r w:rsidRPr="004F3555">
        <w:t>I</w:t>
      </w:r>
      <w:r w:rsidR="00F40DC6">
        <w:t>V</w:t>
      </w:r>
      <w:r w:rsidRPr="004F3555">
        <w:t>.</w:t>
      </w:r>
      <w:r w:rsidRPr="004F3555">
        <w:tab/>
        <w:t>CONCLUSION</w:t>
      </w:r>
      <w:bookmarkEnd w:id="10"/>
    </w:p>
    <w:p w:rsidR="00565865" w:rsidRDefault="002B0C45" w:rsidP="002B0C45">
      <w:pPr>
        <w:spacing w:line="480" w:lineRule="auto"/>
        <w:rPr>
          <w:szCs w:val="24"/>
        </w:rPr>
      </w:pPr>
      <w:r>
        <w:rPr>
          <w:szCs w:val="24"/>
        </w:rPr>
        <w:tab/>
        <w:t>Energy efficiency portfolios should not be a profit center for utilities</w:t>
      </w:r>
      <w:r w:rsidR="005E57D6">
        <w:rPr>
          <w:szCs w:val="24"/>
        </w:rPr>
        <w:t xml:space="preserve"> at the expense of customers</w:t>
      </w:r>
      <w:r>
        <w:rPr>
          <w:szCs w:val="24"/>
        </w:rPr>
        <w:t>. Customers should benefit from energy efficiency</w:t>
      </w:r>
      <w:r w:rsidR="00966D72">
        <w:rPr>
          <w:szCs w:val="24"/>
        </w:rPr>
        <w:t xml:space="preserve"> programs</w:t>
      </w:r>
      <w:r w:rsidR="00551EF0">
        <w:rPr>
          <w:szCs w:val="24"/>
        </w:rPr>
        <w:t>.</w:t>
      </w:r>
      <w:r w:rsidR="00966D72">
        <w:rPr>
          <w:szCs w:val="24"/>
        </w:rPr>
        <w:t xml:space="preserve"> </w:t>
      </w:r>
      <w:r w:rsidR="00551EF0">
        <w:rPr>
          <w:szCs w:val="24"/>
        </w:rPr>
        <w:t>C</w:t>
      </w:r>
      <w:r>
        <w:rPr>
          <w:szCs w:val="24"/>
        </w:rPr>
        <w:t xml:space="preserve">harges to customers for portfolios, including incentive mechanisms, should be minimized. </w:t>
      </w:r>
      <w:r w:rsidR="00966D72">
        <w:rPr>
          <w:szCs w:val="24"/>
        </w:rPr>
        <w:t xml:space="preserve">Consumer protections are critical. </w:t>
      </w:r>
      <w:r w:rsidR="00565865">
        <w:rPr>
          <w:szCs w:val="24"/>
        </w:rPr>
        <w:t>The policy of this State includes ensuring that consumers have adequate, reliable, and reasonably p</w:t>
      </w:r>
      <w:r w:rsidR="00CA06A5">
        <w:rPr>
          <w:szCs w:val="24"/>
        </w:rPr>
        <w:t xml:space="preserve">riced retail electric service. </w:t>
      </w:r>
      <w:r w:rsidR="00565865" w:rsidRPr="00CA06A5">
        <w:rPr>
          <w:i/>
          <w:szCs w:val="24"/>
        </w:rPr>
        <w:t>See</w:t>
      </w:r>
      <w:r w:rsidR="00CA06A5">
        <w:rPr>
          <w:szCs w:val="24"/>
        </w:rPr>
        <w:t>,</w:t>
      </w:r>
      <w:r w:rsidR="00565865">
        <w:rPr>
          <w:szCs w:val="24"/>
        </w:rPr>
        <w:t xml:space="preserve"> R.C. 4928.02(A). </w:t>
      </w:r>
    </w:p>
    <w:p w:rsidR="00551EF0" w:rsidRDefault="00565865" w:rsidP="002B0C45">
      <w:pPr>
        <w:spacing w:line="480" w:lineRule="auto"/>
        <w:rPr>
          <w:szCs w:val="24"/>
        </w:rPr>
      </w:pPr>
      <w:r>
        <w:rPr>
          <w:szCs w:val="24"/>
        </w:rPr>
        <w:t xml:space="preserve"> </w:t>
      </w:r>
      <w:r w:rsidR="00551EF0">
        <w:rPr>
          <w:szCs w:val="24"/>
        </w:rPr>
        <w:tab/>
      </w:r>
      <w:r w:rsidR="00966D72">
        <w:rPr>
          <w:szCs w:val="24"/>
        </w:rPr>
        <w:t>In this regard, a hard dollar cap on Duke’s shared savings mechanism for 2016 is appropriate</w:t>
      </w:r>
      <w:r w:rsidR="00551EF0">
        <w:rPr>
          <w:szCs w:val="24"/>
        </w:rPr>
        <w:t xml:space="preserve">. The cap will </w:t>
      </w:r>
      <w:r>
        <w:rPr>
          <w:szCs w:val="24"/>
        </w:rPr>
        <w:t>en</w:t>
      </w:r>
      <w:r w:rsidR="00B759CF">
        <w:rPr>
          <w:szCs w:val="24"/>
        </w:rPr>
        <w:t xml:space="preserve">sure that customers are paying reasonable </w:t>
      </w:r>
      <w:r w:rsidR="00065FE3">
        <w:rPr>
          <w:szCs w:val="24"/>
        </w:rPr>
        <w:t>and not</w:t>
      </w:r>
      <w:r w:rsidR="00B759CF">
        <w:rPr>
          <w:szCs w:val="24"/>
        </w:rPr>
        <w:t xml:space="preserve"> </w:t>
      </w:r>
      <w:r>
        <w:rPr>
          <w:szCs w:val="24"/>
        </w:rPr>
        <w:t>excessive rates</w:t>
      </w:r>
      <w:r w:rsidR="00B759CF">
        <w:rPr>
          <w:szCs w:val="24"/>
        </w:rPr>
        <w:t>.</w:t>
      </w:r>
      <w:r w:rsidR="00966D72">
        <w:rPr>
          <w:szCs w:val="24"/>
        </w:rPr>
        <w:t xml:space="preserve"> </w:t>
      </w:r>
    </w:p>
    <w:p w:rsidR="00341322" w:rsidRDefault="00966D72" w:rsidP="00A955D5">
      <w:pPr>
        <w:spacing w:line="480" w:lineRule="auto"/>
        <w:ind w:firstLine="720"/>
        <w:rPr>
          <w:szCs w:val="24"/>
        </w:rPr>
      </w:pPr>
      <w:r>
        <w:rPr>
          <w:szCs w:val="24"/>
        </w:rPr>
        <w:t xml:space="preserve">And the Utility should not be permitted to use banked savings from previous years to charge customers for shared savings in 2016. Finally, Duke should </w:t>
      </w:r>
      <w:r w:rsidR="00565865">
        <w:rPr>
          <w:szCs w:val="24"/>
        </w:rPr>
        <w:t xml:space="preserve">be </w:t>
      </w:r>
      <w:r w:rsidRPr="00966D72">
        <w:rPr>
          <w:szCs w:val="24"/>
        </w:rPr>
        <w:t>limited to charging customers for shared savings on only the efficiency savings that exceed the statutory benchmark.</w:t>
      </w:r>
    </w:p>
    <w:p w:rsidR="00341322" w:rsidRPr="00341322" w:rsidRDefault="00341322" w:rsidP="00341322">
      <w:pPr>
        <w:widowControl w:val="0"/>
        <w:spacing w:line="480" w:lineRule="atLeast"/>
        <w:ind w:left="3600" w:right="-672" w:firstLine="720"/>
        <w:rPr>
          <w:szCs w:val="24"/>
        </w:rPr>
      </w:pPr>
      <w:r w:rsidRPr="00341322">
        <w:rPr>
          <w:szCs w:val="24"/>
        </w:rPr>
        <w:t>Respectfully submitted,</w:t>
      </w:r>
    </w:p>
    <w:p w:rsidR="00341322" w:rsidRPr="00341322" w:rsidRDefault="00341322" w:rsidP="00341322">
      <w:pPr>
        <w:tabs>
          <w:tab w:val="left" w:pos="4320"/>
        </w:tabs>
        <w:spacing w:before="240"/>
        <w:rPr>
          <w:szCs w:val="24"/>
        </w:rPr>
      </w:pPr>
      <w:r w:rsidRPr="00341322">
        <w:rPr>
          <w:szCs w:val="24"/>
        </w:rPr>
        <w:tab/>
        <w:t>BRUCE J. WESTON</w:t>
      </w:r>
    </w:p>
    <w:p w:rsidR="00341322" w:rsidRPr="00341322" w:rsidRDefault="00341322" w:rsidP="00341322">
      <w:pPr>
        <w:tabs>
          <w:tab w:val="left" w:pos="4320"/>
        </w:tabs>
        <w:rPr>
          <w:szCs w:val="24"/>
        </w:rPr>
      </w:pPr>
      <w:r w:rsidRPr="00341322">
        <w:rPr>
          <w:szCs w:val="24"/>
        </w:rPr>
        <w:tab/>
        <w:t>OHIO CONSUMERS’ COUNSEL</w:t>
      </w:r>
    </w:p>
    <w:p w:rsidR="00341322" w:rsidRPr="00341322" w:rsidRDefault="00341322" w:rsidP="00341322">
      <w:pPr>
        <w:tabs>
          <w:tab w:val="left" w:pos="4320"/>
        </w:tabs>
        <w:rPr>
          <w:szCs w:val="24"/>
        </w:rPr>
      </w:pPr>
      <w:r w:rsidRPr="00341322">
        <w:rPr>
          <w:szCs w:val="24"/>
        </w:rPr>
        <w:tab/>
      </w:r>
    </w:p>
    <w:p w:rsidR="00341322" w:rsidRPr="00341322" w:rsidRDefault="00341322" w:rsidP="00341322">
      <w:pPr>
        <w:tabs>
          <w:tab w:val="left" w:pos="4320"/>
        </w:tabs>
        <w:rPr>
          <w:szCs w:val="24"/>
        </w:rPr>
      </w:pPr>
      <w:r w:rsidRPr="00341322">
        <w:rPr>
          <w:szCs w:val="24"/>
        </w:rPr>
        <w:tab/>
      </w:r>
      <w:r w:rsidRPr="00341322">
        <w:rPr>
          <w:i/>
          <w:szCs w:val="24"/>
          <w:u w:val="single"/>
        </w:rPr>
        <w:t>/s/ Kyle L. Kern</w:t>
      </w:r>
      <w:r w:rsidRPr="00341322">
        <w:rPr>
          <w:szCs w:val="24"/>
        </w:rPr>
        <w:t>_________________</w:t>
      </w:r>
    </w:p>
    <w:p w:rsidR="00341322" w:rsidRDefault="00341322" w:rsidP="00341322">
      <w:pPr>
        <w:tabs>
          <w:tab w:val="left" w:pos="4320"/>
        </w:tabs>
        <w:rPr>
          <w:szCs w:val="24"/>
        </w:rPr>
      </w:pPr>
      <w:r w:rsidRPr="00341322">
        <w:rPr>
          <w:szCs w:val="24"/>
        </w:rPr>
        <w:tab/>
        <w:t>Kyle L. Kern, Counsel of Record</w:t>
      </w:r>
    </w:p>
    <w:p w:rsidR="00341322" w:rsidRPr="00341322" w:rsidRDefault="00341322" w:rsidP="00341322">
      <w:pPr>
        <w:tabs>
          <w:tab w:val="left" w:pos="4320"/>
        </w:tabs>
        <w:rPr>
          <w:szCs w:val="24"/>
        </w:rPr>
      </w:pPr>
      <w:r>
        <w:rPr>
          <w:szCs w:val="24"/>
        </w:rPr>
        <w:tab/>
        <w:t>(0084199)</w:t>
      </w:r>
    </w:p>
    <w:p w:rsidR="00341322" w:rsidRPr="00341322" w:rsidRDefault="00341322" w:rsidP="00341322">
      <w:pPr>
        <w:tabs>
          <w:tab w:val="left" w:pos="4320"/>
        </w:tabs>
        <w:rPr>
          <w:szCs w:val="24"/>
        </w:rPr>
      </w:pPr>
      <w:r w:rsidRPr="00341322">
        <w:rPr>
          <w:szCs w:val="24"/>
        </w:rPr>
        <w:tab/>
        <w:t>Michael J. Schuler</w:t>
      </w:r>
      <w:r>
        <w:rPr>
          <w:szCs w:val="24"/>
        </w:rPr>
        <w:t xml:space="preserve"> (0082390)</w:t>
      </w:r>
    </w:p>
    <w:p w:rsidR="00341322" w:rsidRPr="00341322" w:rsidRDefault="00341322" w:rsidP="00341322">
      <w:pPr>
        <w:tabs>
          <w:tab w:val="left" w:pos="4320"/>
        </w:tabs>
        <w:rPr>
          <w:szCs w:val="24"/>
        </w:rPr>
      </w:pPr>
      <w:r w:rsidRPr="00341322">
        <w:rPr>
          <w:szCs w:val="24"/>
        </w:rPr>
        <w:tab/>
        <w:t>Assistant Consumers’ Counsel</w:t>
      </w:r>
    </w:p>
    <w:p w:rsidR="00341322" w:rsidRPr="00341322" w:rsidRDefault="00341322" w:rsidP="00341322">
      <w:pPr>
        <w:keepNext/>
        <w:ind w:left="3240" w:right="-648" w:firstLine="720"/>
        <w:outlineLvl w:val="0"/>
        <w:rPr>
          <w:b/>
          <w:szCs w:val="24"/>
        </w:rPr>
      </w:pPr>
      <w:r w:rsidRPr="00341322">
        <w:rPr>
          <w:b/>
          <w:szCs w:val="24"/>
        </w:rPr>
        <w:tab/>
      </w:r>
    </w:p>
    <w:p w:rsidR="00341322" w:rsidRPr="00F40DC6" w:rsidRDefault="00341322" w:rsidP="00F40DC6">
      <w:pPr>
        <w:ind w:left="4320"/>
        <w:rPr>
          <w:b/>
        </w:rPr>
      </w:pPr>
      <w:r w:rsidRPr="00F40DC6">
        <w:rPr>
          <w:b/>
        </w:rPr>
        <w:t>Office of the Ohio Consumers’ Counsel</w:t>
      </w:r>
    </w:p>
    <w:p w:rsidR="00341322" w:rsidRPr="00341322" w:rsidRDefault="00341322" w:rsidP="00F40DC6">
      <w:pPr>
        <w:ind w:left="4320"/>
      </w:pPr>
      <w:r w:rsidRPr="00341322">
        <w:t>10 West Broad Street, Suite 1800</w:t>
      </w:r>
    </w:p>
    <w:p w:rsidR="00341322" w:rsidRPr="00341322" w:rsidRDefault="00341322" w:rsidP="00F40DC6">
      <w:pPr>
        <w:ind w:left="4320"/>
      </w:pPr>
      <w:r w:rsidRPr="00341322">
        <w:t>Columbus, Ohio 43215-3485</w:t>
      </w:r>
    </w:p>
    <w:p w:rsidR="00341322" w:rsidRPr="00341322" w:rsidRDefault="00341322" w:rsidP="00341322">
      <w:pPr>
        <w:autoSpaceDE w:val="0"/>
        <w:autoSpaceDN w:val="0"/>
        <w:adjustRightInd w:val="0"/>
        <w:ind w:left="3600" w:firstLine="720"/>
        <w:rPr>
          <w:szCs w:val="24"/>
        </w:rPr>
      </w:pPr>
      <w:r w:rsidRPr="00341322">
        <w:rPr>
          <w:szCs w:val="24"/>
        </w:rPr>
        <w:t>Telephone:  Kern Direct – 614-466-9585</w:t>
      </w:r>
    </w:p>
    <w:p w:rsidR="00341322" w:rsidRPr="00341322" w:rsidRDefault="00341322" w:rsidP="00341322">
      <w:pPr>
        <w:autoSpaceDE w:val="0"/>
        <w:autoSpaceDN w:val="0"/>
        <w:adjustRightInd w:val="0"/>
        <w:ind w:left="3600" w:firstLine="720"/>
        <w:rPr>
          <w:szCs w:val="24"/>
        </w:rPr>
      </w:pPr>
      <w:r w:rsidRPr="00341322">
        <w:rPr>
          <w:szCs w:val="24"/>
        </w:rPr>
        <w:t>Telephone:  Schuler Direct – 614-466-9547</w:t>
      </w:r>
    </w:p>
    <w:p w:rsidR="00341322" w:rsidRPr="00341322" w:rsidRDefault="00BA1785" w:rsidP="00341322">
      <w:pPr>
        <w:autoSpaceDE w:val="0"/>
        <w:autoSpaceDN w:val="0"/>
        <w:adjustRightInd w:val="0"/>
        <w:ind w:left="3600" w:firstLine="720"/>
        <w:rPr>
          <w:szCs w:val="24"/>
        </w:rPr>
      </w:pPr>
      <w:hyperlink r:id="rId22" w:history="1">
        <w:r w:rsidR="00341322" w:rsidRPr="00341322">
          <w:rPr>
            <w:color w:val="0000FF"/>
            <w:szCs w:val="24"/>
            <w:u w:val="single"/>
          </w:rPr>
          <w:t>Kyle.kern@occ.ohio.gov</w:t>
        </w:r>
      </w:hyperlink>
    </w:p>
    <w:p w:rsidR="00341322" w:rsidRPr="00341322" w:rsidRDefault="00BA1785" w:rsidP="00341322">
      <w:pPr>
        <w:autoSpaceDE w:val="0"/>
        <w:autoSpaceDN w:val="0"/>
        <w:adjustRightInd w:val="0"/>
        <w:ind w:left="3600" w:firstLine="720"/>
        <w:rPr>
          <w:szCs w:val="24"/>
        </w:rPr>
      </w:pPr>
      <w:hyperlink r:id="rId23" w:history="1">
        <w:r w:rsidR="00341322" w:rsidRPr="00341322">
          <w:rPr>
            <w:color w:val="0000FF"/>
            <w:szCs w:val="24"/>
            <w:u w:val="single"/>
          </w:rPr>
          <w:t>Michael.schuler@occ.ohio.gov</w:t>
        </w:r>
      </w:hyperlink>
    </w:p>
    <w:p w:rsidR="00341322" w:rsidRDefault="00341322" w:rsidP="007E51FF">
      <w:pPr>
        <w:spacing w:after="200" w:line="276" w:lineRule="auto"/>
        <w:jc w:val="center"/>
        <w:rPr>
          <w:b/>
          <w:bCs/>
          <w:u w:val="single"/>
        </w:rPr>
      </w:pPr>
      <w:r>
        <w:rPr>
          <w:szCs w:val="24"/>
        </w:rPr>
        <w:br w:type="page"/>
      </w:r>
      <w:r>
        <w:rPr>
          <w:b/>
          <w:bCs/>
          <w:u w:val="single"/>
        </w:rPr>
        <w:t>CERTIFICATE OF SERVICE</w:t>
      </w:r>
    </w:p>
    <w:p w:rsidR="00341322" w:rsidRDefault="00341322" w:rsidP="00341322">
      <w:pPr>
        <w:spacing w:line="480" w:lineRule="atLeast"/>
      </w:pPr>
      <w:r>
        <w:tab/>
        <w:t>I hereby certify that a copy of the Comments w</w:t>
      </w:r>
      <w:r w:rsidR="007F2C0C">
        <w:t>as</w:t>
      </w:r>
      <w:r>
        <w:t xml:space="preserve"> served on the persons stated below </w:t>
      </w:r>
      <w:r w:rsidRPr="00916657">
        <w:t>via</w:t>
      </w:r>
      <w:r>
        <w:t xml:space="preserve"> electronic transmission, this 5</w:t>
      </w:r>
      <w:r w:rsidRPr="00EB6E22">
        <w:rPr>
          <w:vertAlign w:val="superscript"/>
        </w:rPr>
        <w:t>th</w:t>
      </w:r>
      <w:r>
        <w:t xml:space="preserve"> day of December 2014.</w:t>
      </w:r>
    </w:p>
    <w:p w:rsidR="00341322" w:rsidRDefault="00341322" w:rsidP="00341322">
      <w:pPr>
        <w:spacing w:line="480" w:lineRule="atLeast"/>
      </w:pPr>
    </w:p>
    <w:p w:rsidR="00341322" w:rsidRDefault="00341322" w:rsidP="00341322">
      <w:pPr>
        <w:tabs>
          <w:tab w:val="left" w:pos="4320"/>
        </w:tabs>
      </w:pPr>
      <w:r>
        <w:tab/>
      </w:r>
      <w:r>
        <w:rPr>
          <w:i/>
          <w:u w:val="single"/>
        </w:rPr>
        <w:t>/s/ Kyle L. Kern</w:t>
      </w:r>
      <w:r>
        <w:t>______________</w:t>
      </w:r>
    </w:p>
    <w:p w:rsidR="00341322" w:rsidRDefault="00341322" w:rsidP="00341322">
      <w:pPr>
        <w:tabs>
          <w:tab w:val="left" w:pos="4320"/>
        </w:tabs>
      </w:pPr>
      <w:r>
        <w:tab/>
        <w:t>Kyle L. Kern</w:t>
      </w:r>
    </w:p>
    <w:p w:rsidR="00341322" w:rsidRDefault="00341322" w:rsidP="00341322">
      <w:pPr>
        <w:tabs>
          <w:tab w:val="left" w:pos="4320"/>
        </w:tabs>
      </w:pPr>
      <w:r>
        <w:tab/>
        <w:t>Assistant Consumers’ Counsel</w:t>
      </w:r>
    </w:p>
    <w:p w:rsidR="00341322" w:rsidRDefault="00341322" w:rsidP="00341322">
      <w:pPr>
        <w:pStyle w:val="CommentSubject"/>
      </w:pPr>
    </w:p>
    <w:p w:rsidR="00341322" w:rsidRDefault="00341322" w:rsidP="00341322">
      <w:pPr>
        <w:pStyle w:val="CommentText"/>
      </w:pPr>
    </w:p>
    <w:p w:rsidR="00341322" w:rsidRDefault="00341322" w:rsidP="00341322">
      <w:pPr>
        <w:pStyle w:val="CommentText"/>
        <w:jc w:val="center"/>
        <w:rPr>
          <w:b/>
          <w:u w:val="single"/>
        </w:rPr>
      </w:pPr>
      <w:r>
        <w:rPr>
          <w:b/>
          <w:u w:val="single"/>
        </w:rPr>
        <w:t>SERVICE LIST</w:t>
      </w:r>
    </w:p>
    <w:p w:rsidR="007F2C0C" w:rsidRDefault="007F2C0C" w:rsidP="00341322">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7F2C0C" w:rsidTr="00975042">
        <w:tc>
          <w:tcPr>
            <w:tcW w:w="4428" w:type="dxa"/>
          </w:tcPr>
          <w:p w:rsidR="007F2C0C" w:rsidRDefault="00BA1785" w:rsidP="007F2C0C">
            <w:pPr>
              <w:autoSpaceDE w:val="0"/>
              <w:autoSpaceDN w:val="0"/>
              <w:adjustRightInd w:val="0"/>
              <w:rPr>
                <w:bCs/>
              </w:rPr>
            </w:pPr>
            <w:hyperlink r:id="rId24" w:history="1">
              <w:r w:rsidR="007F2C0C" w:rsidRPr="00A42C85">
                <w:rPr>
                  <w:rStyle w:val="Hyperlink"/>
                  <w:bCs/>
                </w:rPr>
                <w:t>Katie.johnson@puc.state.oh.us</w:t>
              </w:r>
            </w:hyperlink>
          </w:p>
          <w:p w:rsidR="007F2C0C" w:rsidRDefault="00BA1785" w:rsidP="007F2C0C">
            <w:pPr>
              <w:pStyle w:val="CommentText"/>
              <w:rPr>
                <w:bCs/>
              </w:rPr>
            </w:pPr>
            <w:hyperlink r:id="rId25" w:history="1">
              <w:r w:rsidR="007F2C0C" w:rsidRPr="00A42C85">
                <w:rPr>
                  <w:rStyle w:val="Hyperlink"/>
                  <w:bCs/>
                </w:rPr>
                <w:t>John.jones@puc.state.oh.us</w:t>
              </w:r>
            </w:hyperlink>
          </w:p>
          <w:p w:rsidR="007F2C0C" w:rsidRDefault="00BA1785" w:rsidP="007F2C0C">
            <w:pPr>
              <w:rPr>
                <w:szCs w:val="24"/>
              </w:rPr>
            </w:pPr>
            <w:hyperlink r:id="rId26" w:history="1">
              <w:r w:rsidR="007F2C0C" w:rsidRPr="00F3248A">
                <w:rPr>
                  <w:rStyle w:val="Hyperlink"/>
                  <w:szCs w:val="24"/>
                </w:rPr>
                <w:t>drinebolt@ohiopartners.org</w:t>
              </w:r>
            </w:hyperlink>
          </w:p>
          <w:p w:rsidR="007F2C0C" w:rsidRDefault="00BA1785" w:rsidP="007F2C0C">
            <w:pPr>
              <w:rPr>
                <w:rStyle w:val="Hyperlink"/>
                <w:szCs w:val="24"/>
              </w:rPr>
            </w:pPr>
            <w:hyperlink r:id="rId27" w:history="1">
              <w:r w:rsidR="007F2C0C" w:rsidRPr="00F3248A">
                <w:rPr>
                  <w:rStyle w:val="Hyperlink"/>
                  <w:szCs w:val="24"/>
                </w:rPr>
                <w:t>cmooney@ohiopartners.org</w:t>
              </w:r>
            </w:hyperlink>
          </w:p>
          <w:p w:rsidR="007F2C0C" w:rsidRDefault="00BA1785" w:rsidP="007F2C0C">
            <w:pPr>
              <w:rPr>
                <w:rStyle w:val="Hyperlink"/>
                <w:szCs w:val="24"/>
              </w:rPr>
            </w:pPr>
            <w:hyperlink r:id="rId28" w:history="1">
              <w:r w:rsidR="007F2C0C" w:rsidRPr="00A42C85">
                <w:rPr>
                  <w:rStyle w:val="Hyperlink"/>
                  <w:szCs w:val="24"/>
                </w:rPr>
                <w:t>asonderman@keglerbrown.cocm</w:t>
              </w:r>
            </w:hyperlink>
          </w:p>
          <w:p w:rsidR="007F2C0C" w:rsidRDefault="00BA1785" w:rsidP="007F2C0C">
            <w:pPr>
              <w:rPr>
                <w:rStyle w:val="Hyperlink"/>
                <w:szCs w:val="24"/>
              </w:rPr>
            </w:pPr>
            <w:hyperlink r:id="rId29" w:history="1">
              <w:r w:rsidR="007F2C0C" w:rsidRPr="00A42C85">
                <w:rPr>
                  <w:rStyle w:val="Hyperlink"/>
                  <w:szCs w:val="24"/>
                </w:rPr>
                <w:t>mkimbrough@keglerbrown.com</w:t>
              </w:r>
            </w:hyperlink>
          </w:p>
          <w:p w:rsidR="007F2C0C" w:rsidRDefault="00BA1785" w:rsidP="007F2C0C">
            <w:pPr>
              <w:rPr>
                <w:szCs w:val="24"/>
              </w:rPr>
            </w:pPr>
            <w:hyperlink r:id="rId30" w:history="1">
              <w:r w:rsidR="007F2C0C" w:rsidRPr="00A42C85">
                <w:rPr>
                  <w:rStyle w:val="Hyperlink"/>
                  <w:szCs w:val="24"/>
                </w:rPr>
                <w:t>hussey@carpenterlipps.com</w:t>
              </w:r>
            </w:hyperlink>
          </w:p>
          <w:p w:rsidR="007F2C0C" w:rsidRDefault="00BA1785" w:rsidP="007F2C0C">
            <w:pPr>
              <w:rPr>
                <w:rFonts w:eastAsiaTheme="minorHAnsi"/>
                <w:szCs w:val="24"/>
              </w:rPr>
            </w:pPr>
            <w:hyperlink r:id="rId31" w:history="1">
              <w:r w:rsidR="007B04C0" w:rsidRPr="00510333">
                <w:rPr>
                  <w:rStyle w:val="Hyperlink"/>
                  <w:rFonts w:eastAsiaTheme="minorHAnsi"/>
                  <w:szCs w:val="24"/>
                </w:rPr>
                <w:t>jvickers@elpc.org</w:t>
              </w:r>
            </w:hyperlink>
          </w:p>
          <w:p w:rsidR="007B04C0" w:rsidRDefault="00BA1785" w:rsidP="007F2C0C">
            <w:pPr>
              <w:rPr>
                <w:rFonts w:eastAsiaTheme="minorHAnsi"/>
                <w:color w:val="0000FF"/>
                <w:szCs w:val="24"/>
              </w:rPr>
            </w:pPr>
            <w:hyperlink r:id="rId32" w:history="1">
              <w:r w:rsidR="007B04C0" w:rsidRPr="00510333">
                <w:rPr>
                  <w:rStyle w:val="Hyperlink"/>
                  <w:rFonts w:eastAsiaTheme="minorHAnsi"/>
                  <w:szCs w:val="24"/>
                </w:rPr>
                <w:t>swilliams@nrdc.org</w:t>
              </w:r>
            </w:hyperlink>
          </w:p>
          <w:p w:rsidR="007B04C0" w:rsidRDefault="007B04C0" w:rsidP="007F2C0C">
            <w:pPr>
              <w:rPr>
                <w:rFonts w:eastAsiaTheme="minorHAnsi"/>
                <w:szCs w:val="24"/>
              </w:rPr>
            </w:pPr>
          </w:p>
          <w:p w:rsidR="007B04C0" w:rsidRDefault="007B04C0" w:rsidP="007F2C0C">
            <w:pPr>
              <w:rPr>
                <w:szCs w:val="24"/>
              </w:rPr>
            </w:pPr>
          </w:p>
          <w:p w:rsidR="007F2C0C" w:rsidRDefault="007F2C0C" w:rsidP="007F2C0C">
            <w:pPr>
              <w:rPr>
                <w:szCs w:val="24"/>
              </w:rPr>
            </w:pPr>
            <w:r>
              <w:rPr>
                <w:szCs w:val="24"/>
              </w:rPr>
              <w:t>Attorney Examiners:</w:t>
            </w:r>
          </w:p>
          <w:p w:rsidR="007F2C0C" w:rsidRDefault="007F2C0C" w:rsidP="007F2C0C">
            <w:pPr>
              <w:rPr>
                <w:szCs w:val="24"/>
              </w:rPr>
            </w:pPr>
          </w:p>
          <w:p w:rsidR="007F2C0C" w:rsidRDefault="00BA1785" w:rsidP="007F2C0C">
            <w:pPr>
              <w:rPr>
                <w:szCs w:val="24"/>
              </w:rPr>
            </w:pPr>
            <w:hyperlink r:id="rId33" w:history="1">
              <w:r w:rsidR="007F2C0C" w:rsidRPr="005B6B5C">
                <w:rPr>
                  <w:rStyle w:val="Hyperlink"/>
                  <w:szCs w:val="24"/>
                </w:rPr>
                <w:t>Christine.pirik@puc.state.oh.us</w:t>
              </w:r>
            </w:hyperlink>
          </w:p>
          <w:p w:rsidR="007F2C0C" w:rsidRDefault="00BA1785" w:rsidP="007F2C0C">
            <w:pPr>
              <w:rPr>
                <w:szCs w:val="24"/>
              </w:rPr>
            </w:pPr>
            <w:hyperlink r:id="rId34" w:history="1">
              <w:r w:rsidR="007F2C0C" w:rsidRPr="005B6B5C">
                <w:rPr>
                  <w:rStyle w:val="Hyperlink"/>
                  <w:szCs w:val="24"/>
                </w:rPr>
                <w:t>Nicholas.walstra@puc.state.oh.us</w:t>
              </w:r>
            </w:hyperlink>
          </w:p>
          <w:p w:rsidR="007F2C0C" w:rsidRDefault="007F2C0C" w:rsidP="007F2C0C">
            <w:pPr>
              <w:rPr>
                <w:szCs w:val="24"/>
              </w:rPr>
            </w:pPr>
          </w:p>
          <w:p w:rsidR="007F2C0C" w:rsidRDefault="007F2C0C" w:rsidP="007F2C0C">
            <w:pPr>
              <w:pStyle w:val="CommentText"/>
              <w:rPr>
                <w:b/>
                <w:u w:val="single"/>
              </w:rPr>
            </w:pPr>
          </w:p>
        </w:tc>
        <w:tc>
          <w:tcPr>
            <w:tcW w:w="4428" w:type="dxa"/>
          </w:tcPr>
          <w:p w:rsidR="007F2C0C" w:rsidRDefault="00BA1785" w:rsidP="007F2C0C">
            <w:pPr>
              <w:pStyle w:val="BodyText"/>
              <w:rPr>
                <w:szCs w:val="24"/>
              </w:rPr>
            </w:pPr>
            <w:hyperlink r:id="rId35" w:history="1">
              <w:r w:rsidR="007F2C0C" w:rsidRPr="005B6B5C">
                <w:rPr>
                  <w:rStyle w:val="Hyperlink"/>
                  <w:szCs w:val="24"/>
                </w:rPr>
                <w:t>Amy.Spiller@duke-energy.com</w:t>
              </w:r>
            </w:hyperlink>
          </w:p>
          <w:p w:rsidR="007F2C0C" w:rsidRDefault="00BA1785" w:rsidP="007F2C0C">
            <w:pPr>
              <w:pStyle w:val="BodyText"/>
              <w:rPr>
                <w:rStyle w:val="Hyperlink"/>
                <w:szCs w:val="24"/>
              </w:rPr>
            </w:pPr>
            <w:hyperlink r:id="rId36" w:history="1">
              <w:r w:rsidR="007F2C0C" w:rsidRPr="005B6B5C">
                <w:rPr>
                  <w:rStyle w:val="Hyperlink"/>
                  <w:szCs w:val="24"/>
                </w:rPr>
                <w:t>Elizabeth.watts@duke-energy.com</w:t>
              </w:r>
            </w:hyperlink>
          </w:p>
          <w:p w:rsidR="007F2C0C" w:rsidRPr="007F2C0C" w:rsidRDefault="00BA1785" w:rsidP="007F2C0C">
            <w:pPr>
              <w:pStyle w:val="BodyText"/>
              <w:rPr>
                <w:rFonts w:eastAsiaTheme="minorHAnsi"/>
                <w:szCs w:val="24"/>
              </w:rPr>
            </w:pPr>
            <w:hyperlink r:id="rId37" w:history="1">
              <w:r w:rsidR="007F2C0C" w:rsidRPr="007F2C0C">
                <w:rPr>
                  <w:rStyle w:val="Hyperlink"/>
                  <w:rFonts w:eastAsiaTheme="minorHAnsi"/>
                  <w:szCs w:val="24"/>
                </w:rPr>
                <w:t>mpritchard@mwncmh.com</w:t>
              </w:r>
            </w:hyperlink>
          </w:p>
          <w:p w:rsidR="007F2C0C" w:rsidRPr="007F2C0C" w:rsidRDefault="00BA1785" w:rsidP="007F2C0C">
            <w:pPr>
              <w:pStyle w:val="BodyText"/>
              <w:rPr>
                <w:rFonts w:eastAsiaTheme="minorHAnsi"/>
                <w:szCs w:val="24"/>
              </w:rPr>
            </w:pPr>
            <w:hyperlink r:id="rId38" w:history="1">
              <w:r w:rsidR="007F2C0C" w:rsidRPr="007F2C0C">
                <w:rPr>
                  <w:rStyle w:val="Hyperlink"/>
                  <w:rFonts w:eastAsiaTheme="minorHAnsi"/>
                  <w:szCs w:val="24"/>
                </w:rPr>
                <w:t>Bojko@carpenterlipps.com</w:t>
              </w:r>
            </w:hyperlink>
          </w:p>
          <w:p w:rsidR="007F2C0C" w:rsidRPr="007F2C0C" w:rsidRDefault="00BA1785" w:rsidP="007F2C0C">
            <w:pPr>
              <w:autoSpaceDE w:val="0"/>
              <w:autoSpaceDN w:val="0"/>
              <w:adjustRightInd w:val="0"/>
              <w:rPr>
                <w:rFonts w:eastAsiaTheme="minorHAnsi"/>
                <w:color w:val="686868"/>
                <w:szCs w:val="24"/>
              </w:rPr>
            </w:pPr>
            <w:hyperlink r:id="rId39" w:history="1">
              <w:r w:rsidR="007F2C0C" w:rsidRPr="007F2C0C">
                <w:rPr>
                  <w:rStyle w:val="Hyperlink"/>
                  <w:rFonts w:eastAsiaTheme="minorHAnsi"/>
                  <w:szCs w:val="24"/>
                </w:rPr>
                <w:t>dboehm@BKLlawfirm.com</w:t>
              </w:r>
            </w:hyperlink>
          </w:p>
          <w:p w:rsidR="007F2C0C" w:rsidRDefault="00BA1785" w:rsidP="007F2C0C">
            <w:pPr>
              <w:autoSpaceDE w:val="0"/>
              <w:autoSpaceDN w:val="0"/>
              <w:adjustRightInd w:val="0"/>
              <w:rPr>
                <w:rFonts w:eastAsiaTheme="minorHAnsi"/>
                <w:color w:val="686868"/>
                <w:szCs w:val="24"/>
              </w:rPr>
            </w:pPr>
            <w:hyperlink r:id="rId40" w:history="1">
              <w:r w:rsidR="007F2C0C" w:rsidRPr="007F2C0C">
                <w:rPr>
                  <w:rStyle w:val="Hyperlink"/>
                  <w:rFonts w:eastAsiaTheme="minorHAnsi"/>
                  <w:szCs w:val="24"/>
                </w:rPr>
                <w:t>mkurtz@BKLlawfirm.com</w:t>
              </w:r>
            </w:hyperlink>
          </w:p>
          <w:p w:rsidR="007F2C0C" w:rsidRDefault="00BA1785" w:rsidP="007F2C0C">
            <w:pPr>
              <w:autoSpaceDE w:val="0"/>
              <w:autoSpaceDN w:val="0"/>
              <w:adjustRightInd w:val="0"/>
              <w:rPr>
                <w:rFonts w:eastAsiaTheme="minorHAnsi"/>
                <w:color w:val="686868"/>
                <w:szCs w:val="24"/>
              </w:rPr>
            </w:pPr>
            <w:hyperlink r:id="rId41" w:history="1">
              <w:r w:rsidR="007F2C0C" w:rsidRPr="00A42C85">
                <w:rPr>
                  <w:rStyle w:val="Hyperlink"/>
                  <w:rFonts w:eastAsiaTheme="minorHAnsi"/>
                  <w:szCs w:val="24"/>
                </w:rPr>
                <w:t>jkylercohn@BKLlawfirm.com</w:t>
              </w:r>
            </w:hyperlink>
          </w:p>
          <w:p w:rsidR="007F2C0C" w:rsidRDefault="00BA1785" w:rsidP="007F2C0C">
            <w:pPr>
              <w:pStyle w:val="BodyText"/>
              <w:rPr>
                <w:rFonts w:eastAsiaTheme="minorHAnsi"/>
                <w:iCs/>
                <w:sz w:val="22"/>
                <w:szCs w:val="22"/>
              </w:rPr>
            </w:pPr>
            <w:hyperlink r:id="rId42" w:history="1">
              <w:r w:rsidR="007F2C0C" w:rsidRPr="00A42C85">
                <w:rPr>
                  <w:rStyle w:val="Hyperlink"/>
                  <w:rFonts w:eastAsiaTheme="minorHAnsi"/>
                  <w:iCs/>
                  <w:sz w:val="22"/>
                  <w:szCs w:val="22"/>
                </w:rPr>
                <w:t>TDougherty@theOEC.org</w:t>
              </w:r>
            </w:hyperlink>
          </w:p>
          <w:p w:rsidR="007F2C0C" w:rsidRPr="007F2C0C" w:rsidRDefault="007F2C0C" w:rsidP="007F2C0C">
            <w:pPr>
              <w:pStyle w:val="BodyText"/>
              <w:rPr>
                <w:szCs w:val="24"/>
              </w:rPr>
            </w:pPr>
          </w:p>
          <w:p w:rsidR="007F2C0C" w:rsidRDefault="007F2C0C" w:rsidP="00341322">
            <w:pPr>
              <w:pStyle w:val="CommentText"/>
              <w:jc w:val="center"/>
              <w:rPr>
                <w:b/>
                <w:u w:val="single"/>
              </w:rPr>
            </w:pPr>
          </w:p>
        </w:tc>
      </w:tr>
    </w:tbl>
    <w:p w:rsidR="007F2C0C" w:rsidRDefault="007F2C0C" w:rsidP="00341322">
      <w:pPr>
        <w:pStyle w:val="CommentText"/>
        <w:jc w:val="center"/>
        <w:rPr>
          <w:b/>
          <w:u w:val="single"/>
        </w:rPr>
      </w:pPr>
    </w:p>
    <w:sectPr w:rsidR="007F2C0C" w:rsidSect="007B04C0">
      <w:headerReference w:type="default" r:id="rId43"/>
      <w:footerReference w:type="default" r:id="rId44"/>
      <w:pgSz w:w="12240" w:h="15840"/>
      <w:pgMar w:top="1440" w:right="1800" w:bottom="1440" w:left="180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F6A" w:rsidRDefault="00586F6A" w:rsidP="00E864B4">
      <w:r>
        <w:separator/>
      </w:r>
    </w:p>
    <w:p w:rsidR="00586F6A" w:rsidRDefault="00586F6A"/>
  </w:endnote>
  <w:endnote w:type="continuationSeparator" w:id="0">
    <w:p w:rsidR="00586F6A" w:rsidRDefault="00586F6A" w:rsidP="00E864B4">
      <w:r>
        <w:continuationSeparator/>
      </w:r>
    </w:p>
    <w:p w:rsidR="00586F6A" w:rsidRDefault="00586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7A" w:rsidRDefault="003A58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01A" w:rsidRDefault="00E8501A">
    <w:pPr>
      <w:pStyle w:val="Footer"/>
      <w:jc w:val="center"/>
    </w:pPr>
  </w:p>
  <w:p w:rsidR="00E8501A" w:rsidRDefault="00E850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7A" w:rsidRDefault="003A58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752178"/>
      <w:docPartObj>
        <w:docPartGallery w:val="Page Numbers (Bottom of Page)"/>
        <w:docPartUnique/>
      </w:docPartObj>
    </w:sdtPr>
    <w:sdtEndPr>
      <w:rPr>
        <w:noProof/>
      </w:rPr>
    </w:sdtEndPr>
    <w:sdtContent>
      <w:p w:rsidR="00E8501A" w:rsidRDefault="00E8501A">
        <w:pPr>
          <w:pStyle w:val="Footer"/>
          <w:jc w:val="center"/>
        </w:pPr>
        <w:r>
          <w:fldChar w:fldCharType="begin"/>
        </w:r>
        <w:r>
          <w:instrText xml:space="preserve"> PAGE   \* MERGEFORMAT </w:instrText>
        </w:r>
        <w:r>
          <w:fldChar w:fldCharType="separate"/>
        </w:r>
        <w:r w:rsidR="00BA1785">
          <w:rPr>
            <w:noProof/>
          </w:rPr>
          <w:t>i</w:t>
        </w:r>
        <w:r>
          <w:rPr>
            <w:noProof/>
          </w:rPr>
          <w:fldChar w:fldCharType="end"/>
        </w:r>
      </w:p>
    </w:sdtContent>
  </w:sdt>
  <w:p w:rsidR="00E8501A" w:rsidRDefault="00E850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3D" w:rsidRDefault="0016733D">
    <w:pPr>
      <w:pStyle w:val="Footer"/>
      <w:jc w:val="center"/>
    </w:pPr>
  </w:p>
  <w:p w:rsidR="007B04C0" w:rsidRDefault="007B04C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379016"/>
      <w:docPartObj>
        <w:docPartGallery w:val="Page Numbers (Bottom of Page)"/>
        <w:docPartUnique/>
      </w:docPartObj>
    </w:sdtPr>
    <w:sdtEndPr>
      <w:rPr>
        <w:noProof/>
      </w:rPr>
    </w:sdtEndPr>
    <w:sdtContent>
      <w:p w:rsidR="0016733D" w:rsidRDefault="0016733D">
        <w:pPr>
          <w:pStyle w:val="Footer"/>
          <w:jc w:val="center"/>
        </w:pPr>
        <w:r>
          <w:fldChar w:fldCharType="begin"/>
        </w:r>
        <w:r>
          <w:instrText xml:space="preserve"> PAGE   \* MERGEFORMAT </w:instrText>
        </w:r>
        <w:r>
          <w:fldChar w:fldCharType="separate"/>
        </w:r>
        <w:r w:rsidR="003A587A">
          <w:rPr>
            <w:noProof/>
          </w:rPr>
          <w:t>14</w:t>
        </w:r>
        <w:r>
          <w:rPr>
            <w:noProof/>
          </w:rPr>
          <w:fldChar w:fldCharType="end"/>
        </w:r>
      </w:p>
    </w:sdtContent>
  </w:sdt>
  <w:p w:rsidR="0016733D" w:rsidRDefault="001673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F6A" w:rsidRDefault="00586F6A" w:rsidP="00E864B4">
      <w:r>
        <w:separator/>
      </w:r>
    </w:p>
    <w:p w:rsidR="00586F6A" w:rsidRDefault="00586F6A"/>
  </w:footnote>
  <w:footnote w:type="continuationSeparator" w:id="0">
    <w:p w:rsidR="00586F6A" w:rsidRDefault="00586F6A" w:rsidP="00E864B4">
      <w:r>
        <w:continuationSeparator/>
      </w:r>
    </w:p>
    <w:p w:rsidR="00586F6A" w:rsidRDefault="00586F6A"/>
  </w:footnote>
  <w:footnote w:id="1">
    <w:p w:rsidR="00E8501A" w:rsidRPr="00975042" w:rsidRDefault="00E8501A" w:rsidP="00975042">
      <w:pPr>
        <w:autoSpaceDE w:val="0"/>
        <w:autoSpaceDN w:val="0"/>
        <w:adjustRightInd w:val="0"/>
        <w:spacing w:after="120"/>
        <w:rPr>
          <w:sz w:val="20"/>
        </w:rPr>
      </w:pPr>
      <w:r w:rsidRPr="00B34FA0">
        <w:rPr>
          <w:rStyle w:val="FootnoteReference"/>
          <w:sz w:val="20"/>
        </w:rPr>
        <w:footnoteRef/>
      </w:r>
      <w:r w:rsidRPr="00B34FA0">
        <w:rPr>
          <w:sz w:val="20"/>
        </w:rPr>
        <w:t xml:space="preserve"> </w:t>
      </w:r>
      <w:r w:rsidRPr="00975042">
        <w:rPr>
          <w:rFonts w:eastAsiaTheme="minorHAnsi"/>
          <w:i/>
          <w:iCs/>
          <w:sz w:val="20"/>
        </w:rPr>
        <w:t xml:space="preserve">In the Matter of the Application of Duke Energy Ohio, Inc. for Approval of its Energy Efficiency </w:t>
      </w:r>
      <w:r w:rsidR="007B04C0" w:rsidRPr="00975042">
        <w:rPr>
          <w:rFonts w:eastAsiaTheme="minorHAnsi"/>
          <w:i/>
          <w:iCs/>
          <w:sz w:val="20"/>
        </w:rPr>
        <w:t>and Peak</w:t>
      </w:r>
      <w:r w:rsidRPr="00975042">
        <w:rPr>
          <w:rFonts w:eastAsiaTheme="minorHAnsi"/>
          <w:i/>
          <w:iCs/>
          <w:sz w:val="20"/>
        </w:rPr>
        <w:t>-Demand Reduction Portfolio Programs</w:t>
      </w:r>
      <w:r w:rsidRPr="00975042">
        <w:rPr>
          <w:rFonts w:eastAsiaTheme="minorHAnsi"/>
          <w:sz w:val="20"/>
        </w:rPr>
        <w:t>, Case No. 13-431-EL-POR, Opinion and Order at 6</w:t>
      </w:r>
      <w:r w:rsidR="003D1EE1">
        <w:rPr>
          <w:rFonts w:eastAsiaTheme="minorHAnsi"/>
          <w:sz w:val="20"/>
        </w:rPr>
        <w:t xml:space="preserve"> (December 4, 2013)</w:t>
      </w:r>
      <w:r w:rsidRPr="00975042">
        <w:rPr>
          <w:rFonts w:eastAsiaTheme="minorHAnsi"/>
          <w:sz w:val="20"/>
        </w:rPr>
        <w:t>.</w:t>
      </w:r>
    </w:p>
  </w:footnote>
  <w:footnote w:id="2">
    <w:p w:rsidR="00E8501A" w:rsidRPr="00B34FA0" w:rsidRDefault="00E8501A" w:rsidP="00B34FA0">
      <w:pPr>
        <w:pStyle w:val="FootnoteText"/>
        <w:spacing w:after="120"/>
      </w:pPr>
      <w:r w:rsidRPr="00B34FA0">
        <w:rPr>
          <w:rStyle w:val="FootnoteReference"/>
          <w:i/>
        </w:rPr>
        <w:footnoteRef/>
      </w:r>
      <w:r w:rsidRPr="00B34FA0">
        <w:rPr>
          <w:i/>
        </w:rPr>
        <w:t xml:space="preserve"> In the Matter of the Application of Duke Energy Ohio, Inc. for an Energy Efficiency Cost Recovery Mechanism and for Approval of Additional Programs for Inclusion in its Existing Portfolio</w:t>
      </w:r>
      <w:r w:rsidRPr="00B34FA0">
        <w:t>, Case No. 11-4393-EL-RDR, Application at 4 (July 20, 2011).</w:t>
      </w:r>
    </w:p>
  </w:footnote>
  <w:footnote w:id="3">
    <w:p w:rsidR="00E8501A" w:rsidRPr="00B34FA0" w:rsidRDefault="00E8501A" w:rsidP="00B34FA0">
      <w:pPr>
        <w:pStyle w:val="FootnoteText"/>
        <w:spacing w:after="120"/>
      </w:pPr>
      <w:r w:rsidRPr="00B34FA0">
        <w:rPr>
          <w:rStyle w:val="FootnoteReference"/>
        </w:rPr>
        <w:footnoteRef/>
      </w:r>
      <w:r w:rsidRPr="00B34FA0">
        <w:t xml:space="preserve"> Case No. 11-4393-EL-RDR, Stipulation at 5 (November 18, 2011).</w:t>
      </w:r>
    </w:p>
  </w:footnote>
  <w:footnote w:id="4">
    <w:p w:rsidR="00E8501A" w:rsidRPr="00B34FA0" w:rsidRDefault="00E8501A" w:rsidP="00B34FA0">
      <w:pPr>
        <w:pStyle w:val="FootnoteText"/>
        <w:spacing w:after="120"/>
      </w:pPr>
      <w:r w:rsidRPr="00B34FA0">
        <w:rPr>
          <w:rStyle w:val="FootnoteReference"/>
        </w:rPr>
        <w:footnoteRef/>
      </w:r>
      <w:r w:rsidRPr="00B34FA0">
        <w:t xml:space="preserve">  Id. at 5.</w:t>
      </w:r>
    </w:p>
  </w:footnote>
  <w:footnote w:id="5">
    <w:p w:rsidR="00E8501A" w:rsidRPr="00B34FA0" w:rsidRDefault="00E8501A" w:rsidP="00B34FA0">
      <w:pPr>
        <w:pStyle w:val="FootnoteText"/>
        <w:spacing w:after="120"/>
      </w:pPr>
      <w:r w:rsidRPr="00B34FA0">
        <w:rPr>
          <w:rStyle w:val="FootnoteReference"/>
        </w:rPr>
        <w:footnoteRef/>
      </w:r>
      <w:r w:rsidRPr="00B34FA0">
        <w:t xml:space="preserve"> Case No. 11-4393-EL-POR, Opinion and Order at 8 (August 15, 2012).</w:t>
      </w:r>
    </w:p>
  </w:footnote>
  <w:footnote w:id="6">
    <w:p w:rsidR="00E8501A" w:rsidRPr="00B34FA0" w:rsidRDefault="00E8501A" w:rsidP="00B34FA0">
      <w:pPr>
        <w:pStyle w:val="FootnoteText"/>
        <w:spacing w:after="120"/>
      </w:pPr>
      <w:r w:rsidRPr="00B34FA0">
        <w:rPr>
          <w:rStyle w:val="FootnoteReference"/>
        </w:rPr>
        <w:footnoteRef/>
      </w:r>
      <w:r w:rsidRPr="00B34FA0">
        <w:t xml:space="preserve"> Case No. 13-431-EL-POR, Stipulation at 5 (September 6, 2013).</w:t>
      </w:r>
    </w:p>
  </w:footnote>
  <w:footnote w:id="7">
    <w:p w:rsidR="00E8501A" w:rsidRPr="00B34FA0" w:rsidRDefault="00E8501A" w:rsidP="00B34FA0">
      <w:pPr>
        <w:autoSpaceDE w:val="0"/>
        <w:autoSpaceDN w:val="0"/>
        <w:adjustRightInd w:val="0"/>
        <w:spacing w:after="120"/>
        <w:rPr>
          <w:rFonts w:eastAsiaTheme="minorHAnsi"/>
          <w:i/>
          <w:iCs/>
          <w:sz w:val="20"/>
        </w:rPr>
      </w:pPr>
      <w:r w:rsidRPr="00B34FA0">
        <w:rPr>
          <w:rStyle w:val="FootnoteReference"/>
          <w:sz w:val="20"/>
        </w:rPr>
        <w:footnoteRef/>
      </w:r>
      <w:r w:rsidRPr="00B34FA0">
        <w:rPr>
          <w:sz w:val="20"/>
        </w:rPr>
        <w:t xml:space="preserve"> </w:t>
      </w:r>
      <w:r w:rsidRPr="00B34FA0">
        <w:rPr>
          <w:rFonts w:eastAsiaTheme="minorHAnsi"/>
          <w:sz w:val="20"/>
        </w:rPr>
        <w:t>Case No. 13-431-EL-POR, Opinion and Order at 6 (December 4, 2013).</w:t>
      </w:r>
    </w:p>
  </w:footnote>
  <w:footnote w:id="8">
    <w:p w:rsidR="003D1EE1" w:rsidRDefault="003D1EE1" w:rsidP="003D1EE1">
      <w:pPr>
        <w:pStyle w:val="FootnoteText"/>
        <w:spacing w:after="120"/>
      </w:pPr>
      <w:r>
        <w:rPr>
          <w:rStyle w:val="FootnoteReference"/>
        </w:rPr>
        <w:footnoteRef/>
      </w:r>
      <w:r>
        <w:t xml:space="preserve"> </w:t>
      </w:r>
      <w:r w:rsidRPr="00975042">
        <w:rPr>
          <w:i/>
        </w:rPr>
        <w:t>In the Matter of the Application of Duke Energy Ohio, Inc., for Approval to Continue Cost Recovery Mechanism for Energy Efficiency Programs Through 2016</w:t>
      </w:r>
      <w:r>
        <w:t>, Application at 3 (September 9, 2014).</w:t>
      </w:r>
    </w:p>
  </w:footnote>
  <w:footnote w:id="9">
    <w:p w:rsidR="00975042" w:rsidRDefault="00975042" w:rsidP="00975042">
      <w:pPr>
        <w:pStyle w:val="FootnoteText"/>
        <w:spacing w:after="120"/>
      </w:pPr>
      <w:r>
        <w:rPr>
          <w:rStyle w:val="FootnoteReference"/>
        </w:rPr>
        <w:footnoteRef/>
      </w:r>
      <w:r>
        <w:t xml:space="preserve"> Id.</w:t>
      </w:r>
    </w:p>
  </w:footnote>
  <w:footnote w:id="10">
    <w:p w:rsidR="00E8501A" w:rsidRPr="00B34FA0" w:rsidRDefault="00E8501A" w:rsidP="00975042">
      <w:pPr>
        <w:pStyle w:val="FootnoteText"/>
        <w:spacing w:after="120"/>
      </w:pPr>
      <w:r w:rsidRPr="00B34FA0">
        <w:rPr>
          <w:rStyle w:val="FootnoteReference"/>
        </w:rPr>
        <w:footnoteRef/>
      </w:r>
      <w:r w:rsidRPr="00B34FA0">
        <w:t xml:space="preserve"> Id. at 4.</w:t>
      </w:r>
    </w:p>
  </w:footnote>
  <w:footnote w:id="11">
    <w:p w:rsidR="003D1EE1" w:rsidRDefault="003D1EE1">
      <w:pPr>
        <w:pStyle w:val="FootnoteText"/>
      </w:pPr>
      <w:r>
        <w:rPr>
          <w:rStyle w:val="FootnoteReference"/>
        </w:rPr>
        <w:footnoteRef/>
      </w:r>
      <w:r>
        <w:t xml:space="preserve"> Id. at 3.</w:t>
      </w:r>
    </w:p>
  </w:footnote>
  <w:footnote w:id="12">
    <w:p w:rsidR="00E8501A" w:rsidRPr="00B34FA0" w:rsidRDefault="00E8501A" w:rsidP="00B34FA0">
      <w:pPr>
        <w:pStyle w:val="FootnoteText"/>
        <w:spacing w:after="120"/>
      </w:pPr>
      <w:r w:rsidRPr="00B34FA0">
        <w:rPr>
          <w:rStyle w:val="FootnoteReference"/>
        </w:rPr>
        <w:footnoteRef/>
      </w:r>
      <w:r w:rsidRPr="00B34FA0">
        <w:t xml:space="preserve"> Ohio Admin. Code 4901:1-39-07.</w:t>
      </w:r>
    </w:p>
  </w:footnote>
  <w:footnote w:id="13">
    <w:p w:rsidR="00E8501A" w:rsidRPr="00B34FA0" w:rsidRDefault="00E8501A" w:rsidP="00B34FA0">
      <w:pPr>
        <w:autoSpaceDE w:val="0"/>
        <w:autoSpaceDN w:val="0"/>
        <w:adjustRightInd w:val="0"/>
        <w:spacing w:after="120"/>
        <w:rPr>
          <w:rFonts w:eastAsiaTheme="minorHAnsi"/>
          <w:sz w:val="20"/>
        </w:rPr>
      </w:pPr>
      <w:r w:rsidRPr="00B34FA0">
        <w:rPr>
          <w:rStyle w:val="FootnoteReference"/>
          <w:sz w:val="20"/>
        </w:rPr>
        <w:footnoteRef/>
      </w:r>
      <w:r w:rsidRPr="00B34FA0">
        <w:rPr>
          <w:sz w:val="20"/>
        </w:rPr>
        <w:t xml:space="preserve"> </w:t>
      </w:r>
      <w:r w:rsidRPr="00B34FA0">
        <w:rPr>
          <w:rFonts w:eastAsiaTheme="minorHAnsi"/>
          <w:sz w:val="20"/>
        </w:rPr>
        <w:t>Ohio Power Company (Case Nos. 11-5568-EL-POR, 11-5569-EL-POR, Opinion and Order at 8), The Dayton Power and Light Company (Case No. 13-0833-EL-POR at 8)and FirstEnergy (Case No. 12-2190- EL-POR, Opinion and Order at 16) all currently have hard dollar caps on their shared savings incentive mechanisms.</w:t>
      </w:r>
    </w:p>
  </w:footnote>
  <w:footnote w:id="14">
    <w:p w:rsidR="00E8501A" w:rsidRPr="00B34FA0" w:rsidRDefault="00E8501A" w:rsidP="00B34FA0">
      <w:pPr>
        <w:pStyle w:val="FootnoteText"/>
        <w:spacing w:after="120"/>
      </w:pPr>
      <w:r w:rsidRPr="00B34FA0">
        <w:rPr>
          <w:rStyle w:val="FootnoteReference"/>
        </w:rPr>
        <w:footnoteRef/>
      </w:r>
      <w:r w:rsidRPr="00B34FA0">
        <w:rPr>
          <w:i/>
        </w:rPr>
        <w:t xml:space="preserve"> See</w:t>
      </w:r>
      <w:r w:rsidRPr="00B34FA0">
        <w:t xml:space="preserve"> </w:t>
      </w:r>
      <w:r w:rsidRPr="00B34FA0">
        <w:rPr>
          <w:i/>
        </w:rPr>
        <w:t>In the Matter of the Application of the [Companies] for Approval of Three Year Energy Efficiency and Peak Demand Reduction Plans and Initial Benchmark Report</w:t>
      </w:r>
      <w:r w:rsidRPr="00B34FA0">
        <w:t>, Case Nos. 09-1947-EL-POR, 09-1948-EL-POR, and 09-1949-EL-POR, Proposal for Incentivizing Utility Energy Efficiency Performance Submitted on Behalf of the Staff of the Public Utilities Commission of Ohio (October 24, 2011) at 4-5.</w:t>
      </w:r>
    </w:p>
  </w:footnote>
  <w:footnote w:id="15">
    <w:p w:rsidR="00E8501A" w:rsidRPr="00B34FA0" w:rsidRDefault="00E8501A" w:rsidP="00B34FA0">
      <w:pPr>
        <w:autoSpaceDE w:val="0"/>
        <w:autoSpaceDN w:val="0"/>
        <w:adjustRightInd w:val="0"/>
        <w:spacing w:after="120"/>
        <w:rPr>
          <w:rFonts w:eastAsiaTheme="minorHAnsi"/>
          <w:sz w:val="20"/>
        </w:rPr>
      </w:pPr>
      <w:r w:rsidRPr="00B34FA0">
        <w:rPr>
          <w:rStyle w:val="FootnoteReference"/>
          <w:sz w:val="20"/>
        </w:rPr>
        <w:footnoteRef/>
      </w:r>
      <w:r w:rsidRPr="00B34FA0">
        <w:rPr>
          <w:sz w:val="20"/>
        </w:rPr>
        <w:t xml:space="preserve"> </w:t>
      </w:r>
      <w:r w:rsidRPr="00B34FA0">
        <w:rPr>
          <w:rFonts w:eastAsiaTheme="minorHAnsi"/>
          <w:sz w:val="20"/>
        </w:rPr>
        <w:t xml:space="preserve">Second Supplemental Direct Testimony of Timothy J. Duff, in Case No. 11-4393-EL-RDR, at 8 (May 31, 2012); </w:t>
      </w:r>
      <w:r w:rsidRPr="00B34FA0">
        <w:rPr>
          <w:rFonts w:eastAsiaTheme="minorHAnsi"/>
          <w:i/>
          <w:iCs/>
          <w:sz w:val="20"/>
        </w:rPr>
        <w:t>See also</w:t>
      </w:r>
      <w:r w:rsidRPr="00B34FA0">
        <w:rPr>
          <w:rFonts w:eastAsiaTheme="minorHAnsi"/>
          <w:sz w:val="20"/>
        </w:rPr>
        <w:t>, Transcript of June 7, 2012, in Case No. 11-4393-EL-RDR at 37.</w:t>
      </w:r>
    </w:p>
  </w:footnote>
  <w:footnote w:id="16">
    <w:p w:rsidR="00E8501A" w:rsidRPr="00B34FA0" w:rsidRDefault="00E8501A" w:rsidP="00B34FA0">
      <w:pPr>
        <w:autoSpaceDE w:val="0"/>
        <w:autoSpaceDN w:val="0"/>
        <w:adjustRightInd w:val="0"/>
        <w:spacing w:after="120"/>
        <w:rPr>
          <w:rFonts w:eastAsiaTheme="minorHAnsi"/>
          <w:sz w:val="20"/>
        </w:rPr>
      </w:pPr>
      <w:r w:rsidRPr="00B34FA0">
        <w:rPr>
          <w:rStyle w:val="FootnoteReference"/>
          <w:sz w:val="20"/>
        </w:rPr>
        <w:footnoteRef/>
      </w:r>
      <w:r w:rsidRPr="00B34FA0">
        <w:rPr>
          <w:sz w:val="20"/>
        </w:rPr>
        <w:t xml:space="preserve"> </w:t>
      </w:r>
      <w:r w:rsidRPr="00B34FA0">
        <w:rPr>
          <w:rFonts w:eastAsiaTheme="minorHAnsi"/>
          <w:sz w:val="20"/>
        </w:rPr>
        <w:t>Direct Testimony of James E. Ziolkowski, Case No. 13-753-EL-RDR, Attachment JEZ-1, page 3 of 10. Duke is also collecting an incentive of $14 million from its Save a Watt cost recovery mechanism. See the Direct Testimony of James E. Ziolkowski, Attachment JEZ-2, page 2 of 6 in Case No. 12-1857-EL-RDR.</w:t>
      </w:r>
    </w:p>
  </w:footnote>
  <w:footnote w:id="17">
    <w:p w:rsidR="00E8501A" w:rsidRPr="00B34FA0" w:rsidRDefault="00E8501A" w:rsidP="00B34FA0">
      <w:pPr>
        <w:pStyle w:val="FootnoteText"/>
        <w:spacing w:after="120"/>
        <w:rPr>
          <w:highlight w:val="yellow"/>
        </w:rPr>
      </w:pPr>
      <w:r w:rsidRPr="00B34FA0">
        <w:rPr>
          <w:rStyle w:val="FootnoteReference"/>
        </w:rPr>
        <w:footnoteRef/>
      </w:r>
      <w:r w:rsidRPr="00B34FA0">
        <w:t xml:space="preserve">American Council for an Energy-Efficient Economy, “Carrots for Utilities: Providing Financial Returns for Utility Investments in Energy Efficiency,” January 2011, at 10.  </w:t>
      </w:r>
      <w:hyperlink r:id="rId1" w:history="1">
        <w:r w:rsidRPr="00B34FA0">
          <w:rPr>
            <w:rStyle w:val="Hyperlink"/>
          </w:rPr>
          <w:t>http://www.aceee.org/research-report/u111</w:t>
        </w:r>
      </w:hyperlink>
    </w:p>
  </w:footnote>
  <w:footnote w:id="18">
    <w:p w:rsidR="00E8501A" w:rsidRPr="00B34FA0" w:rsidRDefault="00E8501A" w:rsidP="00B34FA0">
      <w:pPr>
        <w:pStyle w:val="FootnoteText"/>
        <w:spacing w:after="120"/>
      </w:pPr>
      <w:r w:rsidRPr="00B34FA0">
        <w:rPr>
          <w:rStyle w:val="FootnoteReference"/>
        </w:rPr>
        <w:footnoteRef/>
      </w:r>
      <w:r w:rsidRPr="00B34FA0">
        <w:t xml:space="preserve"> Case No. 11-4393-EL-RDR, Stipulation at 5 (November 18, 2011).</w:t>
      </w:r>
    </w:p>
  </w:footnote>
  <w:footnote w:id="19">
    <w:p w:rsidR="00E8501A" w:rsidRPr="00B34FA0" w:rsidRDefault="00E8501A" w:rsidP="00B34FA0">
      <w:pPr>
        <w:pStyle w:val="FootnoteText"/>
        <w:spacing w:after="120"/>
      </w:pPr>
      <w:r w:rsidRPr="00B34FA0">
        <w:rPr>
          <w:rStyle w:val="FootnoteReference"/>
        </w:rPr>
        <w:footnoteRef/>
      </w:r>
      <w:r w:rsidRPr="00B34FA0">
        <w:t xml:space="preserve"> Case No. 14-457-EL-RDR, Attachment JEZ-1, at 5 of 10.</w:t>
      </w:r>
    </w:p>
  </w:footnote>
  <w:footnote w:id="20">
    <w:p w:rsidR="00E8501A" w:rsidRPr="00B34FA0" w:rsidRDefault="00E8501A" w:rsidP="00B34FA0">
      <w:pPr>
        <w:pStyle w:val="FootnoteText"/>
        <w:spacing w:after="120"/>
      </w:pPr>
      <w:r w:rsidRPr="00B34FA0">
        <w:rPr>
          <w:rStyle w:val="FootnoteReference"/>
        </w:rPr>
        <w:footnoteRef/>
      </w:r>
      <w:r w:rsidRPr="00B34FA0">
        <w:t xml:space="preserve"> Case No. 13-431-EL-POR, Application (April 15, 2013).</w:t>
      </w:r>
    </w:p>
  </w:footnote>
  <w:footnote w:id="21">
    <w:p w:rsidR="00E8501A" w:rsidRPr="00B34FA0" w:rsidRDefault="00E8501A" w:rsidP="00B34FA0">
      <w:pPr>
        <w:pStyle w:val="FootnoteText"/>
        <w:spacing w:after="120"/>
      </w:pPr>
      <w:r w:rsidRPr="00B34FA0">
        <w:rPr>
          <w:rStyle w:val="FootnoteReference"/>
        </w:rPr>
        <w:footnoteRef/>
      </w:r>
      <w:r w:rsidRPr="00B34FA0">
        <w:t xml:space="preserve"> Case No. 14-1580-EL-POR, Application at 3 (September 9, 2014).</w:t>
      </w:r>
    </w:p>
  </w:footnote>
  <w:footnote w:id="22">
    <w:p w:rsidR="00E8501A" w:rsidRPr="00B34FA0" w:rsidRDefault="00E8501A" w:rsidP="00B34FA0">
      <w:pPr>
        <w:pStyle w:val="FootnoteText"/>
        <w:spacing w:after="120"/>
      </w:pPr>
      <w:r w:rsidRPr="00B34FA0">
        <w:rPr>
          <w:rStyle w:val="FootnoteReference"/>
        </w:rPr>
        <w:footnoteRef/>
      </w:r>
      <w:r w:rsidRPr="00B34FA0">
        <w:t xml:space="preserve"> </w:t>
      </w:r>
      <w:r w:rsidRPr="00B34FA0">
        <w:rPr>
          <w:i/>
        </w:rPr>
        <w:t>In the Matter of the Application of Duke Energy Ohio, Inc. for Recovery of Program Costs, Lost Distribution Revenue and Performance Incentives Related to its Energy Efficiency and Demand Response Programs</w:t>
      </w:r>
      <w:r w:rsidRPr="00B34FA0">
        <w:t>, Case No. 14-457-EL-RDR, Hammerle Direct at 7 (March 28, 2014).</w:t>
      </w:r>
    </w:p>
  </w:footnote>
  <w:footnote w:id="23">
    <w:p w:rsidR="00E8501A" w:rsidRPr="00B34FA0" w:rsidRDefault="00E8501A" w:rsidP="00B34FA0">
      <w:pPr>
        <w:pStyle w:val="FootnoteText"/>
        <w:spacing w:after="120"/>
      </w:pPr>
      <w:r w:rsidRPr="00B34FA0">
        <w:rPr>
          <w:rStyle w:val="FootnoteReference"/>
        </w:rPr>
        <w:footnoteRef/>
      </w:r>
      <w:r w:rsidRPr="00B34FA0">
        <w:t xml:space="preserve"> Id., Hammerle Direct at 8.</w:t>
      </w:r>
    </w:p>
  </w:footnote>
  <w:footnote w:id="24">
    <w:p w:rsidR="00E8501A" w:rsidRPr="00B34FA0" w:rsidRDefault="00E8501A" w:rsidP="00B34FA0">
      <w:pPr>
        <w:pStyle w:val="FootnoteText"/>
        <w:spacing w:after="120"/>
      </w:pPr>
      <w:r w:rsidRPr="00B34FA0">
        <w:rPr>
          <w:rStyle w:val="FootnoteReference"/>
        </w:rPr>
        <w:footnoteRef/>
      </w:r>
      <w:r w:rsidRPr="00B34FA0">
        <w:t xml:space="preserve"> Case No. 14-1580-EL-RDR, Application at 3 (September 9, 2014).</w:t>
      </w:r>
    </w:p>
  </w:footnote>
  <w:footnote w:id="25">
    <w:p w:rsidR="00E8501A" w:rsidRPr="00B34FA0" w:rsidRDefault="00E8501A" w:rsidP="00B34FA0">
      <w:pPr>
        <w:pStyle w:val="FootnoteText"/>
        <w:spacing w:after="120"/>
      </w:pPr>
      <w:r w:rsidRPr="00B34FA0">
        <w:rPr>
          <w:rStyle w:val="FootnoteReference"/>
        </w:rPr>
        <w:footnoteRef/>
      </w:r>
      <w:r w:rsidRPr="00B34FA0">
        <w:t xml:space="preserve"> </w:t>
      </w:r>
      <w:r w:rsidRPr="00B34FA0">
        <w:rPr>
          <w:i/>
        </w:rPr>
        <w:t>See</w:t>
      </w:r>
      <w:r w:rsidRPr="00B34FA0">
        <w:t xml:space="preserve"> R.C. 4928.143(F).</w:t>
      </w:r>
    </w:p>
  </w:footnote>
  <w:footnote w:id="26">
    <w:p w:rsidR="00E8501A" w:rsidRPr="00B34FA0" w:rsidRDefault="00E8501A" w:rsidP="00B34FA0">
      <w:pPr>
        <w:pStyle w:val="FootnoteText"/>
        <w:spacing w:after="120"/>
      </w:pPr>
      <w:r w:rsidRPr="00B34FA0">
        <w:rPr>
          <w:rStyle w:val="FootnoteReference"/>
        </w:rPr>
        <w:footnoteRef/>
      </w:r>
      <w:r w:rsidRPr="00B34FA0">
        <w:t xml:space="preserve"> </w:t>
      </w:r>
      <w:r w:rsidRPr="00B34FA0">
        <w:rPr>
          <w:i/>
        </w:rPr>
        <w:t>See</w:t>
      </w:r>
      <w:r w:rsidRPr="00B34FA0">
        <w:t xml:space="preserve"> Duke’s Application in Case No. 14-457-EL-RDR. Duke filed an application to modify Rider EE-PDR, which recovers the costs of its energy efficiency portfolio. It is evident from the filing that Dike failed to meet the required energy efficiency benchmark in 2013, but complied with the requirement through the use of banked savings.</w:t>
      </w:r>
    </w:p>
  </w:footnote>
  <w:footnote w:id="27">
    <w:p w:rsidR="00E8501A" w:rsidRPr="00975042" w:rsidRDefault="00E8501A" w:rsidP="00975042">
      <w:pPr>
        <w:autoSpaceDE w:val="0"/>
        <w:autoSpaceDN w:val="0"/>
        <w:adjustRightInd w:val="0"/>
        <w:spacing w:after="120"/>
        <w:rPr>
          <w:sz w:val="20"/>
        </w:rPr>
      </w:pPr>
      <w:r w:rsidRPr="00975042">
        <w:rPr>
          <w:rStyle w:val="FootnoteReference"/>
          <w:sz w:val="20"/>
        </w:rPr>
        <w:footnoteRef/>
      </w:r>
      <w:r w:rsidRPr="00975042">
        <w:rPr>
          <w:sz w:val="20"/>
        </w:rPr>
        <w:t xml:space="preserve"> </w:t>
      </w:r>
      <w:r w:rsidRPr="00975042">
        <w:rPr>
          <w:rFonts w:eastAsiaTheme="minorHAnsi"/>
          <w:i/>
          <w:iCs/>
          <w:sz w:val="20"/>
        </w:rPr>
        <w:t>In the Matter of the Application of Columbus Southern Power Company for Approval of its Program Portfolio Plan and Request for Expedited Consideration</w:t>
      </w:r>
      <w:r w:rsidRPr="00975042">
        <w:rPr>
          <w:rFonts w:eastAsiaTheme="minorHAnsi"/>
          <w:sz w:val="20"/>
        </w:rPr>
        <w:t>, Case No. 11-5568-EL-POR, et al., Opinion and</w:t>
      </w:r>
      <w:r w:rsidR="00975042" w:rsidRPr="00975042">
        <w:rPr>
          <w:rFonts w:eastAsiaTheme="minorHAnsi"/>
          <w:sz w:val="20"/>
        </w:rPr>
        <w:t xml:space="preserve"> </w:t>
      </w:r>
      <w:r w:rsidRPr="00975042">
        <w:rPr>
          <w:rFonts w:eastAsiaTheme="minorHAnsi"/>
          <w:sz w:val="20"/>
        </w:rPr>
        <w:t>Order at 8.</w:t>
      </w:r>
    </w:p>
  </w:footnote>
  <w:footnote w:id="28">
    <w:p w:rsidR="00E8501A" w:rsidRPr="00B34FA0" w:rsidRDefault="00E8501A" w:rsidP="00B34FA0">
      <w:pPr>
        <w:pStyle w:val="FootnoteText"/>
        <w:spacing w:after="120"/>
      </w:pPr>
      <w:r w:rsidRPr="00B34FA0">
        <w:rPr>
          <w:rStyle w:val="FootnoteReference"/>
        </w:rPr>
        <w:footnoteRef/>
      </w:r>
      <w:r w:rsidRPr="00B34FA0">
        <w:t xml:space="preserve"> Case No. 14-1580-EL-RDR, Application at 3 (September 9, 2014).</w:t>
      </w:r>
    </w:p>
  </w:footnote>
  <w:footnote w:id="29">
    <w:p w:rsidR="00E8501A" w:rsidRPr="00B34FA0" w:rsidRDefault="00E8501A" w:rsidP="00B34FA0">
      <w:pPr>
        <w:pStyle w:val="FootnoteText"/>
        <w:spacing w:after="120"/>
      </w:pPr>
      <w:r w:rsidRPr="00B34FA0">
        <w:rPr>
          <w:rStyle w:val="FootnoteReference"/>
        </w:rPr>
        <w:footnoteRef/>
      </w:r>
      <w:r w:rsidRPr="00B34FA0">
        <w:t xml:space="preserve"> OMA Reply Comments in 14-0457, see Attachment 1.</w:t>
      </w:r>
    </w:p>
  </w:footnote>
  <w:footnote w:id="30">
    <w:p w:rsidR="00E8501A" w:rsidRPr="00B34FA0" w:rsidRDefault="00E8501A" w:rsidP="00B34FA0">
      <w:pPr>
        <w:pStyle w:val="FootnoteText"/>
        <w:spacing w:after="120"/>
      </w:pPr>
      <w:r w:rsidRPr="00B34FA0">
        <w:rPr>
          <w:rStyle w:val="FootnoteReference"/>
        </w:rPr>
        <w:footnoteRef/>
      </w:r>
      <w:r w:rsidRPr="00B34FA0">
        <w:t xml:space="preserve"> Page 3 of Revised Attachment JEZ-1 to the Direct Testimony of Ziolkowski, Case 14-0457.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7A" w:rsidRDefault="003A58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7A" w:rsidRDefault="003A58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7A" w:rsidRDefault="003A58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01A" w:rsidRDefault="00E8501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01A" w:rsidRDefault="00E8501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01A" w:rsidRDefault="00E8501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C0" w:rsidRDefault="007B04C0">
    <w:pPr>
      <w:pStyle w:val="Header"/>
    </w:pPr>
  </w:p>
  <w:p w:rsidR="007B04C0" w:rsidRDefault="007B04C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3D" w:rsidRDefault="0016733D">
    <w:pPr>
      <w:pStyle w:val="Header"/>
    </w:pPr>
  </w:p>
  <w:p w:rsidR="0016733D" w:rsidRDefault="001673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348762E"/>
    <w:lvl w:ilvl="0">
      <w:start w:val="1"/>
      <w:numFmt w:val="decimal"/>
      <w:lvlText w:val="%1."/>
      <w:lvlJc w:val="left"/>
      <w:pPr>
        <w:tabs>
          <w:tab w:val="num" w:pos="1080"/>
        </w:tabs>
        <w:ind w:left="1080" w:hanging="360"/>
      </w:pPr>
    </w:lvl>
  </w:abstractNum>
  <w:abstractNum w:abstractNumId="1">
    <w:nsid w:val="FFFFFF7F"/>
    <w:multiLevelType w:val="singleLevel"/>
    <w:tmpl w:val="CD4C8100"/>
    <w:lvl w:ilvl="0">
      <w:start w:val="1"/>
      <w:numFmt w:val="decimal"/>
      <w:lvlText w:val="%1."/>
      <w:lvlJc w:val="left"/>
      <w:pPr>
        <w:tabs>
          <w:tab w:val="num" w:pos="720"/>
        </w:tabs>
        <w:ind w:left="720" w:hanging="360"/>
      </w:pPr>
    </w:lvl>
  </w:abstractNum>
  <w:abstractNum w:abstractNumId="2">
    <w:nsid w:val="FFFFFF80"/>
    <w:multiLevelType w:val="singleLevel"/>
    <w:tmpl w:val="1800FFCC"/>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D5FCC542"/>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ACBAFEE2"/>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CFC8D930"/>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FC0CE2DC"/>
    <w:lvl w:ilvl="0">
      <w:start w:val="1"/>
      <w:numFmt w:val="decimal"/>
      <w:lvlText w:val="%1."/>
      <w:lvlJc w:val="left"/>
      <w:pPr>
        <w:tabs>
          <w:tab w:val="num" w:pos="360"/>
        </w:tabs>
        <w:ind w:left="360" w:hanging="360"/>
      </w:pPr>
    </w:lvl>
  </w:abstractNum>
  <w:abstractNum w:abstractNumId="7">
    <w:nsid w:val="FFFFFF89"/>
    <w:multiLevelType w:val="singleLevel"/>
    <w:tmpl w:val="5E625A26"/>
    <w:lvl w:ilvl="0">
      <w:start w:val="1"/>
      <w:numFmt w:val="bullet"/>
      <w:lvlText w:val=""/>
      <w:lvlJc w:val="left"/>
      <w:pPr>
        <w:tabs>
          <w:tab w:val="num" w:pos="360"/>
        </w:tabs>
        <w:ind w:left="360" w:hanging="360"/>
      </w:pPr>
      <w:rPr>
        <w:rFonts w:ascii="Symbol" w:hAnsi="Symbol" w:hint="default"/>
      </w:rPr>
    </w:lvl>
  </w:abstractNum>
  <w:abstractNum w:abstractNumId="8">
    <w:nsid w:val="13AF4C76"/>
    <w:multiLevelType w:val="hybridMultilevel"/>
    <w:tmpl w:val="C2C489DC"/>
    <w:lvl w:ilvl="0" w:tplc="A0D0C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778EF"/>
    <w:multiLevelType w:val="hybridMultilevel"/>
    <w:tmpl w:val="2E225DF4"/>
    <w:lvl w:ilvl="0" w:tplc="B17EB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1614D"/>
    <w:multiLevelType w:val="hybridMultilevel"/>
    <w:tmpl w:val="88302D5A"/>
    <w:lvl w:ilvl="0" w:tplc="832475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794428"/>
    <w:multiLevelType w:val="hybridMultilevel"/>
    <w:tmpl w:val="B3F69A4A"/>
    <w:lvl w:ilvl="0" w:tplc="83DC1F7A">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465701"/>
    <w:multiLevelType w:val="hybridMultilevel"/>
    <w:tmpl w:val="2534B106"/>
    <w:lvl w:ilvl="0" w:tplc="5AA4B2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5"/>
  </w:num>
  <w:num w:numId="4">
    <w:abstractNumId w:val="4"/>
  </w:num>
  <w:num w:numId="5">
    <w:abstractNumId w:val="3"/>
  </w:num>
  <w:num w:numId="6">
    <w:abstractNumId w:val="2"/>
  </w:num>
  <w:num w:numId="7">
    <w:abstractNumId w:val="6"/>
  </w:num>
  <w:num w:numId="8">
    <w:abstractNumId w:val="1"/>
  </w:num>
  <w:num w:numId="9">
    <w:abstractNumId w:val="0"/>
  </w:num>
  <w:num w:numId="10">
    <w:abstractNumId w:val="11"/>
  </w:num>
  <w:num w:numId="11">
    <w:abstractNumId w:val="1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22"/>
    <w:rsid w:val="00026474"/>
    <w:rsid w:val="00026AD7"/>
    <w:rsid w:val="00043884"/>
    <w:rsid w:val="00065FE3"/>
    <w:rsid w:val="00072807"/>
    <w:rsid w:val="000A5F0B"/>
    <w:rsid w:val="000B78B3"/>
    <w:rsid w:val="000D0AB6"/>
    <w:rsid w:val="000D702C"/>
    <w:rsid w:val="000E5BC9"/>
    <w:rsid w:val="000F6A4F"/>
    <w:rsid w:val="001403FB"/>
    <w:rsid w:val="00153E1C"/>
    <w:rsid w:val="0016733D"/>
    <w:rsid w:val="001B6530"/>
    <w:rsid w:val="001C750D"/>
    <w:rsid w:val="001E1778"/>
    <w:rsid w:val="001F5839"/>
    <w:rsid w:val="002379C6"/>
    <w:rsid w:val="00265638"/>
    <w:rsid w:val="002669A9"/>
    <w:rsid w:val="00266C78"/>
    <w:rsid w:val="002943AC"/>
    <w:rsid w:val="002A69A1"/>
    <w:rsid w:val="002B0C45"/>
    <w:rsid w:val="002C1D2E"/>
    <w:rsid w:val="0032137F"/>
    <w:rsid w:val="00341322"/>
    <w:rsid w:val="00353972"/>
    <w:rsid w:val="00387082"/>
    <w:rsid w:val="003A587A"/>
    <w:rsid w:val="003C6D74"/>
    <w:rsid w:val="003D1EE1"/>
    <w:rsid w:val="00422753"/>
    <w:rsid w:val="00427515"/>
    <w:rsid w:val="00427B6E"/>
    <w:rsid w:val="00463470"/>
    <w:rsid w:val="0046484A"/>
    <w:rsid w:val="004B3918"/>
    <w:rsid w:val="004D3F89"/>
    <w:rsid w:val="004F3555"/>
    <w:rsid w:val="004F7821"/>
    <w:rsid w:val="00505048"/>
    <w:rsid w:val="00540365"/>
    <w:rsid w:val="00547357"/>
    <w:rsid w:val="00551EF0"/>
    <w:rsid w:val="00560122"/>
    <w:rsid w:val="00565865"/>
    <w:rsid w:val="00573D42"/>
    <w:rsid w:val="00586F6A"/>
    <w:rsid w:val="005A7FD3"/>
    <w:rsid w:val="005B26EC"/>
    <w:rsid w:val="005B4272"/>
    <w:rsid w:val="005E17A2"/>
    <w:rsid w:val="005E57D6"/>
    <w:rsid w:val="0060143E"/>
    <w:rsid w:val="006201BA"/>
    <w:rsid w:val="006262BA"/>
    <w:rsid w:val="0063173A"/>
    <w:rsid w:val="00633D0C"/>
    <w:rsid w:val="00643CDF"/>
    <w:rsid w:val="00646F5A"/>
    <w:rsid w:val="00656C25"/>
    <w:rsid w:val="00681C7E"/>
    <w:rsid w:val="006820E9"/>
    <w:rsid w:val="0069582A"/>
    <w:rsid w:val="006C6EDC"/>
    <w:rsid w:val="00703F3F"/>
    <w:rsid w:val="0072387C"/>
    <w:rsid w:val="00751673"/>
    <w:rsid w:val="00762CEF"/>
    <w:rsid w:val="00771FBE"/>
    <w:rsid w:val="00780AC5"/>
    <w:rsid w:val="007816D7"/>
    <w:rsid w:val="007A3ED9"/>
    <w:rsid w:val="007B04C0"/>
    <w:rsid w:val="007E51FF"/>
    <w:rsid w:val="007F2C0C"/>
    <w:rsid w:val="00812174"/>
    <w:rsid w:val="00820F0A"/>
    <w:rsid w:val="00866FB6"/>
    <w:rsid w:val="00884C26"/>
    <w:rsid w:val="008F1071"/>
    <w:rsid w:val="008F68C4"/>
    <w:rsid w:val="009005B7"/>
    <w:rsid w:val="0090384F"/>
    <w:rsid w:val="00911AE0"/>
    <w:rsid w:val="00920814"/>
    <w:rsid w:val="009503EF"/>
    <w:rsid w:val="00966D72"/>
    <w:rsid w:val="00974210"/>
    <w:rsid w:val="009743CB"/>
    <w:rsid w:val="00975042"/>
    <w:rsid w:val="00981BA3"/>
    <w:rsid w:val="009B4766"/>
    <w:rsid w:val="009D060C"/>
    <w:rsid w:val="009D1021"/>
    <w:rsid w:val="009E1E84"/>
    <w:rsid w:val="00A038E9"/>
    <w:rsid w:val="00A20165"/>
    <w:rsid w:val="00A405C1"/>
    <w:rsid w:val="00A853B1"/>
    <w:rsid w:val="00A87C86"/>
    <w:rsid w:val="00A955D5"/>
    <w:rsid w:val="00AA3468"/>
    <w:rsid w:val="00AA528B"/>
    <w:rsid w:val="00AB1236"/>
    <w:rsid w:val="00AF6959"/>
    <w:rsid w:val="00B06ED9"/>
    <w:rsid w:val="00B34FA0"/>
    <w:rsid w:val="00B55AB6"/>
    <w:rsid w:val="00B653F0"/>
    <w:rsid w:val="00B759CF"/>
    <w:rsid w:val="00B85AD5"/>
    <w:rsid w:val="00BA0815"/>
    <w:rsid w:val="00BA1785"/>
    <w:rsid w:val="00BA5ECC"/>
    <w:rsid w:val="00BA6187"/>
    <w:rsid w:val="00BB088C"/>
    <w:rsid w:val="00BB63DD"/>
    <w:rsid w:val="00BC18DF"/>
    <w:rsid w:val="00C00005"/>
    <w:rsid w:val="00C02640"/>
    <w:rsid w:val="00C05A5E"/>
    <w:rsid w:val="00C214D7"/>
    <w:rsid w:val="00C21BE4"/>
    <w:rsid w:val="00C36F1A"/>
    <w:rsid w:val="00C67C33"/>
    <w:rsid w:val="00C70A84"/>
    <w:rsid w:val="00C80FE0"/>
    <w:rsid w:val="00CA06A5"/>
    <w:rsid w:val="00CB25A7"/>
    <w:rsid w:val="00CB76D3"/>
    <w:rsid w:val="00CC1169"/>
    <w:rsid w:val="00D10E5E"/>
    <w:rsid w:val="00D124A0"/>
    <w:rsid w:val="00D15A5F"/>
    <w:rsid w:val="00D518ED"/>
    <w:rsid w:val="00D70E02"/>
    <w:rsid w:val="00D87014"/>
    <w:rsid w:val="00DA3B98"/>
    <w:rsid w:val="00DF324F"/>
    <w:rsid w:val="00E114E4"/>
    <w:rsid w:val="00E4009F"/>
    <w:rsid w:val="00E63B5C"/>
    <w:rsid w:val="00E76C56"/>
    <w:rsid w:val="00E80C8B"/>
    <w:rsid w:val="00E8501A"/>
    <w:rsid w:val="00E864B4"/>
    <w:rsid w:val="00E93DE6"/>
    <w:rsid w:val="00E952AB"/>
    <w:rsid w:val="00EA3E43"/>
    <w:rsid w:val="00EB62B1"/>
    <w:rsid w:val="00EC19EC"/>
    <w:rsid w:val="00EC79FE"/>
    <w:rsid w:val="00EE5AC8"/>
    <w:rsid w:val="00EE6747"/>
    <w:rsid w:val="00F060F6"/>
    <w:rsid w:val="00F156DA"/>
    <w:rsid w:val="00F40DC6"/>
    <w:rsid w:val="00F456BE"/>
    <w:rsid w:val="00F45F1A"/>
    <w:rsid w:val="00F90EBF"/>
    <w:rsid w:val="00FE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2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F40DC6"/>
    <w:pPr>
      <w:keepNext/>
      <w:keepLines/>
      <w:spacing w:line="480" w:lineRule="auto"/>
      <w:outlineLvl w:val="0"/>
    </w:pPr>
    <w:rPr>
      <w:rFonts w:ascii="Times New Roman Bold" w:eastAsiaTheme="majorEastAsia" w:hAnsi="Times New Roman Bold" w:cstheme="majorBidi"/>
      <w:b/>
      <w:bCs/>
      <w:szCs w:val="28"/>
    </w:rPr>
  </w:style>
  <w:style w:type="paragraph" w:styleId="Heading2">
    <w:name w:val="heading 2"/>
    <w:basedOn w:val="Normal"/>
    <w:next w:val="Normal"/>
    <w:link w:val="Heading2Char"/>
    <w:autoRedefine/>
    <w:uiPriority w:val="9"/>
    <w:unhideWhenUsed/>
    <w:qFormat/>
    <w:rsid w:val="00681C7E"/>
    <w:pPr>
      <w:keepNext/>
      <w:keepLines/>
      <w:numPr>
        <w:numId w:val="10"/>
      </w:numPr>
      <w:spacing w:after="240"/>
      <w:ind w:left="1440" w:right="720" w:hanging="720"/>
      <w:outlineLvl w:val="1"/>
    </w:pPr>
    <w:rPr>
      <w:rFonts w:ascii="Times New Roman Bold" w:eastAsiaTheme="majorEastAsia" w:hAnsi="Times New Roman Bold" w:cstheme="majorBidi"/>
      <w:b/>
      <w:bCs/>
      <w:szCs w:val="26"/>
    </w:rPr>
  </w:style>
  <w:style w:type="paragraph" w:styleId="Heading3">
    <w:name w:val="heading 3"/>
    <w:basedOn w:val="Normal"/>
    <w:next w:val="Normal"/>
    <w:link w:val="Heading3Char"/>
    <w:autoRedefine/>
    <w:uiPriority w:val="9"/>
    <w:semiHidden/>
    <w:unhideWhenUsed/>
    <w:qFormat/>
    <w:rsid w:val="00341322"/>
    <w:pPr>
      <w:keepNext/>
      <w:keepLines/>
      <w:spacing w:after="240"/>
      <w:ind w:left="2160" w:hanging="720"/>
      <w:outlineLvl w:val="2"/>
    </w:pPr>
    <w:rPr>
      <w:rFonts w:ascii="Times New Roman Bold" w:eastAsiaTheme="majorEastAsia" w:hAnsi="Times New Roman Bold"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34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341322"/>
    <w:rPr>
      <w:rFonts w:ascii="Courier New" w:eastAsia="Courier New" w:hAnsi="Courier New" w:cs="Courier New"/>
      <w:sz w:val="20"/>
      <w:szCs w:val="20"/>
    </w:rPr>
  </w:style>
  <w:style w:type="paragraph" w:styleId="ListParagraph">
    <w:name w:val="List Paragraph"/>
    <w:basedOn w:val="Normal"/>
    <w:uiPriority w:val="34"/>
    <w:qFormat/>
    <w:rsid w:val="00341322"/>
    <w:pPr>
      <w:ind w:left="720"/>
      <w:contextualSpacing/>
    </w:pPr>
  </w:style>
  <w:style w:type="character" w:customStyle="1" w:styleId="Heading1Char">
    <w:name w:val="Heading 1 Char"/>
    <w:basedOn w:val="DefaultParagraphFont"/>
    <w:link w:val="Heading1"/>
    <w:uiPriority w:val="9"/>
    <w:rsid w:val="00F40DC6"/>
    <w:rPr>
      <w:rFonts w:ascii="Times New Roman Bold" w:eastAsiaTheme="majorEastAsia" w:hAnsi="Times New Roman Bold" w:cstheme="majorBidi"/>
      <w:b/>
      <w:bCs/>
      <w:sz w:val="24"/>
      <w:szCs w:val="28"/>
    </w:rPr>
  </w:style>
  <w:style w:type="character" w:customStyle="1" w:styleId="Heading2Char">
    <w:name w:val="Heading 2 Char"/>
    <w:basedOn w:val="DefaultParagraphFont"/>
    <w:link w:val="Heading2"/>
    <w:uiPriority w:val="9"/>
    <w:rsid w:val="00681C7E"/>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uiPriority w:val="9"/>
    <w:semiHidden/>
    <w:rsid w:val="00341322"/>
    <w:rPr>
      <w:rFonts w:ascii="Times New Roman Bold" w:eastAsiaTheme="majorEastAsia" w:hAnsi="Times New Roman Bold" w:cstheme="majorBidi"/>
      <w:b/>
      <w:bCs/>
      <w:sz w:val="24"/>
      <w:szCs w:val="20"/>
    </w:rPr>
  </w:style>
  <w:style w:type="character" w:styleId="Hyperlink">
    <w:name w:val="Hyperlink"/>
    <w:uiPriority w:val="99"/>
    <w:rsid w:val="00341322"/>
    <w:rPr>
      <w:color w:val="0000FF"/>
      <w:u w:val="single"/>
    </w:rPr>
  </w:style>
  <w:style w:type="paragraph" w:styleId="BodyText">
    <w:name w:val="Body Text"/>
    <w:basedOn w:val="Normal"/>
    <w:link w:val="BodyTextChar"/>
    <w:rsid w:val="00341322"/>
    <w:pPr>
      <w:jc w:val="both"/>
    </w:pPr>
  </w:style>
  <w:style w:type="character" w:customStyle="1" w:styleId="BodyTextChar">
    <w:name w:val="Body Text Char"/>
    <w:basedOn w:val="DefaultParagraphFont"/>
    <w:link w:val="BodyText"/>
    <w:rsid w:val="00341322"/>
    <w:rPr>
      <w:rFonts w:ascii="Times New Roman" w:eastAsia="Times New Roman" w:hAnsi="Times New Roman" w:cs="Times New Roman"/>
      <w:sz w:val="24"/>
      <w:szCs w:val="20"/>
    </w:rPr>
  </w:style>
  <w:style w:type="paragraph" w:styleId="CommentText">
    <w:name w:val="annotation text"/>
    <w:basedOn w:val="Normal"/>
    <w:link w:val="CommentTextChar"/>
    <w:semiHidden/>
    <w:rsid w:val="00341322"/>
    <w:rPr>
      <w:szCs w:val="24"/>
    </w:rPr>
  </w:style>
  <w:style w:type="character" w:customStyle="1" w:styleId="CommentTextChar">
    <w:name w:val="Comment Text Char"/>
    <w:basedOn w:val="DefaultParagraphFont"/>
    <w:link w:val="CommentText"/>
    <w:semiHidden/>
    <w:rsid w:val="003413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341322"/>
    <w:rPr>
      <w:szCs w:val="20"/>
    </w:rPr>
  </w:style>
  <w:style w:type="character" w:customStyle="1" w:styleId="CommentSubjectChar">
    <w:name w:val="Comment Subject Char"/>
    <w:basedOn w:val="CommentTextChar"/>
    <w:link w:val="CommentSubject"/>
    <w:semiHidden/>
    <w:rsid w:val="00341322"/>
    <w:rPr>
      <w:rFonts w:ascii="Times New Roman" w:eastAsia="Times New Roman" w:hAnsi="Times New Roman" w:cs="Times New Roman"/>
      <w:sz w:val="24"/>
      <w:szCs w:val="20"/>
    </w:rPr>
  </w:style>
  <w:style w:type="table" w:styleId="TableGrid">
    <w:name w:val="Table Grid"/>
    <w:basedOn w:val="TableNormal"/>
    <w:uiPriority w:val="59"/>
    <w:rsid w:val="007F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64B4"/>
    <w:rPr>
      <w:sz w:val="20"/>
    </w:rPr>
  </w:style>
  <w:style w:type="character" w:customStyle="1" w:styleId="FootnoteTextChar">
    <w:name w:val="Footnote Text Char"/>
    <w:basedOn w:val="DefaultParagraphFont"/>
    <w:link w:val="FootnoteText"/>
    <w:uiPriority w:val="99"/>
    <w:semiHidden/>
    <w:rsid w:val="00E864B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864B4"/>
    <w:rPr>
      <w:vertAlign w:val="superscript"/>
    </w:rPr>
  </w:style>
  <w:style w:type="paragraph" w:styleId="Header">
    <w:name w:val="header"/>
    <w:basedOn w:val="Normal"/>
    <w:link w:val="HeaderChar"/>
    <w:uiPriority w:val="99"/>
    <w:unhideWhenUsed/>
    <w:rsid w:val="00AA3468"/>
    <w:pPr>
      <w:tabs>
        <w:tab w:val="center" w:pos="4680"/>
        <w:tab w:val="right" w:pos="9360"/>
      </w:tabs>
    </w:pPr>
  </w:style>
  <w:style w:type="character" w:customStyle="1" w:styleId="HeaderChar">
    <w:name w:val="Header Char"/>
    <w:basedOn w:val="DefaultParagraphFont"/>
    <w:link w:val="Header"/>
    <w:uiPriority w:val="99"/>
    <w:rsid w:val="00AA346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A3468"/>
    <w:pPr>
      <w:tabs>
        <w:tab w:val="center" w:pos="4680"/>
        <w:tab w:val="right" w:pos="9360"/>
      </w:tabs>
    </w:pPr>
  </w:style>
  <w:style w:type="character" w:customStyle="1" w:styleId="FooterChar">
    <w:name w:val="Footer Char"/>
    <w:basedOn w:val="DefaultParagraphFont"/>
    <w:link w:val="Footer"/>
    <w:uiPriority w:val="99"/>
    <w:rsid w:val="00AA3468"/>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0143E"/>
    <w:rPr>
      <w:sz w:val="16"/>
      <w:szCs w:val="16"/>
    </w:rPr>
  </w:style>
  <w:style w:type="paragraph" w:styleId="BalloonText">
    <w:name w:val="Balloon Text"/>
    <w:basedOn w:val="Normal"/>
    <w:link w:val="BalloonTextChar"/>
    <w:uiPriority w:val="99"/>
    <w:semiHidden/>
    <w:unhideWhenUsed/>
    <w:rsid w:val="0060143E"/>
    <w:rPr>
      <w:rFonts w:ascii="Tahoma" w:hAnsi="Tahoma" w:cs="Tahoma"/>
      <w:sz w:val="16"/>
      <w:szCs w:val="16"/>
    </w:rPr>
  </w:style>
  <w:style w:type="character" w:customStyle="1" w:styleId="BalloonTextChar">
    <w:name w:val="Balloon Text Char"/>
    <w:basedOn w:val="DefaultParagraphFont"/>
    <w:link w:val="BalloonText"/>
    <w:uiPriority w:val="99"/>
    <w:semiHidden/>
    <w:rsid w:val="0060143E"/>
    <w:rPr>
      <w:rFonts w:ascii="Tahoma" w:eastAsia="Times New Roman" w:hAnsi="Tahoma" w:cs="Tahoma"/>
      <w:sz w:val="16"/>
      <w:szCs w:val="16"/>
    </w:rPr>
  </w:style>
  <w:style w:type="paragraph" w:styleId="Index1">
    <w:name w:val="index 1"/>
    <w:basedOn w:val="Normal"/>
    <w:next w:val="Normal"/>
    <w:autoRedefine/>
    <w:uiPriority w:val="99"/>
    <w:unhideWhenUsed/>
    <w:qFormat/>
    <w:rsid w:val="00F40DC6"/>
    <w:pPr>
      <w:spacing w:after="240"/>
      <w:ind w:left="720" w:hanging="720"/>
    </w:pPr>
    <w:rPr>
      <w:rFonts w:ascii="Times New Roman Bold" w:hAnsi="Times New Roman Bold"/>
      <w:b/>
      <w:caps/>
    </w:rPr>
  </w:style>
  <w:style w:type="paragraph" w:styleId="TOC1">
    <w:name w:val="toc 1"/>
    <w:basedOn w:val="Normal"/>
    <w:next w:val="Normal"/>
    <w:autoRedefine/>
    <w:uiPriority w:val="39"/>
    <w:unhideWhenUsed/>
    <w:qFormat/>
    <w:rsid w:val="00F40DC6"/>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F40DC6"/>
    <w:pPr>
      <w:tabs>
        <w:tab w:val="decimal" w:leader="dot" w:pos="8640"/>
      </w:tabs>
      <w:spacing w:after="240"/>
      <w:ind w:left="1440" w:hanging="720"/>
    </w:pPr>
  </w:style>
  <w:style w:type="paragraph" w:styleId="Index2">
    <w:name w:val="index 2"/>
    <w:basedOn w:val="Normal"/>
    <w:next w:val="Normal"/>
    <w:autoRedefine/>
    <w:uiPriority w:val="99"/>
    <w:semiHidden/>
    <w:unhideWhenUsed/>
    <w:qFormat/>
    <w:rsid w:val="00F40DC6"/>
    <w:pPr>
      <w:spacing w:after="240"/>
      <w:ind w:left="1440" w:hanging="720"/>
    </w:pPr>
    <w:rPr>
      <w:rFonts w:ascii="Times New Roman Bold" w:hAnsi="Times New Roman Bold"/>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2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F40DC6"/>
    <w:pPr>
      <w:keepNext/>
      <w:keepLines/>
      <w:spacing w:line="480" w:lineRule="auto"/>
      <w:outlineLvl w:val="0"/>
    </w:pPr>
    <w:rPr>
      <w:rFonts w:ascii="Times New Roman Bold" w:eastAsiaTheme="majorEastAsia" w:hAnsi="Times New Roman Bold" w:cstheme="majorBidi"/>
      <w:b/>
      <w:bCs/>
      <w:szCs w:val="28"/>
    </w:rPr>
  </w:style>
  <w:style w:type="paragraph" w:styleId="Heading2">
    <w:name w:val="heading 2"/>
    <w:basedOn w:val="Normal"/>
    <w:next w:val="Normal"/>
    <w:link w:val="Heading2Char"/>
    <w:autoRedefine/>
    <w:uiPriority w:val="9"/>
    <w:unhideWhenUsed/>
    <w:qFormat/>
    <w:rsid w:val="00681C7E"/>
    <w:pPr>
      <w:keepNext/>
      <w:keepLines/>
      <w:numPr>
        <w:numId w:val="10"/>
      </w:numPr>
      <w:spacing w:after="240"/>
      <w:ind w:left="1440" w:right="720" w:hanging="720"/>
      <w:outlineLvl w:val="1"/>
    </w:pPr>
    <w:rPr>
      <w:rFonts w:ascii="Times New Roman Bold" w:eastAsiaTheme="majorEastAsia" w:hAnsi="Times New Roman Bold" w:cstheme="majorBidi"/>
      <w:b/>
      <w:bCs/>
      <w:szCs w:val="26"/>
    </w:rPr>
  </w:style>
  <w:style w:type="paragraph" w:styleId="Heading3">
    <w:name w:val="heading 3"/>
    <w:basedOn w:val="Normal"/>
    <w:next w:val="Normal"/>
    <w:link w:val="Heading3Char"/>
    <w:autoRedefine/>
    <w:uiPriority w:val="9"/>
    <w:semiHidden/>
    <w:unhideWhenUsed/>
    <w:qFormat/>
    <w:rsid w:val="00341322"/>
    <w:pPr>
      <w:keepNext/>
      <w:keepLines/>
      <w:spacing w:after="240"/>
      <w:ind w:left="2160" w:hanging="720"/>
      <w:outlineLvl w:val="2"/>
    </w:pPr>
    <w:rPr>
      <w:rFonts w:ascii="Times New Roman Bold" w:eastAsiaTheme="majorEastAsia" w:hAnsi="Times New Roman Bold"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34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341322"/>
    <w:rPr>
      <w:rFonts w:ascii="Courier New" w:eastAsia="Courier New" w:hAnsi="Courier New" w:cs="Courier New"/>
      <w:sz w:val="20"/>
      <w:szCs w:val="20"/>
    </w:rPr>
  </w:style>
  <w:style w:type="paragraph" w:styleId="ListParagraph">
    <w:name w:val="List Paragraph"/>
    <w:basedOn w:val="Normal"/>
    <w:uiPriority w:val="34"/>
    <w:qFormat/>
    <w:rsid w:val="00341322"/>
    <w:pPr>
      <w:ind w:left="720"/>
      <w:contextualSpacing/>
    </w:pPr>
  </w:style>
  <w:style w:type="character" w:customStyle="1" w:styleId="Heading1Char">
    <w:name w:val="Heading 1 Char"/>
    <w:basedOn w:val="DefaultParagraphFont"/>
    <w:link w:val="Heading1"/>
    <w:uiPriority w:val="9"/>
    <w:rsid w:val="00F40DC6"/>
    <w:rPr>
      <w:rFonts w:ascii="Times New Roman Bold" w:eastAsiaTheme="majorEastAsia" w:hAnsi="Times New Roman Bold" w:cstheme="majorBidi"/>
      <w:b/>
      <w:bCs/>
      <w:sz w:val="24"/>
      <w:szCs w:val="28"/>
    </w:rPr>
  </w:style>
  <w:style w:type="character" w:customStyle="1" w:styleId="Heading2Char">
    <w:name w:val="Heading 2 Char"/>
    <w:basedOn w:val="DefaultParagraphFont"/>
    <w:link w:val="Heading2"/>
    <w:uiPriority w:val="9"/>
    <w:rsid w:val="00681C7E"/>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uiPriority w:val="9"/>
    <w:semiHidden/>
    <w:rsid w:val="00341322"/>
    <w:rPr>
      <w:rFonts w:ascii="Times New Roman Bold" w:eastAsiaTheme="majorEastAsia" w:hAnsi="Times New Roman Bold" w:cstheme="majorBidi"/>
      <w:b/>
      <w:bCs/>
      <w:sz w:val="24"/>
      <w:szCs w:val="20"/>
    </w:rPr>
  </w:style>
  <w:style w:type="character" w:styleId="Hyperlink">
    <w:name w:val="Hyperlink"/>
    <w:uiPriority w:val="99"/>
    <w:rsid w:val="00341322"/>
    <w:rPr>
      <w:color w:val="0000FF"/>
      <w:u w:val="single"/>
    </w:rPr>
  </w:style>
  <w:style w:type="paragraph" w:styleId="BodyText">
    <w:name w:val="Body Text"/>
    <w:basedOn w:val="Normal"/>
    <w:link w:val="BodyTextChar"/>
    <w:rsid w:val="00341322"/>
    <w:pPr>
      <w:jc w:val="both"/>
    </w:pPr>
  </w:style>
  <w:style w:type="character" w:customStyle="1" w:styleId="BodyTextChar">
    <w:name w:val="Body Text Char"/>
    <w:basedOn w:val="DefaultParagraphFont"/>
    <w:link w:val="BodyText"/>
    <w:rsid w:val="00341322"/>
    <w:rPr>
      <w:rFonts w:ascii="Times New Roman" w:eastAsia="Times New Roman" w:hAnsi="Times New Roman" w:cs="Times New Roman"/>
      <w:sz w:val="24"/>
      <w:szCs w:val="20"/>
    </w:rPr>
  </w:style>
  <w:style w:type="paragraph" w:styleId="CommentText">
    <w:name w:val="annotation text"/>
    <w:basedOn w:val="Normal"/>
    <w:link w:val="CommentTextChar"/>
    <w:semiHidden/>
    <w:rsid w:val="00341322"/>
    <w:rPr>
      <w:szCs w:val="24"/>
    </w:rPr>
  </w:style>
  <w:style w:type="character" w:customStyle="1" w:styleId="CommentTextChar">
    <w:name w:val="Comment Text Char"/>
    <w:basedOn w:val="DefaultParagraphFont"/>
    <w:link w:val="CommentText"/>
    <w:semiHidden/>
    <w:rsid w:val="003413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341322"/>
    <w:rPr>
      <w:szCs w:val="20"/>
    </w:rPr>
  </w:style>
  <w:style w:type="character" w:customStyle="1" w:styleId="CommentSubjectChar">
    <w:name w:val="Comment Subject Char"/>
    <w:basedOn w:val="CommentTextChar"/>
    <w:link w:val="CommentSubject"/>
    <w:semiHidden/>
    <w:rsid w:val="00341322"/>
    <w:rPr>
      <w:rFonts w:ascii="Times New Roman" w:eastAsia="Times New Roman" w:hAnsi="Times New Roman" w:cs="Times New Roman"/>
      <w:sz w:val="24"/>
      <w:szCs w:val="20"/>
    </w:rPr>
  </w:style>
  <w:style w:type="table" w:styleId="TableGrid">
    <w:name w:val="Table Grid"/>
    <w:basedOn w:val="TableNormal"/>
    <w:uiPriority w:val="59"/>
    <w:rsid w:val="007F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64B4"/>
    <w:rPr>
      <w:sz w:val="20"/>
    </w:rPr>
  </w:style>
  <w:style w:type="character" w:customStyle="1" w:styleId="FootnoteTextChar">
    <w:name w:val="Footnote Text Char"/>
    <w:basedOn w:val="DefaultParagraphFont"/>
    <w:link w:val="FootnoteText"/>
    <w:uiPriority w:val="99"/>
    <w:semiHidden/>
    <w:rsid w:val="00E864B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864B4"/>
    <w:rPr>
      <w:vertAlign w:val="superscript"/>
    </w:rPr>
  </w:style>
  <w:style w:type="paragraph" w:styleId="Header">
    <w:name w:val="header"/>
    <w:basedOn w:val="Normal"/>
    <w:link w:val="HeaderChar"/>
    <w:uiPriority w:val="99"/>
    <w:unhideWhenUsed/>
    <w:rsid w:val="00AA3468"/>
    <w:pPr>
      <w:tabs>
        <w:tab w:val="center" w:pos="4680"/>
        <w:tab w:val="right" w:pos="9360"/>
      </w:tabs>
    </w:pPr>
  </w:style>
  <w:style w:type="character" w:customStyle="1" w:styleId="HeaderChar">
    <w:name w:val="Header Char"/>
    <w:basedOn w:val="DefaultParagraphFont"/>
    <w:link w:val="Header"/>
    <w:uiPriority w:val="99"/>
    <w:rsid w:val="00AA346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A3468"/>
    <w:pPr>
      <w:tabs>
        <w:tab w:val="center" w:pos="4680"/>
        <w:tab w:val="right" w:pos="9360"/>
      </w:tabs>
    </w:pPr>
  </w:style>
  <w:style w:type="character" w:customStyle="1" w:styleId="FooterChar">
    <w:name w:val="Footer Char"/>
    <w:basedOn w:val="DefaultParagraphFont"/>
    <w:link w:val="Footer"/>
    <w:uiPriority w:val="99"/>
    <w:rsid w:val="00AA3468"/>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0143E"/>
    <w:rPr>
      <w:sz w:val="16"/>
      <w:szCs w:val="16"/>
    </w:rPr>
  </w:style>
  <w:style w:type="paragraph" w:styleId="BalloonText">
    <w:name w:val="Balloon Text"/>
    <w:basedOn w:val="Normal"/>
    <w:link w:val="BalloonTextChar"/>
    <w:uiPriority w:val="99"/>
    <w:semiHidden/>
    <w:unhideWhenUsed/>
    <w:rsid w:val="0060143E"/>
    <w:rPr>
      <w:rFonts w:ascii="Tahoma" w:hAnsi="Tahoma" w:cs="Tahoma"/>
      <w:sz w:val="16"/>
      <w:szCs w:val="16"/>
    </w:rPr>
  </w:style>
  <w:style w:type="character" w:customStyle="1" w:styleId="BalloonTextChar">
    <w:name w:val="Balloon Text Char"/>
    <w:basedOn w:val="DefaultParagraphFont"/>
    <w:link w:val="BalloonText"/>
    <w:uiPriority w:val="99"/>
    <w:semiHidden/>
    <w:rsid w:val="0060143E"/>
    <w:rPr>
      <w:rFonts w:ascii="Tahoma" w:eastAsia="Times New Roman" w:hAnsi="Tahoma" w:cs="Tahoma"/>
      <w:sz w:val="16"/>
      <w:szCs w:val="16"/>
    </w:rPr>
  </w:style>
  <w:style w:type="paragraph" w:styleId="Index1">
    <w:name w:val="index 1"/>
    <w:basedOn w:val="Normal"/>
    <w:next w:val="Normal"/>
    <w:autoRedefine/>
    <w:uiPriority w:val="99"/>
    <w:unhideWhenUsed/>
    <w:qFormat/>
    <w:rsid w:val="00F40DC6"/>
    <w:pPr>
      <w:spacing w:after="240"/>
      <w:ind w:left="720" w:hanging="720"/>
    </w:pPr>
    <w:rPr>
      <w:rFonts w:ascii="Times New Roman Bold" w:hAnsi="Times New Roman Bold"/>
      <w:b/>
      <w:caps/>
    </w:rPr>
  </w:style>
  <w:style w:type="paragraph" w:styleId="TOC1">
    <w:name w:val="toc 1"/>
    <w:basedOn w:val="Normal"/>
    <w:next w:val="Normal"/>
    <w:autoRedefine/>
    <w:uiPriority w:val="39"/>
    <w:unhideWhenUsed/>
    <w:qFormat/>
    <w:rsid w:val="00F40DC6"/>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F40DC6"/>
    <w:pPr>
      <w:tabs>
        <w:tab w:val="decimal" w:leader="dot" w:pos="8640"/>
      </w:tabs>
      <w:spacing w:after="240"/>
      <w:ind w:left="1440" w:hanging="720"/>
    </w:pPr>
  </w:style>
  <w:style w:type="paragraph" w:styleId="Index2">
    <w:name w:val="index 2"/>
    <w:basedOn w:val="Normal"/>
    <w:next w:val="Normal"/>
    <w:autoRedefine/>
    <w:uiPriority w:val="99"/>
    <w:semiHidden/>
    <w:unhideWhenUsed/>
    <w:qFormat/>
    <w:rsid w:val="00F40DC6"/>
    <w:pPr>
      <w:spacing w:after="240"/>
      <w:ind w:left="1440" w:hanging="720"/>
    </w:pPr>
    <w:rPr>
      <w:rFonts w:ascii="Times New Roman Bold" w:hAnsi="Times New Roman 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e.kern@occ.ohio.gov" TargetMode="Externa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mailto:drinebolt@ohiopartners.org" TargetMode="External"/><Relationship Id="rId39" Type="http://schemas.openxmlformats.org/officeDocument/2006/relationships/hyperlink" Target="mailto:dboehm@BKLlawfirm.com" TargetMode="Externa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hyperlink" Target="mailto:Nicholas.walstra@puc.state.oh.us" TargetMode="External"/><Relationship Id="rId42" Type="http://schemas.openxmlformats.org/officeDocument/2006/relationships/hyperlink" Target="mailto:TDougherty@theOEC.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mailto:John.jones@puc.state.oh.us" TargetMode="External"/><Relationship Id="rId33" Type="http://schemas.openxmlformats.org/officeDocument/2006/relationships/hyperlink" Target="mailto:Christine.pirik@puc.state.oh.us" TargetMode="External"/><Relationship Id="rId38" Type="http://schemas.openxmlformats.org/officeDocument/2006/relationships/hyperlink" Target="mailto:Bojko@carpenterlipps.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yperlink" Target="mailto:mkimbrough@keglerbrown.com" TargetMode="External"/><Relationship Id="rId41" Type="http://schemas.openxmlformats.org/officeDocument/2006/relationships/hyperlink" Target="mailto:jkylercohn@BKLlawfirm.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Katie.johnson@puc.state.oh.us" TargetMode="External"/><Relationship Id="rId32" Type="http://schemas.openxmlformats.org/officeDocument/2006/relationships/hyperlink" Target="mailto:swilliams@nrdc.org" TargetMode="External"/><Relationship Id="rId37" Type="http://schemas.openxmlformats.org/officeDocument/2006/relationships/hyperlink" Target="mailto:mpritchard@mwncmh.com" TargetMode="External"/><Relationship Id="rId40" Type="http://schemas.openxmlformats.org/officeDocument/2006/relationships/hyperlink" Target="mailto:mkurtz@BKLlawfirm.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ichael.schuler@occ.ohio.gov" TargetMode="External"/><Relationship Id="rId23" Type="http://schemas.openxmlformats.org/officeDocument/2006/relationships/hyperlink" Target="mailto:Michael.schuler@occ.ohio.gov" TargetMode="External"/><Relationship Id="rId28" Type="http://schemas.openxmlformats.org/officeDocument/2006/relationships/hyperlink" Target="mailto:asonderman@keglerbrown.cocm" TargetMode="External"/><Relationship Id="rId36" Type="http://schemas.openxmlformats.org/officeDocument/2006/relationships/hyperlink" Target="mailto:Elizabeth.watts@duke-energy.com"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mailto:jvickers@elpc.org" TargetMode="Externa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Kyle.kern@occ.ohio.gov" TargetMode="External"/><Relationship Id="rId27" Type="http://schemas.openxmlformats.org/officeDocument/2006/relationships/hyperlink" Target="mailto:cmooney@ohiopartners.org" TargetMode="External"/><Relationship Id="rId30" Type="http://schemas.openxmlformats.org/officeDocument/2006/relationships/hyperlink" Target="mailto:hussey@carpenterlipps.com" TargetMode="External"/><Relationship Id="rId35" Type="http://schemas.openxmlformats.org/officeDocument/2006/relationships/hyperlink" Target="mailto:Amy.Spiller@duke-energy.com" TargetMode="External"/><Relationship Id="rId43"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www.aceee.org/research-report/u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3164</Words>
  <Characters>17397</Characters>
  <Application>Microsoft Office Word</Application>
  <DocSecurity>0</DocSecurity>
  <Lines>425</Lines>
  <Paragraphs>153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2014-12-05T14:50:00Z</cp:lastPrinted>
  <dcterms:created xsi:type="dcterms:W3CDTF">2014-12-05T17:23:00Z</dcterms:created>
  <dcterms:modified xsi:type="dcterms:W3CDTF">2014-12-05T17:23:00Z</dcterms:modified>
  <cp:category> </cp:category>
  <cp:contentStatus> </cp:contentStatus>
</cp:coreProperties>
</file>