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033E4" w14:textId="77777777" w:rsidR="00A61879" w:rsidRPr="00C02D3C" w:rsidRDefault="00A61879" w:rsidP="00A61879">
      <w:pPr>
        <w:jc w:val="center"/>
        <w:rPr>
          <w:rFonts w:cs="Arial"/>
          <w:b/>
          <w:smallCaps/>
          <w:sz w:val="32"/>
          <w:szCs w:val="32"/>
        </w:rPr>
      </w:pPr>
      <w:bookmarkStart w:id="0" w:name="_GoBack"/>
      <w:bookmarkEnd w:id="0"/>
      <w:r w:rsidRPr="00C02D3C">
        <w:rPr>
          <w:rFonts w:cs="Arial"/>
          <w:b/>
          <w:smallCaps/>
          <w:sz w:val="32"/>
          <w:szCs w:val="32"/>
        </w:rPr>
        <w:t>Before</w:t>
      </w:r>
    </w:p>
    <w:p w14:paraId="73C38A77" w14:textId="77777777" w:rsidR="00A61879" w:rsidRPr="00C02D3C" w:rsidRDefault="00A61879" w:rsidP="00A61879">
      <w:pPr>
        <w:jc w:val="center"/>
        <w:rPr>
          <w:rFonts w:cs="Arial"/>
          <w:b/>
          <w:smallCaps/>
          <w:sz w:val="32"/>
          <w:szCs w:val="32"/>
        </w:rPr>
      </w:pPr>
      <w:r w:rsidRPr="00C02D3C">
        <w:rPr>
          <w:rFonts w:cs="Arial"/>
          <w:b/>
          <w:smallCaps/>
          <w:sz w:val="32"/>
          <w:szCs w:val="32"/>
        </w:rPr>
        <w:t>The Ohio Power Siting Board</w:t>
      </w:r>
    </w:p>
    <w:p w14:paraId="2FA3F2DD" w14:textId="3508D18B" w:rsidR="00A61879" w:rsidRDefault="00A61879" w:rsidP="00A61879">
      <w:pPr>
        <w:rPr>
          <w:rFonts w:cs="Arial"/>
          <w:b/>
        </w:rPr>
      </w:pPr>
    </w:p>
    <w:p w14:paraId="2E5B9604" w14:textId="77777777" w:rsidR="00C02D3C" w:rsidRPr="00711D72" w:rsidRDefault="00C02D3C" w:rsidP="00A61879">
      <w:pPr>
        <w:rPr>
          <w:rFonts w:cs="Arial"/>
          <w:b/>
        </w:rPr>
      </w:pPr>
    </w:p>
    <w:p w14:paraId="3FA8D709" w14:textId="77777777" w:rsidR="00A61879" w:rsidRPr="00711D72" w:rsidRDefault="00A61879" w:rsidP="00A61879">
      <w:pPr>
        <w:tabs>
          <w:tab w:val="left" w:pos="4590"/>
          <w:tab w:val="left" w:pos="5040"/>
        </w:tabs>
        <w:rPr>
          <w:rFonts w:cs="Arial"/>
        </w:rPr>
      </w:pPr>
      <w:r w:rsidRPr="00711D72">
        <w:rPr>
          <w:rFonts w:cs="Arial"/>
        </w:rPr>
        <w:t>In the Matter of the Ohio Power Siting</w:t>
      </w:r>
      <w:r w:rsidRPr="00711D72">
        <w:rPr>
          <w:rFonts w:cs="Arial"/>
        </w:rPr>
        <w:tab/>
        <w:t>)</w:t>
      </w:r>
    </w:p>
    <w:p w14:paraId="4B4E4A70" w14:textId="77777777" w:rsidR="00A61879" w:rsidRDefault="00A61879" w:rsidP="00A61879">
      <w:pPr>
        <w:tabs>
          <w:tab w:val="left" w:pos="4590"/>
          <w:tab w:val="left" w:pos="5040"/>
        </w:tabs>
        <w:rPr>
          <w:rFonts w:cs="Arial"/>
        </w:rPr>
      </w:pPr>
      <w:r w:rsidRPr="00711D72">
        <w:rPr>
          <w:rFonts w:cs="Arial"/>
        </w:rPr>
        <w:t xml:space="preserve">Board’s Review of </w:t>
      </w:r>
      <w:r>
        <w:rPr>
          <w:rFonts w:cs="Arial"/>
        </w:rPr>
        <w:t>Rule 4906-4-08 of the</w:t>
      </w:r>
      <w:r>
        <w:rPr>
          <w:rFonts w:cs="Arial"/>
        </w:rPr>
        <w:tab/>
        <w:t>)</w:t>
      </w:r>
      <w:r>
        <w:rPr>
          <w:rFonts w:cs="Arial"/>
        </w:rPr>
        <w:tab/>
        <w:t>Case No. 16-1109-GE-BRO</w:t>
      </w:r>
    </w:p>
    <w:p w14:paraId="158A802F" w14:textId="77777777" w:rsidR="00A61879" w:rsidRDefault="00A61879" w:rsidP="00A61879">
      <w:pPr>
        <w:tabs>
          <w:tab w:val="left" w:pos="4590"/>
          <w:tab w:val="left" w:pos="5040"/>
        </w:tabs>
        <w:rPr>
          <w:rFonts w:cs="Arial"/>
        </w:rPr>
      </w:pPr>
      <w:r>
        <w:rPr>
          <w:rFonts w:cs="Arial"/>
        </w:rPr>
        <w:t>Ohio Administrative Code.</w:t>
      </w:r>
      <w:r>
        <w:rPr>
          <w:rFonts w:cs="Arial"/>
        </w:rPr>
        <w:tab/>
        <w:t>)</w:t>
      </w:r>
    </w:p>
    <w:p w14:paraId="7D644836" w14:textId="77777777" w:rsidR="00A61879" w:rsidRDefault="00A61879" w:rsidP="00A61879">
      <w:pPr>
        <w:tabs>
          <w:tab w:val="left" w:pos="4590"/>
          <w:tab w:val="left" w:pos="5040"/>
        </w:tabs>
        <w:rPr>
          <w:rFonts w:cs="Arial"/>
        </w:rPr>
      </w:pPr>
    </w:p>
    <w:p w14:paraId="0B334837" w14:textId="77777777" w:rsidR="00A61879" w:rsidRDefault="00A61879" w:rsidP="00A61879">
      <w:pPr>
        <w:tabs>
          <w:tab w:val="left" w:pos="4590"/>
          <w:tab w:val="left" w:pos="5040"/>
        </w:tabs>
        <w:rPr>
          <w:rFonts w:cs="Arial"/>
        </w:rPr>
      </w:pPr>
    </w:p>
    <w:p w14:paraId="49661E8D" w14:textId="77777777" w:rsidR="00A61879" w:rsidRDefault="00A61879" w:rsidP="00A61879">
      <w:pPr>
        <w:tabs>
          <w:tab w:val="left" w:pos="4590"/>
          <w:tab w:val="left" w:pos="5040"/>
        </w:tabs>
        <w:rPr>
          <w:rFonts w:cs="Arial"/>
        </w:rPr>
      </w:pPr>
    </w:p>
    <w:p w14:paraId="6DAEE661" w14:textId="77777777" w:rsidR="00A61879" w:rsidRDefault="00A61879" w:rsidP="00A61879">
      <w:pPr>
        <w:tabs>
          <w:tab w:val="left" w:pos="4590"/>
          <w:tab w:val="left" w:pos="5040"/>
        </w:tabs>
        <w:rPr>
          <w:rFonts w:cs="Arial"/>
        </w:rPr>
      </w:pPr>
    </w:p>
    <w:p w14:paraId="69C90B4D" w14:textId="77777777" w:rsidR="00A61879" w:rsidRPr="002E3F72" w:rsidRDefault="00A61879" w:rsidP="00A61879">
      <w:pPr>
        <w:pStyle w:val="Title"/>
        <w:pBdr>
          <w:bottom w:val="single" w:sz="12" w:space="1" w:color="auto"/>
        </w:pBdr>
        <w:rPr>
          <w:rFonts w:ascii="Arial Bold" w:hAnsi="Arial Bold"/>
          <w:szCs w:val="32"/>
          <w:u w:val="single"/>
        </w:rPr>
      </w:pPr>
    </w:p>
    <w:p w14:paraId="60C370BF" w14:textId="77777777" w:rsidR="00A61879" w:rsidRPr="00C02294" w:rsidRDefault="00A61879" w:rsidP="00A61879">
      <w:pPr>
        <w:jc w:val="center"/>
        <w:rPr>
          <w:rFonts w:cs="Arial"/>
          <w:b/>
          <w:sz w:val="28"/>
          <w:szCs w:val="28"/>
        </w:rPr>
      </w:pPr>
    </w:p>
    <w:p w14:paraId="18DD4D8C" w14:textId="77777777" w:rsidR="00B71AD1" w:rsidRDefault="00A61879" w:rsidP="00A61879">
      <w:pPr>
        <w:jc w:val="center"/>
        <w:rPr>
          <w:rFonts w:cs="Arial"/>
          <w:b/>
          <w:smallCaps/>
          <w:sz w:val="32"/>
          <w:szCs w:val="32"/>
        </w:rPr>
      </w:pPr>
      <w:r>
        <w:rPr>
          <w:rFonts w:cs="Arial"/>
          <w:b/>
          <w:smallCaps/>
          <w:sz w:val="32"/>
          <w:szCs w:val="32"/>
        </w:rPr>
        <w:t>Comments of</w:t>
      </w:r>
      <w:r w:rsidR="00B71AD1">
        <w:rPr>
          <w:rFonts w:cs="Arial"/>
          <w:b/>
          <w:smallCaps/>
          <w:sz w:val="32"/>
          <w:szCs w:val="32"/>
        </w:rPr>
        <w:t xml:space="preserve"> </w:t>
      </w:r>
      <w:r w:rsidRPr="000F5943">
        <w:rPr>
          <w:rFonts w:cs="Arial"/>
          <w:b/>
          <w:smallCaps/>
          <w:sz w:val="32"/>
          <w:szCs w:val="32"/>
        </w:rPr>
        <w:t>Greenwich Neighbors United</w:t>
      </w:r>
      <w:r w:rsidR="00B71AD1">
        <w:rPr>
          <w:rFonts w:cs="Arial"/>
          <w:b/>
          <w:smallCaps/>
          <w:sz w:val="32"/>
          <w:szCs w:val="32"/>
        </w:rPr>
        <w:t xml:space="preserve"> </w:t>
      </w:r>
    </w:p>
    <w:p w14:paraId="7789A1D9" w14:textId="3554FF92" w:rsidR="00A61879" w:rsidRPr="000F5943" w:rsidRDefault="00B71AD1" w:rsidP="00A61879">
      <w:pPr>
        <w:jc w:val="center"/>
        <w:rPr>
          <w:rFonts w:cs="Arial"/>
          <w:b/>
          <w:smallCaps/>
          <w:sz w:val="32"/>
          <w:szCs w:val="32"/>
        </w:rPr>
      </w:pPr>
      <w:r>
        <w:rPr>
          <w:rFonts w:cs="Arial"/>
          <w:b/>
          <w:smallCaps/>
          <w:sz w:val="32"/>
          <w:szCs w:val="32"/>
        </w:rPr>
        <w:t>on Additional Revision</w:t>
      </w:r>
    </w:p>
    <w:p w14:paraId="7612EF60" w14:textId="77777777" w:rsidR="00A61879" w:rsidRPr="002E3F72" w:rsidRDefault="00A61879" w:rsidP="00A61879">
      <w:pPr>
        <w:pStyle w:val="Title"/>
        <w:pBdr>
          <w:bottom w:val="single" w:sz="12" w:space="1" w:color="auto"/>
        </w:pBdr>
        <w:rPr>
          <w:rFonts w:ascii="Arial Bold" w:hAnsi="Arial Bold"/>
          <w:szCs w:val="32"/>
          <w:u w:val="single"/>
        </w:rPr>
      </w:pPr>
    </w:p>
    <w:p w14:paraId="4F76254B" w14:textId="77777777" w:rsidR="00A61879" w:rsidRDefault="00A61879" w:rsidP="00A61879">
      <w:pPr>
        <w:pStyle w:val="Title"/>
        <w:rPr>
          <w:sz w:val="28"/>
          <w:u w:val="single"/>
        </w:rPr>
      </w:pPr>
    </w:p>
    <w:p w14:paraId="02818BFC" w14:textId="623FAE16" w:rsidR="00A61879" w:rsidRDefault="00A61879" w:rsidP="00A61879">
      <w:pPr>
        <w:pStyle w:val="Title"/>
        <w:rPr>
          <w:sz w:val="28"/>
          <w:u w:val="single"/>
        </w:rPr>
      </w:pPr>
    </w:p>
    <w:p w14:paraId="40067E26" w14:textId="77777777" w:rsidR="004E6647" w:rsidRDefault="004E6647" w:rsidP="00A61879">
      <w:pPr>
        <w:pStyle w:val="Title"/>
        <w:rPr>
          <w:sz w:val="28"/>
          <w:u w:val="single"/>
        </w:rPr>
      </w:pPr>
    </w:p>
    <w:p w14:paraId="3EE3FEF1" w14:textId="77777777" w:rsidR="00A61879" w:rsidRDefault="00A61879" w:rsidP="00A61879">
      <w:pPr>
        <w:pStyle w:val="Title"/>
        <w:rPr>
          <w:sz w:val="28"/>
          <w:u w:val="single"/>
        </w:rPr>
      </w:pPr>
    </w:p>
    <w:p w14:paraId="4BB82677" w14:textId="77777777" w:rsidR="00A61879" w:rsidRDefault="00A61879" w:rsidP="00A61879">
      <w:pPr>
        <w:pStyle w:val="Title"/>
        <w:rPr>
          <w:sz w:val="28"/>
          <w:u w:val="single"/>
        </w:rPr>
      </w:pPr>
    </w:p>
    <w:p w14:paraId="72A87593" w14:textId="77777777" w:rsidR="00A61879" w:rsidRDefault="00A61879" w:rsidP="00A61879">
      <w:pPr>
        <w:pStyle w:val="Title"/>
        <w:rPr>
          <w:sz w:val="28"/>
          <w:u w:val="single"/>
        </w:rPr>
      </w:pPr>
    </w:p>
    <w:p w14:paraId="43B37A25" w14:textId="77777777" w:rsidR="00A61879" w:rsidRDefault="00A61879" w:rsidP="00A61879">
      <w:pPr>
        <w:pStyle w:val="Title"/>
        <w:rPr>
          <w:sz w:val="28"/>
          <w:u w:val="single"/>
        </w:rPr>
      </w:pPr>
    </w:p>
    <w:p w14:paraId="5761AD17" w14:textId="77777777" w:rsidR="00A61879" w:rsidRDefault="00A61879" w:rsidP="00A61879">
      <w:pPr>
        <w:pStyle w:val="Title"/>
        <w:rPr>
          <w:sz w:val="28"/>
          <w:u w:val="single"/>
        </w:rPr>
      </w:pPr>
    </w:p>
    <w:p w14:paraId="272D5B47" w14:textId="77777777" w:rsidR="00A61879" w:rsidRDefault="00A61879" w:rsidP="00A61879">
      <w:pPr>
        <w:pStyle w:val="Title"/>
        <w:rPr>
          <w:sz w:val="28"/>
          <w:u w:val="single"/>
        </w:rPr>
      </w:pPr>
    </w:p>
    <w:p w14:paraId="1213746F" w14:textId="77777777" w:rsidR="00A61879" w:rsidRDefault="00A61879" w:rsidP="00A61879">
      <w:pPr>
        <w:pStyle w:val="Title"/>
        <w:rPr>
          <w:sz w:val="28"/>
          <w:u w:val="single"/>
        </w:rPr>
      </w:pPr>
    </w:p>
    <w:p w14:paraId="0F667E4D" w14:textId="77777777" w:rsidR="00A61879" w:rsidRDefault="00A61879" w:rsidP="00A61879">
      <w:pPr>
        <w:pStyle w:val="Title"/>
        <w:rPr>
          <w:sz w:val="28"/>
          <w:u w:val="single"/>
        </w:rPr>
      </w:pPr>
    </w:p>
    <w:p w14:paraId="6A07F762" w14:textId="77777777" w:rsidR="00A61879" w:rsidRDefault="00A61879" w:rsidP="00A61879">
      <w:pPr>
        <w:pStyle w:val="Title"/>
        <w:rPr>
          <w:sz w:val="28"/>
          <w:u w:val="single"/>
        </w:rPr>
      </w:pPr>
    </w:p>
    <w:p w14:paraId="4EAA5945" w14:textId="77777777" w:rsidR="00A61879" w:rsidRDefault="00A61879" w:rsidP="00A61879">
      <w:pPr>
        <w:pStyle w:val="Title"/>
        <w:rPr>
          <w:sz w:val="28"/>
          <w:u w:val="single"/>
        </w:rPr>
      </w:pPr>
    </w:p>
    <w:p w14:paraId="782F90C4" w14:textId="77777777" w:rsidR="00A61879" w:rsidRDefault="00A61879" w:rsidP="00A61879">
      <w:pPr>
        <w:tabs>
          <w:tab w:val="left" w:pos="720"/>
          <w:tab w:val="left" w:pos="4320"/>
          <w:tab w:val="right" w:pos="8640"/>
        </w:tabs>
        <w:ind w:left="4320"/>
        <w:rPr>
          <w:rFonts w:cs="Arial"/>
        </w:rPr>
      </w:pPr>
      <w:r>
        <w:rPr>
          <w:rFonts w:cs="Arial"/>
        </w:rPr>
        <w:t xml:space="preserve">Samuel C. Randazzo (Reg. No. 0016386) </w:t>
      </w:r>
    </w:p>
    <w:p w14:paraId="53D1B433" w14:textId="77777777" w:rsidR="00A61879" w:rsidRDefault="00A61879" w:rsidP="00A61879">
      <w:pPr>
        <w:tabs>
          <w:tab w:val="left" w:pos="720"/>
          <w:tab w:val="left" w:pos="4320"/>
          <w:tab w:val="right" w:pos="8640"/>
        </w:tabs>
        <w:ind w:left="4320"/>
        <w:rPr>
          <w:rFonts w:cs="Arial"/>
        </w:rPr>
      </w:pPr>
      <w:r>
        <w:rPr>
          <w:rFonts w:cs="Arial"/>
        </w:rPr>
        <w:t xml:space="preserve">  (Counsel of Record) </w:t>
      </w:r>
    </w:p>
    <w:p w14:paraId="2EFAF241" w14:textId="77777777" w:rsidR="00A61879" w:rsidRDefault="00A61879" w:rsidP="00A61879">
      <w:pPr>
        <w:widowControl w:val="0"/>
        <w:tabs>
          <w:tab w:val="left" w:pos="4320"/>
        </w:tabs>
        <w:ind w:left="4320"/>
        <w:rPr>
          <w:rFonts w:cs="Arial"/>
          <w:bCs/>
        </w:rPr>
      </w:pPr>
      <w:r>
        <w:rPr>
          <w:rFonts w:cs="Arial"/>
          <w:bCs/>
        </w:rPr>
        <w:t>Scott E. Elisar (Reg. No. 0081877)</w:t>
      </w:r>
    </w:p>
    <w:p w14:paraId="6C2C6667" w14:textId="77777777" w:rsidR="00A61879" w:rsidRDefault="00A61879" w:rsidP="00A61879">
      <w:pPr>
        <w:widowControl w:val="0"/>
        <w:tabs>
          <w:tab w:val="left" w:pos="4320"/>
        </w:tabs>
        <w:ind w:left="4320"/>
        <w:rPr>
          <w:rFonts w:cs="Arial"/>
          <w:b/>
          <w:bCs/>
          <w:smallCaps/>
        </w:rPr>
      </w:pPr>
      <w:r>
        <w:rPr>
          <w:rFonts w:cs="Arial"/>
          <w:bCs/>
          <w:smallCaps/>
        </w:rPr>
        <w:t>McNees Wallace &amp; Nurick LLC</w:t>
      </w:r>
    </w:p>
    <w:p w14:paraId="7E615F7F" w14:textId="77777777" w:rsidR="00A61879" w:rsidRDefault="00A61879" w:rsidP="00A61879">
      <w:pPr>
        <w:widowControl w:val="0"/>
        <w:tabs>
          <w:tab w:val="left" w:pos="4320"/>
        </w:tabs>
        <w:ind w:left="4320"/>
        <w:rPr>
          <w:rFonts w:cs="Arial"/>
          <w:b/>
          <w:bCs/>
        </w:rPr>
      </w:pPr>
      <w:r>
        <w:rPr>
          <w:rFonts w:cs="Arial"/>
          <w:bCs/>
        </w:rPr>
        <w:t>21 East State Street, 17</w:t>
      </w:r>
      <w:r>
        <w:rPr>
          <w:rFonts w:cs="Arial"/>
          <w:bCs/>
          <w:vertAlign w:val="superscript"/>
        </w:rPr>
        <w:t>TH</w:t>
      </w:r>
      <w:r>
        <w:rPr>
          <w:rFonts w:cs="Arial"/>
          <w:bCs/>
        </w:rPr>
        <w:t xml:space="preserve"> Floor</w:t>
      </w:r>
    </w:p>
    <w:p w14:paraId="7899827F" w14:textId="77777777" w:rsidR="00A61879" w:rsidRDefault="00A61879" w:rsidP="00A61879">
      <w:pPr>
        <w:tabs>
          <w:tab w:val="left" w:pos="-1440"/>
          <w:tab w:val="left" w:pos="-720"/>
          <w:tab w:val="left" w:pos="4320"/>
          <w:tab w:val="left" w:pos="5040"/>
          <w:tab w:val="center" w:pos="7200"/>
        </w:tabs>
        <w:overflowPunct w:val="0"/>
        <w:autoSpaceDE w:val="0"/>
        <w:autoSpaceDN w:val="0"/>
        <w:adjustRightInd w:val="0"/>
        <w:ind w:left="4320"/>
        <w:rPr>
          <w:rFonts w:cs="Arial"/>
        </w:rPr>
      </w:pPr>
      <w:r>
        <w:rPr>
          <w:rFonts w:cs="Arial"/>
        </w:rPr>
        <w:t>Columbus, OH  43215</w:t>
      </w:r>
    </w:p>
    <w:p w14:paraId="3430299D" w14:textId="77777777" w:rsidR="00A61879" w:rsidRDefault="00A61879" w:rsidP="00A61879">
      <w:pPr>
        <w:tabs>
          <w:tab w:val="left" w:pos="-1440"/>
          <w:tab w:val="left" w:pos="-720"/>
          <w:tab w:val="left" w:pos="4320"/>
          <w:tab w:val="left" w:pos="5040"/>
          <w:tab w:val="center" w:pos="7200"/>
        </w:tabs>
        <w:overflowPunct w:val="0"/>
        <w:autoSpaceDE w:val="0"/>
        <w:autoSpaceDN w:val="0"/>
        <w:adjustRightInd w:val="0"/>
        <w:ind w:left="4320"/>
        <w:rPr>
          <w:rFonts w:cs="Arial"/>
        </w:rPr>
      </w:pPr>
      <w:r>
        <w:rPr>
          <w:rFonts w:cs="Arial"/>
        </w:rPr>
        <w:t>Telephone:  (614) 469-8000</w:t>
      </w:r>
    </w:p>
    <w:p w14:paraId="36B94008" w14:textId="77777777" w:rsidR="00A61879" w:rsidRDefault="00A61879" w:rsidP="00A61879">
      <w:pPr>
        <w:tabs>
          <w:tab w:val="left" w:pos="-1440"/>
          <w:tab w:val="left" w:pos="-720"/>
          <w:tab w:val="left" w:pos="4320"/>
          <w:tab w:val="left" w:pos="5040"/>
          <w:tab w:val="center" w:pos="7200"/>
        </w:tabs>
        <w:overflowPunct w:val="0"/>
        <w:autoSpaceDE w:val="0"/>
        <w:autoSpaceDN w:val="0"/>
        <w:adjustRightInd w:val="0"/>
        <w:ind w:left="4320"/>
        <w:rPr>
          <w:rFonts w:cs="Arial"/>
        </w:rPr>
      </w:pPr>
      <w:r>
        <w:rPr>
          <w:rFonts w:cs="Arial"/>
        </w:rPr>
        <w:t>Telecopier:  (614) 469-4653</w:t>
      </w:r>
    </w:p>
    <w:p w14:paraId="7BDA3E22" w14:textId="77777777" w:rsidR="00A61879" w:rsidRDefault="00A61879" w:rsidP="00A61879">
      <w:pPr>
        <w:tabs>
          <w:tab w:val="left" w:pos="-1440"/>
          <w:tab w:val="left" w:pos="-720"/>
          <w:tab w:val="left" w:pos="5040"/>
          <w:tab w:val="center" w:pos="7200"/>
        </w:tabs>
        <w:overflowPunct w:val="0"/>
        <w:autoSpaceDE w:val="0"/>
        <w:autoSpaceDN w:val="0"/>
        <w:adjustRightInd w:val="0"/>
        <w:ind w:left="4320"/>
        <w:rPr>
          <w:rFonts w:cs="Arial"/>
          <w:color w:val="000000" w:themeColor="text1"/>
        </w:rPr>
      </w:pPr>
      <w:r w:rsidRPr="009E4630">
        <w:rPr>
          <w:rFonts w:cs="Arial"/>
        </w:rPr>
        <w:t>sam@mwncmh.com</w:t>
      </w:r>
    </w:p>
    <w:p w14:paraId="7E8E8646" w14:textId="77777777" w:rsidR="00A61879" w:rsidRDefault="00A61879" w:rsidP="00A61879">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color w:val="000000" w:themeColor="text1"/>
        </w:rPr>
        <w:t>(willing to accept service by e-mail)</w:t>
      </w:r>
    </w:p>
    <w:p w14:paraId="3CC2293C" w14:textId="77777777" w:rsidR="00A61879" w:rsidRDefault="00A61879" w:rsidP="00A61879">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rPr>
        <w:t>selisar</w:t>
      </w:r>
      <w:r w:rsidRPr="009E4630">
        <w:rPr>
          <w:rFonts w:cs="Arial"/>
        </w:rPr>
        <w:t>@mwncmh.com</w:t>
      </w:r>
    </w:p>
    <w:p w14:paraId="7FB4BBBC" w14:textId="77777777" w:rsidR="00A61879" w:rsidRDefault="00A61879" w:rsidP="00A61879">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color w:val="000000" w:themeColor="text1"/>
        </w:rPr>
        <w:t>(willing to accept service by e-mail)</w:t>
      </w:r>
    </w:p>
    <w:p w14:paraId="53930C70" w14:textId="77777777" w:rsidR="00A61879" w:rsidRDefault="00A61879" w:rsidP="00A61879">
      <w:pPr>
        <w:tabs>
          <w:tab w:val="left" w:pos="-1440"/>
          <w:tab w:val="left" w:pos="-720"/>
          <w:tab w:val="left" w:pos="5040"/>
          <w:tab w:val="center" w:pos="7200"/>
        </w:tabs>
        <w:overflowPunct w:val="0"/>
        <w:autoSpaceDE w:val="0"/>
        <w:autoSpaceDN w:val="0"/>
        <w:adjustRightInd w:val="0"/>
        <w:ind w:left="4320"/>
        <w:rPr>
          <w:rFonts w:cs="Arial"/>
          <w:color w:val="000000" w:themeColor="text1"/>
        </w:rPr>
      </w:pPr>
    </w:p>
    <w:p w14:paraId="4B510951" w14:textId="1BD4E270" w:rsidR="00A61879" w:rsidRDefault="00C02D3C" w:rsidP="00A61879">
      <w:pPr>
        <w:tabs>
          <w:tab w:val="left" w:pos="4320"/>
          <w:tab w:val="left" w:pos="5040"/>
        </w:tabs>
        <w:rPr>
          <w:rFonts w:ascii="Arial Bold" w:hAnsi="Arial Bold" w:cs="Arial"/>
          <w:smallCaps/>
          <w:color w:val="000000"/>
        </w:rPr>
        <w:sectPr w:rsidR="00A61879" w:rsidSect="004E664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80" w:left="1440" w:header="720" w:footer="720" w:gutter="0"/>
          <w:cols w:space="720"/>
          <w:titlePg/>
          <w:docGrid w:linePitch="360"/>
        </w:sectPr>
      </w:pPr>
      <w:r>
        <w:rPr>
          <w:rFonts w:cs="Arial"/>
          <w:b/>
          <w:smallCaps/>
        </w:rPr>
        <w:t>January 31</w:t>
      </w:r>
      <w:r w:rsidR="00B71AD1">
        <w:rPr>
          <w:rFonts w:cs="Arial"/>
          <w:b/>
          <w:smallCaps/>
        </w:rPr>
        <w:t>,</w:t>
      </w:r>
      <w:r w:rsidR="00A61879">
        <w:rPr>
          <w:rFonts w:cs="Arial"/>
          <w:b/>
          <w:smallCaps/>
        </w:rPr>
        <w:t xml:space="preserve"> 201</w:t>
      </w:r>
      <w:r w:rsidR="00B71AD1">
        <w:rPr>
          <w:rFonts w:cs="Arial"/>
          <w:b/>
          <w:smallCaps/>
        </w:rPr>
        <w:t>8</w:t>
      </w:r>
      <w:r w:rsidR="00A61879" w:rsidRPr="002E3F72">
        <w:rPr>
          <w:rFonts w:cs="Arial"/>
          <w:b/>
          <w:smallCaps/>
        </w:rPr>
        <w:tab/>
        <w:t xml:space="preserve">Attorneys for </w:t>
      </w:r>
      <w:r w:rsidR="00A61879" w:rsidRPr="002E3F72">
        <w:rPr>
          <w:rFonts w:ascii="Arial Bold" w:hAnsi="Arial Bold" w:cs="Arial"/>
          <w:smallCaps/>
          <w:color w:val="000000"/>
        </w:rPr>
        <w:t>Greenwich Neighbors United</w:t>
      </w:r>
    </w:p>
    <w:sdt>
      <w:sdtPr>
        <w:rPr>
          <w:rFonts w:ascii="Arial Bold" w:hAnsi="Arial Bold" w:cs="Arial"/>
          <w:b/>
          <w:smallCaps/>
          <w:color w:val="000000" w:themeColor="text1"/>
        </w:rPr>
        <w:id w:val="1750079591"/>
        <w:docPartObj>
          <w:docPartGallery w:val="Table of Contents"/>
          <w:docPartUnique/>
        </w:docPartObj>
      </w:sdtPr>
      <w:sdtEndPr>
        <w:rPr>
          <w:rFonts w:ascii="Arial" w:eastAsiaTheme="minorHAnsi" w:hAnsi="Arial" w:cstheme="minorBidi"/>
          <w:bCs/>
          <w:smallCaps w:val="0"/>
          <w:noProof/>
          <w:color w:val="auto"/>
          <w:sz w:val="24"/>
          <w:szCs w:val="24"/>
        </w:rPr>
      </w:sdtEndPr>
      <w:sdtContent>
        <w:p w14:paraId="2C239309" w14:textId="316B4F9D" w:rsidR="001E0D13" w:rsidRPr="00356176" w:rsidRDefault="001E0D13" w:rsidP="001E0D13">
          <w:pPr>
            <w:pStyle w:val="TOCHeading"/>
            <w:jc w:val="center"/>
            <w:rPr>
              <w:rFonts w:ascii="Arial Bold" w:hAnsi="Arial Bold" w:cs="Arial"/>
              <w:b/>
              <w:smallCaps/>
              <w:color w:val="000000" w:themeColor="text1"/>
              <w:u w:val="single"/>
            </w:rPr>
          </w:pPr>
          <w:r w:rsidRPr="00356176">
            <w:rPr>
              <w:rFonts w:ascii="Arial Bold" w:hAnsi="Arial Bold" w:cs="Arial"/>
              <w:b/>
              <w:smallCaps/>
              <w:color w:val="000000" w:themeColor="text1"/>
              <w:u w:val="single"/>
            </w:rPr>
            <w:t>Table of Contents</w:t>
          </w:r>
        </w:p>
        <w:p w14:paraId="7CDA0A5B" w14:textId="554F4169" w:rsidR="00356176" w:rsidRDefault="00356176" w:rsidP="00356176">
          <w:pPr>
            <w:jc w:val="right"/>
            <w:rPr>
              <w:b/>
              <w:u w:val="single"/>
            </w:rPr>
          </w:pPr>
          <w:r w:rsidRPr="00356176">
            <w:rPr>
              <w:b/>
              <w:u w:val="single"/>
            </w:rPr>
            <w:t>Page</w:t>
          </w:r>
        </w:p>
        <w:p w14:paraId="5C8D4B69" w14:textId="77777777" w:rsidR="00356176" w:rsidRPr="00356176" w:rsidRDefault="00356176" w:rsidP="00356176">
          <w:pPr>
            <w:jc w:val="right"/>
            <w:rPr>
              <w:b/>
              <w:u w:val="single"/>
            </w:rPr>
          </w:pPr>
        </w:p>
        <w:p w14:paraId="7286BF10" w14:textId="6AF62491" w:rsidR="001E0D13" w:rsidRPr="001E0D13" w:rsidRDefault="001E0D13" w:rsidP="001E0D13">
          <w:pPr>
            <w:pStyle w:val="TOC1"/>
            <w:tabs>
              <w:tab w:val="right" w:leader="dot" w:pos="9360"/>
            </w:tabs>
            <w:spacing w:after="360"/>
            <w:ind w:left="720" w:right="720" w:hanging="720"/>
            <w:rPr>
              <w:caps/>
              <w:noProof/>
            </w:rPr>
          </w:pPr>
          <w:r>
            <w:fldChar w:fldCharType="begin"/>
          </w:r>
          <w:r>
            <w:instrText xml:space="preserve"> TOC \o "1-3" \h \z \u </w:instrText>
          </w:r>
          <w:r>
            <w:fldChar w:fldCharType="separate"/>
          </w:r>
          <w:hyperlink w:anchor="_Toc505152849" w:history="1">
            <w:r w:rsidRPr="001E0D13">
              <w:rPr>
                <w:rStyle w:val="Hyperlink"/>
                <w:caps/>
                <w:noProof/>
              </w:rPr>
              <w:t>I.</w:t>
            </w:r>
            <w:r w:rsidRPr="001E0D13">
              <w:rPr>
                <w:caps/>
                <w:noProof/>
              </w:rPr>
              <w:tab/>
            </w:r>
            <w:r w:rsidRPr="001E0D13">
              <w:rPr>
                <w:rStyle w:val="Hyperlink"/>
                <w:caps/>
                <w:noProof/>
              </w:rPr>
              <w:t>Background</w:t>
            </w:r>
            <w:r w:rsidRPr="001E0D13">
              <w:rPr>
                <w:caps/>
                <w:noProof/>
                <w:webHidden/>
              </w:rPr>
              <w:tab/>
            </w:r>
            <w:r w:rsidRPr="001E0D13">
              <w:rPr>
                <w:caps/>
                <w:noProof/>
                <w:webHidden/>
              </w:rPr>
              <w:fldChar w:fldCharType="begin"/>
            </w:r>
            <w:r w:rsidRPr="001E0D13">
              <w:rPr>
                <w:caps/>
                <w:noProof/>
                <w:webHidden/>
              </w:rPr>
              <w:instrText xml:space="preserve"> PAGEREF _Toc505152849 \h </w:instrText>
            </w:r>
            <w:r w:rsidRPr="001E0D13">
              <w:rPr>
                <w:caps/>
                <w:noProof/>
                <w:webHidden/>
              </w:rPr>
            </w:r>
            <w:r w:rsidRPr="001E0D13">
              <w:rPr>
                <w:caps/>
                <w:noProof/>
                <w:webHidden/>
              </w:rPr>
              <w:fldChar w:fldCharType="separate"/>
            </w:r>
            <w:r w:rsidR="0054303D">
              <w:rPr>
                <w:caps/>
                <w:noProof/>
                <w:webHidden/>
              </w:rPr>
              <w:t>1</w:t>
            </w:r>
            <w:r w:rsidRPr="001E0D13">
              <w:rPr>
                <w:caps/>
                <w:noProof/>
                <w:webHidden/>
              </w:rPr>
              <w:fldChar w:fldCharType="end"/>
            </w:r>
          </w:hyperlink>
        </w:p>
        <w:p w14:paraId="365CB742" w14:textId="5DE4B347" w:rsidR="001E0D13" w:rsidRPr="001E0D13" w:rsidRDefault="001E0D13" w:rsidP="001E0D13">
          <w:pPr>
            <w:pStyle w:val="TOC1"/>
            <w:tabs>
              <w:tab w:val="right" w:leader="dot" w:pos="9360"/>
            </w:tabs>
            <w:spacing w:after="360"/>
            <w:ind w:left="720" w:right="720" w:hanging="720"/>
            <w:rPr>
              <w:caps/>
              <w:noProof/>
            </w:rPr>
          </w:pPr>
          <w:hyperlink w:anchor="_Toc505152850" w:history="1">
            <w:r w:rsidRPr="001E0D13">
              <w:rPr>
                <w:rStyle w:val="Hyperlink"/>
                <w:caps/>
                <w:noProof/>
              </w:rPr>
              <w:t>II.</w:t>
            </w:r>
            <w:r w:rsidRPr="001E0D13">
              <w:rPr>
                <w:caps/>
                <w:noProof/>
              </w:rPr>
              <w:tab/>
            </w:r>
            <w:r w:rsidRPr="001E0D13">
              <w:rPr>
                <w:rStyle w:val="Hyperlink"/>
                <w:caps/>
                <w:noProof/>
              </w:rPr>
              <w:t>About the Commenters</w:t>
            </w:r>
            <w:r w:rsidRPr="001E0D13">
              <w:rPr>
                <w:caps/>
                <w:noProof/>
                <w:webHidden/>
              </w:rPr>
              <w:tab/>
            </w:r>
            <w:r w:rsidRPr="001E0D13">
              <w:rPr>
                <w:caps/>
                <w:noProof/>
                <w:webHidden/>
              </w:rPr>
              <w:fldChar w:fldCharType="begin"/>
            </w:r>
            <w:r w:rsidRPr="001E0D13">
              <w:rPr>
                <w:caps/>
                <w:noProof/>
                <w:webHidden/>
              </w:rPr>
              <w:instrText xml:space="preserve"> PAGEREF _Toc505152850 \h </w:instrText>
            </w:r>
            <w:r w:rsidRPr="001E0D13">
              <w:rPr>
                <w:caps/>
                <w:noProof/>
                <w:webHidden/>
              </w:rPr>
            </w:r>
            <w:r w:rsidRPr="001E0D13">
              <w:rPr>
                <w:caps/>
                <w:noProof/>
                <w:webHidden/>
              </w:rPr>
              <w:fldChar w:fldCharType="separate"/>
            </w:r>
            <w:r w:rsidR="0054303D">
              <w:rPr>
                <w:caps/>
                <w:noProof/>
                <w:webHidden/>
              </w:rPr>
              <w:t>8</w:t>
            </w:r>
            <w:r w:rsidRPr="001E0D13">
              <w:rPr>
                <w:caps/>
                <w:noProof/>
                <w:webHidden/>
              </w:rPr>
              <w:fldChar w:fldCharType="end"/>
            </w:r>
          </w:hyperlink>
        </w:p>
        <w:p w14:paraId="1DEF2EED" w14:textId="10687BB2" w:rsidR="001E0D13" w:rsidRDefault="001E0D13" w:rsidP="001E0D13">
          <w:pPr>
            <w:pStyle w:val="TOC1"/>
            <w:tabs>
              <w:tab w:val="left" w:pos="660"/>
              <w:tab w:val="right" w:leader="dot" w:pos="9350"/>
            </w:tabs>
            <w:spacing w:after="360"/>
            <w:rPr>
              <w:noProof/>
            </w:rPr>
          </w:pPr>
          <w:hyperlink w:anchor="_Toc505152851" w:history="1">
            <w:r w:rsidRPr="001E0D13">
              <w:rPr>
                <w:rStyle w:val="Hyperlink"/>
                <w:caps/>
                <w:noProof/>
              </w:rPr>
              <w:t>III.</w:t>
            </w:r>
            <w:r w:rsidRPr="001E0D13">
              <w:rPr>
                <w:caps/>
                <w:noProof/>
              </w:rPr>
              <w:tab/>
            </w:r>
            <w:r w:rsidRPr="001E0D13">
              <w:rPr>
                <w:rStyle w:val="Hyperlink"/>
                <w:caps/>
                <w:noProof/>
              </w:rPr>
              <w:t>Additional Comments</w:t>
            </w:r>
            <w:r w:rsidRPr="001E0D13">
              <w:rPr>
                <w:caps/>
                <w:noProof/>
                <w:webHidden/>
              </w:rPr>
              <w:tab/>
            </w:r>
            <w:r w:rsidRPr="001E0D13">
              <w:rPr>
                <w:caps/>
                <w:noProof/>
                <w:webHidden/>
              </w:rPr>
              <w:fldChar w:fldCharType="begin"/>
            </w:r>
            <w:r w:rsidRPr="001E0D13">
              <w:rPr>
                <w:caps/>
                <w:noProof/>
                <w:webHidden/>
              </w:rPr>
              <w:instrText xml:space="preserve"> PAGEREF _Toc505152851 \h </w:instrText>
            </w:r>
            <w:r w:rsidRPr="001E0D13">
              <w:rPr>
                <w:caps/>
                <w:noProof/>
                <w:webHidden/>
              </w:rPr>
            </w:r>
            <w:r w:rsidRPr="001E0D13">
              <w:rPr>
                <w:caps/>
                <w:noProof/>
                <w:webHidden/>
              </w:rPr>
              <w:fldChar w:fldCharType="separate"/>
            </w:r>
            <w:r w:rsidR="0054303D">
              <w:rPr>
                <w:caps/>
                <w:noProof/>
                <w:webHidden/>
              </w:rPr>
              <w:t>8</w:t>
            </w:r>
            <w:r w:rsidRPr="001E0D13">
              <w:rPr>
                <w:caps/>
                <w:noProof/>
                <w:webHidden/>
              </w:rPr>
              <w:fldChar w:fldCharType="end"/>
            </w:r>
          </w:hyperlink>
        </w:p>
        <w:p w14:paraId="6BCC9B61" w14:textId="5AE1E1DD" w:rsidR="001E0D13" w:rsidRDefault="001E0D13">
          <w:r>
            <w:rPr>
              <w:b/>
              <w:bCs/>
              <w:noProof/>
            </w:rPr>
            <w:fldChar w:fldCharType="end"/>
          </w:r>
        </w:p>
      </w:sdtContent>
    </w:sdt>
    <w:p w14:paraId="281D41E1" w14:textId="77777777" w:rsidR="001E0D13" w:rsidRDefault="001E0D13" w:rsidP="00A61879">
      <w:pPr>
        <w:jc w:val="center"/>
        <w:rPr>
          <w:rFonts w:cs="Arial"/>
          <w:b/>
          <w:smallCaps/>
          <w:sz w:val="28"/>
          <w:szCs w:val="28"/>
        </w:rPr>
        <w:sectPr w:rsidR="001E0D13" w:rsidSect="009E4B5A">
          <w:headerReference w:type="default"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pPr>
    </w:p>
    <w:p w14:paraId="7EDF4017" w14:textId="5C78FA0A" w:rsidR="00A61879" w:rsidRPr="00711D72" w:rsidRDefault="00A61879" w:rsidP="00A61879">
      <w:pPr>
        <w:jc w:val="center"/>
        <w:rPr>
          <w:rFonts w:cs="Arial"/>
          <w:b/>
          <w:smallCaps/>
          <w:sz w:val="28"/>
          <w:szCs w:val="28"/>
        </w:rPr>
      </w:pPr>
      <w:r w:rsidRPr="00711D72">
        <w:rPr>
          <w:rFonts w:cs="Arial"/>
          <w:b/>
          <w:smallCaps/>
          <w:sz w:val="28"/>
          <w:szCs w:val="28"/>
        </w:rPr>
        <w:lastRenderedPageBreak/>
        <w:t>Before</w:t>
      </w:r>
    </w:p>
    <w:p w14:paraId="55AAA020" w14:textId="77777777" w:rsidR="00A61879" w:rsidRPr="00711D72" w:rsidRDefault="00A61879" w:rsidP="00A61879">
      <w:pPr>
        <w:jc w:val="center"/>
        <w:rPr>
          <w:rFonts w:cs="Arial"/>
          <w:b/>
          <w:smallCaps/>
          <w:sz w:val="28"/>
          <w:szCs w:val="28"/>
        </w:rPr>
      </w:pPr>
      <w:r w:rsidRPr="00711D72">
        <w:rPr>
          <w:rFonts w:cs="Arial"/>
          <w:b/>
          <w:smallCaps/>
          <w:sz w:val="28"/>
          <w:szCs w:val="28"/>
        </w:rPr>
        <w:t>The Ohio Power Siting Board</w:t>
      </w:r>
    </w:p>
    <w:p w14:paraId="0DCDC983" w14:textId="5624FE5C" w:rsidR="00A61879" w:rsidRDefault="00A61879" w:rsidP="00A61879">
      <w:pPr>
        <w:rPr>
          <w:rFonts w:cs="Arial"/>
          <w:b/>
        </w:rPr>
      </w:pPr>
    </w:p>
    <w:p w14:paraId="643EE43D" w14:textId="77777777" w:rsidR="00C02D3C" w:rsidRPr="00711D72" w:rsidRDefault="00C02D3C" w:rsidP="00A61879">
      <w:pPr>
        <w:rPr>
          <w:rFonts w:cs="Arial"/>
          <w:b/>
        </w:rPr>
      </w:pPr>
    </w:p>
    <w:p w14:paraId="2AB870EC" w14:textId="77777777" w:rsidR="00A61879" w:rsidRPr="00711D72" w:rsidRDefault="00A61879" w:rsidP="00A61879">
      <w:pPr>
        <w:tabs>
          <w:tab w:val="left" w:pos="4590"/>
          <w:tab w:val="left" w:pos="5040"/>
        </w:tabs>
        <w:rPr>
          <w:rFonts w:cs="Arial"/>
        </w:rPr>
      </w:pPr>
      <w:r w:rsidRPr="00711D72">
        <w:rPr>
          <w:rFonts w:cs="Arial"/>
        </w:rPr>
        <w:t>In the Matter of the Ohio Power Siting</w:t>
      </w:r>
      <w:r w:rsidRPr="00711D72">
        <w:rPr>
          <w:rFonts w:cs="Arial"/>
        </w:rPr>
        <w:tab/>
        <w:t>)</w:t>
      </w:r>
    </w:p>
    <w:p w14:paraId="00D0C868" w14:textId="77777777" w:rsidR="00A61879" w:rsidRDefault="00A61879" w:rsidP="00A61879">
      <w:pPr>
        <w:tabs>
          <w:tab w:val="left" w:pos="4590"/>
          <w:tab w:val="left" w:pos="5040"/>
        </w:tabs>
        <w:rPr>
          <w:rFonts w:cs="Arial"/>
        </w:rPr>
      </w:pPr>
      <w:r w:rsidRPr="00711D72">
        <w:rPr>
          <w:rFonts w:cs="Arial"/>
        </w:rPr>
        <w:t xml:space="preserve">Board’s Review of </w:t>
      </w:r>
      <w:r>
        <w:rPr>
          <w:rFonts w:cs="Arial"/>
        </w:rPr>
        <w:t>Rule 4906-4-08 of the</w:t>
      </w:r>
      <w:r>
        <w:rPr>
          <w:rFonts w:cs="Arial"/>
        </w:rPr>
        <w:tab/>
        <w:t>)</w:t>
      </w:r>
      <w:r>
        <w:rPr>
          <w:rFonts w:cs="Arial"/>
        </w:rPr>
        <w:tab/>
        <w:t>Case No. 16-1109-GE-BRO</w:t>
      </w:r>
    </w:p>
    <w:p w14:paraId="64A4F9DF" w14:textId="77777777" w:rsidR="00A61879" w:rsidRDefault="00A61879" w:rsidP="00A61879">
      <w:pPr>
        <w:tabs>
          <w:tab w:val="left" w:pos="4590"/>
          <w:tab w:val="left" w:pos="5040"/>
        </w:tabs>
        <w:rPr>
          <w:rFonts w:cs="Arial"/>
        </w:rPr>
      </w:pPr>
      <w:r>
        <w:rPr>
          <w:rFonts w:cs="Arial"/>
        </w:rPr>
        <w:t>Ohio Administrative Code.</w:t>
      </w:r>
      <w:r>
        <w:rPr>
          <w:rFonts w:cs="Arial"/>
        </w:rPr>
        <w:tab/>
        <w:t>)</w:t>
      </w:r>
    </w:p>
    <w:p w14:paraId="2812D3C7" w14:textId="59D90820" w:rsidR="00A61879" w:rsidRDefault="00A61879" w:rsidP="00A61879">
      <w:pPr>
        <w:tabs>
          <w:tab w:val="left" w:pos="4590"/>
          <w:tab w:val="left" w:pos="5040"/>
        </w:tabs>
        <w:rPr>
          <w:rFonts w:cs="Arial"/>
        </w:rPr>
      </w:pPr>
    </w:p>
    <w:p w14:paraId="7EE72A31" w14:textId="77777777" w:rsidR="009E4B5A" w:rsidRDefault="009E4B5A" w:rsidP="00A61879">
      <w:pPr>
        <w:tabs>
          <w:tab w:val="left" w:pos="4590"/>
          <w:tab w:val="left" w:pos="5040"/>
        </w:tabs>
        <w:rPr>
          <w:rFonts w:cs="Arial"/>
        </w:rPr>
      </w:pPr>
    </w:p>
    <w:p w14:paraId="1847556C" w14:textId="77777777" w:rsidR="00A61879" w:rsidRPr="00CD1906" w:rsidRDefault="00A61879" w:rsidP="00C02D3C">
      <w:pPr>
        <w:pBdr>
          <w:top w:val="single" w:sz="12" w:space="1" w:color="auto"/>
        </w:pBdr>
        <w:jc w:val="center"/>
        <w:rPr>
          <w:rFonts w:cs="Arial"/>
          <w:b/>
          <w:sz w:val="20"/>
          <w:szCs w:val="20"/>
        </w:rPr>
      </w:pPr>
    </w:p>
    <w:p w14:paraId="767DA766" w14:textId="77777777" w:rsidR="00B71AD1" w:rsidRDefault="00A61879" w:rsidP="00A61879">
      <w:pPr>
        <w:jc w:val="center"/>
        <w:rPr>
          <w:rFonts w:cs="Arial"/>
          <w:b/>
          <w:smallCaps/>
          <w:sz w:val="28"/>
          <w:szCs w:val="28"/>
        </w:rPr>
      </w:pPr>
      <w:r w:rsidRPr="00A61879">
        <w:rPr>
          <w:rFonts w:cs="Arial"/>
          <w:b/>
          <w:smallCaps/>
          <w:sz w:val="28"/>
          <w:szCs w:val="28"/>
        </w:rPr>
        <w:t>Comments of</w:t>
      </w:r>
      <w:r w:rsidR="00B71AD1">
        <w:rPr>
          <w:rFonts w:cs="Arial"/>
          <w:b/>
          <w:smallCaps/>
          <w:sz w:val="28"/>
          <w:szCs w:val="28"/>
        </w:rPr>
        <w:t xml:space="preserve"> </w:t>
      </w:r>
      <w:r w:rsidRPr="00A61879">
        <w:rPr>
          <w:rFonts w:cs="Arial"/>
          <w:b/>
          <w:smallCaps/>
          <w:sz w:val="28"/>
          <w:szCs w:val="28"/>
        </w:rPr>
        <w:t>Greenwich Neighbors United</w:t>
      </w:r>
      <w:r w:rsidR="00B71AD1">
        <w:rPr>
          <w:rFonts w:cs="Arial"/>
          <w:b/>
          <w:smallCaps/>
          <w:sz w:val="28"/>
          <w:szCs w:val="28"/>
        </w:rPr>
        <w:t xml:space="preserve"> </w:t>
      </w:r>
    </w:p>
    <w:p w14:paraId="14BB7E6F" w14:textId="4449E77B" w:rsidR="00B71AD1" w:rsidRPr="00A61879" w:rsidRDefault="00B71AD1" w:rsidP="00A61879">
      <w:pPr>
        <w:jc w:val="center"/>
        <w:rPr>
          <w:rFonts w:cs="Arial"/>
          <w:b/>
          <w:smallCaps/>
          <w:sz w:val="28"/>
          <w:szCs w:val="28"/>
        </w:rPr>
      </w:pPr>
      <w:r>
        <w:rPr>
          <w:rFonts w:cs="Arial"/>
          <w:b/>
          <w:smallCaps/>
          <w:sz w:val="28"/>
          <w:szCs w:val="28"/>
        </w:rPr>
        <w:t>on</w:t>
      </w:r>
      <w:r w:rsidR="00A30B44">
        <w:rPr>
          <w:rFonts w:cs="Arial"/>
          <w:b/>
          <w:smallCaps/>
          <w:sz w:val="28"/>
          <w:szCs w:val="28"/>
        </w:rPr>
        <w:t xml:space="preserve"> </w:t>
      </w:r>
      <w:r>
        <w:rPr>
          <w:rFonts w:cs="Arial"/>
          <w:b/>
          <w:smallCaps/>
          <w:sz w:val="28"/>
          <w:szCs w:val="28"/>
        </w:rPr>
        <w:t>Additional Revision</w:t>
      </w:r>
    </w:p>
    <w:p w14:paraId="33B140E9" w14:textId="77777777" w:rsidR="00A61879" w:rsidRPr="00CD1906" w:rsidRDefault="00A61879" w:rsidP="00A61879">
      <w:pPr>
        <w:pStyle w:val="Title"/>
        <w:pBdr>
          <w:bottom w:val="single" w:sz="12" w:space="1" w:color="auto"/>
        </w:pBdr>
        <w:rPr>
          <w:rFonts w:ascii="Arial Bold" w:hAnsi="Arial Bold"/>
          <w:sz w:val="20"/>
          <w:szCs w:val="20"/>
          <w:u w:val="single"/>
        </w:rPr>
      </w:pPr>
    </w:p>
    <w:p w14:paraId="321400AA" w14:textId="10D67F72" w:rsidR="00A61879" w:rsidRDefault="00A61879" w:rsidP="006C4799">
      <w:pPr>
        <w:jc w:val="both"/>
        <w:rPr>
          <w:b/>
        </w:rPr>
      </w:pPr>
    </w:p>
    <w:p w14:paraId="446A4150" w14:textId="361AA761" w:rsidR="00765599" w:rsidRPr="00E94E01" w:rsidRDefault="00765599" w:rsidP="009E4B5A">
      <w:pPr>
        <w:pStyle w:val="Heading1"/>
      </w:pPr>
      <w:bookmarkStart w:id="1" w:name="_Toc505152849"/>
      <w:r w:rsidRPr="00E94E01">
        <w:t>Background</w:t>
      </w:r>
      <w:bookmarkEnd w:id="1"/>
    </w:p>
    <w:p w14:paraId="4E1237AE" w14:textId="63BCD65B" w:rsidR="00074335" w:rsidRDefault="0023191E" w:rsidP="0047103F">
      <w:pPr>
        <w:pStyle w:val="GeneralPara"/>
      </w:pPr>
      <w:r>
        <w:tab/>
      </w:r>
      <w:r w:rsidR="00074335">
        <w:t>On September 15, 2014, House Bill 483 (</w:t>
      </w:r>
      <w:r>
        <w:t>“</w:t>
      </w:r>
      <w:r w:rsidR="00074335">
        <w:t>H</w:t>
      </w:r>
      <w:r>
        <w:t>.</w:t>
      </w:r>
      <w:r w:rsidR="00074335">
        <w:t>B</w:t>
      </w:r>
      <w:r>
        <w:t>.</w:t>
      </w:r>
      <w:r w:rsidR="00074335">
        <w:t xml:space="preserve"> 483</w:t>
      </w:r>
      <w:r>
        <w:t>”</w:t>
      </w:r>
      <w:r w:rsidR="00074335">
        <w:t>) became effective, thus amending R.C. 4906.20 and 4906.201 with respect to the setback requirements applicable to applications that come before the Ohio Power Siting Board (“OPSB”).</w:t>
      </w:r>
    </w:p>
    <w:p w14:paraId="0917D794" w14:textId="6BF9CD4C" w:rsidR="00074335" w:rsidRDefault="0023191E" w:rsidP="0047103F">
      <w:pPr>
        <w:pStyle w:val="GeneralPara"/>
      </w:pPr>
      <w:r>
        <w:tab/>
      </w:r>
      <w:r w:rsidR="00074335">
        <w:t xml:space="preserve">By Entry issued November 24, 2014 in Case </w:t>
      </w:r>
      <w:r>
        <w:t>N</w:t>
      </w:r>
      <w:r w:rsidR="00074335">
        <w:t>o. 12-1981</w:t>
      </w:r>
      <w:r w:rsidR="008074EE">
        <w:noBreakHyphen/>
      </w:r>
      <w:r w:rsidR="00511568">
        <w:t>GE-BRO</w:t>
      </w:r>
      <w:r w:rsidR="00074335">
        <w:t xml:space="preserve">, </w:t>
      </w:r>
      <w:r w:rsidR="00511568">
        <w:t xml:space="preserve">the </w:t>
      </w:r>
      <w:r w:rsidR="00074335">
        <w:t xml:space="preserve">OPSB requested comments on </w:t>
      </w:r>
      <w:r w:rsidR="00CF4B4E">
        <w:t xml:space="preserve">the OPSB </w:t>
      </w:r>
      <w:r w:rsidR="00074335">
        <w:t>Staff’s proposed revision</w:t>
      </w:r>
      <w:r>
        <w:t>s</w:t>
      </w:r>
      <w:r w:rsidR="00074335">
        <w:t xml:space="preserve"> to </w:t>
      </w:r>
      <w:r>
        <w:t xml:space="preserve">Rule </w:t>
      </w:r>
      <w:r w:rsidR="00074335">
        <w:t xml:space="preserve">4906-4-08, </w:t>
      </w:r>
      <w:r>
        <w:t xml:space="preserve">Ohio Administrative Code (“O.A.C.”), </w:t>
      </w:r>
      <w:r w:rsidR="00074335">
        <w:t>which</w:t>
      </w:r>
      <w:r w:rsidR="00770131">
        <w:t>, among other things,</w:t>
      </w:r>
      <w:r w:rsidR="00074335">
        <w:t xml:space="preserve"> revised the setback requirements for applications to construct wind-powered electric generation facilities in light of the amendments to R.C. 4906.20 and 4906.201 made in H.B. 483. </w:t>
      </w:r>
    </w:p>
    <w:p w14:paraId="48D75C80" w14:textId="1C1CDC10" w:rsidR="00074335" w:rsidRDefault="0023191E" w:rsidP="0047103F">
      <w:pPr>
        <w:pStyle w:val="GeneralPara"/>
      </w:pPr>
      <w:r>
        <w:tab/>
      </w:r>
      <w:r w:rsidR="00074335">
        <w:t>In response to the November 24, 2014 Entry, comments were timely filed on January 16, 2015 by various stakeholders.</w:t>
      </w:r>
      <w:r w:rsidR="00AD7B58">
        <w:rPr>
          <w:rStyle w:val="FootnoteReference"/>
        </w:rPr>
        <w:footnoteReference w:id="1"/>
      </w:r>
      <w:r w:rsidR="00074335">
        <w:t xml:space="preserve">  </w:t>
      </w:r>
      <w:r w:rsidR="00CF4B4E">
        <w:t>But r</w:t>
      </w:r>
      <w:r w:rsidR="00074335">
        <w:t>ather than address</w:t>
      </w:r>
      <w:r w:rsidR="00CF4B4E">
        <w:t>ing</w:t>
      </w:r>
      <w:r w:rsidR="00074335">
        <w:t xml:space="preserve"> the </w:t>
      </w:r>
      <w:r w:rsidR="00566149">
        <w:t xml:space="preserve">commenters’ </w:t>
      </w:r>
      <w:r w:rsidR="00A615E1">
        <w:lastRenderedPageBreak/>
        <w:t xml:space="preserve">recommendations, </w:t>
      </w:r>
      <w:r w:rsidR="00074335">
        <w:t xml:space="preserve">concerns and objections, the OPSB </w:t>
      </w:r>
      <w:r w:rsidR="003A3CDB">
        <w:t>set</w:t>
      </w:r>
      <w:r w:rsidR="00B96B55">
        <w:t xml:space="preserve"> the </w:t>
      </w:r>
      <w:r w:rsidR="003A3CDB">
        <w:t xml:space="preserve">input aside for some future </w:t>
      </w:r>
      <w:r w:rsidR="006562B5">
        <w:t xml:space="preserve">unspecified discussion </w:t>
      </w:r>
      <w:r w:rsidR="003A3CDB">
        <w:t>and</w:t>
      </w:r>
      <w:r w:rsidR="00566149">
        <w:t xml:space="preserve"> </w:t>
      </w:r>
      <w:r w:rsidR="00EA363C">
        <w:t>adopt</w:t>
      </w:r>
      <w:r w:rsidR="00566149">
        <w:t>ed</w:t>
      </w:r>
      <w:r w:rsidR="00EA363C">
        <w:t xml:space="preserve"> </w:t>
      </w:r>
      <w:r w:rsidR="00525427">
        <w:t xml:space="preserve">the </w:t>
      </w:r>
      <w:r w:rsidR="00EA363C">
        <w:t xml:space="preserve">proposed rules which </w:t>
      </w:r>
      <w:r w:rsidR="00566149">
        <w:t xml:space="preserve">had </w:t>
      </w:r>
      <w:r w:rsidR="00EA363C">
        <w:t>promoted the concerns and objections.</w:t>
      </w:r>
      <w:r w:rsidR="00074335">
        <w:t xml:space="preserve">  The OPSB also said </w:t>
      </w:r>
      <w:r w:rsidR="00486BDB">
        <w:t>(</w:t>
      </w:r>
      <w:r w:rsidR="00074335">
        <w:t xml:space="preserve">in </w:t>
      </w:r>
      <w:r w:rsidR="00486BDB">
        <w:t xml:space="preserve">an </w:t>
      </w:r>
      <w:r w:rsidR="00335B27">
        <w:t xml:space="preserve">Order </w:t>
      </w:r>
      <w:r w:rsidR="00074335">
        <w:t>issued on November 12, 2015 – about one year after the OPSB requested comments and over 10 months after comments were filed) that “[u]pon conclusion of those discussions, but no later than June 1, 2016, the Board will initiate a rulemaking docket for the purpose of issuing for formal comments the Staff’s proposed revisions to Ohio Adm.Code 4906-4-08 resulting from the stakeholder deliberations.”</w:t>
      </w:r>
      <w:r w:rsidR="00335B27">
        <w:rPr>
          <w:rStyle w:val="FootnoteReference"/>
        </w:rPr>
        <w:footnoteReference w:id="2"/>
      </w:r>
      <w:r w:rsidR="00074335">
        <w:t xml:space="preserve">  </w:t>
      </w:r>
      <w:r w:rsidR="00486BDB">
        <w:t xml:space="preserve">Additionally, </w:t>
      </w:r>
      <w:r w:rsidR="00460BE8">
        <w:t xml:space="preserve">the </w:t>
      </w:r>
      <w:r w:rsidR="00074335">
        <w:t xml:space="preserve">OPSB </w:t>
      </w:r>
      <w:r w:rsidR="00486BDB">
        <w:t xml:space="preserve">stated </w:t>
      </w:r>
      <w:r w:rsidR="00074335">
        <w:t>that: “It is the Board's expectation that Staff will strive to resolve the technical issues with the stakeholders and include the agreed-upon proposals in the revisions to be put out for comment.”</w:t>
      </w:r>
      <w:r w:rsidR="00335B27">
        <w:rPr>
          <w:rStyle w:val="FootnoteReference"/>
        </w:rPr>
        <w:footnoteReference w:id="3"/>
      </w:r>
      <w:r w:rsidR="00074335">
        <w:t xml:space="preserve">  And the OPSB’s November 12, 2015 </w:t>
      </w:r>
      <w:r w:rsidR="00335B27">
        <w:t xml:space="preserve">Order </w:t>
      </w:r>
      <w:r w:rsidR="00EE4406">
        <w:t xml:space="preserve">in Case No. 12-1981-GE-BRO </w:t>
      </w:r>
      <w:r w:rsidR="00074335">
        <w:t xml:space="preserve">identified certain issues that were to be included in the discussions leading up to the issuance of the proposed rules.  </w:t>
      </w:r>
    </w:p>
    <w:p w14:paraId="0A1B48DA" w14:textId="66E89EAD" w:rsidR="001C662B" w:rsidRDefault="00335B27" w:rsidP="0047103F">
      <w:pPr>
        <w:pStyle w:val="GeneralPara"/>
      </w:pPr>
      <w:r>
        <w:tab/>
      </w:r>
      <w:r w:rsidR="00074335">
        <w:t xml:space="preserve">Since the issuance of the November 12, 2015 </w:t>
      </w:r>
      <w:r>
        <w:t>Order</w:t>
      </w:r>
      <w:r w:rsidR="00074335">
        <w:t xml:space="preserve">, the OPSB has </w:t>
      </w:r>
      <w:r w:rsidR="00BC4F00">
        <w:t xml:space="preserve">issued two invitations to </w:t>
      </w:r>
      <w:r w:rsidR="00074335">
        <w:t xml:space="preserve">parties </w:t>
      </w:r>
      <w:r w:rsidR="00BC4F00">
        <w:t>interested in attending a public meeting</w:t>
      </w:r>
      <w:r w:rsidR="00CB4541">
        <w:t xml:space="preserve">.  </w:t>
      </w:r>
      <w:r w:rsidR="00BC4F00">
        <w:t xml:space="preserve">Each </w:t>
      </w:r>
      <w:r w:rsidR="00CB4541">
        <w:t xml:space="preserve">invitation came without any meaningful guidance </w:t>
      </w:r>
      <w:r w:rsidR="001C662B">
        <w:t xml:space="preserve">on </w:t>
      </w:r>
      <w:r w:rsidR="00CB4541">
        <w:t xml:space="preserve">the </w:t>
      </w:r>
      <w:r w:rsidR="00624F37">
        <w:t xml:space="preserve">procedural or substantive </w:t>
      </w:r>
      <w:r w:rsidR="00E54730">
        <w:t>purpose of the meeting.</w:t>
      </w:r>
    </w:p>
    <w:p w14:paraId="01CD4A4C" w14:textId="2558CEC9" w:rsidR="00287386" w:rsidRDefault="00335B27" w:rsidP="0047103F">
      <w:pPr>
        <w:pStyle w:val="GeneralPara"/>
      </w:pPr>
      <w:r>
        <w:lastRenderedPageBreak/>
        <w:tab/>
      </w:r>
      <w:r w:rsidR="00325AC4">
        <w:t>On February 12, 2016, a</w:t>
      </w:r>
      <w:r w:rsidR="00074335">
        <w:t>fter the first meeting</w:t>
      </w:r>
      <w:r w:rsidR="00C60EE7">
        <w:t xml:space="preserve"> which took place on January 29, 201</w:t>
      </w:r>
      <w:r w:rsidR="002730EA">
        <w:t>6</w:t>
      </w:r>
      <w:r w:rsidR="00074335">
        <w:t xml:space="preserve">, </w:t>
      </w:r>
      <w:r w:rsidR="00086622">
        <w:t xml:space="preserve">the OPSB </w:t>
      </w:r>
      <w:r w:rsidR="000A5335">
        <w:t xml:space="preserve">abruptly </w:t>
      </w:r>
      <w:r w:rsidR="00086622">
        <w:t>closed Case No</w:t>
      </w:r>
      <w:r w:rsidR="001D6219">
        <w:t>. 12</w:t>
      </w:r>
      <w:r w:rsidR="001D6219">
        <w:noBreakHyphen/>
      </w:r>
      <w:r w:rsidR="008A24D1">
        <w:t>1981</w:t>
      </w:r>
      <w:r w:rsidR="001D6219">
        <w:noBreakHyphen/>
      </w:r>
      <w:r w:rsidR="008A24D1">
        <w:t>GE</w:t>
      </w:r>
      <w:r w:rsidR="001D6219">
        <w:noBreakHyphen/>
      </w:r>
      <w:r w:rsidR="008A24D1">
        <w:t>BRO.</w:t>
      </w:r>
    </w:p>
    <w:p w14:paraId="387E3679" w14:textId="6609BBE3" w:rsidR="00074335" w:rsidRDefault="001D6219" w:rsidP="0047103F">
      <w:pPr>
        <w:pStyle w:val="GeneralPara"/>
      </w:pPr>
      <w:r>
        <w:tab/>
      </w:r>
      <w:r w:rsidR="00985FDC">
        <w:t>O</w:t>
      </w:r>
      <w:r w:rsidR="00074335">
        <w:t xml:space="preserve">n May </w:t>
      </w:r>
      <w:r w:rsidR="00985FDC">
        <w:t xml:space="preserve">18, </w:t>
      </w:r>
      <w:r w:rsidR="00074335">
        <w:t>2016, the OPSB ini</w:t>
      </w:r>
      <w:r w:rsidR="00287386">
        <w:t xml:space="preserve">tiated a new rulemaking docket </w:t>
      </w:r>
      <w:r w:rsidR="00074335">
        <w:t xml:space="preserve">in </w:t>
      </w:r>
      <w:r w:rsidR="00B71AD1">
        <w:t xml:space="preserve">this proceeding, </w:t>
      </w:r>
      <w:r>
        <w:t xml:space="preserve">Case No. </w:t>
      </w:r>
      <w:r w:rsidR="009C1142">
        <w:t>16</w:t>
      </w:r>
      <w:r w:rsidR="009C1142">
        <w:noBreakHyphen/>
      </w:r>
      <w:r w:rsidR="00074335">
        <w:t>1109</w:t>
      </w:r>
      <w:r w:rsidR="009C1142">
        <w:noBreakHyphen/>
        <w:t>GE</w:t>
      </w:r>
      <w:r w:rsidR="009C1142">
        <w:noBreakHyphen/>
      </w:r>
      <w:r w:rsidR="00074335">
        <w:t>BRO</w:t>
      </w:r>
      <w:r w:rsidR="00B71AD1">
        <w:t>,</w:t>
      </w:r>
      <w:r w:rsidR="00074335">
        <w:t xml:space="preserve"> for the purpose of issuing, for formal comment, proposed revisions to </w:t>
      </w:r>
      <w:r>
        <w:t xml:space="preserve">Rule </w:t>
      </w:r>
      <w:r w:rsidR="00074335">
        <w:t>4906-4-08</w:t>
      </w:r>
      <w:r>
        <w:t>, O.A.C</w:t>
      </w:r>
      <w:r w:rsidR="00074335">
        <w:t xml:space="preserve">.  Case No. 16-1109-GE-BRO </w:t>
      </w:r>
      <w:r w:rsidR="00E5350C">
        <w:t xml:space="preserve">was opened for the purpose of conducting </w:t>
      </w:r>
      <w:r w:rsidR="00074335">
        <w:t xml:space="preserve">a five-year </w:t>
      </w:r>
      <w:r w:rsidR="004934C5">
        <w:t xml:space="preserve">review </w:t>
      </w:r>
      <w:r w:rsidR="00074335">
        <w:t xml:space="preserve">and </w:t>
      </w:r>
      <w:r w:rsidR="00E5350C">
        <w:t xml:space="preserve">was not </w:t>
      </w:r>
      <w:r w:rsidR="00074335">
        <w:t>focused on the substa</w:t>
      </w:r>
      <w:r w:rsidR="00BE2505">
        <w:t>ntive concerns that the OPSB had</w:t>
      </w:r>
      <w:r w:rsidR="00074335">
        <w:t xml:space="preserve"> previously </w:t>
      </w:r>
      <w:r w:rsidR="009A2FF0">
        <w:t xml:space="preserve">identified </w:t>
      </w:r>
      <w:r w:rsidR="00214BE8">
        <w:t>(in Case No. 12</w:t>
      </w:r>
      <w:r w:rsidR="00C02D3C">
        <w:noBreakHyphen/>
      </w:r>
      <w:r w:rsidR="00214BE8">
        <w:t>1981</w:t>
      </w:r>
      <w:r w:rsidR="00C02D3C">
        <w:noBreakHyphen/>
      </w:r>
      <w:r w:rsidR="00214BE8">
        <w:t xml:space="preserve">GE-BRO) </w:t>
      </w:r>
      <w:r w:rsidR="009A2FF0">
        <w:t xml:space="preserve">as requiring further </w:t>
      </w:r>
      <w:r w:rsidR="00BE2505">
        <w:t>consideration.</w:t>
      </w:r>
    </w:p>
    <w:p w14:paraId="629F0D87" w14:textId="636817B7" w:rsidR="00E05F35" w:rsidRDefault="001D6219" w:rsidP="0047103F">
      <w:pPr>
        <w:pStyle w:val="GeneralPara"/>
      </w:pPr>
      <w:r>
        <w:tab/>
      </w:r>
      <w:r w:rsidR="00074335">
        <w:t xml:space="preserve">A “rulemaking kickoff workshop” (the second meeting with the OPSB </w:t>
      </w:r>
      <w:r>
        <w:t>S</w:t>
      </w:r>
      <w:r w:rsidR="00074335">
        <w:t xml:space="preserve">taff) was held in Columbus on June 9, 2016.  </w:t>
      </w:r>
      <w:r w:rsidR="009A2FF0">
        <w:t xml:space="preserve">Again, this public meeting was scheduled and held without any advance guidance </w:t>
      </w:r>
      <w:r w:rsidR="00830377">
        <w:t xml:space="preserve">regarding the procedural or substantive purpose of the meeting.  </w:t>
      </w:r>
      <w:r w:rsidR="003E50C8">
        <w:t>Nonetheless, s</w:t>
      </w:r>
      <w:r w:rsidR="00074335">
        <w:t>everal stakeholders attended the June 9, 2016</w:t>
      </w:r>
      <w:r w:rsidR="009439BA">
        <w:t xml:space="preserve"> meeting and offered comments</w:t>
      </w:r>
      <w:r w:rsidR="00407E3D">
        <w:t xml:space="preserve">.  </w:t>
      </w:r>
    </w:p>
    <w:p w14:paraId="7156DE39" w14:textId="77777777" w:rsidR="008E3BF4" w:rsidRDefault="001D6219" w:rsidP="0047103F">
      <w:pPr>
        <w:pStyle w:val="GeneralPara"/>
      </w:pPr>
      <w:r>
        <w:tab/>
      </w:r>
      <w:r w:rsidR="00407E3D">
        <w:t xml:space="preserve">At no time during </w:t>
      </w:r>
      <w:r>
        <w:t xml:space="preserve">the </w:t>
      </w:r>
      <w:r w:rsidR="00407E3D">
        <w:t xml:space="preserve">January 29, 2016 or June 9, 2016 sessions did the </w:t>
      </w:r>
      <w:r w:rsidR="009439BA">
        <w:t xml:space="preserve">OPSB Staff engage in discussions </w:t>
      </w:r>
      <w:r w:rsidR="00407E3D">
        <w:t xml:space="preserve">for the purpose of </w:t>
      </w:r>
      <w:r w:rsidR="009439BA">
        <w:t>resolv</w:t>
      </w:r>
      <w:r w:rsidR="00407E3D">
        <w:t xml:space="preserve">ing </w:t>
      </w:r>
      <w:r w:rsidR="009439BA">
        <w:t>“technical issues” or any other issues.</w:t>
      </w:r>
    </w:p>
    <w:p w14:paraId="6390E3DF" w14:textId="030FCA3D" w:rsidR="00E05F35" w:rsidRDefault="002730EA" w:rsidP="0047103F">
      <w:pPr>
        <w:pStyle w:val="GeneralPara"/>
      </w:pPr>
      <w:r>
        <w:tab/>
      </w:r>
      <w:r w:rsidR="00F966C2">
        <w:t xml:space="preserve">On September 22, 2016, the OPSB issued another </w:t>
      </w:r>
      <w:r>
        <w:t>E</w:t>
      </w:r>
      <w:r w:rsidR="00F966C2">
        <w:t xml:space="preserve">ntry </w:t>
      </w:r>
      <w:r>
        <w:t xml:space="preserve">(in this case) </w:t>
      </w:r>
      <w:r w:rsidR="00F966C2">
        <w:t>inviting interested parties to submit comments o</w:t>
      </w:r>
      <w:r w:rsidR="0025783F">
        <w:t xml:space="preserve">n another set of proposed rules.  The proposed rules and </w:t>
      </w:r>
      <w:r w:rsidR="00F416D8">
        <w:t>a</w:t>
      </w:r>
      <w:r w:rsidR="006A7439">
        <w:t xml:space="preserve"> </w:t>
      </w:r>
      <w:r w:rsidR="00B74BFB">
        <w:t xml:space="preserve">misleading </w:t>
      </w:r>
      <w:r w:rsidR="00D845A5">
        <w:t>Business Impact A</w:t>
      </w:r>
      <w:r w:rsidR="00F416D8">
        <w:t>nalysis</w:t>
      </w:r>
      <w:r w:rsidR="0083543C">
        <w:rPr>
          <w:rStyle w:val="FootnoteReference"/>
        </w:rPr>
        <w:footnoteReference w:id="4"/>
      </w:r>
      <w:r w:rsidR="00F416D8">
        <w:t xml:space="preserve"> were attached to the September 22, 2016 </w:t>
      </w:r>
      <w:r>
        <w:t>E</w:t>
      </w:r>
      <w:r w:rsidR="00F416D8">
        <w:t xml:space="preserve">ntry in </w:t>
      </w:r>
      <w:r w:rsidR="002773BE">
        <w:t xml:space="preserve">Case No. 16-1109-GE-BRO.  </w:t>
      </w:r>
    </w:p>
    <w:p w14:paraId="1DCF36BC" w14:textId="26A37079" w:rsidR="0045370E" w:rsidRDefault="002730EA" w:rsidP="00B63D42">
      <w:pPr>
        <w:pStyle w:val="GeneralPara"/>
      </w:pPr>
      <w:r>
        <w:lastRenderedPageBreak/>
        <w:tab/>
      </w:r>
      <w:r w:rsidR="00B71AD1">
        <w:t xml:space="preserve">On October </w:t>
      </w:r>
      <w:r w:rsidR="0045370E">
        <w:t>24, 2016, GNU submitted comments for the OPSB’s consideration.  Among other things, GNU’s October 24, 2016 comments objected to the proposed rules because they were inconsistent with the controlling statutes.  For example, at pages 7 and 8 of its October 24, 2016 comments, GNU stated:</w:t>
      </w:r>
    </w:p>
    <w:p w14:paraId="7C7ECAF9" w14:textId="25A9DB41" w:rsidR="0045370E" w:rsidRDefault="0045370E" w:rsidP="007C2EE2">
      <w:pPr>
        <w:pStyle w:val="GeneralPara"/>
        <w:spacing w:line="240" w:lineRule="auto"/>
        <w:ind w:left="720" w:right="720" w:firstLine="720"/>
      </w:pPr>
      <w:r>
        <w:t xml:space="preserve">As the OPSB knows, the controlling statutory language states that the minimum setbacks must be complied with unless </w:t>
      </w:r>
      <w:r w:rsidR="007C2EE2">
        <w:t>‘</w:t>
      </w:r>
      <w:r>
        <w:t>all owners of property adjacent to the wind farm property waive application of the setback to that property pursuant to a procedure the board shall establish by rule and except in which, in a particular case, the board determines that a setback greater than the minimum is necessary.</w:t>
      </w:r>
      <w:r w:rsidR="007C2EE2">
        <w:t xml:space="preserve">’ </w:t>
      </w:r>
      <w:r>
        <w:t xml:space="preserve"> The OPSB has no authority to rewrite or ignore the controlling statutory language and it has no ability to establish a rule that does so.</w:t>
      </w:r>
    </w:p>
    <w:p w14:paraId="6A9362E1" w14:textId="1BA3A5F6" w:rsidR="0045370E" w:rsidRDefault="0045370E" w:rsidP="007C2EE2">
      <w:pPr>
        <w:pStyle w:val="GeneralPara"/>
        <w:spacing w:line="240" w:lineRule="auto"/>
        <w:ind w:left="720" w:right="720" w:firstLine="720"/>
      </w:pPr>
      <w:r>
        <w:t xml:space="preserve">Accordingly, GNU urges the OPSB to adopt the controlling language in R.C. 4906.20(B)(2)(c) for purposes of identifying the population of adjacent property owners that must agree to a setback waiver before the waiver can permit a wind farm developer to evade the minimum setback requirements. </w:t>
      </w:r>
      <w:r w:rsidR="00194906">
        <w:t xml:space="preserve"> </w:t>
      </w:r>
      <w:r>
        <w:t xml:space="preserve">The word </w:t>
      </w:r>
      <w:r w:rsidR="00DB025B">
        <w:t>‘</w:t>
      </w:r>
      <w:r>
        <w:t>all</w:t>
      </w:r>
      <w:r w:rsidR="00DB025B">
        <w:t>’</w:t>
      </w:r>
      <w:r>
        <w:t xml:space="preserve"> cannot be written out of the law by the OPSB’s application of an existing rule or through the establishment of a new rule. </w:t>
      </w:r>
      <w:r w:rsidR="007C2EE2">
        <w:t xml:space="preserve"> </w:t>
      </w:r>
      <w:r>
        <w:t xml:space="preserve">The OPSB’s rules should respect the General Assembly’s command that </w:t>
      </w:r>
      <w:r>
        <w:lastRenderedPageBreak/>
        <w:t>no waiver of the minimum setback requirements will be effective unless and until all owners of property adjacent to the wind farm property waive application of</w:t>
      </w:r>
      <w:r w:rsidR="007C2EE2">
        <w:t xml:space="preserve"> </w:t>
      </w:r>
      <w:r>
        <w:t>the minimum setback requirements.</w:t>
      </w:r>
    </w:p>
    <w:p w14:paraId="6F98499A" w14:textId="4710422F" w:rsidR="00D64CCF" w:rsidRDefault="00D64CCF" w:rsidP="00C02D3C">
      <w:pPr>
        <w:pStyle w:val="GeneralPara"/>
        <w:ind w:left="720" w:right="720"/>
      </w:pPr>
      <w:r>
        <w:t>(citation omitted).</w:t>
      </w:r>
    </w:p>
    <w:p w14:paraId="5EFF573B" w14:textId="3FBC4711" w:rsidR="00FD0844" w:rsidRDefault="007C2EE2" w:rsidP="001A1DEC">
      <w:pPr>
        <w:pStyle w:val="GeneralPara"/>
      </w:pPr>
      <w:r>
        <w:tab/>
        <w:t>On November 8, 2016, GNU filed Reply Comments in this proceeding</w:t>
      </w:r>
      <w:r w:rsidR="00036FC5">
        <w:t>.  At pages 7 and 8 of its Reply Comments, GNU stated:</w:t>
      </w:r>
    </w:p>
    <w:p w14:paraId="22A8B1EE" w14:textId="702289C8" w:rsidR="00D64CCF" w:rsidRDefault="00036FC5" w:rsidP="00036FC5">
      <w:pPr>
        <w:pStyle w:val="GeneralPara"/>
        <w:spacing w:line="240" w:lineRule="auto"/>
        <w:ind w:left="720" w:right="720"/>
      </w:pPr>
      <w:r>
        <w:t xml:space="preserve">In Case No. 08-1024-EL-ORD, the OPSB had occasion to address an argument advanced by Buckeye Wind, LLC (“Buckeye”). In the </w:t>
      </w:r>
      <w:r w:rsidRPr="00C02D3C">
        <w:rPr>
          <w:i/>
        </w:rPr>
        <w:t>2008 Rulemaking</w:t>
      </w:r>
      <w:r>
        <w:t xml:space="preserve">, the OPSB adopted a rule that said that: </w:t>
      </w:r>
    </w:p>
    <w:p w14:paraId="6F4103E6" w14:textId="77777777" w:rsidR="00D64CCF" w:rsidRDefault="00036FC5" w:rsidP="00D64CCF">
      <w:pPr>
        <w:pStyle w:val="GeneralPara"/>
        <w:spacing w:line="240" w:lineRule="auto"/>
        <w:ind w:left="1440" w:right="1440"/>
      </w:pPr>
      <w:r>
        <w:t>Minimum setbacks may be waived in the event that all owners of property adjacent to the turbine agree to such waiver …</w:t>
      </w:r>
      <w:r w:rsidR="001A1DEC">
        <w:t xml:space="preserve"> </w:t>
      </w:r>
      <w:r>
        <w:t xml:space="preserve"> </w:t>
      </w:r>
    </w:p>
    <w:p w14:paraId="0FD88D8B" w14:textId="100CE06C" w:rsidR="00036FC5" w:rsidRDefault="00036FC5" w:rsidP="00036FC5">
      <w:pPr>
        <w:pStyle w:val="GeneralPara"/>
        <w:spacing w:line="240" w:lineRule="auto"/>
        <w:ind w:left="720" w:right="720"/>
      </w:pPr>
      <w:r>
        <w:t xml:space="preserve">During the rehearing process associated with the </w:t>
      </w:r>
      <w:r w:rsidRPr="00C02D3C">
        <w:rPr>
          <w:i/>
        </w:rPr>
        <w:t>2008 Rulemaking</w:t>
      </w:r>
      <w:r>
        <w:t xml:space="preserve">, Buckeye claimed that the above quoted language was unreasonable and unlawful because it could be interpreted as requiring consent of every owner of property. </w:t>
      </w:r>
      <w:r w:rsidR="001A1DEC">
        <w:t xml:space="preserve"> </w:t>
      </w:r>
      <w:r>
        <w:t xml:space="preserve">Buckeye urged the OPSB to change the adopted rule and suggested language based on Buckeye’s interpretation of the controlling statute (much as MAREC has done here). </w:t>
      </w:r>
      <w:r w:rsidR="001A1DEC">
        <w:t xml:space="preserve"> </w:t>
      </w:r>
      <w:r>
        <w:t xml:space="preserve">The OPSB rejected Buckeye’s position (for reasons advanced by UNU) stating as follows: </w:t>
      </w:r>
    </w:p>
    <w:p w14:paraId="34FF3B81" w14:textId="780CBF6E" w:rsidR="00036FC5" w:rsidRDefault="00036FC5" w:rsidP="001A1DEC">
      <w:pPr>
        <w:pStyle w:val="GeneralPara"/>
        <w:spacing w:line="240" w:lineRule="auto"/>
        <w:ind w:left="1440" w:right="1440"/>
      </w:pPr>
      <w:bookmarkStart w:id="2" w:name="_Hlk504665492"/>
      <w:r>
        <w:t xml:space="preserve">The Board finds that Section 4906.20(B)(2), Revised Code, is clear and unambiguous as to who must agree to the waiver of the minimum setback.  To that end we agree with UNU that it is a well-settled principle of statutory construction that, where the statute is clear and unambiguous, statutory interpretation is not necessary and the statute must be applied giving effect to the words used. </w:t>
      </w:r>
      <w:r w:rsidRPr="00036FC5">
        <w:rPr>
          <w:i/>
        </w:rPr>
        <w:t>In re Collier</w:t>
      </w:r>
      <w:r>
        <w:t xml:space="preserve">, 85 Ohio App.3d 232, 236-237 (1993). Further, </w:t>
      </w:r>
      <w:r w:rsidRPr="001A1DEC">
        <w:rPr>
          <w:b/>
        </w:rPr>
        <w:t>where the statute is clear and unambiguous, the agency must give effect to the words in the statute without deleting words used or inserting words not used in the statute.</w:t>
      </w:r>
      <w:r>
        <w:t xml:space="preserve"> </w:t>
      </w:r>
      <w:bookmarkEnd w:id="2"/>
      <w:r w:rsidRPr="00036FC5">
        <w:rPr>
          <w:i/>
        </w:rPr>
        <w:t>Id</w:t>
      </w:r>
      <w:r>
        <w:t>.  Accordingly, the Board finds it unnecessary and inappropriate to revise Rule 4906-17-08(C)(l)(c)(iii), O.A.C, as proposed by Buckeye.</w:t>
      </w:r>
    </w:p>
    <w:p w14:paraId="1632E4DC" w14:textId="77777777" w:rsidR="009E4B5A" w:rsidRDefault="009E4B5A">
      <w:r>
        <w:br w:type="page"/>
      </w:r>
    </w:p>
    <w:p w14:paraId="40628F4B" w14:textId="6B2C1BC9" w:rsidR="00036FC5" w:rsidRDefault="00036FC5" w:rsidP="00036FC5">
      <w:pPr>
        <w:pStyle w:val="GeneralPara"/>
        <w:spacing w:line="240" w:lineRule="auto"/>
        <w:ind w:left="720" w:right="720"/>
      </w:pPr>
      <w:r>
        <w:lastRenderedPageBreak/>
        <w:t>In any event, the Staff’s proposed change to Rule 4906-04-08(C)(2)(d), O.A.C., deletes language that is contained in the controlling statute and inserts words not used in the statute.  Then, in proposed Rule 4906-04-08(C)(3), O.A.C., language is added to simply indicate that “… owner(s) of adjacent property to any wind farm property may waive the minimum setback requirements ….” The new language also addresses the form and content of the waiver.  Neither the existing language in the OPSB’s rules nor the new language in the draft rules establishes the procedure which must be followed by a wind farm developer to obtain a lawful waiver.</w:t>
      </w:r>
    </w:p>
    <w:p w14:paraId="478DAE3D" w14:textId="55F40209" w:rsidR="00036FC5" w:rsidRDefault="00036FC5" w:rsidP="00036FC5">
      <w:pPr>
        <w:pStyle w:val="GeneralPara"/>
        <w:spacing w:line="240" w:lineRule="auto"/>
        <w:ind w:left="720" w:right="720"/>
      </w:pPr>
      <w:r>
        <w:t>As the OPSB knows, the controlling statutory language states that the minimum setbacks may not be evaded unless ‘all owners of property adjacent to the wind farm property waive application of the setback to that property pursuant to a procedure the board shall establish by rule and except in which, in a particular case, the board determines that a setback greater than the minimum is necessary.’  The OPSB has no authority to rewrite or ignore the controlling statutory language and it has no ability to establish a rule that does so.  The OPSB’s prior holdings confirm that the controlling statutory language is clear and leaves no room for interpretational monkey business.</w:t>
      </w:r>
    </w:p>
    <w:p w14:paraId="0CFEF175" w14:textId="10553F78" w:rsidR="00D64CCF" w:rsidRDefault="00D64CCF" w:rsidP="00C02D3C">
      <w:pPr>
        <w:pStyle w:val="GeneralPara"/>
        <w:ind w:left="720" w:right="720"/>
      </w:pPr>
      <w:r>
        <w:t>(citations omitted).</w:t>
      </w:r>
    </w:p>
    <w:p w14:paraId="572B4052" w14:textId="1C18CFE1" w:rsidR="001A1DEC" w:rsidRDefault="001A1DEC" w:rsidP="00C02D3C">
      <w:pPr>
        <w:pStyle w:val="GeneralPara"/>
        <w:spacing w:after="0"/>
        <w:ind w:firstLine="720"/>
      </w:pPr>
      <w:r>
        <w:t>On May 4, 2017, many months after the</w:t>
      </w:r>
      <w:r w:rsidR="00D32353">
        <w:t xml:space="preserve"> comment phase was completed, the </w:t>
      </w:r>
      <w:r w:rsidR="00560FB5">
        <w:t xml:space="preserve">OPSB </w:t>
      </w:r>
      <w:r w:rsidR="00D32353">
        <w:t xml:space="preserve">issued a Finding and Order in this proceeding.  At page 24 of that Finding and Order and in response to GNU’s Comments and Reply Comments, the OPSB </w:t>
      </w:r>
      <w:r w:rsidR="001E4044">
        <w:t>said:</w:t>
      </w:r>
    </w:p>
    <w:p w14:paraId="287DD30E" w14:textId="56925998" w:rsidR="001E4044" w:rsidRDefault="001E4044" w:rsidP="00361DB3">
      <w:pPr>
        <w:pStyle w:val="GeneralPara"/>
        <w:spacing w:line="240" w:lineRule="auto"/>
        <w:ind w:left="720" w:right="720"/>
      </w:pPr>
      <w:r>
        <w:t>We are not required to insert the language of the statute in order to give it effect, especially considering that the Board has already stated that it is clear from whom waivers are required, and find that this particular paragraph does not need to replicate the language found in the statute.  The Board finds that this is simply a procedural paragraph, fully in compliance with the governing statute.</w:t>
      </w:r>
    </w:p>
    <w:p w14:paraId="05704526" w14:textId="34AE78A0" w:rsidR="001E4044" w:rsidRDefault="001E4044" w:rsidP="009E4B5A">
      <w:pPr>
        <w:pStyle w:val="GeneralPara"/>
        <w:spacing w:before="360"/>
      </w:pPr>
      <w:r>
        <w:t xml:space="preserve">At page 25 of that Finding and Order and in response to GNU’s Comments and Reply Comments, the OPSB </w:t>
      </w:r>
      <w:r w:rsidR="00560FB5">
        <w:t xml:space="preserve">essentially </w:t>
      </w:r>
      <w:r>
        <w:t>repeated the above-quoted language.</w:t>
      </w:r>
    </w:p>
    <w:p w14:paraId="6FD52BE0" w14:textId="37D2D6A8" w:rsidR="001E4044" w:rsidRDefault="001E4044" w:rsidP="00B63D42">
      <w:pPr>
        <w:pStyle w:val="GeneralPara"/>
      </w:pPr>
      <w:r>
        <w:tab/>
        <w:t xml:space="preserve">On </w:t>
      </w:r>
      <w:r w:rsidR="00361DB3">
        <w:t xml:space="preserve">June 5, 2017, GNU filed an </w:t>
      </w:r>
      <w:r w:rsidR="00D64CCF">
        <w:t>A</w:t>
      </w:r>
      <w:r w:rsidR="00361DB3">
        <w:t xml:space="preserve">pplication for </w:t>
      </w:r>
      <w:r w:rsidR="00D64CCF">
        <w:t>R</w:t>
      </w:r>
      <w:r w:rsidR="00361DB3">
        <w:t xml:space="preserve">ehearing that contested, among other things, OPSB’s refusal to conform the above-discussed rule language to the </w:t>
      </w:r>
      <w:r w:rsidR="00361DB3">
        <w:lastRenderedPageBreak/>
        <w:t xml:space="preserve">controlling statute.  More specifically and, for example, at page 6 of its </w:t>
      </w:r>
      <w:r w:rsidR="00D64CCF">
        <w:t>A</w:t>
      </w:r>
      <w:r w:rsidR="00361DB3">
        <w:t>pplication fo</w:t>
      </w:r>
      <w:r w:rsidR="00856777">
        <w:t>r</w:t>
      </w:r>
      <w:r w:rsidR="00361DB3">
        <w:t xml:space="preserve"> </w:t>
      </w:r>
      <w:r w:rsidR="00D64CCF">
        <w:t>R</w:t>
      </w:r>
      <w:r w:rsidR="00361DB3">
        <w:t>ehearing, GNU asserted that:</w:t>
      </w:r>
    </w:p>
    <w:p w14:paraId="5C600432" w14:textId="2E81C120" w:rsidR="00361DB3" w:rsidRDefault="00361DB3" w:rsidP="009E4B5A">
      <w:pPr>
        <w:pStyle w:val="GeneralPara"/>
        <w:spacing w:after="360" w:line="240" w:lineRule="auto"/>
        <w:ind w:left="720" w:right="720"/>
      </w:pPr>
      <w:r>
        <w:t xml:space="preserve">The </w:t>
      </w:r>
      <w:r w:rsidRPr="00C02D3C">
        <w:rPr>
          <w:i/>
        </w:rPr>
        <w:t>May 4 Order</w:t>
      </w:r>
      <w:r>
        <w:t xml:space="preserve">, Rule 4906-4-08(C)(2)(d), O.A.C, and Rule 4906-4-08(C)(3), O.A.C., are unreasonable and unlawful because they conflict with the controlling statute. </w:t>
      </w:r>
      <w:r w:rsidR="00B63D42">
        <w:t xml:space="preserve"> </w:t>
      </w:r>
      <w:r>
        <w:t xml:space="preserve">In addition, the </w:t>
      </w:r>
      <w:r w:rsidRPr="00C02D3C">
        <w:rPr>
          <w:i/>
        </w:rPr>
        <w:t>May 4 Order</w:t>
      </w:r>
      <w:r>
        <w:t xml:space="preserve"> is unreasonable because it promotes mystery and confusion while the law and the public interest call for transparency and clarity.</w:t>
      </w:r>
    </w:p>
    <w:p w14:paraId="4783F8C1" w14:textId="5BB1146E" w:rsidR="001E4044" w:rsidRDefault="00B63D42" w:rsidP="007924C9">
      <w:pPr>
        <w:pStyle w:val="GeneralPara"/>
      </w:pPr>
      <w:r>
        <w:tab/>
        <w:t xml:space="preserve">On June 19, 2017, the </w:t>
      </w:r>
      <w:r w:rsidR="00D64CCF">
        <w:t>A</w:t>
      </w:r>
      <w:r>
        <w:t xml:space="preserve">pplications for </w:t>
      </w:r>
      <w:r w:rsidR="00D64CCF">
        <w:t>R</w:t>
      </w:r>
      <w:r>
        <w:t>ehearing were granted through the issuance of an Administrative Law Judge Entry.</w:t>
      </w:r>
    </w:p>
    <w:p w14:paraId="37B43DEE" w14:textId="07DD4067" w:rsidR="00B63D42" w:rsidRDefault="00B63D42" w:rsidP="007924C9">
      <w:pPr>
        <w:pStyle w:val="GeneralPara"/>
      </w:pPr>
      <w:r>
        <w:tab/>
        <w:t xml:space="preserve">On August 17, 2017, </w:t>
      </w:r>
      <w:r w:rsidR="006C31B9">
        <w:t xml:space="preserve">the OPSB issued its Second Entry on Rehearing once again rejecting GNU’s assertion that </w:t>
      </w:r>
      <w:r w:rsidR="00D64CCF">
        <w:t xml:space="preserve">the </w:t>
      </w:r>
      <w:r w:rsidR="006C31B9">
        <w:t xml:space="preserve">proposed </w:t>
      </w:r>
      <w:r w:rsidR="001C6DC8">
        <w:t xml:space="preserve">rules are </w:t>
      </w:r>
      <w:r w:rsidR="006C31B9">
        <w:t>unlawful and unreasonable because of conflicts with the controlling statute</w:t>
      </w:r>
      <w:r w:rsidR="002B483F">
        <w:t>s</w:t>
      </w:r>
      <w:r w:rsidR="006C31B9">
        <w:t>.</w:t>
      </w:r>
    </w:p>
    <w:p w14:paraId="4D847842" w14:textId="0F4E5001" w:rsidR="00E44B25" w:rsidRDefault="00E44B25" w:rsidP="007924C9">
      <w:pPr>
        <w:pStyle w:val="GeneralPara"/>
      </w:pPr>
      <w:r>
        <w:tab/>
        <w:t>Following the OPSB’s issuance of its Second Entry on Rehearing, the OPSB submitted its proposed rules to the Joint Committee on Agency Rule Review (“JCARR”)</w:t>
      </w:r>
      <w:r w:rsidR="001C6DC8">
        <w:t>.  A</w:t>
      </w:r>
      <w:r>
        <w:t xml:space="preserve">fter GNU contested the proposed rules submitted to JCARR (for the same reasons it had contested the proposed rules in its pleadings submitted to the OPSB), </w:t>
      </w:r>
      <w:r w:rsidR="001C6DC8">
        <w:t xml:space="preserve">the </w:t>
      </w:r>
      <w:r>
        <w:t xml:space="preserve">OPSB issued an </w:t>
      </w:r>
      <w:r w:rsidR="001C6DC8">
        <w:t>E</w:t>
      </w:r>
      <w:r>
        <w:t>ntry on January 18, 2018 requesting additional comments</w:t>
      </w:r>
      <w:r w:rsidR="00856777">
        <w:t xml:space="preserve"> to be filed on or before February 1, 2018</w:t>
      </w:r>
      <w:r>
        <w:t>.  More specifically, the January 18, 2018 Entry stated</w:t>
      </w:r>
      <w:r w:rsidR="001C6DC8">
        <w:t xml:space="preserve"> (at page 3)</w:t>
      </w:r>
      <w:r>
        <w:t>:</w:t>
      </w:r>
    </w:p>
    <w:p w14:paraId="0CD04CD2" w14:textId="7671B14E" w:rsidR="00E44B25" w:rsidRDefault="00E44B25" w:rsidP="007924C9">
      <w:pPr>
        <w:pStyle w:val="GeneralPara"/>
        <w:spacing w:line="240" w:lineRule="auto"/>
        <w:ind w:left="720" w:right="720"/>
      </w:pPr>
      <w:r>
        <w:t>At this time, the Board requests comment on an additional revision on the first sentence of Ohio Adm.Code 4906-4-08</w:t>
      </w:r>
      <w:r w:rsidR="000A5335">
        <w:t>(C)</w:t>
      </w:r>
      <w:r>
        <w:t>(3</w:t>
      </w:r>
      <w:r w:rsidR="001C6DC8">
        <w:t>).  Specifically, the Board seeks comment on modifying the language of Ohio Adm.Code 4906-4-08</w:t>
      </w:r>
      <w:r w:rsidR="000A5335">
        <w:t>(C)</w:t>
      </w:r>
      <w:r w:rsidR="001C6DC8">
        <w:t>(3) as follows:</w:t>
      </w:r>
    </w:p>
    <w:p w14:paraId="4AF430E4" w14:textId="28A39E22" w:rsidR="001C6DC8" w:rsidRDefault="001C6DC8" w:rsidP="007924C9">
      <w:pPr>
        <w:pStyle w:val="GeneralPara"/>
        <w:spacing w:line="240" w:lineRule="auto"/>
        <w:ind w:left="1440" w:right="1440"/>
      </w:pPr>
      <w:r>
        <w:t xml:space="preserve">‘Setback waivers.  The owner(s) of </w:t>
      </w:r>
      <w:r w:rsidRPr="001C6DC8">
        <w:rPr>
          <w:u w:val="single"/>
        </w:rPr>
        <w:t>all</w:t>
      </w:r>
      <w:r>
        <w:t xml:space="preserve"> property adjacent to any wind farm property may waive </w:t>
      </w:r>
      <w:r w:rsidR="00D64CCF">
        <w:t xml:space="preserve">the </w:t>
      </w:r>
      <w:r>
        <w:t>minimum setback requirements by signing a waiver of their rights.’</w:t>
      </w:r>
    </w:p>
    <w:p w14:paraId="547A3D87" w14:textId="5C25F1C8" w:rsidR="001C6DC8" w:rsidRDefault="00F74237" w:rsidP="00F74237">
      <w:pPr>
        <w:pStyle w:val="GeneralPara"/>
      </w:pPr>
      <w:r>
        <w:lastRenderedPageBreak/>
        <w:t>Once again, the OPSB made no effort to engage stakeholders in informal discussions for the purpose of identifying and resolving concerns and objections.</w:t>
      </w:r>
    </w:p>
    <w:p w14:paraId="2E7EB963" w14:textId="77777777" w:rsidR="002773BE" w:rsidRPr="00E94E01" w:rsidRDefault="002773BE" w:rsidP="009E4B5A">
      <w:pPr>
        <w:pStyle w:val="Heading1"/>
      </w:pPr>
      <w:bookmarkStart w:id="3" w:name="_Toc505152850"/>
      <w:r w:rsidRPr="00E94E01">
        <w:t>A</w:t>
      </w:r>
      <w:r w:rsidR="00765599" w:rsidRPr="00E94E01">
        <w:t>bout the Commenters</w:t>
      </w:r>
      <w:bookmarkEnd w:id="3"/>
    </w:p>
    <w:p w14:paraId="7777FF65" w14:textId="018E516F" w:rsidR="002773BE" w:rsidRDefault="00883BE2" w:rsidP="0047103F">
      <w:pPr>
        <w:pStyle w:val="GeneralPara"/>
      </w:pPr>
      <w:r>
        <w:tab/>
      </w:r>
      <w:r w:rsidR="002773BE">
        <w:t>GNU is a nonprofit corporation formed for the purpose of promoting the safety and well-being of the communit</w:t>
      </w:r>
      <w:r w:rsidR="00B60EDF">
        <w:t xml:space="preserve">y in and around Greenwich, Ohio.  </w:t>
      </w:r>
      <w:r w:rsidR="00941DB0">
        <w:t xml:space="preserve">Among other things, </w:t>
      </w:r>
      <w:r w:rsidR="00FC038C">
        <w:t>i</w:t>
      </w:r>
      <w:r w:rsidR="00B60EDF">
        <w:t xml:space="preserve">t works to </w:t>
      </w:r>
      <w:r w:rsidR="002773BE">
        <w:t xml:space="preserve">proactively address issues relating to the siting of industrial wind turbines. </w:t>
      </w:r>
      <w:r w:rsidR="00112243">
        <w:t xml:space="preserve"> </w:t>
      </w:r>
      <w:r w:rsidR="009626CE">
        <w:t xml:space="preserve">In addition to </w:t>
      </w:r>
      <w:r w:rsidR="002773BE">
        <w:t xml:space="preserve">GNU’s </w:t>
      </w:r>
      <w:r>
        <w:t>participation in Case No. 12</w:t>
      </w:r>
      <w:r>
        <w:noBreakHyphen/>
      </w:r>
      <w:r w:rsidR="009626CE">
        <w:t>1981</w:t>
      </w:r>
      <w:r>
        <w:noBreakHyphen/>
        <w:t>GE</w:t>
      </w:r>
      <w:r>
        <w:noBreakHyphen/>
      </w:r>
      <w:r w:rsidR="009626CE">
        <w:t>BRO</w:t>
      </w:r>
      <w:r w:rsidR="000A5335">
        <w:t xml:space="preserve"> and Case No. 16-1109-GE-BRO</w:t>
      </w:r>
      <w:r w:rsidR="009626CE">
        <w:t xml:space="preserve">, GNU or its </w:t>
      </w:r>
      <w:r w:rsidR="002773BE">
        <w:t>members have actively participated in OPSB Case No</w:t>
      </w:r>
      <w:r w:rsidR="00B60EDF">
        <w:t>s</w:t>
      </w:r>
      <w:r w:rsidR="002773BE">
        <w:t>. 13</w:t>
      </w:r>
      <w:r>
        <w:noBreakHyphen/>
      </w:r>
      <w:r w:rsidR="002773BE">
        <w:t>990</w:t>
      </w:r>
      <w:r>
        <w:noBreakHyphen/>
      </w:r>
      <w:r w:rsidR="002773BE">
        <w:t>EL</w:t>
      </w:r>
      <w:r>
        <w:noBreakHyphen/>
      </w:r>
      <w:r w:rsidR="002773BE">
        <w:t>BGN</w:t>
      </w:r>
      <w:r w:rsidR="009626CE">
        <w:t xml:space="preserve"> and </w:t>
      </w:r>
      <w:r w:rsidR="009626CE" w:rsidRPr="009626CE">
        <w:t>15</w:t>
      </w:r>
      <w:r>
        <w:noBreakHyphen/>
      </w:r>
      <w:r w:rsidR="009626CE" w:rsidRPr="009626CE">
        <w:t>1921</w:t>
      </w:r>
      <w:r>
        <w:noBreakHyphen/>
      </w:r>
      <w:r w:rsidR="009626CE" w:rsidRPr="009626CE">
        <w:t>EL</w:t>
      </w:r>
      <w:r>
        <w:noBreakHyphen/>
      </w:r>
      <w:r w:rsidR="009626CE" w:rsidRPr="009626CE">
        <w:t>BGA</w:t>
      </w:r>
      <w:r w:rsidR="000A5335">
        <w:t xml:space="preserve"> where the OPSB issued a certificate to a wind project developer even though almost 70% of the proposed turbines violated the </w:t>
      </w:r>
      <w:r w:rsidR="00B165E6">
        <w:t>lesser minimum setback requirements that were in force then.</w:t>
      </w:r>
    </w:p>
    <w:p w14:paraId="71283585" w14:textId="46865CFA" w:rsidR="00021471" w:rsidRDefault="00021471" w:rsidP="009E4B5A">
      <w:pPr>
        <w:pStyle w:val="Heading1"/>
      </w:pPr>
      <w:bookmarkStart w:id="4" w:name="_Toc505152851"/>
      <w:r>
        <w:t>Additional Comments</w:t>
      </w:r>
      <w:bookmarkEnd w:id="4"/>
    </w:p>
    <w:p w14:paraId="7035124E" w14:textId="7D5D1A07" w:rsidR="002E61C8" w:rsidRDefault="00E554EC" w:rsidP="0047103F">
      <w:pPr>
        <w:pStyle w:val="GeneralPara"/>
      </w:pPr>
      <w:r>
        <w:tab/>
      </w:r>
      <w:r w:rsidR="00021471">
        <w:t>T</w:t>
      </w:r>
      <w:r w:rsidR="00BF52D1">
        <w:t xml:space="preserve">he </w:t>
      </w:r>
      <w:r w:rsidR="00021471">
        <w:t xml:space="preserve">initial </w:t>
      </w:r>
      <w:r w:rsidR="00BF52D1">
        <w:t xml:space="preserve">proposed change to </w:t>
      </w:r>
      <w:r w:rsidR="0020427C">
        <w:t xml:space="preserve">Rule </w:t>
      </w:r>
      <w:r w:rsidR="00BF52D1">
        <w:t>4906-04-08(C)(2)(d)</w:t>
      </w:r>
      <w:r w:rsidR="0020427C">
        <w:t>,</w:t>
      </w:r>
      <w:r w:rsidR="00BF52D1">
        <w:t xml:space="preserve"> O</w:t>
      </w:r>
      <w:r w:rsidR="0020427C">
        <w:t>.</w:t>
      </w:r>
      <w:r w:rsidR="00BF52D1">
        <w:t>A</w:t>
      </w:r>
      <w:r w:rsidR="0020427C">
        <w:t>.</w:t>
      </w:r>
      <w:r w:rsidR="00BF52D1">
        <w:t>C</w:t>
      </w:r>
      <w:r w:rsidR="0020427C">
        <w:t>.,</w:t>
      </w:r>
      <w:r w:rsidR="00446B25">
        <w:t xml:space="preserve"> delet</w:t>
      </w:r>
      <w:r w:rsidR="00021471">
        <w:t>ed</w:t>
      </w:r>
      <w:r w:rsidR="00446B25">
        <w:t xml:space="preserve"> language that clearly conflict</w:t>
      </w:r>
      <w:r w:rsidR="00EA1996">
        <w:t>ed</w:t>
      </w:r>
      <w:r w:rsidR="00446B25">
        <w:t xml:space="preserve"> with the controlling statute in favor of language </w:t>
      </w:r>
      <w:r w:rsidR="00A92C3E">
        <w:t xml:space="preserve">that </w:t>
      </w:r>
      <w:r w:rsidR="00021471">
        <w:t>repeat</w:t>
      </w:r>
      <w:r w:rsidR="00F41CF7">
        <w:t>ed</w:t>
      </w:r>
      <w:r w:rsidR="00021471">
        <w:t xml:space="preserve"> the error.  </w:t>
      </w:r>
      <w:r w:rsidR="00702533">
        <w:t xml:space="preserve">Then in </w:t>
      </w:r>
      <w:r w:rsidR="00021471">
        <w:t xml:space="preserve">the initially </w:t>
      </w:r>
      <w:r w:rsidR="00702533">
        <w:t xml:space="preserve">proposed </w:t>
      </w:r>
      <w:r w:rsidR="0020427C">
        <w:t>R</w:t>
      </w:r>
      <w:r w:rsidR="00702533">
        <w:t>ule 4906-04-08(C)(</w:t>
      </w:r>
      <w:r w:rsidR="00E56C0F">
        <w:t>3</w:t>
      </w:r>
      <w:r w:rsidR="00702533">
        <w:t>)</w:t>
      </w:r>
      <w:r w:rsidR="0020427C">
        <w:t>,</w:t>
      </w:r>
      <w:r w:rsidR="00702533">
        <w:t xml:space="preserve"> O</w:t>
      </w:r>
      <w:r w:rsidR="0020427C">
        <w:t>.</w:t>
      </w:r>
      <w:r w:rsidR="00702533">
        <w:t>A</w:t>
      </w:r>
      <w:r w:rsidR="0020427C">
        <w:t>.</w:t>
      </w:r>
      <w:r w:rsidR="00702533">
        <w:t>C</w:t>
      </w:r>
      <w:r w:rsidR="0020427C">
        <w:t>.</w:t>
      </w:r>
      <w:r w:rsidR="00702533">
        <w:t xml:space="preserve">, language </w:t>
      </w:r>
      <w:r w:rsidR="00021471">
        <w:t xml:space="preserve">was </w:t>
      </w:r>
      <w:r w:rsidR="00702533">
        <w:t xml:space="preserve">added to simply indicate that </w:t>
      </w:r>
      <w:r w:rsidR="00597FF9">
        <w:t>“…</w:t>
      </w:r>
      <w:r w:rsidR="00E56C0F">
        <w:t> </w:t>
      </w:r>
      <w:r w:rsidR="00597FF9">
        <w:t>owner(s) of adjacent property to any wind farm property may waive the minimum setback requirements</w:t>
      </w:r>
      <w:r w:rsidR="00E56C0F">
        <w:t> </w:t>
      </w:r>
      <w:r w:rsidR="00597FF9">
        <w:t>…</w:t>
      </w:r>
      <w:r w:rsidR="00E56C0F">
        <w:t>.</w:t>
      </w:r>
      <w:r w:rsidR="00597FF9">
        <w:t xml:space="preserve">” </w:t>
      </w:r>
      <w:r w:rsidR="005F207E">
        <w:t xml:space="preserve"> </w:t>
      </w:r>
    </w:p>
    <w:p w14:paraId="72868CAD" w14:textId="4BD6B0F7" w:rsidR="00F74237" w:rsidRDefault="00021471" w:rsidP="002E61C8">
      <w:pPr>
        <w:pStyle w:val="GeneralPara"/>
        <w:ind w:firstLine="720"/>
      </w:pPr>
      <w:r>
        <w:t xml:space="preserve">Now, the OPSB is seeking </w:t>
      </w:r>
      <w:r w:rsidR="008F59F2">
        <w:t xml:space="preserve">additional </w:t>
      </w:r>
      <w:r>
        <w:t>comments on another statute-evading</w:t>
      </w:r>
      <w:r w:rsidR="000D1D72">
        <w:t>, confusion-</w:t>
      </w:r>
      <w:r w:rsidR="008F59F2">
        <w:t>perpetuating</w:t>
      </w:r>
      <w:r w:rsidR="000D1D72">
        <w:t>,</w:t>
      </w:r>
      <w:r>
        <w:t xml:space="preserve"> attempt to </w:t>
      </w:r>
      <w:r w:rsidR="002E61C8">
        <w:t xml:space="preserve">define </w:t>
      </w:r>
      <w:r>
        <w:t xml:space="preserve">the population of property owners that must execute a proper waiver before a wind farm developer (or the OPSB) can evade the statutory minimum setback requirements.  </w:t>
      </w:r>
      <w:r w:rsidR="00A30B44">
        <w:t xml:space="preserve">More specifically, the OPSB has asked for additional comments on yet another version of the </w:t>
      </w:r>
      <w:r w:rsidR="00D64CCF">
        <w:t xml:space="preserve">Rule </w:t>
      </w:r>
      <w:r w:rsidR="00A30B44">
        <w:t>4906-4-08(C)(3)</w:t>
      </w:r>
      <w:r w:rsidR="00D64CCF">
        <w:t>, O.A.C.,</w:t>
      </w:r>
      <w:r w:rsidR="00A30B44">
        <w:t xml:space="preserve"> </w:t>
      </w:r>
      <w:r w:rsidR="00A30B44">
        <w:lastRenderedPageBreak/>
        <w:t xml:space="preserve">language:  </w:t>
      </w:r>
      <w:r w:rsidR="00F74237">
        <w:t>“</w:t>
      </w:r>
      <w:r w:rsidR="00A30B44">
        <w:t xml:space="preserve">Setback waivers.  The owner(s) of </w:t>
      </w:r>
      <w:r w:rsidR="00A30B44" w:rsidRPr="001C6DC8">
        <w:rPr>
          <w:u w:val="single"/>
        </w:rPr>
        <w:t>all</w:t>
      </w:r>
      <w:r w:rsidR="00A30B44">
        <w:t xml:space="preserve"> property adjacent to any wind farm property may waive </w:t>
      </w:r>
      <w:r w:rsidR="00D64CCF">
        <w:t xml:space="preserve">the </w:t>
      </w:r>
      <w:r w:rsidR="00A30B44">
        <w:t>minimum setback requirements by signing a waiver of their rights.</w:t>
      </w:r>
      <w:r w:rsidR="00F74237">
        <w:t>”</w:t>
      </w:r>
      <w:r w:rsidR="00A30B44">
        <w:t xml:space="preserve">  </w:t>
      </w:r>
    </w:p>
    <w:p w14:paraId="7759C205" w14:textId="76D8B437" w:rsidR="000D1D72" w:rsidRDefault="000D1D72" w:rsidP="002E61C8">
      <w:pPr>
        <w:pStyle w:val="GeneralPara"/>
        <w:ind w:firstLine="720"/>
      </w:pPr>
      <w:r>
        <w:t xml:space="preserve">This latest OPSB </w:t>
      </w:r>
      <w:r w:rsidR="00A30B44">
        <w:t xml:space="preserve">unauthorized </w:t>
      </w:r>
      <w:r>
        <w:t xml:space="preserve">attempt to rewrite the law </w:t>
      </w:r>
      <w:r w:rsidR="00A30B44">
        <w:t xml:space="preserve">is advanced by the OPSB </w:t>
      </w:r>
      <w:r>
        <w:t xml:space="preserve">despite and in disregard of </w:t>
      </w:r>
      <w:r w:rsidR="008F59F2">
        <w:t xml:space="preserve">an uncontested prior </w:t>
      </w:r>
      <w:r>
        <w:t xml:space="preserve">OPSB </w:t>
      </w:r>
      <w:r w:rsidR="008F59F2">
        <w:t xml:space="preserve">holding </w:t>
      </w:r>
      <w:r>
        <w:t>that:</w:t>
      </w:r>
    </w:p>
    <w:p w14:paraId="3462FCF1" w14:textId="17082CC9" w:rsidR="000D1D72" w:rsidRDefault="000D1D72" w:rsidP="009E4B5A">
      <w:pPr>
        <w:pStyle w:val="GeneralPara"/>
        <w:spacing w:after="360" w:line="240" w:lineRule="auto"/>
        <w:ind w:left="720" w:right="720" w:firstLine="720"/>
      </w:pPr>
      <w:r>
        <w:t>…</w:t>
      </w:r>
      <w:r w:rsidRPr="000D1D72">
        <w:t xml:space="preserve">Section 4906.20(B)(2), Revised Code, is clear and unambiguous as to who must agree to the waiver of the minimum setback.  To that end we agree with UNU that it is a well-settled principle of statutory construction that, where the statute is clear and unambiguous, statutory interpretation is not necessary and the statute must be applied giving effect to the words used. </w:t>
      </w:r>
      <w:r w:rsidRPr="000D1D72">
        <w:rPr>
          <w:i/>
        </w:rPr>
        <w:t>In re Collier</w:t>
      </w:r>
      <w:r w:rsidRPr="000D1D72">
        <w:t xml:space="preserve">, 85 Ohio App.3d 232, 236-237 (1993). Further, </w:t>
      </w:r>
      <w:r w:rsidRPr="00C02D3C">
        <w:rPr>
          <w:b/>
        </w:rPr>
        <w:t>where the statute is clear and unambiguous, the agency must give effect to the words in the statute without deleting words used or inserting words not used in the statute</w:t>
      </w:r>
      <w:r w:rsidRPr="000D1D72">
        <w:t>.</w:t>
      </w:r>
      <w:r w:rsidR="008F59F2">
        <w:rPr>
          <w:rStyle w:val="FootnoteReference"/>
        </w:rPr>
        <w:footnoteReference w:id="5"/>
      </w:r>
    </w:p>
    <w:p w14:paraId="170BED7F" w14:textId="599D1231" w:rsidR="000250D5" w:rsidRDefault="00F74237" w:rsidP="00F74237">
      <w:pPr>
        <w:pStyle w:val="GeneralPara"/>
      </w:pPr>
      <w:r>
        <w:t xml:space="preserve">The latest OPSB unauthorized and precluded attempt to rewrite the law to its own liking </w:t>
      </w:r>
      <w:r w:rsidR="00DE1E87">
        <w:t xml:space="preserve">consists of another </w:t>
      </w:r>
      <w:r>
        <w:t>jumbl</w:t>
      </w:r>
      <w:r w:rsidR="00DE1E87">
        <w:t xml:space="preserve">ed </w:t>
      </w:r>
      <w:r>
        <w:t xml:space="preserve">order of </w:t>
      </w:r>
      <w:r w:rsidR="00DE1E87">
        <w:t xml:space="preserve">some of the </w:t>
      </w:r>
      <w:r>
        <w:t>words that appear in the controlling statute</w:t>
      </w:r>
      <w:r w:rsidR="00F16E76">
        <w:t xml:space="preserve">, the insertion of words not found in the </w:t>
      </w:r>
      <w:r w:rsidR="00294953">
        <w:t xml:space="preserve">controlling statute </w:t>
      </w:r>
      <w:r>
        <w:t xml:space="preserve">and </w:t>
      </w:r>
      <w:r w:rsidR="00DE1E87">
        <w:t xml:space="preserve">the omission of </w:t>
      </w:r>
      <w:r>
        <w:t xml:space="preserve">others.  </w:t>
      </w:r>
      <w:r w:rsidR="00DE1E87">
        <w:t>The latest OPSB proposal suggests that the OPSB is seeking to test the limits of what it can do to rewrite controlling law.</w:t>
      </w:r>
    </w:p>
    <w:p w14:paraId="42388AC8" w14:textId="4E9DA6CD" w:rsidR="00F145A1" w:rsidRDefault="00F74237" w:rsidP="00F74237">
      <w:pPr>
        <w:pStyle w:val="GeneralPara"/>
      </w:pPr>
      <w:r>
        <w:tab/>
      </w:r>
      <w:r w:rsidR="00F145A1">
        <w:t xml:space="preserve">To appreciate the defects and legal significance of the OPSB latest word-jumbling effort, one must begin with </w:t>
      </w:r>
      <w:r w:rsidR="00294953">
        <w:t xml:space="preserve">a review of </w:t>
      </w:r>
      <w:r w:rsidR="00F145A1">
        <w:t>the prime statutory directives</w:t>
      </w:r>
      <w:r w:rsidR="00002272">
        <w:t xml:space="preserve"> which are clearly set forth in R.C. 4906.20 (and incorporated in R.C. 4906.201)</w:t>
      </w:r>
      <w:r w:rsidR="00F145A1">
        <w:t xml:space="preserve">.  </w:t>
      </w:r>
    </w:p>
    <w:p w14:paraId="101A8649" w14:textId="4F6F5444" w:rsidR="00F145A1" w:rsidRDefault="00F145A1" w:rsidP="00F145A1">
      <w:pPr>
        <w:pStyle w:val="GeneralPara"/>
        <w:ind w:firstLine="720"/>
      </w:pPr>
      <w:r>
        <w:t>First, the OPSB must establish a reasonable setback based on the facts and circumstances in each case.</w:t>
      </w:r>
    </w:p>
    <w:p w14:paraId="7D009116" w14:textId="14CF663F" w:rsidR="00F145A1" w:rsidRDefault="00F145A1" w:rsidP="00F145A1">
      <w:pPr>
        <w:pStyle w:val="GeneralPara"/>
        <w:ind w:firstLine="720"/>
      </w:pPr>
      <w:r>
        <w:lastRenderedPageBreak/>
        <w:t>Second, that reasonable setback cannot be less than the statutory minimum.</w:t>
      </w:r>
      <w:r w:rsidR="00002272">
        <w:t xml:space="preserve">  As the OPSB has held, it has no authority to permit a wind turbine project developer to evade the </w:t>
      </w:r>
      <w:r w:rsidR="00841BB1">
        <w:t xml:space="preserve">statutory </w:t>
      </w:r>
      <w:r w:rsidR="00002272">
        <w:t>minimum setbacks.</w:t>
      </w:r>
      <w:r w:rsidR="006D6421">
        <w:rPr>
          <w:rStyle w:val="FootnoteReference"/>
        </w:rPr>
        <w:footnoteReference w:id="6"/>
      </w:r>
      <w:r w:rsidR="00002272">
        <w:t xml:space="preserve">  </w:t>
      </w:r>
    </w:p>
    <w:p w14:paraId="306722CA" w14:textId="697999FD" w:rsidR="00002272" w:rsidRDefault="00002272" w:rsidP="00F145A1">
      <w:pPr>
        <w:pStyle w:val="GeneralPara"/>
        <w:ind w:firstLine="720"/>
      </w:pPr>
      <w:r>
        <w:t xml:space="preserve">If the OPSB finds that a setback greater than the minimum is warranted based on the facts and circumstances in a particular case, the controlling statute does </w:t>
      </w:r>
      <w:r w:rsidRPr="00841BB1">
        <w:rPr>
          <w:b/>
          <w:u w:val="single"/>
        </w:rPr>
        <w:t>not</w:t>
      </w:r>
      <w:r>
        <w:t xml:space="preserve"> allow a </w:t>
      </w:r>
      <w:r w:rsidR="008D1828">
        <w:t xml:space="preserve">wind </w:t>
      </w:r>
      <w:r>
        <w:t xml:space="preserve">project developer to evade this setback be securing waivers from </w:t>
      </w:r>
      <w:r w:rsidR="00841BB1">
        <w:t xml:space="preserve">all owners of property </w:t>
      </w:r>
      <w:r>
        <w:t xml:space="preserve">adjoining </w:t>
      </w:r>
      <w:r w:rsidR="00841BB1">
        <w:t xml:space="preserve">the wind farm </w:t>
      </w:r>
      <w:r>
        <w:t>property.</w:t>
      </w:r>
    </w:p>
    <w:p w14:paraId="03CA1967" w14:textId="05C96EAA" w:rsidR="00002272" w:rsidRDefault="00002272" w:rsidP="00F145A1">
      <w:pPr>
        <w:pStyle w:val="GeneralPara"/>
        <w:ind w:firstLine="720"/>
      </w:pPr>
      <w:r>
        <w:t xml:space="preserve">With regard to statutory minimum setbacks, a project developer </w:t>
      </w:r>
      <w:r w:rsidR="00841BB1">
        <w:t xml:space="preserve">shall </w:t>
      </w:r>
      <w:r w:rsidR="00DE1E87" w:rsidRPr="00841BB1">
        <w:rPr>
          <w:b/>
          <w:u w:val="single"/>
        </w:rPr>
        <w:t>not</w:t>
      </w:r>
      <w:r w:rsidR="00DE1E87">
        <w:t xml:space="preserve"> </w:t>
      </w:r>
      <w:r>
        <w:t>evade</w:t>
      </w:r>
      <w:r w:rsidR="00DE1E87">
        <w:t xml:space="preserve">, </w:t>
      </w:r>
      <w:r>
        <w:t xml:space="preserve">such minimum setbacks </w:t>
      </w:r>
      <w:r w:rsidR="00DE1E87">
        <w:t xml:space="preserve">in any case </w:t>
      </w:r>
      <w:r w:rsidR="00D1010C">
        <w:t>“…</w:t>
      </w:r>
      <w:r w:rsidR="00D1010C" w:rsidRPr="00D1010C">
        <w:t>except those in which all owners of property adjacent to the wind farm property waive application of the setback to that property pursuant to a procedure the board shall establish by rule and except in which, in a particular case, the board determines that a setback greater than the minimum is necessary</w:t>
      </w:r>
      <w:r w:rsidR="00D1010C">
        <w:t>.”  R.C. 4906.20(B)(2)(c).</w:t>
      </w:r>
    </w:p>
    <w:p w14:paraId="7E4FE5D1" w14:textId="140F095B" w:rsidR="004E26AA" w:rsidRDefault="00D1010C" w:rsidP="00F145A1">
      <w:pPr>
        <w:pStyle w:val="GeneralPara"/>
        <w:ind w:firstLine="720"/>
      </w:pPr>
      <w:r>
        <w:t xml:space="preserve">Instead of being faithful to the language in the </w:t>
      </w:r>
      <w:r w:rsidR="004E26AA">
        <w:t xml:space="preserve">clear and unambiguous </w:t>
      </w:r>
      <w:r>
        <w:t xml:space="preserve">controlling statute, the OPSB now asks for </w:t>
      </w:r>
      <w:r w:rsidR="00841BB1">
        <w:t xml:space="preserve">additional </w:t>
      </w:r>
      <w:r>
        <w:t xml:space="preserve">comments on language that results in the word </w:t>
      </w:r>
      <w:r w:rsidR="00F228F6">
        <w:t>“</w:t>
      </w:r>
      <w:r>
        <w:t>all</w:t>
      </w:r>
      <w:r w:rsidR="00F228F6">
        <w:t>”</w:t>
      </w:r>
      <w:r>
        <w:t xml:space="preserve"> attaching to some </w:t>
      </w:r>
      <w:r w:rsidR="00F228F6">
        <w:t>un</w:t>
      </w:r>
      <w:r>
        <w:t>identifi</w:t>
      </w:r>
      <w:r w:rsidR="00F228F6">
        <w:t>able</w:t>
      </w:r>
      <w:r>
        <w:t xml:space="preserve"> property </w:t>
      </w:r>
      <w:r w:rsidR="00F228F6">
        <w:t xml:space="preserve">(“property adjacent to any wind farm property”) </w:t>
      </w:r>
      <w:r w:rsidR="00841BB1">
        <w:t xml:space="preserve">as a substitute for </w:t>
      </w:r>
      <w:r w:rsidRPr="004E26AA">
        <w:rPr>
          <w:b/>
          <w:u w:val="single"/>
        </w:rPr>
        <w:t>all owners of property</w:t>
      </w:r>
      <w:r>
        <w:t xml:space="preserve"> adjacent to the wind farm property.  </w:t>
      </w:r>
    </w:p>
    <w:p w14:paraId="6ECD7218" w14:textId="73923AD4" w:rsidR="004E26AA" w:rsidRDefault="00D1010C" w:rsidP="00F145A1">
      <w:pPr>
        <w:pStyle w:val="GeneralPara"/>
        <w:ind w:firstLine="720"/>
      </w:pPr>
      <w:r>
        <w:lastRenderedPageBreak/>
        <w:t>And</w:t>
      </w:r>
      <w:r w:rsidR="00841BB1">
        <w:t>,</w:t>
      </w:r>
      <w:r>
        <w:t xml:space="preserve"> the distortion created by this </w:t>
      </w:r>
      <w:r w:rsidR="00841BB1">
        <w:t xml:space="preserve">potentially deceptive </w:t>
      </w:r>
      <w:r>
        <w:t xml:space="preserve">repositioning of words (while </w:t>
      </w:r>
      <w:r w:rsidR="00294953">
        <w:t xml:space="preserve">inserting some and </w:t>
      </w:r>
      <w:r>
        <w:t xml:space="preserve">omitting others) </w:t>
      </w:r>
      <w:r w:rsidR="00F228F6">
        <w:t>is excessively accessorized by the OPSB</w:t>
      </w:r>
      <w:r w:rsidR="004E26AA">
        <w:t>’s</w:t>
      </w:r>
      <w:r w:rsidR="00F228F6">
        <w:t xml:space="preserve"> steadfast refusal to define “wind farm property</w:t>
      </w:r>
      <w:r w:rsidR="00D64CCF">
        <w:t>.</w:t>
      </w:r>
      <w:r w:rsidR="00F228F6">
        <w:t xml:space="preserve">”  </w:t>
      </w:r>
    </w:p>
    <w:p w14:paraId="6CAF73CD" w14:textId="3D3837FC" w:rsidR="004E26AA" w:rsidRDefault="00F228F6" w:rsidP="00F145A1">
      <w:pPr>
        <w:pStyle w:val="GeneralPara"/>
        <w:ind w:firstLine="720"/>
      </w:pPr>
      <w:r>
        <w:t>And</w:t>
      </w:r>
      <w:r w:rsidR="004E26AA">
        <w:t>,</w:t>
      </w:r>
      <w:r>
        <w:t xml:space="preserve"> the OPSB</w:t>
      </w:r>
      <w:r w:rsidR="00841BB1">
        <w:t xml:space="preserve">’s latest word jumble </w:t>
      </w:r>
      <w:r>
        <w:t xml:space="preserve">continues to ignore the controlling statutory command that </w:t>
      </w:r>
      <w:r w:rsidR="004E26AA">
        <w:t xml:space="preserve">any valid waiver of the </w:t>
      </w:r>
      <w:r w:rsidR="00841BB1">
        <w:t xml:space="preserve">statutory </w:t>
      </w:r>
      <w:r w:rsidR="004E26AA">
        <w:t>minimum setback requirements must be obtained “pursuant to a procedure the board shall establish by rule.</w:t>
      </w:r>
      <w:r w:rsidR="00841BB1">
        <w:t>”</w:t>
      </w:r>
      <w:r w:rsidR="004E26AA">
        <w:t xml:space="preserve">  </w:t>
      </w:r>
    </w:p>
    <w:p w14:paraId="30C892EB" w14:textId="78D044C9" w:rsidR="00B165E6" w:rsidRDefault="00B165E6" w:rsidP="00F145A1">
      <w:pPr>
        <w:pStyle w:val="GeneralPara"/>
        <w:ind w:firstLine="720"/>
      </w:pPr>
      <w:r>
        <w:t xml:space="preserve">And, the latest word jumble advanced by the OPSB states that the required population of property owners </w:t>
      </w:r>
      <w:r w:rsidRPr="00B165E6">
        <w:rPr>
          <w:b/>
          <w:u w:val="single"/>
        </w:rPr>
        <w:t>may</w:t>
      </w:r>
      <w:r>
        <w:t xml:space="preserve"> waive minimum setback violations.  </w:t>
      </w:r>
      <w:r w:rsidR="00034868">
        <w:t>Of course, such owners may or may not elect to execute the required waivers.  But t</w:t>
      </w:r>
      <w:r>
        <w:t xml:space="preserve">he controlling statute states that such property owners </w:t>
      </w:r>
      <w:r w:rsidRPr="00034868">
        <w:rPr>
          <w:b/>
          <w:u w:val="single"/>
        </w:rPr>
        <w:t>must</w:t>
      </w:r>
      <w:r>
        <w:t xml:space="preserve"> execute waivers obtained pursuant to a procedure the OPSB specifies by rule before any minimum setback evasion can be enabled.</w:t>
      </w:r>
      <w:r w:rsidR="00034868">
        <w:t xml:space="preserve">  The latest word jumble advanced by the OPSB suggests that a minimum setback waiver is permissive rather than mandatory</w:t>
      </w:r>
      <w:r w:rsidR="00294953">
        <w:t xml:space="preserve"> for the project developer</w:t>
      </w:r>
      <w:r w:rsidR="00034868">
        <w:t>.</w:t>
      </w:r>
    </w:p>
    <w:p w14:paraId="132BA879" w14:textId="4BE7BCD8" w:rsidR="00002272" w:rsidRDefault="004E26AA" w:rsidP="00F145A1">
      <w:pPr>
        <w:pStyle w:val="GeneralPara"/>
        <w:ind w:firstLine="720"/>
      </w:pPr>
      <w:r>
        <w:t xml:space="preserve">And, the OPSB </w:t>
      </w:r>
      <w:r w:rsidR="00841BB1">
        <w:t xml:space="preserve">latest word jumble </w:t>
      </w:r>
      <w:r>
        <w:t>continues to ignore that controlling statute’s preclusion of any waivers in a particular case where the OPSB “…</w:t>
      </w:r>
      <w:r w:rsidR="00D64CCF">
        <w:t> </w:t>
      </w:r>
      <w:r>
        <w:t>determines that a setback greater than the minimum is necessary</w:t>
      </w:r>
      <w:r w:rsidR="00D64CCF">
        <w:t>.</w:t>
      </w:r>
      <w:r>
        <w:t xml:space="preserve">”  </w:t>
      </w:r>
    </w:p>
    <w:p w14:paraId="63EE82C0" w14:textId="14447E9E" w:rsidR="00841BB1" w:rsidRDefault="00841BB1" w:rsidP="00F145A1">
      <w:pPr>
        <w:pStyle w:val="GeneralPara"/>
        <w:ind w:firstLine="720"/>
      </w:pPr>
      <w:r>
        <w:t xml:space="preserve">And, OPSB’s latest word jumble </w:t>
      </w:r>
      <w:r w:rsidR="002B02FB">
        <w:t xml:space="preserve">combined with its omission of words in the controlling </w:t>
      </w:r>
      <w:r w:rsidR="008D1828">
        <w:t xml:space="preserve">statute </w:t>
      </w:r>
      <w:r w:rsidR="002B02FB">
        <w:t>and the insertion of words not in the controlling statute indicates that the waiver involves a waiver of “their rights</w:t>
      </w:r>
      <w:r w:rsidR="00D64CCF">
        <w:t>.</w:t>
      </w:r>
      <w:r w:rsidR="002B02FB">
        <w:t>”  The OPSB has offered nothing to indicate what</w:t>
      </w:r>
      <w:r w:rsidR="008D1828">
        <w:t xml:space="preserve"> “rights” are to be covered by its waiver vision.</w:t>
      </w:r>
    </w:p>
    <w:p w14:paraId="65EC3552" w14:textId="565C03A0" w:rsidR="00757720" w:rsidRDefault="00757720" w:rsidP="00757720">
      <w:pPr>
        <w:pStyle w:val="GeneralPara"/>
        <w:ind w:firstLine="720"/>
      </w:pPr>
      <w:r>
        <w:t>The law calls th</w:t>
      </w:r>
      <w:r w:rsidR="007F5073">
        <w:t>e</w:t>
      </w:r>
      <w:r>
        <w:t xml:space="preserve"> type of </w:t>
      </w:r>
      <w:r w:rsidR="007F5073">
        <w:t xml:space="preserve">rulemaking advanced by the OPSB </w:t>
      </w:r>
      <w:r>
        <w:t xml:space="preserve">a “standardless” trap, a form of regulation that violates the United States and Ohio Constitutions. </w:t>
      </w:r>
    </w:p>
    <w:p w14:paraId="31C671BE" w14:textId="5F202C26" w:rsidR="00757720" w:rsidRDefault="00757720" w:rsidP="00757720">
      <w:pPr>
        <w:pStyle w:val="GeneralPara"/>
        <w:ind w:firstLine="720"/>
      </w:pPr>
      <w:r>
        <w:lastRenderedPageBreak/>
        <w:t>The Due Process Clauses of the Fifth and Fourteenth Amendment</w:t>
      </w:r>
      <w:r w:rsidR="00D64CCF">
        <w:t>s</w:t>
      </w:r>
      <w:r>
        <w:t xml:space="preserve"> give rise to the void-for-vagueness doctrine.  The doctrine has two primary goals.  The first goal is to ensure “fair notice” to the subject of the law as to what the law requires; the second is to provide standards to guide the discretion of those charged with enforcing the law.  </w:t>
      </w:r>
      <w:r w:rsidRPr="007F5073">
        <w:rPr>
          <w:i/>
        </w:rPr>
        <w:t>Columbia Natural Resources, Inc. v. Tatum</w:t>
      </w:r>
      <w:r>
        <w:t xml:space="preserve">, 58 F.3d 1101, 1104 (6th Cir. 1995).  The United States Supreme Court has defined the first goal with greater specificity by holding that “[a] statute which either forbids or requires the doing of an act in terms so vague that men of common intelligence must necessarily guess </w:t>
      </w:r>
      <w:r w:rsidR="00522321">
        <w:t xml:space="preserve">at </w:t>
      </w:r>
      <w:r>
        <w:t xml:space="preserve">its meaning and differ as to its application, violates the first essential of due process of law.”  </w:t>
      </w:r>
      <w:r w:rsidRPr="007F5073">
        <w:rPr>
          <w:i/>
        </w:rPr>
        <w:t>Id</w:t>
      </w:r>
      <w:r>
        <w:t xml:space="preserve">. at 1105 (citing </w:t>
      </w:r>
      <w:r w:rsidRPr="007F5073">
        <w:rPr>
          <w:i/>
        </w:rPr>
        <w:t>Connally v. General Constr. Co</w:t>
      </w:r>
      <w:r>
        <w:t xml:space="preserve">., 269 U.S. 385, 391, 46 S.Ct. 126, </w:t>
      </w:r>
      <w:r w:rsidR="00522321">
        <w:t xml:space="preserve">127, </w:t>
      </w:r>
      <w:r>
        <w:t xml:space="preserve">70 L.Ed 322 (1926)).  The second goal “relates to notice to those who must enforce the law </w:t>
      </w:r>
      <w:r w:rsidR="00522321">
        <w:t>… </w:t>
      </w:r>
      <w:r>
        <w:t xml:space="preserve">[t]he standards of enforcement must be precise enough to avoid ‘involving so many factors of varying effect that neither the person to decide in advance nor the jury after the fact can safely and certainly judge the result.’”  </w:t>
      </w:r>
      <w:r w:rsidRPr="00C02D3C">
        <w:rPr>
          <w:i/>
        </w:rPr>
        <w:t>Id</w:t>
      </w:r>
      <w:r>
        <w:t xml:space="preserve">. (citing </w:t>
      </w:r>
      <w:r w:rsidRPr="007F5073">
        <w:rPr>
          <w:i/>
        </w:rPr>
        <w:t>Cline v. Frink Dairy Co</w:t>
      </w:r>
      <w:r>
        <w:t xml:space="preserve">., 274 U.S. 445, 465, 47 S.Ct. 681, </w:t>
      </w:r>
      <w:r w:rsidR="00522321">
        <w:t xml:space="preserve">687, </w:t>
      </w:r>
      <w:r>
        <w:t>71 L.Ed. 1146 (1927)).</w:t>
      </w:r>
    </w:p>
    <w:p w14:paraId="25064F88" w14:textId="4560820B" w:rsidR="00757720" w:rsidRDefault="00757720" w:rsidP="00757720">
      <w:pPr>
        <w:pStyle w:val="GeneralPara"/>
        <w:ind w:firstLine="720"/>
      </w:pPr>
      <w:r>
        <w:t xml:space="preserve">Although the vagueness doctrine arises most often in the context of criminal laws that implicate First Amendment values, “vague laws in any area suffer a constitutional infirmity.”  </w:t>
      </w:r>
      <w:r w:rsidRPr="007F5073">
        <w:rPr>
          <w:i/>
        </w:rPr>
        <w:t>Ashton v. Kentucky</w:t>
      </w:r>
      <w:r>
        <w:t xml:space="preserve">, 384 U.S. 195, 200, 86 S.Ct. 1407, 16 L.Ed.2d 469 (1966) (collecting cases at n. 1).  See also, </w:t>
      </w:r>
      <w:r w:rsidRPr="007F5073">
        <w:rPr>
          <w:i/>
        </w:rPr>
        <w:t>Cline</w:t>
      </w:r>
      <w:r>
        <w:t>, 274 U.S. at 463 (“The principle of due process of law requiring reasonable certainty of description in fixing a standard for exacting obedience from a person in advance has application as well in civil as in criminal legislation.”)</w:t>
      </w:r>
    </w:p>
    <w:p w14:paraId="7E25CF26" w14:textId="2E3C12CF" w:rsidR="00757720" w:rsidRDefault="00757720" w:rsidP="00757720">
      <w:pPr>
        <w:pStyle w:val="GeneralPara"/>
        <w:ind w:firstLine="720"/>
      </w:pPr>
      <w:r>
        <w:lastRenderedPageBreak/>
        <w:t xml:space="preserve">The Ohio Supreme Court re-affirmed and clarified the void-for-vagueness doctrine in </w:t>
      </w:r>
      <w:r w:rsidRPr="007F5073">
        <w:rPr>
          <w:i/>
        </w:rPr>
        <w:t>Norwood v. Horney</w:t>
      </w:r>
      <w:r>
        <w:t xml:space="preserve">, 110 Ohio St.3d 353, 2006-Ohio-3799.  The court struck down a municipal ordinance that allowed private property in a “deteriorating area” to be taken by eminent domain, even though the municipal code set forth “a fairly comprehensive array of conditions that purport to describe a ‘deteriorating area,’ including </w:t>
      </w:r>
      <w:r w:rsidR="00522321">
        <w:t>…</w:t>
      </w:r>
      <w:r>
        <w:t xml:space="preserve"> incompatible land uses, nonconforming uses, lack of adequate parking facilities, faulty street arrangement, obsolete platting, and diversity of ownership.”  </w:t>
      </w:r>
      <w:r w:rsidRPr="007F5073">
        <w:rPr>
          <w:i/>
        </w:rPr>
        <w:t>Id</w:t>
      </w:r>
      <w:r>
        <w:t>. at ¶ 93. The Court held:</w:t>
      </w:r>
    </w:p>
    <w:p w14:paraId="06A77766" w14:textId="77777777" w:rsidR="007F5073" w:rsidRDefault="00757720" w:rsidP="007F5073">
      <w:pPr>
        <w:pStyle w:val="GeneralPara"/>
        <w:spacing w:line="240" w:lineRule="auto"/>
        <w:ind w:left="720" w:right="720" w:firstLine="720"/>
      </w:pPr>
      <w:r>
        <w:t>In the cases before us, we cannot say that the appellants had fair notice of what conditions constitute a deteriorating area, even in light of the evidence adduced against them at trial. The evidence is a morass of conflicting opinions on the condition of the neighborhood.  Though the Norwood Code’s definition of ‘deteriorating area’ provides a litany of conditions, it offers so little guidance in application that it is almost barren of any practical meaning.</w:t>
      </w:r>
    </w:p>
    <w:p w14:paraId="6845F68D" w14:textId="0BC98B75" w:rsidR="00757720" w:rsidRDefault="00757720" w:rsidP="007F5073">
      <w:pPr>
        <w:pStyle w:val="GeneralPara"/>
        <w:spacing w:line="240" w:lineRule="auto"/>
        <w:ind w:left="720" w:right="720" w:firstLine="720"/>
      </w:pPr>
      <w:r>
        <w:t xml:space="preserve">In essence, </w:t>
      </w:r>
      <w:r w:rsidR="00522321">
        <w:t>‘</w:t>
      </w:r>
      <w:r>
        <w:t>deteriorating area</w:t>
      </w:r>
      <w:r w:rsidR="00522321">
        <w:t>’</w:t>
      </w:r>
      <w:r>
        <w:t xml:space="preserve"> is a standardless standard.  Rather than affording fair notice to the property owner, the Norwood Code merely recites a host of subjective factors that invite </w:t>
      </w:r>
      <w:r w:rsidRPr="00C02D3C">
        <w:t>ad hoc</w:t>
      </w:r>
      <w:r>
        <w:t xml:space="preserve"> and selective enforcement – a danger made more real by the malleable nature of the public-benefit requirement.</w:t>
      </w:r>
    </w:p>
    <w:p w14:paraId="14C7A35D" w14:textId="77777777" w:rsidR="00757720" w:rsidRDefault="00757720" w:rsidP="00757720">
      <w:pPr>
        <w:pStyle w:val="GeneralPara"/>
        <w:ind w:firstLine="720"/>
      </w:pPr>
      <w:r w:rsidRPr="008D1828">
        <w:rPr>
          <w:i/>
        </w:rPr>
        <w:t>Id</w:t>
      </w:r>
      <w:r>
        <w:t>. at ¶¶ 97-98.</w:t>
      </w:r>
    </w:p>
    <w:p w14:paraId="0B3911FE" w14:textId="40DB818B" w:rsidR="00BF52D1" w:rsidRDefault="00182A60" w:rsidP="00F44D0F">
      <w:pPr>
        <w:pStyle w:val="GeneralPara"/>
        <w:ind w:firstLine="720"/>
      </w:pPr>
      <w:r>
        <w:t>The O</w:t>
      </w:r>
      <w:r w:rsidR="000819E6">
        <w:t xml:space="preserve">PSB has no </w:t>
      </w:r>
      <w:r w:rsidR="004E445A">
        <w:t>authority</w:t>
      </w:r>
      <w:r w:rsidR="000819E6">
        <w:t xml:space="preserve"> to rewrite or</w:t>
      </w:r>
      <w:r>
        <w:t xml:space="preserve"> ignore the controlling statutory </w:t>
      </w:r>
      <w:r w:rsidR="000819E6">
        <w:t xml:space="preserve">language and it has no ability to </w:t>
      </w:r>
      <w:r w:rsidR="00D51195">
        <w:t>establish a rule that does so.</w:t>
      </w:r>
      <w:r w:rsidR="00F44D0F">
        <w:t xml:space="preserve">  The OPSB cannot lawfully adopt rules that create a standardless trap.</w:t>
      </w:r>
    </w:p>
    <w:p w14:paraId="40059A8C" w14:textId="0CCF6CE2" w:rsidR="00F44D0F" w:rsidRDefault="00F44D0F" w:rsidP="00F44D0F">
      <w:pPr>
        <w:pStyle w:val="GeneralPara"/>
        <w:ind w:firstLine="720"/>
      </w:pPr>
      <w:r>
        <w:t>In summary</w:t>
      </w:r>
      <w:r w:rsidR="005800B9">
        <w:t xml:space="preserve"> and paraphrasing from the lyrics of the Who’s </w:t>
      </w:r>
      <w:r w:rsidR="005800B9" w:rsidRPr="00C02D3C">
        <w:rPr>
          <w:i/>
        </w:rPr>
        <w:t>Won’t Be Fooled Again</w:t>
      </w:r>
      <w:r w:rsidR="005800B9">
        <w:t>,</w:t>
      </w:r>
      <w:r>
        <w:t xml:space="preserve"> the new boss is </w:t>
      </w:r>
      <w:r w:rsidR="005800B9">
        <w:t xml:space="preserve">the same as </w:t>
      </w:r>
      <w:r>
        <w:t>the old boss.  The latest word jumble advanced by the OPSB conflicts with the controlling statutory language and promotes mystery and confusion.</w:t>
      </w:r>
    </w:p>
    <w:p w14:paraId="343CE8DD" w14:textId="0C90D9DE" w:rsidR="00D54FF7" w:rsidRDefault="004872A2" w:rsidP="00470CCF">
      <w:pPr>
        <w:pStyle w:val="GeneralPara"/>
      </w:pPr>
      <w:r>
        <w:lastRenderedPageBreak/>
        <w:tab/>
      </w:r>
      <w:r w:rsidR="00D51195">
        <w:t xml:space="preserve">Accordingly, GNU </w:t>
      </w:r>
      <w:r w:rsidR="00575C22">
        <w:t xml:space="preserve">once again </w:t>
      </w:r>
      <w:r w:rsidR="00D51195">
        <w:t>urges the OPSB to</w:t>
      </w:r>
      <w:r w:rsidR="00575C22">
        <w:t>:</w:t>
      </w:r>
      <w:r w:rsidR="00D51195">
        <w:t xml:space="preserve"> </w:t>
      </w:r>
      <w:r w:rsidR="00575C22">
        <w:t xml:space="preserve">(1) </w:t>
      </w:r>
      <w:r w:rsidR="00D51195">
        <w:t xml:space="preserve">adopt the controlling language in </w:t>
      </w:r>
      <w:r>
        <w:t>R.C. </w:t>
      </w:r>
      <w:r w:rsidR="008E7824">
        <w:t xml:space="preserve">4906.20(B)(2)(c) for purposes of identifying the population of adjacent property owners that must agree to a </w:t>
      </w:r>
      <w:r w:rsidR="00497A18">
        <w:t xml:space="preserve">minimum </w:t>
      </w:r>
      <w:r w:rsidR="008E7824">
        <w:t>setback waiver before the waiver can permit a wind farm developer to evade the minimum setback requirements</w:t>
      </w:r>
      <w:r w:rsidR="00575C22">
        <w:t>; (2) define “wind farm property” as the project area (used in other OPSB rules); (3) respect the controlling statute</w:t>
      </w:r>
      <w:r w:rsidR="00497A18">
        <w:t>’</w:t>
      </w:r>
      <w:r w:rsidR="00575C22">
        <w:t xml:space="preserve">s requirement that a valid minimum setback waiver must be secured in accordance with the procedure the OPSB establishes by rule; and (4) </w:t>
      </w:r>
      <w:r w:rsidR="00497A18">
        <w:t>respect the controlling statute’s command that no setback waivers shall be available if the OPSB finds that something more than the statutory minimum is required in a particular case</w:t>
      </w:r>
      <w:r w:rsidR="008E7824">
        <w:t>.</w:t>
      </w:r>
      <w:r w:rsidR="00640869">
        <w:t xml:space="preserve">  </w:t>
      </w:r>
    </w:p>
    <w:p w14:paraId="58E274C3" w14:textId="4BFDFC8E" w:rsidR="001600BA" w:rsidRDefault="004872A2" w:rsidP="0047103F">
      <w:pPr>
        <w:pStyle w:val="GeneralPara"/>
      </w:pPr>
      <w:r>
        <w:tab/>
      </w:r>
      <w:r w:rsidR="00526047">
        <w:t xml:space="preserve">Additionally, the rules should specify that any </w:t>
      </w:r>
      <w:r w:rsidR="002F5929">
        <w:t xml:space="preserve">proposed </w:t>
      </w:r>
      <w:r w:rsidR="00526047">
        <w:t xml:space="preserve">amendment </w:t>
      </w:r>
      <w:r w:rsidR="002F5929">
        <w:t xml:space="preserve">to a certificate </w:t>
      </w:r>
      <w:r w:rsidR="00526047">
        <w:t>that</w:t>
      </w:r>
      <w:r w:rsidR="002F5929">
        <w:t>, if approved, would</w:t>
      </w:r>
      <w:r w:rsidR="00526047">
        <w:t xml:space="preserve"> increase the </w:t>
      </w:r>
      <w:r w:rsidR="00A51DF6">
        <w:t xml:space="preserve">invasion of the minimum setback area shall be deemed a </w:t>
      </w:r>
      <w:r w:rsidR="00121BE6">
        <w:t xml:space="preserve">new application rather than an amendment </w:t>
      </w:r>
      <w:r w:rsidR="00A51DF6">
        <w:t xml:space="preserve">of an issued certificate </w:t>
      </w:r>
      <w:r w:rsidR="00C548E1">
        <w:t>(</w:t>
      </w:r>
      <w:r w:rsidR="00215735">
        <w:t>meaning that no such amendment can be approved without a hearing</w:t>
      </w:r>
      <w:r w:rsidR="00C548E1">
        <w:t>)</w:t>
      </w:r>
      <w:r w:rsidR="00215735">
        <w:t>.</w:t>
      </w:r>
      <w:r w:rsidR="00C548E1">
        <w:t xml:space="preserve">  It is GNU’s position that the OPSB is obligated to respect the rights </w:t>
      </w:r>
      <w:r w:rsidR="00304785">
        <w:t xml:space="preserve">of </w:t>
      </w:r>
      <w:r w:rsidR="00DE22B8">
        <w:t xml:space="preserve">non-participating </w:t>
      </w:r>
      <w:r w:rsidR="00304785">
        <w:t>adjoining property owners and to make sure those rights don’t get p</w:t>
      </w:r>
      <w:r w:rsidR="0077098C">
        <w:t xml:space="preserve">ushed through the cracks </w:t>
      </w:r>
      <w:r w:rsidR="00304785">
        <w:t>a</w:t>
      </w:r>
      <w:r w:rsidR="008F71C7">
        <w:t xml:space="preserve">s a result </w:t>
      </w:r>
      <w:r w:rsidR="002E3DC5">
        <w:t xml:space="preserve">of </w:t>
      </w:r>
      <w:r w:rsidR="008F71C7">
        <w:t>a</w:t>
      </w:r>
      <w:r w:rsidR="00121509">
        <w:t xml:space="preserve"> </w:t>
      </w:r>
      <w:r w:rsidR="0092009C">
        <w:t xml:space="preserve">proposed </w:t>
      </w:r>
      <w:r w:rsidR="00121509">
        <w:t>certificate amendment</w:t>
      </w:r>
      <w:r w:rsidR="0092009C">
        <w:t>.</w:t>
      </w:r>
    </w:p>
    <w:p w14:paraId="1B56EBD2" w14:textId="77777777" w:rsidR="003251E7" w:rsidRDefault="003251E7" w:rsidP="003251E7">
      <w:pPr>
        <w:pStyle w:val="BodyTextIndent"/>
        <w:ind w:left="4320" w:firstLine="0"/>
      </w:pPr>
      <w:r>
        <w:t>Respectfully submitted,</w:t>
      </w:r>
    </w:p>
    <w:p w14:paraId="70A18CB6" w14:textId="77777777" w:rsidR="003251E7" w:rsidRDefault="003251E7" w:rsidP="003251E7">
      <w:pPr>
        <w:tabs>
          <w:tab w:val="left" w:pos="720"/>
          <w:tab w:val="left" w:pos="4320"/>
          <w:tab w:val="right" w:pos="8640"/>
        </w:tabs>
        <w:ind w:left="4320"/>
        <w:rPr>
          <w:rFonts w:cs="Arial"/>
        </w:rPr>
      </w:pPr>
    </w:p>
    <w:p w14:paraId="00A00F84" w14:textId="77777777" w:rsidR="003251E7" w:rsidRPr="00A216BA" w:rsidRDefault="003251E7" w:rsidP="003251E7">
      <w:pPr>
        <w:tabs>
          <w:tab w:val="left" w:pos="720"/>
          <w:tab w:val="left" w:pos="4320"/>
          <w:tab w:val="right" w:pos="8640"/>
        </w:tabs>
        <w:ind w:left="4320"/>
        <w:rPr>
          <w:rFonts w:cs="Arial"/>
          <w:i/>
          <w:u w:val="single"/>
        </w:rPr>
      </w:pPr>
      <w:r w:rsidRPr="00A216BA">
        <w:rPr>
          <w:rFonts w:cs="Arial"/>
          <w:i/>
          <w:u w:val="single"/>
        </w:rPr>
        <w:t>/s/ Samuel C. Randazzo</w:t>
      </w:r>
      <w:r w:rsidRPr="00A216BA">
        <w:rPr>
          <w:rFonts w:cs="Arial"/>
          <w:i/>
          <w:u w:val="single"/>
        </w:rPr>
        <w:tab/>
      </w:r>
      <w:r w:rsidRPr="00A216BA">
        <w:rPr>
          <w:rFonts w:cs="Arial"/>
          <w:i/>
          <w:u w:val="single"/>
        </w:rPr>
        <w:tab/>
      </w:r>
    </w:p>
    <w:p w14:paraId="177FF5ED" w14:textId="77777777" w:rsidR="003251E7" w:rsidRDefault="003251E7" w:rsidP="003251E7">
      <w:pPr>
        <w:tabs>
          <w:tab w:val="left" w:pos="720"/>
          <w:tab w:val="left" w:pos="4320"/>
          <w:tab w:val="right" w:pos="8640"/>
        </w:tabs>
        <w:ind w:left="4320"/>
        <w:rPr>
          <w:rFonts w:cs="Arial"/>
        </w:rPr>
      </w:pPr>
      <w:r>
        <w:rPr>
          <w:rFonts w:cs="Arial"/>
        </w:rPr>
        <w:t xml:space="preserve">Samuel C. Randazzo (Reg. No. 0016386) </w:t>
      </w:r>
    </w:p>
    <w:p w14:paraId="230A36B4" w14:textId="77777777" w:rsidR="003251E7" w:rsidRDefault="003251E7" w:rsidP="003251E7">
      <w:pPr>
        <w:tabs>
          <w:tab w:val="left" w:pos="720"/>
          <w:tab w:val="left" w:pos="4320"/>
          <w:tab w:val="right" w:pos="8640"/>
        </w:tabs>
        <w:ind w:left="4320"/>
        <w:rPr>
          <w:rFonts w:cs="Arial"/>
        </w:rPr>
      </w:pPr>
      <w:r>
        <w:rPr>
          <w:rFonts w:cs="Arial"/>
        </w:rPr>
        <w:t xml:space="preserve">  (Counsel of Record) </w:t>
      </w:r>
    </w:p>
    <w:p w14:paraId="59E15FCF" w14:textId="77777777" w:rsidR="003251E7" w:rsidRDefault="003251E7" w:rsidP="003251E7">
      <w:pPr>
        <w:widowControl w:val="0"/>
        <w:tabs>
          <w:tab w:val="left" w:pos="4320"/>
        </w:tabs>
        <w:ind w:left="4320"/>
        <w:rPr>
          <w:rFonts w:cs="Arial"/>
          <w:bCs/>
        </w:rPr>
      </w:pPr>
      <w:r>
        <w:rPr>
          <w:rFonts w:cs="Arial"/>
          <w:bCs/>
        </w:rPr>
        <w:t>Scott E. Elisar (Reg. No. 0081877)</w:t>
      </w:r>
    </w:p>
    <w:p w14:paraId="3625642D" w14:textId="77777777" w:rsidR="003251E7" w:rsidRDefault="003251E7" w:rsidP="003251E7">
      <w:pPr>
        <w:widowControl w:val="0"/>
        <w:tabs>
          <w:tab w:val="left" w:pos="4320"/>
        </w:tabs>
        <w:ind w:left="4320"/>
        <w:rPr>
          <w:rFonts w:cs="Arial"/>
          <w:b/>
          <w:bCs/>
          <w:smallCaps/>
        </w:rPr>
      </w:pPr>
      <w:r>
        <w:rPr>
          <w:rFonts w:cs="Arial"/>
          <w:bCs/>
          <w:smallCaps/>
        </w:rPr>
        <w:t>McNees Wallace &amp; Nurick LLC</w:t>
      </w:r>
    </w:p>
    <w:p w14:paraId="5380D795" w14:textId="77777777" w:rsidR="003251E7" w:rsidRDefault="003251E7" w:rsidP="003251E7">
      <w:pPr>
        <w:widowControl w:val="0"/>
        <w:tabs>
          <w:tab w:val="left" w:pos="4320"/>
        </w:tabs>
        <w:ind w:left="4320"/>
        <w:rPr>
          <w:rFonts w:cs="Arial"/>
          <w:b/>
          <w:bCs/>
        </w:rPr>
      </w:pPr>
      <w:r>
        <w:rPr>
          <w:rFonts w:cs="Arial"/>
          <w:bCs/>
        </w:rPr>
        <w:t>21 East State Street, 17</w:t>
      </w:r>
      <w:r>
        <w:rPr>
          <w:rFonts w:cs="Arial"/>
          <w:bCs/>
          <w:vertAlign w:val="superscript"/>
        </w:rPr>
        <w:t>TH</w:t>
      </w:r>
      <w:r>
        <w:rPr>
          <w:rFonts w:cs="Arial"/>
          <w:bCs/>
        </w:rPr>
        <w:t xml:space="preserve"> Floor</w:t>
      </w:r>
    </w:p>
    <w:p w14:paraId="10DB42AD" w14:textId="77777777" w:rsidR="003251E7" w:rsidRDefault="003251E7" w:rsidP="003251E7">
      <w:pPr>
        <w:tabs>
          <w:tab w:val="left" w:pos="-1440"/>
          <w:tab w:val="left" w:pos="-720"/>
          <w:tab w:val="left" w:pos="4320"/>
          <w:tab w:val="left" w:pos="5040"/>
          <w:tab w:val="center" w:pos="7200"/>
        </w:tabs>
        <w:overflowPunct w:val="0"/>
        <w:autoSpaceDE w:val="0"/>
        <w:autoSpaceDN w:val="0"/>
        <w:adjustRightInd w:val="0"/>
        <w:ind w:left="4320"/>
        <w:rPr>
          <w:rFonts w:cs="Arial"/>
        </w:rPr>
      </w:pPr>
      <w:r>
        <w:rPr>
          <w:rFonts w:cs="Arial"/>
        </w:rPr>
        <w:t>Columbus, OH  43215</w:t>
      </w:r>
    </w:p>
    <w:p w14:paraId="4699AEA1" w14:textId="77777777" w:rsidR="003251E7" w:rsidRDefault="003251E7" w:rsidP="003251E7">
      <w:pPr>
        <w:tabs>
          <w:tab w:val="left" w:pos="-1440"/>
          <w:tab w:val="left" w:pos="-720"/>
          <w:tab w:val="left" w:pos="4320"/>
          <w:tab w:val="left" w:pos="5040"/>
          <w:tab w:val="center" w:pos="7200"/>
        </w:tabs>
        <w:overflowPunct w:val="0"/>
        <w:autoSpaceDE w:val="0"/>
        <w:autoSpaceDN w:val="0"/>
        <w:adjustRightInd w:val="0"/>
        <w:ind w:left="4320"/>
        <w:rPr>
          <w:rFonts w:cs="Arial"/>
        </w:rPr>
      </w:pPr>
      <w:r>
        <w:rPr>
          <w:rFonts w:cs="Arial"/>
        </w:rPr>
        <w:t>Telephone:  (614) 469-8000</w:t>
      </w:r>
    </w:p>
    <w:p w14:paraId="10CD30C8" w14:textId="77777777" w:rsidR="003251E7" w:rsidRDefault="003251E7" w:rsidP="003251E7">
      <w:pPr>
        <w:tabs>
          <w:tab w:val="left" w:pos="-1440"/>
          <w:tab w:val="left" w:pos="-720"/>
          <w:tab w:val="left" w:pos="4320"/>
          <w:tab w:val="left" w:pos="5040"/>
          <w:tab w:val="center" w:pos="7200"/>
        </w:tabs>
        <w:overflowPunct w:val="0"/>
        <w:autoSpaceDE w:val="0"/>
        <w:autoSpaceDN w:val="0"/>
        <w:adjustRightInd w:val="0"/>
        <w:ind w:left="4320"/>
        <w:rPr>
          <w:rFonts w:cs="Arial"/>
        </w:rPr>
      </w:pPr>
      <w:r>
        <w:rPr>
          <w:rFonts w:cs="Arial"/>
        </w:rPr>
        <w:t>Telecopier:  (614) 469-4653</w:t>
      </w:r>
    </w:p>
    <w:p w14:paraId="2AD5176A" w14:textId="77777777" w:rsidR="003251E7" w:rsidRDefault="003251E7" w:rsidP="003251E7">
      <w:pPr>
        <w:tabs>
          <w:tab w:val="left" w:pos="-1440"/>
          <w:tab w:val="left" w:pos="-720"/>
          <w:tab w:val="left" w:pos="5040"/>
          <w:tab w:val="center" w:pos="7200"/>
        </w:tabs>
        <w:overflowPunct w:val="0"/>
        <w:autoSpaceDE w:val="0"/>
        <w:autoSpaceDN w:val="0"/>
        <w:adjustRightInd w:val="0"/>
        <w:ind w:left="4320"/>
        <w:rPr>
          <w:rFonts w:cs="Arial"/>
          <w:color w:val="000000" w:themeColor="text1"/>
        </w:rPr>
      </w:pPr>
      <w:r w:rsidRPr="009E4630">
        <w:rPr>
          <w:rFonts w:cs="Arial"/>
        </w:rPr>
        <w:t>sam@mwncmh.com</w:t>
      </w:r>
    </w:p>
    <w:p w14:paraId="50F6AE75" w14:textId="77777777" w:rsidR="003251E7" w:rsidRDefault="003251E7" w:rsidP="003251E7">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rPr>
        <w:t>selisar</w:t>
      </w:r>
      <w:r w:rsidRPr="009E4630">
        <w:rPr>
          <w:rFonts w:cs="Arial"/>
        </w:rPr>
        <w:t>@mwncmh.com</w:t>
      </w:r>
    </w:p>
    <w:p w14:paraId="7A4CF435" w14:textId="77777777" w:rsidR="003251E7" w:rsidRDefault="003251E7" w:rsidP="003251E7">
      <w:pPr>
        <w:tabs>
          <w:tab w:val="left" w:pos="-1440"/>
          <w:tab w:val="left" w:pos="-720"/>
          <w:tab w:val="left" w:pos="5040"/>
          <w:tab w:val="center" w:pos="7200"/>
        </w:tabs>
        <w:overflowPunct w:val="0"/>
        <w:autoSpaceDE w:val="0"/>
        <w:autoSpaceDN w:val="0"/>
        <w:adjustRightInd w:val="0"/>
        <w:ind w:left="4320"/>
        <w:rPr>
          <w:rFonts w:cs="Arial"/>
          <w:color w:val="000000" w:themeColor="text1"/>
        </w:rPr>
      </w:pPr>
    </w:p>
    <w:p w14:paraId="7541815F" w14:textId="77777777" w:rsidR="003251E7" w:rsidRDefault="003251E7" w:rsidP="003251E7">
      <w:pPr>
        <w:ind w:left="4320" w:hanging="4320"/>
        <w:rPr>
          <w:rFonts w:ascii="Arial Bold" w:hAnsi="Arial Bold" w:cs="Arial"/>
          <w:smallCaps/>
          <w:color w:val="000000"/>
        </w:rPr>
      </w:pPr>
      <w:r w:rsidRPr="002E3F72">
        <w:rPr>
          <w:rFonts w:cs="Arial"/>
          <w:b/>
          <w:smallCaps/>
        </w:rPr>
        <w:tab/>
        <w:t xml:space="preserve">Attorneys for </w:t>
      </w:r>
      <w:r w:rsidRPr="002E3F72">
        <w:rPr>
          <w:rFonts w:ascii="Arial Bold" w:hAnsi="Arial Bold" w:cs="Arial"/>
          <w:smallCaps/>
          <w:color w:val="000000"/>
        </w:rPr>
        <w:t>Greenwich Neighbors United</w:t>
      </w:r>
    </w:p>
    <w:p w14:paraId="6D0D1DE8" w14:textId="77777777" w:rsidR="003251E7" w:rsidRDefault="003251E7" w:rsidP="003251E7">
      <w:pPr>
        <w:spacing w:line="480" w:lineRule="auto"/>
        <w:jc w:val="both"/>
        <w:sectPr w:rsidR="003251E7" w:rsidSect="009E4B5A">
          <w:pgSz w:w="12240" w:h="15840" w:code="1"/>
          <w:pgMar w:top="1440" w:right="1440" w:bottom="1440" w:left="1440" w:header="720" w:footer="720" w:gutter="0"/>
          <w:pgNumType w:start="1"/>
          <w:cols w:space="720"/>
          <w:titlePg/>
          <w:docGrid w:linePitch="360"/>
        </w:sectPr>
      </w:pPr>
    </w:p>
    <w:p w14:paraId="2B414BFD" w14:textId="77777777" w:rsidR="003251E7" w:rsidRPr="00710D67" w:rsidRDefault="003251E7" w:rsidP="003251E7">
      <w:pPr>
        <w:tabs>
          <w:tab w:val="right" w:pos="8640"/>
        </w:tabs>
        <w:spacing w:line="480" w:lineRule="auto"/>
        <w:jc w:val="center"/>
        <w:rPr>
          <w:rFonts w:cs="Arial"/>
          <w:b/>
          <w:smallCaps/>
          <w:sz w:val="28"/>
          <w:szCs w:val="28"/>
          <w:u w:val="single"/>
        </w:rPr>
      </w:pPr>
      <w:r w:rsidRPr="00710D67">
        <w:rPr>
          <w:rFonts w:cs="Arial"/>
          <w:b/>
          <w:smallCaps/>
          <w:sz w:val="28"/>
          <w:szCs w:val="28"/>
          <w:u w:val="single"/>
        </w:rPr>
        <w:lastRenderedPageBreak/>
        <w:t>Certificate of Service</w:t>
      </w:r>
    </w:p>
    <w:p w14:paraId="2055894B" w14:textId="337C40BF" w:rsidR="003251E7" w:rsidRPr="00130140" w:rsidRDefault="003251E7" w:rsidP="003251E7">
      <w:pPr>
        <w:pStyle w:val="BodyText"/>
        <w:spacing w:line="480" w:lineRule="auto"/>
        <w:ind w:firstLine="720"/>
        <w:jc w:val="both"/>
        <w:rPr>
          <w:b/>
          <w:smallCaps/>
        </w:rPr>
      </w:pPr>
      <w:r w:rsidRPr="00067105">
        <w:t xml:space="preserve">I hereby certify that a true copy of the foregoing </w:t>
      </w:r>
      <w:r>
        <w:rPr>
          <w:i/>
        </w:rPr>
        <w:t xml:space="preserve">Comments </w:t>
      </w:r>
      <w:r w:rsidRPr="00130140">
        <w:rPr>
          <w:i/>
        </w:rPr>
        <w:t>of</w:t>
      </w:r>
      <w:r>
        <w:t xml:space="preserve"> </w:t>
      </w:r>
      <w:r w:rsidRPr="00067105">
        <w:rPr>
          <w:i/>
        </w:rPr>
        <w:t>Greenwich Neighbors United</w:t>
      </w:r>
      <w:r>
        <w:rPr>
          <w:i/>
        </w:rPr>
        <w:t xml:space="preserve"> </w:t>
      </w:r>
      <w:r w:rsidR="00522321">
        <w:rPr>
          <w:i/>
        </w:rPr>
        <w:t xml:space="preserve">on Additional Revision </w:t>
      </w:r>
      <w:r w:rsidRPr="00130140">
        <w:t xml:space="preserve">has been served </w:t>
      </w:r>
      <w:r w:rsidRPr="00C02D3C">
        <w:rPr>
          <w:i/>
        </w:rPr>
        <w:t>via</w:t>
      </w:r>
      <w:r w:rsidRPr="00130140">
        <w:t xml:space="preserve"> electronic mail </w:t>
      </w:r>
      <w:r w:rsidR="00602FC4">
        <w:t xml:space="preserve">or ordinary U.S. mail, postage prepaid, </w:t>
      </w:r>
      <w:r w:rsidRPr="00130140">
        <w:t xml:space="preserve">upon the following parties of record this </w:t>
      </w:r>
      <w:r w:rsidR="00C02D3C">
        <w:t>3</w:t>
      </w:r>
      <w:r w:rsidR="00E02E7E">
        <w:t>1</w:t>
      </w:r>
      <w:r w:rsidR="00E02E7E" w:rsidRPr="00E02E7E">
        <w:rPr>
          <w:vertAlign w:val="superscript"/>
        </w:rPr>
        <w:t>st</w:t>
      </w:r>
      <w:r w:rsidR="00E02E7E">
        <w:t xml:space="preserve"> </w:t>
      </w:r>
      <w:r w:rsidRPr="00130140">
        <w:t xml:space="preserve">day of </w:t>
      </w:r>
      <w:r w:rsidR="00C02D3C">
        <w:t xml:space="preserve">January </w:t>
      </w:r>
      <w:r w:rsidRPr="00130140">
        <w:t>201</w:t>
      </w:r>
      <w:r w:rsidR="00E02E7E">
        <w:t>8</w:t>
      </w:r>
      <w:r w:rsidRPr="00130140">
        <w:t>.</w:t>
      </w:r>
    </w:p>
    <w:p w14:paraId="0C80C4DD" w14:textId="77777777" w:rsidR="003251E7" w:rsidRPr="003251E7" w:rsidRDefault="003251E7" w:rsidP="003251E7">
      <w:pPr>
        <w:pStyle w:val="Title"/>
        <w:tabs>
          <w:tab w:val="left" w:pos="5040"/>
          <w:tab w:val="right" w:pos="9270"/>
        </w:tabs>
        <w:ind w:left="5040"/>
        <w:rPr>
          <w:b w:val="0"/>
          <w:i/>
          <w:smallCaps w:val="0"/>
          <w:sz w:val="24"/>
          <w:u w:val="single"/>
        </w:rPr>
      </w:pPr>
      <w:r>
        <w:rPr>
          <w:b w:val="0"/>
          <w:i/>
          <w:smallCaps w:val="0"/>
          <w:sz w:val="24"/>
          <w:u w:val="single"/>
        </w:rPr>
        <w:t xml:space="preserve">   /s</w:t>
      </w:r>
      <w:r w:rsidRPr="003251E7">
        <w:rPr>
          <w:b w:val="0"/>
          <w:i/>
          <w:smallCaps w:val="0"/>
          <w:sz w:val="24"/>
          <w:u w:val="single"/>
        </w:rPr>
        <w:t>/ Samuel C. Randazzo</w:t>
      </w:r>
      <w:r w:rsidRPr="003251E7">
        <w:rPr>
          <w:b w:val="0"/>
          <w:i/>
          <w:smallCaps w:val="0"/>
          <w:sz w:val="24"/>
          <w:u w:val="single"/>
        </w:rPr>
        <w:tab/>
      </w:r>
    </w:p>
    <w:p w14:paraId="430D08C2" w14:textId="50405CC4" w:rsidR="003251E7" w:rsidRDefault="003251E7" w:rsidP="003251E7">
      <w:pPr>
        <w:pStyle w:val="Title"/>
        <w:tabs>
          <w:tab w:val="left" w:pos="5040"/>
        </w:tabs>
        <w:ind w:left="5040"/>
        <w:jc w:val="left"/>
        <w:rPr>
          <w:b w:val="0"/>
          <w:sz w:val="24"/>
        </w:rPr>
      </w:pPr>
      <w:r w:rsidRPr="003251E7">
        <w:rPr>
          <w:b w:val="0"/>
          <w:sz w:val="24"/>
        </w:rPr>
        <w:tab/>
      </w:r>
      <w:r>
        <w:rPr>
          <w:b w:val="0"/>
          <w:sz w:val="24"/>
        </w:rPr>
        <w:t>Samuel C. Randazzo</w:t>
      </w:r>
      <w:r w:rsidR="00602FC4">
        <w:rPr>
          <w:b w:val="0"/>
          <w:sz w:val="24"/>
        </w:rPr>
        <w:br/>
      </w:r>
    </w:p>
    <w:p w14:paraId="723B11A2" w14:textId="77777777" w:rsidR="00825FD7" w:rsidRDefault="00825FD7" w:rsidP="003251E7">
      <w:pPr>
        <w:pStyle w:val="Title"/>
        <w:tabs>
          <w:tab w:val="left" w:pos="5040"/>
        </w:tabs>
        <w:ind w:left="5040"/>
        <w:jc w:val="left"/>
        <w:rPr>
          <w:b w:val="0"/>
          <w:sz w:val="24"/>
        </w:rPr>
        <w:sectPr w:rsidR="00825FD7" w:rsidSect="00C0405A">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titlePg/>
          <w:docGrid w:linePitch="360"/>
        </w:sectPr>
      </w:pPr>
    </w:p>
    <w:p w14:paraId="5544298B" w14:textId="77777777" w:rsidR="00E35D81" w:rsidRPr="00C30BA9" w:rsidRDefault="00E35D81" w:rsidP="00E35D81">
      <w:pPr>
        <w:rPr>
          <w:rFonts w:cs="Arial"/>
          <w:color w:val="000000" w:themeColor="text1"/>
          <w:sz w:val="20"/>
          <w:szCs w:val="20"/>
        </w:rPr>
      </w:pPr>
      <w:r w:rsidRPr="00C30BA9">
        <w:rPr>
          <w:rFonts w:cs="Arial"/>
          <w:color w:val="000000" w:themeColor="text1"/>
          <w:sz w:val="20"/>
          <w:szCs w:val="20"/>
        </w:rPr>
        <w:t>Monica Jensen</w:t>
      </w:r>
    </w:p>
    <w:p w14:paraId="32FAAEFC" w14:textId="77777777" w:rsidR="00E35D81" w:rsidRPr="00C30BA9" w:rsidRDefault="00E35D81" w:rsidP="00E35D81">
      <w:pPr>
        <w:rPr>
          <w:rFonts w:cs="Arial"/>
          <w:color w:val="000000" w:themeColor="text1"/>
          <w:sz w:val="20"/>
          <w:szCs w:val="20"/>
        </w:rPr>
      </w:pPr>
      <w:r w:rsidRPr="00C30BA9">
        <w:rPr>
          <w:rFonts w:cs="Arial"/>
          <w:color w:val="000000" w:themeColor="text1"/>
          <w:sz w:val="20"/>
          <w:szCs w:val="20"/>
        </w:rPr>
        <w:t>VP Development</w:t>
      </w:r>
    </w:p>
    <w:p w14:paraId="5617CC31" w14:textId="77777777" w:rsidR="00E35D81" w:rsidRPr="00C30BA9" w:rsidRDefault="00E35D81" w:rsidP="00E35D81">
      <w:pPr>
        <w:rPr>
          <w:rFonts w:cs="Arial"/>
          <w:color w:val="000000" w:themeColor="text1"/>
          <w:sz w:val="20"/>
          <w:szCs w:val="20"/>
        </w:rPr>
      </w:pPr>
      <w:r w:rsidRPr="00C30BA9">
        <w:rPr>
          <w:rFonts w:cs="Arial"/>
          <w:color w:val="000000" w:themeColor="text1"/>
          <w:sz w:val="20"/>
          <w:szCs w:val="20"/>
        </w:rPr>
        <w:t>Windlab Developments, USA, Ltd.</w:t>
      </w:r>
    </w:p>
    <w:p w14:paraId="6A015B0D" w14:textId="77777777" w:rsidR="00E35D81" w:rsidRPr="00C30BA9" w:rsidRDefault="00E35D81" w:rsidP="00E35D81">
      <w:pPr>
        <w:rPr>
          <w:rFonts w:cs="Arial"/>
          <w:color w:val="000000" w:themeColor="text1"/>
          <w:sz w:val="20"/>
          <w:szCs w:val="20"/>
        </w:rPr>
      </w:pPr>
      <w:r w:rsidRPr="00C30BA9">
        <w:rPr>
          <w:rFonts w:cs="Arial"/>
          <w:color w:val="000000" w:themeColor="text1"/>
          <w:sz w:val="20"/>
          <w:szCs w:val="20"/>
        </w:rPr>
        <w:t>927 Wing Street</w:t>
      </w:r>
    </w:p>
    <w:p w14:paraId="510EE71A" w14:textId="77777777" w:rsidR="00E35D81" w:rsidRPr="00C30BA9" w:rsidRDefault="00E35D81" w:rsidP="00E35D81">
      <w:pPr>
        <w:rPr>
          <w:rFonts w:cs="Arial"/>
          <w:color w:val="000000" w:themeColor="text1"/>
          <w:sz w:val="20"/>
          <w:szCs w:val="20"/>
        </w:rPr>
      </w:pPr>
      <w:r w:rsidRPr="00C30BA9">
        <w:rPr>
          <w:rFonts w:cs="Arial"/>
          <w:color w:val="000000" w:themeColor="text1"/>
          <w:sz w:val="20"/>
          <w:szCs w:val="20"/>
        </w:rPr>
        <w:t>Plymouth, MI 48170</w:t>
      </w:r>
    </w:p>
    <w:p w14:paraId="43C4A111" w14:textId="77777777" w:rsidR="00E35D81" w:rsidRPr="00C30BA9" w:rsidRDefault="00E35D81" w:rsidP="00E35D81">
      <w:pPr>
        <w:rPr>
          <w:rFonts w:cs="Arial"/>
          <w:color w:val="000000" w:themeColor="text1"/>
          <w:sz w:val="20"/>
          <w:szCs w:val="20"/>
        </w:rPr>
      </w:pPr>
    </w:p>
    <w:p w14:paraId="6963F419" w14:textId="77777777" w:rsidR="00E35D81" w:rsidRPr="00C30BA9" w:rsidRDefault="00E35D81" w:rsidP="00E35D81">
      <w:pPr>
        <w:autoSpaceDE w:val="0"/>
        <w:autoSpaceDN w:val="0"/>
        <w:adjustRightInd w:val="0"/>
        <w:rPr>
          <w:rFonts w:cs="Arial"/>
          <w:color w:val="000000" w:themeColor="text1"/>
          <w:sz w:val="20"/>
          <w:szCs w:val="20"/>
        </w:rPr>
      </w:pPr>
      <w:r w:rsidRPr="00C30BA9">
        <w:rPr>
          <w:rFonts w:cs="Arial"/>
          <w:color w:val="000000" w:themeColor="text1"/>
          <w:sz w:val="20"/>
          <w:szCs w:val="20"/>
        </w:rPr>
        <w:t>Christopher A. Walker (0040696)</w:t>
      </w:r>
    </w:p>
    <w:p w14:paraId="3A9844A4" w14:textId="77777777" w:rsidR="00E35D81" w:rsidRPr="00C30BA9" w:rsidRDefault="00E35D81" w:rsidP="00E35D81">
      <w:pPr>
        <w:autoSpaceDE w:val="0"/>
        <w:autoSpaceDN w:val="0"/>
        <w:adjustRightInd w:val="0"/>
        <w:rPr>
          <w:rFonts w:cs="Arial"/>
          <w:color w:val="000000" w:themeColor="text1"/>
          <w:sz w:val="20"/>
          <w:szCs w:val="20"/>
        </w:rPr>
      </w:pPr>
      <w:r w:rsidRPr="00C30BA9">
        <w:rPr>
          <w:rFonts w:cs="Arial"/>
          <w:color w:val="000000" w:themeColor="text1"/>
          <w:sz w:val="20"/>
          <w:szCs w:val="20"/>
        </w:rPr>
        <w:t>Van Kley &amp; Walker, LLC</w:t>
      </w:r>
    </w:p>
    <w:p w14:paraId="7E8E0E15" w14:textId="77777777" w:rsidR="00E35D81" w:rsidRPr="00C30BA9" w:rsidRDefault="00E35D81" w:rsidP="00E35D81">
      <w:pPr>
        <w:autoSpaceDE w:val="0"/>
        <w:autoSpaceDN w:val="0"/>
        <w:adjustRightInd w:val="0"/>
        <w:rPr>
          <w:rFonts w:cs="Arial"/>
          <w:color w:val="000000" w:themeColor="text1"/>
          <w:sz w:val="20"/>
          <w:szCs w:val="20"/>
        </w:rPr>
      </w:pPr>
      <w:r w:rsidRPr="00C30BA9">
        <w:rPr>
          <w:rFonts w:cs="Arial"/>
          <w:color w:val="000000" w:themeColor="text1"/>
          <w:sz w:val="20"/>
          <w:szCs w:val="20"/>
        </w:rPr>
        <w:t>137 N. Main St., Suite 316</w:t>
      </w:r>
    </w:p>
    <w:p w14:paraId="2ABF38E9" w14:textId="77777777" w:rsidR="00E35D81" w:rsidRPr="00C30BA9" w:rsidRDefault="00E35D81" w:rsidP="00E35D81">
      <w:pPr>
        <w:autoSpaceDE w:val="0"/>
        <w:autoSpaceDN w:val="0"/>
        <w:adjustRightInd w:val="0"/>
        <w:rPr>
          <w:rFonts w:cs="Arial"/>
          <w:color w:val="000000" w:themeColor="text1"/>
          <w:sz w:val="20"/>
          <w:szCs w:val="20"/>
        </w:rPr>
      </w:pPr>
      <w:r w:rsidRPr="00C30BA9">
        <w:rPr>
          <w:rFonts w:cs="Arial"/>
          <w:color w:val="000000" w:themeColor="text1"/>
          <w:sz w:val="20"/>
          <w:szCs w:val="20"/>
        </w:rPr>
        <w:t>Dayton, Ohio 45402</w:t>
      </w:r>
    </w:p>
    <w:p w14:paraId="04F71119" w14:textId="0893ADFD" w:rsidR="00E35D81" w:rsidRPr="00C30BA9" w:rsidRDefault="00E35D81" w:rsidP="00E35D81">
      <w:pPr>
        <w:autoSpaceDE w:val="0"/>
        <w:autoSpaceDN w:val="0"/>
        <w:adjustRightInd w:val="0"/>
        <w:rPr>
          <w:rFonts w:cs="Arial"/>
          <w:color w:val="000000" w:themeColor="text1"/>
          <w:sz w:val="20"/>
          <w:szCs w:val="20"/>
        </w:rPr>
      </w:pPr>
      <w:r w:rsidRPr="000D0910">
        <w:rPr>
          <w:rFonts w:cs="Arial"/>
          <w:sz w:val="20"/>
          <w:szCs w:val="20"/>
        </w:rPr>
        <w:t>cwalker@vankleywalker.com</w:t>
      </w:r>
    </w:p>
    <w:p w14:paraId="1557A661" w14:textId="77777777" w:rsidR="00E35D81" w:rsidRPr="00C30BA9" w:rsidRDefault="00E35D81" w:rsidP="00E35D81">
      <w:pPr>
        <w:jc w:val="both"/>
        <w:rPr>
          <w:rFonts w:cs="Arial"/>
          <w:color w:val="000000" w:themeColor="text1"/>
          <w:sz w:val="20"/>
          <w:szCs w:val="20"/>
        </w:rPr>
      </w:pPr>
    </w:p>
    <w:p w14:paraId="5E9696DA" w14:textId="77777777" w:rsidR="00E35D81" w:rsidRPr="00C30BA9" w:rsidRDefault="00E35D81" w:rsidP="00E35D81">
      <w:pPr>
        <w:pStyle w:val="Title"/>
        <w:jc w:val="left"/>
        <w:rPr>
          <w:b w:val="0"/>
          <w:smallCaps w:val="0"/>
          <w:color w:val="000000" w:themeColor="text1"/>
          <w:sz w:val="20"/>
          <w:szCs w:val="20"/>
        </w:rPr>
      </w:pPr>
      <w:r w:rsidRPr="00C30BA9">
        <w:rPr>
          <w:b w:val="0"/>
          <w:smallCaps w:val="0"/>
          <w:color w:val="000000" w:themeColor="text1"/>
          <w:sz w:val="20"/>
          <w:szCs w:val="20"/>
        </w:rPr>
        <w:t>Julia F. Johnson</w:t>
      </w:r>
    </w:p>
    <w:p w14:paraId="52260B33" w14:textId="77777777" w:rsidR="00E35D81" w:rsidRPr="00C30BA9" w:rsidRDefault="00E35D81" w:rsidP="00E35D81">
      <w:pPr>
        <w:pStyle w:val="Title"/>
        <w:jc w:val="left"/>
        <w:rPr>
          <w:b w:val="0"/>
          <w:smallCaps w:val="0"/>
          <w:color w:val="000000" w:themeColor="text1"/>
          <w:sz w:val="20"/>
          <w:szCs w:val="20"/>
        </w:rPr>
      </w:pPr>
      <w:r w:rsidRPr="00C30BA9">
        <w:rPr>
          <w:b w:val="0"/>
          <w:smallCaps w:val="0"/>
          <w:color w:val="000000" w:themeColor="text1"/>
          <w:sz w:val="20"/>
          <w:szCs w:val="20"/>
        </w:rPr>
        <w:t>4891 E. U.S. Route 36</w:t>
      </w:r>
    </w:p>
    <w:p w14:paraId="188893D9" w14:textId="77777777" w:rsidR="00E35D81" w:rsidRPr="00C30BA9" w:rsidRDefault="00E35D81" w:rsidP="00E35D81">
      <w:pPr>
        <w:pStyle w:val="Title"/>
        <w:jc w:val="left"/>
        <w:rPr>
          <w:b w:val="0"/>
          <w:smallCaps w:val="0"/>
          <w:color w:val="000000" w:themeColor="text1"/>
          <w:sz w:val="20"/>
          <w:szCs w:val="20"/>
        </w:rPr>
      </w:pPr>
      <w:r w:rsidRPr="00C30BA9">
        <w:rPr>
          <w:b w:val="0"/>
          <w:smallCaps w:val="0"/>
          <w:color w:val="000000" w:themeColor="text1"/>
          <w:sz w:val="20"/>
          <w:szCs w:val="20"/>
        </w:rPr>
        <w:t>Urbana, OH  43078</w:t>
      </w:r>
    </w:p>
    <w:p w14:paraId="4A9CAA06" w14:textId="77777777" w:rsidR="00E35D81" w:rsidRPr="00C30BA9" w:rsidRDefault="00E35D81" w:rsidP="00E35D81">
      <w:pPr>
        <w:pStyle w:val="Title"/>
        <w:jc w:val="left"/>
        <w:rPr>
          <w:b w:val="0"/>
          <w:smallCaps w:val="0"/>
          <w:color w:val="000000" w:themeColor="text1"/>
          <w:sz w:val="20"/>
          <w:szCs w:val="20"/>
        </w:rPr>
      </w:pPr>
      <w:r w:rsidRPr="00C30BA9">
        <w:rPr>
          <w:b w:val="0"/>
          <w:smallCaps w:val="0"/>
          <w:color w:val="000000" w:themeColor="text1"/>
          <w:sz w:val="20"/>
          <w:szCs w:val="20"/>
        </w:rPr>
        <w:t>juliejohnson@ctcn.net</w:t>
      </w:r>
    </w:p>
    <w:p w14:paraId="773378E0" w14:textId="77777777" w:rsidR="00E35D81" w:rsidRPr="00C30BA9" w:rsidRDefault="00E35D81" w:rsidP="00E35D81">
      <w:pPr>
        <w:pStyle w:val="Title"/>
        <w:jc w:val="left"/>
        <w:rPr>
          <w:b w:val="0"/>
          <w:smallCaps w:val="0"/>
          <w:color w:val="000000" w:themeColor="text1"/>
          <w:sz w:val="20"/>
          <w:szCs w:val="20"/>
        </w:rPr>
      </w:pPr>
    </w:p>
    <w:p w14:paraId="0CB11B45" w14:textId="77777777" w:rsidR="00E35D81" w:rsidRPr="00C30BA9" w:rsidRDefault="00E35D81" w:rsidP="00E35D81">
      <w:pPr>
        <w:pStyle w:val="Title"/>
        <w:jc w:val="left"/>
        <w:rPr>
          <w:b w:val="0"/>
          <w:smallCaps w:val="0"/>
          <w:color w:val="000000" w:themeColor="text1"/>
          <w:sz w:val="20"/>
          <w:szCs w:val="20"/>
        </w:rPr>
      </w:pPr>
      <w:r w:rsidRPr="00C30BA9">
        <w:rPr>
          <w:b w:val="0"/>
          <w:smallCaps w:val="0"/>
          <w:color w:val="000000" w:themeColor="text1"/>
          <w:sz w:val="20"/>
          <w:szCs w:val="20"/>
        </w:rPr>
        <w:t>Robert and Diane McConnell</w:t>
      </w:r>
    </w:p>
    <w:p w14:paraId="016FDD25" w14:textId="77777777" w:rsidR="00E35D81" w:rsidRPr="00C30BA9" w:rsidRDefault="00E35D81" w:rsidP="00E35D81">
      <w:pPr>
        <w:pStyle w:val="Title"/>
        <w:jc w:val="left"/>
        <w:rPr>
          <w:b w:val="0"/>
          <w:smallCaps w:val="0"/>
          <w:color w:val="000000" w:themeColor="text1"/>
          <w:sz w:val="20"/>
          <w:szCs w:val="20"/>
        </w:rPr>
      </w:pPr>
      <w:r w:rsidRPr="00C30BA9">
        <w:rPr>
          <w:b w:val="0"/>
          <w:smallCaps w:val="0"/>
          <w:color w:val="000000" w:themeColor="text1"/>
          <w:sz w:val="20"/>
          <w:szCs w:val="20"/>
        </w:rPr>
        <w:t>4880 E. U.S. Route 36</w:t>
      </w:r>
    </w:p>
    <w:p w14:paraId="3B8374F6" w14:textId="77777777" w:rsidR="00E35D81" w:rsidRPr="00C30BA9" w:rsidRDefault="00E35D81" w:rsidP="00E35D81">
      <w:pPr>
        <w:pStyle w:val="Title"/>
        <w:jc w:val="left"/>
        <w:rPr>
          <w:b w:val="0"/>
          <w:smallCaps w:val="0"/>
          <w:color w:val="000000" w:themeColor="text1"/>
          <w:sz w:val="20"/>
          <w:szCs w:val="20"/>
        </w:rPr>
      </w:pPr>
      <w:r w:rsidRPr="00C30BA9">
        <w:rPr>
          <w:b w:val="0"/>
          <w:smallCaps w:val="0"/>
          <w:color w:val="000000" w:themeColor="text1"/>
          <w:sz w:val="20"/>
          <w:szCs w:val="20"/>
        </w:rPr>
        <w:t>Urbana, OH  43078</w:t>
      </w:r>
    </w:p>
    <w:p w14:paraId="3D2AD4C4" w14:textId="77777777" w:rsidR="00E35D81" w:rsidRPr="00C30BA9" w:rsidRDefault="00E35D81" w:rsidP="00E35D81">
      <w:pPr>
        <w:pStyle w:val="Title"/>
        <w:jc w:val="left"/>
        <w:rPr>
          <w:b w:val="0"/>
          <w:smallCaps w:val="0"/>
          <w:color w:val="000000" w:themeColor="text1"/>
          <w:sz w:val="20"/>
          <w:szCs w:val="20"/>
        </w:rPr>
      </w:pPr>
    </w:p>
    <w:p w14:paraId="2F312883" w14:textId="77777777" w:rsidR="00E35D81" w:rsidRPr="00C30BA9" w:rsidRDefault="00E35D81" w:rsidP="00E35D81">
      <w:pPr>
        <w:pStyle w:val="Title"/>
        <w:jc w:val="left"/>
        <w:rPr>
          <w:b w:val="0"/>
          <w:smallCaps w:val="0"/>
          <w:color w:val="000000" w:themeColor="text1"/>
          <w:sz w:val="20"/>
          <w:szCs w:val="20"/>
        </w:rPr>
      </w:pPr>
      <w:r w:rsidRPr="00C30BA9">
        <w:rPr>
          <w:b w:val="0"/>
          <w:smallCaps w:val="0"/>
          <w:color w:val="000000" w:themeColor="text1"/>
          <w:sz w:val="20"/>
          <w:szCs w:val="20"/>
        </w:rPr>
        <w:t>Richard R. James</w:t>
      </w:r>
    </w:p>
    <w:p w14:paraId="0BEC041B" w14:textId="77777777" w:rsidR="00E35D81" w:rsidRPr="00C30BA9" w:rsidRDefault="00E35D81" w:rsidP="00E35D81">
      <w:pPr>
        <w:pStyle w:val="Title"/>
        <w:jc w:val="left"/>
        <w:rPr>
          <w:b w:val="0"/>
          <w:smallCaps w:val="0"/>
          <w:color w:val="000000" w:themeColor="text1"/>
          <w:sz w:val="20"/>
          <w:szCs w:val="20"/>
        </w:rPr>
      </w:pPr>
      <w:r w:rsidRPr="00C30BA9">
        <w:rPr>
          <w:b w:val="0"/>
          <w:smallCaps w:val="0"/>
          <w:color w:val="000000" w:themeColor="text1"/>
          <w:sz w:val="20"/>
          <w:szCs w:val="20"/>
        </w:rPr>
        <w:t>Principal</w:t>
      </w:r>
    </w:p>
    <w:p w14:paraId="78664377" w14:textId="77777777" w:rsidR="00E35D81" w:rsidRPr="00C30BA9" w:rsidRDefault="00E35D81" w:rsidP="00E35D81">
      <w:pPr>
        <w:pStyle w:val="Title"/>
        <w:jc w:val="left"/>
        <w:rPr>
          <w:b w:val="0"/>
          <w:smallCaps w:val="0"/>
          <w:color w:val="000000" w:themeColor="text1"/>
          <w:sz w:val="20"/>
          <w:szCs w:val="20"/>
        </w:rPr>
      </w:pPr>
      <w:r w:rsidRPr="00C30BA9">
        <w:rPr>
          <w:b w:val="0"/>
          <w:smallCaps w:val="0"/>
          <w:color w:val="000000" w:themeColor="text1"/>
          <w:sz w:val="20"/>
          <w:szCs w:val="20"/>
        </w:rPr>
        <w:t>E-Coustic Solutions</w:t>
      </w:r>
    </w:p>
    <w:p w14:paraId="06372D43" w14:textId="77777777" w:rsidR="00E35D81" w:rsidRPr="00C30BA9" w:rsidRDefault="00E35D81" w:rsidP="00E35D81">
      <w:pPr>
        <w:pStyle w:val="Title"/>
        <w:jc w:val="left"/>
        <w:rPr>
          <w:b w:val="0"/>
          <w:smallCaps w:val="0"/>
          <w:color w:val="000000" w:themeColor="text1"/>
          <w:sz w:val="20"/>
          <w:szCs w:val="20"/>
        </w:rPr>
      </w:pPr>
      <w:r w:rsidRPr="00C30BA9">
        <w:rPr>
          <w:b w:val="0"/>
          <w:smallCaps w:val="0"/>
          <w:color w:val="000000" w:themeColor="text1"/>
          <w:sz w:val="20"/>
          <w:szCs w:val="20"/>
        </w:rPr>
        <w:t>PO Box 1129</w:t>
      </w:r>
    </w:p>
    <w:p w14:paraId="0DD00EBA" w14:textId="77777777" w:rsidR="00E35D81" w:rsidRPr="00C30BA9" w:rsidRDefault="00E35D81" w:rsidP="00E35D81">
      <w:pPr>
        <w:pStyle w:val="Title"/>
        <w:jc w:val="left"/>
        <w:rPr>
          <w:b w:val="0"/>
          <w:smallCaps w:val="0"/>
          <w:color w:val="000000" w:themeColor="text1"/>
          <w:sz w:val="20"/>
          <w:szCs w:val="20"/>
        </w:rPr>
      </w:pPr>
      <w:r w:rsidRPr="00C30BA9">
        <w:rPr>
          <w:b w:val="0"/>
          <w:smallCaps w:val="0"/>
          <w:color w:val="000000" w:themeColor="text1"/>
          <w:sz w:val="20"/>
          <w:szCs w:val="20"/>
        </w:rPr>
        <w:t>Okemos, MI  47795</w:t>
      </w:r>
    </w:p>
    <w:p w14:paraId="01D1AF92" w14:textId="55AF232E" w:rsidR="00E35D81" w:rsidRPr="00C30BA9" w:rsidRDefault="00E35D81" w:rsidP="00E35D81">
      <w:pPr>
        <w:pStyle w:val="Title"/>
        <w:jc w:val="left"/>
        <w:rPr>
          <w:b w:val="0"/>
          <w:smallCaps w:val="0"/>
          <w:color w:val="000000" w:themeColor="text1"/>
          <w:sz w:val="20"/>
          <w:szCs w:val="20"/>
        </w:rPr>
      </w:pPr>
      <w:r w:rsidRPr="000D0910">
        <w:rPr>
          <w:b w:val="0"/>
          <w:smallCaps w:val="0"/>
          <w:sz w:val="20"/>
          <w:szCs w:val="20"/>
        </w:rPr>
        <w:t>RickJames@E-Coustic.com</w:t>
      </w:r>
    </w:p>
    <w:p w14:paraId="644917C7" w14:textId="77777777" w:rsidR="00E35D81" w:rsidRPr="00C30BA9" w:rsidRDefault="00E35D81" w:rsidP="00E35D81">
      <w:pPr>
        <w:pStyle w:val="Title"/>
        <w:jc w:val="left"/>
        <w:rPr>
          <w:b w:val="0"/>
          <w:smallCaps w:val="0"/>
          <w:color w:val="000000" w:themeColor="text1"/>
          <w:sz w:val="20"/>
          <w:szCs w:val="20"/>
        </w:rPr>
      </w:pPr>
    </w:p>
    <w:p w14:paraId="63221FC9" w14:textId="77777777" w:rsidR="00E35D81" w:rsidRPr="00C30BA9" w:rsidRDefault="00E35D81" w:rsidP="00E35D81">
      <w:pPr>
        <w:pStyle w:val="Title"/>
        <w:jc w:val="left"/>
        <w:rPr>
          <w:b w:val="0"/>
          <w:smallCaps w:val="0"/>
          <w:color w:val="000000" w:themeColor="text1"/>
          <w:sz w:val="20"/>
          <w:szCs w:val="20"/>
        </w:rPr>
      </w:pPr>
      <w:r w:rsidRPr="00C30BA9">
        <w:rPr>
          <w:b w:val="0"/>
          <w:smallCaps w:val="0"/>
          <w:color w:val="000000" w:themeColor="text1"/>
          <w:sz w:val="20"/>
          <w:szCs w:val="20"/>
        </w:rPr>
        <w:t>Katie Elsasser</w:t>
      </w:r>
    </w:p>
    <w:p w14:paraId="2F2A417B" w14:textId="77777777" w:rsidR="00E35D81" w:rsidRPr="00C30BA9" w:rsidRDefault="00E35D81" w:rsidP="00E35D81">
      <w:pPr>
        <w:pStyle w:val="Title"/>
        <w:jc w:val="left"/>
        <w:rPr>
          <w:b w:val="0"/>
          <w:smallCaps w:val="0"/>
          <w:color w:val="000000" w:themeColor="text1"/>
          <w:sz w:val="20"/>
          <w:szCs w:val="20"/>
        </w:rPr>
      </w:pPr>
      <w:r w:rsidRPr="00C30BA9">
        <w:rPr>
          <w:b w:val="0"/>
          <w:smallCaps w:val="0"/>
          <w:color w:val="000000" w:themeColor="text1"/>
          <w:sz w:val="20"/>
          <w:szCs w:val="20"/>
        </w:rPr>
        <w:t>6051 Twp. Rd 200</w:t>
      </w:r>
    </w:p>
    <w:p w14:paraId="031ECEE6" w14:textId="77777777" w:rsidR="00E35D81" w:rsidRPr="00C30BA9" w:rsidRDefault="00E35D81" w:rsidP="00E35D81">
      <w:pPr>
        <w:pStyle w:val="Title"/>
        <w:jc w:val="left"/>
        <w:rPr>
          <w:b w:val="0"/>
          <w:smallCaps w:val="0"/>
          <w:color w:val="000000" w:themeColor="text1"/>
          <w:sz w:val="20"/>
          <w:szCs w:val="20"/>
        </w:rPr>
      </w:pPr>
      <w:r w:rsidRPr="00C30BA9">
        <w:rPr>
          <w:b w:val="0"/>
          <w:smallCaps w:val="0"/>
          <w:color w:val="000000" w:themeColor="text1"/>
          <w:sz w:val="20"/>
          <w:szCs w:val="20"/>
        </w:rPr>
        <w:t>Belle Center OH  43310</w:t>
      </w:r>
    </w:p>
    <w:p w14:paraId="4FF3FE68" w14:textId="0F8DD764" w:rsidR="00E35D81" w:rsidRPr="00C30BA9" w:rsidRDefault="00E35D81" w:rsidP="00E35D81">
      <w:pPr>
        <w:pStyle w:val="Title"/>
        <w:jc w:val="left"/>
        <w:rPr>
          <w:b w:val="0"/>
          <w:smallCaps w:val="0"/>
          <w:color w:val="000000" w:themeColor="text1"/>
          <w:sz w:val="20"/>
          <w:szCs w:val="20"/>
        </w:rPr>
      </w:pPr>
      <w:r w:rsidRPr="000D0910">
        <w:rPr>
          <w:b w:val="0"/>
          <w:smallCaps w:val="0"/>
          <w:sz w:val="20"/>
          <w:szCs w:val="20"/>
        </w:rPr>
        <w:t>Kme_20@hotmail.com</w:t>
      </w:r>
    </w:p>
    <w:p w14:paraId="5E73C61B" w14:textId="77777777" w:rsidR="00E35D81" w:rsidRPr="00C30BA9" w:rsidRDefault="00E35D81" w:rsidP="00E35D81">
      <w:pPr>
        <w:pStyle w:val="Title"/>
        <w:jc w:val="left"/>
        <w:rPr>
          <w:b w:val="0"/>
          <w:smallCaps w:val="0"/>
          <w:color w:val="000000" w:themeColor="text1"/>
          <w:sz w:val="20"/>
          <w:szCs w:val="20"/>
        </w:rPr>
      </w:pPr>
    </w:p>
    <w:p w14:paraId="1A83E0FD" w14:textId="77777777" w:rsidR="00E35D81" w:rsidRPr="00C30BA9" w:rsidRDefault="00E35D81" w:rsidP="00E35D81">
      <w:pPr>
        <w:ind w:right="144"/>
        <w:rPr>
          <w:rFonts w:cs="Arial"/>
          <w:color w:val="000000" w:themeColor="text1"/>
          <w:sz w:val="20"/>
          <w:szCs w:val="20"/>
        </w:rPr>
      </w:pPr>
      <w:r>
        <w:rPr>
          <w:rFonts w:cs="Arial"/>
          <w:color w:val="000000" w:themeColor="text1"/>
          <w:sz w:val="20"/>
          <w:szCs w:val="20"/>
        </w:rPr>
        <w:br w:type="column"/>
      </w:r>
      <w:r>
        <w:rPr>
          <w:rFonts w:cs="Arial"/>
          <w:color w:val="000000" w:themeColor="text1"/>
          <w:sz w:val="20"/>
          <w:szCs w:val="20"/>
        </w:rPr>
        <w:t xml:space="preserve">Chad A. Endsley, </w:t>
      </w:r>
      <w:r w:rsidRPr="00C30BA9">
        <w:rPr>
          <w:rFonts w:cs="Arial"/>
          <w:color w:val="000000" w:themeColor="text1"/>
          <w:sz w:val="20"/>
          <w:szCs w:val="20"/>
        </w:rPr>
        <w:t>Chief Legal Counsel</w:t>
      </w:r>
    </w:p>
    <w:p w14:paraId="505B01F5" w14:textId="77777777" w:rsidR="00E35D81" w:rsidRPr="00C30BA9" w:rsidRDefault="00E35D81" w:rsidP="00E35D81">
      <w:pPr>
        <w:ind w:right="144"/>
        <w:rPr>
          <w:rFonts w:cs="Arial"/>
          <w:color w:val="000000" w:themeColor="text1"/>
          <w:sz w:val="20"/>
          <w:szCs w:val="20"/>
        </w:rPr>
      </w:pPr>
      <w:r>
        <w:rPr>
          <w:rFonts w:cs="Arial"/>
          <w:color w:val="000000" w:themeColor="text1"/>
          <w:sz w:val="20"/>
          <w:szCs w:val="20"/>
        </w:rPr>
        <w:t>Leah F. Curtis</w:t>
      </w:r>
    </w:p>
    <w:p w14:paraId="4E66E8BF" w14:textId="77777777" w:rsidR="00E35D81" w:rsidRPr="00C30BA9" w:rsidRDefault="00E35D81" w:rsidP="00E35D81">
      <w:pPr>
        <w:ind w:right="144"/>
        <w:rPr>
          <w:rFonts w:cs="Arial"/>
          <w:color w:val="000000" w:themeColor="text1"/>
          <w:sz w:val="20"/>
          <w:szCs w:val="20"/>
        </w:rPr>
      </w:pPr>
      <w:r>
        <w:rPr>
          <w:rFonts w:cs="Arial"/>
          <w:color w:val="000000" w:themeColor="text1"/>
          <w:sz w:val="20"/>
          <w:szCs w:val="20"/>
        </w:rPr>
        <w:t xml:space="preserve">Amy M. Milam </w:t>
      </w:r>
    </w:p>
    <w:p w14:paraId="5CFBD1EF" w14:textId="77777777" w:rsidR="00E35D81" w:rsidRPr="00C30BA9" w:rsidRDefault="00E35D81" w:rsidP="00E35D81">
      <w:pPr>
        <w:ind w:right="144"/>
        <w:rPr>
          <w:rFonts w:cs="Arial"/>
          <w:color w:val="000000" w:themeColor="text1"/>
          <w:sz w:val="20"/>
          <w:szCs w:val="20"/>
        </w:rPr>
      </w:pPr>
      <w:r w:rsidRPr="00C30BA9">
        <w:rPr>
          <w:rFonts w:cs="Arial"/>
          <w:color w:val="000000" w:themeColor="text1"/>
          <w:sz w:val="20"/>
          <w:szCs w:val="20"/>
        </w:rPr>
        <w:t>Ohio Farm Bureau Federation</w:t>
      </w:r>
    </w:p>
    <w:p w14:paraId="43B1A2E7" w14:textId="77777777" w:rsidR="00E35D81" w:rsidRPr="00C30BA9" w:rsidRDefault="00E35D81" w:rsidP="00E35D81">
      <w:pPr>
        <w:ind w:right="144"/>
        <w:rPr>
          <w:rFonts w:cs="Arial"/>
          <w:color w:val="000000" w:themeColor="text1"/>
          <w:sz w:val="20"/>
          <w:szCs w:val="20"/>
        </w:rPr>
      </w:pPr>
      <w:r w:rsidRPr="00C30BA9">
        <w:rPr>
          <w:rFonts w:cs="Arial"/>
          <w:color w:val="000000" w:themeColor="text1"/>
          <w:sz w:val="20"/>
          <w:szCs w:val="20"/>
        </w:rPr>
        <w:t>280 North High Street, P.O. Box 182383</w:t>
      </w:r>
    </w:p>
    <w:p w14:paraId="10C35309" w14:textId="77777777" w:rsidR="00E35D81" w:rsidRPr="00C30BA9" w:rsidRDefault="00E35D81" w:rsidP="00E35D81">
      <w:pPr>
        <w:ind w:right="144"/>
        <w:rPr>
          <w:rFonts w:cs="Arial"/>
          <w:color w:val="000000" w:themeColor="text1"/>
          <w:sz w:val="20"/>
          <w:szCs w:val="20"/>
        </w:rPr>
      </w:pPr>
      <w:r w:rsidRPr="00C30BA9">
        <w:rPr>
          <w:rFonts w:cs="Arial"/>
          <w:color w:val="000000" w:themeColor="text1"/>
          <w:sz w:val="20"/>
          <w:szCs w:val="20"/>
        </w:rPr>
        <w:t>Columbus, OH  43218-2383</w:t>
      </w:r>
    </w:p>
    <w:p w14:paraId="30552EF3" w14:textId="66A939E1" w:rsidR="00E35D81" w:rsidRPr="00C30BA9" w:rsidRDefault="00E35D81" w:rsidP="00E35D81">
      <w:pPr>
        <w:ind w:right="144"/>
        <w:rPr>
          <w:rFonts w:cs="Arial"/>
          <w:color w:val="000000" w:themeColor="text1"/>
          <w:sz w:val="20"/>
          <w:szCs w:val="20"/>
        </w:rPr>
      </w:pPr>
      <w:r w:rsidRPr="000D0910">
        <w:rPr>
          <w:rFonts w:cs="Arial"/>
          <w:sz w:val="20"/>
          <w:szCs w:val="20"/>
        </w:rPr>
        <w:t>cendsley@ofbf.org</w:t>
      </w:r>
    </w:p>
    <w:p w14:paraId="4EF70056" w14:textId="762A4610" w:rsidR="00E35D81" w:rsidRPr="00C30BA9" w:rsidRDefault="00E35D81" w:rsidP="00E35D81">
      <w:pPr>
        <w:pStyle w:val="Title"/>
        <w:jc w:val="left"/>
        <w:rPr>
          <w:rFonts w:eastAsiaTheme="minorHAnsi"/>
          <w:b w:val="0"/>
          <w:smallCaps w:val="0"/>
          <w:color w:val="000000" w:themeColor="text1"/>
          <w:sz w:val="20"/>
          <w:szCs w:val="20"/>
        </w:rPr>
      </w:pPr>
      <w:r w:rsidRPr="000D0910">
        <w:rPr>
          <w:rFonts w:eastAsiaTheme="minorHAnsi"/>
          <w:b w:val="0"/>
          <w:smallCaps w:val="0"/>
          <w:sz w:val="20"/>
          <w:szCs w:val="20"/>
        </w:rPr>
        <w:t>lcurtis@ofbf.org</w:t>
      </w:r>
    </w:p>
    <w:p w14:paraId="74D4B7D5" w14:textId="6EE21832" w:rsidR="00E35D81" w:rsidRPr="00C30BA9" w:rsidRDefault="00E35D81" w:rsidP="00E35D81">
      <w:pPr>
        <w:pStyle w:val="Title"/>
        <w:jc w:val="left"/>
        <w:rPr>
          <w:rFonts w:eastAsiaTheme="minorHAnsi"/>
          <w:b w:val="0"/>
          <w:smallCaps w:val="0"/>
          <w:color w:val="000000" w:themeColor="text1"/>
          <w:sz w:val="20"/>
          <w:szCs w:val="20"/>
        </w:rPr>
      </w:pPr>
      <w:r w:rsidRPr="000D0910">
        <w:rPr>
          <w:rFonts w:eastAsiaTheme="minorHAnsi"/>
          <w:b w:val="0"/>
          <w:smallCaps w:val="0"/>
          <w:sz w:val="20"/>
          <w:szCs w:val="20"/>
        </w:rPr>
        <w:t>amilam@ofbf.org</w:t>
      </w:r>
    </w:p>
    <w:p w14:paraId="1F9D695B" w14:textId="77777777" w:rsidR="00E35D81" w:rsidRDefault="00E35D81" w:rsidP="00E35D81">
      <w:pPr>
        <w:autoSpaceDE w:val="0"/>
        <w:autoSpaceDN w:val="0"/>
        <w:adjustRightInd w:val="0"/>
        <w:rPr>
          <w:rFonts w:cs="Arial"/>
          <w:color w:val="000000" w:themeColor="text1"/>
          <w:sz w:val="20"/>
          <w:szCs w:val="20"/>
        </w:rPr>
      </w:pPr>
    </w:p>
    <w:p w14:paraId="74DF8F03" w14:textId="77777777" w:rsidR="00E35D81" w:rsidRPr="00C30BA9" w:rsidRDefault="00E35D81" w:rsidP="00E35D81">
      <w:pPr>
        <w:pStyle w:val="Title"/>
        <w:jc w:val="left"/>
        <w:rPr>
          <w:b w:val="0"/>
          <w:smallCaps w:val="0"/>
          <w:color w:val="000000" w:themeColor="text1"/>
          <w:sz w:val="20"/>
          <w:szCs w:val="20"/>
        </w:rPr>
      </w:pPr>
      <w:r w:rsidRPr="00C30BA9">
        <w:rPr>
          <w:b w:val="0"/>
          <w:smallCaps w:val="0"/>
          <w:color w:val="000000" w:themeColor="text1"/>
          <w:sz w:val="20"/>
          <w:szCs w:val="20"/>
        </w:rPr>
        <w:t>Gary J. Biglin</w:t>
      </w:r>
    </w:p>
    <w:p w14:paraId="3F7E66D1" w14:textId="77777777" w:rsidR="00E35D81" w:rsidRPr="00C30BA9" w:rsidRDefault="00E35D81" w:rsidP="00E35D81">
      <w:pPr>
        <w:pStyle w:val="Title"/>
        <w:jc w:val="left"/>
        <w:rPr>
          <w:b w:val="0"/>
          <w:smallCaps w:val="0"/>
          <w:color w:val="000000" w:themeColor="text1"/>
          <w:sz w:val="20"/>
          <w:szCs w:val="20"/>
        </w:rPr>
      </w:pPr>
      <w:r w:rsidRPr="00C30BA9">
        <w:rPr>
          <w:b w:val="0"/>
          <w:smallCaps w:val="0"/>
          <w:color w:val="000000" w:themeColor="text1"/>
          <w:sz w:val="20"/>
          <w:szCs w:val="20"/>
        </w:rPr>
        <w:t>5331 State Route 61 South</w:t>
      </w:r>
    </w:p>
    <w:p w14:paraId="6F3B3C29" w14:textId="77777777" w:rsidR="00E35D81" w:rsidRPr="00C30BA9" w:rsidRDefault="00E35D81" w:rsidP="00E35D81">
      <w:pPr>
        <w:pStyle w:val="Title"/>
        <w:jc w:val="left"/>
        <w:rPr>
          <w:b w:val="0"/>
          <w:smallCaps w:val="0"/>
          <w:color w:val="000000" w:themeColor="text1"/>
          <w:sz w:val="20"/>
          <w:szCs w:val="20"/>
        </w:rPr>
      </w:pPr>
      <w:r w:rsidRPr="00C30BA9">
        <w:rPr>
          <w:b w:val="0"/>
          <w:smallCaps w:val="0"/>
          <w:color w:val="000000" w:themeColor="text1"/>
          <w:sz w:val="20"/>
          <w:szCs w:val="20"/>
        </w:rPr>
        <w:t>Shelby OH  44875</w:t>
      </w:r>
    </w:p>
    <w:p w14:paraId="4E7FE1BC" w14:textId="77777777" w:rsidR="00E35D81" w:rsidRPr="00C30BA9" w:rsidRDefault="00E35D81" w:rsidP="00E35D81">
      <w:pPr>
        <w:pStyle w:val="Title"/>
        <w:jc w:val="left"/>
        <w:rPr>
          <w:b w:val="0"/>
          <w:smallCaps w:val="0"/>
          <w:color w:val="000000" w:themeColor="text1"/>
          <w:sz w:val="20"/>
          <w:szCs w:val="20"/>
        </w:rPr>
      </w:pPr>
    </w:p>
    <w:p w14:paraId="1B03D86B" w14:textId="77777777" w:rsidR="00E35D81" w:rsidRPr="00C30BA9" w:rsidRDefault="00E35D81" w:rsidP="00E35D81">
      <w:pPr>
        <w:autoSpaceDE w:val="0"/>
        <w:autoSpaceDN w:val="0"/>
        <w:adjustRightInd w:val="0"/>
        <w:rPr>
          <w:rFonts w:cs="Arial"/>
          <w:color w:val="000000" w:themeColor="text1"/>
          <w:sz w:val="20"/>
          <w:szCs w:val="20"/>
        </w:rPr>
      </w:pPr>
      <w:r w:rsidRPr="00C30BA9">
        <w:rPr>
          <w:rFonts w:cs="Arial"/>
          <w:color w:val="000000" w:themeColor="text1"/>
          <w:sz w:val="20"/>
          <w:szCs w:val="20"/>
        </w:rPr>
        <w:t>Miranda Leppla</w:t>
      </w:r>
    </w:p>
    <w:p w14:paraId="7D9242A8" w14:textId="77777777" w:rsidR="00E35D81" w:rsidRPr="00C30BA9" w:rsidRDefault="00E35D81" w:rsidP="00E35D81">
      <w:pPr>
        <w:autoSpaceDE w:val="0"/>
        <w:autoSpaceDN w:val="0"/>
        <w:adjustRightInd w:val="0"/>
        <w:rPr>
          <w:rFonts w:cs="Arial"/>
          <w:color w:val="000000" w:themeColor="text1"/>
          <w:sz w:val="20"/>
          <w:szCs w:val="20"/>
        </w:rPr>
      </w:pPr>
      <w:r>
        <w:rPr>
          <w:rFonts w:cs="Arial"/>
          <w:color w:val="000000" w:themeColor="text1"/>
          <w:sz w:val="20"/>
          <w:szCs w:val="20"/>
        </w:rPr>
        <w:t>Ohio Environmental Council</w:t>
      </w:r>
    </w:p>
    <w:p w14:paraId="6F14134D" w14:textId="77777777" w:rsidR="00E35D81" w:rsidRPr="00C30BA9" w:rsidRDefault="00E35D81" w:rsidP="00E35D81">
      <w:pPr>
        <w:autoSpaceDE w:val="0"/>
        <w:autoSpaceDN w:val="0"/>
        <w:adjustRightInd w:val="0"/>
        <w:rPr>
          <w:rFonts w:cs="Arial"/>
          <w:color w:val="000000" w:themeColor="text1"/>
          <w:sz w:val="20"/>
          <w:szCs w:val="20"/>
        </w:rPr>
      </w:pPr>
      <w:r w:rsidRPr="00C30BA9">
        <w:rPr>
          <w:rFonts w:cs="Arial"/>
          <w:color w:val="000000" w:themeColor="text1"/>
          <w:sz w:val="20"/>
          <w:szCs w:val="20"/>
        </w:rPr>
        <w:t>1145 Chesapeake Ave., Suite I</w:t>
      </w:r>
    </w:p>
    <w:p w14:paraId="70355CF1" w14:textId="77777777" w:rsidR="00E35D81" w:rsidRPr="00C30BA9" w:rsidRDefault="00E35D81" w:rsidP="00E35D81">
      <w:pPr>
        <w:autoSpaceDE w:val="0"/>
        <w:autoSpaceDN w:val="0"/>
        <w:adjustRightInd w:val="0"/>
        <w:rPr>
          <w:rFonts w:cs="Arial"/>
          <w:color w:val="000000" w:themeColor="text1"/>
          <w:sz w:val="20"/>
          <w:szCs w:val="20"/>
        </w:rPr>
      </w:pPr>
      <w:r w:rsidRPr="00C30BA9">
        <w:rPr>
          <w:rFonts w:cs="Arial"/>
          <w:color w:val="000000" w:themeColor="text1"/>
          <w:sz w:val="20"/>
          <w:szCs w:val="20"/>
        </w:rPr>
        <w:t>Columbus, OH  43212-3449</w:t>
      </w:r>
    </w:p>
    <w:p w14:paraId="4A3B8003" w14:textId="77777777" w:rsidR="00E35D81" w:rsidRPr="00C30BA9" w:rsidRDefault="00E35D81" w:rsidP="00E35D81">
      <w:pPr>
        <w:autoSpaceDE w:val="0"/>
        <w:autoSpaceDN w:val="0"/>
        <w:adjustRightInd w:val="0"/>
        <w:rPr>
          <w:rFonts w:cs="Arial"/>
          <w:bCs/>
          <w:color w:val="000000" w:themeColor="text1"/>
          <w:sz w:val="20"/>
          <w:szCs w:val="20"/>
        </w:rPr>
      </w:pPr>
      <w:r w:rsidRPr="00C30BA9">
        <w:rPr>
          <w:rFonts w:cs="Arial"/>
          <w:bCs/>
          <w:color w:val="000000" w:themeColor="text1"/>
          <w:sz w:val="20"/>
          <w:szCs w:val="20"/>
        </w:rPr>
        <w:t>mleppla@theoec.org</w:t>
      </w:r>
    </w:p>
    <w:p w14:paraId="67AAD3AC" w14:textId="77777777" w:rsidR="00E35D81" w:rsidRPr="00C30BA9" w:rsidRDefault="00E35D81" w:rsidP="00E35D81">
      <w:pPr>
        <w:autoSpaceDE w:val="0"/>
        <w:autoSpaceDN w:val="0"/>
        <w:adjustRightInd w:val="0"/>
        <w:rPr>
          <w:rFonts w:cs="Arial"/>
          <w:b/>
          <w:bCs/>
          <w:color w:val="000000" w:themeColor="text1"/>
          <w:sz w:val="20"/>
          <w:szCs w:val="20"/>
        </w:rPr>
      </w:pPr>
    </w:p>
    <w:p w14:paraId="1F874C7F" w14:textId="77777777" w:rsidR="00E35D81" w:rsidRPr="00C30BA9" w:rsidRDefault="00E35D81" w:rsidP="00E35D81">
      <w:pPr>
        <w:rPr>
          <w:rFonts w:cs="Arial"/>
          <w:color w:val="000000" w:themeColor="text1"/>
          <w:sz w:val="20"/>
          <w:szCs w:val="20"/>
        </w:rPr>
      </w:pPr>
      <w:r w:rsidRPr="00C30BA9">
        <w:rPr>
          <w:rFonts w:cs="Arial"/>
          <w:color w:val="000000" w:themeColor="text1"/>
          <w:sz w:val="20"/>
          <w:szCs w:val="20"/>
        </w:rPr>
        <w:t xml:space="preserve">Sally W. Bloomfield </w:t>
      </w:r>
    </w:p>
    <w:p w14:paraId="248E63E7" w14:textId="77777777" w:rsidR="00E35D81" w:rsidRPr="00C30BA9" w:rsidRDefault="00E35D81" w:rsidP="00E35D81">
      <w:pPr>
        <w:rPr>
          <w:rFonts w:cs="Arial"/>
          <w:color w:val="000000" w:themeColor="text1"/>
          <w:sz w:val="20"/>
          <w:szCs w:val="20"/>
        </w:rPr>
      </w:pPr>
      <w:r w:rsidRPr="00C30BA9">
        <w:rPr>
          <w:rFonts w:cs="Arial"/>
          <w:color w:val="000000" w:themeColor="text1"/>
          <w:sz w:val="20"/>
          <w:szCs w:val="20"/>
        </w:rPr>
        <w:t>Dylan Borchers</w:t>
      </w:r>
    </w:p>
    <w:p w14:paraId="059B5E80" w14:textId="77777777" w:rsidR="00E35D81" w:rsidRPr="00C30BA9" w:rsidRDefault="00E35D81" w:rsidP="00E35D81">
      <w:pPr>
        <w:rPr>
          <w:rFonts w:cs="Arial"/>
          <w:color w:val="000000" w:themeColor="text1"/>
          <w:sz w:val="20"/>
          <w:szCs w:val="20"/>
        </w:rPr>
      </w:pPr>
      <w:r w:rsidRPr="00C30BA9">
        <w:rPr>
          <w:rFonts w:cs="Arial"/>
          <w:color w:val="000000" w:themeColor="text1"/>
          <w:sz w:val="20"/>
          <w:szCs w:val="20"/>
        </w:rPr>
        <w:t>BRICKER &amp; ECKLER LLP</w:t>
      </w:r>
    </w:p>
    <w:p w14:paraId="34851637" w14:textId="77777777" w:rsidR="00E35D81" w:rsidRPr="00C30BA9" w:rsidRDefault="00E35D81" w:rsidP="00E35D81">
      <w:pPr>
        <w:rPr>
          <w:rFonts w:cs="Arial"/>
          <w:color w:val="000000" w:themeColor="text1"/>
          <w:sz w:val="20"/>
          <w:szCs w:val="20"/>
        </w:rPr>
      </w:pPr>
      <w:r w:rsidRPr="00C30BA9">
        <w:rPr>
          <w:rFonts w:cs="Arial"/>
          <w:color w:val="000000" w:themeColor="text1"/>
          <w:sz w:val="20"/>
          <w:szCs w:val="20"/>
        </w:rPr>
        <w:t>100 South Third Street</w:t>
      </w:r>
    </w:p>
    <w:p w14:paraId="70B1FAEB" w14:textId="77777777" w:rsidR="00E35D81" w:rsidRPr="00C30BA9" w:rsidRDefault="00E35D81" w:rsidP="00E35D81">
      <w:pPr>
        <w:rPr>
          <w:rFonts w:cs="Arial"/>
          <w:color w:val="000000" w:themeColor="text1"/>
          <w:sz w:val="20"/>
          <w:szCs w:val="20"/>
        </w:rPr>
      </w:pPr>
      <w:r w:rsidRPr="00C30BA9">
        <w:rPr>
          <w:rFonts w:cs="Arial"/>
          <w:color w:val="000000" w:themeColor="text1"/>
          <w:sz w:val="20"/>
          <w:szCs w:val="20"/>
        </w:rPr>
        <w:t>Columbus, OH  43215-4291</w:t>
      </w:r>
    </w:p>
    <w:p w14:paraId="76F3F963" w14:textId="77777777" w:rsidR="00E35D81" w:rsidRPr="00C30BA9" w:rsidRDefault="00E35D81" w:rsidP="00E35D81">
      <w:pPr>
        <w:rPr>
          <w:rFonts w:cs="Arial"/>
          <w:color w:val="000000" w:themeColor="text1"/>
          <w:sz w:val="20"/>
          <w:szCs w:val="20"/>
        </w:rPr>
      </w:pPr>
      <w:r w:rsidRPr="00C30BA9">
        <w:rPr>
          <w:rFonts w:cs="Arial"/>
          <w:color w:val="000000" w:themeColor="text1"/>
          <w:sz w:val="20"/>
          <w:szCs w:val="20"/>
        </w:rPr>
        <w:t>sbloomfield@bricker.com</w:t>
      </w:r>
    </w:p>
    <w:p w14:paraId="08B33A16" w14:textId="77777777" w:rsidR="00E35D81" w:rsidRPr="00C30BA9" w:rsidRDefault="00E35D81" w:rsidP="00E35D81">
      <w:pPr>
        <w:pStyle w:val="Title"/>
        <w:jc w:val="left"/>
        <w:rPr>
          <w:b w:val="0"/>
          <w:smallCaps w:val="0"/>
          <w:color w:val="000000" w:themeColor="text1"/>
          <w:sz w:val="20"/>
          <w:szCs w:val="20"/>
        </w:rPr>
      </w:pPr>
      <w:r w:rsidRPr="00C30BA9">
        <w:rPr>
          <w:b w:val="0"/>
          <w:smallCaps w:val="0"/>
          <w:color w:val="000000" w:themeColor="text1"/>
          <w:sz w:val="20"/>
          <w:szCs w:val="20"/>
        </w:rPr>
        <w:t>dborchers@bricker.com</w:t>
      </w:r>
    </w:p>
    <w:p w14:paraId="5EC81FDA" w14:textId="77777777" w:rsidR="00E35D81" w:rsidRPr="00C30BA9" w:rsidRDefault="00E35D81" w:rsidP="00E35D81">
      <w:pPr>
        <w:pStyle w:val="Title"/>
        <w:jc w:val="left"/>
        <w:rPr>
          <w:b w:val="0"/>
          <w:smallCaps w:val="0"/>
          <w:color w:val="000000" w:themeColor="text1"/>
          <w:sz w:val="20"/>
          <w:szCs w:val="20"/>
        </w:rPr>
      </w:pPr>
    </w:p>
    <w:p w14:paraId="3E7AE16F" w14:textId="77777777" w:rsidR="00E35D81" w:rsidRPr="00C30BA9" w:rsidRDefault="00E35D81" w:rsidP="00E35D81">
      <w:pPr>
        <w:pStyle w:val="Title"/>
        <w:jc w:val="left"/>
        <w:rPr>
          <w:b w:val="0"/>
          <w:smallCaps w:val="0"/>
          <w:color w:val="000000" w:themeColor="text1"/>
          <w:sz w:val="20"/>
          <w:szCs w:val="20"/>
        </w:rPr>
      </w:pPr>
      <w:r w:rsidRPr="00C30BA9">
        <w:rPr>
          <w:b w:val="0"/>
          <w:smallCaps w:val="0"/>
          <w:color w:val="000000" w:themeColor="text1"/>
          <w:sz w:val="20"/>
          <w:szCs w:val="20"/>
        </w:rPr>
        <w:t>Terrence O’Donnell</w:t>
      </w:r>
    </w:p>
    <w:p w14:paraId="0B27471A" w14:textId="77777777" w:rsidR="00E35D81" w:rsidRDefault="00E35D81" w:rsidP="00E35D81">
      <w:pPr>
        <w:pStyle w:val="Title"/>
        <w:jc w:val="left"/>
        <w:rPr>
          <w:b w:val="0"/>
          <w:smallCaps w:val="0"/>
          <w:color w:val="000000" w:themeColor="text1"/>
          <w:sz w:val="20"/>
          <w:szCs w:val="20"/>
        </w:rPr>
      </w:pPr>
      <w:r>
        <w:rPr>
          <w:b w:val="0"/>
          <w:smallCaps w:val="0"/>
          <w:color w:val="000000" w:themeColor="text1"/>
          <w:sz w:val="20"/>
          <w:szCs w:val="20"/>
        </w:rPr>
        <w:t>Diana Welling</w:t>
      </w:r>
    </w:p>
    <w:p w14:paraId="7CDF79DF" w14:textId="77777777" w:rsidR="00E35D81" w:rsidRDefault="00E35D81" w:rsidP="00E35D81">
      <w:pPr>
        <w:pStyle w:val="Title"/>
        <w:jc w:val="left"/>
        <w:rPr>
          <w:b w:val="0"/>
          <w:smallCaps w:val="0"/>
          <w:color w:val="000000" w:themeColor="text1"/>
          <w:sz w:val="20"/>
          <w:szCs w:val="20"/>
        </w:rPr>
      </w:pPr>
      <w:r>
        <w:rPr>
          <w:b w:val="0"/>
          <w:smallCaps w:val="0"/>
          <w:color w:val="000000" w:themeColor="text1"/>
          <w:sz w:val="20"/>
          <w:szCs w:val="20"/>
        </w:rPr>
        <w:t>Department Head</w:t>
      </w:r>
    </w:p>
    <w:p w14:paraId="24536084" w14:textId="77777777" w:rsidR="00E35D81" w:rsidRDefault="00E35D81" w:rsidP="00E35D81">
      <w:pPr>
        <w:pStyle w:val="Title"/>
        <w:jc w:val="left"/>
        <w:rPr>
          <w:b w:val="0"/>
          <w:smallCaps w:val="0"/>
          <w:color w:val="000000" w:themeColor="text1"/>
          <w:sz w:val="20"/>
          <w:szCs w:val="20"/>
        </w:rPr>
      </w:pPr>
      <w:r>
        <w:rPr>
          <w:b w:val="0"/>
          <w:smallCaps w:val="0"/>
          <w:color w:val="000000" w:themeColor="text1"/>
          <w:sz w:val="20"/>
          <w:szCs w:val="20"/>
        </w:rPr>
        <w:t>Resource Protection and Review</w:t>
      </w:r>
    </w:p>
    <w:p w14:paraId="2DAA6F36" w14:textId="77777777" w:rsidR="00E35D81" w:rsidRDefault="00E35D81" w:rsidP="00E35D81">
      <w:pPr>
        <w:pStyle w:val="Title"/>
        <w:jc w:val="left"/>
        <w:rPr>
          <w:b w:val="0"/>
          <w:smallCaps w:val="0"/>
          <w:color w:val="000000" w:themeColor="text1"/>
          <w:sz w:val="20"/>
          <w:szCs w:val="20"/>
        </w:rPr>
      </w:pPr>
      <w:r>
        <w:rPr>
          <w:b w:val="0"/>
          <w:smallCaps w:val="0"/>
          <w:color w:val="000000" w:themeColor="text1"/>
          <w:sz w:val="20"/>
          <w:szCs w:val="20"/>
        </w:rPr>
        <w:t>State Historic Preservation Office</w:t>
      </w:r>
    </w:p>
    <w:p w14:paraId="7E793A7D" w14:textId="77777777" w:rsidR="00E35D81" w:rsidRDefault="00E35D81" w:rsidP="00E35D81">
      <w:pPr>
        <w:pStyle w:val="Title"/>
        <w:jc w:val="left"/>
        <w:rPr>
          <w:b w:val="0"/>
          <w:smallCaps w:val="0"/>
          <w:color w:val="000000" w:themeColor="text1"/>
          <w:sz w:val="20"/>
          <w:szCs w:val="20"/>
        </w:rPr>
      </w:pPr>
      <w:r>
        <w:rPr>
          <w:b w:val="0"/>
          <w:smallCaps w:val="0"/>
          <w:color w:val="000000" w:themeColor="text1"/>
          <w:sz w:val="20"/>
          <w:szCs w:val="20"/>
        </w:rPr>
        <w:t>800 E. 17</w:t>
      </w:r>
      <w:r w:rsidRPr="00A62C91">
        <w:rPr>
          <w:b w:val="0"/>
          <w:smallCaps w:val="0"/>
          <w:color w:val="000000" w:themeColor="text1"/>
          <w:sz w:val="20"/>
          <w:szCs w:val="20"/>
          <w:vertAlign w:val="superscript"/>
        </w:rPr>
        <w:t>th</w:t>
      </w:r>
      <w:r>
        <w:rPr>
          <w:b w:val="0"/>
          <w:smallCaps w:val="0"/>
          <w:color w:val="000000" w:themeColor="text1"/>
          <w:sz w:val="20"/>
          <w:szCs w:val="20"/>
        </w:rPr>
        <w:t xml:space="preserve"> Avenue</w:t>
      </w:r>
    </w:p>
    <w:p w14:paraId="0BC5BF61" w14:textId="77777777" w:rsidR="00E35D81" w:rsidRDefault="00E35D81" w:rsidP="00E35D81">
      <w:pPr>
        <w:pStyle w:val="Title"/>
        <w:jc w:val="left"/>
        <w:rPr>
          <w:b w:val="0"/>
          <w:smallCaps w:val="0"/>
          <w:color w:val="000000" w:themeColor="text1"/>
          <w:sz w:val="20"/>
          <w:szCs w:val="20"/>
        </w:rPr>
      </w:pPr>
      <w:r>
        <w:rPr>
          <w:b w:val="0"/>
          <w:smallCaps w:val="0"/>
          <w:color w:val="000000" w:themeColor="text1"/>
          <w:sz w:val="20"/>
          <w:szCs w:val="20"/>
        </w:rPr>
        <w:t>Columbus, OH  43211</w:t>
      </w:r>
    </w:p>
    <w:p w14:paraId="3C4BAA5B" w14:textId="77777777" w:rsidR="00E35D81" w:rsidRDefault="00E35D81" w:rsidP="00E35D81">
      <w:pPr>
        <w:pStyle w:val="Title"/>
        <w:jc w:val="left"/>
        <w:rPr>
          <w:b w:val="0"/>
          <w:smallCaps w:val="0"/>
          <w:color w:val="000000" w:themeColor="text1"/>
          <w:sz w:val="20"/>
          <w:szCs w:val="20"/>
        </w:rPr>
      </w:pPr>
    </w:p>
    <w:p w14:paraId="3DD32ECA" w14:textId="77777777" w:rsidR="00E35D81" w:rsidRDefault="00E35D81" w:rsidP="00E35D81">
      <w:pPr>
        <w:pStyle w:val="Title"/>
        <w:jc w:val="left"/>
        <w:rPr>
          <w:b w:val="0"/>
          <w:smallCaps w:val="0"/>
          <w:color w:val="000000" w:themeColor="text1"/>
          <w:sz w:val="20"/>
          <w:szCs w:val="20"/>
        </w:rPr>
      </w:pPr>
      <w:r>
        <w:rPr>
          <w:b w:val="0"/>
          <w:smallCaps w:val="0"/>
          <w:color w:val="000000" w:themeColor="text1"/>
          <w:sz w:val="20"/>
          <w:szCs w:val="20"/>
        </w:rPr>
        <w:t>David Snyder</w:t>
      </w:r>
    </w:p>
    <w:p w14:paraId="69B6CB08" w14:textId="77777777" w:rsidR="00E35D81" w:rsidRDefault="00E35D81" w:rsidP="00E35D81">
      <w:pPr>
        <w:pStyle w:val="Title"/>
        <w:jc w:val="left"/>
        <w:rPr>
          <w:b w:val="0"/>
          <w:smallCaps w:val="0"/>
          <w:color w:val="000000" w:themeColor="text1"/>
          <w:sz w:val="20"/>
          <w:szCs w:val="20"/>
        </w:rPr>
      </w:pPr>
      <w:r>
        <w:rPr>
          <w:b w:val="0"/>
          <w:smallCaps w:val="0"/>
          <w:color w:val="000000" w:themeColor="text1"/>
          <w:sz w:val="20"/>
          <w:szCs w:val="20"/>
        </w:rPr>
        <w:t>Archaeology Reviews Manager</w:t>
      </w:r>
    </w:p>
    <w:p w14:paraId="2497CEF8" w14:textId="77777777" w:rsidR="00E35D81" w:rsidRDefault="00E35D81" w:rsidP="00E35D81">
      <w:pPr>
        <w:pStyle w:val="Title"/>
        <w:jc w:val="left"/>
        <w:rPr>
          <w:b w:val="0"/>
          <w:smallCaps w:val="0"/>
          <w:color w:val="000000" w:themeColor="text1"/>
          <w:sz w:val="20"/>
          <w:szCs w:val="20"/>
        </w:rPr>
      </w:pPr>
      <w:r>
        <w:rPr>
          <w:b w:val="0"/>
          <w:smallCaps w:val="0"/>
          <w:color w:val="000000" w:themeColor="text1"/>
          <w:sz w:val="20"/>
          <w:szCs w:val="20"/>
        </w:rPr>
        <w:t>Resource Protection and Review</w:t>
      </w:r>
    </w:p>
    <w:p w14:paraId="6EEBCA7F" w14:textId="77777777" w:rsidR="00E35D81" w:rsidRDefault="00E35D81" w:rsidP="00E35D81">
      <w:pPr>
        <w:pStyle w:val="Title"/>
        <w:jc w:val="left"/>
        <w:rPr>
          <w:b w:val="0"/>
          <w:smallCaps w:val="0"/>
          <w:color w:val="000000" w:themeColor="text1"/>
          <w:sz w:val="20"/>
          <w:szCs w:val="20"/>
        </w:rPr>
      </w:pPr>
      <w:r>
        <w:rPr>
          <w:b w:val="0"/>
          <w:smallCaps w:val="0"/>
          <w:color w:val="000000" w:themeColor="text1"/>
          <w:sz w:val="20"/>
          <w:szCs w:val="20"/>
        </w:rPr>
        <w:lastRenderedPageBreak/>
        <w:t>State Historic Preservation Office</w:t>
      </w:r>
    </w:p>
    <w:p w14:paraId="66C45223" w14:textId="77777777" w:rsidR="00E35D81" w:rsidRDefault="00E35D81" w:rsidP="00E35D81">
      <w:pPr>
        <w:pStyle w:val="Title"/>
        <w:jc w:val="left"/>
        <w:rPr>
          <w:b w:val="0"/>
          <w:smallCaps w:val="0"/>
          <w:color w:val="000000" w:themeColor="text1"/>
          <w:sz w:val="20"/>
          <w:szCs w:val="20"/>
        </w:rPr>
      </w:pPr>
      <w:r>
        <w:rPr>
          <w:b w:val="0"/>
          <w:smallCaps w:val="0"/>
          <w:color w:val="000000" w:themeColor="text1"/>
          <w:sz w:val="20"/>
          <w:szCs w:val="20"/>
        </w:rPr>
        <w:t>800 E. 17</w:t>
      </w:r>
      <w:r w:rsidRPr="00A62C91">
        <w:rPr>
          <w:b w:val="0"/>
          <w:smallCaps w:val="0"/>
          <w:color w:val="000000" w:themeColor="text1"/>
          <w:sz w:val="20"/>
          <w:szCs w:val="20"/>
          <w:vertAlign w:val="superscript"/>
        </w:rPr>
        <w:t>th</w:t>
      </w:r>
      <w:r>
        <w:rPr>
          <w:b w:val="0"/>
          <w:smallCaps w:val="0"/>
          <w:color w:val="000000" w:themeColor="text1"/>
          <w:sz w:val="20"/>
          <w:szCs w:val="20"/>
        </w:rPr>
        <w:t xml:space="preserve"> Avenue</w:t>
      </w:r>
    </w:p>
    <w:p w14:paraId="148FE70D" w14:textId="77777777" w:rsidR="00E35D81" w:rsidRDefault="00E35D81" w:rsidP="00E35D81">
      <w:pPr>
        <w:pStyle w:val="Title"/>
        <w:jc w:val="left"/>
        <w:rPr>
          <w:b w:val="0"/>
          <w:smallCaps w:val="0"/>
          <w:color w:val="000000" w:themeColor="text1"/>
          <w:sz w:val="20"/>
          <w:szCs w:val="20"/>
        </w:rPr>
      </w:pPr>
      <w:r>
        <w:rPr>
          <w:b w:val="0"/>
          <w:smallCaps w:val="0"/>
          <w:color w:val="000000" w:themeColor="text1"/>
          <w:sz w:val="20"/>
          <w:szCs w:val="20"/>
        </w:rPr>
        <w:t>Columbus, OH  43211</w:t>
      </w:r>
    </w:p>
    <w:p w14:paraId="6F9FAB7F" w14:textId="5E21B59E" w:rsidR="00E35D81" w:rsidRPr="00EA569D" w:rsidRDefault="00E35D81" w:rsidP="00E35D81">
      <w:pPr>
        <w:pStyle w:val="Title"/>
        <w:jc w:val="left"/>
        <w:rPr>
          <w:b w:val="0"/>
          <w:smallCaps w:val="0"/>
          <w:color w:val="000000" w:themeColor="text1"/>
          <w:sz w:val="20"/>
          <w:szCs w:val="20"/>
        </w:rPr>
      </w:pPr>
      <w:r w:rsidRPr="000D0910">
        <w:rPr>
          <w:b w:val="0"/>
          <w:smallCaps w:val="0"/>
          <w:sz w:val="20"/>
          <w:szCs w:val="20"/>
        </w:rPr>
        <w:t>dsnyder@ohiohistory.org</w:t>
      </w:r>
    </w:p>
    <w:p w14:paraId="5B8315CE" w14:textId="77777777" w:rsidR="00E35D81" w:rsidRDefault="00E35D81" w:rsidP="00E35D81">
      <w:pPr>
        <w:pStyle w:val="Title"/>
        <w:jc w:val="left"/>
        <w:rPr>
          <w:b w:val="0"/>
          <w:smallCaps w:val="0"/>
          <w:color w:val="000000" w:themeColor="text1"/>
          <w:sz w:val="20"/>
          <w:szCs w:val="20"/>
        </w:rPr>
      </w:pPr>
    </w:p>
    <w:p w14:paraId="4EE8649D" w14:textId="77777777" w:rsidR="00E35D81" w:rsidRDefault="00E35D81" w:rsidP="00E35D81">
      <w:pPr>
        <w:pStyle w:val="Title"/>
        <w:jc w:val="left"/>
        <w:rPr>
          <w:b w:val="0"/>
          <w:smallCaps w:val="0"/>
          <w:color w:val="000000" w:themeColor="text1"/>
          <w:sz w:val="20"/>
          <w:szCs w:val="20"/>
        </w:rPr>
      </w:pPr>
      <w:r>
        <w:rPr>
          <w:b w:val="0"/>
          <w:smallCaps w:val="0"/>
          <w:color w:val="000000" w:themeColor="text1"/>
          <w:sz w:val="20"/>
          <w:szCs w:val="20"/>
        </w:rPr>
        <w:t>Christine M.T. Pirik</w:t>
      </w:r>
    </w:p>
    <w:p w14:paraId="4468C0A3" w14:textId="77777777" w:rsidR="00E35D81" w:rsidRDefault="00E35D81" w:rsidP="00E35D81">
      <w:pPr>
        <w:pStyle w:val="Title"/>
        <w:jc w:val="left"/>
        <w:rPr>
          <w:b w:val="0"/>
          <w:smallCaps w:val="0"/>
          <w:color w:val="000000" w:themeColor="text1"/>
          <w:sz w:val="20"/>
          <w:szCs w:val="20"/>
        </w:rPr>
      </w:pPr>
      <w:r>
        <w:rPr>
          <w:b w:val="0"/>
          <w:smallCaps w:val="0"/>
          <w:color w:val="000000" w:themeColor="text1"/>
          <w:sz w:val="20"/>
          <w:szCs w:val="20"/>
        </w:rPr>
        <w:t>Terrence O’Donnell</w:t>
      </w:r>
    </w:p>
    <w:p w14:paraId="01B312BF" w14:textId="77777777" w:rsidR="00E35D81" w:rsidRDefault="00E35D81" w:rsidP="00E35D81">
      <w:pPr>
        <w:pStyle w:val="Title"/>
        <w:jc w:val="left"/>
        <w:rPr>
          <w:b w:val="0"/>
          <w:smallCaps w:val="0"/>
          <w:color w:val="000000" w:themeColor="text1"/>
          <w:sz w:val="20"/>
          <w:szCs w:val="20"/>
        </w:rPr>
      </w:pPr>
      <w:r>
        <w:rPr>
          <w:b w:val="0"/>
          <w:smallCaps w:val="0"/>
          <w:color w:val="000000" w:themeColor="text1"/>
          <w:sz w:val="20"/>
          <w:szCs w:val="20"/>
        </w:rPr>
        <w:t>William V. Vorys</w:t>
      </w:r>
    </w:p>
    <w:p w14:paraId="4DE2E195" w14:textId="77777777" w:rsidR="00E35D81" w:rsidRDefault="00E35D81" w:rsidP="00E35D81">
      <w:pPr>
        <w:pStyle w:val="Title"/>
        <w:jc w:val="left"/>
        <w:rPr>
          <w:b w:val="0"/>
          <w:smallCaps w:val="0"/>
          <w:color w:val="000000" w:themeColor="text1"/>
          <w:sz w:val="20"/>
          <w:szCs w:val="20"/>
        </w:rPr>
      </w:pPr>
      <w:r>
        <w:rPr>
          <w:b w:val="0"/>
          <w:smallCaps w:val="0"/>
          <w:color w:val="000000" w:themeColor="text1"/>
          <w:sz w:val="20"/>
          <w:szCs w:val="20"/>
        </w:rPr>
        <w:t>Dickinson Wright PLLC</w:t>
      </w:r>
    </w:p>
    <w:p w14:paraId="13F4F3D1" w14:textId="77777777" w:rsidR="00E35D81" w:rsidRDefault="00E35D81" w:rsidP="00E35D81">
      <w:pPr>
        <w:pStyle w:val="Title"/>
        <w:jc w:val="left"/>
        <w:rPr>
          <w:b w:val="0"/>
          <w:smallCaps w:val="0"/>
          <w:color w:val="000000" w:themeColor="text1"/>
          <w:sz w:val="20"/>
          <w:szCs w:val="20"/>
        </w:rPr>
      </w:pPr>
      <w:r>
        <w:rPr>
          <w:b w:val="0"/>
          <w:smallCaps w:val="0"/>
          <w:color w:val="000000" w:themeColor="text1"/>
          <w:sz w:val="20"/>
          <w:szCs w:val="20"/>
        </w:rPr>
        <w:t>150 East Gay Street, Suite 2400</w:t>
      </w:r>
    </w:p>
    <w:p w14:paraId="373A4582" w14:textId="77777777" w:rsidR="00E35D81" w:rsidRDefault="00E35D81" w:rsidP="00E35D81">
      <w:pPr>
        <w:pStyle w:val="Title"/>
        <w:jc w:val="left"/>
        <w:rPr>
          <w:b w:val="0"/>
          <w:smallCaps w:val="0"/>
          <w:color w:val="000000" w:themeColor="text1"/>
          <w:sz w:val="20"/>
          <w:szCs w:val="20"/>
        </w:rPr>
      </w:pPr>
      <w:r>
        <w:rPr>
          <w:b w:val="0"/>
          <w:smallCaps w:val="0"/>
          <w:color w:val="000000" w:themeColor="text1"/>
          <w:sz w:val="20"/>
          <w:szCs w:val="20"/>
        </w:rPr>
        <w:t>Columbus, OH  43215</w:t>
      </w:r>
    </w:p>
    <w:p w14:paraId="518968FD" w14:textId="77777777" w:rsidR="00E35D81" w:rsidRDefault="00E35D81" w:rsidP="00E35D81">
      <w:pPr>
        <w:pStyle w:val="Title"/>
        <w:jc w:val="left"/>
        <w:rPr>
          <w:b w:val="0"/>
          <w:smallCaps w:val="0"/>
          <w:color w:val="000000" w:themeColor="text1"/>
          <w:sz w:val="20"/>
          <w:szCs w:val="20"/>
        </w:rPr>
      </w:pPr>
      <w:r>
        <w:rPr>
          <w:b w:val="0"/>
          <w:smallCaps w:val="0"/>
          <w:color w:val="000000" w:themeColor="text1"/>
          <w:sz w:val="20"/>
          <w:szCs w:val="20"/>
        </w:rPr>
        <w:t>cpirik@dickinsonwright.com</w:t>
      </w:r>
    </w:p>
    <w:p w14:paraId="1F8D86CE" w14:textId="77777777" w:rsidR="00E35D81" w:rsidRDefault="00E35D81" w:rsidP="00E35D81">
      <w:pPr>
        <w:pStyle w:val="Title"/>
        <w:jc w:val="left"/>
        <w:rPr>
          <w:b w:val="0"/>
          <w:smallCaps w:val="0"/>
          <w:color w:val="000000" w:themeColor="text1"/>
          <w:sz w:val="20"/>
          <w:szCs w:val="20"/>
        </w:rPr>
      </w:pPr>
      <w:r>
        <w:rPr>
          <w:b w:val="0"/>
          <w:smallCaps w:val="0"/>
          <w:color w:val="000000" w:themeColor="text1"/>
          <w:sz w:val="20"/>
          <w:szCs w:val="20"/>
        </w:rPr>
        <w:t>todonnell@dickinsonwright.com</w:t>
      </w:r>
    </w:p>
    <w:p w14:paraId="13795EF6" w14:textId="77777777" w:rsidR="00E35D81" w:rsidRDefault="00E35D81" w:rsidP="00E35D81">
      <w:pPr>
        <w:pStyle w:val="Title"/>
        <w:jc w:val="left"/>
        <w:rPr>
          <w:b w:val="0"/>
          <w:smallCaps w:val="0"/>
          <w:color w:val="000000" w:themeColor="text1"/>
          <w:sz w:val="20"/>
          <w:szCs w:val="20"/>
        </w:rPr>
      </w:pPr>
      <w:r>
        <w:rPr>
          <w:b w:val="0"/>
          <w:smallCaps w:val="0"/>
          <w:color w:val="000000" w:themeColor="text1"/>
          <w:sz w:val="20"/>
          <w:szCs w:val="20"/>
        </w:rPr>
        <w:t>wvorys@dickinsonwright.com</w:t>
      </w:r>
    </w:p>
    <w:p w14:paraId="323CB9D7" w14:textId="77777777" w:rsidR="00E35D81" w:rsidRDefault="00E35D81" w:rsidP="00E35D81">
      <w:pPr>
        <w:pStyle w:val="Title"/>
        <w:jc w:val="left"/>
        <w:rPr>
          <w:b w:val="0"/>
          <w:smallCaps w:val="0"/>
          <w:color w:val="000000" w:themeColor="text1"/>
          <w:sz w:val="20"/>
          <w:szCs w:val="20"/>
        </w:rPr>
      </w:pPr>
    </w:p>
    <w:p w14:paraId="5EB248F7" w14:textId="77777777" w:rsidR="00E35D81" w:rsidRPr="00C30BA9" w:rsidRDefault="00E35D81" w:rsidP="00E35D81">
      <w:pPr>
        <w:autoSpaceDE w:val="0"/>
        <w:autoSpaceDN w:val="0"/>
        <w:adjustRightInd w:val="0"/>
        <w:rPr>
          <w:rFonts w:cs="Arial"/>
          <w:color w:val="000000" w:themeColor="text1"/>
          <w:sz w:val="20"/>
          <w:szCs w:val="20"/>
        </w:rPr>
      </w:pPr>
      <w:r>
        <w:rPr>
          <w:rFonts w:cs="Arial"/>
          <w:color w:val="000000" w:themeColor="text1"/>
          <w:sz w:val="20"/>
          <w:szCs w:val="20"/>
        </w:rPr>
        <w:t xml:space="preserve">William </w:t>
      </w:r>
      <w:r w:rsidRPr="00C30BA9">
        <w:rPr>
          <w:rFonts w:cs="Arial"/>
          <w:color w:val="000000" w:themeColor="text1"/>
          <w:sz w:val="20"/>
          <w:szCs w:val="20"/>
        </w:rPr>
        <w:t>Wright</w:t>
      </w:r>
      <w:r>
        <w:rPr>
          <w:rFonts w:cs="Arial"/>
          <w:color w:val="000000" w:themeColor="text1"/>
          <w:sz w:val="20"/>
          <w:szCs w:val="20"/>
        </w:rPr>
        <w:t xml:space="preserve">, </w:t>
      </w:r>
      <w:r w:rsidRPr="00C30BA9">
        <w:rPr>
          <w:rFonts w:cs="Arial"/>
          <w:color w:val="000000" w:themeColor="text1"/>
          <w:sz w:val="20"/>
          <w:szCs w:val="20"/>
        </w:rPr>
        <w:t>Section Chief</w:t>
      </w:r>
    </w:p>
    <w:p w14:paraId="78A62017" w14:textId="77777777" w:rsidR="00E35D81" w:rsidRPr="00C30BA9" w:rsidRDefault="00E35D81" w:rsidP="00E35D81">
      <w:pPr>
        <w:autoSpaceDE w:val="0"/>
        <w:autoSpaceDN w:val="0"/>
        <w:adjustRightInd w:val="0"/>
        <w:rPr>
          <w:rFonts w:cs="Arial"/>
          <w:color w:val="000000" w:themeColor="text1"/>
          <w:sz w:val="20"/>
          <w:szCs w:val="20"/>
        </w:rPr>
      </w:pPr>
      <w:r w:rsidRPr="00C30BA9">
        <w:rPr>
          <w:rFonts w:cs="Arial"/>
          <w:color w:val="000000" w:themeColor="text1"/>
          <w:sz w:val="20"/>
          <w:szCs w:val="20"/>
        </w:rPr>
        <w:t>Office of the Attorney General of Ohio</w:t>
      </w:r>
    </w:p>
    <w:p w14:paraId="182A15EF" w14:textId="77777777" w:rsidR="00E35D81" w:rsidRPr="00C30BA9" w:rsidRDefault="00E35D81" w:rsidP="00E35D81">
      <w:pPr>
        <w:autoSpaceDE w:val="0"/>
        <w:autoSpaceDN w:val="0"/>
        <w:adjustRightInd w:val="0"/>
        <w:rPr>
          <w:rFonts w:cs="Arial"/>
          <w:color w:val="000000" w:themeColor="text1"/>
          <w:sz w:val="20"/>
          <w:szCs w:val="20"/>
        </w:rPr>
      </w:pPr>
      <w:r w:rsidRPr="00C30BA9">
        <w:rPr>
          <w:rFonts w:cs="Arial"/>
          <w:color w:val="000000" w:themeColor="text1"/>
          <w:sz w:val="20"/>
          <w:szCs w:val="20"/>
        </w:rPr>
        <w:t>Public Utilities Section</w:t>
      </w:r>
    </w:p>
    <w:p w14:paraId="219823CE" w14:textId="77777777" w:rsidR="00E35D81" w:rsidRPr="00C30BA9" w:rsidRDefault="00E35D81" w:rsidP="00E35D81">
      <w:pPr>
        <w:autoSpaceDE w:val="0"/>
        <w:autoSpaceDN w:val="0"/>
        <w:adjustRightInd w:val="0"/>
        <w:rPr>
          <w:rFonts w:cs="Arial"/>
          <w:color w:val="000000" w:themeColor="text1"/>
          <w:sz w:val="20"/>
          <w:szCs w:val="20"/>
        </w:rPr>
      </w:pPr>
      <w:r w:rsidRPr="00C30BA9">
        <w:rPr>
          <w:rFonts w:cs="Arial"/>
          <w:color w:val="000000" w:themeColor="text1"/>
          <w:sz w:val="20"/>
          <w:szCs w:val="20"/>
        </w:rPr>
        <w:t>30 East Broad Street, 16</w:t>
      </w:r>
      <w:r w:rsidRPr="00C30BA9">
        <w:rPr>
          <w:rFonts w:cs="Arial"/>
          <w:color w:val="000000" w:themeColor="text1"/>
          <w:sz w:val="20"/>
          <w:szCs w:val="20"/>
          <w:vertAlign w:val="superscript"/>
        </w:rPr>
        <w:t>th</w:t>
      </w:r>
      <w:r w:rsidRPr="00C30BA9">
        <w:rPr>
          <w:rFonts w:cs="Arial"/>
          <w:color w:val="000000" w:themeColor="text1"/>
          <w:sz w:val="20"/>
          <w:szCs w:val="20"/>
        </w:rPr>
        <w:t xml:space="preserve"> Floor</w:t>
      </w:r>
    </w:p>
    <w:p w14:paraId="64A24F3B" w14:textId="77777777" w:rsidR="00E35D81" w:rsidRPr="00C30BA9" w:rsidRDefault="00E35D81" w:rsidP="00E35D81">
      <w:pPr>
        <w:autoSpaceDE w:val="0"/>
        <w:autoSpaceDN w:val="0"/>
        <w:adjustRightInd w:val="0"/>
        <w:rPr>
          <w:rFonts w:cs="Arial"/>
          <w:color w:val="000000" w:themeColor="text1"/>
          <w:sz w:val="20"/>
          <w:szCs w:val="20"/>
        </w:rPr>
      </w:pPr>
      <w:r w:rsidRPr="00C30BA9">
        <w:rPr>
          <w:rFonts w:cs="Arial"/>
          <w:color w:val="000000" w:themeColor="text1"/>
          <w:sz w:val="20"/>
          <w:szCs w:val="20"/>
        </w:rPr>
        <w:t>Columbus, OH 43215</w:t>
      </w:r>
    </w:p>
    <w:p w14:paraId="41C66985" w14:textId="3B82868E" w:rsidR="00E35D81" w:rsidRPr="00C30BA9" w:rsidRDefault="00E35D81" w:rsidP="00E35D81">
      <w:pPr>
        <w:rPr>
          <w:rFonts w:cs="Arial"/>
          <w:color w:val="000000" w:themeColor="text1"/>
          <w:sz w:val="20"/>
          <w:szCs w:val="20"/>
        </w:rPr>
      </w:pPr>
      <w:r w:rsidRPr="000D0910">
        <w:rPr>
          <w:rFonts w:cs="Arial"/>
          <w:sz w:val="20"/>
          <w:szCs w:val="20"/>
        </w:rPr>
        <w:t>william.wright@ohioattorneygeneral.gov</w:t>
      </w:r>
    </w:p>
    <w:p w14:paraId="73CADA0C" w14:textId="77777777" w:rsidR="00E35D81" w:rsidRPr="00C30BA9" w:rsidRDefault="00E35D81" w:rsidP="00E35D81">
      <w:pPr>
        <w:pStyle w:val="Title"/>
        <w:jc w:val="left"/>
        <w:rPr>
          <w:rFonts w:eastAsiaTheme="minorHAnsi"/>
          <w:b w:val="0"/>
          <w:smallCaps w:val="0"/>
          <w:color w:val="000000" w:themeColor="text1"/>
          <w:sz w:val="20"/>
          <w:szCs w:val="20"/>
        </w:rPr>
      </w:pPr>
    </w:p>
    <w:p w14:paraId="481BEA2E" w14:textId="77777777" w:rsidR="00E35D81" w:rsidRPr="00C30BA9" w:rsidRDefault="00E35D81" w:rsidP="00E35D81">
      <w:pPr>
        <w:pStyle w:val="Title"/>
        <w:jc w:val="left"/>
        <w:rPr>
          <w:b w:val="0"/>
          <w:smallCaps w:val="0"/>
          <w:color w:val="000000" w:themeColor="text1"/>
          <w:sz w:val="20"/>
          <w:szCs w:val="20"/>
        </w:rPr>
      </w:pPr>
      <w:r w:rsidRPr="00C30BA9">
        <w:rPr>
          <w:b w:val="0"/>
          <w:smallCaps w:val="0"/>
          <w:color w:val="000000" w:themeColor="text1"/>
          <w:sz w:val="20"/>
          <w:szCs w:val="20"/>
        </w:rPr>
        <w:t>Megan Addison</w:t>
      </w:r>
    </w:p>
    <w:p w14:paraId="71F3CF3C" w14:textId="77777777" w:rsidR="00E35D81" w:rsidRPr="00C30BA9" w:rsidRDefault="00E35D81" w:rsidP="00E35D81">
      <w:pPr>
        <w:autoSpaceDE w:val="0"/>
        <w:autoSpaceDN w:val="0"/>
        <w:adjustRightInd w:val="0"/>
        <w:rPr>
          <w:rFonts w:cs="Arial"/>
          <w:color w:val="000000" w:themeColor="text1"/>
          <w:sz w:val="20"/>
          <w:szCs w:val="20"/>
        </w:rPr>
      </w:pPr>
      <w:r w:rsidRPr="00C30BA9">
        <w:rPr>
          <w:rFonts w:cs="Arial"/>
          <w:color w:val="000000" w:themeColor="text1"/>
          <w:sz w:val="20"/>
          <w:szCs w:val="20"/>
        </w:rPr>
        <w:t>Administrative Law Judge</w:t>
      </w:r>
    </w:p>
    <w:p w14:paraId="3162198C" w14:textId="77777777" w:rsidR="00E35D81" w:rsidRPr="00C30BA9" w:rsidRDefault="00E35D81" w:rsidP="00E35D81">
      <w:pPr>
        <w:autoSpaceDE w:val="0"/>
        <w:autoSpaceDN w:val="0"/>
        <w:adjustRightInd w:val="0"/>
        <w:rPr>
          <w:rFonts w:cs="Arial"/>
          <w:color w:val="000000" w:themeColor="text1"/>
          <w:sz w:val="20"/>
          <w:szCs w:val="20"/>
        </w:rPr>
      </w:pPr>
      <w:r w:rsidRPr="00C30BA9">
        <w:rPr>
          <w:rFonts w:cs="Arial"/>
          <w:color w:val="000000" w:themeColor="text1"/>
          <w:sz w:val="20"/>
          <w:szCs w:val="20"/>
        </w:rPr>
        <w:t>Ohio Power Siting Board</w:t>
      </w:r>
    </w:p>
    <w:p w14:paraId="1B7AE74E" w14:textId="77777777" w:rsidR="00E35D81" w:rsidRPr="00C30BA9" w:rsidRDefault="00E35D81" w:rsidP="00E35D81">
      <w:pPr>
        <w:autoSpaceDE w:val="0"/>
        <w:autoSpaceDN w:val="0"/>
        <w:adjustRightInd w:val="0"/>
        <w:rPr>
          <w:rFonts w:cs="Arial"/>
          <w:color w:val="000000" w:themeColor="text1"/>
          <w:sz w:val="20"/>
          <w:szCs w:val="20"/>
        </w:rPr>
      </w:pPr>
      <w:r w:rsidRPr="00C30BA9">
        <w:rPr>
          <w:rFonts w:cs="Arial"/>
          <w:color w:val="000000" w:themeColor="text1"/>
          <w:sz w:val="20"/>
          <w:szCs w:val="20"/>
        </w:rPr>
        <w:t>180 East Broad Street, 12</w:t>
      </w:r>
      <w:r w:rsidRPr="00C30BA9">
        <w:rPr>
          <w:rFonts w:cs="Arial"/>
          <w:color w:val="000000" w:themeColor="text1"/>
          <w:sz w:val="20"/>
          <w:szCs w:val="20"/>
          <w:vertAlign w:val="superscript"/>
        </w:rPr>
        <w:t>th</w:t>
      </w:r>
      <w:r w:rsidRPr="00C30BA9">
        <w:rPr>
          <w:rFonts w:cs="Arial"/>
          <w:color w:val="000000" w:themeColor="text1"/>
          <w:sz w:val="20"/>
          <w:szCs w:val="20"/>
        </w:rPr>
        <w:t xml:space="preserve"> Floor</w:t>
      </w:r>
    </w:p>
    <w:p w14:paraId="55084DD6" w14:textId="77777777" w:rsidR="00E35D81" w:rsidRPr="00C30BA9" w:rsidRDefault="00E35D81" w:rsidP="00E35D81">
      <w:pPr>
        <w:autoSpaceDE w:val="0"/>
        <w:autoSpaceDN w:val="0"/>
        <w:adjustRightInd w:val="0"/>
        <w:rPr>
          <w:rFonts w:cs="Arial"/>
          <w:color w:val="000000" w:themeColor="text1"/>
          <w:sz w:val="20"/>
          <w:szCs w:val="20"/>
        </w:rPr>
      </w:pPr>
      <w:r w:rsidRPr="00C30BA9">
        <w:rPr>
          <w:rFonts w:cs="Arial"/>
          <w:color w:val="000000" w:themeColor="text1"/>
          <w:sz w:val="20"/>
          <w:szCs w:val="20"/>
        </w:rPr>
        <w:t>Columbus, OH 43215</w:t>
      </w:r>
    </w:p>
    <w:p w14:paraId="3A9EF4EB" w14:textId="77777777" w:rsidR="00E35D81" w:rsidRPr="00C30BA9" w:rsidRDefault="00E35D81" w:rsidP="00E35D81">
      <w:pPr>
        <w:pStyle w:val="Title"/>
        <w:jc w:val="left"/>
        <w:rPr>
          <w:b w:val="0"/>
          <w:smallCaps w:val="0"/>
          <w:color w:val="000000" w:themeColor="text1"/>
          <w:sz w:val="20"/>
          <w:szCs w:val="20"/>
        </w:rPr>
      </w:pPr>
      <w:r w:rsidRPr="00C30BA9">
        <w:rPr>
          <w:b w:val="0"/>
          <w:smallCaps w:val="0"/>
          <w:color w:val="000000" w:themeColor="text1"/>
          <w:sz w:val="20"/>
          <w:szCs w:val="20"/>
        </w:rPr>
        <w:t>Megan.Addison@puco.ohio.gov</w:t>
      </w:r>
    </w:p>
    <w:p w14:paraId="7F269D9B" w14:textId="77777777" w:rsidR="00E35D81" w:rsidRPr="00C30BA9" w:rsidRDefault="00E35D81" w:rsidP="00E35D81">
      <w:pPr>
        <w:pStyle w:val="Title"/>
        <w:jc w:val="left"/>
        <w:rPr>
          <w:b w:val="0"/>
          <w:smallCaps w:val="0"/>
          <w:color w:val="000000" w:themeColor="text1"/>
          <w:sz w:val="20"/>
          <w:szCs w:val="20"/>
        </w:rPr>
      </w:pPr>
    </w:p>
    <w:p w14:paraId="016221DE" w14:textId="77777777" w:rsidR="0074095D" w:rsidRPr="0074095D" w:rsidRDefault="0074095D" w:rsidP="008E2ADD">
      <w:pPr>
        <w:pStyle w:val="Title"/>
        <w:jc w:val="left"/>
        <w:rPr>
          <w:b w:val="0"/>
          <w:smallCaps w:val="0"/>
          <w:color w:val="000000" w:themeColor="text1"/>
          <w:sz w:val="22"/>
          <w:szCs w:val="22"/>
        </w:rPr>
      </w:pPr>
    </w:p>
    <w:sectPr w:rsidR="0074095D" w:rsidRPr="0074095D" w:rsidSect="00602FC4">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3641E" w14:textId="77777777" w:rsidR="00CA6FAA" w:rsidRDefault="00CA6FAA" w:rsidP="00532E00">
      <w:r>
        <w:separator/>
      </w:r>
    </w:p>
  </w:endnote>
  <w:endnote w:type="continuationSeparator" w:id="0">
    <w:p w14:paraId="6C308478" w14:textId="77777777" w:rsidR="00CA6FAA" w:rsidRDefault="00CA6FAA" w:rsidP="0053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8392" w14:textId="77777777" w:rsidR="000D0910" w:rsidRDefault="000D0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28B5A" w14:textId="68F1B0E9" w:rsidR="000A5335" w:rsidRPr="00532E00" w:rsidRDefault="002E0BE9">
    <w:pPr>
      <w:pStyle w:val="Footer"/>
    </w:pPr>
    <w:r w:rsidRPr="002E0BE9">
      <w:rPr>
        <w:noProof/>
        <w:vanish/>
        <w:sz w:val="16"/>
      </w:rPr>
      <w:t>{</w:t>
    </w:r>
    <w:r w:rsidRPr="002E0BE9">
      <w:rPr>
        <w:noProof/>
        <w:sz w:val="16"/>
      </w:rPr>
      <w:t>C0108238:1</w:t>
    </w:r>
    <w:r w:rsidRPr="002E0BE9">
      <w:rPr>
        <w:noProof/>
        <w:vanish/>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1065" w14:textId="3620B91D" w:rsidR="000A5335" w:rsidRPr="00532E00" w:rsidRDefault="002E0BE9">
    <w:pPr>
      <w:pStyle w:val="Footer"/>
    </w:pPr>
    <w:r w:rsidRPr="002E0BE9">
      <w:rPr>
        <w:noProof/>
        <w:vanish/>
        <w:sz w:val="16"/>
      </w:rPr>
      <w:t>{</w:t>
    </w:r>
    <w:r w:rsidRPr="002E0BE9">
      <w:rPr>
        <w:noProof/>
        <w:sz w:val="16"/>
      </w:rPr>
      <w:t>C0108238:1</w:t>
    </w:r>
    <w:r w:rsidRPr="002E0BE9">
      <w:rPr>
        <w:noProof/>
        <w:vanish/>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A0945" w14:textId="7AAC82BD" w:rsidR="000A5335" w:rsidRPr="00532E00" w:rsidRDefault="002E0BE9">
    <w:pPr>
      <w:pStyle w:val="Footer"/>
    </w:pPr>
    <w:r w:rsidRPr="002E0BE9">
      <w:rPr>
        <w:noProof/>
        <w:vanish/>
        <w:sz w:val="16"/>
      </w:rPr>
      <w:t>{</w:t>
    </w:r>
    <w:r w:rsidRPr="002E0BE9">
      <w:rPr>
        <w:noProof/>
        <w:sz w:val="16"/>
      </w:rPr>
      <w:t>C0108238:1</w:t>
    </w:r>
    <w:r w:rsidRPr="002E0BE9">
      <w:rPr>
        <w:noProof/>
        <w:vanish/>
        <w:sz w:val="16"/>
      </w:rPr>
      <w:t>}</w:t>
    </w:r>
    <w:r w:rsidR="000A5335">
      <w:rPr>
        <w:noProof/>
        <w:sz w:val="16"/>
      </w:rPr>
      <w:tab/>
    </w:r>
    <w:r w:rsidR="000A5335" w:rsidRPr="00F51A31">
      <w:rPr>
        <w:noProof/>
        <w:sz w:val="22"/>
        <w:szCs w:val="22"/>
      </w:rPr>
      <w:fldChar w:fldCharType="begin"/>
    </w:r>
    <w:r w:rsidR="000A5335" w:rsidRPr="00F51A31">
      <w:rPr>
        <w:noProof/>
        <w:sz w:val="22"/>
        <w:szCs w:val="22"/>
      </w:rPr>
      <w:instrText xml:space="preserve"> PAGE   \* MERGEFORMAT </w:instrText>
    </w:r>
    <w:r w:rsidR="000A5335" w:rsidRPr="00F51A31">
      <w:rPr>
        <w:noProof/>
        <w:sz w:val="22"/>
        <w:szCs w:val="22"/>
      </w:rPr>
      <w:fldChar w:fldCharType="separate"/>
    </w:r>
    <w:r w:rsidR="005D7255">
      <w:rPr>
        <w:noProof/>
        <w:sz w:val="22"/>
        <w:szCs w:val="22"/>
      </w:rPr>
      <w:t>15</w:t>
    </w:r>
    <w:r w:rsidR="000A5335" w:rsidRPr="00F51A31">
      <w:rPr>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DCB95" w14:textId="1E22AB3E" w:rsidR="000A5335" w:rsidRPr="00532E00" w:rsidRDefault="002E0BE9">
    <w:pPr>
      <w:pStyle w:val="Footer"/>
    </w:pPr>
    <w:r w:rsidRPr="002E0BE9">
      <w:rPr>
        <w:noProof/>
        <w:vanish/>
        <w:sz w:val="16"/>
      </w:rPr>
      <w:t>{</w:t>
    </w:r>
    <w:r w:rsidRPr="002E0BE9">
      <w:rPr>
        <w:noProof/>
        <w:sz w:val="16"/>
      </w:rPr>
      <w:t>C0108238:1</w:t>
    </w:r>
    <w:r w:rsidRPr="002E0BE9">
      <w:rPr>
        <w:noProof/>
        <w:vanish/>
        <w:sz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7C0D0" w14:textId="77777777" w:rsidR="000A5335" w:rsidRDefault="000A533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117B6" w14:textId="0EFE5144" w:rsidR="000A5335" w:rsidRPr="00C11A2D" w:rsidRDefault="002E0BE9">
    <w:pPr>
      <w:pStyle w:val="Footer"/>
      <w:rPr>
        <w:rFonts w:cs="Arial"/>
      </w:rPr>
    </w:pPr>
    <w:r w:rsidRPr="002E0BE9">
      <w:rPr>
        <w:rFonts w:cs="Arial"/>
        <w:noProof/>
        <w:vanish/>
        <w:sz w:val="16"/>
      </w:rPr>
      <w:t>{</w:t>
    </w:r>
    <w:r w:rsidRPr="002E0BE9">
      <w:rPr>
        <w:rFonts w:cs="Arial"/>
        <w:noProof/>
        <w:sz w:val="16"/>
      </w:rPr>
      <w:t>C0108238:1</w:t>
    </w:r>
    <w:r w:rsidRPr="002E0BE9">
      <w:rPr>
        <w:rFonts w:cs="Arial"/>
        <w:noProof/>
        <w:vanish/>
        <w:sz w:val="16"/>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75271" w14:textId="62E0242D" w:rsidR="000A5335" w:rsidRPr="00366FC9" w:rsidRDefault="002E0BE9">
    <w:pPr>
      <w:pStyle w:val="Footer"/>
    </w:pPr>
    <w:r w:rsidRPr="002E0BE9">
      <w:rPr>
        <w:noProof/>
        <w:vanish/>
        <w:sz w:val="16"/>
      </w:rPr>
      <w:t>{</w:t>
    </w:r>
    <w:r w:rsidRPr="002E0BE9">
      <w:rPr>
        <w:noProof/>
        <w:sz w:val="16"/>
      </w:rPr>
      <w:t>C0108238:1</w:t>
    </w:r>
    <w:r w:rsidRPr="002E0BE9">
      <w:rPr>
        <w:noProof/>
        <w:vanish/>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60D92" w14:textId="77777777" w:rsidR="00CA6FAA" w:rsidRDefault="00CA6FAA" w:rsidP="00532E00">
      <w:pPr>
        <w:rPr>
          <w:noProof/>
        </w:rPr>
      </w:pPr>
      <w:r>
        <w:rPr>
          <w:noProof/>
        </w:rPr>
        <w:separator/>
      </w:r>
    </w:p>
  </w:footnote>
  <w:footnote w:type="continuationSeparator" w:id="0">
    <w:p w14:paraId="4FE2E6A7" w14:textId="77777777" w:rsidR="00CA6FAA" w:rsidRDefault="00CA6FAA" w:rsidP="00532E00">
      <w:r>
        <w:continuationSeparator/>
      </w:r>
    </w:p>
  </w:footnote>
  <w:footnote w:id="1">
    <w:p w14:paraId="2650F6E8" w14:textId="0054296A" w:rsidR="000A5335" w:rsidRDefault="000A5335" w:rsidP="00AD7B58">
      <w:pPr>
        <w:pStyle w:val="GeneralPara"/>
        <w:spacing w:line="240" w:lineRule="auto"/>
      </w:pPr>
      <w:r>
        <w:rPr>
          <w:rStyle w:val="FootnoteReference"/>
        </w:rPr>
        <w:footnoteRef/>
      </w:r>
      <w:r>
        <w:t xml:space="preserve"> </w:t>
      </w:r>
      <w:r w:rsidRPr="00AD7B58">
        <w:rPr>
          <w:sz w:val="20"/>
          <w:szCs w:val="20"/>
        </w:rPr>
        <w:t>Previously and in Case No. 12-1981-GE-BRO, G</w:t>
      </w:r>
      <w:r>
        <w:rPr>
          <w:sz w:val="20"/>
          <w:szCs w:val="20"/>
        </w:rPr>
        <w:t xml:space="preserve">reenwich </w:t>
      </w:r>
      <w:r w:rsidRPr="00AD7B58">
        <w:rPr>
          <w:sz w:val="20"/>
          <w:szCs w:val="20"/>
        </w:rPr>
        <w:t>N</w:t>
      </w:r>
      <w:r>
        <w:rPr>
          <w:sz w:val="20"/>
          <w:szCs w:val="20"/>
        </w:rPr>
        <w:t xml:space="preserve">eighbors </w:t>
      </w:r>
      <w:r w:rsidRPr="00AD7B58">
        <w:rPr>
          <w:sz w:val="20"/>
          <w:szCs w:val="20"/>
        </w:rPr>
        <w:t>U</w:t>
      </w:r>
      <w:r>
        <w:rPr>
          <w:sz w:val="20"/>
          <w:szCs w:val="20"/>
        </w:rPr>
        <w:t>nited (“GNU”)</w:t>
      </w:r>
      <w:r w:rsidRPr="00AD7B58">
        <w:rPr>
          <w:sz w:val="20"/>
          <w:szCs w:val="20"/>
        </w:rPr>
        <w:t xml:space="preserve"> filed comments on January 16, 2015</w:t>
      </w:r>
      <w:r>
        <w:rPr>
          <w:sz w:val="20"/>
          <w:szCs w:val="20"/>
        </w:rPr>
        <w:t>, more than three years ago</w:t>
      </w:r>
      <w:r w:rsidRPr="00AD7B58">
        <w:rPr>
          <w:sz w:val="20"/>
          <w:szCs w:val="20"/>
        </w:rPr>
        <w:t>.  In GNU’s January 16, 2015 comments, it supported the views and recommendations offered by Union Neighbors United (“UNU”) in comments filed the same day.</w:t>
      </w:r>
      <w:r w:rsidRPr="00AD7B58">
        <w:rPr>
          <w:rStyle w:val="FootnoteReference"/>
          <w:sz w:val="20"/>
          <w:szCs w:val="20"/>
        </w:rPr>
        <w:footnoteRef/>
      </w:r>
      <w:r w:rsidRPr="00AD7B58">
        <w:rPr>
          <w:sz w:val="20"/>
          <w:szCs w:val="20"/>
        </w:rPr>
        <w:t xml:space="preserve">  Then, and in more detail, GNU addressed the failure of the proposed rules to: (1) comply with R.C. 4906.20(B)(2)(c) with regard to the population of adjoining property owners who must execute a valid waiver from the minimum setback requirements before any waiver can operate for the benefit of a wind farm developer; (2)</w:t>
      </w:r>
      <w:r>
        <w:rPr>
          <w:sz w:val="20"/>
          <w:szCs w:val="20"/>
        </w:rPr>
        <w:t xml:space="preserve"> </w:t>
      </w:r>
      <w:r w:rsidRPr="00AD7B58">
        <w:rPr>
          <w:sz w:val="20"/>
          <w:szCs w:val="20"/>
        </w:rPr>
        <w:t>establish, by rule, the procedure which must be followed before such a waiver may be lawfully obtained and used by a wind farm developer to evade the minimum setbacks; and, (3)</w:t>
      </w:r>
      <w:r w:rsidR="00C02D3C">
        <w:rPr>
          <w:sz w:val="20"/>
          <w:szCs w:val="20"/>
        </w:rPr>
        <w:t> </w:t>
      </w:r>
      <w:r w:rsidRPr="00AD7B58">
        <w:rPr>
          <w:sz w:val="20"/>
          <w:szCs w:val="20"/>
        </w:rPr>
        <w:t xml:space="preserve">recognize the unavailability of such a waiver in any case where the OPSB determines, in any case, that the minimum setback is not a reasonable setback.  More broadly speaking, GNU, like UNU, also observed that the OPSB’s proposed rules in Case No. 12-1981-GE-BRO comprehensively failed to meet the letter and spirit of the rulemaking requirements set forth in R.C. 4906.20.  </w:t>
      </w:r>
    </w:p>
  </w:footnote>
  <w:footnote w:id="2">
    <w:p w14:paraId="4DF63BBE" w14:textId="77777777" w:rsidR="000A5335" w:rsidRDefault="000A5335" w:rsidP="0047103F">
      <w:pPr>
        <w:autoSpaceDE w:val="0"/>
        <w:autoSpaceDN w:val="0"/>
        <w:adjustRightInd w:val="0"/>
        <w:spacing w:after="120"/>
        <w:jc w:val="both"/>
      </w:pPr>
      <w:r>
        <w:rPr>
          <w:rStyle w:val="FootnoteReference"/>
        </w:rPr>
        <w:footnoteRef/>
      </w:r>
      <w:r>
        <w:t xml:space="preserve"> </w:t>
      </w:r>
      <w:r w:rsidRPr="0047103F">
        <w:rPr>
          <w:rFonts w:cs="Arial"/>
          <w:i/>
          <w:sz w:val="20"/>
          <w:szCs w:val="20"/>
        </w:rPr>
        <w:t>In the Matter of the Ohio Power Siting Board's Review of Chapters 4906-1, 4906-5, 4906-7, 4906-9, 4906-11, 4906-13, 4906-15, and 4906-17 of the Ohio Administrative Code</w:t>
      </w:r>
      <w:r w:rsidRPr="00924C79">
        <w:rPr>
          <w:rFonts w:cs="Arial"/>
          <w:sz w:val="20"/>
          <w:szCs w:val="20"/>
        </w:rPr>
        <w:t xml:space="preserve">, OPSB </w:t>
      </w:r>
      <w:r>
        <w:rPr>
          <w:rFonts w:cs="Arial"/>
          <w:sz w:val="20"/>
          <w:szCs w:val="20"/>
        </w:rPr>
        <w:t>Case No. 12</w:t>
      </w:r>
      <w:r>
        <w:rPr>
          <w:rFonts w:cs="Arial"/>
          <w:sz w:val="20"/>
          <w:szCs w:val="20"/>
        </w:rPr>
        <w:noBreakHyphen/>
        <w:t>1981</w:t>
      </w:r>
      <w:r>
        <w:rPr>
          <w:rFonts w:cs="Arial"/>
          <w:sz w:val="20"/>
          <w:szCs w:val="20"/>
        </w:rPr>
        <w:noBreakHyphen/>
        <w:t>GE</w:t>
      </w:r>
      <w:r>
        <w:rPr>
          <w:rFonts w:cs="Arial"/>
          <w:sz w:val="20"/>
          <w:szCs w:val="20"/>
        </w:rPr>
        <w:noBreakHyphen/>
      </w:r>
      <w:r w:rsidRPr="00924C79">
        <w:rPr>
          <w:rFonts w:cs="Arial"/>
          <w:sz w:val="20"/>
          <w:szCs w:val="20"/>
        </w:rPr>
        <w:t>BRO, Second Finding and Order</w:t>
      </w:r>
      <w:r>
        <w:rPr>
          <w:rFonts w:cs="Arial"/>
          <w:sz w:val="20"/>
          <w:szCs w:val="20"/>
        </w:rPr>
        <w:t xml:space="preserve"> at 5 (November 12, 2015).  </w:t>
      </w:r>
    </w:p>
  </w:footnote>
  <w:footnote w:id="3">
    <w:p w14:paraId="7A5ECCA6" w14:textId="77777777" w:rsidR="000A5335" w:rsidRDefault="000A5335">
      <w:pPr>
        <w:pStyle w:val="FootnoteText"/>
      </w:pPr>
      <w:r>
        <w:rPr>
          <w:rStyle w:val="FootnoteReference"/>
        </w:rPr>
        <w:footnoteRef/>
      </w:r>
      <w:r>
        <w:t xml:space="preserve"> </w:t>
      </w:r>
      <w:r w:rsidRPr="0047103F">
        <w:rPr>
          <w:i/>
        </w:rPr>
        <w:t>Id</w:t>
      </w:r>
      <w:r>
        <w:t>. at 5-6.</w:t>
      </w:r>
    </w:p>
  </w:footnote>
  <w:footnote w:id="4">
    <w:p w14:paraId="21DDFA56" w14:textId="443D72EE" w:rsidR="000A5335" w:rsidRDefault="000A5335" w:rsidP="0083543C">
      <w:pPr>
        <w:pStyle w:val="FootnoteText"/>
        <w:jc w:val="both"/>
      </w:pPr>
      <w:r>
        <w:rPr>
          <w:rStyle w:val="FootnoteReference"/>
        </w:rPr>
        <w:footnoteRef/>
      </w:r>
      <w:r>
        <w:t xml:space="preserve"> The Business Impact Analysis (“BIA”) is required by Ohio’s Common Sense Initiative (“CSI”).  When issuing rules, the BIA element of the CSI requires the OPSB to respond to a standard set of questions.  The OPSB’s BIA in this case ignores the substance of the questions and then inserts answers that are, at best, misleading.  For example, and in response to a question asking the OPSB to explain how it will measure the success of the proposed regulation, the OPSB claims that “… rules in this package contain general provisions and procedural matters which will not have measureable outputs or outcomes.”  BIA at 2.  For example, and in response to a request that the OPSB list the stakeholders included by the OPSB in the development or initial review of the draft regulation, the OPSB claims that the Board conducted a workshop on June 9, 2016 to receive feedback and that the OPSB “… enjoyed significant stakeholder participation at the workshop.”  BIA at 2-3.  As explained above, the June 9, 2016 meeting took place without any guidance on the purpose of the meeting and since the “draft regulation” did not show up until September 22, 2016, it was </w:t>
      </w:r>
      <w:r w:rsidRPr="00E26C82">
        <w:rPr>
          <w:b/>
          <w:i/>
        </w:rPr>
        <w:t>not possible</w:t>
      </w:r>
      <w:r>
        <w:t xml:space="preserve"> for anybody who participated in the June 9, 2016 meeting to provide feedback on any “draft regulation.”  For example, and in response to a question regarding the scientific data used to develop the rule or the measurable outcomes of the rule and how the scientific data support the regulation being proposed, the OPSB tellingly asserts that “[n]o specific scientific data was cited in the development of these rules.”  BIA at 3.  Because the OPSB is obligated, by R.C. 4906.20(B)(2) to prescribe reasonable regulations regarding such things as erosion control, wildlife protection, interconnection, ice throw, sound and noise levels, blade sheer, shadow flicker, and decommissioning, GNU asserts that the OPSB’s clear admission that it has relied on no scientific data is an acknowledgement, by the OPSB, that its draft regulations ignore a primary and critical input (scientific data) which must be considered to prescribe reasonable regulations.  For example, in response to a request that the OPSB identify the impacted business community, the OPSB claims that “… the only businesses impacted by the rules would be entities seeking to build electric generation facilities and wind farms.”  BIA at 4.  GNU’s members include family farmers engaged in the business of farming and land owners who host and operate recreational businesses.  The property rights of these businesses and the opportunity for these businesses to enjoy their property rights without wind farms trespassing are affected by the draft rules; these businesses are part of the business community impacted by the draft rules.  </w:t>
      </w:r>
    </w:p>
  </w:footnote>
  <w:footnote w:id="5">
    <w:p w14:paraId="7BD6E7F2" w14:textId="177476BD" w:rsidR="000A5335" w:rsidRDefault="000A5335">
      <w:pPr>
        <w:pStyle w:val="FootnoteText"/>
      </w:pPr>
      <w:r>
        <w:rPr>
          <w:rStyle w:val="FootnoteReference"/>
        </w:rPr>
        <w:footnoteRef/>
      </w:r>
      <w:r>
        <w:t xml:space="preserve"> </w:t>
      </w:r>
      <w:r w:rsidR="00D64CCF">
        <w:t xml:space="preserve">(emphasis in original).  </w:t>
      </w:r>
      <w:r>
        <w:t>See discussion at page 5 above.</w:t>
      </w:r>
    </w:p>
  </w:footnote>
  <w:footnote w:id="6">
    <w:p w14:paraId="6576CA32" w14:textId="0A276D8A" w:rsidR="006D6421" w:rsidRPr="006D6421" w:rsidRDefault="006D6421" w:rsidP="00C02D3C">
      <w:pPr>
        <w:pStyle w:val="FootnoteText"/>
        <w:jc w:val="both"/>
        <w:rPr>
          <w:rFonts w:cs="Arial"/>
        </w:rPr>
      </w:pPr>
      <w:r w:rsidRPr="006D6421">
        <w:rPr>
          <w:rStyle w:val="FootnoteReference"/>
          <w:rFonts w:cs="Arial"/>
        </w:rPr>
        <w:footnoteRef/>
      </w:r>
      <w:r w:rsidRPr="006D6421">
        <w:rPr>
          <w:rFonts w:cs="Arial"/>
        </w:rPr>
        <w:t xml:space="preserve"> </w:t>
      </w:r>
      <w:r w:rsidRPr="00C02D3C">
        <w:rPr>
          <w:rFonts w:cs="Arial"/>
          <w:i/>
        </w:rPr>
        <w:t xml:space="preserve"> In the Matter of the Application of 6011 Greenwich Windpark, LLC for a Certificate to Construct a Wind-Powered Electric Generation Facility in Huron County, Ohio</w:t>
      </w:r>
      <w:r w:rsidRPr="00C02D3C">
        <w:rPr>
          <w:rFonts w:cs="Arial"/>
        </w:rPr>
        <w:t>, Case No. 13</w:t>
      </w:r>
      <w:r w:rsidRPr="00C02D3C">
        <w:rPr>
          <w:rFonts w:cs="Arial"/>
        </w:rPr>
        <w:noBreakHyphen/>
        <w:t>990</w:t>
      </w:r>
      <w:r w:rsidRPr="00C02D3C">
        <w:rPr>
          <w:rFonts w:cs="Arial"/>
        </w:rPr>
        <w:noBreakHyphen/>
        <w:t>EL</w:t>
      </w:r>
      <w:r w:rsidRPr="00C02D3C">
        <w:rPr>
          <w:rFonts w:cs="Arial"/>
        </w:rPr>
        <w:noBreakHyphen/>
        <w:t xml:space="preserve">BGN, Entry on Rehearing at 14 </w:t>
      </w:r>
      <w:r w:rsidRPr="00167423">
        <w:rPr>
          <w:rFonts w:cs="Arial"/>
        </w:rPr>
        <w:t>(Aug. 27, 2015)</w:t>
      </w:r>
      <w:r w:rsidRPr="006D6421">
        <w:rPr>
          <w:rFonts w:cs="Arial"/>
        </w:rPr>
        <w:t xml:space="preserve"> </w:t>
      </w:r>
      <w:r w:rsidRPr="00C02D3C">
        <w:rPr>
          <w:rFonts w:cs="Arial"/>
        </w:rPr>
        <w:t>(“R.C. 4906.20 does not grant to the Board or the ALJ the authority to waive the minimum setback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2B14B" w14:textId="77777777" w:rsidR="000D0910" w:rsidRDefault="000D0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5ACA3" w14:textId="77777777" w:rsidR="000D0910" w:rsidRDefault="000D09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D9809" w14:textId="77777777" w:rsidR="000D0910" w:rsidRDefault="000D09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62605" w14:textId="77777777" w:rsidR="000A5335" w:rsidRDefault="000A53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DDA9E" w14:textId="77777777" w:rsidR="000A5335" w:rsidRDefault="000A53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DA511" w14:textId="77777777" w:rsidR="000A5335" w:rsidRDefault="000A53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37CA" w14:textId="77777777" w:rsidR="000A5335" w:rsidRDefault="000A53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E9427" w14:textId="77777777" w:rsidR="000A5335" w:rsidRDefault="000A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7F9D"/>
    <w:multiLevelType w:val="hybridMultilevel"/>
    <w:tmpl w:val="938CD8BC"/>
    <w:lvl w:ilvl="0" w:tplc="1CCE79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D4991"/>
    <w:multiLevelType w:val="multilevel"/>
    <w:tmpl w:val="BC7ED9BA"/>
    <w:name w:val="IEU Basic-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2" w15:restartNumberingAfterBreak="0">
    <w:nsid w:val="6B8175AC"/>
    <w:multiLevelType w:val="hybridMultilevel"/>
    <w:tmpl w:val="E6EA53B8"/>
    <w:lvl w:ilvl="0" w:tplc="124EC2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35"/>
    <w:rsid w:val="00002272"/>
    <w:rsid w:val="00011991"/>
    <w:rsid w:val="00021471"/>
    <w:rsid w:val="000214DA"/>
    <w:rsid w:val="00024E92"/>
    <w:rsid w:val="000250D5"/>
    <w:rsid w:val="00034868"/>
    <w:rsid w:val="00036FC5"/>
    <w:rsid w:val="00040D36"/>
    <w:rsid w:val="000475B7"/>
    <w:rsid w:val="00055F01"/>
    <w:rsid w:val="0007171C"/>
    <w:rsid w:val="000723C6"/>
    <w:rsid w:val="000740CE"/>
    <w:rsid w:val="00074335"/>
    <w:rsid w:val="00075F86"/>
    <w:rsid w:val="000813A5"/>
    <w:rsid w:val="00081892"/>
    <w:rsid w:val="000819E6"/>
    <w:rsid w:val="00086622"/>
    <w:rsid w:val="000A50A9"/>
    <w:rsid w:val="000A5335"/>
    <w:rsid w:val="000A731A"/>
    <w:rsid w:val="000A7F75"/>
    <w:rsid w:val="000B0033"/>
    <w:rsid w:val="000B0DFE"/>
    <w:rsid w:val="000B36CB"/>
    <w:rsid w:val="000D0910"/>
    <w:rsid w:val="000D0DEB"/>
    <w:rsid w:val="000D1D72"/>
    <w:rsid w:val="000F5156"/>
    <w:rsid w:val="00112243"/>
    <w:rsid w:val="00114ADD"/>
    <w:rsid w:val="00121509"/>
    <w:rsid w:val="00121BE6"/>
    <w:rsid w:val="001268C4"/>
    <w:rsid w:val="00126BB8"/>
    <w:rsid w:val="001352D5"/>
    <w:rsid w:val="00151B59"/>
    <w:rsid w:val="00154C41"/>
    <w:rsid w:val="001600BA"/>
    <w:rsid w:val="00171059"/>
    <w:rsid w:val="0017409C"/>
    <w:rsid w:val="00182288"/>
    <w:rsid w:val="00182A60"/>
    <w:rsid w:val="001853F5"/>
    <w:rsid w:val="001900E4"/>
    <w:rsid w:val="001919C9"/>
    <w:rsid w:val="00193917"/>
    <w:rsid w:val="00194906"/>
    <w:rsid w:val="001A1DEC"/>
    <w:rsid w:val="001B4F03"/>
    <w:rsid w:val="001C662B"/>
    <w:rsid w:val="001C6DC8"/>
    <w:rsid w:val="001D5538"/>
    <w:rsid w:val="001D6219"/>
    <w:rsid w:val="001E0D13"/>
    <w:rsid w:val="001E288B"/>
    <w:rsid w:val="001E4044"/>
    <w:rsid w:val="002017F5"/>
    <w:rsid w:val="0020427C"/>
    <w:rsid w:val="00205407"/>
    <w:rsid w:val="00214BE8"/>
    <w:rsid w:val="00215735"/>
    <w:rsid w:val="00217E3F"/>
    <w:rsid w:val="00220AFA"/>
    <w:rsid w:val="00225C97"/>
    <w:rsid w:val="0023191E"/>
    <w:rsid w:val="00234DFF"/>
    <w:rsid w:val="00252FF4"/>
    <w:rsid w:val="0025783F"/>
    <w:rsid w:val="002730EA"/>
    <w:rsid w:val="002773BE"/>
    <w:rsid w:val="002820A2"/>
    <w:rsid w:val="0028493B"/>
    <w:rsid w:val="0028528C"/>
    <w:rsid w:val="00287386"/>
    <w:rsid w:val="002879FA"/>
    <w:rsid w:val="00294953"/>
    <w:rsid w:val="002B02FB"/>
    <w:rsid w:val="002B483F"/>
    <w:rsid w:val="002C6A58"/>
    <w:rsid w:val="002E0BE9"/>
    <w:rsid w:val="002E3732"/>
    <w:rsid w:val="002E3DC5"/>
    <w:rsid w:val="002E61C8"/>
    <w:rsid w:val="002F5929"/>
    <w:rsid w:val="003023A1"/>
    <w:rsid w:val="00304785"/>
    <w:rsid w:val="003177CA"/>
    <w:rsid w:val="0032185F"/>
    <w:rsid w:val="003251E7"/>
    <w:rsid w:val="00325AC4"/>
    <w:rsid w:val="0033039B"/>
    <w:rsid w:val="00335B27"/>
    <w:rsid w:val="003461B7"/>
    <w:rsid w:val="00351C40"/>
    <w:rsid w:val="00353720"/>
    <w:rsid w:val="00356176"/>
    <w:rsid w:val="00361DB3"/>
    <w:rsid w:val="00366C69"/>
    <w:rsid w:val="00366CB9"/>
    <w:rsid w:val="00377DC4"/>
    <w:rsid w:val="003851D2"/>
    <w:rsid w:val="003A03EA"/>
    <w:rsid w:val="003A1D82"/>
    <w:rsid w:val="003A3CDB"/>
    <w:rsid w:val="003C05A8"/>
    <w:rsid w:val="003D23CD"/>
    <w:rsid w:val="003E3DEA"/>
    <w:rsid w:val="003E50C8"/>
    <w:rsid w:val="003F7E18"/>
    <w:rsid w:val="00407565"/>
    <w:rsid w:val="00407E3D"/>
    <w:rsid w:val="00414D9C"/>
    <w:rsid w:val="00416C0B"/>
    <w:rsid w:val="0043302C"/>
    <w:rsid w:val="004372FB"/>
    <w:rsid w:val="004417D1"/>
    <w:rsid w:val="00446B25"/>
    <w:rsid w:val="0045370E"/>
    <w:rsid w:val="00453B01"/>
    <w:rsid w:val="00460BE8"/>
    <w:rsid w:val="004671D3"/>
    <w:rsid w:val="00470CCF"/>
    <w:rsid w:val="0047103F"/>
    <w:rsid w:val="00481011"/>
    <w:rsid w:val="00486809"/>
    <w:rsid w:val="00486BDB"/>
    <w:rsid w:val="004872A2"/>
    <w:rsid w:val="004934C5"/>
    <w:rsid w:val="00497A18"/>
    <w:rsid w:val="004E26AA"/>
    <w:rsid w:val="004E445A"/>
    <w:rsid w:val="004E6647"/>
    <w:rsid w:val="004F1053"/>
    <w:rsid w:val="00511568"/>
    <w:rsid w:val="005208D5"/>
    <w:rsid w:val="00520A0C"/>
    <w:rsid w:val="00522321"/>
    <w:rsid w:val="00524617"/>
    <w:rsid w:val="00525427"/>
    <w:rsid w:val="00526047"/>
    <w:rsid w:val="00532E00"/>
    <w:rsid w:val="0053615E"/>
    <w:rsid w:val="0054303D"/>
    <w:rsid w:val="005431CD"/>
    <w:rsid w:val="00545D32"/>
    <w:rsid w:val="00560FB5"/>
    <w:rsid w:val="0056292C"/>
    <w:rsid w:val="0056465A"/>
    <w:rsid w:val="00566149"/>
    <w:rsid w:val="00567C0A"/>
    <w:rsid w:val="00567CC6"/>
    <w:rsid w:val="00572BC0"/>
    <w:rsid w:val="00575C22"/>
    <w:rsid w:val="005800B9"/>
    <w:rsid w:val="00596881"/>
    <w:rsid w:val="00597FF9"/>
    <w:rsid w:val="005A120C"/>
    <w:rsid w:val="005A4DB9"/>
    <w:rsid w:val="005B25B1"/>
    <w:rsid w:val="005B490B"/>
    <w:rsid w:val="005C3081"/>
    <w:rsid w:val="005D3C98"/>
    <w:rsid w:val="005D7255"/>
    <w:rsid w:val="005D7B7E"/>
    <w:rsid w:val="005E345B"/>
    <w:rsid w:val="005F207E"/>
    <w:rsid w:val="005F300F"/>
    <w:rsid w:val="005F7912"/>
    <w:rsid w:val="00602FC4"/>
    <w:rsid w:val="00605DBE"/>
    <w:rsid w:val="00613FED"/>
    <w:rsid w:val="00615EC8"/>
    <w:rsid w:val="00624F37"/>
    <w:rsid w:val="00626889"/>
    <w:rsid w:val="006316B5"/>
    <w:rsid w:val="00632056"/>
    <w:rsid w:val="00637F23"/>
    <w:rsid w:val="00640869"/>
    <w:rsid w:val="006431F0"/>
    <w:rsid w:val="006550DC"/>
    <w:rsid w:val="006562B5"/>
    <w:rsid w:val="00683112"/>
    <w:rsid w:val="006848CA"/>
    <w:rsid w:val="00685E7E"/>
    <w:rsid w:val="00690A86"/>
    <w:rsid w:val="0069148A"/>
    <w:rsid w:val="00692866"/>
    <w:rsid w:val="006A0C23"/>
    <w:rsid w:val="006A6CA9"/>
    <w:rsid w:val="006A7439"/>
    <w:rsid w:val="006C1BAD"/>
    <w:rsid w:val="006C31B9"/>
    <w:rsid w:val="006C4799"/>
    <w:rsid w:val="006D3464"/>
    <w:rsid w:val="006D4457"/>
    <w:rsid w:val="006D5328"/>
    <w:rsid w:val="006D6421"/>
    <w:rsid w:val="006F5DD6"/>
    <w:rsid w:val="00702533"/>
    <w:rsid w:val="00710D67"/>
    <w:rsid w:val="007128B5"/>
    <w:rsid w:val="00721D9E"/>
    <w:rsid w:val="00722965"/>
    <w:rsid w:val="00725040"/>
    <w:rsid w:val="0072640D"/>
    <w:rsid w:val="0074095D"/>
    <w:rsid w:val="0074099A"/>
    <w:rsid w:val="0074473D"/>
    <w:rsid w:val="007465CE"/>
    <w:rsid w:val="00750825"/>
    <w:rsid w:val="00757720"/>
    <w:rsid w:val="00763EAE"/>
    <w:rsid w:val="00765599"/>
    <w:rsid w:val="00770131"/>
    <w:rsid w:val="0077098C"/>
    <w:rsid w:val="00777A26"/>
    <w:rsid w:val="00786B35"/>
    <w:rsid w:val="007924C9"/>
    <w:rsid w:val="00793792"/>
    <w:rsid w:val="007A246D"/>
    <w:rsid w:val="007B43E4"/>
    <w:rsid w:val="007C10E4"/>
    <w:rsid w:val="007C1450"/>
    <w:rsid w:val="007C2EE2"/>
    <w:rsid w:val="007C75B0"/>
    <w:rsid w:val="007D010C"/>
    <w:rsid w:val="007E2C6C"/>
    <w:rsid w:val="007E3247"/>
    <w:rsid w:val="007E6325"/>
    <w:rsid w:val="007F5073"/>
    <w:rsid w:val="0080145F"/>
    <w:rsid w:val="0080384F"/>
    <w:rsid w:val="00806F58"/>
    <w:rsid w:val="008074EE"/>
    <w:rsid w:val="00812EF4"/>
    <w:rsid w:val="00815E14"/>
    <w:rsid w:val="00821E9D"/>
    <w:rsid w:val="00825FD7"/>
    <w:rsid w:val="00827F1F"/>
    <w:rsid w:val="00830377"/>
    <w:rsid w:val="0083110D"/>
    <w:rsid w:val="0083543C"/>
    <w:rsid w:val="00841BB1"/>
    <w:rsid w:val="0084300A"/>
    <w:rsid w:val="00856777"/>
    <w:rsid w:val="008601A4"/>
    <w:rsid w:val="00867F74"/>
    <w:rsid w:val="008730B2"/>
    <w:rsid w:val="00883BE2"/>
    <w:rsid w:val="00885D8F"/>
    <w:rsid w:val="00887D54"/>
    <w:rsid w:val="008A24D1"/>
    <w:rsid w:val="008B1F4D"/>
    <w:rsid w:val="008B5D67"/>
    <w:rsid w:val="008C5145"/>
    <w:rsid w:val="008D1828"/>
    <w:rsid w:val="008E2ADD"/>
    <w:rsid w:val="008E3BF4"/>
    <w:rsid w:val="008E7824"/>
    <w:rsid w:val="008F59F2"/>
    <w:rsid w:val="008F71C7"/>
    <w:rsid w:val="00902040"/>
    <w:rsid w:val="009030FF"/>
    <w:rsid w:val="00906038"/>
    <w:rsid w:val="00912424"/>
    <w:rsid w:val="009140EB"/>
    <w:rsid w:val="0092009C"/>
    <w:rsid w:val="00941DB0"/>
    <w:rsid w:val="009439BA"/>
    <w:rsid w:val="00945EF1"/>
    <w:rsid w:val="00956210"/>
    <w:rsid w:val="009626CE"/>
    <w:rsid w:val="00966CAE"/>
    <w:rsid w:val="0096793D"/>
    <w:rsid w:val="00971D83"/>
    <w:rsid w:val="009723C2"/>
    <w:rsid w:val="00973187"/>
    <w:rsid w:val="00975D0C"/>
    <w:rsid w:val="00977484"/>
    <w:rsid w:val="00982FAA"/>
    <w:rsid w:val="00985FDC"/>
    <w:rsid w:val="00991CFD"/>
    <w:rsid w:val="009A2FF0"/>
    <w:rsid w:val="009C1142"/>
    <w:rsid w:val="009D0F65"/>
    <w:rsid w:val="009D3626"/>
    <w:rsid w:val="009D432E"/>
    <w:rsid w:val="009E4B5A"/>
    <w:rsid w:val="009F26A7"/>
    <w:rsid w:val="009F5957"/>
    <w:rsid w:val="00A02E65"/>
    <w:rsid w:val="00A15ED6"/>
    <w:rsid w:val="00A30B44"/>
    <w:rsid w:val="00A33331"/>
    <w:rsid w:val="00A43EFB"/>
    <w:rsid w:val="00A47235"/>
    <w:rsid w:val="00A50E9C"/>
    <w:rsid w:val="00A51DF6"/>
    <w:rsid w:val="00A54322"/>
    <w:rsid w:val="00A563FC"/>
    <w:rsid w:val="00A567A8"/>
    <w:rsid w:val="00A615E1"/>
    <w:rsid w:val="00A61879"/>
    <w:rsid w:val="00A63568"/>
    <w:rsid w:val="00A74E78"/>
    <w:rsid w:val="00A829AB"/>
    <w:rsid w:val="00A92C3E"/>
    <w:rsid w:val="00AB31B4"/>
    <w:rsid w:val="00AB4803"/>
    <w:rsid w:val="00AC1C88"/>
    <w:rsid w:val="00AD7B58"/>
    <w:rsid w:val="00B11791"/>
    <w:rsid w:val="00B165E6"/>
    <w:rsid w:val="00B16D37"/>
    <w:rsid w:val="00B1772B"/>
    <w:rsid w:val="00B25E7C"/>
    <w:rsid w:val="00B3515A"/>
    <w:rsid w:val="00B35B10"/>
    <w:rsid w:val="00B3708B"/>
    <w:rsid w:val="00B55DB1"/>
    <w:rsid w:val="00B60EDF"/>
    <w:rsid w:val="00B63D42"/>
    <w:rsid w:val="00B703E0"/>
    <w:rsid w:val="00B71AD1"/>
    <w:rsid w:val="00B74BFB"/>
    <w:rsid w:val="00B76659"/>
    <w:rsid w:val="00B806EF"/>
    <w:rsid w:val="00B82ABC"/>
    <w:rsid w:val="00B91DE7"/>
    <w:rsid w:val="00B96B55"/>
    <w:rsid w:val="00BA3055"/>
    <w:rsid w:val="00BC4F00"/>
    <w:rsid w:val="00BC5DED"/>
    <w:rsid w:val="00BD05C0"/>
    <w:rsid w:val="00BD06F7"/>
    <w:rsid w:val="00BD1650"/>
    <w:rsid w:val="00BE13F2"/>
    <w:rsid w:val="00BE2505"/>
    <w:rsid w:val="00BE645A"/>
    <w:rsid w:val="00BF52D1"/>
    <w:rsid w:val="00C02D3C"/>
    <w:rsid w:val="00C0405A"/>
    <w:rsid w:val="00C15112"/>
    <w:rsid w:val="00C1662D"/>
    <w:rsid w:val="00C17184"/>
    <w:rsid w:val="00C2575F"/>
    <w:rsid w:val="00C34BDA"/>
    <w:rsid w:val="00C354B8"/>
    <w:rsid w:val="00C401C1"/>
    <w:rsid w:val="00C44006"/>
    <w:rsid w:val="00C548E1"/>
    <w:rsid w:val="00C55241"/>
    <w:rsid w:val="00C60EE7"/>
    <w:rsid w:val="00C64B61"/>
    <w:rsid w:val="00C81698"/>
    <w:rsid w:val="00C93372"/>
    <w:rsid w:val="00C93403"/>
    <w:rsid w:val="00C94AC1"/>
    <w:rsid w:val="00CA1250"/>
    <w:rsid w:val="00CA6FAA"/>
    <w:rsid w:val="00CB4541"/>
    <w:rsid w:val="00CB46EF"/>
    <w:rsid w:val="00CB6429"/>
    <w:rsid w:val="00CB723B"/>
    <w:rsid w:val="00CC245A"/>
    <w:rsid w:val="00CD1906"/>
    <w:rsid w:val="00CE01A2"/>
    <w:rsid w:val="00CF07AB"/>
    <w:rsid w:val="00CF4B4E"/>
    <w:rsid w:val="00D1010C"/>
    <w:rsid w:val="00D11CAA"/>
    <w:rsid w:val="00D136C7"/>
    <w:rsid w:val="00D1674F"/>
    <w:rsid w:val="00D32353"/>
    <w:rsid w:val="00D51195"/>
    <w:rsid w:val="00D54617"/>
    <w:rsid w:val="00D54FF7"/>
    <w:rsid w:val="00D60CD2"/>
    <w:rsid w:val="00D64CCF"/>
    <w:rsid w:val="00D845A5"/>
    <w:rsid w:val="00D91824"/>
    <w:rsid w:val="00D92100"/>
    <w:rsid w:val="00D968B2"/>
    <w:rsid w:val="00D973D0"/>
    <w:rsid w:val="00DA4349"/>
    <w:rsid w:val="00DB025B"/>
    <w:rsid w:val="00DB6F4A"/>
    <w:rsid w:val="00DB7CE6"/>
    <w:rsid w:val="00DD4A26"/>
    <w:rsid w:val="00DD6795"/>
    <w:rsid w:val="00DE1E87"/>
    <w:rsid w:val="00DE22B8"/>
    <w:rsid w:val="00DF2E0E"/>
    <w:rsid w:val="00E0043E"/>
    <w:rsid w:val="00E02E7E"/>
    <w:rsid w:val="00E05F35"/>
    <w:rsid w:val="00E078A6"/>
    <w:rsid w:val="00E11F10"/>
    <w:rsid w:val="00E2384C"/>
    <w:rsid w:val="00E23F50"/>
    <w:rsid w:val="00E26C82"/>
    <w:rsid w:val="00E35D81"/>
    <w:rsid w:val="00E43199"/>
    <w:rsid w:val="00E44B25"/>
    <w:rsid w:val="00E5350C"/>
    <w:rsid w:val="00E54730"/>
    <w:rsid w:val="00E54736"/>
    <w:rsid w:val="00E554EC"/>
    <w:rsid w:val="00E56C0F"/>
    <w:rsid w:val="00E74BFA"/>
    <w:rsid w:val="00E86704"/>
    <w:rsid w:val="00E94E01"/>
    <w:rsid w:val="00EA1996"/>
    <w:rsid w:val="00EA363C"/>
    <w:rsid w:val="00EA40D5"/>
    <w:rsid w:val="00EE4406"/>
    <w:rsid w:val="00F033D3"/>
    <w:rsid w:val="00F145A1"/>
    <w:rsid w:val="00F16E76"/>
    <w:rsid w:val="00F228F6"/>
    <w:rsid w:val="00F34FD0"/>
    <w:rsid w:val="00F416D8"/>
    <w:rsid w:val="00F41CF7"/>
    <w:rsid w:val="00F44D0F"/>
    <w:rsid w:val="00F45A95"/>
    <w:rsid w:val="00F502BD"/>
    <w:rsid w:val="00F51A31"/>
    <w:rsid w:val="00F5513F"/>
    <w:rsid w:val="00F74237"/>
    <w:rsid w:val="00F74375"/>
    <w:rsid w:val="00F92A02"/>
    <w:rsid w:val="00F966C2"/>
    <w:rsid w:val="00F96D9A"/>
    <w:rsid w:val="00FA7151"/>
    <w:rsid w:val="00FB0408"/>
    <w:rsid w:val="00FB0EF0"/>
    <w:rsid w:val="00FB3D7B"/>
    <w:rsid w:val="00FC038C"/>
    <w:rsid w:val="00FC42E9"/>
    <w:rsid w:val="00FD0844"/>
    <w:rsid w:val="00FD2CAF"/>
    <w:rsid w:val="00FE385C"/>
    <w:rsid w:val="00FF320C"/>
    <w:rsid w:val="00FF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4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4B5A"/>
    <w:pPr>
      <w:numPr>
        <w:numId w:val="3"/>
      </w:numPr>
      <w:spacing w:before="240" w:after="360"/>
      <w:jc w:val="both"/>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23191E"/>
    <w:pPr>
      <w:numPr>
        <w:ilvl w:val="1"/>
        <w:numId w:val="3"/>
      </w:numPr>
      <w:tabs>
        <w:tab w:val="left" w:pos="1440"/>
      </w:tabs>
      <w:spacing w:after="240"/>
      <w:jc w:val="both"/>
      <w:outlineLvl w:val="1"/>
    </w:pPr>
    <w:rPr>
      <w:rFonts w:eastAsiaTheme="majorEastAsia" w:cs="Arial"/>
      <w:b/>
      <w:szCs w:val="26"/>
    </w:rPr>
  </w:style>
  <w:style w:type="paragraph" w:styleId="Heading3">
    <w:name w:val="heading 3"/>
    <w:basedOn w:val="Normal"/>
    <w:next w:val="Normal"/>
    <w:link w:val="Heading3Char"/>
    <w:uiPriority w:val="9"/>
    <w:semiHidden/>
    <w:unhideWhenUsed/>
    <w:qFormat/>
    <w:rsid w:val="0023191E"/>
    <w:pPr>
      <w:numPr>
        <w:ilvl w:val="2"/>
        <w:numId w:val="3"/>
      </w:numPr>
      <w:tabs>
        <w:tab w:val="left" w:pos="2160"/>
      </w:tabs>
      <w:spacing w:after="240"/>
      <w:jc w:val="both"/>
      <w:outlineLvl w:val="2"/>
    </w:pPr>
    <w:rPr>
      <w:rFonts w:eastAsiaTheme="majorEastAsia" w:cs="Arial"/>
      <w:b/>
    </w:rPr>
  </w:style>
  <w:style w:type="paragraph" w:styleId="Heading4">
    <w:name w:val="heading 4"/>
    <w:basedOn w:val="Normal"/>
    <w:next w:val="Normal"/>
    <w:link w:val="Heading4Char"/>
    <w:uiPriority w:val="9"/>
    <w:semiHidden/>
    <w:unhideWhenUsed/>
    <w:qFormat/>
    <w:rsid w:val="0023191E"/>
    <w:pPr>
      <w:numPr>
        <w:ilvl w:val="3"/>
        <w:numId w:val="3"/>
      </w:numPr>
      <w:tabs>
        <w:tab w:val="left" w:pos="2880"/>
      </w:tabs>
      <w:spacing w:after="240"/>
      <w:jc w:val="both"/>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23191E"/>
    <w:pPr>
      <w:numPr>
        <w:ilvl w:val="4"/>
        <w:numId w:val="3"/>
      </w:numPr>
      <w:tabs>
        <w:tab w:val="left" w:pos="3600"/>
      </w:tabs>
      <w:spacing w:after="240"/>
      <w:jc w:val="both"/>
      <w:outlineLvl w:val="4"/>
    </w:pPr>
    <w:rPr>
      <w:rFonts w:eastAsiaTheme="majorEastAsia" w:cs="Arial"/>
      <w:color w:val="243F60" w:themeColor="accent1" w:themeShade="7F"/>
    </w:rPr>
  </w:style>
  <w:style w:type="paragraph" w:styleId="Heading6">
    <w:name w:val="heading 6"/>
    <w:basedOn w:val="Normal"/>
    <w:next w:val="Normal"/>
    <w:link w:val="Heading6Char"/>
    <w:uiPriority w:val="9"/>
    <w:semiHidden/>
    <w:unhideWhenUsed/>
    <w:qFormat/>
    <w:rsid w:val="0023191E"/>
    <w:pPr>
      <w:numPr>
        <w:ilvl w:val="5"/>
        <w:numId w:val="3"/>
      </w:numPr>
      <w:tabs>
        <w:tab w:val="left" w:pos="4320"/>
      </w:tabs>
      <w:spacing w:after="240"/>
      <w:jc w:val="both"/>
      <w:outlineLvl w:val="5"/>
    </w:pPr>
    <w:rPr>
      <w:rFonts w:eastAsiaTheme="majorEastAsia" w:cs="Arial"/>
      <w:color w:val="243F60" w:themeColor="accent1" w:themeShade="7F"/>
    </w:rPr>
  </w:style>
  <w:style w:type="paragraph" w:styleId="Heading7">
    <w:name w:val="heading 7"/>
    <w:basedOn w:val="Normal"/>
    <w:next w:val="Normal"/>
    <w:link w:val="Heading7Char"/>
    <w:uiPriority w:val="9"/>
    <w:semiHidden/>
    <w:unhideWhenUsed/>
    <w:qFormat/>
    <w:rsid w:val="0023191E"/>
    <w:pPr>
      <w:numPr>
        <w:ilvl w:val="6"/>
        <w:numId w:val="3"/>
      </w:numPr>
      <w:tabs>
        <w:tab w:val="left" w:pos="5040"/>
      </w:tabs>
      <w:spacing w:after="240"/>
      <w:jc w:val="both"/>
      <w:outlineLvl w:val="6"/>
    </w:pPr>
    <w:rPr>
      <w:rFonts w:eastAsiaTheme="majorEastAsia" w:cs="Arial"/>
      <w:iCs/>
      <w:color w:val="404040" w:themeColor="text1" w:themeTint="BF"/>
    </w:rPr>
  </w:style>
  <w:style w:type="paragraph" w:styleId="Heading8">
    <w:name w:val="heading 8"/>
    <w:basedOn w:val="Normal"/>
    <w:next w:val="Normal"/>
    <w:link w:val="Heading8Char"/>
    <w:uiPriority w:val="9"/>
    <w:semiHidden/>
    <w:unhideWhenUsed/>
    <w:qFormat/>
    <w:rsid w:val="0023191E"/>
    <w:pPr>
      <w:numPr>
        <w:ilvl w:val="7"/>
        <w:numId w:val="3"/>
      </w:numPr>
      <w:tabs>
        <w:tab w:val="left" w:pos="5760"/>
      </w:tabs>
      <w:spacing w:after="240"/>
      <w:jc w:val="both"/>
      <w:outlineLvl w:val="7"/>
    </w:pPr>
    <w:rPr>
      <w:rFonts w:eastAsiaTheme="majorEastAsia" w:cs="Arial"/>
      <w:color w:val="404040" w:themeColor="text1" w:themeTint="BF"/>
      <w:szCs w:val="21"/>
    </w:rPr>
  </w:style>
  <w:style w:type="paragraph" w:styleId="Heading9">
    <w:name w:val="heading 9"/>
    <w:basedOn w:val="Normal"/>
    <w:next w:val="Normal"/>
    <w:link w:val="Heading9Char"/>
    <w:uiPriority w:val="9"/>
    <w:semiHidden/>
    <w:unhideWhenUsed/>
    <w:qFormat/>
    <w:rsid w:val="0023191E"/>
    <w:pPr>
      <w:numPr>
        <w:ilvl w:val="8"/>
        <w:numId w:val="3"/>
      </w:numPr>
      <w:tabs>
        <w:tab w:val="left" w:pos="6480"/>
      </w:tabs>
      <w:spacing w:after="240"/>
      <w:jc w:val="both"/>
      <w:outlineLvl w:val="8"/>
    </w:pPr>
    <w:rPr>
      <w:rFonts w:eastAsiaTheme="majorEastAsia" w:cs="Arial"/>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E00"/>
    <w:pPr>
      <w:tabs>
        <w:tab w:val="center" w:pos="4680"/>
        <w:tab w:val="right" w:pos="9360"/>
      </w:tabs>
    </w:pPr>
  </w:style>
  <w:style w:type="character" w:customStyle="1" w:styleId="HeaderChar">
    <w:name w:val="Header Char"/>
    <w:basedOn w:val="DefaultParagraphFont"/>
    <w:link w:val="Header"/>
    <w:uiPriority w:val="99"/>
    <w:rsid w:val="00532E00"/>
  </w:style>
  <w:style w:type="paragraph" w:styleId="Footer">
    <w:name w:val="footer"/>
    <w:basedOn w:val="Normal"/>
    <w:link w:val="FooterChar"/>
    <w:uiPriority w:val="99"/>
    <w:unhideWhenUsed/>
    <w:rsid w:val="00532E00"/>
    <w:pPr>
      <w:tabs>
        <w:tab w:val="center" w:pos="4680"/>
        <w:tab w:val="right" w:pos="9360"/>
      </w:tabs>
    </w:pPr>
  </w:style>
  <w:style w:type="character" w:customStyle="1" w:styleId="FooterChar">
    <w:name w:val="Footer Char"/>
    <w:basedOn w:val="DefaultParagraphFont"/>
    <w:link w:val="Footer"/>
    <w:uiPriority w:val="99"/>
    <w:rsid w:val="00532E00"/>
  </w:style>
  <w:style w:type="paragraph" w:styleId="ListParagraph">
    <w:name w:val="List Paragraph"/>
    <w:basedOn w:val="Normal"/>
    <w:uiPriority w:val="34"/>
    <w:qFormat/>
    <w:rsid w:val="00765599"/>
    <w:pPr>
      <w:ind w:left="720"/>
      <w:contextualSpacing/>
    </w:pPr>
  </w:style>
  <w:style w:type="character" w:customStyle="1" w:styleId="Heading1Char">
    <w:name w:val="Heading 1 Char"/>
    <w:basedOn w:val="DefaultParagraphFont"/>
    <w:link w:val="Heading1"/>
    <w:uiPriority w:val="9"/>
    <w:rsid w:val="009E4B5A"/>
    <w:rPr>
      <w:rFonts w:eastAsiaTheme="majorEastAsia" w:cs="Arial"/>
      <w:b/>
      <w:bCs/>
      <w:caps/>
      <w:szCs w:val="28"/>
      <w:u w:val="single"/>
    </w:rPr>
  </w:style>
  <w:style w:type="paragraph" w:styleId="FootnoteText">
    <w:name w:val="footnote text"/>
    <w:basedOn w:val="Normal"/>
    <w:link w:val="FootnoteTextChar"/>
    <w:uiPriority w:val="99"/>
    <w:semiHidden/>
    <w:unhideWhenUsed/>
    <w:rsid w:val="00075F86"/>
    <w:rPr>
      <w:sz w:val="20"/>
      <w:szCs w:val="20"/>
    </w:rPr>
  </w:style>
  <w:style w:type="character" w:customStyle="1" w:styleId="FootnoteTextChar">
    <w:name w:val="Footnote Text Char"/>
    <w:basedOn w:val="DefaultParagraphFont"/>
    <w:link w:val="FootnoteText"/>
    <w:uiPriority w:val="99"/>
    <w:semiHidden/>
    <w:rsid w:val="00075F86"/>
    <w:rPr>
      <w:sz w:val="20"/>
      <w:szCs w:val="20"/>
    </w:rPr>
  </w:style>
  <w:style w:type="character" w:styleId="FootnoteReference">
    <w:name w:val="footnote reference"/>
    <w:basedOn w:val="DefaultParagraphFont"/>
    <w:uiPriority w:val="99"/>
    <w:semiHidden/>
    <w:unhideWhenUsed/>
    <w:rsid w:val="00075F86"/>
    <w:rPr>
      <w:vertAlign w:val="superscript"/>
    </w:rPr>
  </w:style>
  <w:style w:type="paragraph" w:styleId="Title">
    <w:name w:val="Title"/>
    <w:basedOn w:val="Normal"/>
    <w:link w:val="TitleChar"/>
    <w:qFormat/>
    <w:rsid w:val="00A61879"/>
    <w:pPr>
      <w:jc w:val="center"/>
    </w:pPr>
    <w:rPr>
      <w:rFonts w:eastAsia="Times New Roman" w:cs="Arial"/>
      <w:b/>
      <w:smallCaps/>
      <w:sz w:val="32"/>
    </w:rPr>
  </w:style>
  <w:style w:type="character" w:customStyle="1" w:styleId="TitleChar">
    <w:name w:val="Title Char"/>
    <w:basedOn w:val="DefaultParagraphFont"/>
    <w:link w:val="Title"/>
    <w:rsid w:val="00A61879"/>
    <w:rPr>
      <w:rFonts w:eastAsia="Times New Roman" w:cs="Arial"/>
      <w:b/>
      <w:smallCaps/>
      <w:sz w:val="32"/>
    </w:rPr>
  </w:style>
  <w:style w:type="paragraph" w:styleId="BodyTextIndent">
    <w:name w:val="Body Text Indent"/>
    <w:basedOn w:val="Normal"/>
    <w:link w:val="BodyTextIndentChar"/>
    <w:rsid w:val="003251E7"/>
    <w:pPr>
      <w:ind w:firstLine="720"/>
      <w:jc w:val="both"/>
    </w:pPr>
    <w:rPr>
      <w:rFonts w:eastAsia="Times New Roman" w:cs="Arial"/>
    </w:rPr>
  </w:style>
  <w:style w:type="character" w:customStyle="1" w:styleId="BodyTextIndentChar">
    <w:name w:val="Body Text Indent Char"/>
    <w:basedOn w:val="DefaultParagraphFont"/>
    <w:link w:val="BodyTextIndent"/>
    <w:rsid w:val="003251E7"/>
    <w:rPr>
      <w:rFonts w:eastAsia="Times New Roman" w:cs="Arial"/>
    </w:rPr>
  </w:style>
  <w:style w:type="paragraph" w:styleId="BodyText">
    <w:name w:val="Body Text"/>
    <w:basedOn w:val="Normal"/>
    <w:link w:val="BodyTextChar"/>
    <w:uiPriority w:val="99"/>
    <w:semiHidden/>
    <w:unhideWhenUsed/>
    <w:rsid w:val="003251E7"/>
    <w:pPr>
      <w:spacing w:after="120"/>
    </w:pPr>
  </w:style>
  <w:style w:type="character" w:customStyle="1" w:styleId="BodyTextChar">
    <w:name w:val="Body Text Char"/>
    <w:basedOn w:val="DefaultParagraphFont"/>
    <w:link w:val="BodyText"/>
    <w:uiPriority w:val="99"/>
    <w:semiHidden/>
    <w:rsid w:val="003251E7"/>
  </w:style>
  <w:style w:type="character" w:customStyle="1" w:styleId="Heading2Char">
    <w:name w:val="Heading 2 Char"/>
    <w:basedOn w:val="DefaultParagraphFont"/>
    <w:link w:val="Heading2"/>
    <w:uiPriority w:val="9"/>
    <w:rsid w:val="0023191E"/>
    <w:rPr>
      <w:rFonts w:eastAsiaTheme="majorEastAsia" w:cs="Arial"/>
      <w:b/>
      <w:szCs w:val="26"/>
    </w:rPr>
  </w:style>
  <w:style w:type="character" w:customStyle="1" w:styleId="Heading3Char">
    <w:name w:val="Heading 3 Char"/>
    <w:basedOn w:val="DefaultParagraphFont"/>
    <w:link w:val="Heading3"/>
    <w:uiPriority w:val="9"/>
    <w:semiHidden/>
    <w:rsid w:val="0023191E"/>
    <w:rPr>
      <w:rFonts w:eastAsiaTheme="majorEastAsia" w:cs="Arial"/>
      <w:b/>
    </w:rPr>
  </w:style>
  <w:style w:type="character" w:customStyle="1" w:styleId="Heading4Char">
    <w:name w:val="Heading 4 Char"/>
    <w:basedOn w:val="DefaultParagraphFont"/>
    <w:link w:val="Heading4"/>
    <w:uiPriority w:val="9"/>
    <w:semiHidden/>
    <w:rsid w:val="0023191E"/>
    <w:rPr>
      <w:rFonts w:eastAsiaTheme="majorEastAsia" w:cs="Arial"/>
      <w:b/>
      <w:i/>
      <w:iCs/>
    </w:rPr>
  </w:style>
  <w:style w:type="character" w:customStyle="1" w:styleId="Heading5Char">
    <w:name w:val="Heading 5 Char"/>
    <w:basedOn w:val="DefaultParagraphFont"/>
    <w:link w:val="Heading5"/>
    <w:uiPriority w:val="9"/>
    <w:semiHidden/>
    <w:rsid w:val="0023191E"/>
    <w:rPr>
      <w:rFonts w:eastAsiaTheme="majorEastAsia" w:cs="Arial"/>
      <w:color w:val="243F60" w:themeColor="accent1" w:themeShade="7F"/>
    </w:rPr>
  </w:style>
  <w:style w:type="character" w:customStyle="1" w:styleId="Heading6Char">
    <w:name w:val="Heading 6 Char"/>
    <w:basedOn w:val="DefaultParagraphFont"/>
    <w:link w:val="Heading6"/>
    <w:uiPriority w:val="9"/>
    <w:semiHidden/>
    <w:rsid w:val="0023191E"/>
    <w:rPr>
      <w:rFonts w:eastAsiaTheme="majorEastAsia" w:cs="Arial"/>
      <w:color w:val="243F60" w:themeColor="accent1" w:themeShade="7F"/>
    </w:rPr>
  </w:style>
  <w:style w:type="character" w:customStyle="1" w:styleId="Heading7Char">
    <w:name w:val="Heading 7 Char"/>
    <w:basedOn w:val="DefaultParagraphFont"/>
    <w:link w:val="Heading7"/>
    <w:uiPriority w:val="9"/>
    <w:semiHidden/>
    <w:rsid w:val="0023191E"/>
    <w:rPr>
      <w:rFonts w:eastAsiaTheme="majorEastAsia" w:cs="Arial"/>
      <w:iCs/>
      <w:color w:val="404040" w:themeColor="text1" w:themeTint="BF"/>
    </w:rPr>
  </w:style>
  <w:style w:type="character" w:customStyle="1" w:styleId="Heading8Char">
    <w:name w:val="Heading 8 Char"/>
    <w:basedOn w:val="DefaultParagraphFont"/>
    <w:link w:val="Heading8"/>
    <w:uiPriority w:val="9"/>
    <w:semiHidden/>
    <w:rsid w:val="0023191E"/>
    <w:rPr>
      <w:rFonts w:eastAsiaTheme="majorEastAsia" w:cs="Arial"/>
      <w:color w:val="404040" w:themeColor="text1" w:themeTint="BF"/>
      <w:szCs w:val="21"/>
    </w:rPr>
  </w:style>
  <w:style w:type="character" w:customStyle="1" w:styleId="Heading9Char">
    <w:name w:val="Heading 9 Char"/>
    <w:basedOn w:val="DefaultParagraphFont"/>
    <w:link w:val="Heading9"/>
    <w:uiPriority w:val="9"/>
    <w:semiHidden/>
    <w:rsid w:val="0023191E"/>
    <w:rPr>
      <w:rFonts w:eastAsiaTheme="majorEastAsia" w:cs="Arial"/>
      <w:iCs/>
      <w:color w:val="404040" w:themeColor="text1" w:themeTint="BF"/>
      <w:szCs w:val="21"/>
    </w:rPr>
  </w:style>
  <w:style w:type="paragraph" w:styleId="BalloonText">
    <w:name w:val="Balloon Text"/>
    <w:basedOn w:val="Normal"/>
    <w:link w:val="BalloonTextChar"/>
    <w:uiPriority w:val="99"/>
    <w:semiHidden/>
    <w:unhideWhenUsed/>
    <w:rsid w:val="002319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91E"/>
    <w:rPr>
      <w:rFonts w:ascii="Segoe UI" w:hAnsi="Segoe UI" w:cs="Segoe UI"/>
      <w:sz w:val="18"/>
      <w:szCs w:val="18"/>
    </w:rPr>
  </w:style>
  <w:style w:type="paragraph" w:customStyle="1" w:styleId="GeneralPara">
    <w:name w:val="General Para"/>
    <w:basedOn w:val="Normal"/>
    <w:link w:val="GeneralParaChar"/>
    <w:qFormat/>
    <w:rsid w:val="0023191E"/>
    <w:pPr>
      <w:spacing w:after="200" w:line="480" w:lineRule="auto"/>
      <w:jc w:val="both"/>
    </w:pPr>
  </w:style>
  <w:style w:type="character" w:styleId="CommentReference">
    <w:name w:val="annotation reference"/>
    <w:basedOn w:val="DefaultParagraphFont"/>
    <w:uiPriority w:val="99"/>
    <w:semiHidden/>
    <w:unhideWhenUsed/>
    <w:rsid w:val="001D6219"/>
    <w:rPr>
      <w:sz w:val="16"/>
      <w:szCs w:val="16"/>
    </w:rPr>
  </w:style>
  <w:style w:type="character" w:customStyle="1" w:styleId="GeneralParaChar">
    <w:name w:val="General Para Char"/>
    <w:basedOn w:val="DefaultParagraphFont"/>
    <w:link w:val="GeneralPara"/>
    <w:rsid w:val="0023191E"/>
  </w:style>
  <w:style w:type="paragraph" w:styleId="CommentText">
    <w:name w:val="annotation text"/>
    <w:basedOn w:val="Normal"/>
    <w:link w:val="CommentTextChar"/>
    <w:uiPriority w:val="99"/>
    <w:semiHidden/>
    <w:unhideWhenUsed/>
    <w:rsid w:val="001D6219"/>
    <w:rPr>
      <w:sz w:val="20"/>
      <w:szCs w:val="20"/>
    </w:rPr>
  </w:style>
  <w:style w:type="character" w:customStyle="1" w:styleId="CommentTextChar">
    <w:name w:val="Comment Text Char"/>
    <w:basedOn w:val="DefaultParagraphFont"/>
    <w:link w:val="CommentText"/>
    <w:uiPriority w:val="99"/>
    <w:semiHidden/>
    <w:rsid w:val="001D6219"/>
    <w:rPr>
      <w:sz w:val="20"/>
      <w:szCs w:val="20"/>
    </w:rPr>
  </w:style>
  <w:style w:type="paragraph" w:styleId="CommentSubject">
    <w:name w:val="annotation subject"/>
    <w:basedOn w:val="CommentText"/>
    <w:next w:val="CommentText"/>
    <w:link w:val="CommentSubjectChar"/>
    <w:uiPriority w:val="99"/>
    <w:semiHidden/>
    <w:unhideWhenUsed/>
    <w:rsid w:val="001D6219"/>
    <w:rPr>
      <w:b/>
      <w:bCs/>
    </w:rPr>
  </w:style>
  <w:style w:type="character" w:customStyle="1" w:styleId="CommentSubjectChar">
    <w:name w:val="Comment Subject Char"/>
    <w:basedOn w:val="CommentTextChar"/>
    <w:link w:val="CommentSubject"/>
    <w:uiPriority w:val="99"/>
    <w:semiHidden/>
    <w:rsid w:val="001D6219"/>
    <w:rPr>
      <w:b/>
      <w:bCs/>
      <w:sz w:val="20"/>
      <w:szCs w:val="20"/>
    </w:rPr>
  </w:style>
  <w:style w:type="character" w:styleId="Hyperlink">
    <w:name w:val="Hyperlink"/>
    <w:basedOn w:val="DefaultParagraphFont"/>
    <w:uiPriority w:val="99"/>
    <w:unhideWhenUsed/>
    <w:rsid w:val="008E2ADD"/>
    <w:rPr>
      <w:color w:val="0000FF" w:themeColor="hyperlink"/>
      <w:u w:val="single"/>
    </w:rPr>
  </w:style>
  <w:style w:type="paragraph" w:styleId="TOCHeading">
    <w:name w:val="TOC Heading"/>
    <w:basedOn w:val="Heading1"/>
    <w:next w:val="Normal"/>
    <w:uiPriority w:val="39"/>
    <w:unhideWhenUsed/>
    <w:qFormat/>
    <w:rsid w:val="001E0D13"/>
    <w:pPr>
      <w:keepNext/>
      <w:keepLines/>
      <w:numPr>
        <w:numId w:val="0"/>
      </w:numPr>
      <w:spacing w:after="0" w:line="259" w:lineRule="auto"/>
      <w:jc w:val="left"/>
      <w:outlineLvl w:val="9"/>
    </w:pPr>
    <w:rPr>
      <w:rFonts w:asciiTheme="majorHAnsi" w:hAnsiTheme="majorHAnsi" w:cstheme="majorBidi"/>
      <w:b w:val="0"/>
      <w:bCs w:val="0"/>
      <w:caps w:val="0"/>
      <w:color w:val="365F91" w:themeColor="accent1" w:themeShade="BF"/>
      <w:sz w:val="32"/>
      <w:szCs w:val="32"/>
      <w:u w:val="none"/>
    </w:rPr>
  </w:style>
  <w:style w:type="paragraph" w:styleId="TOC1">
    <w:name w:val="toc 1"/>
    <w:basedOn w:val="Normal"/>
    <w:next w:val="Normal"/>
    <w:autoRedefine/>
    <w:uiPriority w:val="39"/>
    <w:unhideWhenUsed/>
    <w:rsid w:val="001E0D1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DB57B-3CEE-49CF-A724-E5E8FCCF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4072</Words>
  <Characters>21708</Characters>
  <Application>Microsoft Office Word</Application>
  <DocSecurity>0</DocSecurity>
  <PresentationFormat>14|.DOCX</PresentationFormat>
  <Lines>516</Lines>
  <Paragraphs>238</Paragraphs>
  <ScaleCrop>false</ScaleCrop>
  <HeadingPairs>
    <vt:vector size="2" baseType="variant">
      <vt:variant>
        <vt:lpstr>Title</vt:lpstr>
      </vt:variant>
      <vt:variant>
        <vt:i4>1</vt:i4>
      </vt:variant>
    </vt:vector>
  </HeadingPairs>
  <TitlesOfParts>
    <vt:vector size="1" baseType="lpstr">
      <vt:lpstr>Additional GNU Comments on OPSB Proposed Rules 16-1109-GE (C0108238-1).DOCX</vt:lpstr>
    </vt:vector>
  </TitlesOfParts>
  <Company/>
  <LinksUpToDate>false</LinksUpToDate>
  <CharactersWithSpaces>25542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GNU Comments on OPSB Proposed Rules 16-1109-GE (C0108238-1).DOCX</dc:title>
  <dc:subject>C0108238:1</dc:subject>
  <dc:creator/>
  <cp:keywords/>
  <dc:description/>
  <cp:lastModifiedBy/>
  <cp:revision>1</cp:revision>
  <dcterms:created xsi:type="dcterms:W3CDTF">2018-01-31T14:18:00Z</dcterms:created>
  <dcterms:modified xsi:type="dcterms:W3CDTF">2018-01-31T14:19:00Z</dcterms:modified>
</cp:coreProperties>
</file>