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CC" w:rsidRDefault="00B200B8">
      <w:pPr>
        <w:tabs>
          <w:tab w:val="left" w:pos="1140"/>
          <w:tab w:val="right" w:pos="9792"/>
        </w:tabs>
      </w:pPr>
      <w:bookmarkStart w:id="0" w:name="_GoBack"/>
      <w:bookmarkEnd w:id="0"/>
      <w:r>
        <w:t>August</w:t>
      </w:r>
      <w:r w:rsidR="00D76259">
        <w:t xml:space="preserve"> 8</w:t>
      </w:r>
      <w:r>
        <w:t xml:space="preserve">, </w:t>
      </w:r>
      <w:r w:rsidR="00D15E66">
        <w:t>2013</w:t>
      </w:r>
    </w:p>
    <w:p w:rsidR="002A6CCC" w:rsidRDefault="002A6CCC">
      <w:pPr>
        <w:tabs>
          <w:tab w:val="left" w:pos="1140"/>
          <w:tab w:val="right" w:pos="9792"/>
        </w:tabs>
      </w:pPr>
    </w:p>
    <w:p w:rsidR="002A6CCC" w:rsidRDefault="00E005AB">
      <w:pPr>
        <w:tabs>
          <w:tab w:val="left" w:pos="1140"/>
          <w:tab w:val="right" w:pos="9792"/>
        </w:tabs>
      </w:pPr>
      <w:r>
        <w:t>Ms. Barcy S. McNeal, Secretary</w:t>
      </w:r>
    </w:p>
    <w:p w:rsidR="002A6CCC" w:rsidRDefault="002A6CCC">
      <w:pPr>
        <w:tabs>
          <w:tab w:val="left" w:pos="1140"/>
          <w:tab w:val="right" w:pos="9792"/>
        </w:tabs>
      </w:pPr>
      <w:r>
        <w:t>Docketing Division</w:t>
      </w:r>
    </w:p>
    <w:p w:rsidR="002A6CCC" w:rsidRDefault="002A6CCC">
      <w:pPr>
        <w:tabs>
          <w:tab w:val="left" w:pos="1140"/>
          <w:tab w:val="right" w:pos="9792"/>
        </w:tabs>
      </w:pPr>
      <w:r>
        <w:t>Public Utilities Commission of Ohio</w:t>
      </w:r>
    </w:p>
    <w:p w:rsidR="002A6CCC" w:rsidRDefault="002A6CCC">
      <w:pPr>
        <w:tabs>
          <w:tab w:val="left" w:pos="1140"/>
          <w:tab w:val="right" w:pos="9792"/>
        </w:tabs>
      </w:pPr>
      <w:r>
        <w:t>180 East Broad Street, 11</w:t>
      </w:r>
      <w:r>
        <w:rPr>
          <w:vertAlign w:val="superscript"/>
        </w:rPr>
        <w:t>th</w:t>
      </w:r>
      <w:r>
        <w:t xml:space="preserve"> Floor</w:t>
      </w:r>
    </w:p>
    <w:p w:rsidR="002A6CCC" w:rsidRDefault="002A6CCC">
      <w:pPr>
        <w:tabs>
          <w:tab w:val="left" w:pos="1140"/>
          <w:tab w:val="right" w:pos="9792"/>
        </w:tabs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 </w:t>
        </w:r>
        <w:smartTag w:uri="urn:schemas-microsoft-com:office:smarttags" w:element="PostalCode">
          <w:r>
            <w:t>43215-3793</w:t>
          </w:r>
        </w:smartTag>
      </w:smartTag>
    </w:p>
    <w:p w:rsidR="002A6CCC" w:rsidRDefault="002A6CCC">
      <w:pPr>
        <w:tabs>
          <w:tab w:val="left" w:pos="1140"/>
          <w:tab w:val="right" w:pos="9792"/>
        </w:tabs>
      </w:pPr>
    </w:p>
    <w:p w:rsidR="002A6CCC" w:rsidRPr="00287495" w:rsidRDefault="002A6CCC" w:rsidP="00287495">
      <w:pPr>
        <w:autoSpaceDE w:val="0"/>
        <w:autoSpaceDN w:val="0"/>
        <w:adjustRightInd w:val="0"/>
        <w:ind w:left="720" w:right="432" w:hanging="720"/>
        <w:rPr>
          <w:rFonts w:ascii="TimesNewRoman" w:hAnsi="TimesNewRoman" w:cs="TimesNewRoman"/>
        </w:rPr>
      </w:pPr>
      <w:r w:rsidRPr="00287495">
        <w:rPr>
          <w:rFonts w:cs="Times New Roman TUR"/>
          <w:szCs w:val="20"/>
        </w:rPr>
        <w:t>Re</w:t>
      </w:r>
      <w:r w:rsidRPr="00287495">
        <w:rPr>
          <w:szCs w:val="20"/>
        </w:rPr>
        <w:t xml:space="preserve">: </w:t>
      </w:r>
      <w:r w:rsidR="00287495">
        <w:rPr>
          <w:szCs w:val="20"/>
        </w:rPr>
        <w:tab/>
      </w:r>
      <w:r w:rsidR="00373EB0" w:rsidRPr="00287495">
        <w:t xml:space="preserve">In the Matter of the </w:t>
      </w:r>
      <w:r w:rsidR="0079700D" w:rsidRPr="00287495">
        <w:t>Application of The Dayton Power and Light Company for Establishing New Reliability Targets, Case No. 12-1832-EL-ESS.</w:t>
      </w:r>
    </w:p>
    <w:p w:rsidR="002A6CCC" w:rsidRDefault="002A6CCC" w:rsidP="003756F2">
      <w:pPr>
        <w:autoSpaceDE w:val="0"/>
        <w:autoSpaceDN w:val="0"/>
        <w:adjustRightInd w:val="0"/>
        <w:ind w:right="432"/>
        <w:rPr>
          <w:rFonts w:cs="Times New Roman TUR"/>
          <w:szCs w:val="20"/>
        </w:rPr>
      </w:pPr>
    </w:p>
    <w:p w:rsidR="002A6CCC" w:rsidRDefault="002A6CCC" w:rsidP="003756F2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  <w:r>
        <w:rPr>
          <w:rFonts w:cs="Times New Roman TUR"/>
          <w:szCs w:val="20"/>
        </w:rPr>
        <w:t xml:space="preserve">Dear Ms. </w:t>
      </w:r>
      <w:r w:rsidR="00E005AB">
        <w:rPr>
          <w:rFonts w:cs="Times New Roman TUR"/>
          <w:szCs w:val="20"/>
        </w:rPr>
        <w:t>McNeal</w:t>
      </w:r>
      <w:r w:rsidR="00287495">
        <w:rPr>
          <w:rFonts w:cs="Times New Roman TUR"/>
          <w:szCs w:val="20"/>
        </w:rPr>
        <w:t>:</w:t>
      </w:r>
    </w:p>
    <w:p w:rsidR="002A6CCC" w:rsidRDefault="002A6CCC" w:rsidP="003756F2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</w:p>
    <w:p w:rsidR="00EB39F1" w:rsidRDefault="00965E1D" w:rsidP="00B666A8">
      <w:pPr>
        <w:tabs>
          <w:tab w:val="left" w:pos="1140"/>
        </w:tabs>
        <w:ind w:right="432"/>
        <w:rPr>
          <w:rFonts w:cs="Times New Roman TUR"/>
          <w:szCs w:val="20"/>
        </w:rPr>
      </w:pPr>
      <w:r>
        <w:rPr>
          <w:rFonts w:cs="Times New Roman TUR"/>
          <w:szCs w:val="20"/>
        </w:rPr>
        <w:t xml:space="preserve">The </w:t>
      </w:r>
      <w:r w:rsidR="0079700D">
        <w:rPr>
          <w:rFonts w:cs="Times New Roman TUR"/>
          <w:szCs w:val="20"/>
        </w:rPr>
        <w:t>Staff</w:t>
      </w:r>
      <w:r>
        <w:rPr>
          <w:rFonts w:cs="Times New Roman TUR"/>
          <w:szCs w:val="20"/>
        </w:rPr>
        <w:t xml:space="preserve"> of the Public Utilities Commission of Ohio (“PUCO”)</w:t>
      </w:r>
      <w:r w:rsidR="0079700D">
        <w:rPr>
          <w:rFonts w:cs="Times New Roman TUR"/>
          <w:szCs w:val="20"/>
        </w:rPr>
        <w:t xml:space="preserve"> and </w:t>
      </w:r>
      <w:r>
        <w:rPr>
          <w:rFonts w:cs="Times New Roman TUR"/>
          <w:szCs w:val="20"/>
        </w:rPr>
        <w:t xml:space="preserve">the </w:t>
      </w:r>
      <w:r w:rsidR="0079700D">
        <w:rPr>
          <w:rFonts w:cs="Times New Roman TUR"/>
          <w:szCs w:val="20"/>
        </w:rPr>
        <w:t xml:space="preserve">Dayton Power and Light </w:t>
      </w:r>
      <w:r>
        <w:rPr>
          <w:rFonts w:cs="Times New Roman TUR"/>
          <w:szCs w:val="20"/>
        </w:rPr>
        <w:t xml:space="preserve">Company </w:t>
      </w:r>
      <w:r w:rsidR="001A68E3">
        <w:rPr>
          <w:rFonts w:cs="Times New Roman TUR"/>
          <w:szCs w:val="20"/>
        </w:rPr>
        <w:t xml:space="preserve">(“DP&amp;L”) </w:t>
      </w:r>
      <w:r>
        <w:rPr>
          <w:rFonts w:cs="Times New Roman TUR"/>
          <w:szCs w:val="20"/>
        </w:rPr>
        <w:t>signed a settlement (Stip</w:t>
      </w:r>
      <w:r w:rsidR="0006765C">
        <w:rPr>
          <w:rFonts w:cs="Times New Roman TUR"/>
          <w:szCs w:val="20"/>
        </w:rPr>
        <w:t>u</w:t>
      </w:r>
      <w:r>
        <w:rPr>
          <w:rFonts w:cs="Times New Roman TUR"/>
          <w:szCs w:val="20"/>
        </w:rPr>
        <w:t>l</w:t>
      </w:r>
      <w:r w:rsidR="0006765C">
        <w:rPr>
          <w:rFonts w:cs="Times New Roman TUR"/>
          <w:szCs w:val="20"/>
        </w:rPr>
        <w:t>a</w:t>
      </w:r>
      <w:r>
        <w:rPr>
          <w:rFonts w:cs="Times New Roman TUR"/>
          <w:szCs w:val="20"/>
        </w:rPr>
        <w:t>tion)</w:t>
      </w:r>
      <w:r>
        <w:rPr>
          <w:rStyle w:val="FootnoteReference"/>
          <w:rFonts w:cs="Times New Roman TUR"/>
          <w:szCs w:val="20"/>
        </w:rPr>
        <w:footnoteReference w:id="2"/>
      </w:r>
      <w:r>
        <w:rPr>
          <w:rFonts w:cs="Times New Roman TUR"/>
          <w:szCs w:val="20"/>
        </w:rPr>
        <w:t xml:space="preserve"> in this case </w:t>
      </w:r>
      <w:r w:rsidRPr="007C5201">
        <w:rPr>
          <w:rFonts w:cs="Times New Roman TUR"/>
          <w:szCs w:val="20"/>
        </w:rPr>
        <w:t xml:space="preserve">where the issues involve the standards for the reliability of the electric service that DP&amp;L provides to its </w:t>
      </w:r>
      <w:r w:rsidR="0006765C" w:rsidRPr="007C5201">
        <w:rPr>
          <w:rFonts w:cs="Times New Roman TUR"/>
          <w:szCs w:val="20"/>
        </w:rPr>
        <w:t xml:space="preserve">450,000 residential </w:t>
      </w:r>
      <w:r w:rsidRPr="007C5201">
        <w:rPr>
          <w:rFonts w:cs="Times New Roman TUR"/>
          <w:szCs w:val="20"/>
        </w:rPr>
        <w:t>customers.  OCC appreciated the opportunity to participate in negotiations and, for reasons explained below</w:t>
      </w:r>
      <w:r w:rsidR="00EB39F1" w:rsidRPr="007C5201">
        <w:rPr>
          <w:rFonts w:cs="Times New Roman TUR"/>
          <w:szCs w:val="20"/>
        </w:rPr>
        <w:t>, did not sign the settlement that DP&amp;L and the PUCO Staff negotiated.  Given the PUCO’s settlement standards that favor the recommendations of settling parties</w:t>
      </w:r>
      <w:r w:rsidR="000276E8" w:rsidRPr="007C5201">
        <w:rPr>
          <w:rFonts w:cs="Times New Roman TUR"/>
          <w:szCs w:val="20"/>
        </w:rPr>
        <w:t xml:space="preserve"> over the</w:t>
      </w:r>
      <w:r w:rsidR="00EB39F1" w:rsidRPr="007C5201">
        <w:rPr>
          <w:rFonts w:cs="Times New Roman TUR"/>
          <w:szCs w:val="20"/>
        </w:rPr>
        <w:t xml:space="preserve"> litigation</w:t>
      </w:r>
      <w:r w:rsidR="000276E8" w:rsidRPr="007C5201">
        <w:rPr>
          <w:rFonts w:cs="Times New Roman TUR"/>
          <w:szCs w:val="20"/>
        </w:rPr>
        <w:t xml:space="preserve"> positions of</w:t>
      </w:r>
      <w:r w:rsidR="00EB39F1" w:rsidRPr="007C5201">
        <w:rPr>
          <w:rFonts w:cs="Times New Roman TUR"/>
          <w:szCs w:val="20"/>
        </w:rPr>
        <w:t xml:space="preserve"> non-settling parties, OCC will not be litigating this case.  OCC is filing this letter, as a courtesy, to </w:t>
      </w:r>
      <w:r w:rsidR="001B02B4" w:rsidRPr="007C5201">
        <w:rPr>
          <w:rFonts w:cs="Times New Roman TUR"/>
          <w:szCs w:val="20"/>
        </w:rPr>
        <w:t>inform the parties</w:t>
      </w:r>
      <w:r w:rsidR="00EB39F1" w:rsidRPr="007C5201">
        <w:rPr>
          <w:rFonts w:cs="Times New Roman TUR"/>
          <w:szCs w:val="20"/>
        </w:rPr>
        <w:t xml:space="preserve"> of this status. </w:t>
      </w:r>
    </w:p>
    <w:p w:rsidR="007240D9" w:rsidRDefault="007240D9" w:rsidP="00B666A8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</w:p>
    <w:p w:rsidR="007240D9" w:rsidRPr="007240D9" w:rsidRDefault="007240D9" w:rsidP="00B666A8">
      <w:pPr>
        <w:autoSpaceDE w:val="0"/>
        <w:autoSpaceDN w:val="0"/>
        <w:adjustRightInd w:val="0"/>
        <w:ind w:right="432"/>
      </w:pPr>
      <w:r>
        <w:t>Four</w:t>
      </w:r>
      <w:r w:rsidRPr="007240D9">
        <w:t xml:space="preserve"> years ago in the precedi</w:t>
      </w:r>
      <w:r>
        <w:t>ng reliability case (No. 09-754-EL-ESS</w:t>
      </w:r>
      <w:r w:rsidRPr="007240D9">
        <w:t>) for DP&amp;L, OCC agreed to a settlement because, in part, it provided for the reliability standards to be revisited on a set schedule. This case is that scheduled opportunity to revisit the standards that apply to customers</w:t>
      </w:r>
      <w:r>
        <w:t>’ electric service.</w:t>
      </w:r>
      <w:r w:rsidRPr="007240D9">
        <w:t xml:space="preserve">     </w:t>
      </w:r>
    </w:p>
    <w:p w:rsidR="004F0F57" w:rsidRPr="007C5201" w:rsidRDefault="004F0F57" w:rsidP="00B666A8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</w:p>
    <w:p w:rsidR="00124143" w:rsidRPr="007C5201" w:rsidRDefault="0088347E" w:rsidP="00B666A8">
      <w:pPr>
        <w:tabs>
          <w:tab w:val="left" w:pos="1140"/>
          <w:tab w:val="right" w:pos="9792"/>
        </w:tabs>
        <w:ind w:right="432"/>
      </w:pPr>
      <w:r>
        <w:rPr>
          <w:rFonts w:cs="Times New Roman TUR"/>
          <w:szCs w:val="20"/>
        </w:rPr>
        <w:t>T</w:t>
      </w:r>
      <w:r w:rsidR="004F0F57" w:rsidRPr="007C5201">
        <w:rPr>
          <w:rFonts w:cs="Times New Roman TUR"/>
          <w:szCs w:val="20"/>
        </w:rPr>
        <w:t xml:space="preserve">his case involves two standards of reliability of electric service for customers.  The </w:t>
      </w:r>
      <w:r w:rsidR="004F0F57" w:rsidRPr="007C5201">
        <w:t>Customer Average Interruptio</w:t>
      </w:r>
      <w:r w:rsidR="009050FF" w:rsidRPr="007C5201">
        <w:t xml:space="preserve">n Duration Index (“CAIDI”) </w:t>
      </w:r>
      <w:r w:rsidR="004F0F57" w:rsidRPr="007C5201">
        <w:t>measure</w:t>
      </w:r>
      <w:r w:rsidR="009050FF" w:rsidRPr="007C5201">
        <w:t>s service</w:t>
      </w:r>
      <w:r w:rsidR="004F0F57" w:rsidRPr="007C5201">
        <w:t xml:space="preserve"> reliability </w:t>
      </w:r>
      <w:r w:rsidR="009050FF" w:rsidRPr="007C5201">
        <w:t>according to</w:t>
      </w:r>
      <w:r w:rsidR="004F0F57" w:rsidRPr="007C5201">
        <w:t xml:space="preserve"> the</w:t>
      </w:r>
      <w:r w:rsidR="00D63C5D" w:rsidRPr="007C5201">
        <w:t xml:space="preserve"> average</w:t>
      </w:r>
      <w:r w:rsidR="004F0F57" w:rsidRPr="007C5201">
        <w:t xml:space="preserve"> </w:t>
      </w:r>
      <w:r w:rsidR="0006765C" w:rsidRPr="007C5201">
        <w:t>length</w:t>
      </w:r>
      <w:r w:rsidR="00D63C5D" w:rsidRPr="007C5201">
        <w:t xml:space="preserve"> of time</w:t>
      </w:r>
      <w:r w:rsidR="0006765C" w:rsidRPr="007C5201">
        <w:t xml:space="preserve"> </w:t>
      </w:r>
      <w:r w:rsidR="00A946D3" w:rsidRPr="007C5201">
        <w:t xml:space="preserve">that customers’ </w:t>
      </w:r>
      <w:r w:rsidR="0006765C" w:rsidRPr="007C5201">
        <w:t>service</w:t>
      </w:r>
      <w:r w:rsidR="00A946D3" w:rsidRPr="007C5201">
        <w:t xml:space="preserve"> is</w:t>
      </w:r>
      <w:r w:rsidR="0006765C" w:rsidRPr="007C5201">
        <w:t xml:space="preserve"> interrupt</w:t>
      </w:r>
      <w:r w:rsidR="00A946D3" w:rsidRPr="007C5201">
        <w:t>ed</w:t>
      </w:r>
      <w:r w:rsidR="0006765C" w:rsidRPr="007C5201">
        <w:t>.</w:t>
      </w:r>
      <w:r w:rsidR="004F0F57" w:rsidRPr="007C5201">
        <w:t xml:space="preserve">  The </w:t>
      </w:r>
      <w:r w:rsidR="0006765C" w:rsidRPr="007C5201">
        <w:t>System Average Interruption Frequency Index (</w:t>
      </w:r>
      <w:r w:rsidR="00A946D3" w:rsidRPr="007C5201">
        <w:t xml:space="preserve">“SAIFI”) </w:t>
      </w:r>
      <w:r w:rsidR="004F0F57" w:rsidRPr="007C5201">
        <w:t>measure</w:t>
      </w:r>
      <w:r w:rsidR="00A946D3" w:rsidRPr="007C5201">
        <w:t>s service</w:t>
      </w:r>
      <w:r w:rsidR="004F0F57" w:rsidRPr="007C5201">
        <w:t xml:space="preserve"> reliability</w:t>
      </w:r>
      <w:r w:rsidR="00A946D3" w:rsidRPr="007C5201">
        <w:t xml:space="preserve"> according to</w:t>
      </w:r>
      <w:r w:rsidR="004F0F57" w:rsidRPr="007C5201">
        <w:t xml:space="preserve"> </w:t>
      </w:r>
      <w:r w:rsidR="0006765C" w:rsidRPr="007C5201">
        <w:t xml:space="preserve">the number of </w:t>
      </w:r>
      <w:r w:rsidR="00A946D3" w:rsidRPr="007C5201">
        <w:t xml:space="preserve">times that customers’ </w:t>
      </w:r>
      <w:r w:rsidR="0006765C" w:rsidRPr="007C5201">
        <w:t>service</w:t>
      </w:r>
      <w:r w:rsidR="00A946D3" w:rsidRPr="007C5201">
        <w:t xml:space="preserve"> is</w:t>
      </w:r>
      <w:r w:rsidR="0006765C" w:rsidRPr="007C5201">
        <w:t xml:space="preserve"> interrupt</w:t>
      </w:r>
      <w:r w:rsidR="00A946D3" w:rsidRPr="007C5201">
        <w:t>ed</w:t>
      </w:r>
      <w:r w:rsidR="0006765C" w:rsidRPr="007C5201">
        <w:t>.</w:t>
      </w:r>
      <w:r w:rsidR="00124143" w:rsidRPr="007C5201">
        <w:t xml:space="preserve">  </w:t>
      </w:r>
    </w:p>
    <w:p w:rsidR="00124143" w:rsidRPr="007C5201" w:rsidRDefault="00124143" w:rsidP="00B666A8">
      <w:pPr>
        <w:tabs>
          <w:tab w:val="left" w:pos="1140"/>
          <w:tab w:val="right" w:pos="9792"/>
        </w:tabs>
        <w:ind w:right="432"/>
      </w:pPr>
    </w:p>
    <w:p w:rsidR="00D76259" w:rsidRDefault="00B63EE5" w:rsidP="00B666A8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  <w:r w:rsidRPr="007C5201">
        <w:t xml:space="preserve">The </w:t>
      </w:r>
      <w:r w:rsidR="00C73712" w:rsidRPr="007C5201">
        <w:t>settlement</w:t>
      </w:r>
      <w:r w:rsidRPr="007C5201">
        <w:t xml:space="preserve"> </w:t>
      </w:r>
      <w:r w:rsidR="00C73712" w:rsidRPr="007C5201">
        <w:t>contains</w:t>
      </w:r>
      <w:r w:rsidRPr="007C5201">
        <w:t xml:space="preserve"> new</w:t>
      </w:r>
      <w:r w:rsidR="00C73712" w:rsidRPr="007C5201">
        <w:t xml:space="preserve"> CAIDI and SAIFI</w:t>
      </w:r>
      <w:r w:rsidRPr="007C5201">
        <w:t xml:space="preserve"> standards</w:t>
      </w:r>
      <w:r w:rsidR="00C73712" w:rsidRPr="007C5201">
        <w:t xml:space="preserve"> for reliability of service to customers </w:t>
      </w:r>
      <w:r w:rsidR="00540366">
        <w:t>for 2013</w:t>
      </w:r>
      <w:r w:rsidR="00A27D75">
        <w:t>,</w:t>
      </w:r>
      <w:r w:rsidR="00540366">
        <w:t xml:space="preserve"> </w:t>
      </w:r>
      <w:r w:rsidR="00A27D75">
        <w:t xml:space="preserve">to </w:t>
      </w:r>
      <w:r w:rsidR="007C5201">
        <w:t>continue until new reliability standards are established</w:t>
      </w:r>
      <w:r w:rsidR="00C73712" w:rsidRPr="007C5201">
        <w:t xml:space="preserve"> </w:t>
      </w:r>
      <w:r w:rsidR="00A27D75">
        <w:t>(though no future review is scheduled)</w:t>
      </w:r>
      <w:r w:rsidRPr="007C5201">
        <w:t xml:space="preserve">.  OCC </w:t>
      </w:r>
      <w:r w:rsidR="004446B4" w:rsidRPr="007C5201">
        <w:t>supports</w:t>
      </w:r>
      <w:r w:rsidRPr="007C5201">
        <w:t xml:space="preserve"> the</w:t>
      </w:r>
      <w:r w:rsidR="00E13DCA" w:rsidRPr="007C5201">
        <w:t xml:space="preserve"> standard for</w:t>
      </w:r>
      <w:r w:rsidRPr="007C5201">
        <w:t xml:space="preserve"> SAIFI</w:t>
      </w:r>
      <w:r w:rsidR="00017261" w:rsidRPr="007C5201">
        <w:t xml:space="preserve"> (0.88) </w:t>
      </w:r>
      <w:r w:rsidRPr="007C5201">
        <w:t xml:space="preserve"> </w:t>
      </w:r>
      <w:r w:rsidR="00E13DCA" w:rsidRPr="007C5201">
        <w:t>that is in</w:t>
      </w:r>
      <w:r w:rsidRPr="007C5201">
        <w:t xml:space="preserve"> the Stipulation because it is consistent with the methodology set forth in the PUCO’s</w:t>
      </w:r>
      <w:r w:rsidRPr="007C5201">
        <w:rPr>
          <w:rFonts w:cs="Times New Roman TUR"/>
          <w:szCs w:val="20"/>
        </w:rPr>
        <w:t xml:space="preserve"> rules [</w:t>
      </w:r>
      <w:r w:rsidR="00135DE6" w:rsidRPr="007C5201">
        <w:rPr>
          <w:rFonts w:cs="Times New Roman TUR"/>
          <w:szCs w:val="20"/>
        </w:rPr>
        <w:t>Ohio Adm</w:t>
      </w:r>
      <w:r w:rsidR="00135DE6">
        <w:rPr>
          <w:rFonts w:cs="Times New Roman TUR"/>
          <w:szCs w:val="20"/>
        </w:rPr>
        <w:t xml:space="preserve">. Code </w:t>
      </w:r>
      <w:r>
        <w:rPr>
          <w:rFonts w:cs="Times New Roman TUR"/>
          <w:szCs w:val="20"/>
        </w:rPr>
        <w:t xml:space="preserve">4901:1-10-10(B)(4)] and </w:t>
      </w:r>
      <w:r w:rsidR="00017261">
        <w:rPr>
          <w:rFonts w:cs="Times New Roman TUR"/>
          <w:szCs w:val="20"/>
        </w:rPr>
        <w:t xml:space="preserve">with </w:t>
      </w:r>
      <w:r>
        <w:rPr>
          <w:rFonts w:cs="Times New Roman TUR"/>
          <w:szCs w:val="20"/>
        </w:rPr>
        <w:t>the PUCO Staff</w:t>
      </w:r>
      <w:r w:rsidR="00017261">
        <w:rPr>
          <w:rFonts w:cs="Times New Roman TUR"/>
          <w:szCs w:val="20"/>
        </w:rPr>
        <w:t>’s</w:t>
      </w:r>
      <w:r>
        <w:rPr>
          <w:rFonts w:cs="Times New Roman TUR"/>
          <w:szCs w:val="20"/>
        </w:rPr>
        <w:t xml:space="preserve"> Guidelines for the Establishment of Reliability Standards </w:t>
      </w:r>
    </w:p>
    <w:p w:rsidR="00D76259" w:rsidRDefault="00D76259" w:rsidP="00B666A8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</w:p>
    <w:p w:rsidR="00017261" w:rsidRDefault="00B63EE5" w:rsidP="00B666A8">
      <w:pPr>
        <w:tabs>
          <w:tab w:val="left" w:pos="1140"/>
          <w:tab w:val="right" w:pos="9792"/>
        </w:tabs>
        <w:ind w:right="432"/>
      </w:pPr>
      <w:r>
        <w:rPr>
          <w:rFonts w:cs="Times New Roman TUR"/>
          <w:szCs w:val="20"/>
        </w:rPr>
        <w:t>[</w:t>
      </w:r>
      <w:hyperlink r:id="rId7" w:history="1">
        <w:r w:rsidRPr="00C53B9D">
          <w:rPr>
            <w:rStyle w:val="Hyperlink"/>
          </w:rPr>
          <w:t>http://www.puco.ohio.gov/puco/index.cfm/rules/pending-rules/rule-49011-10-10b-guidelines-for-reliability-standards-applications/</w:t>
        </w:r>
      </w:hyperlink>
      <w:r w:rsidRPr="00C53B9D">
        <w:t>]</w:t>
      </w:r>
      <w:r>
        <w:t xml:space="preserve">.  </w:t>
      </w:r>
    </w:p>
    <w:p w:rsidR="00017261" w:rsidRDefault="00017261" w:rsidP="00B666A8">
      <w:pPr>
        <w:tabs>
          <w:tab w:val="left" w:pos="1140"/>
          <w:tab w:val="right" w:pos="9792"/>
        </w:tabs>
        <w:ind w:right="432"/>
      </w:pPr>
    </w:p>
    <w:p w:rsidR="003756F2" w:rsidRPr="00C53B9D" w:rsidRDefault="00017261" w:rsidP="00B666A8">
      <w:pPr>
        <w:ind w:right="432"/>
      </w:pPr>
      <w:r>
        <w:t>But</w:t>
      </w:r>
      <w:r w:rsidR="00B63EE5">
        <w:t>,</w:t>
      </w:r>
      <w:r>
        <w:t xml:space="preserve"> for the reliability of service defined by the </w:t>
      </w:r>
      <w:r w:rsidR="00B63EE5">
        <w:t>CAIDI</w:t>
      </w:r>
      <w:r>
        <w:t xml:space="preserve"> standard,</w:t>
      </w:r>
      <w:r w:rsidR="00B63EE5">
        <w:t xml:space="preserve"> </w:t>
      </w:r>
      <w:r>
        <w:t xml:space="preserve">the standard in the settlement (125.04 minutes) </w:t>
      </w:r>
      <w:r w:rsidR="00B63EE5">
        <w:t xml:space="preserve">is not consistent with </w:t>
      </w:r>
      <w:r>
        <w:t>the PUCO’s rules and guidelines</w:t>
      </w:r>
      <w:r w:rsidR="00B63EE5">
        <w:t xml:space="preserve">.  </w:t>
      </w:r>
      <w:r>
        <w:t xml:space="preserve">The PUCO’s rules and guidelines would produce a better standard (meaning reduced minutes of outage </w:t>
      </w:r>
      <w:r w:rsidRPr="007C5201">
        <w:t>time</w:t>
      </w:r>
      <w:r w:rsidR="00D50AAC" w:rsidRPr="007C5201">
        <w:t xml:space="preserve"> for customers</w:t>
      </w:r>
      <w:r w:rsidRPr="007C5201">
        <w:t>) than what the PUCO Staff and DP&amp;L agreed to in the settlement.</w:t>
      </w:r>
      <w:r w:rsidR="00412FB4" w:rsidRPr="007C5201">
        <w:t xml:space="preserve">  </w:t>
      </w:r>
      <w:r w:rsidR="006F2312" w:rsidRPr="007C5201">
        <w:rPr>
          <w:rFonts w:cs="Times New Roman TUR"/>
          <w:szCs w:val="20"/>
        </w:rPr>
        <w:t>T</w:t>
      </w:r>
      <w:r w:rsidR="00B200B8" w:rsidRPr="007C5201">
        <w:t xml:space="preserve">he methodology in the PUCO </w:t>
      </w:r>
      <w:r w:rsidR="006F2312" w:rsidRPr="007C5201">
        <w:t>rules</w:t>
      </w:r>
      <w:r w:rsidR="00B200B8" w:rsidRPr="007C5201">
        <w:t xml:space="preserve"> and guidelines </w:t>
      </w:r>
      <w:r w:rsidR="006F2312" w:rsidRPr="007C5201">
        <w:t>would result in</w:t>
      </w:r>
      <w:r w:rsidR="00B200B8" w:rsidRPr="007C5201">
        <w:t xml:space="preserve"> </w:t>
      </w:r>
      <w:r w:rsidR="00412FB4" w:rsidRPr="007C5201">
        <w:t>the setting of a</w:t>
      </w:r>
      <w:r w:rsidR="00B200B8" w:rsidRPr="007C5201">
        <w:t xml:space="preserve"> </w:t>
      </w:r>
      <w:r w:rsidR="00946DA2" w:rsidRPr="007C5201">
        <w:t xml:space="preserve">Customer Average Interruption Duration Index (“CAIDI”) </w:t>
      </w:r>
      <w:r w:rsidR="006F2312" w:rsidRPr="007C5201">
        <w:t xml:space="preserve">that </w:t>
      </w:r>
      <w:r w:rsidR="00946DA2" w:rsidRPr="007C5201">
        <w:t>reflect</w:t>
      </w:r>
      <w:r w:rsidR="006F2312" w:rsidRPr="007C5201">
        <w:t>s</w:t>
      </w:r>
      <w:r w:rsidR="00946DA2" w:rsidRPr="007C5201">
        <w:t xml:space="preserve"> the average actual performance of the </w:t>
      </w:r>
      <w:r w:rsidR="001A68E3" w:rsidRPr="007C5201">
        <w:t xml:space="preserve">DP&amp;L </w:t>
      </w:r>
      <w:r w:rsidR="00946DA2" w:rsidRPr="007C5201">
        <w:t xml:space="preserve">distribution system over the last five to ten years.  </w:t>
      </w:r>
      <w:r w:rsidR="00E0595D" w:rsidRPr="007C5201">
        <w:t>Consistent with OCC’s comments, customers would be better served by conforming</w:t>
      </w:r>
      <w:r w:rsidR="00D50AAC" w:rsidRPr="007C5201">
        <w:t xml:space="preserve"> the CAIDI standard</w:t>
      </w:r>
      <w:r w:rsidR="00E0595D" w:rsidRPr="007C5201">
        <w:t xml:space="preserve"> to the PUCO’s rules and guidelines.  </w:t>
      </w:r>
      <w:r w:rsidR="00395371" w:rsidRPr="007C5201">
        <w:t>DP&amp;L</w:t>
      </w:r>
      <w:r w:rsidR="00F16321" w:rsidRPr="007C5201">
        <w:t>’s</w:t>
      </w:r>
      <w:r w:rsidR="00395371" w:rsidRPr="007C5201">
        <w:t xml:space="preserve"> customers are paying for reliable service</w:t>
      </w:r>
      <w:r w:rsidR="00E0595D" w:rsidRPr="007C5201">
        <w:t xml:space="preserve"> in their electric rates</w:t>
      </w:r>
      <w:r w:rsidR="00F16321" w:rsidRPr="007C5201">
        <w:t>.</w:t>
      </w:r>
      <w:r w:rsidR="00395371">
        <w:t xml:space="preserve">  </w:t>
      </w:r>
      <w:r w:rsidR="00374647">
        <w:t xml:space="preserve"> </w:t>
      </w:r>
    </w:p>
    <w:p w:rsidR="0079700D" w:rsidRDefault="0079700D" w:rsidP="00B666A8">
      <w:pPr>
        <w:tabs>
          <w:tab w:val="left" w:pos="1140"/>
          <w:tab w:val="right" w:pos="9792"/>
        </w:tabs>
        <w:ind w:right="432"/>
        <w:rPr>
          <w:rFonts w:cs="Times New Roman TUR"/>
          <w:szCs w:val="20"/>
        </w:rPr>
      </w:pPr>
    </w:p>
    <w:p w:rsidR="002A6CCC" w:rsidRDefault="00C53B9D">
      <w:pPr>
        <w:tabs>
          <w:tab w:val="left" w:pos="1140"/>
          <w:tab w:val="right" w:pos="9792"/>
        </w:tabs>
        <w:rPr>
          <w:rFonts w:cs="Times New Roman TUR"/>
          <w:szCs w:val="20"/>
        </w:rPr>
      </w:pPr>
      <w:r>
        <w:rPr>
          <w:rFonts w:cs="Times New Roman TUR"/>
          <w:szCs w:val="20"/>
        </w:rPr>
        <w:t>Thank you.</w:t>
      </w:r>
    </w:p>
    <w:p w:rsidR="00C53B9D" w:rsidRDefault="00C53B9D">
      <w:pPr>
        <w:tabs>
          <w:tab w:val="left" w:pos="1140"/>
          <w:tab w:val="right" w:pos="9792"/>
        </w:tabs>
        <w:rPr>
          <w:rFonts w:cs="Times New Roman TUR"/>
          <w:szCs w:val="20"/>
        </w:rPr>
      </w:pPr>
    </w:p>
    <w:p w:rsidR="002A6CCC" w:rsidRDefault="002A6CCC">
      <w:pPr>
        <w:tabs>
          <w:tab w:val="left" w:pos="1140"/>
          <w:tab w:val="right" w:pos="9792"/>
        </w:tabs>
        <w:rPr>
          <w:rFonts w:cs="Times New Roman TUR"/>
          <w:szCs w:val="20"/>
        </w:rPr>
      </w:pPr>
      <w:r>
        <w:rPr>
          <w:rFonts w:cs="Times New Roman TUR"/>
          <w:szCs w:val="20"/>
        </w:rPr>
        <w:t>Sincerely,</w:t>
      </w:r>
    </w:p>
    <w:p w:rsidR="002A6CCC" w:rsidRDefault="002A6CCC">
      <w:pPr>
        <w:tabs>
          <w:tab w:val="left" w:pos="1140"/>
          <w:tab w:val="right" w:pos="9792"/>
        </w:tabs>
        <w:rPr>
          <w:rFonts w:cs="Times New Roman TUR"/>
          <w:szCs w:val="20"/>
        </w:rPr>
      </w:pPr>
    </w:p>
    <w:p w:rsidR="002A6CCC" w:rsidRPr="00287495" w:rsidRDefault="002A6CCC">
      <w:pPr>
        <w:tabs>
          <w:tab w:val="left" w:pos="1140"/>
          <w:tab w:val="right" w:pos="9792"/>
        </w:tabs>
        <w:rPr>
          <w:rFonts w:cs="Times New Roman TUR"/>
          <w:i/>
          <w:szCs w:val="20"/>
          <w:u w:val="single"/>
        </w:rPr>
      </w:pPr>
      <w:r w:rsidRPr="00287495">
        <w:rPr>
          <w:rFonts w:cs="Times New Roman TUR"/>
          <w:i/>
          <w:szCs w:val="20"/>
          <w:u w:val="single"/>
        </w:rPr>
        <w:t>/s/ Joseph P. Serio</w:t>
      </w:r>
    </w:p>
    <w:p w:rsidR="002A6CCC" w:rsidRDefault="002A6CCC">
      <w:pPr>
        <w:tabs>
          <w:tab w:val="left" w:pos="1140"/>
          <w:tab w:val="right" w:pos="9792"/>
        </w:tabs>
        <w:rPr>
          <w:rFonts w:cs="Times New Roman TUR"/>
          <w:szCs w:val="20"/>
        </w:rPr>
      </w:pPr>
      <w:r>
        <w:rPr>
          <w:rFonts w:cs="Times New Roman TUR"/>
          <w:szCs w:val="20"/>
        </w:rPr>
        <w:t>Joseph P. Serio</w:t>
      </w:r>
    </w:p>
    <w:p w:rsidR="002A6CCC" w:rsidRDefault="002A6CCC">
      <w:pPr>
        <w:tabs>
          <w:tab w:val="left" w:pos="1140"/>
          <w:tab w:val="right" w:pos="9792"/>
        </w:tabs>
        <w:rPr>
          <w:rFonts w:cs="Times New Roman TUR"/>
          <w:szCs w:val="20"/>
        </w:rPr>
      </w:pPr>
      <w:r>
        <w:rPr>
          <w:rFonts w:cs="Times New Roman TUR"/>
          <w:szCs w:val="20"/>
        </w:rPr>
        <w:t>Assistant Consumers’ Counsel</w:t>
      </w:r>
    </w:p>
    <w:p w:rsidR="002A51AF" w:rsidRDefault="002A51AF">
      <w:pPr>
        <w:tabs>
          <w:tab w:val="left" w:pos="1140"/>
          <w:tab w:val="right" w:pos="9792"/>
        </w:tabs>
        <w:rPr>
          <w:rFonts w:cs="Times New Roman TUR"/>
          <w:szCs w:val="20"/>
        </w:rPr>
      </w:pPr>
      <w:r>
        <w:rPr>
          <w:rFonts w:cs="Times New Roman TUR"/>
          <w:szCs w:val="20"/>
        </w:rPr>
        <w:t>(614) 466-9565</w:t>
      </w:r>
    </w:p>
    <w:p w:rsidR="002A6CCC" w:rsidRDefault="002A6CCC">
      <w:pPr>
        <w:tabs>
          <w:tab w:val="left" w:pos="1140"/>
          <w:tab w:val="right" w:pos="9792"/>
        </w:tabs>
        <w:rPr>
          <w:rFonts w:cs="Times New Roman TUR"/>
          <w:szCs w:val="20"/>
        </w:rPr>
      </w:pPr>
    </w:p>
    <w:p w:rsidR="002A6CCC" w:rsidRDefault="002A6CCC">
      <w:pPr>
        <w:tabs>
          <w:tab w:val="left" w:pos="1140"/>
          <w:tab w:val="right" w:pos="9792"/>
        </w:tabs>
      </w:pPr>
      <w:r>
        <w:rPr>
          <w:rFonts w:cs="Times New Roman TUR"/>
          <w:szCs w:val="20"/>
        </w:rPr>
        <w:t>Cc: Parties of Record</w:t>
      </w:r>
    </w:p>
    <w:sectPr w:rsidR="002A6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08" w:bottom="288" w:left="1440" w:header="720" w:footer="5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A" w:rsidRDefault="00055FBA">
      <w:r>
        <w:separator/>
      </w:r>
    </w:p>
  </w:endnote>
  <w:endnote w:type="continuationSeparator" w:id="0">
    <w:p w:rsidR="00055FBA" w:rsidRDefault="00055FBA">
      <w:r>
        <w:continuationSeparator/>
      </w:r>
    </w:p>
  </w:endnote>
  <w:endnote w:type="continuationNotice" w:id="1">
    <w:p w:rsidR="00055FBA" w:rsidRDefault="00055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FC" w:rsidRDefault="00525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FC" w:rsidRDefault="00525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C" w:rsidRDefault="00AA025E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w:pict>
        <v:line id="_x0000_s2053" style="position:absolute;left:0;text-align:left;z-index:251659264" from="-45pt,10.4pt" to="512.7pt,10.4pt" strokecolor="#036"/>
      </w:pict>
    </w:r>
  </w:p>
  <w:p w:rsidR="002A6CCC" w:rsidRDefault="002A6CCC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color w:val="003366"/>
        <w:sz w:val="18"/>
        <w:szCs w:val="18"/>
      </w:rPr>
      <w:t>10 West Broad Street</w:t>
    </w:r>
    <w:r>
      <w:rPr>
        <w:rFonts w:ascii="ZapfDingbats" w:hAnsi="ZapfDingbats"/>
        <w:color w:val="003366"/>
        <w:sz w:val="8"/>
        <w:szCs w:val="8"/>
      </w:rPr>
      <w:t></w:t>
    </w:r>
    <w:r>
      <w:rPr>
        <w:rFonts w:ascii="ZapfDingbats" w:hAnsi="ZapfDingbats"/>
        <w:color w:val="003366"/>
        <w:position w:val="2"/>
        <w:sz w:val="8"/>
        <w:szCs w:val="8"/>
      </w:rPr>
      <w:t></w:t>
    </w:r>
    <w:r>
      <w:rPr>
        <w:rFonts w:ascii="ZapfDingbats" w:hAnsi="ZapfDingbats"/>
        <w:color w:val="003366"/>
        <w:position w:val="2"/>
        <w:sz w:val="8"/>
        <w:szCs w:val="8"/>
      </w:rPr>
      <w:t></w:t>
    </w:r>
    <w:r>
      <w:rPr>
        <w:rFonts w:ascii="Arial Narrow" w:hAnsi="Arial Narrow"/>
        <w:color w:val="003366"/>
        <w:sz w:val="18"/>
        <w:szCs w:val="18"/>
      </w:rPr>
      <w:t>18th Floor</w:t>
    </w:r>
    <w:r>
      <w:rPr>
        <w:rFonts w:ascii="ZapfDingbats" w:hAnsi="ZapfDingbats"/>
        <w:color w:val="003366"/>
        <w:sz w:val="8"/>
        <w:szCs w:val="8"/>
      </w:rPr>
      <w:t></w:t>
    </w:r>
    <w:r>
      <w:rPr>
        <w:rFonts w:ascii="ZapfDingbats" w:hAnsi="ZapfDingbats"/>
        <w:color w:val="003366"/>
        <w:position w:val="2"/>
        <w:sz w:val="8"/>
        <w:szCs w:val="8"/>
      </w:rPr>
      <w:t></w:t>
    </w:r>
    <w:r>
      <w:rPr>
        <w:rFonts w:ascii="ZapfDingbats" w:hAnsi="ZapfDingbats"/>
        <w:color w:val="003366"/>
        <w:position w:val="2"/>
        <w:sz w:val="8"/>
        <w:szCs w:val="8"/>
      </w:rPr>
      <w:t></w:t>
    </w:r>
    <w:r>
      <w:rPr>
        <w:rFonts w:ascii="Arial Narrow" w:hAnsi="Arial Narrow"/>
        <w:color w:val="003366"/>
        <w:sz w:val="18"/>
        <w:szCs w:val="18"/>
      </w:rPr>
      <w:t>Columbus, Ohio</w:t>
    </w:r>
    <w:r>
      <w:rPr>
        <w:rFonts w:ascii="ZapfDingbats" w:hAnsi="ZapfDingbats"/>
        <w:color w:val="003366"/>
        <w:sz w:val="8"/>
        <w:szCs w:val="8"/>
      </w:rPr>
      <w:t></w:t>
    </w:r>
    <w:r>
      <w:rPr>
        <w:rFonts w:ascii="ZapfDingbats" w:hAnsi="ZapfDingbats"/>
        <w:color w:val="003366"/>
        <w:position w:val="2"/>
        <w:sz w:val="8"/>
        <w:szCs w:val="8"/>
      </w:rPr>
      <w:t></w:t>
    </w:r>
    <w:r>
      <w:rPr>
        <w:rFonts w:ascii="ZapfDingbats" w:hAnsi="ZapfDingbats"/>
        <w:color w:val="003366"/>
        <w:position w:val="2"/>
        <w:sz w:val="8"/>
        <w:szCs w:val="8"/>
      </w:rPr>
      <w:t></w:t>
    </w:r>
    <w:r>
      <w:rPr>
        <w:rFonts w:ascii="Arial Narrow" w:hAnsi="Arial Narrow"/>
        <w:color w:val="003366"/>
        <w:sz w:val="18"/>
        <w:szCs w:val="18"/>
      </w:rPr>
      <w:t>43215-3485</w:t>
    </w:r>
  </w:p>
  <w:p w:rsidR="002A6CCC" w:rsidRDefault="002A6CCC">
    <w:pPr>
      <w:pStyle w:val="Footer"/>
      <w:spacing w:line="288" w:lineRule="atLeast"/>
      <w:jc w:val="center"/>
      <w:rPr>
        <w:color w:val="003366"/>
      </w:rPr>
    </w:pPr>
    <w:r>
      <w:rPr>
        <w:rFonts w:ascii="Arial Narrow" w:hAnsi="Arial Narrow"/>
        <w:color w:val="003366"/>
        <w:sz w:val="18"/>
        <w:szCs w:val="18"/>
      </w:rPr>
      <w:t>(614) 466-8574</w:t>
    </w:r>
    <w:r>
      <w:rPr>
        <w:rFonts w:ascii="ZapfDingbats" w:hAnsi="ZapfDingbats"/>
        <w:color w:val="003366"/>
        <w:sz w:val="8"/>
        <w:szCs w:val="8"/>
      </w:rPr>
      <w:t></w:t>
    </w:r>
    <w:r>
      <w:rPr>
        <w:rFonts w:ascii="ZapfDingbats" w:hAnsi="ZapfDingbats"/>
        <w:color w:val="003366"/>
        <w:position w:val="2"/>
        <w:sz w:val="8"/>
        <w:szCs w:val="8"/>
      </w:rPr>
      <w:t></w:t>
    </w:r>
    <w:r>
      <w:rPr>
        <w:rFonts w:ascii="ZapfDingbats" w:hAnsi="ZapfDingbats"/>
        <w:color w:val="003366"/>
        <w:position w:val="2"/>
        <w:sz w:val="8"/>
        <w:szCs w:val="8"/>
      </w:rPr>
      <w:t></w:t>
    </w:r>
    <w:r>
      <w:rPr>
        <w:rFonts w:ascii="Arial Narrow" w:hAnsi="Arial Narrow"/>
        <w:color w:val="003366"/>
        <w:sz w:val="18"/>
        <w:szCs w:val="18"/>
      </w:rPr>
      <w:t xml:space="preserve">(614) 466-9475 </w:t>
    </w:r>
    <w:r>
      <w:rPr>
        <w:rFonts w:ascii="Arial Narrow" w:hAnsi="Arial Narrow"/>
        <w:i/>
        <w:iCs/>
        <w:color w:val="003366"/>
        <w:sz w:val="18"/>
        <w:szCs w:val="18"/>
      </w:rPr>
      <w:t>facsimile</w:t>
    </w:r>
    <w:r>
      <w:rPr>
        <w:rFonts w:ascii="ZapfDingbats" w:hAnsi="ZapfDingbats"/>
        <w:color w:val="003366"/>
        <w:sz w:val="8"/>
        <w:szCs w:val="8"/>
      </w:rPr>
      <w:t></w:t>
    </w:r>
    <w:r>
      <w:rPr>
        <w:rFonts w:ascii="ZapfDingbats" w:hAnsi="ZapfDingbats"/>
        <w:color w:val="003366"/>
        <w:position w:val="2"/>
        <w:sz w:val="8"/>
        <w:szCs w:val="8"/>
      </w:rPr>
      <w:t></w:t>
    </w:r>
    <w:r>
      <w:rPr>
        <w:rFonts w:ascii="ZapfDingbats" w:hAnsi="ZapfDingbats"/>
        <w:color w:val="003366"/>
        <w:position w:val="2"/>
        <w:sz w:val="8"/>
        <w:szCs w:val="8"/>
      </w:rPr>
      <w:t></w:t>
    </w:r>
    <w:r>
      <w:rPr>
        <w:rFonts w:ascii="Arial Narrow" w:hAnsi="Arial Narrow"/>
        <w:color w:val="003366"/>
        <w:sz w:val="18"/>
        <w:szCs w:val="18"/>
      </w:rPr>
      <w:t xml:space="preserve">1-877-PICKOCC </w:t>
    </w:r>
    <w:r>
      <w:rPr>
        <w:rFonts w:ascii="Arial Narrow" w:hAnsi="Arial Narrow"/>
        <w:i/>
        <w:iCs/>
        <w:color w:val="003366"/>
        <w:sz w:val="18"/>
        <w:szCs w:val="18"/>
      </w:rPr>
      <w:t>toll free</w:t>
    </w:r>
    <w:r>
      <w:rPr>
        <w:rFonts w:ascii="ZapfDingbats" w:hAnsi="ZapfDingbats"/>
        <w:color w:val="003366"/>
        <w:sz w:val="8"/>
        <w:szCs w:val="8"/>
      </w:rPr>
      <w:t></w:t>
    </w:r>
    <w:r>
      <w:rPr>
        <w:rFonts w:ascii="ZapfDingbats" w:hAnsi="ZapfDingbats"/>
        <w:color w:val="003366"/>
        <w:position w:val="2"/>
        <w:sz w:val="8"/>
        <w:szCs w:val="8"/>
      </w:rPr>
      <w:t></w:t>
    </w:r>
    <w:r>
      <w:rPr>
        <w:rFonts w:ascii="ZapfDingbats" w:hAnsi="ZapfDingbats"/>
        <w:color w:val="003366"/>
        <w:position w:val="2"/>
        <w:sz w:val="8"/>
        <w:szCs w:val="8"/>
      </w:rPr>
      <w:t></w:t>
    </w:r>
    <w:r>
      <w:rPr>
        <w:rFonts w:ascii="Arial Narrow" w:hAnsi="Arial Narrow"/>
        <w:color w:val="003366"/>
        <w:sz w:val="18"/>
        <w:szCs w:val="18"/>
      </w:rPr>
      <w:t>www.pickocc.org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A" w:rsidRDefault="00055FBA">
      <w:r>
        <w:separator/>
      </w:r>
    </w:p>
  </w:footnote>
  <w:footnote w:type="continuationSeparator" w:id="0">
    <w:p w:rsidR="00055FBA" w:rsidRDefault="00055FBA">
      <w:r>
        <w:continuationSeparator/>
      </w:r>
    </w:p>
  </w:footnote>
  <w:footnote w:type="continuationNotice" w:id="1">
    <w:p w:rsidR="00055FBA" w:rsidRDefault="00055FBA"/>
  </w:footnote>
  <w:footnote w:id="2">
    <w:p w:rsidR="00965E1D" w:rsidRDefault="00965E1D">
      <w:pPr>
        <w:pStyle w:val="FootnoteText"/>
      </w:pPr>
      <w:r>
        <w:rPr>
          <w:rStyle w:val="FootnoteReference"/>
        </w:rPr>
        <w:footnoteRef/>
      </w:r>
      <w:r>
        <w:t xml:space="preserve"> The Stipulation was filed on July 16,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FC" w:rsidRDefault="00525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59" w:rsidRPr="00D76259" w:rsidRDefault="00D76259" w:rsidP="00D76259">
    <w:r w:rsidRPr="00D76259">
      <w:t>Letter to PUCO</w:t>
    </w:r>
  </w:p>
  <w:p w:rsidR="00D76259" w:rsidRPr="00D76259" w:rsidRDefault="00D76259" w:rsidP="00D76259">
    <w:r w:rsidRPr="00D76259">
      <w:t>August 8, 2013</w:t>
    </w:r>
  </w:p>
  <w:p w:rsidR="00D76259" w:rsidRPr="00D76259" w:rsidRDefault="00D76259" w:rsidP="00D76259">
    <w:pPr>
      <w:spacing w:after="240"/>
    </w:pPr>
    <w:r w:rsidRPr="00D76259">
      <w:t>Page Two</w:t>
    </w:r>
  </w:p>
  <w:p w:rsidR="00736FAA" w:rsidRDefault="00736F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C" w:rsidRDefault="00AA025E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5pt;margin-top:0;width:83.2pt;height:76.2pt;z-index:251660288;mso-wrap-style:none;mso-position-horizontal-relative:text;mso-position-vertical-relative:text" filled="f" stroked="f">
          <v:textbox style="mso-next-textbox:#_x0000_s2054;mso-fit-shape-to-text:t">
            <w:txbxContent>
              <w:p w:rsidR="002A6CCC" w:rsidRDefault="00AA025E">
                <w:r>
                  <w:pict w14:anchorId="4102FA8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9.35pt;height:69.35pt">
                      <v:imagedata r:id="rId1" o:title="OCC_Logo_COLOR"/>
                    </v:shape>
                  </w:pict>
                </w:r>
              </w:p>
            </w:txbxContent>
          </v:textbox>
        </v:shape>
      </w:pict>
    </w:r>
    <w:r>
      <w:rPr>
        <w:noProof/>
        <w:color w:val="333399"/>
        <w:sz w:val="20"/>
      </w:rPr>
      <w:pict>
        <v:shape id="_x0000_s2051" type="#_x0000_t202" style="position:absolute;margin-left:297pt;margin-top:14.95pt;width:216.9pt;height:21.2pt;z-index:251657216;mso-position-horizontal-relative:text;mso-position-vertical-relative:text" stroked="f">
          <v:textbox style="mso-next-textbox:#_x0000_s2051">
            <w:txbxContent>
              <w:p w:rsidR="002A6CCC" w:rsidRDefault="002A6CCC">
                <w:pPr>
                  <w:pStyle w:val="Heading4"/>
                  <w:rPr>
                    <w:color w:val="003366"/>
                    <w:w w:val="85"/>
                  </w:rPr>
                </w:pPr>
                <w:r>
                  <w:rPr>
                    <w:color w:val="003366"/>
                    <w:w w:val="85"/>
                  </w:rPr>
                  <w:t>Your Residential Utility Consumer Advocate</w:t>
                </w:r>
              </w:p>
            </w:txbxContent>
          </v:textbox>
        </v:shape>
      </w:pict>
    </w:r>
    <w:r>
      <w:rPr>
        <w:noProof/>
        <w:color w:val="333399"/>
        <w:sz w:val="20"/>
      </w:rPr>
      <w:pict>
        <v:shape id="_x0000_s2049" type="#_x0000_t202" style="position:absolute;margin-left:38.1pt;margin-top:9.65pt;width:425.1pt;height:26.5pt;z-index:251655168;mso-position-horizontal-relative:text;mso-position-vertical-relative:text" stroked="f">
          <v:textbox style="mso-next-textbox:#_x0000_s2049">
            <w:txbxContent>
              <w:p w:rsidR="002A6CCC" w:rsidRDefault="002A6CCC">
                <w:pPr>
                  <w:pStyle w:val="Heading3"/>
                  <w:rPr>
                    <w:color w:val="003366"/>
                  </w:rPr>
                </w:pPr>
                <w:r>
                  <w:rPr>
                    <w:color w:val="003366"/>
                  </w:rPr>
                  <w:t>Office of the Ohio Consumers’ Counsel</w:t>
                </w:r>
              </w:p>
            </w:txbxContent>
          </v:textbox>
        </v:shape>
      </w:pict>
    </w:r>
    <w:r>
      <w:rPr>
        <w:noProof/>
        <w:color w:val="333399"/>
        <w:sz w:val="20"/>
      </w:rPr>
      <w:pict>
        <v:shape id="_x0000_s2050" type="#_x0000_t202" style="position:absolute;margin-left:42.6pt;margin-top:36.15pt;width:436.8pt;height:37.1pt;z-index:251656192;mso-position-horizontal-relative:text;mso-position-vertical-relative:text" stroked="f">
          <v:textbox style="mso-next-textbox:#_x0000_s2050">
            <w:txbxContent>
              <w:p w:rsidR="002A6CCC" w:rsidRDefault="002A6CCC">
                <w:pPr>
                  <w:pStyle w:val="Heading2"/>
                  <w:rPr>
                    <w:rFonts w:ascii="Arial Narrow" w:hAnsi="Arial Narrow"/>
                    <w:color w:val="003366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line id="_x0000_s2052" style="position:absolute;z-index:251658240;mso-position-horizontal-relative:text;mso-position-vertical-relative:text" from="45.9pt,36.15pt" to="506.1pt,36.15pt" strokecolor="#036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3EB0"/>
    <w:rsid w:val="00017261"/>
    <w:rsid w:val="000276E8"/>
    <w:rsid w:val="000424B4"/>
    <w:rsid w:val="00055FBA"/>
    <w:rsid w:val="0006765C"/>
    <w:rsid w:val="00091B8F"/>
    <w:rsid w:val="000A15A7"/>
    <w:rsid w:val="00100307"/>
    <w:rsid w:val="001116A1"/>
    <w:rsid w:val="00124143"/>
    <w:rsid w:val="00135DE6"/>
    <w:rsid w:val="001507A0"/>
    <w:rsid w:val="00172601"/>
    <w:rsid w:val="001A0832"/>
    <w:rsid w:val="001A68E3"/>
    <w:rsid w:val="001B02B4"/>
    <w:rsid w:val="002769EA"/>
    <w:rsid w:val="00287495"/>
    <w:rsid w:val="002A51AF"/>
    <w:rsid w:val="002A6CCC"/>
    <w:rsid w:val="002C0A46"/>
    <w:rsid w:val="002D516D"/>
    <w:rsid w:val="003004D5"/>
    <w:rsid w:val="00314306"/>
    <w:rsid w:val="00324E21"/>
    <w:rsid w:val="00362B06"/>
    <w:rsid w:val="00373EB0"/>
    <w:rsid w:val="00374647"/>
    <w:rsid w:val="003751B3"/>
    <w:rsid w:val="003756F2"/>
    <w:rsid w:val="00395371"/>
    <w:rsid w:val="003C3E3D"/>
    <w:rsid w:val="00412FB4"/>
    <w:rsid w:val="00413585"/>
    <w:rsid w:val="004446B4"/>
    <w:rsid w:val="00470264"/>
    <w:rsid w:val="00486E8B"/>
    <w:rsid w:val="004C3BDE"/>
    <w:rsid w:val="004F0F57"/>
    <w:rsid w:val="00502FFB"/>
    <w:rsid w:val="005259FC"/>
    <w:rsid w:val="00540366"/>
    <w:rsid w:val="005E29E2"/>
    <w:rsid w:val="005E61C1"/>
    <w:rsid w:val="005F1B5A"/>
    <w:rsid w:val="00603915"/>
    <w:rsid w:val="00630C38"/>
    <w:rsid w:val="0067676A"/>
    <w:rsid w:val="006F2312"/>
    <w:rsid w:val="00715CE5"/>
    <w:rsid w:val="007240D9"/>
    <w:rsid w:val="00736FAA"/>
    <w:rsid w:val="0074779B"/>
    <w:rsid w:val="0079700D"/>
    <w:rsid w:val="007B49F0"/>
    <w:rsid w:val="007C2027"/>
    <w:rsid w:val="007C5201"/>
    <w:rsid w:val="007D4E8D"/>
    <w:rsid w:val="007E614B"/>
    <w:rsid w:val="0082367E"/>
    <w:rsid w:val="008568A7"/>
    <w:rsid w:val="0088347E"/>
    <w:rsid w:val="00890047"/>
    <w:rsid w:val="008D0E2D"/>
    <w:rsid w:val="009050FF"/>
    <w:rsid w:val="0091181E"/>
    <w:rsid w:val="00946DA2"/>
    <w:rsid w:val="00965E1D"/>
    <w:rsid w:val="00976C08"/>
    <w:rsid w:val="00996782"/>
    <w:rsid w:val="009B6ECF"/>
    <w:rsid w:val="009D1D7E"/>
    <w:rsid w:val="00A26ED1"/>
    <w:rsid w:val="00A27D75"/>
    <w:rsid w:val="00A946D3"/>
    <w:rsid w:val="00AA025E"/>
    <w:rsid w:val="00AD04C3"/>
    <w:rsid w:val="00B200B8"/>
    <w:rsid w:val="00B62AC8"/>
    <w:rsid w:val="00B63EE5"/>
    <w:rsid w:val="00B64C97"/>
    <w:rsid w:val="00B666A8"/>
    <w:rsid w:val="00B831CF"/>
    <w:rsid w:val="00BD3861"/>
    <w:rsid w:val="00BE420E"/>
    <w:rsid w:val="00BF1F55"/>
    <w:rsid w:val="00C27E45"/>
    <w:rsid w:val="00C359FA"/>
    <w:rsid w:val="00C53B9D"/>
    <w:rsid w:val="00C679FB"/>
    <w:rsid w:val="00C73712"/>
    <w:rsid w:val="00C84E5D"/>
    <w:rsid w:val="00CD1F31"/>
    <w:rsid w:val="00D15E66"/>
    <w:rsid w:val="00D50AAC"/>
    <w:rsid w:val="00D63C5D"/>
    <w:rsid w:val="00D640C2"/>
    <w:rsid w:val="00D75699"/>
    <w:rsid w:val="00D76259"/>
    <w:rsid w:val="00DA309C"/>
    <w:rsid w:val="00DF54AB"/>
    <w:rsid w:val="00E005AB"/>
    <w:rsid w:val="00E0504A"/>
    <w:rsid w:val="00E0595D"/>
    <w:rsid w:val="00E13DCA"/>
    <w:rsid w:val="00E31E18"/>
    <w:rsid w:val="00E32977"/>
    <w:rsid w:val="00E54D27"/>
    <w:rsid w:val="00E5548F"/>
    <w:rsid w:val="00EA03C2"/>
    <w:rsid w:val="00EA1674"/>
    <w:rsid w:val="00EB18A2"/>
    <w:rsid w:val="00EB39F1"/>
    <w:rsid w:val="00EB734F"/>
    <w:rsid w:val="00F16321"/>
    <w:rsid w:val="00F33AEB"/>
    <w:rsid w:val="00F56372"/>
    <w:rsid w:val="00FC45B3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91181E"/>
    <w:rPr>
      <w:sz w:val="20"/>
      <w:szCs w:val="20"/>
    </w:rPr>
  </w:style>
  <w:style w:type="character" w:styleId="FootnoteReference">
    <w:name w:val="footnote reference"/>
    <w:semiHidden/>
    <w:rsid w:val="0091181E"/>
    <w:rPr>
      <w:vertAlign w:val="superscript"/>
    </w:rPr>
  </w:style>
  <w:style w:type="paragraph" w:styleId="BalloonText">
    <w:name w:val="Balloon Text"/>
    <w:basedOn w:val="Normal"/>
    <w:link w:val="BalloonTextChar"/>
    <w:rsid w:val="007C2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C202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E329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2977"/>
  </w:style>
  <w:style w:type="character" w:customStyle="1" w:styleId="CommentTextChar">
    <w:name w:val="Comment Text Char"/>
    <w:link w:val="CommentText"/>
    <w:rsid w:val="00E329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297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3297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91181E"/>
    <w:rPr>
      <w:sz w:val="20"/>
      <w:szCs w:val="20"/>
    </w:rPr>
  </w:style>
  <w:style w:type="character" w:styleId="FootnoteReference">
    <w:name w:val="footnote reference"/>
    <w:semiHidden/>
    <w:rsid w:val="0091181E"/>
    <w:rPr>
      <w:vertAlign w:val="superscript"/>
    </w:rPr>
  </w:style>
  <w:style w:type="paragraph" w:styleId="BalloonText">
    <w:name w:val="Balloon Text"/>
    <w:basedOn w:val="Normal"/>
    <w:link w:val="BalloonTextChar"/>
    <w:rsid w:val="007C2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C202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E329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2977"/>
  </w:style>
  <w:style w:type="character" w:customStyle="1" w:styleId="CommentTextChar">
    <w:name w:val="Comment Text Char"/>
    <w:link w:val="CommentText"/>
    <w:rsid w:val="00E329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3297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329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co.ohio.gov/puco/index.cfm/rules/pending-rules/rule-49011-10-10b-guidelines-for-reliability-standards-application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2817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3306</CharactersWithSpaces>
  <SharedDoc>false</SharedDoc>
  <HyperlinkBase> </HyperlinkBase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http://www.puco.ohio.gov/puco/index.cfm/rules/pending-rules/rule-49011-10-10b-guidelines-for-reliability-standards-applications/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2013-08-08T13:17:00Z</cp:lastPrinted>
  <dcterms:created xsi:type="dcterms:W3CDTF">2013-08-08T13:20:00Z</dcterms:created>
  <dcterms:modified xsi:type="dcterms:W3CDTF">2013-08-08T13:20:00Z</dcterms:modified>
  <cp:category> </cp:category>
  <cp:contentStatus> </cp:contentStatus>
</cp:coreProperties>
</file>