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D83" w:rsidRPr="003A2D83" w:rsidRDefault="003A2D83" w:rsidP="003A2D83">
      <w:pPr>
        <w:spacing w:line="276" w:lineRule="auto"/>
        <w:jc w:val="center"/>
        <w:rPr>
          <w:rFonts w:eastAsia="Calibri" w:cs="Arial"/>
          <w:b/>
          <w:smallCaps/>
          <w:sz w:val="28"/>
          <w:szCs w:val="28"/>
        </w:rPr>
      </w:pPr>
      <w:bookmarkStart w:id="0" w:name="OLE_LINK1"/>
      <w:bookmarkStart w:id="1" w:name="OLE_LINK2"/>
      <w:r w:rsidRPr="003A2D83">
        <w:rPr>
          <w:rFonts w:eastAsia="Calibri" w:cs="Arial"/>
          <w:b/>
          <w:smallCaps/>
          <w:sz w:val="28"/>
          <w:szCs w:val="28"/>
        </w:rPr>
        <w:t>Before</w:t>
      </w:r>
    </w:p>
    <w:p w:rsidR="003A2D83" w:rsidRPr="003A2D83" w:rsidRDefault="003A2D83" w:rsidP="003A2D83">
      <w:pPr>
        <w:spacing w:line="276" w:lineRule="auto"/>
        <w:jc w:val="center"/>
        <w:rPr>
          <w:rFonts w:eastAsia="Calibri" w:cs="Arial"/>
          <w:b/>
          <w:smallCaps/>
          <w:sz w:val="28"/>
          <w:szCs w:val="28"/>
        </w:rPr>
      </w:pPr>
      <w:r w:rsidRPr="003A2D83">
        <w:rPr>
          <w:rFonts w:eastAsia="Calibri" w:cs="Arial"/>
          <w:b/>
          <w:smallCaps/>
          <w:sz w:val="28"/>
          <w:szCs w:val="28"/>
        </w:rPr>
        <w:t>The Public Utilities Commission Of Ohio</w:t>
      </w:r>
    </w:p>
    <w:p w:rsidR="003A2D83" w:rsidRPr="003A2D83" w:rsidRDefault="003A2D83" w:rsidP="003A2D83">
      <w:pPr>
        <w:spacing w:line="276" w:lineRule="auto"/>
        <w:rPr>
          <w:rFonts w:eastAsia="Calibri" w:cs="Times New Roman"/>
          <w:b/>
          <w:szCs w:val="22"/>
        </w:rPr>
      </w:pPr>
    </w:p>
    <w:p w:rsidR="003A2D83" w:rsidRPr="003A2D83" w:rsidRDefault="003A2D83" w:rsidP="003A2D83">
      <w:pPr>
        <w:spacing w:line="276" w:lineRule="auto"/>
        <w:rPr>
          <w:rFonts w:eastAsia="Calibri" w:cs="Times New Roman"/>
          <w:szCs w:val="22"/>
        </w:rPr>
      </w:pPr>
      <w:r w:rsidRPr="003A2D83">
        <w:rPr>
          <w:rFonts w:eastAsia="Calibri" w:cs="Times New Roman"/>
          <w:szCs w:val="22"/>
        </w:rPr>
        <w:t xml:space="preserve">In the Matter of the Application of </w:t>
      </w:r>
      <w:r w:rsidRPr="003A2D83">
        <w:rPr>
          <w:rFonts w:eastAsia="Calibri" w:cs="Times New Roman"/>
          <w:szCs w:val="22"/>
        </w:rPr>
        <w:tab/>
      </w:r>
      <w:r w:rsidRPr="003A2D83">
        <w:rPr>
          <w:rFonts w:eastAsia="Calibri" w:cs="Times New Roman"/>
          <w:szCs w:val="22"/>
        </w:rPr>
        <w:tab/>
        <w:t>)</w:t>
      </w:r>
    </w:p>
    <w:p w:rsidR="003A2D83" w:rsidRPr="003A2D83" w:rsidRDefault="003A2D83" w:rsidP="003A2D83">
      <w:pPr>
        <w:spacing w:line="276" w:lineRule="auto"/>
        <w:rPr>
          <w:rFonts w:eastAsia="Calibri" w:cs="Times New Roman"/>
          <w:szCs w:val="22"/>
        </w:rPr>
      </w:pPr>
      <w:r w:rsidRPr="003A2D83">
        <w:rPr>
          <w:rFonts w:eastAsia="Calibri" w:cs="Times New Roman"/>
          <w:szCs w:val="22"/>
        </w:rPr>
        <w:t xml:space="preserve">The Dayton Power and Light Company </w:t>
      </w:r>
      <w:r w:rsidRPr="003A2D83">
        <w:rPr>
          <w:rFonts w:eastAsia="Calibri" w:cs="Times New Roman"/>
          <w:szCs w:val="22"/>
        </w:rPr>
        <w:tab/>
        <w:t>)</w:t>
      </w:r>
      <w:r w:rsidRPr="003A2D83">
        <w:rPr>
          <w:rFonts w:eastAsia="Calibri" w:cs="Times New Roman"/>
          <w:szCs w:val="22"/>
        </w:rPr>
        <w:tab/>
      </w:r>
      <w:r w:rsidRPr="003A2D83">
        <w:rPr>
          <w:rFonts w:eastAsia="Calibri" w:cs="Times New Roman"/>
          <w:szCs w:val="22"/>
        </w:rPr>
        <w:tab/>
        <w:t>Case No. 12-426-EL-SSO</w:t>
      </w:r>
    </w:p>
    <w:p w:rsidR="003A2D83" w:rsidRPr="003A2D83" w:rsidRDefault="003A2D83" w:rsidP="003A2D83">
      <w:pPr>
        <w:spacing w:line="276" w:lineRule="auto"/>
        <w:rPr>
          <w:rFonts w:eastAsia="Calibri" w:cs="Times New Roman"/>
          <w:szCs w:val="22"/>
        </w:rPr>
      </w:pPr>
      <w:r w:rsidRPr="003A2D83">
        <w:rPr>
          <w:rFonts w:eastAsia="Calibri" w:cs="Times New Roman"/>
          <w:szCs w:val="22"/>
        </w:rPr>
        <w:t>for Approval of Its Market Rate Offer.</w:t>
      </w:r>
      <w:r w:rsidRPr="003A2D83">
        <w:rPr>
          <w:rFonts w:eastAsia="Calibri" w:cs="Times New Roman"/>
          <w:szCs w:val="22"/>
        </w:rPr>
        <w:tab/>
        <w:t>)</w:t>
      </w:r>
    </w:p>
    <w:p w:rsidR="003A2D83" w:rsidRPr="003A2D83" w:rsidRDefault="003A2D83" w:rsidP="003A2D83">
      <w:pPr>
        <w:spacing w:before="240" w:line="276" w:lineRule="auto"/>
        <w:rPr>
          <w:rFonts w:eastAsia="Calibri" w:cs="Times New Roman"/>
          <w:szCs w:val="22"/>
        </w:rPr>
      </w:pPr>
      <w:r w:rsidRPr="003A2D83">
        <w:rPr>
          <w:rFonts w:eastAsia="Calibri" w:cs="Times New Roman"/>
          <w:szCs w:val="22"/>
        </w:rPr>
        <w:t>In the Matter of the Application of</w:t>
      </w:r>
      <w:r w:rsidRPr="003A2D83">
        <w:rPr>
          <w:rFonts w:eastAsia="Calibri" w:cs="Times New Roman"/>
          <w:szCs w:val="22"/>
        </w:rPr>
        <w:tab/>
      </w:r>
      <w:r w:rsidRPr="003A2D83">
        <w:rPr>
          <w:rFonts w:eastAsia="Calibri" w:cs="Times New Roman"/>
          <w:szCs w:val="22"/>
        </w:rPr>
        <w:tab/>
        <w:t>)</w:t>
      </w:r>
    </w:p>
    <w:p w:rsidR="003A2D83" w:rsidRPr="003A2D83" w:rsidRDefault="003A2D83" w:rsidP="003A2D83">
      <w:pPr>
        <w:spacing w:line="276" w:lineRule="auto"/>
        <w:rPr>
          <w:rFonts w:eastAsia="Calibri" w:cs="Times New Roman"/>
          <w:szCs w:val="22"/>
        </w:rPr>
      </w:pPr>
      <w:r w:rsidRPr="003A2D83">
        <w:rPr>
          <w:rFonts w:eastAsia="Calibri" w:cs="Times New Roman"/>
          <w:szCs w:val="22"/>
        </w:rPr>
        <w:t>The Dayton Power and Light Company</w:t>
      </w:r>
      <w:r w:rsidRPr="003A2D83">
        <w:rPr>
          <w:rFonts w:eastAsia="Calibri" w:cs="Times New Roman"/>
          <w:szCs w:val="22"/>
        </w:rPr>
        <w:tab/>
        <w:t>)</w:t>
      </w:r>
      <w:r w:rsidRPr="003A2D83">
        <w:rPr>
          <w:rFonts w:eastAsia="Calibri" w:cs="Times New Roman"/>
          <w:szCs w:val="22"/>
        </w:rPr>
        <w:tab/>
      </w:r>
      <w:r w:rsidRPr="003A2D83">
        <w:rPr>
          <w:rFonts w:eastAsia="Calibri" w:cs="Times New Roman"/>
          <w:szCs w:val="22"/>
        </w:rPr>
        <w:tab/>
        <w:t>Case No. 12-427-EL-ATA</w:t>
      </w:r>
    </w:p>
    <w:p w:rsidR="003A2D83" w:rsidRPr="003A2D83" w:rsidRDefault="003A2D83" w:rsidP="003A2D83">
      <w:pPr>
        <w:spacing w:line="276" w:lineRule="auto"/>
        <w:rPr>
          <w:rFonts w:eastAsia="Calibri" w:cs="Times New Roman"/>
          <w:szCs w:val="22"/>
        </w:rPr>
      </w:pPr>
      <w:r w:rsidRPr="003A2D83">
        <w:rPr>
          <w:rFonts w:eastAsia="Calibri" w:cs="Times New Roman"/>
          <w:szCs w:val="22"/>
        </w:rPr>
        <w:t>for Approval of Revised Tariffs.</w:t>
      </w:r>
      <w:r w:rsidRPr="003A2D83">
        <w:rPr>
          <w:rFonts w:eastAsia="Calibri" w:cs="Times New Roman"/>
          <w:szCs w:val="22"/>
        </w:rPr>
        <w:tab/>
      </w:r>
      <w:r w:rsidRPr="003A2D83">
        <w:rPr>
          <w:rFonts w:eastAsia="Calibri" w:cs="Times New Roman"/>
          <w:szCs w:val="22"/>
        </w:rPr>
        <w:tab/>
        <w:t>)</w:t>
      </w:r>
    </w:p>
    <w:p w:rsidR="003A2D83" w:rsidRPr="003A2D83" w:rsidRDefault="003A2D83" w:rsidP="003A2D83">
      <w:pPr>
        <w:spacing w:before="240" w:line="276" w:lineRule="auto"/>
        <w:rPr>
          <w:rFonts w:eastAsia="Calibri" w:cs="Times New Roman"/>
          <w:szCs w:val="22"/>
        </w:rPr>
      </w:pPr>
      <w:r w:rsidRPr="003A2D83">
        <w:rPr>
          <w:rFonts w:eastAsia="Calibri" w:cs="Times New Roman"/>
          <w:szCs w:val="22"/>
        </w:rPr>
        <w:t>In the Matter of the Application of</w:t>
      </w:r>
      <w:r w:rsidRPr="003A2D83">
        <w:rPr>
          <w:rFonts w:eastAsia="Calibri" w:cs="Times New Roman"/>
          <w:szCs w:val="22"/>
        </w:rPr>
        <w:tab/>
      </w:r>
      <w:r w:rsidRPr="003A2D83">
        <w:rPr>
          <w:rFonts w:eastAsia="Calibri" w:cs="Times New Roman"/>
          <w:szCs w:val="22"/>
        </w:rPr>
        <w:tab/>
        <w:t>)</w:t>
      </w:r>
    </w:p>
    <w:p w:rsidR="003A2D83" w:rsidRPr="003A2D83" w:rsidRDefault="003A2D83" w:rsidP="003A2D83">
      <w:pPr>
        <w:spacing w:line="276" w:lineRule="auto"/>
        <w:rPr>
          <w:rFonts w:eastAsia="Calibri" w:cs="Times New Roman"/>
          <w:szCs w:val="22"/>
        </w:rPr>
      </w:pPr>
      <w:r w:rsidRPr="003A2D83">
        <w:rPr>
          <w:rFonts w:eastAsia="Calibri" w:cs="Times New Roman"/>
          <w:szCs w:val="22"/>
        </w:rPr>
        <w:t>The Dayton Power and Light Company</w:t>
      </w:r>
      <w:r w:rsidRPr="003A2D83">
        <w:rPr>
          <w:rFonts w:eastAsia="Calibri" w:cs="Times New Roman"/>
          <w:szCs w:val="22"/>
        </w:rPr>
        <w:tab/>
        <w:t>)</w:t>
      </w:r>
      <w:r w:rsidRPr="003A2D83">
        <w:rPr>
          <w:rFonts w:eastAsia="Calibri" w:cs="Times New Roman"/>
          <w:szCs w:val="22"/>
        </w:rPr>
        <w:tab/>
      </w:r>
      <w:r w:rsidRPr="003A2D83">
        <w:rPr>
          <w:rFonts w:eastAsia="Calibri" w:cs="Times New Roman"/>
          <w:szCs w:val="22"/>
        </w:rPr>
        <w:tab/>
        <w:t>Case No. 12-428-EL-AAM</w:t>
      </w:r>
    </w:p>
    <w:p w:rsidR="003A2D83" w:rsidRPr="003A2D83" w:rsidRDefault="003A2D83" w:rsidP="003A2D83">
      <w:pPr>
        <w:spacing w:line="276" w:lineRule="auto"/>
        <w:rPr>
          <w:rFonts w:eastAsia="Calibri" w:cs="Times New Roman"/>
          <w:szCs w:val="22"/>
        </w:rPr>
      </w:pPr>
      <w:r w:rsidRPr="003A2D83">
        <w:rPr>
          <w:rFonts w:eastAsia="Calibri" w:cs="Times New Roman"/>
          <w:szCs w:val="22"/>
        </w:rPr>
        <w:t xml:space="preserve">for Approval of Certain Accounting </w:t>
      </w:r>
      <w:r w:rsidRPr="003A2D83">
        <w:rPr>
          <w:rFonts w:eastAsia="Calibri" w:cs="Times New Roman"/>
          <w:szCs w:val="22"/>
        </w:rPr>
        <w:tab/>
        <w:t>)</w:t>
      </w:r>
    </w:p>
    <w:p w:rsidR="003A2D83" w:rsidRPr="003A2D83" w:rsidRDefault="003A2D83" w:rsidP="003A2D83">
      <w:pPr>
        <w:spacing w:line="276" w:lineRule="auto"/>
        <w:rPr>
          <w:rFonts w:eastAsia="Calibri" w:cs="Times New Roman"/>
          <w:szCs w:val="22"/>
        </w:rPr>
      </w:pPr>
      <w:r w:rsidRPr="003A2D83">
        <w:rPr>
          <w:rFonts w:eastAsia="Calibri" w:cs="Times New Roman"/>
          <w:szCs w:val="22"/>
        </w:rPr>
        <w:t>Authority.</w:t>
      </w:r>
      <w:r w:rsidRPr="003A2D83">
        <w:rPr>
          <w:rFonts w:eastAsia="Calibri" w:cs="Times New Roman"/>
          <w:szCs w:val="22"/>
        </w:rPr>
        <w:tab/>
      </w:r>
      <w:r w:rsidRPr="003A2D83">
        <w:rPr>
          <w:rFonts w:eastAsia="Calibri" w:cs="Times New Roman"/>
          <w:szCs w:val="22"/>
        </w:rPr>
        <w:tab/>
      </w:r>
      <w:r w:rsidRPr="003A2D83">
        <w:rPr>
          <w:rFonts w:eastAsia="Calibri" w:cs="Times New Roman"/>
          <w:szCs w:val="22"/>
        </w:rPr>
        <w:tab/>
      </w:r>
      <w:r w:rsidRPr="003A2D83">
        <w:rPr>
          <w:rFonts w:eastAsia="Calibri" w:cs="Times New Roman"/>
          <w:szCs w:val="22"/>
        </w:rPr>
        <w:tab/>
      </w:r>
      <w:r w:rsidRPr="003A2D83">
        <w:rPr>
          <w:rFonts w:eastAsia="Calibri" w:cs="Times New Roman"/>
          <w:szCs w:val="22"/>
        </w:rPr>
        <w:tab/>
        <w:t>)</w:t>
      </w:r>
    </w:p>
    <w:p w:rsidR="003A2D83" w:rsidRPr="003A2D83" w:rsidRDefault="003A2D83" w:rsidP="003A2D83">
      <w:pPr>
        <w:spacing w:before="240" w:line="276" w:lineRule="auto"/>
        <w:rPr>
          <w:rFonts w:eastAsia="Calibri" w:cs="Times New Roman"/>
          <w:szCs w:val="22"/>
        </w:rPr>
      </w:pPr>
      <w:r w:rsidRPr="003A2D83">
        <w:rPr>
          <w:rFonts w:eastAsia="Calibri" w:cs="Times New Roman"/>
          <w:szCs w:val="22"/>
        </w:rPr>
        <w:t>In the Matter of the Application of</w:t>
      </w:r>
      <w:r w:rsidRPr="003A2D83">
        <w:rPr>
          <w:rFonts w:eastAsia="Calibri" w:cs="Times New Roman"/>
          <w:szCs w:val="22"/>
        </w:rPr>
        <w:tab/>
      </w:r>
      <w:r w:rsidRPr="003A2D83">
        <w:rPr>
          <w:rFonts w:eastAsia="Calibri" w:cs="Times New Roman"/>
          <w:szCs w:val="22"/>
        </w:rPr>
        <w:tab/>
        <w:t>)</w:t>
      </w:r>
    </w:p>
    <w:p w:rsidR="003A2D83" w:rsidRPr="003A2D83" w:rsidRDefault="003A2D83" w:rsidP="003A2D83">
      <w:pPr>
        <w:spacing w:line="276" w:lineRule="auto"/>
        <w:rPr>
          <w:rFonts w:eastAsia="Calibri" w:cs="Times New Roman"/>
          <w:szCs w:val="22"/>
        </w:rPr>
      </w:pPr>
      <w:r w:rsidRPr="003A2D83">
        <w:rPr>
          <w:rFonts w:eastAsia="Calibri" w:cs="Times New Roman"/>
          <w:szCs w:val="22"/>
        </w:rPr>
        <w:t>The Dayton Power and Light Company</w:t>
      </w:r>
      <w:r w:rsidRPr="003A2D83">
        <w:rPr>
          <w:rFonts w:eastAsia="Calibri" w:cs="Times New Roman"/>
          <w:szCs w:val="22"/>
        </w:rPr>
        <w:tab/>
        <w:t>)</w:t>
      </w:r>
      <w:r w:rsidRPr="003A2D83">
        <w:rPr>
          <w:rFonts w:eastAsia="Calibri" w:cs="Times New Roman"/>
          <w:szCs w:val="22"/>
        </w:rPr>
        <w:tab/>
      </w:r>
      <w:r w:rsidRPr="003A2D83">
        <w:rPr>
          <w:rFonts w:eastAsia="Calibri" w:cs="Times New Roman"/>
          <w:szCs w:val="22"/>
        </w:rPr>
        <w:tab/>
        <w:t>Case No. 12-429-EL-WVR</w:t>
      </w:r>
    </w:p>
    <w:p w:rsidR="00F47474" w:rsidRDefault="003A2D83" w:rsidP="003A2D83">
      <w:pPr>
        <w:spacing w:line="276" w:lineRule="auto"/>
        <w:rPr>
          <w:rFonts w:eastAsia="Calibri" w:cs="Times New Roman"/>
          <w:szCs w:val="22"/>
        </w:rPr>
      </w:pPr>
      <w:r w:rsidRPr="003A2D83">
        <w:rPr>
          <w:rFonts w:eastAsia="Calibri" w:cs="Times New Roman"/>
          <w:szCs w:val="22"/>
        </w:rPr>
        <w:t xml:space="preserve">for Waiver of Certain Commission </w:t>
      </w:r>
      <w:r w:rsidR="00F47474">
        <w:rPr>
          <w:rFonts w:eastAsia="Calibri" w:cs="Times New Roman"/>
          <w:szCs w:val="22"/>
        </w:rPr>
        <w:tab/>
        <w:t>)</w:t>
      </w:r>
    </w:p>
    <w:p w:rsidR="003A2D83" w:rsidRPr="003A2D83" w:rsidRDefault="003A2D83" w:rsidP="003A2D83">
      <w:pPr>
        <w:spacing w:line="276" w:lineRule="auto"/>
        <w:rPr>
          <w:rFonts w:eastAsia="Calibri" w:cs="Times New Roman"/>
          <w:szCs w:val="22"/>
        </w:rPr>
      </w:pPr>
      <w:r w:rsidRPr="003A2D83">
        <w:rPr>
          <w:rFonts w:eastAsia="Calibri" w:cs="Times New Roman"/>
          <w:szCs w:val="22"/>
        </w:rPr>
        <w:t>Rules.</w:t>
      </w:r>
      <w:r w:rsidR="00F47474">
        <w:rPr>
          <w:rFonts w:eastAsia="Calibri" w:cs="Times New Roman"/>
          <w:szCs w:val="22"/>
        </w:rPr>
        <w:tab/>
      </w:r>
      <w:r w:rsidR="00F47474">
        <w:rPr>
          <w:rFonts w:eastAsia="Calibri" w:cs="Times New Roman"/>
          <w:szCs w:val="22"/>
        </w:rPr>
        <w:tab/>
      </w:r>
      <w:r w:rsidR="00F47474">
        <w:rPr>
          <w:rFonts w:eastAsia="Calibri" w:cs="Times New Roman"/>
          <w:szCs w:val="22"/>
        </w:rPr>
        <w:tab/>
      </w:r>
      <w:r w:rsidR="00F47474">
        <w:rPr>
          <w:rFonts w:eastAsia="Calibri" w:cs="Times New Roman"/>
          <w:szCs w:val="22"/>
        </w:rPr>
        <w:tab/>
      </w:r>
      <w:r w:rsidR="00F47474">
        <w:rPr>
          <w:rFonts w:eastAsia="Calibri" w:cs="Times New Roman"/>
          <w:szCs w:val="22"/>
        </w:rPr>
        <w:tab/>
      </w:r>
      <w:r w:rsidR="00F47474">
        <w:rPr>
          <w:rFonts w:eastAsia="Calibri" w:cs="Times New Roman"/>
          <w:szCs w:val="22"/>
        </w:rPr>
        <w:tab/>
      </w:r>
      <w:r w:rsidRPr="003A2D83">
        <w:rPr>
          <w:rFonts w:eastAsia="Calibri" w:cs="Times New Roman"/>
          <w:szCs w:val="22"/>
        </w:rPr>
        <w:t>)</w:t>
      </w:r>
    </w:p>
    <w:p w:rsidR="003A2D83" w:rsidRPr="003A2D83" w:rsidRDefault="003A2D83" w:rsidP="003A2D83">
      <w:pPr>
        <w:spacing w:before="240" w:line="276" w:lineRule="auto"/>
        <w:rPr>
          <w:rFonts w:eastAsia="Calibri" w:cs="Times New Roman"/>
          <w:szCs w:val="22"/>
        </w:rPr>
      </w:pPr>
      <w:r w:rsidRPr="003A2D83">
        <w:rPr>
          <w:rFonts w:eastAsia="Calibri" w:cs="Times New Roman"/>
          <w:szCs w:val="22"/>
        </w:rPr>
        <w:t>In the Matter of the Application of</w:t>
      </w:r>
      <w:r w:rsidRPr="003A2D83">
        <w:rPr>
          <w:rFonts w:eastAsia="Calibri" w:cs="Times New Roman"/>
          <w:szCs w:val="22"/>
        </w:rPr>
        <w:tab/>
      </w:r>
      <w:r w:rsidRPr="003A2D83">
        <w:rPr>
          <w:rFonts w:eastAsia="Calibri" w:cs="Times New Roman"/>
          <w:szCs w:val="22"/>
        </w:rPr>
        <w:tab/>
        <w:t>)</w:t>
      </w:r>
    </w:p>
    <w:p w:rsidR="003A2D83" w:rsidRPr="003A2D83" w:rsidRDefault="003A2D83" w:rsidP="003A2D83">
      <w:pPr>
        <w:spacing w:line="276" w:lineRule="auto"/>
        <w:rPr>
          <w:rFonts w:eastAsia="Calibri" w:cs="Times New Roman"/>
          <w:szCs w:val="22"/>
        </w:rPr>
      </w:pPr>
      <w:r w:rsidRPr="003A2D83">
        <w:rPr>
          <w:rFonts w:eastAsia="Calibri" w:cs="Times New Roman"/>
          <w:szCs w:val="22"/>
        </w:rPr>
        <w:t>The Dayton Power and Light Company</w:t>
      </w:r>
      <w:r w:rsidRPr="003A2D83">
        <w:rPr>
          <w:rFonts w:eastAsia="Calibri" w:cs="Times New Roman"/>
          <w:szCs w:val="22"/>
        </w:rPr>
        <w:tab/>
        <w:t>)</w:t>
      </w:r>
      <w:r w:rsidRPr="003A2D83">
        <w:rPr>
          <w:rFonts w:eastAsia="Calibri" w:cs="Times New Roman"/>
          <w:szCs w:val="22"/>
        </w:rPr>
        <w:tab/>
      </w:r>
      <w:r w:rsidRPr="003A2D83">
        <w:rPr>
          <w:rFonts w:eastAsia="Calibri" w:cs="Times New Roman"/>
          <w:szCs w:val="22"/>
        </w:rPr>
        <w:tab/>
        <w:t>Case No. 12-672-EL-RDR</w:t>
      </w:r>
    </w:p>
    <w:p w:rsidR="003A2D83" w:rsidRPr="003A2D83" w:rsidRDefault="003A2D83" w:rsidP="003A2D83">
      <w:pPr>
        <w:spacing w:line="276" w:lineRule="auto"/>
        <w:rPr>
          <w:rFonts w:eastAsia="Calibri" w:cs="Times New Roman"/>
          <w:szCs w:val="22"/>
        </w:rPr>
      </w:pPr>
      <w:r w:rsidRPr="003A2D83">
        <w:rPr>
          <w:rFonts w:eastAsia="Calibri" w:cs="Times New Roman"/>
          <w:szCs w:val="22"/>
        </w:rPr>
        <w:t>to Establish Tariff Riders.</w:t>
      </w:r>
      <w:r w:rsidRPr="003A2D83">
        <w:rPr>
          <w:rFonts w:eastAsia="Calibri" w:cs="Times New Roman"/>
          <w:szCs w:val="22"/>
        </w:rPr>
        <w:tab/>
      </w:r>
      <w:r w:rsidRPr="003A2D83">
        <w:rPr>
          <w:rFonts w:eastAsia="Calibri" w:cs="Times New Roman"/>
          <w:szCs w:val="22"/>
        </w:rPr>
        <w:tab/>
      </w:r>
      <w:r w:rsidRPr="003A2D83">
        <w:rPr>
          <w:rFonts w:eastAsia="Calibri" w:cs="Times New Roman"/>
          <w:szCs w:val="22"/>
        </w:rPr>
        <w:tab/>
        <w:t>)</w:t>
      </w:r>
    </w:p>
    <w:p w:rsidR="003A2D83" w:rsidRPr="003A2D83" w:rsidRDefault="003A2D83" w:rsidP="003A2D83">
      <w:pPr>
        <w:spacing w:line="276" w:lineRule="auto"/>
        <w:rPr>
          <w:rFonts w:eastAsia="Calibri" w:cs="Times New Roman"/>
          <w:szCs w:val="22"/>
        </w:rPr>
      </w:pPr>
    </w:p>
    <w:p w:rsidR="003A2D83" w:rsidRPr="003A2D83" w:rsidRDefault="003A2D83" w:rsidP="003A2D83">
      <w:pPr>
        <w:spacing w:line="276" w:lineRule="auto"/>
        <w:rPr>
          <w:rFonts w:eastAsia="Calibri" w:cs="Times New Roman"/>
          <w:szCs w:val="22"/>
        </w:rPr>
      </w:pPr>
    </w:p>
    <w:p w:rsidR="003A2D83" w:rsidRPr="003A2D83" w:rsidRDefault="003A2D83" w:rsidP="003A2D83">
      <w:pPr>
        <w:pBdr>
          <w:top w:val="single" w:sz="12" w:space="1" w:color="auto"/>
          <w:bottom w:val="single" w:sz="12" w:space="1" w:color="auto"/>
        </w:pBdr>
        <w:spacing w:line="240" w:lineRule="auto"/>
        <w:jc w:val="center"/>
        <w:rPr>
          <w:rFonts w:eastAsia="Calibri" w:cs="Arial"/>
          <w:b/>
          <w:caps/>
          <w:sz w:val="16"/>
          <w:szCs w:val="16"/>
        </w:rPr>
      </w:pPr>
    </w:p>
    <w:p w:rsidR="003A2D83" w:rsidRPr="003A2D83" w:rsidRDefault="00041097" w:rsidP="003A2D83">
      <w:pPr>
        <w:pBdr>
          <w:top w:val="single" w:sz="12" w:space="1" w:color="auto"/>
          <w:bottom w:val="single" w:sz="12" w:space="1" w:color="auto"/>
        </w:pBdr>
        <w:spacing w:line="240" w:lineRule="auto"/>
        <w:jc w:val="center"/>
        <w:rPr>
          <w:rFonts w:eastAsia="Calibri" w:cs="Arial"/>
          <w:b/>
          <w:caps/>
        </w:rPr>
      </w:pPr>
      <w:r>
        <w:rPr>
          <w:rFonts w:eastAsia="Calibri" w:cs="Arial"/>
          <w:b/>
          <w:caps/>
        </w:rPr>
        <w:t xml:space="preserve">Industrial Energy Users-Ohio’s Memorandum Contra </w:t>
      </w:r>
      <w:r w:rsidR="00F91B16">
        <w:rPr>
          <w:rFonts w:eastAsia="Calibri" w:cs="Arial"/>
          <w:b/>
          <w:caps/>
        </w:rPr>
        <w:t xml:space="preserve">the </w:t>
      </w:r>
      <w:r>
        <w:rPr>
          <w:rFonts w:eastAsia="Calibri" w:cs="Arial"/>
          <w:b/>
          <w:caps/>
        </w:rPr>
        <w:t>Application for Rehearing</w:t>
      </w:r>
      <w:r w:rsidR="00F91B16">
        <w:rPr>
          <w:rFonts w:eastAsia="Calibri" w:cs="Arial"/>
          <w:b/>
          <w:caps/>
        </w:rPr>
        <w:t xml:space="preserve"> of the Dayton Power and Light Company as to the second entry on rehearing</w:t>
      </w:r>
    </w:p>
    <w:p w:rsidR="003A2D83" w:rsidRPr="003A2D83" w:rsidRDefault="003A2D83" w:rsidP="003A2D83">
      <w:pPr>
        <w:pBdr>
          <w:top w:val="single" w:sz="12" w:space="1" w:color="auto"/>
          <w:bottom w:val="single" w:sz="12" w:space="1" w:color="auto"/>
        </w:pBdr>
        <w:spacing w:line="240" w:lineRule="auto"/>
        <w:jc w:val="center"/>
        <w:rPr>
          <w:rFonts w:ascii="Arial Bold" w:eastAsia="Calibri" w:hAnsi="Arial Bold" w:cs="Times New Roman"/>
          <w:b/>
          <w:caps/>
          <w:sz w:val="16"/>
          <w:szCs w:val="16"/>
        </w:rPr>
      </w:pPr>
    </w:p>
    <w:p w:rsidR="003A2D83" w:rsidRPr="003A2D83" w:rsidRDefault="003A2D83" w:rsidP="003A2D83">
      <w:pPr>
        <w:spacing w:line="276" w:lineRule="auto"/>
        <w:ind w:firstLine="720"/>
        <w:rPr>
          <w:rFonts w:eastAsia="Calibri" w:cs="Arial"/>
          <w:b/>
          <w:szCs w:val="22"/>
        </w:rPr>
      </w:pPr>
    </w:p>
    <w:p w:rsidR="003A2D83" w:rsidRPr="003A2D83" w:rsidRDefault="003A2D83" w:rsidP="003A2D83">
      <w:pPr>
        <w:tabs>
          <w:tab w:val="left" w:pos="-1440"/>
          <w:tab w:val="left" w:pos="-720"/>
        </w:tabs>
        <w:spacing w:line="240" w:lineRule="auto"/>
        <w:ind w:left="4320" w:hanging="4320"/>
        <w:rPr>
          <w:rFonts w:eastAsia="Calibri" w:cs="Arial"/>
          <w:szCs w:val="22"/>
        </w:rPr>
      </w:pPr>
      <w:r w:rsidRPr="003A2D83">
        <w:rPr>
          <w:rFonts w:eastAsia="Calibri" w:cs="Arial"/>
          <w:szCs w:val="22"/>
        </w:rPr>
        <w:tab/>
        <w:t>Samuel C. Randazzo</w:t>
      </w:r>
    </w:p>
    <w:p w:rsidR="003A2D83" w:rsidRPr="003A2D83" w:rsidRDefault="003A2D83" w:rsidP="003A2D83">
      <w:pPr>
        <w:tabs>
          <w:tab w:val="left" w:pos="-1440"/>
          <w:tab w:val="left" w:pos="-720"/>
          <w:tab w:val="right" w:pos="8640"/>
        </w:tabs>
        <w:spacing w:line="240" w:lineRule="auto"/>
        <w:ind w:left="4320"/>
        <w:rPr>
          <w:rFonts w:eastAsia="Calibri" w:cs="Arial"/>
          <w:szCs w:val="22"/>
        </w:rPr>
      </w:pPr>
      <w:r w:rsidRPr="003A2D83">
        <w:rPr>
          <w:rFonts w:eastAsia="Calibri" w:cs="Arial"/>
          <w:szCs w:val="22"/>
        </w:rPr>
        <w:t>Frank P. Darr</w:t>
      </w:r>
    </w:p>
    <w:p w:rsidR="003A2D83" w:rsidRPr="003A2D83" w:rsidRDefault="003A2D83" w:rsidP="003A2D83">
      <w:pPr>
        <w:tabs>
          <w:tab w:val="left" w:pos="-1440"/>
          <w:tab w:val="left" w:pos="-720"/>
          <w:tab w:val="right" w:pos="8640"/>
        </w:tabs>
        <w:spacing w:line="240" w:lineRule="auto"/>
        <w:ind w:left="4320"/>
        <w:rPr>
          <w:rFonts w:eastAsia="Calibri" w:cs="Arial"/>
          <w:szCs w:val="22"/>
        </w:rPr>
      </w:pPr>
      <w:r w:rsidRPr="003A2D83">
        <w:rPr>
          <w:rFonts w:eastAsia="Calibri" w:cs="Arial"/>
          <w:szCs w:val="22"/>
        </w:rPr>
        <w:t>Matthew R. Pritchard</w:t>
      </w:r>
    </w:p>
    <w:p w:rsidR="003A2D83" w:rsidRPr="003A2D83" w:rsidRDefault="003A2D83" w:rsidP="003A2D83">
      <w:pPr>
        <w:tabs>
          <w:tab w:val="left" w:pos="-1440"/>
          <w:tab w:val="left" w:pos="-720"/>
          <w:tab w:val="right" w:pos="8640"/>
        </w:tabs>
        <w:spacing w:line="240" w:lineRule="auto"/>
        <w:ind w:left="4320"/>
        <w:rPr>
          <w:rFonts w:eastAsia="Calibri" w:cs="Arial"/>
          <w:szCs w:val="22"/>
        </w:rPr>
      </w:pPr>
      <w:r w:rsidRPr="003A2D83">
        <w:rPr>
          <w:rFonts w:eastAsia="Calibri" w:cs="Arial"/>
          <w:szCs w:val="22"/>
        </w:rPr>
        <w:t>McNees Wallace &amp; Nurick LLC</w:t>
      </w:r>
    </w:p>
    <w:p w:rsidR="003A2D83" w:rsidRPr="003A2D83" w:rsidRDefault="003A2D83" w:rsidP="003A2D83">
      <w:pPr>
        <w:tabs>
          <w:tab w:val="left" w:pos="-1440"/>
          <w:tab w:val="left" w:pos="-720"/>
          <w:tab w:val="right" w:pos="8640"/>
        </w:tabs>
        <w:spacing w:line="240" w:lineRule="auto"/>
        <w:ind w:left="4320"/>
        <w:rPr>
          <w:rFonts w:eastAsia="Calibri" w:cs="Arial"/>
          <w:szCs w:val="22"/>
        </w:rPr>
      </w:pPr>
      <w:r w:rsidRPr="003A2D83">
        <w:rPr>
          <w:rFonts w:eastAsia="Calibri" w:cs="Arial"/>
          <w:szCs w:val="22"/>
        </w:rPr>
        <w:t>21 East State Street, Suite 1700</w:t>
      </w:r>
    </w:p>
    <w:p w:rsidR="003A2D83" w:rsidRPr="003A2D83" w:rsidRDefault="003A2D83" w:rsidP="003A2D83">
      <w:pPr>
        <w:tabs>
          <w:tab w:val="left" w:pos="-1440"/>
          <w:tab w:val="left" w:pos="-720"/>
          <w:tab w:val="right" w:pos="8640"/>
        </w:tabs>
        <w:spacing w:line="240" w:lineRule="auto"/>
        <w:ind w:left="4320"/>
        <w:rPr>
          <w:rFonts w:eastAsia="Calibri" w:cs="Arial"/>
          <w:szCs w:val="22"/>
        </w:rPr>
      </w:pPr>
      <w:r w:rsidRPr="003A2D83">
        <w:rPr>
          <w:rFonts w:eastAsia="Calibri" w:cs="Arial"/>
          <w:szCs w:val="22"/>
        </w:rPr>
        <w:t>Columbus, OH 43215-4228</w:t>
      </w:r>
    </w:p>
    <w:p w:rsidR="003A2D83" w:rsidRPr="003A2D83" w:rsidRDefault="003A2D83" w:rsidP="003A2D83">
      <w:pPr>
        <w:tabs>
          <w:tab w:val="left" w:pos="-1440"/>
          <w:tab w:val="left" w:pos="-720"/>
          <w:tab w:val="right" w:pos="8640"/>
        </w:tabs>
        <w:spacing w:line="240" w:lineRule="auto"/>
        <w:ind w:left="4320"/>
        <w:rPr>
          <w:rFonts w:eastAsia="Calibri" w:cs="Arial"/>
          <w:szCs w:val="22"/>
        </w:rPr>
      </w:pPr>
      <w:r w:rsidRPr="003A2D83">
        <w:rPr>
          <w:rFonts w:eastAsia="Calibri" w:cs="Arial"/>
          <w:szCs w:val="22"/>
        </w:rPr>
        <w:t>Telephone:  614-469-8000</w:t>
      </w:r>
    </w:p>
    <w:p w:rsidR="003A2D83" w:rsidRPr="003A2D83" w:rsidRDefault="003A2D83" w:rsidP="003A2D83">
      <w:pPr>
        <w:tabs>
          <w:tab w:val="left" w:pos="-1440"/>
          <w:tab w:val="left" w:pos="-720"/>
          <w:tab w:val="right" w:pos="8640"/>
        </w:tabs>
        <w:spacing w:line="240" w:lineRule="auto"/>
        <w:ind w:left="4320"/>
        <w:rPr>
          <w:rFonts w:eastAsia="Calibri" w:cs="Arial"/>
          <w:szCs w:val="22"/>
        </w:rPr>
      </w:pPr>
      <w:r w:rsidRPr="003A2D83">
        <w:rPr>
          <w:rFonts w:eastAsia="Calibri" w:cs="Arial"/>
          <w:szCs w:val="22"/>
        </w:rPr>
        <w:t>Telecopier:  614-469-4653</w:t>
      </w:r>
    </w:p>
    <w:p w:rsidR="003A2D83" w:rsidRPr="003A2D83" w:rsidRDefault="003A2D83" w:rsidP="003A2D83">
      <w:pPr>
        <w:tabs>
          <w:tab w:val="left" w:pos="-1440"/>
          <w:tab w:val="left" w:pos="-720"/>
          <w:tab w:val="right" w:pos="8640"/>
        </w:tabs>
        <w:spacing w:line="240" w:lineRule="auto"/>
        <w:ind w:left="4320"/>
        <w:rPr>
          <w:rFonts w:eastAsia="Calibri" w:cs="Arial"/>
          <w:szCs w:val="22"/>
        </w:rPr>
      </w:pPr>
      <w:r w:rsidRPr="003A2D83">
        <w:rPr>
          <w:rFonts w:eastAsia="Calibri" w:cs="Arial"/>
          <w:szCs w:val="22"/>
        </w:rPr>
        <w:t xml:space="preserve">sam@mwncmh.com </w:t>
      </w:r>
    </w:p>
    <w:p w:rsidR="003A2D83" w:rsidRPr="003A2D83" w:rsidRDefault="003A2D83" w:rsidP="003A2D83">
      <w:pPr>
        <w:tabs>
          <w:tab w:val="left" w:pos="-1440"/>
          <w:tab w:val="left" w:pos="-720"/>
          <w:tab w:val="right" w:pos="8640"/>
        </w:tabs>
        <w:spacing w:line="240" w:lineRule="auto"/>
        <w:ind w:left="4320"/>
        <w:rPr>
          <w:rFonts w:eastAsia="Calibri" w:cs="Arial"/>
          <w:szCs w:val="22"/>
        </w:rPr>
      </w:pPr>
      <w:r w:rsidRPr="003A2D83">
        <w:rPr>
          <w:rFonts w:eastAsia="Calibri" w:cs="Arial"/>
          <w:szCs w:val="22"/>
        </w:rPr>
        <w:t>fdarr@mwncmh.com</w:t>
      </w:r>
    </w:p>
    <w:p w:rsidR="003A2D83" w:rsidRPr="003A2D83" w:rsidRDefault="003A2D83" w:rsidP="003A2D83">
      <w:pPr>
        <w:tabs>
          <w:tab w:val="left" w:pos="-1440"/>
          <w:tab w:val="left" w:pos="-720"/>
          <w:tab w:val="right" w:pos="8640"/>
        </w:tabs>
        <w:spacing w:line="240" w:lineRule="auto"/>
        <w:ind w:left="4320"/>
        <w:rPr>
          <w:rFonts w:eastAsia="Calibri" w:cs="Arial"/>
          <w:szCs w:val="22"/>
        </w:rPr>
      </w:pPr>
      <w:r w:rsidRPr="003A2D83">
        <w:rPr>
          <w:rFonts w:eastAsia="Calibri" w:cs="Arial"/>
          <w:szCs w:val="22"/>
        </w:rPr>
        <w:t>mpritchard@mwncmh.com</w:t>
      </w:r>
    </w:p>
    <w:p w:rsidR="003A2D83" w:rsidRPr="003A2D83" w:rsidRDefault="003A2D83" w:rsidP="003A2D83">
      <w:pPr>
        <w:tabs>
          <w:tab w:val="left" w:pos="-1440"/>
          <w:tab w:val="left" w:pos="-720"/>
          <w:tab w:val="right" w:pos="8640"/>
        </w:tabs>
        <w:spacing w:line="240" w:lineRule="auto"/>
        <w:ind w:left="4320"/>
        <w:rPr>
          <w:rFonts w:eastAsia="Calibri" w:cs="Arial"/>
          <w:szCs w:val="22"/>
        </w:rPr>
      </w:pPr>
    </w:p>
    <w:p w:rsidR="007A632A" w:rsidRDefault="003A2D83" w:rsidP="00BB36A2">
      <w:pPr>
        <w:jc w:val="left"/>
        <w:rPr>
          <w:b/>
        </w:rPr>
      </w:pPr>
      <w:r w:rsidRPr="00BB36A2">
        <w:rPr>
          <w:b/>
        </w:rPr>
        <w:t xml:space="preserve">April </w:t>
      </w:r>
      <w:r w:rsidR="00041097" w:rsidRPr="00BB36A2">
        <w:rPr>
          <w:b/>
        </w:rPr>
        <w:t>28</w:t>
      </w:r>
      <w:r w:rsidRPr="00BB36A2">
        <w:rPr>
          <w:b/>
        </w:rPr>
        <w:t>, 2014</w:t>
      </w:r>
      <w:r w:rsidRPr="003A2D83">
        <w:tab/>
      </w:r>
      <w:r w:rsidR="00BB36A2">
        <w:tab/>
      </w:r>
      <w:r w:rsidR="00BB36A2">
        <w:tab/>
      </w:r>
      <w:r w:rsidR="00BB36A2">
        <w:tab/>
      </w:r>
      <w:r w:rsidRPr="00BB36A2">
        <w:rPr>
          <w:b/>
        </w:rPr>
        <w:t>Attorneys for Industrial Energy Users-Ohio</w:t>
      </w:r>
      <w:bookmarkEnd w:id="0"/>
      <w:bookmarkEnd w:id="1"/>
    </w:p>
    <w:p w:rsidR="007A632A" w:rsidRPr="00BB36A2" w:rsidRDefault="007A632A" w:rsidP="00BB36A2">
      <w:pPr>
        <w:jc w:val="left"/>
        <w:rPr>
          <w:b/>
        </w:rPr>
        <w:sectPr w:rsidR="007A632A" w:rsidRPr="00BB36A2" w:rsidSect="007A632A">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141" w:left="1440" w:header="720" w:footer="720" w:gutter="0"/>
          <w:pgNumType w:start="1"/>
          <w:cols w:space="720"/>
          <w:titlePg/>
          <w:docGrid w:linePitch="326"/>
        </w:sectPr>
      </w:pPr>
    </w:p>
    <w:p w:rsidR="00041097" w:rsidRPr="003A2D83" w:rsidRDefault="00041097" w:rsidP="00041097">
      <w:pPr>
        <w:spacing w:line="276" w:lineRule="auto"/>
        <w:jc w:val="center"/>
        <w:rPr>
          <w:rFonts w:eastAsia="Calibri" w:cs="Arial"/>
          <w:b/>
          <w:smallCaps/>
          <w:sz w:val="28"/>
          <w:szCs w:val="28"/>
        </w:rPr>
      </w:pPr>
      <w:r w:rsidRPr="003A2D83">
        <w:rPr>
          <w:rFonts w:eastAsia="Calibri" w:cs="Arial"/>
          <w:b/>
          <w:smallCaps/>
          <w:sz w:val="28"/>
          <w:szCs w:val="28"/>
        </w:rPr>
        <w:lastRenderedPageBreak/>
        <w:t>Before</w:t>
      </w:r>
    </w:p>
    <w:p w:rsidR="00041097" w:rsidRPr="003A2D83" w:rsidRDefault="00041097" w:rsidP="00041097">
      <w:pPr>
        <w:spacing w:line="276" w:lineRule="auto"/>
        <w:jc w:val="center"/>
        <w:rPr>
          <w:rFonts w:eastAsia="Calibri" w:cs="Arial"/>
          <w:b/>
          <w:smallCaps/>
          <w:sz w:val="28"/>
          <w:szCs w:val="28"/>
        </w:rPr>
      </w:pPr>
      <w:r w:rsidRPr="003A2D83">
        <w:rPr>
          <w:rFonts w:eastAsia="Calibri" w:cs="Arial"/>
          <w:b/>
          <w:smallCaps/>
          <w:sz w:val="28"/>
          <w:szCs w:val="28"/>
        </w:rPr>
        <w:t>The Public Utilities Commission Of Ohio</w:t>
      </w:r>
    </w:p>
    <w:p w:rsidR="00041097" w:rsidRPr="003A2D83" w:rsidRDefault="00041097" w:rsidP="00041097">
      <w:pPr>
        <w:spacing w:line="276" w:lineRule="auto"/>
        <w:rPr>
          <w:rFonts w:eastAsia="Calibri" w:cs="Times New Roman"/>
          <w:b/>
          <w:szCs w:val="22"/>
        </w:rPr>
      </w:pPr>
    </w:p>
    <w:p w:rsidR="00041097" w:rsidRPr="003A2D83" w:rsidRDefault="00041097" w:rsidP="00041097">
      <w:pPr>
        <w:spacing w:line="276" w:lineRule="auto"/>
        <w:rPr>
          <w:rFonts w:eastAsia="Calibri" w:cs="Times New Roman"/>
          <w:szCs w:val="22"/>
        </w:rPr>
      </w:pPr>
      <w:r w:rsidRPr="003A2D83">
        <w:rPr>
          <w:rFonts w:eastAsia="Calibri" w:cs="Times New Roman"/>
          <w:szCs w:val="22"/>
        </w:rPr>
        <w:t xml:space="preserve">In the Matter of the Application of </w:t>
      </w:r>
      <w:r w:rsidRPr="003A2D83">
        <w:rPr>
          <w:rFonts w:eastAsia="Calibri" w:cs="Times New Roman"/>
          <w:szCs w:val="22"/>
        </w:rPr>
        <w:tab/>
      </w:r>
      <w:r w:rsidRPr="003A2D83">
        <w:rPr>
          <w:rFonts w:eastAsia="Calibri" w:cs="Times New Roman"/>
          <w:szCs w:val="22"/>
        </w:rPr>
        <w:tab/>
        <w:t>)</w:t>
      </w:r>
    </w:p>
    <w:p w:rsidR="00041097" w:rsidRPr="003A2D83" w:rsidRDefault="00041097" w:rsidP="00041097">
      <w:pPr>
        <w:spacing w:line="276" w:lineRule="auto"/>
        <w:rPr>
          <w:rFonts w:eastAsia="Calibri" w:cs="Times New Roman"/>
          <w:szCs w:val="22"/>
        </w:rPr>
      </w:pPr>
      <w:r w:rsidRPr="003A2D83">
        <w:rPr>
          <w:rFonts w:eastAsia="Calibri" w:cs="Times New Roman"/>
          <w:szCs w:val="22"/>
        </w:rPr>
        <w:t xml:space="preserve">The Dayton Power and Light Company </w:t>
      </w:r>
      <w:r w:rsidRPr="003A2D83">
        <w:rPr>
          <w:rFonts w:eastAsia="Calibri" w:cs="Times New Roman"/>
          <w:szCs w:val="22"/>
        </w:rPr>
        <w:tab/>
        <w:t>)</w:t>
      </w:r>
      <w:r w:rsidRPr="003A2D83">
        <w:rPr>
          <w:rFonts w:eastAsia="Calibri" w:cs="Times New Roman"/>
          <w:szCs w:val="22"/>
        </w:rPr>
        <w:tab/>
      </w:r>
      <w:r w:rsidRPr="003A2D83">
        <w:rPr>
          <w:rFonts w:eastAsia="Calibri" w:cs="Times New Roman"/>
          <w:szCs w:val="22"/>
        </w:rPr>
        <w:tab/>
        <w:t>Case No. 12-426-EL-SSO</w:t>
      </w:r>
    </w:p>
    <w:p w:rsidR="00041097" w:rsidRPr="003A2D83" w:rsidRDefault="00041097" w:rsidP="00041097">
      <w:pPr>
        <w:spacing w:line="276" w:lineRule="auto"/>
        <w:rPr>
          <w:rFonts w:eastAsia="Calibri" w:cs="Times New Roman"/>
          <w:szCs w:val="22"/>
        </w:rPr>
      </w:pPr>
      <w:r w:rsidRPr="003A2D83">
        <w:rPr>
          <w:rFonts w:eastAsia="Calibri" w:cs="Times New Roman"/>
          <w:szCs w:val="22"/>
        </w:rPr>
        <w:t>for Approval of Its Market Rate Offer.</w:t>
      </w:r>
      <w:r w:rsidRPr="003A2D83">
        <w:rPr>
          <w:rFonts w:eastAsia="Calibri" w:cs="Times New Roman"/>
          <w:szCs w:val="22"/>
        </w:rPr>
        <w:tab/>
        <w:t>)</w:t>
      </w:r>
    </w:p>
    <w:p w:rsidR="00041097" w:rsidRPr="003A2D83" w:rsidRDefault="00041097" w:rsidP="00041097">
      <w:pPr>
        <w:spacing w:before="240" w:line="276" w:lineRule="auto"/>
        <w:rPr>
          <w:rFonts w:eastAsia="Calibri" w:cs="Times New Roman"/>
          <w:szCs w:val="22"/>
        </w:rPr>
      </w:pPr>
      <w:r w:rsidRPr="003A2D83">
        <w:rPr>
          <w:rFonts w:eastAsia="Calibri" w:cs="Times New Roman"/>
          <w:szCs w:val="22"/>
        </w:rPr>
        <w:t>In the Matter of the Application of</w:t>
      </w:r>
      <w:r w:rsidRPr="003A2D83">
        <w:rPr>
          <w:rFonts w:eastAsia="Calibri" w:cs="Times New Roman"/>
          <w:szCs w:val="22"/>
        </w:rPr>
        <w:tab/>
      </w:r>
      <w:r w:rsidRPr="003A2D83">
        <w:rPr>
          <w:rFonts w:eastAsia="Calibri" w:cs="Times New Roman"/>
          <w:szCs w:val="22"/>
        </w:rPr>
        <w:tab/>
        <w:t>)</w:t>
      </w:r>
    </w:p>
    <w:p w:rsidR="00041097" w:rsidRPr="003A2D83" w:rsidRDefault="00041097" w:rsidP="00041097">
      <w:pPr>
        <w:spacing w:line="276" w:lineRule="auto"/>
        <w:rPr>
          <w:rFonts w:eastAsia="Calibri" w:cs="Times New Roman"/>
          <w:szCs w:val="22"/>
        </w:rPr>
      </w:pPr>
      <w:r w:rsidRPr="003A2D83">
        <w:rPr>
          <w:rFonts w:eastAsia="Calibri" w:cs="Times New Roman"/>
          <w:szCs w:val="22"/>
        </w:rPr>
        <w:t>The Dayton Power and Light Company</w:t>
      </w:r>
      <w:r w:rsidRPr="003A2D83">
        <w:rPr>
          <w:rFonts w:eastAsia="Calibri" w:cs="Times New Roman"/>
          <w:szCs w:val="22"/>
        </w:rPr>
        <w:tab/>
        <w:t>)</w:t>
      </w:r>
      <w:r w:rsidRPr="003A2D83">
        <w:rPr>
          <w:rFonts w:eastAsia="Calibri" w:cs="Times New Roman"/>
          <w:szCs w:val="22"/>
        </w:rPr>
        <w:tab/>
      </w:r>
      <w:r w:rsidRPr="003A2D83">
        <w:rPr>
          <w:rFonts w:eastAsia="Calibri" w:cs="Times New Roman"/>
          <w:szCs w:val="22"/>
        </w:rPr>
        <w:tab/>
        <w:t>Case No. 12-427-EL-ATA</w:t>
      </w:r>
    </w:p>
    <w:p w:rsidR="00041097" w:rsidRPr="003A2D83" w:rsidRDefault="00041097" w:rsidP="00041097">
      <w:pPr>
        <w:spacing w:line="276" w:lineRule="auto"/>
        <w:rPr>
          <w:rFonts w:eastAsia="Calibri" w:cs="Times New Roman"/>
          <w:szCs w:val="22"/>
        </w:rPr>
      </w:pPr>
      <w:r w:rsidRPr="003A2D83">
        <w:rPr>
          <w:rFonts w:eastAsia="Calibri" w:cs="Times New Roman"/>
          <w:szCs w:val="22"/>
        </w:rPr>
        <w:t>for Approval of Revised Tariffs.</w:t>
      </w:r>
      <w:r w:rsidRPr="003A2D83">
        <w:rPr>
          <w:rFonts w:eastAsia="Calibri" w:cs="Times New Roman"/>
          <w:szCs w:val="22"/>
        </w:rPr>
        <w:tab/>
      </w:r>
      <w:r w:rsidRPr="003A2D83">
        <w:rPr>
          <w:rFonts w:eastAsia="Calibri" w:cs="Times New Roman"/>
          <w:szCs w:val="22"/>
        </w:rPr>
        <w:tab/>
        <w:t>)</w:t>
      </w:r>
    </w:p>
    <w:p w:rsidR="00041097" w:rsidRPr="003A2D83" w:rsidRDefault="00041097" w:rsidP="00041097">
      <w:pPr>
        <w:spacing w:before="240" w:line="276" w:lineRule="auto"/>
        <w:rPr>
          <w:rFonts w:eastAsia="Calibri" w:cs="Times New Roman"/>
          <w:szCs w:val="22"/>
        </w:rPr>
      </w:pPr>
      <w:r w:rsidRPr="003A2D83">
        <w:rPr>
          <w:rFonts w:eastAsia="Calibri" w:cs="Times New Roman"/>
          <w:szCs w:val="22"/>
        </w:rPr>
        <w:t>In the Matter of the Application of</w:t>
      </w:r>
      <w:r w:rsidRPr="003A2D83">
        <w:rPr>
          <w:rFonts w:eastAsia="Calibri" w:cs="Times New Roman"/>
          <w:szCs w:val="22"/>
        </w:rPr>
        <w:tab/>
      </w:r>
      <w:r w:rsidRPr="003A2D83">
        <w:rPr>
          <w:rFonts w:eastAsia="Calibri" w:cs="Times New Roman"/>
          <w:szCs w:val="22"/>
        </w:rPr>
        <w:tab/>
        <w:t>)</w:t>
      </w:r>
    </w:p>
    <w:p w:rsidR="00041097" w:rsidRPr="003A2D83" w:rsidRDefault="00041097" w:rsidP="00041097">
      <w:pPr>
        <w:spacing w:line="276" w:lineRule="auto"/>
        <w:rPr>
          <w:rFonts w:eastAsia="Calibri" w:cs="Times New Roman"/>
          <w:szCs w:val="22"/>
        </w:rPr>
      </w:pPr>
      <w:r w:rsidRPr="003A2D83">
        <w:rPr>
          <w:rFonts w:eastAsia="Calibri" w:cs="Times New Roman"/>
          <w:szCs w:val="22"/>
        </w:rPr>
        <w:t>The Dayton Power and Light Company</w:t>
      </w:r>
      <w:r w:rsidRPr="003A2D83">
        <w:rPr>
          <w:rFonts w:eastAsia="Calibri" w:cs="Times New Roman"/>
          <w:szCs w:val="22"/>
        </w:rPr>
        <w:tab/>
        <w:t>)</w:t>
      </w:r>
      <w:r w:rsidRPr="003A2D83">
        <w:rPr>
          <w:rFonts w:eastAsia="Calibri" w:cs="Times New Roman"/>
          <w:szCs w:val="22"/>
        </w:rPr>
        <w:tab/>
      </w:r>
      <w:r w:rsidRPr="003A2D83">
        <w:rPr>
          <w:rFonts w:eastAsia="Calibri" w:cs="Times New Roman"/>
          <w:szCs w:val="22"/>
        </w:rPr>
        <w:tab/>
        <w:t>Case No. 12-428-EL-AAM</w:t>
      </w:r>
    </w:p>
    <w:p w:rsidR="00041097" w:rsidRPr="003A2D83" w:rsidRDefault="00041097" w:rsidP="00041097">
      <w:pPr>
        <w:spacing w:line="276" w:lineRule="auto"/>
        <w:rPr>
          <w:rFonts w:eastAsia="Calibri" w:cs="Times New Roman"/>
          <w:szCs w:val="22"/>
        </w:rPr>
      </w:pPr>
      <w:r w:rsidRPr="003A2D83">
        <w:rPr>
          <w:rFonts w:eastAsia="Calibri" w:cs="Times New Roman"/>
          <w:szCs w:val="22"/>
        </w:rPr>
        <w:t xml:space="preserve">for Approval of Certain Accounting </w:t>
      </w:r>
      <w:r w:rsidRPr="003A2D83">
        <w:rPr>
          <w:rFonts w:eastAsia="Calibri" w:cs="Times New Roman"/>
          <w:szCs w:val="22"/>
        </w:rPr>
        <w:tab/>
        <w:t>)</w:t>
      </w:r>
    </w:p>
    <w:p w:rsidR="00041097" w:rsidRPr="003A2D83" w:rsidRDefault="00041097" w:rsidP="00041097">
      <w:pPr>
        <w:spacing w:line="276" w:lineRule="auto"/>
        <w:rPr>
          <w:rFonts w:eastAsia="Calibri" w:cs="Times New Roman"/>
          <w:szCs w:val="22"/>
        </w:rPr>
      </w:pPr>
      <w:r w:rsidRPr="003A2D83">
        <w:rPr>
          <w:rFonts w:eastAsia="Calibri" w:cs="Times New Roman"/>
          <w:szCs w:val="22"/>
        </w:rPr>
        <w:t>Authority.</w:t>
      </w:r>
      <w:r w:rsidRPr="003A2D83">
        <w:rPr>
          <w:rFonts w:eastAsia="Calibri" w:cs="Times New Roman"/>
          <w:szCs w:val="22"/>
        </w:rPr>
        <w:tab/>
      </w:r>
      <w:r w:rsidRPr="003A2D83">
        <w:rPr>
          <w:rFonts w:eastAsia="Calibri" w:cs="Times New Roman"/>
          <w:szCs w:val="22"/>
        </w:rPr>
        <w:tab/>
      </w:r>
      <w:r w:rsidRPr="003A2D83">
        <w:rPr>
          <w:rFonts w:eastAsia="Calibri" w:cs="Times New Roman"/>
          <w:szCs w:val="22"/>
        </w:rPr>
        <w:tab/>
      </w:r>
      <w:r w:rsidRPr="003A2D83">
        <w:rPr>
          <w:rFonts w:eastAsia="Calibri" w:cs="Times New Roman"/>
          <w:szCs w:val="22"/>
        </w:rPr>
        <w:tab/>
      </w:r>
      <w:r w:rsidRPr="003A2D83">
        <w:rPr>
          <w:rFonts w:eastAsia="Calibri" w:cs="Times New Roman"/>
          <w:szCs w:val="22"/>
        </w:rPr>
        <w:tab/>
        <w:t>)</w:t>
      </w:r>
    </w:p>
    <w:p w:rsidR="00041097" w:rsidRPr="003A2D83" w:rsidRDefault="00041097" w:rsidP="00041097">
      <w:pPr>
        <w:spacing w:before="240" w:line="276" w:lineRule="auto"/>
        <w:rPr>
          <w:rFonts w:eastAsia="Calibri" w:cs="Times New Roman"/>
          <w:szCs w:val="22"/>
        </w:rPr>
      </w:pPr>
      <w:r w:rsidRPr="003A2D83">
        <w:rPr>
          <w:rFonts w:eastAsia="Calibri" w:cs="Times New Roman"/>
          <w:szCs w:val="22"/>
        </w:rPr>
        <w:t>In the Matter of the Application of</w:t>
      </w:r>
      <w:r w:rsidRPr="003A2D83">
        <w:rPr>
          <w:rFonts w:eastAsia="Calibri" w:cs="Times New Roman"/>
          <w:szCs w:val="22"/>
        </w:rPr>
        <w:tab/>
      </w:r>
      <w:r w:rsidRPr="003A2D83">
        <w:rPr>
          <w:rFonts w:eastAsia="Calibri" w:cs="Times New Roman"/>
          <w:szCs w:val="22"/>
        </w:rPr>
        <w:tab/>
        <w:t>)</w:t>
      </w:r>
    </w:p>
    <w:p w:rsidR="00041097" w:rsidRPr="003A2D83" w:rsidRDefault="00041097" w:rsidP="00041097">
      <w:pPr>
        <w:spacing w:line="276" w:lineRule="auto"/>
        <w:rPr>
          <w:rFonts w:eastAsia="Calibri" w:cs="Times New Roman"/>
          <w:szCs w:val="22"/>
        </w:rPr>
      </w:pPr>
      <w:r w:rsidRPr="003A2D83">
        <w:rPr>
          <w:rFonts w:eastAsia="Calibri" w:cs="Times New Roman"/>
          <w:szCs w:val="22"/>
        </w:rPr>
        <w:t>The Dayton Power and Light Company</w:t>
      </w:r>
      <w:r w:rsidRPr="003A2D83">
        <w:rPr>
          <w:rFonts w:eastAsia="Calibri" w:cs="Times New Roman"/>
          <w:szCs w:val="22"/>
        </w:rPr>
        <w:tab/>
        <w:t>)</w:t>
      </w:r>
      <w:r w:rsidRPr="003A2D83">
        <w:rPr>
          <w:rFonts w:eastAsia="Calibri" w:cs="Times New Roman"/>
          <w:szCs w:val="22"/>
        </w:rPr>
        <w:tab/>
      </w:r>
      <w:r w:rsidRPr="003A2D83">
        <w:rPr>
          <w:rFonts w:eastAsia="Calibri" w:cs="Times New Roman"/>
          <w:szCs w:val="22"/>
        </w:rPr>
        <w:tab/>
        <w:t>Case No. 12-429-EL-WVR</w:t>
      </w:r>
    </w:p>
    <w:p w:rsidR="00F47474" w:rsidRDefault="00041097" w:rsidP="00041097">
      <w:pPr>
        <w:spacing w:line="276" w:lineRule="auto"/>
        <w:rPr>
          <w:rFonts w:eastAsia="Calibri" w:cs="Times New Roman"/>
          <w:szCs w:val="22"/>
        </w:rPr>
      </w:pPr>
      <w:r w:rsidRPr="003A2D83">
        <w:rPr>
          <w:rFonts w:eastAsia="Calibri" w:cs="Times New Roman"/>
          <w:szCs w:val="22"/>
        </w:rPr>
        <w:t xml:space="preserve">for Waiver of Certain Commission </w:t>
      </w:r>
      <w:r w:rsidR="00F47474">
        <w:rPr>
          <w:rFonts w:eastAsia="Calibri" w:cs="Times New Roman"/>
          <w:szCs w:val="22"/>
        </w:rPr>
        <w:tab/>
        <w:t>)</w:t>
      </w:r>
    </w:p>
    <w:p w:rsidR="00041097" w:rsidRPr="003A2D83" w:rsidRDefault="00041097" w:rsidP="00041097">
      <w:pPr>
        <w:spacing w:line="276" w:lineRule="auto"/>
        <w:rPr>
          <w:rFonts w:eastAsia="Calibri" w:cs="Times New Roman"/>
          <w:szCs w:val="22"/>
        </w:rPr>
      </w:pPr>
      <w:r w:rsidRPr="003A2D83">
        <w:rPr>
          <w:rFonts w:eastAsia="Calibri" w:cs="Times New Roman"/>
          <w:szCs w:val="22"/>
        </w:rPr>
        <w:t>Rules.</w:t>
      </w:r>
      <w:r w:rsidR="00F47474">
        <w:rPr>
          <w:rFonts w:eastAsia="Calibri" w:cs="Times New Roman"/>
          <w:szCs w:val="22"/>
        </w:rPr>
        <w:tab/>
      </w:r>
      <w:r w:rsidR="00F47474">
        <w:rPr>
          <w:rFonts w:eastAsia="Calibri" w:cs="Times New Roman"/>
          <w:szCs w:val="22"/>
        </w:rPr>
        <w:tab/>
      </w:r>
      <w:r w:rsidR="00F47474">
        <w:rPr>
          <w:rFonts w:eastAsia="Calibri" w:cs="Times New Roman"/>
          <w:szCs w:val="22"/>
        </w:rPr>
        <w:tab/>
      </w:r>
      <w:r w:rsidR="00F47474">
        <w:rPr>
          <w:rFonts w:eastAsia="Calibri" w:cs="Times New Roman"/>
          <w:szCs w:val="22"/>
        </w:rPr>
        <w:tab/>
      </w:r>
      <w:r w:rsidR="00F47474">
        <w:rPr>
          <w:rFonts w:eastAsia="Calibri" w:cs="Times New Roman"/>
          <w:szCs w:val="22"/>
        </w:rPr>
        <w:tab/>
      </w:r>
      <w:r w:rsidR="00F47474">
        <w:rPr>
          <w:rFonts w:eastAsia="Calibri" w:cs="Times New Roman"/>
          <w:szCs w:val="22"/>
        </w:rPr>
        <w:tab/>
      </w:r>
      <w:r w:rsidRPr="003A2D83">
        <w:rPr>
          <w:rFonts w:eastAsia="Calibri" w:cs="Times New Roman"/>
          <w:szCs w:val="22"/>
        </w:rPr>
        <w:t>)</w:t>
      </w:r>
    </w:p>
    <w:p w:rsidR="00041097" w:rsidRPr="003A2D83" w:rsidRDefault="00041097" w:rsidP="00041097">
      <w:pPr>
        <w:spacing w:before="240" w:line="276" w:lineRule="auto"/>
        <w:rPr>
          <w:rFonts w:eastAsia="Calibri" w:cs="Times New Roman"/>
          <w:szCs w:val="22"/>
        </w:rPr>
      </w:pPr>
      <w:r w:rsidRPr="003A2D83">
        <w:rPr>
          <w:rFonts w:eastAsia="Calibri" w:cs="Times New Roman"/>
          <w:szCs w:val="22"/>
        </w:rPr>
        <w:t>In the Matter of the Application of</w:t>
      </w:r>
      <w:r w:rsidRPr="003A2D83">
        <w:rPr>
          <w:rFonts w:eastAsia="Calibri" w:cs="Times New Roman"/>
          <w:szCs w:val="22"/>
        </w:rPr>
        <w:tab/>
      </w:r>
      <w:r w:rsidRPr="003A2D83">
        <w:rPr>
          <w:rFonts w:eastAsia="Calibri" w:cs="Times New Roman"/>
          <w:szCs w:val="22"/>
        </w:rPr>
        <w:tab/>
        <w:t>)</w:t>
      </w:r>
    </w:p>
    <w:p w:rsidR="00041097" w:rsidRPr="003A2D83" w:rsidRDefault="00041097" w:rsidP="00041097">
      <w:pPr>
        <w:spacing w:line="276" w:lineRule="auto"/>
        <w:rPr>
          <w:rFonts w:eastAsia="Calibri" w:cs="Times New Roman"/>
          <w:szCs w:val="22"/>
        </w:rPr>
      </w:pPr>
      <w:r w:rsidRPr="003A2D83">
        <w:rPr>
          <w:rFonts w:eastAsia="Calibri" w:cs="Times New Roman"/>
          <w:szCs w:val="22"/>
        </w:rPr>
        <w:t>The Dayton Power and Light Company</w:t>
      </w:r>
      <w:r w:rsidRPr="003A2D83">
        <w:rPr>
          <w:rFonts w:eastAsia="Calibri" w:cs="Times New Roman"/>
          <w:szCs w:val="22"/>
        </w:rPr>
        <w:tab/>
        <w:t>)</w:t>
      </w:r>
      <w:r w:rsidRPr="003A2D83">
        <w:rPr>
          <w:rFonts w:eastAsia="Calibri" w:cs="Times New Roman"/>
          <w:szCs w:val="22"/>
        </w:rPr>
        <w:tab/>
      </w:r>
      <w:r w:rsidRPr="003A2D83">
        <w:rPr>
          <w:rFonts w:eastAsia="Calibri" w:cs="Times New Roman"/>
          <w:szCs w:val="22"/>
        </w:rPr>
        <w:tab/>
        <w:t>Case No. 12-672-EL-RDR</w:t>
      </w:r>
    </w:p>
    <w:p w:rsidR="00041097" w:rsidRPr="003A2D83" w:rsidRDefault="00041097" w:rsidP="00041097">
      <w:pPr>
        <w:spacing w:line="276" w:lineRule="auto"/>
        <w:rPr>
          <w:rFonts w:eastAsia="Calibri" w:cs="Times New Roman"/>
          <w:szCs w:val="22"/>
        </w:rPr>
      </w:pPr>
      <w:r w:rsidRPr="003A2D83">
        <w:rPr>
          <w:rFonts w:eastAsia="Calibri" w:cs="Times New Roman"/>
          <w:szCs w:val="22"/>
        </w:rPr>
        <w:t>to Establish Tariff Riders.</w:t>
      </w:r>
      <w:r w:rsidRPr="003A2D83">
        <w:rPr>
          <w:rFonts w:eastAsia="Calibri" w:cs="Times New Roman"/>
          <w:szCs w:val="22"/>
        </w:rPr>
        <w:tab/>
      </w:r>
      <w:r w:rsidRPr="003A2D83">
        <w:rPr>
          <w:rFonts w:eastAsia="Calibri" w:cs="Times New Roman"/>
          <w:szCs w:val="22"/>
        </w:rPr>
        <w:tab/>
      </w:r>
      <w:r w:rsidRPr="003A2D83">
        <w:rPr>
          <w:rFonts w:eastAsia="Calibri" w:cs="Times New Roman"/>
          <w:szCs w:val="22"/>
        </w:rPr>
        <w:tab/>
        <w:t>)</w:t>
      </w:r>
    </w:p>
    <w:p w:rsidR="00041097" w:rsidRPr="003A2D83" w:rsidRDefault="00041097" w:rsidP="00041097">
      <w:pPr>
        <w:spacing w:line="276" w:lineRule="auto"/>
        <w:rPr>
          <w:rFonts w:eastAsia="Calibri" w:cs="Times New Roman"/>
          <w:szCs w:val="22"/>
        </w:rPr>
      </w:pPr>
    </w:p>
    <w:p w:rsidR="00041097" w:rsidRPr="003A2D83" w:rsidRDefault="00041097" w:rsidP="00041097">
      <w:pPr>
        <w:spacing w:line="276" w:lineRule="auto"/>
        <w:rPr>
          <w:rFonts w:eastAsia="Calibri" w:cs="Times New Roman"/>
          <w:szCs w:val="22"/>
        </w:rPr>
      </w:pPr>
    </w:p>
    <w:p w:rsidR="00041097" w:rsidRPr="003A2D83" w:rsidRDefault="00041097" w:rsidP="00041097">
      <w:pPr>
        <w:pBdr>
          <w:top w:val="single" w:sz="12" w:space="1" w:color="auto"/>
          <w:bottom w:val="single" w:sz="12" w:space="1" w:color="auto"/>
        </w:pBdr>
        <w:spacing w:line="240" w:lineRule="auto"/>
        <w:jc w:val="center"/>
        <w:rPr>
          <w:rFonts w:eastAsia="Calibri" w:cs="Arial"/>
          <w:b/>
          <w:caps/>
          <w:sz w:val="16"/>
          <w:szCs w:val="16"/>
        </w:rPr>
      </w:pPr>
    </w:p>
    <w:p w:rsidR="00F91B16" w:rsidRPr="00F91B16" w:rsidRDefault="00F91B16" w:rsidP="00F91B16">
      <w:pPr>
        <w:pBdr>
          <w:top w:val="single" w:sz="12" w:space="1" w:color="auto"/>
          <w:bottom w:val="single" w:sz="12" w:space="1" w:color="auto"/>
        </w:pBdr>
        <w:spacing w:line="240" w:lineRule="auto"/>
        <w:jc w:val="center"/>
        <w:rPr>
          <w:rFonts w:eastAsia="Calibri" w:cs="Arial"/>
          <w:b/>
          <w:caps/>
        </w:rPr>
      </w:pPr>
      <w:r w:rsidRPr="00F91B16">
        <w:rPr>
          <w:rFonts w:eastAsia="Calibri" w:cs="Arial"/>
          <w:b/>
          <w:caps/>
        </w:rPr>
        <w:t>Industrial Energy Users-Ohio’s Memorandum Contra the</w:t>
      </w:r>
      <w:r>
        <w:rPr>
          <w:rFonts w:eastAsia="Calibri" w:cs="Arial"/>
          <w:b/>
          <w:caps/>
        </w:rPr>
        <w:t xml:space="preserve"> </w:t>
      </w:r>
      <w:r w:rsidRPr="00F91B16">
        <w:rPr>
          <w:rFonts w:eastAsia="Calibri" w:cs="Arial"/>
          <w:b/>
          <w:caps/>
        </w:rPr>
        <w:t>Application for Rehearing of the Dayton Power and Light Company as to the second entry on rehearing</w:t>
      </w:r>
    </w:p>
    <w:p w:rsidR="00041097" w:rsidRPr="003A2D83" w:rsidRDefault="00041097" w:rsidP="00041097">
      <w:pPr>
        <w:pBdr>
          <w:top w:val="single" w:sz="12" w:space="1" w:color="auto"/>
          <w:bottom w:val="single" w:sz="12" w:space="1" w:color="auto"/>
        </w:pBdr>
        <w:spacing w:line="240" w:lineRule="auto"/>
        <w:jc w:val="center"/>
        <w:rPr>
          <w:rFonts w:ascii="Arial Bold" w:eastAsia="Calibri" w:hAnsi="Arial Bold" w:cs="Times New Roman"/>
          <w:b/>
          <w:caps/>
          <w:sz w:val="16"/>
          <w:szCs w:val="16"/>
        </w:rPr>
      </w:pPr>
    </w:p>
    <w:p w:rsidR="008E3BF4" w:rsidRPr="00423BD0" w:rsidRDefault="008E3BF4" w:rsidP="0025457E"/>
    <w:p w:rsidR="00AF4AEF" w:rsidRPr="00423BD0" w:rsidRDefault="003E6F8C" w:rsidP="00BB36A2">
      <w:pPr>
        <w:pStyle w:val="Heading1"/>
      </w:pPr>
      <w:r w:rsidRPr="00423BD0">
        <w:t>Background</w:t>
      </w:r>
    </w:p>
    <w:p w:rsidR="00AF4AEF" w:rsidRPr="00423BD0" w:rsidRDefault="00AF4AEF" w:rsidP="0025457E">
      <w:pPr>
        <w:ind w:firstLine="720"/>
      </w:pPr>
      <w:r w:rsidRPr="00423BD0">
        <w:t>Amended Substitute Senate Bill 3</w:t>
      </w:r>
      <w:r w:rsidR="007A632A">
        <w:t xml:space="preserve"> (“SB 3”)</w:t>
      </w:r>
      <w:r w:rsidR="00DA42BE">
        <w:t xml:space="preserve"> declared</w:t>
      </w:r>
      <w:r w:rsidR="0025457E" w:rsidRPr="00423BD0">
        <w:t xml:space="preserve"> that retail electric generation service is a competitive electric service, directed </w:t>
      </w:r>
      <w:r w:rsidRPr="00423BD0">
        <w:t xml:space="preserve">structural separation of </w:t>
      </w:r>
      <w:r w:rsidR="00423BD0" w:rsidRPr="00423BD0">
        <w:t>the competitive and noncompetitive business segments</w:t>
      </w:r>
      <w:r w:rsidRPr="00423BD0">
        <w:t xml:space="preserve"> of an electric distribution utility</w:t>
      </w:r>
      <w:r w:rsidR="001D25BE" w:rsidRPr="00423BD0">
        <w:t xml:space="preserve"> </w:t>
      </w:r>
      <w:r w:rsidR="007A632A">
        <w:t>(“EDU”)</w:t>
      </w:r>
      <w:r w:rsidR="00F91B16">
        <w:t>,</w:t>
      </w:r>
      <w:r w:rsidR="007A632A">
        <w:t xml:space="preserve"> </w:t>
      </w:r>
      <w:r w:rsidR="001D25BE" w:rsidRPr="00423BD0">
        <w:t xml:space="preserve">and provided </w:t>
      </w:r>
      <w:r w:rsidR="007A632A">
        <w:t>EDUs</w:t>
      </w:r>
      <w:r w:rsidR="001D25BE" w:rsidRPr="00423BD0">
        <w:t xml:space="preserve"> a limited period to collect transition </w:t>
      </w:r>
      <w:r w:rsidR="008E43E7">
        <w:t>revenue</w:t>
      </w:r>
      <w:r w:rsidR="00DA42BE">
        <w:t xml:space="preserve"> as part of its transition </w:t>
      </w:r>
      <w:r w:rsidR="00DA42BE">
        <w:lastRenderedPageBreak/>
        <w:t>plan</w:t>
      </w:r>
      <w:r w:rsidRPr="00423BD0">
        <w:t>.</w:t>
      </w:r>
      <w:r w:rsidRPr="00423BD0">
        <w:rPr>
          <w:rStyle w:val="FootnoteReference"/>
        </w:rPr>
        <w:footnoteReference w:id="1"/>
      </w:r>
      <w:r w:rsidR="001D25BE" w:rsidRPr="00423BD0">
        <w:t xml:space="preserve"> </w:t>
      </w:r>
      <w:r w:rsidR="0025457E" w:rsidRPr="00423BD0">
        <w:t xml:space="preserve"> </w:t>
      </w:r>
      <w:r w:rsidR="00DA42BE">
        <w:t>In the</w:t>
      </w:r>
      <w:r w:rsidR="0025457E" w:rsidRPr="00423BD0">
        <w:t xml:space="preserve"> transition plan the Dayton Power and Light Company (“DP&amp;L”) filed and the </w:t>
      </w:r>
      <w:r w:rsidR="007A632A">
        <w:t>Public Utilities Commission of Ohio (“</w:t>
      </w:r>
      <w:r w:rsidR="0025457E" w:rsidRPr="00423BD0">
        <w:t>Commission</w:t>
      </w:r>
      <w:r w:rsidR="007A632A">
        <w:t>”)</w:t>
      </w:r>
      <w:r w:rsidR="0025457E" w:rsidRPr="00423BD0">
        <w:t xml:space="preserve"> approved in 2000, DP&amp;L </w:t>
      </w:r>
      <w:r w:rsidR="001D25BE" w:rsidRPr="00423BD0">
        <w:t xml:space="preserve">successfully sought and collected transition revenue and </w:t>
      </w:r>
      <w:r w:rsidR="002227F3">
        <w:t>received authority</w:t>
      </w:r>
      <w:r w:rsidR="00885C8B">
        <w:t xml:space="preserve"> to </w:t>
      </w:r>
      <w:r w:rsidR="0006013C">
        <w:t>separate its competitive and noncompetitive assets</w:t>
      </w:r>
      <w:r w:rsidR="0025457E" w:rsidRPr="00423BD0">
        <w:t>.</w:t>
      </w:r>
      <w:r w:rsidR="00423BD0" w:rsidRPr="00423BD0">
        <w:rPr>
          <w:rStyle w:val="FootnoteReference"/>
        </w:rPr>
        <w:footnoteReference w:id="2"/>
      </w:r>
      <w:r w:rsidR="001D25BE" w:rsidRPr="00423BD0">
        <w:t xml:space="preserve">  </w:t>
      </w:r>
      <w:r w:rsidR="00F91B16">
        <w:t>L</w:t>
      </w:r>
      <w:r w:rsidR="00F91B16" w:rsidRPr="00423BD0">
        <w:t>ong after the completion of the transition period</w:t>
      </w:r>
      <w:r w:rsidR="00F91B16">
        <w:t>,</w:t>
      </w:r>
      <w:r w:rsidR="00F91B16" w:rsidRPr="00423BD0">
        <w:t xml:space="preserve"> </w:t>
      </w:r>
      <w:r w:rsidR="0025457E" w:rsidRPr="00423BD0">
        <w:t xml:space="preserve">DP&amp;L </w:t>
      </w:r>
      <w:r w:rsidR="00F91B16">
        <w:t>in this case</w:t>
      </w:r>
      <w:r w:rsidR="00F91B16" w:rsidRPr="00423BD0">
        <w:t xml:space="preserve"> </w:t>
      </w:r>
      <w:r w:rsidR="0025457E" w:rsidRPr="00423BD0">
        <w:t xml:space="preserve">sought to </w:t>
      </w:r>
      <w:r w:rsidR="00423BD0" w:rsidRPr="00423BD0">
        <w:t>deprive customers of the</w:t>
      </w:r>
      <w:r w:rsidR="0025457E" w:rsidRPr="00423BD0">
        <w:t xml:space="preserve"> benefits of </w:t>
      </w:r>
      <w:r w:rsidR="00423BD0" w:rsidRPr="00423BD0">
        <w:t>competition</w:t>
      </w:r>
      <w:r w:rsidR="0025457E" w:rsidRPr="00423BD0">
        <w:t xml:space="preserve"> </w:t>
      </w:r>
      <w:r w:rsidR="00423BD0" w:rsidRPr="00423BD0">
        <w:t>available through low energy and capacity price</w:t>
      </w:r>
      <w:r w:rsidR="00F91B16">
        <w:t>s</w:t>
      </w:r>
      <w:r w:rsidR="00423BD0" w:rsidRPr="00423BD0">
        <w:t xml:space="preserve"> by requesting</w:t>
      </w:r>
      <w:r w:rsidR="0025457E" w:rsidRPr="00423BD0">
        <w:t xml:space="preserve"> additional nonbypassable </w:t>
      </w:r>
      <w:r w:rsidR="002227F3">
        <w:t xml:space="preserve">transition </w:t>
      </w:r>
      <w:r w:rsidR="0025457E" w:rsidRPr="00423BD0">
        <w:t>charges</w:t>
      </w:r>
      <w:r w:rsidR="00423BD0" w:rsidRPr="00423BD0">
        <w:t>.  Further, DP&amp;L sought to delay the transfer of its generation assets</w:t>
      </w:r>
      <w:r w:rsidR="0025457E" w:rsidRPr="00423BD0">
        <w:t>.  In the Opinion and Order and Entry Nunc Pro Tunc,</w:t>
      </w:r>
      <w:r w:rsidRPr="00423BD0">
        <w:t xml:space="preserve"> </w:t>
      </w:r>
      <w:r w:rsidR="001D25BE" w:rsidRPr="00423BD0">
        <w:t xml:space="preserve">the Commission </w:t>
      </w:r>
      <w:r w:rsidR="0025457E" w:rsidRPr="00423BD0">
        <w:t xml:space="preserve">granted DP&amp;L’s </w:t>
      </w:r>
      <w:r w:rsidR="00423BD0" w:rsidRPr="00423BD0">
        <w:t xml:space="preserve">requests </w:t>
      </w:r>
      <w:r w:rsidR="0025457E" w:rsidRPr="00423BD0">
        <w:t xml:space="preserve">in substantial part when </w:t>
      </w:r>
      <w:r w:rsidR="00423BD0" w:rsidRPr="00423BD0">
        <w:t xml:space="preserve">it </w:t>
      </w:r>
      <w:r w:rsidR="001D25BE" w:rsidRPr="00423BD0">
        <w:t>authorized DP&amp;L to secure additional transition revenue in the form of the Service Stability Rider (“SSR”)</w:t>
      </w:r>
      <w:r w:rsidR="00885C8B">
        <w:t xml:space="preserve"> until December 31, 2016 </w:t>
      </w:r>
      <w:r w:rsidR="00FA6ACC">
        <w:t xml:space="preserve">and </w:t>
      </w:r>
      <w:r w:rsidR="00FA6ACC" w:rsidRPr="00423BD0">
        <w:t>to delay the transfer of the generation assets</w:t>
      </w:r>
      <w:r w:rsidR="00FA6ACC" w:rsidRPr="00885C8B">
        <w:t xml:space="preserve"> </w:t>
      </w:r>
      <w:r w:rsidR="00FA6ACC" w:rsidRPr="00423BD0">
        <w:t xml:space="preserve">until </w:t>
      </w:r>
      <w:r w:rsidR="00FA6ACC">
        <w:t>May 31, 2017</w:t>
      </w:r>
      <w:r w:rsidR="00FA6ACC" w:rsidRPr="00423BD0">
        <w:t>.</w:t>
      </w:r>
      <w:r w:rsidR="00FA6ACC" w:rsidRPr="00423BD0">
        <w:rPr>
          <w:rStyle w:val="FootnoteReference"/>
        </w:rPr>
        <w:footnoteReference w:id="3"/>
      </w:r>
      <w:r w:rsidR="00FA6ACC">
        <w:t xml:space="preserve">  Additionally, the Commission provided DP&amp;L the opportunity to </w:t>
      </w:r>
      <w:r w:rsidR="00885C8B">
        <w:t>continue to collect transition revenue through the Service Stabil</w:t>
      </w:r>
      <w:r w:rsidR="00F60F3D">
        <w:t>i</w:t>
      </w:r>
      <w:r w:rsidR="00885C8B">
        <w:t>ty Rider-Extension (“SSR-E”)</w:t>
      </w:r>
      <w:r w:rsidR="001D25BE" w:rsidRPr="00423BD0">
        <w:t xml:space="preserve"> </w:t>
      </w:r>
      <w:r w:rsidR="00FA6ACC">
        <w:t>from January 1, 2017 to May 1, 2017.</w:t>
      </w:r>
      <w:r w:rsidR="00FA6ACC">
        <w:rPr>
          <w:rStyle w:val="FootnoteReference"/>
        </w:rPr>
        <w:footnoteReference w:id="4"/>
      </w:r>
    </w:p>
    <w:p w:rsidR="00AF4AEF" w:rsidRPr="00423BD0" w:rsidRDefault="00D26CC8" w:rsidP="0025457E">
      <w:pPr>
        <w:ind w:firstLine="720"/>
      </w:pPr>
      <w:r>
        <w:t>After</w:t>
      </w:r>
      <w:r w:rsidRPr="00423BD0">
        <w:t xml:space="preserve"> </w:t>
      </w:r>
      <w:r w:rsidR="00AF4AEF" w:rsidRPr="00423BD0">
        <w:t xml:space="preserve">the hearing concluded, DP&amp;L provided the Commission additional information indicating that its prior representations </w:t>
      </w:r>
      <w:r w:rsidR="00423BD0" w:rsidRPr="00423BD0">
        <w:t xml:space="preserve">regarding the need for a delay in the transfer of the generation assets </w:t>
      </w:r>
      <w:r w:rsidR="00F91B16">
        <w:t>are no longer valid</w:t>
      </w:r>
      <w:r w:rsidR="00AF4AEF" w:rsidRPr="00423BD0">
        <w:t xml:space="preserve">.  In a pleading filed with the Commission on </w:t>
      </w:r>
      <w:r w:rsidR="00423BD0" w:rsidRPr="00423BD0">
        <w:t>February 25</w:t>
      </w:r>
      <w:r w:rsidR="0025457E" w:rsidRPr="00423BD0">
        <w:t>, 2014</w:t>
      </w:r>
      <w:r w:rsidR="00AF4AEF" w:rsidRPr="00423BD0">
        <w:t xml:space="preserve">, DP&amp;L </w:t>
      </w:r>
      <w:r w:rsidR="00282C97">
        <w:t>stated</w:t>
      </w:r>
      <w:r w:rsidR="00282C97" w:rsidRPr="00423BD0">
        <w:t xml:space="preserve"> </w:t>
      </w:r>
      <w:r w:rsidR="00AF4AEF" w:rsidRPr="00423BD0">
        <w:t xml:space="preserve">that it may be able to </w:t>
      </w:r>
      <w:r w:rsidR="0025457E" w:rsidRPr="00423BD0">
        <w:t>transfer</w:t>
      </w:r>
      <w:r w:rsidR="00AF4AEF" w:rsidRPr="00423BD0">
        <w:t xml:space="preserve"> </w:t>
      </w:r>
      <w:r w:rsidR="00AF4AEF" w:rsidRPr="00423BD0">
        <w:lastRenderedPageBreak/>
        <w:t>generation assets as early as 2014.</w:t>
      </w:r>
      <w:r w:rsidR="0025457E" w:rsidRPr="00423BD0">
        <w:rPr>
          <w:rStyle w:val="FootnoteReference"/>
        </w:rPr>
        <w:footnoteReference w:id="5"/>
      </w:r>
      <w:r w:rsidR="00AF4AEF" w:rsidRPr="00423BD0">
        <w:t xml:space="preserve">  </w:t>
      </w:r>
      <w:r w:rsidR="00282C97">
        <w:rPr>
          <w:rFonts w:eastAsia="Calibri" w:cs="Arial"/>
        </w:rPr>
        <w:t>Based on</w:t>
      </w:r>
      <w:r w:rsidR="0025457E" w:rsidRPr="00423BD0">
        <w:rPr>
          <w:rFonts w:eastAsia="Calibri" w:cs="Arial"/>
        </w:rPr>
        <w:t xml:space="preserve"> DP&amp;L’s disclosure, the Commission granted rehearing and advanced the date by which DP&amp;L must transfer its generation assets to January 1, 2016.</w:t>
      </w:r>
      <w:r w:rsidR="0025457E" w:rsidRPr="00423BD0">
        <w:rPr>
          <w:rFonts w:eastAsia="Calibri" w:cs="Times New Roman"/>
          <w:vertAlign w:val="superscript"/>
        </w:rPr>
        <w:footnoteReference w:id="6"/>
      </w:r>
      <w:r w:rsidR="0025457E" w:rsidRPr="00423BD0">
        <w:rPr>
          <w:rFonts w:eastAsia="Calibri" w:cs="Arial"/>
        </w:rPr>
        <w:t xml:space="preserve">  </w:t>
      </w:r>
      <w:r w:rsidR="00FA6ACC">
        <w:rPr>
          <w:rFonts w:eastAsia="Calibri" w:cs="Arial"/>
        </w:rPr>
        <w:t>The Commission</w:t>
      </w:r>
      <w:r w:rsidR="00FA6ACC" w:rsidRPr="00423BD0">
        <w:rPr>
          <w:rFonts w:eastAsia="Calibri" w:cs="Arial"/>
        </w:rPr>
        <w:t xml:space="preserve"> </w:t>
      </w:r>
      <w:r w:rsidR="0025457E" w:rsidRPr="00423BD0">
        <w:rPr>
          <w:rFonts w:eastAsia="Calibri" w:cs="Arial"/>
        </w:rPr>
        <w:t>further noted “that any approval of an amount for recovery through the SSR-E will take into consideration the timing and disposition of DP&amp;L’s generation assets.”</w:t>
      </w:r>
      <w:r w:rsidR="0025457E" w:rsidRPr="00423BD0">
        <w:rPr>
          <w:rFonts w:eastAsia="Calibri" w:cs="Times New Roman"/>
          <w:vertAlign w:val="superscript"/>
        </w:rPr>
        <w:footnoteReference w:id="7"/>
      </w:r>
      <w:r w:rsidR="0025457E" w:rsidRPr="00423BD0">
        <w:rPr>
          <w:rFonts w:eastAsia="Calibri" w:cs="Arial"/>
        </w:rPr>
        <w:t xml:space="preserve">  </w:t>
      </w:r>
    </w:p>
    <w:p w:rsidR="00AF4AEF" w:rsidRPr="00423BD0" w:rsidRDefault="00AF4AEF" w:rsidP="0025457E">
      <w:pPr>
        <w:ind w:firstLine="720"/>
      </w:pPr>
      <w:r w:rsidRPr="00423BD0">
        <w:t xml:space="preserve">In its Second Application for Rehearing, DP&amp;L </w:t>
      </w:r>
      <w:r w:rsidR="00423BD0" w:rsidRPr="00423BD0">
        <w:t>presents an assignment of error seeking a Commission order reversing</w:t>
      </w:r>
      <w:r w:rsidRPr="00423BD0">
        <w:t xml:space="preserve"> its decision to advance the date by which </w:t>
      </w:r>
      <w:r w:rsidR="00282C97">
        <w:t>DP&amp;L</w:t>
      </w:r>
      <w:r w:rsidR="00282C97" w:rsidRPr="00423BD0">
        <w:t xml:space="preserve"> </w:t>
      </w:r>
      <w:r w:rsidRPr="00423BD0">
        <w:t xml:space="preserve">must </w:t>
      </w:r>
      <w:r w:rsidR="0025457E" w:rsidRPr="00423BD0">
        <w:t>transfer</w:t>
      </w:r>
      <w:r w:rsidRPr="00423BD0">
        <w:t xml:space="preserve"> its generation assets.</w:t>
      </w:r>
      <w:r w:rsidRPr="00423BD0">
        <w:rPr>
          <w:rStyle w:val="FootnoteReference"/>
        </w:rPr>
        <w:footnoteReference w:id="8"/>
      </w:r>
      <w:r w:rsidRPr="00423BD0">
        <w:t xml:space="preserve">  In support of its assignment of error, DP&amp;L claims that there was a “miscommunication” with the Commission.</w:t>
      </w:r>
      <w:r w:rsidRPr="00423BD0">
        <w:rPr>
          <w:rStyle w:val="FootnoteReference"/>
        </w:rPr>
        <w:footnoteReference w:id="9"/>
      </w:r>
      <w:r w:rsidRPr="00423BD0">
        <w:t xml:space="preserve">  </w:t>
      </w:r>
      <w:r w:rsidR="00282C97">
        <w:t>To support this allegation</w:t>
      </w:r>
      <w:r w:rsidRPr="00423BD0">
        <w:t xml:space="preserve">, DP&amp;L states that changes in market conditions since the hearing have led it to consider an </w:t>
      </w:r>
      <w:r w:rsidR="0025457E" w:rsidRPr="00423BD0">
        <w:t>earlier</w:t>
      </w:r>
      <w:r w:rsidRPr="00423BD0">
        <w:t xml:space="preserve"> transfer of the assets to a third party.</w:t>
      </w:r>
      <w:r w:rsidRPr="00423BD0">
        <w:rPr>
          <w:rStyle w:val="FootnoteReference"/>
        </w:rPr>
        <w:footnoteReference w:id="10"/>
      </w:r>
      <w:r w:rsidRPr="00423BD0">
        <w:t xml:space="preserve">  It continues that it does not know if a third party will be willing to purchase the assets at a price acceptable to DP&amp;L, that DP&amp;L might sell the assets if the sale would help DP&amp;L offset costs of </w:t>
      </w:r>
      <w:r w:rsidR="00423BD0" w:rsidRPr="00423BD0">
        <w:t>releasing a mortgage</w:t>
      </w:r>
      <w:r w:rsidRPr="00423BD0">
        <w:t xml:space="preserve"> and restructuring debt, </w:t>
      </w:r>
      <w:r w:rsidR="0025457E" w:rsidRPr="00423BD0">
        <w:t xml:space="preserve">and that </w:t>
      </w:r>
      <w:r w:rsidRPr="00423BD0">
        <w:t>DP&amp;L’s prior statements were accurate then and now.</w:t>
      </w:r>
      <w:r w:rsidRPr="00423BD0">
        <w:rPr>
          <w:rStyle w:val="FootnoteReference"/>
        </w:rPr>
        <w:footnoteReference w:id="11"/>
      </w:r>
      <w:r w:rsidRPr="00423BD0">
        <w:t xml:space="preserve">  DP&amp;L then concludes that the reasons </w:t>
      </w:r>
      <w:r w:rsidR="006A290B">
        <w:t xml:space="preserve">for delaying the date by which the </w:t>
      </w:r>
      <w:r w:rsidR="006A290B">
        <w:lastRenderedPageBreak/>
        <w:t xml:space="preserve">assets must be transferred require </w:t>
      </w:r>
      <w:r w:rsidR="009200C1">
        <w:t>rehearing and an order reinstating May 31, 2017 as the date by which the generation assets must be transferred</w:t>
      </w:r>
      <w:r w:rsidRPr="00423BD0">
        <w:t>.</w:t>
      </w:r>
      <w:r w:rsidRPr="00423BD0">
        <w:rPr>
          <w:rStyle w:val="FootnoteReference"/>
        </w:rPr>
        <w:footnoteReference w:id="12"/>
      </w:r>
    </w:p>
    <w:p w:rsidR="00AF4AEF" w:rsidRPr="00423BD0" w:rsidRDefault="0025457E" w:rsidP="0025457E">
      <w:pPr>
        <w:ind w:firstLine="720"/>
      </w:pPr>
      <w:r w:rsidRPr="00423BD0">
        <w:t xml:space="preserve">Rehearing should be granted only if </w:t>
      </w:r>
      <w:r w:rsidR="00423BD0" w:rsidRPr="00423BD0">
        <w:t>DP&amp;L can demonstrate that the Commission’s order is</w:t>
      </w:r>
      <w:r w:rsidRPr="00423BD0">
        <w:t xml:space="preserve"> unlawful or unreasonable.</w:t>
      </w:r>
      <w:r w:rsidRPr="00423BD0">
        <w:rPr>
          <w:rStyle w:val="FootnoteReference"/>
        </w:rPr>
        <w:footnoteReference w:id="13"/>
      </w:r>
      <w:r w:rsidRPr="00423BD0">
        <w:t xml:space="preserve">  </w:t>
      </w:r>
      <w:r w:rsidR="009200C1">
        <w:t xml:space="preserve">Because </w:t>
      </w:r>
      <w:r w:rsidR="00AF4AEF" w:rsidRPr="00423BD0">
        <w:t>DP&amp;L is under a legal requirement to structurally separate</w:t>
      </w:r>
      <w:r w:rsidR="009200C1">
        <w:t>,</w:t>
      </w:r>
      <w:r w:rsidR="00AF4AEF" w:rsidRPr="00423BD0">
        <w:rPr>
          <w:rStyle w:val="FootnoteReference"/>
        </w:rPr>
        <w:footnoteReference w:id="14"/>
      </w:r>
      <w:r w:rsidR="00AF4AEF" w:rsidRPr="00423BD0">
        <w:t xml:space="preserve"> </w:t>
      </w:r>
      <w:r w:rsidR="009200C1">
        <w:t>DP&amp;L cannot demonstrate that the Commission’s order is unlawful</w:t>
      </w:r>
      <w:r w:rsidR="00AF4AEF" w:rsidRPr="00423BD0">
        <w:t xml:space="preserve">.  </w:t>
      </w:r>
      <w:r w:rsidR="009200C1">
        <w:t xml:space="preserve">Likewise, DP&amp;L has not demonstrated that the Commission’s order advancing the date by which generation assets must be transferred is unreasonable because </w:t>
      </w:r>
      <w:r w:rsidR="00AF4AEF" w:rsidRPr="00423BD0">
        <w:t xml:space="preserve">DP&amp;L’s allegation that the Commission’s decision to advance the date was based on a miscommunication </w:t>
      </w:r>
      <w:r w:rsidR="00282C97">
        <w:t>is not supported</w:t>
      </w:r>
      <w:r w:rsidR="00AF4AEF" w:rsidRPr="00423BD0">
        <w:t xml:space="preserve">.  </w:t>
      </w:r>
      <w:r w:rsidR="00DA42BE">
        <w:t xml:space="preserve">DP&amp;L’s </w:t>
      </w:r>
      <w:r w:rsidR="00F0697A">
        <w:t>Second Application for Rehearing</w:t>
      </w:r>
      <w:r w:rsidR="009200C1">
        <w:t xml:space="preserve">, however, again </w:t>
      </w:r>
      <w:r w:rsidR="0044680D">
        <w:t xml:space="preserve">confirms </w:t>
      </w:r>
      <w:r w:rsidR="00F0697A">
        <w:t xml:space="preserve">that the SSR and SSR-E are unlawful transition charges.  </w:t>
      </w:r>
      <w:r w:rsidR="00AF4AEF" w:rsidRPr="00423BD0">
        <w:t>Accordingly, the Commission should deny DP&amp;L</w:t>
      </w:r>
      <w:r w:rsidR="00423BD0">
        <w:t>’s</w:t>
      </w:r>
      <w:r w:rsidR="00AF4AEF" w:rsidRPr="00423BD0">
        <w:t xml:space="preserve"> assignment of error </w:t>
      </w:r>
      <w:r w:rsidR="00F0697A">
        <w:t xml:space="preserve">and terminate </w:t>
      </w:r>
      <w:r w:rsidR="008E43E7">
        <w:t xml:space="preserve">authorization of </w:t>
      </w:r>
      <w:r w:rsidR="00F0697A">
        <w:t>the unlawful SSR and SSR-E</w:t>
      </w:r>
      <w:r w:rsidR="00AF4AEF" w:rsidRPr="00423BD0">
        <w:t>.</w:t>
      </w:r>
    </w:p>
    <w:p w:rsidR="00AF4AEF" w:rsidRPr="00423BD0" w:rsidRDefault="00AF4AEF" w:rsidP="00BB36A2">
      <w:pPr>
        <w:pStyle w:val="Heading1"/>
      </w:pPr>
      <w:r w:rsidRPr="00423BD0">
        <w:t>The Commission Correctly Understood that DP&amp;L May Transfer Generation Assets Sooner than DP&amp;L Previously Represented</w:t>
      </w:r>
    </w:p>
    <w:p w:rsidR="000F4778" w:rsidRDefault="00885C8B" w:rsidP="00885C8B">
      <w:r>
        <w:tab/>
        <w:t>DP&amp;L does not point to anything that demonstrates that the Commission’s order is unlawful.  Under R.C. 4928.17</w:t>
      </w:r>
      <w:r w:rsidR="008E43E7">
        <w:t>(A)(1)</w:t>
      </w:r>
      <w:r>
        <w:t xml:space="preserve">, </w:t>
      </w:r>
      <w:r w:rsidR="000F4778">
        <w:t xml:space="preserve">DP&amp;L must operate under a corporate separation plan </w:t>
      </w:r>
      <w:r w:rsidR="002227F3">
        <w:t>that</w:t>
      </w:r>
      <w:r w:rsidR="000F4778">
        <w:t xml:space="preserve"> provides for the provision of competitive retail electric service through a fully separated affiliate.  Thus, there can be no claim that the Commission is without legal authority to direct DP&amp;L to transfer its generation assets to a third party to bring its corporate separation plan in</w:t>
      </w:r>
      <w:r w:rsidR="002227F3">
        <w:t>to</w:t>
      </w:r>
      <w:r w:rsidR="000F4778">
        <w:t xml:space="preserve"> compliance with the requirements </w:t>
      </w:r>
      <w:r w:rsidR="008E43E7">
        <w:t>of</w:t>
      </w:r>
      <w:r w:rsidR="000F4778">
        <w:t xml:space="preserve"> </w:t>
      </w:r>
      <w:r w:rsidR="008E43E7">
        <w:t>R.C. 4928.17</w:t>
      </w:r>
      <w:r w:rsidR="000F4778">
        <w:t xml:space="preserve">.  </w:t>
      </w:r>
    </w:p>
    <w:p w:rsidR="00AF4AEF" w:rsidRPr="00423BD0" w:rsidRDefault="00D26CC8" w:rsidP="003D2DF6">
      <w:pPr>
        <w:ind w:firstLine="720"/>
      </w:pPr>
      <w:r>
        <w:lastRenderedPageBreak/>
        <w:t>Rather than arguing that the Commission’s order was unlawful</w:t>
      </w:r>
      <w:r w:rsidR="000F4778">
        <w:t xml:space="preserve">, </w:t>
      </w:r>
      <w:r w:rsidR="00AF4AEF" w:rsidRPr="00423BD0">
        <w:t xml:space="preserve">DP&amp;L rests its assignment of error on a claimed “miscommunication” between it and the Commission.  When the Commission advanced the date by which generation </w:t>
      </w:r>
      <w:r w:rsidR="00FB41F5">
        <w:t xml:space="preserve">assets </w:t>
      </w:r>
      <w:r w:rsidR="00AF4AEF" w:rsidRPr="00423BD0">
        <w:t xml:space="preserve">should be divested, </w:t>
      </w:r>
      <w:r w:rsidR="00FA6ACC">
        <w:t xml:space="preserve">however, </w:t>
      </w:r>
      <w:r w:rsidR="00AF4AEF" w:rsidRPr="00423BD0">
        <w:t xml:space="preserve">it was acting in accordance with DP&amp;L’s new-found </w:t>
      </w:r>
      <w:r w:rsidR="000F4778">
        <w:t>interest in transferring</w:t>
      </w:r>
      <w:r w:rsidR="00AF4AEF" w:rsidRPr="00423BD0">
        <w:t xml:space="preserve"> </w:t>
      </w:r>
      <w:r w:rsidR="00423BD0">
        <w:t xml:space="preserve">generation </w:t>
      </w:r>
      <w:r w:rsidR="00AF4AEF" w:rsidRPr="00423BD0">
        <w:t>assets sooner rather than later</w:t>
      </w:r>
      <w:r w:rsidR="008E43E7">
        <w:t xml:space="preserve"> and its apparent ability to do so</w:t>
      </w:r>
      <w:r w:rsidR="00AF4AEF" w:rsidRPr="00423BD0">
        <w:t>.</w:t>
      </w:r>
    </w:p>
    <w:p w:rsidR="0025457E" w:rsidRPr="00423BD0" w:rsidRDefault="00AF4AEF" w:rsidP="0025457E">
      <w:r w:rsidRPr="00423BD0">
        <w:tab/>
      </w:r>
      <w:r w:rsidR="00FB41F5" w:rsidRPr="00423BD0">
        <w:t>The</w:t>
      </w:r>
      <w:r w:rsidR="00423BD0" w:rsidRPr="00423BD0">
        <w:t xml:space="preserve"> Commission’s decision to advance the divestiture date</w:t>
      </w:r>
      <w:r w:rsidR="00423BD0">
        <w:t xml:space="preserve"> relied on representations that DP&amp;L made in pleadings in its </w:t>
      </w:r>
      <w:r w:rsidR="00423BD0" w:rsidRPr="007F728E">
        <w:rPr>
          <w:i/>
        </w:rPr>
        <w:t>Generation Transfer Case</w:t>
      </w:r>
      <w:r w:rsidRPr="00423BD0">
        <w:t xml:space="preserve">.  </w:t>
      </w:r>
      <w:r w:rsidR="00423BD0">
        <w:t>As the Commission explained in the Second Entry on Rehearing</w:t>
      </w:r>
      <w:r w:rsidR="0025457E" w:rsidRPr="00423BD0">
        <w:t>:</w:t>
      </w:r>
    </w:p>
    <w:p w:rsidR="0025457E" w:rsidRDefault="0025457E" w:rsidP="0025457E">
      <w:pPr>
        <w:spacing w:line="240" w:lineRule="auto"/>
        <w:ind w:left="720" w:right="720"/>
      </w:pPr>
      <w:r w:rsidRPr="00423BD0">
        <w:t xml:space="preserve">The Commission relied upon the testimony of DP&amp;L witness Jackson that DP&amp;L could not divest its generation assets before September 1, 2016.  … Accordingly, the Commission ruled that DP&amp;L must file a generation asset divestiture plan </w:t>
      </w:r>
      <w:r w:rsidR="00423BD0" w:rsidRPr="00423BD0">
        <w:t>that</w:t>
      </w:r>
      <w:r w:rsidRPr="00423BD0">
        <w:t xml:space="preserve"> divests its generation assets by May 31, 2017. … Subsequently, DP&amp;L filed a su</w:t>
      </w:r>
      <w:r w:rsidR="00423BD0">
        <w:t xml:space="preserve">pplemental application in [the </w:t>
      </w:r>
      <w:r w:rsidR="00423BD0" w:rsidRPr="00423BD0">
        <w:rPr>
          <w:i/>
        </w:rPr>
        <w:t>G</w:t>
      </w:r>
      <w:r w:rsidRPr="00423BD0">
        <w:rPr>
          <w:i/>
        </w:rPr>
        <w:t>eneration</w:t>
      </w:r>
      <w:r w:rsidR="00423BD0" w:rsidRPr="00423BD0">
        <w:rPr>
          <w:i/>
        </w:rPr>
        <w:t xml:space="preserve"> Transfer</w:t>
      </w:r>
      <w:r w:rsidRPr="00423BD0">
        <w:rPr>
          <w:i/>
        </w:rPr>
        <w:t xml:space="preserve"> </w:t>
      </w:r>
      <w:r w:rsidR="00423BD0" w:rsidRPr="00423BD0">
        <w:rPr>
          <w:i/>
        </w:rPr>
        <w:t>C</w:t>
      </w:r>
      <w:r w:rsidRPr="00423BD0">
        <w:rPr>
          <w:i/>
        </w:rPr>
        <w:t>ase</w:t>
      </w:r>
      <w:r w:rsidRPr="00423BD0">
        <w:t>] representing that it has begun to evaluate the divestiture of its generation assets to an unaffiliated third party through a potential sale that co</w:t>
      </w:r>
      <w:r w:rsidR="00423BD0">
        <w:t>u</w:t>
      </w:r>
      <w:r w:rsidRPr="00423BD0">
        <w:t>ld occur as early as 2014.</w:t>
      </w:r>
      <w:r w:rsidRPr="00423BD0">
        <w:rPr>
          <w:rStyle w:val="FootnoteReference"/>
        </w:rPr>
        <w:footnoteReference w:id="15"/>
      </w:r>
      <w:r w:rsidR="00AF4AEF" w:rsidRPr="00423BD0">
        <w:t xml:space="preserve">  </w:t>
      </w:r>
    </w:p>
    <w:p w:rsidR="000F4778" w:rsidRPr="00423BD0" w:rsidRDefault="000F4778" w:rsidP="0025457E">
      <w:pPr>
        <w:spacing w:line="240" w:lineRule="auto"/>
        <w:ind w:left="720" w:right="720"/>
      </w:pPr>
    </w:p>
    <w:p w:rsidR="000F4778" w:rsidRDefault="000F4778" w:rsidP="003D2DF6">
      <w:r>
        <w:t>The Commission then ordered that the gener</w:t>
      </w:r>
      <w:r w:rsidR="004A036E">
        <w:t xml:space="preserve">ation assets be transferred to </w:t>
      </w:r>
      <w:r>
        <w:t>a third party by January 1, 2016.</w:t>
      </w:r>
      <w:r>
        <w:rPr>
          <w:rStyle w:val="FootnoteReference"/>
        </w:rPr>
        <w:footnoteReference w:id="16"/>
      </w:r>
    </w:p>
    <w:p w:rsidR="00027BEA" w:rsidRDefault="00423BD0" w:rsidP="00423BD0">
      <w:pPr>
        <w:ind w:firstLine="720"/>
      </w:pPr>
      <w:r>
        <w:t xml:space="preserve">Since the Commission issued the Second Entry on Rehearing, DP&amp;L </w:t>
      </w:r>
      <w:r w:rsidR="004A036E">
        <w:t xml:space="preserve">has </w:t>
      </w:r>
      <w:r w:rsidR="00D26CC8">
        <w:t xml:space="preserve">confirmed </w:t>
      </w:r>
      <w:r>
        <w:t xml:space="preserve">that it was considering the transfer of generation assets as early as 2014.  In the </w:t>
      </w:r>
      <w:r w:rsidRPr="00423BD0">
        <w:rPr>
          <w:i/>
        </w:rPr>
        <w:t>Generation Transfer Case</w:t>
      </w:r>
      <w:r>
        <w:t xml:space="preserve">, </w:t>
      </w:r>
      <w:r w:rsidR="0025457E" w:rsidRPr="00423BD0">
        <w:t>DP&amp;L</w:t>
      </w:r>
      <w:r w:rsidR="00AF4AEF" w:rsidRPr="00423BD0">
        <w:t xml:space="preserve"> filed</w:t>
      </w:r>
      <w:r w:rsidR="0025457E" w:rsidRPr="00423BD0">
        <w:t xml:space="preserve"> Reply Comments </w:t>
      </w:r>
      <w:r w:rsidR="008E43E7">
        <w:t xml:space="preserve">on April 7, 2014 </w:t>
      </w:r>
      <w:r w:rsidR="0025457E" w:rsidRPr="00423BD0">
        <w:t>and confirmed that it was exploring the possible sale of the assets at fair market value</w:t>
      </w:r>
      <w:r w:rsidR="004A036E">
        <w:t>,</w:t>
      </w:r>
      <w:r w:rsidR="0025457E" w:rsidRPr="00423BD0">
        <w:t xml:space="preserve"> but </w:t>
      </w:r>
      <w:r>
        <w:t>did</w:t>
      </w:r>
      <w:r w:rsidR="0025457E" w:rsidRPr="00423BD0">
        <w:t xml:space="preserve"> not know whether it will find a buyer to complete the transaction.</w:t>
      </w:r>
      <w:r w:rsidR="0025457E" w:rsidRPr="00423BD0">
        <w:rPr>
          <w:rStyle w:val="FootnoteReference"/>
        </w:rPr>
        <w:footnoteReference w:id="17"/>
      </w:r>
      <w:r w:rsidR="00AF4AEF" w:rsidRPr="00423BD0">
        <w:t xml:space="preserve">  </w:t>
      </w:r>
    </w:p>
    <w:p w:rsidR="001868E6" w:rsidRDefault="00DA42BE" w:rsidP="001868E6">
      <w:pPr>
        <w:ind w:firstLine="720"/>
      </w:pPr>
      <w:r>
        <w:lastRenderedPageBreak/>
        <w:t>I</w:t>
      </w:r>
      <w:r w:rsidRPr="00423BD0">
        <w:t>n its Second Application for Rehearing</w:t>
      </w:r>
      <w:r>
        <w:t>,</w:t>
      </w:r>
      <w:r w:rsidRPr="00423BD0">
        <w:t xml:space="preserve"> </w:t>
      </w:r>
      <w:r w:rsidR="001868E6" w:rsidRPr="00423BD0">
        <w:t xml:space="preserve">DP&amp;L </w:t>
      </w:r>
      <w:r w:rsidR="000527C4">
        <w:t xml:space="preserve">again </w:t>
      </w:r>
      <w:r w:rsidR="00D26CC8">
        <w:t>stated</w:t>
      </w:r>
      <w:r w:rsidR="00D26CC8" w:rsidRPr="00423BD0">
        <w:t xml:space="preserve"> </w:t>
      </w:r>
      <w:r w:rsidR="001868E6" w:rsidRPr="00423BD0">
        <w:t>that it decided to explore the possibility of selling its generation assets to a third party because market conditions were “volatile</w:t>
      </w:r>
      <w:r>
        <w:t>.</w:t>
      </w:r>
      <w:r w:rsidR="000527C4">
        <w:t>”</w:t>
      </w:r>
      <w:r w:rsidR="001868E6" w:rsidRPr="00423BD0">
        <w:rPr>
          <w:rStyle w:val="FootnoteReference"/>
        </w:rPr>
        <w:footnoteReference w:id="18"/>
      </w:r>
      <w:r w:rsidR="001868E6" w:rsidRPr="00423BD0">
        <w:t xml:space="preserve">  </w:t>
      </w:r>
      <w:r w:rsidR="001868E6">
        <w:t>The market issue</w:t>
      </w:r>
      <w:r>
        <w:t>s</w:t>
      </w:r>
      <w:r w:rsidR="001868E6">
        <w:t xml:space="preserve"> leading to this new exploration for a buyer </w:t>
      </w:r>
      <w:r w:rsidR="00FA6ACC">
        <w:t xml:space="preserve">were </w:t>
      </w:r>
      <w:r w:rsidR="001868E6">
        <w:t xml:space="preserve">the low prices for generation capacity that resulted from the Base Residual Auction for the 2017-2018 Planning Year </w:t>
      </w:r>
      <w:r>
        <w:t xml:space="preserve">and </w:t>
      </w:r>
      <w:r w:rsidR="001868E6">
        <w:t>higher commodity prices.</w:t>
      </w:r>
      <w:r w:rsidR="001868E6">
        <w:rPr>
          <w:rStyle w:val="FootnoteReference"/>
        </w:rPr>
        <w:footnoteReference w:id="19"/>
      </w:r>
      <w:r w:rsidR="001868E6">
        <w:t xml:space="preserve">  “In light of these volatile market conditions, DP&amp;L decided to explore the possibility of selling its generation assets to a third party.”</w:t>
      </w:r>
      <w:r w:rsidR="001868E6">
        <w:rPr>
          <w:rStyle w:val="FootnoteReference"/>
        </w:rPr>
        <w:footnoteReference w:id="20"/>
      </w:r>
    </w:p>
    <w:p w:rsidR="0025457E" w:rsidRDefault="002E5A19" w:rsidP="00985669">
      <w:pPr>
        <w:ind w:firstLine="720"/>
      </w:pPr>
      <w:r>
        <w:t xml:space="preserve">Based on the statements DP&amp;L </w:t>
      </w:r>
      <w:r w:rsidR="00FA6ACC">
        <w:t>has</w:t>
      </w:r>
      <w:r>
        <w:t xml:space="preserve"> made</w:t>
      </w:r>
      <w:r w:rsidR="001868E6">
        <w:t>, there was no “miscommunication”</w:t>
      </w:r>
      <w:r>
        <w:t xml:space="preserve"> warrant</w:t>
      </w:r>
      <w:r w:rsidR="00D26CC8">
        <w:t>ing</w:t>
      </w:r>
      <w:r>
        <w:t xml:space="preserve"> rehearing.</w:t>
      </w:r>
      <w:r w:rsidR="001868E6">
        <w:t xml:space="preserve">  </w:t>
      </w:r>
      <w:r w:rsidR="00423BD0">
        <w:t xml:space="preserve">DP&amp;L </w:t>
      </w:r>
      <w:r w:rsidR="007E4992">
        <w:t>is considering</w:t>
      </w:r>
      <w:r w:rsidR="004A036E">
        <w:t xml:space="preserve"> a more immediate sale of the assets</w:t>
      </w:r>
      <w:r w:rsidR="00423BD0">
        <w:t xml:space="preserve"> </w:t>
      </w:r>
      <w:r w:rsidR="00985669">
        <w:t>b</w:t>
      </w:r>
      <w:r w:rsidR="00E45E76">
        <w:t>ecause</w:t>
      </w:r>
      <w:r w:rsidR="00E45E76" w:rsidRPr="00423BD0">
        <w:t xml:space="preserve"> capacity prices </w:t>
      </w:r>
      <w:r w:rsidR="00985669">
        <w:t xml:space="preserve">for the 2017-2018 </w:t>
      </w:r>
      <w:r>
        <w:t>P</w:t>
      </w:r>
      <w:r w:rsidR="00985669">
        <w:t xml:space="preserve">lanning </w:t>
      </w:r>
      <w:r>
        <w:t>Y</w:t>
      </w:r>
      <w:r w:rsidR="00985669">
        <w:t xml:space="preserve">ear </w:t>
      </w:r>
      <w:r w:rsidR="004A036E">
        <w:t xml:space="preserve">and other costs </w:t>
      </w:r>
      <w:r w:rsidR="00E45E76" w:rsidRPr="00423BD0">
        <w:t>are not what DP&amp;L anticipated</w:t>
      </w:r>
      <w:r w:rsidR="00985669">
        <w:t>.</w:t>
      </w:r>
      <w:r w:rsidR="00E45E76">
        <w:rPr>
          <w:rStyle w:val="FootnoteReference"/>
        </w:rPr>
        <w:footnoteReference w:id="21"/>
      </w:r>
      <w:r w:rsidR="00E45E76" w:rsidRPr="00423BD0">
        <w:t xml:space="preserve"> </w:t>
      </w:r>
      <w:r w:rsidR="00985669">
        <w:t xml:space="preserve"> </w:t>
      </w:r>
      <w:r w:rsidR="004A036E">
        <w:t>Accordingly, DP&amp;L has not demonstrated that a “miscommunication” led the Commission to an unreasonable result</w:t>
      </w:r>
      <w:r w:rsidR="0025457E" w:rsidRPr="00423BD0">
        <w:t>.</w:t>
      </w:r>
      <w:r w:rsidR="004A036E">
        <w:t xml:space="preserve">  </w:t>
      </w:r>
    </w:p>
    <w:p w:rsidR="00F0697A" w:rsidRPr="00423BD0" w:rsidRDefault="00F0697A" w:rsidP="00F0697A">
      <w:pPr>
        <w:pStyle w:val="Heading1"/>
      </w:pPr>
      <w:r>
        <w:t>DP&amp;L’s second application for rehearing provides additional support that the ssr and ssr-e are unlawful transition charges</w:t>
      </w:r>
    </w:p>
    <w:p w:rsidR="00D46392" w:rsidRPr="00D46392" w:rsidRDefault="00D46392" w:rsidP="00D46392">
      <w:pPr>
        <w:ind w:firstLine="720"/>
        <w:rPr>
          <w:rFonts w:eastAsia="Calibri"/>
        </w:rPr>
      </w:pPr>
      <w:r w:rsidRPr="00423BD0">
        <w:rPr>
          <w:rFonts w:eastAsia="Calibri"/>
        </w:rPr>
        <w:t xml:space="preserve">In its Second Application for Rehearing, DP&amp;L </w:t>
      </w:r>
      <w:r w:rsidR="006A290B">
        <w:rPr>
          <w:rFonts w:eastAsia="Calibri"/>
        </w:rPr>
        <w:t>also states</w:t>
      </w:r>
      <w:r w:rsidR="006A290B" w:rsidRPr="00423BD0">
        <w:rPr>
          <w:rFonts w:eastAsia="Calibri"/>
        </w:rPr>
        <w:t xml:space="preserve"> </w:t>
      </w:r>
      <w:r w:rsidRPr="00423BD0">
        <w:rPr>
          <w:rFonts w:eastAsia="Calibri"/>
        </w:rPr>
        <w:t xml:space="preserve">that </w:t>
      </w:r>
      <w:r w:rsidR="00541FF9">
        <w:rPr>
          <w:rFonts w:eastAsia="Calibri"/>
        </w:rPr>
        <w:t>it cannot</w:t>
      </w:r>
      <w:r w:rsidRPr="00423BD0">
        <w:rPr>
          <w:rFonts w:eastAsia="Calibri"/>
        </w:rPr>
        <w:t xml:space="preserve"> accelerate the transfer of the generation assets before 2017 “without additional financial resources</w:t>
      </w:r>
      <w:r>
        <w:rPr>
          <w:rFonts w:eastAsia="Calibri"/>
        </w:rPr>
        <w:t>.</w:t>
      </w:r>
      <w:r w:rsidRPr="00423BD0">
        <w:rPr>
          <w:rFonts w:eastAsia="Calibri"/>
        </w:rPr>
        <w:t>”</w:t>
      </w:r>
      <w:r w:rsidRPr="00423BD0">
        <w:rPr>
          <w:rStyle w:val="FootnoteReference"/>
          <w:rFonts w:eastAsia="Calibri"/>
        </w:rPr>
        <w:footnoteReference w:id="22"/>
      </w:r>
      <w:r w:rsidRPr="00423BD0">
        <w:rPr>
          <w:rFonts w:eastAsia="Calibri"/>
        </w:rPr>
        <w:t xml:space="preserve">  </w:t>
      </w:r>
      <w:r>
        <w:rPr>
          <w:rFonts w:eastAsia="Calibri"/>
        </w:rPr>
        <w:t xml:space="preserve">In the </w:t>
      </w:r>
      <w:r w:rsidRPr="00D46392">
        <w:rPr>
          <w:rFonts w:eastAsia="Calibri"/>
          <w:i/>
        </w:rPr>
        <w:t>Generation Transfer Case</w:t>
      </w:r>
      <w:r>
        <w:rPr>
          <w:rFonts w:eastAsia="Calibri"/>
        </w:rPr>
        <w:t xml:space="preserve">, DP&amp;L explained what the “additional </w:t>
      </w:r>
      <w:r>
        <w:rPr>
          <w:rFonts w:eastAsia="Calibri"/>
        </w:rPr>
        <w:lastRenderedPageBreak/>
        <w:t xml:space="preserve">financial resources” are.  </w:t>
      </w:r>
      <w:r w:rsidRPr="00D46392">
        <w:rPr>
          <w:rFonts w:eastAsia="Calibri"/>
        </w:rPr>
        <w:t xml:space="preserve">Anticipating that the Commission may terminate its authorization of the SSR when DP&amp;L transfers the generation assets, DP&amp;L asked the Commission to permit it to continue </w:t>
      </w:r>
      <w:r w:rsidR="0044680D">
        <w:rPr>
          <w:rFonts w:eastAsia="Calibri"/>
        </w:rPr>
        <w:t>the</w:t>
      </w:r>
      <w:r w:rsidRPr="00D46392">
        <w:rPr>
          <w:rFonts w:eastAsia="Calibri"/>
        </w:rPr>
        <w:t xml:space="preserve"> SSR after the generation assets are transferred.</w:t>
      </w:r>
      <w:r w:rsidRPr="00D46392">
        <w:rPr>
          <w:rFonts w:eastAsia="Calibri"/>
          <w:vertAlign w:val="superscript"/>
        </w:rPr>
        <w:footnoteReference w:id="23"/>
      </w:r>
      <w:r w:rsidRPr="00D46392">
        <w:rPr>
          <w:rFonts w:eastAsia="Calibri"/>
        </w:rPr>
        <w:t xml:space="preserve">  </w:t>
      </w:r>
      <w:r w:rsidR="002E5A19">
        <w:rPr>
          <w:rFonts w:eastAsia="Calibri"/>
        </w:rPr>
        <w:t>In support of this request, DP&amp;L alleged:</w:t>
      </w:r>
    </w:p>
    <w:p w:rsidR="00D46392" w:rsidRDefault="00D46392" w:rsidP="00D46392">
      <w:pPr>
        <w:spacing w:line="240" w:lineRule="auto"/>
        <w:ind w:left="720" w:right="720"/>
        <w:rPr>
          <w:rFonts w:eastAsia="Calibri"/>
        </w:rPr>
      </w:pPr>
      <w:r w:rsidRPr="00D46392">
        <w:rPr>
          <w:rFonts w:eastAsia="Calibri"/>
        </w:rPr>
        <w:t>Given the current market conditions, a third party is unlikely to be willing to buy those assets at a price that will allow DP&amp;L to pay off a significant portion of those debts.  If the assets are to be sold to a third party, then DP&amp;L (as a transmission and distribution utility) will need the SSR to assist it to pay the remaining debt.  Based upon current market conditions and expectations, the only way that DP&amp;L may be able to sell its generation assets to a third party before the Commission-imposed deadline is to continue the SSR until it is scheduled to end.</w:t>
      </w:r>
      <w:r w:rsidRPr="00D46392">
        <w:rPr>
          <w:rFonts w:eastAsia="Calibri"/>
          <w:vertAlign w:val="superscript"/>
        </w:rPr>
        <w:footnoteReference w:id="24"/>
      </w:r>
      <w:r w:rsidRPr="00D46392">
        <w:rPr>
          <w:rFonts w:eastAsia="Calibri"/>
        </w:rPr>
        <w:t xml:space="preserve">  </w:t>
      </w:r>
    </w:p>
    <w:p w:rsidR="00D46392" w:rsidRPr="00D46392" w:rsidRDefault="00D46392" w:rsidP="00D46392">
      <w:pPr>
        <w:spacing w:line="240" w:lineRule="auto"/>
        <w:ind w:firstLine="720"/>
        <w:rPr>
          <w:rFonts w:eastAsia="Calibri"/>
        </w:rPr>
      </w:pPr>
    </w:p>
    <w:p w:rsidR="00AF4AEF" w:rsidRPr="007D7CEA" w:rsidRDefault="008D08A9" w:rsidP="007D7CEA">
      <w:pPr>
        <w:rPr>
          <w:rFonts w:eastAsia="Calibri"/>
        </w:rPr>
      </w:pPr>
      <w:r>
        <w:rPr>
          <w:rFonts w:eastAsia="Calibri"/>
        </w:rPr>
        <w:t>Based on what it expects to secure in the sale of the generation assets, DP&amp;L</w:t>
      </w:r>
      <w:r w:rsidR="00541FF9">
        <w:rPr>
          <w:rFonts w:eastAsia="Calibri"/>
        </w:rPr>
        <w:t xml:space="preserve"> anticipates that its</w:t>
      </w:r>
      <w:r w:rsidR="00E56975">
        <w:rPr>
          <w:rFonts w:eastAsia="Calibri"/>
        </w:rPr>
        <w:t xml:space="preserve"> debt cost is “unrecoverable in a competitive market.”</w:t>
      </w:r>
      <w:r w:rsidR="00E56975" w:rsidRPr="00E56975">
        <w:rPr>
          <w:rStyle w:val="FootnoteReference"/>
          <w:rFonts w:eastAsia="Calibri"/>
        </w:rPr>
        <w:t xml:space="preserve"> </w:t>
      </w:r>
      <w:r w:rsidR="00E56975">
        <w:rPr>
          <w:rStyle w:val="FootnoteReference"/>
          <w:rFonts w:eastAsia="Calibri"/>
        </w:rPr>
        <w:footnoteReference w:id="25"/>
      </w:r>
      <w:r w:rsidR="00E56975">
        <w:rPr>
          <w:rFonts w:eastAsia="Calibri"/>
        </w:rPr>
        <w:t xml:space="preserve">  </w:t>
      </w:r>
      <w:r w:rsidR="007D7CEA">
        <w:rPr>
          <w:rFonts w:eastAsia="Calibri"/>
        </w:rPr>
        <w:t xml:space="preserve">Thus, the SSR is a transition charge, as demonstrated by DP&amp;L.  </w:t>
      </w:r>
      <w:r w:rsidR="00E56975">
        <w:rPr>
          <w:rFonts w:eastAsia="Calibri"/>
        </w:rPr>
        <w:t>The Commission, however, cannot lawfully authorize transition revenue</w:t>
      </w:r>
      <w:r w:rsidR="002E5A19">
        <w:rPr>
          <w:rFonts w:eastAsia="Calibri"/>
        </w:rPr>
        <w:t xml:space="preserve"> claims under either Ohio law or the terms of DP&amp;L’s transition plan settlement</w:t>
      </w:r>
      <w:r w:rsidR="00E56975">
        <w:rPr>
          <w:rFonts w:eastAsia="Calibri"/>
        </w:rPr>
        <w:t>.</w:t>
      </w:r>
      <w:r w:rsidR="00E56975">
        <w:rPr>
          <w:rStyle w:val="FootnoteReference"/>
          <w:rFonts w:eastAsia="Calibri"/>
        </w:rPr>
        <w:footnoteReference w:id="26"/>
      </w:r>
      <w:r w:rsidR="004D3B9D">
        <w:rPr>
          <w:rFonts w:eastAsia="Calibri"/>
        </w:rPr>
        <w:t xml:space="preserve">  </w:t>
      </w:r>
    </w:p>
    <w:p w:rsidR="0025457E" w:rsidRPr="00423BD0" w:rsidRDefault="0025457E" w:rsidP="00BB36A2">
      <w:pPr>
        <w:pStyle w:val="Heading1"/>
      </w:pPr>
      <w:r w:rsidRPr="00423BD0">
        <w:t>Conclusion</w:t>
      </w:r>
    </w:p>
    <w:p w:rsidR="007F728E" w:rsidRDefault="0044680D" w:rsidP="0025457E">
      <w:pPr>
        <w:ind w:firstLine="720"/>
      </w:pPr>
      <w:r w:rsidRPr="007F728E">
        <w:t xml:space="preserve">Because </w:t>
      </w:r>
      <w:r>
        <w:t xml:space="preserve">DP&amp;L has not demonstrated that </w:t>
      </w:r>
      <w:r w:rsidRPr="007F728E">
        <w:t xml:space="preserve">the Commission’s order </w:t>
      </w:r>
      <w:r w:rsidR="007D7CEA">
        <w:t>advancing the date by which generation assets must be transferred</w:t>
      </w:r>
      <w:r w:rsidR="007D7CEA" w:rsidRPr="007F728E">
        <w:t xml:space="preserve"> </w:t>
      </w:r>
      <w:r w:rsidRPr="007F728E">
        <w:t xml:space="preserve">is </w:t>
      </w:r>
      <w:r>
        <w:t>either</w:t>
      </w:r>
      <w:r w:rsidRPr="007F728E">
        <w:t xml:space="preserve"> unlawful </w:t>
      </w:r>
      <w:r>
        <w:t>or</w:t>
      </w:r>
      <w:r w:rsidRPr="007F728E">
        <w:t xml:space="preserve"> unreasonable</w:t>
      </w:r>
      <w:r>
        <w:t xml:space="preserve">, </w:t>
      </w:r>
      <w:r>
        <w:lastRenderedPageBreak/>
        <w:t>t</w:t>
      </w:r>
      <w:r w:rsidR="007F728E" w:rsidRPr="007F728E">
        <w:t xml:space="preserve">he Commission should not grant </w:t>
      </w:r>
      <w:r w:rsidR="003623DD">
        <w:t>DP&amp;L’s Second Application for Rehearing</w:t>
      </w:r>
      <w:r w:rsidR="007F728E" w:rsidRPr="007F728E">
        <w:t xml:space="preserve"> </w:t>
      </w:r>
      <w:r w:rsidR="00B959AF">
        <w:t xml:space="preserve">seeking to reverse </w:t>
      </w:r>
      <w:r w:rsidR="007D7CEA">
        <w:t xml:space="preserve">that </w:t>
      </w:r>
      <w:r w:rsidR="00B959AF">
        <w:t>order</w:t>
      </w:r>
      <w:r w:rsidR="007F728E" w:rsidRPr="007F728E">
        <w:t xml:space="preserve">.  </w:t>
      </w:r>
    </w:p>
    <w:p w:rsidR="00423BD0" w:rsidRDefault="003D2DF6" w:rsidP="007F728E">
      <w:pPr>
        <w:ind w:firstLine="720"/>
      </w:pPr>
      <w:r>
        <w:t>In seeking to extend the date by which it must transfer the generation assets</w:t>
      </w:r>
      <w:r w:rsidR="003623DD">
        <w:t>, however, DP&amp;L has again confirmed that the SSR</w:t>
      </w:r>
      <w:r w:rsidR="000E4DC9">
        <w:t xml:space="preserve"> and the SSR-E</w:t>
      </w:r>
      <w:r w:rsidR="003623DD">
        <w:t xml:space="preserve"> </w:t>
      </w:r>
      <w:r w:rsidR="008D08A9">
        <w:t xml:space="preserve">(if the Commission authorizes an increase in the charge) </w:t>
      </w:r>
      <w:r w:rsidR="000E4DC9">
        <w:t>are</w:t>
      </w:r>
      <w:r w:rsidR="003623DD">
        <w:t xml:space="preserve"> unlawful transition charge</w:t>
      </w:r>
      <w:r w:rsidR="000E4DC9">
        <w:t>s</w:t>
      </w:r>
      <w:r w:rsidR="003623DD">
        <w:t xml:space="preserve">.  </w:t>
      </w:r>
      <w:r w:rsidR="008D08A9">
        <w:t>Based on the requirements of Ohio law and the repeated demonstrations that the SSR and SSR-E provide DP&amp;L an unlawful opportunity to bill and collect transition revenue</w:t>
      </w:r>
      <w:r w:rsidR="008D08A9" w:rsidRPr="00423BD0">
        <w:t xml:space="preserve">, the </w:t>
      </w:r>
      <w:r w:rsidR="008D08A9">
        <w:t>Commission should terminate the SSR and SSR-E immediately</w:t>
      </w:r>
      <w:r w:rsidR="008D08A9" w:rsidRPr="00423BD0">
        <w:t>.</w:t>
      </w:r>
      <w:r w:rsidR="008D08A9" w:rsidRPr="00423BD0">
        <w:rPr>
          <w:rStyle w:val="FootnoteReference"/>
        </w:rPr>
        <w:footnoteReference w:id="27"/>
      </w:r>
      <w:r w:rsidR="008D08A9" w:rsidRPr="00423BD0">
        <w:t xml:space="preserve">  </w:t>
      </w:r>
    </w:p>
    <w:p w:rsidR="00AF4AEF" w:rsidRPr="00423BD0" w:rsidRDefault="00AF4AEF" w:rsidP="0025457E">
      <w:pPr>
        <w:ind w:firstLine="720"/>
      </w:pPr>
    </w:p>
    <w:p w:rsidR="001C64D9" w:rsidRPr="001C64D9" w:rsidRDefault="001C64D9" w:rsidP="001C64D9">
      <w:pPr>
        <w:ind w:left="4320"/>
        <w:rPr>
          <w:rFonts w:eastAsia="Times New Roman" w:cs="Arial"/>
        </w:rPr>
      </w:pPr>
      <w:r w:rsidRPr="001C64D9">
        <w:rPr>
          <w:rFonts w:eastAsia="Times New Roman" w:cs="Arial"/>
        </w:rPr>
        <w:t>Respectfully submitted,</w:t>
      </w:r>
    </w:p>
    <w:p w:rsidR="001C64D9" w:rsidRPr="001C64D9" w:rsidRDefault="001C64D9" w:rsidP="001C64D9">
      <w:pPr>
        <w:tabs>
          <w:tab w:val="left" w:pos="4320"/>
          <w:tab w:val="right" w:pos="8640"/>
        </w:tabs>
        <w:spacing w:line="240" w:lineRule="auto"/>
        <w:ind w:left="4320" w:hanging="4320"/>
        <w:rPr>
          <w:rFonts w:eastAsia="Times New Roman" w:cs="Arial"/>
        </w:rPr>
      </w:pPr>
    </w:p>
    <w:p w:rsidR="001C64D9" w:rsidRPr="001C64D9" w:rsidRDefault="001C64D9" w:rsidP="001C64D9">
      <w:pPr>
        <w:tabs>
          <w:tab w:val="left" w:pos="4320"/>
          <w:tab w:val="right" w:pos="8640"/>
        </w:tabs>
        <w:spacing w:line="240" w:lineRule="auto"/>
        <w:ind w:left="4320"/>
        <w:rPr>
          <w:rFonts w:eastAsia="Times New Roman" w:cs="Arial"/>
          <w:u w:val="single"/>
        </w:rPr>
      </w:pPr>
      <w:r w:rsidRPr="001C64D9">
        <w:rPr>
          <w:rFonts w:eastAsia="Times New Roman" w:cs="Arial"/>
          <w:u w:val="single"/>
        </w:rPr>
        <w:t>/s/ Frank P. Darr</w:t>
      </w:r>
      <w:r w:rsidRPr="001C64D9">
        <w:rPr>
          <w:rFonts w:eastAsia="Times New Roman" w:cs="Arial"/>
          <w:u w:val="single"/>
        </w:rPr>
        <w:tab/>
      </w:r>
    </w:p>
    <w:p w:rsidR="001C64D9" w:rsidRPr="001C64D9" w:rsidRDefault="001C64D9" w:rsidP="001C64D9">
      <w:pPr>
        <w:tabs>
          <w:tab w:val="left" w:pos="4320"/>
          <w:tab w:val="right" w:pos="8640"/>
        </w:tabs>
        <w:spacing w:line="240" w:lineRule="auto"/>
        <w:ind w:left="4320"/>
        <w:rPr>
          <w:rFonts w:eastAsia="Times New Roman" w:cs="Arial"/>
        </w:rPr>
      </w:pPr>
      <w:r w:rsidRPr="001C64D9">
        <w:rPr>
          <w:rFonts w:eastAsia="Times New Roman" w:cs="Arial"/>
        </w:rPr>
        <w:t>Samuel C. Randazzo</w:t>
      </w:r>
    </w:p>
    <w:p w:rsidR="001C64D9" w:rsidRPr="001C64D9" w:rsidRDefault="001C64D9" w:rsidP="001C64D9">
      <w:pPr>
        <w:widowControl w:val="0"/>
        <w:tabs>
          <w:tab w:val="left" w:pos="4320"/>
        </w:tabs>
        <w:spacing w:line="240" w:lineRule="auto"/>
        <w:ind w:left="4320"/>
        <w:rPr>
          <w:rFonts w:eastAsia="Times New Roman" w:cs="Arial"/>
          <w:bCs/>
          <w:lang w:val="fr-FR"/>
        </w:rPr>
      </w:pPr>
      <w:r w:rsidRPr="001C64D9">
        <w:rPr>
          <w:rFonts w:eastAsia="Times New Roman" w:cs="Arial"/>
          <w:bCs/>
          <w:lang w:val="fr-FR"/>
        </w:rPr>
        <w:t>Frank P. Darr</w:t>
      </w:r>
    </w:p>
    <w:p w:rsidR="001C64D9" w:rsidRPr="001C64D9" w:rsidRDefault="001C64D9" w:rsidP="001C64D9">
      <w:pPr>
        <w:widowControl w:val="0"/>
        <w:tabs>
          <w:tab w:val="left" w:pos="4320"/>
        </w:tabs>
        <w:spacing w:line="240" w:lineRule="auto"/>
        <w:ind w:left="4320"/>
        <w:rPr>
          <w:rFonts w:eastAsia="Times New Roman" w:cs="Arial"/>
          <w:bCs/>
          <w:lang w:val="fr-FR"/>
        </w:rPr>
      </w:pPr>
      <w:r w:rsidRPr="001C64D9">
        <w:rPr>
          <w:rFonts w:eastAsia="Times New Roman" w:cs="Arial"/>
          <w:bCs/>
          <w:lang w:val="fr-FR"/>
        </w:rPr>
        <w:t>Matthew R. Pritchard</w:t>
      </w:r>
    </w:p>
    <w:p w:rsidR="001C64D9" w:rsidRPr="001C64D9" w:rsidRDefault="001C64D9" w:rsidP="001C64D9">
      <w:pPr>
        <w:widowControl w:val="0"/>
        <w:tabs>
          <w:tab w:val="left" w:pos="4320"/>
        </w:tabs>
        <w:spacing w:line="240" w:lineRule="auto"/>
        <w:ind w:left="4320"/>
        <w:rPr>
          <w:rFonts w:eastAsia="Times New Roman" w:cs="Arial"/>
          <w:bCs/>
          <w:smallCaps/>
        </w:rPr>
      </w:pPr>
      <w:r w:rsidRPr="001C64D9">
        <w:rPr>
          <w:rFonts w:eastAsia="Times New Roman" w:cs="Arial"/>
          <w:bCs/>
          <w:smallCaps/>
        </w:rPr>
        <w:t>McNees Wallace &amp; Nurick LLC</w:t>
      </w:r>
    </w:p>
    <w:p w:rsidR="001C64D9" w:rsidRPr="001C64D9" w:rsidRDefault="001C64D9" w:rsidP="001C64D9">
      <w:pPr>
        <w:widowControl w:val="0"/>
        <w:tabs>
          <w:tab w:val="left" w:pos="4320"/>
        </w:tabs>
        <w:spacing w:line="240" w:lineRule="auto"/>
        <w:ind w:left="4320"/>
        <w:rPr>
          <w:rFonts w:eastAsia="Times New Roman" w:cs="Arial"/>
          <w:bCs/>
        </w:rPr>
      </w:pPr>
      <w:r w:rsidRPr="001C64D9">
        <w:rPr>
          <w:rFonts w:eastAsia="Times New Roman" w:cs="Arial"/>
          <w:bCs/>
        </w:rPr>
        <w:t>21 East State Street, 17</w:t>
      </w:r>
      <w:r w:rsidRPr="001C64D9">
        <w:rPr>
          <w:rFonts w:eastAsia="Times New Roman" w:cs="Arial"/>
          <w:bCs/>
          <w:vertAlign w:val="superscript"/>
        </w:rPr>
        <w:t>TH</w:t>
      </w:r>
      <w:r w:rsidRPr="001C64D9">
        <w:rPr>
          <w:rFonts w:eastAsia="Times New Roman" w:cs="Arial"/>
          <w:bCs/>
        </w:rPr>
        <w:t xml:space="preserve"> Floor</w:t>
      </w:r>
    </w:p>
    <w:p w:rsidR="001C64D9" w:rsidRPr="001C64D9" w:rsidRDefault="001C64D9" w:rsidP="001C64D9">
      <w:pPr>
        <w:tabs>
          <w:tab w:val="left" w:pos="4320"/>
        </w:tabs>
        <w:spacing w:line="240" w:lineRule="auto"/>
        <w:ind w:left="4320"/>
        <w:rPr>
          <w:rFonts w:eastAsia="Calibri" w:cs="Arial"/>
        </w:rPr>
      </w:pPr>
      <w:r w:rsidRPr="001C64D9">
        <w:rPr>
          <w:rFonts w:eastAsia="Calibri" w:cs="Arial"/>
        </w:rPr>
        <w:t>Columbus, OH  43215</w:t>
      </w:r>
    </w:p>
    <w:p w:rsidR="001C64D9" w:rsidRPr="001C64D9" w:rsidRDefault="001C64D9" w:rsidP="001C64D9">
      <w:pPr>
        <w:tabs>
          <w:tab w:val="left" w:pos="4320"/>
        </w:tabs>
        <w:spacing w:line="240" w:lineRule="auto"/>
        <w:ind w:left="4320"/>
        <w:rPr>
          <w:rFonts w:eastAsia="Calibri" w:cs="Arial"/>
        </w:rPr>
      </w:pPr>
      <w:r w:rsidRPr="001C64D9">
        <w:rPr>
          <w:rFonts w:eastAsia="Calibri" w:cs="Arial"/>
        </w:rPr>
        <w:t>Telephone:  (614) 469-8000</w:t>
      </w:r>
    </w:p>
    <w:p w:rsidR="001C64D9" w:rsidRPr="001C64D9" w:rsidRDefault="001C64D9" w:rsidP="001C64D9">
      <w:pPr>
        <w:tabs>
          <w:tab w:val="left" w:pos="4320"/>
        </w:tabs>
        <w:spacing w:line="240" w:lineRule="auto"/>
        <w:ind w:left="4320"/>
        <w:rPr>
          <w:rFonts w:eastAsia="Calibri" w:cs="Arial"/>
        </w:rPr>
      </w:pPr>
      <w:r w:rsidRPr="001C64D9">
        <w:rPr>
          <w:rFonts w:eastAsia="Calibri" w:cs="Arial"/>
        </w:rPr>
        <w:t>Telecopier:  (614) 469-4653</w:t>
      </w:r>
    </w:p>
    <w:p w:rsidR="001C64D9" w:rsidRPr="001C64D9" w:rsidRDefault="001C64D9" w:rsidP="001C64D9">
      <w:pPr>
        <w:spacing w:line="240" w:lineRule="auto"/>
        <w:ind w:left="4320"/>
        <w:rPr>
          <w:rFonts w:eastAsia="Calibri" w:cs="Arial"/>
        </w:rPr>
      </w:pPr>
      <w:r w:rsidRPr="001C64D9">
        <w:rPr>
          <w:rFonts w:eastAsia="Calibri" w:cs="Arial"/>
        </w:rPr>
        <w:t>sam@mwncmh.com</w:t>
      </w:r>
    </w:p>
    <w:p w:rsidR="001C64D9" w:rsidRPr="001C64D9" w:rsidRDefault="001C64D9" w:rsidP="001C64D9">
      <w:pPr>
        <w:spacing w:line="240" w:lineRule="auto"/>
        <w:ind w:left="4320"/>
        <w:rPr>
          <w:rFonts w:eastAsia="Calibri" w:cs="Arial"/>
        </w:rPr>
      </w:pPr>
      <w:r w:rsidRPr="001C64D9">
        <w:rPr>
          <w:rFonts w:eastAsia="Calibri" w:cs="Arial"/>
        </w:rPr>
        <w:t>fdarr@mwncmh.com</w:t>
      </w:r>
    </w:p>
    <w:p w:rsidR="001C64D9" w:rsidRPr="001C64D9" w:rsidRDefault="001C64D9" w:rsidP="001C64D9">
      <w:pPr>
        <w:spacing w:line="240" w:lineRule="auto"/>
        <w:ind w:left="4320"/>
        <w:rPr>
          <w:rFonts w:eastAsia="Calibri" w:cs="Arial"/>
        </w:rPr>
      </w:pPr>
      <w:r w:rsidRPr="001C64D9">
        <w:rPr>
          <w:rFonts w:eastAsia="Calibri" w:cs="Arial"/>
        </w:rPr>
        <w:t>mpritchard@mwncmh.com</w:t>
      </w:r>
    </w:p>
    <w:p w:rsidR="001C64D9" w:rsidRPr="001C64D9" w:rsidRDefault="001C64D9" w:rsidP="001C64D9">
      <w:pPr>
        <w:spacing w:line="240" w:lineRule="auto"/>
        <w:ind w:left="4320"/>
        <w:rPr>
          <w:rFonts w:eastAsia="Calibri" w:cs="Arial"/>
          <w:b/>
        </w:rPr>
      </w:pPr>
    </w:p>
    <w:p w:rsidR="001C64D9" w:rsidRPr="001C64D9" w:rsidRDefault="001C64D9" w:rsidP="001C64D9">
      <w:pPr>
        <w:spacing w:line="240" w:lineRule="auto"/>
        <w:ind w:left="4320"/>
        <w:rPr>
          <w:rFonts w:ascii="Arial Bold" w:eastAsia="Calibri" w:hAnsi="Arial Bold" w:cs="Arial"/>
          <w:b/>
          <w:smallCaps/>
        </w:rPr>
        <w:sectPr w:rsidR="001C64D9" w:rsidRPr="001C64D9" w:rsidSect="007A632A">
          <w:headerReference w:type="default" r:id="rId15"/>
          <w:headerReference w:type="first" r:id="rId16"/>
          <w:footerReference w:type="first" r:id="rId17"/>
          <w:pgSz w:w="12240" w:h="15840" w:code="1"/>
          <w:pgMar w:top="1440" w:right="1440" w:bottom="1141" w:left="1440" w:header="720" w:footer="720" w:gutter="0"/>
          <w:pgNumType w:start="1"/>
          <w:cols w:space="720"/>
          <w:titlePg/>
          <w:docGrid w:linePitch="326"/>
        </w:sectPr>
      </w:pPr>
      <w:r w:rsidRPr="001C64D9">
        <w:rPr>
          <w:rFonts w:eastAsia="Calibri" w:cs="Arial"/>
          <w:b/>
        </w:rPr>
        <w:t>Attorneys for Industrial Energy Users-Ohio</w:t>
      </w:r>
    </w:p>
    <w:p w:rsidR="00A52D2C" w:rsidRPr="00A52D2C" w:rsidRDefault="00A52D2C" w:rsidP="00A52D2C">
      <w:pPr>
        <w:tabs>
          <w:tab w:val="left" w:pos="-1440"/>
          <w:tab w:val="left" w:pos="-720"/>
          <w:tab w:val="left" w:pos="4320"/>
          <w:tab w:val="left" w:pos="5040"/>
        </w:tabs>
        <w:spacing w:line="240" w:lineRule="auto"/>
        <w:jc w:val="center"/>
        <w:rPr>
          <w:rFonts w:ascii="Arial Bold" w:eastAsia="Arial" w:hAnsi="Arial Bold" w:cs="Arial"/>
          <w:b/>
          <w:smallCaps/>
          <w:sz w:val="28"/>
          <w:szCs w:val="28"/>
          <w:u w:val="single"/>
        </w:rPr>
      </w:pPr>
      <w:r w:rsidRPr="00A52D2C">
        <w:rPr>
          <w:rFonts w:ascii="Arial Bold" w:eastAsia="Arial" w:hAnsi="Arial Bold" w:cs="Arial"/>
          <w:b/>
          <w:smallCaps/>
          <w:sz w:val="28"/>
          <w:szCs w:val="28"/>
          <w:u w:val="single"/>
        </w:rPr>
        <w:lastRenderedPageBreak/>
        <w:t>Certificate of Service</w:t>
      </w:r>
    </w:p>
    <w:p w:rsidR="00A52D2C" w:rsidRPr="00A52D2C" w:rsidRDefault="00A52D2C" w:rsidP="00A52D2C">
      <w:pPr>
        <w:spacing w:line="240" w:lineRule="auto"/>
        <w:rPr>
          <w:rFonts w:eastAsia="Arial" w:cs="Arial"/>
          <w:szCs w:val="22"/>
        </w:rPr>
      </w:pPr>
    </w:p>
    <w:p w:rsidR="00A52D2C" w:rsidRPr="00A52D2C" w:rsidRDefault="00A52D2C" w:rsidP="007F728E">
      <w:pPr>
        <w:ind w:firstLine="720"/>
        <w:rPr>
          <w:rFonts w:eastAsia="Times New Roman" w:cs="Arial"/>
        </w:rPr>
      </w:pPr>
      <w:r w:rsidRPr="00A52D2C">
        <w:rPr>
          <w:rFonts w:eastAsia="Times New Roman" w:cs="Arial"/>
        </w:rPr>
        <w:t>I hereby certify that a copy of the foregoing</w:t>
      </w:r>
      <w:r w:rsidRPr="00A52D2C">
        <w:rPr>
          <w:rFonts w:eastAsia="Times New Roman" w:cs="Arial"/>
          <w:smallCaps/>
        </w:rPr>
        <w:t xml:space="preserve"> </w:t>
      </w:r>
      <w:r w:rsidR="00F91B16" w:rsidRPr="00F91B16">
        <w:rPr>
          <w:rFonts w:eastAsia="Times New Roman" w:cs="Arial"/>
          <w:b/>
          <w:i/>
        </w:rPr>
        <w:t>Industrial Energy Users-Ohio’s Memorandum Contra the</w:t>
      </w:r>
      <w:r w:rsidR="00F91B16">
        <w:rPr>
          <w:rFonts w:eastAsia="Times New Roman" w:cs="Arial"/>
          <w:b/>
          <w:i/>
        </w:rPr>
        <w:t xml:space="preserve"> </w:t>
      </w:r>
      <w:r w:rsidR="00F91B16" w:rsidRPr="00F91B16">
        <w:rPr>
          <w:rFonts w:eastAsia="Times New Roman" w:cs="Arial"/>
          <w:b/>
          <w:i/>
        </w:rPr>
        <w:t>Application for Rehearing</w:t>
      </w:r>
      <w:r w:rsidR="00F91B16">
        <w:rPr>
          <w:rFonts w:eastAsia="Times New Roman" w:cs="Arial"/>
          <w:b/>
          <w:i/>
        </w:rPr>
        <w:t xml:space="preserve"> of T</w:t>
      </w:r>
      <w:r w:rsidR="00F91B16" w:rsidRPr="00F91B16">
        <w:rPr>
          <w:rFonts w:eastAsia="Times New Roman" w:cs="Arial"/>
          <w:b/>
          <w:i/>
        </w:rPr>
        <w:t>he Dayton Power and Light Co</w:t>
      </w:r>
      <w:r w:rsidR="00F91B16">
        <w:rPr>
          <w:rFonts w:eastAsia="Times New Roman" w:cs="Arial"/>
          <w:b/>
          <w:i/>
        </w:rPr>
        <w:t>mpany as to the Second Entry on R</w:t>
      </w:r>
      <w:r w:rsidR="00F91B16" w:rsidRPr="00F91B16">
        <w:rPr>
          <w:rFonts w:eastAsia="Times New Roman" w:cs="Arial"/>
          <w:b/>
          <w:i/>
        </w:rPr>
        <w:t>ehearing</w:t>
      </w:r>
      <w:r w:rsidR="00F91B16">
        <w:rPr>
          <w:rFonts w:eastAsia="Times New Roman" w:cs="Arial"/>
          <w:b/>
          <w:i/>
        </w:rPr>
        <w:t xml:space="preserve"> </w:t>
      </w:r>
      <w:r w:rsidRPr="00A52D2C">
        <w:rPr>
          <w:rFonts w:eastAsia="Times New Roman" w:cs="Arial"/>
        </w:rPr>
        <w:t xml:space="preserve">was served upon the following parties of record this </w:t>
      </w:r>
      <w:r>
        <w:rPr>
          <w:rFonts w:eastAsia="Times New Roman" w:cs="Arial"/>
        </w:rPr>
        <w:t>28</w:t>
      </w:r>
      <w:r w:rsidRPr="00A52D2C">
        <w:rPr>
          <w:rFonts w:eastAsia="Times New Roman" w:cs="Arial"/>
          <w:vertAlign w:val="superscript"/>
        </w:rPr>
        <w:t>th</w:t>
      </w:r>
      <w:r>
        <w:rPr>
          <w:rFonts w:eastAsia="Times New Roman" w:cs="Arial"/>
        </w:rPr>
        <w:t xml:space="preserve"> </w:t>
      </w:r>
      <w:r w:rsidRPr="00A52D2C">
        <w:rPr>
          <w:rFonts w:eastAsia="Times New Roman" w:cs="Arial"/>
        </w:rPr>
        <w:t xml:space="preserve">day of </w:t>
      </w:r>
      <w:r>
        <w:rPr>
          <w:rFonts w:eastAsia="Times New Roman" w:cs="Arial"/>
        </w:rPr>
        <w:t>April</w:t>
      </w:r>
      <w:r w:rsidRPr="00A52D2C">
        <w:rPr>
          <w:rFonts w:eastAsia="Times New Roman" w:cs="Arial"/>
        </w:rPr>
        <w:t xml:space="preserve"> 201</w:t>
      </w:r>
      <w:r>
        <w:rPr>
          <w:rFonts w:eastAsia="Times New Roman" w:cs="Arial"/>
        </w:rPr>
        <w:t>4</w:t>
      </w:r>
      <w:r w:rsidRPr="00A52D2C">
        <w:rPr>
          <w:rFonts w:eastAsia="Times New Roman" w:cs="Arial"/>
        </w:rPr>
        <w:t xml:space="preserve">, </w:t>
      </w:r>
      <w:r w:rsidRPr="00A52D2C">
        <w:rPr>
          <w:rFonts w:eastAsia="Times New Roman" w:cs="Arial"/>
          <w:i/>
        </w:rPr>
        <w:t>via</w:t>
      </w:r>
      <w:r w:rsidRPr="00A52D2C">
        <w:rPr>
          <w:rFonts w:eastAsia="Times New Roman" w:cs="Arial"/>
        </w:rPr>
        <w:t xml:space="preserve"> electronic transmission.</w:t>
      </w:r>
    </w:p>
    <w:p w:rsidR="00A52D2C" w:rsidRPr="00A52D2C" w:rsidRDefault="00A52D2C" w:rsidP="00A52D2C">
      <w:pPr>
        <w:tabs>
          <w:tab w:val="left" w:pos="5040"/>
          <w:tab w:val="decimal" w:pos="6840"/>
          <w:tab w:val="right" w:pos="9360"/>
        </w:tabs>
        <w:spacing w:line="240" w:lineRule="auto"/>
        <w:ind w:left="5040"/>
        <w:jc w:val="left"/>
        <w:rPr>
          <w:rFonts w:eastAsia="Times New Roman" w:cs="Arial"/>
          <w:u w:val="single"/>
        </w:rPr>
      </w:pPr>
      <w:r w:rsidRPr="00A52D2C">
        <w:rPr>
          <w:rFonts w:eastAsia="Times New Roman" w:cs="Arial"/>
          <w:u w:val="single"/>
        </w:rPr>
        <w:t xml:space="preserve"> </w:t>
      </w:r>
      <w:r>
        <w:rPr>
          <w:rFonts w:eastAsia="Times New Roman" w:cs="Arial"/>
          <w:u w:val="single"/>
        </w:rPr>
        <w:t>/s/ Frank P. Darr</w:t>
      </w:r>
      <w:r>
        <w:rPr>
          <w:rFonts w:eastAsia="Times New Roman" w:cs="Arial"/>
          <w:u w:val="single"/>
        </w:rPr>
        <w:tab/>
      </w:r>
    </w:p>
    <w:p w:rsidR="00A52D2C" w:rsidRPr="00A52D2C" w:rsidRDefault="00A52D2C" w:rsidP="00A52D2C">
      <w:pPr>
        <w:tabs>
          <w:tab w:val="left" w:pos="5040"/>
          <w:tab w:val="decimal" w:pos="6840"/>
          <w:tab w:val="right" w:pos="9360"/>
        </w:tabs>
        <w:spacing w:line="240" w:lineRule="auto"/>
        <w:ind w:left="5040"/>
        <w:jc w:val="center"/>
        <w:rPr>
          <w:rFonts w:eastAsia="Times New Roman" w:cs="Arial"/>
          <w:smallCaps/>
        </w:rPr>
      </w:pPr>
      <w:r>
        <w:rPr>
          <w:rFonts w:eastAsia="Times New Roman" w:cs="Arial"/>
          <w:smallCaps/>
        </w:rPr>
        <w:t>Frank P. Darr</w:t>
      </w:r>
    </w:p>
    <w:p w:rsidR="00A52D2C" w:rsidRPr="00A52D2C" w:rsidRDefault="00A52D2C" w:rsidP="00A52D2C">
      <w:pPr>
        <w:tabs>
          <w:tab w:val="left" w:pos="5040"/>
          <w:tab w:val="decimal" w:pos="6840"/>
          <w:tab w:val="right" w:pos="9360"/>
        </w:tabs>
        <w:spacing w:line="240" w:lineRule="auto"/>
        <w:ind w:left="5040"/>
        <w:jc w:val="left"/>
        <w:rPr>
          <w:rFonts w:eastAsia="Times New Roman" w:cs="Arial"/>
          <w:smallCaps/>
        </w:rPr>
        <w:sectPr w:rsidR="00A52D2C" w:rsidRPr="00A52D2C">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pPr>
    </w:p>
    <w:p w:rsidR="00A52D2C" w:rsidRPr="00FD0ED9" w:rsidRDefault="00A52D2C" w:rsidP="00A52D2C">
      <w:pPr>
        <w:spacing w:line="240" w:lineRule="auto"/>
        <w:rPr>
          <w:rFonts w:eastAsia="Arial" w:cs="Arial"/>
        </w:rPr>
      </w:pPr>
    </w:p>
    <w:p w:rsidR="00A52D2C" w:rsidRPr="00A52D2C" w:rsidRDefault="00A52D2C" w:rsidP="00A52D2C">
      <w:pPr>
        <w:spacing w:line="240" w:lineRule="auto"/>
        <w:rPr>
          <w:rFonts w:eastAsia="Arial" w:cs="Arial"/>
          <w:sz w:val="18"/>
          <w:szCs w:val="18"/>
        </w:rPr>
      </w:pPr>
      <w:r w:rsidRPr="00A52D2C">
        <w:rPr>
          <w:rFonts w:eastAsia="Arial" w:cs="Arial"/>
          <w:sz w:val="18"/>
          <w:szCs w:val="18"/>
        </w:rPr>
        <w:t>judi.sobecki@dplinc.com</w:t>
      </w:r>
    </w:p>
    <w:p w:rsidR="00A52D2C" w:rsidRPr="00A52D2C" w:rsidRDefault="00A52D2C" w:rsidP="00A52D2C">
      <w:pPr>
        <w:spacing w:line="240" w:lineRule="auto"/>
        <w:rPr>
          <w:rFonts w:eastAsia="Arial" w:cs="Arial"/>
          <w:sz w:val="18"/>
          <w:szCs w:val="18"/>
        </w:rPr>
      </w:pPr>
      <w:r w:rsidRPr="00A52D2C">
        <w:rPr>
          <w:rFonts w:eastAsia="Arial" w:cs="Arial"/>
          <w:sz w:val="18"/>
          <w:szCs w:val="18"/>
        </w:rPr>
        <w:t>randall.griffin@dplinc.com</w:t>
      </w:r>
    </w:p>
    <w:p w:rsidR="00A52D2C" w:rsidRPr="00A52D2C" w:rsidRDefault="00A52D2C" w:rsidP="00A52D2C">
      <w:pPr>
        <w:spacing w:line="240" w:lineRule="auto"/>
        <w:rPr>
          <w:rFonts w:eastAsia="Arial" w:cs="Arial"/>
          <w:sz w:val="18"/>
          <w:szCs w:val="18"/>
        </w:rPr>
      </w:pPr>
      <w:r w:rsidRPr="00A52D2C">
        <w:rPr>
          <w:rFonts w:eastAsia="Arial" w:cs="Arial"/>
          <w:sz w:val="18"/>
          <w:szCs w:val="18"/>
        </w:rPr>
        <w:t>cfaruki@ficlaw.com</w:t>
      </w:r>
    </w:p>
    <w:p w:rsidR="00A52D2C" w:rsidRPr="00A52D2C" w:rsidRDefault="00A52D2C" w:rsidP="00A52D2C">
      <w:pPr>
        <w:spacing w:line="240" w:lineRule="auto"/>
        <w:rPr>
          <w:rFonts w:eastAsia="Arial" w:cs="Arial"/>
          <w:sz w:val="18"/>
          <w:szCs w:val="18"/>
        </w:rPr>
      </w:pPr>
      <w:r w:rsidRPr="00A52D2C">
        <w:rPr>
          <w:rFonts w:eastAsia="Arial" w:cs="Arial"/>
          <w:sz w:val="18"/>
          <w:szCs w:val="18"/>
        </w:rPr>
        <w:t>jsharkey@ficlaw.com</w:t>
      </w:r>
    </w:p>
    <w:p w:rsidR="00A52D2C" w:rsidRPr="00A52D2C" w:rsidRDefault="00A52D2C" w:rsidP="00A52D2C">
      <w:pPr>
        <w:tabs>
          <w:tab w:val="left" w:pos="-1440"/>
          <w:tab w:val="left" w:pos="-720"/>
          <w:tab w:val="left" w:pos="5040"/>
          <w:tab w:val="center" w:pos="7200"/>
        </w:tabs>
        <w:spacing w:line="240" w:lineRule="auto"/>
        <w:rPr>
          <w:rFonts w:eastAsia="Arial" w:cs="Arial"/>
          <w:sz w:val="18"/>
          <w:szCs w:val="18"/>
        </w:rPr>
      </w:pPr>
      <w:r w:rsidRPr="00A52D2C">
        <w:rPr>
          <w:rFonts w:eastAsia="Arial" w:cs="Arial"/>
          <w:sz w:val="18"/>
          <w:szCs w:val="18"/>
        </w:rPr>
        <w:t>arthur.meyer@dplinc.com</w:t>
      </w:r>
    </w:p>
    <w:p w:rsidR="00A52D2C" w:rsidRPr="00A52D2C" w:rsidRDefault="00A52D2C" w:rsidP="00A52D2C">
      <w:pPr>
        <w:spacing w:line="240" w:lineRule="auto"/>
        <w:jc w:val="left"/>
        <w:rPr>
          <w:rFonts w:eastAsia="Times New Roman" w:cs="Arial"/>
          <w:sz w:val="18"/>
          <w:szCs w:val="18"/>
        </w:rPr>
      </w:pPr>
      <w:r w:rsidRPr="00A52D2C">
        <w:rPr>
          <w:rFonts w:eastAsia="Times New Roman" w:cs="Arial"/>
          <w:sz w:val="18"/>
          <w:szCs w:val="18"/>
        </w:rPr>
        <w:t>dboehm@BKLlawfirm.com</w:t>
      </w:r>
    </w:p>
    <w:p w:rsidR="00A52D2C" w:rsidRPr="00A52D2C" w:rsidRDefault="00A52D2C" w:rsidP="00A52D2C">
      <w:pPr>
        <w:spacing w:line="240" w:lineRule="auto"/>
        <w:jc w:val="left"/>
        <w:rPr>
          <w:rFonts w:eastAsia="Times New Roman" w:cs="Arial"/>
          <w:sz w:val="18"/>
          <w:szCs w:val="18"/>
        </w:rPr>
      </w:pPr>
      <w:r w:rsidRPr="00A52D2C">
        <w:rPr>
          <w:rFonts w:eastAsia="Times New Roman" w:cs="Arial"/>
          <w:sz w:val="18"/>
          <w:szCs w:val="18"/>
        </w:rPr>
        <w:t>mkurtz@BKLlawfirm.com</w:t>
      </w:r>
    </w:p>
    <w:p w:rsidR="00A52D2C" w:rsidRPr="00A52D2C" w:rsidRDefault="00A52D2C" w:rsidP="00A52D2C">
      <w:pPr>
        <w:tabs>
          <w:tab w:val="left" w:pos="2160"/>
          <w:tab w:val="left" w:pos="2280"/>
        </w:tabs>
        <w:spacing w:line="240" w:lineRule="auto"/>
        <w:rPr>
          <w:rFonts w:eastAsia="Arial" w:cs="Arial"/>
          <w:sz w:val="18"/>
          <w:szCs w:val="18"/>
        </w:rPr>
      </w:pPr>
      <w:r w:rsidRPr="00A52D2C">
        <w:rPr>
          <w:rFonts w:eastAsia="Arial" w:cs="Arial"/>
          <w:sz w:val="18"/>
          <w:szCs w:val="18"/>
        </w:rPr>
        <w:t>etter@occ.state.oh.us</w:t>
      </w:r>
    </w:p>
    <w:p w:rsidR="00A52D2C" w:rsidRPr="00A52D2C" w:rsidRDefault="00A52D2C" w:rsidP="00A52D2C">
      <w:pPr>
        <w:tabs>
          <w:tab w:val="left" w:pos="2160"/>
          <w:tab w:val="left" w:pos="2280"/>
        </w:tabs>
        <w:spacing w:line="240" w:lineRule="auto"/>
        <w:rPr>
          <w:rFonts w:eastAsia="Arial" w:cs="Arial"/>
          <w:sz w:val="18"/>
          <w:szCs w:val="18"/>
        </w:rPr>
      </w:pPr>
      <w:r w:rsidRPr="00A52D2C">
        <w:rPr>
          <w:rFonts w:eastAsia="Arial" w:cs="Arial"/>
          <w:sz w:val="18"/>
          <w:szCs w:val="18"/>
        </w:rPr>
        <w:t>serio@occ.state.oh.us</w:t>
      </w:r>
    </w:p>
    <w:p w:rsidR="00A52D2C" w:rsidRPr="00A52D2C" w:rsidRDefault="00A52D2C" w:rsidP="00A52D2C">
      <w:pPr>
        <w:tabs>
          <w:tab w:val="left" w:pos="2160"/>
          <w:tab w:val="left" w:pos="2280"/>
        </w:tabs>
        <w:spacing w:line="240" w:lineRule="auto"/>
        <w:rPr>
          <w:rFonts w:eastAsia="Arial" w:cs="Arial"/>
          <w:sz w:val="18"/>
          <w:szCs w:val="18"/>
        </w:rPr>
      </w:pPr>
      <w:r w:rsidRPr="00A52D2C">
        <w:rPr>
          <w:rFonts w:eastAsia="Arial" w:cs="Arial"/>
          <w:sz w:val="18"/>
          <w:szCs w:val="18"/>
        </w:rPr>
        <w:t>yost@occ.state.oh.us</w:t>
      </w:r>
    </w:p>
    <w:p w:rsidR="00A52D2C" w:rsidRPr="00A52D2C" w:rsidRDefault="00A52D2C" w:rsidP="00A52D2C">
      <w:pPr>
        <w:tabs>
          <w:tab w:val="left" w:pos="2160"/>
          <w:tab w:val="left" w:pos="2280"/>
        </w:tabs>
        <w:spacing w:line="240" w:lineRule="auto"/>
        <w:rPr>
          <w:rFonts w:eastAsia="Arial" w:cs="Arial"/>
          <w:sz w:val="18"/>
          <w:szCs w:val="18"/>
        </w:rPr>
      </w:pPr>
      <w:r w:rsidRPr="00A52D2C">
        <w:rPr>
          <w:rFonts w:eastAsia="Arial" w:cs="Arial"/>
          <w:sz w:val="18"/>
          <w:szCs w:val="18"/>
        </w:rPr>
        <w:t>berger@occ.state.oh.us</w:t>
      </w:r>
    </w:p>
    <w:p w:rsidR="00A52D2C" w:rsidRPr="00A52D2C" w:rsidRDefault="00A52D2C" w:rsidP="00A52D2C">
      <w:pPr>
        <w:tabs>
          <w:tab w:val="left" w:pos="2160"/>
          <w:tab w:val="left" w:pos="2280"/>
        </w:tabs>
        <w:spacing w:line="240" w:lineRule="auto"/>
        <w:rPr>
          <w:rFonts w:eastAsia="Arial" w:cs="Arial"/>
          <w:sz w:val="18"/>
          <w:szCs w:val="18"/>
        </w:rPr>
      </w:pPr>
      <w:r w:rsidRPr="00A52D2C">
        <w:rPr>
          <w:rFonts w:eastAsia="Arial" w:cs="Arial"/>
          <w:sz w:val="18"/>
          <w:szCs w:val="18"/>
        </w:rPr>
        <w:t>amy.spiller@duke-energy.com</w:t>
      </w:r>
    </w:p>
    <w:p w:rsidR="00A52D2C" w:rsidRPr="00A52D2C" w:rsidRDefault="00A52D2C" w:rsidP="00A52D2C">
      <w:pPr>
        <w:tabs>
          <w:tab w:val="left" w:pos="2160"/>
          <w:tab w:val="left" w:pos="2280"/>
        </w:tabs>
        <w:spacing w:line="240" w:lineRule="auto"/>
        <w:rPr>
          <w:rFonts w:eastAsia="Arial" w:cs="Arial"/>
          <w:sz w:val="18"/>
          <w:szCs w:val="18"/>
        </w:rPr>
      </w:pPr>
      <w:r w:rsidRPr="00A52D2C">
        <w:rPr>
          <w:rFonts w:eastAsia="Arial" w:cs="Arial"/>
          <w:sz w:val="18"/>
          <w:szCs w:val="18"/>
        </w:rPr>
        <w:t>jeanne.kingery@duke-energy.com</w:t>
      </w:r>
    </w:p>
    <w:p w:rsidR="00A52D2C" w:rsidRPr="00A52D2C" w:rsidRDefault="00A52D2C" w:rsidP="00A52D2C">
      <w:pPr>
        <w:tabs>
          <w:tab w:val="left" w:pos="2160"/>
          <w:tab w:val="left" w:pos="2280"/>
        </w:tabs>
        <w:spacing w:line="240" w:lineRule="auto"/>
        <w:rPr>
          <w:rFonts w:eastAsia="Arial" w:cs="Arial"/>
          <w:sz w:val="18"/>
          <w:szCs w:val="18"/>
        </w:rPr>
      </w:pPr>
      <w:r w:rsidRPr="00A52D2C">
        <w:rPr>
          <w:rFonts w:eastAsia="Arial" w:cs="Arial"/>
          <w:sz w:val="18"/>
          <w:szCs w:val="18"/>
        </w:rPr>
        <w:t>philip.sineneng@ThompsonHine.com</w:t>
      </w:r>
    </w:p>
    <w:p w:rsidR="00A52D2C" w:rsidRPr="00A52D2C" w:rsidRDefault="00A52D2C" w:rsidP="00A52D2C">
      <w:pPr>
        <w:tabs>
          <w:tab w:val="left" w:pos="2160"/>
          <w:tab w:val="left" w:pos="2280"/>
        </w:tabs>
        <w:spacing w:line="240" w:lineRule="auto"/>
        <w:rPr>
          <w:rFonts w:eastAsia="Arial" w:cs="Arial"/>
          <w:sz w:val="18"/>
          <w:szCs w:val="18"/>
        </w:rPr>
      </w:pPr>
      <w:r w:rsidRPr="00A52D2C">
        <w:rPr>
          <w:rFonts w:eastAsia="Arial" w:cs="Arial"/>
          <w:sz w:val="18"/>
          <w:szCs w:val="18"/>
        </w:rPr>
        <w:t>bmcmahon@emh-law.com</w:t>
      </w:r>
    </w:p>
    <w:p w:rsidR="00A52D2C" w:rsidRPr="00A52D2C" w:rsidRDefault="00A52D2C" w:rsidP="00A52D2C">
      <w:pPr>
        <w:tabs>
          <w:tab w:val="left" w:pos="2160"/>
          <w:tab w:val="left" w:pos="2280"/>
        </w:tabs>
        <w:spacing w:line="240" w:lineRule="auto"/>
        <w:rPr>
          <w:rFonts w:eastAsia="Arial" w:cs="Arial"/>
          <w:sz w:val="18"/>
          <w:szCs w:val="18"/>
        </w:rPr>
      </w:pPr>
      <w:r w:rsidRPr="00A52D2C">
        <w:rPr>
          <w:rFonts w:eastAsia="Arial" w:cs="Arial"/>
          <w:sz w:val="18"/>
          <w:szCs w:val="18"/>
        </w:rPr>
        <w:t>elizabeth.watts@duke-energy.com</w:t>
      </w:r>
    </w:p>
    <w:p w:rsidR="00A52D2C" w:rsidRPr="00A52D2C" w:rsidRDefault="00A52D2C" w:rsidP="00A52D2C">
      <w:pPr>
        <w:tabs>
          <w:tab w:val="left" w:pos="2160"/>
          <w:tab w:val="left" w:pos="2280"/>
        </w:tabs>
        <w:spacing w:line="240" w:lineRule="auto"/>
        <w:rPr>
          <w:rFonts w:eastAsia="Arial" w:cs="Arial"/>
          <w:sz w:val="18"/>
          <w:szCs w:val="18"/>
        </w:rPr>
      </w:pPr>
      <w:r w:rsidRPr="00A52D2C">
        <w:rPr>
          <w:rFonts w:eastAsia="Arial" w:cs="Arial"/>
          <w:sz w:val="18"/>
          <w:szCs w:val="18"/>
        </w:rPr>
        <w:t>rocco.d’ascenzo@duke-energy.com</w:t>
      </w:r>
    </w:p>
    <w:p w:rsidR="00A52D2C" w:rsidRPr="00A52D2C" w:rsidRDefault="00A52D2C" w:rsidP="00A52D2C">
      <w:pPr>
        <w:spacing w:line="240" w:lineRule="auto"/>
        <w:rPr>
          <w:rFonts w:eastAsia="Arial" w:cs="Arial"/>
          <w:sz w:val="18"/>
          <w:szCs w:val="18"/>
        </w:rPr>
      </w:pPr>
      <w:r w:rsidRPr="00A52D2C">
        <w:rPr>
          <w:rFonts w:eastAsia="Arial" w:cs="Arial"/>
          <w:sz w:val="18"/>
          <w:szCs w:val="18"/>
        </w:rPr>
        <w:t>ricks@ohanet.org</w:t>
      </w:r>
    </w:p>
    <w:p w:rsidR="00A52D2C" w:rsidRPr="00A52D2C" w:rsidRDefault="00A52D2C" w:rsidP="00A52D2C">
      <w:pPr>
        <w:spacing w:line="240" w:lineRule="auto"/>
        <w:rPr>
          <w:rFonts w:eastAsia="Arial" w:cs="Arial"/>
          <w:sz w:val="18"/>
          <w:szCs w:val="18"/>
        </w:rPr>
      </w:pPr>
      <w:r w:rsidRPr="00A52D2C">
        <w:rPr>
          <w:rFonts w:eastAsia="Arial" w:cs="Arial"/>
          <w:sz w:val="18"/>
          <w:szCs w:val="18"/>
        </w:rPr>
        <w:t>tobrien@bricker.com</w:t>
      </w:r>
    </w:p>
    <w:p w:rsidR="00A52D2C" w:rsidRPr="00A52D2C" w:rsidRDefault="00A52D2C" w:rsidP="00A52D2C">
      <w:pPr>
        <w:spacing w:line="240" w:lineRule="auto"/>
        <w:rPr>
          <w:rFonts w:eastAsia="Arial" w:cs="Arial"/>
          <w:sz w:val="18"/>
          <w:szCs w:val="18"/>
        </w:rPr>
      </w:pPr>
      <w:r w:rsidRPr="00A52D2C">
        <w:rPr>
          <w:rFonts w:eastAsia="Arial" w:cs="Arial"/>
          <w:sz w:val="18"/>
          <w:szCs w:val="18"/>
        </w:rPr>
        <w:t>barth.royer@aol.com</w:t>
      </w:r>
    </w:p>
    <w:p w:rsidR="00A52D2C" w:rsidRPr="00A52D2C" w:rsidRDefault="00A52D2C" w:rsidP="00A52D2C">
      <w:pPr>
        <w:spacing w:line="240" w:lineRule="auto"/>
        <w:rPr>
          <w:rFonts w:eastAsia="Arial" w:cs="Arial"/>
          <w:sz w:val="18"/>
          <w:szCs w:val="18"/>
        </w:rPr>
      </w:pPr>
      <w:r w:rsidRPr="00A52D2C">
        <w:rPr>
          <w:rFonts w:eastAsia="Arial" w:cs="Arial"/>
          <w:sz w:val="18"/>
          <w:szCs w:val="18"/>
        </w:rPr>
        <w:t>gary.a.jeffries@dom.com</w:t>
      </w:r>
    </w:p>
    <w:p w:rsidR="00A52D2C" w:rsidRPr="00A52D2C" w:rsidRDefault="00A52D2C" w:rsidP="00A52D2C">
      <w:pPr>
        <w:spacing w:line="240" w:lineRule="auto"/>
        <w:rPr>
          <w:rFonts w:eastAsia="Arial" w:cs="Arial"/>
          <w:sz w:val="18"/>
          <w:szCs w:val="18"/>
        </w:rPr>
      </w:pPr>
      <w:r w:rsidRPr="00A52D2C">
        <w:rPr>
          <w:rFonts w:eastAsia="Arial" w:cs="Arial"/>
          <w:sz w:val="18"/>
          <w:szCs w:val="18"/>
        </w:rPr>
        <w:t>drinebolt@ohiopartners.org</w:t>
      </w:r>
    </w:p>
    <w:p w:rsidR="00A52D2C" w:rsidRPr="00A52D2C" w:rsidRDefault="00A52D2C" w:rsidP="00A52D2C">
      <w:pPr>
        <w:spacing w:line="240" w:lineRule="auto"/>
        <w:rPr>
          <w:rFonts w:eastAsia="Arial" w:cs="Arial"/>
          <w:sz w:val="18"/>
          <w:szCs w:val="18"/>
        </w:rPr>
      </w:pPr>
      <w:r w:rsidRPr="00A52D2C">
        <w:rPr>
          <w:rFonts w:eastAsia="Arial" w:cs="Arial"/>
          <w:sz w:val="18"/>
          <w:szCs w:val="18"/>
        </w:rPr>
        <w:t>cmooney2@columbus.rr.com</w:t>
      </w:r>
    </w:p>
    <w:p w:rsidR="00A52D2C" w:rsidRPr="00A52D2C" w:rsidRDefault="00A52D2C" w:rsidP="00A52D2C">
      <w:pPr>
        <w:tabs>
          <w:tab w:val="left" w:pos="2160"/>
          <w:tab w:val="left" w:pos="2280"/>
        </w:tabs>
        <w:spacing w:line="240" w:lineRule="auto"/>
        <w:rPr>
          <w:rFonts w:eastAsia="Arial" w:cs="Arial"/>
          <w:sz w:val="18"/>
          <w:szCs w:val="18"/>
          <w:u w:val="single"/>
        </w:rPr>
      </w:pPr>
      <w:r w:rsidRPr="00A52D2C">
        <w:rPr>
          <w:rFonts w:eastAsia="Arial" w:cs="Arial"/>
          <w:sz w:val="18"/>
          <w:szCs w:val="18"/>
        </w:rPr>
        <w:t>whitt@whitt-sturtevant.com</w:t>
      </w:r>
    </w:p>
    <w:p w:rsidR="00A52D2C" w:rsidRPr="00A52D2C" w:rsidRDefault="00A52D2C" w:rsidP="00A52D2C">
      <w:pPr>
        <w:tabs>
          <w:tab w:val="left" w:pos="2160"/>
          <w:tab w:val="left" w:pos="2280"/>
        </w:tabs>
        <w:spacing w:line="240" w:lineRule="auto"/>
        <w:rPr>
          <w:rFonts w:eastAsia="Arial" w:cs="Arial"/>
          <w:sz w:val="18"/>
          <w:szCs w:val="18"/>
        </w:rPr>
      </w:pPr>
      <w:r w:rsidRPr="00A52D2C">
        <w:rPr>
          <w:rFonts w:eastAsia="Arial" w:cs="Arial"/>
          <w:sz w:val="18"/>
          <w:szCs w:val="18"/>
        </w:rPr>
        <w:t>campbell@whitt-sturtevant.com</w:t>
      </w:r>
    </w:p>
    <w:p w:rsidR="00A52D2C" w:rsidRPr="00A52D2C" w:rsidRDefault="00A52D2C" w:rsidP="00A52D2C">
      <w:pPr>
        <w:tabs>
          <w:tab w:val="left" w:pos="2160"/>
          <w:tab w:val="left" w:pos="2280"/>
        </w:tabs>
        <w:spacing w:line="240" w:lineRule="auto"/>
        <w:rPr>
          <w:rFonts w:eastAsia="Arial" w:cs="Arial"/>
          <w:sz w:val="18"/>
          <w:szCs w:val="18"/>
        </w:rPr>
      </w:pPr>
      <w:r w:rsidRPr="00A52D2C">
        <w:rPr>
          <w:rFonts w:eastAsia="Arial" w:cs="Arial"/>
          <w:sz w:val="18"/>
          <w:szCs w:val="18"/>
        </w:rPr>
        <w:t>vparisi@igsenergy.com</w:t>
      </w:r>
    </w:p>
    <w:p w:rsidR="00A52D2C" w:rsidRPr="00A52D2C" w:rsidRDefault="00A52D2C" w:rsidP="00A52D2C">
      <w:pPr>
        <w:spacing w:line="240" w:lineRule="auto"/>
        <w:rPr>
          <w:rFonts w:eastAsia="Arial" w:cs="Arial"/>
          <w:sz w:val="18"/>
          <w:szCs w:val="18"/>
        </w:rPr>
      </w:pPr>
      <w:r w:rsidRPr="00A52D2C">
        <w:rPr>
          <w:rFonts w:eastAsia="Arial" w:cs="Arial"/>
          <w:sz w:val="18"/>
          <w:szCs w:val="18"/>
        </w:rPr>
        <w:t>barthroyer@aol.com</w:t>
      </w:r>
    </w:p>
    <w:p w:rsidR="00A52D2C" w:rsidRPr="00A52D2C" w:rsidRDefault="00A52D2C" w:rsidP="00A52D2C">
      <w:pPr>
        <w:spacing w:line="240" w:lineRule="auto"/>
        <w:rPr>
          <w:rFonts w:eastAsia="Arial" w:cs="Arial"/>
          <w:sz w:val="18"/>
          <w:szCs w:val="18"/>
        </w:rPr>
      </w:pPr>
      <w:r w:rsidRPr="00A52D2C">
        <w:rPr>
          <w:rFonts w:eastAsia="Arial" w:cs="Arial"/>
          <w:sz w:val="18"/>
          <w:szCs w:val="18"/>
        </w:rPr>
        <w:t>trent@theoec.org</w:t>
      </w:r>
    </w:p>
    <w:p w:rsidR="00A52D2C" w:rsidRPr="00A52D2C" w:rsidRDefault="00A52D2C" w:rsidP="00A52D2C">
      <w:pPr>
        <w:spacing w:line="240" w:lineRule="auto"/>
        <w:rPr>
          <w:rFonts w:eastAsia="Arial" w:cs="Arial"/>
          <w:sz w:val="18"/>
          <w:szCs w:val="18"/>
        </w:rPr>
      </w:pPr>
      <w:r w:rsidRPr="00A52D2C">
        <w:rPr>
          <w:rFonts w:eastAsia="Arial" w:cs="Arial"/>
          <w:sz w:val="18"/>
          <w:szCs w:val="18"/>
        </w:rPr>
        <w:t>cathy@theoec.org</w:t>
      </w:r>
    </w:p>
    <w:p w:rsidR="00A52D2C" w:rsidRPr="00A52D2C" w:rsidRDefault="00A52D2C" w:rsidP="00A52D2C">
      <w:pPr>
        <w:spacing w:line="240" w:lineRule="auto"/>
        <w:rPr>
          <w:rFonts w:eastAsia="Arial" w:cs="Arial"/>
          <w:sz w:val="18"/>
          <w:szCs w:val="18"/>
        </w:rPr>
      </w:pPr>
      <w:r w:rsidRPr="00A52D2C">
        <w:rPr>
          <w:rFonts w:eastAsia="Arial" w:cs="Arial"/>
          <w:sz w:val="18"/>
          <w:szCs w:val="18"/>
        </w:rPr>
        <w:t>williams.toddm@gmail.com</w:t>
      </w:r>
    </w:p>
    <w:p w:rsidR="00A52D2C" w:rsidRPr="00A52D2C" w:rsidRDefault="00A52D2C" w:rsidP="00A52D2C">
      <w:pPr>
        <w:spacing w:line="240" w:lineRule="auto"/>
        <w:rPr>
          <w:rFonts w:eastAsia="Arial" w:cs="Arial"/>
          <w:sz w:val="18"/>
          <w:szCs w:val="18"/>
        </w:rPr>
      </w:pPr>
      <w:r w:rsidRPr="00A52D2C">
        <w:rPr>
          <w:rFonts w:eastAsia="Arial" w:cs="Arial"/>
          <w:sz w:val="18"/>
          <w:szCs w:val="18"/>
        </w:rPr>
        <w:t>ejacobs@ablelaw.org</w:t>
      </w:r>
    </w:p>
    <w:p w:rsidR="00A52D2C" w:rsidRPr="00A52D2C" w:rsidRDefault="00A52D2C" w:rsidP="00A52D2C">
      <w:pPr>
        <w:spacing w:line="240" w:lineRule="auto"/>
        <w:rPr>
          <w:rFonts w:eastAsia="Arial" w:cs="Arial"/>
          <w:sz w:val="18"/>
          <w:szCs w:val="18"/>
        </w:rPr>
      </w:pPr>
      <w:r w:rsidRPr="00A52D2C">
        <w:rPr>
          <w:rFonts w:eastAsia="Arial" w:cs="Arial"/>
          <w:sz w:val="18"/>
          <w:szCs w:val="18"/>
        </w:rPr>
        <w:t>mhpetricoff@vorys.com</w:t>
      </w:r>
    </w:p>
    <w:p w:rsidR="00A52D2C" w:rsidRPr="00A52D2C" w:rsidRDefault="00A52D2C" w:rsidP="00A52D2C">
      <w:pPr>
        <w:spacing w:line="240" w:lineRule="auto"/>
        <w:rPr>
          <w:rFonts w:eastAsia="Arial" w:cs="Arial"/>
          <w:sz w:val="18"/>
          <w:szCs w:val="18"/>
        </w:rPr>
      </w:pPr>
      <w:r w:rsidRPr="00A52D2C">
        <w:rPr>
          <w:rFonts w:eastAsia="Arial" w:cs="Arial"/>
          <w:sz w:val="18"/>
          <w:szCs w:val="18"/>
        </w:rPr>
        <w:t>smhoward@vorys.com</w:t>
      </w:r>
    </w:p>
    <w:p w:rsidR="00A52D2C" w:rsidRPr="00A52D2C" w:rsidRDefault="00A52D2C" w:rsidP="00A52D2C">
      <w:pPr>
        <w:spacing w:line="240" w:lineRule="auto"/>
        <w:rPr>
          <w:rFonts w:eastAsia="Arial" w:cs="Arial"/>
          <w:sz w:val="18"/>
          <w:szCs w:val="18"/>
        </w:rPr>
      </w:pPr>
      <w:r w:rsidRPr="00A52D2C">
        <w:rPr>
          <w:rFonts w:eastAsia="Arial" w:cs="Arial"/>
          <w:sz w:val="18"/>
          <w:szCs w:val="18"/>
        </w:rPr>
        <w:t>david.fein@constellation.com</w:t>
      </w:r>
    </w:p>
    <w:p w:rsidR="00A52D2C" w:rsidRPr="00A52D2C" w:rsidRDefault="00A52D2C" w:rsidP="00A52D2C">
      <w:pPr>
        <w:spacing w:line="240" w:lineRule="auto"/>
        <w:rPr>
          <w:rFonts w:eastAsia="Arial" w:cs="Arial"/>
          <w:sz w:val="18"/>
          <w:szCs w:val="18"/>
        </w:rPr>
      </w:pPr>
      <w:r w:rsidRPr="00A52D2C">
        <w:rPr>
          <w:rFonts w:eastAsia="Arial" w:cs="Arial"/>
          <w:sz w:val="18"/>
          <w:szCs w:val="18"/>
        </w:rPr>
        <w:t>cynthia.a.fonner@constellation.com</w:t>
      </w:r>
    </w:p>
    <w:p w:rsidR="00A52D2C" w:rsidRPr="00A52D2C" w:rsidRDefault="00A52D2C" w:rsidP="00A52D2C">
      <w:pPr>
        <w:spacing w:line="240" w:lineRule="auto"/>
        <w:rPr>
          <w:rFonts w:eastAsia="Arial" w:cs="Arial"/>
          <w:sz w:val="18"/>
          <w:szCs w:val="18"/>
        </w:rPr>
      </w:pPr>
      <w:r w:rsidRPr="00A52D2C">
        <w:rPr>
          <w:rFonts w:eastAsia="Arial" w:cs="Arial"/>
          <w:sz w:val="18"/>
          <w:szCs w:val="18"/>
        </w:rPr>
        <w:t>Tasha.hamilton@constellation.com</w:t>
      </w:r>
    </w:p>
    <w:p w:rsidR="00A52D2C" w:rsidRPr="00A52D2C" w:rsidRDefault="00A52D2C" w:rsidP="00A52D2C">
      <w:pPr>
        <w:spacing w:line="240" w:lineRule="auto"/>
        <w:rPr>
          <w:rFonts w:eastAsia="Arial" w:cs="Arial"/>
          <w:sz w:val="18"/>
          <w:szCs w:val="18"/>
        </w:rPr>
      </w:pPr>
      <w:r w:rsidRPr="00A52D2C">
        <w:rPr>
          <w:rFonts w:eastAsia="Arial" w:cs="Arial"/>
          <w:sz w:val="18"/>
          <w:szCs w:val="18"/>
        </w:rPr>
        <w:t>myurick@taftlaw.com</w:t>
      </w:r>
    </w:p>
    <w:p w:rsidR="00A52D2C" w:rsidRPr="00A52D2C" w:rsidRDefault="00A52D2C" w:rsidP="00A52D2C">
      <w:pPr>
        <w:spacing w:line="240" w:lineRule="auto"/>
        <w:rPr>
          <w:rFonts w:eastAsia="Arial" w:cs="Arial"/>
          <w:sz w:val="18"/>
          <w:szCs w:val="18"/>
        </w:rPr>
      </w:pPr>
      <w:r w:rsidRPr="00A52D2C">
        <w:rPr>
          <w:rFonts w:eastAsia="Arial" w:cs="Arial"/>
          <w:sz w:val="18"/>
          <w:szCs w:val="18"/>
        </w:rPr>
        <w:t>zkravitz@taftlaw.com</w:t>
      </w:r>
    </w:p>
    <w:p w:rsidR="00A52D2C" w:rsidRPr="00A52D2C" w:rsidRDefault="00A52D2C" w:rsidP="00A52D2C">
      <w:pPr>
        <w:spacing w:line="240" w:lineRule="auto"/>
        <w:rPr>
          <w:rFonts w:eastAsia="Arial" w:cs="Arial"/>
          <w:sz w:val="18"/>
          <w:szCs w:val="18"/>
        </w:rPr>
      </w:pPr>
      <w:r w:rsidRPr="00A52D2C">
        <w:rPr>
          <w:rFonts w:eastAsia="Arial" w:cs="Arial"/>
          <w:sz w:val="18"/>
          <w:szCs w:val="18"/>
        </w:rPr>
        <w:t>mhpetricoff@vorys.com</w:t>
      </w:r>
    </w:p>
    <w:p w:rsidR="00A52D2C" w:rsidRPr="00A52D2C" w:rsidRDefault="00A52D2C" w:rsidP="00A52D2C">
      <w:pPr>
        <w:spacing w:line="240" w:lineRule="auto"/>
        <w:rPr>
          <w:rFonts w:eastAsia="Arial" w:cs="Arial"/>
          <w:sz w:val="18"/>
          <w:szCs w:val="18"/>
        </w:rPr>
      </w:pPr>
      <w:r w:rsidRPr="00A52D2C">
        <w:rPr>
          <w:rFonts w:eastAsia="Arial" w:cs="Arial"/>
          <w:sz w:val="18"/>
          <w:szCs w:val="18"/>
        </w:rPr>
        <w:t>smhoward@vorys.com</w:t>
      </w:r>
    </w:p>
    <w:p w:rsidR="00A52D2C" w:rsidRPr="00A52D2C" w:rsidRDefault="00A52D2C" w:rsidP="00A52D2C">
      <w:pPr>
        <w:spacing w:line="240" w:lineRule="auto"/>
        <w:rPr>
          <w:rFonts w:eastAsia="Arial" w:cs="Arial"/>
          <w:sz w:val="18"/>
          <w:szCs w:val="18"/>
        </w:rPr>
      </w:pPr>
      <w:r w:rsidRPr="00A52D2C">
        <w:rPr>
          <w:rFonts w:eastAsia="Arial" w:cs="Arial"/>
          <w:sz w:val="18"/>
          <w:szCs w:val="18"/>
        </w:rPr>
        <w:t>Tony_Long@ham.honda.com</w:t>
      </w:r>
    </w:p>
    <w:p w:rsidR="00A52D2C" w:rsidRDefault="00F47474" w:rsidP="00A52D2C">
      <w:pPr>
        <w:spacing w:line="240" w:lineRule="auto"/>
        <w:rPr>
          <w:rFonts w:eastAsia="Arial" w:cs="Times New Roman"/>
          <w:sz w:val="18"/>
          <w:szCs w:val="18"/>
        </w:rPr>
      </w:pPr>
      <w:hyperlink r:id="rId24" w:history="1">
        <w:r w:rsidR="00A52D2C" w:rsidRPr="00A52D2C">
          <w:rPr>
            <w:rFonts w:eastAsia="Arial" w:cs="Times New Roman"/>
            <w:sz w:val="18"/>
            <w:szCs w:val="18"/>
          </w:rPr>
          <w:t>Stephen.bennett@exeloncorp.com</w:t>
        </w:r>
      </w:hyperlink>
    </w:p>
    <w:p w:rsidR="00A52D2C" w:rsidRPr="00A52D2C" w:rsidRDefault="00A52D2C" w:rsidP="00A52D2C">
      <w:pPr>
        <w:spacing w:line="240" w:lineRule="auto"/>
        <w:rPr>
          <w:rFonts w:eastAsia="Arial" w:cs="Times New Roman"/>
          <w:sz w:val="18"/>
          <w:szCs w:val="18"/>
        </w:rPr>
      </w:pPr>
      <w:r w:rsidRPr="00A52D2C">
        <w:rPr>
          <w:rFonts w:eastAsia="Arial" w:cs="Times New Roman"/>
          <w:sz w:val="18"/>
          <w:szCs w:val="18"/>
        </w:rPr>
        <w:t>LGearhardt@ofbf.org</w:t>
      </w:r>
    </w:p>
    <w:p w:rsidR="00A52D2C" w:rsidRPr="00A52D2C" w:rsidRDefault="00A52D2C" w:rsidP="00A52D2C">
      <w:pPr>
        <w:tabs>
          <w:tab w:val="left" w:pos="-1440"/>
          <w:tab w:val="left" w:pos="-720"/>
          <w:tab w:val="left" w:pos="5040"/>
          <w:tab w:val="center" w:pos="7200"/>
        </w:tabs>
        <w:spacing w:line="240" w:lineRule="auto"/>
        <w:rPr>
          <w:rFonts w:eastAsia="Arial" w:cs="Arial"/>
          <w:sz w:val="18"/>
          <w:szCs w:val="18"/>
        </w:rPr>
      </w:pPr>
      <w:r w:rsidRPr="00A52D2C">
        <w:rPr>
          <w:rFonts w:eastAsia="Arial" w:cs="Arial"/>
          <w:sz w:val="18"/>
          <w:szCs w:val="18"/>
        </w:rPr>
        <w:t>dconway@porterwright.com</w:t>
      </w:r>
    </w:p>
    <w:p w:rsidR="00EB27F2" w:rsidRDefault="00EB27F2" w:rsidP="00A52D2C">
      <w:pPr>
        <w:tabs>
          <w:tab w:val="left" w:pos="-1440"/>
          <w:tab w:val="left" w:pos="-720"/>
          <w:tab w:val="left" w:pos="5040"/>
          <w:tab w:val="center" w:pos="7200"/>
        </w:tabs>
        <w:spacing w:line="240" w:lineRule="auto"/>
        <w:rPr>
          <w:rFonts w:eastAsia="Arial" w:cs="Arial"/>
          <w:sz w:val="18"/>
          <w:szCs w:val="18"/>
        </w:rPr>
      </w:pPr>
    </w:p>
    <w:p w:rsidR="00EB27F2" w:rsidRDefault="00EB27F2" w:rsidP="00A52D2C">
      <w:pPr>
        <w:tabs>
          <w:tab w:val="left" w:pos="-1440"/>
          <w:tab w:val="left" w:pos="-720"/>
          <w:tab w:val="left" w:pos="5040"/>
          <w:tab w:val="center" w:pos="7200"/>
        </w:tabs>
        <w:spacing w:line="240" w:lineRule="auto"/>
        <w:rPr>
          <w:rFonts w:eastAsia="Arial" w:cs="Arial"/>
          <w:sz w:val="18"/>
          <w:szCs w:val="18"/>
        </w:rPr>
      </w:pPr>
    </w:p>
    <w:p w:rsidR="00A52D2C" w:rsidRPr="00A52D2C" w:rsidRDefault="00A52D2C" w:rsidP="00A52D2C">
      <w:pPr>
        <w:tabs>
          <w:tab w:val="left" w:pos="-1440"/>
          <w:tab w:val="left" w:pos="-720"/>
          <w:tab w:val="left" w:pos="5040"/>
          <w:tab w:val="center" w:pos="7200"/>
        </w:tabs>
        <w:spacing w:line="240" w:lineRule="auto"/>
        <w:rPr>
          <w:rFonts w:eastAsia="Arial" w:cs="Arial"/>
          <w:sz w:val="18"/>
          <w:szCs w:val="18"/>
        </w:rPr>
      </w:pPr>
      <w:r w:rsidRPr="00A52D2C">
        <w:rPr>
          <w:rFonts w:eastAsia="Arial" w:cs="Arial"/>
          <w:sz w:val="18"/>
          <w:szCs w:val="18"/>
        </w:rPr>
        <w:t>aemerson@porterwright.com</w:t>
      </w:r>
    </w:p>
    <w:p w:rsidR="00A52D2C" w:rsidRPr="00A52D2C" w:rsidRDefault="00A52D2C" w:rsidP="00A52D2C">
      <w:pPr>
        <w:spacing w:line="240" w:lineRule="auto"/>
        <w:rPr>
          <w:rFonts w:eastAsia="Arial" w:cs="Arial"/>
          <w:sz w:val="18"/>
          <w:szCs w:val="18"/>
        </w:rPr>
      </w:pPr>
      <w:r w:rsidRPr="00A52D2C">
        <w:rPr>
          <w:rFonts w:eastAsia="Arial" w:cs="Arial"/>
          <w:sz w:val="18"/>
          <w:szCs w:val="18"/>
        </w:rPr>
        <w:t>haydenm@firstenergycorp.com</w:t>
      </w:r>
    </w:p>
    <w:p w:rsidR="00A52D2C" w:rsidRPr="00A52D2C" w:rsidRDefault="00A52D2C" w:rsidP="00A52D2C">
      <w:pPr>
        <w:spacing w:line="240" w:lineRule="auto"/>
        <w:rPr>
          <w:rFonts w:eastAsia="Arial" w:cs="Arial"/>
          <w:sz w:val="18"/>
          <w:szCs w:val="18"/>
        </w:rPr>
      </w:pPr>
      <w:r w:rsidRPr="00A52D2C">
        <w:rPr>
          <w:rFonts w:eastAsia="Arial" w:cs="Arial"/>
          <w:sz w:val="18"/>
          <w:szCs w:val="18"/>
        </w:rPr>
        <w:t>coneil@calfee.com</w:t>
      </w:r>
    </w:p>
    <w:p w:rsidR="00A52D2C" w:rsidRPr="00A52D2C" w:rsidRDefault="00A52D2C" w:rsidP="00A52D2C">
      <w:pPr>
        <w:spacing w:line="240" w:lineRule="auto"/>
        <w:rPr>
          <w:rFonts w:eastAsia="Arial" w:cs="Arial"/>
          <w:sz w:val="18"/>
          <w:szCs w:val="18"/>
        </w:rPr>
      </w:pPr>
      <w:r w:rsidRPr="00A52D2C">
        <w:rPr>
          <w:rFonts w:eastAsia="Arial" w:cs="Arial"/>
          <w:sz w:val="18"/>
          <w:szCs w:val="18"/>
        </w:rPr>
        <w:t>shannon@calfee.com</w:t>
      </w:r>
    </w:p>
    <w:p w:rsidR="00A52D2C" w:rsidRPr="00A52D2C" w:rsidRDefault="00A52D2C" w:rsidP="00A52D2C">
      <w:pPr>
        <w:spacing w:line="240" w:lineRule="auto"/>
        <w:rPr>
          <w:rFonts w:eastAsia="Arial" w:cs="Arial"/>
          <w:sz w:val="18"/>
          <w:szCs w:val="18"/>
        </w:rPr>
      </w:pPr>
      <w:r w:rsidRPr="00A52D2C">
        <w:rPr>
          <w:rFonts w:eastAsia="Arial" w:cs="Arial"/>
          <w:sz w:val="18"/>
          <w:szCs w:val="18"/>
        </w:rPr>
        <w:t>jlang@calfee.com</w:t>
      </w:r>
    </w:p>
    <w:p w:rsidR="00A52D2C" w:rsidRPr="00A52D2C" w:rsidRDefault="00A52D2C" w:rsidP="00A52D2C">
      <w:pPr>
        <w:spacing w:line="240" w:lineRule="auto"/>
        <w:rPr>
          <w:rFonts w:eastAsia="Arial" w:cs="Arial"/>
          <w:sz w:val="18"/>
          <w:szCs w:val="18"/>
        </w:rPr>
      </w:pPr>
      <w:r w:rsidRPr="00A52D2C">
        <w:rPr>
          <w:rFonts w:eastAsia="Arial" w:cs="Arial"/>
          <w:sz w:val="18"/>
          <w:szCs w:val="18"/>
        </w:rPr>
        <w:t>lmcbride@calfee.com</w:t>
      </w:r>
    </w:p>
    <w:p w:rsidR="00A52D2C" w:rsidRPr="00A52D2C" w:rsidRDefault="00A52D2C" w:rsidP="00A52D2C">
      <w:pPr>
        <w:spacing w:line="240" w:lineRule="auto"/>
        <w:rPr>
          <w:rFonts w:eastAsia="Arial" w:cs="Arial"/>
          <w:sz w:val="18"/>
          <w:szCs w:val="18"/>
        </w:rPr>
      </w:pPr>
      <w:r w:rsidRPr="00A52D2C">
        <w:rPr>
          <w:rFonts w:eastAsia="Arial" w:cs="Arial"/>
          <w:sz w:val="18"/>
          <w:szCs w:val="18"/>
        </w:rPr>
        <w:t>talexander@calfee.com</w:t>
      </w:r>
    </w:p>
    <w:p w:rsidR="00A52D2C" w:rsidRPr="00A52D2C" w:rsidRDefault="00A52D2C" w:rsidP="00A52D2C">
      <w:pPr>
        <w:spacing w:line="240" w:lineRule="auto"/>
        <w:rPr>
          <w:rFonts w:eastAsia="Arial" w:cs="Arial"/>
          <w:sz w:val="18"/>
          <w:szCs w:val="18"/>
        </w:rPr>
      </w:pPr>
      <w:r w:rsidRPr="00A52D2C">
        <w:rPr>
          <w:rFonts w:eastAsia="Arial" w:cs="Arial"/>
          <w:sz w:val="18"/>
          <w:szCs w:val="18"/>
        </w:rPr>
        <w:t>dakutik@jonesday.com</w:t>
      </w:r>
    </w:p>
    <w:p w:rsidR="00A52D2C" w:rsidRPr="00A52D2C" w:rsidRDefault="00A52D2C" w:rsidP="00A52D2C">
      <w:pPr>
        <w:spacing w:line="240" w:lineRule="auto"/>
        <w:rPr>
          <w:rFonts w:eastAsia="Arial" w:cs="Arial"/>
          <w:sz w:val="18"/>
          <w:szCs w:val="18"/>
        </w:rPr>
      </w:pPr>
      <w:r w:rsidRPr="00A52D2C">
        <w:rPr>
          <w:rFonts w:eastAsia="Arial" w:cs="Arial"/>
          <w:sz w:val="18"/>
          <w:szCs w:val="18"/>
        </w:rPr>
        <w:t>aehaedt@jonesday.com</w:t>
      </w:r>
    </w:p>
    <w:p w:rsidR="00A52D2C" w:rsidRPr="00A52D2C" w:rsidRDefault="00A52D2C" w:rsidP="00A52D2C">
      <w:pPr>
        <w:tabs>
          <w:tab w:val="left" w:pos="2160"/>
          <w:tab w:val="left" w:pos="2280"/>
        </w:tabs>
        <w:spacing w:line="240" w:lineRule="auto"/>
        <w:rPr>
          <w:rFonts w:eastAsia="Arial" w:cs="Arial"/>
          <w:sz w:val="18"/>
          <w:szCs w:val="18"/>
        </w:rPr>
      </w:pPr>
      <w:r w:rsidRPr="00A52D2C">
        <w:rPr>
          <w:rFonts w:eastAsia="Arial" w:cs="Arial"/>
          <w:sz w:val="18"/>
          <w:szCs w:val="18"/>
        </w:rPr>
        <w:t>jejadwin@aep.com</w:t>
      </w:r>
    </w:p>
    <w:p w:rsidR="00A52D2C" w:rsidRPr="00A52D2C" w:rsidRDefault="00A52D2C" w:rsidP="00A52D2C">
      <w:pPr>
        <w:spacing w:line="240" w:lineRule="auto"/>
        <w:rPr>
          <w:rFonts w:eastAsia="Arial" w:cs="Arial"/>
          <w:sz w:val="18"/>
          <w:szCs w:val="18"/>
        </w:rPr>
      </w:pPr>
      <w:r w:rsidRPr="00A52D2C">
        <w:rPr>
          <w:rFonts w:eastAsia="Arial" w:cs="Arial"/>
          <w:sz w:val="18"/>
          <w:szCs w:val="18"/>
        </w:rPr>
        <w:t>Thomas.Melone@AllcoUS.com</w:t>
      </w:r>
    </w:p>
    <w:p w:rsidR="00A52D2C" w:rsidRPr="00A52D2C" w:rsidRDefault="00A52D2C" w:rsidP="00A52D2C">
      <w:pPr>
        <w:tabs>
          <w:tab w:val="left" w:pos="2160"/>
          <w:tab w:val="left" w:pos="2280"/>
        </w:tabs>
        <w:spacing w:line="240" w:lineRule="auto"/>
        <w:rPr>
          <w:rFonts w:eastAsia="Arial" w:cs="Arial"/>
          <w:sz w:val="18"/>
          <w:szCs w:val="18"/>
        </w:rPr>
      </w:pPr>
      <w:r w:rsidRPr="00A52D2C">
        <w:rPr>
          <w:rFonts w:eastAsia="Arial" w:cs="Arial"/>
          <w:sz w:val="18"/>
          <w:szCs w:val="18"/>
        </w:rPr>
        <w:t>joseph.clark@directenergy.com</w:t>
      </w:r>
    </w:p>
    <w:p w:rsidR="00A52D2C" w:rsidRPr="00A52D2C" w:rsidRDefault="00A52D2C" w:rsidP="00A52D2C">
      <w:pPr>
        <w:tabs>
          <w:tab w:val="left" w:pos="2160"/>
          <w:tab w:val="left" w:pos="2280"/>
        </w:tabs>
        <w:spacing w:line="240" w:lineRule="auto"/>
        <w:rPr>
          <w:rFonts w:eastAsia="Arial" w:cs="Arial"/>
          <w:sz w:val="18"/>
          <w:szCs w:val="18"/>
        </w:rPr>
      </w:pPr>
      <w:r w:rsidRPr="00A52D2C">
        <w:rPr>
          <w:rFonts w:eastAsia="Arial" w:cs="Arial"/>
          <w:sz w:val="18"/>
          <w:szCs w:val="18"/>
        </w:rPr>
        <w:t>christopher.miller@icemiller.com</w:t>
      </w:r>
    </w:p>
    <w:p w:rsidR="00A52D2C" w:rsidRPr="00A52D2C" w:rsidRDefault="00A52D2C" w:rsidP="00A52D2C">
      <w:pPr>
        <w:tabs>
          <w:tab w:val="left" w:pos="2160"/>
          <w:tab w:val="left" w:pos="2280"/>
        </w:tabs>
        <w:spacing w:line="240" w:lineRule="auto"/>
        <w:rPr>
          <w:rFonts w:eastAsia="Arial" w:cs="Arial"/>
          <w:sz w:val="18"/>
          <w:szCs w:val="18"/>
        </w:rPr>
      </w:pPr>
      <w:r w:rsidRPr="00A52D2C">
        <w:rPr>
          <w:rFonts w:eastAsia="Arial" w:cs="Arial"/>
          <w:sz w:val="18"/>
          <w:szCs w:val="18"/>
        </w:rPr>
        <w:t>gregory.dunn@icemiller.com</w:t>
      </w:r>
    </w:p>
    <w:p w:rsidR="00A52D2C" w:rsidRPr="00A52D2C" w:rsidRDefault="00A52D2C" w:rsidP="00A52D2C">
      <w:pPr>
        <w:tabs>
          <w:tab w:val="left" w:pos="2160"/>
          <w:tab w:val="left" w:pos="2280"/>
        </w:tabs>
        <w:spacing w:line="240" w:lineRule="auto"/>
        <w:rPr>
          <w:rFonts w:eastAsia="Arial" w:cs="Arial"/>
          <w:sz w:val="18"/>
          <w:szCs w:val="18"/>
        </w:rPr>
      </w:pPr>
      <w:r w:rsidRPr="00A52D2C">
        <w:rPr>
          <w:rFonts w:eastAsia="Arial" w:cs="Arial"/>
          <w:sz w:val="18"/>
          <w:szCs w:val="18"/>
        </w:rPr>
        <w:t>alan.starkoff@icemiller.com</w:t>
      </w:r>
    </w:p>
    <w:p w:rsidR="00A52D2C" w:rsidRPr="00A52D2C" w:rsidRDefault="00A52D2C" w:rsidP="00A52D2C">
      <w:pPr>
        <w:tabs>
          <w:tab w:val="left" w:pos="2160"/>
          <w:tab w:val="left" w:pos="2280"/>
        </w:tabs>
        <w:spacing w:line="240" w:lineRule="auto"/>
        <w:rPr>
          <w:rFonts w:eastAsia="Arial" w:cs="Arial"/>
          <w:sz w:val="18"/>
          <w:szCs w:val="18"/>
        </w:rPr>
      </w:pPr>
      <w:r w:rsidRPr="00A52D2C">
        <w:rPr>
          <w:rFonts w:eastAsia="Arial" w:cs="Arial"/>
          <w:sz w:val="18"/>
          <w:szCs w:val="18"/>
        </w:rPr>
        <w:t>ssolberg@EimerStahl.com</w:t>
      </w:r>
    </w:p>
    <w:p w:rsidR="00A52D2C" w:rsidRPr="00A52D2C" w:rsidRDefault="00A52D2C" w:rsidP="00A52D2C">
      <w:pPr>
        <w:tabs>
          <w:tab w:val="left" w:pos="2160"/>
          <w:tab w:val="left" w:pos="2280"/>
        </w:tabs>
        <w:spacing w:line="240" w:lineRule="auto"/>
        <w:rPr>
          <w:rFonts w:eastAsia="Arial" w:cs="Arial"/>
          <w:sz w:val="18"/>
          <w:szCs w:val="18"/>
        </w:rPr>
      </w:pPr>
      <w:r w:rsidRPr="00A52D2C">
        <w:rPr>
          <w:rFonts w:eastAsia="Arial" w:cs="Arial"/>
          <w:sz w:val="18"/>
          <w:szCs w:val="18"/>
        </w:rPr>
        <w:t>stephanie.Chmiel@ThompsonHine.com</w:t>
      </w:r>
    </w:p>
    <w:p w:rsidR="00A52D2C" w:rsidRPr="00A52D2C" w:rsidRDefault="00A52D2C" w:rsidP="00A52D2C">
      <w:pPr>
        <w:tabs>
          <w:tab w:val="left" w:pos="2160"/>
          <w:tab w:val="left" w:pos="2280"/>
        </w:tabs>
        <w:spacing w:line="240" w:lineRule="auto"/>
        <w:rPr>
          <w:rFonts w:eastAsia="Arial" w:cs="Arial"/>
          <w:sz w:val="18"/>
          <w:szCs w:val="18"/>
          <w:u w:val="single"/>
        </w:rPr>
      </w:pPr>
      <w:r w:rsidRPr="00A52D2C">
        <w:rPr>
          <w:rFonts w:eastAsia="Arial" w:cs="Arial"/>
          <w:sz w:val="18"/>
          <w:szCs w:val="18"/>
        </w:rPr>
        <w:t>michael.Dillard@ThompsonHine.com</w:t>
      </w:r>
    </w:p>
    <w:p w:rsidR="00A52D2C" w:rsidRPr="00A52D2C" w:rsidRDefault="00A52D2C" w:rsidP="00A52D2C">
      <w:pPr>
        <w:tabs>
          <w:tab w:val="left" w:pos="2160"/>
          <w:tab w:val="left" w:pos="2280"/>
        </w:tabs>
        <w:spacing w:line="240" w:lineRule="auto"/>
        <w:rPr>
          <w:rFonts w:eastAsia="Arial" w:cs="Arial"/>
          <w:sz w:val="18"/>
          <w:szCs w:val="18"/>
        </w:rPr>
      </w:pPr>
      <w:r w:rsidRPr="00A52D2C">
        <w:rPr>
          <w:rFonts w:eastAsia="Arial" w:cs="Arial"/>
          <w:sz w:val="18"/>
          <w:szCs w:val="18"/>
        </w:rPr>
        <w:t>philip.sineneng@ThompsonHine.com</w:t>
      </w:r>
    </w:p>
    <w:p w:rsidR="00A52D2C" w:rsidRPr="00A52D2C" w:rsidRDefault="00A52D2C" w:rsidP="00A52D2C">
      <w:pPr>
        <w:tabs>
          <w:tab w:val="left" w:pos="2160"/>
          <w:tab w:val="left" w:pos="2280"/>
        </w:tabs>
        <w:spacing w:line="240" w:lineRule="auto"/>
        <w:rPr>
          <w:rFonts w:eastAsia="Arial" w:cs="Arial"/>
          <w:sz w:val="18"/>
          <w:szCs w:val="18"/>
        </w:rPr>
      </w:pPr>
      <w:r w:rsidRPr="00A52D2C">
        <w:rPr>
          <w:rFonts w:eastAsia="Arial" w:cs="Arial"/>
          <w:sz w:val="18"/>
          <w:szCs w:val="18"/>
        </w:rPr>
        <w:t>mjsatterwhite@aep.com</w:t>
      </w:r>
    </w:p>
    <w:p w:rsidR="00A52D2C" w:rsidRPr="00A52D2C" w:rsidRDefault="00A52D2C" w:rsidP="00A52D2C">
      <w:pPr>
        <w:tabs>
          <w:tab w:val="left" w:pos="2160"/>
          <w:tab w:val="left" w:pos="2280"/>
        </w:tabs>
        <w:spacing w:line="240" w:lineRule="auto"/>
        <w:rPr>
          <w:rFonts w:eastAsia="Arial" w:cs="Arial"/>
          <w:sz w:val="18"/>
          <w:szCs w:val="18"/>
        </w:rPr>
      </w:pPr>
      <w:r w:rsidRPr="00A52D2C">
        <w:rPr>
          <w:rFonts w:eastAsia="Arial" w:cs="Arial"/>
          <w:sz w:val="18"/>
          <w:szCs w:val="18"/>
        </w:rPr>
        <w:t>stnourse@aep.com</w:t>
      </w:r>
    </w:p>
    <w:p w:rsidR="00A52D2C" w:rsidRPr="00A52D2C" w:rsidRDefault="00A52D2C" w:rsidP="00A52D2C">
      <w:pPr>
        <w:tabs>
          <w:tab w:val="left" w:pos="2160"/>
          <w:tab w:val="left" w:pos="2280"/>
        </w:tabs>
        <w:spacing w:line="240" w:lineRule="auto"/>
        <w:rPr>
          <w:rFonts w:eastAsia="Arial" w:cs="Arial"/>
          <w:sz w:val="18"/>
          <w:szCs w:val="18"/>
        </w:rPr>
      </w:pPr>
      <w:r w:rsidRPr="00A52D2C">
        <w:rPr>
          <w:rFonts w:eastAsia="Arial" w:cs="Arial"/>
          <w:sz w:val="18"/>
          <w:szCs w:val="18"/>
        </w:rPr>
        <w:t>bojko@carpenterlipps.com</w:t>
      </w:r>
    </w:p>
    <w:p w:rsidR="00A52D2C" w:rsidRPr="00A52D2C" w:rsidRDefault="00A52D2C" w:rsidP="00A52D2C">
      <w:pPr>
        <w:tabs>
          <w:tab w:val="left" w:pos="2160"/>
          <w:tab w:val="left" w:pos="2280"/>
        </w:tabs>
        <w:spacing w:line="240" w:lineRule="auto"/>
        <w:rPr>
          <w:rFonts w:eastAsia="Arial" w:cs="Arial"/>
          <w:sz w:val="18"/>
          <w:szCs w:val="18"/>
        </w:rPr>
      </w:pPr>
      <w:r w:rsidRPr="00A52D2C">
        <w:rPr>
          <w:rFonts w:eastAsia="Arial" w:cs="Arial"/>
          <w:sz w:val="18"/>
          <w:szCs w:val="18"/>
        </w:rPr>
        <w:t>sechler@carpenterlipps.com</w:t>
      </w:r>
    </w:p>
    <w:p w:rsidR="00A52D2C" w:rsidRPr="007F728E" w:rsidRDefault="00A52D2C" w:rsidP="00A52D2C">
      <w:pPr>
        <w:tabs>
          <w:tab w:val="left" w:pos="2160"/>
          <w:tab w:val="left" w:pos="2280"/>
        </w:tabs>
        <w:spacing w:line="240" w:lineRule="auto"/>
        <w:rPr>
          <w:rFonts w:eastAsia="Arial" w:cs="Arial"/>
          <w:sz w:val="18"/>
          <w:szCs w:val="18"/>
          <w:u w:val="single"/>
        </w:rPr>
      </w:pPr>
      <w:r w:rsidRPr="00A52D2C">
        <w:rPr>
          <w:rFonts w:eastAsia="Arial" w:cs="Arial"/>
          <w:sz w:val="18"/>
          <w:szCs w:val="18"/>
        </w:rPr>
        <w:t>matt@matthewcoxlaw.com</w:t>
      </w:r>
    </w:p>
    <w:p w:rsidR="00A52D2C" w:rsidRPr="00A52D2C" w:rsidRDefault="00A52D2C" w:rsidP="00A52D2C">
      <w:pPr>
        <w:tabs>
          <w:tab w:val="left" w:pos="2160"/>
          <w:tab w:val="left" w:pos="2280"/>
        </w:tabs>
        <w:spacing w:line="240" w:lineRule="auto"/>
        <w:rPr>
          <w:rFonts w:eastAsia="Arial" w:cs="Arial"/>
          <w:sz w:val="18"/>
          <w:szCs w:val="18"/>
        </w:rPr>
      </w:pPr>
      <w:r w:rsidRPr="00A52D2C">
        <w:rPr>
          <w:rFonts w:eastAsia="Arial" w:cs="Arial"/>
          <w:sz w:val="18"/>
          <w:szCs w:val="18"/>
        </w:rPr>
        <w:t>gpoulos@enernoc.com</w:t>
      </w:r>
    </w:p>
    <w:p w:rsidR="00A52D2C" w:rsidRPr="00A52D2C" w:rsidRDefault="00A52D2C" w:rsidP="00A52D2C">
      <w:pPr>
        <w:spacing w:line="240" w:lineRule="auto"/>
        <w:rPr>
          <w:rFonts w:eastAsia="Times New Roman" w:cs="Arial"/>
          <w:sz w:val="18"/>
          <w:szCs w:val="18"/>
        </w:rPr>
      </w:pPr>
      <w:r w:rsidRPr="00A52D2C">
        <w:rPr>
          <w:rFonts w:eastAsia="Times New Roman" w:cs="Arial"/>
          <w:sz w:val="18"/>
          <w:szCs w:val="18"/>
        </w:rPr>
        <w:t>william.wright@puc.state.oh.us</w:t>
      </w:r>
    </w:p>
    <w:p w:rsidR="00A52D2C" w:rsidRPr="00A52D2C" w:rsidRDefault="00A52D2C" w:rsidP="00A52D2C">
      <w:pPr>
        <w:spacing w:line="240" w:lineRule="auto"/>
        <w:rPr>
          <w:rFonts w:eastAsia="Times New Roman" w:cs="Arial"/>
          <w:sz w:val="18"/>
          <w:szCs w:val="18"/>
        </w:rPr>
      </w:pPr>
      <w:r w:rsidRPr="00A52D2C">
        <w:rPr>
          <w:rFonts w:eastAsia="Times New Roman" w:cs="Arial"/>
          <w:sz w:val="18"/>
          <w:szCs w:val="18"/>
        </w:rPr>
        <w:t>thomas.lindgren@puc.state.oh.us</w:t>
      </w:r>
    </w:p>
    <w:p w:rsidR="00A52D2C" w:rsidRPr="00A52D2C" w:rsidRDefault="00A52D2C" w:rsidP="00A52D2C">
      <w:pPr>
        <w:spacing w:line="240" w:lineRule="auto"/>
        <w:rPr>
          <w:rFonts w:eastAsia="Times New Roman" w:cs="Arial"/>
          <w:sz w:val="18"/>
          <w:szCs w:val="18"/>
        </w:rPr>
      </w:pPr>
      <w:r w:rsidRPr="00A52D2C">
        <w:rPr>
          <w:rFonts w:eastAsia="Times New Roman" w:cs="Arial"/>
          <w:sz w:val="18"/>
          <w:szCs w:val="18"/>
        </w:rPr>
        <w:t>thomas.mcnamee@puc.state.oh.us</w:t>
      </w:r>
    </w:p>
    <w:p w:rsidR="00A52D2C" w:rsidRPr="00A52D2C" w:rsidRDefault="00A52D2C" w:rsidP="00A52D2C">
      <w:pPr>
        <w:spacing w:line="240" w:lineRule="auto"/>
        <w:rPr>
          <w:rFonts w:eastAsia="Times New Roman" w:cs="Arial"/>
          <w:sz w:val="18"/>
          <w:szCs w:val="18"/>
        </w:rPr>
      </w:pPr>
      <w:r w:rsidRPr="00A52D2C">
        <w:rPr>
          <w:rFonts w:eastAsia="Times New Roman" w:cs="Arial"/>
          <w:sz w:val="18"/>
          <w:szCs w:val="18"/>
        </w:rPr>
        <w:t>steven.beeler@puc.state.oh.us</w:t>
      </w:r>
    </w:p>
    <w:p w:rsidR="00A52D2C" w:rsidRPr="00A52D2C" w:rsidRDefault="00A52D2C" w:rsidP="00A52D2C">
      <w:pPr>
        <w:spacing w:line="240" w:lineRule="auto"/>
        <w:rPr>
          <w:rFonts w:eastAsia="Times New Roman" w:cs="Arial"/>
          <w:sz w:val="18"/>
          <w:szCs w:val="18"/>
        </w:rPr>
      </w:pPr>
      <w:r w:rsidRPr="00A52D2C">
        <w:rPr>
          <w:rFonts w:eastAsia="Times New Roman" w:cs="Arial"/>
          <w:sz w:val="18"/>
          <w:szCs w:val="18"/>
        </w:rPr>
        <w:t>devin.parram@puc.state.oh.us</w:t>
      </w:r>
    </w:p>
    <w:p w:rsidR="00A52D2C" w:rsidRPr="00A52D2C" w:rsidRDefault="00A52D2C" w:rsidP="00A52D2C">
      <w:pPr>
        <w:spacing w:line="240" w:lineRule="auto"/>
        <w:rPr>
          <w:rFonts w:eastAsia="Times New Roman" w:cs="Arial"/>
          <w:sz w:val="18"/>
          <w:szCs w:val="18"/>
        </w:rPr>
      </w:pPr>
      <w:r w:rsidRPr="00A52D2C">
        <w:rPr>
          <w:rFonts w:eastAsia="Times New Roman" w:cs="Arial"/>
          <w:sz w:val="18"/>
          <w:szCs w:val="18"/>
        </w:rPr>
        <w:t>gregory.price@puc.state.oh.us</w:t>
      </w:r>
    </w:p>
    <w:p w:rsidR="00A52D2C" w:rsidRPr="00A52D2C" w:rsidRDefault="00A52D2C" w:rsidP="00A52D2C">
      <w:pPr>
        <w:spacing w:line="240" w:lineRule="auto"/>
        <w:rPr>
          <w:rFonts w:eastAsia="Times New Roman" w:cs="Arial"/>
          <w:sz w:val="18"/>
          <w:szCs w:val="18"/>
        </w:rPr>
      </w:pPr>
      <w:r w:rsidRPr="00A52D2C">
        <w:rPr>
          <w:rFonts w:eastAsia="Times New Roman" w:cs="Arial"/>
          <w:sz w:val="18"/>
          <w:szCs w:val="18"/>
        </w:rPr>
        <w:t>mandy.willey@puc.state.oh.us</w:t>
      </w:r>
    </w:p>
    <w:p w:rsidR="00A52D2C" w:rsidRPr="00A52D2C" w:rsidRDefault="00A52D2C" w:rsidP="00A52D2C">
      <w:pPr>
        <w:spacing w:line="240" w:lineRule="auto"/>
        <w:rPr>
          <w:rFonts w:eastAsia="Times New Roman" w:cs="Arial"/>
        </w:rPr>
      </w:pPr>
      <w:r w:rsidRPr="00A52D2C">
        <w:rPr>
          <w:rFonts w:eastAsia="Times New Roman" w:cs="Arial"/>
          <w:sz w:val="18"/>
          <w:szCs w:val="18"/>
        </w:rPr>
        <w:t>bryce.mckenney@puc.state.oh.us</w:t>
      </w:r>
    </w:p>
    <w:p w:rsidR="00A52D2C" w:rsidRPr="00A52D2C" w:rsidRDefault="00A52D2C" w:rsidP="00A52D2C">
      <w:pPr>
        <w:spacing w:line="240" w:lineRule="auto"/>
        <w:rPr>
          <w:rFonts w:eastAsia="Arial" w:cs="Arial"/>
          <w:sz w:val="18"/>
          <w:szCs w:val="18"/>
        </w:rPr>
      </w:pPr>
      <w:r w:rsidRPr="00A52D2C">
        <w:rPr>
          <w:rFonts w:eastAsia="Arial" w:cs="Arial"/>
          <w:sz w:val="18"/>
          <w:szCs w:val="18"/>
        </w:rPr>
        <w:t>henryeckhart@aol.com</w:t>
      </w:r>
    </w:p>
    <w:p w:rsidR="00A52D2C" w:rsidRPr="00A52D2C" w:rsidRDefault="00A52D2C" w:rsidP="00A52D2C">
      <w:pPr>
        <w:spacing w:line="240" w:lineRule="auto"/>
        <w:rPr>
          <w:rFonts w:eastAsia="Arial" w:cs="Arial"/>
          <w:sz w:val="18"/>
          <w:szCs w:val="18"/>
        </w:rPr>
      </w:pPr>
      <w:r w:rsidRPr="00A52D2C">
        <w:rPr>
          <w:rFonts w:eastAsia="Arial" w:cs="Arial"/>
          <w:sz w:val="18"/>
          <w:szCs w:val="18"/>
        </w:rPr>
        <w:t>Wis29@yahoo.com</w:t>
      </w:r>
    </w:p>
    <w:p w:rsidR="00A52D2C" w:rsidRPr="00A52D2C" w:rsidRDefault="00A52D2C" w:rsidP="00A52D2C">
      <w:pPr>
        <w:spacing w:line="240" w:lineRule="auto"/>
        <w:rPr>
          <w:rFonts w:eastAsia="Arial" w:cs="Arial"/>
          <w:sz w:val="18"/>
          <w:szCs w:val="18"/>
        </w:rPr>
      </w:pPr>
      <w:r w:rsidRPr="00A52D2C">
        <w:rPr>
          <w:rFonts w:eastAsia="Arial" w:cs="Arial"/>
          <w:sz w:val="18"/>
          <w:szCs w:val="18"/>
        </w:rPr>
        <w:t>berger@occ.state.oh.us</w:t>
      </w:r>
    </w:p>
    <w:p w:rsidR="00A52D2C" w:rsidRPr="00A52D2C" w:rsidRDefault="00A52D2C" w:rsidP="00A52D2C">
      <w:pPr>
        <w:spacing w:line="240" w:lineRule="auto"/>
        <w:rPr>
          <w:rFonts w:eastAsia="Arial" w:cs="Arial"/>
          <w:sz w:val="18"/>
          <w:szCs w:val="18"/>
        </w:rPr>
      </w:pPr>
      <w:r w:rsidRPr="00A52D2C">
        <w:rPr>
          <w:rFonts w:eastAsia="Arial" w:cs="Arial"/>
          <w:sz w:val="18"/>
          <w:szCs w:val="18"/>
        </w:rPr>
        <w:t>bill.wells@wpafb.af.mil</w:t>
      </w:r>
    </w:p>
    <w:p w:rsidR="00A52D2C" w:rsidRPr="00A52D2C" w:rsidRDefault="00A52D2C" w:rsidP="00A52D2C">
      <w:pPr>
        <w:spacing w:line="240" w:lineRule="auto"/>
        <w:rPr>
          <w:rFonts w:eastAsia="Arial" w:cs="Arial"/>
          <w:sz w:val="18"/>
          <w:szCs w:val="18"/>
        </w:rPr>
      </w:pPr>
      <w:r w:rsidRPr="00A52D2C">
        <w:rPr>
          <w:rFonts w:eastAsia="Arial" w:cs="Arial"/>
          <w:sz w:val="18"/>
          <w:szCs w:val="18"/>
        </w:rPr>
        <w:t>chris.thompson.2@tyndall.af.mil</w:t>
      </w:r>
    </w:p>
    <w:p w:rsidR="00A52D2C" w:rsidRPr="00A52D2C" w:rsidRDefault="00A52D2C" w:rsidP="00A52D2C">
      <w:pPr>
        <w:spacing w:line="240" w:lineRule="auto"/>
        <w:rPr>
          <w:rFonts w:eastAsia="Arial" w:cs="Times New Roman"/>
          <w:sz w:val="18"/>
          <w:szCs w:val="18"/>
        </w:rPr>
      </w:pPr>
      <w:r w:rsidRPr="00A52D2C">
        <w:rPr>
          <w:rFonts w:eastAsia="Arial" w:cs="Times New Roman"/>
          <w:sz w:val="18"/>
          <w:szCs w:val="18"/>
        </w:rPr>
        <w:t>mchristensen@columbuslaw.org</w:t>
      </w:r>
    </w:p>
    <w:p w:rsidR="00A52D2C" w:rsidRPr="00A52D2C" w:rsidRDefault="00A52D2C" w:rsidP="00A52D2C">
      <w:pPr>
        <w:spacing w:line="240" w:lineRule="auto"/>
        <w:rPr>
          <w:rFonts w:eastAsia="Arial" w:cs="Times New Roman"/>
          <w:sz w:val="18"/>
          <w:szCs w:val="18"/>
        </w:rPr>
      </w:pPr>
      <w:r w:rsidRPr="00A52D2C">
        <w:rPr>
          <w:rFonts w:eastAsia="Arial" w:cs="Times New Roman"/>
          <w:sz w:val="18"/>
          <w:szCs w:val="18"/>
        </w:rPr>
        <w:t>chris.michael@icemiller.com</w:t>
      </w:r>
    </w:p>
    <w:p w:rsidR="00A52D2C" w:rsidRPr="00A52D2C" w:rsidRDefault="00F47474" w:rsidP="00A52D2C">
      <w:pPr>
        <w:spacing w:line="240" w:lineRule="auto"/>
        <w:rPr>
          <w:rFonts w:eastAsia="Arial" w:cs="Times New Roman"/>
          <w:sz w:val="18"/>
          <w:szCs w:val="18"/>
        </w:rPr>
      </w:pPr>
      <w:hyperlink r:id="rId25" w:history="1">
        <w:r w:rsidR="00A52D2C" w:rsidRPr="00A52D2C">
          <w:rPr>
            <w:rFonts w:eastAsia="Arial" w:cs="Times New Roman"/>
            <w:sz w:val="18"/>
            <w:szCs w:val="18"/>
          </w:rPr>
          <w:t>williams@whitt-sturtevant.com</w:t>
        </w:r>
      </w:hyperlink>
    </w:p>
    <w:p w:rsidR="00A52D2C" w:rsidRPr="00A52D2C" w:rsidRDefault="00A52D2C" w:rsidP="00A52D2C">
      <w:pPr>
        <w:spacing w:line="240" w:lineRule="auto"/>
        <w:rPr>
          <w:rFonts w:eastAsia="Arial" w:cs="Times New Roman"/>
          <w:sz w:val="18"/>
          <w:szCs w:val="18"/>
        </w:rPr>
      </w:pPr>
      <w:r w:rsidRPr="00A52D2C">
        <w:rPr>
          <w:rFonts w:eastAsia="Arial" w:cs="Times New Roman"/>
          <w:sz w:val="18"/>
          <w:szCs w:val="18"/>
        </w:rPr>
        <w:t>mohler@carpenterlipps.com</w:t>
      </w:r>
    </w:p>
    <w:p w:rsidR="00A52D2C" w:rsidRPr="00A52D2C" w:rsidRDefault="00A52D2C" w:rsidP="00A52D2C">
      <w:pPr>
        <w:spacing w:line="240" w:lineRule="auto"/>
        <w:rPr>
          <w:rFonts w:eastAsia="Arial" w:cs="Times New Roman"/>
          <w:sz w:val="18"/>
          <w:szCs w:val="18"/>
        </w:rPr>
      </w:pPr>
      <w:r w:rsidRPr="00A52D2C">
        <w:rPr>
          <w:rFonts w:eastAsia="Arial" w:cs="Times New Roman"/>
          <w:sz w:val="18"/>
          <w:szCs w:val="18"/>
        </w:rPr>
        <w:t>stephen.chriss@wal-mart.com</w:t>
      </w:r>
    </w:p>
    <w:p w:rsidR="00AF4AEF" w:rsidRPr="00423BD0" w:rsidRDefault="00AF4AEF" w:rsidP="001C64D9"/>
    <w:sectPr w:rsidR="00AF4AEF" w:rsidRPr="00423BD0" w:rsidSect="007A0DF4">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AEF" w:rsidRDefault="00AF4AEF" w:rsidP="00AF4AEF">
      <w:r>
        <w:separator/>
      </w:r>
    </w:p>
  </w:endnote>
  <w:endnote w:type="continuationSeparator" w:id="0">
    <w:p w:rsidR="00AF4AEF" w:rsidRDefault="00AF4AEF" w:rsidP="00AF4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ED9" w:rsidRDefault="00FD0E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32A" w:rsidRPr="00177844" w:rsidRDefault="00F47474" w:rsidP="006D290A">
    <w:pPr>
      <w:pStyle w:val="Footer"/>
    </w:pPr>
    <w:r w:rsidRPr="00F47474">
      <w:rPr>
        <w:noProof/>
        <w:sz w:val="16"/>
      </w:rPr>
      <w:t>{C43473:4 }</w:t>
    </w:r>
    <w:sdt>
      <w:sdtPr>
        <w:id w:val="-1700011710"/>
        <w:docPartObj>
          <w:docPartGallery w:val="Page Numbers (Bottom of Page)"/>
          <w:docPartUnique/>
        </w:docPartObj>
      </w:sdtPr>
      <w:sdtEndPr>
        <w:rPr>
          <w:noProof/>
        </w:rPr>
      </w:sdtEndPr>
      <w:sdtContent>
        <w:r w:rsidR="006D290A">
          <w:tab/>
        </w:r>
        <w:r w:rsidR="007A632A" w:rsidRPr="00177844">
          <w:fldChar w:fldCharType="begin"/>
        </w:r>
        <w:r w:rsidR="007A632A" w:rsidRPr="00177844">
          <w:instrText xml:space="preserve"> PAGE   \* MERGEFORMAT </w:instrText>
        </w:r>
        <w:r w:rsidR="007A632A" w:rsidRPr="00177844">
          <w:fldChar w:fldCharType="separate"/>
        </w:r>
        <w:r>
          <w:rPr>
            <w:noProof/>
          </w:rPr>
          <w:t>8</w:t>
        </w:r>
        <w:r w:rsidR="007A632A" w:rsidRPr="00177844">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844" w:rsidRPr="00177844" w:rsidRDefault="00F47474">
    <w:pPr>
      <w:pStyle w:val="Footer"/>
    </w:pPr>
    <w:r w:rsidRPr="00F47474">
      <w:rPr>
        <w:noProof/>
        <w:sz w:val="16"/>
      </w:rPr>
      <w:t>{C43473:4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4D9" w:rsidRPr="00EE459A" w:rsidRDefault="00F47474">
    <w:pPr>
      <w:pStyle w:val="Footer"/>
    </w:pPr>
    <w:r w:rsidRPr="00F47474">
      <w:rPr>
        <w:noProof/>
        <w:sz w:val="16"/>
      </w:rPr>
      <w:t>{C43473:4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D2C" w:rsidRDefault="00A52D2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D2C" w:rsidRPr="0080115E" w:rsidRDefault="00F47474">
    <w:pPr>
      <w:pStyle w:val="Footer"/>
    </w:pPr>
    <w:r w:rsidRPr="00F47474">
      <w:rPr>
        <w:noProof/>
        <w:sz w:val="16"/>
      </w:rPr>
      <w:t>{C43473:4 }</w:t>
    </w:r>
    <w:r w:rsidR="00A52D2C">
      <w:rPr>
        <w:noProof/>
        <w:sz w:val="16"/>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D2C" w:rsidRPr="0080115E" w:rsidRDefault="00A52D2C">
    <w:pPr>
      <w:pStyle w:val="Footer"/>
    </w:pPr>
    <w:r w:rsidRPr="007340CF">
      <w:rPr>
        <w:noProof/>
        <w:sz w:val="16"/>
      </w:rPr>
      <w:t>{C38644:4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AEF" w:rsidRDefault="00AF4AEF" w:rsidP="00AF4AEF">
      <w:pPr>
        <w:rPr>
          <w:noProof/>
        </w:rPr>
      </w:pPr>
      <w:r>
        <w:rPr>
          <w:noProof/>
        </w:rPr>
        <w:separator/>
      </w:r>
    </w:p>
  </w:footnote>
  <w:footnote w:type="continuationSeparator" w:id="0">
    <w:p w:rsidR="00AF4AEF" w:rsidRDefault="00AF4AEF" w:rsidP="00AF4AEF">
      <w:r>
        <w:continuationSeparator/>
      </w:r>
    </w:p>
  </w:footnote>
  <w:footnote w:id="1">
    <w:p w:rsidR="00AF4AEF" w:rsidRDefault="00AF4AEF" w:rsidP="007F2E49">
      <w:pPr>
        <w:pStyle w:val="FootnoteText"/>
        <w:spacing w:after="120" w:line="240" w:lineRule="auto"/>
      </w:pPr>
      <w:r>
        <w:rPr>
          <w:rStyle w:val="FootnoteReference"/>
        </w:rPr>
        <w:footnoteRef/>
      </w:r>
      <w:r>
        <w:t xml:space="preserve"> </w:t>
      </w:r>
      <w:r w:rsidR="0025457E">
        <w:t xml:space="preserve">R.C. 4928.03; </w:t>
      </w:r>
      <w:r>
        <w:t>R.C. 4928.17(A)</w:t>
      </w:r>
      <w:r w:rsidR="001D25BE">
        <w:t>; R.C. 4928.38 &amp; 4928.40.</w:t>
      </w:r>
    </w:p>
  </w:footnote>
  <w:footnote w:id="2">
    <w:p w:rsidR="00423BD0" w:rsidRDefault="00423BD0" w:rsidP="007F728E">
      <w:pPr>
        <w:pStyle w:val="FootnoteText"/>
        <w:spacing w:after="120" w:line="240" w:lineRule="auto"/>
      </w:pPr>
      <w:r>
        <w:rPr>
          <w:rStyle w:val="FootnoteReference"/>
        </w:rPr>
        <w:footnoteRef/>
      </w:r>
      <w:r>
        <w:t xml:space="preserve"> </w:t>
      </w:r>
      <w:r w:rsidR="00F91B16">
        <w:t>See IEU-Ohio Ex</w:t>
      </w:r>
      <w:r w:rsidR="0010330B">
        <w:t>.</w:t>
      </w:r>
      <w:r w:rsidR="00F91B16">
        <w:t xml:space="preserve"> 3 </w:t>
      </w:r>
      <w:r w:rsidR="00F91B16" w:rsidRPr="00F44057">
        <w:rPr>
          <w:i/>
        </w:rPr>
        <w:t>passim</w:t>
      </w:r>
      <w:r w:rsidR="00F91B16">
        <w:rPr>
          <w:i/>
        </w:rPr>
        <w:t>.</w:t>
      </w:r>
    </w:p>
  </w:footnote>
  <w:footnote w:id="3">
    <w:p w:rsidR="00FA6ACC" w:rsidRDefault="00FA6ACC" w:rsidP="00FA6ACC">
      <w:pPr>
        <w:pStyle w:val="FootnoteText"/>
        <w:spacing w:after="120" w:line="240" w:lineRule="auto"/>
      </w:pPr>
      <w:r>
        <w:rPr>
          <w:rStyle w:val="FootnoteReference"/>
        </w:rPr>
        <w:footnoteRef/>
      </w:r>
      <w:r>
        <w:t xml:space="preserve"> Opinion and Order at 17-28 (Sept. 4, 2013) (“ESP II Order”); Entry Nunc Pro Tunc at 2 (“Sept. 6 Entry”).</w:t>
      </w:r>
    </w:p>
  </w:footnote>
  <w:footnote w:id="4">
    <w:p w:rsidR="00FA6ACC" w:rsidRDefault="00FA6ACC" w:rsidP="008D08A9">
      <w:pPr>
        <w:pStyle w:val="FootnoteText"/>
        <w:spacing w:after="120" w:line="240" w:lineRule="auto"/>
      </w:pPr>
      <w:r>
        <w:rPr>
          <w:rStyle w:val="FootnoteReference"/>
        </w:rPr>
        <w:footnoteRef/>
      </w:r>
      <w:r>
        <w:t xml:space="preserve"> September 6 Entry at 2.  The Commission subsequently directed that the SSR-E will terminate no later than April 30, 2017 in the Second Entry on Rehearing.  Second Entry on Rehearing at 16 (Mar. 19, 2014) (“Second Entry on Rehearing”).</w:t>
      </w:r>
    </w:p>
  </w:footnote>
  <w:footnote w:id="5">
    <w:p w:rsidR="0025457E" w:rsidRDefault="0025457E" w:rsidP="00B12E18">
      <w:pPr>
        <w:pStyle w:val="FootnoteText"/>
        <w:spacing w:after="120" w:line="240" w:lineRule="auto"/>
      </w:pPr>
      <w:r>
        <w:rPr>
          <w:rStyle w:val="FootnoteReference"/>
        </w:rPr>
        <w:footnoteRef/>
      </w:r>
      <w:r>
        <w:t xml:space="preserve"> </w:t>
      </w:r>
      <w:r w:rsidRPr="00CF0D79">
        <w:rPr>
          <w:i/>
        </w:rPr>
        <w:t>In the Matter of the Application of The Dayton Power and Light Company for Authority to Transfer or Sell its Generation Assets,</w:t>
      </w:r>
      <w:r>
        <w:t xml:space="preserve"> Case No. 13-2420-EL-UNC, Supplemental Application of the Dayton Power and Light Company to Transfer or Sell its Generation Assets at 2 (Feb. 25, 2014) (“</w:t>
      </w:r>
      <w:r w:rsidRPr="0025457E">
        <w:rPr>
          <w:i/>
        </w:rPr>
        <w:t>Generation Transfer Case</w:t>
      </w:r>
      <w:r>
        <w:t>”).</w:t>
      </w:r>
    </w:p>
  </w:footnote>
  <w:footnote w:id="6">
    <w:p w:rsidR="0025457E" w:rsidRDefault="0025457E" w:rsidP="00B12E18">
      <w:pPr>
        <w:pStyle w:val="FootnoteText"/>
        <w:spacing w:after="120" w:line="240" w:lineRule="auto"/>
      </w:pPr>
      <w:r>
        <w:rPr>
          <w:rStyle w:val="FootnoteReference"/>
        </w:rPr>
        <w:footnoteRef/>
      </w:r>
      <w:r>
        <w:t xml:space="preserve"> </w:t>
      </w:r>
      <w:r w:rsidR="00EC3AC1">
        <w:t>Second Entry on Rehearing</w:t>
      </w:r>
      <w:r>
        <w:t xml:space="preserve"> </w:t>
      </w:r>
      <w:r w:rsidRPr="00BE587A">
        <w:t>at 16.</w:t>
      </w:r>
    </w:p>
  </w:footnote>
  <w:footnote w:id="7">
    <w:p w:rsidR="0025457E" w:rsidRDefault="0025457E">
      <w:pPr>
        <w:pStyle w:val="FootnoteText"/>
        <w:spacing w:after="120" w:line="240" w:lineRule="auto"/>
      </w:pPr>
      <w:r>
        <w:rPr>
          <w:rStyle w:val="FootnoteReference"/>
        </w:rPr>
        <w:footnoteRef/>
      </w:r>
      <w:r>
        <w:t xml:space="preserve"> </w:t>
      </w:r>
      <w:r w:rsidRPr="00CF0D79">
        <w:rPr>
          <w:i/>
        </w:rPr>
        <w:t>Id</w:t>
      </w:r>
      <w:r>
        <w:t>. at 18.</w:t>
      </w:r>
    </w:p>
  </w:footnote>
  <w:footnote w:id="8">
    <w:p w:rsidR="00AF4AEF" w:rsidRDefault="00AF4AEF">
      <w:pPr>
        <w:pStyle w:val="FootnoteText"/>
        <w:spacing w:after="120" w:line="240" w:lineRule="auto"/>
      </w:pPr>
      <w:r>
        <w:rPr>
          <w:rStyle w:val="FootnoteReference"/>
        </w:rPr>
        <w:footnoteRef/>
      </w:r>
      <w:r>
        <w:t xml:space="preserve"> Application for Rehearing of the Dayton Power and Light Company as to the Second Entry on Rehearing at 1-2 (Apr. 18, 2014) (“DP&amp;L Second Application for Rehearing”).</w:t>
      </w:r>
    </w:p>
  </w:footnote>
  <w:footnote w:id="9">
    <w:p w:rsidR="00AF4AEF" w:rsidRDefault="00AF4AEF">
      <w:pPr>
        <w:pStyle w:val="FootnoteText"/>
        <w:spacing w:after="120" w:line="240" w:lineRule="auto"/>
      </w:pPr>
      <w:r>
        <w:rPr>
          <w:rStyle w:val="FootnoteReference"/>
        </w:rPr>
        <w:footnoteRef/>
      </w:r>
      <w:r>
        <w:t xml:space="preserve"> Memorandum in Support of Application for Rehearing of the Dayton Power and Light Company as to the Second Entry on Rehearing at 1 (Apr. 18, 2014) (“DP&amp;L Memorandum in Support”).</w:t>
      </w:r>
    </w:p>
  </w:footnote>
  <w:footnote w:id="10">
    <w:p w:rsidR="00AF4AEF" w:rsidRDefault="00AF4AEF">
      <w:pPr>
        <w:pStyle w:val="FootnoteText"/>
        <w:spacing w:after="120" w:line="240" w:lineRule="auto"/>
      </w:pPr>
      <w:r>
        <w:rPr>
          <w:rStyle w:val="FootnoteReference"/>
        </w:rPr>
        <w:footnoteRef/>
      </w:r>
      <w:r>
        <w:t xml:space="preserve"> </w:t>
      </w:r>
      <w:r w:rsidRPr="007F728E">
        <w:rPr>
          <w:i/>
        </w:rPr>
        <w:t>Id</w:t>
      </w:r>
      <w:r>
        <w:t>. at 5-6.</w:t>
      </w:r>
    </w:p>
  </w:footnote>
  <w:footnote w:id="11">
    <w:p w:rsidR="00AF4AEF" w:rsidRDefault="00AF4AEF">
      <w:pPr>
        <w:pStyle w:val="FootnoteText"/>
        <w:spacing w:after="120" w:line="240" w:lineRule="auto"/>
      </w:pPr>
      <w:r>
        <w:rPr>
          <w:rStyle w:val="FootnoteReference"/>
        </w:rPr>
        <w:footnoteRef/>
      </w:r>
      <w:r>
        <w:t xml:space="preserve"> </w:t>
      </w:r>
      <w:r w:rsidRPr="007F728E">
        <w:rPr>
          <w:i/>
        </w:rPr>
        <w:t>Id</w:t>
      </w:r>
      <w:r>
        <w:t>. at 6.</w:t>
      </w:r>
    </w:p>
  </w:footnote>
  <w:footnote w:id="12">
    <w:p w:rsidR="00AF4AEF" w:rsidRDefault="00AF4AEF">
      <w:pPr>
        <w:pStyle w:val="FootnoteText"/>
        <w:spacing w:after="120" w:line="240" w:lineRule="auto"/>
      </w:pPr>
      <w:r>
        <w:rPr>
          <w:rStyle w:val="FootnoteReference"/>
        </w:rPr>
        <w:footnoteRef/>
      </w:r>
      <w:r>
        <w:t xml:space="preserve"> </w:t>
      </w:r>
      <w:r w:rsidRPr="007F728E">
        <w:rPr>
          <w:i/>
        </w:rPr>
        <w:t>Id</w:t>
      </w:r>
      <w:r>
        <w:t>. at 7-8.</w:t>
      </w:r>
    </w:p>
  </w:footnote>
  <w:footnote w:id="13">
    <w:p w:rsidR="0025457E" w:rsidRDefault="0025457E">
      <w:pPr>
        <w:pStyle w:val="FootnoteText"/>
        <w:spacing w:after="120" w:line="240" w:lineRule="auto"/>
      </w:pPr>
      <w:r>
        <w:rPr>
          <w:rStyle w:val="FootnoteReference"/>
        </w:rPr>
        <w:footnoteRef/>
      </w:r>
      <w:r>
        <w:t xml:space="preserve"> R.C. 4905.10(B).</w:t>
      </w:r>
      <w:bookmarkStart w:id="2" w:name="_GoBack"/>
      <w:bookmarkEnd w:id="2"/>
    </w:p>
  </w:footnote>
  <w:footnote w:id="14">
    <w:p w:rsidR="00AF4AEF" w:rsidRDefault="00AF4AEF">
      <w:pPr>
        <w:pStyle w:val="FootnoteText"/>
        <w:spacing w:after="120" w:line="240" w:lineRule="auto"/>
      </w:pPr>
      <w:r>
        <w:rPr>
          <w:rStyle w:val="FootnoteReference"/>
        </w:rPr>
        <w:footnoteRef/>
      </w:r>
      <w:r>
        <w:t xml:space="preserve"> R.C. 4928.17(A).</w:t>
      </w:r>
    </w:p>
  </w:footnote>
  <w:footnote w:id="15">
    <w:p w:rsidR="0025457E" w:rsidRDefault="0025457E">
      <w:pPr>
        <w:pStyle w:val="FootnoteText"/>
        <w:spacing w:after="120" w:line="240" w:lineRule="auto"/>
      </w:pPr>
      <w:r>
        <w:rPr>
          <w:rStyle w:val="FootnoteReference"/>
        </w:rPr>
        <w:footnoteRef/>
      </w:r>
      <w:r>
        <w:t xml:space="preserve"> </w:t>
      </w:r>
      <w:r w:rsidR="006A290B" w:rsidRPr="006A290B">
        <w:t>Second Entry on Rehearing at 17</w:t>
      </w:r>
      <w:r>
        <w:t xml:space="preserve"> (citations omitted)</w:t>
      </w:r>
      <w:r w:rsidR="007F2E49">
        <w:t>.</w:t>
      </w:r>
    </w:p>
  </w:footnote>
  <w:footnote w:id="16">
    <w:p w:rsidR="000F4778" w:rsidRDefault="000F4778" w:rsidP="00695A4A">
      <w:pPr>
        <w:pStyle w:val="FootnoteText"/>
        <w:spacing w:after="120" w:line="240" w:lineRule="auto"/>
      </w:pPr>
      <w:r>
        <w:rPr>
          <w:rStyle w:val="FootnoteReference"/>
        </w:rPr>
        <w:footnoteRef/>
      </w:r>
      <w:r>
        <w:t xml:space="preserve"> </w:t>
      </w:r>
      <w:r w:rsidRPr="003D2DF6">
        <w:rPr>
          <w:i/>
        </w:rPr>
        <w:t>Id</w:t>
      </w:r>
      <w:r>
        <w:t>.</w:t>
      </w:r>
      <w:r w:rsidR="004A036E">
        <w:t xml:space="preserve"> at 17-18.</w:t>
      </w:r>
    </w:p>
  </w:footnote>
  <w:footnote w:id="17">
    <w:p w:rsidR="0025457E" w:rsidRDefault="0025457E">
      <w:pPr>
        <w:pStyle w:val="FootnoteText"/>
        <w:spacing w:after="120" w:line="240" w:lineRule="auto"/>
      </w:pPr>
      <w:r>
        <w:rPr>
          <w:rStyle w:val="FootnoteReference"/>
        </w:rPr>
        <w:footnoteRef/>
      </w:r>
      <w:r>
        <w:t xml:space="preserve"> </w:t>
      </w:r>
      <w:r w:rsidRPr="0025457E">
        <w:rPr>
          <w:i/>
        </w:rPr>
        <w:t xml:space="preserve">Generation </w:t>
      </w:r>
      <w:r w:rsidR="00423BD0" w:rsidRPr="0025457E">
        <w:rPr>
          <w:i/>
        </w:rPr>
        <w:t xml:space="preserve">Transfer </w:t>
      </w:r>
      <w:r w:rsidRPr="0025457E">
        <w:rPr>
          <w:i/>
        </w:rPr>
        <w:t>Case</w:t>
      </w:r>
      <w:r>
        <w:t>, Supplemental Reply Comments of the Dayton Power and Light Company at 3 (Apr. 7, 2014).</w:t>
      </w:r>
    </w:p>
  </w:footnote>
  <w:footnote w:id="18">
    <w:p w:rsidR="001868E6" w:rsidRDefault="001868E6" w:rsidP="001868E6">
      <w:pPr>
        <w:pStyle w:val="FootnoteText"/>
        <w:spacing w:after="120" w:line="240" w:lineRule="auto"/>
      </w:pPr>
      <w:r>
        <w:rPr>
          <w:rStyle w:val="FootnoteReference"/>
        </w:rPr>
        <w:footnoteRef/>
      </w:r>
      <w:r>
        <w:t xml:space="preserve"> DP&amp;L Memorandum in Support at 6.</w:t>
      </w:r>
    </w:p>
  </w:footnote>
  <w:footnote w:id="19">
    <w:p w:rsidR="001868E6" w:rsidRDefault="001868E6" w:rsidP="001868E6">
      <w:pPr>
        <w:pStyle w:val="FootnoteText"/>
        <w:spacing w:after="120" w:line="240" w:lineRule="auto"/>
      </w:pPr>
      <w:r>
        <w:rPr>
          <w:rStyle w:val="FootnoteReference"/>
        </w:rPr>
        <w:footnoteRef/>
      </w:r>
      <w:r>
        <w:t xml:space="preserve"> </w:t>
      </w:r>
      <w:r w:rsidRPr="007F728E">
        <w:rPr>
          <w:i/>
        </w:rPr>
        <w:t>Id</w:t>
      </w:r>
      <w:r>
        <w:t>.</w:t>
      </w:r>
    </w:p>
  </w:footnote>
  <w:footnote w:id="20">
    <w:p w:rsidR="001868E6" w:rsidRDefault="001868E6" w:rsidP="001868E6">
      <w:pPr>
        <w:pStyle w:val="FootnoteText"/>
        <w:spacing w:after="120" w:line="240" w:lineRule="auto"/>
      </w:pPr>
      <w:r>
        <w:rPr>
          <w:rStyle w:val="FootnoteReference"/>
        </w:rPr>
        <w:footnoteRef/>
      </w:r>
      <w:r>
        <w:t xml:space="preserve"> </w:t>
      </w:r>
      <w:r w:rsidRPr="007F728E">
        <w:rPr>
          <w:i/>
        </w:rPr>
        <w:t>Id</w:t>
      </w:r>
      <w:r w:rsidR="00695A4A">
        <w:t>.</w:t>
      </w:r>
      <w:r w:rsidR="00FA6ACC">
        <w:t xml:space="preserve">  </w:t>
      </w:r>
      <w:r w:rsidR="00FA6ACC" w:rsidRPr="00FA6ACC">
        <w:t xml:space="preserve">DP&amp;L’s parent has also stated in filings to the Securities and Exchange Commission (“SEC”) that “[i]t is DP&amp;L’s intention to refinance the first mortgage bonds under similar terms that would also allow for the potential legal separation of its generation assets.” </w:t>
      </w:r>
      <w:r w:rsidR="00FA6ACC">
        <w:t xml:space="preserve"> Annual Report Pursuant to Section 13 or 15(d) of the Securities Exchange Act of 1934 for the Fiscal Year Ended December 31, 2013, AES Corporation at 62 (viewed at </w:t>
      </w:r>
      <w:r w:rsidR="00FA6ACC" w:rsidRPr="00027BEA">
        <w:t>http://investor.aes.com/phoenix.zhtml?c=76149&amp;p=irol-sec&amp;secCat01Enhanced.2_rs=21&amp;secCat01Enhanced.2_rc=10&amp;control_selectgroup=Show%20All#9291005</w:t>
      </w:r>
      <w:r w:rsidR="00FA6ACC">
        <w:t>).</w:t>
      </w:r>
    </w:p>
  </w:footnote>
  <w:footnote w:id="21">
    <w:p w:rsidR="00E45E76" w:rsidRDefault="00E45E76" w:rsidP="001D2679">
      <w:pPr>
        <w:pStyle w:val="FootnoteText"/>
        <w:spacing w:after="120" w:line="240" w:lineRule="auto"/>
      </w:pPr>
      <w:r>
        <w:rPr>
          <w:rStyle w:val="FootnoteReference"/>
        </w:rPr>
        <w:footnoteRef/>
      </w:r>
      <w:r>
        <w:t xml:space="preserve"> </w:t>
      </w:r>
      <w:r w:rsidRPr="001868E6">
        <w:t xml:space="preserve">DP&amp;L Memorandum in Support at </w:t>
      </w:r>
      <w:r w:rsidR="006A290B">
        <w:t>6</w:t>
      </w:r>
      <w:r>
        <w:t>.</w:t>
      </w:r>
    </w:p>
  </w:footnote>
  <w:footnote w:id="22">
    <w:p w:rsidR="00D46392" w:rsidRDefault="00D46392" w:rsidP="00D46392">
      <w:pPr>
        <w:pStyle w:val="FootnoteText"/>
        <w:spacing w:after="120" w:line="240" w:lineRule="auto"/>
      </w:pPr>
      <w:r>
        <w:rPr>
          <w:rStyle w:val="FootnoteReference"/>
        </w:rPr>
        <w:footnoteRef/>
      </w:r>
      <w:r>
        <w:t xml:space="preserve"> </w:t>
      </w:r>
      <w:r w:rsidR="0044680D" w:rsidRPr="0044680D">
        <w:rPr>
          <w:i/>
        </w:rPr>
        <w:t>Id</w:t>
      </w:r>
      <w:r w:rsidR="0044680D">
        <w:t>.</w:t>
      </w:r>
      <w:r>
        <w:t xml:space="preserve"> at 4.</w:t>
      </w:r>
    </w:p>
  </w:footnote>
  <w:footnote w:id="23">
    <w:p w:rsidR="00D46392" w:rsidRDefault="00D46392" w:rsidP="00D46392">
      <w:pPr>
        <w:pStyle w:val="FootnoteText"/>
        <w:spacing w:after="120" w:line="240" w:lineRule="auto"/>
      </w:pPr>
      <w:r>
        <w:rPr>
          <w:rStyle w:val="FootnoteReference"/>
        </w:rPr>
        <w:footnoteRef/>
      </w:r>
      <w:r>
        <w:t xml:space="preserve"> </w:t>
      </w:r>
      <w:r w:rsidRPr="00423BD0">
        <w:rPr>
          <w:i/>
        </w:rPr>
        <w:t>Generation Transfer Case</w:t>
      </w:r>
      <w:r>
        <w:t>, Supplemental Application of the Dayton Power and Light Company to Transfer or Sell its Generation Assets at 3 (Feb. 25, 2014).</w:t>
      </w:r>
    </w:p>
  </w:footnote>
  <w:footnote w:id="24">
    <w:p w:rsidR="00D46392" w:rsidRDefault="00D46392" w:rsidP="00D46392">
      <w:pPr>
        <w:pStyle w:val="FootnoteText"/>
        <w:spacing w:after="120" w:line="240" w:lineRule="auto"/>
      </w:pPr>
      <w:r>
        <w:rPr>
          <w:rStyle w:val="FootnoteReference"/>
        </w:rPr>
        <w:footnoteRef/>
      </w:r>
      <w:r>
        <w:t xml:space="preserve"> </w:t>
      </w:r>
      <w:r w:rsidR="00366B84">
        <w:rPr>
          <w:i/>
        </w:rPr>
        <w:t>Id.</w:t>
      </w:r>
      <w:r>
        <w:t>, Supplemental Reply Comments of The Dayton Power and Light Company at 5-6 (Apr. 7, 2014).  The Commission has taken administrative notice of the application and supplemental application in Case No. 13-2420-EL-UNC.  Second Entry on Rehearing at 17 n.1.</w:t>
      </w:r>
    </w:p>
  </w:footnote>
  <w:footnote w:id="25">
    <w:p w:rsidR="00E56975" w:rsidRDefault="00E56975" w:rsidP="00E56975">
      <w:pPr>
        <w:pStyle w:val="FootnoteText"/>
        <w:spacing w:after="120" w:line="240" w:lineRule="auto"/>
      </w:pPr>
      <w:r>
        <w:rPr>
          <w:rStyle w:val="FootnoteReference"/>
        </w:rPr>
        <w:footnoteRef/>
      </w:r>
      <w:r>
        <w:t xml:space="preserve"> R.C. 4928.39(C).  </w:t>
      </w:r>
      <w:r w:rsidR="00F0697A">
        <w:t>In prior testimony, DP</w:t>
      </w:r>
      <w:r w:rsidRPr="00305AD7">
        <w:t xml:space="preserve">&amp;L indicated that one method by which the Commission could determine the amount of costs that were stranded by the introduction of competition was based on the sale price of the generation assets.  Under this approach, the net proceeds of </w:t>
      </w:r>
      <w:r>
        <w:t>a</w:t>
      </w:r>
      <w:r w:rsidRPr="00305AD7">
        <w:t xml:space="preserve"> sale to the existing owner after payment of capital gains tax are netted against the existing owner’s net invested capital to yield the after-tax stranded cost.  IEU-Ohio Ex. 3 at Attachment K at 10-12.  DP&amp;L’s claim for additional SSR revenue after it transfers the generation assets resembles a claim based on the sale price of the assets DP&amp;L previously advanced as an alternative basis for determining stranded cost.</w:t>
      </w:r>
      <w:r>
        <w:t xml:space="preserve">  </w:t>
      </w:r>
    </w:p>
  </w:footnote>
  <w:footnote w:id="26">
    <w:p w:rsidR="00E56975" w:rsidRDefault="00E56975" w:rsidP="001D2679">
      <w:pPr>
        <w:pStyle w:val="FootnoteText"/>
        <w:spacing w:after="120" w:line="240" w:lineRule="auto"/>
      </w:pPr>
      <w:r>
        <w:rPr>
          <w:rStyle w:val="FootnoteReference"/>
        </w:rPr>
        <w:footnoteRef/>
      </w:r>
      <w:r>
        <w:t xml:space="preserve"> R.C. 4928.38</w:t>
      </w:r>
      <w:r w:rsidR="002E5A19">
        <w:t xml:space="preserve">; </w:t>
      </w:r>
      <w:r w:rsidR="001D2679">
        <w:t xml:space="preserve">IEU-Ohio Ex. 3 at 16-26; </w:t>
      </w:r>
      <w:r w:rsidR="002E5A19">
        <w:t>Second</w:t>
      </w:r>
      <w:r w:rsidR="002E5A19" w:rsidRPr="002E5A19">
        <w:t xml:space="preserve"> </w:t>
      </w:r>
      <w:r w:rsidR="002E5A19">
        <w:t xml:space="preserve">Application for Rehearing of Industrial Energy Users-Ohio </w:t>
      </w:r>
      <w:r w:rsidR="002E5A19" w:rsidRPr="002E5A19">
        <w:t>at 11-16</w:t>
      </w:r>
      <w:r w:rsidR="002E5A19">
        <w:t xml:space="preserve"> (Apr. 17, 2014) (“IEU-Ohio Second Application for Rehearing”)</w:t>
      </w:r>
      <w:r w:rsidR="002E5A19" w:rsidRPr="002E5A19">
        <w:t>.</w:t>
      </w:r>
    </w:p>
  </w:footnote>
  <w:footnote w:id="27">
    <w:p w:rsidR="008D08A9" w:rsidRDefault="008D08A9" w:rsidP="008D08A9">
      <w:pPr>
        <w:pStyle w:val="FootnoteText"/>
        <w:spacing w:after="120" w:line="240" w:lineRule="auto"/>
      </w:pPr>
      <w:r>
        <w:rPr>
          <w:rStyle w:val="FootnoteReference"/>
        </w:rPr>
        <w:footnoteRef/>
      </w:r>
      <w:r>
        <w:t xml:space="preserve"> IEU-Ohio Second Application for Rehearing at 11-16.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ED9" w:rsidRDefault="00FD0E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ED9" w:rsidRDefault="00FD0ED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ED9" w:rsidRDefault="00FD0ED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4D9" w:rsidRDefault="001C64D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4D9" w:rsidRDefault="001C64D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D2C" w:rsidRDefault="00A52D2C">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D2C" w:rsidRDefault="00A52D2C">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D2C" w:rsidRDefault="00A52D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122408"/>
    <w:multiLevelType w:val="multilevel"/>
    <w:tmpl w:val="DB760108"/>
    <w:name w:val="IEU-Olhio Default"/>
    <w:lvl w:ilvl="0">
      <w:start w:val="1"/>
      <w:numFmt w:val="upperRoman"/>
      <w:pStyle w:val="Heading1"/>
      <w:lvlText w:val="%1."/>
      <w:lvlJc w:val="left"/>
      <w:pPr>
        <w:tabs>
          <w:tab w:val="num" w:pos="720"/>
        </w:tabs>
        <w:ind w:left="720" w:hanging="720"/>
      </w:pPr>
      <w:rPr>
        <w:b/>
        <w:caps w:val="0"/>
        <w:color w:val="010000"/>
        <w:u w:val="none"/>
      </w:rPr>
    </w:lvl>
    <w:lvl w:ilvl="1">
      <w:start w:val="1"/>
      <w:numFmt w:val="upperLetter"/>
      <w:pStyle w:val="Heading2"/>
      <w:lvlText w:val="%2."/>
      <w:lvlJc w:val="left"/>
      <w:pPr>
        <w:tabs>
          <w:tab w:val="num" w:pos="1440"/>
        </w:tabs>
        <w:ind w:left="1440" w:hanging="720"/>
      </w:pPr>
      <w:rPr>
        <w:b/>
        <w:caps w:val="0"/>
        <w:color w:val="010000"/>
        <w:u w:val="none"/>
      </w:rPr>
    </w:lvl>
    <w:lvl w:ilvl="2">
      <w:start w:val="1"/>
      <w:numFmt w:val="decimal"/>
      <w:pStyle w:val="Heading3"/>
      <w:lvlText w:val="%3."/>
      <w:lvlJc w:val="left"/>
      <w:pPr>
        <w:tabs>
          <w:tab w:val="num" w:pos="2160"/>
        </w:tabs>
        <w:ind w:left="2160" w:hanging="720"/>
      </w:pPr>
      <w:rPr>
        <w:b/>
        <w:i w:val="0"/>
        <w:caps w:val="0"/>
        <w:color w:val="010000"/>
        <w:u w:val="none"/>
      </w:rPr>
    </w:lvl>
    <w:lvl w:ilvl="3">
      <w:start w:val="1"/>
      <w:numFmt w:val="lowerLetter"/>
      <w:pStyle w:val="Heading4"/>
      <w:lvlText w:val="%4."/>
      <w:lvlJc w:val="left"/>
      <w:pPr>
        <w:tabs>
          <w:tab w:val="num" w:pos="2880"/>
        </w:tabs>
        <w:ind w:left="2880" w:hanging="720"/>
      </w:pPr>
      <w:rPr>
        <w:b/>
        <w:i/>
        <w:caps w:val="0"/>
        <w:color w:val="010000"/>
        <w:u w:val="none"/>
      </w:rPr>
    </w:lvl>
    <w:lvl w:ilvl="4">
      <w:start w:val="1"/>
      <w:numFmt w:val="lowerRoman"/>
      <w:pStyle w:val="Heading5"/>
      <w:lvlText w:val="%5."/>
      <w:lvlJc w:val="left"/>
      <w:pPr>
        <w:tabs>
          <w:tab w:val="num" w:pos="3600"/>
        </w:tabs>
        <w:ind w:left="3600" w:hanging="720"/>
      </w:pPr>
      <w:rPr>
        <w:caps w:val="0"/>
        <w:color w:val="010000"/>
        <w:u w:val="none"/>
      </w:rPr>
    </w:lvl>
    <w:lvl w:ilvl="5">
      <w:start w:val="1"/>
      <w:numFmt w:val="lowerLetter"/>
      <w:pStyle w:val="Heading6"/>
      <w:lvlText w:val="(%6)"/>
      <w:lvlJc w:val="left"/>
      <w:pPr>
        <w:tabs>
          <w:tab w:val="num" w:pos="4320"/>
        </w:tabs>
        <w:ind w:left="4320" w:hanging="720"/>
      </w:pPr>
      <w:rPr>
        <w:caps w:val="0"/>
        <w:color w:val="010000"/>
        <w:u w:val="none"/>
      </w:rPr>
    </w:lvl>
    <w:lvl w:ilvl="6">
      <w:start w:val="1"/>
      <w:numFmt w:val="decimal"/>
      <w:pStyle w:val="Heading7"/>
      <w:lvlText w:val="(%7)"/>
      <w:lvlJc w:val="left"/>
      <w:pPr>
        <w:tabs>
          <w:tab w:val="num" w:pos="5040"/>
        </w:tabs>
        <w:ind w:left="5040" w:hanging="720"/>
      </w:pPr>
      <w:rPr>
        <w:caps w:val="0"/>
        <w:color w:val="010000"/>
        <w:u w:val="none"/>
      </w:rPr>
    </w:lvl>
    <w:lvl w:ilvl="7">
      <w:start w:val="1"/>
      <w:numFmt w:val="lowerRoman"/>
      <w:pStyle w:val="Heading8"/>
      <w:lvlText w:val="%8)"/>
      <w:lvlJc w:val="left"/>
      <w:pPr>
        <w:tabs>
          <w:tab w:val="num" w:pos="5760"/>
        </w:tabs>
        <w:ind w:left="5760" w:hanging="720"/>
      </w:pPr>
      <w:rPr>
        <w:caps w:val="0"/>
        <w:color w:val="010000"/>
        <w:u w:val="none"/>
      </w:rPr>
    </w:lvl>
    <w:lvl w:ilvl="8">
      <w:start w:val="1"/>
      <w:numFmt w:val="lowerLetter"/>
      <w:pStyle w:val="Heading9"/>
      <w:lvlText w:val="%9)"/>
      <w:lvlJc w:val="left"/>
      <w:pPr>
        <w:tabs>
          <w:tab w:val="num" w:pos="6480"/>
        </w:tabs>
        <w:ind w:left="6480" w:hanging="720"/>
      </w:pPr>
      <w:rPr>
        <w:caps w:val="0"/>
        <w:color w:val="010000"/>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efaultNumberOfLevelsInTOCForThisScheme" w:val="3"/>
    <w:docVar w:name="LastSchemeChoice" w:val="IEU-Olhio Default"/>
    <w:docVar w:name="LastSchemeUniqueID" w:val="1"/>
    <w:docVar w:name="Option0True" w:val="False"/>
    <w:docVar w:name="Option1True" w:val="False"/>
    <w:docVar w:name="Option2True" w:val="False"/>
  </w:docVars>
  <w:rsids>
    <w:rsidRoot w:val="00AF4AEF"/>
    <w:rsid w:val="00027BEA"/>
    <w:rsid w:val="00041097"/>
    <w:rsid w:val="000527C4"/>
    <w:rsid w:val="0006013C"/>
    <w:rsid w:val="0006138B"/>
    <w:rsid w:val="0007614D"/>
    <w:rsid w:val="000E4DC9"/>
    <w:rsid w:val="000F4778"/>
    <w:rsid w:val="0010330B"/>
    <w:rsid w:val="00177844"/>
    <w:rsid w:val="00185744"/>
    <w:rsid w:val="001868E6"/>
    <w:rsid w:val="001C64D9"/>
    <w:rsid w:val="001D25BE"/>
    <w:rsid w:val="001D2679"/>
    <w:rsid w:val="002227F3"/>
    <w:rsid w:val="0025457E"/>
    <w:rsid w:val="00282C97"/>
    <w:rsid w:val="002E5A19"/>
    <w:rsid w:val="00305AD7"/>
    <w:rsid w:val="00340054"/>
    <w:rsid w:val="003623DD"/>
    <w:rsid w:val="00366B84"/>
    <w:rsid w:val="00385CA6"/>
    <w:rsid w:val="003A1572"/>
    <w:rsid w:val="003A2D83"/>
    <w:rsid w:val="003D2DF6"/>
    <w:rsid w:val="003E6F8C"/>
    <w:rsid w:val="00401E1A"/>
    <w:rsid w:val="00410B63"/>
    <w:rsid w:val="00423BD0"/>
    <w:rsid w:val="004455E8"/>
    <w:rsid w:val="0044680D"/>
    <w:rsid w:val="004869D3"/>
    <w:rsid w:val="004A036E"/>
    <w:rsid w:val="004D3B9D"/>
    <w:rsid w:val="00541FF9"/>
    <w:rsid w:val="00543A8E"/>
    <w:rsid w:val="005514F8"/>
    <w:rsid w:val="005872AD"/>
    <w:rsid w:val="00597237"/>
    <w:rsid w:val="005A4B66"/>
    <w:rsid w:val="005A54B9"/>
    <w:rsid w:val="00600013"/>
    <w:rsid w:val="00620AE5"/>
    <w:rsid w:val="00631DBE"/>
    <w:rsid w:val="006610F6"/>
    <w:rsid w:val="00674C8B"/>
    <w:rsid w:val="00695A4A"/>
    <w:rsid w:val="006A290B"/>
    <w:rsid w:val="006D290A"/>
    <w:rsid w:val="007A632A"/>
    <w:rsid w:val="007D7CEA"/>
    <w:rsid w:val="007E4992"/>
    <w:rsid w:val="007F1054"/>
    <w:rsid w:val="007F2E49"/>
    <w:rsid w:val="007F728E"/>
    <w:rsid w:val="008017C3"/>
    <w:rsid w:val="0081490D"/>
    <w:rsid w:val="00820695"/>
    <w:rsid w:val="008273F9"/>
    <w:rsid w:val="008776BA"/>
    <w:rsid w:val="00885C8B"/>
    <w:rsid w:val="008D08A9"/>
    <w:rsid w:val="008E3BF4"/>
    <w:rsid w:val="008E43E7"/>
    <w:rsid w:val="00902A03"/>
    <w:rsid w:val="00913AE3"/>
    <w:rsid w:val="009200C1"/>
    <w:rsid w:val="00985669"/>
    <w:rsid w:val="00A415DB"/>
    <w:rsid w:val="00A52D2C"/>
    <w:rsid w:val="00AA1386"/>
    <w:rsid w:val="00AA2A5B"/>
    <w:rsid w:val="00AF3016"/>
    <w:rsid w:val="00AF4AEF"/>
    <w:rsid w:val="00B12E18"/>
    <w:rsid w:val="00B61680"/>
    <w:rsid w:val="00B959AF"/>
    <w:rsid w:val="00BB36A2"/>
    <w:rsid w:val="00C0405A"/>
    <w:rsid w:val="00C61DE9"/>
    <w:rsid w:val="00C96055"/>
    <w:rsid w:val="00CF6A87"/>
    <w:rsid w:val="00D26CC8"/>
    <w:rsid w:val="00D46392"/>
    <w:rsid w:val="00D97AE1"/>
    <w:rsid w:val="00DA42BE"/>
    <w:rsid w:val="00E45E76"/>
    <w:rsid w:val="00E56975"/>
    <w:rsid w:val="00E668E6"/>
    <w:rsid w:val="00EB27F2"/>
    <w:rsid w:val="00EC3AC1"/>
    <w:rsid w:val="00F0697A"/>
    <w:rsid w:val="00F413B0"/>
    <w:rsid w:val="00F44057"/>
    <w:rsid w:val="00F47474"/>
    <w:rsid w:val="00F60F3D"/>
    <w:rsid w:val="00F91B16"/>
    <w:rsid w:val="00FA6ACC"/>
    <w:rsid w:val="00FB41F5"/>
    <w:rsid w:val="00FC2818"/>
    <w:rsid w:val="00FD0ED9"/>
    <w:rsid w:val="00FD1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4"/>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B16"/>
  </w:style>
  <w:style w:type="paragraph" w:styleId="Heading1">
    <w:name w:val="heading 1"/>
    <w:basedOn w:val="Normal"/>
    <w:next w:val="Normal"/>
    <w:link w:val="Heading1Char"/>
    <w:uiPriority w:val="9"/>
    <w:qFormat/>
    <w:rsid w:val="00041097"/>
    <w:pPr>
      <w:numPr>
        <w:numId w:val="1"/>
      </w:numPr>
      <w:spacing w:after="240" w:line="240" w:lineRule="auto"/>
      <w:outlineLvl w:val="0"/>
    </w:pPr>
    <w:rPr>
      <w:rFonts w:eastAsiaTheme="majorEastAsia" w:cs="Arial"/>
      <w:b/>
      <w:bCs/>
      <w:caps/>
      <w:szCs w:val="28"/>
      <w:u w:val="single"/>
    </w:rPr>
  </w:style>
  <w:style w:type="paragraph" w:styleId="Heading2">
    <w:name w:val="heading 2"/>
    <w:basedOn w:val="Normal"/>
    <w:next w:val="Normal"/>
    <w:link w:val="Heading2Char"/>
    <w:uiPriority w:val="9"/>
    <w:semiHidden/>
    <w:unhideWhenUsed/>
    <w:qFormat/>
    <w:rsid w:val="00041097"/>
    <w:pPr>
      <w:numPr>
        <w:ilvl w:val="1"/>
        <w:numId w:val="1"/>
      </w:numPr>
      <w:spacing w:after="240" w:line="240" w:lineRule="auto"/>
      <w:outlineLvl w:val="1"/>
    </w:pPr>
    <w:rPr>
      <w:rFonts w:eastAsiaTheme="majorEastAsia" w:cs="Arial"/>
      <w:b/>
      <w:bCs/>
      <w:szCs w:val="26"/>
    </w:rPr>
  </w:style>
  <w:style w:type="paragraph" w:styleId="Heading3">
    <w:name w:val="heading 3"/>
    <w:basedOn w:val="Normal"/>
    <w:next w:val="Normal"/>
    <w:link w:val="Heading3Char"/>
    <w:uiPriority w:val="9"/>
    <w:semiHidden/>
    <w:unhideWhenUsed/>
    <w:qFormat/>
    <w:rsid w:val="00041097"/>
    <w:pPr>
      <w:numPr>
        <w:ilvl w:val="2"/>
        <w:numId w:val="1"/>
      </w:numPr>
      <w:spacing w:after="240" w:line="240" w:lineRule="auto"/>
      <w:outlineLvl w:val="2"/>
    </w:pPr>
    <w:rPr>
      <w:rFonts w:eastAsiaTheme="majorEastAsia" w:cs="Arial"/>
      <w:b/>
      <w:bCs/>
    </w:rPr>
  </w:style>
  <w:style w:type="paragraph" w:styleId="Heading4">
    <w:name w:val="heading 4"/>
    <w:basedOn w:val="Normal"/>
    <w:next w:val="Normal"/>
    <w:link w:val="Heading4Char"/>
    <w:uiPriority w:val="9"/>
    <w:semiHidden/>
    <w:unhideWhenUsed/>
    <w:qFormat/>
    <w:rsid w:val="00041097"/>
    <w:pPr>
      <w:numPr>
        <w:ilvl w:val="3"/>
        <w:numId w:val="1"/>
      </w:numPr>
      <w:spacing w:after="240" w:line="240" w:lineRule="auto"/>
      <w:outlineLvl w:val="3"/>
    </w:pPr>
    <w:rPr>
      <w:rFonts w:eastAsiaTheme="majorEastAsia" w:cs="Arial"/>
      <w:b/>
      <w:bCs/>
      <w:i/>
      <w:iCs/>
    </w:rPr>
  </w:style>
  <w:style w:type="paragraph" w:styleId="Heading5">
    <w:name w:val="heading 5"/>
    <w:basedOn w:val="Normal"/>
    <w:next w:val="Normal"/>
    <w:link w:val="Heading5Char"/>
    <w:uiPriority w:val="9"/>
    <w:semiHidden/>
    <w:unhideWhenUsed/>
    <w:qFormat/>
    <w:rsid w:val="00041097"/>
    <w:pPr>
      <w:numPr>
        <w:ilvl w:val="4"/>
        <w:numId w:val="1"/>
      </w:numPr>
      <w:spacing w:after="240" w:line="240" w:lineRule="auto"/>
      <w:outlineLvl w:val="4"/>
    </w:pPr>
    <w:rPr>
      <w:rFonts w:eastAsiaTheme="majorEastAsia" w:cs="Arial"/>
      <w:color w:val="243F60"/>
    </w:rPr>
  </w:style>
  <w:style w:type="paragraph" w:styleId="Heading6">
    <w:name w:val="heading 6"/>
    <w:basedOn w:val="Normal"/>
    <w:next w:val="Normal"/>
    <w:link w:val="Heading6Char"/>
    <w:uiPriority w:val="9"/>
    <w:semiHidden/>
    <w:unhideWhenUsed/>
    <w:qFormat/>
    <w:rsid w:val="00041097"/>
    <w:pPr>
      <w:numPr>
        <w:ilvl w:val="5"/>
        <w:numId w:val="1"/>
      </w:numPr>
      <w:spacing w:after="240" w:line="240" w:lineRule="auto"/>
      <w:outlineLvl w:val="5"/>
    </w:pPr>
    <w:rPr>
      <w:rFonts w:eastAsiaTheme="majorEastAsia" w:cs="Arial"/>
      <w:iCs/>
      <w:color w:val="243F60"/>
    </w:rPr>
  </w:style>
  <w:style w:type="paragraph" w:styleId="Heading7">
    <w:name w:val="heading 7"/>
    <w:basedOn w:val="Normal"/>
    <w:next w:val="Normal"/>
    <w:link w:val="Heading7Char"/>
    <w:uiPriority w:val="9"/>
    <w:semiHidden/>
    <w:unhideWhenUsed/>
    <w:qFormat/>
    <w:rsid w:val="00041097"/>
    <w:pPr>
      <w:numPr>
        <w:ilvl w:val="6"/>
        <w:numId w:val="1"/>
      </w:numPr>
      <w:spacing w:after="240" w:line="240" w:lineRule="auto"/>
      <w:outlineLvl w:val="6"/>
    </w:pPr>
    <w:rPr>
      <w:rFonts w:eastAsiaTheme="majorEastAsia" w:cs="Arial"/>
      <w:iCs/>
      <w:color w:val="404040"/>
    </w:rPr>
  </w:style>
  <w:style w:type="paragraph" w:styleId="Heading8">
    <w:name w:val="heading 8"/>
    <w:basedOn w:val="Normal"/>
    <w:next w:val="Normal"/>
    <w:link w:val="Heading8Char"/>
    <w:uiPriority w:val="9"/>
    <w:semiHidden/>
    <w:unhideWhenUsed/>
    <w:qFormat/>
    <w:rsid w:val="00041097"/>
    <w:pPr>
      <w:numPr>
        <w:ilvl w:val="7"/>
        <w:numId w:val="1"/>
      </w:numPr>
      <w:spacing w:after="240" w:line="240" w:lineRule="auto"/>
      <w:outlineLvl w:val="7"/>
    </w:pPr>
    <w:rPr>
      <w:rFonts w:eastAsiaTheme="majorEastAsia" w:cs="Arial"/>
      <w:color w:val="404040"/>
      <w:szCs w:val="20"/>
    </w:rPr>
  </w:style>
  <w:style w:type="paragraph" w:styleId="Heading9">
    <w:name w:val="heading 9"/>
    <w:basedOn w:val="Normal"/>
    <w:next w:val="Normal"/>
    <w:link w:val="Heading9Char"/>
    <w:uiPriority w:val="9"/>
    <w:semiHidden/>
    <w:unhideWhenUsed/>
    <w:qFormat/>
    <w:rsid w:val="00041097"/>
    <w:pPr>
      <w:numPr>
        <w:ilvl w:val="8"/>
        <w:numId w:val="1"/>
      </w:numPr>
      <w:spacing w:after="240" w:line="240" w:lineRule="auto"/>
      <w:outlineLvl w:val="8"/>
    </w:pPr>
    <w:rPr>
      <w:rFonts w:eastAsiaTheme="majorEastAsia" w:cs="Arial"/>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 Char,Footnote Text Char1 Char Char Char1,Footnote Text Char Char Char Char Char1,Footnote Text Char2 Char1 Char Char Char Char,Footnote Text Char1,Footnote Text Char Char,ft Char,fn,char"/>
    <w:basedOn w:val="Normal"/>
    <w:link w:val="FootnoteTextChar"/>
    <w:uiPriority w:val="99"/>
    <w:unhideWhenUsed/>
    <w:qFormat/>
    <w:rsid w:val="00AF4AEF"/>
    <w:rPr>
      <w:sz w:val="20"/>
      <w:szCs w:val="20"/>
    </w:rPr>
  </w:style>
  <w:style w:type="character" w:customStyle="1" w:styleId="FootnoteTextChar">
    <w:name w:val="Footnote Text Char"/>
    <w:aliases w:val="Footnote Text Char1 Char Char,Footnote Text Char Char Char Char,Footnote Text Char1 Char Char Char1 Char,Footnote Text Char Char Char Char Char1 Char,Footnote Text Char2 Char1 Char Char Char Char Char,Footnote Text Char1 Char1,fn Char"/>
    <w:basedOn w:val="DefaultParagraphFont"/>
    <w:link w:val="FootnoteText"/>
    <w:uiPriority w:val="99"/>
    <w:rsid w:val="00AF4AEF"/>
    <w:rPr>
      <w:sz w:val="20"/>
      <w:szCs w:val="20"/>
    </w:rPr>
  </w:style>
  <w:style w:type="character" w:styleId="FootnoteReference">
    <w:name w:val="footnote reference"/>
    <w:aliases w:val="Style 42,o,fr,(NECG) Footnote Reference,Style 17,Style 20,Style 13,Style 12,o1,fr1,o2,fr2,o3,fr3,Style 15,Style 8,Style 9,Style 18,Style 7,Style 19,Style 28"/>
    <w:basedOn w:val="DefaultParagraphFont"/>
    <w:uiPriority w:val="99"/>
    <w:unhideWhenUsed/>
    <w:rsid w:val="00AF4AEF"/>
    <w:rPr>
      <w:vertAlign w:val="superscript"/>
    </w:rPr>
  </w:style>
  <w:style w:type="paragraph" w:styleId="Header">
    <w:name w:val="header"/>
    <w:basedOn w:val="Normal"/>
    <w:link w:val="HeaderChar"/>
    <w:uiPriority w:val="99"/>
    <w:unhideWhenUsed/>
    <w:rsid w:val="00AF4AEF"/>
    <w:pPr>
      <w:tabs>
        <w:tab w:val="center" w:pos="4680"/>
        <w:tab w:val="right" w:pos="9360"/>
      </w:tabs>
    </w:pPr>
  </w:style>
  <w:style w:type="character" w:customStyle="1" w:styleId="HeaderChar">
    <w:name w:val="Header Char"/>
    <w:basedOn w:val="DefaultParagraphFont"/>
    <w:link w:val="Header"/>
    <w:uiPriority w:val="99"/>
    <w:rsid w:val="00AF4AEF"/>
  </w:style>
  <w:style w:type="paragraph" w:styleId="Footer">
    <w:name w:val="footer"/>
    <w:basedOn w:val="Normal"/>
    <w:link w:val="FooterChar"/>
    <w:uiPriority w:val="99"/>
    <w:unhideWhenUsed/>
    <w:rsid w:val="00AF4AEF"/>
    <w:pPr>
      <w:tabs>
        <w:tab w:val="center" w:pos="4680"/>
        <w:tab w:val="right" w:pos="9360"/>
      </w:tabs>
    </w:pPr>
  </w:style>
  <w:style w:type="character" w:customStyle="1" w:styleId="FooterChar">
    <w:name w:val="Footer Char"/>
    <w:basedOn w:val="DefaultParagraphFont"/>
    <w:link w:val="Footer"/>
    <w:uiPriority w:val="99"/>
    <w:rsid w:val="00AF4AEF"/>
  </w:style>
  <w:style w:type="character" w:styleId="CommentReference">
    <w:name w:val="annotation reference"/>
    <w:basedOn w:val="DefaultParagraphFont"/>
    <w:uiPriority w:val="99"/>
    <w:semiHidden/>
    <w:unhideWhenUsed/>
    <w:rsid w:val="00423BD0"/>
    <w:rPr>
      <w:sz w:val="16"/>
      <w:szCs w:val="16"/>
    </w:rPr>
  </w:style>
  <w:style w:type="paragraph" w:styleId="CommentText">
    <w:name w:val="annotation text"/>
    <w:basedOn w:val="Normal"/>
    <w:link w:val="CommentTextChar"/>
    <w:uiPriority w:val="99"/>
    <w:semiHidden/>
    <w:unhideWhenUsed/>
    <w:rsid w:val="00423BD0"/>
    <w:pPr>
      <w:spacing w:line="240" w:lineRule="auto"/>
    </w:pPr>
    <w:rPr>
      <w:sz w:val="20"/>
      <w:szCs w:val="20"/>
    </w:rPr>
  </w:style>
  <w:style w:type="character" w:customStyle="1" w:styleId="CommentTextChar">
    <w:name w:val="Comment Text Char"/>
    <w:basedOn w:val="DefaultParagraphFont"/>
    <w:link w:val="CommentText"/>
    <w:uiPriority w:val="99"/>
    <w:semiHidden/>
    <w:rsid w:val="00423BD0"/>
    <w:rPr>
      <w:sz w:val="20"/>
      <w:szCs w:val="20"/>
    </w:rPr>
  </w:style>
  <w:style w:type="paragraph" w:styleId="CommentSubject">
    <w:name w:val="annotation subject"/>
    <w:basedOn w:val="CommentText"/>
    <w:next w:val="CommentText"/>
    <w:link w:val="CommentSubjectChar"/>
    <w:uiPriority w:val="99"/>
    <w:semiHidden/>
    <w:unhideWhenUsed/>
    <w:rsid w:val="00423BD0"/>
    <w:rPr>
      <w:b/>
      <w:bCs/>
    </w:rPr>
  </w:style>
  <w:style w:type="character" w:customStyle="1" w:styleId="CommentSubjectChar">
    <w:name w:val="Comment Subject Char"/>
    <w:basedOn w:val="CommentTextChar"/>
    <w:link w:val="CommentSubject"/>
    <w:uiPriority w:val="99"/>
    <w:semiHidden/>
    <w:rsid w:val="00423BD0"/>
    <w:rPr>
      <w:b/>
      <w:bCs/>
      <w:sz w:val="20"/>
      <w:szCs w:val="20"/>
    </w:rPr>
  </w:style>
  <w:style w:type="paragraph" w:styleId="BalloonText">
    <w:name w:val="Balloon Text"/>
    <w:basedOn w:val="Normal"/>
    <w:link w:val="BalloonTextChar"/>
    <w:uiPriority w:val="99"/>
    <w:semiHidden/>
    <w:unhideWhenUsed/>
    <w:rsid w:val="00423BD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3BD0"/>
    <w:rPr>
      <w:rFonts w:ascii="Tahoma" w:hAnsi="Tahoma" w:cs="Tahoma"/>
      <w:sz w:val="16"/>
      <w:szCs w:val="16"/>
    </w:rPr>
  </w:style>
  <w:style w:type="character" w:customStyle="1" w:styleId="Heading1Char">
    <w:name w:val="Heading 1 Char"/>
    <w:basedOn w:val="DefaultParagraphFont"/>
    <w:link w:val="Heading1"/>
    <w:uiPriority w:val="9"/>
    <w:rsid w:val="00041097"/>
    <w:rPr>
      <w:rFonts w:eastAsiaTheme="majorEastAsia" w:cs="Arial"/>
      <w:b/>
      <w:bCs/>
      <w:caps/>
      <w:szCs w:val="28"/>
      <w:u w:val="single"/>
    </w:rPr>
  </w:style>
  <w:style w:type="character" w:customStyle="1" w:styleId="Heading2Char">
    <w:name w:val="Heading 2 Char"/>
    <w:basedOn w:val="DefaultParagraphFont"/>
    <w:link w:val="Heading2"/>
    <w:uiPriority w:val="9"/>
    <w:semiHidden/>
    <w:rsid w:val="00041097"/>
    <w:rPr>
      <w:rFonts w:eastAsiaTheme="majorEastAsia" w:cs="Arial"/>
      <w:b/>
      <w:bCs/>
      <w:szCs w:val="26"/>
    </w:rPr>
  </w:style>
  <w:style w:type="character" w:customStyle="1" w:styleId="Heading3Char">
    <w:name w:val="Heading 3 Char"/>
    <w:basedOn w:val="DefaultParagraphFont"/>
    <w:link w:val="Heading3"/>
    <w:uiPriority w:val="9"/>
    <w:semiHidden/>
    <w:rsid w:val="00041097"/>
    <w:rPr>
      <w:rFonts w:eastAsiaTheme="majorEastAsia" w:cs="Arial"/>
      <w:b/>
      <w:bCs/>
    </w:rPr>
  </w:style>
  <w:style w:type="character" w:customStyle="1" w:styleId="Heading4Char">
    <w:name w:val="Heading 4 Char"/>
    <w:basedOn w:val="DefaultParagraphFont"/>
    <w:link w:val="Heading4"/>
    <w:uiPriority w:val="9"/>
    <w:semiHidden/>
    <w:rsid w:val="00041097"/>
    <w:rPr>
      <w:rFonts w:eastAsiaTheme="majorEastAsia" w:cs="Arial"/>
      <w:b/>
      <w:bCs/>
      <w:i/>
      <w:iCs/>
    </w:rPr>
  </w:style>
  <w:style w:type="character" w:customStyle="1" w:styleId="Heading5Char">
    <w:name w:val="Heading 5 Char"/>
    <w:basedOn w:val="DefaultParagraphFont"/>
    <w:link w:val="Heading5"/>
    <w:uiPriority w:val="9"/>
    <w:semiHidden/>
    <w:rsid w:val="00041097"/>
    <w:rPr>
      <w:rFonts w:eastAsiaTheme="majorEastAsia" w:cs="Arial"/>
      <w:color w:val="243F60"/>
    </w:rPr>
  </w:style>
  <w:style w:type="character" w:customStyle="1" w:styleId="Heading6Char">
    <w:name w:val="Heading 6 Char"/>
    <w:basedOn w:val="DefaultParagraphFont"/>
    <w:link w:val="Heading6"/>
    <w:uiPriority w:val="9"/>
    <w:semiHidden/>
    <w:rsid w:val="00041097"/>
    <w:rPr>
      <w:rFonts w:eastAsiaTheme="majorEastAsia" w:cs="Arial"/>
      <w:iCs/>
      <w:color w:val="243F60"/>
    </w:rPr>
  </w:style>
  <w:style w:type="character" w:customStyle="1" w:styleId="Heading7Char">
    <w:name w:val="Heading 7 Char"/>
    <w:basedOn w:val="DefaultParagraphFont"/>
    <w:link w:val="Heading7"/>
    <w:uiPriority w:val="9"/>
    <w:semiHidden/>
    <w:rsid w:val="00041097"/>
    <w:rPr>
      <w:rFonts w:eastAsiaTheme="majorEastAsia" w:cs="Arial"/>
      <w:iCs/>
      <w:color w:val="404040"/>
    </w:rPr>
  </w:style>
  <w:style w:type="character" w:customStyle="1" w:styleId="Heading8Char">
    <w:name w:val="Heading 8 Char"/>
    <w:basedOn w:val="DefaultParagraphFont"/>
    <w:link w:val="Heading8"/>
    <w:uiPriority w:val="9"/>
    <w:semiHidden/>
    <w:rsid w:val="00041097"/>
    <w:rPr>
      <w:rFonts w:eastAsiaTheme="majorEastAsia" w:cs="Arial"/>
      <w:color w:val="404040"/>
      <w:szCs w:val="20"/>
    </w:rPr>
  </w:style>
  <w:style w:type="character" w:customStyle="1" w:styleId="Heading9Char">
    <w:name w:val="Heading 9 Char"/>
    <w:basedOn w:val="DefaultParagraphFont"/>
    <w:link w:val="Heading9"/>
    <w:uiPriority w:val="9"/>
    <w:semiHidden/>
    <w:rsid w:val="00041097"/>
    <w:rPr>
      <w:rFonts w:eastAsiaTheme="majorEastAsia" w:cs="Arial"/>
      <w:iCs/>
      <w:color w:val="404040"/>
      <w:szCs w:val="20"/>
    </w:rPr>
  </w:style>
  <w:style w:type="paragraph" w:styleId="BodyText">
    <w:name w:val="Body Text"/>
    <w:basedOn w:val="Normal"/>
    <w:link w:val="BodyTextChar"/>
    <w:uiPriority w:val="99"/>
    <w:semiHidden/>
    <w:unhideWhenUsed/>
    <w:rsid w:val="00041097"/>
    <w:pPr>
      <w:spacing w:after="120"/>
    </w:pPr>
  </w:style>
  <w:style w:type="character" w:customStyle="1" w:styleId="BodyTextChar">
    <w:name w:val="Body Text Char"/>
    <w:basedOn w:val="DefaultParagraphFont"/>
    <w:link w:val="BodyText"/>
    <w:uiPriority w:val="99"/>
    <w:semiHidden/>
    <w:rsid w:val="00041097"/>
  </w:style>
  <w:style w:type="paragraph" w:styleId="BodyTextIndent">
    <w:name w:val="Body Text Indent"/>
    <w:basedOn w:val="Normal"/>
    <w:link w:val="BodyTextIndentChar"/>
    <w:uiPriority w:val="99"/>
    <w:semiHidden/>
    <w:unhideWhenUsed/>
    <w:rsid w:val="00A52D2C"/>
    <w:pPr>
      <w:spacing w:after="120"/>
      <w:ind w:left="360"/>
    </w:pPr>
  </w:style>
  <w:style w:type="character" w:customStyle="1" w:styleId="BodyTextIndentChar">
    <w:name w:val="Body Text Indent Char"/>
    <w:basedOn w:val="DefaultParagraphFont"/>
    <w:link w:val="BodyTextIndent"/>
    <w:uiPriority w:val="99"/>
    <w:semiHidden/>
    <w:rsid w:val="00A52D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4"/>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B16"/>
  </w:style>
  <w:style w:type="paragraph" w:styleId="Heading1">
    <w:name w:val="heading 1"/>
    <w:basedOn w:val="Normal"/>
    <w:next w:val="Normal"/>
    <w:link w:val="Heading1Char"/>
    <w:uiPriority w:val="9"/>
    <w:qFormat/>
    <w:rsid w:val="00041097"/>
    <w:pPr>
      <w:numPr>
        <w:numId w:val="1"/>
      </w:numPr>
      <w:spacing w:after="240" w:line="240" w:lineRule="auto"/>
      <w:outlineLvl w:val="0"/>
    </w:pPr>
    <w:rPr>
      <w:rFonts w:eastAsiaTheme="majorEastAsia" w:cs="Arial"/>
      <w:b/>
      <w:bCs/>
      <w:caps/>
      <w:szCs w:val="28"/>
      <w:u w:val="single"/>
    </w:rPr>
  </w:style>
  <w:style w:type="paragraph" w:styleId="Heading2">
    <w:name w:val="heading 2"/>
    <w:basedOn w:val="Normal"/>
    <w:next w:val="Normal"/>
    <w:link w:val="Heading2Char"/>
    <w:uiPriority w:val="9"/>
    <w:semiHidden/>
    <w:unhideWhenUsed/>
    <w:qFormat/>
    <w:rsid w:val="00041097"/>
    <w:pPr>
      <w:numPr>
        <w:ilvl w:val="1"/>
        <w:numId w:val="1"/>
      </w:numPr>
      <w:spacing w:after="240" w:line="240" w:lineRule="auto"/>
      <w:outlineLvl w:val="1"/>
    </w:pPr>
    <w:rPr>
      <w:rFonts w:eastAsiaTheme="majorEastAsia" w:cs="Arial"/>
      <w:b/>
      <w:bCs/>
      <w:szCs w:val="26"/>
    </w:rPr>
  </w:style>
  <w:style w:type="paragraph" w:styleId="Heading3">
    <w:name w:val="heading 3"/>
    <w:basedOn w:val="Normal"/>
    <w:next w:val="Normal"/>
    <w:link w:val="Heading3Char"/>
    <w:uiPriority w:val="9"/>
    <w:semiHidden/>
    <w:unhideWhenUsed/>
    <w:qFormat/>
    <w:rsid w:val="00041097"/>
    <w:pPr>
      <w:numPr>
        <w:ilvl w:val="2"/>
        <w:numId w:val="1"/>
      </w:numPr>
      <w:spacing w:after="240" w:line="240" w:lineRule="auto"/>
      <w:outlineLvl w:val="2"/>
    </w:pPr>
    <w:rPr>
      <w:rFonts w:eastAsiaTheme="majorEastAsia" w:cs="Arial"/>
      <w:b/>
      <w:bCs/>
    </w:rPr>
  </w:style>
  <w:style w:type="paragraph" w:styleId="Heading4">
    <w:name w:val="heading 4"/>
    <w:basedOn w:val="Normal"/>
    <w:next w:val="Normal"/>
    <w:link w:val="Heading4Char"/>
    <w:uiPriority w:val="9"/>
    <w:semiHidden/>
    <w:unhideWhenUsed/>
    <w:qFormat/>
    <w:rsid w:val="00041097"/>
    <w:pPr>
      <w:numPr>
        <w:ilvl w:val="3"/>
        <w:numId w:val="1"/>
      </w:numPr>
      <w:spacing w:after="240" w:line="240" w:lineRule="auto"/>
      <w:outlineLvl w:val="3"/>
    </w:pPr>
    <w:rPr>
      <w:rFonts w:eastAsiaTheme="majorEastAsia" w:cs="Arial"/>
      <w:b/>
      <w:bCs/>
      <w:i/>
      <w:iCs/>
    </w:rPr>
  </w:style>
  <w:style w:type="paragraph" w:styleId="Heading5">
    <w:name w:val="heading 5"/>
    <w:basedOn w:val="Normal"/>
    <w:next w:val="Normal"/>
    <w:link w:val="Heading5Char"/>
    <w:uiPriority w:val="9"/>
    <w:semiHidden/>
    <w:unhideWhenUsed/>
    <w:qFormat/>
    <w:rsid w:val="00041097"/>
    <w:pPr>
      <w:numPr>
        <w:ilvl w:val="4"/>
        <w:numId w:val="1"/>
      </w:numPr>
      <w:spacing w:after="240" w:line="240" w:lineRule="auto"/>
      <w:outlineLvl w:val="4"/>
    </w:pPr>
    <w:rPr>
      <w:rFonts w:eastAsiaTheme="majorEastAsia" w:cs="Arial"/>
      <w:color w:val="243F60"/>
    </w:rPr>
  </w:style>
  <w:style w:type="paragraph" w:styleId="Heading6">
    <w:name w:val="heading 6"/>
    <w:basedOn w:val="Normal"/>
    <w:next w:val="Normal"/>
    <w:link w:val="Heading6Char"/>
    <w:uiPriority w:val="9"/>
    <w:semiHidden/>
    <w:unhideWhenUsed/>
    <w:qFormat/>
    <w:rsid w:val="00041097"/>
    <w:pPr>
      <w:numPr>
        <w:ilvl w:val="5"/>
        <w:numId w:val="1"/>
      </w:numPr>
      <w:spacing w:after="240" w:line="240" w:lineRule="auto"/>
      <w:outlineLvl w:val="5"/>
    </w:pPr>
    <w:rPr>
      <w:rFonts w:eastAsiaTheme="majorEastAsia" w:cs="Arial"/>
      <w:iCs/>
      <w:color w:val="243F60"/>
    </w:rPr>
  </w:style>
  <w:style w:type="paragraph" w:styleId="Heading7">
    <w:name w:val="heading 7"/>
    <w:basedOn w:val="Normal"/>
    <w:next w:val="Normal"/>
    <w:link w:val="Heading7Char"/>
    <w:uiPriority w:val="9"/>
    <w:semiHidden/>
    <w:unhideWhenUsed/>
    <w:qFormat/>
    <w:rsid w:val="00041097"/>
    <w:pPr>
      <w:numPr>
        <w:ilvl w:val="6"/>
        <w:numId w:val="1"/>
      </w:numPr>
      <w:spacing w:after="240" w:line="240" w:lineRule="auto"/>
      <w:outlineLvl w:val="6"/>
    </w:pPr>
    <w:rPr>
      <w:rFonts w:eastAsiaTheme="majorEastAsia" w:cs="Arial"/>
      <w:iCs/>
      <w:color w:val="404040"/>
    </w:rPr>
  </w:style>
  <w:style w:type="paragraph" w:styleId="Heading8">
    <w:name w:val="heading 8"/>
    <w:basedOn w:val="Normal"/>
    <w:next w:val="Normal"/>
    <w:link w:val="Heading8Char"/>
    <w:uiPriority w:val="9"/>
    <w:semiHidden/>
    <w:unhideWhenUsed/>
    <w:qFormat/>
    <w:rsid w:val="00041097"/>
    <w:pPr>
      <w:numPr>
        <w:ilvl w:val="7"/>
        <w:numId w:val="1"/>
      </w:numPr>
      <w:spacing w:after="240" w:line="240" w:lineRule="auto"/>
      <w:outlineLvl w:val="7"/>
    </w:pPr>
    <w:rPr>
      <w:rFonts w:eastAsiaTheme="majorEastAsia" w:cs="Arial"/>
      <w:color w:val="404040"/>
      <w:szCs w:val="20"/>
    </w:rPr>
  </w:style>
  <w:style w:type="paragraph" w:styleId="Heading9">
    <w:name w:val="heading 9"/>
    <w:basedOn w:val="Normal"/>
    <w:next w:val="Normal"/>
    <w:link w:val="Heading9Char"/>
    <w:uiPriority w:val="9"/>
    <w:semiHidden/>
    <w:unhideWhenUsed/>
    <w:qFormat/>
    <w:rsid w:val="00041097"/>
    <w:pPr>
      <w:numPr>
        <w:ilvl w:val="8"/>
        <w:numId w:val="1"/>
      </w:numPr>
      <w:spacing w:after="240" w:line="240" w:lineRule="auto"/>
      <w:outlineLvl w:val="8"/>
    </w:pPr>
    <w:rPr>
      <w:rFonts w:eastAsiaTheme="majorEastAsia" w:cs="Arial"/>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 Char,Footnote Text Char1 Char Char Char1,Footnote Text Char Char Char Char Char1,Footnote Text Char2 Char1 Char Char Char Char,Footnote Text Char1,Footnote Text Char Char,ft Char,fn,char"/>
    <w:basedOn w:val="Normal"/>
    <w:link w:val="FootnoteTextChar"/>
    <w:uiPriority w:val="99"/>
    <w:unhideWhenUsed/>
    <w:qFormat/>
    <w:rsid w:val="00AF4AEF"/>
    <w:rPr>
      <w:sz w:val="20"/>
      <w:szCs w:val="20"/>
    </w:rPr>
  </w:style>
  <w:style w:type="character" w:customStyle="1" w:styleId="FootnoteTextChar">
    <w:name w:val="Footnote Text Char"/>
    <w:aliases w:val="Footnote Text Char1 Char Char,Footnote Text Char Char Char Char,Footnote Text Char1 Char Char Char1 Char,Footnote Text Char Char Char Char Char1 Char,Footnote Text Char2 Char1 Char Char Char Char Char,Footnote Text Char1 Char1,fn Char"/>
    <w:basedOn w:val="DefaultParagraphFont"/>
    <w:link w:val="FootnoteText"/>
    <w:uiPriority w:val="99"/>
    <w:rsid w:val="00AF4AEF"/>
    <w:rPr>
      <w:sz w:val="20"/>
      <w:szCs w:val="20"/>
    </w:rPr>
  </w:style>
  <w:style w:type="character" w:styleId="FootnoteReference">
    <w:name w:val="footnote reference"/>
    <w:aliases w:val="Style 42,o,fr,(NECG) Footnote Reference,Style 17,Style 20,Style 13,Style 12,o1,fr1,o2,fr2,o3,fr3,Style 15,Style 8,Style 9,Style 18,Style 7,Style 19,Style 28"/>
    <w:basedOn w:val="DefaultParagraphFont"/>
    <w:uiPriority w:val="99"/>
    <w:unhideWhenUsed/>
    <w:rsid w:val="00AF4AEF"/>
    <w:rPr>
      <w:vertAlign w:val="superscript"/>
    </w:rPr>
  </w:style>
  <w:style w:type="paragraph" w:styleId="Header">
    <w:name w:val="header"/>
    <w:basedOn w:val="Normal"/>
    <w:link w:val="HeaderChar"/>
    <w:uiPriority w:val="99"/>
    <w:unhideWhenUsed/>
    <w:rsid w:val="00AF4AEF"/>
    <w:pPr>
      <w:tabs>
        <w:tab w:val="center" w:pos="4680"/>
        <w:tab w:val="right" w:pos="9360"/>
      </w:tabs>
    </w:pPr>
  </w:style>
  <w:style w:type="character" w:customStyle="1" w:styleId="HeaderChar">
    <w:name w:val="Header Char"/>
    <w:basedOn w:val="DefaultParagraphFont"/>
    <w:link w:val="Header"/>
    <w:uiPriority w:val="99"/>
    <w:rsid w:val="00AF4AEF"/>
  </w:style>
  <w:style w:type="paragraph" w:styleId="Footer">
    <w:name w:val="footer"/>
    <w:basedOn w:val="Normal"/>
    <w:link w:val="FooterChar"/>
    <w:uiPriority w:val="99"/>
    <w:unhideWhenUsed/>
    <w:rsid w:val="00AF4AEF"/>
    <w:pPr>
      <w:tabs>
        <w:tab w:val="center" w:pos="4680"/>
        <w:tab w:val="right" w:pos="9360"/>
      </w:tabs>
    </w:pPr>
  </w:style>
  <w:style w:type="character" w:customStyle="1" w:styleId="FooterChar">
    <w:name w:val="Footer Char"/>
    <w:basedOn w:val="DefaultParagraphFont"/>
    <w:link w:val="Footer"/>
    <w:uiPriority w:val="99"/>
    <w:rsid w:val="00AF4AEF"/>
  </w:style>
  <w:style w:type="character" w:styleId="CommentReference">
    <w:name w:val="annotation reference"/>
    <w:basedOn w:val="DefaultParagraphFont"/>
    <w:uiPriority w:val="99"/>
    <w:semiHidden/>
    <w:unhideWhenUsed/>
    <w:rsid w:val="00423BD0"/>
    <w:rPr>
      <w:sz w:val="16"/>
      <w:szCs w:val="16"/>
    </w:rPr>
  </w:style>
  <w:style w:type="paragraph" w:styleId="CommentText">
    <w:name w:val="annotation text"/>
    <w:basedOn w:val="Normal"/>
    <w:link w:val="CommentTextChar"/>
    <w:uiPriority w:val="99"/>
    <w:semiHidden/>
    <w:unhideWhenUsed/>
    <w:rsid w:val="00423BD0"/>
    <w:pPr>
      <w:spacing w:line="240" w:lineRule="auto"/>
    </w:pPr>
    <w:rPr>
      <w:sz w:val="20"/>
      <w:szCs w:val="20"/>
    </w:rPr>
  </w:style>
  <w:style w:type="character" w:customStyle="1" w:styleId="CommentTextChar">
    <w:name w:val="Comment Text Char"/>
    <w:basedOn w:val="DefaultParagraphFont"/>
    <w:link w:val="CommentText"/>
    <w:uiPriority w:val="99"/>
    <w:semiHidden/>
    <w:rsid w:val="00423BD0"/>
    <w:rPr>
      <w:sz w:val="20"/>
      <w:szCs w:val="20"/>
    </w:rPr>
  </w:style>
  <w:style w:type="paragraph" w:styleId="CommentSubject">
    <w:name w:val="annotation subject"/>
    <w:basedOn w:val="CommentText"/>
    <w:next w:val="CommentText"/>
    <w:link w:val="CommentSubjectChar"/>
    <w:uiPriority w:val="99"/>
    <w:semiHidden/>
    <w:unhideWhenUsed/>
    <w:rsid w:val="00423BD0"/>
    <w:rPr>
      <w:b/>
      <w:bCs/>
    </w:rPr>
  </w:style>
  <w:style w:type="character" w:customStyle="1" w:styleId="CommentSubjectChar">
    <w:name w:val="Comment Subject Char"/>
    <w:basedOn w:val="CommentTextChar"/>
    <w:link w:val="CommentSubject"/>
    <w:uiPriority w:val="99"/>
    <w:semiHidden/>
    <w:rsid w:val="00423BD0"/>
    <w:rPr>
      <w:b/>
      <w:bCs/>
      <w:sz w:val="20"/>
      <w:szCs w:val="20"/>
    </w:rPr>
  </w:style>
  <w:style w:type="paragraph" w:styleId="BalloonText">
    <w:name w:val="Balloon Text"/>
    <w:basedOn w:val="Normal"/>
    <w:link w:val="BalloonTextChar"/>
    <w:uiPriority w:val="99"/>
    <w:semiHidden/>
    <w:unhideWhenUsed/>
    <w:rsid w:val="00423BD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3BD0"/>
    <w:rPr>
      <w:rFonts w:ascii="Tahoma" w:hAnsi="Tahoma" w:cs="Tahoma"/>
      <w:sz w:val="16"/>
      <w:szCs w:val="16"/>
    </w:rPr>
  </w:style>
  <w:style w:type="character" w:customStyle="1" w:styleId="Heading1Char">
    <w:name w:val="Heading 1 Char"/>
    <w:basedOn w:val="DefaultParagraphFont"/>
    <w:link w:val="Heading1"/>
    <w:uiPriority w:val="9"/>
    <w:rsid w:val="00041097"/>
    <w:rPr>
      <w:rFonts w:eastAsiaTheme="majorEastAsia" w:cs="Arial"/>
      <w:b/>
      <w:bCs/>
      <w:caps/>
      <w:szCs w:val="28"/>
      <w:u w:val="single"/>
    </w:rPr>
  </w:style>
  <w:style w:type="character" w:customStyle="1" w:styleId="Heading2Char">
    <w:name w:val="Heading 2 Char"/>
    <w:basedOn w:val="DefaultParagraphFont"/>
    <w:link w:val="Heading2"/>
    <w:uiPriority w:val="9"/>
    <w:semiHidden/>
    <w:rsid w:val="00041097"/>
    <w:rPr>
      <w:rFonts w:eastAsiaTheme="majorEastAsia" w:cs="Arial"/>
      <w:b/>
      <w:bCs/>
      <w:szCs w:val="26"/>
    </w:rPr>
  </w:style>
  <w:style w:type="character" w:customStyle="1" w:styleId="Heading3Char">
    <w:name w:val="Heading 3 Char"/>
    <w:basedOn w:val="DefaultParagraphFont"/>
    <w:link w:val="Heading3"/>
    <w:uiPriority w:val="9"/>
    <w:semiHidden/>
    <w:rsid w:val="00041097"/>
    <w:rPr>
      <w:rFonts w:eastAsiaTheme="majorEastAsia" w:cs="Arial"/>
      <w:b/>
      <w:bCs/>
    </w:rPr>
  </w:style>
  <w:style w:type="character" w:customStyle="1" w:styleId="Heading4Char">
    <w:name w:val="Heading 4 Char"/>
    <w:basedOn w:val="DefaultParagraphFont"/>
    <w:link w:val="Heading4"/>
    <w:uiPriority w:val="9"/>
    <w:semiHidden/>
    <w:rsid w:val="00041097"/>
    <w:rPr>
      <w:rFonts w:eastAsiaTheme="majorEastAsia" w:cs="Arial"/>
      <w:b/>
      <w:bCs/>
      <w:i/>
      <w:iCs/>
    </w:rPr>
  </w:style>
  <w:style w:type="character" w:customStyle="1" w:styleId="Heading5Char">
    <w:name w:val="Heading 5 Char"/>
    <w:basedOn w:val="DefaultParagraphFont"/>
    <w:link w:val="Heading5"/>
    <w:uiPriority w:val="9"/>
    <w:semiHidden/>
    <w:rsid w:val="00041097"/>
    <w:rPr>
      <w:rFonts w:eastAsiaTheme="majorEastAsia" w:cs="Arial"/>
      <w:color w:val="243F60"/>
    </w:rPr>
  </w:style>
  <w:style w:type="character" w:customStyle="1" w:styleId="Heading6Char">
    <w:name w:val="Heading 6 Char"/>
    <w:basedOn w:val="DefaultParagraphFont"/>
    <w:link w:val="Heading6"/>
    <w:uiPriority w:val="9"/>
    <w:semiHidden/>
    <w:rsid w:val="00041097"/>
    <w:rPr>
      <w:rFonts w:eastAsiaTheme="majorEastAsia" w:cs="Arial"/>
      <w:iCs/>
      <w:color w:val="243F60"/>
    </w:rPr>
  </w:style>
  <w:style w:type="character" w:customStyle="1" w:styleId="Heading7Char">
    <w:name w:val="Heading 7 Char"/>
    <w:basedOn w:val="DefaultParagraphFont"/>
    <w:link w:val="Heading7"/>
    <w:uiPriority w:val="9"/>
    <w:semiHidden/>
    <w:rsid w:val="00041097"/>
    <w:rPr>
      <w:rFonts w:eastAsiaTheme="majorEastAsia" w:cs="Arial"/>
      <w:iCs/>
      <w:color w:val="404040"/>
    </w:rPr>
  </w:style>
  <w:style w:type="character" w:customStyle="1" w:styleId="Heading8Char">
    <w:name w:val="Heading 8 Char"/>
    <w:basedOn w:val="DefaultParagraphFont"/>
    <w:link w:val="Heading8"/>
    <w:uiPriority w:val="9"/>
    <w:semiHidden/>
    <w:rsid w:val="00041097"/>
    <w:rPr>
      <w:rFonts w:eastAsiaTheme="majorEastAsia" w:cs="Arial"/>
      <w:color w:val="404040"/>
      <w:szCs w:val="20"/>
    </w:rPr>
  </w:style>
  <w:style w:type="character" w:customStyle="1" w:styleId="Heading9Char">
    <w:name w:val="Heading 9 Char"/>
    <w:basedOn w:val="DefaultParagraphFont"/>
    <w:link w:val="Heading9"/>
    <w:uiPriority w:val="9"/>
    <w:semiHidden/>
    <w:rsid w:val="00041097"/>
    <w:rPr>
      <w:rFonts w:eastAsiaTheme="majorEastAsia" w:cs="Arial"/>
      <w:iCs/>
      <w:color w:val="404040"/>
      <w:szCs w:val="20"/>
    </w:rPr>
  </w:style>
  <w:style w:type="paragraph" w:styleId="BodyText">
    <w:name w:val="Body Text"/>
    <w:basedOn w:val="Normal"/>
    <w:link w:val="BodyTextChar"/>
    <w:uiPriority w:val="99"/>
    <w:semiHidden/>
    <w:unhideWhenUsed/>
    <w:rsid w:val="00041097"/>
    <w:pPr>
      <w:spacing w:after="120"/>
    </w:pPr>
  </w:style>
  <w:style w:type="character" w:customStyle="1" w:styleId="BodyTextChar">
    <w:name w:val="Body Text Char"/>
    <w:basedOn w:val="DefaultParagraphFont"/>
    <w:link w:val="BodyText"/>
    <w:uiPriority w:val="99"/>
    <w:semiHidden/>
    <w:rsid w:val="00041097"/>
  </w:style>
  <w:style w:type="paragraph" w:styleId="BodyTextIndent">
    <w:name w:val="Body Text Indent"/>
    <w:basedOn w:val="Normal"/>
    <w:link w:val="BodyTextIndentChar"/>
    <w:uiPriority w:val="99"/>
    <w:semiHidden/>
    <w:unhideWhenUsed/>
    <w:rsid w:val="00A52D2C"/>
    <w:pPr>
      <w:spacing w:after="120"/>
      <w:ind w:left="360"/>
    </w:pPr>
  </w:style>
  <w:style w:type="character" w:customStyle="1" w:styleId="BodyTextIndentChar">
    <w:name w:val="Body Text Indent Char"/>
    <w:basedOn w:val="DefaultParagraphFont"/>
    <w:link w:val="BodyTextIndent"/>
    <w:uiPriority w:val="99"/>
    <w:semiHidden/>
    <w:rsid w:val="00A52D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mailto:williams@whitt-sturtevant.com"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mailto:Stephen.bennett@exeloncorp.com" TargetMode="Externa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4CCB2-6706-4A56-8D48-8E2D2DAD9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1566</TotalTime>
  <Pages>10</Pages>
  <Words>2016</Words>
  <Characters>12416</Characters>
  <Application>Microsoft Office Word</Application>
  <DocSecurity>0</DocSecurity>
  <PresentationFormat/>
  <Lines>318</Lines>
  <Paragraphs>178</Paragraphs>
  <ScaleCrop>false</ScaleCrop>
  <HeadingPairs>
    <vt:vector size="2" baseType="variant">
      <vt:variant>
        <vt:lpstr>Title</vt:lpstr>
      </vt:variant>
      <vt:variant>
        <vt:i4>1</vt:i4>
      </vt:variant>
    </vt:vector>
  </HeadingPairs>
  <TitlesOfParts>
    <vt:vector size="1" baseType="lpstr">
      <vt:lpstr>reply; second application for rehearing (C43473-4).DOCX</vt:lpstr>
    </vt:vector>
  </TitlesOfParts>
  <Company>Some Company, Inc.</Company>
  <LinksUpToDate>false</LinksUpToDate>
  <CharactersWithSpaces>14371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second application for rehearing (C43473-4).DOCX</dc:title>
  <dc:subject>C43473:4 /font=8</dc:subject>
  <dc:creator>_</dc:creator>
  <cp:keywords/>
  <dc:description/>
  <cp:lastModifiedBy>Karen Bowman</cp:lastModifiedBy>
  <cp:revision>42</cp:revision>
  <cp:lastPrinted>2014-04-28T13:50:00Z</cp:lastPrinted>
  <dcterms:created xsi:type="dcterms:W3CDTF">2014-04-19T09:03:00Z</dcterms:created>
  <dcterms:modified xsi:type="dcterms:W3CDTF">2014-04-28T19:00:00Z</dcterms:modified>
</cp:coreProperties>
</file>