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071" w14:textId="77777777" w:rsidR="009D6B05" w:rsidRDefault="009D6B0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1BDA894D" w14:textId="77777777" w:rsidR="009D6B05" w:rsidRDefault="009D6B05">
      <w:pPr>
        <w:pStyle w:val="HTMLPreformatted"/>
        <w:jc w:val="center"/>
        <w:rPr>
          <w:rFonts w:ascii="Times New Roman" w:hAnsi="Times New Roman"/>
          <w:sz w:val="24"/>
        </w:rPr>
      </w:pPr>
      <w:r>
        <w:rPr>
          <w:rFonts w:ascii="Times New Roman" w:hAnsi="Times New Roman"/>
          <w:b/>
          <w:bCs/>
          <w:sz w:val="24"/>
        </w:rPr>
        <w:t xml:space="preserve">THE PUBLIC UTILITIES </w:t>
      </w:r>
      <w:r w:rsidR="005851FE">
        <w:rPr>
          <w:rFonts w:ascii="Times New Roman" w:hAnsi="Times New Roman"/>
          <w:b/>
          <w:bCs/>
          <w:sz w:val="24"/>
        </w:rPr>
        <w:t>COMMISSION</w:t>
      </w:r>
      <w:r>
        <w:rPr>
          <w:rFonts w:ascii="Times New Roman" w:hAnsi="Times New Roman"/>
          <w:b/>
          <w:bCs/>
          <w:sz w:val="24"/>
        </w:rPr>
        <w:t xml:space="preserve"> OF OHIO</w:t>
      </w:r>
    </w:p>
    <w:p w14:paraId="29D2182E" w14:textId="77777777" w:rsidR="009D6B05" w:rsidRDefault="009D6B05">
      <w:pPr>
        <w:pStyle w:val="HTMLPreformatted"/>
        <w:rPr>
          <w:rFonts w:ascii="Times New Roman" w:hAnsi="Times New Roman"/>
          <w:sz w:val="24"/>
        </w:rPr>
      </w:pPr>
    </w:p>
    <w:tbl>
      <w:tblPr>
        <w:tblW w:w="9092" w:type="dxa"/>
        <w:tblLook w:val="01E0" w:firstRow="1" w:lastRow="1" w:firstColumn="1" w:lastColumn="1" w:noHBand="0" w:noVBand="0"/>
      </w:tblPr>
      <w:tblGrid>
        <w:gridCol w:w="4068"/>
        <w:gridCol w:w="540"/>
        <w:gridCol w:w="4484"/>
      </w:tblGrid>
      <w:tr w:rsidR="00E21F01" w14:paraId="4582CB2D" w14:textId="77777777" w:rsidTr="00E21F01">
        <w:trPr>
          <w:trHeight w:val="807"/>
        </w:trPr>
        <w:tc>
          <w:tcPr>
            <w:tcW w:w="4068" w:type="dxa"/>
            <w:shd w:val="clear" w:color="auto" w:fill="auto"/>
          </w:tcPr>
          <w:p w14:paraId="06263DC0" w14:textId="77777777" w:rsidR="00E21F01" w:rsidRPr="00E21F01" w:rsidRDefault="00E21F01" w:rsidP="00E21F01">
            <w:pPr>
              <w:pStyle w:val="HTMLPreformatted"/>
              <w:rPr>
                <w:rFonts w:ascii="Times New Roman" w:hAnsi="Times New Roman" w:cs="Times New Roman"/>
                <w:sz w:val="24"/>
                <w:szCs w:val="24"/>
              </w:rPr>
            </w:pPr>
            <w:r w:rsidRPr="00E21F01">
              <w:rPr>
                <w:rFonts w:ascii="Times New Roman" w:hAnsi="Times New Roman" w:cs="Times New Roman"/>
                <w:sz w:val="24"/>
                <w:szCs w:val="24"/>
              </w:rPr>
              <w:t>In the Matter of the Application of Ohio Power Company to Adopt a Final Implementation Plan for the Retail Stability Rider.</w:t>
            </w:r>
          </w:p>
        </w:tc>
        <w:tc>
          <w:tcPr>
            <w:tcW w:w="540" w:type="dxa"/>
            <w:shd w:val="clear" w:color="auto" w:fill="auto"/>
          </w:tcPr>
          <w:p w14:paraId="041BA693"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33D2153E"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1D85BC13"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p w14:paraId="2E8CE27F"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w:t>
            </w:r>
          </w:p>
        </w:tc>
        <w:tc>
          <w:tcPr>
            <w:tcW w:w="4484" w:type="dxa"/>
            <w:shd w:val="clear" w:color="auto" w:fill="auto"/>
          </w:tcPr>
          <w:p w14:paraId="6DD9E173" w14:textId="77777777" w:rsidR="00E21F01" w:rsidRPr="00A044B5" w:rsidRDefault="00E21F01" w:rsidP="00EF5754">
            <w:pPr>
              <w:pStyle w:val="HTMLPreformatted"/>
              <w:rPr>
                <w:rFonts w:ascii="Times New Roman" w:hAnsi="Times New Roman"/>
                <w:sz w:val="24"/>
              </w:rPr>
            </w:pPr>
          </w:p>
          <w:p w14:paraId="5AAAE546" w14:textId="77777777" w:rsidR="00E21F01" w:rsidRPr="00A044B5" w:rsidRDefault="00E21F01" w:rsidP="00EF5754">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14-1186-EL-RDR</w:t>
            </w:r>
          </w:p>
          <w:p w14:paraId="692A88DE" w14:textId="77777777" w:rsidR="00E21F01" w:rsidRPr="00A044B5" w:rsidRDefault="00E21F01" w:rsidP="00EF5754">
            <w:pPr>
              <w:pStyle w:val="HTMLPreformatted"/>
              <w:rPr>
                <w:rFonts w:ascii="Times New Roman" w:hAnsi="Times New Roman"/>
                <w:sz w:val="24"/>
              </w:rPr>
            </w:pPr>
          </w:p>
          <w:p w14:paraId="1FD18FB5" w14:textId="77777777" w:rsidR="00E21F01" w:rsidRPr="00A044B5" w:rsidRDefault="00E21F01" w:rsidP="00EF5754">
            <w:pPr>
              <w:pStyle w:val="HTMLPreformatted"/>
              <w:rPr>
                <w:rFonts w:ascii="Times New Roman" w:hAnsi="Times New Roman"/>
                <w:sz w:val="24"/>
              </w:rPr>
            </w:pPr>
          </w:p>
        </w:tc>
      </w:tr>
    </w:tbl>
    <w:p w14:paraId="389BF5B6" w14:textId="77777777" w:rsidR="009D6B05" w:rsidRDefault="009D6B05">
      <w:pPr>
        <w:pStyle w:val="HTMLPreformatted"/>
        <w:rPr>
          <w:rFonts w:ascii="Times New Roman" w:hAnsi="Times New Roman"/>
          <w:sz w:val="24"/>
        </w:rPr>
      </w:pPr>
      <w:r>
        <w:rPr>
          <w:rFonts w:ascii="Times New Roman" w:hAnsi="Times New Roman"/>
          <w:sz w:val="24"/>
        </w:rPr>
        <w:tab/>
      </w:r>
    </w:p>
    <w:p w14:paraId="522E0AC7" w14:textId="77777777" w:rsidR="009D6B05" w:rsidRDefault="009D6B05">
      <w:pPr>
        <w:pStyle w:val="HTMLPreformatted"/>
        <w:pBdr>
          <w:top w:val="single" w:sz="12" w:space="1" w:color="auto"/>
        </w:pBdr>
        <w:rPr>
          <w:rFonts w:ascii="Times New Roman" w:hAnsi="Times New Roman"/>
          <w:sz w:val="24"/>
        </w:rPr>
      </w:pPr>
    </w:p>
    <w:p w14:paraId="420CB22A" w14:textId="6E407D72" w:rsidR="005E361D" w:rsidRDefault="00D05E0D">
      <w:pPr>
        <w:jc w:val="center"/>
        <w:rPr>
          <w:b/>
        </w:rPr>
      </w:pPr>
      <w:r>
        <w:rPr>
          <w:b/>
        </w:rPr>
        <w:t>REPLY TO OHIO POWER’S MEMORANDUM IN OPPOSITION TO</w:t>
      </w:r>
    </w:p>
    <w:p w14:paraId="4B604EF5" w14:textId="4721B5CD" w:rsidR="009D6B05" w:rsidRDefault="00F73EA5">
      <w:pPr>
        <w:jc w:val="center"/>
        <w:rPr>
          <w:b/>
          <w:bCs/>
        </w:rPr>
      </w:pPr>
      <w:r>
        <w:rPr>
          <w:b/>
        </w:rPr>
        <w:t>MOTION FOR PROCEDURAL SCHEDULE</w:t>
      </w:r>
      <w:r w:rsidR="00E237B6">
        <w:rPr>
          <w:b/>
        </w:rPr>
        <w:t xml:space="preserve"> </w:t>
      </w:r>
      <w:r w:rsidR="00145295">
        <w:rPr>
          <w:b/>
        </w:rPr>
        <w:t>THAT PROVIDES ADEQUATE TIME FOR DI</w:t>
      </w:r>
      <w:r w:rsidR="00E21F01">
        <w:rPr>
          <w:b/>
        </w:rPr>
        <w:t>SCOVERY AND HEARING PREPARATION</w:t>
      </w:r>
    </w:p>
    <w:p w14:paraId="48C1DE9A" w14:textId="77777777" w:rsidR="009D6B05" w:rsidRDefault="009D6B05">
      <w:pPr>
        <w:jc w:val="center"/>
        <w:rPr>
          <w:b/>
          <w:bCs/>
        </w:rPr>
      </w:pPr>
      <w:r>
        <w:rPr>
          <w:b/>
          <w:bCs/>
        </w:rPr>
        <w:t>BY</w:t>
      </w:r>
    </w:p>
    <w:p w14:paraId="50858C5E" w14:textId="77777777" w:rsidR="009D6B05" w:rsidRDefault="009D6B05">
      <w:pPr>
        <w:jc w:val="center"/>
        <w:rPr>
          <w:b/>
          <w:bCs/>
        </w:rPr>
      </w:pPr>
      <w:r>
        <w:rPr>
          <w:b/>
          <w:bCs/>
        </w:rPr>
        <w:t>THE OFFICE OF THE OHIO CONSUMERS’ COUNSEL</w:t>
      </w:r>
    </w:p>
    <w:p w14:paraId="2E66C47F" w14:textId="77777777" w:rsidR="009D6B05" w:rsidRDefault="009D6B05">
      <w:pPr>
        <w:pBdr>
          <w:bottom w:val="single" w:sz="12" w:space="1" w:color="auto"/>
        </w:pBdr>
        <w:tabs>
          <w:tab w:val="left" w:pos="4320"/>
        </w:tabs>
      </w:pPr>
    </w:p>
    <w:p w14:paraId="378D0784" w14:textId="77777777" w:rsidR="009D6B05" w:rsidRDefault="009D6B05">
      <w:pPr>
        <w:tabs>
          <w:tab w:val="left" w:pos="4320"/>
        </w:tabs>
      </w:pPr>
    </w:p>
    <w:p w14:paraId="27F73998" w14:textId="446B3DC3" w:rsidR="005B0064" w:rsidRPr="005B0064" w:rsidRDefault="005B0064" w:rsidP="005B0064">
      <w:pPr>
        <w:autoSpaceDE w:val="0"/>
        <w:autoSpaceDN w:val="0"/>
        <w:adjustRightInd w:val="0"/>
        <w:spacing w:before="240" w:line="480" w:lineRule="auto"/>
        <w:rPr>
          <w:b/>
        </w:rPr>
      </w:pPr>
      <w:r>
        <w:rPr>
          <w:b/>
        </w:rPr>
        <w:t>I.</w:t>
      </w:r>
      <w:r>
        <w:rPr>
          <w:b/>
        </w:rPr>
        <w:tab/>
        <w:t>INTRODUCTION</w:t>
      </w:r>
    </w:p>
    <w:p w14:paraId="0FDA23D1" w14:textId="6B75F496" w:rsidR="00A55084" w:rsidRDefault="00D05E0D" w:rsidP="00A55084">
      <w:pPr>
        <w:tabs>
          <w:tab w:val="left" w:pos="720"/>
        </w:tabs>
        <w:spacing w:line="480" w:lineRule="auto"/>
        <w:ind w:firstLine="720"/>
      </w:pPr>
      <w:r>
        <w:t>In this case,</w:t>
      </w:r>
      <w:r w:rsidR="006A097F">
        <w:t xml:space="preserve"> Ohio Power Company (“AEP Ohio”) </w:t>
      </w:r>
      <w:r w:rsidR="006A097F">
        <w:rPr>
          <w:rFonts w:ascii="TimesNewRomanPSMT" w:hAnsi="TimesNewRomanPSMT" w:cs="TimesNewRomanPSMT"/>
          <w:szCs w:val="24"/>
        </w:rPr>
        <w:t>has proposed to collect from customers $418</w:t>
      </w:r>
      <w:r w:rsidR="00045E08">
        <w:rPr>
          <w:rFonts w:ascii="TimesNewRomanPSMT" w:hAnsi="TimesNewRomanPSMT" w:cs="TimesNewRomanPSMT"/>
          <w:szCs w:val="24"/>
        </w:rPr>
        <w:t>.4</w:t>
      </w:r>
      <w:r w:rsidR="006A097F">
        <w:rPr>
          <w:rFonts w:ascii="TimesNewRomanPSMT" w:hAnsi="TimesNewRomanPSMT" w:cs="TimesNewRomanPSMT"/>
          <w:szCs w:val="24"/>
        </w:rPr>
        <w:t xml:space="preserve"> million in capacity costs (plus carrying charges) resulting from AEP Ohio providing discounted capacity to competitive retail electric service (“CRES”) providers</w:t>
      </w:r>
      <w:r w:rsidR="00A55084" w:rsidRPr="007F2258">
        <w:t xml:space="preserve"> </w:t>
      </w:r>
      <w:r w:rsidR="00A55084">
        <w:t>during the term of AEP Ohio’s second electric security plan</w:t>
      </w:r>
      <w:r w:rsidR="00804156">
        <w:t xml:space="preserve"> (“ESP”)</w:t>
      </w:r>
      <w:r w:rsidR="00A55084">
        <w:t>.</w:t>
      </w:r>
      <w:r w:rsidR="00A55084">
        <w:rPr>
          <w:rStyle w:val="FootnoteReference"/>
        </w:rPr>
        <w:footnoteReference w:id="2"/>
      </w:r>
      <w:r w:rsidR="00A55084">
        <w:t xml:space="preserve">  The Public Utilities Commission of Ohio (“PUCO”) authorized that discount in AEP Ohio’s Capacity Charge Case.</w:t>
      </w:r>
      <w:r w:rsidR="00A55084">
        <w:rPr>
          <w:rStyle w:val="FootnoteReference"/>
        </w:rPr>
        <w:footnoteReference w:id="3"/>
      </w:r>
      <w:r w:rsidR="00A55084">
        <w:t xml:space="preserve">  In that </w:t>
      </w:r>
      <w:r w:rsidR="00EE0409">
        <w:t>proceeding</w:t>
      </w:r>
      <w:r w:rsidR="00A55084">
        <w:t>, the PUCO permitted AEP Ohio to defer the difference between the market-based rate it would charge the CRES providers and AEP Ohio’s fully embedded cost.</w:t>
      </w:r>
      <w:r w:rsidR="00A55084">
        <w:rPr>
          <w:rStyle w:val="FootnoteReference"/>
        </w:rPr>
        <w:footnoteReference w:id="4"/>
      </w:r>
      <w:r w:rsidR="00A55084">
        <w:t xml:space="preserve">  </w:t>
      </w:r>
    </w:p>
    <w:p w14:paraId="3E9CB8CE" w14:textId="27352152" w:rsidR="00A55084" w:rsidRDefault="00A55084" w:rsidP="00A55084">
      <w:pPr>
        <w:tabs>
          <w:tab w:val="left" w:pos="720"/>
        </w:tabs>
        <w:spacing w:line="480" w:lineRule="auto"/>
        <w:ind w:firstLine="720"/>
        <w:rPr>
          <w:szCs w:val="24"/>
        </w:rPr>
      </w:pPr>
      <w:r>
        <w:lastRenderedPageBreak/>
        <w:t xml:space="preserve">AEP Ohio now proposes to collect the deferred cost </w:t>
      </w:r>
      <w:r w:rsidR="000F7F66">
        <w:t>–</w:t>
      </w:r>
      <w:r w:rsidR="007537AB">
        <w:t xml:space="preserve"> </w:t>
      </w:r>
      <w:r w:rsidR="000F7F66">
        <w:t xml:space="preserve">an estimated $418.4 million – </w:t>
      </w:r>
      <w:r>
        <w:t>from customers in this case by continuing its current Retail Stability Rider Charge (“RSR”).</w:t>
      </w:r>
      <w:r>
        <w:rPr>
          <w:rStyle w:val="FootnoteReference"/>
        </w:rPr>
        <w:footnoteReference w:id="5"/>
      </w:r>
      <w:r>
        <w:t xml:space="preserve">  AEP Ohio has proposed that customers will start paying these costs June 1, 2015 and will continue to pay </w:t>
      </w:r>
      <w:r w:rsidR="00EE0409">
        <w:t xml:space="preserve">them </w:t>
      </w:r>
      <w:r>
        <w:t>through January 2018.</w:t>
      </w:r>
      <w:r>
        <w:rPr>
          <w:rStyle w:val="FootnoteReference"/>
        </w:rPr>
        <w:footnoteReference w:id="6"/>
      </w:r>
      <w:r>
        <w:t xml:space="preserve">  This proceeding will establish how the costs are to be collected, and what portion of those costs will be charged to the residential customer class.  </w:t>
      </w:r>
    </w:p>
    <w:p w14:paraId="7D9F8258" w14:textId="62E6481E" w:rsidR="009B66E0" w:rsidRPr="00BE06FC" w:rsidRDefault="00A55084" w:rsidP="002D3969">
      <w:pPr>
        <w:autoSpaceDE w:val="0"/>
        <w:autoSpaceDN w:val="0"/>
        <w:adjustRightInd w:val="0"/>
        <w:spacing w:line="480" w:lineRule="auto"/>
        <w:ind w:firstLine="720"/>
        <w:rPr>
          <w:i/>
        </w:rPr>
      </w:pPr>
      <w:r>
        <w:t>The PUCO has before it a motion to dismiss this case,</w:t>
      </w:r>
      <w:r w:rsidR="002A7671">
        <w:rPr>
          <w:rStyle w:val="FootnoteReference"/>
          <w:rFonts w:ascii="TimesNewRomanPSMT" w:hAnsi="TimesNewRomanPSMT" w:cs="TimesNewRomanPSMT"/>
          <w:szCs w:val="24"/>
        </w:rPr>
        <w:footnoteReference w:id="7"/>
      </w:r>
      <w:r>
        <w:t xml:space="preserve"> which</w:t>
      </w:r>
      <w:r w:rsidR="006A097F">
        <w:t xml:space="preserve"> </w:t>
      </w:r>
      <w:r>
        <w:t>t</w:t>
      </w:r>
      <w:r w:rsidR="002A7671">
        <w:t>he Office of the Ohio Consumers’ Counsel (“OCC”) supports.</w:t>
      </w:r>
      <w:r w:rsidR="000F7F66">
        <w:t xml:space="preserve">  </w:t>
      </w:r>
      <w:r>
        <w:t xml:space="preserve">On September 2, 2014, OCC filed a Motion asking the PUCO, </w:t>
      </w:r>
      <w:r w:rsidR="002A7671">
        <w:t xml:space="preserve">if </w:t>
      </w:r>
      <w:r>
        <w:t xml:space="preserve">it </w:t>
      </w:r>
      <w:r w:rsidR="002A7671">
        <w:t xml:space="preserve">does not dismiss the case, </w:t>
      </w:r>
      <w:r w:rsidR="006A097F">
        <w:t xml:space="preserve">to set a procedural schedule </w:t>
      </w:r>
      <w:r>
        <w:t xml:space="preserve">that, in part, </w:t>
      </w:r>
      <w:r w:rsidR="008220C0">
        <w:t xml:space="preserve">provides adequate time for discovery (including the taking of depositions) and hearing preparation.  OCC requests </w:t>
      </w:r>
      <w:r w:rsidR="00E21F01">
        <w:t>a</w:t>
      </w:r>
      <w:r w:rsidR="008220C0">
        <w:t xml:space="preserve"> procedural schedule </w:t>
      </w:r>
      <w:r w:rsidR="006A097F">
        <w:t>with</w:t>
      </w:r>
      <w:r w:rsidR="008220C0">
        <w:t xml:space="preserve"> the following timeframes: </w:t>
      </w:r>
    </w:p>
    <w:p w14:paraId="32C99A1F" w14:textId="1B0DAA09" w:rsidR="001B60D5" w:rsidRPr="00F46C83" w:rsidRDefault="001B60D5" w:rsidP="009D5472">
      <w:pPr>
        <w:numPr>
          <w:ilvl w:val="0"/>
          <w:numId w:val="21"/>
        </w:numPr>
        <w:spacing w:after="240"/>
        <w:ind w:left="2160" w:right="720" w:hanging="720"/>
        <w:rPr>
          <w:i/>
        </w:rPr>
      </w:pPr>
      <w:r>
        <w:t>AEP Ohio</w:t>
      </w:r>
      <w:r w:rsidR="006A097F">
        <w:t>’s</w:t>
      </w:r>
      <w:r>
        <w:t xml:space="preserve"> testimony in support of the Application</w:t>
      </w:r>
      <w:r w:rsidR="00E21F01">
        <w:t xml:space="preserve"> </w:t>
      </w:r>
      <w:r w:rsidR="002D3969">
        <w:t xml:space="preserve">to be filed </w:t>
      </w:r>
      <w:r w:rsidR="00E21F01">
        <w:t>by November 12, 2014</w:t>
      </w:r>
      <w:r>
        <w:t>;</w:t>
      </w:r>
    </w:p>
    <w:p w14:paraId="6B587795" w14:textId="4564A102" w:rsidR="00BE06FC" w:rsidRPr="003858C2" w:rsidRDefault="00E21F01" w:rsidP="009D5472">
      <w:pPr>
        <w:numPr>
          <w:ilvl w:val="0"/>
          <w:numId w:val="21"/>
        </w:numPr>
        <w:spacing w:after="240"/>
        <w:ind w:left="2160" w:right="720" w:hanging="720"/>
        <w:rPr>
          <w:i/>
        </w:rPr>
      </w:pPr>
      <w:r>
        <w:t xml:space="preserve">PUCO Staff and </w:t>
      </w:r>
      <w:r w:rsidR="000A3F9A">
        <w:t xml:space="preserve">Intervenor </w:t>
      </w:r>
      <w:r w:rsidR="00804156">
        <w:t>t</w:t>
      </w:r>
      <w:r w:rsidR="000A3F9A">
        <w:t>estimony</w:t>
      </w:r>
      <w:r>
        <w:t xml:space="preserve"> </w:t>
      </w:r>
      <w:r w:rsidR="002D3969">
        <w:t xml:space="preserve">to be filed </w:t>
      </w:r>
      <w:r>
        <w:t>by December 12, 2014</w:t>
      </w:r>
      <w:r w:rsidR="00147E56">
        <w:t>;</w:t>
      </w:r>
      <w:r>
        <w:t xml:space="preserve"> and</w:t>
      </w:r>
    </w:p>
    <w:p w14:paraId="3BF07482" w14:textId="312E1134" w:rsidR="00BE06FC" w:rsidRDefault="00BE06FC" w:rsidP="009D5472">
      <w:pPr>
        <w:numPr>
          <w:ilvl w:val="0"/>
          <w:numId w:val="21"/>
        </w:numPr>
        <w:spacing w:after="240"/>
        <w:ind w:left="2160" w:right="720" w:hanging="720"/>
      </w:pPr>
      <w:r w:rsidRPr="00047E70">
        <w:t>Hearing</w:t>
      </w:r>
      <w:r w:rsidR="00CE5A2F">
        <w:t xml:space="preserve"> </w:t>
      </w:r>
      <w:r w:rsidR="002D3969">
        <w:t xml:space="preserve">to </w:t>
      </w:r>
      <w:r w:rsidR="00E21F01">
        <w:t>c</w:t>
      </w:r>
      <w:r w:rsidR="00CE5A2F">
        <w:t xml:space="preserve">ommence </w:t>
      </w:r>
      <w:r w:rsidR="00E21F01">
        <w:t>on January 1</w:t>
      </w:r>
      <w:r w:rsidR="00157919">
        <w:t>2</w:t>
      </w:r>
      <w:r w:rsidR="00E21F01">
        <w:t>, 2015</w:t>
      </w:r>
      <w:r w:rsidR="004C6EC0">
        <w:t>.</w:t>
      </w:r>
    </w:p>
    <w:p w14:paraId="748B2819" w14:textId="77777777" w:rsidR="009D5472" w:rsidRDefault="009D5472" w:rsidP="009D5472">
      <w:pPr>
        <w:tabs>
          <w:tab w:val="left" w:pos="720"/>
        </w:tabs>
        <w:ind w:firstLine="720"/>
      </w:pPr>
    </w:p>
    <w:p w14:paraId="78FDE19E" w14:textId="20B3B691" w:rsidR="005F6B8F" w:rsidRDefault="000F7F66" w:rsidP="005F6B8F">
      <w:pPr>
        <w:tabs>
          <w:tab w:val="left" w:pos="720"/>
        </w:tabs>
        <w:spacing w:line="480" w:lineRule="auto"/>
        <w:ind w:firstLine="720"/>
      </w:pPr>
      <w:r>
        <w:t xml:space="preserve">On September 17, 2014, AEP Ohio filed a Memorandum in Opposition to OCC’s Motion.  </w:t>
      </w:r>
      <w:r w:rsidR="0009067F">
        <w:t xml:space="preserve">AEP Ohio makes three arguments </w:t>
      </w:r>
      <w:r w:rsidR="005F6B8F">
        <w:t>opposing</w:t>
      </w:r>
      <w:r w:rsidR="0009067F">
        <w:t xml:space="preserve"> OCC’s Motion.  First, AEP Ohio claims that OCC is attempting to relitigate determinations made in the ESP 2 decision.</w:t>
      </w:r>
      <w:r w:rsidR="0009067F" w:rsidRPr="0009067F">
        <w:rPr>
          <w:rStyle w:val="FootnoteReference"/>
        </w:rPr>
        <w:t xml:space="preserve"> </w:t>
      </w:r>
      <w:r w:rsidR="0009067F">
        <w:rPr>
          <w:rStyle w:val="FootnoteReference"/>
        </w:rPr>
        <w:footnoteReference w:id="8"/>
      </w:r>
      <w:r w:rsidR="0009067F">
        <w:t xml:space="preserve">  </w:t>
      </w:r>
      <w:r w:rsidR="0009067F">
        <w:lastRenderedPageBreak/>
        <w:t>Second, AEP Ohio contends that an evidentiary hearing on the RSR is unjustified and would cause undue delay</w:t>
      </w:r>
      <w:r w:rsidR="0009067F" w:rsidRPr="0009067F">
        <w:t>.</w:t>
      </w:r>
      <w:r w:rsidR="0009067F">
        <w:rPr>
          <w:rStyle w:val="FootnoteReference"/>
        </w:rPr>
        <w:footnoteReference w:id="9"/>
      </w:r>
      <w:r w:rsidR="0009067F">
        <w:t xml:space="preserve">  Third, AEP Ohio argues that the scope of any hearing should be narrow, with limited discovery.</w:t>
      </w:r>
      <w:r w:rsidR="0009067F">
        <w:rPr>
          <w:rStyle w:val="FootnoteReference"/>
        </w:rPr>
        <w:footnoteReference w:id="10"/>
      </w:r>
      <w:r w:rsidR="0009067F">
        <w:t xml:space="preserve">  This argument is linked to AEP Ohio’s first </w:t>
      </w:r>
      <w:r w:rsidR="00590B65">
        <w:t>claim</w:t>
      </w:r>
      <w:r w:rsidR="0009067F">
        <w:t xml:space="preserve">.  Thus, if its first </w:t>
      </w:r>
      <w:r w:rsidR="00590B65">
        <w:t>claim</w:t>
      </w:r>
      <w:r w:rsidR="0009067F">
        <w:t xml:space="preserve"> fails, this </w:t>
      </w:r>
      <w:r w:rsidR="00590B65">
        <w:t>argument should also fail.</w:t>
      </w:r>
    </w:p>
    <w:p w14:paraId="296F9658" w14:textId="3D1FF073" w:rsidR="005F6B8F" w:rsidRDefault="005F6B8F" w:rsidP="005F6B8F">
      <w:pPr>
        <w:tabs>
          <w:tab w:val="left" w:pos="720"/>
        </w:tabs>
        <w:spacing w:line="480" w:lineRule="auto"/>
        <w:ind w:firstLine="720"/>
      </w:pPr>
      <w:r>
        <w:t xml:space="preserve">AEP Ohio’s arguments are flawed.  </w:t>
      </w:r>
      <w:r w:rsidR="002F20B0">
        <w:t xml:space="preserve">If the PUCO does not dismiss the case, it </w:t>
      </w:r>
      <w:r>
        <w:t>should grant OCC’s Motion.</w:t>
      </w:r>
    </w:p>
    <w:p w14:paraId="612D2CB1" w14:textId="3A6FB7CE" w:rsidR="005B0064" w:rsidRPr="005B0064" w:rsidRDefault="005B0064" w:rsidP="005B0064">
      <w:pPr>
        <w:tabs>
          <w:tab w:val="left" w:pos="720"/>
        </w:tabs>
        <w:spacing w:before="240" w:line="480" w:lineRule="auto"/>
        <w:rPr>
          <w:b/>
        </w:rPr>
      </w:pPr>
      <w:r>
        <w:rPr>
          <w:b/>
        </w:rPr>
        <w:t>II.</w:t>
      </w:r>
      <w:r>
        <w:rPr>
          <w:b/>
        </w:rPr>
        <w:tab/>
        <w:t>DISCUSSION</w:t>
      </w:r>
    </w:p>
    <w:p w14:paraId="41393EBA" w14:textId="29377581" w:rsidR="0009067F" w:rsidRDefault="005B0064" w:rsidP="009D5472">
      <w:pPr>
        <w:pStyle w:val="Heading2"/>
      </w:pPr>
      <w:r>
        <w:t xml:space="preserve">The Issues Presented in </w:t>
      </w:r>
      <w:r w:rsidR="0009067F" w:rsidRPr="006B11F1">
        <w:t>OCC</w:t>
      </w:r>
      <w:r>
        <w:t>’s Motion Were Not Litigated in</w:t>
      </w:r>
      <w:r w:rsidR="0009067F" w:rsidRPr="006B11F1">
        <w:t xml:space="preserve"> the </w:t>
      </w:r>
      <w:r w:rsidR="0009067F" w:rsidRPr="005B0064">
        <w:t xml:space="preserve">ESP </w:t>
      </w:r>
      <w:r>
        <w:t>2</w:t>
      </w:r>
      <w:r w:rsidR="0009067F" w:rsidRPr="006B11F1">
        <w:t xml:space="preserve"> </w:t>
      </w:r>
      <w:r>
        <w:t>Case</w:t>
      </w:r>
      <w:r w:rsidR="0009067F" w:rsidRPr="006B11F1">
        <w:t>.</w:t>
      </w:r>
    </w:p>
    <w:p w14:paraId="12838F79" w14:textId="5F390CC8" w:rsidR="005B0064" w:rsidRDefault="005B0064" w:rsidP="0009067F">
      <w:pPr>
        <w:spacing w:line="480" w:lineRule="auto"/>
        <w:ind w:firstLine="720"/>
      </w:pPr>
      <w:r>
        <w:t>In arguing that OCC is attempting to relitigate issues from the ESP 2 case, AE</w:t>
      </w:r>
      <w:r w:rsidR="003F445E">
        <w:t>P</w:t>
      </w:r>
      <w:r>
        <w:t xml:space="preserve"> Ohio makes two assertions.  First, AEP Ohio claims that “</w:t>
      </w:r>
      <w:r w:rsidR="0009067F">
        <w:t xml:space="preserve">OCC is simply wrong in claiming – as a premise for its procedural request – that the </w:t>
      </w:r>
      <w:r w:rsidR="0009067F" w:rsidRPr="00685E36">
        <w:rPr>
          <w:i/>
        </w:rPr>
        <w:t>ESP II</w:t>
      </w:r>
      <w:r w:rsidR="0009067F">
        <w:t xml:space="preserve"> decision did not already determine that the RSR would be utilized after the ESP term to collect the then-remaining deferral balance.</w:t>
      </w:r>
      <w:r>
        <w:t>”</w:t>
      </w:r>
      <w:r>
        <w:rPr>
          <w:rStyle w:val="FootnoteReference"/>
        </w:rPr>
        <w:footnoteReference w:id="11"/>
      </w:r>
      <w:r w:rsidR="0009067F">
        <w:t xml:space="preserve">  </w:t>
      </w:r>
      <w:r>
        <w:t xml:space="preserve">Second, AEP Ohio contends that </w:t>
      </w:r>
      <w:r w:rsidR="0009067F">
        <w:t xml:space="preserve">OCC’s request </w:t>
      </w:r>
      <w:r>
        <w:t>that the PUCO make the collection under the RSR</w:t>
      </w:r>
      <w:r w:rsidR="0009067F">
        <w:t xml:space="preserve"> subject to refund </w:t>
      </w:r>
      <w:r>
        <w:t>“</w:t>
      </w:r>
      <w:r w:rsidR="0009067F">
        <w:t>is tantamount to a stay request under R.C. 4903.16.</w:t>
      </w:r>
      <w:r>
        <w:t>”</w:t>
      </w:r>
      <w:r>
        <w:rPr>
          <w:rStyle w:val="FootnoteReference"/>
        </w:rPr>
        <w:footnoteReference w:id="12"/>
      </w:r>
      <w:r w:rsidR="0009067F">
        <w:t xml:space="preserve">  </w:t>
      </w:r>
      <w:r>
        <w:t>AEP Ohio is wrong on both assertions.</w:t>
      </w:r>
    </w:p>
    <w:p w14:paraId="68FE9DFC" w14:textId="49496DEF" w:rsidR="003F445E" w:rsidRDefault="003F445E" w:rsidP="0009067F">
      <w:pPr>
        <w:spacing w:line="480" w:lineRule="auto"/>
        <w:ind w:firstLine="720"/>
      </w:pPr>
      <w:r>
        <w:t>AEP Ohio’s claim that the ESP 2 decision settled all issues concerning the RSR is false.  As OCC noted in its Motion,</w:t>
      </w:r>
      <w:r>
        <w:rPr>
          <w:rStyle w:val="FootnoteReference"/>
        </w:rPr>
        <w:footnoteReference w:id="13"/>
      </w:r>
      <w:r>
        <w:t xml:space="preserve"> the mechanism for collecting deferrals through the RSR was never examined in the ESP 2 case.  The decision in the Capacity Charge case </w:t>
      </w:r>
      <w:r>
        <w:lastRenderedPageBreak/>
        <w:t>was not issued until after the evidentiary hearings in the ESP 2 case had concluded and the initial briefs were filed.  The PUCO did not hold hearings in either the Capacity Charge Case or the ESP 2 case concerning the mechanism for collecti</w:t>
      </w:r>
      <w:r w:rsidR="00DB1E11">
        <w:t xml:space="preserve">ng </w:t>
      </w:r>
      <w:r>
        <w:t>deferrals through the RSR.  The PUCO even refused to take administrative notice of relevant portions of the Capacity Charge Case’s record in the ESP 2 case.</w:t>
      </w:r>
      <w:r w:rsidR="00EE0409">
        <w:rPr>
          <w:rStyle w:val="FootnoteReference"/>
        </w:rPr>
        <w:footnoteReference w:id="14"/>
      </w:r>
    </w:p>
    <w:p w14:paraId="1D371298" w14:textId="244EEDE9" w:rsidR="003F445E" w:rsidRDefault="003F445E" w:rsidP="0009067F">
      <w:pPr>
        <w:spacing w:line="480" w:lineRule="auto"/>
        <w:ind w:firstLine="720"/>
      </w:pPr>
      <w:r>
        <w:t xml:space="preserve">Further, </w:t>
      </w:r>
      <w:r w:rsidR="00747312">
        <w:t xml:space="preserve">several portions of </w:t>
      </w:r>
      <w:r>
        <w:t>the ESP 2 Order</w:t>
      </w:r>
      <w:r w:rsidR="00747312">
        <w:t xml:space="preserve"> indicated that a further examination of the RSR at the end of the ESP term would be in order.  For example, the PUCO stated that it would be necessary to re-examine the RSR in light of actual shopping in AEP Ohio’s service territory:</w:t>
      </w:r>
    </w:p>
    <w:p w14:paraId="59296685" w14:textId="0B6B6590" w:rsidR="00747312" w:rsidRPr="00747312" w:rsidRDefault="00747312" w:rsidP="009D5472">
      <w:pPr>
        <w:spacing w:after="240"/>
        <w:ind w:left="1440" w:right="720"/>
        <w:rPr>
          <w:szCs w:val="24"/>
        </w:rPr>
      </w:pPr>
      <w:r w:rsidRPr="00747312">
        <w:rPr>
          <w:szCs w:val="24"/>
        </w:rPr>
        <w:t xml:space="preserve">Any remaining balance of this deferral that remains at the conclusion of this modified ESP shall be amortized over a three year period unless otherwise ordered by the Commission.  In order to ensure this order does not create a disincentive to shopping, at the end of the term of the ESP, AEP-Ohio shall file its actual shopping statistics in this docket.  To provide complete transparency as well as to allow for accurate deferral calculations, AEP-Ohio should maintain its actual monthly shopping percentages on a month-by-month basis throughout the term of this modified ESP, as well as the months of June and July of 2012.  </w:t>
      </w:r>
      <w:r w:rsidRPr="00747312">
        <w:rPr>
          <w:i/>
          <w:szCs w:val="24"/>
        </w:rPr>
        <w:t>All determinations for future recovery of the deferral shall be made following AEP-Ohio’s filing of its actual shopping statistics</w:t>
      </w:r>
      <w:r w:rsidRPr="00747312">
        <w:rPr>
          <w:szCs w:val="24"/>
        </w:rPr>
        <w:t>.</w:t>
      </w:r>
      <w:r>
        <w:rPr>
          <w:rStyle w:val="FootnoteReference"/>
          <w:szCs w:val="24"/>
        </w:rPr>
        <w:footnoteReference w:id="15"/>
      </w:r>
    </w:p>
    <w:p w14:paraId="0DF2EC02" w14:textId="254B28F4" w:rsidR="00C971FB" w:rsidRDefault="005C1A9B" w:rsidP="0009067F">
      <w:pPr>
        <w:spacing w:line="480" w:lineRule="auto"/>
        <w:ind w:firstLine="720"/>
      </w:pPr>
      <w:r>
        <w:t xml:space="preserve">In its most recent ESP case, AEP Ohio recognized that its application to collect the RSR post-ESP may be more than just an auditing exercise.  In </w:t>
      </w:r>
      <w:r w:rsidR="00804156">
        <w:t>that ESP</w:t>
      </w:r>
      <w:r>
        <w:t xml:space="preserve"> proceeding, several parties had filed testimony addressing </w:t>
      </w:r>
      <w:r w:rsidR="00C971FB">
        <w:t>rate design</w:t>
      </w:r>
      <w:r>
        <w:t xml:space="preserve"> aspects of the RSR.  </w:t>
      </w:r>
      <w:r w:rsidR="00C971FB">
        <w:t>AEP Ohio filed a motion to strike the testimony on the basis that it was outside the scope of that proceeding.  AEP Ohio’s position was as follows:</w:t>
      </w:r>
    </w:p>
    <w:p w14:paraId="354F139C" w14:textId="15C180F1" w:rsidR="005C1A9B" w:rsidRDefault="00C971FB" w:rsidP="009D5472">
      <w:pPr>
        <w:spacing w:after="240"/>
        <w:ind w:left="1440" w:right="720"/>
      </w:pPr>
      <w:r>
        <w:rPr>
          <w:szCs w:val="24"/>
        </w:rPr>
        <w:t>[T]he Company’s ESP Application and supporting testimony make clear that AEP Ohio will request authority to “collect revenues sufficient to amortize capacity costs deferrals through continuation of the * * * RSR,” which is “a function of the ESP II,” in a separate proceeding that will address the issue “in parallel to [the Company’s ESP III] Application.”  Mr. Baron’s and Mr. Higgins’ proposals regarding the how the future RSR charge should be designed or applied to them should be considered, if at all, in that separate proceeding, not in this one.</w:t>
      </w:r>
      <w:r>
        <w:rPr>
          <w:rStyle w:val="FootnoteReference"/>
          <w:szCs w:val="24"/>
        </w:rPr>
        <w:footnoteReference w:id="16"/>
      </w:r>
      <w:r w:rsidR="005C1A9B">
        <w:t xml:space="preserve"> </w:t>
      </w:r>
    </w:p>
    <w:p w14:paraId="3B7C6076" w14:textId="21412224" w:rsidR="00C971FB" w:rsidRDefault="00C971FB" w:rsidP="00C971FB">
      <w:pPr>
        <w:spacing w:after="240"/>
        <w:ind w:left="720" w:right="720"/>
      </w:pPr>
      <w:r>
        <w:t>AEP Ohio concluded that:</w:t>
      </w:r>
    </w:p>
    <w:p w14:paraId="342241C0" w14:textId="3D7AF63B" w:rsidR="00C971FB" w:rsidRDefault="00C971FB" w:rsidP="009D5472">
      <w:pPr>
        <w:spacing w:after="240"/>
        <w:ind w:left="1440" w:right="720"/>
      </w:pPr>
      <w:r>
        <w:rPr>
          <w:szCs w:val="24"/>
        </w:rPr>
        <w:t xml:space="preserve">Referencing the anticipated RSR impacts in accordance with the SSO filing requirement does not mean that the RSR should be litigated here – any more than referencing other statutory riders or rates that have been created in other cases. </w:t>
      </w:r>
      <w:r w:rsidR="00EE0409">
        <w:rPr>
          <w:szCs w:val="24"/>
        </w:rPr>
        <w:t xml:space="preserve"> </w:t>
      </w:r>
      <w:r>
        <w:rPr>
          <w:szCs w:val="24"/>
        </w:rPr>
        <w:t xml:space="preserve">This is especially true given that the RSR relates to and is authorized by the </w:t>
      </w:r>
      <w:r>
        <w:rPr>
          <w:i/>
          <w:iCs/>
          <w:szCs w:val="24"/>
        </w:rPr>
        <w:t>ESP</w:t>
      </w:r>
      <w:r>
        <w:rPr>
          <w:iCs/>
          <w:szCs w:val="24"/>
        </w:rPr>
        <w:t xml:space="preserve"> </w:t>
      </w:r>
      <w:r>
        <w:rPr>
          <w:i/>
          <w:iCs/>
          <w:szCs w:val="24"/>
        </w:rPr>
        <w:t xml:space="preserve">II </w:t>
      </w:r>
      <w:r>
        <w:rPr>
          <w:szCs w:val="24"/>
        </w:rPr>
        <w:t>decision (the subject of pending appeals) and will be the subject of a separate proceeding once the Company files its separate RSR application.</w:t>
      </w:r>
      <w:r>
        <w:rPr>
          <w:rStyle w:val="FootnoteReference"/>
          <w:szCs w:val="24"/>
        </w:rPr>
        <w:footnoteReference w:id="17"/>
      </w:r>
    </w:p>
    <w:p w14:paraId="2FDF4CF0" w14:textId="3B8115BE" w:rsidR="00C971FB" w:rsidRDefault="00C971FB" w:rsidP="00C971FB">
      <w:pPr>
        <w:spacing w:line="480" w:lineRule="auto"/>
      </w:pPr>
      <w:r>
        <w:t>The Attorney Examiner in that proceeding granted the motion, stating that “the company has made it clear that it is the company’s intention to file through a separate proceeding an application addressing the RSR.”</w:t>
      </w:r>
      <w:r>
        <w:rPr>
          <w:rStyle w:val="FootnoteReference"/>
        </w:rPr>
        <w:footnoteReference w:id="18"/>
      </w:r>
    </w:p>
    <w:p w14:paraId="0309C536" w14:textId="1F3DB76E" w:rsidR="00747312" w:rsidRDefault="00747312" w:rsidP="0009067F">
      <w:pPr>
        <w:spacing w:line="480" w:lineRule="auto"/>
        <w:ind w:firstLine="720"/>
      </w:pPr>
      <w:r>
        <w:t xml:space="preserve">Thus, collection of the deferral after the ESP term is still an open question.  In addition, </w:t>
      </w:r>
      <w:r w:rsidR="009B365B">
        <w:t>the PUCO expressed concern that customers should not pay excessive costs through the RSR.</w:t>
      </w:r>
      <w:r w:rsidR="009B365B">
        <w:rPr>
          <w:rStyle w:val="FootnoteReference"/>
        </w:rPr>
        <w:footnoteReference w:id="19"/>
      </w:r>
      <w:r w:rsidR="009B365B">
        <w:t xml:space="preserve">  This issue would be appropriate for examination now, before AEP Ohio is allowed to collect any more money from customers through the RSR.</w:t>
      </w:r>
    </w:p>
    <w:p w14:paraId="0F037E4E" w14:textId="323B8803" w:rsidR="0009067F" w:rsidRDefault="009B365B" w:rsidP="0009067F">
      <w:pPr>
        <w:spacing w:line="480" w:lineRule="auto"/>
        <w:ind w:firstLine="720"/>
      </w:pPr>
      <w:r>
        <w:t>AEP Ohio also claims that OCC’s position in its Motion is contradicted by passages from OCC’s brief in the pending ESP 2 appeal at the Ohio Supreme Court.  Specifically, AEP Ohio included the following quote from OCC’s brief</w:t>
      </w:r>
      <w:r w:rsidR="0009067F">
        <w:t>:</w:t>
      </w:r>
    </w:p>
    <w:p w14:paraId="141125C5" w14:textId="30DDBB26" w:rsidR="0009067F" w:rsidRDefault="0009067F" w:rsidP="009D5472">
      <w:pPr>
        <w:ind w:left="1440" w:right="720"/>
      </w:pPr>
      <w:r>
        <w:t>As part of its electric security plan, Ohio Power received approval to collect, inter alia, a “retail stability rider” charge (“RSR”) and a capacity charge.  Together these charges permit Ohio Power to collect over $1 billion from all of its customers over the next several years.</w:t>
      </w:r>
      <w:r w:rsidR="009B365B">
        <w:rPr>
          <w:rStyle w:val="FootnoteReference"/>
        </w:rPr>
        <w:footnoteReference w:id="20"/>
      </w:r>
      <w:r>
        <w:t xml:space="preserve">  </w:t>
      </w:r>
    </w:p>
    <w:p w14:paraId="70E2A937" w14:textId="77777777" w:rsidR="0009067F" w:rsidRDefault="0009067F" w:rsidP="0009067F">
      <w:pPr>
        <w:ind w:left="720" w:right="720"/>
      </w:pPr>
    </w:p>
    <w:p w14:paraId="766E9030" w14:textId="77777777" w:rsidR="009318F4" w:rsidRDefault="009B365B" w:rsidP="0009067F">
      <w:pPr>
        <w:spacing w:line="480" w:lineRule="auto"/>
      </w:pPr>
      <w:r>
        <w:t>But OCC’s brief was limited to collection of the RSR through the ESP term.</w:t>
      </w:r>
      <w:r w:rsidR="009318F4">
        <w:t xml:space="preserve">  OCC’s brief stated:</w:t>
      </w:r>
    </w:p>
    <w:p w14:paraId="7C287609" w14:textId="21E2981E" w:rsidR="009318F4" w:rsidRDefault="009318F4" w:rsidP="009D5472">
      <w:pPr>
        <w:spacing w:after="240"/>
        <w:ind w:left="1530" w:right="720"/>
      </w:pPr>
      <w:r w:rsidRPr="007C3EC6">
        <w:rPr>
          <w:szCs w:val="24"/>
        </w:rPr>
        <w:t>The PUCO determined that Ohio Power will be permitted to collect its $508 million retail stability charge from its customers through a</w:t>
      </w:r>
      <w:r w:rsidR="00804156">
        <w:rPr>
          <w:szCs w:val="24"/>
        </w:rPr>
        <w:t xml:space="preserve"> </w:t>
      </w:r>
      <w:r w:rsidRPr="007C3EC6">
        <w:rPr>
          <w:szCs w:val="24"/>
        </w:rPr>
        <w:t>$3.50/MWh monthly charge, until May 31, 2014.</w:t>
      </w:r>
      <w:r>
        <w:rPr>
          <w:szCs w:val="24"/>
        </w:rPr>
        <w:t xml:space="preserve"> </w:t>
      </w:r>
      <w:r w:rsidRPr="007C3EC6">
        <w:rPr>
          <w:szCs w:val="24"/>
        </w:rPr>
        <w:t xml:space="preserve"> That charge will increase to $4/MWh from June 1, 2014 to May 31, 2015</w:t>
      </w:r>
      <w:r>
        <w:rPr>
          <w:szCs w:val="24"/>
        </w:rPr>
        <w:t>.</w:t>
      </w:r>
      <w:r>
        <w:rPr>
          <w:rStyle w:val="FootnoteReference"/>
          <w:szCs w:val="24"/>
        </w:rPr>
        <w:footnoteReference w:id="21"/>
      </w:r>
    </w:p>
    <w:p w14:paraId="057C5101" w14:textId="6B3FCE0C" w:rsidR="009B365B" w:rsidRDefault="009318F4" w:rsidP="009318F4">
      <w:pPr>
        <w:spacing w:line="480" w:lineRule="auto"/>
        <w:ind w:firstLine="720"/>
      </w:pPr>
      <w:r>
        <w:t xml:space="preserve">Thus, the immediate issue in the ESP 2 appeal is collection of the RSR through the ESP term.  </w:t>
      </w:r>
      <w:r w:rsidR="00804156">
        <w:t>(</w:t>
      </w:r>
      <w:r>
        <w:t>Nevertheless, should the Ohio Supreme Court vacate the PUCO’s decision, collection of the deferrals through the RSR after the ESP term would also be affected.</w:t>
      </w:r>
      <w:r w:rsidR="00804156">
        <w:t>)</w:t>
      </w:r>
      <w:r>
        <w:t xml:space="preserve">  AEP Ohio is wrong on this point.</w:t>
      </w:r>
    </w:p>
    <w:p w14:paraId="20BAA4EE" w14:textId="38E5C2B3" w:rsidR="005B0064" w:rsidRDefault="0009067F" w:rsidP="005B0064">
      <w:pPr>
        <w:spacing w:line="480" w:lineRule="auto"/>
        <w:ind w:firstLine="720"/>
      </w:pPr>
      <w:r>
        <w:t xml:space="preserve"> </w:t>
      </w:r>
      <w:r w:rsidR="009318F4">
        <w:t>AEP Ohio is also wrong in its assertions regarding making collection of the RSR subject to refund.  AEP Ohio claims that making collection of deferrals under the RSR subject to refund “is tantamount to a stay request</w:t>
      </w:r>
      <w:r w:rsidR="009D5875">
        <w:t xml:space="preserve"> under R.C. 4903.16,</w:t>
      </w:r>
      <w:r w:rsidR="009318F4">
        <w:t>”</w:t>
      </w:r>
      <w:r w:rsidR="009D5875">
        <w:t xml:space="preserve"> and that only the Ohio Supreme Court “can grant a stay over the RSR at this point in time.”</w:t>
      </w:r>
      <w:r w:rsidR="009318F4">
        <w:rPr>
          <w:rStyle w:val="FootnoteReference"/>
        </w:rPr>
        <w:footnoteReference w:id="22"/>
      </w:r>
      <w:r w:rsidR="009318F4">
        <w:t xml:space="preserve">  </w:t>
      </w:r>
      <w:r w:rsidR="009D5875">
        <w:t xml:space="preserve">But, as noted above, the primary issue on appeal regarding the RSR is collection through the ESP period.  At issue in this case is collection of deferrals through the RSR </w:t>
      </w:r>
      <w:r w:rsidR="009D5875" w:rsidRPr="009D5875">
        <w:rPr>
          <w:i/>
        </w:rPr>
        <w:t>after</w:t>
      </w:r>
      <w:r w:rsidR="009D5875">
        <w:t xml:space="preserve"> the ESP period.  The PUCO still has jurisdiction over that issue, and can make collection of the RSR post-ESP subject to refund, as it has done </w:t>
      </w:r>
      <w:r w:rsidR="002F20B0">
        <w:t xml:space="preserve">regarding other charges </w:t>
      </w:r>
      <w:r w:rsidR="009D5875">
        <w:t>in other cases.</w:t>
      </w:r>
      <w:r w:rsidR="009D5875">
        <w:rPr>
          <w:rStyle w:val="FootnoteReference"/>
        </w:rPr>
        <w:footnoteReference w:id="23"/>
      </w:r>
    </w:p>
    <w:p w14:paraId="7008B782" w14:textId="54C3A57D" w:rsidR="0009067F" w:rsidRDefault="009D5875" w:rsidP="009D5875">
      <w:pPr>
        <w:spacing w:line="480" w:lineRule="auto"/>
        <w:ind w:firstLine="720"/>
      </w:pPr>
      <w:r>
        <w:t>AEP Ohio’s claims that OCC is relitigating issues decided in the ESP 2 case are baseless.  If the PUCO does not dismiss the case, it should grant OCC’s Motion for a procedural schedule.</w:t>
      </w:r>
      <w:r w:rsidR="0009067F">
        <w:t xml:space="preserve">  </w:t>
      </w:r>
    </w:p>
    <w:p w14:paraId="1974E56C" w14:textId="61F1A28E" w:rsidR="0009067F" w:rsidRDefault="009D5875" w:rsidP="009D5472">
      <w:pPr>
        <w:pStyle w:val="Heading2"/>
      </w:pPr>
      <w:r>
        <w:t>The H</w:t>
      </w:r>
      <w:r w:rsidR="0009067F">
        <w:t xml:space="preserve">earing </w:t>
      </w:r>
      <w:r>
        <w:t>S</w:t>
      </w:r>
      <w:r w:rsidR="0009067F">
        <w:t>chedule</w:t>
      </w:r>
      <w:r w:rsidR="0009067F" w:rsidRPr="006B11F1">
        <w:t xml:space="preserve"> </w:t>
      </w:r>
      <w:r>
        <w:t>Proposed by OCC I</w:t>
      </w:r>
      <w:r w:rsidR="0009067F">
        <w:t xml:space="preserve">s </w:t>
      </w:r>
      <w:r>
        <w:t>J</w:t>
      </w:r>
      <w:r w:rsidR="0009067F">
        <w:t xml:space="preserve">ustified and </w:t>
      </w:r>
      <w:r>
        <w:t>Will Not Cause Undue Delay</w:t>
      </w:r>
      <w:r w:rsidR="0009067F">
        <w:t>.</w:t>
      </w:r>
    </w:p>
    <w:p w14:paraId="663B5A0F" w14:textId="321899C7" w:rsidR="0009067F" w:rsidRDefault="009D5875" w:rsidP="0009067F">
      <w:pPr>
        <w:spacing w:line="480" w:lineRule="auto"/>
        <w:ind w:firstLine="720"/>
        <w:rPr>
          <w:lang w:bidi="en-US"/>
        </w:rPr>
      </w:pPr>
      <w:r>
        <w:rPr>
          <w:lang w:bidi="en-US"/>
        </w:rPr>
        <w:t>AEP Ohio claims that that</w:t>
      </w:r>
      <w:r w:rsidR="0009067F" w:rsidRPr="00515642">
        <w:rPr>
          <w:lang w:bidi="en-US"/>
        </w:rPr>
        <w:t xml:space="preserve"> </w:t>
      </w:r>
      <w:r w:rsidR="0009067F">
        <w:rPr>
          <w:lang w:bidi="en-US"/>
        </w:rPr>
        <w:t>there is no compelling reason to conduct an evidentiary hearing</w:t>
      </w:r>
      <w:r>
        <w:rPr>
          <w:lang w:bidi="en-US"/>
        </w:rPr>
        <w:t xml:space="preserve"> in this case and that </w:t>
      </w:r>
      <w:r w:rsidR="0009067F">
        <w:rPr>
          <w:lang w:bidi="en-US"/>
        </w:rPr>
        <w:t xml:space="preserve">OCC has not demonstrated </w:t>
      </w:r>
      <w:r>
        <w:rPr>
          <w:lang w:bidi="en-US"/>
        </w:rPr>
        <w:t>“</w:t>
      </w:r>
      <w:r w:rsidR="0009067F">
        <w:rPr>
          <w:lang w:bidi="en-US"/>
        </w:rPr>
        <w:t>any basis to contest the Company’s accounting in support of the capacity deferral balance.</w:t>
      </w:r>
      <w:r>
        <w:rPr>
          <w:lang w:bidi="en-US"/>
        </w:rPr>
        <w:t>”</w:t>
      </w:r>
      <w:r>
        <w:rPr>
          <w:rStyle w:val="FootnoteReference"/>
          <w:lang w:bidi="en-US"/>
        </w:rPr>
        <w:footnoteReference w:id="24"/>
      </w:r>
      <w:r w:rsidR="0009067F">
        <w:rPr>
          <w:lang w:bidi="en-US"/>
        </w:rPr>
        <w:t xml:space="preserve">  </w:t>
      </w:r>
      <w:r>
        <w:rPr>
          <w:lang w:bidi="en-US"/>
        </w:rPr>
        <w:t>AEP Ohio contends that the PUCO</w:t>
      </w:r>
      <w:r w:rsidR="0009067F">
        <w:rPr>
          <w:lang w:bidi="en-US"/>
        </w:rPr>
        <w:t xml:space="preserve"> </w:t>
      </w:r>
      <w:r>
        <w:rPr>
          <w:lang w:bidi="en-US"/>
        </w:rPr>
        <w:t>“</w:t>
      </w:r>
      <w:r w:rsidR="0009067F">
        <w:rPr>
          <w:lang w:bidi="en-US"/>
        </w:rPr>
        <w:t>could simply approve (subject to a financial audit) the continuation of the $4/MWh charge based on the current deferral balance and adopt a comment cycle for soliciting input about the final rate design of the post-ESP RSR.</w:t>
      </w:r>
      <w:r>
        <w:rPr>
          <w:lang w:bidi="en-US"/>
        </w:rPr>
        <w:t>”</w:t>
      </w:r>
      <w:r>
        <w:rPr>
          <w:rStyle w:val="FootnoteReference"/>
          <w:lang w:bidi="en-US"/>
        </w:rPr>
        <w:footnoteReference w:id="25"/>
      </w:r>
      <w:r>
        <w:rPr>
          <w:lang w:bidi="en-US"/>
        </w:rPr>
        <w:t xml:space="preserve">  But </w:t>
      </w:r>
      <w:r w:rsidR="00804156">
        <w:rPr>
          <w:lang w:bidi="en-US"/>
        </w:rPr>
        <w:t xml:space="preserve">again </w:t>
      </w:r>
      <w:r>
        <w:rPr>
          <w:lang w:bidi="en-US"/>
        </w:rPr>
        <w:t>AEP Ohio is wrong.</w:t>
      </w:r>
    </w:p>
    <w:p w14:paraId="25B12316" w14:textId="05533CD1" w:rsidR="006254A3" w:rsidRDefault="006254A3" w:rsidP="006254A3">
      <w:pPr>
        <w:tabs>
          <w:tab w:val="left" w:pos="720"/>
        </w:tabs>
        <w:spacing w:line="480" w:lineRule="auto"/>
        <w:ind w:firstLine="720"/>
      </w:pPr>
      <w:r>
        <w:rPr>
          <w:lang w:bidi="en-US"/>
        </w:rPr>
        <w:t>As OCC noted in its Motion, t</w:t>
      </w:r>
      <w:r>
        <w:t xml:space="preserve">he PUCO has not had an evidentiary hearing to examine the proper mechanism to collect the deferred capacity charges from customers.   In the Capacity Charge Case, the PUCO established AEP Ohio’s capacity pricing, and stated that it would </w:t>
      </w:r>
      <w:r>
        <w:rPr>
          <w:szCs w:val="24"/>
        </w:rPr>
        <w:t>establish an appropriate collection mechanism for any deferred costs and address any additional financial considerations in the ESP 2 proceeding.</w:t>
      </w:r>
      <w:r>
        <w:rPr>
          <w:rStyle w:val="FootnoteReference"/>
          <w:szCs w:val="24"/>
        </w:rPr>
        <w:footnoteReference w:id="26"/>
      </w:r>
      <w:r>
        <w:t xml:space="preserve"> </w:t>
      </w:r>
    </w:p>
    <w:p w14:paraId="179BBECA" w14:textId="77777777" w:rsidR="006254A3" w:rsidRDefault="006254A3" w:rsidP="006254A3">
      <w:pPr>
        <w:spacing w:line="480" w:lineRule="auto"/>
        <w:ind w:firstLine="720"/>
      </w:pPr>
      <w:r>
        <w:t>But at the time the Capacity Charge Order was issued, the ESP 2 case was in its final stages.  Briefs had already been filed, and reply briefs were due just one week after the Capacity Charge Order came out.  Thus, there was no evidence in the record of the ESP 2 case that specifically addressed the rates for capacity established in the Capacity Charge Order.  Indeed, OCC and the Appalachian Peace and Justice Network moved for the PUCO to take administrative notice of certain portions of the record in the Capacity Charge Case, but the PUCO denied that motion.</w:t>
      </w:r>
      <w:r>
        <w:rPr>
          <w:rStyle w:val="FootnoteReference"/>
        </w:rPr>
        <w:footnoteReference w:id="27"/>
      </w:r>
      <w:r>
        <w:t xml:space="preserve">  The appropriate mechanism for collecting any deferrals established in the Capacity Charge Case also was never discussed or analyzed in the ESP 2 proceeding.  </w:t>
      </w:r>
    </w:p>
    <w:p w14:paraId="43772E35" w14:textId="4CF2FCE9" w:rsidR="009D5875" w:rsidRDefault="006254A3" w:rsidP="006254A3">
      <w:pPr>
        <w:spacing w:line="480" w:lineRule="auto"/>
        <w:ind w:firstLine="720"/>
      </w:pPr>
      <w:r>
        <w:t xml:space="preserve">The primary capacity-related issue in the ESP 2 proceeding was AEP Ohio’s discounts for capacity, i.e., the two-tiered pricing scheme for capacity and the alternative $10/MWh shopping credit from </w:t>
      </w:r>
      <w:r w:rsidRPr="00B96B7E">
        <w:rPr>
          <w:szCs w:val="24"/>
        </w:rPr>
        <w:t>AEP Ohio</w:t>
      </w:r>
      <w:r>
        <w:t xml:space="preserve">’s proposed $355/MW-day capacity price.  There was no evidence presented in ESP 2 case for the appropriate mechanism for collecting deferrals established in the Capacity Charge Case.  </w:t>
      </w:r>
    </w:p>
    <w:p w14:paraId="65FE6B3D" w14:textId="6E1B7411" w:rsidR="006254A3" w:rsidRDefault="006254A3" w:rsidP="006254A3">
      <w:pPr>
        <w:spacing w:line="480" w:lineRule="auto"/>
        <w:ind w:firstLine="720"/>
      </w:pPr>
      <w:r>
        <w:t>As to undue delay of this proceeding, although AEP Ohio makes the claim in a heading in its memorandum in opposition,</w:t>
      </w:r>
      <w:r>
        <w:rPr>
          <w:rStyle w:val="FootnoteReference"/>
        </w:rPr>
        <w:footnoteReference w:id="28"/>
      </w:r>
      <w:r>
        <w:t xml:space="preserve"> it offers no support for the claim.  In fact, there is none.  As noted above, the PUCO has stated: “</w:t>
      </w:r>
      <w:r w:rsidRPr="006254A3">
        <w:rPr>
          <w:szCs w:val="24"/>
        </w:rPr>
        <w:t>All determinations for future recovery of the deferral shall be made following AEP-Ohio’s filing of its actual shopping statistics.</w:t>
      </w:r>
      <w:r>
        <w:rPr>
          <w:szCs w:val="24"/>
        </w:rPr>
        <w:t>”</w:t>
      </w:r>
      <w:r w:rsidRPr="006254A3">
        <w:rPr>
          <w:rStyle w:val="FootnoteReference"/>
          <w:szCs w:val="24"/>
        </w:rPr>
        <w:footnoteReference w:id="29"/>
      </w:r>
      <w:r>
        <w:rPr>
          <w:szCs w:val="24"/>
        </w:rPr>
        <w:t xml:space="preserve">  AEP Ohio will file it</w:t>
      </w:r>
      <w:r w:rsidR="007F4D32">
        <w:rPr>
          <w:szCs w:val="24"/>
        </w:rPr>
        <w:t>s</w:t>
      </w:r>
      <w:r>
        <w:rPr>
          <w:szCs w:val="24"/>
        </w:rPr>
        <w:t xml:space="preserve"> shopping data at the end of the ESP term.</w:t>
      </w:r>
      <w:r>
        <w:rPr>
          <w:rStyle w:val="FootnoteReference"/>
          <w:szCs w:val="24"/>
        </w:rPr>
        <w:footnoteReference w:id="30"/>
      </w:r>
      <w:r>
        <w:rPr>
          <w:szCs w:val="24"/>
        </w:rPr>
        <w:t xml:space="preserve">  Thus, post-ESP collection of deferrals through RSR cannot occur until after the PUCO has reviewed the shopping data “[i]</w:t>
      </w:r>
      <w:r w:rsidRPr="00747312">
        <w:rPr>
          <w:szCs w:val="24"/>
        </w:rPr>
        <w:t>n order to ensure this order does not create a disincentive to shopping</w:t>
      </w:r>
      <w:r>
        <w:rPr>
          <w:szCs w:val="24"/>
        </w:rPr>
        <w:t>….”</w:t>
      </w:r>
      <w:r>
        <w:rPr>
          <w:rStyle w:val="FootnoteReference"/>
          <w:szCs w:val="24"/>
        </w:rPr>
        <w:footnoteReference w:id="31"/>
      </w:r>
      <w:r w:rsidR="00BE5FF6">
        <w:rPr>
          <w:szCs w:val="24"/>
        </w:rPr>
        <w:t xml:space="preserve">  </w:t>
      </w:r>
      <w:r w:rsidR="00140524">
        <w:rPr>
          <w:szCs w:val="24"/>
        </w:rPr>
        <w:t>T</w:t>
      </w:r>
      <w:r w:rsidR="00BE5FF6">
        <w:rPr>
          <w:szCs w:val="24"/>
        </w:rPr>
        <w:t xml:space="preserve">here will be a lag </w:t>
      </w:r>
      <w:r w:rsidR="00DB1E11">
        <w:rPr>
          <w:szCs w:val="24"/>
        </w:rPr>
        <w:t xml:space="preserve">between </w:t>
      </w:r>
      <w:r w:rsidR="00BE5FF6">
        <w:rPr>
          <w:szCs w:val="24"/>
        </w:rPr>
        <w:t>the end of the ESP term and the beginning of post-ESP collection of deferrals through the RSR.</w:t>
      </w:r>
    </w:p>
    <w:p w14:paraId="6550CE1A" w14:textId="6FBBF8B4" w:rsidR="006254A3" w:rsidRPr="00515642" w:rsidRDefault="00BE5FF6" w:rsidP="006254A3">
      <w:pPr>
        <w:spacing w:line="480" w:lineRule="auto"/>
        <w:ind w:firstLine="720"/>
        <w:rPr>
          <w:lang w:bidi="en-US"/>
        </w:rPr>
      </w:pPr>
      <w:r>
        <w:t>A</w:t>
      </w:r>
      <w:r w:rsidR="006254A3">
        <w:t xml:space="preserve">n evidentiary </w:t>
      </w:r>
      <w:r w:rsidR="007F4D32">
        <w:t xml:space="preserve">hearing </w:t>
      </w:r>
      <w:r>
        <w:t xml:space="preserve">in this proceeding </w:t>
      </w:r>
      <w:r w:rsidR="006254A3">
        <w:t>would not cause undue delay.</w:t>
      </w:r>
      <w:r>
        <w:t xml:space="preserve">  </w:t>
      </w:r>
      <w:r w:rsidR="006254A3" w:rsidRPr="00B96B7E">
        <w:rPr>
          <w:szCs w:val="24"/>
        </w:rPr>
        <w:t xml:space="preserve">Given the enormous amount of money that AEP Ohio seeks to collect from customers in this case </w:t>
      </w:r>
      <w:r w:rsidR="006254A3">
        <w:rPr>
          <w:szCs w:val="24"/>
        </w:rPr>
        <w:t>(</w:t>
      </w:r>
      <w:r w:rsidR="006254A3">
        <w:t>$418.4 million</w:t>
      </w:r>
      <w:r w:rsidR="006254A3" w:rsidRPr="00B96B7E">
        <w:rPr>
          <w:szCs w:val="24"/>
        </w:rPr>
        <w:t xml:space="preserve">), </w:t>
      </w:r>
      <w:r w:rsidR="006254A3">
        <w:rPr>
          <w:szCs w:val="24"/>
        </w:rPr>
        <w:t>a</w:t>
      </w:r>
      <w:r w:rsidR="006254A3" w:rsidRPr="00B96B7E">
        <w:rPr>
          <w:szCs w:val="24"/>
        </w:rPr>
        <w:t xml:space="preserve"> </w:t>
      </w:r>
      <w:r w:rsidR="006254A3">
        <w:rPr>
          <w:szCs w:val="24"/>
        </w:rPr>
        <w:t>hearing and the submission of testimony would be necessary</w:t>
      </w:r>
      <w:r>
        <w:rPr>
          <w:szCs w:val="24"/>
        </w:rPr>
        <w:t>,</w:t>
      </w:r>
      <w:r w:rsidR="006254A3">
        <w:rPr>
          <w:szCs w:val="24"/>
        </w:rPr>
        <w:t xml:space="preserve"> if this case is not dismissed.</w:t>
      </w:r>
    </w:p>
    <w:p w14:paraId="0DFADDB9" w14:textId="16889ECB" w:rsidR="0009067F" w:rsidRDefault="002D61CB" w:rsidP="009D5472">
      <w:pPr>
        <w:pStyle w:val="Heading2"/>
      </w:pPr>
      <w:r>
        <w:t>The PUCO</w:t>
      </w:r>
      <w:r w:rsidR="0009067F">
        <w:t xml:space="preserve"> </w:t>
      </w:r>
      <w:r>
        <w:t xml:space="preserve">Should </w:t>
      </w:r>
      <w:r w:rsidR="00140524">
        <w:t>Neither</w:t>
      </w:r>
      <w:r>
        <w:t xml:space="preserve"> Limit the Scope of Discovery </w:t>
      </w:r>
      <w:r w:rsidR="00140524">
        <w:t>Nor</w:t>
      </w:r>
      <w:r>
        <w:t xml:space="preserve"> Expedite the Hearing Process</w:t>
      </w:r>
      <w:r w:rsidR="0009067F">
        <w:t>.</w:t>
      </w:r>
    </w:p>
    <w:p w14:paraId="4EB0E0C1" w14:textId="19410622" w:rsidR="0009067F" w:rsidRPr="00515642" w:rsidRDefault="002D61CB" w:rsidP="0009067F">
      <w:pPr>
        <w:spacing w:line="480" w:lineRule="auto"/>
        <w:ind w:firstLine="720"/>
        <w:rPr>
          <w:lang w:bidi="en-US"/>
        </w:rPr>
      </w:pPr>
      <w:r>
        <w:rPr>
          <w:lang w:bidi="en-US"/>
        </w:rPr>
        <w:t>AEP Ohio argues that any hearing process should have a limited scope of discovery and an expedited schedule.</w:t>
      </w:r>
      <w:r>
        <w:rPr>
          <w:rStyle w:val="FootnoteReference"/>
          <w:lang w:bidi="en-US"/>
        </w:rPr>
        <w:footnoteReference w:id="32"/>
      </w:r>
      <w:r>
        <w:rPr>
          <w:lang w:bidi="en-US"/>
        </w:rPr>
        <w:t xml:space="preserve">  It bases its position on its claims that OCC is relitigating the ESP 2 case and that an evidentiary hearing is unnecessary.</w:t>
      </w:r>
      <w:r>
        <w:rPr>
          <w:rStyle w:val="FootnoteReference"/>
          <w:lang w:bidi="en-US"/>
        </w:rPr>
        <w:footnoteReference w:id="33"/>
      </w:r>
      <w:r>
        <w:rPr>
          <w:lang w:bidi="en-US"/>
        </w:rPr>
        <w:t xml:space="preserve"> </w:t>
      </w:r>
      <w:r w:rsidR="00B94C5C">
        <w:rPr>
          <w:lang w:bidi="en-US"/>
        </w:rPr>
        <w:t xml:space="preserve"> </w:t>
      </w:r>
      <w:r>
        <w:rPr>
          <w:lang w:bidi="en-US"/>
        </w:rPr>
        <w:t>As discussed above,</w:t>
      </w:r>
      <w:r w:rsidR="007F4D32">
        <w:rPr>
          <w:rStyle w:val="FootnoteReference"/>
          <w:lang w:bidi="en-US"/>
        </w:rPr>
        <w:footnoteReference w:id="34"/>
      </w:r>
      <w:r>
        <w:rPr>
          <w:lang w:bidi="en-US"/>
        </w:rPr>
        <w:t xml:space="preserve"> both of AEP Ohio’s assertions are unfounded</w:t>
      </w:r>
      <w:r w:rsidR="00B94C5C">
        <w:rPr>
          <w:lang w:bidi="en-US"/>
        </w:rPr>
        <w:t xml:space="preserve">.  Hence </w:t>
      </w:r>
      <w:r>
        <w:rPr>
          <w:lang w:bidi="en-US"/>
        </w:rPr>
        <w:t xml:space="preserve">its arguments regarding </w:t>
      </w:r>
      <w:r w:rsidR="00B94C5C">
        <w:rPr>
          <w:lang w:bidi="en-US"/>
        </w:rPr>
        <w:t>the scope of discovery and an expedited schedule are also without basis.  The PUCO should grant OCC’s Motion</w:t>
      </w:r>
      <w:r w:rsidR="0009067F">
        <w:rPr>
          <w:lang w:bidi="en-US"/>
        </w:rPr>
        <w:t>.</w:t>
      </w:r>
    </w:p>
    <w:p w14:paraId="63B566E5" w14:textId="707D6B1E" w:rsidR="0009067F" w:rsidRPr="00447336" w:rsidRDefault="009D5472" w:rsidP="00447336">
      <w:pPr>
        <w:tabs>
          <w:tab w:val="left" w:pos="720"/>
        </w:tabs>
        <w:spacing w:before="240" w:line="480" w:lineRule="auto"/>
        <w:rPr>
          <w:rFonts w:eastAsiaTheme="minorHAnsi"/>
          <w:b/>
          <w:szCs w:val="24"/>
        </w:rPr>
      </w:pPr>
      <w:r>
        <w:rPr>
          <w:rFonts w:eastAsiaTheme="minorHAnsi"/>
          <w:b/>
          <w:szCs w:val="24"/>
        </w:rPr>
        <w:br w:type="page"/>
      </w:r>
      <w:r w:rsidR="00447336">
        <w:rPr>
          <w:rFonts w:eastAsiaTheme="minorHAnsi"/>
          <w:b/>
          <w:szCs w:val="24"/>
        </w:rPr>
        <w:t>III.</w:t>
      </w:r>
      <w:r w:rsidR="00447336">
        <w:rPr>
          <w:rFonts w:eastAsiaTheme="minorHAnsi"/>
          <w:b/>
          <w:szCs w:val="24"/>
        </w:rPr>
        <w:tab/>
        <w:t>CONCLUSION</w:t>
      </w:r>
    </w:p>
    <w:p w14:paraId="0BAD3B24" w14:textId="493583AD" w:rsidR="005A24FF" w:rsidRDefault="00447336" w:rsidP="003858C2">
      <w:pPr>
        <w:pStyle w:val="BodyText"/>
        <w:spacing w:line="480" w:lineRule="auto"/>
        <w:ind w:firstLine="720"/>
        <w:jc w:val="left"/>
      </w:pPr>
      <w:r>
        <w:t>AEP Ohio’s arguments against OCC’s Motion are faulty.  I</w:t>
      </w:r>
      <w:r w:rsidR="006574AB">
        <w:t>f this case is not dismissed,</w:t>
      </w:r>
      <w:r w:rsidR="005A24FF">
        <w:t xml:space="preserve"> </w:t>
      </w:r>
      <w:r w:rsidR="005A24FF" w:rsidRPr="000452B0">
        <w:t>th</w:t>
      </w:r>
      <w:r w:rsidR="005A24FF">
        <w:t>e</w:t>
      </w:r>
      <w:r w:rsidR="005A24FF" w:rsidRPr="000452B0">
        <w:t xml:space="preserve"> </w:t>
      </w:r>
      <w:r w:rsidR="005A24FF">
        <w:t xml:space="preserve">PUCO </w:t>
      </w:r>
      <w:r>
        <w:t xml:space="preserve">should </w:t>
      </w:r>
      <w:r w:rsidR="005A24FF">
        <w:t xml:space="preserve">grant </w:t>
      </w:r>
      <w:r w:rsidR="006574AB">
        <w:t>OCC’s</w:t>
      </w:r>
      <w:r w:rsidR="005A24FF">
        <w:t xml:space="preserve"> Motion </w:t>
      </w:r>
      <w:r w:rsidR="000472C5">
        <w:t>by</w:t>
      </w:r>
      <w:r w:rsidR="005A24FF">
        <w:t xml:space="preserve"> establish</w:t>
      </w:r>
      <w:r w:rsidR="000472C5">
        <w:t>ing</w:t>
      </w:r>
      <w:r w:rsidR="005A24FF">
        <w:t xml:space="preserve"> a procedural schedule that incorporates the timeframes indicated </w:t>
      </w:r>
      <w:r w:rsidR="00EE1E61">
        <w:t xml:space="preserve">in </w:t>
      </w:r>
      <w:r w:rsidR="00552D21">
        <w:t>OCC’s</w:t>
      </w:r>
      <w:r w:rsidR="00EE1E61">
        <w:t xml:space="preserve"> Motion</w:t>
      </w:r>
      <w:r w:rsidR="005A24FF">
        <w:t>.</w:t>
      </w:r>
    </w:p>
    <w:p w14:paraId="10FF0EDB" w14:textId="77777777" w:rsidR="009D6B05" w:rsidRDefault="009D6B05">
      <w:pPr>
        <w:autoSpaceDE w:val="0"/>
        <w:autoSpaceDN w:val="0"/>
        <w:adjustRightInd w:val="0"/>
        <w:ind w:left="4320"/>
        <w:rPr>
          <w:szCs w:val="24"/>
        </w:rPr>
      </w:pPr>
      <w:r>
        <w:rPr>
          <w:szCs w:val="24"/>
        </w:rPr>
        <w:t>Respectfully submitted,</w:t>
      </w:r>
    </w:p>
    <w:p w14:paraId="23E99F3B" w14:textId="77777777" w:rsidR="009D6B05" w:rsidRDefault="009D6B05">
      <w:pPr>
        <w:autoSpaceDE w:val="0"/>
        <w:autoSpaceDN w:val="0"/>
        <w:adjustRightInd w:val="0"/>
        <w:ind w:left="4320"/>
        <w:rPr>
          <w:szCs w:val="24"/>
        </w:rPr>
      </w:pPr>
    </w:p>
    <w:p w14:paraId="548E72B3" w14:textId="77777777" w:rsidR="009D6B05" w:rsidRDefault="009D6B05">
      <w:pPr>
        <w:pStyle w:val="Footer"/>
        <w:tabs>
          <w:tab w:val="clear" w:pos="8640"/>
          <w:tab w:val="left" w:pos="4320"/>
        </w:tabs>
        <w:ind w:left="4320"/>
        <w:rPr>
          <w:sz w:val="24"/>
          <w:szCs w:val="24"/>
        </w:rPr>
      </w:pPr>
      <w:r>
        <w:rPr>
          <w:sz w:val="24"/>
          <w:szCs w:val="24"/>
        </w:rPr>
        <w:t>BRUCE J. WESTON</w:t>
      </w:r>
    </w:p>
    <w:p w14:paraId="77D315D0" w14:textId="77777777" w:rsidR="009D6B05" w:rsidRDefault="009D6B05">
      <w:pPr>
        <w:tabs>
          <w:tab w:val="left" w:pos="4320"/>
        </w:tabs>
        <w:ind w:left="4320"/>
        <w:rPr>
          <w:szCs w:val="24"/>
        </w:rPr>
      </w:pPr>
      <w:r>
        <w:rPr>
          <w:szCs w:val="24"/>
        </w:rPr>
        <w:t>OHIO CONSUMERS’ COUNSEL</w:t>
      </w:r>
    </w:p>
    <w:p w14:paraId="77F8D621" w14:textId="77777777" w:rsidR="009D6B05" w:rsidRDefault="009D6B05">
      <w:pPr>
        <w:tabs>
          <w:tab w:val="left" w:pos="4320"/>
        </w:tabs>
        <w:rPr>
          <w:szCs w:val="24"/>
        </w:rPr>
      </w:pPr>
      <w:r>
        <w:rPr>
          <w:szCs w:val="24"/>
        </w:rPr>
        <w:tab/>
      </w:r>
    </w:p>
    <w:p w14:paraId="203B9CB6" w14:textId="0D6D28EA" w:rsidR="009D6B05" w:rsidRDefault="009D6B05">
      <w:pPr>
        <w:tabs>
          <w:tab w:val="left" w:pos="4320"/>
        </w:tabs>
        <w:rPr>
          <w:u w:val="single"/>
        </w:rPr>
      </w:pPr>
      <w:r>
        <w:rPr>
          <w:szCs w:val="24"/>
        </w:rPr>
        <w:tab/>
      </w:r>
      <w:r w:rsidR="00884CD9">
        <w:rPr>
          <w:i/>
          <w:szCs w:val="24"/>
          <w:u w:val="single"/>
        </w:rPr>
        <w:t>/s/</w:t>
      </w:r>
      <w:r w:rsidR="009D5472">
        <w:rPr>
          <w:i/>
          <w:szCs w:val="24"/>
          <w:u w:val="single"/>
        </w:rPr>
        <w:t xml:space="preserve"> Maureen R. Grady</w:t>
      </w:r>
      <w:r w:rsidR="00884CD9">
        <w:rPr>
          <w:i/>
          <w:szCs w:val="24"/>
          <w:u w:val="single"/>
        </w:rPr>
        <w:tab/>
      </w:r>
      <w:r w:rsidR="00884CD9">
        <w:rPr>
          <w:i/>
          <w:szCs w:val="24"/>
          <w:u w:val="single"/>
        </w:rPr>
        <w:tab/>
      </w:r>
      <w:r w:rsidR="00884CD9">
        <w:rPr>
          <w:i/>
          <w:szCs w:val="24"/>
          <w:u w:val="single"/>
        </w:rPr>
        <w:tab/>
      </w:r>
    </w:p>
    <w:p w14:paraId="33E90D70" w14:textId="77777777" w:rsidR="00627DB7" w:rsidRDefault="00627DB7" w:rsidP="00627DB7">
      <w:pPr>
        <w:tabs>
          <w:tab w:val="left" w:pos="4320"/>
        </w:tabs>
        <w:ind w:left="4320"/>
        <w:rPr>
          <w:szCs w:val="24"/>
        </w:rPr>
      </w:pPr>
      <w:r>
        <w:rPr>
          <w:szCs w:val="24"/>
        </w:rPr>
        <w:t xml:space="preserve">Maureen R. Grady, Counsel of Record </w:t>
      </w:r>
    </w:p>
    <w:p w14:paraId="0EB55456" w14:textId="77777777" w:rsidR="00627DB7" w:rsidRDefault="00627DB7" w:rsidP="00627DB7">
      <w:pPr>
        <w:tabs>
          <w:tab w:val="left" w:pos="4320"/>
        </w:tabs>
        <w:ind w:left="4320"/>
        <w:rPr>
          <w:szCs w:val="24"/>
        </w:rPr>
      </w:pPr>
      <w:r>
        <w:rPr>
          <w:szCs w:val="24"/>
        </w:rPr>
        <w:t>Terry L. Etter</w:t>
      </w:r>
    </w:p>
    <w:p w14:paraId="5D712821" w14:textId="77777777" w:rsidR="00627DB7" w:rsidRDefault="00627DB7" w:rsidP="00627DB7">
      <w:pPr>
        <w:tabs>
          <w:tab w:val="left" w:pos="4320"/>
        </w:tabs>
        <w:ind w:left="4320"/>
        <w:rPr>
          <w:szCs w:val="24"/>
        </w:rPr>
      </w:pPr>
      <w:r>
        <w:rPr>
          <w:szCs w:val="24"/>
        </w:rPr>
        <w:t>Assistant Consumers’ Counsel</w:t>
      </w:r>
    </w:p>
    <w:p w14:paraId="591D5F5D" w14:textId="77777777" w:rsidR="00627DB7" w:rsidRPr="00047E70" w:rsidRDefault="00627DB7" w:rsidP="00627DB7">
      <w:pPr>
        <w:spacing w:before="120"/>
        <w:ind w:left="4320"/>
        <w:rPr>
          <w:b/>
        </w:rPr>
      </w:pPr>
      <w:r w:rsidRPr="00047E70">
        <w:rPr>
          <w:b/>
        </w:rPr>
        <w:t>Office of the Ohio Consumers’ Counsel</w:t>
      </w:r>
    </w:p>
    <w:p w14:paraId="56E069C5" w14:textId="77777777" w:rsidR="00627DB7" w:rsidRPr="00B34484" w:rsidRDefault="00627DB7" w:rsidP="00627DB7">
      <w:pPr>
        <w:ind w:left="4320"/>
      </w:pPr>
      <w:r w:rsidRPr="00B34484">
        <w:t>10 West Broad Street, Suite 1800</w:t>
      </w:r>
    </w:p>
    <w:p w14:paraId="7A46957C" w14:textId="77777777" w:rsidR="00627DB7" w:rsidRPr="00B34484" w:rsidRDefault="00627DB7" w:rsidP="00627DB7">
      <w:pPr>
        <w:ind w:left="4320"/>
      </w:pPr>
      <w:r w:rsidRPr="00B34484">
        <w:t>Columbus, Ohio 43215-3485</w:t>
      </w:r>
    </w:p>
    <w:p w14:paraId="00E1BDF9" w14:textId="77777777" w:rsidR="00627DB7" w:rsidRDefault="00627DB7" w:rsidP="00627DB7">
      <w:pPr>
        <w:ind w:left="4320"/>
        <w:rPr>
          <w:szCs w:val="24"/>
        </w:rPr>
      </w:pPr>
      <w:r>
        <w:rPr>
          <w:szCs w:val="24"/>
        </w:rPr>
        <w:t>Telephone: (614) 466-9567 (Grady direct)</w:t>
      </w:r>
    </w:p>
    <w:p w14:paraId="6F419999" w14:textId="77777777" w:rsidR="00627DB7" w:rsidRDefault="00627DB7" w:rsidP="00627DB7">
      <w:pPr>
        <w:ind w:left="4320"/>
        <w:rPr>
          <w:szCs w:val="24"/>
        </w:rPr>
      </w:pPr>
      <w:r>
        <w:t xml:space="preserve">Telephone: (614) </w:t>
      </w:r>
      <w:r>
        <w:rPr>
          <w:szCs w:val="24"/>
        </w:rPr>
        <w:t>466-7964 (Etter direct)</w:t>
      </w:r>
    </w:p>
    <w:p w14:paraId="42AE7FDD" w14:textId="4D6B6B65" w:rsidR="00627DB7" w:rsidRDefault="00B5312E" w:rsidP="00627DB7">
      <w:pPr>
        <w:ind w:left="4320"/>
        <w:rPr>
          <w:szCs w:val="24"/>
        </w:rPr>
      </w:pPr>
      <w:hyperlink r:id="rId8" w:history="1">
        <w:r w:rsidR="00627DB7" w:rsidRPr="00DA712B">
          <w:rPr>
            <w:rStyle w:val="Hyperlink"/>
            <w:szCs w:val="24"/>
          </w:rPr>
          <w:t>Maureen.grady@occ.ohio.gov</w:t>
        </w:r>
      </w:hyperlink>
    </w:p>
    <w:p w14:paraId="3D5F2C0A" w14:textId="501087E7" w:rsidR="00627DB7" w:rsidRDefault="00B5312E" w:rsidP="00627DB7">
      <w:pPr>
        <w:ind w:left="4320"/>
        <w:rPr>
          <w:szCs w:val="24"/>
        </w:rPr>
      </w:pPr>
      <w:hyperlink r:id="rId9" w:history="1">
        <w:r w:rsidR="00627DB7" w:rsidRPr="00CD43F6">
          <w:rPr>
            <w:rStyle w:val="Hyperlink"/>
            <w:szCs w:val="24"/>
          </w:rPr>
          <w:t>Terry.etter@occ.ohio.gov</w:t>
        </w:r>
      </w:hyperlink>
    </w:p>
    <w:p w14:paraId="1F3EC5D9" w14:textId="567363A1" w:rsidR="009D6B05" w:rsidRPr="00D623D0" w:rsidRDefault="00627DB7" w:rsidP="00562248">
      <w:pPr>
        <w:jc w:val="center"/>
        <w:rPr>
          <w:szCs w:val="24"/>
        </w:rPr>
      </w:pPr>
      <w:r>
        <w:rPr>
          <w:b/>
          <w:bCs/>
          <w:u w:val="single"/>
        </w:rPr>
        <w:br w:type="page"/>
      </w:r>
      <w:r w:rsidR="009D6B05">
        <w:rPr>
          <w:b/>
          <w:bCs/>
          <w:u w:val="single"/>
        </w:rPr>
        <w:t>CERTIFICATE OF SERVICE</w:t>
      </w:r>
    </w:p>
    <w:p w14:paraId="4638EAF4" w14:textId="2D3C9CB8" w:rsidR="009D6B05" w:rsidRDefault="009D6B05">
      <w:pPr>
        <w:spacing w:line="480" w:lineRule="atLeast"/>
      </w:pPr>
      <w:r>
        <w:tab/>
        <w:t xml:space="preserve">I hereby certify that a copy of the foregoing </w:t>
      </w:r>
      <w:r w:rsidR="00447336">
        <w:t>Reply to Memorandum in Opposition</w:t>
      </w:r>
      <w:r w:rsidR="00F73EA5">
        <w:t xml:space="preserve"> </w:t>
      </w:r>
      <w:r>
        <w:t xml:space="preserve">was served on the persons stated below via </w:t>
      </w:r>
      <w:r w:rsidR="00746C80">
        <w:t>electronic service</w:t>
      </w:r>
      <w:r>
        <w:t xml:space="preserve"> this </w:t>
      </w:r>
      <w:r w:rsidR="006574AB">
        <w:t>2</w:t>
      </w:r>
      <w:r w:rsidR="00447336">
        <w:t>4</w:t>
      </w:r>
      <w:r w:rsidR="00447336" w:rsidRPr="00447336">
        <w:rPr>
          <w:vertAlign w:val="superscript"/>
        </w:rPr>
        <w:t>th</w:t>
      </w:r>
      <w:r w:rsidR="00447336">
        <w:t xml:space="preserve"> </w:t>
      </w:r>
      <w:r>
        <w:t xml:space="preserve">day of </w:t>
      </w:r>
      <w:r w:rsidR="009158F8">
        <w:t>September</w:t>
      </w:r>
      <w:r>
        <w:t xml:space="preserve"> 201</w:t>
      </w:r>
      <w:r w:rsidR="009158F8">
        <w:t>4</w:t>
      </w:r>
      <w:r>
        <w:t>.</w:t>
      </w:r>
    </w:p>
    <w:p w14:paraId="109A6A4F" w14:textId="77777777" w:rsidR="009D6B05" w:rsidRDefault="009D6B05">
      <w:pPr>
        <w:tabs>
          <w:tab w:val="left" w:pos="4320"/>
        </w:tabs>
      </w:pPr>
    </w:p>
    <w:p w14:paraId="0EED201C" w14:textId="77777777" w:rsidR="009D6B05" w:rsidRDefault="009D6B05">
      <w:pPr>
        <w:tabs>
          <w:tab w:val="left" w:pos="4320"/>
        </w:tabs>
      </w:pPr>
    </w:p>
    <w:p w14:paraId="39F5899F" w14:textId="77777777" w:rsidR="009D6B05" w:rsidRDefault="009D6B05">
      <w:pPr>
        <w:tabs>
          <w:tab w:val="left" w:pos="4320"/>
        </w:tabs>
      </w:pPr>
    </w:p>
    <w:p w14:paraId="1BAD5C20" w14:textId="68485757" w:rsidR="009D6B05" w:rsidRDefault="009D6B05">
      <w:pPr>
        <w:tabs>
          <w:tab w:val="left" w:pos="4320"/>
        </w:tabs>
        <w:rPr>
          <w:u w:val="single"/>
        </w:rPr>
      </w:pPr>
      <w:r>
        <w:rPr>
          <w:szCs w:val="24"/>
        </w:rPr>
        <w:tab/>
      </w:r>
      <w:r w:rsidR="00884CD9">
        <w:rPr>
          <w:i/>
          <w:szCs w:val="24"/>
          <w:u w:val="single"/>
        </w:rPr>
        <w:t>/s/</w:t>
      </w:r>
      <w:r w:rsidR="00C04746">
        <w:rPr>
          <w:i/>
          <w:szCs w:val="24"/>
          <w:u w:val="single"/>
        </w:rPr>
        <w:t>Maureen R. Grady</w:t>
      </w:r>
      <w:r w:rsidR="00884CD9">
        <w:rPr>
          <w:i/>
          <w:szCs w:val="24"/>
          <w:u w:val="single"/>
        </w:rPr>
        <w:tab/>
      </w:r>
      <w:r w:rsidR="00884CD9">
        <w:rPr>
          <w:i/>
          <w:szCs w:val="24"/>
          <w:u w:val="single"/>
        </w:rPr>
        <w:tab/>
      </w:r>
      <w:r w:rsidR="00884CD9">
        <w:rPr>
          <w:i/>
          <w:szCs w:val="24"/>
          <w:u w:val="single"/>
        </w:rPr>
        <w:tab/>
      </w:r>
      <w:r>
        <w:rPr>
          <w:u w:val="single"/>
        </w:rPr>
        <w:t> </w:t>
      </w:r>
    </w:p>
    <w:p w14:paraId="64B3F66A" w14:textId="65FDE96B" w:rsidR="009D6B05" w:rsidRDefault="007F2258">
      <w:pPr>
        <w:tabs>
          <w:tab w:val="left" w:pos="4320"/>
        </w:tabs>
        <w:ind w:left="4320"/>
        <w:rPr>
          <w:szCs w:val="24"/>
        </w:rPr>
      </w:pPr>
      <w:r>
        <w:rPr>
          <w:szCs w:val="24"/>
        </w:rPr>
        <w:t>Maureen R. Grady</w:t>
      </w:r>
    </w:p>
    <w:p w14:paraId="67012296" w14:textId="77777777" w:rsidR="009D6B05" w:rsidRDefault="009D6B05">
      <w:pPr>
        <w:tabs>
          <w:tab w:val="left" w:pos="4320"/>
        </w:tabs>
      </w:pPr>
      <w:r>
        <w:tab/>
        <w:t>Assistant Consumers’ Counsel</w:t>
      </w:r>
    </w:p>
    <w:p w14:paraId="3198CBC7" w14:textId="77777777" w:rsidR="009D6B05" w:rsidRDefault="009D6B05">
      <w:pPr>
        <w:pStyle w:val="CommentSubject"/>
      </w:pPr>
    </w:p>
    <w:p w14:paraId="0785841B" w14:textId="77777777" w:rsidR="00461543" w:rsidRDefault="00461543" w:rsidP="00461543">
      <w:pPr>
        <w:jc w:val="center"/>
        <w:rPr>
          <w:b/>
        </w:rPr>
      </w:pPr>
      <w:r>
        <w:rPr>
          <w:b/>
        </w:rPr>
        <w:t>SERVICE LIST</w:t>
      </w:r>
    </w:p>
    <w:p w14:paraId="2829BF33" w14:textId="77777777" w:rsidR="00461543" w:rsidRDefault="00461543" w:rsidP="00461543">
      <w:pPr>
        <w:rPr>
          <w:u w:val="single"/>
        </w:rPr>
      </w:pPr>
    </w:p>
    <w:tbl>
      <w:tblPr>
        <w:tblW w:w="0" w:type="auto"/>
        <w:tblLook w:val="01E0" w:firstRow="1" w:lastRow="1" w:firstColumn="1" w:lastColumn="1" w:noHBand="0" w:noVBand="0"/>
      </w:tblPr>
      <w:tblGrid>
        <w:gridCol w:w="4428"/>
        <w:gridCol w:w="4428"/>
      </w:tblGrid>
      <w:tr w:rsidR="009D5472" w:rsidRPr="00EC0C7D" w14:paraId="4453EEAB" w14:textId="77777777" w:rsidTr="00325CDF">
        <w:tc>
          <w:tcPr>
            <w:tcW w:w="4428" w:type="dxa"/>
            <w:shd w:val="clear" w:color="auto" w:fill="auto"/>
          </w:tcPr>
          <w:p w14:paraId="338963D7" w14:textId="2AB50422" w:rsidR="00C04746" w:rsidRDefault="00B5312E" w:rsidP="00325CDF">
            <w:pPr>
              <w:autoSpaceDE w:val="0"/>
              <w:autoSpaceDN w:val="0"/>
              <w:adjustRightInd w:val="0"/>
            </w:pPr>
            <w:hyperlink r:id="rId10" w:history="1">
              <w:r w:rsidR="00C04746" w:rsidRPr="00881932">
                <w:rPr>
                  <w:rStyle w:val="Hyperlink"/>
                </w:rPr>
                <w:t>Werner.margard@puc.state.oh.us</w:t>
              </w:r>
            </w:hyperlink>
          </w:p>
          <w:p w14:paraId="3FF5A1B8" w14:textId="45005E4F" w:rsidR="009D5472" w:rsidRPr="00EC0C7D" w:rsidRDefault="00B5312E" w:rsidP="00325CDF">
            <w:pPr>
              <w:autoSpaceDE w:val="0"/>
              <w:autoSpaceDN w:val="0"/>
              <w:adjustRightInd w:val="0"/>
              <w:rPr>
                <w:szCs w:val="24"/>
              </w:rPr>
            </w:pPr>
            <w:hyperlink r:id="rId11" w:history="1">
              <w:r w:rsidR="009D5472" w:rsidRPr="00EC0C7D">
                <w:rPr>
                  <w:color w:val="0000FF"/>
                  <w:szCs w:val="24"/>
                  <w:u w:val="single"/>
                </w:rPr>
                <w:t>dboehm@BKLlawfirm.com</w:t>
              </w:r>
            </w:hyperlink>
          </w:p>
          <w:p w14:paraId="4D49F286" w14:textId="27C7CE0D" w:rsidR="009D5472" w:rsidRPr="00EC0C7D" w:rsidRDefault="00B5312E" w:rsidP="00325CDF">
            <w:pPr>
              <w:autoSpaceDE w:val="0"/>
              <w:autoSpaceDN w:val="0"/>
              <w:adjustRightInd w:val="0"/>
              <w:rPr>
                <w:szCs w:val="24"/>
              </w:rPr>
            </w:pPr>
            <w:hyperlink r:id="rId12" w:history="1">
              <w:r w:rsidR="002D1E9C" w:rsidRPr="00EA54EB">
                <w:rPr>
                  <w:rStyle w:val="Hyperlink"/>
                  <w:szCs w:val="24"/>
                </w:rPr>
                <w:t>mkurtz@BKLlawfirm.com</w:t>
              </w:r>
            </w:hyperlink>
          </w:p>
          <w:p w14:paraId="28E9E0FD" w14:textId="0E6AF0BD" w:rsidR="009D5472" w:rsidRPr="00EC0C7D" w:rsidRDefault="00B5312E" w:rsidP="00325CDF">
            <w:pPr>
              <w:autoSpaceDE w:val="0"/>
              <w:autoSpaceDN w:val="0"/>
              <w:adjustRightInd w:val="0"/>
              <w:rPr>
                <w:szCs w:val="24"/>
              </w:rPr>
            </w:pPr>
            <w:hyperlink r:id="rId13" w:history="1">
              <w:r w:rsidR="009D5472" w:rsidRPr="00C62826">
                <w:rPr>
                  <w:rStyle w:val="Hyperlink"/>
                  <w:szCs w:val="24"/>
                </w:rPr>
                <w:t>jkylercohn@BKLlawfirm.com</w:t>
              </w:r>
            </w:hyperlink>
          </w:p>
          <w:p w14:paraId="2F690960" w14:textId="000DA43F" w:rsidR="009D5472" w:rsidRPr="00EC0C7D" w:rsidRDefault="00B5312E" w:rsidP="00325CDF">
            <w:pPr>
              <w:autoSpaceDE w:val="0"/>
              <w:autoSpaceDN w:val="0"/>
              <w:adjustRightInd w:val="0"/>
              <w:rPr>
                <w:szCs w:val="24"/>
              </w:rPr>
            </w:pPr>
            <w:hyperlink r:id="rId14" w:history="1">
              <w:r w:rsidR="009D5472" w:rsidRPr="00EC0C7D">
                <w:rPr>
                  <w:color w:val="0000FF"/>
                  <w:szCs w:val="24"/>
                  <w:u w:val="single"/>
                </w:rPr>
                <w:t>Bojko@carpenterlipps.com</w:t>
              </w:r>
            </w:hyperlink>
          </w:p>
          <w:p w14:paraId="6B997BF1" w14:textId="67A25076" w:rsidR="009D5472" w:rsidRPr="00EC0C7D" w:rsidRDefault="00B5312E" w:rsidP="00325CDF">
            <w:pPr>
              <w:autoSpaceDE w:val="0"/>
              <w:autoSpaceDN w:val="0"/>
              <w:adjustRightInd w:val="0"/>
              <w:rPr>
                <w:szCs w:val="24"/>
              </w:rPr>
            </w:pPr>
            <w:hyperlink r:id="rId15" w:history="1">
              <w:r w:rsidR="009D5472" w:rsidRPr="00EC0C7D">
                <w:rPr>
                  <w:color w:val="0000FF"/>
                  <w:szCs w:val="24"/>
                  <w:u w:val="single"/>
                </w:rPr>
                <w:t>hussey@carpenterlipps.com</w:t>
              </w:r>
            </w:hyperlink>
          </w:p>
          <w:p w14:paraId="7951FF2A" w14:textId="4B68C9C9" w:rsidR="00C04746" w:rsidRDefault="00B5312E" w:rsidP="00325CDF">
            <w:pPr>
              <w:autoSpaceDE w:val="0"/>
              <w:autoSpaceDN w:val="0"/>
              <w:adjustRightInd w:val="0"/>
            </w:pPr>
            <w:hyperlink r:id="rId16" w:history="1">
              <w:r w:rsidR="00C04746" w:rsidRPr="00881932">
                <w:rPr>
                  <w:rStyle w:val="Hyperlink"/>
                </w:rPr>
                <w:t>Allison@carpenterlipps.com</w:t>
              </w:r>
            </w:hyperlink>
          </w:p>
          <w:p w14:paraId="557AA70D" w14:textId="1E7B5DAB" w:rsidR="009D5472" w:rsidRDefault="00B5312E" w:rsidP="00325CDF">
            <w:pPr>
              <w:autoSpaceDE w:val="0"/>
              <w:autoSpaceDN w:val="0"/>
              <w:adjustRightInd w:val="0"/>
              <w:rPr>
                <w:bCs/>
                <w:szCs w:val="24"/>
              </w:rPr>
            </w:pPr>
            <w:hyperlink r:id="rId17" w:history="1">
              <w:r w:rsidR="00C04746" w:rsidRPr="00881932">
                <w:rPr>
                  <w:rStyle w:val="Hyperlink"/>
                  <w:bCs/>
                  <w:szCs w:val="24"/>
                </w:rPr>
                <w:t>myurick@taftlaw.com</w:t>
              </w:r>
            </w:hyperlink>
          </w:p>
          <w:p w14:paraId="7ECCFD84" w14:textId="1571EED9" w:rsidR="00C04746" w:rsidRDefault="00B5312E" w:rsidP="00325CDF">
            <w:pPr>
              <w:autoSpaceDE w:val="0"/>
              <w:autoSpaceDN w:val="0"/>
              <w:adjustRightInd w:val="0"/>
              <w:rPr>
                <w:bCs/>
                <w:szCs w:val="24"/>
              </w:rPr>
            </w:pPr>
            <w:hyperlink r:id="rId18" w:history="1">
              <w:r w:rsidR="00C04746" w:rsidRPr="00881932">
                <w:rPr>
                  <w:rStyle w:val="Hyperlink"/>
                  <w:bCs/>
                  <w:szCs w:val="24"/>
                </w:rPr>
                <w:t>zkravitz@taftlaw.com</w:t>
              </w:r>
            </w:hyperlink>
          </w:p>
          <w:p w14:paraId="59DE13EE" w14:textId="77777777" w:rsidR="00C04746" w:rsidRPr="00EC0C7D" w:rsidRDefault="00C04746" w:rsidP="00325CDF">
            <w:pPr>
              <w:autoSpaceDE w:val="0"/>
              <w:autoSpaceDN w:val="0"/>
              <w:adjustRightInd w:val="0"/>
              <w:rPr>
                <w:bCs/>
                <w:szCs w:val="24"/>
              </w:rPr>
            </w:pPr>
          </w:p>
          <w:p w14:paraId="5D677C81" w14:textId="77777777" w:rsidR="009D5472" w:rsidRPr="00EC0C7D" w:rsidRDefault="009D5472" w:rsidP="00325CDF">
            <w:pPr>
              <w:autoSpaceDE w:val="0"/>
              <w:autoSpaceDN w:val="0"/>
              <w:adjustRightInd w:val="0"/>
              <w:rPr>
                <w:bCs/>
                <w:szCs w:val="24"/>
              </w:rPr>
            </w:pPr>
          </w:p>
          <w:p w14:paraId="66205872" w14:textId="77777777" w:rsidR="009D5472" w:rsidRPr="00EC0C7D" w:rsidRDefault="009D5472" w:rsidP="00325CDF">
            <w:pPr>
              <w:autoSpaceDE w:val="0"/>
              <w:autoSpaceDN w:val="0"/>
              <w:adjustRightInd w:val="0"/>
              <w:rPr>
                <w:color w:val="000000"/>
                <w:szCs w:val="24"/>
              </w:rPr>
            </w:pPr>
            <w:r w:rsidRPr="00EC0C7D">
              <w:rPr>
                <w:color w:val="000000"/>
                <w:szCs w:val="24"/>
              </w:rPr>
              <w:t>Attorney Examiners:</w:t>
            </w:r>
          </w:p>
          <w:p w14:paraId="01EE09B9" w14:textId="77777777" w:rsidR="009D5472" w:rsidRPr="00EC0C7D" w:rsidRDefault="009D5472" w:rsidP="00325CDF">
            <w:pPr>
              <w:autoSpaceDE w:val="0"/>
              <w:autoSpaceDN w:val="0"/>
              <w:adjustRightInd w:val="0"/>
              <w:rPr>
                <w:color w:val="000000"/>
                <w:szCs w:val="24"/>
              </w:rPr>
            </w:pPr>
          </w:p>
          <w:p w14:paraId="23F7BECC" w14:textId="1BD2081F" w:rsidR="009D5472" w:rsidRPr="00EC0C7D" w:rsidRDefault="00B5312E" w:rsidP="00325CDF">
            <w:pPr>
              <w:autoSpaceDE w:val="0"/>
              <w:autoSpaceDN w:val="0"/>
              <w:adjustRightInd w:val="0"/>
              <w:rPr>
                <w:color w:val="000000"/>
                <w:szCs w:val="24"/>
              </w:rPr>
            </w:pPr>
            <w:hyperlink r:id="rId19" w:history="1">
              <w:r w:rsidR="009D5472" w:rsidRPr="00EC0C7D">
                <w:rPr>
                  <w:color w:val="0000FF"/>
                  <w:szCs w:val="24"/>
                  <w:u w:val="single"/>
                </w:rPr>
                <w:t>Sarah.parrot@puc.state.oh.us</w:t>
              </w:r>
            </w:hyperlink>
          </w:p>
          <w:p w14:paraId="725F619D" w14:textId="2B529A81" w:rsidR="009D5472" w:rsidRPr="00EC0C7D" w:rsidRDefault="00B5312E" w:rsidP="00325CDF">
            <w:pPr>
              <w:autoSpaceDE w:val="0"/>
              <w:autoSpaceDN w:val="0"/>
              <w:adjustRightInd w:val="0"/>
              <w:rPr>
                <w:color w:val="000000"/>
                <w:szCs w:val="24"/>
              </w:rPr>
            </w:pPr>
            <w:hyperlink r:id="rId20" w:history="1">
              <w:r w:rsidR="009D5472" w:rsidRPr="00EC0C7D">
                <w:rPr>
                  <w:color w:val="0000FF"/>
                  <w:szCs w:val="24"/>
                  <w:u w:val="single"/>
                </w:rPr>
                <w:t>Greta.see@puc.state.oh.us</w:t>
              </w:r>
            </w:hyperlink>
          </w:p>
          <w:p w14:paraId="5030BC25" w14:textId="77777777" w:rsidR="009D5472" w:rsidRPr="00EC0C7D" w:rsidRDefault="009D5472" w:rsidP="00325CDF">
            <w:pPr>
              <w:autoSpaceDE w:val="0"/>
              <w:autoSpaceDN w:val="0"/>
              <w:adjustRightInd w:val="0"/>
              <w:rPr>
                <w:bCs/>
                <w:szCs w:val="24"/>
              </w:rPr>
            </w:pPr>
          </w:p>
        </w:tc>
        <w:tc>
          <w:tcPr>
            <w:tcW w:w="4428" w:type="dxa"/>
            <w:shd w:val="clear" w:color="auto" w:fill="auto"/>
          </w:tcPr>
          <w:p w14:paraId="78AEB7DF" w14:textId="44B900D8" w:rsidR="009D5472" w:rsidRPr="00EC0C7D" w:rsidRDefault="00B5312E" w:rsidP="00325CDF">
            <w:pPr>
              <w:autoSpaceDE w:val="0"/>
              <w:autoSpaceDN w:val="0"/>
              <w:adjustRightInd w:val="0"/>
              <w:rPr>
                <w:color w:val="0000FF"/>
                <w:szCs w:val="24"/>
              </w:rPr>
            </w:pPr>
            <w:hyperlink r:id="rId21" w:history="1">
              <w:r w:rsidR="009D5472" w:rsidRPr="00EC0C7D">
                <w:rPr>
                  <w:color w:val="0000FF"/>
                  <w:szCs w:val="24"/>
                  <w:u w:val="single"/>
                </w:rPr>
                <w:t>stnourse@aep.com</w:t>
              </w:r>
            </w:hyperlink>
          </w:p>
          <w:p w14:paraId="61D0DD72" w14:textId="259E0E2B" w:rsidR="009D5472" w:rsidRPr="00EC0C7D" w:rsidRDefault="00B5312E" w:rsidP="00325CDF">
            <w:pPr>
              <w:autoSpaceDE w:val="0"/>
              <w:autoSpaceDN w:val="0"/>
              <w:adjustRightInd w:val="0"/>
              <w:rPr>
                <w:color w:val="0000FF"/>
                <w:szCs w:val="24"/>
              </w:rPr>
            </w:pPr>
            <w:hyperlink r:id="rId22" w:history="1">
              <w:r w:rsidR="009D5472" w:rsidRPr="00EC0C7D">
                <w:rPr>
                  <w:color w:val="0000FF"/>
                  <w:szCs w:val="24"/>
                  <w:u w:val="single"/>
                </w:rPr>
                <w:t>mjsatterwhite@aep.com</w:t>
              </w:r>
            </w:hyperlink>
          </w:p>
          <w:p w14:paraId="24CC4CC9" w14:textId="1B65F486" w:rsidR="009D5472" w:rsidRPr="00EC0C7D" w:rsidRDefault="00B5312E" w:rsidP="00325CDF">
            <w:pPr>
              <w:autoSpaceDE w:val="0"/>
              <w:autoSpaceDN w:val="0"/>
              <w:adjustRightInd w:val="0"/>
              <w:rPr>
                <w:color w:val="0000FF"/>
                <w:szCs w:val="24"/>
              </w:rPr>
            </w:pPr>
            <w:hyperlink r:id="rId23" w:history="1">
              <w:r w:rsidR="009D5472" w:rsidRPr="00EC0C7D">
                <w:rPr>
                  <w:color w:val="0000FF"/>
                  <w:szCs w:val="24"/>
                  <w:u w:val="single"/>
                </w:rPr>
                <w:t>ricks@ohanet.org</w:t>
              </w:r>
            </w:hyperlink>
          </w:p>
          <w:p w14:paraId="4CAA83D9" w14:textId="38C33A5F" w:rsidR="009D5472" w:rsidRPr="00EC0C7D" w:rsidRDefault="00B5312E" w:rsidP="00325CDF">
            <w:pPr>
              <w:autoSpaceDE w:val="0"/>
              <w:autoSpaceDN w:val="0"/>
              <w:adjustRightInd w:val="0"/>
              <w:rPr>
                <w:color w:val="0000FF"/>
                <w:szCs w:val="24"/>
              </w:rPr>
            </w:pPr>
            <w:hyperlink r:id="rId24" w:history="1">
              <w:r w:rsidR="009D5472" w:rsidRPr="00EC0C7D">
                <w:rPr>
                  <w:color w:val="0000FF"/>
                  <w:szCs w:val="24"/>
                  <w:u w:val="single"/>
                </w:rPr>
                <w:t>tobrien@bricker.com</w:t>
              </w:r>
            </w:hyperlink>
          </w:p>
          <w:p w14:paraId="44910AF3" w14:textId="52B1D60E" w:rsidR="009D5472" w:rsidRPr="00EC0C7D" w:rsidRDefault="00B5312E" w:rsidP="00325CDF">
            <w:pPr>
              <w:autoSpaceDE w:val="0"/>
              <w:autoSpaceDN w:val="0"/>
              <w:adjustRightInd w:val="0"/>
              <w:rPr>
                <w:szCs w:val="24"/>
              </w:rPr>
            </w:pPr>
            <w:hyperlink r:id="rId25" w:history="1">
              <w:r w:rsidR="009D5472" w:rsidRPr="00EC0C7D">
                <w:rPr>
                  <w:color w:val="0000FF"/>
                  <w:szCs w:val="24"/>
                  <w:u w:val="single"/>
                </w:rPr>
                <w:t>sam@mwncmh.com</w:t>
              </w:r>
            </w:hyperlink>
          </w:p>
          <w:p w14:paraId="0B5DF46E" w14:textId="3A6EB419" w:rsidR="009D5472" w:rsidRPr="00EC0C7D" w:rsidRDefault="00B5312E" w:rsidP="00325CDF">
            <w:pPr>
              <w:autoSpaceDE w:val="0"/>
              <w:autoSpaceDN w:val="0"/>
              <w:adjustRightInd w:val="0"/>
              <w:rPr>
                <w:szCs w:val="24"/>
              </w:rPr>
            </w:pPr>
            <w:hyperlink r:id="rId26" w:history="1">
              <w:r w:rsidR="009D5472" w:rsidRPr="00EC0C7D">
                <w:rPr>
                  <w:color w:val="0000FF"/>
                  <w:szCs w:val="24"/>
                  <w:u w:val="single"/>
                </w:rPr>
                <w:t>fdarr@mwncmh.com</w:t>
              </w:r>
            </w:hyperlink>
          </w:p>
          <w:p w14:paraId="2E76E5DF" w14:textId="362A6649" w:rsidR="009D5472" w:rsidRPr="00EC0C7D" w:rsidRDefault="00B5312E" w:rsidP="00325CDF">
            <w:pPr>
              <w:autoSpaceDE w:val="0"/>
              <w:autoSpaceDN w:val="0"/>
              <w:adjustRightInd w:val="0"/>
              <w:rPr>
                <w:szCs w:val="24"/>
              </w:rPr>
            </w:pPr>
            <w:hyperlink r:id="rId27" w:history="1">
              <w:r w:rsidR="009D5472" w:rsidRPr="00EC0C7D">
                <w:rPr>
                  <w:color w:val="0000FF"/>
                  <w:szCs w:val="24"/>
                  <w:u w:val="single"/>
                </w:rPr>
                <w:t>mpritchard@mwncmh.com</w:t>
              </w:r>
            </w:hyperlink>
          </w:p>
          <w:p w14:paraId="225D618C" w14:textId="77777777" w:rsidR="009D5472" w:rsidRPr="00EC0C7D" w:rsidRDefault="009D5472" w:rsidP="00325CDF">
            <w:pPr>
              <w:autoSpaceDE w:val="0"/>
              <w:autoSpaceDN w:val="0"/>
              <w:adjustRightInd w:val="0"/>
              <w:rPr>
                <w:szCs w:val="24"/>
              </w:rPr>
            </w:pPr>
          </w:p>
          <w:p w14:paraId="737400E9" w14:textId="77777777" w:rsidR="009D5472" w:rsidRPr="00EC0C7D" w:rsidRDefault="009D5472" w:rsidP="00325CDF">
            <w:pPr>
              <w:jc w:val="both"/>
              <w:rPr>
                <w:bCs/>
                <w:szCs w:val="24"/>
              </w:rPr>
            </w:pPr>
          </w:p>
        </w:tc>
      </w:tr>
    </w:tbl>
    <w:p w14:paraId="4DCE71BA" w14:textId="77777777" w:rsidR="009D6B05" w:rsidRDefault="009D6B05">
      <w:pPr>
        <w:pStyle w:val="CommentText"/>
      </w:pPr>
    </w:p>
    <w:sectPr w:rsidR="009D6B05" w:rsidSect="00461543">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DB41" w14:textId="77777777" w:rsidR="00B5495A" w:rsidRDefault="00B5495A">
      <w:r>
        <w:separator/>
      </w:r>
    </w:p>
  </w:endnote>
  <w:endnote w:type="continuationSeparator" w:id="0">
    <w:p w14:paraId="1C40EF23" w14:textId="77777777" w:rsidR="00B5495A" w:rsidRDefault="00B5495A">
      <w:r>
        <w:continuationSeparator/>
      </w:r>
    </w:p>
  </w:endnote>
  <w:endnote w:type="continuationNotice" w:id="1">
    <w:p w14:paraId="0B4156FC" w14:textId="77777777" w:rsidR="00B5495A" w:rsidRDefault="00B54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A0C4" w14:textId="77777777" w:rsidR="00E00427" w:rsidRDefault="00E00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38E7" w14:textId="77777777" w:rsidR="004C6EC0" w:rsidRPr="004C6EC0" w:rsidRDefault="004C6EC0">
    <w:pPr>
      <w:pStyle w:val="Footer"/>
      <w:jc w:val="center"/>
      <w:rPr>
        <w:sz w:val="24"/>
        <w:szCs w:val="24"/>
      </w:rPr>
    </w:pPr>
    <w:r w:rsidRPr="004C6EC0">
      <w:rPr>
        <w:sz w:val="24"/>
        <w:szCs w:val="24"/>
      </w:rPr>
      <w:fldChar w:fldCharType="begin"/>
    </w:r>
    <w:r w:rsidRPr="004C6EC0">
      <w:rPr>
        <w:sz w:val="24"/>
        <w:szCs w:val="24"/>
      </w:rPr>
      <w:instrText xml:space="preserve"> PAGE   \* MERGEFORMAT </w:instrText>
    </w:r>
    <w:r w:rsidRPr="004C6EC0">
      <w:rPr>
        <w:sz w:val="24"/>
        <w:szCs w:val="24"/>
      </w:rPr>
      <w:fldChar w:fldCharType="separate"/>
    </w:r>
    <w:r w:rsidR="00B5312E">
      <w:rPr>
        <w:noProof/>
        <w:sz w:val="24"/>
        <w:szCs w:val="24"/>
      </w:rPr>
      <w:t>2</w:t>
    </w:r>
    <w:r w:rsidRPr="004C6EC0">
      <w:rPr>
        <w:noProof/>
        <w:sz w:val="24"/>
        <w:szCs w:val="24"/>
      </w:rPr>
      <w:fldChar w:fldCharType="end"/>
    </w:r>
  </w:p>
  <w:p w14:paraId="6A3ED2AD" w14:textId="77777777" w:rsidR="004C6EC0" w:rsidRDefault="004C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0175" w14:textId="77777777" w:rsidR="00E00427" w:rsidRDefault="00E0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D085" w14:textId="77777777" w:rsidR="00B5495A" w:rsidRDefault="00B5495A">
      <w:r>
        <w:separator/>
      </w:r>
    </w:p>
  </w:footnote>
  <w:footnote w:type="continuationSeparator" w:id="0">
    <w:p w14:paraId="4930E000" w14:textId="77777777" w:rsidR="00B5495A" w:rsidRDefault="00B5495A">
      <w:r>
        <w:continuationSeparator/>
      </w:r>
    </w:p>
  </w:footnote>
  <w:footnote w:type="continuationNotice" w:id="1">
    <w:p w14:paraId="02638F14" w14:textId="77777777" w:rsidR="00B5495A" w:rsidRDefault="00B5495A"/>
  </w:footnote>
  <w:footnote w:id="2">
    <w:p w14:paraId="1D6A934D" w14:textId="4F897BD0" w:rsidR="00A55084" w:rsidRDefault="00A55084" w:rsidP="00A55084">
      <w:pPr>
        <w:pStyle w:val="FootnoteText"/>
      </w:pPr>
      <w:r>
        <w:rPr>
          <w:rStyle w:val="FootnoteReference"/>
        </w:rPr>
        <w:footnoteRef/>
      </w:r>
      <w:r>
        <w:t xml:space="preserve"> See Application (July 8, 2014)</w:t>
      </w:r>
      <w:r w:rsidR="00EE0409">
        <w:t>, Exhibit A</w:t>
      </w:r>
      <w:r>
        <w:t>.</w:t>
      </w:r>
    </w:p>
  </w:footnote>
  <w:footnote w:id="3">
    <w:p w14:paraId="1CA1A9FF" w14:textId="77777777" w:rsidR="00A55084" w:rsidRDefault="00A55084" w:rsidP="00A55084">
      <w:pPr>
        <w:pStyle w:val="FootnoteText"/>
        <w:spacing w:after="120"/>
      </w:pPr>
      <w:r>
        <w:rPr>
          <w:rStyle w:val="FootnoteReference"/>
        </w:rPr>
        <w:footnoteRef/>
      </w:r>
      <w:r>
        <w:t xml:space="preserve"> </w:t>
      </w:r>
      <w:r w:rsidRPr="0038032C">
        <w:rPr>
          <w:i/>
        </w:rPr>
        <w:t>In the Matter of the Commission Review of the Capacity Charges of Ohio Power Company and Columbus Southern Power Company</w:t>
      </w:r>
      <w:r>
        <w:t xml:space="preserve">, Case No. 10-2929-EL-UNC, Opinion and Order (July 2, 2012) (“Capacity Charge Order”).    </w:t>
      </w:r>
    </w:p>
  </w:footnote>
  <w:footnote w:id="4">
    <w:p w14:paraId="010357E2" w14:textId="77777777" w:rsidR="00A55084" w:rsidRDefault="00A55084" w:rsidP="00A55084">
      <w:pPr>
        <w:pStyle w:val="FootnoteText"/>
        <w:spacing w:after="120"/>
      </w:pPr>
      <w:r>
        <w:rPr>
          <w:rStyle w:val="FootnoteReference"/>
        </w:rPr>
        <w:footnoteRef/>
      </w:r>
      <w:r>
        <w:t xml:space="preserve"> The PUCO subsequently ordered that AEP Ohio could collect the deferred capacity costs from all customers, though a non-bypassable charge.  </w:t>
      </w:r>
      <w:r w:rsidRPr="0038032C">
        <w:rPr>
          <w:i/>
        </w:rPr>
        <w:t xml:space="preserve">In the Matter of the </w:t>
      </w:r>
      <w:r w:rsidRPr="00886275">
        <w:rPr>
          <w:i/>
        </w:rPr>
        <w:t>Application of Columbus</w:t>
      </w:r>
      <w:r w:rsidRPr="0038032C">
        <w:rPr>
          <w:i/>
        </w:rPr>
        <w:t xml:space="preserve"> Southern Power Company a</w:t>
      </w:r>
      <w:r>
        <w:rPr>
          <w:i/>
        </w:rPr>
        <w:t>n</w:t>
      </w:r>
      <w:r w:rsidRPr="0038032C">
        <w:rPr>
          <w:i/>
        </w:rPr>
        <w:t xml:space="preserve">d Ohio Power </w:t>
      </w:r>
      <w:r>
        <w:rPr>
          <w:i/>
        </w:rPr>
        <w:t>C</w:t>
      </w:r>
      <w:r w:rsidRPr="00886275">
        <w:rPr>
          <w:i/>
        </w:rPr>
        <w:t>ompany for Aut</w:t>
      </w:r>
      <w:r>
        <w:rPr>
          <w:i/>
        </w:rPr>
        <w:t>hority</w:t>
      </w:r>
      <w:r w:rsidRPr="00886275">
        <w:rPr>
          <w:i/>
        </w:rPr>
        <w:t xml:space="preserve"> to Establis</w:t>
      </w:r>
      <w:r w:rsidRPr="0038032C">
        <w:rPr>
          <w:i/>
        </w:rPr>
        <w:t>h a St</w:t>
      </w:r>
      <w:r>
        <w:rPr>
          <w:i/>
        </w:rPr>
        <w:t>a</w:t>
      </w:r>
      <w:r w:rsidRPr="0038032C">
        <w:rPr>
          <w:i/>
        </w:rPr>
        <w:t xml:space="preserve">ndard Service Offer Pursuant to </w:t>
      </w:r>
      <w:r>
        <w:rPr>
          <w:i/>
        </w:rPr>
        <w:t>4</w:t>
      </w:r>
      <w:r w:rsidRPr="0038032C">
        <w:rPr>
          <w:i/>
        </w:rPr>
        <w:t>928.143</w:t>
      </w:r>
      <w:r>
        <w:rPr>
          <w:i/>
        </w:rPr>
        <w:t xml:space="preserve">, </w:t>
      </w:r>
      <w:r w:rsidRPr="0038032C">
        <w:rPr>
          <w:i/>
        </w:rPr>
        <w:t>Ohio Rev. Code, in the Form of an Electric Security Plan</w:t>
      </w:r>
      <w:r>
        <w:t xml:space="preserve">, Case No. 11-346-EL-SSO, Opinion and Order (August 8, 2012) (“ESP 2 Order”) at 37. </w:t>
      </w:r>
    </w:p>
  </w:footnote>
  <w:footnote w:id="5">
    <w:p w14:paraId="784F2E13" w14:textId="3256DC2D" w:rsidR="00A55084" w:rsidRDefault="00A55084" w:rsidP="00A55084">
      <w:pPr>
        <w:pStyle w:val="FootnoteText"/>
      </w:pPr>
      <w:r>
        <w:rPr>
          <w:rStyle w:val="FootnoteReference"/>
        </w:rPr>
        <w:footnoteRef/>
      </w:r>
      <w:r>
        <w:t xml:space="preserve"> The </w:t>
      </w:r>
      <w:r w:rsidR="00EE0409">
        <w:t>RSR</w:t>
      </w:r>
      <w:r>
        <w:t xml:space="preserve"> is due to expire at the end of AEP Ohio’s current electric security plan on May 31, 2015.  See id. at 36.</w:t>
      </w:r>
    </w:p>
  </w:footnote>
  <w:footnote w:id="6">
    <w:p w14:paraId="03D4226F" w14:textId="3282A4B6" w:rsidR="00A55084" w:rsidRDefault="00A55084" w:rsidP="00A55084">
      <w:pPr>
        <w:pStyle w:val="FootnoteText"/>
      </w:pPr>
      <w:r>
        <w:rPr>
          <w:rStyle w:val="FootnoteReference"/>
        </w:rPr>
        <w:footnoteRef/>
      </w:r>
      <w:r>
        <w:t xml:space="preserve"> See </w:t>
      </w:r>
      <w:r w:rsidR="000F7F66">
        <w:t>Application, Exhibit A</w:t>
      </w:r>
      <w:r>
        <w:t>.</w:t>
      </w:r>
    </w:p>
  </w:footnote>
  <w:footnote w:id="7">
    <w:p w14:paraId="088BDDFC" w14:textId="732CCF5A" w:rsidR="002A7671" w:rsidRDefault="002A7671">
      <w:pPr>
        <w:pStyle w:val="FootnoteText"/>
      </w:pPr>
      <w:r>
        <w:rPr>
          <w:rStyle w:val="FootnoteReference"/>
        </w:rPr>
        <w:footnoteRef/>
      </w:r>
      <w:r>
        <w:t xml:space="preserve"> Industrial Energy Users-Ohio’s Motion to Dismiss (August 19, 2014).</w:t>
      </w:r>
    </w:p>
  </w:footnote>
  <w:footnote w:id="8">
    <w:p w14:paraId="4CFA2F7D" w14:textId="77777777" w:rsidR="0009067F" w:rsidRDefault="0009067F" w:rsidP="0009067F">
      <w:pPr>
        <w:pStyle w:val="FootnoteText"/>
      </w:pPr>
      <w:r>
        <w:rPr>
          <w:rStyle w:val="FootnoteReference"/>
        </w:rPr>
        <w:footnoteRef/>
      </w:r>
      <w:r>
        <w:t xml:space="preserve"> AEP Ohio Memorandum in Opposition at 2-6.</w:t>
      </w:r>
    </w:p>
  </w:footnote>
  <w:footnote w:id="9">
    <w:p w14:paraId="7E903478" w14:textId="48DF0299" w:rsidR="0009067F" w:rsidRDefault="0009067F">
      <w:pPr>
        <w:pStyle w:val="FootnoteText"/>
      </w:pPr>
      <w:r>
        <w:rPr>
          <w:rStyle w:val="FootnoteReference"/>
        </w:rPr>
        <w:footnoteRef/>
      </w:r>
      <w:r>
        <w:t xml:space="preserve"> Id. at 6-7.</w:t>
      </w:r>
    </w:p>
  </w:footnote>
  <w:footnote w:id="10">
    <w:p w14:paraId="32A17DE9" w14:textId="5FAFDEA9" w:rsidR="0009067F" w:rsidRDefault="0009067F">
      <w:pPr>
        <w:pStyle w:val="FootnoteText"/>
      </w:pPr>
      <w:r>
        <w:rPr>
          <w:rStyle w:val="FootnoteReference"/>
        </w:rPr>
        <w:footnoteRef/>
      </w:r>
      <w:r>
        <w:t xml:space="preserve"> </w:t>
      </w:r>
      <w:r w:rsidR="005F6B8F">
        <w:t>Id.</w:t>
      </w:r>
      <w:r>
        <w:t xml:space="preserve"> at 7-8.</w:t>
      </w:r>
    </w:p>
  </w:footnote>
  <w:footnote w:id="11">
    <w:p w14:paraId="1A4C0EAD" w14:textId="48BF9387" w:rsidR="005B0064" w:rsidRDefault="005B0064">
      <w:pPr>
        <w:pStyle w:val="FootnoteText"/>
      </w:pPr>
      <w:r>
        <w:rPr>
          <w:rStyle w:val="FootnoteReference"/>
        </w:rPr>
        <w:footnoteRef/>
      </w:r>
      <w:r>
        <w:t xml:space="preserve"> Id. at 2.</w:t>
      </w:r>
    </w:p>
  </w:footnote>
  <w:footnote w:id="12">
    <w:p w14:paraId="01182F64" w14:textId="5E378203" w:rsidR="005B0064" w:rsidRDefault="005B0064">
      <w:pPr>
        <w:pStyle w:val="FootnoteText"/>
      </w:pPr>
      <w:r>
        <w:rPr>
          <w:rStyle w:val="FootnoteReference"/>
        </w:rPr>
        <w:footnoteRef/>
      </w:r>
      <w:r>
        <w:t xml:space="preserve"> Id. at 3.</w:t>
      </w:r>
    </w:p>
  </w:footnote>
  <w:footnote w:id="13">
    <w:p w14:paraId="58B2BA34" w14:textId="4081A72A" w:rsidR="003F445E" w:rsidRDefault="003F445E">
      <w:pPr>
        <w:pStyle w:val="FootnoteText"/>
      </w:pPr>
      <w:r>
        <w:rPr>
          <w:rStyle w:val="FootnoteReference"/>
        </w:rPr>
        <w:footnoteRef/>
      </w:r>
      <w:r>
        <w:t xml:space="preserve"> </w:t>
      </w:r>
      <w:r w:rsidR="00FE68A3">
        <w:t>OCC Motion at 2-4.</w:t>
      </w:r>
    </w:p>
  </w:footnote>
  <w:footnote w:id="14">
    <w:p w14:paraId="210B3D85" w14:textId="76EEAD4A" w:rsidR="00EE0409" w:rsidRDefault="00EE0409">
      <w:pPr>
        <w:pStyle w:val="FootnoteText"/>
      </w:pPr>
      <w:r>
        <w:rPr>
          <w:rStyle w:val="FootnoteReference"/>
        </w:rPr>
        <w:footnoteRef/>
      </w:r>
      <w:r>
        <w:t xml:space="preserve"> ESP 2 Order at 12-13.</w:t>
      </w:r>
    </w:p>
  </w:footnote>
  <w:footnote w:id="15">
    <w:p w14:paraId="322407C6" w14:textId="7BFF368B" w:rsidR="00747312" w:rsidRDefault="00747312">
      <w:pPr>
        <w:pStyle w:val="FootnoteText"/>
      </w:pPr>
      <w:r>
        <w:rPr>
          <w:rStyle w:val="FootnoteReference"/>
        </w:rPr>
        <w:footnoteRef/>
      </w:r>
      <w:r>
        <w:t xml:space="preserve"> </w:t>
      </w:r>
      <w:r w:rsidR="00EE0409">
        <w:t>Id.</w:t>
      </w:r>
      <w:r>
        <w:t xml:space="preserve"> at 36 (emphasis added).</w:t>
      </w:r>
    </w:p>
  </w:footnote>
  <w:footnote w:id="16">
    <w:p w14:paraId="30010E24" w14:textId="09D094A1" w:rsidR="00C971FB" w:rsidRDefault="00C971FB" w:rsidP="00C971FB">
      <w:pPr>
        <w:pStyle w:val="FootnoteText"/>
      </w:pPr>
      <w:r>
        <w:rPr>
          <w:rStyle w:val="FootnoteReference"/>
        </w:rPr>
        <w:footnoteRef/>
      </w:r>
      <w:r>
        <w:t xml:space="preserve"> </w:t>
      </w:r>
      <w:r w:rsidR="00804156" w:rsidRPr="00804156">
        <w:rPr>
          <w:i/>
        </w:rPr>
        <w:t>AEP Ohio ESP 3</w:t>
      </w:r>
      <w:r w:rsidR="00804156">
        <w:t xml:space="preserve">, </w:t>
      </w:r>
      <w:r>
        <w:t>Case No. 13-2385-EL-SSO, Ohio Power Company’s Motion to Strike Testimony and Request for Expedited Ruling (May 23, 2014) at 5-6 (citations omitted).</w:t>
      </w:r>
    </w:p>
  </w:footnote>
  <w:footnote w:id="17">
    <w:p w14:paraId="6C03CAF8" w14:textId="0342AC79" w:rsidR="00C971FB" w:rsidRDefault="00C971FB">
      <w:pPr>
        <w:pStyle w:val="FootnoteText"/>
      </w:pPr>
      <w:r>
        <w:rPr>
          <w:rStyle w:val="FootnoteReference"/>
        </w:rPr>
        <w:footnoteRef/>
      </w:r>
      <w:r>
        <w:t xml:space="preserve"> Id. at 6.</w:t>
      </w:r>
    </w:p>
  </w:footnote>
  <w:footnote w:id="18">
    <w:p w14:paraId="622BE327" w14:textId="133AC9B4" w:rsidR="00C971FB" w:rsidRDefault="00C971FB">
      <w:pPr>
        <w:pStyle w:val="FootnoteText"/>
      </w:pPr>
      <w:r>
        <w:rPr>
          <w:rStyle w:val="FootnoteReference"/>
        </w:rPr>
        <w:footnoteRef/>
      </w:r>
      <w:r>
        <w:t xml:space="preserve"> Id., Tr. Vol. VIII at 1882.</w:t>
      </w:r>
    </w:p>
  </w:footnote>
  <w:footnote w:id="19">
    <w:p w14:paraId="41EBD912" w14:textId="48F6BD24" w:rsidR="009B365B" w:rsidRDefault="009B365B">
      <w:pPr>
        <w:pStyle w:val="FootnoteText"/>
      </w:pPr>
      <w:r>
        <w:rPr>
          <w:rStyle w:val="FootnoteReference"/>
        </w:rPr>
        <w:footnoteRef/>
      </w:r>
      <w:r>
        <w:t xml:space="preserve"> See </w:t>
      </w:r>
      <w:r w:rsidR="00557C84">
        <w:t xml:space="preserve">ESP 2 Order </w:t>
      </w:r>
      <w:r>
        <w:t>at 31, 37.</w:t>
      </w:r>
    </w:p>
  </w:footnote>
  <w:footnote w:id="20">
    <w:p w14:paraId="45617566" w14:textId="14AB6F85" w:rsidR="009B365B" w:rsidRDefault="009B365B">
      <w:pPr>
        <w:pStyle w:val="FootnoteText"/>
      </w:pPr>
      <w:r>
        <w:rPr>
          <w:rStyle w:val="FootnoteReference"/>
        </w:rPr>
        <w:footnoteRef/>
      </w:r>
      <w:r>
        <w:t xml:space="preserve"> AEP Ohio Memorandum Contra at 4, citing Ohio Supreme Court Case No. 2013-521, OCC First Merit Brief </w:t>
      </w:r>
      <w:r w:rsidR="00557C84">
        <w:t xml:space="preserve">(August 12, 2013) </w:t>
      </w:r>
      <w:r>
        <w:t xml:space="preserve">at 2.  </w:t>
      </w:r>
    </w:p>
  </w:footnote>
  <w:footnote w:id="21">
    <w:p w14:paraId="45315985" w14:textId="685CB896" w:rsidR="009318F4" w:rsidRDefault="009318F4">
      <w:pPr>
        <w:pStyle w:val="FootnoteText"/>
      </w:pPr>
      <w:r>
        <w:rPr>
          <w:rStyle w:val="FootnoteReference"/>
        </w:rPr>
        <w:footnoteRef/>
      </w:r>
      <w:r>
        <w:t xml:space="preserve"> OCC First Merit Brief at 6.</w:t>
      </w:r>
    </w:p>
  </w:footnote>
  <w:footnote w:id="22">
    <w:p w14:paraId="106D555C" w14:textId="77777777" w:rsidR="009318F4" w:rsidRDefault="009318F4" w:rsidP="009318F4">
      <w:pPr>
        <w:pStyle w:val="FootnoteText"/>
      </w:pPr>
      <w:r>
        <w:rPr>
          <w:rStyle w:val="FootnoteReference"/>
        </w:rPr>
        <w:footnoteRef/>
      </w:r>
      <w:r>
        <w:t xml:space="preserve"> Id. at 3.</w:t>
      </w:r>
    </w:p>
  </w:footnote>
  <w:footnote w:id="23">
    <w:p w14:paraId="6F8FFCCC" w14:textId="3CC2E179" w:rsidR="009D5875" w:rsidRDefault="009D5875" w:rsidP="00DB1E11">
      <w:pPr>
        <w:autoSpaceDE w:val="0"/>
        <w:autoSpaceDN w:val="0"/>
        <w:adjustRightInd w:val="0"/>
        <w:spacing w:before="120"/>
      </w:pPr>
      <w:r w:rsidRPr="00DB1E11">
        <w:rPr>
          <w:rStyle w:val="FootnoteReference"/>
          <w:sz w:val="20"/>
        </w:rPr>
        <w:footnoteRef/>
      </w:r>
      <w:r w:rsidRPr="00DB1E11">
        <w:rPr>
          <w:sz w:val="20"/>
        </w:rPr>
        <w:t xml:space="preserve"> </w:t>
      </w:r>
      <w:r w:rsidR="00F07B49" w:rsidRPr="00804156">
        <w:rPr>
          <w:sz w:val="20"/>
        </w:rPr>
        <w:t xml:space="preserve">See </w:t>
      </w:r>
      <w:r w:rsidR="00F07B49" w:rsidRPr="00804156">
        <w:rPr>
          <w:i/>
          <w:sz w:val="20"/>
        </w:rPr>
        <w:t>AEP Ohio ESP</w:t>
      </w:r>
      <w:r w:rsidR="00804156" w:rsidRPr="00804156">
        <w:rPr>
          <w:i/>
          <w:sz w:val="20"/>
        </w:rPr>
        <w:t xml:space="preserve"> 1</w:t>
      </w:r>
      <w:r w:rsidR="00F07B49" w:rsidRPr="00804156">
        <w:rPr>
          <w:sz w:val="20"/>
        </w:rPr>
        <w:t>, Case No. 08-917-EL-SSO, Entry (May 25, 2011);</w:t>
      </w:r>
      <w:r w:rsidR="00F07B49">
        <w:t xml:space="preserve"> </w:t>
      </w:r>
      <w:r w:rsidR="00F07B49" w:rsidRPr="00804156">
        <w:rPr>
          <w:i/>
          <w:sz w:val="20"/>
        </w:rPr>
        <w:t>In re Columbus &amp; Southern Ohio Electric Co.</w:t>
      </w:r>
      <w:r w:rsidR="00F07B49">
        <w:rPr>
          <w:sz w:val="20"/>
        </w:rPr>
        <w:t>, Case No. 83-1058-EL-AIR, Entry (November 17, 1982)</w:t>
      </w:r>
      <w:r w:rsidR="00804156">
        <w:t xml:space="preserve">; </w:t>
      </w:r>
      <w:r w:rsidR="00804156" w:rsidRPr="00804156">
        <w:rPr>
          <w:i/>
          <w:sz w:val="20"/>
        </w:rPr>
        <w:t>In the Matter of the Commission’s Investigation of the Current Rates, Revenues, Rate Base, and Rate of Return of the Ohio Utilities Company</w:t>
      </w:r>
      <w:r w:rsidR="00804156">
        <w:rPr>
          <w:sz w:val="20"/>
        </w:rPr>
        <w:t>, Case No. 77-1073-WS-COI, Entry (June 7, 1978) at 2</w:t>
      </w:r>
      <w:r w:rsidR="00F07B49">
        <w:t>.</w:t>
      </w:r>
    </w:p>
  </w:footnote>
  <w:footnote w:id="24">
    <w:p w14:paraId="38C95F23" w14:textId="78C3EF80" w:rsidR="009D5875" w:rsidRDefault="009D5875">
      <w:pPr>
        <w:pStyle w:val="FootnoteText"/>
      </w:pPr>
      <w:r>
        <w:rPr>
          <w:rStyle w:val="FootnoteReference"/>
        </w:rPr>
        <w:footnoteRef/>
      </w:r>
      <w:r>
        <w:t xml:space="preserve"> AEP Ohio Memorandum in Opposition at 6-7.</w:t>
      </w:r>
    </w:p>
  </w:footnote>
  <w:footnote w:id="25">
    <w:p w14:paraId="775F5661" w14:textId="40920D36" w:rsidR="009D5875" w:rsidRDefault="009D5875">
      <w:pPr>
        <w:pStyle w:val="FootnoteText"/>
      </w:pPr>
      <w:r>
        <w:rPr>
          <w:rStyle w:val="FootnoteReference"/>
        </w:rPr>
        <w:footnoteRef/>
      </w:r>
      <w:r>
        <w:t xml:space="preserve"> Id. at 7.</w:t>
      </w:r>
    </w:p>
  </w:footnote>
  <w:footnote w:id="26">
    <w:p w14:paraId="20DD52F5" w14:textId="77777777" w:rsidR="006254A3" w:rsidRDefault="006254A3" w:rsidP="006254A3">
      <w:pPr>
        <w:pStyle w:val="FootnoteText"/>
      </w:pPr>
      <w:r>
        <w:rPr>
          <w:rStyle w:val="FootnoteReference"/>
        </w:rPr>
        <w:footnoteRef/>
      </w:r>
      <w:r>
        <w:t xml:space="preserve"> Capacity Charge Order at 23.</w:t>
      </w:r>
    </w:p>
  </w:footnote>
  <w:footnote w:id="27">
    <w:p w14:paraId="65C45273" w14:textId="77777777" w:rsidR="006254A3" w:rsidRDefault="006254A3" w:rsidP="006254A3">
      <w:pPr>
        <w:pStyle w:val="FootnoteText"/>
      </w:pPr>
      <w:r>
        <w:rPr>
          <w:rStyle w:val="FootnoteReference"/>
        </w:rPr>
        <w:footnoteRef/>
      </w:r>
      <w:r>
        <w:t xml:space="preserve"> See ESP 2 Order at 12-13.</w:t>
      </w:r>
    </w:p>
  </w:footnote>
  <w:footnote w:id="28">
    <w:p w14:paraId="1AC10FA0" w14:textId="7B45A9E6" w:rsidR="006254A3" w:rsidRDefault="006254A3">
      <w:pPr>
        <w:pStyle w:val="FootnoteText"/>
      </w:pPr>
      <w:r>
        <w:rPr>
          <w:rStyle w:val="FootnoteReference"/>
        </w:rPr>
        <w:footnoteRef/>
      </w:r>
      <w:r>
        <w:t xml:space="preserve"> See AEP Ohio Memorandum in Opposition at 6.</w:t>
      </w:r>
    </w:p>
  </w:footnote>
  <w:footnote w:id="29">
    <w:p w14:paraId="6A6C6390" w14:textId="1EF25A9F" w:rsidR="006254A3" w:rsidRDefault="006254A3" w:rsidP="006254A3">
      <w:pPr>
        <w:pStyle w:val="FootnoteText"/>
      </w:pPr>
      <w:r>
        <w:rPr>
          <w:rStyle w:val="FootnoteReference"/>
        </w:rPr>
        <w:footnoteRef/>
      </w:r>
      <w:r>
        <w:t xml:space="preserve"> </w:t>
      </w:r>
      <w:r w:rsidR="00557C84">
        <w:t xml:space="preserve">ESP 2 </w:t>
      </w:r>
      <w:r>
        <w:t>Order at 36.</w:t>
      </w:r>
    </w:p>
  </w:footnote>
  <w:footnote w:id="30">
    <w:p w14:paraId="6863AE95" w14:textId="789F8F17" w:rsidR="006254A3" w:rsidRDefault="006254A3">
      <w:pPr>
        <w:pStyle w:val="FootnoteText"/>
      </w:pPr>
      <w:r>
        <w:rPr>
          <w:rStyle w:val="FootnoteReference"/>
        </w:rPr>
        <w:footnoteRef/>
      </w:r>
      <w:r>
        <w:t xml:space="preserve"> Id.</w:t>
      </w:r>
    </w:p>
  </w:footnote>
  <w:footnote w:id="31">
    <w:p w14:paraId="79A110C9" w14:textId="2BEC4C6A" w:rsidR="006254A3" w:rsidRDefault="006254A3">
      <w:pPr>
        <w:pStyle w:val="FootnoteText"/>
      </w:pPr>
      <w:r>
        <w:rPr>
          <w:rStyle w:val="FootnoteReference"/>
        </w:rPr>
        <w:footnoteRef/>
      </w:r>
      <w:r>
        <w:t xml:space="preserve"> Id.</w:t>
      </w:r>
    </w:p>
  </w:footnote>
  <w:footnote w:id="32">
    <w:p w14:paraId="0BB5EEC7" w14:textId="2E20F341" w:rsidR="002D61CB" w:rsidRDefault="002D61CB">
      <w:pPr>
        <w:pStyle w:val="FootnoteText"/>
      </w:pPr>
      <w:r>
        <w:rPr>
          <w:rStyle w:val="FootnoteReference"/>
        </w:rPr>
        <w:footnoteRef/>
      </w:r>
      <w:r>
        <w:t xml:space="preserve"> AEP Ohio Memorandum in Opposition at 7.</w:t>
      </w:r>
    </w:p>
  </w:footnote>
  <w:footnote w:id="33">
    <w:p w14:paraId="7F8F101F" w14:textId="4425C1E2" w:rsidR="002D61CB" w:rsidRDefault="002D61CB">
      <w:pPr>
        <w:pStyle w:val="FootnoteText"/>
      </w:pPr>
      <w:r>
        <w:rPr>
          <w:rStyle w:val="FootnoteReference"/>
        </w:rPr>
        <w:footnoteRef/>
      </w:r>
      <w:r>
        <w:t xml:space="preserve"> Id.</w:t>
      </w:r>
    </w:p>
  </w:footnote>
  <w:footnote w:id="34">
    <w:p w14:paraId="6E94F9AD" w14:textId="35671C56" w:rsidR="007F4D32" w:rsidRDefault="007F4D32">
      <w:pPr>
        <w:pStyle w:val="FootnoteText"/>
      </w:pPr>
      <w:r>
        <w:rPr>
          <w:rStyle w:val="FootnoteReference"/>
        </w:rPr>
        <w:footnoteRef/>
      </w:r>
      <w:r>
        <w:t xml:space="preserve"> See pages 3-7,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632F" w14:textId="77777777" w:rsidR="00E00427" w:rsidRDefault="00E00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34B7" w14:textId="77777777" w:rsidR="00E00427" w:rsidRDefault="00E00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97D9" w14:textId="77777777" w:rsidR="00E00427" w:rsidRDefault="00E00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6AAD4"/>
    <w:lvl w:ilvl="0">
      <w:start w:val="1"/>
      <w:numFmt w:val="decimal"/>
      <w:lvlText w:val="%1."/>
      <w:lvlJc w:val="left"/>
      <w:pPr>
        <w:tabs>
          <w:tab w:val="num" w:pos="1800"/>
        </w:tabs>
        <w:ind w:left="1800" w:hanging="360"/>
      </w:pPr>
    </w:lvl>
  </w:abstractNum>
  <w:abstractNum w:abstractNumId="1">
    <w:nsid w:val="FFFFFF7D"/>
    <w:multiLevelType w:val="singleLevel"/>
    <w:tmpl w:val="7C6CDEE8"/>
    <w:lvl w:ilvl="0">
      <w:start w:val="1"/>
      <w:numFmt w:val="decimal"/>
      <w:lvlText w:val="%1."/>
      <w:lvlJc w:val="left"/>
      <w:pPr>
        <w:tabs>
          <w:tab w:val="num" w:pos="1440"/>
        </w:tabs>
        <w:ind w:left="1440" w:hanging="360"/>
      </w:pPr>
    </w:lvl>
  </w:abstractNum>
  <w:abstractNum w:abstractNumId="2">
    <w:nsid w:val="FFFFFF7E"/>
    <w:multiLevelType w:val="singleLevel"/>
    <w:tmpl w:val="ACE08C14"/>
    <w:lvl w:ilvl="0">
      <w:start w:val="1"/>
      <w:numFmt w:val="decimal"/>
      <w:lvlText w:val="%1."/>
      <w:lvlJc w:val="left"/>
      <w:pPr>
        <w:tabs>
          <w:tab w:val="num" w:pos="1080"/>
        </w:tabs>
        <w:ind w:left="1080" w:hanging="360"/>
      </w:pPr>
    </w:lvl>
  </w:abstractNum>
  <w:abstractNum w:abstractNumId="3">
    <w:nsid w:val="FFFFFF7F"/>
    <w:multiLevelType w:val="singleLevel"/>
    <w:tmpl w:val="5C3CBDD6"/>
    <w:lvl w:ilvl="0">
      <w:start w:val="1"/>
      <w:numFmt w:val="decimal"/>
      <w:lvlText w:val="%1."/>
      <w:lvlJc w:val="left"/>
      <w:pPr>
        <w:tabs>
          <w:tab w:val="num" w:pos="720"/>
        </w:tabs>
        <w:ind w:left="720" w:hanging="360"/>
      </w:pPr>
    </w:lvl>
  </w:abstractNum>
  <w:abstractNum w:abstractNumId="4">
    <w:nsid w:val="FFFFFF80"/>
    <w:multiLevelType w:val="singleLevel"/>
    <w:tmpl w:val="AF56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04E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42BD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1ED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E0F408"/>
    <w:lvl w:ilvl="0">
      <w:start w:val="1"/>
      <w:numFmt w:val="decimal"/>
      <w:lvlText w:val="%1."/>
      <w:lvlJc w:val="left"/>
      <w:pPr>
        <w:tabs>
          <w:tab w:val="num" w:pos="360"/>
        </w:tabs>
        <w:ind w:left="360" w:hanging="360"/>
      </w:pPr>
    </w:lvl>
  </w:abstractNum>
  <w:abstractNum w:abstractNumId="9">
    <w:nsid w:val="FFFFFF89"/>
    <w:multiLevelType w:val="singleLevel"/>
    <w:tmpl w:val="75B6270E"/>
    <w:lvl w:ilvl="0">
      <w:start w:val="1"/>
      <w:numFmt w:val="bullet"/>
      <w:lvlText w:val=""/>
      <w:lvlJc w:val="left"/>
      <w:pPr>
        <w:tabs>
          <w:tab w:val="num" w:pos="360"/>
        </w:tabs>
        <w:ind w:left="360" w:hanging="360"/>
      </w:pPr>
      <w:rPr>
        <w:rFonts w:ascii="Symbol" w:hAnsi="Symbol" w:hint="default"/>
      </w:rPr>
    </w:lvl>
  </w:abstractNum>
  <w:abstractNum w:abstractNumId="10">
    <w:nsid w:val="03284FD3"/>
    <w:multiLevelType w:val="hybridMultilevel"/>
    <w:tmpl w:val="5C00B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E3D83"/>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41240"/>
    <w:multiLevelType w:val="hybridMultilevel"/>
    <w:tmpl w:val="92646C06"/>
    <w:lvl w:ilvl="0" w:tplc="7DD61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A93B29"/>
    <w:multiLevelType w:val="hybridMultilevel"/>
    <w:tmpl w:val="ECD8C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C5B"/>
    <w:multiLevelType w:val="hybridMultilevel"/>
    <w:tmpl w:val="2176F0D6"/>
    <w:lvl w:ilvl="0" w:tplc="A83E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804A5"/>
    <w:multiLevelType w:val="hybridMultilevel"/>
    <w:tmpl w:val="0C464DFC"/>
    <w:lvl w:ilvl="0" w:tplc="2EE2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B34FC2"/>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41392"/>
    <w:multiLevelType w:val="hybridMultilevel"/>
    <w:tmpl w:val="4E4ABE66"/>
    <w:lvl w:ilvl="0" w:tplc="982C5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E416D"/>
    <w:multiLevelType w:val="hybridMultilevel"/>
    <w:tmpl w:val="511A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A354BD"/>
    <w:multiLevelType w:val="hybridMultilevel"/>
    <w:tmpl w:val="2780ACD4"/>
    <w:lvl w:ilvl="0" w:tplc="B914E1B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D0B7E"/>
    <w:multiLevelType w:val="hybridMultilevel"/>
    <w:tmpl w:val="640C9270"/>
    <w:lvl w:ilvl="0" w:tplc="4A7C0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582483"/>
    <w:multiLevelType w:val="hybridMultilevel"/>
    <w:tmpl w:val="6A6E7BA4"/>
    <w:lvl w:ilvl="0" w:tplc="CC0C7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2552B0"/>
    <w:multiLevelType w:val="hybridMultilevel"/>
    <w:tmpl w:val="C1B27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64971"/>
    <w:multiLevelType w:val="hybridMultilevel"/>
    <w:tmpl w:val="74320FC4"/>
    <w:lvl w:ilvl="0" w:tplc="46B4C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E46BA8"/>
    <w:multiLevelType w:val="hybridMultilevel"/>
    <w:tmpl w:val="0AA247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4"/>
  </w:num>
  <w:num w:numId="5">
    <w:abstractNumId w:val="21"/>
  </w:num>
  <w:num w:numId="6">
    <w:abstractNumId w:val="17"/>
  </w:num>
  <w:num w:numId="7">
    <w:abstractNumId w:val="15"/>
  </w:num>
  <w:num w:numId="8">
    <w:abstractNumId w:val="12"/>
  </w:num>
  <w:num w:numId="9">
    <w:abstractNumId w:val="13"/>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2"/>
  </w:num>
  <w:num w:numId="23">
    <w:abstractNumId w:val="20"/>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100"/>
    <w:rsid w:val="000014DB"/>
    <w:rsid w:val="000044E6"/>
    <w:rsid w:val="0000570C"/>
    <w:rsid w:val="00006AB4"/>
    <w:rsid w:val="000122B2"/>
    <w:rsid w:val="00014821"/>
    <w:rsid w:val="0003236D"/>
    <w:rsid w:val="000328D5"/>
    <w:rsid w:val="000348CE"/>
    <w:rsid w:val="00045E08"/>
    <w:rsid w:val="00047186"/>
    <w:rsid w:val="000472C5"/>
    <w:rsid w:val="00047E70"/>
    <w:rsid w:val="00051CAC"/>
    <w:rsid w:val="000603B9"/>
    <w:rsid w:val="00061114"/>
    <w:rsid w:val="00063742"/>
    <w:rsid w:val="00072034"/>
    <w:rsid w:val="00075F35"/>
    <w:rsid w:val="00082C16"/>
    <w:rsid w:val="00087747"/>
    <w:rsid w:val="0009067F"/>
    <w:rsid w:val="000A3F9A"/>
    <w:rsid w:val="000A56AE"/>
    <w:rsid w:val="000A649E"/>
    <w:rsid w:val="000B0176"/>
    <w:rsid w:val="000C3B8A"/>
    <w:rsid w:val="000D6317"/>
    <w:rsid w:val="000D6712"/>
    <w:rsid w:val="000F1325"/>
    <w:rsid w:val="000F6023"/>
    <w:rsid w:val="000F7F66"/>
    <w:rsid w:val="00134C4A"/>
    <w:rsid w:val="00135F48"/>
    <w:rsid w:val="00140524"/>
    <w:rsid w:val="00141B85"/>
    <w:rsid w:val="00145295"/>
    <w:rsid w:val="00145C53"/>
    <w:rsid w:val="00147E56"/>
    <w:rsid w:val="00157919"/>
    <w:rsid w:val="001627D2"/>
    <w:rsid w:val="001810E7"/>
    <w:rsid w:val="001A1ED1"/>
    <w:rsid w:val="001A680D"/>
    <w:rsid w:val="001B3D4A"/>
    <w:rsid w:val="001B60D5"/>
    <w:rsid w:val="001F0C8B"/>
    <w:rsid w:val="001F184E"/>
    <w:rsid w:val="001F3BC2"/>
    <w:rsid w:val="002116C9"/>
    <w:rsid w:val="0021203D"/>
    <w:rsid w:val="00214273"/>
    <w:rsid w:val="00222D3B"/>
    <w:rsid w:val="00225FE9"/>
    <w:rsid w:val="00231F13"/>
    <w:rsid w:val="0023481E"/>
    <w:rsid w:val="00245910"/>
    <w:rsid w:val="002471B4"/>
    <w:rsid w:val="00250289"/>
    <w:rsid w:val="00254100"/>
    <w:rsid w:val="00260C3C"/>
    <w:rsid w:val="00263D74"/>
    <w:rsid w:val="00263F40"/>
    <w:rsid w:val="00282771"/>
    <w:rsid w:val="00290ADD"/>
    <w:rsid w:val="002969DB"/>
    <w:rsid w:val="002A1389"/>
    <w:rsid w:val="002A2CCA"/>
    <w:rsid w:val="002A4C5E"/>
    <w:rsid w:val="002A7671"/>
    <w:rsid w:val="002A7D4E"/>
    <w:rsid w:val="002B6293"/>
    <w:rsid w:val="002B67FA"/>
    <w:rsid w:val="002C27D1"/>
    <w:rsid w:val="002C6CA8"/>
    <w:rsid w:val="002D1E9C"/>
    <w:rsid w:val="002D3969"/>
    <w:rsid w:val="002D5961"/>
    <w:rsid w:val="002D61CB"/>
    <w:rsid w:val="002E1443"/>
    <w:rsid w:val="002F076F"/>
    <w:rsid w:val="002F20B0"/>
    <w:rsid w:val="00302BF7"/>
    <w:rsid w:val="00315971"/>
    <w:rsid w:val="00315F09"/>
    <w:rsid w:val="003369D3"/>
    <w:rsid w:val="003407F3"/>
    <w:rsid w:val="00355E52"/>
    <w:rsid w:val="00356D84"/>
    <w:rsid w:val="00364991"/>
    <w:rsid w:val="00367351"/>
    <w:rsid w:val="003722A8"/>
    <w:rsid w:val="00373EB3"/>
    <w:rsid w:val="00383E37"/>
    <w:rsid w:val="003858C2"/>
    <w:rsid w:val="00391FC3"/>
    <w:rsid w:val="00392BE2"/>
    <w:rsid w:val="003B1E56"/>
    <w:rsid w:val="003D3040"/>
    <w:rsid w:val="003E5E43"/>
    <w:rsid w:val="003F445E"/>
    <w:rsid w:val="003F5C39"/>
    <w:rsid w:val="003F5D72"/>
    <w:rsid w:val="00400631"/>
    <w:rsid w:val="00400EA3"/>
    <w:rsid w:val="0040278F"/>
    <w:rsid w:val="004244CA"/>
    <w:rsid w:val="00424739"/>
    <w:rsid w:val="004248F5"/>
    <w:rsid w:val="00435807"/>
    <w:rsid w:val="00440071"/>
    <w:rsid w:val="0044225D"/>
    <w:rsid w:val="00447336"/>
    <w:rsid w:val="00447AE2"/>
    <w:rsid w:val="004543EC"/>
    <w:rsid w:val="00455A3A"/>
    <w:rsid w:val="00456446"/>
    <w:rsid w:val="004570D3"/>
    <w:rsid w:val="00461543"/>
    <w:rsid w:val="00462F7B"/>
    <w:rsid w:val="00477728"/>
    <w:rsid w:val="0048652D"/>
    <w:rsid w:val="00495200"/>
    <w:rsid w:val="004A03EB"/>
    <w:rsid w:val="004A05E8"/>
    <w:rsid w:val="004A2631"/>
    <w:rsid w:val="004A2710"/>
    <w:rsid w:val="004B1327"/>
    <w:rsid w:val="004B1ADF"/>
    <w:rsid w:val="004B6026"/>
    <w:rsid w:val="004C5203"/>
    <w:rsid w:val="004C6EC0"/>
    <w:rsid w:val="004D2C9F"/>
    <w:rsid w:val="004E2351"/>
    <w:rsid w:val="004E50C5"/>
    <w:rsid w:val="004F2297"/>
    <w:rsid w:val="00501C60"/>
    <w:rsid w:val="00501F8F"/>
    <w:rsid w:val="005046B3"/>
    <w:rsid w:val="00507238"/>
    <w:rsid w:val="0051128C"/>
    <w:rsid w:val="00530EE7"/>
    <w:rsid w:val="00532461"/>
    <w:rsid w:val="00542C27"/>
    <w:rsid w:val="005516A3"/>
    <w:rsid w:val="00552D21"/>
    <w:rsid w:val="00557C84"/>
    <w:rsid w:val="00560324"/>
    <w:rsid w:val="00562248"/>
    <w:rsid w:val="005769F9"/>
    <w:rsid w:val="00581CFF"/>
    <w:rsid w:val="005851FE"/>
    <w:rsid w:val="00586FCF"/>
    <w:rsid w:val="00590B65"/>
    <w:rsid w:val="00593365"/>
    <w:rsid w:val="005975E2"/>
    <w:rsid w:val="005A24FF"/>
    <w:rsid w:val="005A7A31"/>
    <w:rsid w:val="005B0064"/>
    <w:rsid w:val="005B0882"/>
    <w:rsid w:val="005C1307"/>
    <w:rsid w:val="005C1A9B"/>
    <w:rsid w:val="005C4DC5"/>
    <w:rsid w:val="005D122F"/>
    <w:rsid w:val="005E2BE8"/>
    <w:rsid w:val="005E361D"/>
    <w:rsid w:val="005E48CA"/>
    <w:rsid w:val="005E731D"/>
    <w:rsid w:val="005F1C95"/>
    <w:rsid w:val="005F6B74"/>
    <w:rsid w:val="005F6B8F"/>
    <w:rsid w:val="00602D9E"/>
    <w:rsid w:val="00604F3F"/>
    <w:rsid w:val="006153DA"/>
    <w:rsid w:val="006254A3"/>
    <w:rsid w:val="00626B70"/>
    <w:rsid w:val="00627DB7"/>
    <w:rsid w:val="00653705"/>
    <w:rsid w:val="00654E17"/>
    <w:rsid w:val="006574AB"/>
    <w:rsid w:val="00672DC2"/>
    <w:rsid w:val="00691C31"/>
    <w:rsid w:val="0069273E"/>
    <w:rsid w:val="006A097F"/>
    <w:rsid w:val="006B0ACC"/>
    <w:rsid w:val="006B0F7E"/>
    <w:rsid w:val="006B4301"/>
    <w:rsid w:val="006B4BE4"/>
    <w:rsid w:val="006B754F"/>
    <w:rsid w:val="006C66B8"/>
    <w:rsid w:val="006D0C2E"/>
    <w:rsid w:val="006D4722"/>
    <w:rsid w:val="006F1E67"/>
    <w:rsid w:val="006F25E3"/>
    <w:rsid w:val="00700861"/>
    <w:rsid w:val="00700A4D"/>
    <w:rsid w:val="00701DBD"/>
    <w:rsid w:val="00706867"/>
    <w:rsid w:val="007145DB"/>
    <w:rsid w:val="0071591C"/>
    <w:rsid w:val="00717328"/>
    <w:rsid w:val="0072091D"/>
    <w:rsid w:val="0072213F"/>
    <w:rsid w:val="00722786"/>
    <w:rsid w:val="00746154"/>
    <w:rsid w:val="00746C80"/>
    <w:rsid w:val="00747312"/>
    <w:rsid w:val="00750E4B"/>
    <w:rsid w:val="00753313"/>
    <w:rsid w:val="007537AB"/>
    <w:rsid w:val="00760DA9"/>
    <w:rsid w:val="0077057B"/>
    <w:rsid w:val="00771774"/>
    <w:rsid w:val="00780DC9"/>
    <w:rsid w:val="0079138E"/>
    <w:rsid w:val="007A004B"/>
    <w:rsid w:val="007B0960"/>
    <w:rsid w:val="007B7EB1"/>
    <w:rsid w:val="007C55DA"/>
    <w:rsid w:val="007D22E5"/>
    <w:rsid w:val="007E4821"/>
    <w:rsid w:val="007F2258"/>
    <w:rsid w:val="007F4D32"/>
    <w:rsid w:val="00800BC2"/>
    <w:rsid w:val="00804156"/>
    <w:rsid w:val="00806350"/>
    <w:rsid w:val="008220C0"/>
    <w:rsid w:val="00822814"/>
    <w:rsid w:val="008403E0"/>
    <w:rsid w:val="0084357C"/>
    <w:rsid w:val="008559C9"/>
    <w:rsid w:val="00872390"/>
    <w:rsid w:val="00872795"/>
    <w:rsid w:val="00875A32"/>
    <w:rsid w:val="00877E20"/>
    <w:rsid w:val="00884544"/>
    <w:rsid w:val="00884CD9"/>
    <w:rsid w:val="008901E8"/>
    <w:rsid w:val="0089067D"/>
    <w:rsid w:val="00892D54"/>
    <w:rsid w:val="008A23F9"/>
    <w:rsid w:val="008A40E1"/>
    <w:rsid w:val="008A7A54"/>
    <w:rsid w:val="008A7F35"/>
    <w:rsid w:val="008C5E3C"/>
    <w:rsid w:val="008D2C5B"/>
    <w:rsid w:val="008D7090"/>
    <w:rsid w:val="008E5D5C"/>
    <w:rsid w:val="008F11E8"/>
    <w:rsid w:val="008F4477"/>
    <w:rsid w:val="0090384D"/>
    <w:rsid w:val="00910E77"/>
    <w:rsid w:val="009158F8"/>
    <w:rsid w:val="00921DCA"/>
    <w:rsid w:val="00923DF9"/>
    <w:rsid w:val="0093184C"/>
    <w:rsid w:val="009318F4"/>
    <w:rsid w:val="00944D0B"/>
    <w:rsid w:val="00960482"/>
    <w:rsid w:val="00985727"/>
    <w:rsid w:val="00994600"/>
    <w:rsid w:val="00995F38"/>
    <w:rsid w:val="00995FAC"/>
    <w:rsid w:val="00996E31"/>
    <w:rsid w:val="009B365B"/>
    <w:rsid w:val="009B3697"/>
    <w:rsid w:val="009B66E0"/>
    <w:rsid w:val="009C3205"/>
    <w:rsid w:val="009C380C"/>
    <w:rsid w:val="009D1731"/>
    <w:rsid w:val="009D5472"/>
    <w:rsid w:val="009D5875"/>
    <w:rsid w:val="009D6B05"/>
    <w:rsid w:val="009E766B"/>
    <w:rsid w:val="009F428C"/>
    <w:rsid w:val="009F54A8"/>
    <w:rsid w:val="00A13BD8"/>
    <w:rsid w:val="00A340CE"/>
    <w:rsid w:val="00A401D8"/>
    <w:rsid w:val="00A50D25"/>
    <w:rsid w:val="00A53B95"/>
    <w:rsid w:val="00A55084"/>
    <w:rsid w:val="00A6294D"/>
    <w:rsid w:val="00A645AA"/>
    <w:rsid w:val="00A76D08"/>
    <w:rsid w:val="00A81149"/>
    <w:rsid w:val="00A85185"/>
    <w:rsid w:val="00A9167C"/>
    <w:rsid w:val="00A960D3"/>
    <w:rsid w:val="00A96E80"/>
    <w:rsid w:val="00AA6C49"/>
    <w:rsid w:val="00AC5338"/>
    <w:rsid w:val="00AE594F"/>
    <w:rsid w:val="00AE7F14"/>
    <w:rsid w:val="00B04B21"/>
    <w:rsid w:val="00B10C2F"/>
    <w:rsid w:val="00B11C7F"/>
    <w:rsid w:val="00B25673"/>
    <w:rsid w:val="00B3305D"/>
    <w:rsid w:val="00B34484"/>
    <w:rsid w:val="00B35B6A"/>
    <w:rsid w:val="00B50B46"/>
    <w:rsid w:val="00B51020"/>
    <w:rsid w:val="00B5312E"/>
    <w:rsid w:val="00B5495A"/>
    <w:rsid w:val="00B55596"/>
    <w:rsid w:val="00B77E77"/>
    <w:rsid w:val="00B913BF"/>
    <w:rsid w:val="00B91AAC"/>
    <w:rsid w:val="00B94C5C"/>
    <w:rsid w:val="00B96B7E"/>
    <w:rsid w:val="00BB7DF3"/>
    <w:rsid w:val="00BC1D77"/>
    <w:rsid w:val="00BC5EB8"/>
    <w:rsid w:val="00BD18FB"/>
    <w:rsid w:val="00BE03F9"/>
    <w:rsid w:val="00BE06FC"/>
    <w:rsid w:val="00BE5DD6"/>
    <w:rsid w:val="00BE5FF6"/>
    <w:rsid w:val="00BF04AF"/>
    <w:rsid w:val="00BF5E46"/>
    <w:rsid w:val="00C04746"/>
    <w:rsid w:val="00C13CCA"/>
    <w:rsid w:val="00C44DB6"/>
    <w:rsid w:val="00C531BD"/>
    <w:rsid w:val="00C61F1A"/>
    <w:rsid w:val="00C76E1C"/>
    <w:rsid w:val="00C85FE5"/>
    <w:rsid w:val="00C90AD2"/>
    <w:rsid w:val="00C971FB"/>
    <w:rsid w:val="00CD1C57"/>
    <w:rsid w:val="00CE137A"/>
    <w:rsid w:val="00CE3B9B"/>
    <w:rsid w:val="00CE5A2F"/>
    <w:rsid w:val="00D05E0D"/>
    <w:rsid w:val="00D1207E"/>
    <w:rsid w:val="00D122FF"/>
    <w:rsid w:val="00D16E8A"/>
    <w:rsid w:val="00D47F18"/>
    <w:rsid w:val="00D623D0"/>
    <w:rsid w:val="00D71564"/>
    <w:rsid w:val="00D77104"/>
    <w:rsid w:val="00D7731F"/>
    <w:rsid w:val="00D912DD"/>
    <w:rsid w:val="00D93AC2"/>
    <w:rsid w:val="00D94920"/>
    <w:rsid w:val="00DA7812"/>
    <w:rsid w:val="00DB0483"/>
    <w:rsid w:val="00DB1E11"/>
    <w:rsid w:val="00DB5E0B"/>
    <w:rsid w:val="00DC7042"/>
    <w:rsid w:val="00DE73B2"/>
    <w:rsid w:val="00DF3C09"/>
    <w:rsid w:val="00E00427"/>
    <w:rsid w:val="00E00795"/>
    <w:rsid w:val="00E03D6D"/>
    <w:rsid w:val="00E051D1"/>
    <w:rsid w:val="00E13858"/>
    <w:rsid w:val="00E17045"/>
    <w:rsid w:val="00E21F01"/>
    <w:rsid w:val="00E2225A"/>
    <w:rsid w:val="00E237B6"/>
    <w:rsid w:val="00E310E4"/>
    <w:rsid w:val="00E33A5A"/>
    <w:rsid w:val="00E37F8B"/>
    <w:rsid w:val="00E40131"/>
    <w:rsid w:val="00E40BEB"/>
    <w:rsid w:val="00E516AF"/>
    <w:rsid w:val="00E559C5"/>
    <w:rsid w:val="00E55C6F"/>
    <w:rsid w:val="00E756F5"/>
    <w:rsid w:val="00E91C6D"/>
    <w:rsid w:val="00EA1815"/>
    <w:rsid w:val="00EB3AC3"/>
    <w:rsid w:val="00EB7413"/>
    <w:rsid w:val="00EC1B8D"/>
    <w:rsid w:val="00ED0C03"/>
    <w:rsid w:val="00ED4644"/>
    <w:rsid w:val="00EE0409"/>
    <w:rsid w:val="00EE1E61"/>
    <w:rsid w:val="00EE3B39"/>
    <w:rsid w:val="00EE548E"/>
    <w:rsid w:val="00EF3F5D"/>
    <w:rsid w:val="00EF70AD"/>
    <w:rsid w:val="00F07B49"/>
    <w:rsid w:val="00F224C6"/>
    <w:rsid w:val="00F252AC"/>
    <w:rsid w:val="00F263FF"/>
    <w:rsid w:val="00F30222"/>
    <w:rsid w:val="00F35D11"/>
    <w:rsid w:val="00F445C6"/>
    <w:rsid w:val="00F4690F"/>
    <w:rsid w:val="00F46C83"/>
    <w:rsid w:val="00F50A5F"/>
    <w:rsid w:val="00F5515F"/>
    <w:rsid w:val="00F57612"/>
    <w:rsid w:val="00F70D93"/>
    <w:rsid w:val="00F73EA5"/>
    <w:rsid w:val="00F74802"/>
    <w:rsid w:val="00F759CE"/>
    <w:rsid w:val="00F829EC"/>
    <w:rsid w:val="00F85DC9"/>
    <w:rsid w:val="00F8733D"/>
    <w:rsid w:val="00FA28D4"/>
    <w:rsid w:val="00FB3DAD"/>
    <w:rsid w:val="00FC1D56"/>
    <w:rsid w:val="00FC4614"/>
    <w:rsid w:val="00FC70D9"/>
    <w:rsid w:val="00FD363F"/>
    <w:rsid w:val="00FD3F13"/>
    <w:rsid w:val="00FD4371"/>
    <w:rsid w:val="00FD6FFC"/>
    <w:rsid w:val="00FE68A3"/>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472"/>
    <w:rPr>
      <w:sz w:val="24"/>
    </w:rPr>
  </w:style>
  <w:style w:type="paragraph" w:styleId="Heading1">
    <w:name w:val="heading 1"/>
    <w:basedOn w:val="Normal"/>
    <w:next w:val="Normal"/>
    <w:link w:val="Heading1Char"/>
    <w:autoRedefine/>
    <w:qFormat/>
    <w:rsid w:val="009D5472"/>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9D5472"/>
    <w:pPr>
      <w:keepNext/>
      <w:numPr>
        <w:numId w:val="25"/>
      </w:numPr>
      <w:spacing w:after="240"/>
      <w:ind w:left="1440" w:right="72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pPr>
      <w:spacing w:before="120"/>
    </w:pPr>
    <w:rPr>
      <w:sz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link w:val="FootnoteText"/>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semiHidden/>
    <w:locked/>
    <w:rsid w:val="00245910"/>
    <w:rPr>
      <w:lang w:val="en-US" w:eastAsia="en-US" w:bidi="ar-SA"/>
    </w:rPr>
  </w:style>
  <w:style w:type="character" w:customStyle="1" w:styleId="Heading1Char">
    <w:name w:val="Heading 1 Char"/>
    <w:basedOn w:val="DefaultParagraphFont"/>
    <w:link w:val="Heading1"/>
    <w:rsid w:val="009D5472"/>
    <w:rPr>
      <w:rFonts w:ascii="Times New Roman Bold" w:hAnsi="Times New Roman Bold"/>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472"/>
    <w:rPr>
      <w:sz w:val="24"/>
    </w:rPr>
  </w:style>
  <w:style w:type="paragraph" w:styleId="Heading1">
    <w:name w:val="heading 1"/>
    <w:basedOn w:val="Normal"/>
    <w:next w:val="Normal"/>
    <w:link w:val="Heading1Char"/>
    <w:autoRedefine/>
    <w:qFormat/>
    <w:rsid w:val="009D5472"/>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9D5472"/>
    <w:pPr>
      <w:keepNext/>
      <w:numPr>
        <w:numId w:val="25"/>
      </w:numPr>
      <w:spacing w:after="240"/>
      <w:ind w:left="1440" w:right="72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pPr>
      <w:spacing w:before="120"/>
    </w:pPr>
    <w:rPr>
      <w:sz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link w:val="FootnoteText"/>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FootnoteTextChar1Char1">
    <w:name w:val="Footnote Text Char1 Char1"/>
    <w:aliases w:val="Footnote Text Char Char Char1,Footnote Text Char1 Char Char1 Char1,Footnote Text Char Char Char Char Char1,Footnote Text Char2 Char Char Char Char1 Char1,Footnote Text Char1 Char Char1 Char Char Char Char1"/>
    <w:semiHidden/>
    <w:locked/>
    <w:rsid w:val="00245910"/>
    <w:rPr>
      <w:lang w:val="en-US" w:eastAsia="en-US" w:bidi="ar-SA"/>
    </w:rPr>
  </w:style>
  <w:style w:type="character" w:customStyle="1" w:styleId="Heading1Char">
    <w:name w:val="Heading 1 Char"/>
    <w:basedOn w:val="DefaultParagraphFont"/>
    <w:link w:val="Heading1"/>
    <w:rsid w:val="009D5472"/>
    <w:rPr>
      <w:rFonts w:ascii="Times New Roman Bold" w:hAnsi="Times New Roman Bold"/>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587">
      <w:bodyDiv w:val="1"/>
      <w:marLeft w:val="0"/>
      <w:marRight w:val="0"/>
      <w:marTop w:val="0"/>
      <w:marBottom w:val="0"/>
      <w:divBdr>
        <w:top w:val="none" w:sz="0" w:space="0" w:color="auto"/>
        <w:left w:val="none" w:sz="0" w:space="0" w:color="auto"/>
        <w:bottom w:val="none" w:sz="0" w:space="0" w:color="auto"/>
        <w:right w:val="none" w:sz="0" w:space="0" w:color="auto"/>
      </w:divBdr>
    </w:div>
    <w:div w:id="323242531">
      <w:bodyDiv w:val="1"/>
      <w:marLeft w:val="0"/>
      <w:marRight w:val="0"/>
      <w:marTop w:val="0"/>
      <w:marBottom w:val="0"/>
      <w:divBdr>
        <w:top w:val="none" w:sz="0" w:space="0" w:color="auto"/>
        <w:left w:val="none" w:sz="0" w:space="0" w:color="auto"/>
        <w:bottom w:val="none" w:sz="0" w:space="0" w:color="auto"/>
        <w:right w:val="none" w:sz="0" w:space="0" w:color="auto"/>
      </w:divBdr>
    </w:div>
    <w:div w:id="567805267">
      <w:bodyDiv w:val="1"/>
      <w:marLeft w:val="0"/>
      <w:marRight w:val="0"/>
      <w:marTop w:val="0"/>
      <w:marBottom w:val="0"/>
      <w:divBdr>
        <w:top w:val="none" w:sz="0" w:space="0" w:color="auto"/>
        <w:left w:val="none" w:sz="0" w:space="0" w:color="auto"/>
        <w:bottom w:val="none" w:sz="0" w:space="0" w:color="auto"/>
        <w:right w:val="none" w:sz="0" w:space="0" w:color="auto"/>
      </w:divBdr>
    </w:div>
    <w:div w:id="673150621">
      <w:bodyDiv w:val="1"/>
      <w:marLeft w:val="48"/>
      <w:marRight w:val="48"/>
      <w:marTop w:val="48"/>
      <w:marBottom w:val="12"/>
      <w:divBdr>
        <w:top w:val="none" w:sz="0" w:space="0" w:color="auto"/>
        <w:left w:val="none" w:sz="0" w:space="0" w:color="auto"/>
        <w:bottom w:val="none" w:sz="0" w:space="0" w:color="auto"/>
        <w:right w:val="none" w:sz="0" w:space="0" w:color="auto"/>
      </w:divBdr>
      <w:divsChild>
        <w:div w:id="391739148">
          <w:marLeft w:val="0"/>
          <w:marRight w:val="0"/>
          <w:marTop w:val="0"/>
          <w:marBottom w:val="0"/>
          <w:divBdr>
            <w:top w:val="none" w:sz="0" w:space="0" w:color="auto"/>
            <w:left w:val="none" w:sz="0" w:space="0" w:color="auto"/>
            <w:bottom w:val="none" w:sz="0" w:space="0" w:color="auto"/>
            <w:right w:val="none" w:sz="0" w:space="0" w:color="auto"/>
          </w:divBdr>
        </w:div>
        <w:div w:id="429013977">
          <w:marLeft w:val="0"/>
          <w:marRight w:val="0"/>
          <w:marTop w:val="0"/>
          <w:marBottom w:val="0"/>
          <w:divBdr>
            <w:top w:val="none" w:sz="0" w:space="0" w:color="auto"/>
            <w:left w:val="none" w:sz="0" w:space="0" w:color="auto"/>
            <w:bottom w:val="none" w:sz="0" w:space="0" w:color="auto"/>
            <w:right w:val="none" w:sz="0" w:space="0" w:color="auto"/>
          </w:divBdr>
        </w:div>
        <w:div w:id="468982400">
          <w:marLeft w:val="0"/>
          <w:marRight w:val="0"/>
          <w:marTop w:val="0"/>
          <w:marBottom w:val="0"/>
          <w:divBdr>
            <w:top w:val="none" w:sz="0" w:space="0" w:color="auto"/>
            <w:left w:val="none" w:sz="0" w:space="0" w:color="auto"/>
            <w:bottom w:val="none" w:sz="0" w:space="0" w:color="auto"/>
            <w:right w:val="none" w:sz="0" w:space="0" w:color="auto"/>
          </w:divBdr>
        </w:div>
        <w:div w:id="713391440">
          <w:marLeft w:val="0"/>
          <w:marRight w:val="0"/>
          <w:marTop w:val="0"/>
          <w:marBottom w:val="0"/>
          <w:divBdr>
            <w:top w:val="none" w:sz="0" w:space="0" w:color="auto"/>
            <w:left w:val="none" w:sz="0" w:space="0" w:color="auto"/>
            <w:bottom w:val="none" w:sz="0" w:space="0" w:color="auto"/>
            <w:right w:val="none" w:sz="0" w:space="0" w:color="auto"/>
          </w:divBdr>
        </w:div>
        <w:div w:id="2062752407">
          <w:marLeft w:val="0"/>
          <w:marRight w:val="0"/>
          <w:marTop w:val="0"/>
          <w:marBottom w:val="0"/>
          <w:divBdr>
            <w:top w:val="none" w:sz="0" w:space="0" w:color="auto"/>
            <w:left w:val="none" w:sz="0" w:space="0" w:color="auto"/>
            <w:bottom w:val="none" w:sz="0" w:space="0" w:color="auto"/>
            <w:right w:val="none" w:sz="0" w:space="0" w:color="auto"/>
          </w:divBdr>
        </w:div>
      </w:divsChild>
    </w:div>
    <w:div w:id="759179504">
      <w:bodyDiv w:val="1"/>
      <w:marLeft w:val="0"/>
      <w:marRight w:val="0"/>
      <w:marTop w:val="0"/>
      <w:marBottom w:val="0"/>
      <w:divBdr>
        <w:top w:val="none" w:sz="0" w:space="0" w:color="auto"/>
        <w:left w:val="none" w:sz="0" w:space="0" w:color="auto"/>
        <w:bottom w:val="none" w:sz="0" w:space="0" w:color="auto"/>
        <w:right w:val="none" w:sz="0" w:space="0" w:color="auto"/>
      </w:divBdr>
    </w:div>
    <w:div w:id="9483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grady@occ.ohio.gov" TargetMode="External"/><Relationship Id="rId13" Type="http://schemas.openxmlformats.org/officeDocument/2006/relationships/hyperlink" Target="mailto:jkylercohn@BKLlawfirm.com" TargetMode="External"/><Relationship Id="rId18" Type="http://schemas.openxmlformats.org/officeDocument/2006/relationships/hyperlink" Target="mailto:zkravitz@taftlaw.com" TargetMode="External"/><Relationship Id="rId26" Type="http://schemas.openxmlformats.org/officeDocument/2006/relationships/hyperlink" Target="mailto:fdarr@mwncmh.com" TargetMode="External"/><Relationship Id="rId3" Type="http://schemas.microsoft.com/office/2007/relationships/stylesWithEffects" Target="stylesWithEffects.xml"/><Relationship Id="rId21" Type="http://schemas.openxmlformats.org/officeDocument/2006/relationships/hyperlink" Target="mailto:stnourse@aep.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kurtz@BKLlawfirm.com" TargetMode="External"/><Relationship Id="rId17" Type="http://schemas.openxmlformats.org/officeDocument/2006/relationships/hyperlink" Target="mailto:myurick@taftlaw.com" TargetMode="External"/><Relationship Id="rId25" Type="http://schemas.openxmlformats.org/officeDocument/2006/relationships/hyperlink" Target="mailto:sam@mwncmh.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llison@carpenterlipps.com" TargetMode="External"/><Relationship Id="rId20" Type="http://schemas.openxmlformats.org/officeDocument/2006/relationships/hyperlink" Target="mailto:Greta.see@puc.state.oh.u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boehm@BKLlawfirm.com" TargetMode="External"/><Relationship Id="rId24" Type="http://schemas.openxmlformats.org/officeDocument/2006/relationships/hyperlink" Target="mailto:tobrien@bricker.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ussey@carpenterlipps.com" TargetMode="External"/><Relationship Id="rId23" Type="http://schemas.openxmlformats.org/officeDocument/2006/relationships/hyperlink" Target="mailto:ricks@ohanet.org" TargetMode="External"/><Relationship Id="rId28" Type="http://schemas.openxmlformats.org/officeDocument/2006/relationships/header" Target="header1.xml"/><Relationship Id="rId10" Type="http://schemas.openxmlformats.org/officeDocument/2006/relationships/hyperlink" Target="mailto:Werner.margard@puc.state.oh.us" TargetMode="External"/><Relationship Id="rId19" Type="http://schemas.openxmlformats.org/officeDocument/2006/relationships/hyperlink" Target="mailto:Sarah.parrot@puc.state.oh.u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rry.etter@occ.ohio.gov" TargetMode="External"/><Relationship Id="rId14" Type="http://schemas.openxmlformats.org/officeDocument/2006/relationships/hyperlink" Target="mailto:Bojko@carpenterlipps.com" TargetMode="External"/><Relationship Id="rId22" Type="http://schemas.openxmlformats.org/officeDocument/2006/relationships/hyperlink" Target="mailto:mjsatterwhite@aep.com" TargetMode="External"/><Relationship Id="rId27" Type="http://schemas.openxmlformats.org/officeDocument/2006/relationships/hyperlink" Target="mailto:mpritchard@mwncmh.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11817</Characters>
  <Application>Microsoft Office Word</Application>
  <DocSecurity>0</DocSecurity>
  <Lines>264</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14110</CharactersWithSpaces>
  <SharedDoc>false</SharedDoc>
  <HyperlinkBase> </HyperlinkBase>
  <HLinks>
    <vt:vector size="30" baseType="variant">
      <vt:variant>
        <vt:i4>1900596</vt:i4>
      </vt:variant>
      <vt:variant>
        <vt:i4>12</vt:i4>
      </vt:variant>
      <vt:variant>
        <vt:i4>0</vt:i4>
      </vt:variant>
      <vt:variant>
        <vt:i4>5</vt:i4>
      </vt:variant>
      <vt:variant>
        <vt:lpwstr>mailto:stnourse@aep.com</vt:lpwstr>
      </vt:variant>
      <vt:variant>
        <vt:lpwstr/>
      </vt:variant>
      <vt:variant>
        <vt:i4>1900596</vt:i4>
      </vt:variant>
      <vt:variant>
        <vt:i4>9</vt:i4>
      </vt:variant>
      <vt:variant>
        <vt:i4>0</vt:i4>
      </vt:variant>
      <vt:variant>
        <vt:i4>5</vt:i4>
      </vt:variant>
      <vt:variant>
        <vt:lpwstr>mailto:stnourse@aep.com</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3014663</vt:i4>
      </vt:variant>
      <vt:variant>
        <vt:i4>3</vt:i4>
      </vt:variant>
      <vt:variant>
        <vt:i4>0</vt:i4>
      </vt:variant>
      <vt:variant>
        <vt:i4>5</vt:i4>
      </vt:variant>
      <vt:variant>
        <vt:lpwstr>mailto:schuler@occ.state.oh.us</vt:lpwstr>
      </vt:variant>
      <vt:variant>
        <vt:lpwstr/>
      </vt:variant>
      <vt:variant>
        <vt:i4>3014663</vt:i4>
      </vt:variant>
      <vt:variant>
        <vt:i4>0</vt:i4>
      </vt:variant>
      <vt:variant>
        <vt:i4>0</vt:i4>
      </vt:variant>
      <vt:variant>
        <vt:i4>5</vt:i4>
      </vt:variant>
      <vt:variant>
        <vt:lpwstr>mailto:schuler@occ.state.oh.us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2014-09-24T18:16:00Z</cp:lastPrinted>
  <dcterms:created xsi:type="dcterms:W3CDTF">2014-09-24T19:36:00Z</dcterms:created>
  <dcterms:modified xsi:type="dcterms:W3CDTF">2014-09-24T19:36:00Z</dcterms:modified>
  <cp:category> </cp:category>
  <cp:contentStatus> </cp:contentStatus>
</cp:coreProperties>
</file>