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56E896ED"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33F2F88F"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0B366676" w14:textId="77777777">
      <w:pPr>
        <w:pStyle w:val="HTMLPreformatted"/>
        <w:rPr>
          <w:rFonts w:ascii="Times New Roman" w:hAnsi="Times New Roman"/>
          <w:sz w:val="24"/>
        </w:rPr>
      </w:pPr>
    </w:p>
    <w:tbl>
      <w:tblPr>
        <w:tblW w:w="8640" w:type="dxa"/>
        <w:tblLook w:val="01E0"/>
      </w:tblPr>
      <w:tblGrid>
        <w:gridCol w:w="4230"/>
        <w:gridCol w:w="360"/>
        <w:gridCol w:w="4050"/>
      </w:tblGrid>
      <w:tr w14:paraId="143620C0" w14:textId="77777777" w:rsidTr="002D4588">
        <w:tblPrEx>
          <w:tblW w:w="8640" w:type="dxa"/>
          <w:tblLook w:val="01E0"/>
        </w:tblPrEx>
        <w:trPr>
          <w:trHeight w:val="807"/>
        </w:trPr>
        <w:tc>
          <w:tcPr>
            <w:tcW w:w="4230" w:type="dxa"/>
            <w:shd w:val="clear" w:color="auto" w:fill="auto"/>
          </w:tcPr>
          <w:p w:rsidR="00A044B5" w:rsidP="001A05CC" w14:paraId="41056E8B"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sidR="001A05CC">
              <w:rPr>
                <w:rFonts w:ascii="Times New Roman" w:hAnsi="Times New Roman" w:cs="Times New Roman"/>
                <w:sz w:val="24"/>
                <w:szCs w:val="24"/>
              </w:rPr>
              <w:t xml:space="preserve"> the Application of Suburban Natural Gas Company to Establish the Tax Credit Rider.</w:t>
            </w:r>
          </w:p>
          <w:p w:rsidR="001A05CC" w:rsidP="001A05CC" w14:paraId="086EB4C0" w14:textId="77777777">
            <w:pPr>
              <w:pStyle w:val="HTMLPreformatted"/>
              <w:rPr>
                <w:rFonts w:ascii="Times New Roman" w:hAnsi="Times New Roman"/>
                <w:sz w:val="24"/>
                <w:szCs w:val="24"/>
              </w:rPr>
            </w:pPr>
          </w:p>
          <w:p w:rsidR="001A05CC" w:rsidRPr="00A044B5" w:rsidP="001A05CC" w14:paraId="1A18CC98" w14:textId="77777777">
            <w:pPr>
              <w:pStyle w:val="HTMLPreformatted"/>
              <w:rPr>
                <w:rFonts w:ascii="Times New Roman" w:hAnsi="Times New Roman"/>
                <w:sz w:val="24"/>
                <w:szCs w:val="24"/>
              </w:rPr>
            </w:pPr>
            <w:r>
              <w:rPr>
                <w:rFonts w:ascii="Times New Roman" w:hAnsi="Times New Roman"/>
                <w:sz w:val="24"/>
                <w:szCs w:val="24"/>
              </w:rPr>
              <w:t>In the Matter of the Application of Suburban Natural Gas Company’s Implementation of Certain Matters Relating to the Tax Cuts and Jobs Act of 2017.</w:t>
            </w:r>
          </w:p>
        </w:tc>
        <w:tc>
          <w:tcPr>
            <w:tcW w:w="360" w:type="dxa"/>
            <w:shd w:val="clear" w:color="auto" w:fill="auto"/>
          </w:tcPr>
          <w:p w:rsidR="00A044B5" w:rsidRPr="00A044B5" w14:paraId="446DA874" w14:textId="77777777">
            <w:pPr>
              <w:pStyle w:val="HTMLPreformatted"/>
              <w:rPr>
                <w:rFonts w:ascii="Times New Roman" w:hAnsi="Times New Roman"/>
                <w:sz w:val="24"/>
              </w:rPr>
            </w:pPr>
            <w:r w:rsidRPr="00A044B5">
              <w:rPr>
                <w:rFonts w:ascii="Times New Roman" w:hAnsi="Times New Roman"/>
                <w:sz w:val="24"/>
              </w:rPr>
              <w:t>)</w:t>
            </w:r>
          </w:p>
          <w:p w:rsidR="00A044B5" w:rsidRPr="00A044B5" w14:paraId="3DE43DB0" w14:textId="77777777">
            <w:pPr>
              <w:pStyle w:val="HTMLPreformatted"/>
              <w:rPr>
                <w:rFonts w:ascii="Times New Roman" w:hAnsi="Times New Roman"/>
                <w:sz w:val="24"/>
              </w:rPr>
            </w:pPr>
            <w:r w:rsidRPr="00A044B5">
              <w:rPr>
                <w:rFonts w:ascii="Times New Roman" w:hAnsi="Times New Roman"/>
                <w:sz w:val="24"/>
              </w:rPr>
              <w:t>)</w:t>
            </w:r>
          </w:p>
          <w:p w:rsidR="00A044B5" w:rsidRPr="00A044B5" w14:paraId="781F50B7" w14:textId="77777777">
            <w:pPr>
              <w:pStyle w:val="HTMLPreformatted"/>
              <w:rPr>
                <w:rFonts w:ascii="Times New Roman" w:hAnsi="Times New Roman"/>
                <w:sz w:val="24"/>
              </w:rPr>
            </w:pPr>
            <w:r w:rsidRPr="00A044B5">
              <w:rPr>
                <w:rFonts w:ascii="Times New Roman" w:hAnsi="Times New Roman"/>
                <w:sz w:val="24"/>
              </w:rPr>
              <w:t>)</w:t>
            </w:r>
          </w:p>
          <w:p w:rsidR="001A05CC" w14:paraId="64687D21" w14:textId="77777777">
            <w:pPr>
              <w:pStyle w:val="HTMLPreformatted"/>
              <w:rPr>
                <w:rFonts w:ascii="Times New Roman" w:hAnsi="Times New Roman"/>
                <w:sz w:val="24"/>
              </w:rPr>
            </w:pPr>
          </w:p>
          <w:p w:rsidR="001A05CC" w14:paraId="1795568C" w14:textId="77777777">
            <w:pPr>
              <w:pStyle w:val="HTMLPreformatted"/>
              <w:rPr>
                <w:rFonts w:ascii="Times New Roman" w:hAnsi="Times New Roman"/>
                <w:sz w:val="24"/>
              </w:rPr>
            </w:pPr>
            <w:r>
              <w:rPr>
                <w:rFonts w:ascii="Times New Roman" w:hAnsi="Times New Roman"/>
                <w:sz w:val="24"/>
              </w:rPr>
              <w:t>)</w:t>
            </w:r>
          </w:p>
          <w:p w:rsidR="001A05CC" w14:paraId="5726007D" w14:textId="77777777">
            <w:pPr>
              <w:pStyle w:val="HTMLPreformatted"/>
              <w:rPr>
                <w:rFonts w:ascii="Times New Roman" w:hAnsi="Times New Roman"/>
                <w:sz w:val="24"/>
              </w:rPr>
            </w:pPr>
            <w:r>
              <w:rPr>
                <w:rFonts w:ascii="Times New Roman" w:hAnsi="Times New Roman"/>
                <w:sz w:val="24"/>
              </w:rPr>
              <w:t>)</w:t>
            </w:r>
          </w:p>
          <w:p w:rsidR="001A05CC" w14:paraId="67EDAE20" w14:textId="77777777">
            <w:pPr>
              <w:pStyle w:val="HTMLPreformatted"/>
              <w:rPr>
                <w:rFonts w:ascii="Times New Roman" w:hAnsi="Times New Roman"/>
                <w:sz w:val="24"/>
              </w:rPr>
            </w:pPr>
            <w:r>
              <w:rPr>
                <w:rFonts w:ascii="Times New Roman" w:hAnsi="Times New Roman"/>
                <w:sz w:val="24"/>
              </w:rPr>
              <w:t>)</w:t>
            </w:r>
          </w:p>
          <w:p w:rsidR="00A044B5" w14:paraId="243DDEFD" w14:textId="77777777">
            <w:pPr>
              <w:pStyle w:val="HTMLPreformatted"/>
              <w:rPr>
                <w:rFonts w:ascii="Times New Roman" w:hAnsi="Times New Roman"/>
                <w:sz w:val="24"/>
              </w:rPr>
            </w:pPr>
            <w:r w:rsidRPr="00A044B5">
              <w:rPr>
                <w:rFonts w:ascii="Times New Roman" w:hAnsi="Times New Roman"/>
                <w:sz w:val="24"/>
              </w:rPr>
              <w:t>)</w:t>
            </w:r>
          </w:p>
          <w:p w:rsidR="001A05CC" w:rsidRPr="00A044B5" w14:paraId="74A04FD2" w14:textId="77777777">
            <w:pPr>
              <w:pStyle w:val="HTMLPreformatted"/>
              <w:rPr>
                <w:rFonts w:ascii="Times New Roman" w:hAnsi="Times New Roman"/>
                <w:sz w:val="24"/>
              </w:rPr>
            </w:pPr>
          </w:p>
        </w:tc>
        <w:tc>
          <w:tcPr>
            <w:tcW w:w="4050" w:type="dxa"/>
            <w:shd w:val="clear" w:color="auto" w:fill="auto"/>
          </w:tcPr>
          <w:p w:rsidR="00A044B5" w:rsidRPr="00A044B5" w14:paraId="4523292B" w14:textId="77777777">
            <w:pPr>
              <w:pStyle w:val="HTMLPreformatted"/>
              <w:rPr>
                <w:rFonts w:ascii="Times New Roman" w:hAnsi="Times New Roman"/>
                <w:sz w:val="24"/>
              </w:rPr>
            </w:pPr>
          </w:p>
          <w:p w:rsidR="00A044B5" w14:paraId="70EF3674" w14:textId="77777777">
            <w:pPr>
              <w:pStyle w:val="HTMLPreformatted"/>
              <w:rPr>
                <w:rFonts w:ascii="Times New Roman" w:hAnsi="Times New Roman"/>
                <w:sz w:val="24"/>
              </w:rPr>
            </w:pPr>
            <w:r w:rsidRPr="00A044B5">
              <w:rPr>
                <w:rFonts w:ascii="Times New Roman" w:hAnsi="Times New Roman"/>
                <w:sz w:val="24"/>
              </w:rPr>
              <w:t xml:space="preserve">Case No. </w:t>
            </w:r>
            <w:r w:rsidR="001A05CC">
              <w:rPr>
                <w:rFonts w:ascii="Times New Roman" w:hAnsi="Times New Roman"/>
                <w:sz w:val="24"/>
              </w:rPr>
              <w:t>20-43-GA-ATA</w:t>
            </w:r>
          </w:p>
          <w:p w:rsidR="001A05CC" w14:paraId="2408E632" w14:textId="77777777">
            <w:pPr>
              <w:pStyle w:val="HTMLPreformatted"/>
              <w:rPr>
                <w:rFonts w:ascii="Times New Roman" w:hAnsi="Times New Roman"/>
                <w:sz w:val="24"/>
              </w:rPr>
            </w:pPr>
          </w:p>
          <w:p w:rsidR="001A05CC" w14:paraId="0473CEEE" w14:textId="77777777">
            <w:pPr>
              <w:pStyle w:val="HTMLPreformatted"/>
              <w:rPr>
                <w:rFonts w:ascii="Times New Roman" w:hAnsi="Times New Roman"/>
                <w:sz w:val="24"/>
              </w:rPr>
            </w:pPr>
          </w:p>
          <w:p w:rsidR="001A05CC" w14:paraId="69D62DDE" w14:textId="77777777">
            <w:pPr>
              <w:pStyle w:val="HTMLPreformatted"/>
              <w:rPr>
                <w:rFonts w:ascii="Times New Roman" w:hAnsi="Times New Roman"/>
                <w:sz w:val="24"/>
              </w:rPr>
            </w:pPr>
          </w:p>
          <w:p w:rsidR="001A05CC" w:rsidRPr="00A044B5" w14:paraId="58AA7A55" w14:textId="77777777">
            <w:pPr>
              <w:pStyle w:val="HTMLPreformatted"/>
              <w:rPr>
                <w:rFonts w:ascii="Times New Roman" w:hAnsi="Times New Roman"/>
                <w:sz w:val="24"/>
              </w:rPr>
            </w:pPr>
            <w:r>
              <w:rPr>
                <w:rFonts w:ascii="Times New Roman" w:hAnsi="Times New Roman"/>
                <w:sz w:val="24"/>
              </w:rPr>
              <w:t>Case No. 20-44-GA-UNC</w:t>
            </w:r>
          </w:p>
          <w:p w:rsidR="00A044B5" w:rsidRPr="00A044B5" w14:paraId="1F24032C" w14:textId="77777777">
            <w:pPr>
              <w:pStyle w:val="HTMLPreformatted"/>
              <w:rPr>
                <w:rFonts w:ascii="Times New Roman" w:hAnsi="Times New Roman"/>
                <w:sz w:val="24"/>
              </w:rPr>
            </w:pPr>
          </w:p>
          <w:p w:rsidR="00A044B5" w:rsidRPr="00A044B5" w14:paraId="439A5EDD" w14:textId="77777777">
            <w:pPr>
              <w:pStyle w:val="HTMLPreformatted"/>
              <w:rPr>
                <w:rFonts w:ascii="Times New Roman" w:hAnsi="Times New Roman"/>
                <w:sz w:val="24"/>
              </w:rPr>
            </w:pPr>
          </w:p>
        </w:tc>
      </w:tr>
    </w:tbl>
    <w:p w:rsidR="00A044B5" w14:paraId="7B931EC4" w14:textId="77777777">
      <w:pPr>
        <w:pStyle w:val="HTMLPreformatted"/>
        <w:rPr>
          <w:rFonts w:ascii="Times New Roman" w:hAnsi="Times New Roman"/>
          <w:sz w:val="24"/>
        </w:rPr>
      </w:pPr>
      <w:r>
        <w:rPr>
          <w:rFonts w:ascii="Times New Roman" w:hAnsi="Times New Roman"/>
          <w:sz w:val="24"/>
        </w:rPr>
        <w:tab/>
      </w:r>
    </w:p>
    <w:p w:rsidR="00A044B5" w14:paraId="56104E2C" w14:textId="77777777">
      <w:pPr>
        <w:pStyle w:val="HTMLPreformatted"/>
        <w:pBdr>
          <w:top w:val="single" w:sz="12" w:space="1" w:color="auto"/>
        </w:pBdr>
        <w:rPr>
          <w:rFonts w:ascii="Times New Roman" w:hAnsi="Times New Roman"/>
          <w:sz w:val="24"/>
        </w:rPr>
      </w:pPr>
    </w:p>
    <w:p w:rsidR="00A044B5" w14:paraId="4A93C952" w14:textId="77777777">
      <w:pPr>
        <w:jc w:val="center"/>
        <w:rPr>
          <w:b/>
          <w:bCs/>
        </w:rPr>
      </w:pPr>
      <w:r>
        <w:rPr>
          <w:b/>
          <w:bCs/>
        </w:rPr>
        <w:t>COMMENTS</w:t>
      </w:r>
    </w:p>
    <w:p w:rsidR="00A044B5" w14:paraId="229F38BD" w14:textId="77777777">
      <w:pPr>
        <w:jc w:val="center"/>
        <w:rPr>
          <w:b/>
          <w:bCs/>
        </w:rPr>
      </w:pPr>
      <w:r>
        <w:rPr>
          <w:b/>
          <w:bCs/>
        </w:rPr>
        <w:t>BY</w:t>
      </w:r>
    </w:p>
    <w:p w:rsidR="00A044B5" w14:paraId="51507E5B" w14:textId="77777777">
      <w:pPr>
        <w:jc w:val="center"/>
        <w:rPr>
          <w:b/>
          <w:bCs/>
        </w:rPr>
      </w:pPr>
      <w:r>
        <w:rPr>
          <w:b/>
          <w:bCs/>
        </w:rPr>
        <w:t>THE OFFICE OF THE OHIO CONSUMERS’ COUNSEL</w:t>
      </w:r>
    </w:p>
    <w:p w:rsidR="00A044B5" w14:paraId="180C3EC8" w14:textId="77777777">
      <w:pPr>
        <w:pBdr>
          <w:bottom w:val="single" w:sz="12" w:space="1" w:color="auto"/>
        </w:pBdr>
        <w:tabs>
          <w:tab w:val="left" w:pos="4320"/>
        </w:tabs>
      </w:pPr>
    </w:p>
    <w:p w:rsidR="00A044B5" w14:paraId="28D12A57" w14:textId="77777777">
      <w:pPr>
        <w:tabs>
          <w:tab w:val="left" w:pos="4320"/>
        </w:tabs>
      </w:pPr>
    </w:p>
    <w:p w:rsidR="005A6C2C" w:rsidP="003F6A99" w14:paraId="7B522178" w14:textId="77777777">
      <w:pPr>
        <w:pStyle w:val="BodyTextIndent3"/>
        <w:widowControl w:val="0"/>
        <w:spacing w:line="480" w:lineRule="auto"/>
      </w:pPr>
      <w:r>
        <w:t xml:space="preserve">Some Ohio utility customers began seeing the benefits of the Tax Cuts and Jobs Act of 2017 (the “Tax Cuts”) more than two years ago. But not Suburban’s customers. </w:t>
      </w:r>
      <w:r w:rsidR="00420DEC">
        <w:t>M</w:t>
      </w:r>
      <w:r>
        <w:t>ore than 28 months since the law went into effect, they are still waiting for relief. And if Suburban and the PUCO Staff’s recommendations are adopted, the benefits that customers deserve from the 2017 Tax Cuts will continue to be delayed.</w:t>
      </w:r>
    </w:p>
    <w:p w:rsidR="005A6C2C" w:rsidP="003F6A99" w14:paraId="18DAFEF1" w14:textId="77777777">
      <w:pPr>
        <w:pStyle w:val="BodyTextIndent3"/>
        <w:widowControl w:val="0"/>
        <w:spacing w:line="480" w:lineRule="auto"/>
      </w:pPr>
      <w:r>
        <w:t>This is because Suburban proposes to return the tax savings deferred from January 1, 2018 through September 30, 2019 (commonly referred to as the “stub” period) over a period of 31 months.</w:t>
      </w:r>
      <w:r>
        <w:rPr>
          <w:rStyle w:val="FootnoteReference"/>
        </w:rPr>
        <w:footnoteReference w:id="2"/>
      </w:r>
      <w:r>
        <w:t xml:space="preserve"> This proposal is unreasonable. It unfairly delays the process of </w:t>
      </w:r>
      <w:r w:rsidR="005A3E5D">
        <w:t xml:space="preserve">giving </w:t>
      </w:r>
      <w:r>
        <w:t>customers their money back. And it is especially unfair as customers suffer through a once-in-a-lifetime health and financial crisis</w:t>
      </w:r>
      <w:r w:rsidR="0036539D">
        <w:t xml:space="preserve"> resulting from the coronavirus</w:t>
      </w:r>
      <w:r>
        <w:t>.</w:t>
      </w:r>
    </w:p>
    <w:p w:rsidR="0090310D" w:rsidP="00945610" w14:paraId="69604301" w14:textId="77777777">
      <w:pPr>
        <w:pStyle w:val="BodyTextIndent3"/>
        <w:widowControl w:val="0"/>
        <w:spacing w:line="480" w:lineRule="auto"/>
        <w:sectPr w:rsidSect="00162623">
          <w:footerReference w:type="first" r:id="rId6"/>
          <w:pgSz w:w="12240" w:h="15840"/>
          <w:pgMar w:top="1440" w:right="1800" w:bottom="1440" w:left="1800" w:header="720" w:footer="720" w:gutter="0"/>
          <w:pgNumType w:start="2"/>
          <w:cols w:space="720"/>
          <w:titlePg/>
          <w:docGrid w:linePitch="326"/>
        </w:sectPr>
      </w:pPr>
      <w:r>
        <w:t>The PUCO should adopt an approach that protects Suburban consumers. Suburban’s customers should get this money back over a period of 12 months, just as they have for other Ohio utilities.</w:t>
      </w:r>
      <w:r w:rsidR="00945610">
        <w:t xml:space="preserve"> </w:t>
      </w:r>
    </w:p>
    <w:p w:rsidR="0036539D" w:rsidRPr="0036539D" w:rsidP="00945610" w14:paraId="72354BF3" w14:textId="77777777">
      <w:pPr>
        <w:pStyle w:val="BodyTextIndent3"/>
        <w:keepNext/>
        <w:keepLines/>
        <w:spacing w:after="240" w:line="240" w:lineRule="auto"/>
        <w:ind w:firstLine="0"/>
        <w:rPr>
          <w:b/>
        </w:rPr>
      </w:pPr>
      <w:r>
        <w:rPr>
          <w:b/>
        </w:rPr>
        <w:t>I.</w:t>
      </w:r>
      <w:r>
        <w:rPr>
          <w:b/>
        </w:rPr>
        <w:tab/>
        <w:t>RECOMMENDATIONS</w:t>
      </w:r>
    </w:p>
    <w:p w:rsidR="005A6C2C" w:rsidRPr="005A6C2C" w:rsidP="0036539D" w14:paraId="01AF921B" w14:textId="77777777">
      <w:pPr>
        <w:pStyle w:val="BodyTextIndent3"/>
        <w:keepNext/>
        <w:keepLines/>
        <w:spacing w:after="240" w:line="240" w:lineRule="auto"/>
        <w:ind w:left="1440" w:hanging="720"/>
        <w:rPr>
          <w:b/>
        </w:rPr>
      </w:pPr>
      <w:r>
        <w:rPr>
          <w:b/>
        </w:rPr>
        <w:t>A</w:t>
      </w:r>
      <w:r>
        <w:rPr>
          <w:b/>
        </w:rPr>
        <w:t>.</w:t>
      </w:r>
      <w:r>
        <w:rPr>
          <w:b/>
        </w:rPr>
        <w:tab/>
        <w:t>Customers have already been harmed by Suburban’s delay in filing this case, which violated a PUCO Order.</w:t>
      </w:r>
    </w:p>
    <w:p w:rsidR="005A6C2C" w:rsidRPr="00112A28" w:rsidP="003F6A99" w14:paraId="4784CDC8" w14:textId="77777777">
      <w:pPr>
        <w:pStyle w:val="BodyTextIndent3"/>
        <w:widowControl w:val="0"/>
        <w:spacing w:line="480" w:lineRule="auto"/>
      </w:pPr>
      <w:r>
        <w:t>In October 2018, the PUCO ordered Ohio utilities, including Suburban, to “file an application not for an increase in rates, pursuant to R.C. 4909.18, by January 1, 2019, either in an already-pending proceeding or a newly initiated proceeding, to allow the Commission the appropriate opportunity to consider the impacts of the Tax Cuts and Jobs Act of 2017 on each specific company.”</w:t>
      </w:r>
      <w:r>
        <w:rPr>
          <w:rStyle w:val="FootnoteReference"/>
        </w:rPr>
        <w:footnoteReference w:id="3"/>
      </w:r>
      <w:r>
        <w:t xml:space="preserve"> Suburban violated this order by failing to file such a case (</w:t>
      </w:r>
      <w:r>
        <w:rPr>
          <w:i/>
        </w:rPr>
        <w:t>i.e.,</w:t>
      </w:r>
      <w:r>
        <w:t xml:space="preserve"> the current case) until January 10, 2020—more than a year late.</w:t>
      </w:r>
    </w:p>
    <w:p w:rsidR="005A6C2C" w:rsidP="003F6A99" w14:paraId="4CD73F6F" w14:textId="77777777">
      <w:pPr>
        <w:pStyle w:val="BodyTextIndent3"/>
        <w:widowControl w:val="0"/>
        <w:spacing w:line="480" w:lineRule="auto"/>
      </w:pPr>
      <w:r>
        <w:t>Suburban’s apparent justification for not filing a case by the PUCO’s January 1, 2019 deadline was that it had a pending base rate case (Case No. 18-1205-GA-AIR), and it would allegedly address the tax issue in that case. But rather than actually address the tax issues in that case,</w:t>
      </w:r>
      <w:r>
        <w:rPr>
          <w:rStyle w:val="FootnoteReference"/>
        </w:rPr>
        <w:footnoteReference w:id="4"/>
      </w:r>
      <w:r>
        <w:t xml:space="preserve"> Suburban instead signed a settlement with the PUCO Staff under which Suburban would file a future application </w:t>
      </w:r>
      <w:r w:rsidR="00AB6E59">
        <w:t xml:space="preserve">not </w:t>
      </w:r>
      <w:r>
        <w:t>for increase in rates under R.C. 4909.18.</w:t>
      </w:r>
      <w:r>
        <w:rPr>
          <w:rStyle w:val="FootnoteReference"/>
        </w:rPr>
        <w:footnoteReference w:id="5"/>
      </w:r>
      <w:r>
        <w:t xml:space="preserve"> Yes—Suburban’s way of addressing the tax issues in the rate case was to agree to something that the PUCO had alrea</w:t>
      </w:r>
      <w:r w:rsidR="00AB6E59">
        <w:t>dy ordered it to do</w:t>
      </w:r>
      <w:r w:rsidR="0036539D">
        <w:t>, but</w:t>
      </w:r>
      <w:r>
        <w:t xml:space="preserve"> much later than the PUCO had ordered it to</w:t>
      </w:r>
      <w:r w:rsidR="005A3E5D">
        <w:t xml:space="preserve"> do so</w:t>
      </w:r>
      <w:r>
        <w:t>.</w:t>
      </w:r>
    </w:p>
    <w:p w:rsidR="00112A28" w:rsidP="003F6A99" w14:paraId="78A964A1" w14:textId="77777777">
      <w:pPr>
        <w:pStyle w:val="BodyTextIndent3"/>
        <w:widowControl w:val="0"/>
        <w:spacing w:line="480" w:lineRule="auto"/>
      </w:pPr>
      <w:r>
        <w:t xml:space="preserve">Had Suburban filed this case by January 1, 2019, instead of on January 10, 2020, customers would already be receiving bill credits for the Tax Cuts. </w:t>
      </w:r>
      <w:r w:rsidR="005A3E5D">
        <w:t>Given</w:t>
      </w:r>
      <w:r w:rsidR="00AB6E59">
        <w:t xml:space="preserve"> this Suburban-created delay, the PUCO should take all possible actions to get the tax savings back to customers as soon as possible.</w:t>
      </w:r>
    </w:p>
    <w:p w:rsidR="00AB6E59" w:rsidRPr="00AB6E59" w:rsidP="0036539D" w14:paraId="1586767E" w14:textId="77777777">
      <w:pPr>
        <w:pStyle w:val="BodyTextIndent3"/>
        <w:keepNext/>
        <w:keepLines/>
        <w:spacing w:after="240" w:line="240" w:lineRule="auto"/>
        <w:ind w:left="1440" w:hanging="720"/>
        <w:rPr>
          <w:b/>
        </w:rPr>
      </w:pPr>
      <w:r>
        <w:rPr>
          <w:b/>
        </w:rPr>
        <w:t>B</w:t>
      </w:r>
      <w:r>
        <w:rPr>
          <w:b/>
        </w:rPr>
        <w:t>.</w:t>
      </w:r>
      <w:r>
        <w:rPr>
          <w:b/>
        </w:rPr>
        <w:tab/>
        <w:t>There is no justification for Suburban making customers wait 31 months to get back overcharges they paid to Suburban during the stub period.</w:t>
      </w:r>
    </w:p>
    <w:p w:rsidR="005A6C2C" w:rsidP="003F6A99" w14:paraId="627C78F1" w14:textId="77777777">
      <w:pPr>
        <w:pStyle w:val="BodyTextIndent3"/>
        <w:widowControl w:val="0"/>
        <w:spacing w:line="480" w:lineRule="auto"/>
      </w:pPr>
      <w:r>
        <w:t>As the PUCO Staff noted in its filing, it has typically recommended that the stub period be refunded to customers over a</w:t>
      </w:r>
      <w:r w:rsidR="005A3E5D">
        <w:t xml:space="preserve"> 12-month</w:t>
      </w:r>
      <w:r>
        <w:t xml:space="preserve"> period, with carrying charges.</w:t>
      </w:r>
      <w:r>
        <w:rPr>
          <w:rStyle w:val="FootnoteReference"/>
        </w:rPr>
        <w:footnoteReference w:id="6"/>
      </w:r>
      <w:r w:rsidR="005F705C">
        <w:t xml:space="preserve"> </w:t>
      </w:r>
      <w:r w:rsidR="00D73097">
        <w:t>And the PUCO has consistently approved refunds to customers of the stub period over a period of 12 months.</w:t>
      </w:r>
      <w:r>
        <w:rPr>
          <w:rStyle w:val="FootnoteReference"/>
        </w:rPr>
        <w:footnoteReference w:id="7"/>
      </w:r>
      <w:r w:rsidR="005C003D">
        <w:t xml:space="preserve"> </w:t>
      </w:r>
      <w:r w:rsidR="005F705C">
        <w:t xml:space="preserve">Yet in this case, Suburban seeks to return that money to customers over a period of 31 months, </w:t>
      </w:r>
      <w:r w:rsidR="005A3E5D">
        <w:t xml:space="preserve">which </w:t>
      </w:r>
      <w:r w:rsidR="005F705C">
        <w:t>the PUCO Staff</w:t>
      </w:r>
      <w:r w:rsidR="005A3E5D">
        <w:t xml:space="preserve"> now</w:t>
      </w:r>
      <w:r w:rsidR="005F705C">
        <w:t xml:space="preserve"> supports</w:t>
      </w:r>
      <w:r w:rsidR="005A3E5D">
        <w:t>.</w:t>
      </w:r>
    </w:p>
    <w:p w:rsidR="005F705C" w:rsidP="003F6A99" w14:paraId="5C38A617" w14:textId="77777777">
      <w:pPr>
        <w:pStyle w:val="BodyTextIndent3"/>
        <w:widowControl w:val="0"/>
        <w:spacing w:line="480" w:lineRule="auto"/>
      </w:pPr>
      <w:r>
        <w:t xml:space="preserve">According to the PUCO </w:t>
      </w:r>
      <w:r w:rsidR="005A3E5D">
        <w:t>S</w:t>
      </w:r>
      <w:r>
        <w:t>taff, the alleged justification for this longer payback period is to “minimize the financial impact on a relatively small natural gas company.”</w:t>
      </w:r>
      <w:r>
        <w:rPr>
          <w:rStyle w:val="FootnoteReference"/>
        </w:rPr>
        <w:footnoteReference w:id="8"/>
      </w:r>
      <w:r>
        <w:t xml:space="preserve"> The PUCO should reject this rationale for a longer payback period for several reasons.</w:t>
      </w:r>
    </w:p>
    <w:p w:rsidR="005F705C" w:rsidP="00945610" w14:paraId="0448B9D1" w14:textId="77777777">
      <w:pPr>
        <w:pStyle w:val="BodyTextIndent3"/>
        <w:spacing w:line="480" w:lineRule="auto"/>
      </w:pPr>
      <w:r>
        <w:t xml:space="preserve">First, the longer the payback period, the more current customers are subsidizing future customers. As the PUCO Staff recognized in its filing, the overpayments for the stub period occurred from January 1, 2018 to September 30, 2019. Suburban customers during that period were effectively overcharged as a result of paying a 35% tax rate instead of 21%. With it </w:t>
      </w:r>
      <w:r w:rsidR="005A3E5D">
        <w:t xml:space="preserve">now </w:t>
      </w:r>
      <w:r>
        <w:t xml:space="preserve">being May 2020, customers will still be getting their money back in 2023 (counting 31 months from the middle of 2020). There </w:t>
      </w:r>
      <w:r w:rsidR="0005361A">
        <w:t>will be</w:t>
      </w:r>
      <w:r>
        <w:t xml:space="preserve"> </w:t>
      </w:r>
      <w:r w:rsidR="0005361A">
        <w:t xml:space="preserve">some </w:t>
      </w:r>
      <w:r>
        <w:t>customers who were overcharged in 2018 and 2019</w:t>
      </w:r>
      <w:r w:rsidR="0005361A">
        <w:t>, but</w:t>
      </w:r>
      <w:r>
        <w:t xml:space="preserve"> will not be Suburban customers in 2023, and thus, they will never get their money back. Likewise, any </w:t>
      </w:r>
      <w:r w:rsidR="0005361A">
        <w:t xml:space="preserve">new </w:t>
      </w:r>
      <w:r>
        <w:t xml:space="preserve">customers that move into the Suburban service area between 2020 and 2023 will get a windfall. The longer the payback period, the more of a problem this </w:t>
      </w:r>
      <w:r w:rsidR="00420DEC">
        <w:t>inter</w:t>
      </w:r>
      <w:r>
        <w:t>-generational subsidy becomes.</w:t>
      </w:r>
    </w:p>
    <w:p w:rsidR="004D5268" w:rsidP="005B6FD6" w14:paraId="750D4B42" w14:textId="77777777">
      <w:pPr>
        <w:pStyle w:val="BodyTextIndent3"/>
        <w:widowControl w:val="0"/>
        <w:spacing w:line="480" w:lineRule="auto"/>
      </w:pPr>
      <w:r>
        <w:t xml:space="preserve">Second, </w:t>
      </w:r>
      <w:r w:rsidR="007B095A">
        <w:t xml:space="preserve">Suburban just recently emerged from its most recent </w:t>
      </w:r>
      <w:r w:rsidR="00D73097">
        <w:t xml:space="preserve">base </w:t>
      </w:r>
      <w:r w:rsidR="007B095A">
        <w:t xml:space="preserve">rate case. Suburban </w:t>
      </w:r>
      <w:r w:rsidR="00D73097">
        <w:t xml:space="preserve">cannot claim to be </w:t>
      </w:r>
      <w:r w:rsidR="007B095A">
        <w:t>suffering from financial difficulties just months after it settled its rate case and the PUCO approved that s</w:t>
      </w:r>
      <w:r w:rsidR="00D73097">
        <w:t>ettlement without modification.</w:t>
      </w:r>
    </w:p>
    <w:p w:rsidR="00DD4E31" w:rsidP="00DD4E31" w14:paraId="1A0D15FE" w14:textId="77777777">
      <w:pPr>
        <w:pStyle w:val="BodyTextIndent3"/>
        <w:widowControl w:val="0"/>
        <w:spacing w:line="240" w:lineRule="auto"/>
      </w:pPr>
    </w:p>
    <w:p w:rsidR="00AB6E59" w:rsidRPr="0036539D" w:rsidP="0036539D" w14:paraId="03118439" w14:textId="77777777">
      <w:pPr>
        <w:pStyle w:val="BodyTextIndent3"/>
        <w:keepNext/>
        <w:keepLines/>
        <w:spacing w:after="240" w:line="240" w:lineRule="auto"/>
        <w:ind w:firstLine="0"/>
        <w:rPr>
          <w:b/>
        </w:rPr>
      </w:pPr>
      <w:r>
        <w:rPr>
          <w:b/>
        </w:rPr>
        <w:t>II.</w:t>
      </w:r>
      <w:r>
        <w:rPr>
          <w:b/>
        </w:rPr>
        <w:tab/>
        <w:t>CONCLUSION</w:t>
      </w:r>
    </w:p>
    <w:p w:rsidR="00AB6E59" w:rsidP="003F6A99" w14:paraId="520A351B" w14:textId="77777777">
      <w:pPr>
        <w:pStyle w:val="BodyTextIndent3"/>
        <w:widowControl w:val="0"/>
        <w:spacing w:line="480" w:lineRule="auto"/>
      </w:pPr>
      <w:r>
        <w:t xml:space="preserve">The overcharges from the “stub period” are customer money. Customers paid more than they should have, and now they deserve </w:t>
      </w:r>
      <w:r w:rsidR="00735B75">
        <w:t xml:space="preserve">to be paid </w:t>
      </w:r>
      <w:r>
        <w:t>their money back</w:t>
      </w:r>
      <w:r w:rsidR="0005361A">
        <w:t>, with interest</w:t>
      </w:r>
      <w:r>
        <w:t xml:space="preserve">. The PUCO should </w:t>
      </w:r>
      <w:r w:rsidR="00735B75">
        <w:t xml:space="preserve">not </w:t>
      </w:r>
      <w:r>
        <w:t xml:space="preserve">make </w:t>
      </w:r>
      <w:r w:rsidR="00735B75">
        <w:t xml:space="preserve">customers </w:t>
      </w:r>
      <w:r>
        <w:t xml:space="preserve">wait 31 months to get it back. That proposal is unfair under any circumstances. It is especially unfair to let Suburban hold onto customer money for nearly three years while customers are suffering from the financial fallout of the coronavirus pandemic. And it is especially unfair given that Suburban itself has already created a year-long delay in this case by waiting to file it in January 2020 instead of January 2019, as the PUCO </w:t>
      </w:r>
      <w:r w:rsidR="00735B75">
        <w:t xml:space="preserve">previously </w:t>
      </w:r>
      <w:r>
        <w:t>ordered it to do.</w:t>
      </w:r>
    </w:p>
    <w:p w:rsidR="00AB6E59" w:rsidP="003F6A99" w14:paraId="6CA421B4" w14:textId="77777777">
      <w:pPr>
        <w:pStyle w:val="BodyTextIndent3"/>
        <w:widowControl w:val="0"/>
        <w:spacing w:line="480" w:lineRule="auto"/>
      </w:pPr>
    </w:p>
    <w:p w:rsidR="00A044B5" w14:paraId="6FADDF83" w14:textId="77777777">
      <w:pPr>
        <w:spacing w:line="480" w:lineRule="auto"/>
        <w:ind w:firstLine="720"/>
      </w:pPr>
    </w:p>
    <w:p w:rsidR="003F6A99" w:rsidP="00CB2818" w14:paraId="7C649ECB" w14:textId="77777777">
      <w:pPr>
        <w:pStyle w:val="BodyTextIndent3"/>
        <w:widowControl w:val="0"/>
        <w:ind w:left="3600" w:right="-672" w:firstLine="360"/>
        <w:rPr>
          <w:szCs w:val="24"/>
        </w:rPr>
      </w:pPr>
    </w:p>
    <w:p w:rsidR="005A6C2C" w14:paraId="3B2CDBD7" w14:textId="77777777">
      <w:pPr>
        <w:rPr>
          <w:szCs w:val="24"/>
        </w:rPr>
      </w:pPr>
      <w:r>
        <w:rPr>
          <w:szCs w:val="24"/>
        </w:rPr>
        <w:br w:type="page"/>
      </w:r>
    </w:p>
    <w:p w:rsidR="00CB2818" w:rsidP="00CB2818" w14:paraId="42FA97F4" w14:textId="77777777">
      <w:pPr>
        <w:pStyle w:val="BodyTextIndent3"/>
        <w:widowControl w:val="0"/>
        <w:ind w:left="3600" w:right="-672" w:firstLine="360"/>
        <w:rPr>
          <w:szCs w:val="24"/>
        </w:rPr>
      </w:pPr>
      <w:r>
        <w:rPr>
          <w:szCs w:val="24"/>
        </w:rPr>
        <w:t>Respectfully submitted,</w:t>
      </w:r>
    </w:p>
    <w:p w:rsidR="00CB2818" w:rsidP="00CB2818" w14:paraId="22A4451B" w14:textId="77777777">
      <w:pPr>
        <w:pStyle w:val="Footer"/>
        <w:tabs>
          <w:tab w:val="clear" w:pos="4320"/>
          <w:tab w:val="clear" w:pos="8640"/>
        </w:tabs>
        <w:spacing w:before="240"/>
        <w:ind w:firstLine="3960"/>
        <w:rPr>
          <w:sz w:val="24"/>
          <w:szCs w:val="24"/>
        </w:rPr>
      </w:pPr>
      <w:r>
        <w:rPr>
          <w:sz w:val="24"/>
          <w:szCs w:val="24"/>
        </w:rPr>
        <w:t>Bruce Weston (0016973)</w:t>
      </w:r>
    </w:p>
    <w:p w:rsidR="00CB2818" w:rsidP="00CB2818" w14:paraId="12FBF201" w14:textId="77777777">
      <w:pPr>
        <w:ind w:firstLine="3960"/>
        <w:rPr>
          <w:szCs w:val="24"/>
        </w:rPr>
      </w:pPr>
      <w:r>
        <w:rPr>
          <w:szCs w:val="24"/>
        </w:rPr>
        <w:t>Ohio Consumers’ Counsel</w:t>
      </w:r>
    </w:p>
    <w:p w:rsidR="005F6A1A" w:rsidP="00CB2818" w14:paraId="667FD7FE" w14:textId="77777777">
      <w:pPr>
        <w:ind w:firstLine="3960"/>
        <w:rPr>
          <w:szCs w:val="24"/>
        </w:rPr>
      </w:pPr>
    </w:p>
    <w:p w:rsidR="00CB2818" w:rsidRPr="001A05CC" w:rsidP="00CB2818" w14:paraId="518E1DFD" w14:textId="77777777">
      <w:pPr>
        <w:tabs>
          <w:tab w:val="left" w:pos="4320"/>
        </w:tabs>
        <w:ind w:firstLine="3960"/>
        <w:rPr>
          <w:i/>
          <w:iCs/>
          <w:szCs w:val="24"/>
          <w:u w:val="single"/>
        </w:rPr>
      </w:pPr>
      <w:r>
        <w:rPr>
          <w:i/>
          <w:iCs/>
          <w:szCs w:val="24"/>
          <w:u w:val="single"/>
        </w:rPr>
        <w:t>/s/ Christopher Healey</w:t>
      </w:r>
      <w:r>
        <w:rPr>
          <w:i/>
          <w:iCs/>
          <w:szCs w:val="24"/>
          <w:u w:val="single"/>
        </w:rPr>
        <w:tab/>
      </w:r>
      <w:r>
        <w:rPr>
          <w:i/>
          <w:iCs/>
          <w:szCs w:val="24"/>
          <w:u w:val="single"/>
        </w:rPr>
        <w:tab/>
      </w:r>
      <w:r>
        <w:rPr>
          <w:i/>
          <w:iCs/>
          <w:szCs w:val="24"/>
          <w:u w:val="single"/>
        </w:rPr>
        <w:tab/>
      </w:r>
    </w:p>
    <w:p w:rsidR="00CB2818" w:rsidP="00CB2818" w14:paraId="54215045" w14:textId="77777777">
      <w:pPr>
        <w:tabs>
          <w:tab w:val="left" w:pos="4320"/>
        </w:tabs>
        <w:ind w:firstLine="3960"/>
        <w:rPr>
          <w:szCs w:val="24"/>
        </w:rPr>
      </w:pPr>
      <w:r>
        <w:rPr>
          <w:szCs w:val="24"/>
        </w:rPr>
        <w:t>Christopher Healey (0086027)</w:t>
      </w:r>
    </w:p>
    <w:p w:rsidR="00CB2818" w:rsidP="00CB2818" w14:paraId="1D114D59" w14:textId="77777777">
      <w:pPr>
        <w:tabs>
          <w:tab w:val="left" w:pos="4320"/>
        </w:tabs>
        <w:ind w:firstLine="3960"/>
        <w:rPr>
          <w:szCs w:val="24"/>
        </w:rPr>
      </w:pPr>
      <w:r>
        <w:rPr>
          <w:szCs w:val="24"/>
        </w:rPr>
        <w:t>Counsel of Record</w:t>
      </w:r>
    </w:p>
    <w:p w:rsidR="00CB2818" w:rsidP="00CB2818" w14:paraId="3BD1007C" w14:textId="77777777">
      <w:pPr>
        <w:tabs>
          <w:tab w:val="left" w:pos="4320"/>
        </w:tabs>
        <w:ind w:firstLine="3960"/>
        <w:rPr>
          <w:szCs w:val="24"/>
        </w:rPr>
      </w:pPr>
      <w:r>
        <w:rPr>
          <w:szCs w:val="24"/>
        </w:rPr>
        <w:t>Amy Botschner</w:t>
      </w:r>
      <w:r w:rsidR="00240262">
        <w:rPr>
          <w:szCs w:val="24"/>
        </w:rPr>
        <w:t xml:space="preserve"> </w:t>
      </w:r>
      <w:r>
        <w:rPr>
          <w:szCs w:val="24"/>
        </w:rPr>
        <w:t>O’Brien (0074423)</w:t>
      </w:r>
    </w:p>
    <w:p w:rsidR="00CB2818" w:rsidP="00CB2818" w14:paraId="5C0C74E1" w14:textId="77777777">
      <w:pPr>
        <w:tabs>
          <w:tab w:val="left" w:pos="4320"/>
        </w:tabs>
        <w:ind w:firstLine="3960"/>
        <w:rPr>
          <w:szCs w:val="24"/>
        </w:rPr>
      </w:pPr>
      <w:r>
        <w:rPr>
          <w:szCs w:val="24"/>
        </w:rPr>
        <w:t>Assistant Consumers’ Counsel</w:t>
      </w:r>
    </w:p>
    <w:p w:rsidR="00CB2818" w:rsidP="00CB2818" w14:paraId="64ECC1CA" w14:textId="77777777">
      <w:pPr>
        <w:pStyle w:val="Heading1"/>
        <w:ind w:right="-648" w:firstLine="3960"/>
        <w:rPr>
          <w:u w:val="none"/>
        </w:rPr>
      </w:pPr>
    </w:p>
    <w:p w:rsidR="00CB2818" w:rsidP="00CB2818" w14:paraId="69D34B5B" w14:textId="77777777">
      <w:pPr>
        <w:pStyle w:val="Heading1"/>
        <w:ind w:right="-648" w:firstLine="3960"/>
        <w:rPr>
          <w:u w:val="none"/>
        </w:rPr>
      </w:pPr>
      <w:r>
        <w:rPr>
          <w:u w:val="none"/>
        </w:rPr>
        <w:t>Office of the Ohio Consumers’ Counsel</w:t>
      </w:r>
    </w:p>
    <w:p w:rsidR="00CB2818" w:rsidP="00CB2818" w14:paraId="69FECE41" w14:textId="77777777">
      <w:pPr>
        <w:pStyle w:val="Heading1"/>
        <w:ind w:right="-648" w:firstLine="3960"/>
        <w:rPr>
          <w:b w:val="0"/>
          <w:u w:val="none"/>
        </w:rPr>
      </w:pPr>
      <w:r>
        <w:rPr>
          <w:b w:val="0"/>
          <w:u w:val="none"/>
        </w:rPr>
        <w:t>65 East State Street, 7</w:t>
      </w:r>
      <w:r w:rsidRPr="00240262">
        <w:rPr>
          <w:b w:val="0"/>
          <w:u w:val="none"/>
        </w:rPr>
        <w:t>th</w:t>
      </w:r>
      <w:r>
        <w:rPr>
          <w:b w:val="0"/>
          <w:u w:val="none"/>
        </w:rPr>
        <w:t xml:space="preserve"> Floor</w:t>
      </w:r>
    </w:p>
    <w:p w:rsidR="00CB2818" w:rsidP="00CB2818" w14:paraId="6F3B788A" w14:textId="77777777">
      <w:pPr>
        <w:pStyle w:val="Heading1"/>
        <w:ind w:right="-648" w:firstLine="3960"/>
        <w:rPr>
          <w:b w:val="0"/>
          <w:u w:val="none"/>
        </w:rPr>
      </w:pPr>
      <w:r>
        <w:rPr>
          <w:b w:val="0"/>
          <w:u w:val="none"/>
        </w:rPr>
        <w:t>Columbus, Ohio 43215</w:t>
      </w:r>
    </w:p>
    <w:p w:rsidR="00CB2818" w:rsidP="00CB2818" w14:paraId="578C39AC" w14:textId="77777777">
      <w:pPr>
        <w:autoSpaceDE w:val="0"/>
        <w:autoSpaceDN w:val="0"/>
        <w:adjustRightInd w:val="0"/>
        <w:ind w:firstLine="3960"/>
        <w:rPr>
          <w:szCs w:val="24"/>
        </w:rPr>
      </w:pPr>
      <w:r>
        <w:rPr>
          <w:szCs w:val="24"/>
        </w:rPr>
        <w:t>Telephone [Healey]: (614) 466-9571</w:t>
      </w:r>
    </w:p>
    <w:p w:rsidR="00CB2818" w:rsidP="00CB2818" w14:paraId="398D58EC" w14:textId="77777777">
      <w:pPr>
        <w:autoSpaceDE w:val="0"/>
        <w:autoSpaceDN w:val="0"/>
        <w:adjustRightInd w:val="0"/>
        <w:ind w:firstLine="3960"/>
        <w:rPr>
          <w:szCs w:val="24"/>
        </w:rPr>
      </w:pPr>
      <w:r>
        <w:rPr>
          <w:szCs w:val="24"/>
        </w:rPr>
        <w:t>Telephone [Botschner O’Brien]: (614) 466-9575</w:t>
      </w:r>
    </w:p>
    <w:p w:rsidR="00CB2818" w:rsidP="00CB2818" w14:paraId="7E991C9D" w14:textId="77777777">
      <w:pPr>
        <w:ind w:firstLine="3960"/>
        <w:rPr>
          <w:szCs w:val="24"/>
        </w:rPr>
      </w:pPr>
      <w:hyperlink r:id="rId7" w:history="1">
        <w:r w:rsidRPr="00405271" w:rsidR="00240262">
          <w:rPr>
            <w:rStyle w:val="Hyperlink"/>
            <w:szCs w:val="24"/>
          </w:rPr>
          <w:t>christopher.healey@occ.ohio.gov</w:t>
        </w:r>
      </w:hyperlink>
      <w:r w:rsidR="005A6C2C">
        <w:rPr>
          <w:szCs w:val="24"/>
        </w:rPr>
        <w:t xml:space="preserve"> </w:t>
      </w:r>
    </w:p>
    <w:p w:rsidR="00CB2818" w:rsidP="00CB2818" w14:paraId="52EBACCB" w14:textId="77777777">
      <w:pPr>
        <w:ind w:firstLine="3960"/>
        <w:rPr>
          <w:szCs w:val="24"/>
        </w:rPr>
      </w:pPr>
      <w:hyperlink r:id="rId8" w:history="1">
        <w:r w:rsidRPr="00350425" w:rsidR="005A6C2C">
          <w:rPr>
            <w:rStyle w:val="Hyperlink"/>
            <w:szCs w:val="24"/>
          </w:rPr>
          <w:t>amy.botschner.obrien@occ.ohio.gov</w:t>
        </w:r>
      </w:hyperlink>
      <w:r w:rsidR="005A6C2C">
        <w:rPr>
          <w:szCs w:val="24"/>
        </w:rPr>
        <w:t xml:space="preserve"> </w:t>
      </w:r>
    </w:p>
    <w:p w:rsidR="00CB2818" w:rsidP="00CB2818" w14:paraId="3650C808" w14:textId="77777777">
      <w:pPr>
        <w:ind w:firstLine="3960"/>
        <w:rPr>
          <w:szCs w:val="24"/>
        </w:rPr>
      </w:pPr>
      <w:r>
        <w:rPr>
          <w:szCs w:val="24"/>
        </w:rPr>
        <w:t>(willing to accept service by e-mail)</w:t>
      </w:r>
    </w:p>
    <w:p w:rsidR="00A044B5" w14:paraId="54169E0B" w14:textId="77777777">
      <w:pPr>
        <w:rPr>
          <w:szCs w:val="24"/>
        </w:rPr>
      </w:pPr>
    </w:p>
    <w:p w:rsidR="00A044B5" w14:paraId="02B9DC40" w14:textId="77777777">
      <w:pPr>
        <w:rPr>
          <w:szCs w:val="24"/>
        </w:rPr>
      </w:pPr>
    </w:p>
    <w:p w:rsidR="00A044B5" w14:paraId="2F4324F8"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3DEE0DE5" w14:textId="77777777">
      <w:pPr>
        <w:jc w:val="center"/>
        <w:rPr>
          <w:b/>
          <w:bCs/>
          <w:u w:val="single"/>
        </w:rPr>
      </w:pPr>
      <w:r>
        <w:br w:type="page"/>
      </w:r>
      <w:r>
        <w:rPr>
          <w:b/>
          <w:bCs/>
          <w:u w:val="single"/>
        </w:rPr>
        <w:t>CERTIFICATE OF SERVICE</w:t>
      </w:r>
    </w:p>
    <w:p w:rsidR="00A044B5" w14:paraId="7097E5D3" w14:textId="77777777">
      <w:pPr>
        <w:spacing w:line="480" w:lineRule="atLeast"/>
      </w:pPr>
      <w:r>
        <w:tab/>
        <w:t xml:space="preserve">I hereby certify that a copy of these Comments </w:t>
      </w:r>
      <w:r w:rsidR="00461848">
        <w:t>was</w:t>
      </w:r>
      <w:r>
        <w:t xml:space="preserve"> served on the persons stated below </w:t>
      </w:r>
      <w:r w:rsidRPr="00CF3B4F">
        <w:rPr>
          <w:iCs/>
        </w:rPr>
        <w:t>via</w:t>
      </w:r>
      <w:r w:rsidR="002A4912">
        <w:t xml:space="preserve"> electronic transmission</w:t>
      </w:r>
      <w:r>
        <w:t xml:space="preserve">, this </w:t>
      </w:r>
      <w:r w:rsidR="00162623">
        <w:t>15th</w:t>
      </w:r>
      <w:r w:rsidR="001C5735">
        <w:t xml:space="preserve"> </w:t>
      </w:r>
      <w:r>
        <w:t>day of May 20</w:t>
      </w:r>
      <w:r w:rsidR="00CF3B4F">
        <w:t>20</w:t>
      </w:r>
      <w:r>
        <w:t>.</w:t>
      </w:r>
    </w:p>
    <w:p w:rsidR="00A044B5" w14:paraId="0E58D57A" w14:textId="77777777">
      <w:pPr>
        <w:spacing w:line="480" w:lineRule="atLeast"/>
      </w:pPr>
    </w:p>
    <w:p w:rsidR="00A044B5" w:rsidRPr="00CF3B4F" w14:paraId="01026CAF" w14:textId="77777777">
      <w:pPr>
        <w:tabs>
          <w:tab w:val="left" w:pos="4320"/>
        </w:tabs>
        <w:rPr>
          <w:i/>
          <w:iCs/>
          <w:u w:val="single"/>
        </w:rPr>
      </w:pPr>
      <w:r>
        <w:tab/>
      </w:r>
      <w:r w:rsidR="00CF3B4F">
        <w:rPr>
          <w:i/>
          <w:iCs/>
          <w:u w:val="single"/>
        </w:rPr>
        <w:t>/s/ Christopher Healey</w:t>
      </w:r>
      <w:r w:rsidR="00CF3B4F">
        <w:rPr>
          <w:i/>
          <w:iCs/>
          <w:u w:val="single"/>
        </w:rPr>
        <w:tab/>
      </w:r>
      <w:r w:rsidR="00CF3B4F">
        <w:rPr>
          <w:i/>
          <w:iCs/>
          <w:u w:val="single"/>
        </w:rPr>
        <w:tab/>
      </w:r>
    </w:p>
    <w:p w:rsidR="00A044B5" w14:paraId="5510345D" w14:textId="77777777">
      <w:pPr>
        <w:tabs>
          <w:tab w:val="left" w:pos="4320"/>
        </w:tabs>
      </w:pPr>
      <w:r>
        <w:tab/>
      </w:r>
      <w:r w:rsidR="00CF3B4F">
        <w:t>Christopher Healey</w:t>
      </w:r>
    </w:p>
    <w:p w:rsidR="00A044B5" w14:paraId="69B5B5DE" w14:textId="77777777">
      <w:pPr>
        <w:tabs>
          <w:tab w:val="left" w:pos="4320"/>
        </w:tabs>
      </w:pPr>
      <w:r>
        <w:tab/>
        <w:t>Assistant Consumers’ Counsel</w:t>
      </w:r>
    </w:p>
    <w:p w:rsidR="00A044B5" w14:paraId="7B0EE208" w14:textId="77777777">
      <w:pPr>
        <w:pStyle w:val="CommentSubject"/>
      </w:pPr>
    </w:p>
    <w:p w:rsidR="00F65237" w:rsidP="00F65237" w14:paraId="05024BB0" w14:textId="77777777">
      <w:r>
        <w:t>The PUCO’s e-filing system will electronically serve notice of the filing of this document on the following parties:</w:t>
      </w:r>
    </w:p>
    <w:p w:rsidR="00A044B5" w14:paraId="441E5F4D" w14:textId="77777777">
      <w:pPr>
        <w:pStyle w:val="CommentText"/>
      </w:pPr>
    </w:p>
    <w:p w:rsidR="00A044B5" w14:paraId="5C3AE7EF" w14:textId="77777777">
      <w:pPr>
        <w:pStyle w:val="CommentText"/>
        <w:jc w:val="center"/>
        <w:rPr>
          <w:b/>
          <w:u w:val="single"/>
        </w:rPr>
      </w:pPr>
      <w:r>
        <w:rPr>
          <w:b/>
          <w:u w:val="single"/>
        </w:rPr>
        <w:t>SERVICE LIST</w:t>
      </w:r>
    </w:p>
    <w:p w:rsidR="00A044B5" w14:paraId="5AE0A94B" w14:textId="77777777">
      <w:pPr>
        <w:pStyle w:val="BodyText"/>
        <w:rPr>
          <w:b/>
          <w:bCs/>
        </w:rPr>
      </w:pPr>
    </w:p>
    <w:tbl>
      <w:tblPr>
        <w:tblW w:w="0" w:type="auto"/>
        <w:tblLook w:val="01E0"/>
      </w:tblPr>
      <w:tblGrid>
        <w:gridCol w:w="4428"/>
        <w:gridCol w:w="4428"/>
      </w:tblGrid>
      <w:tr w14:paraId="3936BE98" w14:textId="77777777" w:rsidTr="00A044B5">
        <w:tblPrEx>
          <w:tblW w:w="0" w:type="auto"/>
          <w:tblLook w:val="01E0"/>
        </w:tblPrEx>
        <w:tc>
          <w:tcPr>
            <w:tcW w:w="4428" w:type="dxa"/>
            <w:shd w:val="clear" w:color="auto" w:fill="auto"/>
          </w:tcPr>
          <w:p w:rsidR="00FF1622" w:rsidRPr="00FF1622" w:rsidP="00FF1622" w14:paraId="77CB8A8B" w14:textId="77777777">
            <w:pPr>
              <w:rPr>
                <w:color w:val="0000FF"/>
                <w:szCs w:val="24"/>
                <w:u w:val="single"/>
              </w:rPr>
            </w:pPr>
            <w:r>
              <w:rPr>
                <w:color w:val="0000FF"/>
                <w:szCs w:val="24"/>
                <w:u w:val="single"/>
              </w:rPr>
              <w:t>Andrew.shaffer</w:t>
            </w:r>
            <w:r w:rsidRPr="00FF1622" w:rsidR="005A6C2C">
              <w:rPr>
                <w:color w:val="0000FF"/>
                <w:szCs w:val="24"/>
                <w:u w:val="single"/>
              </w:rPr>
              <w:t>@ohioattorneygeneral.gov</w:t>
            </w:r>
          </w:p>
          <w:p w:rsidR="00A044B5" w:rsidRPr="00A044B5" w:rsidP="00A044B5" w14:paraId="568EF0B4" w14:textId="77777777">
            <w:pPr>
              <w:autoSpaceDE w:val="0"/>
              <w:autoSpaceDN w:val="0"/>
              <w:adjustRightInd w:val="0"/>
              <w:rPr>
                <w:bCs/>
              </w:rPr>
            </w:pPr>
          </w:p>
        </w:tc>
        <w:tc>
          <w:tcPr>
            <w:tcW w:w="4428" w:type="dxa"/>
            <w:shd w:val="clear" w:color="auto" w:fill="auto"/>
          </w:tcPr>
          <w:p w:rsidR="00A044B5" w14:paraId="44B50D1F" w14:textId="77777777">
            <w:pPr>
              <w:pStyle w:val="BodyText"/>
              <w:rPr>
                <w:bCs/>
              </w:rPr>
            </w:pPr>
            <w:hyperlink r:id="rId9" w:history="1">
              <w:r w:rsidRPr="00405271" w:rsidR="00FF1622">
                <w:rPr>
                  <w:rStyle w:val="Hyperlink"/>
                  <w:bCs/>
                </w:rPr>
                <w:t>bojko@carpenterlipps.com</w:t>
              </w:r>
            </w:hyperlink>
          </w:p>
          <w:p w:rsidR="00FF1622" w14:paraId="70C52F08" w14:textId="77777777">
            <w:pPr>
              <w:pStyle w:val="BodyText"/>
              <w:rPr>
                <w:bCs/>
              </w:rPr>
            </w:pPr>
            <w:hyperlink r:id="rId10" w:history="1">
              <w:r w:rsidRPr="00405271" w:rsidR="005A6C2C">
                <w:rPr>
                  <w:rStyle w:val="Hyperlink"/>
                  <w:bCs/>
                </w:rPr>
                <w:t>paul@carpenterlipps.com</w:t>
              </w:r>
            </w:hyperlink>
          </w:p>
          <w:p w:rsidR="00FF1622" w:rsidRPr="00A044B5" w14:paraId="57AA3EC4" w14:textId="77777777">
            <w:pPr>
              <w:pStyle w:val="BodyText"/>
              <w:rPr>
                <w:bCs/>
              </w:rPr>
            </w:pPr>
          </w:p>
        </w:tc>
      </w:tr>
      <w:tr w14:paraId="5F9F1F64" w14:textId="77777777" w:rsidTr="00A044B5">
        <w:tblPrEx>
          <w:tblW w:w="0" w:type="auto"/>
          <w:tblLook w:val="01E0"/>
        </w:tblPrEx>
        <w:tc>
          <w:tcPr>
            <w:tcW w:w="4428" w:type="dxa"/>
            <w:shd w:val="clear" w:color="auto" w:fill="auto"/>
          </w:tcPr>
          <w:p w:rsidR="00A044B5" w14:paraId="043A9B73" w14:textId="01D87D68">
            <w:r>
              <w:rPr>
                <w:szCs w:val="24"/>
              </w:rPr>
              <w:t>A</w:t>
            </w:r>
            <w:r>
              <w:t>ttorney Examiner:</w:t>
            </w:r>
          </w:p>
          <w:p w:rsidR="0090310D" w14:paraId="694FBCE5" w14:textId="77777777"/>
          <w:p w:rsidR="00FF1622" w:rsidRPr="00FF1622" w:rsidP="00FF1622" w14:paraId="576A302A" w14:textId="77777777">
            <w:pPr>
              <w:spacing w:line="259" w:lineRule="auto"/>
              <w:rPr>
                <w:color w:val="0000FF"/>
                <w:szCs w:val="24"/>
                <w:u w:val="single"/>
              </w:rPr>
            </w:pPr>
            <w:r w:rsidRPr="00FF1622">
              <w:rPr>
                <w:color w:val="0000FF"/>
                <w:szCs w:val="24"/>
                <w:u w:val="single"/>
              </w:rPr>
              <w:t>Anna.sanyal@puco.ohio.gov</w:t>
            </w:r>
          </w:p>
          <w:p w:rsidR="00FF1622" w14:paraId="1FC6AD9A" w14:textId="77777777">
            <w:pPr>
              <w:rPr>
                <w:szCs w:val="24"/>
              </w:rPr>
            </w:pPr>
          </w:p>
          <w:p w:rsidR="00FF1622" w:rsidRPr="00A044B5" w14:paraId="23FEA777" w14:textId="77777777">
            <w:pPr>
              <w:rPr>
                <w:szCs w:val="24"/>
              </w:rPr>
            </w:pPr>
          </w:p>
        </w:tc>
        <w:tc>
          <w:tcPr>
            <w:tcW w:w="4428" w:type="dxa"/>
            <w:shd w:val="clear" w:color="auto" w:fill="auto"/>
          </w:tcPr>
          <w:p w:rsidR="00A044B5" w:rsidRPr="00A044B5" w14:paraId="7B6B54BF" w14:textId="77777777">
            <w:pPr>
              <w:rPr>
                <w:bCs/>
              </w:rPr>
            </w:pPr>
          </w:p>
        </w:tc>
      </w:tr>
    </w:tbl>
    <w:p w:rsidR="00A044B5" w14:paraId="768430D7" w14:textId="77777777">
      <w:pPr>
        <w:pStyle w:val="BodyText"/>
        <w:rPr>
          <w:b/>
          <w:bCs/>
        </w:rPr>
      </w:pPr>
    </w:p>
    <w:sectPr w:rsidSect="00162623">
      <w:footerReference w:type="default" r:id="rId11"/>
      <w:footerReference w:type="first" r:id="rId12"/>
      <w:pgSz w:w="12240" w:h="15840"/>
      <w:pgMar w:top="1440" w:right="1800" w:bottom="1440" w:left="180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623" w:rsidRPr="00162623" w14:paraId="608B5F0B" w14:textId="12524D96">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53966"/>
      <w:docPartObj>
        <w:docPartGallery w:val="Page Numbers (Bottom of Page)"/>
        <w:docPartUnique/>
      </w:docPartObj>
    </w:sdtPr>
    <w:sdtEndPr>
      <w:rPr>
        <w:noProof/>
        <w:sz w:val="24"/>
        <w:szCs w:val="24"/>
      </w:rPr>
    </w:sdtEndPr>
    <w:sdtContent>
      <w:p w:rsidR="0090310D" w:rsidRPr="0090310D" w14:paraId="11C6D667" w14:textId="0D7298A6">
        <w:pPr>
          <w:pStyle w:val="Footer"/>
          <w:jc w:val="center"/>
          <w:rPr>
            <w:sz w:val="24"/>
            <w:szCs w:val="24"/>
          </w:rPr>
        </w:pPr>
        <w:r w:rsidRPr="0090310D">
          <w:rPr>
            <w:sz w:val="24"/>
            <w:szCs w:val="24"/>
          </w:rPr>
          <w:fldChar w:fldCharType="begin"/>
        </w:r>
        <w:r w:rsidRPr="0090310D">
          <w:rPr>
            <w:sz w:val="24"/>
            <w:szCs w:val="24"/>
          </w:rPr>
          <w:instrText xml:space="preserve"> PAGE   \* MERGEFORMAT </w:instrText>
        </w:r>
        <w:r w:rsidRPr="0090310D">
          <w:rPr>
            <w:sz w:val="24"/>
            <w:szCs w:val="24"/>
          </w:rPr>
          <w:fldChar w:fldCharType="separate"/>
        </w:r>
        <w:r w:rsidRPr="0090310D">
          <w:rPr>
            <w:noProof/>
            <w:sz w:val="24"/>
            <w:szCs w:val="24"/>
          </w:rPr>
          <w:t>2</w:t>
        </w:r>
        <w:r w:rsidRPr="0090310D">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4148519"/>
      <w:docPartObj>
        <w:docPartGallery w:val="Page Numbers (Bottom of Page)"/>
        <w:docPartUnique/>
      </w:docPartObj>
    </w:sdtPr>
    <w:sdtEndPr>
      <w:rPr>
        <w:noProof/>
        <w:sz w:val="24"/>
        <w:szCs w:val="24"/>
      </w:rPr>
    </w:sdtEndPr>
    <w:sdtContent>
      <w:p w:rsidR="0090310D" w:rsidRPr="0090310D" w14:paraId="455390A9" w14:textId="2FDC5782">
        <w:pPr>
          <w:pStyle w:val="Footer"/>
          <w:jc w:val="center"/>
          <w:rPr>
            <w:sz w:val="24"/>
            <w:szCs w:val="24"/>
          </w:rPr>
        </w:pPr>
        <w:r w:rsidRPr="0090310D">
          <w:rPr>
            <w:sz w:val="24"/>
            <w:szCs w:val="24"/>
          </w:rPr>
          <w:fldChar w:fldCharType="begin"/>
        </w:r>
        <w:r w:rsidRPr="0090310D">
          <w:rPr>
            <w:sz w:val="24"/>
            <w:szCs w:val="24"/>
          </w:rPr>
          <w:instrText xml:space="preserve"> PAGE   \* MERGEFORMAT </w:instrText>
        </w:r>
        <w:r w:rsidRPr="0090310D">
          <w:rPr>
            <w:sz w:val="24"/>
            <w:szCs w:val="24"/>
          </w:rPr>
          <w:fldChar w:fldCharType="separate"/>
        </w:r>
        <w:r w:rsidRPr="0090310D">
          <w:rPr>
            <w:noProof/>
            <w:sz w:val="24"/>
            <w:szCs w:val="24"/>
          </w:rPr>
          <w:t>2</w:t>
        </w:r>
        <w:r w:rsidRPr="0090310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052F" w14:paraId="4852AF6D" w14:textId="77777777">
      <w:r>
        <w:separator/>
      </w:r>
    </w:p>
  </w:footnote>
  <w:footnote w:type="continuationSeparator" w:id="1">
    <w:p w:rsidR="00FD052F" w14:paraId="2F151142" w14:textId="77777777">
      <w:r>
        <w:continuationSeparator/>
      </w:r>
    </w:p>
  </w:footnote>
  <w:footnote w:id="2">
    <w:p w:rsidR="005A6C2C" w:rsidRPr="0036539D" w:rsidP="00A51E0F" w14:paraId="23D5F935" w14:textId="77777777">
      <w:pPr>
        <w:pStyle w:val="FootnoteText"/>
        <w:spacing w:after="120"/>
      </w:pPr>
      <w:r>
        <w:rPr>
          <w:rStyle w:val="FootnoteReference"/>
        </w:rPr>
        <w:footnoteRef/>
      </w:r>
      <w:r>
        <w:t xml:space="preserve"> </w:t>
      </w:r>
      <w:r>
        <w:rPr>
          <w:i/>
        </w:rPr>
        <w:t>See</w:t>
      </w:r>
      <w:r>
        <w:t xml:space="preserve"> </w:t>
      </w:r>
      <w:r w:rsidR="0036539D">
        <w:t>Application (Jan. 10, 2020); Staff Review and Recommendation (Apr. 6, 2020).</w:t>
      </w:r>
    </w:p>
  </w:footnote>
  <w:footnote w:id="3">
    <w:p w:rsidR="00112A28" w:rsidRPr="00112A28" w:rsidP="00A51E0F" w14:paraId="62C6196E" w14:textId="77777777">
      <w:pPr>
        <w:pStyle w:val="FootnoteText"/>
        <w:spacing w:after="120"/>
      </w:pPr>
      <w:r>
        <w:rPr>
          <w:rStyle w:val="FootnoteReference"/>
        </w:rPr>
        <w:footnoteRef/>
      </w:r>
      <w:r>
        <w:t xml:space="preserve"> </w:t>
      </w:r>
      <w:r>
        <w:rPr>
          <w:i/>
        </w:rPr>
        <w:t>In re the Commission’s Investigation of the Financial Impact of the Tax Cuts &amp; Jobs Act of 2017 on Regulated Ohio Utility Cos.</w:t>
      </w:r>
      <w:r>
        <w:t>, Case No. 18-47-AU-COI, Finding &amp; Order (Oct. 24, 2018).</w:t>
      </w:r>
    </w:p>
  </w:footnote>
  <w:footnote w:id="4">
    <w:p w:rsidR="00112A28" w:rsidP="00A51E0F" w14:paraId="64CA6D1F" w14:textId="77777777">
      <w:pPr>
        <w:pStyle w:val="FootnoteText"/>
        <w:spacing w:after="120"/>
      </w:pPr>
      <w:r>
        <w:rPr>
          <w:rStyle w:val="FootnoteReference"/>
        </w:rPr>
        <w:footnoteRef/>
      </w:r>
      <w:r>
        <w:t xml:space="preserve"> Suburban’s new base rates do use the new tax rate under the 2017 Tax Cuts, but the case did nothing to resolve the return of EDIT or the stub period.</w:t>
      </w:r>
    </w:p>
  </w:footnote>
  <w:footnote w:id="5">
    <w:p w:rsidR="00112A28" w:rsidP="00A51E0F" w14:paraId="44C92823" w14:textId="77777777">
      <w:pPr>
        <w:pStyle w:val="FootnoteText"/>
        <w:spacing w:after="120"/>
      </w:pPr>
      <w:r>
        <w:rPr>
          <w:rStyle w:val="FootnoteReference"/>
        </w:rPr>
        <w:footnoteRef/>
      </w:r>
      <w:r>
        <w:t xml:space="preserve"> Case No. 18-1205-GA-AIR, Stipulation and Recommendation at 13 (May 23, 2019).</w:t>
      </w:r>
    </w:p>
  </w:footnote>
  <w:footnote w:id="6">
    <w:p w:rsidR="0064583F" w:rsidP="00A51E0F" w14:paraId="74159370" w14:textId="77777777">
      <w:pPr>
        <w:pStyle w:val="FootnoteText"/>
        <w:spacing w:after="120"/>
      </w:pPr>
      <w:r>
        <w:rPr>
          <w:rStyle w:val="FootnoteReference"/>
        </w:rPr>
        <w:footnoteRef/>
      </w:r>
      <w:r>
        <w:t xml:space="preserve"> Staff Recommendation at 4.</w:t>
      </w:r>
    </w:p>
  </w:footnote>
  <w:footnote w:id="7">
    <w:p w:rsidR="00D73097" w:rsidRPr="00D73097" w:rsidP="00A51E0F" w14:paraId="7AC62FE3" w14:textId="77777777">
      <w:pPr>
        <w:pStyle w:val="FootnoteText"/>
        <w:spacing w:after="120"/>
        <w:rPr>
          <w:i/>
        </w:rPr>
      </w:pPr>
      <w:r>
        <w:rPr>
          <w:rStyle w:val="FootnoteReference"/>
        </w:rPr>
        <w:footnoteRef/>
      </w:r>
      <w:r>
        <w:t xml:space="preserve"> </w:t>
      </w:r>
      <w:r>
        <w:rPr>
          <w:i/>
        </w:rPr>
        <w:t xml:space="preserve">See, e.g., </w:t>
      </w:r>
      <w:r>
        <w:t>Case No. 18-1841-ST-UNC, Finding &amp; Order (Dec. 18, 2019) (Aqua Wastewater); Case No. 18-1843-WW-UNC, Finding &amp; Order (Dec. 18, 2019) (Aqua Ohio); Case No. 18-1185-EL-UNC (Duke electric).</w:t>
      </w:r>
    </w:p>
  </w:footnote>
  <w:footnote w:id="8">
    <w:p w:rsidR="005F705C" w:rsidP="00A51E0F" w14:paraId="20280F94" w14:textId="77777777">
      <w:pPr>
        <w:pStyle w:val="FootnoteText"/>
        <w:spacing w:after="120"/>
      </w:pPr>
      <w:r>
        <w:rPr>
          <w:rStyle w:val="FootnoteReference"/>
        </w:rPr>
        <w:footnoteRef/>
      </w:r>
      <w:r>
        <w:t xml:space="preserve"> Staff Recommendation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2"/>
    <w:rsid w:val="0005361A"/>
    <w:rsid w:val="00071B33"/>
    <w:rsid w:val="00082870"/>
    <w:rsid w:val="000B50D7"/>
    <w:rsid w:val="000D7A1C"/>
    <w:rsid w:val="00112A28"/>
    <w:rsid w:val="0011406A"/>
    <w:rsid w:val="00162623"/>
    <w:rsid w:val="001A05CC"/>
    <w:rsid w:val="001C164D"/>
    <w:rsid w:val="001C5735"/>
    <w:rsid w:val="001D0897"/>
    <w:rsid w:val="00212E37"/>
    <w:rsid w:val="00240262"/>
    <w:rsid w:val="00270856"/>
    <w:rsid w:val="00272EE7"/>
    <w:rsid w:val="0029396D"/>
    <w:rsid w:val="002A4912"/>
    <w:rsid w:val="002B1FC3"/>
    <w:rsid w:val="002D4588"/>
    <w:rsid w:val="0031242C"/>
    <w:rsid w:val="003137AD"/>
    <w:rsid w:val="00350425"/>
    <w:rsid w:val="0036539D"/>
    <w:rsid w:val="003B2976"/>
    <w:rsid w:val="003B7CA8"/>
    <w:rsid w:val="003E0827"/>
    <w:rsid w:val="003F0FBF"/>
    <w:rsid w:val="003F6A99"/>
    <w:rsid w:val="00405271"/>
    <w:rsid w:val="00420DEC"/>
    <w:rsid w:val="00453AAF"/>
    <w:rsid w:val="00461848"/>
    <w:rsid w:val="00476981"/>
    <w:rsid w:val="004A2268"/>
    <w:rsid w:val="004D5268"/>
    <w:rsid w:val="004D6329"/>
    <w:rsid w:val="00512B71"/>
    <w:rsid w:val="0051520D"/>
    <w:rsid w:val="005270F0"/>
    <w:rsid w:val="0055107B"/>
    <w:rsid w:val="005A3E5D"/>
    <w:rsid w:val="005A6744"/>
    <w:rsid w:val="005A6C2C"/>
    <w:rsid w:val="005B6FD6"/>
    <w:rsid w:val="005C003D"/>
    <w:rsid w:val="005F1F0D"/>
    <w:rsid w:val="005F6A1A"/>
    <w:rsid w:val="005F705C"/>
    <w:rsid w:val="005F7ED1"/>
    <w:rsid w:val="0062108F"/>
    <w:rsid w:val="00641070"/>
    <w:rsid w:val="0064583F"/>
    <w:rsid w:val="00657372"/>
    <w:rsid w:val="00671040"/>
    <w:rsid w:val="00692E43"/>
    <w:rsid w:val="006C5841"/>
    <w:rsid w:val="006E6F90"/>
    <w:rsid w:val="006F6C88"/>
    <w:rsid w:val="00706689"/>
    <w:rsid w:val="00730C0C"/>
    <w:rsid w:val="0073211A"/>
    <w:rsid w:val="00735B75"/>
    <w:rsid w:val="00760DE9"/>
    <w:rsid w:val="00796ABE"/>
    <w:rsid w:val="007A070F"/>
    <w:rsid w:val="007B095A"/>
    <w:rsid w:val="007F0162"/>
    <w:rsid w:val="00845338"/>
    <w:rsid w:val="00865D62"/>
    <w:rsid w:val="008764B1"/>
    <w:rsid w:val="008A7BCA"/>
    <w:rsid w:val="008D3A4F"/>
    <w:rsid w:val="008E7A7D"/>
    <w:rsid w:val="008F4272"/>
    <w:rsid w:val="0090310D"/>
    <w:rsid w:val="00921B3B"/>
    <w:rsid w:val="00937ED3"/>
    <w:rsid w:val="00945610"/>
    <w:rsid w:val="009512E6"/>
    <w:rsid w:val="00992E47"/>
    <w:rsid w:val="009B6D8B"/>
    <w:rsid w:val="009B79D5"/>
    <w:rsid w:val="00A044B5"/>
    <w:rsid w:val="00A51E0F"/>
    <w:rsid w:val="00A5514C"/>
    <w:rsid w:val="00A73985"/>
    <w:rsid w:val="00A76BB1"/>
    <w:rsid w:val="00AB6E59"/>
    <w:rsid w:val="00AC102B"/>
    <w:rsid w:val="00AD135E"/>
    <w:rsid w:val="00AD263A"/>
    <w:rsid w:val="00AE437E"/>
    <w:rsid w:val="00BA335C"/>
    <w:rsid w:val="00BC7AB9"/>
    <w:rsid w:val="00BE29CC"/>
    <w:rsid w:val="00BF1FE3"/>
    <w:rsid w:val="00C6286A"/>
    <w:rsid w:val="00C910AC"/>
    <w:rsid w:val="00CA3F81"/>
    <w:rsid w:val="00CB2818"/>
    <w:rsid w:val="00CC3782"/>
    <w:rsid w:val="00CD4CD1"/>
    <w:rsid w:val="00CF3B4F"/>
    <w:rsid w:val="00D35768"/>
    <w:rsid w:val="00D55177"/>
    <w:rsid w:val="00D57504"/>
    <w:rsid w:val="00D73097"/>
    <w:rsid w:val="00D74BAB"/>
    <w:rsid w:val="00DC0326"/>
    <w:rsid w:val="00DD4E31"/>
    <w:rsid w:val="00DE3BDA"/>
    <w:rsid w:val="00E444D2"/>
    <w:rsid w:val="00E50A97"/>
    <w:rsid w:val="00E75D2C"/>
    <w:rsid w:val="00E95E42"/>
    <w:rsid w:val="00EF1AC4"/>
    <w:rsid w:val="00EF3AD6"/>
    <w:rsid w:val="00F1341B"/>
    <w:rsid w:val="00F57301"/>
    <w:rsid w:val="00F65237"/>
    <w:rsid w:val="00F661B9"/>
    <w:rsid w:val="00F83B55"/>
    <w:rsid w:val="00FC4CAE"/>
    <w:rsid w:val="00FD052F"/>
    <w:rsid w:val="00FD12B3"/>
    <w:rsid w:val="00FD71C7"/>
    <w:rsid w:val="00FE05A8"/>
    <w:rsid w:val="00FF16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A"/>
    <w:rPr>
      <w:sz w:val="24"/>
    </w:rPr>
  </w:style>
  <w:style w:type="paragraph" w:styleId="Heading1">
    <w:name w:val="heading 1"/>
    <w:basedOn w:val="Normal"/>
    <w:next w:val="Normal"/>
    <w:qFormat/>
    <w:rsid w:val="000D7A1C"/>
    <w:pPr>
      <w:keepNext/>
      <w:outlineLvl w:val="0"/>
    </w:pPr>
    <w:rPr>
      <w:b/>
      <w:szCs w:val="24"/>
      <w:u w:val="single"/>
    </w:rPr>
  </w:style>
  <w:style w:type="paragraph" w:styleId="Heading2">
    <w:name w:val="heading 2"/>
    <w:basedOn w:val="Normal"/>
    <w:next w:val="Normal"/>
    <w:qFormat/>
    <w:rsid w:val="000D7A1C"/>
    <w:pPr>
      <w:keepNext/>
      <w:tabs>
        <w:tab w:val="left" w:pos="4320"/>
      </w:tabs>
      <w:jc w:val="center"/>
      <w:outlineLvl w:val="1"/>
    </w:pPr>
    <w:rPr>
      <w:b/>
    </w:rPr>
  </w:style>
  <w:style w:type="paragraph" w:styleId="Heading3">
    <w:name w:val="heading 3"/>
    <w:basedOn w:val="Normal"/>
    <w:next w:val="Normal"/>
    <w:qFormat/>
    <w:rsid w:val="000D7A1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D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0D7A1C"/>
    <w:pPr>
      <w:tabs>
        <w:tab w:val="center" w:pos="4320"/>
        <w:tab w:val="right" w:pos="8640"/>
      </w:tabs>
    </w:pPr>
    <w:rPr>
      <w:sz w:val="20"/>
    </w:rPr>
  </w:style>
  <w:style w:type="character" w:styleId="Hyperlink">
    <w:name w:val="Hyperlink"/>
    <w:rsid w:val="000D7A1C"/>
    <w:rPr>
      <w:color w:val="0000FF"/>
      <w:u w:val="single"/>
    </w:rPr>
  </w:style>
  <w:style w:type="paragraph" w:styleId="FootnoteText">
    <w:name w:val="footnote text"/>
    <w:basedOn w:val="Normal"/>
    <w:semiHidden/>
    <w:rsid w:val="000D7A1C"/>
    <w:rPr>
      <w:sz w:val="20"/>
    </w:rPr>
  </w:style>
  <w:style w:type="character" w:styleId="FootnoteReference">
    <w:name w:val="footnote reference"/>
    <w:semiHidden/>
    <w:rsid w:val="000D7A1C"/>
    <w:rPr>
      <w:vertAlign w:val="superscript"/>
    </w:rPr>
  </w:style>
  <w:style w:type="paragraph" w:styleId="BodyTextIndent">
    <w:name w:val="Body Text Indent"/>
    <w:basedOn w:val="Normal"/>
    <w:rsid w:val="000D7A1C"/>
    <w:pPr>
      <w:spacing w:line="480" w:lineRule="auto"/>
      <w:ind w:firstLine="720"/>
    </w:pPr>
  </w:style>
  <w:style w:type="paragraph" w:styleId="BodyTextIndent3">
    <w:name w:val="Body Text Indent 3"/>
    <w:basedOn w:val="Normal"/>
    <w:rsid w:val="000D7A1C"/>
    <w:pPr>
      <w:spacing w:line="480" w:lineRule="atLeast"/>
      <w:ind w:firstLine="720"/>
    </w:pPr>
  </w:style>
  <w:style w:type="paragraph" w:styleId="BodyTextIndent2">
    <w:name w:val="Body Text Indent 2"/>
    <w:basedOn w:val="Normal"/>
    <w:rsid w:val="000D7A1C"/>
    <w:pPr>
      <w:tabs>
        <w:tab w:val="left" w:pos="720"/>
      </w:tabs>
      <w:spacing w:before="240" w:after="240"/>
      <w:ind w:left="1464" w:hanging="744"/>
    </w:pPr>
  </w:style>
  <w:style w:type="character" w:styleId="PageNumber">
    <w:name w:val="page number"/>
    <w:basedOn w:val="DefaultParagraphFont"/>
    <w:rsid w:val="000D7A1C"/>
  </w:style>
  <w:style w:type="paragraph" w:styleId="BodyText">
    <w:name w:val="Body Text"/>
    <w:basedOn w:val="Normal"/>
    <w:rsid w:val="000D7A1C"/>
    <w:pPr>
      <w:jc w:val="both"/>
    </w:pPr>
  </w:style>
  <w:style w:type="paragraph" w:styleId="BlockText">
    <w:name w:val="Block Text"/>
    <w:basedOn w:val="Normal"/>
    <w:rsid w:val="000D7A1C"/>
    <w:pPr>
      <w:ind w:left="1440" w:right="720"/>
    </w:pPr>
  </w:style>
  <w:style w:type="paragraph" w:styleId="EndnoteText">
    <w:name w:val="endnote text"/>
    <w:basedOn w:val="Normal"/>
    <w:semiHidden/>
    <w:rsid w:val="000D7A1C"/>
    <w:rPr>
      <w:sz w:val="20"/>
    </w:rPr>
  </w:style>
  <w:style w:type="character" w:styleId="EndnoteReference">
    <w:name w:val="endnote reference"/>
    <w:semiHidden/>
    <w:rsid w:val="000D7A1C"/>
    <w:rPr>
      <w:vertAlign w:val="superscript"/>
    </w:rPr>
  </w:style>
  <w:style w:type="paragraph" w:styleId="BodyText2">
    <w:name w:val="Body Text 2"/>
    <w:basedOn w:val="Normal"/>
    <w:rsid w:val="000D7A1C"/>
    <w:pPr>
      <w:spacing w:line="480" w:lineRule="auto"/>
      <w:ind w:right="1440"/>
    </w:pPr>
  </w:style>
  <w:style w:type="paragraph" w:styleId="Header">
    <w:name w:val="header"/>
    <w:basedOn w:val="Normal"/>
    <w:rsid w:val="000D7A1C"/>
    <w:pPr>
      <w:tabs>
        <w:tab w:val="center" w:pos="4320"/>
        <w:tab w:val="right" w:pos="8640"/>
      </w:tabs>
    </w:pPr>
  </w:style>
  <w:style w:type="paragraph" w:styleId="BalloonText">
    <w:name w:val="Balloon Text"/>
    <w:basedOn w:val="Normal"/>
    <w:semiHidden/>
    <w:rsid w:val="000D7A1C"/>
    <w:rPr>
      <w:rFonts w:ascii="Lucida Grande" w:hAnsi="Lucida Grande"/>
      <w:sz w:val="18"/>
      <w:szCs w:val="18"/>
    </w:rPr>
  </w:style>
  <w:style w:type="character" w:styleId="CommentReference">
    <w:name w:val="annotation reference"/>
    <w:semiHidden/>
    <w:rsid w:val="000D7A1C"/>
    <w:rPr>
      <w:sz w:val="18"/>
    </w:rPr>
  </w:style>
  <w:style w:type="paragraph" w:styleId="CommentText">
    <w:name w:val="annotation text"/>
    <w:basedOn w:val="Normal"/>
    <w:semiHidden/>
    <w:rsid w:val="000D7A1C"/>
    <w:rPr>
      <w:szCs w:val="24"/>
    </w:rPr>
  </w:style>
  <w:style w:type="paragraph" w:styleId="CommentSubject">
    <w:name w:val="annotation subject"/>
    <w:basedOn w:val="CommentText"/>
    <w:next w:val="CommentText"/>
    <w:semiHidden/>
    <w:rsid w:val="000D7A1C"/>
    <w:rPr>
      <w:szCs w:val="20"/>
    </w:rPr>
  </w:style>
  <w:style w:type="character" w:styleId="FollowedHyperlink">
    <w:name w:val="FollowedHyperlink"/>
    <w:rsid w:val="000D7A1C"/>
    <w:rPr>
      <w:color w:val="800080"/>
      <w:u w:val="single"/>
    </w:rPr>
  </w:style>
  <w:style w:type="character" w:customStyle="1" w:styleId="term1">
    <w:name w:val="term1"/>
    <w:rsid w:val="000D7A1C"/>
    <w:rPr>
      <w:b/>
      <w:bCs/>
    </w:rPr>
  </w:style>
  <w:style w:type="table" w:styleId="TableGrid">
    <w:name w:val="Table Grid"/>
    <w:basedOn w:val="TableNormal"/>
    <w:rsid w:val="000D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0D7A1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CB2818"/>
    <w:rPr>
      <w:color w:val="605E5C"/>
      <w:shd w:val="clear" w:color="auto" w:fill="E1DFDD"/>
    </w:rPr>
  </w:style>
  <w:style w:type="character" w:customStyle="1" w:styleId="FooterChar">
    <w:name w:val="Footer Char"/>
    <w:basedOn w:val="DefaultParagraphFont"/>
    <w:link w:val="Footer"/>
    <w:uiPriority w:val="99"/>
    <w:rsid w:val="00071B33"/>
  </w:style>
  <w:style w:type="character" w:customStyle="1" w:styleId="HTMLPreformattedChar">
    <w:name w:val="HTML Preformatted Char"/>
    <w:basedOn w:val="DefaultParagraphFont"/>
    <w:link w:val="HTMLPreformatted"/>
    <w:rsid w:val="005F6A1A"/>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aul@carpenterlipps.com" TargetMode="Externa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christopher.healey@occ.ohio.gov" TargetMode="External" /><Relationship Id="rId8" Type="http://schemas.openxmlformats.org/officeDocument/2006/relationships/hyperlink" Target="mailto:amy.botschner.obrien@occ.ohio.gov" TargetMode="External" /><Relationship Id="rId9" Type="http://schemas.openxmlformats.org/officeDocument/2006/relationships/hyperlink" Target="mailto:bojko@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64C1-A1A1-495A-AD18-A8852AEA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2020-05-15T14:11:11Z</dcterms:created>
  <dcterms:modified xsi:type="dcterms:W3CDTF">2020-05-15T14:11:11Z</dcterms:modified>
</cp:coreProperties>
</file>