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5D70" w14:textId="77777777" w:rsidR="00594D18" w:rsidRDefault="00594D18" w:rsidP="00594D18">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14:paraId="19397B57" w14:textId="77777777" w:rsidR="00594D18" w:rsidRDefault="00594D18" w:rsidP="00594D18">
      <w:pPr>
        <w:pStyle w:val="HTMLPreformatted"/>
        <w:jc w:val="center"/>
        <w:rPr>
          <w:rFonts w:ascii="Times New Roman" w:hAnsi="Times New Roman"/>
          <w:sz w:val="24"/>
        </w:rPr>
      </w:pPr>
      <w:r>
        <w:rPr>
          <w:rFonts w:ascii="Times New Roman" w:hAnsi="Times New Roman"/>
          <w:b/>
          <w:bCs/>
          <w:sz w:val="24"/>
        </w:rPr>
        <w:t>THE PUBLIC UTILITIES COMMISSION OF OHIO</w:t>
      </w:r>
    </w:p>
    <w:p w14:paraId="4D3D706D" w14:textId="77777777" w:rsidR="00594D18" w:rsidRDefault="00594D18" w:rsidP="00594D18">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594D18" w14:paraId="5EBBE681" w14:textId="77777777" w:rsidTr="0006318A">
        <w:trPr>
          <w:trHeight w:val="807"/>
        </w:trPr>
        <w:tc>
          <w:tcPr>
            <w:tcW w:w="4332" w:type="dxa"/>
            <w:shd w:val="clear" w:color="auto" w:fill="auto"/>
          </w:tcPr>
          <w:p w14:paraId="490EEBCD" w14:textId="77777777" w:rsidR="00594D18" w:rsidRDefault="00594D18" w:rsidP="0006318A">
            <w:pPr>
              <w:pStyle w:val="HTMLPreformatted"/>
              <w:rPr>
                <w:rFonts w:ascii="Times New Roman" w:hAnsi="Times New Roman"/>
                <w:sz w:val="24"/>
                <w:szCs w:val="24"/>
              </w:rPr>
            </w:pPr>
            <w:r w:rsidRPr="0002591D">
              <w:rPr>
                <w:rFonts w:ascii="Times New Roman" w:hAnsi="Times New Roman" w:cs="Times New Roman"/>
                <w:sz w:val="24"/>
                <w:szCs w:val="24"/>
              </w:rPr>
              <w:t xml:space="preserve">In the </w:t>
            </w:r>
            <w:r>
              <w:rPr>
                <w:rFonts w:ascii="Times New Roman" w:hAnsi="Times New Roman" w:cs="Times New Roman"/>
                <w:sz w:val="24"/>
                <w:szCs w:val="24"/>
              </w:rPr>
              <w:t>M</w:t>
            </w:r>
            <w:r w:rsidRPr="0002591D">
              <w:rPr>
                <w:rFonts w:ascii="Times New Roman" w:hAnsi="Times New Roman" w:cs="Times New Roman"/>
                <w:sz w:val="24"/>
                <w:szCs w:val="24"/>
              </w:rPr>
              <w:t xml:space="preserve">atter of the </w:t>
            </w:r>
            <w:r>
              <w:rPr>
                <w:rFonts w:ascii="Times New Roman" w:hAnsi="Times New Roman" w:cs="Times New Roman"/>
                <w:sz w:val="24"/>
                <w:szCs w:val="24"/>
              </w:rPr>
              <w:t xml:space="preserve">Commission’s Review of Customer Rate Impacts from Ohio Power Company’s Transition to Market Based Rates. </w:t>
            </w:r>
          </w:p>
        </w:tc>
        <w:tc>
          <w:tcPr>
            <w:tcW w:w="360" w:type="dxa"/>
            <w:shd w:val="clear" w:color="auto" w:fill="auto"/>
          </w:tcPr>
          <w:p w14:paraId="5C78E805" w14:textId="77777777" w:rsidR="00594D18" w:rsidRDefault="00594D18" w:rsidP="0006318A">
            <w:pPr>
              <w:pStyle w:val="HTMLPreformatted"/>
              <w:rPr>
                <w:rFonts w:ascii="Times New Roman" w:hAnsi="Times New Roman"/>
                <w:sz w:val="24"/>
              </w:rPr>
            </w:pPr>
            <w:r>
              <w:rPr>
                <w:rFonts w:ascii="Times New Roman" w:hAnsi="Times New Roman"/>
                <w:sz w:val="24"/>
              </w:rPr>
              <w:t>)</w:t>
            </w:r>
          </w:p>
          <w:p w14:paraId="2569EBC6" w14:textId="77777777" w:rsidR="00594D18" w:rsidRDefault="00594D18" w:rsidP="0006318A">
            <w:pPr>
              <w:pStyle w:val="HTMLPreformatted"/>
              <w:rPr>
                <w:rFonts w:ascii="Times New Roman" w:hAnsi="Times New Roman"/>
                <w:sz w:val="24"/>
              </w:rPr>
            </w:pPr>
            <w:r>
              <w:rPr>
                <w:rFonts w:ascii="Times New Roman" w:hAnsi="Times New Roman"/>
                <w:sz w:val="24"/>
              </w:rPr>
              <w:t>)</w:t>
            </w:r>
          </w:p>
          <w:p w14:paraId="6B86CA3E" w14:textId="77777777" w:rsidR="00594D18" w:rsidRDefault="00594D18" w:rsidP="0006318A">
            <w:pPr>
              <w:pStyle w:val="HTMLPreformatted"/>
              <w:rPr>
                <w:rFonts w:ascii="Times New Roman" w:hAnsi="Times New Roman"/>
                <w:sz w:val="24"/>
              </w:rPr>
            </w:pPr>
            <w:r>
              <w:rPr>
                <w:rFonts w:ascii="Times New Roman" w:hAnsi="Times New Roman"/>
                <w:sz w:val="24"/>
              </w:rPr>
              <w:t>)</w:t>
            </w:r>
          </w:p>
          <w:p w14:paraId="2D099905" w14:textId="77777777" w:rsidR="00594D18" w:rsidRDefault="00594D18" w:rsidP="0006318A">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14:paraId="64402F41" w14:textId="77777777" w:rsidR="00594D18" w:rsidRDefault="00594D18" w:rsidP="0006318A">
            <w:pPr>
              <w:pStyle w:val="HTMLPreformatted"/>
              <w:rPr>
                <w:rFonts w:ascii="Times New Roman" w:hAnsi="Times New Roman"/>
                <w:sz w:val="24"/>
              </w:rPr>
            </w:pPr>
          </w:p>
          <w:p w14:paraId="0D61B3AC" w14:textId="77777777" w:rsidR="00594D18" w:rsidRDefault="00594D18" w:rsidP="0006318A">
            <w:pPr>
              <w:pStyle w:val="HTMLPreformatted"/>
              <w:rPr>
                <w:rFonts w:ascii="Times New Roman" w:hAnsi="Times New Roman"/>
                <w:sz w:val="24"/>
              </w:rPr>
            </w:pPr>
            <w:r>
              <w:rPr>
                <w:rFonts w:ascii="Times New Roman" w:hAnsi="Times New Roman"/>
                <w:sz w:val="24"/>
              </w:rPr>
              <w:t>Case No. 13-1530-EL-UNC</w:t>
            </w:r>
          </w:p>
          <w:p w14:paraId="783685E7" w14:textId="77777777" w:rsidR="00594D18" w:rsidRDefault="00594D18" w:rsidP="0006318A">
            <w:pPr>
              <w:pStyle w:val="HTMLPreformatted"/>
              <w:rPr>
                <w:rFonts w:ascii="Times New Roman" w:hAnsi="Times New Roman"/>
                <w:sz w:val="24"/>
              </w:rPr>
            </w:pPr>
          </w:p>
        </w:tc>
      </w:tr>
    </w:tbl>
    <w:p w14:paraId="6986B8CE" w14:textId="77777777" w:rsidR="00594D18" w:rsidRDefault="00594D18" w:rsidP="00594D18">
      <w:pPr>
        <w:pStyle w:val="HTMLPreformatted"/>
        <w:rPr>
          <w:rFonts w:ascii="Times New Roman" w:hAnsi="Times New Roman"/>
          <w:sz w:val="24"/>
        </w:rPr>
      </w:pPr>
    </w:p>
    <w:p w14:paraId="706C9DC9" w14:textId="77777777" w:rsidR="00594D18" w:rsidRDefault="00594D18" w:rsidP="00594D18">
      <w:pPr>
        <w:pStyle w:val="HTMLPreformatted"/>
        <w:pBdr>
          <w:top w:val="single" w:sz="12" w:space="1" w:color="auto"/>
        </w:pBdr>
        <w:rPr>
          <w:rFonts w:ascii="Times New Roman" w:hAnsi="Times New Roman"/>
          <w:sz w:val="24"/>
        </w:rPr>
      </w:pPr>
    </w:p>
    <w:p w14:paraId="11EE17E4" w14:textId="77777777" w:rsidR="00594D18" w:rsidRDefault="00594D18" w:rsidP="00594D18">
      <w:pPr>
        <w:jc w:val="center"/>
        <w:rPr>
          <w:b/>
          <w:bCs/>
        </w:rPr>
      </w:pPr>
      <w:r>
        <w:rPr>
          <w:b/>
          <w:bCs/>
        </w:rPr>
        <w:t>COMMENTS</w:t>
      </w:r>
    </w:p>
    <w:p w14:paraId="761740A5" w14:textId="77777777" w:rsidR="00594D18" w:rsidRDefault="00594D18" w:rsidP="00594D18">
      <w:pPr>
        <w:jc w:val="center"/>
        <w:rPr>
          <w:b/>
          <w:bCs/>
        </w:rPr>
      </w:pPr>
      <w:r>
        <w:rPr>
          <w:b/>
          <w:bCs/>
        </w:rPr>
        <w:t>BY</w:t>
      </w:r>
    </w:p>
    <w:p w14:paraId="7517EA55" w14:textId="77777777" w:rsidR="00594D18" w:rsidRDefault="00594D18" w:rsidP="00594D18">
      <w:pPr>
        <w:jc w:val="center"/>
        <w:rPr>
          <w:b/>
          <w:bCs/>
        </w:rPr>
      </w:pPr>
      <w:r>
        <w:rPr>
          <w:b/>
          <w:bCs/>
        </w:rPr>
        <w:t>THE OFFICE OF THE OHIO CONSUMERS’ COUNSEL</w:t>
      </w:r>
    </w:p>
    <w:p w14:paraId="3185AA67" w14:textId="77777777" w:rsidR="00594D18" w:rsidRDefault="00594D18" w:rsidP="00594D18">
      <w:pPr>
        <w:pBdr>
          <w:bottom w:val="single" w:sz="12" w:space="1" w:color="auto"/>
        </w:pBdr>
        <w:tabs>
          <w:tab w:val="left" w:pos="4320"/>
        </w:tabs>
      </w:pPr>
    </w:p>
    <w:p w14:paraId="6FE6FE11" w14:textId="77777777" w:rsidR="00594D18" w:rsidRDefault="00594D18" w:rsidP="00594D18">
      <w:pPr>
        <w:tabs>
          <w:tab w:val="left" w:pos="4320"/>
        </w:tabs>
      </w:pPr>
    </w:p>
    <w:p w14:paraId="201F5F97" w14:textId="77777777" w:rsidR="00594D18" w:rsidRDefault="00594D18" w:rsidP="00594D18">
      <w:pPr>
        <w:pStyle w:val="Footer"/>
        <w:tabs>
          <w:tab w:val="clear" w:pos="8640"/>
          <w:tab w:val="left" w:pos="4320"/>
        </w:tabs>
        <w:spacing w:before="240"/>
        <w:rPr>
          <w:sz w:val="24"/>
          <w:szCs w:val="24"/>
        </w:rPr>
      </w:pPr>
      <w:r>
        <w:rPr>
          <w:sz w:val="24"/>
          <w:szCs w:val="24"/>
        </w:rPr>
        <w:tab/>
      </w:r>
    </w:p>
    <w:p w14:paraId="7925BE4C" w14:textId="77777777" w:rsidR="00594D18" w:rsidRDefault="00594D18" w:rsidP="00594D18">
      <w:pPr>
        <w:pStyle w:val="Footer"/>
        <w:tabs>
          <w:tab w:val="clear" w:pos="8640"/>
          <w:tab w:val="left" w:pos="4320"/>
        </w:tabs>
        <w:spacing w:before="240"/>
        <w:rPr>
          <w:sz w:val="24"/>
          <w:szCs w:val="24"/>
        </w:rPr>
      </w:pPr>
    </w:p>
    <w:p w14:paraId="38025C2D" w14:textId="77777777" w:rsidR="00594D18" w:rsidRDefault="00594D18" w:rsidP="00594D18">
      <w:pPr>
        <w:pStyle w:val="Footer"/>
        <w:tabs>
          <w:tab w:val="clear" w:pos="8640"/>
          <w:tab w:val="left" w:pos="4320"/>
        </w:tabs>
        <w:spacing w:before="240"/>
        <w:rPr>
          <w:sz w:val="24"/>
          <w:szCs w:val="24"/>
        </w:rPr>
      </w:pPr>
    </w:p>
    <w:p w14:paraId="4D96F9D9" w14:textId="77777777" w:rsidR="00594D18" w:rsidRDefault="00594D18" w:rsidP="00594D18">
      <w:pPr>
        <w:pStyle w:val="Footer"/>
        <w:tabs>
          <w:tab w:val="clear" w:pos="8640"/>
          <w:tab w:val="left" w:pos="4320"/>
        </w:tabs>
        <w:spacing w:before="240"/>
        <w:rPr>
          <w:sz w:val="24"/>
          <w:szCs w:val="24"/>
        </w:rPr>
      </w:pPr>
    </w:p>
    <w:p w14:paraId="33FBC8F5" w14:textId="77777777" w:rsidR="00594D18" w:rsidRDefault="00594D18" w:rsidP="00594D18">
      <w:pPr>
        <w:pStyle w:val="Footer"/>
        <w:tabs>
          <w:tab w:val="clear" w:pos="8640"/>
          <w:tab w:val="left" w:pos="4320"/>
        </w:tabs>
        <w:spacing w:before="240"/>
        <w:rPr>
          <w:sz w:val="24"/>
          <w:szCs w:val="24"/>
        </w:rPr>
      </w:pPr>
    </w:p>
    <w:p w14:paraId="5D5931A6" w14:textId="77777777" w:rsidR="00594D18" w:rsidRDefault="00594D18" w:rsidP="00594D18">
      <w:pPr>
        <w:pStyle w:val="Footer"/>
        <w:tabs>
          <w:tab w:val="clear" w:pos="8640"/>
          <w:tab w:val="left" w:pos="4320"/>
        </w:tabs>
        <w:spacing w:before="240"/>
        <w:rPr>
          <w:sz w:val="24"/>
          <w:szCs w:val="24"/>
        </w:rPr>
      </w:pPr>
    </w:p>
    <w:p w14:paraId="232B1DF5" w14:textId="77777777" w:rsidR="00594D18" w:rsidRDefault="00594D18" w:rsidP="00594D18">
      <w:pPr>
        <w:pStyle w:val="Footer"/>
        <w:tabs>
          <w:tab w:val="clear" w:pos="8640"/>
          <w:tab w:val="left" w:pos="4320"/>
        </w:tabs>
        <w:spacing w:before="240"/>
        <w:rPr>
          <w:sz w:val="24"/>
          <w:szCs w:val="24"/>
        </w:rPr>
      </w:pPr>
      <w:r>
        <w:rPr>
          <w:sz w:val="24"/>
          <w:szCs w:val="24"/>
        </w:rPr>
        <w:tab/>
      </w:r>
    </w:p>
    <w:p w14:paraId="68EBA681" w14:textId="77777777" w:rsidR="00594D18" w:rsidRDefault="00594D18" w:rsidP="00594D18">
      <w:pPr>
        <w:pStyle w:val="Footer"/>
        <w:tabs>
          <w:tab w:val="clear" w:pos="8640"/>
          <w:tab w:val="left" w:pos="4320"/>
        </w:tabs>
        <w:spacing w:before="240"/>
        <w:rPr>
          <w:sz w:val="24"/>
          <w:szCs w:val="24"/>
        </w:rPr>
      </w:pPr>
    </w:p>
    <w:p w14:paraId="335F97AD" w14:textId="77777777" w:rsidR="00594D18" w:rsidRDefault="00594D18" w:rsidP="00594D18">
      <w:pPr>
        <w:pStyle w:val="Footer"/>
        <w:tabs>
          <w:tab w:val="clear" w:pos="8640"/>
          <w:tab w:val="left" w:pos="4320"/>
        </w:tabs>
        <w:spacing w:before="240"/>
        <w:rPr>
          <w:sz w:val="24"/>
          <w:szCs w:val="24"/>
        </w:rPr>
      </w:pPr>
    </w:p>
    <w:p w14:paraId="79AA1FE0" w14:textId="754AA881" w:rsidR="00594D18" w:rsidRDefault="00594D18" w:rsidP="00594D18">
      <w:pPr>
        <w:pStyle w:val="Footer"/>
        <w:tabs>
          <w:tab w:val="clear" w:pos="8640"/>
          <w:tab w:val="left" w:pos="4320"/>
        </w:tabs>
        <w:spacing w:before="240"/>
        <w:rPr>
          <w:sz w:val="24"/>
          <w:szCs w:val="24"/>
        </w:rPr>
      </w:pPr>
      <w:r>
        <w:rPr>
          <w:sz w:val="24"/>
          <w:szCs w:val="24"/>
        </w:rPr>
        <w:tab/>
        <w:t>BRUCE J. WESTON</w:t>
      </w:r>
    </w:p>
    <w:p w14:paraId="0E95DCAC" w14:textId="77777777" w:rsidR="00594D18" w:rsidRDefault="00594D18" w:rsidP="00594D18">
      <w:pPr>
        <w:tabs>
          <w:tab w:val="left" w:pos="4320"/>
        </w:tabs>
        <w:rPr>
          <w:szCs w:val="24"/>
        </w:rPr>
      </w:pPr>
      <w:r>
        <w:rPr>
          <w:szCs w:val="24"/>
        </w:rPr>
        <w:tab/>
        <w:t>OHIO CONSUMERS’ COUNSEL</w:t>
      </w:r>
    </w:p>
    <w:p w14:paraId="263F758C" w14:textId="77777777" w:rsidR="00594D18" w:rsidRDefault="00594D18" w:rsidP="00594D18">
      <w:pPr>
        <w:tabs>
          <w:tab w:val="left" w:pos="4320"/>
        </w:tabs>
        <w:rPr>
          <w:szCs w:val="24"/>
        </w:rPr>
      </w:pPr>
      <w:r>
        <w:rPr>
          <w:szCs w:val="24"/>
        </w:rPr>
        <w:tab/>
      </w:r>
    </w:p>
    <w:p w14:paraId="25A24248" w14:textId="7AFB44DA" w:rsidR="00594D18" w:rsidRDefault="00594D18" w:rsidP="00594D18">
      <w:pPr>
        <w:tabs>
          <w:tab w:val="left" w:pos="4320"/>
        </w:tabs>
        <w:rPr>
          <w:szCs w:val="24"/>
        </w:rPr>
      </w:pPr>
      <w:r>
        <w:rPr>
          <w:szCs w:val="24"/>
        </w:rPr>
        <w:tab/>
        <w:t>Edmund “Tad” Berger</w:t>
      </w:r>
    </w:p>
    <w:p w14:paraId="5CD593A7" w14:textId="77777777" w:rsidR="00594D18" w:rsidRDefault="00594D18" w:rsidP="00594D18">
      <w:pPr>
        <w:tabs>
          <w:tab w:val="left" w:pos="4320"/>
        </w:tabs>
        <w:rPr>
          <w:szCs w:val="24"/>
        </w:rPr>
      </w:pPr>
      <w:r>
        <w:rPr>
          <w:szCs w:val="24"/>
        </w:rPr>
        <w:tab/>
        <w:t>Assistant Consumers’ Counsel</w:t>
      </w:r>
    </w:p>
    <w:p w14:paraId="088E6329" w14:textId="77777777" w:rsidR="00594D18" w:rsidRDefault="00594D18" w:rsidP="00594D18">
      <w:pPr>
        <w:ind w:left="4320"/>
        <w:rPr>
          <w:b/>
        </w:rPr>
      </w:pPr>
    </w:p>
    <w:p w14:paraId="597EC82D" w14:textId="77777777" w:rsidR="00594D18" w:rsidRPr="002430BB" w:rsidRDefault="00594D18" w:rsidP="00594D18">
      <w:pPr>
        <w:ind w:left="4320"/>
        <w:rPr>
          <w:b/>
        </w:rPr>
      </w:pPr>
      <w:r w:rsidRPr="002430BB">
        <w:rPr>
          <w:b/>
        </w:rPr>
        <w:t>Office of the Ohio Consumers’ Counsel</w:t>
      </w:r>
    </w:p>
    <w:p w14:paraId="6FD24D99" w14:textId="77777777" w:rsidR="00594D18" w:rsidRPr="002430BB" w:rsidRDefault="00594D18" w:rsidP="00594D18">
      <w:pPr>
        <w:ind w:left="4320"/>
      </w:pPr>
      <w:r w:rsidRPr="002430BB">
        <w:t>10 West Broad Street, Suite 1800</w:t>
      </w:r>
    </w:p>
    <w:p w14:paraId="71F7CBF5" w14:textId="77777777" w:rsidR="00594D18" w:rsidRPr="002430BB" w:rsidRDefault="00594D18" w:rsidP="00594D18">
      <w:pPr>
        <w:ind w:left="4320"/>
      </w:pPr>
      <w:r w:rsidRPr="002430BB">
        <w:t>Columbus, Ohio 43215-3485</w:t>
      </w:r>
    </w:p>
    <w:p w14:paraId="143D1401" w14:textId="77777777" w:rsidR="00594D18" w:rsidRDefault="00594D18" w:rsidP="00594D18">
      <w:pPr>
        <w:autoSpaceDE w:val="0"/>
        <w:autoSpaceDN w:val="0"/>
        <w:adjustRightInd w:val="0"/>
        <w:ind w:left="3600" w:firstLine="720"/>
        <w:rPr>
          <w:szCs w:val="24"/>
        </w:rPr>
      </w:pPr>
      <w:r>
        <w:rPr>
          <w:szCs w:val="24"/>
        </w:rPr>
        <w:t>Telephone: (Berger) (614) 466-1292</w:t>
      </w:r>
    </w:p>
    <w:p w14:paraId="4C241430" w14:textId="7F928550" w:rsidR="00594D18" w:rsidRDefault="00594D18" w:rsidP="00594D18">
      <w:pPr>
        <w:autoSpaceDE w:val="0"/>
        <w:autoSpaceDN w:val="0"/>
        <w:adjustRightInd w:val="0"/>
        <w:rPr>
          <w:rStyle w:val="Hyperlink"/>
          <w:szCs w:val="24"/>
        </w:rPr>
        <w:sectPr w:rsidR="00594D1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pPr>
      <w:r>
        <w:rPr>
          <w:szCs w:val="24"/>
        </w:rPr>
        <w:t>February 24, 2014</w:t>
      </w:r>
      <w:r>
        <w:rPr>
          <w:szCs w:val="24"/>
        </w:rPr>
        <w:tab/>
      </w:r>
      <w:r>
        <w:rPr>
          <w:szCs w:val="24"/>
        </w:rPr>
        <w:tab/>
      </w:r>
      <w:r>
        <w:rPr>
          <w:szCs w:val="24"/>
        </w:rPr>
        <w:tab/>
      </w:r>
      <w:r>
        <w:rPr>
          <w:szCs w:val="24"/>
        </w:rPr>
        <w:tab/>
      </w:r>
      <w:hyperlink r:id="rId14" w:history="1">
        <w:r w:rsidRPr="003F3F8F">
          <w:rPr>
            <w:rStyle w:val="Hyperlink"/>
            <w:szCs w:val="24"/>
          </w:rPr>
          <w:t>Edmund.Berger@occ.ohio.gov</w:t>
        </w:r>
      </w:hyperlink>
    </w:p>
    <w:p w14:paraId="1A1EB90B" w14:textId="77777777" w:rsidR="00594D18" w:rsidRDefault="00594D18" w:rsidP="00594D18">
      <w:pPr>
        <w:autoSpaceDE w:val="0"/>
        <w:autoSpaceDN w:val="0"/>
        <w:adjustRightInd w:val="0"/>
        <w:jc w:val="center"/>
        <w:rPr>
          <w:b/>
          <w:bCs/>
        </w:rPr>
      </w:pPr>
      <w:r>
        <w:rPr>
          <w:b/>
          <w:bCs/>
        </w:rPr>
        <w:lastRenderedPageBreak/>
        <w:t>TABLE OF CONTENTS</w:t>
      </w:r>
    </w:p>
    <w:p w14:paraId="4A9B2E78" w14:textId="77777777" w:rsidR="00594D18" w:rsidRDefault="00594D18" w:rsidP="00594D18">
      <w:pPr>
        <w:autoSpaceDE w:val="0"/>
        <w:autoSpaceDN w:val="0"/>
        <w:adjustRightInd w:val="0"/>
        <w:jc w:val="center"/>
        <w:rPr>
          <w:b/>
          <w:bCs/>
        </w:rPr>
      </w:pPr>
    </w:p>
    <w:p w14:paraId="65F1740E" w14:textId="77777777" w:rsidR="00594D18" w:rsidRDefault="00594D18" w:rsidP="00594D18">
      <w:pPr>
        <w:autoSpaceDE w:val="0"/>
        <w:autoSpaceDN w:val="0"/>
        <w:adjustRightInd w:val="0"/>
        <w:ind w:left="7920"/>
        <w:rPr>
          <w:b/>
          <w:bCs/>
        </w:rPr>
      </w:pPr>
      <w:r>
        <w:rPr>
          <w:b/>
          <w:bCs/>
        </w:rPr>
        <w:t>PAGE</w:t>
      </w:r>
    </w:p>
    <w:p w14:paraId="035D35C5" w14:textId="77777777" w:rsidR="00594D18" w:rsidRDefault="00594D18" w:rsidP="00594D18">
      <w:pPr>
        <w:autoSpaceDE w:val="0"/>
        <w:autoSpaceDN w:val="0"/>
        <w:adjustRightInd w:val="0"/>
        <w:ind w:left="7920"/>
        <w:rPr>
          <w:b/>
          <w:bCs/>
        </w:rPr>
      </w:pPr>
    </w:p>
    <w:p w14:paraId="065DC08B" w14:textId="77777777" w:rsidR="003E22BC" w:rsidRPr="00E82AC4" w:rsidRDefault="00594D18">
      <w:pPr>
        <w:pStyle w:val="TOC1"/>
        <w:rPr>
          <w:rFonts w:ascii="Calibri" w:eastAsia="MS Mincho" w:hAnsi="Calibri"/>
          <w:noProof/>
          <w:sz w:val="22"/>
          <w:szCs w:val="22"/>
        </w:rPr>
      </w:pPr>
      <w:r>
        <w:rPr>
          <w:b/>
          <w:bCs/>
        </w:rPr>
        <w:fldChar w:fldCharType="begin"/>
      </w:r>
      <w:r>
        <w:rPr>
          <w:b/>
          <w:bCs/>
        </w:rPr>
        <w:instrText xml:space="preserve"> TOC \o "1-3" \h \z \u </w:instrText>
      </w:r>
      <w:r>
        <w:rPr>
          <w:b/>
          <w:bCs/>
        </w:rPr>
        <w:fldChar w:fldCharType="separate"/>
      </w:r>
      <w:hyperlink w:anchor="_Toc381019620" w:history="1">
        <w:r w:rsidR="003E22BC" w:rsidRPr="00B8220A">
          <w:rPr>
            <w:rStyle w:val="Hyperlink"/>
            <w:noProof/>
          </w:rPr>
          <w:t>I.</w:t>
        </w:r>
        <w:r w:rsidR="003E22BC" w:rsidRPr="00E82AC4">
          <w:rPr>
            <w:rFonts w:ascii="Calibri" w:eastAsia="MS Mincho" w:hAnsi="Calibri"/>
            <w:noProof/>
            <w:sz w:val="22"/>
            <w:szCs w:val="22"/>
          </w:rPr>
          <w:tab/>
        </w:r>
        <w:r w:rsidR="003E22BC" w:rsidRPr="00B8220A">
          <w:rPr>
            <w:rStyle w:val="Hyperlink"/>
            <w:noProof/>
          </w:rPr>
          <w:t>INTRODUCTION</w:t>
        </w:r>
        <w:r w:rsidR="003E22BC">
          <w:rPr>
            <w:noProof/>
            <w:webHidden/>
          </w:rPr>
          <w:tab/>
        </w:r>
        <w:r w:rsidR="003E22BC">
          <w:rPr>
            <w:noProof/>
            <w:webHidden/>
          </w:rPr>
          <w:fldChar w:fldCharType="begin"/>
        </w:r>
        <w:r w:rsidR="003E22BC">
          <w:rPr>
            <w:noProof/>
            <w:webHidden/>
          </w:rPr>
          <w:instrText xml:space="preserve"> PAGEREF _Toc381019620 \h </w:instrText>
        </w:r>
        <w:r w:rsidR="003E22BC">
          <w:rPr>
            <w:noProof/>
            <w:webHidden/>
          </w:rPr>
        </w:r>
        <w:r w:rsidR="003E22BC">
          <w:rPr>
            <w:noProof/>
            <w:webHidden/>
          </w:rPr>
          <w:fldChar w:fldCharType="separate"/>
        </w:r>
        <w:r w:rsidR="00047337">
          <w:rPr>
            <w:noProof/>
            <w:webHidden/>
          </w:rPr>
          <w:t>1</w:t>
        </w:r>
        <w:r w:rsidR="003E22BC">
          <w:rPr>
            <w:noProof/>
            <w:webHidden/>
          </w:rPr>
          <w:fldChar w:fldCharType="end"/>
        </w:r>
      </w:hyperlink>
    </w:p>
    <w:p w14:paraId="55B04785" w14:textId="77777777" w:rsidR="003E22BC" w:rsidRPr="00E82AC4" w:rsidRDefault="00230181">
      <w:pPr>
        <w:pStyle w:val="TOC1"/>
        <w:rPr>
          <w:rFonts w:ascii="Calibri" w:eastAsia="MS Mincho" w:hAnsi="Calibri"/>
          <w:noProof/>
          <w:sz w:val="22"/>
          <w:szCs w:val="22"/>
        </w:rPr>
      </w:pPr>
      <w:hyperlink w:anchor="_Toc381019621" w:history="1">
        <w:r w:rsidR="003E22BC" w:rsidRPr="00B8220A">
          <w:rPr>
            <w:rStyle w:val="Hyperlink"/>
            <w:noProof/>
          </w:rPr>
          <w:t>II.</w:t>
        </w:r>
        <w:r w:rsidR="003E22BC" w:rsidRPr="00E82AC4">
          <w:rPr>
            <w:rFonts w:ascii="Calibri" w:eastAsia="MS Mincho" w:hAnsi="Calibri"/>
            <w:noProof/>
            <w:sz w:val="22"/>
            <w:szCs w:val="22"/>
          </w:rPr>
          <w:tab/>
        </w:r>
        <w:r w:rsidR="003E22BC" w:rsidRPr="00B8220A">
          <w:rPr>
            <w:rStyle w:val="Hyperlink"/>
            <w:noProof/>
          </w:rPr>
          <w:t>COMMENTS</w:t>
        </w:r>
        <w:r w:rsidR="003E22BC">
          <w:rPr>
            <w:noProof/>
            <w:webHidden/>
          </w:rPr>
          <w:tab/>
        </w:r>
        <w:r w:rsidR="003E22BC">
          <w:rPr>
            <w:noProof/>
            <w:webHidden/>
          </w:rPr>
          <w:fldChar w:fldCharType="begin"/>
        </w:r>
        <w:r w:rsidR="003E22BC">
          <w:rPr>
            <w:noProof/>
            <w:webHidden/>
          </w:rPr>
          <w:instrText xml:space="preserve"> PAGEREF _Toc381019621 \h </w:instrText>
        </w:r>
        <w:r w:rsidR="003E22BC">
          <w:rPr>
            <w:noProof/>
            <w:webHidden/>
          </w:rPr>
        </w:r>
        <w:r w:rsidR="003E22BC">
          <w:rPr>
            <w:noProof/>
            <w:webHidden/>
          </w:rPr>
          <w:fldChar w:fldCharType="separate"/>
        </w:r>
        <w:r w:rsidR="00047337">
          <w:rPr>
            <w:noProof/>
            <w:webHidden/>
          </w:rPr>
          <w:t>3</w:t>
        </w:r>
        <w:r w:rsidR="003E22BC">
          <w:rPr>
            <w:noProof/>
            <w:webHidden/>
          </w:rPr>
          <w:fldChar w:fldCharType="end"/>
        </w:r>
      </w:hyperlink>
    </w:p>
    <w:p w14:paraId="66B4ADE7" w14:textId="77777777" w:rsidR="003E22BC" w:rsidRPr="00E82AC4" w:rsidRDefault="00230181">
      <w:pPr>
        <w:pStyle w:val="TOC2"/>
        <w:tabs>
          <w:tab w:val="left" w:pos="1440"/>
        </w:tabs>
        <w:rPr>
          <w:rFonts w:ascii="Calibri" w:eastAsia="MS Mincho" w:hAnsi="Calibri"/>
          <w:noProof/>
          <w:sz w:val="22"/>
          <w:szCs w:val="22"/>
        </w:rPr>
      </w:pPr>
      <w:hyperlink w:anchor="_Toc381019622" w:history="1">
        <w:r w:rsidR="003E22BC" w:rsidRPr="00B8220A">
          <w:rPr>
            <w:rStyle w:val="Hyperlink"/>
            <w:noProof/>
          </w:rPr>
          <w:t>A.</w:t>
        </w:r>
        <w:r w:rsidR="003E22BC" w:rsidRPr="00E82AC4">
          <w:rPr>
            <w:rFonts w:ascii="Calibri" w:eastAsia="MS Mincho" w:hAnsi="Calibri"/>
            <w:noProof/>
            <w:sz w:val="22"/>
            <w:szCs w:val="22"/>
          </w:rPr>
          <w:tab/>
        </w:r>
        <w:r w:rsidR="003E22BC" w:rsidRPr="00B8220A">
          <w:rPr>
            <w:rStyle w:val="Hyperlink"/>
            <w:noProof/>
          </w:rPr>
          <w:t>AEP Ohio’s Proposed Alternative Rate Design to Transition from Base Generation Rates to Auction-Based SSO Pricing Moderates the Possible Impact of Rate Changes on High Winter-Usage CSP Customers.</w:t>
        </w:r>
        <w:r w:rsidR="003E22BC">
          <w:rPr>
            <w:noProof/>
            <w:webHidden/>
          </w:rPr>
          <w:tab/>
        </w:r>
        <w:r w:rsidR="003E22BC">
          <w:rPr>
            <w:noProof/>
            <w:webHidden/>
          </w:rPr>
          <w:fldChar w:fldCharType="begin"/>
        </w:r>
        <w:r w:rsidR="003E22BC">
          <w:rPr>
            <w:noProof/>
            <w:webHidden/>
          </w:rPr>
          <w:instrText xml:space="preserve"> PAGEREF _Toc381019622 \h </w:instrText>
        </w:r>
        <w:r w:rsidR="003E22BC">
          <w:rPr>
            <w:noProof/>
            <w:webHidden/>
          </w:rPr>
        </w:r>
        <w:r w:rsidR="003E22BC">
          <w:rPr>
            <w:noProof/>
            <w:webHidden/>
          </w:rPr>
          <w:fldChar w:fldCharType="separate"/>
        </w:r>
        <w:r w:rsidR="00047337">
          <w:rPr>
            <w:noProof/>
            <w:webHidden/>
          </w:rPr>
          <w:t>3</w:t>
        </w:r>
        <w:r w:rsidR="003E22BC">
          <w:rPr>
            <w:noProof/>
            <w:webHidden/>
          </w:rPr>
          <w:fldChar w:fldCharType="end"/>
        </w:r>
      </w:hyperlink>
    </w:p>
    <w:p w14:paraId="3C806909" w14:textId="77777777" w:rsidR="003E22BC" w:rsidRPr="00E82AC4" w:rsidRDefault="00230181">
      <w:pPr>
        <w:pStyle w:val="TOC3"/>
        <w:tabs>
          <w:tab w:val="left" w:pos="2160"/>
        </w:tabs>
        <w:rPr>
          <w:rFonts w:ascii="Calibri" w:eastAsia="MS Mincho" w:hAnsi="Calibri"/>
          <w:noProof/>
          <w:sz w:val="22"/>
          <w:szCs w:val="22"/>
        </w:rPr>
      </w:pPr>
      <w:hyperlink w:anchor="_Toc381019623" w:history="1">
        <w:r w:rsidR="003E22BC" w:rsidRPr="00B8220A">
          <w:rPr>
            <w:rStyle w:val="Hyperlink"/>
            <w:noProof/>
          </w:rPr>
          <w:t>1.</w:t>
        </w:r>
        <w:r w:rsidR="003E22BC" w:rsidRPr="00E82AC4">
          <w:rPr>
            <w:rFonts w:ascii="Calibri" w:eastAsia="MS Mincho" w:hAnsi="Calibri"/>
            <w:noProof/>
            <w:sz w:val="22"/>
            <w:szCs w:val="22"/>
          </w:rPr>
          <w:tab/>
        </w:r>
        <w:r w:rsidR="003E22BC" w:rsidRPr="00B8220A">
          <w:rPr>
            <w:rStyle w:val="Hyperlink"/>
            <w:noProof/>
          </w:rPr>
          <w:t>Introduction</w:t>
        </w:r>
        <w:r w:rsidR="003E22BC">
          <w:rPr>
            <w:noProof/>
            <w:webHidden/>
          </w:rPr>
          <w:tab/>
        </w:r>
        <w:r w:rsidR="003E22BC">
          <w:rPr>
            <w:noProof/>
            <w:webHidden/>
          </w:rPr>
          <w:fldChar w:fldCharType="begin"/>
        </w:r>
        <w:r w:rsidR="003E22BC">
          <w:rPr>
            <w:noProof/>
            <w:webHidden/>
          </w:rPr>
          <w:instrText xml:space="preserve"> PAGEREF _Toc381019623 \h </w:instrText>
        </w:r>
        <w:r w:rsidR="003E22BC">
          <w:rPr>
            <w:noProof/>
            <w:webHidden/>
          </w:rPr>
        </w:r>
        <w:r w:rsidR="003E22BC">
          <w:rPr>
            <w:noProof/>
            <w:webHidden/>
          </w:rPr>
          <w:fldChar w:fldCharType="separate"/>
        </w:r>
        <w:r w:rsidR="00047337">
          <w:rPr>
            <w:noProof/>
            <w:webHidden/>
          </w:rPr>
          <w:t>3</w:t>
        </w:r>
        <w:r w:rsidR="003E22BC">
          <w:rPr>
            <w:noProof/>
            <w:webHidden/>
          </w:rPr>
          <w:fldChar w:fldCharType="end"/>
        </w:r>
      </w:hyperlink>
    </w:p>
    <w:p w14:paraId="254A4A40" w14:textId="758D8C29" w:rsidR="003E22BC" w:rsidRPr="00E82AC4" w:rsidRDefault="00230181">
      <w:pPr>
        <w:pStyle w:val="TOC3"/>
        <w:tabs>
          <w:tab w:val="left" w:pos="2160"/>
        </w:tabs>
        <w:rPr>
          <w:rFonts w:ascii="Calibri" w:eastAsia="MS Mincho" w:hAnsi="Calibri"/>
          <w:noProof/>
          <w:sz w:val="22"/>
          <w:szCs w:val="22"/>
        </w:rPr>
      </w:pPr>
      <w:hyperlink w:anchor="_Toc381019624" w:history="1">
        <w:r w:rsidR="003E22BC" w:rsidRPr="00B8220A">
          <w:rPr>
            <w:rStyle w:val="Hyperlink"/>
            <w:noProof/>
          </w:rPr>
          <w:t>2.</w:t>
        </w:r>
        <w:r w:rsidR="003E22BC" w:rsidRPr="00E82AC4">
          <w:rPr>
            <w:rFonts w:ascii="Calibri" w:eastAsia="MS Mincho" w:hAnsi="Calibri"/>
            <w:noProof/>
            <w:sz w:val="22"/>
            <w:szCs w:val="22"/>
          </w:rPr>
          <w:tab/>
        </w:r>
        <w:r w:rsidR="003E22BC" w:rsidRPr="00B8220A">
          <w:rPr>
            <w:rStyle w:val="Hyperlink"/>
            <w:noProof/>
          </w:rPr>
          <w:t xml:space="preserve">Phase-In of energy auction rates and phase-out of energy portion </w:t>
        </w:r>
        <w:r w:rsidR="003E22BC">
          <w:rPr>
            <w:rStyle w:val="Hyperlink"/>
            <w:noProof/>
          </w:rPr>
          <w:br/>
        </w:r>
        <w:r w:rsidR="003E22BC" w:rsidRPr="00B8220A">
          <w:rPr>
            <w:rStyle w:val="Hyperlink"/>
            <w:noProof/>
          </w:rPr>
          <w:t>of base generation rates.</w:t>
        </w:r>
        <w:r w:rsidR="003E22BC">
          <w:rPr>
            <w:noProof/>
            <w:webHidden/>
          </w:rPr>
          <w:tab/>
        </w:r>
        <w:r w:rsidR="003E22BC">
          <w:rPr>
            <w:noProof/>
            <w:webHidden/>
          </w:rPr>
          <w:fldChar w:fldCharType="begin"/>
        </w:r>
        <w:r w:rsidR="003E22BC">
          <w:rPr>
            <w:noProof/>
            <w:webHidden/>
          </w:rPr>
          <w:instrText xml:space="preserve"> PAGEREF _Toc381019624 \h </w:instrText>
        </w:r>
        <w:r w:rsidR="003E22BC">
          <w:rPr>
            <w:noProof/>
            <w:webHidden/>
          </w:rPr>
        </w:r>
        <w:r w:rsidR="003E22BC">
          <w:rPr>
            <w:noProof/>
            <w:webHidden/>
          </w:rPr>
          <w:fldChar w:fldCharType="separate"/>
        </w:r>
        <w:r w:rsidR="00047337">
          <w:rPr>
            <w:noProof/>
            <w:webHidden/>
          </w:rPr>
          <w:t>4</w:t>
        </w:r>
        <w:r w:rsidR="003E22BC">
          <w:rPr>
            <w:noProof/>
            <w:webHidden/>
          </w:rPr>
          <w:fldChar w:fldCharType="end"/>
        </w:r>
      </w:hyperlink>
    </w:p>
    <w:p w14:paraId="2E0F33C5" w14:textId="77777777" w:rsidR="003E22BC" w:rsidRPr="00E82AC4" w:rsidRDefault="00230181">
      <w:pPr>
        <w:pStyle w:val="TOC3"/>
        <w:tabs>
          <w:tab w:val="left" w:pos="2160"/>
        </w:tabs>
        <w:rPr>
          <w:rFonts w:ascii="Calibri" w:eastAsia="MS Mincho" w:hAnsi="Calibri"/>
          <w:noProof/>
          <w:sz w:val="22"/>
          <w:szCs w:val="22"/>
        </w:rPr>
      </w:pPr>
      <w:hyperlink w:anchor="_Toc381019625" w:history="1">
        <w:r w:rsidR="003E22BC" w:rsidRPr="00B8220A">
          <w:rPr>
            <w:rStyle w:val="Hyperlink"/>
            <w:noProof/>
          </w:rPr>
          <w:t>3.</w:t>
        </w:r>
        <w:r w:rsidR="003E22BC" w:rsidRPr="00E82AC4">
          <w:rPr>
            <w:rFonts w:ascii="Calibri" w:eastAsia="MS Mincho" w:hAnsi="Calibri"/>
            <w:noProof/>
            <w:sz w:val="22"/>
            <w:szCs w:val="22"/>
          </w:rPr>
          <w:tab/>
        </w:r>
        <w:r w:rsidR="003E22BC" w:rsidRPr="00B8220A">
          <w:rPr>
            <w:rStyle w:val="Hyperlink"/>
            <w:noProof/>
          </w:rPr>
          <w:t>Phase-In of generation capacity rider and phase-out of capacity cost portion of base generation rates.</w:t>
        </w:r>
        <w:r w:rsidR="003E22BC">
          <w:rPr>
            <w:noProof/>
            <w:webHidden/>
          </w:rPr>
          <w:tab/>
        </w:r>
        <w:r w:rsidR="003E22BC">
          <w:rPr>
            <w:noProof/>
            <w:webHidden/>
          </w:rPr>
          <w:fldChar w:fldCharType="begin"/>
        </w:r>
        <w:r w:rsidR="003E22BC">
          <w:rPr>
            <w:noProof/>
            <w:webHidden/>
          </w:rPr>
          <w:instrText xml:space="preserve"> PAGEREF _Toc381019625 \h </w:instrText>
        </w:r>
        <w:r w:rsidR="003E22BC">
          <w:rPr>
            <w:noProof/>
            <w:webHidden/>
          </w:rPr>
        </w:r>
        <w:r w:rsidR="003E22BC">
          <w:rPr>
            <w:noProof/>
            <w:webHidden/>
          </w:rPr>
          <w:fldChar w:fldCharType="separate"/>
        </w:r>
        <w:r w:rsidR="00047337">
          <w:rPr>
            <w:noProof/>
            <w:webHidden/>
          </w:rPr>
          <w:t>5</w:t>
        </w:r>
        <w:r w:rsidR="003E22BC">
          <w:rPr>
            <w:noProof/>
            <w:webHidden/>
          </w:rPr>
          <w:fldChar w:fldCharType="end"/>
        </w:r>
      </w:hyperlink>
    </w:p>
    <w:p w14:paraId="1841E117" w14:textId="3C5A515F" w:rsidR="003E22BC" w:rsidRPr="00E82AC4" w:rsidRDefault="00230181">
      <w:pPr>
        <w:pStyle w:val="TOC3"/>
        <w:tabs>
          <w:tab w:val="left" w:pos="2160"/>
        </w:tabs>
        <w:rPr>
          <w:rFonts w:ascii="Calibri" w:eastAsia="MS Mincho" w:hAnsi="Calibri"/>
          <w:noProof/>
          <w:sz w:val="22"/>
          <w:szCs w:val="22"/>
        </w:rPr>
      </w:pPr>
      <w:hyperlink w:anchor="_Toc381019626" w:history="1">
        <w:r w:rsidR="003E22BC" w:rsidRPr="00B8220A">
          <w:rPr>
            <w:rStyle w:val="Hyperlink"/>
            <w:noProof/>
          </w:rPr>
          <w:t>4.</w:t>
        </w:r>
        <w:r w:rsidR="003E22BC" w:rsidRPr="00E82AC4">
          <w:rPr>
            <w:rFonts w:ascii="Calibri" w:eastAsia="MS Mincho" w:hAnsi="Calibri"/>
            <w:noProof/>
            <w:sz w:val="22"/>
            <w:szCs w:val="22"/>
          </w:rPr>
          <w:tab/>
        </w:r>
        <w:r w:rsidR="003E22BC" w:rsidRPr="00B8220A">
          <w:rPr>
            <w:rStyle w:val="Hyperlink"/>
            <w:noProof/>
          </w:rPr>
          <w:t xml:space="preserve">Customer impacts from proposed phase-in of auction-based </w:t>
        </w:r>
        <w:r w:rsidR="003E22BC">
          <w:rPr>
            <w:rStyle w:val="Hyperlink"/>
            <w:noProof/>
          </w:rPr>
          <w:br/>
        </w:r>
        <w:r w:rsidR="003E22BC" w:rsidRPr="00B8220A">
          <w:rPr>
            <w:rStyle w:val="Hyperlink"/>
            <w:noProof/>
          </w:rPr>
          <w:t>pricing and phase-out of base generation rates</w:t>
        </w:r>
        <w:r w:rsidR="003E22BC">
          <w:rPr>
            <w:noProof/>
            <w:webHidden/>
          </w:rPr>
          <w:tab/>
        </w:r>
        <w:r w:rsidR="003E22BC">
          <w:rPr>
            <w:noProof/>
            <w:webHidden/>
          </w:rPr>
          <w:fldChar w:fldCharType="begin"/>
        </w:r>
        <w:r w:rsidR="003E22BC">
          <w:rPr>
            <w:noProof/>
            <w:webHidden/>
          </w:rPr>
          <w:instrText xml:space="preserve"> PAGEREF _Toc381019626 \h </w:instrText>
        </w:r>
        <w:r w:rsidR="003E22BC">
          <w:rPr>
            <w:noProof/>
            <w:webHidden/>
          </w:rPr>
        </w:r>
        <w:r w:rsidR="003E22BC">
          <w:rPr>
            <w:noProof/>
            <w:webHidden/>
          </w:rPr>
          <w:fldChar w:fldCharType="separate"/>
        </w:r>
        <w:r w:rsidR="00047337">
          <w:rPr>
            <w:noProof/>
            <w:webHidden/>
          </w:rPr>
          <w:t>6</w:t>
        </w:r>
        <w:r w:rsidR="003E22BC">
          <w:rPr>
            <w:noProof/>
            <w:webHidden/>
          </w:rPr>
          <w:fldChar w:fldCharType="end"/>
        </w:r>
      </w:hyperlink>
    </w:p>
    <w:p w14:paraId="3264DEA3" w14:textId="77777777" w:rsidR="003E22BC" w:rsidRPr="00E82AC4" w:rsidRDefault="00230181">
      <w:pPr>
        <w:pStyle w:val="TOC2"/>
        <w:tabs>
          <w:tab w:val="left" w:pos="1440"/>
        </w:tabs>
        <w:rPr>
          <w:rFonts w:ascii="Calibri" w:eastAsia="MS Mincho" w:hAnsi="Calibri"/>
          <w:noProof/>
          <w:sz w:val="22"/>
          <w:szCs w:val="22"/>
        </w:rPr>
      </w:pPr>
      <w:hyperlink w:anchor="_Toc381019627" w:history="1">
        <w:r w:rsidR="003E22BC" w:rsidRPr="00B8220A">
          <w:rPr>
            <w:rStyle w:val="Hyperlink"/>
            <w:noProof/>
          </w:rPr>
          <w:t>B.</w:t>
        </w:r>
        <w:r w:rsidR="003E22BC" w:rsidRPr="00E82AC4">
          <w:rPr>
            <w:rFonts w:ascii="Calibri" w:eastAsia="MS Mincho" w:hAnsi="Calibri"/>
            <w:noProof/>
            <w:sz w:val="22"/>
            <w:szCs w:val="22"/>
          </w:rPr>
          <w:tab/>
        </w:r>
        <w:r w:rsidR="003E22BC" w:rsidRPr="00B8220A">
          <w:rPr>
            <w:rStyle w:val="Hyperlink"/>
            <w:noProof/>
          </w:rPr>
          <w:t>AEP Ohio’s Proposed Allocation of Capacity Costs Based on a 5 CP Allocation Methodology Should be Addressed in AEP Ohio’s ESP III Proceeding at Case No. 13-2385-EL-SSO.</w:t>
        </w:r>
        <w:r w:rsidR="003E22BC">
          <w:rPr>
            <w:noProof/>
            <w:webHidden/>
          </w:rPr>
          <w:tab/>
        </w:r>
        <w:r w:rsidR="003E22BC">
          <w:rPr>
            <w:noProof/>
            <w:webHidden/>
          </w:rPr>
          <w:fldChar w:fldCharType="begin"/>
        </w:r>
        <w:r w:rsidR="003E22BC">
          <w:rPr>
            <w:noProof/>
            <w:webHidden/>
          </w:rPr>
          <w:instrText xml:space="preserve"> PAGEREF _Toc381019627 \h </w:instrText>
        </w:r>
        <w:r w:rsidR="003E22BC">
          <w:rPr>
            <w:noProof/>
            <w:webHidden/>
          </w:rPr>
        </w:r>
        <w:r w:rsidR="003E22BC">
          <w:rPr>
            <w:noProof/>
            <w:webHidden/>
          </w:rPr>
          <w:fldChar w:fldCharType="separate"/>
        </w:r>
        <w:r w:rsidR="00047337">
          <w:rPr>
            <w:noProof/>
            <w:webHidden/>
          </w:rPr>
          <w:t>8</w:t>
        </w:r>
        <w:r w:rsidR="003E22BC">
          <w:rPr>
            <w:noProof/>
            <w:webHidden/>
          </w:rPr>
          <w:fldChar w:fldCharType="end"/>
        </w:r>
      </w:hyperlink>
    </w:p>
    <w:p w14:paraId="62BDDE4B" w14:textId="77777777" w:rsidR="003E22BC" w:rsidRPr="00E82AC4" w:rsidRDefault="00230181">
      <w:pPr>
        <w:pStyle w:val="TOC2"/>
        <w:tabs>
          <w:tab w:val="left" w:pos="1440"/>
        </w:tabs>
        <w:rPr>
          <w:rFonts w:ascii="Calibri" w:eastAsia="MS Mincho" w:hAnsi="Calibri"/>
          <w:noProof/>
          <w:sz w:val="22"/>
          <w:szCs w:val="22"/>
        </w:rPr>
      </w:pPr>
      <w:hyperlink w:anchor="_Toc381019628" w:history="1">
        <w:r w:rsidR="003E22BC" w:rsidRPr="00B8220A">
          <w:rPr>
            <w:rStyle w:val="Hyperlink"/>
            <w:noProof/>
          </w:rPr>
          <w:t>C.</w:t>
        </w:r>
        <w:r w:rsidR="003E22BC" w:rsidRPr="00E82AC4">
          <w:rPr>
            <w:rFonts w:ascii="Calibri" w:eastAsia="MS Mincho" w:hAnsi="Calibri"/>
            <w:noProof/>
            <w:sz w:val="22"/>
            <w:szCs w:val="22"/>
          </w:rPr>
          <w:tab/>
        </w:r>
        <w:r w:rsidR="003E22BC" w:rsidRPr="00B8220A">
          <w:rPr>
            <w:rStyle w:val="Hyperlink"/>
            <w:noProof/>
          </w:rPr>
          <w:t>The Amounts and Allocation of AEP Ohio’s Auction Phase-in Rider and Fixed Cost Rider Should be Subject to Adjustment for Prudent Costs Actually Incurred.</w:t>
        </w:r>
        <w:r w:rsidR="003E22BC">
          <w:rPr>
            <w:noProof/>
            <w:webHidden/>
          </w:rPr>
          <w:tab/>
        </w:r>
        <w:r w:rsidR="003E22BC">
          <w:rPr>
            <w:noProof/>
            <w:webHidden/>
          </w:rPr>
          <w:fldChar w:fldCharType="begin"/>
        </w:r>
        <w:r w:rsidR="003E22BC">
          <w:rPr>
            <w:noProof/>
            <w:webHidden/>
          </w:rPr>
          <w:instrText xml:space="preserve"> PAGEREF _Toc381019628 \h </w:instrText>
        </w:r>
        <w:r w:rsidR="003E22BC">
          <w:rPr>
            <w:noProof/>
            <w:webHidden/>
          </w:rPr>
        </w:r>
        <w:r w:rsidR="003E22BC">
          <w:rPr>
            <w:noProof/>
            <w:webHidden/>
          </w:rPr>
          <w:fldChar w:fldCharType="separate"/>
        </w:r>
        <w:r w:rsidR="00047337">
          <w:rPr>
            <w:noProof/>
            <w:webHidden/>
          </w:rPr>
          <w:t>9</w:t>
        </w:r>
        <w:r w:rsidR="003E22BC">
          <w:rPr>
            <w:noProof/>
            <w:webHidden/>
          </w:rPr>
          <w:fldChar w:fldCharType="end"/>
        </w:r>
      </w:hyperlink>
    </w:p>
    <w:p w14:paraId="2905BD3D" w14:textId="6FF06CDF" w:rsidR="003E22BC" w:rsidRPr="00E82AC4" w:rsidRDefault="00230181">
      <w:pPr>
        <w:pStyle w:val="TOC2"/>
        <w:tabs>
          <w:tab w:val="left" w:pos="1440"/>
        </w:tabs>
        <w:rPr>
          <w:rFonts w:ascii="Calibri" w:eastAsia="MS Mincho" w:hAnsi="Calibri"/>
          <w:noProof/>
          <w:sz w:val="22"/>
          <w:szCs w:val="22"/>
        </w:rPr>
      </w:pPr>
      <w:hyperlink w:anchor="_Toc381019629" w:history="1">
        <w:r w:rsidR="003E22BC" w:rsidRPr="00B8220A">
          <w:rPr>
            <w:rStyle w:val="Hyperlink"/>
            <w:noProof/>
          </w:rPr>
          <w:t>D.</w:t>
        </w:r>
        <w:r w:rsidR="003E22BC" w:rsidRPr="00E82AC4">
          <w:rPr>
            <w:rFonts w:ascii="Calibri" w:eastAsia="MS Mincho" w:hAnsi="Calibri"/>
            <w:noProof/>
            <w:sz w:val="22"/>
            <w:szCs w:val="22"/>
          </w:rPr>
          <w:tab/>
        </w:r>
        <w:r w:rsidR="003E22BC" w:rsidRPr="00B8220A">
          <w:rPr>
            <w:rStyle w:val="Hyperlink"/>
            <w:noProof/>
          </w:rPr>
          <w:t xml:space="preserve">The PUCO Should Monitor Auction Results and Transition Period Rates to Ensure Customers are not Adversely Affected by Implementation of </w:t>
        </w:r>
        <w:r w:rsidR="003E22BC">
          <w:rPr>
            <w:rStyle w:val="Hyperlink"/>
            <w:noProof/>
          </w:rPr>
          <w:br/>
        </w:r>
        <w:r w:rsidR="003E22BC" w:rsidRPr="00B8220A">
          <w:rPr>
            <w:rStyle w:val="Hyperlink"/>
            <w:noProof/>
          </w:rPr>
          <w:t>the Proposed Rate Design.</w:t>
        </w:r>
        <w:r w:rsidR="003E22BC">
          <w:rPr>
            <w:noProof/>
            <w:webHidden/>
          </w:rPr>
          <w:tab/>
        </w:r>
        <w:r w:rsidR="003E22BC">
          <w:rPr>
            <w:noProof/>
            <w:webHidden/>
          </w:rPr>
          <w:fldChar w:fldCharType="begin"/>
        </w:r>
        <w:r w:rsidR="003E22BC">
          <w:rPr>
            <w:noProof/>
            <w:webHidden/>
          </w:rPr>
          <w:instrText xml:space="preserve"> PAGEREF _Toc381019629 \h </w:instrText>
        </w:r>
        <w:r w:rsidR="003E22BC">
          <w:rPr>
            <w:noProof/>
            <w:webHidden/>
          </w:rPr>
        </w:r>
        <w:r w:rsidR="003E22BC">
          <w:rPr>
            <w:noProof/>
            <w:webHidden/>
          </w:rPr>
          <w:fldChar w:fldCharType="separate"/>
        </w:r>
        <w:r w:rsidR="00047337">
          <w:rPr>
            <w:noProof/>
            <w:webHidden/>
          </w:rPr>
          <w:t>10</w:t>
        </w:r>
        <w:r w:rsidR="003E22BC">
          <w:rPr>
            <w:noProof/>
            <w:webHidden/>
          </w:rPr>
          <w:fldChar w:fldCharType="end"/>
        </w:r>
      </w:hyperlink>
    </w:p>
    <w:p w14:paraId="5C398667" w14:textId="77777777" w:rsidR="003E22BC" w:rsidRPr="00E82AC4" w:rsidRDefault="00230181">
      <w:pPr>
        <w:pStyle w:val="TOC1"/>
        <w:rPr>
          <w:rFonts w:ascii="Calibri" w:eastAsia="MS Mincho" w:hAnsi="Calibri"/>
          <w:noProof/>
          <w:sz w:val="22"/>
          <w:szCs w:val="22"/>
        </w:rPr>
      </w:pPr>
      <w:hyperlink w:anchor="_Toc381019630" w:history="1">
        <w:r w:rsidR="003E22BC" w:rsidRPr="00B8220A">
          <w:rPr>
            <w:rStyle w:val="Hyperlink"/>
            <w:noProof/>
          </w:rPr>
          <w:t>III.</w:t>
        </w:r>
        <w:r w:rsidR="003E22BC" w:rsidRPr="00E82AC4">
          <w:rPr>
            <w:rFonts w:ascii="Calibri" w:eastAsia="MS Mincho" w:hAnsi="Calibri"/>
            <w:noProof/>
            <w:sz w:val="22"/>
            <w:szCs w:val="22"/>
          </w:rPr>
          <w:tab/>
        </w:r>
        <w:r w:rsidR="003E22BC" w:rsidRPr="00B8220A">
          <w:rPr>
            <w:rStyle w:val="Hyperlink"/>
            <w:noProof/>
          </w:rPr>
          <w:t>CONCLUSION</w:t>
        </w:r>
        <w:r w:rsidR="003E22BC">
          <w:rPr>
            <w:noProof/>
            <w:webHidden/>
          </w:rPr>
          <w:tab/>
        </w:r>
        <w:r w:rsidR="003E22BC">
          <w:rPr>
            <w:noProof/>
            <w:webHidden/>
          </w:rPr>
          <w:fldChar w:fldCharType="begin"/>
        </w:r>
        <w:r w:rsidR="003E22BC">
          <w:rPr>
            <w:noProof/>
            <w:webHidden/>
          </w:rPr>
          <w:instrText xml:space="preserve"> PAGEREF _Toc381019630 \h </w:instrText>
        </w:r>
        <w:r w:rsidR="003E22BC">
          <w:rPr>
            <w:noProof/>
            <w:webHidden/>
          </w:rPr>
        </w:r>
        <w:r w:rsidR="003E22BC">
          <w:rPr>
            <w:noProof/>
            <w:webHidden/>
          </w:rPr>
          <w:fldChar w:fldCharType="separate"/>
        </w:r>
        <w:r w:rsidR="00047337">
          <w:rPr>
            <w:noProof/>
            <w:webHidden/>
          </w:rPr>
          <w:t>10</w:t>
        </w:r>
        <w:r w:rsidR="003E22BC">
          <w:rPr>
            <w:noProof/>
            <w:webHidden/>
          </w:rPr>
          <w:fldChar w:fldCharType="end"/>
        </w:r>
      </w:hyperlink>
    </w:p>
    <w:p w14:paraId="72FECA3F" w14:textId="77777777" w:rsidR="00594D18" w:rsidRDefault="00594D18" w:rsidP="00594D18">
      <w:pPr>
        <w:autoSpaceDE w:val="0"/>
        <w:autoSpaceDN w:val="0"/>
        <w:adjustRightInd w:val="0"/>
        <w:ind w:left="7920"/>
        <w:rPr>
          <w:b/>
          <w:bCs/>
        </w:rPr>
        <w:sectPr w:rsidR="00594D18" w:rsidSect="00594D18">
          <w:footerReference w:type="first" r:id="rId15"/>
          <w:pgSz w:w="12240" w:h="15840"/>
          <w:pgMar w:top="1440" w:right="1800" w:bottom="1440" w:left="1800" w:header="720" w:footer="720" w:gutter="0"/>
          <w:pgNumType w:fmt="lowerRoman" w:start="1"/>
          <w:cols w:space="720"/>
          <w:titlePg/>
          <w:docGrid w:linePitch="65"/>
        </w:sectPr>
      </w:pPr>
      <w:r>
        <w:rPr>
          <w:b/>
          <w:bCs/>
        </w:rPr>
        <w:fldChar w:fldCharType="end"/>
      </w:r>
    </w:p>
    <w:p w14:paraId="7ADD0400" w14:textId="33A1D301" w:rsidR="000C2FD2" w:rsidRPr="00594D18" w:rsidRDefault="000C2FD2" w:rsidP="00594D18">
      <w:pPr>
        <w:autoSpaceDE w:val="0"/>
        <w:autoSpaceDN w:val="0"/>
        <w:adjustRightInd w:val="0"/>
        <w:jc w:val="center"/>
        <w:rPr>
          <w:szCs w:val="24"/>
        </w:rPr>
      </w:pPr>
      <w:r>
        <w:rPr>
          <w:b/>
          <w:bCs/>
        </w:rPr>
        <w:t>BEFORE</w:t>
      </w:r>
    </w:p>
    <w:p w14:paraId="0BEF5DF4" w14:textId="77777777" w:rsidR="000C2FD2" w:rsidRDefault="000C2FD2">
      <w:pPr>
        <w:pStyle w:val="HTMLPreformatted"/>
        <w:jc w:val="center"/>
        <w:rPr>
          <w:rFonts w:ascii="Times New Roman" w:hAnsi="Times New Roman"/>
          <w:sz w:val="24"/>
        </w:rPr>
      </w:pPr>
      <w:r>
        <w:rPr>
          <w:rFonts w:ascii="Times New Roman" w:hAnsi="Times New Roman"/>
          <w:b/>
          <w:bCs/>
          <w:sz w:val="24"/>
        </w:rPr>
        <w:t>THE PUBLIC UTILITIES COMMISSION OF OHIO</w:t>
      </w:r>
    </w:p>
    <w:p w14:paraId="78F4071E" w14:textId="77777777" w:rsidR="000C2FD2" w:rsidRDefault="000C2FD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0C2FD2" w14:paraId="09926A08" w14:textId="77777777">
        <w:trPr>
          <w:trHeight w:val="807"/>
        </w:trPr>
        <w:tc>
          <w:tcPr>
            <w:tcW w:w="4332" w:type="dxa"/>
            <w:shd w:val="clear" w:color="auto" w:fill="auto"/>
          </w:tcPr>
          <w:p w14:paraId="44C213EB" w14:textId="77777777" w:rsidR="000C2FD2" w:rsidRDefault="0002591D" w:rsidP="00D706DE">
            <w:pPr>
              <w:pStyle w:val="HTMLPreformatted"/>
              <w:rPr>
                <w:rFonts w:ascii="Times New Roman" w:hAnsi="Times New Roman"/>
                <w:sz w:val="24"/>
                <w:szCs w:val="24"/>
              </w:rPr>
            </w:pPr>
            <w:r w:rsidRPr="0002591D">
              <w:rPr>
                <w:rFonts w:ascii="Times New Roman" w:hAnsi="Times New Roman" w:cs="Times New Roman"/>
                <w:sz w:val="24"/>
                <w:szCs w:val="24"/>
              </w:rPr>
              <w:t xml:space="preserve">In the </w:t>
            </w:r>
            <w:r w:rsidR="00485A40">
              <w:rPr>
                <w:rFonts w:ascii="Times New Roman" w:hAnsi="Times New Roman" w:cs="Times New Roman"/>
                <w:sz w:val="24"/>
                <w:szCs w:val="24"/>
              </w:rPr>
              <w:t>M</w:t>
            </w:r>
            <w:r w:rsidRPr="0002591D">
              <w:rPr>
                <w:rFonts w:ascii="Times New Roman" w:hAnsi="Times New Roman" w:cs="Times New Roman"/>
                <w:sz w:val="24"/>
                <w:szCs w:val="24"/>
              </w:rPr>
              <w:t xml:space="preserve">atter of the </w:t>
            </w:r>
            <w:r w:rsidR="00D706DE">
              <w:rPr>
                <w:rFonts w:ascii="Times New Roman" w:hAnsi="Times New Roman" w:cs="Times New Roman"/>
                <w:sz w:val="24"/>
                <w:szCs w:val="24"/>
              </w:rPr>
              <w:t>Commission’s Review of Customer Rate Impacts from Ohio Power Company’s Transition to Market Based Rates</w:t>
            </w:r>
            <w:r w:rsidR="00B45159">
              <w:rPr>
                <w:rFonts w:ascii="Times New Roman" w:hAnsi="Times New Roman" w:cs="Times New Roman"/>
                <w:sz w:val="24"/>
                <w:szCs w:val="24"/>
              </w:rPr>
              <w:t>.</w:t>
            </w:r>
            <w:r w:rsidR="000C2FD2">
              <w:rPr>
                <w:rFonts w:ascii="Times New Roman" w:hAnsi="Times New Roman" w:cs="Times New Roman"/>
                <w:sz w:val="24"/>
                <w:szCs w:val="24"/>
              </w:rPr>
              <w:t xml:space="preserve"> </w:t>
            </w:r>
          </w:p>
        </w:tc>
        <w:tc>
          <w:tcPr>
            <w:tcW w:w="360" w:type="dxa"/>
            <w:shd w:val="clear" w:color="auto" w:fill="auto"/>
          </w:tcPr>
          <w:p w14:paraId="6482E853" w14:textId="77777777" w:rsidR="000C2FD2" w:rsidRDefault="000C2FD2">
            <w:pPr>
              <w:pStyle w:val="HTMLPreformatted"/>
              <w:rPr>
                <w:rFonts w:ascii="Times New Roman" w:hAnsi="Times New Roman"/>
                <w:sz w:val="24"/>
              </w:rPr>
            </w:pPr>
            <w:r>
              <w:rPr>
                <w:rFonts w:ascii="Times New Roman" w:hAnsi="Times New Roman"/>
                <w:sz w:val="24"/>
              </w:rPr>
              <w:t>)</w:t>
            </w:r>
          </w:p>
          <w:p w14:paraId="0D179CB6" w14:textId="77777777" w:rsidR="000C2FD2" w:rsidRDefault="000C2FD2">
            <w:pPr>
              <w:pStyle w:val="HTMLPreformatted"/>
              <w:rPr>
                <w:rFonts w:ascii="Times New Roman" w:hAnsi="Times New Roman"/>
                <w:sz w:val="24"/>
              </w:rPr>
            </w:pPr>
            <w:r>
              <w:rPr>
                <w:rFonts w:ascii="Times New Roman" w:hAnsi="Times New Roman"/>
                <w:sz w:val="24"/>
              </w:rPr>
              <w:t>)</w:t>
            </w:r>
          </w:p>
          <w:p w14:paraId="5DE39C73" w14:textId="77777777" w:rsidR="000C2FD2" w:rsidRDefault="000C2FD2">
            <w:pPr>
              <w:pStyle w:val="HTMLPreformatted"/>
              <w:rPr>
                <w:rFonts w:ascii="Times New Roman" w:hAnsi="Times New Roman"/>
                <w:sz w:val="24"/>
              </w:rPr>
            </w:pPr>
            <w:r>
              <w:rPr>
                <w:rFonts w:ascii="Times New Roman" w:hAnsi="Times New Roman"/>
                <w:sz w:val="24"/>
              </w:rPr>
              <w:t>)</w:t>
            </w:r>
          </w:p>
          <w:p w14:paraId="7FF5D9AA" w14:textId="77777777" w:rsidR="00D706DE" w:rsidRDefault="00D706DE">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14:paraId="15AC528F" w14:textId="77777777" w:rsidR="000C2FD2" w:rsidRDefault="000C2FD2">
            <w:pPr>
              <w:pStyle w:val="HTMLPreformatted"/>
              <w:rPr>
                <w:rFonts w:ascii="Times New Roman" w:hAnsi="Times New Roman"/>
                <w:sz w:val="24"/>
              </w:rPr>
            </w:pPr>
          </w:p>
          <w:p w14:paraId="0EE7FEE9" w14:textId="77777777" w:rsidR="000C2FD2" w:rsidRDefault="000C2FD2">
            <w:pPr>
              <w:pStyle w:val="HTMLPreformatted"/>
              <w:rPr>
                <w:rFonts w:ascii="Times New Roman" w:hAnsi="Times New Roman"/>
                <w:sz w:val="24"/>
              </w:rPr>
            </w:pPr>
            <w:r>
              <w:rPr>
                <w:rFonts w:ascii="Times New Roman" w:hAnsi="Times New Roman"/>
                <w:sz w:val="24"/>
              </w:rPr>
              <w:t xml:space="preserve">Case No. </w:t>
            </w:r>
            <w:r w:rsidR="0002591D">
              <w:rPr>
                <w:rFonts w:ascii="Times New Roman" w:hAnsi="Times New Roman"/>
                <w:sz w:val="24"/>
              </w:rPr>
              <w:t>13-</w:t>
            </w:r>
            <w:r w:rsidR="00D706DE">
              <w:rPr>
                <w:rFonts w:ascii="Times New Roman" w:hAnsi="Times New Roman"/>
                <w:sz w:val="24"/>
              </w:rPr>
              <w:t>1530</w:t>
            </w:r>
            <w:r w:rsidR="0002591D">
              <w:rPr>
                <w:rFonts w:ascii="Times New Roman" w:hAnsi="Times New Roman"/>
                <w:sz w:val="24"/>
              </w:rPr>
              <w:t>-EL-</w:t>
            </w:r>
            <w:r w:rsidR="00D706DE">
              <w:rPr>
                <w:rFonts w:ascii="Times New Roman" w:hAnsi="Times New Roman"/>
                <w:sz w:val="24"/>
              </w:rPr>
              <w:t>UNC</w:t>
            </w:r>
          </w:p>
          <w:p w14:paraId="752AE4A4" w14:textId="77777777" w:rsidR="000C2FD2" w:rsidRDefault="000C2FD2">
            <w:pPr>
              <w:pStyle w:val="HTMLPreformatted"/>
              <w:rPr>
                <w:rFonts w:ascii="Times New Roman" w:hAnsi="Times New Roman"/>
                <w:sz w:val="24"/>
              </w:rPr>
            </w:pPr>
          </w:p>
        </w:tc>
      </w:tr>
    </w:tbl>
    <w:p w14:paraId="50FA7186" w14:textId="77777777" w:rsidR="008C2387" w:rsidRDefault="008C2387">
      <w:pPr>
        <w:pStyle w:val="HTMLPreformatted"/>
        <w:rPr>
          <w:rFonts w:ascii="Times New Roman" w:hAnsi="Times New Roman"/>
          <w:sz w:val="24"/>
        </w:rPr>
      </w:pPr>
    </w:p>
    <w:p w14:paraId="32E1F97F" w14:textId="77777777" w:rsidR="000C2FD2" w:rsidRDefault="000C2FD2">
      <w:pPr>
        <w:pStyle w:val="HTMLPreformatted"/>
        <w:pBdr>
          <w:top w:val="single" w:sz="12" w:space="1" w:color="auto"/>
        </w:pBdr>
        <w:rPr>
          <w:rFonts w:ascii="Times New Roman" w:hAnsi="Times New Roman"/>
          <w:sz w:val="24"/>
        </w:rPr>
      </w:pPr>
    </w:p>
    <w:p w14:paraId="222D527B" w14:textId="77777777" w:rsidR="000C2FD2" w:rsidRDefault="00CC735D" w:rsidP="00A13486">
      <w:pPr>
        <w:jc w:val="center"/>
        <w:rPr>
          <w:b/>
          <w:bCs/>
        </w:rPr>
      </w:pPr>
      <w:r>
        <w:rPr>
          <w:b/>
          <w:bCs/>
        </w:rPr>
        <w:t>COMMENTS</w:t>
      </w:r>
    </w:p>
    <w:p w14:paraId="3FC20E41" w14:textId="77777777" w:rsidR="00A13486" w:rsidRDefault="00A13486" w:rsidP="00A13486">
      <w:pPr>
        <w:jc w:val="center"/>
        <w:rPr>
          <w:b/>
          <w:bCs/>
        </w:rPr>
      </w:pPr>
      <w:r>
        <w:rPr>
          <w:b/>
          <w:bCs/>
        </w:rPr>
        <w:t>BY</w:t>
      </w:r>
    </w:p>
    <w:p w14:paraId="12A997BA" w14:textId="77777777" w:rsidR="000C2FD2" w:rsidRDefault="000C2FD2" w:rsidP="00A13486">
      <w:pPr>
        <w:jc w:val="center"/>
        <w:rPr>
          <w:b/>
          <w:bCs/>
        </w:rPr>
      </w:pPr>
      <w:r>
        <w:rPr>
          <w:b/>
          <w:bCs/>
        </w:rPr>
        <w:t>THE OFFICE OF THE OHIO CONSUMERS’ COUNSEL</w:t>
      </w:r>
    </w:p>
    <w:p w14:paraId="0F2E7252" w14:textId="77777777" w:rsidR="000C2FD2" w:rsidRDefault="000C2FD2">
      <w:pPr>
        <w:pBdr>
          <w:bottom w:val="single" w:sz="12" w:space="1" w:color="auto"/>
        </w:pBdr>
        <w:tabs>
          <w:tab w:val="left" w:pos="4320"/>
        </w:tabs>
      </w:pPr>
    </w:p>
    <w:p w14:paraId="03E46CAA" w14:textId="77777777" w:rsidR="000C2FD2" w:rsidRDefault="000C2FD2">
      <w:pPr>
        <w:tabs>
          <w:tab w:val="left" w:pos="4320"/>
        </w:tabs>
      </w:pPr>
    </w:p>
    <w:p w14:paraId="6D296410" w14:textId="77777777" w:rsidR="00167FCD" w:rsidRPr="00167FCD" w:rsidRDefault="00167FCD" w:rsidP="00A13486">
      <w:pPr>
        <w:pStyle w:val="Heading1"/>
      </w:pPr>
      <w:bookmarkStart w:id="1" w:name="_Toc381019620"/>
      <w:r>
        <w:t>I.</w:t>
      </w:r>
      <w:r>
        <w:tab/>
        <w:t>INTRODUCTION</w:t>
      </w:r>
      <w:bookmarkEnd w:id="1"/>
    </w:p>
    <w:p w14:paraId="67F09D64" w14:textId="77777777" w:rsidR="00DB08A3" w:rsidRDefault="00DB08A3" w:rsidP="00DB08A3">
      <w:pPr>
        <w:pStyle w:val="BodyTextIndent3"/>
        <w:widowControl w:val="0"/>
        <w:spacing w:line="480" w:lineRule="auto"/>
        <w:ind w:right="-24"/>
      </w:pPr>
      <w:r>
        <w:t xml:space="preserve">On June 27, 2013, in follow-up to its August 8, 2012 Opinion and Order in Ohio Power Company’s (“AEP Ohio” or “Utility”) last Electric Security Plan (“ESP”) proceeding, the </w:t>
      </w:r>
      <w:r>
        <w:rPr>
          <w:szCs w:val="24"/>
        </w:rPr>
        <w:t>Public Utilities Commission of Ohio (“PUCO”)</w:t>
      </w:r>
      <w:r>
        <w:t xml:space="preserve"> invited comments on rate impacts and rate design to result from the ESP’s implementation of S</w:t>
      </w:r>
      <w:r w:rsidR="0041433D">
        <w:t xml:space="preserve">tandard </w:t>
      </w:r>
      <w:r>
        <w:t>S</w:t>
      </w:r>
      <w:r w:rsidR="0041433D">
        <w:t xml:space="preserve">ervice </w:t>
      </w:r>
      <w:r>
        <w:t>O</w:t>
      </w:r>
      <w:r w:rsidR="0041433D">
        <w:t>ffer (“SSO”)</w:t>
      </w:r>
      <w:r>
        <w:t xml:space="preserve"> auctions for AEP Ohio’s SSO customers.  OCC and a number of other parties intervened in this matter and submitted Comments and Reply Comments.  As discussed by OCC, PUCO Staff and RESA, the ability to provide substantive comments on issues of bill impact and rate design</w:t>
      </w:r>
      <w:r w:rsidR="00393DF4">
        <w:t xml:space="preserve"> that affect Ohioans</w:t>
      </w:r>
      <w:r>
        <w:t xml:space="preserve"> were limited by the fact that AEP Ohio had not yet made a detailed proposal regarding how it would apply auction prices to different customer classes’ rates and bills.</w:t>
      </w:r>
      <w:r w:rsidR="00656984">
        <w:rPr>
          <w:rStyle w:val="FootnoteReference"/>
        </w:rPr>
        <w:footnoteReference w:id="1"/>
      </w:r>
    </w:p>
    <w:p w14:paraId="7B186BA6" w14:textId="0411B0A5" w:rsidR="00DB08A3" w:rsidRDefault="00DB08A3" w:rsidP="00377537">
      <w:pPr>
        <w:pStyle w:val="BodyTextIndent3"/>
        <w:widowControl w:val="0"/>
        <w:spacing w:line="480" w:lineRule="auto"/>
        <w:ind w:right="-24"/>
      </w:pPr>
      <w:r>
        <w:t xml:space="preserve">In its Finding and Order of November 13, 2013, the PUCO agreed with </w:t>
      </w:r>
      <w:r w:rsidR="00236785">
        <w:t xml:space="preserve">the </w:t>
      </w:r>
      <w:r>
        <w:t>PUCO Staff</w:t>
      </w:r>
      <w:r w:rsidR="00656984">
        <w:t>, OCC</w:t>
      </w:r>
      <w:r>
        <w:t xml:space="preserve"> and RESA “that additional information is necessary to ensure customers are prepared for any changes that may occur as a result of </w:t>
      </w:r>
      <w:r w:rsidR="00D669BC">
        <w:t>market-</w:t>
      </w:r>
      <w:r>
        <w:t>based pricing, particularly AEP Ohio’s winter usage customers.”</w:t>
      </w:r>
      <w:r>
        <w:rPr>
          <w:rStyle w:val="FootnoteReference"/>
        </w:rPr>
        <w:footnoteReference w:id="2"/>
      </w:r>
      <w:r>
        <w:t xml:space="preserve">  Therefore, the PUCO directed AEP Ohio to file specified rate impact and rate design information within sixty days of its November 13, 2013 Finding and Order.</w:t>
      </w:r>
      <w:r>
        <w:rPr>
          <w:rStyle w:val="FootnoteReference"/>
        </w:rPr>
        <w:footnoteReference w:id="3"/>
      </w:r>
      <w:r>
        <w:t xml:space="preserve">  And the PUCO invited parties to file comments within 30 days of AEP Ohio’s submission.</w:t>
      </w:r>
      <w:r>
        <w:rPr>
          <w:rStyle w:val="FootnoteReference"/>
        </w:rPr>
        <w:footnoteReference w:id="4"/>
      </w:r>
      <w:r>
        <w:t xml:space="preserve">  Subsequently, AEP Ohio filed its information on January 10, 2014.</w:t>
      </w:r>
      <w:r w:rsidR="0041574F">
        <w:t xml:space="preserve">  AEP Ohio’s filing was updated for certain inadvertent errors on February 4, 2014.  Then, on February 13, 2014, AEP Ohio submitted what it termed “a narrowly focused alternative design of the Generation Capacity </w:t>
      </w:r>
      <w:r w:rsidR="00E92B1C">
        <w:t>R</w:t>
      </w:r>
      <w:r w:rsidR="0041574F">
        <w:t>ider” for Columbus Southern Power Rate Zone Schedule RR and RR1 customers to “apply during the 60% and 100% Energy Auction perio</w:t>
      </w:r>
      <w:r w:rsidR="005A7249">
        <w:t>d</w:t>
      </w:r>
      <w:r w:rsidR="0041574F">
        <w:t>s of November 2014 through May 2015.”</w:t>
      </w:r>
    </w:p>
    <w:p w14:paraId="1D5B747A" w14:textId="77777777" w:rsidR="006A2D56" w:rsidRDefault="00A14EB4" w:rsidP="00DB08A3">
      <w:pPr>
        <w:pStyle w:val="BodyTextIndent3"/>
        <w:widowControl w:val="0"/>
        <w:spacing w:line="480" w:lineRule="auto"/>
        <w:ind w:right="-24"/>
      </w:pPr>
      <w:r>
        <w:t xml:space="preserve">Implementation of AEP Ohio’s SSO energy auctions in accordance with PUCO directives will impact the rates paid by AEP Ohio’s customers.  Although, for most </w:t>
      </w:r>
      <w:r w:rsidR="00D669BC">
        <w:t xml:space="preserve">AEP Ohio </w:t>
      </w:r>
      <w:r>
        <w:t>customers</w:t>
      </w:r>
      <w:r w:rsidR="00D669BC">
        <w:t xml:space="preserve"> in both of its rate zones</w:t>
      </w:r>
      <w:r>
        <w:t>, the transition to auction based pricing will most likely be beneficial</w:t>
      </w:r>
      <w:r w:rsidR="00F91ED1">
        <w:t xml:space="preserve"> (resulting in reductions in rates)</w:t>
      </w:r>
      <w:r w:rsidR="0041433D">
        <w:t>,</w:t>
      </w:r>
      <w:r w:rsidR="00D669BC">
        <w:rPr>
          <w:rStyle w:val="FootnoteReference"/>
        </w:rPr>
        <w:footnoteReference w:id="5"/>
      </w:r>
      <w:r>
        <w:t xml:space="preserve"> some residential customers, particularly C</w:t>
      </w:r>
      <w:r w:rsidR="00D669BC">
        <w:t>olumbus Southern Power (“C</w:t>
      </w:r>
      <w:r>
        <w:t>SP</w:t>
      </w:r>
      <w:r w:rsidR="00D669BC">
        <w:t>”)</w:t>
      </w:r>
      <w:r>
        <w:t xml:space="preserve"> </w:t>
      </w:r>
      <w:r w:rsidR="00D669BC">
        <w:t xml:space="preserve">rate zone </w:t>
      </w:r>
      <w:r>
        <w:t>residential customers with high winter usage, may experience rate increases that are greater than other residential customers.</w:t>
      </w:r>
      <w:r w:rsidR="00D669BC">
        <w:rPr>
          <w:rStyle w:val="FootnoteReference"/>
        </w:rPr>
        <w:footnoteReference w:id="6"/>
      </w:r>
      <w:r w:rsidR="002B2459">
        <w:t xml:space="preserve">  </w:t>
      </w:r>
      <w:r w:rsidR="005A7249">
        <w:t>AEP Ohio’s proposed alternative rate design</w:t>
      </w:r>
      <w:r w:rsidR="00E55E85">
        <w:t>, filed on February 13, 2014,</w:t>
      </w:r>
      <w:r w:rsidR="005A7249">
        <w:t xml:space="preserve"> is </w:t>
      </w:r>
    </w:p>
    <w:p w14:paraId="72E6BA1C" w14:textId="58903F6A" w:rsidR="005A7249" w:rsidRDefault="006A2D56" w:rsidP="006A2D56">
      <w:pPr>
        <w:pStyle w:val="BodyTextIndent3"/>
        <w:widowControl w:val="0"/>
        <w:spacing w:line="480" w:lineRule="auto"/>
        <w:ind w:right="-24" w:firstLine="0"/>
      </w:pPr>
      <w:r>
        <w:br w:type="page"/>
      </w:r>
      <w:r w:rsidR="005A7249">
        <w:t xml:space="preserve">intended to reduce the </w:t>
      </w:r>
      <w:r w:rsidR="005A3AF4">
        <w:t xml:space="preserve">possible </w:t>
      </w:r>
      <w:r w:rsidR="005A7249">
        <w:t xml:space="preserve">impact of transition </w:t>
      </w:r>
      <w:r w:rsidR="00E530E6">
        <w:t xml:space="preserve">to auction-based rates </w:t>
      </w:r>
      <w:r w:rsidR="005A7249">
        <w:t>on CSP’s high winter-usage customers</w:t>
      </w:r>
      <w:r w:rsidR="00E530E6">
        <w:t xml:space="preserve"> (those custom</w:t>
      </w:r>
      <w:r w:rsidR="00D669BC">
        <w:t>e</w:t>
      </w:r>
      <w:r w:rsidR="00E530E6">
        <w:t>rs with monthly usage over 800 k</w:t>
      </w:r>
      <w:r w:rsidR="0041433D">
        <w:t>W</w:t>
      </w:r>
      <w:r w:rsidR="00E530E6">
        <w:t>h)</w:t>
      </w:r>
      <w:r w:rsidR="005A7249">
        <w:t>.</w:t>
      </w:r>
    </w:p>
    <w:p w14:paraId="187EB94A" w14:textId="10394847" w:rsidR="005A7249" w:rsidRDefault="005A7249" w:rsidP="00DB08A3">
      <w:pPr>
        <w:pStyle w:val="BodyTextIndent3"/>
        <w:widowControl w:val="0"/>
        <w:spacing w:line="480" w:lineRule="auto"/>
        <w:ind w:right="-24"/>
      </w:pPr>
      <w:r>
        <w:t xml:space="preserve">OCC’s Comments address the impact of the transition upon </w:t>
      </w:r>
      <w:r w:rsidR="005A3AF4">
        <w:t xml:space="preserve">the </w:t>
      </w:r>
      <w:r>
        <w:t>CSP</w:t>
      </w:r>
      <w:r w:rsidR="005A3AF4">
        <w:t xml:space="preserve"> rate zone’s</w:t>
      </w:r>
      <w:r>
        <w:t xml:space="preserve"> high winter-usage customers and provide OCC’s recommendations regarding AEP Ohio’s proposed alternative rate design.  As discussed below, OCC </w:t>
      </w:r>
      <w:r w:rsidR="00B46513">
        <w:t xml:space="preserve">does not oppose </w:t>
      </w:r>
      <w:r w:rsidR="005A3AF4">
        <w:t xml:space="preserve">AEP Ohio’s </w:t>
      </w:r>
      <w:r w:rsidR="00E92B1C">
        <w:t>proposed alternative rate design</w:t>
      </w:r>
      <w:r w:rsidR="005A3AF4">
        <w:t xml:space="preserve"> for the CSP rate zone</w:t>
      </w:r>
      <w:r w:rsidR="00E92B1C">
        <w:t>, which is consistent with the objective of gradualism with respect to changes in the rates of CSP’s high-use winter customers</w:t>
      </w:r>
      <w:r>
        <w:t>.</w:t>
      </w:r>
      <w:r w:rsidR="00ED5531">
        <w:t xml:space="preserve">  OCC recommends that AEP Ohio’s proposed 5 </w:t>
      </w:r>
      <w:r w:rsidR="009F3C54">
        <w:t>Coincident</w:t>
      </w:r>
      <w:r w:rsidR="005A3AF4">
        <w:t xml:space="preserve"> </w:t>
      </w:r>
      <w:r w:rsidR="00ED5531">
        <w:t>P</w:t>
      </w:r>
      <w:r w:rsidR="005A3AF4">
        <w:t>eak (“CP”)</w:t>
      </w:r>
      <w:r w:rsidR="00ED5531">
        <w:t xml:space="preserve"> allocation of capacity costs </w:t>
      </w:r>
      <w:r w:rsidR="00CE7F35">
        <w:t xml:space="preserve">should be subject to further review </w:t>
      </w:r>
      <w:r w:rsidR="00ED5531">
        <w:t>in AEP</w:t>
      </w:r>
      <w:r w:rsidR="005A3AF4">
        <w:t xml:space="preserve"> Ohio</w:t>
      </w:r>
      <w:r w:rsidR="00ED5531">
        <w:t xml:space="preserve">’s ESP proceeding </w:t>
      </w:r>
      <w:r w:rsidR="005A3AF4">
        <w:t>in</w:t>
      </w:r>
      <w:r w:rsidR="00ED5531">
        <w:t xml:space="preserve"> Case No. 13-2385-EL-SSO.</w:t>
      </w:r>
      <w:r w:rsidR="00AF6E0B">
        <w:t xml:space="preserve">  </w:t>
      </w:r>
      <w:r w:rsidR="00CE7F35">
        <w:t>Additionally</w:t>
      </w:r>
      <w:r w:rsidR="00AF6E0B">
        <w:t xml:space="preserve">, AEP Ohio’s proposed Auction Phase-in and Fixed Cost Riders should be </w:t>
      </w:r>
      <w:r w:rsidR="0034444A">
        <w:t>subject to review and reconciliation for prudent costs actually incurred</w:t>
      </w:r>
      <w:r w:rsidR="00CE7F35">
        <w:t xml:space="preserve"> in a subsequent audit proceeding</w:t>
      </w:r>
      <w:r w:rsidR="0034444A">
        <w:t xml:space="preserve">.  Finally, the PUCO should monitor AEP Ohio’s actual auction prices to ensure that customers are not adversely affected upon implementation of </w:t>
      </w:r>
      <w:r w:rsidR="005A3AF4">
        <w:t>AEP Ohio’s</w:t>
      </w:r>
      <w:r w:rsidR="0034444A">
        <w:t xml:space="preserve"> proposed rate design.</w:t>
      </w:r>
    </w:p>
    <w:p w14:paraId="5096FBC3" w14:textId="77777777" w:rsidR="002D6B3E" w:rsidRDefault="002D6B3E" w:rsidP="002D6B3E">
      <w:pPr>
        <w:pStyle w:val="BodyTextIndent3"/>
        <w:widowControl w:val="0"/>
        <w:spacing w:line="240" w:lineRule="auto"/>
        <w:ind w:right="-24"/>
      </w:pPr>
    </w:p>
    <w:p w14:paraId="4B45444D" w14:textId="77777777" w:rsidR="00DB08A3" w:rsidRPr="00DB08A3" w:rsidRDefault="00DB08A3" w:rsidP="002D6B3E">
      <w:pPr>
        <w:pStyle w:val="Heading1"/>
      </w:pPr>
      <w:bookmarkStart w:id="2" w:name="_Toc381019621"/>
      <w:r>
        <w:t>II.</w:t>
      </w:r>
      <w:r>
        <w:tab/>
        <w:t>COMMENTS</w:t>
      </w:r>
      <w:bookmarkEnd w:id="2"/>
    </w:p>
    <w:p w14:paraId="3B5A1D5B" w14:textId="77777777" w:rsidR="0034444A" w:rsidRDefault="00DB08A3" w:rsidP="002D6B3E">
      <w:pPr>
        <w:pStyle w:val="Heading2"/>
      </w:pPr>
      <w:bookmarkStart w:id="3" w:name="_Toc381019622"/>
      <w:r>
        <w:t>A.</w:t>
      </w:r>
      <w:r>
        <w:tab/>
      </w:r>
      <w:r w:rsidR="00E92B1C">
        <w:t>AEP Ohio’s</w:t>
      </w:r>
      <w:r w:rsidR="00E530E6">
        <w:t xml:space="preserve"> Propos</w:t>
      </w:r>
      <w:r w:rsidR="0079414C">
        <w:t xml:space="preserve">ed </w:t>
      </w:r>
      <w:r w:rsidR="00E530E6">
        <w:t xml:space="preserve">Alternative Rate Design </w:t>
      </w:r>
      <w:r w:rsidR="002D6B3E">
        <w:t>t</w:t>
      </w:r>
      <w:r w:rsidR="0079414C">
        <w:t xml:space="preserve">o Transition from Base Generation Rates to Auction-Based SSO Pricing </w:t>
      </w:r>
      <w:r w:rsidR="00E530E6">
        <w:t>Moderate</w:t>
      </w:r>
      <w:r w:rsidR="0079414C">
        <w:t>s</w:t>
      </w:r>
      <w:r w:rsidR="00E530E6">
        <w:t xml:space="preserve"> </w:t>
      </w:r>
      <w:r w:rsidR="002D6B3E">
        <w:t>t</w:t>
      </w:r>
      <w:r w:rsidR="00E530E6">
        <w:t xml:space="preserve">he </w:t>
      </w:r>
      <w:r w:rsidR="005A3AF4">
        <w:t xml:space="preserve">Possible </w:t>
      </w:r>
      <w:r w:rsidR="00E530E6">
        <w:t xml:space="preserve">Impact </w:t>
      </w:r>
      <w:r w:rsidR="0079414C">
        <w:t xml:space="preserve">of Rate Changes </w:t>
      </w:r>
      <w:r w:rsidR="00E530E6">
        <w:t>on High Winter</w:t>
      </w:r>
      <w:r w:rsidR="00D669BC">
        <w:t>-</w:t>
      </w:r>
      <w:r w:rsidR="00E530E6">
        <w:t>Usage CSP Customers</w:t>
      </w:r>
      <w:r w:rsidR="0079414C">
        <w:t>.</w:t>
      </w:r>
      <w:bookmarkEnd w:id="3"/>
    </w:p>
    <w:p w14:paraId="0B250EAB" w14:textId="77777777" w:rsidR="0034444A" w:rsidRPr="0034444A" w:rsidRDefault="0034444A" w:rsidP="002D6B3E">
      <w:pPr>
        <w:pStyle w:val="Heading3"/>
      </w:pPr>
      <w:bookmarkStart w:id="4" w:name="_Toc381019623"/>
      <w:r>
        <w:t>1.</w:t>
      </w:r>
      <w:r>
        <w:tab/>
        <w:t>Introduction</w:t>
      </w:r>
      <w:bookmarkEnd w:id="4"/>
    </w:p>
    <w:p w14:paraId="27B06B19" w14:textId="5839771C" w:rsidR="00AF6E0B" w:rsidRDefault="00AF6E0B" w:rsidP="00211283">
      <w:pPr>
        <w:pStyle w:val="BodyTextIndent3"/>
        <w:widowControl w:val="0"/>
        <w:spacing w:line="480" w:lineRule="auto"/>
        <w:ind w:right="-24"/>
      </w:pPr>
      <w:r>
        <w:t>AEP Ohio proposes to phase-in auction-based pricing by reducing base generation rates by the percentage of energy (10%, 60% and 100%) that is obtained through the auctions during the auction phase-in period (April 1, 2014 to January 1, 2015).  At the same time, AEP Ohio proposes to remove generation capacity costs from base generation rates and replace them with a Generation Capacity Rider based on the PUCO-determined capacity cost of $188.88/MW-day by the same percentages used to phase</w:t>
      </w:r>
      <w:r w:rsidR="0034444A">
        <w:t>-</w:t>
      </w:r>
      <w:r>
        <w:t>in energy auction prices.  While AEP Ohio’s proposed methodology is, for the most part, a reasonable approach to the phase-in of auction pricing, it has one primary downside</w:t>
      </w:r>
      <w:r w:rsidR="0034444A">
        <w:t xml:space="preserve">: </w:t>
      </w:r>
      <w:r>
        <w:t>the current block structure of AEP Ohio’s base generation rates</w:t>
      </w:r>
      <w:r w:rsidR="0034444A">
        <w:t xml:space="preserve"> would </w:t>
      </w:r>
      <w:r w:rsidR="005A3AF4">
        <w:t xml:space="preserve">result in </w:t>
      </w:r>
      <w:r w:rsidR="0034444A">
        <w:t>a disproportionate impact on CSP Rate Zone customers with high winter usage.  Consequently, it is necessary to phase-in rates for CSP Rate Zone customers.  As AEP Ohio has proposed in its February 13, 2014 alternative rate design, this can be accomplished by implementing a block structure for the phase-in of CSP rate zone winter-usage Generation Capacity Rider rates.</w:t>
      </w:r>
    </w:p>
    <w:p w14:paraId="360961AB" w14:textId="77777777" w:rsidR="0034444A" w:rsidRDefault="0034444A" w:rsidP="002D6B3E">
      <w:pPr>
        <w:pStyle w:val="Heading3"/>
      </w:pPr>
      <w:bookmarkStart w:id="5" w:name="_Toc381019624"/>
      <w:r>
        <w:t>2.</w:t>
      </w:r>
      <w:r>
        <w:tab/>
        <w:t xml:space="preserve">Phase-In of </w:t>
      </w:r>
      <w:r w:rsidR="002D6B3E">
        <w:t>e</w:t>
      </w:r>
      <w:r>
        <w:t xml:space="preserve">nergy </w:t>
      </w:r>
      <w:r w:rsidR="002D6B3E">
        <w:t>a</w:t>
      </w:r>
      <w:r>
        <w:t>uctio</w:t>
      </w:r>
      <w:r w:rsidR="002D6B3E">
        <w:t>n rates and phase-out of energy p</w:t>
      </w:r>
      <w:r>
        <w:t xml:space="preserve">ortion of </w:t>
      </w:r>
      <w:r w:rsidR="002D6B3E">
        <w:t>b</w:t>
      </w:r>
      <w:r>
        <w:t xml:space="preserve">ase </w:t>
      </w:r>
      <w:r w:rsidR="002D6B3E">
        <w:t>g</w:t>
      </w:r>
      <w:r>
        <w:t xml:space="preserve">eneration </w:t>
      </w:r>
      <w:r w:rsidR="002D6B3E">
        <w:t>r</w:t>
      </w:r>
      <w:r>
        <w:t>ates.</w:t>
      </w:r>
      <w:bookmarkEnd w:id="5"/>
    </w:p>
    <w:p w14:paraId="20F4B0D1" w14:textId="6D49999D" w:rsidR="002907DB" w:rsidRDefault="00E33414" w:rsidP="00211283">
      <w:pPr>
        <w:pStyle w:val="BodyTextIndent3"/>
        <w:widowControl w:val="0"/>
        <w:spacing w:line="480" w:lineRule="auto"/>
        <w:ind w:right="-24"/>
      </w:pPr>
      <w:r>
        <w:t xml:space="preserve">As shown on page </w:t>
      </w:r>
      <w:r w:rsidR="00B026C3">
        <w:t>1</w:t>
      </w:r>
      <w:r w:rsidR="00DD54E4">
        <w:t xml:space="preserve"> </w:t>
      </w:r>
      <w:r>
        <w:t xml:space="preserve">of its </w:t>
      </w:r>
      <w:r w:rsidR="00B026C3">
        <w:t xml:space="preserve">January </w:t>
      </w:r>
      <w:r w:rsidR="00ED5531">
        <w:t>10</w:t>
      </w:r>
      <w:r w:rsidR="00B026C3">
        <w:t xml:space="preserve">, 2014 </w:t>
      </w:r>
      <w:r>
        <w:t xml:space="preserve">filing, </w:t>
      </w:r>
      <w:r w:rsidR="00ED5531">
        <w:t xml:space="preserve">in developing its proposed rates to transition </w:t>
      </w:r>
      <w:r w:rsidR="0079414C">
        <w:t xml:space="preserve">base generation rates </w:t>
      </w:r>
      <w:r w:rsidR="00ED5531">
        <w:t xml:space="preserve">to auction-based pricing, </w:t>
      </w:r>
      <w:r w:rsidR="00DB08A3">
        <w:t xml:space="preserve">AEP Ohio proposed to </w:t>
      </w:r>
      <w:r>
        <w:t xml:space="preserve">reduce base generation rates by the specified percentage </w:t>
      </w:r>
      <w:r w:rsidR="00B026C3">
        <w:t>of SSO energy that is being procured through the auctions.</w:t>
      </w:r>
      <w:r w:rsidR="002907DB">
        <w:t xml:space="preserve">  </w:t>
      </w:r>
      <w:r w:rsidR="006B2A40">
        <w:t xml:space="preserve">Thus, for OPC Rate Zone </w:t>
      </w:r>
      <w:r w:rsidR="00CE7F35">
        <w:t xml:space="preserve">RS </w:t>
      </w:r>
      <w:r w:rsidR="006B2A40">
        <w:t xml:space="preserve">customers, the current base generation rate of 2.78195 cents/kWh for usage up to 800 kWh would be reduced by 10%, or 0.27820 cents/kWh during the first auction period (Apr – Oct 2014), resulting in a revised rate of 2.50376 cents/kWh.  Other </w:t>
      </w:r>
      <w:r w:rsidR="00CE7F35">
        <w:t xml:space="preserve">OPC and CSP </w:t>
      </w:r>
      <w:r w:rsidR="006B2A40">
        <w:t xml:space="preserve">rate blocks would be adjusted in a similar fashion.  For auction period 2 (Nov – Dec 2014), and auction period 3 (Jan – May 2015), </w:t>
      </w:r>
      <w:r w:rsidR="009A1825">
        <w:t xml:space="preserve">base generation </w:t>
      </w:r>
      <w:r w:rsidR="006B2A40">
        <w:t xml:space="preserve">rates would be adjusted </w:t>
      </w:r>
      <w:r w:rsidR="009A1825">
        <w:t xml:space="preserve">downward </w:t>
      </w:r>
      <w:r w:rsidR="006B2A40">
        <w:t xml:space="preserve">by the amounts acquired by auction in those periods, 60% and 100% respectively.  </w:t>
      </w:r>
      <w:r w:rsidR="002907DB">
        <w:t>SSO customers would then be charged the auction price for the specified percentage of energy then being procured through the SSO energy auctions.</w:t>
      </w:r>
    </w:p>
    <w:p w14:paraId="663017A4" w14:textId="77777777" w:rsidR="006F6BBE" w:rsidRPr="00F5374E" w:rsidRDefault="00680024" w:rsidP="002D6B3E">
      <w:pPr>
        <w:pStyle w:val="Heading3"/>
      </w:pPr>
      <w:bookmarkStart w:id="6" w:name="_Toc381019625"/>
      <w:r>
        <w:t>3.</w:t>
      </w:r>
      <w:r>
        <w:tab/>
        <w:t xml:space="preserve">Phase-In of </w:t>
      </w:r>
      <w:r w:rsidR="002D6B3E">
        <w:t>g</w:t>
      </w:r>
      <w:r>
        <w:t xml:space="preserve">eneration </w:t>
      </w:r>
      <w:r w:rsidR="002D6B3E">
        <w:t>c</w:t>
      </w:r>
      <w:r>
        <w:t xml:space="preserve">apacity </w:t>
      </w:r>
      <w:r w:rsidR="002D6B3E">
        <w:t>r</w:t>
      </w:r>
      <w:r>
        <w:t xml:space="preserve">ider and </w:t>
      </w:r>
      <w:r w:rsidR="002D6B3E">
        <w:t>p</w:t>
      </w:r>
      <w:r>
        <w:t>hase-</w:t>
      </w:r>
      <w:r w:rsidR="002D6B3E">
        <w:t>o</w:t>
      </w:r>
      <w:r>
        <w:t xml:space="preserve">ut of </w:t>
      </w:r>
      <w:r w:rsidR="002D6B3E">
        <w:t>c</w:t>
      </w:r>
      <w:r>
        <w:t xml:space="preserve">apacity </w:t>
      </w:r>
      <w:r w:rsidR="002D6B3E">
        <w:t>c</w:t>
      </w:r>
      <w:r>
        <w:t xml:space="preserve">ost </w:t>
      </w:r>
      <w:r w:rsidR="002D6B3E">
        <w:t>p</w:t>
      </w:r>
      <w:r>
        <w:t xml:space="preserve">ortion of </w:t>
      </w:r>
      <w:r w:rsidR="002D6B3E">
        <w:t>b</w:t>
      </w:r>
      <w:r>
        <w:t xml:space="preserve">ase </w:t>
      </w:r>
      <w:r w:rsidR="002D6B3E">
        <w:t>g</w:t>
      </w:r>
      <w:r>
        <w:t xml:space="preserve">eneration </w:t>
      </w:r>
      <w:r w:rsidR="002D6B3E">
        <w:t>r</w:t>
      </w:r>
      <w:r>
        <w:t>ates.</w:t>
      </w:r>
      <w:bookmarkEnd w:id="6"/>
    </w:p>
    <w:p w14:paraId="5E07E6FD" w14:textId="7292D4AC" w:rsidR="009A1825" w:rsidRDefault="00ED5531" w:rsidP="00211283">
      <w:pPr>
        <w:pStyle w:val="BodyTextIndent3"/>
        <w:widowControl w:val="0"/>
        <w:spacing w:line="480" w:lineRule="auto"/>
        <w:ind w:right="-24"/>
      </w:pPr>
      <w:r>
        <w:t xml:space="preserve">Similarly, for the capacity costs </w:t>
      </w:r>
      <w:r w:rsidR="002907DB">
        <w:t>included in base generation rates</w:t>
      </w:r>
      <w:r>
        <w:t>, AEP Ohio propose</w:t>
      </w:r>
      <w:r w:rsidR="0079414C">
        <w:t>d</w:t>
      </w:r>
      <w:r>
        <w:t xml:space="preserve"> to transition the capacity portion of base generation rates</w:t>
      </w:r>
      <w:r w:rsidR="002907DB">
        <w:t xml:space="preserve"> into a Generation Capacity Rider.</w:t>
      </w:r>
      <w:r w:rsidR="006F6BBE">
        <w:rPr>
          <w:rStyle w:val="FootnoteReference"/>
        </w:rPr>
        <w:footnoteReference w:id="7"/>
      </w:r>
      <w:r w:rsidR="002907DB">
        <w:t xml:space="preserve">  Through this approach, </w:t>
      </w:r>
      <w:r w:rsidR="00DD4FB0">
        <w:t xml:space="preserve">base generation rates would be reduced in increments (10%, 60% and 100% reduction) and </w:t>
      </w:r>
      <w:r w:rsidR="002907DB">
        <w:t>the Generation Capacity Rider would be phased in</w:t>
      </w:r>
      <w:r w:rsidR="00646508">
        <w:t xml:space="preserve"> </w:t>
      </w:r>
      <w:r w:rsidR="00DD4FB0">
        <w:t xml:space="preserve">(10%, 60% and 100% of capacity costs) </w:t>
      </w:r>
      <w:r w:rsidR="00646508">
        <w:t>based on the cost of capacity of</w:t>
      </w:r>
      <w:r w:rsidR="002907DB">
        <w:t xml:space="preserve"> $188.88/MW-</w:t>
      </w:r>
      <w:r w:rsidR="009F3C54">
        <w:t>d</w:t>
      </w:r>
      <w:r w:rsidR="002907DB">
        <w:t>ay</w:t>
      </w:r>
      <w:r w:rsidR="00646508">
        <w:t xml:space="preserve"> determined in AEP Ohio’s capacity cost proceeding.</w:t>
      </w:r>
      <w:r w:rsidR="00646508">
        <w:rPr>
          <w:rStyle w:val="FootnoteReference"/>
        </w:rPr>
        <w:footnoteReference w:id="8"/>
      </w:r>
      <w:r w:rsidR="00646508">
        <w:t xml:space="preserve">  </w:t>
      </w:r>
    </w:p>
    <w:p w14:paraId="70354DC6" w14:textId="0B6419F2" w:rsidR="00E33414" w:rsidRDefault="009A1825" w:rsidP="00211283">
      <w:pPr>
        <w:pStyle w:val="BodyTextIndent3"/>
        <w:widowControl w:val="0"/>
        <w:spacing w:line="480" w:lineRule="auto"/>
        <w:ind w:right="-24"/>
      </w:pPr>
      <w:r>
        <w:t>B</w:t>
      </w:r>
      <w:r w:rsidR="00646508">
        <w:t xml:space="preserve">ased on </w:t>
      </w:r>
      <w:r>
        <w:t xml:space="preserve">AEP Ohio’s proposed use of </w:t>
      </w:r>
      <w:r w:rsidR="00646508">
        <w:t>PJM 5 coincident peaks</w:t>
      </w:r>
      <w:r>
        <w:t xml:space="preserve"> for allocation of capacity costs</w:t>
      </w:r>
      <w:r w:rsidR="00102F24">
        <w:t xml:space="preserve"> between customer classes</w:t>
      </w:r>
      <w:r w:rsidR="00646508">
        <w:t xml:space="preserve">, the capacity rate </w:t>
      </w:r>
      <w:r>
        <w:t xml:space="preserve">applicable to the residential class would be </w:t>
      </w:r>
      <w:r w:rsidR="00646508">
        <w:t>1.7</w:t>
      </w:r>
      <w:r w:rsidR="00160F0F">
        <w:t>550</w:t>
      </w:r>
      <w:r w:rsidR="00646508">
        <w:t xml:space="preserve"> cents/kWh</w:t>
      </w:r>
      <w:r w:rsidR="00DD4FB0">
        <w:t>, which would be phased in from April 1, 2014 to January 1, 2015</w:t>
      </w:r>
      <w:r w:rsidR="00646508">
        <w:t xml:space="preserve">.  </w:t>
      </w:r>
      <w:r>
        <w:t>Using this allocation</w:t>
      </w:r>
      <w:r w:rsidR="00646508">
        <w:t xml:space="preserve">, for the first auction period (Apr </w:t>
      </w:r>
      <w:r w:rsidR="00DD4FB0">
        <w:t xml:space="preserve">2014 </w:t>
      </w:r>
      <w:r w:rsidR="00646508">
        <w:t xml:space="preserve">– Oct 2014), base generation rates would be decreased by 10% </w:t>
      </w:r>
      <w:r w:rsidR="00DD4FB0">
        <w:t xml:space="preserve">(for </w:t>
      </w:r>
      <w:r w:rsidR="00CE7F35">
        <w:t xml:space="preserve">CSP Rate Zone </w:t>
      </w:r>
      <w:r w:rsidR="00DD4FB0">
        <w:t xml:space="preserve">Rate RR, the reduction would be </w:t>
      </w:r>
      <w:r w:rsidR="00646508">
        <w:t>0.</w:t>
      </w:r>
      <w:r w:rsidR="00DD4FB0">
        <w:t>296458</w:t>
      </w:r>
      <w:r w:rsidR="00646508">
        <w:t xml:space="preserve"> cents/kWh</w:t>
      </w:r>
      <w:r w:rsidR="00DD4FB0">
        <w:t>)</w:t>
      </w:r>
      <w:r w:rsidR="00646508">
        <w:t xml:space="preserve"> and the </w:t>
      </w:r>
      <w:r w:rsidR="00160F0F">
        <w:t>Generation Capacity Rider</w:t>
      </w:r>
      <w:r w:rsidR="00646508">
        <w:t xml:space="preserve"> charge would be </w:t>
      </w:r>
      <w:r w:rsidR="00160F0F">
        <w:t xml:space="preserve">10% of capacity costs, or </w:t>
      </w:r>
      <w:r w:rsidR="00646508">
        <w:t>0.17</w:t>
      </w:r>
      <w:r w:rsidR="00DD4FB0">
        <w:t>550</w:t>
      </w:r>
      <w:r w:rsidR="00646508">
        <w:t xml:space="preserve"> cents/kWh.</w:t>
      </w:r>
      <w:r w:rsidR="00F422C7">
        <w:t xml:space="preserve">  </w:t>
      </w:r>
      <w:r w:rsidR="00DD4FB0">
        <w:t xml:space="preserve">In the second auction period, (Nov 2014 – Dec 2014), base generation rates would be decreased by 60% (for </w:t>
      </w:r>
      <w:r w:rsidR="00CE7F35">
        <w:t xml:space="preserve">CSP Rate Zone </w:t>
      </w:r>
      <w:r w:rsidR="00DD4FB0">
        <w:t xml:space="preserve">Rate RR, the reduction would be 1.778748 cents/kWh) and </w:t>
      </w:r>
      <w:r w:rsidR="00160F0F">
        <w:t>Generation Capacity Rider</w:t>
      </w:r>
      <w:r w:rsidR="00DD4FB0">
        <w:t xml:space="preserve"> charge would be </w:t>
      </w:r>
      <w:r w:rsidR="00160F0F">
        <w:t xml:space="preserve">60% of capacity costs, or </w:t>
      </w:r>
      <w:r w:rsidR="00DD4FB0">
        <w:t xml:space="preserve">1.05300 cents/kWh.  </w:t>
      </w:r>
      <w:r w:rsidR="00F422C7">
        <w:t xml:space="preserve">In the last </w:t>
      </w:r>
      <w:r w:rsidR="00DB08A3">
        <w:t xml:space="preserve">energy-only </w:t>
      </w:r>
      <w:r w:rsidR="00F422C7">
        <w:t xml:space="preserve">auction period (Jan – May 2015), base generation rates would be reduced </w:t>
      </w:r>
      <w:r w:rsidR="00DD4FB0">
        <w:t>to $0.00</w:t>
      </w:r>
      <w:r w:rsidR="00F422C7">
        <w:t xml:space="preserve">/kWh and the </w:t>
      </w:r>
      <w:r w:rsidR="00160F0F">
        <w:t>Generation Capacity Rider</w:t>
      </w:r>
      <w:r w:rsidR="00F422C7">
        <w:t xml:space="preserve"> charge would be the full 1.7</w:t>
      </w:r>
      <w:r w:rsidR="00DD4FB0">
        <w:t xml:space="preserve">550 </w:t>
      </w:r>
      <w:r w:rsidR="00F422C7">
        <w:t>cents/kWh.</w:t>
      </w:r>
      <w:r w:rsidR="00DB08A3">
        <w:t xml:space="preserve">  On June 1, 2015, the </w:t>
      </w:r>
      <w:r w:rsidR="00160F0F">
        <w:t>Generation Capacity Rider</w:t>
      </w:r>
      <w:r w:rsidR="00DB08A3">
        <w:t xml:space="preserve"> will be based entirely on the rates resulting from capacity auctions rather than the $188.88/MW-day associated with AEP Ohio’s legacy generation</w:t>
      </w:r>
      <w:r w:rsidR="00FD31D2">
        <w:t>.</w:t>
      </w:r>
    </w:p>
    <w:p w14:paraId="47F5AB47" w14:textId="77777777" w:rsidR="00680024" w:rsidRPr="00F5374E" w:rsidRDefault="002D6B3E" w:rsidP="002D6B3E">
      <w:pPr>
        <w:pStyle w:val="Heading3"/>
      </w:pPr>
      <w:bookmarkStart w:id="7" w:name="_Toc381019626"/>
      <w:r>
        <w:t>4</w:t>
      </w:r>
      <w:r w:rsidR="00680024">
        <w:t>.</w:t>
      </w:r>
      <w:r w:rsidR="00680024">
        <w:tab/>
        <w:t xml:space="preserve">Customer </w:t>
      </w:r>
      <w:r>
        <w:t>i</w:t>
      </w:r>
      <w:r w:rsidR="00680024">
        <w:t xml:space="preserve">mpacts from </w:t>
      </w:r>
      <w:r>
        <w:t>proposed p</w:t>
      </w:r>
      <w:r w:rsidR="00680024">
        <w:t>hase-</w:t>
      </w:r>
      <w:r>
        <w:t>i</w:t>
      </w:r>
      <w:r w:rsidR="00680024">
        <w:t xml:space="preserve">n of </w:t>
      </w:r>
      <w:r>
        <w:t>a</w:t>
      </w:r>
      <w:r w:rsidR="00680024">
        <w:t>uction-</w:t>
      </w:r>
      <w:r>
        <w:t>b</w:t>
      </w:r>
      <w:r w:rsidR="00680024">
        <w:t xml:space="preserve">ased </w:t>
      </w:r>
      <w:r>
        <w:t>p</w:t>
      </w:r>
      <w:r w:rsidR="00680024">
        <w:t xml:space="preserve">ricing and </w:t>
      </w:r>
      <w:r>
        <w:t>p</w:t>
      </w:r>
      <w:r w:rsidR="00680024">
        <w:t>hase-</w:t>
      </w:r>
      <w:r>
        <w:t>o</w:t>
      </w:r>
      <w:r w:rsidR="00680024">
        <w:t xml:space="preserve">ut of </w:t>
      </w:r>
      <w:r>
        <w:t>b</w:t>
      </w:r>
      <w:r w:rsidR="00680024">
        <w:t xml:space="preserve">ase </w:t>
      </w:r>
      <w:r>
        <w:t>g</w:t>
      </w:r>
      <w:r w:rsidR="00680024">
        <w:t xml:space="preserve">eneration </w:t>
      </w:r>
      <w:r>
        <w:t>r</w:t>
      </w:r>
      <w:r w:rsidR="00680024">
        <w:t>ates</w:t>
      </w:r>
      <w:bookmarkEnd w:id="7"/>
    </w:p>
    <w:p w14:paraId="36B8907F" w14:textId="785494EB" w:rsidR="000F58CE" w:rsidRDefault="000F58CE" w:rsidP="00211283">
      <w:pPr>
        <w:pStyle w:val="BodyTextIndent3"/>
        <w:widowControl w:val="0"/>
        <w:spacing w:line="480" w:lineRule="auto"/>
        <w:ind w:right="-24"/>
      </w:pPr>
      <w:r>
        <w:t xml:space="preserve">As AEP Ohio notes, </w:t>
      </w:r>
      <w:r w:rsidR="0079414C">
        <w:t xml:space="preserve">its proposed </w:t>
      </w:r>
      <w:r>
        <w:t xml:space="preserve">transition from base generation rates to </w:t>
      </w:r>
      <w:r w:rsidR="00453B66">
        <w:t>rates based on the</w:t>
      </w:r>
      <w:r w:rsidR="0079414C">
        <w:t xml:space="preserve"> PUCO’s determination of $188.88/MW-day</w:t>
      </w:r>
      <w:r w:rsidR="00453B66">
        <w:t xml:space="preserve"> capacity costs</w:t>
      </w:r>
      <w:r w:rsidR="0079414C">
        <w:t xml:space="preserve"> </w:t>
      </w:r>
      <w:r>
        <w:t xml:space="preserve"> “results in rate reductions for most customers,” providing “some cushion or headroom should the results of the energy auction be higher than existing FAC energy rates.”</w:t>
      </w:r>
      <w:r w:rsidR="00AF4DCD">
        <w:rPr>
          <w:rStyle w:val="FootnoteReference"/>
        </w:rPr>
        <w:footnoteReference w:id="9"/>
      </w:r>
      <w:r>
        <w:t xml:space="preserve">  However, </w:t>
      </w:r>
      <w:r w:rsidR="00453B66">
        <w:t xml:space="preserve">this transition, through the use of </w:t>
      </w:r>
      <w:r w:rsidR="00102F24">
        <w:t xml:space="preserve">the </w:t>
      </w:r>
      <w:r w:rsidR="00453B66">
        <w:t xml:space="preserve">proposed </w:t>
      </w:r>
      <w:r w:rsidR="00160F0F">
        <w:t>Generation Capacity Rider</w:t>
      </w:r>
      <w:r w:rsidR="00453B66">
        <w:t>,</w:t>
      </w:r>
      <w:r w:rsidR="00102F24">
        <w:t xml:space="preserve"> </w:t>
      </w:r>
      <w:r>
        <w:t xml:space="preserve">will </w:t>
      </w:r>
      <w:r w:rsidR="00453B66">
        <w:t xml:space="preserve">adversely </w:t>
      </w:r>
      <w:r>
        <w:t>affect CSP’s RR</w:t>
      </w:r>
      <w:r w:rsidR="00111107">
        <w:t xml:space="preserve"> and RR-1</w:t>
      </w:r>
      <w:r>
        <w:t xml:space="preserve"> customers with high winter usage who currently pay no </w:t>
      </w:r>
      <w:r w:rsidR="007E076F">
        <w:t>base generation charges</w:t>
      </w:r>
      <w:r>
        <w:t xml:space="preserve"> </w:t>
      </w:r>
      <w:r w:rsidR="00102F24">
        <w:t>($0.00</w:t>
      </w:r>
      <w:r w:rsidR="007E076F">
        <w:t>/kWh</w:t>
      </w:r>
      <w:r w:rsidR="00102F24">
        <w:t xml:space="preserve">) </w:t>
      </w:r>
      <w:r>
        <w:t>for usage over 800 kWh</w:t>
      </w:r>
      <w:r w:rsidR="00102F24">
        <w:t xml:space="preserve"> in the winter</w:t>
      </w:r>
      <w:r>
        <w:t>.</w:t>
      </w:r>
      <w:r w:rsidR="00E40307">
        <w:rPr>
          <w:rStyle w:val="FootnoteReference"/>
        </w:rPr>
        <w:footnoteReference w:id="10"/>
      </w:r>
      <w:r>
        <w:t xml:space="preserve">  In the final </w:t>
      </w:r>
      <w:r w:rsidR="009A1825">
        <w:t xml:space="preserve">energy-only </w:t>
      </w:r>
      <w:r>
        <w:t>auction period, their generation capacity charge w</w:t>
      </w:r>
      <w:r w:rsidR="00160F0F">
        <w:t>ould</w:t>
      </w:r>
      <w:r>
        <w:t xml:space="preserve"> be 1.7</w:t>
      </w:r>
      <w:r w:rsidR="00160F0F">
        <w:t>550</w:t>
      </w:r>
      <w:r>
        <w:t xml:space="preserve"> cents per kWh </w:t>
      </w:r>
      <w:r w:rsidR="00453B66">
        <w:t xml:space="preserve">for kWh above 800 in winter </w:t>
      </w:r>
      <w:r>
        <w:t>(when they paid nothing for this before</w:t>
      </w:r>
      <w:r w:rsidR="00453B66">
        <w:t xml:space="preserve"> because of the zero base generation rate</w:t>
      </w:r>
      <w:r>
        <w:t xml:space="preserve">).  </w:t>
      </w:r>
      <w:r w:rsidR="00DF3D7E">
        <w:t>T</w:t>
      </w:r>
      <w:r>
        <w:t xml:space="preserve">his will be offset by a 1.20458 cent per kWh reduction in their charges for the first 800 kWh of usage in winter months </w:t>
      </w:r>
      <w:r w:rsidR="00DF3D7E">
        <w:t xml:space="preserve">(smaller for RR-1 customers) </w:t>
      </w:r>
      <w:r>
        <w:t>and the same reduction for all kWh usage in summer months.</w:t>
      </w:r>
      <w:r w:rsidR="00E40307">
        <w:rPr>
          <w:rStyle w:val="FootnoteReference"/>
        </w:rPr>
        <w:footnoteReference w:id="11"/>
      </w:r>
      <w:r w:rsidR="00111107">
        <w:t xml:space="preserve">  </w:t>
      </w:r>
    </w:p>
    <w:p w14:paraId="618C1979" w14:textId="7B29AE44" w:rsidR="00D312F4" w:rsidRDefault="00102F24" w:rsidP="00211283">
      <w:pPr>
        <w:pStyle w:val="BodyTextIndent3"/>
        <w:widowControl w:val="0"/>
        <w:spacing w:line="480" w:lineRule="auto"/>
        <w:ind w:right="-24"/>
      </w:pPr>
      <w:r>
        <w:t>T</w:t>
      </w:r>
      <w:r w:rsidR="00D312F4">
        <w:t>he net result of these changes is that</w:t>
      </w:r>
      <w:r>
        <w:t xml:space="preserve">, if no adjustment is made and all volumes are charged </w:t>
      </w:r>
      <w:r w:rsidR="00160F0F">
        <w:t xml:space="preserve">a Generation Capacity Rider of </w:t>
      </w:r>
      <w:r>
        <w:t>1.7</w:t>
      </w:r>
      <w:r w:rsidR="00160F0F">
        <w:t>550</w:t>
      </w:r>
      <w:r>
        <w:t xml:space="preserve"> cents/kWh</w:t>
      </w:r>
      <w:r w:rsidR="00160F0F">
        <w:t xml:space="preserve"> as of January 1, 2015</w:t>
      </w:r>
      <w:r>
        <w:t>,</w:t>
      </w:r>
      <w:r w:rsidR="00D312F4">
        <w:t xml:space="preserve"> higher-usage winter CSP RR customers will experience an increase in their winter </w:t>
      </w:r>
      <w:r w:rsidR="00835BD9">
        <w:t xml:space="preserve">bills </w:t>
      </w:r>
      <w:r w:rsidR="00D312F4">
        <w:t xml:space="preserve">of approximately </w:t>
      </w:r>
      <w:r w:rsidR="003407A7">
        <w:t>3</w:t>
      </w:r>
      <w:r w:rsidR="001627E5">
        <w:t xml:space="preserve">% - </w:t>
      </w:r>
      <w:r w:rsidR="003407A7">
        <w:t>26</w:t>
      </w:r>
      <w:r w:rsidR="00D312F4">
        <w:t>%</w:t>
      </w:r>
      <w:r w:rsidR="00111107">
        <w:t xml:space="preserve">, and high winter-use CSP RR-1 customers will experience a winter period increase of </w:t>
      </w:r>
      <w:r w:rsidR="003407A7">
        <w:t>6</w:t>
      </w:r>
      <w:r w:rsidR="00111107">
        <w:t xml:space="preserve">% - </w:t>
      </w:r>
      <w:r w:rsidR="003407A7">
        <w:t>24</w:t>
      </w:r>
      <w:r w:rsidR="00111107">
        <w:t>%</w:t>
      </w:r>
      <w:r w:rsidR="00D312F4">
        <w:t>.</w:t>
      </w:r>
      <w:r w:rsidR="003407A7">
        <w:rPr>
          <w:rStyle w:val="FootnoteReference"/>
        </w:rPr>
        <w:footnoteReference w:id="12"/>
      </w:r>
      <w:r w:rsidR="00D312F4">
        <w:t xml:space="preserve">  The precise amount of a customer’s winter period increase will depend on the customer’s usage and upon the rates determined by the competitive bid auctions.</w:t>
      </w:r>
      <w:r w:rsidR="003407A7">
        <w:t xml:space="preserve">  The above-referenced winter bill increases reflect auction prices of $30, $35, and $40 per MWh.</w:t>
      </w:r>
      <w:r w:rsidR="00AC237A">
        <w:t xml:space="preserve">  </w:t>
      </w:r>
    </w:p>
    <w:p w14:paraId="56BA1FC8" w14:textId="090F7033" w:rsidR="005A7249" w:rsidRDefault="001627E5" w:rsidP="005A7249">
      <w:pPr>
        <w:pStyle w:val="BodyTextIndent3"/>
        <w:widowControl w:val="0"/>
        <w:spacing w:line="480" w:lineRule="auto"/>
        <w:ind w:right="-24"/>
      </w:pPr>
      <w:r>
        <w:t>As noted above, t</w:t>
      </w:r>
      <w:r w:rsidR="005A7249">
        <w:t xml:space="preserve">he increase in winter high usage bills </w:t>
      </w:r>
      <w:r>
        <w:t xml:space="preserve">occurs </w:t>
      </w:r>
      <w:r w:rsidR="005A7249">
        <w:t xml:space="preserve">because current base generation rates for CSP residential customers are $0.00/kWh for usage of more than 800 kWh in winter months.  But the implementation of AEP Ohio’s proposed </w:t>
      </w:r>
      <w:r w:rsidR="00160F0F">
        <w:t>G</w:t>
      </w:r>
      <w:r w:rsidR="005A7249">
        <w:t xml:space="preserve">eneration </w:t>
      </w:r>
      <w:r w:rsidR="00160F0F">
        <w:t>C</w:t>
      </w:r>
      <w:r w:rsidR="005A7249">
        <w:t xml:space="preserve">apacity </w:t>
      </w:r>
      <w:r w:rsidR="00160F0F">
        <w:t>R</w:t>
      </w:r>
      <w:r w:rsidR="005A7249">
        <w:t>ider will effectively increase this charge by January 1, 2015 to 1.7</w:t>
      </w:r>
      <w:r w:rsidR="00160F0F">
        <w:t>550</w:t>
      </w:r>
      <w:r w:rsidR="005A7249">
        <w:t xml:space="preserve"> cents/kWh.</w:t>
      </w:r>
    </w:p>
    <w:p w14:paraId="290A0A9B" w14:textId="77777777" w:rsidR="006A2D56" w:rsidRDefault="005A7249" w:rsidP="005A7249">
      <w:pPr>
        <w:pStyle w:val="BodyTextIndent3"/>
        <w:widowControl w:val="0"/>
        <w:spacing w:line="480" w:lineRule="auto"/>
        <w:ind w:right="-24"/>
      </w:pPr>
      <w:r>
        <w:t xml:space="preserve">Based on OCC’s analysis, the number of residential customers who may experience significant rate increases is small compared to AEP Ohio’s total customer base of nearly 1.3 million </w:t>
      </w:r>
      <w:r w:rsidR="00D35E60">
        <w:t xml:space="preserve">total </w:t>
      </w:r>
      <w:r>
        <w:t>customers.</w:t>
      </w:r>
      <w:r w:rsidR="001627E5">
        <w:t xml:space="preserve">  There are approximately </w:t>
      </w:r>
      <w:r w:rsidR="00DF3D7E">
        <w:t>42,500</w:t>
      </w:r>
      <w:r w:rsidR="001627E5">
        <w:t xml:space="preserve"> </w:t>
      </w:r>
      <w:r w:rsidR="00DF3D7E">
        <w:t xml:space="preserve">CSP </w:t>
      </w:r>
      <w:r w:rsidR="005C76E3">
        <w:t xml:space="preserve">winter </w:t>
      </w:r>
      <w:r w:rsidR="00670CAD">
        <w:t xml:space="preserve">high-use </w:t>
      </w:r>
      <w:r w:rsidR="00835BD9">
        <w:t xml:space="preserve">residential </w:t>
      </w:r>
      <w:r w:rsidR="005C76E3">
        <w:t>customers out of total</w:t>
      </w:r>
      <w:r w:rsidR="00DF3D7E">
        <w:t xml:space="preserve"> CSP </w:t>
      </w:r>
      <w:r w:rsidR="00835BD9">
        <w:t xml:space="preserve">residential </w:t>
      </w:r>
      <w:r w:rsidR="00DF3D7E">
        <w:t>customers of approximately 550,000.</w:t>
      </w:r>
      <w:r w:rsidR="00CE7F35">
        <w:rPr>
          <w:rStyle w:val="FootnoteReference"/>
        </w:rPr>
        <w:footnoteReference w:id="13"/>
      </w:r>
      <w:r w:rsidR="005C76E3">
        <w:t xml:space="preserve"> </w:t>
      </w:r>
      <w:r>
        <w:t xml:space="preserve"> Further, the impact of these rate increases may be significantly moderated by the acquisition of electricity through the auction mechanism, depending on the ultimate </w:t>
      </w:r>
      <w:r w:rsidR="007377E1">
        <w:t xml:space="preserve">prices </w:t>
      </w:r>
      <w:r>
        <w:t xml:space="preserve">achieved in the auctions.  It will also be moderated by the reduction in capacity costs reflected in base generation rates based upon the PUCO’s previous determination </w:t>
      </w:r>
      <w:r w:rsidR="00160F0F">
        <w:t xml:space="preserve">that </w:t>
      </w:r>
      <w:r>
        <w:t xml:space="preserve">AEP Ohio’s capacity costs are $188.88/MW-day.  And, effective June 1, 2015, capacity costs </w:t>
      </w:r>
      <w:r w:rsidR="00670CAD">
        <w:t xml:space="preserve">may be further moderated when the level of capacity costs is based upon </w:t>
      </w:r>
    </w:p>
    <w:p w14:paraId="7789132D" w14:textId="0145B255" w:rsidR="005A7249" w:rsidRDefault="006A2D56" w:rsidP="006A2D56">
      <w:pPr>
        <w:pStyle w:val="BodyTextIndent3"/>
        <w:widowControl w:val="0"/>
        <w:spacing w:line="480" w:lineRule="auto"/>
        <w:ind w:right="-24" w:firstLine="0"/>
      </w:pPr>
      <w:r>
        <w:br w:type="page"/>
      </w:r>
      <w:r w:rsidR="00670CAD">
        <w:t xml:space="preserve">PJM capacity auction prices, which will </w:t>
      </w:r>
      <w:r w:rsidR="00DB3741">
        <w:t xml:space="preserve">initially </w:t>
      </w:r>
      <w:r w:rsidR="00670CAD">
        <w:t>be lower than the PUCO-determined capacity costs of $188.88</w:t>
      </w:r>
      <w:r w:rsidR="007377E1">
        <w:t>/MW-day</w:t>
      </w:r>
      <w:r w:rsidR="005A7249">
        <w:t>.</w:t>
      </w:r>
      <w:r w:rsidR="00DB3741">
        <w:rPr>
          <w:rStyle w:val="FootnoteReference"/>
        </w:rPr>
        <w:footnoteReference w:id="14"/>
      </w:r>
    </w:p>
    <w:p w14:paraId="60B19823" w14:textId="3069792F" w:rsidR="005A7249" w:rsidRDefault="00DF3D7E" w:rsidP="005A7249">
      <w:pPr>
        <w:pStyle w:val="BodyTextIndent3"/>
        <w:widowControl w:val="0"/>
        <w:spacing w:line="480" w:lineRule="auto"/>
        <w:ind w:right="-24"/>
      </w:pPr>
      <w:r>
        <w:t xml:space="preserve">OCC </w:t>
      </w:r>
      <w:r w:rsidR="00B46513">
        <w:t>does not oppose</w:t>
      </w:r>
      <w:r>
        <w:t xml:space="preserve"> CSP’s proposal presented on February 13, 2014, to moderate the </w:t>
      </w:r>
      <w:r w:rsidR="007377E1">
        <w:t xml:space="preserve">possible </w:t>
      </w:r>
      <w:r>
        <w:t xml:space="preserve">rate increases to CSP’s high-use winter customers by providing blocked </w:t>
      </w:r>
      <w:r w:rsidR="00160F0F">
        <w:t xml:space="preserve">Generation Capacity Rider </w:t>
      </w:r>
      <w:r>
        <w:t>rates during the period</w:t>
      </w:r>
      <w:r w:rsidR="007377E1">
        <w:t xml:space="preserve"> of</w:t>
      </w:r>
      <w:r w:rsidR="00CE7F35">
        <w:t xml:space="preserve"> 60% and 100%</w:t>
      </w:r>
      <w:r w:rsidR="007377E1">
        <w:t xml:space="preserve"> energy-only auctions</w:t>
      </w:r>
      <w:r w:rsidR="00160F0F">
        <w:t xml:space="preserve">.  These alternate rates provide </w:t>
      </w:r>
      <w:r w:rsidR="00910FDB">
        <w:t xml:space="preserve">a reduced </w:t>
      </w:r>
      <w:r w:rsidR="00160F0F">
        <w:t>G</w:t>
      </w:r>
      <w:r w:rsidR="00910FDB">
        <w:t xml:space="preserve">eneration </w:t>
      </w:r>
      <w:r w:rsidR="00160F0F">
        <w:t>C</w:t>
      </w:r>
      <w:r w:rsidR="00910FDB">
        <w:t xml:space="preserve">apacity </w:t>
      </w:r>
      <w:r w:rsidR="00160F0F">
        <w:t>R</w:t>
      </w:r>
      <w:r w:rsidR="00910FDB">
        <w:t>ider applicable to usage over 800 kWh in a month</w:t>
      </w:r>
      <w:r>
        <w:t xml:space="preserve">.  </w:t>
      </w:r>
      <w:r w:rsidR="003407A7">
        <w:t xml:space="preserve">Based on the potential auction prices utilized by AEP Ohio in its analysis, under this alternative rate design, </w:t>
      </w:r>
      <w:r w:rsidR="00CE7F35">
        <w:t xml:space="preserve">during the 100% energy auction period beginning January 1, 2015, </w:t>
      </w:r>
      <w:r w:rsidR="003407A7">
        <w:t>high winter-use RR customer bills will range from a decrease of -1.85% to an increase of 12.50%.  Rate RR-1 customer bills will range from an increase of 0.76% to 12.48%.</w:t>
      </w:r>
      <w:r w:rsidR="00910FDB">
        <w:t xml:space="preserve">  AEP</w:t>
      </w:r>
      <w:r w:rsidR="00163261">
        <w:t xml:space="preserve"> Ohio</w:t>
      </w:r>
      <w:r w:rsidR="00910FDB">
        <w:t xml:space="preserve">’s proposal results in </w:t>
      </w:r>
      <w:r w:rsidR="00FD31D2">
        <w:t xml:space="preserve">smaller </w:t>
      </w:r>
      <w:r w:rsidR="00910FDB">
        <w:t>reductions</w:t>
      </w:r>
      <w:r w:rsidR="00FD31D2">
        <w:t xml:space="preserve">, or slight increases, </w:t>
      </w:r>
      <w:r w:rsidR="00910FDB">
        <w:t>in l</w:t>
      </w:r>
      <w:r>
        <w:t xml:space="preserve">ow-use winter customer rates </w:t>
      </w:r>
      <w:r w:rsidR="00FD31D2">
        <w:t>compared to its original filing</w:t>
      </w:r>
      <w:r w:rsidR="00910FDB">
        <w:t xml:space="preserve">.  It also moves CSP </w:t>
      </w:r>
      <w:r>
        <w:t>high-use winter custome</w:t>
      </w:r>
      <w:r w:rsidR="00910FDB">
        <w:t>r rates gradually toward</w:t>
      </w:r>
      <w:r w:rsidR="00226D1B">
        <w:t xml:space="preserve"> market-based rates</w:t>
      </w:r>
      <w:r w:rsidR="00910FDB">
        <w:t xml:space="preserve">.  Whether or not that </w:t>
      </w:r>
      <w:r w:rsidR="00FD31D2">
        <w:t xml:space="preserve">rate block differential </w:t>
      </w:r>
      <w:r w:rsidR="00910FDB">
        <w:t>will be completely eliminated at the end of the phase-in period, i.e. on June 1, 2015, is an issue which should be addressed in AEP</w:t>
      </w:r>
      <w:r w:rsidR="00163261">
        <w:t xml:space="preserve"> Ohio</w:t>
      </w:r>
      <w:r w:rsidR="00910FDB">
        <w:t xml:space="preserve">’s pending ESP proceeding </w:t>
      </w:r>
      <w:r w:rsidR="00163261">
        <w:t>in</w:t>
      </w:r>
      <w:r w:rsidR="00910FDB">
        <w:t xml:space="preserve"> Case No. 13-2385-EL-SSO.</w:t>
      </w:r>
    </w:p>
    <w:p w14:paraId="18265B0C" w14:textId="77777777" w:rsidR="00DD6DFC" w:rsidRDefault="0079414C" w:rsidP="002D6B3E">
      <w:pPr>
        <w:pStyle w:val="Heading2"/>
      </w:pPr>
      <w:bookmarkStart w:id="8" w:name="_Toc381019627"/>
      <w:r>
        <w:t>B.</w:t>
      </w:r>
      <w:r>
        <w:tab/>
      </w:r>
      <w:r w:rsidR="00DD6DFC">
        <w:t xml:space="preserve">AEP Ohio’s Proposed Allocation of Capacity Costs Based on a 5 CP Allocation Methodology Should </w:t>
      </w:r>
      <w:r w:rsidR="002D6B3E">
        <w:t>b</w:t>
      </w:r>
      <w:r w:rsidR="00DD6DFC">
        <w:t>e Addressed in AEP Ohio’s ESP III Proceeding at Case No. 13-2385-EL-SSO.</w:t>
      </w:r>
      <w:bookmarkEnd w:id="8"/>
    </w:p>
    <w:p w14:paraId="0A3E1F9B" w14:textId="77777777" w:rsidR="003E22BC" w:rsidRDefault="00DD6DFC" w:rsidP="0079414C">
      <w:pPr>
        <w:pStyle w:val="BodyTextIndent3"/>
        <w:widowControl w:val="0"/>
        <w:spacing w:line="480" w:lineRule="auto"/>
        <w:ind w:right="-24"/>
      </w:pPr>
      <w:r>
        <w:t xml:space="preserve">As noted above, </w:t>
      </w:r>
      <w:r w:rsidR="0079414C">
        <w:t>AEP Ohio</w:t>
      </w:r>
      <w:r w:rsidR="00860A1B">
        <w:t xml:space="preserve"> proposes to </w:t>
      </w:r>
      <w:r w:rsidR="0079414C">
        <w:t>translat</w:t>
      </w:r>
      <w:r w:rsidR="00860A1B">
        <w:t>e</w:t>
      </w:r>
      <w:r w:rsidR="0079414C">
        <w:t xml:space="preserve"> the </w:t>
      </w:r>
      <w:r w:rsidR="00860A1B">
        <w:t xml:space="preserve">capacity cost </w:t>
      </w:r>
      <w:r w:rsidR="0079414C">
        <w:t xml:space="preserve">portion of current base generation rates </w:t>
      </w:r>
      <w:r w:rsidR="00860A1B">
        <w:t xml:space="preserve">($188.88/MW-day) </w:t>
      </w:r>
      <w:r w:rsidR="0079414C">
        <w:t xml:space="preserve">into </w:t>
      </w:r>
      <w:r w:rsidR="00860A1B">
        <w:t xml:space="preserve">its proposed </w:t>
      </w:r>
      <w:r w:rsidR="0079414C">
        <w:t xml:space="preserve">Generation Capacity </w:t>
      </w:r>
    </w:p>
    <w:p w14:paraId="127F9728" w14:textId="0C4F3E5A" w:rsidR="00860A1B" w:rsidRDefault="003E22BC" w:rsidP="003E22BC">
      <w:pPr>
        <w:pStyle w:val="BodyTextIndent3"/>
        <w:widowControl w:val="0"/>
        <w:spacing w:line="480" w:lineRule="auto"/>
        <w:ind w:right="-24" w:firstLine="0"/>
      </w:pPr>
      <w:r>
        <w:br w:type="page"/>
      </w:r>
      <w:r w:rsidR="0079414C">
        <w:t xml:space="preserve">Rider rates through the period of the energy-only auctions </w:t>
      </w:r>
      <w:r w:rsidR="00860A1B">
        <w:t xml:space="preserve">by allocating these costs among customer classes based on a </w:t>
      </w:r>
      <w:r w:rsidR="0079414C">
        <w:t>5 C</w:t>
      </w:r>
      <w:r w:rsidR="00860A1B">
        <w:t xml:space="preserve">oincident </w:t>
      </w:r>
      <w:r w:rsidR="0079414C">
        <w:t>P</w:t>
      </w:r>
      <w:r w:rsidR="00860A1B">
        <w:t xml:space="preserve">eak (5 CP) allocator.  </w:t>
      </w:r>
    </w:p>
    <w:p w14:paraId="43D68B0F" w14:textId="3E173544" w:rsidR="0079414C" w:rsidRDefault="00FD31D2" w:rsidP="0079414C">
      <w:pPr>
        <w:pStyle w:val="BodyTextIndent3"/>
        <w:widowControl w:val="0"/>
        <w:spacing w:line="480" w:lineRule="auto"/>
        <w:ind w:right="-24"/>
      </w:pPr>
      <w:r>
        <w:t xml:space="preserve">Although OCC is not taking issue with </w:t>
      </w:r>
      <w:r w:rsidR="00860A1B">
        <w:t xml:space="preserve">AEP Ohio’s 5 CP allocator </w:t>
      </w:r>
      <w:r>
        <w:t xml:space="preserve">in this proceeding, the appropriateness of the 5 CP allocator </w:t>
      </w:r>
      <w:r w:rsidR="00860A1B">
        <w:t xml:space="preserve">is a factual issue that </w:t>
      </w:r>
      <w:r>
        <w:t xml:space="preserve">should be reviewed in AEP Ohio’s ESP III proceeding </w:t>
      </w:r>
      <w:r w:rsidR="00860A1B">
        <w:t>based on evidence of the correspondence between the proposed allocator and cost causation</w:t>
      </w:r>
      <w:r>
        <w:t xml:space="preserve"> for the combined energy and capacity auctions</w:t>
      </w:r>
      <w:r w:rsidR="00860A1B">
        <w:t xml:space="preserve">.  </w:t>
      </w:r>
      <w:r>
        <w:t xml:space="preserve">  OCC reserves the right to propose a different allocator in that proceeding.</w:t>
      </w:r>
    </w:p>
    <w:p w14:paraId="18A19AC3" w14:textId="595AD544" w:rsidR="006B2A40" w:rsidRDefault="00DD6DFC" w:rsidP="002D6B3E">
      <w:pPr>
        <w:pStyle w:val="Heading2"/>
      </w:pPr>
      <w:bookmarkStart w:id="9" w:name="_Toc381019628"/>
      <w:r>
        <w:t>C</w:t>
      </w:r>
      <w:r w:rsidR="006B2A40">
        <w:t>.</w:t>
      </w:r>
      <w:r w:rsidR="006B2A40">
        <w:tab/>
      </w:r>
      <w:r w:rsidR="00704E02" w:rsidRPr="00FE3924">
        <w:t>The Amounts and Allocation of</w:t>
      </w:r>
      <w:r w:rsidR="00704E02">
        <w:t xml:space="preserve"> </w:t>
      </w:r>
      <w:r w:rsidR="0029155E">
        <w:t>AEP</w:t>
      </w:r>
      <w:r w:rsidR="00704E02">
        <w:t xml:space="preserve"> Ohio’s</w:t>
      </w:r>
      <w:r w:rsidR="009B0CDC">
        <w:t xml:space="preserve"> Auction Phase-in Rider and Fixed Cost Rider</w:t>
      </w:r>
      <w:r w:rsidR="0029155E">
        <w:t xml:space="preserve"> Should be Subject to Adjustment for Prudent Costs Actually Incurred.</w:t>
      </w:r>
      <w:bookmarkEnd w:id="9"/>
    </w:p>
    <w:p w14:paraId="0ABAFC4A" w14:textId="77777777" w:rsidR="009B0CDC" w:rsidRDefault="009B0CDC" w:rsidP="00211283">
      <w:pPr>
        <w:pStyle w:val="BodyTextIndent3"/>
        <w:widowControl w:val="0"/>
        <w:spacing w:line="480" w:lineRule="auto"/>
        <w:ind w:right="-24"/>
      </w:pPr>
      <w:r>
        <w:t>AEP Ohio also proposes to blend FAC energy costs, auction purchase costs and auction costs into the Auction Phase-In Rider and to implement the Fixed Cost Rider for the FAC non-energy costs.  AEP Ohio proposes to maintain a differentiation of these rates by rate zone through December 2014</w:t>
      </w:r>
      <w:r w:rsidR="006F6BBE">
        <w:t xml:space="preserve"> “since a portion of the rates will continue to be based upon the legacy FAC construct,” allowing for a gradual transition to rates based entirely on auction procurements in January 2015, when “a rate zone differentiation no longer makes sense.”</w:t>
      </w:r>
      <w:r w:rsidR="006F6BBE">
        <w:rPr>
          <w:rStyle w:val="FootnoteReference"/>
        </w:rPr>
        <w:footnoteReference w:id="15"/>
      </w:r>
    </w:p>
    <w:p w14:paraId="41C61DE7" w14:textId="77777777" w:rsidR="003E22BC" w:rsidRDefault="000F58CE" w:rsidP="00377537">
      <w:pPr>
        <w:pStyle w:val="BodyTextIndent3"/>
        <w:widowControl w:val="0"/>
        <w:spacing w:line="480" w:lineRule="auto"/>
        <w:ind w:right="-24"/>
      </w:pPr>
      <w:r>
        <w:t>AEP Ohio’s translation of the portion of FAC energy and non-energy costs and auction purchase costs and auction costs through December 31, 2014 and the elimination of rate zone differentiations upon implementation of 100% energy auctions appears reasonable.</w:t>
      </w:r>
      <w:r w:rsidR="00670CAD">
        <w:t xml:space="preserve">  However, the </w:t>
      </w:r>
      <w:r w:rsidR="0029155E">
        <w:t>appropriateness of the costs included</w:t>
      </w:r>
      <w:r w:rsidR="00670CAD">
        <w:t xml:space="preserve"> </w:t>
      </w:r>
      <w:r w:rsidR="00FD31D2">
        <w:t>in these riders and t</w:t>
      </w:r>
      <w:r w:rsidR="0029155E">
        <w:t xml:space="preserve">he </w:t>
      </w:r>
      <w:r w:rsidR="00670CAD">
        <w:t xml:space="preserve">allocation </w:t>
      </w:r>
      <w:r w:rsidR="0029155E">
        <w:t xml:space="preserve">of these costs among </w:t>
      </w:r>
      <w:r w:rsidR="00670CAD">
        <w:t>customer classes</w:t>
      </w:r>
      <w:r w:rsidR="0029155E">
        <w:t xml:space="preserve"> should be subject to </w:t>
      </w:r>
      <w:r w:rsidR="00B82D88">
        <w:t xml:space="preserve">prudence </w:t>
      </w:r>
      <w:r w:rsidR="0029155E">
        <w:t xml:space="preserve">review in </w:t>
      </w:r>
    </w:p>
    <w:p w14:paraId="7A235BBC" w14:textId="6875EC39" w:rsidR="000F58CE" w:rsidRDefault="003E22BC" w:rsidP="003E22BC">
      <w:pPr>
        <w:pStyle w:val="BodyTextIndent3"/>
        <w:widowControl w:val="0"/>
        <w:spacing w:line="480" w:lineRule="auto"/>
        <w:ind w:right="-24" w:firstLine="0"/>
      </w:pPr>
      <w:r>
        <w:br w:type="page"/>
      </w:r>
      <w:r w:rsidR="0029155E">
        <w:t>future audit and reconciliation pro</w:t>
      </w:r>
      <w:r w:rsidR="00B82D88">
        <w:t>ceedings, and only actual, prudently-incurred costs should be permitted to be charged to customers.</w:t>
      </w:r>
    </w:p>
    <w:p w14:paraId="39832C4A" w14:textId="77777777" w:rsidR="000F58CE" w:rsidRDefault="007E076F" w:rsidP="002D6B3E">
      <w:pPr>
        <w:pStyle w:val="Heading2"/>
      </w:pPr>
      <w:bookmarkStart w:id="10" w:name="_Toc381019629"/>
      <w:r>
        <w:t>D</w:t>
      </w:r>
      <w:r w:rsidR="000F58CE">
        <w:t>.</w:t>
      </w:r>
      <w:r w:rsidR="000F58CE">
        <w:tab/>
      </w:r>
      <w:r w:rsidRPr="00F5374E">
        <w:t xml:space="preserve">The PUCO Should Monitor Auction Results </w:t>
      </w:r>
      <w:r w:rsidR="002D6B3E">
        <w:t>a</w:t>
      </w:r>
      <w:r w:rsidRPr="00F5374E">
        <w:t xml:space="preserve">nd Transition Period Rates </w:t>
      </w:r>
      <w:r w:rsidR="002D6B3E">
        <w:t>t</w:t>
      </w:r>
      <w:r w:rsidRPr="00F5374E">
        <w:t xml:space="preserve">o Ensure Customers </w:t>
      </w:r>
      <w:r w:rsidR="002D6B3E">
        <w:t>a</w:t>
      </w:r>
      <w:r w:rsidRPr="00F5374E">
        <w:t xml:space="preserve">re </w:t>
      </w:r>
      <w:r w:rsidR="002D6B3E">
        <w:t>n</w:t>
      </w:r>
      <w:r w:rsidRPr="00F5374E">
        <w:t xml:space="preserve">ot Adversely Affected </w:t>
      </w:r>
      <w:r w:rsidR="002D6B3E">
        <w:t>b</w:t>
      </w:r>
      <w:r w:rsidRPr="00F5374E">
        <w:t>y Implementation of the Proposed Rate Design.</w:t>
      </w:r>
      <w:bookmarkEnd w:id="10"/>
    </w:p>
    <w:p w14:paraId="7846E96C" w14:textId="77777777" w:rsidR="00827BDB" w:rsidRDefault="00656984" w:rsidP="00211283">
      <w:pPr>
        <w:pStyle w:val="BodyTextIndent3"/>
        <w:widowControl w:val="0"/>
        <w:spacing w:line="480" w:lineRule="auto"/>
        <w:ind w:right="-24"/>
      </w:pPr>
      <w:r>
        <w:t xml:space="preserve">AEP Ohio performed a “sensitivity analysis,” estimating </w:t>
      </w:r>
      <w:r w:rsidR="00EC4B35">
        <w:t xml:space="preserve">potential rate impacts for </w:t>
      </w:r>
      <w:r>
        <w:t>customers in each SSO customer class</w:t>
      </w:r>
      <w:r w:rsidR="00EC4B35">
        <w:t xml:space="preserve"> utilizing a range of usage levels</w:t>
      </w:r>
      <w:r>
        <w:t xml:space="preserve"> with different u</w:t>
      </w:r>
      <w:r w:rsidR="00EC4B35">
        <w:t>sage, and utilizing three different potential energy auction clearing prices - $30.00/MWh, $35.00/MWh, and $40.00/MWh.</w:t>
      </w:r>
      <w:r w:rsidR="00FD31D2">
        <w:rPr>
          <w:rStyle w:val="FootnoteReference"/>
        </w:rPr>
        <w:footnoteReference w:id="16"/>
      </w:r>
      <w:r w:rsidR="007E076F">
        <w:t xml:space="preserve">  These auction clearing prices do not include the mark-up for the Auction Phase-in Rider </w:t>
      </w:r>
      <w:r w:rsidR="00827BDB">
        <w:t xml:space="preserve">and </w:t>
      </w:r>
      <w:r w:rsidR="007E076F">
        <w:t>Fixed Cost Rider</w:t>
      </w:r>
      <w:r w:rsidR="00827BDB">
        <w:t>s.</w:t>
      </w:r>
    </w:p>
    <w:p w14:paraId="5375CC92" w14:textId="77777777" w:rsidR="00EC4B35" w:rsidRDefault="00827BDB">
      <w:pPr>
        <w:pStyle w:val="BodyTextIndent3"/>
        <w:widowControl w:val="0"/>
        <w:spacing w:line="480" w:lineRule="auto"/>
        <w:ind w:right="-24"/>
      </w:pPr>
      <w:r>
        <w:t xml:space="preserve">While these potential energy auction prices appear to provide </w:t>
      </w:r>
      <w:r w:rsidR="00B82D88">
        <w:t xml:space="preserve">a </w:t>
      </w:r>
      <w:r w:rsidR="002C1175">
        <w:t>reasonable range of potential rate impacts</w:t>
      </w:r>
      <w:r>
        <w:t xml:space="preserve">, the PUCO should monitor the actual </w:t>
      </w:r>
      <w:r w:rsidR="002904C2">
        <w:t xml:space="preserve">energy </w:t>
      </w:r>
      <w:r>
        <w:t xml:space="preserve">auction results and </w:t>
      </w:r>
      <w:r w:rsidR="002904C2">
        <w:t xml:space="preserve">the resulting </w:t>
      </w:r>
      <w:r>
        <w:t>transition period rates to ensure that</w:t>
      </w:r>
      <w:r w:rsidR="00E0473A">
        <w:t xml:space="preserve"> customers are not adversely</w:t>
      </w:r>
      <w:r>
        <w:t xml:space="preserve"> </w:t>
      </w:r>
      <w:r w:rsidR="00E0473A">
        <w:t>affected by the implementation of the proposed rate design</w:t>
      </w:r>
      <w:r w:rsidR="002C1175">
        <w:t>.</w:t>
      </w:r>
    </w:p>
    <w:p w14:paraId="6935CC16" w14:textId="77777777" w:rsidR="002D6B3E" w:rsidRPr="00E40307" w:rsidRDefault="002D6B3E" w:rsidP="002D6B3E">
      <w:pPr>
        <w:pStyle w:val="BodyTextIndent3"/>
        <w:widowControl w:val="0"/>
        <w:spacing w:line="240" w:lineRule="auto"/>
        <w:ind w:right="-24"/>
      </w:pPr>
    </w:p>
    <w:p w14:paraId="4FE35A08" w14:textId="77777777" w:rsidR="006E02EC" w:rsidRPr="006E02EC" w:rsidRDefault="006E02EC" w:rsidP="002430BB">
      <w:pPr>
        <w:pStyle w:val="Heading1"/>
      </w:pPr>
      <w:bookmarkStart w:id="11" w:name="_Toc381019630"/>
      <w:r>
        <w:t>III.</w:t>
      </w:r>
      <w:r>
        <w:tab/>
        <w:t>CONCLUSION</w:t>
      </w:r>
      <w:bookmarkEnd w:id="11"/>
    </w:p>
    <w:p w14:paraId="6001D047" w14:textId="680CDCCA" w:rsidR="00247851" w:rsidRDefault="00B00362" w:rsidP="00AD213B">
      <w:pPr>
        <w:pStyle w:val="BodyTextIndent3"/>
        <w:widowControl w:val="0"/>
        <w:spacing w:line="480" w:lineRule="auto"/>
        <w:ind w:right="-24"/>
        <w:rPr>
          <w:szCs w:val="24"/>
        </w:rPr>
      </w:pPr>
      <w:r>
        <w:rPr>
          <w:szCs w:val="24"/>
        </w:rPr>
        <w:t xml:space="preserve">OCC </w:t>
      </w:r>
      <w:r w:rsidR="00B46513">
        <w:rPr>
          <w:szCs w:val="24"/>
        </w:rPr>
        <w:t>does not oppose</w:t>
      </w:r>
      <w:r>
        <w:rPr>
          <w:szCs w:val="24"/>
        </w:rPr>
        <w:t xml:space="preserve"> AEP Ohio’s proposal for transitioning from current base generation rates to auction-based rates, </w:t>
      </w:r>
      <w:r w:rsidR="002C1175">
        <w:rPr>
          <w:szCs w:val="24"/>
        </w:rPr>
        <w:t xml:space="preserve">as modified by its February 13, 2014 proposed alternative Generation Capacity Rider.  </w:t>
      </w:r>
      <w:r w:rsidR="00B46513">
        <w:rPr>
          <w:szCs w:val="24"/>
        </w:rPr>
        <w:t xml:space="preserve">These rates would be temporary, applying only through May 31, 2015.  </w:t>
      </w:r>
      <w:r w:rsidR="002C1175">
        <w:rPr>
          <w:szCs w:val="24"/>
        </w:rPr>
        <w:t>AEP</w:t>
      </w:r>
      <w:r w:rsidR="002904C2">
        <w:rPr>
          <w:szCs w:val="24"/>
        </w:rPr>
        <w:t xml:space="preserve"> Ohio</w:t>
      </w:r>
      <w:r w:rsidR="002C1175">
        <w:rPr>
          <w:szCs w:val="24"/>
        </w:rPr>
        <w:t xml:space="preserve">’s </w:t>
      </w:r>
      <w:r>
        <w:rPr>
          <w:szCs w:val="24"/>
        </w:rPr>
        <w:t>proposed 5 CP revenue allocation should be reviewed in AEP Ohio’s pending ESP III proceeding</w:t>
      </w:r>
      <w:r w:rsidR="00D103A6">
        <w:rPr>
          <w:szCs w:val="24"/>
        </w:rPr>
        <w:t xml:space="preserve"> for energy and capacity rates set by auction on and after June 1, 2015</w:t>
      </w:r>
      <w:r w:rsidR="002C1175">
        <w:rPr>
          <w:szCs w:val="24"/>
        </w:rPr>
        <w:t xml:space="preserve">.  </w:t>
      </w:r>
      <w:r w:rsidR="00AD2F35">
        <w:rPr>
          <w:szCs w:val="24"/>
        </w:rPr>
        <w:t>Further</w:t>
      </w:r>
      <w:r w:rsidR="002C1175">
        <w:rPr>
          <w:szCs w:val="24"/>
        </w:rPr>
        <w:t xml:space="preserve">, the costs included in AEP Ohio’s </w:t>
      </w:r>
      <w:r w:rsidR="00AD2F35">
        <w:rPr>
          <w:szCs w:val="24"/>
        </w:rPr>
        <w:t xml:space="preserve">Auction Phase-in and </w:t>
      </w:r>
      <w:r w:rsidR="002C1175">
        <w:rPr>
          <w:szCs w:val="24"/>
        </w:rPr>
        <w:t>Fixed Cost Rider</w:t>
      </w:r>
      <w:r w:rsidR="00AD2F35">
        <w:rPr>
          <w:szCs w:val="24"/>
        </w:rPr>
        <w:t>s</w:t>
      </w:r>
      <w:r w:rsidR="002C1175">
        <w:rPr>
          <w:szCs w:val="24"/>
        </w:rPr>
        <w:t xml:space="preserve"> should be subject to prudence review and reconciliation.</w:t>
      </w:r>
      <w:r w:rsidR="00AD2F35">
        <w:rPr>
          <w:szCs w:val="24"/>
        </w:rPr>
        <w:t xml:space="preserve">  Finally, the PUCO should monitor the results of AEP Ohio’s actual </w:t>
      </w:r>
      <w:r w:rsidR="002904C2">
        <w:rPr>
          <w:szCs w:val="24"/>
        </w:rPr>
        <w:t xml:space="preserve">energy </w:t>
      </w:r>
      <w:r w:rsidR="00AD2F35">
        <w:rPr>
          <w:szCs w:val="24"/>
        </w:rPr>
        <w:t xml:space="preserve">auction results and </w:t>
      </w:r>
      <w:r w:rsidR="002904C2">
        <w:rPr>
          <w:szCs w:val="24"/>
        </w:rPr>
        <w:t xml:space="preserve">resulting </w:t>
      </w:r>
      <w:r w:rsidR="00AD2F35">
        <w:rPr>
          <w:szCs w:val="24"/>
        </w:rPr>
        <w:t>transition period rates to ensure customers are not adversely affected by their implementation</w:t>
      </w:r>
      <w:r w:rsidR="006272FF">
        <w:rPr>
          <w:szCs w:val="24"/>
        </w:rPr>
        <w:t xml:space="preserve"> and </w:t>
      </w:r>
      <w:r w:rsidR="00236785">
        <w:rPr>
          <w:szCs w:val="24"/>
        </w:rPr>
        <w:t xml:space="preserve">should allow further </w:t>
      </w:r>
      <w:r w:rsidR="006272FF">
        <w:rPr>
          <w:szCs w:val="24"/>
        </w:rPr>
        <w:t xml:space="preserve">comments from parties </w:t>
      </w:r>
      <w:r w:rsidR="00236785">
        <w:rPr>
          <w:szCs w:val="24"/>
        </w:rPr>
        <w:t>if concerns arise regarding customer bill impacts</w:t>
      </w:r>
      <w:r w:rsidR="00AD2F35">
        <w:rPr>
          <w:szCs w:val="24"/>
        </w:rPr>
        <w:t>.</w:t>
      </w:r>
      <w:r w:rsidR="002E7C08">
        <w:rPr>
          <w:szCs w:val="24"/>
        </w:rPr>
        <w:t xml:space="preserve"> </w:t>
      </w:r>
    </w:p>
    <w:p w14:paraId="40A018CC" w14:textId="0EF44796" w:rsidR="008F4B9B" w:rsidRDefault="008F4B9B" w:rsidP="008F4B9B">
      <w:pPr>
        <w:pStyle w:val="BodyTextIndent3"/>
        <w:widowControl w:val="0"/>
        <w:ind w:left="3600" w:right="-672"/>
        <w:rPr>
          <w:szCs w:val="24"/>
        </w:rPr>
      </w:pPr>
      <w:r>
        <w:rPr>
          <w:szCs w:val="24"/>
        </w:rPr>
        <w:t>Respectfully submitted,</w:t>
      </w:r>
    </w:p>
    <w:p w14:paraId="58E41E41" w14:textId="77777777" w:rsidR="008F4B9B" w:rsidRDefault="008F4B9B" w:rsidP="008F4B9B">
      <w:pPr>
        <w:pStyle w:val="Footer"/>
        <w:tabs>
          <w:tab w:val="clear" w:pos="8640"/>
          <w:tab w:val="left" w:pos="4320"/>
        </w:tabs>
        <w:spacing w:before="240"/>
        <w:rPr>
          <w:sz w:val="24"/>
          <w:szCs w:val="24"/>
        </w:rPr>
      </w:pPr>
      <w:r>
        <w:rPr>
          <w:sz w:val="24"/>
          <w:szCs w:val="24"/>
        </w:rPr>
        <w:tab/>
        <w:t>BRUCE J. WESTON</w:t>
      </w:r>
    </w:p>
    <w:p w14:paraId="42697CC7" w14:textId="77777777" w:rsidR="008F4B9B" w:rsidRDefault="008F4B9B" w:rsidP="008F4B9B">
      <w:pPr>
        <w:tabs>
          <w:tab w:val="left" w:pos="4320"/>
        </w:tabs>
        <w:rPr>
          <w:szCs w:val="24"/>
        </w:rPr>
      </w:pPr>
      <w:r>
        <w:rPr>
          <w:szCs w:val="24"/>
        </w:rPr>
        <w:tab/>
        <w:t>OHIO CONSUMERS’ COUNSEL</w:t>
      </w:r>
    </w:p>
    <w:p w14:paraId="63E4BDF9" w14:textId="77777777" w:rsidR="008F4B9B" w:rsidRDefault="008F4B9B" w:rsidP="008F4B9B">
      <w:pPr>
        <w:tabs>
          <w:tab w:val="left" w:pos="4320"/>
        </w:tabs>
        <w:rPr>
          <w:szCs w:val="24"/>
        </w:rPr>
      </w:pPr>
      <w:r>
        <w:rPr>
          <w:szCs w:val="24"/>
        </w:rPr>
        <w:tab/>
      </w:r>
    </w:p>
    <w:p w14:paraId="5958F7EF" w14:textId="77777777" w:rsidR="008F4B9B" w:rsidRDefault="008F4B9B" w:rsidP="008F4B9B">
      <w:pPr>
        <w:tabs>
          <w:tab w:val="left" w:pos="4320"/>
        </w:tabs>
        <w:rPr>
          <w:i/>
          <w:szCs w:val="24"/>
          <w:u w:val="single"/>
        </w:rPr>
      </w:pPr>
      <w:r>
        <w:rPr>
          <w:szCs w:val="24"/>
        </w:rPr>
        <w:tab/>
      </w:r>
      <w:r>
        <w:rPr>
          <w:i/>
          <w:szCs w:val="24"/>
          <w:u w:val="single"/>
        </w:rPr>
        <w:t xml:space="preserve">/s/ </w:t>
      </w:r>
      <w:r w:rsidR="003516DE">
        <w:rPr>
          <w:i/>
          <w:szCs w:val="24"/>
          <w:u w:val="single"/>
        </w:rPr>
        <w:t>Edmund “Tad” Berger</w:t>
      </w:r>
      <w:r>
        <w:rPr>
          <w:i/>
          <w:szCs w:val="24"/>
          <w:u w:val="single"/>
        </w:rPr>
        <w:tab/>
      </w:r>
      <w:r>
        <w:rPr>
          <w:i/>
          <w:szCs w:val="24"/>
          <w:u w:val="single"/>
        </w:rPr>
        <w:tab/>
      </w:r>
      <w:r>
        <w:rPr>
          <w:i/>
          <w:szCs w:val="24"/>
          <w:u w:val="single"/>
        </w:rPr>
        <w:tab/>
      </w:r>
    </w:p>
    <w:p w14:paraId="452C7D0A" w14:textId="77777777" w:rsidR="008F4B9B" w:rsidRDefault="008F4B9B" w:rsidP="008F4B9B">
      <w:pPr>
        <w:tabs>
          <w:tab w:val="left" w:pos="4320"/>
        </w:tabs>
        <w:rPr>
          <w:szCs w:val="24"/>
        </w:rPr>
      </w:pPr>
      <w:r>
        <w:rPr>
          <w:szCs w:val="24"/>
        </w:rPr>
        <w:tab/>
        <w:t xml:space="preserve">Edmund </w:t>
      </w:r>
      <w:r w:rsidR="003516DE">
        <w:rPr>
          <w:szCs w:val="24"/>
        </w:rPr>
        <w:t xml:space="preserve">“Tad” </w:t>
      </w:r>
      <w:r>
        <w:rPr>
          <w:szCs w:val="24"/>
        </w:rPr>
        <w:t>Berger</w:t>
      </w:r>
    </w:p>
    <w:p w14:paraId="56C5D414" w14:textId="77777777" w:rsidR="008F4B9B" w:rsidRDefault="008F4B9B" w:rsidP="008F4B9B">
      <w:pPr>
        <w:tabs>
          <w:tab w:val="left" w:pos="4320"/>
        </w:tabs>
        <w:rPr>
          <w:szCs w:val="24"/>
        </w:rPr>
      </w:pPr>
      <w:r>
        <w:rPr>
          <w:szCs w:val="24"/>
        </w:rPr>
        <w:tab/>
        <w:t>Assistant Consumers’ Counsel</w:t>
      </w:r>
    </w:p>
    <w:p w14:paraId="7E65EF3C" w14:textId="77777777" w:rsidR="002430BB" w:rsidRDefault="002430BB" w:rsidP="002430BB">
      <w:pPr>
        <w:ind w:left="4320"/>
        <w:rPr>
          <w:b/>
        </w:rPr>
      </w:pPr>
    </w:p>
    <w:p w14:paraId="2797C72F" w14:textId="77777777" w:rsidR="008F4B9B" w:rsidRPr="002430BB" w:rsidRDefault="008F4B9B" w:rsidP="002430BB">
      <w:pPr>
        <w:ind w:left="4320"/>
        <w:rPr>
          <w:b/>
        </w:rPr>
      </w:pPr>
      <w:r w:rsidRPr="002430BB">
        <w:rPr>
          <w:b/>
        </w:rPr>
        <w:t>Office of the Ohio Consumers’ Counsel</w:t>
      </w:r>
    </w:p>
    <w:p w14:paraId="04C12F9E" w14:textId="77777777" w:rsidR="008F4B9B" w:rsidRPr="002430BB" w:rsidRDefault="008F4B9B" w:rsidP="002430BB">
      <w:pPr>
        <w:ind w:left="4320"/>
      </w:pPr>
      <w:r w:rsidRPr="002430BB">
        <w:t>10 West Broad Street, Suite 1800</w:t>
      </w:r>
    </w:p>
    <w:p w14:paraId="024C7633" w14:textId="77777777" w:rsidR="008F4B9B" w:rsidRPr="002430BB" w:rsidRDefault="008F4B9B" w:rsidP="002430BB">
      <w:pPr>
        <w:ind w:left="4320"/>
      </w:pPr>
      <w:r w:rsidRPr="002430BB">
        <w:t>Columbus, Ohio 43215-3485</w:t>
      </w:r>
    </w:p>
    <w:p w14:paraId="4A5F460A" w14:textId="77777777" w:rsidR="008F4B9B" w:rsidRDefault="008F4B9B" w:rsidP="008F4B9B">
      <w:pPr>
        <w:autoSpaceDE w:val="0"/>
        <w:autoSpaceDN w:val="0"/>
        <w:adjustRightInd w:val="0"/>
        <w:ind w:left="3600" w:firstLine="720"/>
        <w:rPr>
          <w:szCs w:val="24"/>
        </w:rPr>
      </w:pPr>
      <w:r>
        <w:rPr>
          <w:szCs w:val="24"/>
        </w:rPr>
        <w:t>Telephone: (Berger) (614) 466-1292</w:t>
      </w:r>
    </w:p>
    <w:p w14:paraId="440EBA5D" w14:textId="318C04CF" w:rsidR="008F4B9B" w:rsidRDefault="008F4B9B" w:rsidP="008F4B9B">
      <w:pPr>
        <w:rPr>
          <w:szCs w:val="24"/>
        </w:rPr>
      </w:pPr>
      <w:r>
        <w:rPr>
          <w:szCs w:val="24"/>
        </w:rPr>
        <w:tab/>
      </w:r>
      <w:r>
        <w:rPr>
          <w:szCs w:val="24"/>
        </w:rPr>
        <w:tab/>
      </w:r>
      <w:r>
        <w:rPr>
          <w:szCs w:val="24"/>
        </w:rPr>
        <w:tab/>
      </w:r>
      <w:r>
        <w:rPr>
          <w:szCs w:val="24"/>
        </w:rPr>
        <w:tab/>
      </w:r>
      <w:r>
        <w:rPr>
          <w:szCs w:val="24"/>
        </w:rPr>
        <w:tab/>
      </w:r>
      <w:r>
        <w:rPr>
          <w:szCs w:val="24"/>
        </w:rPr>
        <w:tab/>
      </w:r>
      <w:hyperlink r:id="rId16" w:history="1">
        <w:r w:rsidR="009A42E5" w:rsidRPr="003F3F8F">
          <w:rPr>
            <w:rStyle w:val="Hyperlink"/>
            <w:szCs w:val="24"/>
          </w:rPr>
          <w:t>Edmund.Berger@occ.ohio.gov</w:t>
        </w:r>
      </w:hyperlink>
    </w:p>
    <w:p w14:paraId="04104C45" w14:textId="77777777" w:rsidR="009A42E5" w:rsidRDefault="009A42E5" w:rsidP="008F4B9B">
      <w:pPr>
        <w:rPr>
          <w:szCs w:val="24"/>
        </w:rPr>
      </w:pPr>
    </w:p>
    <w:p w14:paraId="004A9550" w14:textId="77777777" w:rsidR="002430BB" w:rsidRDefault="002430BB" w:rsidP="008F4B9B">
      <w:pPr>
        <w:rPr>
          <w:szCs w:val="24"/>
        </w:rPr>
      </w:pPr>
    </w:p>
    <w:p w14:paraId="484ED1EA" w14:textId="77777777" w:rsidR="00B45159" w:rsidRDefault="00B45159" w:rsidP="008F4B9B">
      <w:pPr>
        <w:rPr>
          <w:szCs w:val="24"/>
        </w:rPr>
      </w:pPr>
    </w:p>
    <w:p w14:paraId="12D7CC2A" w14:textId="77777777" w:rsidR="008F4B9B" w:rsidRDefault="008F4B9B" w:rsidP="008F4B9B">
      <w:pPr>
        <w:rPr>
          <w:szCs w:val="24"/>
        </w:rPr>
      </w:pPr>
    </w:p>
    <w:p w14:paraId="7BC01410" w14:textId="77777777" w:rsidR="000C2FD2" w:rsidRDefault="000C2FD2">
      <w:pPr>
        <w:jc w:val="center"/>
        <w:rPr>
          <w:b/>
          <w:bCs/>
          <w:u w:val="single"/>
        </w:rPr>
      </w:pPr>
      <w:r>
        <w:rPr>
          <w:szCs w:val="24"/>
        </w:rPr>
        <w:br w:type="page"/>
      </w:r>
      <w:r>
        <w:rPr>
          <w:b/>
          <w:bCs/>
          <w:u w:val="single"/>
        </w:rPr>
        <w:t>CERTIFICATE OF SERVICE</w:t>
      </w:r>
    </w:p>
    <w:p w14:paraId="12CE9B7B" w14:textId="77777777" w:rsidR="000C2FD2" w:rsidRDefault="000C2FD2">
      <w:pPr>
        <w:spacing w:line="480" w:lineRule="atLeast"/>
      </w:pPr>
      <w:r>
        <w:tab/>
        <w:t xml:space="preserve">I hereby certify that a copy of </w:t>
      </w:r>
      <w:r w:rsidR="005D50C5">
        <w:t xml:space="preserve">these </w:t>
      </w:r>
      <w:r w:rsidR="005D50C5">
        <w:rPr>
          <w:i/>
        </w:rPr>
        <w:t>Comments</w:t>
      </w:r>
      <w:r>
        <w:t xml:space="preserve"> was served on the persons stated below via electronic transmission to the persons listed below, this </w:t>
      </w:r>
      <w:r w:rsidR="00AC237A">
        <w:t>24</w:t>
      </w:r>
      <w:r w:rsidR="00D33597" w:rsidRPr="00D33597">
        <w:rPr>
          <w:vertAlign w:val="superscript"/>
        </w:rPr>
        <w:t>th</w:t>
      </w:r>
      <w:r w:rsidR="00D33597">
        <w:t xml:space="preserve"> </w:t>
      </w:r>
      <w:r>
        <w:t xml:space="preserve">day of </w:t>
      </w:r>
      <w:r w:rsidR="00AC237A">
        <w:t>February</w:t>
      </w:r>
      <w:r w:rsidR="00D33597">
        <w:t xml:space="preserve">, </w:t>
      </w:r>
      <w:r>
        <w:t>201</w:t>
      </w:r>
      <w:r w:rsidR="00AC237A">
        <w:t>4</w:t>
      </w:r>
      <w:r>
        <w:t>.</w:t>
      </w:r>
    </w:p>
    <w:p w14:paraId="1B2F864B" w14:textId="77777777" w:rsidR="000C2FD2" w:rsidRDefault="000C2FD2">
      <w:pPr>
        <w:spacing w:line="480" w:lineRule="atLeast"/>
      </w:pPr>
    </w:p>
    <w:p w14:paraId="093F9F1A" w14:textId="77777777" w:rsidR="000C2FD2" w:rsidRDefault="000C2FD2">
      <w:pPr>
        <w:tabs>
          <w:tab w:val="left" w:pos="4320"/>
        </w:tabs>
        <w:rPr>
          <w:i/>
          <w:u w:val="single"/>
        </w:rPr>
      </w:pPr>
      <w:r>
        <w:tab/>
      </w:r>
      <w:r w:rsidR="008F4B9B">
        <w:rPr>
          <w:i/>
          <w:u w:val="single"/>
        </w:rPr>
        <w:t xml:space="preserve">/s/ </w:t>
      </w:r>
      <w:r w:rsidR="0091287F">
        <w:rPr>
          <w:i/>
          <w:u w:val="single"/>
        </w:rPr>
        <w:t>Edmund “Tad” Berger</w:t>
      </w:r>
      <w:r>
        <w:rPr>
          <w:i/>
          <w:u w:val="single"/>
        </w:rPr>
        <w:tab/>
      </w:r>
      <w:r>
        <w:rPr>
          <w:i/>
          <w:u w:val="single"/>
        </w:rPr>
        <w:tab/>
      </w:r>
      <w:r>
        <w:rPr>
          <w:i/>
          <w:u w:val="single"/>
        </w:rPr>
        <w:tab/>
      </w:r>
    </w:p>
    <w:p w14:paraId="68C7503B" w14:textId="77777777" w:rsidR="000C2FD2" w:rsidRDefault="000C2FD2">
      <w:pPr>
        <w:tabs>
          <w:tab w:val="left" w:pos="4320"/>
        </w:tabs>
      </w:pPr>
      <w:r>
        <w:tab/>
      </w:r>
      <w:r w:rsidR="0091287F">
        <w:t>Edmund “Tad” Berger</w:t>
      </w:r>
    </w:p>
    <w:p w14:paraId="415DD295" w14:textId="77777777" w:rsidR="000C2FD2" w:rsidRDefault="000C2FD2">
      <w:pPr>
        <w:tabs>
          <w:tab w:val="left" w:pos="4320"/>
        </w:tabs>
      </w:pPr>
      <w:r>
        <w:tab/>
        <w:t>Assistant Consumers’ Counsel</w:t>
      </w:r>
    </w:p>
    <w:p w14:paraId="47646E3A" w14:textId="77777777" w:rsidR="000C2FD2" w:rsidRDefault="000C2FD2">
      <w:pPr>
        <w:pStyle w:val="CommentSubject"/>
      </w:pPr>
    </w:p>
    <w:p w14:paraId="72E58793" w14:textId="77777777" w:rsidR="000C2FD2" w:rsidRDefault="000C2FD2">
      <w:pPr>
        <w:pStyle w:val="CommentText"/>
      </w:pPr>
    </w:p>
    <w:p w14:paraId="6A8F10CE" w14:textId="77777777" w:rsidR="000C2FD2" w:rsidRDefault="000C2FD2">
      <w:pPr>
        <w:pStyle w:val="CommentText"/>
        <w:jc w:val="center"/>
        <w:rPr>
          <w:b/>
          <w:u w:val="single"/>
        </w:rPr>
      </w:pPr>
      <w:r>
        <w:rPr>
          <w:b/>
          <w:u w:val="single"/>
        </w:rPr>
        <w:t>SERVICE LIST</w:t>
      </w:r>
    </w:p>
    <w:p w14:paraId="0D84992A" w14:textId="77777777" w:rsidR="000C2FD2" w:rsidRDefault="000C2FD2">
      <w:pPr>
        <w:pStyle w:val="BodyText"/>
        <w:rPr>
          <w:b/>
          <w:bCs/>
        </w:rPr>
      </w:pPr>
    </w:p>
    <w:tbl>
      <w:tblPr>
        <w:tblW w:w="0" w:type="auto"/>
        <w:tblLook w:val="01E0" w:firstRow="1" w:lastRow="1" w:firstColumn="1" w:lastColumn="1" w:noHBand="0" w:noVBand="0"/>
      </w:tblPr>
      <w:tblGrid>
        <w:gridCol w:w="4428"/>
        <w:gridCol w:w="4428"/>
      </w:tblGrid>
      <w:tr w:rsidR="000C2FD2" w:rsidRPr="006A2D56" w14:paraId="1935CAE7" w14:textId="77777777">
        <w:tc>
          <w:tcPr>
            <w:tcW w:w="4428" w:type="dxa"/>
            <w:shd w:val="clear" w:color="auto" w:fill="auto"/>
          </w:tcPr>
          <w:p w14:paraId="32F48A12" w14:textId="2F1AA4DA" w:rsidR="000C2FD2" w:rsidRPr="006A2D56" w:rsidRDefault="00B45159" w:rsidP="002C5095">
            <w:pPr>
              <w:autoSpaceDE w:val="0"/>
              <w:autoSpaceDN w:val="0"/>
              <w:adjustRightInd w:val="0"/>
              <w:rPr>
                <w:bCs/>
                <w:szCs w:val="24"/>
              </w:rPr>
            </w:pPr>
            <w:r w:rsidRPr="006A2D56">
              <w:rPr>
                <w:bCs/>
                <w:szCs w:val="24"/>
              </w:rPr>
              <w:t>Werner Margard</w:t>
            </w:r>
          </w:p>
          <w:p w14:paraId="6A6195A6" w14:textId="77777777" w:rsidR="00B45159" w:rsidRPr="006A2D56" w:rsidRDefault="00B45159" w:rsidP="002C5095">
            <w:pPr>
              <w:autoSpaceDE w:val="0"/>
              <w:autoSpaceDN w:val="0"/>
              <w:adjustRightInd w:val="0"/>
              <w:rPr>
                <w:bCs/>
                <w:szCs w:val="24"/>
              </w:rPr>
            </w:pPr>
            <w:r w:rsidRPr="006A2D56">
              <w:rPr>
                <w:bCs/>
                <w:szCs w:val="24"/>
              </w:rPr>
              <w:t>Steven Beeler</w:t>
            </w:r>
          </w:p>
          <w:p w14:paraId="3CB6FB97" w14:textId="77777777" w:rsidR="00B45159" w:rsidRPr="006A2D56" w:rsidRDefault="00B45159" w:rsidP="002C5095">
            <w:pPr>
              <w:autoSpaceDE w:val="0"/>
              <w:autoSpaceDN w:val="0"/>
              <w:adjustRightInd w:val="0"/>
              <w:rPr>
                <w:bCs/>
                <w:szCs w:val="24"/>
              </w:rPr>
            </w:pPr>
            <w:r w:rsidRPr="006A2D56">
              <w:rPr>
                <w:bCs/>
                <w:szCs w:val="24"/>
              </w:rPr>
              <w:t>Public Utilities Commission of Ohio</w:t>
            </w:r>
          </w:p>
          <w:p w14:paraId="52DE941D" w14:textId="77777777" w:rsidR="00B45159" w:rsidRPr="006A2D56" w:rsidRDefault="00B45159" w:rsidP="002C5095">
            <w:pPr>
              <w:autoSpaceDE w:val="0"/>
              <w:autoSpaceDN w:val="0"/>
              <w:adjustRightInd w:val="0"/>
              <w:rPr>
                <w:bCs/>
                <w:szCs w:val="24"/>
              </w:rPr>
            </w:pPr>
            <w:r w:rsidRPr="006A2D56">
              <w:rPr>
                <w:bCs/>
                <w:szCs w:val="24"/>
              </w:rPr>
              <w:t>180 E. Broad St., 6</w:t>
            </w:r>
            <w:r w:rsidRPr="006A2D56">
              <w:rPr>
                <w:bCs/>
                <w:szCs w:val="24"/>
                <w:vertAlign w:val="superscript"/>
              </w:rPr>
              <w:t>th</w:t>
            </w:r>
            <w:r w:rsidRPr="006A2D56">
              <w:rPr>
                <w:bCs/>
                <w:szCs w:val="24"/>
              </w:rPr>
              <w:t xml:space="preserve"> Fl.</w:t>
            </w:r>
          </w:p>
          <w:p w14:paraId="3FE50895" w14:textId="77777777" w:rsidR="00B45159" w:rsidRPr="006A2D56" w:rsidRDefault="00B45159" w:rsidP="002C5095">
            <w:pPr>
              <w:autoSpaceDE w:val="0"/>
              <w:autoSpaceDN w:val="0"/>
              <w:adjustRightInd w:val="0"/>
              <w:rPr>
                <w:bCs/>
                <w:szCs w:val="24"/>
              </w:rPr>
            </w:pPr>
            <w:r w:rsidRPr="006A2D56">
              <w:rPr>
                <w:bCs/>
                <w:szCs w:val="24"/>
              </w:rPr>
              <w:t>Columbus, OH 43215</w:t>
            </w:r>
          </w:p>
          <w:p w14:paraId="5087131F" w14:textId="2CFA0E3A" w:rsidR="00B45159" w:rsidRPr="006A2D56" w:rsidRDefault="00230181" w:rsidP="002C5095">
            <w:pPr>
              <w:autoSpaceDE w:val="0"/>
              <w:autoSpaceDN w:val="0"/>
              <w:adjustRightInd w:val="0"/>
              <w:rPr>
                <w:bCs/>
                <w:szCs w:val="24"/>
              </w:rPr>
            </w:pPr>
            <w:hyperlink r:id="rId17" w:history="1">
              <w:r w:rsidR="009A42E5" w:rsidRPr="006A2D56">
                <w:rPr>
                  <w:rStyle w:val="Hyperlink"/>
                  <w:bCs/>
                  <w:szCs w:val="24"/>
                </w:rPr>
                <w:t>Werner.margard@puc.state.oh.us</w:t>
              </w:r>
            </w:hyperlink>
          </w:p>
          <w:p w14:paraId="68F561AE" w14:textId="5AA66DFC" w:rsidR="00B45159" w:rsidRPr="006A2D56" w:rsidRDefault="00230181" w:rsidP="002C5095">
            <w:pPr>
              <w:autoSpaceDE w:val="0"/>
              <w:autoSpaceDN w:val="0"/>
              <w:adjustRightInd w:val="0"/>
              <w:rPr>
                <w:bCs/>
                <w:szCs w:val="24"/>
              </w:rPr>
            </w:pPr>
            <w:hyperlink r:id="rId18" w:history="1">
              <w:r w:rsidR="002430BB" w:rsidRPr="006A2D56">
                <w:rPr>
                  <w:rStyle w:val="Hyperlink"/>
                  <w:bCs/>
                  <w:szCs w:val="24"/>
                </w:rPr>
                <w:t>Steven.beeler@puc.state.oh.us</w:t>
              </w:r>
            </w:hyperlink>
          </w:p>
          <w:p w14:paraId="28B12CC0" w14:textId="77777777" w:rsidR="002430BB" w:rsidRPr="006A2D56" w:rsidRDefault="002430BB" w:rsidP="002C5095">
            <w:pPr>
              <w:autoSpaceDE w:val="0"/>
              <w:autoSpaceDN w:val="0"/>
              <w:adjustRightInd w:val="0"/>
              <w:rPr>
                <w:bCs/>
                <w:szCs w:val="24"/>
              </w:rPr>
            </w:pPr>
          </w:p>
          <w:p w14:paraId="3D663652" w14:textId="77777777" w:rsidR="006A2D56" w:rsidRDefault="006A2D56" w:rsidP="006A2D56">
            <w:pPr>
              <w:autoSpaceDE w:val="0"/>
              <w:autoSpaceDN w:val="0"/>
              <w:adjustRightInd w:val="0"/>
              <w:rPr>
                <w:sz w:val="23"/>
                <w:szCs w:val="23"/>
              </w:rPr>
            </w:pPr>
            <w:r>
              <w:rPr>
                <w:sz w:val="23"/>
                <w:szCs w:val="23"/>
              </w:rPr>
              <w:t>David F. Boehm</w:t>
            </w:r>
          </w:p>
          <w:p w14:paraId="21CE03BA" w14:textId="77777777" w:rsidR="006A2D56" w:rsidRDefault="006A2D56" w:rsidP="006A2D56">
            <w:pPr>
              <w:autoSpaceDE w:val="0"/>
              <w:autoSpaceDN w:val="0"/>
              <w:adjustRightInd w:val="0"/>
              <w:rPr>
                <w:sz w:val="23"/>
                <w:szCs w:val="23"/>
              </w:rPr>
            </w:pPr>
            <w:r>
              <w:rPr>
                <w:sz w:val="23"/>
                <w:szCs w:val="23"/>
              </w:rPr>
              <w:t>Michael L. Kurtz</w:t>
            </w:r>
          </w:p>
          <w:p w14:paraId="231EE712" w14:textId="7ECFB6A9" w:rsidR="006A2D56" w:rsidRDefault="006A2D56" w:rsidP="006A2D56">
            <w:pPr>
              <w:autoSpaceDE w:val="0"/>
              <w:autoSpaceDN w:val="0"/>
              <w:adjustRightInd w:val="0"/>
              <w:rPr>
                <w:sz w:val="23"/>
                <w:szCs w:val="23"/>
              </w:rPr>
            </w:pPr>
            <w:r>
              <w:rPr>
                <w:sz w:val="23"/>
                <w:szCs w:val="23"/>
              </w:rPr>
              <w:t>Jody Kyler Cohn</w:t>
            </w:r>
          </w:p>
          <w:p w14:paraId="739355CF" w14:textId="5DEF7FA7" w:rsidR="006A2D56" w:rsidRDefault="006A2D56" w:rsidP="006A2D56">
            <w:pPr>
              <w:autoSpaceDE w:val="0"/>
              <w:autoSpaceDN w:val="0"/>
              <w:adjustRightInd w:val="0"/>
              <w:rPr>
                <w:sz w:val="23"/>
                <w:szCs w:val="23"/>
              </w:rPr>
            </w:pPr>
            <w:r>
              <w:rPr>
                <w:sz w:val="23"/>
                <w:szCs w:val="23"/>
              </w:rPr>
              <w:t>Boehm, Kurtz &amp; Lowry</w:t>
            </w:r>
          </w:p>
          <w:p w14:paraId="764FDDAB" w14:textId="77777777" w:rsidR="006A2D56" w:rsidRDefault="006A2D56" w:rsidP="006A2D56">
            <w:pPr>
              <w:autoSpaceDE w:val="0"/>
              <w:autoSpaceDN w:val="0"/>
              <w:adjustRightInd w:val="0"/>
              <w:rPr>
                <w:sz w:val="23"/>
                <w:szCs w:val="23"/>
              </w:rPr>
            </w:pPr>
            <w:r>
              <w:rPr>
                <w:sz w:val="23"/>
                <w:szCs w:val="23"/>
              </w:rPr>
              <w:t>36 East Seventh Street, Suite 1510</w:t>
            </w:r>
          </w:p>
          <w:p w14:paraId="70F7EE1E" w14:textId="270987C3" w:rsidR="006A2D56" w:rsidRDefault="006A2D56" w:rsidP="006A2D56">
            <w:pPr>
              <w:autoSpaceDE w:val="0"/>
              <w:autoSpaceDN w:val="0"/>
              <w:adjustRightInd w:val="0"/>
              <w:rPr>
                <w:sz w:val="23"/>
                <w:szCs w:val="23"/>
              </w:rPr>
            </w:pPr>
            <w:r>
              <w:rPr>
                <w:sz w:val="23"/>
                <w:szCs w:val="23"/>
              </w:rPr>
              <w:t>Cincinnati, OH 45202</w:t>
            </w:r>
          </w:p>
          <w:p w14:paraId="20A32DA4" w14:textId="0B59648F" w:rsidR="006A2D56" w:rsidRDefault="00230181" w:rsidP="006A2D56">
            <w:pPr>
              <w:autoSpaceDE w:val="0"/>
              <w:autoSpaceDN w:val="0"/>
              <w:adjustRightInd w:val="0"/>
              <w:rPr>
                <w:sz w:val="23"/>
                <w:szCs w:val="23"/>
              </w:rPr>
            </w:pPr>
            <w:hyperlink r:id="rId19" w:history="1">
              <w:r w:rsidR="006A2D56" w:rsidRPr="000D6BD3">
                <w:rPr>
                  <w:rStyle w:val="Hyperlink"/>
                  <w:sz w:val="23"/>
                  <w:szCs w:val="23"/>
                </w:rPr>
                <w:t>dboehm@BKLlawfirm.com</w:t>
              </w:r>
            </w:hyperlink>
          </w:p>
          <w:p w14:paraId="2E13F909" w14:textId="6E5C0456" w:rsidR="006A2D56" w:rsidRDefault="00230181" w:rsidP="006A2D56">
            <w:pPr>
              <w:autoSpaceDE w:val="0"/>
              <w:autoSpaceDN w:val="0"/>
              <w:adjustRightInd w:val="0"/>
              <w:rPr>
                <w:sz w:val="23"/>
                <w:szCs w:val="23"/>
              </w:rPr>
            </w:pPr>
            <w:hyperlink r:id="rId20" w:history="1">
              <w:r w:rsidR="006A2D56" w:rsidRPr="000D6BD3">
                <w:rPr>
                  <w:rStyle w:val="Hyperlink"/>
                  <w:sz w:val="23"/>
                  <w:szCs w:val="23"/>
                </w:rPr>
                <w:t>mkurtz@BKLlawfirm.com</w:t>
              </w:r>
            </w:hyperlink>
          </w:p>
          <w:p w14:paraId="300E81BD" w14:textId="3ACC0BB7" w:rsidR="00B45159" w:rsidRDefault="00230181" w:rsidP="006A2D56">
            <w:pPr>
              <w:autoSpaceDE w:val="0"/>
              <w:autoSpaceDN w:val="0"/>
              <w:adjustRightInd w:val="0"/>
              <w:rPr>
                <w:sz w:val="23"/>
                <w:szCs w:val="23"/>
              </w:rPr>
            </w:pPr>
            <w:hyperlink r:id="rId21" w:history="1">
              <w:r w:rsidR="006A2D56" w:rsidRPr="000D6BD3">
                <w:rPr>
                  <w:rStyle w:val="Hyperlink"/>
                  <w:sz w:val="23"/>
                  <w:szCs w:val="23"/>
                </w:rPr>
                <w:t>jkylercohn@BKLlawfirm.com</w:t>
              </w:r>
            </w:hyperlink>
          </w:p>
          <w:p w14:paraId="55F7B79F" w14:textId="77777777" w:rsidR="006A2D56" w:rsidRDefault="006A2D56" w:rsidP="006A2D56">
            <w:pPr>
              <w:autoSpaceDE w:val="0"/>
              <w:autoSpaceDN w:val="0"/>
              <w:adjustRightInd w:val="0"/>
              <w:rPr>
                <w:sz w:val="23"/>
                <w:szCs w:val="23"/>
              </w:rPr>
            </w:pPr>
          </w:p>
          <w:p w14:paraId="048B66B4" w14:textId="77777777" w:rsidR="00594D18" w:rsidRDefault="00594D18" w:rsidP="006A2D56">
            <w:pPr>
              <w:autoSpaceDE w:val="0"/>
              <w:autoSpaceDN w:val="0"/>
              <w:adjustRightInd w:val="0"/>
              <w:rPr>
                <w:szCs w:val="24"/>
              </w:rPr>
            </w:pPr>
          </w:p>
          <w:p w14:paraId="0CA060F9" w14:textId="1B92611B" w:rsidR="006A2D56" w:rsidRPr="006A2D56" w:rsidRDefault="006A2D56" w:rsidP="006A2D56">
            <w:pPr>
              <w:autoSpaceDE w:val="0"/>
              <w:autoSpaceDN w:val="0"/>
              <w:adjustRightInd w:val="0"/>
              <w:rPr>
                <w:szCs w:val="24"/>
              </w:rPr>
            </w:pPr>
            <w:r w:rsidRPr="006A2D56">
              <w:rPr>
                <w:szCs w:val="24"/>
              </w:rPr>
              <w:t xml:space="preserve">Vincent Parisi </w:t>
            </w:r>
          </w:p>
          <w:p w14:paraId="13F0782E" w14:textId="77777777" w:rsidR="006A2D56" w:rsidRPr="006A2D56" w:rsidRDefault="006A2D56" w:rsidP="006A2D56">
            <w:pPr>
              <w:autoSpaceDE w:val="0"/>
              <w:autoSpaceDN w:val="0"/>
              <w:adjustRightInd w:val="0"/>
              <w:rPr>
                <w:szCs w:val="24"/>
              </w:rPr>
            </w:pPr>
            <w:r w:rsidRPr="006A2D56">
              <w:rPr>
                <w:szCs w:val="24"/>
              </w:rPr>
              <w:t>Matthew White</w:t>
            </w:r>
          </w:p>
          <w:p w14:paraId="21B215B9" w14:textId="77777777" w:rsidR="006A2D56" w:rsidRPr="006A2D56" w:rsidRDefault="006A2D56" w:rsidP="006A2D56">
            <w:pPr>
              <w:autoSpaceDE w:val="0"/>
              <w:autoSpaceDN w:val="0"/>
              <w:adjustRightInd w:val="0"/>
              <w:rPr>
                <w:szCs w:val="24"/>
              </w:rPr>
            </w:pPr>
            <w:r w:rsidRPr="006A2D56">
              <w:rPr>
                <w:szCs w:val="24"/>
              </w:rPr>
              <w:t>Interstate Gas Supply, Inc.</w:t>
            </w:r>
          </w:p>
          <w:p w14:paraId="47F81420" w14:textId="77777777" w:rsidR="006A2D56" w:rsidRPr="006A2D56" w:rsidRDefault="006A2D56" w:rsidP="006A2D56">
            <w:pPr>
              <w:autoSpaceDE w:val="0"/>
              <w:autoSpaceDN w:val="0"/>
              <w:adjustRightInd w:val="0"/>
              <w:rPr>
                <w:szCs w:val="24"/>
              </w:rPr>
            </w:pPr>
            <w:r w:rsidRPr="006A2D56">
              <w:rPr>
                <w:szCs w:val="24"/>
              </w:rPr>
              <w:t>6100 Emerald Parkway</w:t>
            </w:r>
          </w:p>
          <w:p w14:paraId="316869D2" w14:textId="42E6D56E" w:rsidR="006A2D56" w:rsidRPr="006A2D56" w:rsidRDefault="006A2D56" w:rsidP="006A2D56">
            <w:pPr>
              <w:autoSpaceDE w:val="0"/>
              <w:autoSpaceDN w:val="0"/>
              <w:adjustRightInd w:val="0"/>
              <w:rPr>
                <w:szCs w:val="24"/>
              </w:rPr>
            </w:pPr>
            <w:r w:rsidRPr="006A2D56">
              <w:rPr>
                <w:szCs w:val="24"/>
              </w:rPr>
              <w:t>Dublin, O</w:t>
            </w:r>
            <w:r>
              <w:rPr>
                <w:szCs w:val="24"/>
              </w:rPr>
              <w:t xml:space="preserve">H </w:t>
            </w:r>
            <w:r w:rsidRPr="006A2D56">
              <w:rPr>
                <w:szCs w:val="24"/>
              </w:rPr>
              <w:t>43016</w:t>
            </w:r>
          </w:p>
          <w:p w14:paraId="323A97CB" w14:textId="709FACB4" w:rsidR="006A2D56" w:rsidRPr="006A2D56" w:rsidRDefault="00230181" w:rsidP="006A2D56">
            <w:pPr>
              <w:autoSpaceDE w:val="0"/>
              <w:autoSpaceDN w:val="0"/>
              <w:adjustRightInd w:val="0"/>
              <w:rPr>
                <w:szCs w:val="24"/>
              </w:rPr>
            </w:pPr>
            <w:hyperlink r:id="rId22" w:history="1">
              <w:r w:rsidR="006A2D56" w:rsidRPr="006A2D56">
                <w:rPr>
                  <w:rStyle w:val="Hyperlink"/>
                  <w:szCs w:val="24"/>
                </w:rPr>
                <w:t>vparisi@igsenergy.com</w:t>
              </w:r>
            </w:hyperlink>
          </w:p>
          <w:p w14:paraId="0CDE1BCB" w14:textId="4E53A150" w:rsidR="006A2D56" w:rsidRPr="006A2D56" w:rsidRDefault="00230181" w:rsidP="006A2D56">
            <w:pPr>
              <w:autoSpaceDE w:val="0"/>
              <w:autoSpaceDN w:val="0"/>
              <w:adjustRightInd w:val="0"/>
              <w:rPr>
                <w:szCs w:val="24"/>
              </w:rPr>
            </w:pPr>
            <w:hyperlink r:id="rId23" w:history="1">
              <w:r w:rsidR="006A2D56" w:rsidRPr="006A2D56">
                <w:rPr>
                  <w:rStyle w:val="Hyperlink"/>
                  <w:szCs w:val="24"/>
                </w:rPr>
                <w:t>mswhite@igsenergy.com</w:t>
              </w:r>
            </w:hyperlink>
          </w:p>
          <w:p w14:paraId="3FDCF471" w14:textId="77777777" w:rsidR="006A2D56" w:rsidRPr="006A2D56" w:rsidRDefault="006A2D56" w:rsidP="006A2D56">
            <w:pPr>
              <w:autoSpaceDE w:val="0"/>
              <w:autoSpaceDN w:val="0"/>
              <w:adjustRightInd w:val="0"/>
              <w:rPr>
                <w:szCs w:val="24"/>
              </w:rPr>
            </w:pPr>
          </w:p>
          <w:p w14:paraId="328D161B" w14:textId="77777777" w:rsidR="006A2D56" w:rsidRDefault="006A2D56" w:rsidP="006A2D56">
            <w:pPr>
              <w:autoSpaceDE w:val="0"/>
              <w:autoSpaceDN w:val="0"/>
              <w:adjustRightInd w:val="0"/>
              <w:rPr>
                <w:rFonts w:ascii="Arial" w:hAnsi="Arial" w:cs="Arial"/>
                <w:szCs w:val="24"/>
              </w:rPr>
            </w:pPr>
          </w:p>
          <w:p w14:paraId="6995C885" w14:textId="77777777" w:rsidR="006A2D56" w:rsidRPr="006A2D56" w:rsidRDefault="006A2D56" w:rsidP="006A2D56">
            <w:pPr>
              <w:autoSpaceDE w:val="0"/>
              <w:autoSpaceDN w:val="0"/>
              <w:adjustRightInd w:val="0"/>
              <w:rPr>
                <w:bCs/>
                <w:szCs w:val="24"/>
              </w:rPr>
            </w:pPr>
          </w:p>
          <w:p w14:paraId="37940E25" w14:textId="1756BCFE" w:rsidR="002430BB" w:rsidRPr="006A2D56" w:rsidRDefault="002430BB" w:rsidP="002C5095">
            <w:pPr>
              <w:autoSpaceDE w:val="0"/>
              <w:autoSpaceDN w:val="0"/>
              <w:adjustRightInd w:val="0"/>
              <w:rPr>
                <w:rStyle w:val="Hyperlink"/>
                <w:bCs/>
                <w:szCs w:val="24"/>
              </w:rPr>
            </w:pPr>
            <w:r w:rsidRPr="006A2D56">
              <w:rPr>
                <w:bCs/>
                <w:szCs w:val="24"/>
              </w:rPr>
              <w:t xml:space="preserve">AE:  </w:t>
            </w:r>
            <w:hyperlink r:id="rId24" w:history="1">
              <w:r w:rsidR="009A42E5" w:rsidRPr="006A2D56">
                <w:rPr>
                  <w:rStyle w:val="Hyperlink"/>
                  <w:bCs/>
                  <w:szCs w:val="24"/>
                </w:rPr>
                <w:t>Sarah.Parrot@puc.state.oh.us</w:t>
              </w:r>
            </w:hyperlink>
          </w:p>
          <w:p w14:paraId="0FA12799" w14:textId="45791927" w:rsidR="002430BB" w:rsidRPr="006A2D56" w:rsidRDefault="006A2D56" w:rsidP="00594D18">
            <w:pPr>
              <w:autoSpaceDE w:val="0"/>
              <w:autoSpaceDN w:val="0"/>
              <w:adjustRightInd w:val="0"/>
              <w:rPr>
                <w:bCs/>
                <w:szCs w:val="24"/>
              </w:rPr>
            </w:pPr>
            <w:r w:rsidRPr="006A2D56">
              <w:rPr>
                <w:rStyle w:val="Hyperlink"/>
                <w:bCs/>
                <w:szCs w:val="24"/>
                <w:u w:val="none"/>
              </w:rPr>
              <w:t xml:space="preserve">       </w:t>
            </w:r>
            <w:hyperlink r:id="rId25" w:history="1">
              <w:r w:rsidRPr="006A2D56">
                <w:rPr>
                  <w:rStyle w:val="Hyperlink"/>
                  <w:bCs/>
                  <w:szCs w:val="24"/>
                </w:rPr>
                <w:t>Jonathan.tauber@puc.state.oh.us</w:t>
              </w:r>
            </w:hyperlink>
          </w:p>
        </w:tc>
        <w:tc>
          <w:tcPr>
            <w:tcW w:w="4428" w:type="dxa"/>
            <w:shd w:val="clear" w:color="auto" w:fill="auto"/>
          </w:tcPr>
          <w:p w14:paraId="3478D7AC" w14:textId="77777777" w:rsidR="00B45159" w:rsidRPr="006A2D56" w:rsidRDefault="00B45159" w:rsidP="00B45159">
            <w:pPr>
              <w:autoSpaceDE w:val="0"/>
              <w:autoSpaceDN w:val="0"/>
              <w:adjustRightInd w:val="0"/>
              <w:rPr>
                <w:szCs w:val="24"/>
              </w:rPr>
            </w:pPr>
            <w:r w:rsidRPr="006A2D56">
              <w:rPr>
                <w:szCs w:val="24"/>
              </w:rPr>
              <w:t>Steven T. Nourse</w:t>
            </w:r>
          </w:p>
          <w:p w14:paraId="1AF6B914" w14:textId="77777777" w:rsidR="00B45159" w:rsidRPr="006A2D56" w:rsidRDefault="00B45159" w:rsidP="00B45159">
            <w:pPr>
              <w:autoSpaceDE w:val="0"/>
              <w:autoSpaceDN w:val="0"/>
              <w:adjustRightInd w:val="0"/>
              <w:rPr>
                <w:szCs w:val="24"/>
              </w:rPr>
            </w:pPr>
            <w:r w:rsidRPr="006A2D56">
              <w:rPr>
                <w:szCs w:val="24"/>
              </w:rPr>
              <w:t>Matthew J. Satterwhite</w:t>
            </w:r>
          </w:p>
          <w:p w14:paraId="0626F4B5" w14:textId="77777777" w:rsidR="00B45159" w:rsidRPr="006A2D56" w:rsidRDefault="00B45159" w:rsidP="00B45159">
            <w:pPr>
              <w:autoSpaceDE w:val="0"/>
              <w:autoSpaceDN w:val="0"/>
              <w:adjustRightInd w:val="0"/>
              <w:rPr>
                <w:szCs w:val="24"/>
              </w:rPr>
            </w:pPr>
            <w:r w:rsidRPr="006A2D56">
              <w:rPr>
                <w:szCs w:val="24"/>
              </w:rPr>
              <w:t>Yazen Alami</w:t>
            </w:r>
          </w:p>
          <w:p w14:paraId="1F867F53" w14:textId="77777777" w:rsidR="00B45159" w:rsidRPr="006A2D56" w:rsidRDefault="00B45159" w:rsidP="00B45159">
            <w:pPr>
              <w:autoSpaceDE w:val="0"/>
              <w:autoSpaceDN w:val="0"/>
              <w:adjustRightInd w:val="0"/>
              <w:rPr>
                <w:szCs w:val="24"/>
              </w:rPr>
            </w:pPr>
            <w:r w:rsidRPr="006A2D56">
              <w:rPr>
                <w:szCs w:val="24"/>
              </w:rPr>
              <w:t>AEP Service Corporation</w:t>
            </w:r>
          </w:p>
          <w:p w14:paraId="05CF5624" w14:textId="77777777" w:rsidR="00B45159" w:rsidRPr="006A2D56" w:rsidRDefault="00B45159" w:rsidP="00B45159">
            <w:pPr>
              <w:autoSpaceDE w:val="0"/>
              <w:autoSpaceDN w:val="0"/>
              <w:adjustRightInd w:val="0"/>
              <w:rPr>
                <w:szCs w:val="24"/>
              </w:rPr>
            </w:pPr>
            <w:r w:rsidRPr="006A2D56">
              <w:rPr>
                <w:szCs w:val="24"/>
              </w:rPr>
              <w:t>1 Riverside Plaza, 29th Floor</w:t>
            </w:r>
          </w:p>
          <w:p w14:paraId="7E286563" w14:textId="77777777" w:rsidR="00B45159" w:rsidRPr="006A2D56" w:rsidRDefault="00B45159" w:rsidP="00B45159">
            <w:pPr>
              <w:autoSpaceDE w:val="0"/>
              <w:autoSpaceDN w:val="0"/>
              <w:adjustRightInd w:val="0"/>
              <w:rPr>
                <w:szCs w:val="24"/>
              </w:rPr>
            </w:pPr>
            <w:r w:rsidRPr="006A2D56">
              <w:rPr>
                <w:szCs w:val="24"/>
              </w:rPr>
              <w:t>Columbus, OH 43215</w:t>
            </w:r>
          </w:p>
          <w:p w14:paraId="6EC67DA6" w14:textId="137B19B1" w:rsidR="00B45159" w:rsidRPr="006A2D56" w:rsidRDefault="00230181" w:rsidP="00B45159">
            <w:pPr>
              <w:autoSpaceDE w:val="0"/>
              <w:autoSpaceDN w:val="0"/>
              <w:adjustRightInd w:val="0"/>
              <w:rPr>
                <w:szCs w:val="24"/>
              </w:rPr>
            </w:pPr>
            <w:hyperlink r:id="rId26" w:history="1">
              <w:r w:rsidR="002430BB" w:rsidRPr="006A2D56">
                <w:rPr>
                  <w:rStyle w:val="Hyperlink"/>
                  <w:szCs w:val="24"/>
                </w:rPr>
                <w:t>stnourse@aep.com</w:t>
              </w:r>
            </w:hyperlink>
          </w:p>
          <w:p w14:paraId="4FCF3EB7" w14:textId="6F3F50CE" w:rsidR="00B45159" w:rsidRPr="006A2D56" w:rsidRDefault="00230181" w:rsidP="00B45159">
            <w:pPr>
              <w:autoSpaceDE w:val="0"/>
              <w:autoSpaceDN w:val="0"/>
              <w:adjustRightInd w:val="0"/>
              <w:rPr>
                <w:szCs w:val="24"/>
              </w:rPr>
            </w:pPr>
            <w:hyperlink r:id="rId27" w:history="1">
              <w:r w:rsidR="002430BB" w:rsidRPr="006A2D56">
                <w:rPr>
                  <w:rStyle w:val="Hyperlink"/>
                  <w:szCs w:val="24"/>
                </w:rPr>
                <w:t>mjsatterwhite@aep.com</w:t>
              </w:r>
            </w:hyperlink>
          </w:p>
          <w:p w14:paraId="5CA5E498" w14:textId="4A99B205" w:rsidR="00B45159" w:rsidRPr="006A2D56" w:rsidRDefault="00230181" w:rsidP="00B45159">
            <w:pPr>
              <w:pStyle w:val="BodyText"/>
              <w:rPr>
                <w:szCs w:val="24"/>
              </w:rPr>
            </w:pPr>
            <w:hyperlink r:id="rId28" w:history="1">
              <w:r w:rsidR="002430BB" w:rsidRPr="006A2D56">
                <w:rPr>
                  <w:rStyle w:val="Hyperlink"/>
                  <w:szCs w:val="24"/>
                </w:rPr>
                <w:t>yalami@aep.com</w:t>
              </w:r>
            </w:hyperlink>
          </w:p>
          <w:p w14:paraId="633F8D8F" w14:textId="77777777" w:rsidR="002430BB" w:rsidRPr="006A2D56" w:rsidRDefault="002430BB" w:rsidP="00B45159">
            <w:pPr>
              <w:pStyle w:val="BodyText"/>
              <w:rPr>
                <w:szCs w:val="24"/>
              </w:rPr>
            </w:pPr>
          </w:p>
          <w:p w14:paraId="67118701" w14:textId="77777777" w:rsidR="006A2D56" w:rsidRDefault="006A2D56" w:rsidP="006A2D56">
            <w:pPr>
              <w:autoSpaceDE w:val="0"/>
              <w:autoSpaceDN w:val="0"/>
              <w:adjustRightInd w:val="0"/>
              <w:rPr>
                <w:szCs w:val="24"/>
              </w:rPr>
            </w:pPr>
          </w:p>
          <w:p w14:paraId="24AA7F62" w14:textId="3BE590A5" w:rsidR="006A2D56" w:rsidRDefault="006A2D56" w:rsidP="006A2D56">
            <w:pPr>
              <w:autoSpaceDE w:val="0"/>
              <w:autoSpaceDN w:val="0"/>
              <w:adjustRightInd w:val="0"/>
              <w:rPr>
                <w:szCs w:val="24"/>
              </w:rPr>
            </w:pPr>
            <w:r>
              <w:rPr>
                <w:szCs w:val="24"/>
              </w:rPr>
              <w:t>Mark A. Hayden</w:t>
            </w:r>
          </w:p>
          <w:p w14:paraId="530CE9C0" w14:textId="32BF7021" w:rsidR="006A2D56" w:rsidRDefault="006A2D56" w:rsidP="006A2D56">
            <w:pPr>
              <w:autoSpaceDE w:val="0"/>
              <w:autoSpaceDN w:val="0"/>
              <w:adjustRightInd w:val="0"/>
              <w:rPr>
                <w:szCs w:val="24"/>
              </w:rPr>
            </w:pPr>
            <w:r>
              <w:rPr>
                <w:szCs w:val="24"/>
              </w:rPr>
              <w:t>FirstEnergy Service Company</w:t>
            </w:r>
          </w:p>
          <w:p w14:paraId="31704E7B" w14:textId="77777777" w:rsidR="006A2D56" w:rsidRDefault="006A2D56" w:rsidP="006A2D56">
            <w:pPr>
              <w:autoSpaceDE w:val="0"/>
              <w:autoSpaceDN w:val="0"/>
              <w:adjustRightInd w:val="0"/>
              <w:rPr>
                <w:szCs w:val="24"/>
              </w:rPr>
            </w:pPr>
            <w:r>
              <w:rPr>
                <w:szCs w:val="24"/>
              </w:rPr>
              <w:t>76 South Main Street</w:t>
            </w:r>
          </w:p>
          <w:p w14:paraId="3C7F9575" w14:textId="77777777" w:rsidR="006A2D56" w:rsidRDefault="006A2D56" w:rsidP="006A2D56">
            <w:pPr>
              <w:autoSpaceDE w:val="0"/>
              <w:autoSpaceDN w:val="0"/>
              <w:adjustRightInd w:val="0"/>
              <w:rPr>
                <w:szCs w:val="24"/>
              </w:rPr>
            </w:pPr>
            <w:r>
              <w:rPr>
                <w:szCs w:val="24"/>
              </w:rPr>
              <w:t>Akron, OH 44308</w:t>
            </w:r>
          </w:p>
          <w:p w14:paraId="19E41BAF" w14:textId="210FF04F" w:rsidR="006A2D56" w:rsidRDefault="00230181" w:rsidP="006A2D56">
            <w:pPr>
              <w:autoSpaceDE w:val="0"/>
              <w:autoSpaceDN w:val="0"/>
              <w:adjustRightInd w:val="0"/>
              <w:rPr>
                <w:szCs w:val="24"/>
              </w:rPr>
            </w:pPr>
            <w:hyperlink r:id="rId29" w:history="1">
              <w:r w:rsidR="006A2D56" w:rsidRPr="000D6BD3">
                <w:rPr>
                  <w:rStyle w:val="Hyperlink"/>
                  <w:szCs w:val="24"/>
                </w:rPr>
                <w:t>haydenm@firstenergycorp.com</w:t>
              </w:r>
            </w:hyperlink>
          </w:p>
          <w:p w14:paraId="753D7F32" w14:textId="77777777" w:rsidR="006A2D56" w:rsidRDefault="006A2D56" w:rsidP="006A2D56">
            <w:pPr>
              <w:autoSpaceDE w:val="0"/>
              <w:autoSpaceDN w:val="0"/>
              <w:adjustRightInd w:val="0"/>
              <w:rPr>
                <w:szCs w:val="24"/>
              </w:rPr>
            </w:pPr>
          </w:p>
          <w:p w14:paraId="2C96C2F1" w14:textId="77777777" w:rsidR="000C2FD2" w:rsidRDefault="000C2FD2" w:rsidP="006A2D56">
            <w:pPr>
              <w:pStyle w:val="BodyText"/>
              <w:rPr>
                <w:bCs/>
                <w:szCs w:val="24"/>
              </w:rPr>
            </w:pPr>
          </w:p>
          <w:p w14:paraId="48CB529E" w14:textId="03A54B61" w:rsidR="006A2D56" w:rsidRDefault="006A2D56" w:rsidP="006A2D56">
            <w:pPr>
              <w:autoSpaceDE w:val="0"/>
              <w:autoSpaceDN w:val="0"/>
              <w:adjustRightInd w:val="0"/>
              <w:rPr>
                <w:sz w:val="23"/>
                <w:szCs w:val="23"/>
              </w:rPr>
            </w:pPr>
            <w:r>
              <w:rPr>
                <w:sz w:val="23"/>
                <w:szCs w:val="23"/>
              </w:rPr>
              <w:t>M. How</w:t>
            </w:r>
            <w:r w:rsidR="00594D18">
              <w:rPr>
                <w:sz w:val="23"/>
                <w:szCs w:val="23"/>
              </w:rPr>
              <w:t>ard Petricoff</w:t>
            </w:r>
          </w:p>
          <w:p w14:paraId="3B2D4CBE" w14:textId="77777777" w:rsidR="006A2D56" w:rsidRDefault="006A2D56" w:rsidP="006A2D56">
            <w:pPr>
              <w:autoSpaceDE w:val="0"/>
              <w:autoSpaceDN w:val="0"/>
              <w:adjustRightInd w:val="0"/>
              <w:rPr>
                <w:sz w:val="23"/>
                <w:szCs w:val="23"/>
              </w:rPr>
            </w:pPr>
            <w:r>
              <w:rPr>
                <w:sz w:val="23"/>
                <w:szCs w:val="23"/>
              </w:rPr>
              <w:t>Gretchen L. Petrucci</w:t>
            </w:r>
          </w:p>
          <w:p w14:paraId="53E5EA97" w14:textId="77777777" w:rsidR="006A2D56" w:rsidRDefault="006A2D56" w:rsidP="006A2D56">
            <w:pPr>
              <w:autoSpaceDE w:val="0"/>
              <w:autoSpaceDN w:val="0"/>
              <w:adjustRightInd w:val="0"/>
              <w:rPr>
                <w:sz w:val="23"/>
                <w:szCs w:val="23"/>
              </w:rPr>
            </w:pPr>
            <w:r>
              <w:rPr>
                <w:sz w:val="23"/>
                <w:szCs w:val="23"/>
              </w:rPr>
              <w:t>Vorys, Sater, Seymour and Pease LLP</w:t>
            </w:r>
          </w:p>
          <w:p w14:paraId="36658D54" w14:textId="77777777" w:rsidR="006A2D56" w:rsidRDefault="006A2D56" w:rsidP="006A2D56">
            <w:pPr>
              <w:autoSpaceDE w:val="0"/>
              <w:autoSpaceDN w:val="0"/>
              <w:adjustRightInd w:val="0"/>
              <w:rPr>
                <w:sz w:val="23"/>
                <w:szCs w:val="23"/>
              </w:rPr>
            </w:pPr>
            <w:r>
              <w:rPr>
                <w:i/>
                <w:iCs/>
                <w:szCs w:val="24"/>
              </w:rPr>
              <w:t xml:space="preserve">52 </w:t>
            </w:r>
            <w:r>
              <w:rPr>
                <w:sz w:val="23"/>
                <w:szCs w:val="23"/>
              </w:rPr>
              <w:t>E. Gay Street</w:t>
            </w:r>
          </w:p>
          <w:p w14:paraId="70EBAD9F" w14:textId="77777777" w:rsidR="006A2D56" w:rsidRDefault="006A2D56" w:rsidP="006A2D56">
            <w:pPr>
              <w:autoSpaceDE w:val="0"/>
              <w:autoSpaceDN w:val="0"/>
              <w:adjustRightInd w:val="0"/>
              <w:rPr>
                <w:sz w:val="23"/>
                <w:szCs w:val="23"/>
              </w:rPr>
            </w:pPr>
            <w:r>
              <w:rPr>
                <w:sz w:val="23"/>
                <w:szCs w:val="23"/>
              </w:rPr>
              <w:t>P.O. Box 1008</w:t>
            </w:r>
          </w:p>
          <w:p w14:paraId="1C70B25D" w14:textId="2C1EA653" w:rsidR="006A2D56" w:rsidRDefault="006A2D56" w:rsidP="006A2D56">
            <w:pPr>
              <w:autoSpaceDE w:val="0"/>
              <w:autoSpaceDN w:val="0"/>
              <w:adjustRightInd w:val="0"/>
              <w:rPr>
                <w:sz w:val="23"/>
                <w:szCs w:val="23"/>
              </w:rPr>
            </w:pPr>
            <w:r>
              <w:rPr>
                <w:sz w:val="23"/>
                <w:szCs w:val="23"/>
              </w:rPr>
              <w:t>Columbus, O</w:t>
            </w:r>
            <w:r w:rsidR="00594D18">
              <w:rPr>
                <w:sz w:val="23"/>
                <w:szCs w:val="23"/>
              </w:rPr>
              <w:t>H</w:t>
            </w:r>
            <w:r>
              <w:rPr>
                <w:sz w:val="23"/>
                <w:szCs w:val="23"/>
              </w:rPr>
              <w:t xml:space="preserve"> 43216-1008</w:t>
            </w:r>
          </w:p>
          <w:p w14:paraId="6AD38CE9" w14:textId="689B74B0" w:rsidR="006A2D56" w:rsidRDefault="00230181" w:rsidP="006A2D56">
            <w:pPr>
              <w:autoSpaceDE w:val="0"/>
              <w:autoSpaceDN w:val="0"/>
              <w:adjustRightInd w:val="0"/>
              <w:rPr>
                <w:sz w:val="23"/>
                <w:szCs w:val="23"/>
              </w:rPr>
            </w:pPr>
            <w:hyperlink r:id="rId30" w:history="1">
              <w:r w:rsidR="00594D18" w:rsidRPr="000D6BD3">
                <w:rPr>
                  <w:rStyle w:val="Hyperlink"/>
                  <w:sz w:val="23"/>
                  <w:szCs w:val="23"/>
                </w:rPr>
                <w:t>mhpetricoff@vorys.com</w:t>
              </w:r>
            </w:hyperlink>
          </w:p>
          <w:p w14:paraId="50D1C81F" w14:textId="25BA47BF" w:rsidR="006A2D56" w:rsidRDefault="00230181" w:rsidP="006A2D56">
            <w:pPr>
              <w:autoSpaceDE w:val="0"/>
              <w:autoSpaceDN w:val="0"/>
              <w:adjustRightInd w:val="0"/>
              <w:rPr>
                <w:sz w:val="23"/>
                <w:szCs w:val="23"/>
              </w:rPr>
            </w:pPr>
            <w:hyperlink r:id="rId31" w:history="1">
              <w:r w:rsidR="00594D18" w:rsidRPr="000D6BD3">
                <w:rPr>
                  <w:rStyle w:val="Hyperlink"/>
                  <w:sz w:val="23"/>
                  <w:szCs w:val="23"/>
                </w:rPr>
                <w:t>glpetrucci@vorys.com</w:t>
              </w:r>
            </w:hyperlink>
          </w:p>
          <w:p w14:paraId="0564D8CA" w14:textId="77777777" w:rsidR="00594D18" w:rsidRDefault="00594D18" w:rsidP="006A2D56">
            <w:pPr>
              <w:autoSpaceDE w:val="0"/>
              <w:autoSpaceDN w:val="0"/>
              <w:adjustRightInd w:val="0"/>
              <w:rPr>
                <w:sz w:val="23"/>
                <w:szCs w:val="23"/>
              </w:rPr>
            </w:pPr>
          </w:p>
          <w:p w14:paraId="182687D6" w14:textId="524BE929" w:rsidR="006A2D56" w:rsidRPr="006A2D56" w:rsidRDefault="006A2D56" w:rsidP="006A2D56">
            <w:pPr>
              <w:pStyle w:val="BodyText"/>
              <w:rPr>
                <w:bCs/>
                <w:szCs w:val="24"/>
              </w:rPr>
            </w:pPr>
          </w:p>
        </w:tc>
      </w:tr>
    </w:tbl>
    <w:p w14:paraId="3FB5AF33" w14:textId="77777777" w:rsidR="008C2387" w:rsidRPr="006A2D56" w:rsidRDefault="008C2387">
      <w:pPr>
        <w:pStyle w:val="BodyText"/>
        <w:rPr>
          <w:bCs/>
          <w:szCs w:val="24"/>
        </w:rPr>
      </w:pPr>
    </w:p>
    <w:sectPr w:rsidR="008C2387" w:rsidRPr="006A2D56" w:rsidSect="00594D18">
      <w:headerReference w:type="first" r:id="rId32"/>
      <w:footerReference w:type="first" r:id="rId33"/>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67949" w14:textId="77777777" w:rsidR="004B49EE" w:rsidRDefault="004B49EE">
      <w:r>
        <w:separator/>
      </w:r>
    </w:p>
  </w:endnote>
  <w:endnote w:type="continuationSeparator" w:id="0">
    <w:p w14:paraId="19E03D44" w14:textId="77777777" w:rsidR="004B49EE" w:rsidRDefault="004B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4217" w14:textId="77777777" w:rsidR="00047337" w:rsidRDefault="00047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2BCB5" w14:textId="77777777" w:rsidR="001B0965" w:rsidRDefault="001B096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47337">
      <w:rPr>
        <w:rStyle w:val="PageNumber"/>
        <w:noProof/>
        <w:sz w:val="24"/>
        <w:szCs w:val="24"/>
      </w:rPr>
      <w:t>12</w:t>
    </w:r>
    <w:r>
      <w:rPr>
        <w:rStyle w:val="PageNumber"/>
        <w:sz w:val="24"/>
        <w:szCs w:val="24"/>
      </w:rPr>
      <w:fldChar w:fldCharType="end"/>
    </w:r>
  </w:p>
  <w:p w14:paraId="38BE4CC9" w14:textId="77777777" w:rsidR="001B0965" w:rsidRDefault="001B0965">
    <w:pPr>
      <w:pStyle w:val="Footer"/>
      <w:framePr w:wrap="around" w:vAnchor="text" w:hAnchor="margin" w:xAlign="center" w:y="1"/>
      <w:rPr>
        <w:rStyle w:val="PageNumber"/>
      </w:rPr>
    </w:pPr>
  </w:p>
  <w:p w14:paraId="77949D79" w14:textId="77777777" w:rsidR="001B0965" w:rsidRDefault="001B0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4AE8" w14:textId="77777777" w:rsidR="00047337" w:rsidRDefault="000473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21421" w14:textId="77777777" w:rsidR="00594D18" w:rsidRDefault="00594D18">
    <w:pPr>
      <w:pStyle w:val="Footer"/>
      <w:jc w:val="center"/>
    </w:pPr>
    <w:r>
      <w:fldChar w:fldCharType="begin"/>
    </w:r>
    <w:r>
      <w:instrText xml:space="preserve"> PAGE   \* MERGEFORMAT </w:instrText>
    </w:r>
    <w:r>
      <w:fldChar w:fldCharType="separate"/>
    </w:r>
    <w:r w:rsidR="00047337">
      <w:rPr>
        <w:noProof/>
      </w:rPr>
      <w:t>i</w:t>
    </w:r>
    <w:r>
      <w:rPr>
        <w:noProof/>
      </w:rPr>
      <w:fldChar w:fldCharType="end"/>
    </w:r>
  </w:p>
  <w:p w14:paraId="01CBF6B7" w14:textId="77777777" w:rsidR="00594D18" w:rsidRDefault="00594D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20BD" w14:textId="77777777" w:rsidR="00594D18" w:rsidRDefault="00594D18">
    <w:pPr>
      <w:pStyle w:val="Footer"/>
      <w:jc w:val="center"/>
    </w:pPr>
    <w:r>
      <w:fldChar w:fldCharType="begin"/>
    </w:r>
    <w:r>
      <w:instrText xml:space="preserve"> PAGE   \* MERGEFORMAT </w:instrText>
    </w:r>
    <w:r>
      <w:fldChar w:fldCharType="separate"/>
    </w:r>
    <w:r w:rsidR="00047337">
      <w:rPr>
        <w:noProof/>
      </w:rPr>
      <w:t>1</w:t>
    </w:r>
    <w:r>
      <w:rPr>
        <w:noProof/>
      </w:rPr>
      <w:fldChar w:fldCharType="end"/>
    </w:r>
  </w:p>
  <w:p w14:paraId="020FAEAF" w14:textId="77777777" w:rsidR="00594D18" w:rsidRDefault="0059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F4EE5" w14:textId="77777777" w:rsidR="004B49EE" w:rsidRDefault="004B49EE">
      <w:r>
        <w:separator/>
      </w:r>
    </w:p>
  </w:footnote>
  <w:footnote w:type="continuationSeparator" w:id="0">
    <w:p w14:paraId="1B3203E9" w14:textId="77777777" w:rsidR="004B49EE" w:rsidRDefault="004B49EE">
      <w:r>
        <w:continuationSeparator/>
      </w:r>
    </w:p>
  </w:footnote>
  <w:footnote w:id="1">
    <w:p w14:paraId="1A8D83A3" w14:textId="77777777" w:rsidR="00656984" w:rsidRPr="007E3918" w:rsidRDefault="00656984" w:rsidP="007E3918">
      <w:pPr>
        <w:pStyle w:val="FootnoteText"/>
        <w:spacing w:after="120"/>
      </w:pPr>
      <w:r w:rsidRPr="007E3918">
        <w:rPr>
          <w:rStyle w:val="FootnoteReference"/>
        </w:rPr>
        <w:footnoteRef/>
      </w:r>
      <w:r w:rsidRPr="007E3918">
        <w:t xml:space="preserve"> </w:t>
      </w:r>
      <w:r w:rsidR="004C34BD" w:rsidRPr="007E3918">
        <w:t>OCC Initial Comments at 3 (August 12, 2013); PUCO Staff Comments at 1-3 (August 12, 2013); RESA Reply Comments at 2 (September 6, 2013).</w:t>
      </w:r>
    </w:p>
  </w:footnote>
  <w:footnote w:id="2">
    <w:p w14:paraId="41FFB31F" w14:textId="77777777" w:rsidR="00DB08A3" w:rsidRPr="007E3918" w:rsidRDefault="00DB08A3" w:rsidP="007E3918">
      <w:pPr>
        <w:pStyle w:val="FootnoteText"/>
        <w:spacing w:after="120"/>
      </w:pPr>
      <w:r w:rsidRPr="007E3918">
        <w:rPr>
          <w:rStyle w:val="FootnoteReference"/>
        </w:rPr>
        <w:footnoteRef/>
      </w:r>
      <w:r w:rsidRPr="007E3918">
        <w:t xml:space="preserve"> Finding and Order of November 13, 2013 at 7.</w:t>
      </w:r>
    </w:p>
  </w:footnote>
  <w:footnote w:id="3">
    <w:p w14:paraId="09877ADD" w14:textId="77777777" w:rsidR="00DB08A3" w:rsidRPr="007E3918" w:rsidRDefault="00DB08A3" w:rsidP="007E3918">
      <w:pPr>
        <w:pStyle w:val="FootnoteText"/>
        <w:spacing w:after="120"/>
      </w:pPr>
      <w:r w:rsidRPr="007E3918">
        <w:rPr>
          <w:rStyle w:val="FootnoteReference"/>
        </w:rPr>
        <w:footnoteRef/>
      </w:r>
      <w:r w:rsidRPr="007E3918">
        <w:t xml:space="preserve"> </w:t>
      </w:r>
      <w:r w:rsidRPr="007E3918">
        <w:rPr>
          <w:i/>
        </w:rPr>
        <w:t xml:space="preserve">Id. </w:t>
      </w:r>
      <w:r w:rsidRPr="007E3918">
        <w:t>at 7-8.</w:t>
      </w:r>
    </w:p>
  </w:footnote>
  <w:footnote w:id="4">
    <w:p w14:paraId="2D813884" w14:textId="77777777" w:rsidR="00DB08A3" w:rsidRPr="007E3918" w:rsidRDefault="00DB08A3" w:rsidP="007E3918">
      <w:pPr>
        <w:pStyle w:val="FootnoteText"/>
        <w:spacing w:after="120"/>
        <w:rPr>
          <w:i/>
        </w:rPr>
      </w:pPr>
      <w:r w:rsidRPr="007E3918">
        <w:rPr>
          <w:rStyle w:val="FootnoteReference"/>
        </w:rPr>
        <w:footnoteRef/>
      </w:r>
      <w:r w:rsidRPr="007E3918">
        <w:t xml:space="preserve"> </w:t>
      </w:r>
      <w:r w:rsidRPr="007E3918">
        <w:rPr>
          <w:i/>
        </w:rPr>
        <w:t>Id.</w:t>
      </w:r>
    </w:p>
  </w:footnote>
  <w:footnote w:id="5">
    <w:p w14:paraId="5161FDB0" w14:textId="426EDF4C" w:rsidR="00D669BC" w:rsidRPr="007E3918" w:rsidRDefault="00D669BC" w:rsidP="007E3918">
      <w:pPr>
        <w:pStyle w:val="FootnoteText"/>
        <w:spacing w:after="120"/>
      </w:pPr>
      <w:r w:rsidRPr="007E3918">
        <w:rPr>
          <w:rStyle w:val="FootnoteReference"/>
        </w:rPr>
        <w:footnoteRef/>
      </w:r>
      <w:r w:rsidRPr="007E3918">
        <w:t xml:space="preserve"> The likelihood of benefits from the transition to auction</w:t>
      </w:r>
      <w:r w:rsidR="0041433D">
        <w:t>-</w:t>
      </w:r>
      <w:r w:rsidRPr="007E3918">
        <w:t xml:space="preserve">based pricing assumes that the market price of energy and capacity remain low and below AEP Ohio’s existing </w:t>
      </w:r>
      <w:r w:rsidR="0041433D">
        <w:t>base generation rates</w:t>
      </w:r>
      <w:r w:rsidRPr="007E3918">
        <w:t xml:space="preserve"> and </w:t>
      </w:r>
      <w:r w:rsidR="0041433D">
        <w:t>fuel</w:t>
      </w:r>
      <w:r w:rsidRPr="007E3918">
        <w:t xml:space="preserve"> charges</w:t>
      </w:r>
      <w:r w:rsidR="0041433D">
        <w:t>.</w:t>
      </w:r>
    </w:p>
  </w:footnote>
  <w:footnote w:id="6">
    <w:p w14:paraId="374E2BB2" w14:textId="42967F61" w:rsidR="00D669BC" w:rsidRPr="007E3918" w:rsidRDefault="00D669BC" w:rsidP="007E3918">
      <w:pPr>
        <w:pStyle w:val="FootnoteText"/>
        <w:spacing w:after="120"/>
      </w:pPr>
      <w:r w:rsidRPr="007E3918">
        <w:rPr>
          <w:rStyle w:val="FootnoteReference"/>
        </w:rPr>
        <w:footnoteRef/>
      </w:r>
      <w:r w:rsidRPr="007E3918">
        <w:t xml:space="preserve"> As discussed below, this is the result of AEP Ohio’s proposed elimination of the </w:t>
      </w:r>
      <w:r w:rsidRPr="00D103A6">
        <w:t xml:space="preserve">$0.00/kWh current base generation rate for winter usage that is </w:t>
      </w:r>
      <w:r w:rsidR="00D103A6" w:rsidRPr="00377537">
        <w:t>applied to</w:t>
      </w:r>
      <w:r w:rsidRPr="00D103A6">
        <w:t xml:space="preserve"> C</w:t>
      </w:r>
      <w:r w:rsidRPr="00AF4DCD">
        <w:t>SP</w:t>
      </w:r>
      <w:r w:rsidRPr="00377537">
        <w:t xml:space="preserve"> rate zone customer</w:t>
      </w:r>
      <w:r w:rsidRPr="007E3918">
        <w:t xml:space="preserve"> usage above 800 kWh per month.  By January 1, </w:t>
      </w:r>
      <w:r w:rsidR="00FD31D2" w:rsidRPr="007E3918">
        <w:t>201</w:t>
      </w:r>
      <w:r w:rsidR="00FD31D2">
        <w:t>5</w:t>
      </w:r>
      <w:r w:rsidRPr="007E3918">
        <w:t xml:space="preserve">, this $0.00/kWh rate would be equalized for all usage – both winter and summer – at the proposed Generation Capacity Rider rate of $0.01755/kWh, unless the PUCO adopts AEP Ohio’s proposed alternative rate design or another alternative rate design. </w:t>
      </w:r>
    </w:p>
  </w:footnote>
  <w:footnote w:id="7">
    <w:p w14:paraId="4CEF0E93" w14:textId="22A196CA" w:rsidR="006F6BBE" w:rsidRPr="007E3918" w:rsidRDefault="006F6BBE" w:rsidP="007E3918">
      <w:pPr>
        <w:pStyle w:val="FootnoteText"/>
        <w:spacing w:after="120"/>
      </w:pPr>
      <w:r w:rsidRPr="007E3918">
        <w:rPr>
          <w:rStyle w:val="FootnoteReference"/>
        </w:rPr>
        <w:footnoteRef/>
      </w:r>
      <w:r w:rsidRPr="007E3918">
        <w:t xml:space="preserve"> AEP Ohio Filing of January </w:t>
      </w:r>
      <w:r w:rsidR="00AF4DCD">
        <w:t>1</w:t>
      </w:r>
      <w:r w:rsidRPr="007E3918">
        <w:t>0, 2014 at 2.</w:t>
      </w:r>
    </w:p>
  </w:footnote>
  <w:footnote w:id="8">
    <w:p w14:paraId="0A0EFF1D" w14:textId="2C228D90" w:rsidR="00646508" w:rsidRPr="007E3918" w:rsidRDefault="00646508" w:rsidP="007E3918">
      <w:pPr>
        <w:pStyle w:val="FootnoteText"/>
        <w:spacing w:after="120"/>
      </w:pPr>
      <w:r w:rsidRPr="007E3918">
        <w:rPr>
          <w:rStyle w:val="FootnoteReference"/>
        </w:rPr>
        <w:footnoteRef/>
      </w:r>
      <w:r w:rsidRPr="007E3918">
        <w:t xml:space="preserve"> </w:t>
      </w:r>
      <w:r w:rsidR="006F6BBE" w:rsidRPr="007E3918">
        <w:t xml:space="preserve">AEP Ohio Filing of January </w:t>
      </w:r>
      <w:r w:rsidR="00AF4DCD">
        <w:t>1</w:t>
      </w:r>
      <w:r w:rsidR="006F6BBE" w:rsidRPr="007E3918">
        <w:t xml:space="preserve">0, 2014 at 2; </w:t>
      </w:r>
      <w:r w:rsidR="00680024" w:rsidRPr="007E3918">
        <w:rPr>
          <w:i/>
          <w:color w:val="232323"/>
        </w:rPr>
        <w:t>In the matter of the Commission review of the capacity charges of Ohio Power Company and Columbus Southern Power Company</w:t>
      </w:r>
      <w:r w:rsidR="00855493" w:rsidRPr="007E3918">
        <w:rPr>
          <w:i/>
          <w:color w:val="232323"/>
        </w:rPr>
        <w:t xml:space="preserve">, </w:t>
      </w:r>
      <w:r w:rsidR="00855493" w:rsidRPr="007E3918">
        <w:rPr>
          <w:color w:val="232323"/>
        </w:rPr>
        <w:t>Case No. 10-2929-EL-UNC, Opinion and Order of July 2, 2012, p. 33.</w:t>
      </w:r>
    </w:p>
  </w:footnote>
  <w:footnote w:id="9">
    <w:p w14:paraId="07545CDB" w14:textId="542C1BD8" w:rsidR="00AF4DCD" w:rsidRDefault="00AF4DCD" w:rsidP="006A2D56">
      <w:pPr>
        <w:pStyle w:val="FootnoteText"/>
        <w:spacing w:after="120"/>
      </w:pPr>
      <w:r>
        <w:rPr>
          <w:rStyle w:val="FootnoteReference"/>
        </w:rPr>
        <w:footnoteRef/>
      </w:r>
      <w:r>
        <w:t xml:space="preserve"> AEP Ohio January 10, 2014 Filing at 3.</w:t>
      </w:r>
    </w:p>
  </w:footnote>
  <w:footnote w:id="10">
    <w:p w14:paraId="7C5DA99D" w14:textId="449DA068" w:rsidR="00E40307" w:rsidRPr="007E3918" w:rsidRDefault="00E40307" w:rsidP="006A2D56">
      <w:pPr>
        <w:pStyle w:val="FootnoteText"/>
        <w:spacing w:after="120"/>
      </w:pPr>
      <w:r w:rsidRPr="007E3918">
        <w:rPr>
          <w:rStyle w:val="FootnoteReference"/>
        </w:rPr>
        <w:footnoteRef/>
      </w:r>
      <w:r w:rsidRPr="007E3918">
        <w:t xml:space="preserve"> AEP Ohio January </w:t>
      </w:r>
      <w:r w:rsidR="00AF4DCD">
        <w:t>1</w:t>
      </w:r>
      <w:r w:rsidR="00AF4DCD" w:rsidRPr="007E3918">
        <w:t>0</w:t>
      </w:r>
      <w:r w:rsidRPr="007E3918">
        <w:t>, 2014 Filing at 3-4.</w:t>
      </w:r>
    </w:p>
  </w:footnote>
  <w:footnote w:id="11">
    <w:p w14:paraId="3040E113" w14:textId="6E1FA07A" w:rsidR="00E40307" w:rsidRPr="007E3918" w:rsidRDefault="00E40307" w:rsidP="006A2D56">
      <w:pPr>
        <w:pStyle w:val="FootnoteText"/>
        <w:spacing w:after="120"/>
      </w:pPr>
      <w:r w:rsidRPr="007E3918">
        <w:rPr>
          <w:rStyle w:val="FootnoteReference"/>
        </w:rPr>
        <w:footnoteRef/>
      </w:r>
      <w:r w:rsidRPr="007E3918">
        <w:t xml:space="preserve"> AEP Ohio January </w:t>
      </w:r>
      <w:r w:rsidR="00AF4DCD">
        <w:t>1</w:t>
      </w:r>
      <w:r w:rsidRPr="007E3918">
        <w:t>0, 2014 Filing at 4.</w:t>
      </w:r>
    </w:p>
  </w:footnote>
  <w:footnote w:id="12">
    <w:p w14:paraId="44076540" w14:textId="77777777" w:rsidR="003407A7" w:rsidRDefault="003407A7" w:rsidP="004F50C7">
      <w:pPr>
        <w:pStyle w:val="FootnoteText"/>
        <w:spacing w:after="120"/>
      </w:pPr>
      <w:r>
        <w:rPr>
          <w:rStyle w:val="FootnoteReference"/>
        </w:rPr>
        <w:footnoteRef/>
      </w:r>
      <w:r>
        <w:t xml:space="preserve"> AEP Ohio Filing of January 10, 2014, Attachment 2A, pp. 1-2, Attachment 2B, pp. 1-2, Attachment 2C, pp. 1-2. </w:t>
      </w:r>
    </w:p>
  </w:footnote>
  <w:footnote w:id="13">
    <w:p w14:paraId="6AC42FCC" w14:textId="77777777" w:rsidR="00CE7F35" w:rsidRDefault="00CE7F35" w:rsidP="004F50C7">
      <w:pPr>
        <w:pStyle w:val="FootnoteText"/>
        <w:spacing w:after="120"/>
      </w:pPr>
      <w:r>
        <w:rPr>
          <w:rStyle w:val="FootnoteReference"/>
        </w:rPr>
        <w:footnoteRef/>
      </w:r>
      <w:r>
        <w:t xml:space="preserve"> AEP Ohio Response to </w:t>
      </w:r>
      <w:r w:rsidRPr="00CE7F35">
        <w:t>Staff 1-001 Attachment 1 - page 2</w:t>
      </w:r>
      <w:r>
        <w:t>.</w:t>
      </w:r>
    </w:p>
  </w:footnote>
  <w:footnote w:id="14">
    <w:p w14:paraId="036AA65D" w14:textId="77777777" w:rsidR="00DB3741" w:rsidRPr="007E3918" w:rsidRDefault="00DB3741" w:rsidP="007E3918">
      <w:pPr>
        <w:pStyle w:val="FootnoteText"/>
        <w:spacing w:after="120"/>
      </w:pPr>
      <w:r w:rsidRPr="007E3918">
        <w:rPr>
          <w:rStyle w:val="FootnoteReference"/>
        </w:rPr>
        <w:footnoteRef/>
      </w:r>
      <w:r w:rsidRPr="007E3918">
        <w:t xml:space="preserve"> AEP ESP III Application, Exhibit DMR-1 reflects a capacity price of $12.12/MWh for June 2015 – May 2016, and $5.39/MWh for June 2016, - May 2017.  These rates are lower than the $17.55/MWh capacity costs included in the residential Generation Capacity Rider effective January 1, 2015, thus suggesting that customers will see further savings when rates are set based upon PJM’s generation capacity auctions.</w:t>
      </w:r>
    </w:p>
  </w:footnote>
  <w:footnote w:id="15">
    <w:p w14:paraId="2D7CFE00" w14:textId="4E5C5B56" w:rsidR="006F6BBE" w:rsidRPr="007E3918" w:rsidRDefault="006F6BBE" w:rsidP="007E3918">
      <w:pPr>
        <w:pStyle w:val="FootnoteText"/>
        <w:spacing w:after="120"/>
      </w:pPr>
      <w:r w:rsidRPr="007E3918">
        <w:rPr>
          <w:rStyle w:val="FootnoteReference"/>
        </w:rPr>
        <w:footnoteRef/>
      </w:r>
      <w:r w:rsidRPr="007E3918">
        <w:t xml:space="preserve"> AEP Ohio January </w:t>
      </w:r>
      <w:r w:rsidR="00AF4DCD">
        <w:t>1</w:t>
      </w:r>
      <w:r w:rsidRPr="007E3918">
        <w:t>0, 2014 Filing at 2-3.</w:t>
      </w:r>
    </w:p>
  </w:footnote>
  <w:footnote w:id="16">
    <w:p w14:paraId="2F291307" w14:textId="77777777" w:rsidR="00FD31D2" w:rsidRDefault="00FD31D2">
      <w:pPr>
        <w:pStyle w:val="FootnoteText"/>
      </w:pPr>
      <w:r>
        <w:rPr>
          <w:rStyle w:val="FootnoteReference"/>
        </w:rPr>
        <w:footnoteRef/>
      </w:r>
      <w:r>
        <w:t xml:space="preserve"> AEP Ohio Filing of January 10, 2014, Attachments 2A, 2B, and 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6287" w14:textId="77777777" w:rsidR="00047337" w:rsidRDefault="00047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F11A" w14:textId="77777777" w:rsidR="00047337" w:rsidRDefault="00047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2671" w14:textId="77777777" w:rsidR="00047337" w:rsidRDefault="000473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2637" w14:textId="77777777" w:rsidR="00594D18" w:rsidRDefault="00594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E07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387"/>
    <w:rsid w:val="00000E6E"/>
    <w:rsid w:val="0000300F"/>
    <w:rsid w:val="00006BF5"/>
    <w:rsid w:val="0000731D"/>
    <w:rsid w:val="00010D0B"/>
    <w:rsid w:val="00012F6A"/>
    <w:rsid w:val="0002591D"/>
    <w:rsid w:val="000354E3"/>
    <w:rsid w:val="0003703A"/>
    <w:rsid w:val="00047337"/>
    <w:rsid w:val="00054C1C"/>
    <w:rsid w:val="0006516C"/>
    <w:rsid w:val="00066E96"/>
    <w:rsid w:val="00070DF5"/>
    <w:rsid w:val="000712F1"/>
    <w:rsid w:val="00071DA8"/>
    <w:rsid w:val="00075237"/>
    <w:rsid w:val="00075B2A"/>
    <w:rsid w:val="000859BF"/>
    <w:rsid w:val="00085EEA"/>
    <w:rsid w:val="00095DCA"/>
    <w:rsid w:val="000A5F5D"/>
    <w:rsid w:val="000B15C8"/>
    <w:rsid w:val="000B70B3"/>
    <w:rsid w:val="000B792E"/>
    <w:rsid w:val="000C20F0"/>
    <w:rsid w:val="000C2FD2"/>
    <w:rsid w:val="000C30A5"/>
    <w:rsid w:val="000E5801"/>
    <w:rsid w:val="000F58CE"/>
    <w:rsid w:val="000F741F"/>
    <w:rsid w:val="00100F68"/>
    <w:rsid w:val="00102F24"/>
    <w:rsid w:val="00104C92"/>
    <w:rsid w:val="0010564E"/>
    <w:rsid w:val="00105A37"/>
    <w:rsid w:val="00111107"/>
    <w:rsid w:val="00112519"/>
    <w:rsid w:val="00122D06"/>
    <w:rsid w:val="0012449E"/>
    <w:rsid w:val="00147265"/>
    <w:rsid w:val="00152F3E"/>
    <w:rsid w:val="00153A10"/>
    <w:rsid w:val="00160F0F"/>
    <w:rsid w:val="001627E5"/>
    <w:rsid w:val="00163261"/>
    <w:rsid w:val="00167FCD"/>
    <w:rsid w:val="00191825"/>
    <w:rsid w:val="001948A4"/>
    <w:rsid w:val="001A2EED"/>
    <w:rsid w:val="001B0965"/>
    <w:rsid w:val="001C3331"/>
    <w:rsid w:val="001C3FCC"/>
    <w:rsid w:val="001D2CEF"/>
    <w:rsid w:val="001F15B6"/>
    <w:rsid w:val="001F386D"/>
    <w:rsid w:val="001F3E74"/>
    <w:rsid w:val="00205143"/>
    <w:rsid w:val="002055DE"/>
    <w:rsid w:val="00211283"/>
    <w:rsid w:val="00211598"/>
    <w:rsid w:val="00226D1B"/>
    <w:rsid w:val="00227195"/>
    <w:rsid w:val="00230181"/>
    <w:rsid w:val="002310B1"/>
    <w:rsid w:val="00232E98"/>
    <w:rsid w:val="00236785"/>
    <w:rsid w:val="002430BB"/>
    <w:rsid w:val="00247851"/>
    <w:rsid w:val="00251C83"/>
    <w:rsid w:val="002525A4"/>
    <w:rsid w:val="00277D48"/>
    <w:rsid w:val="002856C4"/>
    <w:rsid w:val="00287280"/>
    <w:rsid w:val="002904C2"/>
    <w:rsid w:val="002907DB"/>
    <w:rsid w:val="0029155E"/>
    <w:rsid w:val="00293C12"/>
    <w:rsid w:val="00294799"/>
    <w:rsid w:val="00294CBF"/>
    <w:rsid w:val="00296ABC"/>
    <w:rsid w:val="002A14CA"/>
    <w:rsid w:val="002A1785"/>
    <w:rsid w:val="002B05F4"/>
    <w:rsid w:val="002B2459"/>
    <w:rsid w:val="002C08D3"/>
    <w:rsid w:val="002C1175"/>
    <w:rsid w:val="002C1BDC"/>
    <w:rsid w:val="002C5095"/>
    <w:rsid w:val="002D3ED0"/>
    <w:rsid w:val="002D6B3E"/>
    <w:rsid w:val="002E7C08"/>
    <w:rsid w:val="002F68DD"/>
    <w:rsid w:val="00302451"/>
    <w:rsid w:val="00312D45"/>
    <w:rsid w:val="003247FD"/>
    <w:rsid w:val="00331ABC"/>
    <w:rsid w:val="003407A7"/>
    <w:rsid w:val="0034444A"/>
    <w:rsid w:val="003516DE"/>
    <w:rsid w:val="00352378"/>
    <w:rsid w:val="00356CAE"/>
    <w:rsid w:val="00377537"/>
    <w:rsid w:val="00380B47"/>
    <w:rsid w:val="00386DB3"/>
    <w:rsid w:val="00392A36"/>
    <w:rsid w:val="00393DF4"/>
    <w:rsid w:val="00395565"/>
    <w:rsid w:val="003A2BD6"/>
    <w:rsid w:val="003A3AFD"/>
    <w:rsid w:val="003A73CD"/>
    <w:rsid w:val="003B6486"/>
    <w:rsid w:val="003C1E81"/>
    <w:rsid w:val="003C70A0"/>
    <w:rsid w:val="003D017B"/>
    <w:rsid w:val="003E0316"/>
    <w:rsid w:val="003E22BC"/>
    <w:rsid w:val="003F7F4D"/>
    <w:rsid w:val="004102A5"/>
    <w:rsid w:val="0041433D"/>
    <w:rsid w:val="0041574F"/>
    <w:rsid w:val="00416CE8"/>
    <w:rsid w:val="0042421C"/>
    <w:rsid w:val="00431D32"/>
    <w:rsid w:val="00436E05"/>
    <w:rsid w:val="00440D96"/>
    <w:rsid w:val="0044483E"/>
    <w:rsid w:val="00453B66"/>
    <w:rsid w:val="00456BA1"/>
    <w:rsid w:val="0046090D"/>
    <w:rsid w:val="00461956"/>
    <w:rsid w:val="00470BCB"/>
    <w:rsid w:val="00485A40"/>
    <w:rsid w:val="00493741"/>
    <w:rsid w:val="0049450A"/>
    <w:rsid w:val="0049530D"/>
    <w:rsid w:val="004A12EE"/>
    <w:rsid w:val="004B49EE"/>
    <w:rsid w:val="004B5F5C"/>
    <w:rsid w:val="004C29BC"/>
    <w:rsid w:val="004C34BD"/>
    <w:rsid w:val="004C5756"/>
    <w:rsid w:val="004C5799"/>
    <w:rsid w:val="004E0567"/>
    <w:rsid w:val="004F2389"/>
    <w:rsid w:val="004F2F23"/>
    <w:rsid w:val="004F50C7"/>
    <w:rsid w:val="00517CF4"/>
    <w:rsid w:val="00530653"/>
    <w:rsid w:val="005314E8"/>
    <w:rsid w:val="0053167B"/>
    <w:rsid w:val="005333A5"/>
    <w:rsid w:val="005565F9"/>
    <w:rsid w:val="005659D6"/>
    <w:rsid w:val="00572C0D"/>
    <w:rsid w:val="00594D18"/>
    <w:rsid w:val="005959F5"/>
    <w:rsid w:val="005A3AF4"/>
    <w:rsid w:val="005A6261"/>
    <w:rsid w:val="005A7249"/>
    <w:rsid w:val="005C76E3"/>
    <w:rsid w:val="005D1F3C"/>
    <w:rsid w:val="005D50C5"/>
    <w:rsid w:val="005F0555"/>
    <w:rsid w:val="00600107"/>
    <w:rsid w:val="00601D27"/>
    <w:rsid w:val="006027FA"/>
    <w:rsid w:val="006032D6"/>
    <w:rsid w:val="00613030"/>
    <w:rsid w:val="00624B97"/>
    <w:rsid w:val="006272FF"/>
    <w:rsid w:val="00631D43"/>
    <w:rsid w:val="00640835"/>
    <w:rsid w:val="0064300F"/>
    <w:rsid w:val="00646508"/>
    <w:rsid w:val="006479DA"/>
    <w:rsid w:val="006567BE"/>
    <w:rsid w:val="00656984"/>
    <w:rsid w:val="006613AE"/>
    <w:rsid w:val="00662432"/>
    <w:rsid w:val="0066355B"/>
    <w:rsid w:val="0066461C"/>
    <w:rsid w:val="0066463E"/>
    <w:rsid w:val="00666532"/>
    <w:rsid w:val="00670BAF"/>
    <w:rsid w:val="00670CAD"/>
    <w:rsid w:val="00680024"/>
    <w:rsid w:val="0068365F"/>
    <w:rsid w:val="0069157B"/>
    <w:rsid w:val="006A1096"/>
    <w:rsid w:val="006A1633"/>
    <w:rsid w:val="006A2D56"/>
    <w:rsid w:val="006B0EA8"/>
    <w:rsid w:val="006B2A40"/>
    <w:rsid w:val="006B7ADD"/>
    <w:rsid w:val="006C5A47"/>
    <w:rsid w:val="006D36BC"/>
    <w:rsid w:val="006D7B4E"/>
    <w:rsid w:val="006E02EC"/>
    <w:rsid w:val="006E0E26"/>
    <w:rsid w:val="006F6BBE"/>
    <w:rsid w:val="00704E02"/>
    <w:rsid w:val="00716843"/>
    <w:rsid w:val="007271E4"/>
    <w:rsid w:val="00731FA1"/>
    <w:rsid w:val="007377E1"/>
    <w:rsid w:val="00744BCC"/>
    <w:rsid w:val="00745C14"/>
    <w:rsid w:val="007461E5"/>
    <w:rsid w:val="007502C2"/>
    <w:rsid w:val="0075295B"/>
    <w:rsid w:val="00763DBF"/>
    <w:rsid w:val="00764016"/>
    <w:rsid w:val="00764124"/>
    <w:rsid w:val="007757A1"/>
    <w:rsid w:val="0077756B"/>
    <w:rsid w:val="007777C9"/>
    <w:rsid w:val="007778E8"/>
    <w:rsid w:val="007858A2"/>
    <w:rsid w:val="00793AC2"/>
    <w:rsid w:val="0079414C"/>
    <w:rsid w:val="0079459F"/>
    <w:rsid w:val="007A171A"/>
    <w:rsid w:val="007B6380"/>
    <w:rsid w:val="007C4684"/>
    <w:rsid w:val="007C4870"/>
    <w:rsid w:val="007D0CC2"/>
    <w:rsid w:val="007E076F"/>
    <w:rsid w:val="007E3918"/>
    <w:rsid w:val="007E4C3D"/>
    <w:rsid w:val="007F6163"/>
    <w:rsid w:val="00803EC6"/>
    <w:rsid w:val="00804ABE"/>
    <w:rsid w:val="00816079"/>
    <w:rsid w:val="00820F8D"/>
    <w:rsid w:val="0082405D"/>
    <w:rsid w:val="00827BDB"/>
    <w:rsid w:val="00835BD9"/>
    <w:rsid w:val="00842A7A"/>
    <w:rsid w:val="00855493"/>
    <w:rsid w:val="00860A1B"/>
    <w:rsid w:val="00881FCD"/>
    <w:rsid w:val="008855C1"/>
    <w:rsid w:val="0089054D"/>
    <w:rsid w:val="008A5E0E"/>
    <w:rsid w:val="008C2387"/>
    <w:rsid w:val="008C37CA"/>
    <w:rsid w:val="008D2CF1"/>
    <w:rsid w:val="008F079F"/>
    <w:rsid w:val="008F4B9B"/>
    <w:rsid w:val="00910FDB"/>
    <w:rsid w:val="0091287F"/>
    <w:rsid w:val="00912D15"/>
    <w:rsid w:val="00921735"/>
    <w:rsid w:val="009246FB"/>
    <w:rsid w:val="00925FCE"/>
    <w:rsid w:val="00932F07"/>
    <w:rsid w:val="0094421F"/>
    <w:rsid w:val="00947D9F"/>
    <w:rsid w:val="009504C6"/>
    <w:rsid w:val="00951591"/>
    <w:rsid w:val="00953AE0"/>
    <w:rsid w:val="00954A55"/>
    <w:rsid w:val="00966E32"/>
    <w:rsid w:val="00980D44"/>
    <w:rsid w:val="00983839"/>
    <w:rsid w:val="00985F7E"/>
    <w:rsid w:val="009A1825"/>
    <w:rsid w:val="009A42E5"/>
    <w:rsid w:val="009B08B6"/>
    <w:rsid w:val="009B0CDC"/>
    <w:rsid w:val="009D1FC8"/>
    <w:rsid w:val="009D77F0"/>
    <w:rsid w:val="009E5D75"/>
    <w:rsid w:val="009E73FE"/>
    <w:rsid w:val="009F0EA6"/>
    <w:rsid w:val="009F32ED"/>
    <w:rsid w:val="009F37D5"/>
    <w:rsid w:val="009F3C54"/>
    <w:rsid w:val="00A0081F"/>
    <w:rsid w:val="00A027F4"/>
    <w:rsid w:val="00A04320"/>
    <w:rsid w:val="00A10685"/>
    <w:rsid w:val="00A10B38"/>
    <w:rsid w:val="00A13486"/>
    <w:rsid w:val="00A14EB4"/>
    <w:rsid w:val="00A15CB7"/>
    <w:rsid w:val="00A25700"/>
    <w:rsid w:val="00A25F36"/>
    <w:rsid w:val="00A36CA1"/>
    <w:rsid w:val="00A42887"/>
    <w:rsid w:val="00A44EEA"/>
    <w:rsid w:val="00A624C5"/>
    <w:rsid w:val="00A64B80"/>
    <w:rsid w:val="00A72712"/>
    <w:rsid w:val="00A83070"/>
    <w:rsid w:val="00A849D7"/>
    <w:rsid w:val="00AA6F51"/>
    <w:rsid w:val="00AC237A"/>
    <w:rsid w:val="00AD210B"/>
    <w:rsid w:val="00AD213B"/>
    <w:rsid w:val="00AD2F35"/>
    <w:rsid w:val="00AD3DEB"/>
    <w:rsid w:val="00AE25C5"/>
    <w:rsid w:val="00AE2EC1"/>
    <w:rsid w:val="00AE54A6"/>
    <w:rsid w:val="00AF4DCD"/>
    <w:rsid w:val="00AF6E0B"/>
    <w:rsid w:val="00AF7693"/>
    <w:rsid w:val="00B00362"/>
    <w:rsid w:val="00B026C3"/>
    <w:rsid w:val="00B144AD"/>
    <w:rsid w:val="00B269FA"/>
    <w:rsid w:val="00B36E72"/>
    <w:rsid w:val="00B403B8"/>
    <w:rsid w:val="00B433D4"/>
    <w:rsid w:val="00B45159"/>
    <w:rsid w:val="00B46513"/>
    <w:rsid w:val="00B5265F"/>
    <w:rsid w:val="00B52CFE"/>
    <w:rsid w:val="00B54B83"/>
    <w:rsid w:val="00B70BF0"/>
    <w:rsid w:val="00B82D88"/>
    <w:rsid w:val="00B87E4D"/>
    <w:rsid w:val="00B93551"/>
    <w:rsid w:val="00B94336"/>
    <w:rsid w:val="00BA000A"/>
    <w:rsid w:val="00BB0BB0"/>
    <w:rsid w:val="00BB37B3"/>
    <w:rsid w:val="00BC28A0"/>
    <w:rsid w:val="00BC6A3F"/>
    <w:rsid w:val="00BD00C5"/>
    <w:rsid w:val="00BD033E"/>
    <w:rsid w:val="00BD558E"/>
    <w:rsid w:val="00BE2123"/>
    <w:rsid w:val="00BE3647"/>
    <w:rsid w:val="00BE462B"/>
    <w:rsid w:val="00BF5241"/>
    <w:rsid w:val="00C074B3"/>
    <w:rsid w:val="00C15391"/>
    <w:rsid w:val="00C157B1"/>
    <w:rsid w:val="00C305E9"/>
    <w:rsid w:val="00C517F8"/>
    <w:rsid w:val="00C63C49"/>
    <w:rsid w:val="00C6406A"/>
    <w:rsid w:val="00C678B8"/>
    <w:rsid w:val="00C7705B"/>
    <w:rsid w:val="00C90072"/>
    <w:rsid w:val="00C9135E"/>
    <w:rsid w:val="00CC4076"/>
    <w:rsid w:val="00CC40DC"/>
    <w:rsid w:val="00CC6E86"/>
    <w:rsid w:val="00CC735D"/>
    <w:rsid w:val="00CD252F"/>
    <w:rsid w:val="00CE4F9C"/>
    <w:rsid w:val="00CE7F35"/>
    <w:rsid w:val="00D0476B"/>
    <w:rsid w:val="00D103A6"/>
    <w:rsid w:val="00D16DF1"/>
    <w:rsid w:val="00D312F4"/>
    <w:rsid w:val="00D33597"/>
    <w:rsid w:val="00D3583E"/>
    <w:rsid w:val="00D35E60"/>
    <w:rsid w:val="00D620F5"/>
    <w:rsid w:val="00D669BC"/>
    <w:rsid w:val="00D706DE"/>
    <w:rsid w:val="00D778FC"/>
    <w:rsid w:val="00D80594"/>
    <w:rsid w:val="00D932F0"/>
    <w:rsid w:val="00DB08A3"/>
    <w:rsid w:val="00DB3741"/>
    <w:rsid w:val="00DB5120"/>
    <w:rsid w:val="00DC4767"/>
    <w:rsid w:val="00DD34E1"/>
    <w:rsid w:val="00DD4FB0"/>
    <w:rsid w:val="00DD54E4"/>
    <w:rsid w:val="00DD6DFC"/>
    <w:rsid w:val="00DE3A21"/>
    <w:rsid w:val="00DF3C69"/>
    <w:rsid w:val="00DF3D7E"/>
    <w:rsid w:val="00DF69FA"/>
    <w:rsid w:val="00E0473A"/>
    <w:rsid w:val="00E154E6"/>
    <w:rsid w:val="00E2394C"/>
    <w:rsid w:val="00E24B60"/>
    <w:rsid w:val="00E25DB2"/>
    <w:rsid w:val="00E33414"/>
    <w:rsid w:val="00E40307"/>
    <w:rsid w:val="00E530E6"/>
    <w:rsid w:val="00E54193"/>
    <w:rsid w:val="00E55E85"/>
    <w:rsid w:val="00E7074F"/>
    <w:rsid w:val="00E72470"/>
    <w:rsid w:val="00E77F5A"/>
    <w:rsid w:val="00E81EA6"/>
    <w:rsid w:val="00E82AC4"/>
    <w:rsid w:val="00E92B1C"/>
    <w:rsid w:val="00E96D89"/>
    <w:rsid w:val="00EA371B"/>
    <w:rsid w:val="00EB3072"/>
    <w:rsid w:val="00EB450D"/>
    <w:rsid w:val="00EC4B35"/>
    <w:rsid w:val="00EC740F"/>
    <w:rsid w:val="00ED5531"/>
    <w:rsid w:val="00EE2440"/>
    <w:rsid w:val="00EE280B"/>
    <w:rsid w:val="00EF23EA"/>
    <w:rsid w:val="00EF336C"/>
    <w:rsid w:val="00F044CF"/>
    <w:rsid w:val="00F115FB"/>
    <w:rsid w:val="00F26DC0"/>
    <w:rsid w:val="00F326A0"/>
    <w:rsid w:val="00F34A22"/>
    <w:rsid w:val="00F37B4E"/>
    <w:rsid w:val="00F422C7"/>
    <w:rsid w:val="00F42F65"/>
    <w:rsid w:val="00F5374E"/>
    <w:rsid w:val="00F811BA"/>
    <w:rsid w:val="00F81EA1"/>
    <w:rsid w:val="00F91ED1"/>
    <w:rsid w:val="00F9391F"/>
    <w:rsid w:val="00F960A9"/>
    <w:rsid w:val="00FC1796"/>
    <w:rsid w:val="00FC1CA9"/>
    <w:rsid w:val="00FC2892"/>
    <w:rsid w:val="00FD31D2"/>
    <w:rsid w:val="00FE3924"/>
    <w:rsid w:val="00FF3AA0"/>
    <w:rsid w:val="00FF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16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486"/>
    <w:rPr>
      <w:sz w:val="24"/>
    </w:rPr>
  </w:style>
  <w:style w:type="paragraph" w:styleId="Heading1">
    <w:name w:val="heading 1"/>
    <w:basedOn w:val="Normal"/>
    <w:next w:val="Normal"/>
    <w:autoRedefine/>
    <w:qFormat/>
    <w:rsid w:val="002D6B3E"/>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2D6B3E"/>
    <w:pPr>
      <w:keepNext/>
      <w:spacing w:after="240"/>
      <w:ind w:left="1440" w:right="720" w:hanging="720"/>
      <w:outlineLvl w:val="1"/>
    </w:pPr>
    <w:rPr>
      <w:rFonts w:ascii="Times New Roman Bold" w:hAnsi="Times New Roman Bold"/>
      <w:b/>
    </w:rPr>
  </w:style>
  <w:style w:type="paragraph" w:styleId="Heading3">
    <w:name w:val="heading 3"/>
    <w:basedOn w:val="Normal"/>
    <w:next w:val="Normal"/>
    <w:autoRedefine/>
    <w:qFormat/>
    <w:rsid w:val="002D6B3E"/>
    <w:pPr>
      <w:keepNext/>
      <w:spacing w:after="240"/>
      <w:ind w:left="2160" w:right="720" w:hanging="720"/>
      <w:outlineLvl w:val="2"/>
    </w:pPr>
    <w:rPr>
      <w:rFonts w:ascii="Times New Roman Bold" w:hAnsi="Times New Roman Bold"/>
      <w:b/>
      <w:bCs/>
    </w:rPr>
  </w:style>
  <w:style w:type="paragraph" w:styleId="Heading4">
    <w:name w:val="heading 4"/>
    <w:basedOn w:val="Normal"/>
    <w:next w:val="Normal"/>
    <w:link w:val="Heading4Char"/>
    <w:autoRedefine/>
    <w:semiHidden/>
    <w:unhideWhenUsed/>
    <w:qFormat/>
    <w:rsid w:val="00A13486"/>
    <w:pPr>
      <w:keepNext/>
      <w:spacing w:after="240"/>
      <w:ind w:left="288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character" w:customStyle="1" w:styleId="HTMLPreformattedChar">
    <w:name w:val="HTML Preformatted Char"/>
    <w:link w:val="HTMLPreformatted"/>
    <w:rsid w:val="00D706DE"/>
    <w:rPr>
      <w:rFonts w:ascii="Courier New" w:eastAsia="Courier New" w:hAnsi="Courier New" w:cs="Courier New"/>
    </w:rPr>
  </w:style>
  <w:style w:type="character" w:customStyle="1" w:styleId="BodyTextChar">
    <w:name w:val="Body Text Char"/>
    <w:link w:val="BodyText"/>
    <w:rsid w:val="00B45159"/>
    <w:rPr>
      <w:sz w:val="24"/>
    </w:rPr>
  </w:style>
  <w:style w:type="character" w:customStyle="1" w:styleId="Heading4Char">
    <w:name w:val="Heading 4 Char"/>
    <w:link w:val="Heading4"/>
    <w:semiHidden/>
    <w:rsid w:val="00A13486"/>
    <w:rPr>
      <w:rFonts w:eastAsia="Times New Roman" w:cs="Times New Roman"/>
      <w:b/>
      <w:bCs/>
      <w:sz w:val="24"/>
      <w:szCs w:val="28"/>
    </w:rPr>
  </w:style>
  <w:style w:type="character" w:customStyle="1" w:styleId="BodyTextIndentChar">
    <w:name w:val="Body Text Indent Char"/>
    <w:link w:val="BodyTextIndent"/>
    <w:rsid w:val="00A13486"/>
    <w:rPr>
      <w:sz w:val="24"/>
    </w:rPr>
  </w:style>
  <w:style w:type="paragraph" w:styleId="Revision">
    <w:name w:val="Revision"/>
    <w:hidden/>
    <w:uiPriority w:val="99"/>
    <w:semiHidden/>
    <w:rsid w:val="00763DBF"/>
    <w:rPr>
      <w:sz w:val="24"/>
    </w:rPr>
  </w:style>
  <w:style w:type="character" w:customStyle="1" w:styleId="FooterChar">
    <w:name w:val="Footer Char"/>
    <w:link w:val="Footer"/>
    <w:uiPriority w:val="99"/>
    <w:rsid w:val="00594D18"/>
  </w:style>
  <w:style w:type="paragraph" w:styleId="TOC1">
    <w:name w:val="toc 1"/>
    <w:basedOn w:val="Normal"/>
    <w:next w:val="Normal"/>
    <w:autoRedefine/>
    <w:uiPriority w:val="39"/>
    <w:qFormat/>
    <w:rsid w:val="00594D18"/>
    <w:pPr>
      <w:tabs>
        <w:tab w:val="left" w:pos="720"/>
        <w:tab w:val="decimal" w:leader="dot" w:pos="8640"/>
      </w:tabs>
      <w:spacing w:after="240"/>
      <w:ind w:left="720" w:hanging="720"/>
    </w:pPr>
  </w:style>
  <w:style w:type="paragraph" w:styleId="TOC2">
    <w:name w:val="toc 2"/>
    <w:basedOn w:val="Normal"/>
    <w:next w:val="Normal"/>
    <w:autoRedefine/>
    <w:uiPriority w:val="39"/>
    <w:qFormat/>
    <w:rsid w:val="00594D18"/>
    <w:pPr>
      <w:tabs>
        <w:tab w:val="left" w:pos="720"/>
        <w:tab w:val="decimal" w:leader="dot" w:pos="8640"/>
      </w:tabs>
      <w:spacing w:after="240"/>
      <w:ind w:left="1440" w:hanging="720"/>
    </w:pPr>
  </w:style>
  <w:style w:type="paragraph" w:styleId="TOC3">
    <w:name w:val="toc 3"/>
    <w:basedOn w:val="Normal"/>
    <w:next w:val="Normal"/>
    <w:autoRedefine/>
    <w:uiPriority w:val="39"/>
    <w:qFormat/>
    <w:rsid w:val="00594D18"/>
    <w:pPr>
      <w:tabs>
        <w:tab w:val="left" w:pos="720"/>
        <w:tab w:val="decimal" w:leader="dot" w:pos="8640"/>
      </w:tabs>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even.beeler@puc.state.oh.us" TargetMode="External"/><Relationship Id="rId26" Type="http://schemas.openxmlformats.org/officeDocument/2006/relationships/hyperlink" Target="mailto:stnourse@aep.com" TargetMode="External"/><Relationship Id="rId3" Type="http://schemas.microsoft.com/office/2007/relationships/stylesWithEffects" Target="stylesWithEffects.xml"/><Relationship Id="rId21" Type="http://schemas.openxmlformats.org/officeDocument/2006/relationships/hyperlink" Target="mailto:jkylercohn@BKLlawfirm.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Werner.margard@puc.state.oh.us" TargetMode="External"/><Relationship Id="rId25" Type="http://schemas.openxmlformats.org/officeDocument/2006/relationships/hyperlink" Target="mailto:Jonathan.tauber@puc.state.oh.us"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Edmund.Berger@occ.ohio.gov" TargetMode="External"/><Relationship Id="rId20" Type="http://schemas.openxmlformats.org/officeDocument/2006/relationships/hyperlink" Target="mailto:mkurtz@BKLlawfirm.com" TargetMode="External"/><Relationship Id="rId29" Type="http://schemas.openxmlformats.org/officeDocument/2006/relationships/hyperlink" Target="mailto:haydenm@firstenergycor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arah.Parrot@puc.state.oh.us"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mswhite@igsenergy.com" TargetMode="External"/><Relationship Id="rId28" Type="http://schemas.openxmlformats.org/officeDocument/2006/relationships/hyperlink" Target="mailto:yalami@aep.com" TargetMode="External"/><Relationship Id="rId10" Type="http://schemas.openxmlformats.org/officeDocument/2006/relationships/footer" Target="footer1.xml"/><Relationship Id="rId19" Type="http://schemas.openxmlformats.org/officeDocument/2006/relationships/hyperlink" Target="mailto:dboehm@BKLlawfirm.com" TargetMode="External"/><Relationship Id="rId31" Type="http://schemas.openxmlformats.org/officeDocument/2006/relationships/hyperlink" Target="mailto:glpetrucci@vory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dmund.Berger@occ.ohio.gov" TargetMode="External"/><Relationship Id="rId22" Type="http://schemas.openxmlformats.org/officeDocument/2006/relationships/hyperlink" Target="mailto:vparisi@igsenergy.com" TargetMode="External"/><Relationship Id="rId27" Type="http://schemas.openxmlformats.org/officeDocument/2006/relationships/hyperlink" Target="mailto:mjsatterwhite@aep.com" TargetMode="External"/><Relationship Id="rId30" Type="http://schemas.openxmlformats.org/officeDocument/2006/relationships/hyperlink" Target="mailto:mhpetricoff@vory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2992</Words>
  <Characters>16350</Characters>
  <Application>Microsoft Office Word</Application>
  <DocSecurity>0</DocSecurity>
  <Lines>392</Lines>
  <Paragraphs>143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19315</CharactersWithSpaces>
  <SharedDoc>false</SharedDoc>
  <HyperlinkBase> </HyperlinkBase>
  <HLinks>
    <vt:vector size="42" baseType="variant">
      <vt:variant>
        <vt:i4>8257617</vt:i4>
      </vt:variant>
      <vt:variant>
        <vt:i4>18</vt:i4>
      </vt:variant>
      <vt:variant>
        <vt:i4>0</vt:i4>
      </vt:variant>
      <vt:variant>
        <vt:i4>5</vt:i4>
      </vt:variant>
      <vt:variant>
        <vt:lpwstr>mailto:yalami@aep.com</vt:lpwstr>
      </vt:variant>
      <vt:variant>
        <vt:lpwstr/>
      </vt:variant>
      <vt:variant>
        <vt:i4>589887</vt:i4>
      </vt:variant>
      <vt:variant>
        <vt:i4>15</vt:i4>
      </vt:variant>
      <vt:variant>
        <vt:i4>0</vt:i4>
      </vt:variant>
      <vt:variant>
        <vt:i4>5</vt:i4>
      </vt:variant>
      <vt:variant>
        <vt:lpwstr>mailto:mjsatterwhite@aep.com</vt:lpwstr>
      </vt:variant>
      <vt:variant>
        <vt:lpwstr/>
      </vt:variant>
      <vt:variant>
        <vt:i4>1900596</vt:i4>
      </vt:variant>
      <vt:variant>
        <vt:i4>12</vt:i4>
      </vt:variant>
      <vt:variant>
        <vt:i4>0</vt:i4>
      </vt:variant>
      <vt:variant>
        <vt:i4>5</vt:i4>
      </vt:variant>
      <vt:variant>
        <vt:lpwstr>mailto:stnourse@aep.com</vt:lpwstr>
      </vt:variant>
      <vt:variant>
        <vt:lpwstr/>
      </vt:variant>
      <vt:variant>
        <vt:i4>7995406</vt:i4>
      </vt:variant>
      <vt:variant>
        <vt:i4>9</vt:i4>
      </vt:variant>
      <vt:variant>
        <vt:i4>0</vt:i4>
      </vt:variant>
      <vt:variant>
        <vt:i4>5</vt:i4>
      </vt:variant>
      <vt:variant>
        <vt:lpwstr>mailto:Jonathan.tauber@puc.state.oh.us</vt:lpwstr>
      </vt:variant>
      <vt:variant>
        <vt:lpwstr/>
      </vt:variant>
      <vt:variant>
        <vt:i4>1179756</vt:i4>
      </vt:variant>
      <vt:variant>
        <vt:i4>6</vt:i4>
      </vt:variant>
      <vt:variant>
        <vt:i4>0</vt:i4>
      </vt:variant>
      <vt:variant>
        <vt:i4>5</vt:i4>
      </vt:variant>
      <vt:variant>
        <vt:lpwstr>mailto:Steven.beeler@puc.state.oh.us</vt:lpwstr>
      </vt:variant>
      <vt:variant>
        <vt:lpwstr/>
      </vt:variant>
      <vt:variant>
        <vt:i4>7340044</vt:i4>
      </vt:variant>
      <vt:variant>
        <vt:i4>3</vt:i4>
      </vt:variant>
      <vt:variant>
        <vt:i4>0</vt:i4>
      </vt:variant>
      <vt:variant>
        <vt:i4>5</vt:i4>
      </vt:variant>
      <vt:variant>
        <vt:lpwstr>mailto:Werner.margard@puc.state.oh.us</vt:lpwstr>
      </vt:variant>
      <vt:variant>
        <vt:lpwstr/>
      </vt:variant>
      <vt:variant>
        <vt:i4>2686976</vt:i4>
      </vt:variant>
      <vt:variant>
        <vt:i4>0</vt:i4>
      </vt:variant>
      <vt:variant>
        <vt:i4>0</vt:i4>
      </vt:variant>
      <vt:variant>
        <vt:i4>5</vt:i4>
      </vt:variant>
      <vt:variant>
        <vt:lpwstr>mailto:berger@occ.state.oh.us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2014-02-21T21:03:00Z</cp:lastPrinted>
  <dcterms:created xsi:type="dcterms:W3CDTF">2014-02-24T20:43:00Z</dcterms:created>
  <dcterms:modified xsi:type="dcterms:W3CDTF">2014-02-24T20:43:00Z</dcterms:modified>
  <cp:category> </cp:category>
  <cp:contentStatus> </cp:contentStatus>
</cp:coreProperties>
</file>