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sidRPr="003D0923">
        <w:rPr>
          <w:rFonts w:ascii="Times New Roman" w:eastAsia="Courier New" w:hAnsi="Times New Roman" w:cs="Courier New"/>
          <w:b/>
          <w:bCs/>
          <w:sz w:val="24"/>
          <w:szCs w:val="20"/>
        </w:rPr>
        <w:t>BEFORE</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092" w:type="dxa"/>
        <w:tblLook w:val="01E0" w:firstRow="1" w:lastRow="1" w:firstColumn="1" w:lastColumn="1" w:noHBand="0" w:noVBand="0"/>
      </w:tblPr>
      <w:tblGrid>
        <w:gridCol w:w="4332"/>
        <w:gridCol w:w="360"/>
        <w:gridCol w:w="4400"/>
      </w:tblGrid>
      <w:tr w:rsidR="003D0923" w:rsidRPr="003D0923" w:rsidTr="00404D46">
        <w:trPr>
          <w:trHeight w:val="807"/>
        </w:trPr>
        <w:tc>
          <w:tcPr>
            <w:tcW w:w="4332" w:type="dxa"/>
            <w:shd w:val="clear" w:color="auto" w:fill="auto"/>
          </w:tcPr>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3D0923">
              <w:rPr>
                <w:rFonts w:ascii="Times New Roman" w:eastAsia="Courier New" w:hAnsi="Times New Roman" w:cs="Times New Roman"/>
                <w:sz w:val="24"/>
                <w:szCs w:val="24"/>
              </w:rPr>
              <w:t>In the Matter of the Application of Duke Energy Ohio, Inc., for Approval to Continue Cost Recovery Mechanism for Energy Efficiency Programs Through 2016.</w:t>
            </w:r>
          </w:p>
        </w:tc>
        <w:tc>
          <w:tcPr>
            <w:tcW w:w="360" w:type="dxa"/>
            <w:shd w:val="clear" w:color="auto" w:fill="auto"/>
          </w:tcPr>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tc>
        <w:tc>
          <w:tcPr>
            <w:tcW w:w="4400" w:type="dxa"/>
            <w:shd w:val="clear" w:color="auto" w:fill="auto"/>
          </w:tcPr>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Case No. 14-1580-EL-RDR</w:t>
            </w: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3D0923" w:rsidRPr="003D0923" w:rsidRDefault="003D0923" w:rsidP="003D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3D0923" w:rsidRPr="003D0923" w:rsidRDefault="003D0923" w:rsidP="003D0923">
      <w:pPr>
        <w:pBdr>
          <w:bottom w:val="single" w:sz="12" w:space="1" w:color="auto"/>
        </w:pBdr>
        <w:spacing w:after="0" w:line="240" w:lineRule="auto"/>
        <w:rPr>
          <w:rFonts w:ascii="Times New Roman" w:eastAsia="Times New Roman" w:hAnsi="Times New Roman" w:cs="Times New Roman"/>
          <w:sz w:val="24"/>
          <w:szCs w:val="24"/>
        </w:rPr>
      </w:pPr>
    </w:p>
    <w:p w:rsidR="003D0923" w:rsidRPr="003D0923" w:rsidRDefault="003D0923" w:rsidP="003D0923">
      <w:pPr>
        <w:spacing w:after="0" w:line="240" w:lineRule="auto"/>
        <w:rPr>
          <w:rFonts w:ascii="Times New Roman" w:eastAsia="Times New Roman" w:hAnsi="Times New Roman" w:cs="Times New Roman"/>
          <w:sz w:val="24"/>
          <w:szCs w:val="24"/>
        </w:rPr>
      </w:pPr>
    </w:p>
    <w:p w:rsidR="003D0923" w:rsidRPr="003D0923" w:rsidRDefault="003D0923" w:rsidP="003D09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POST-HEARING BRIEF</w:t>
      </w:r>
    </w:p>
    <w:p w:rsidR="003D0923" w:rsidRPr="003D0923" w:rsidRDefault="003D0923" w:rsidP="003D0923">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3D0923" w:rsidRPr="003D0923" w:rsidRDefault="003D0923" w:rsidP="003D0923">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3D0923" w:rsidRPr="003D0923" w:rsidRDefault="003D0923" w:rsidP="003D0923">
      <w:pPr>
        <w:pBdr>
          <w:bottom w:val="single" w:sz="12" w:space="1" w:color="auto"/>
        </w:pBdr>
        <w:spacing w:after="0" w:line="240" w:lineRule="auto"/>
        <w:jc w:val="center"/>
        <w:rPr>
          <w:rFonts w:ascii="Times New Roman" w:eastAsia="Times New Roman" w:hAnsi="Times New Roman" w:cs="Times New Roman"/>
          <w:sz w:val="24"/>
          <w:szCs w:val="24"/>
        </w:rPr>
      </w:pPr>
    </w:p>
    <w:p w:rsidR="003D0923" w:rsidRPr="003D0923" w:rsidRDefault="003D0923" w:rsidP="003D0923">
      <w:pPr>
        <w:spacing w:after="0" w:line="240" w:lineRule="auto"/>
        <w:rPr>
          <w:rFonts w:ascii="Times New Roman" w:eastAsia="Times New Roman" w:hAnsi="Times New Roman" w:cs="Times New Roman"/>
          <w:b/>
          <w:sz w:val="24"/>
          <w:szCs w:val="24"/>
        </w:rPr>
      </w:pPr>
    </w:p>
    <w:p w:rsidR="003D0923" w:rsidRPr="003D0923" w:rsidRDefault="003D0923" w:rsidP="003D0923">
      <w:pPr>
        <w:rPr>
          <w:rFonts w:ascii="Times New Roman" w:eastAsia="Courier New" w:hAnsi="Times New Roman" w:cs="Courier New"/>
          <w:b/>
          <w:bCs/>
          <w:sz w:val="24"/>
          <w:szCs w:val="20"/>
        </w:rPr>
      </w:pPr>
    </w:p>
    <w:p w:rsidR="003D0923" w:rsidRPr="003D0923" w:rsidRDefault="003D0923" w:rsidP="003D0923">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3D0923" w:rsidRPr="003D0923" w:rsidRDefault="003D0923" w:rsidP="003D0923">
      <w:pPr>
        <w:tabs>
          <w:tab w:val="left" w:pos="4320"/>
        </w:tabs>
        <w:spacing w:before="240" w:after="0" w:line="240" w:lineRule="auto"/>
        <w:rPr>
          <w:rFonts w:ascii="Times New Roman" w:eastAsia="Times New Roman" w:hAnsi="Times New Roman" w:cs="Times New Roman"/>
          <w:sz w:val="24"/>
          <w:szCs w:val="24"/>
        </w:rPr>
      </w:pPr>
    </w:p>
    <w:p w:rsidR="003D0923" w:rsidRPr="003D0923" w:rsidRDefault="003D0923" w:rsidP="003D0923">
      <w:pPr>
        <w:tabs>
          <w:tab w:val="left" w:pos="4320"/>
        </w:tabs>
        <w:spacing w:before="240" w:after="0" w:line="240" w:lineRule="auto"/>
        <w:rPr>
          <w:rFonts w:ascii="Times New Roman" w:eastAsia="Times New Roman" w:hAnsi="Times New Roman" w:cs="Times New Roman"/>
          <w:sz w:val="24"/>
          <w:szCs w:val="24"/>
        </w:rPr>
      </w:pPr>
    </w:p>
    <w:p w:rsidR="003D0923" w:rsidRPr="003D0923" w:rsidRDefault="003D0923" w:rsidP="003D0923">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3D0923" w:rsidRPr="003D0923" w:rsidRDefault="003D0923" w:rsidP="003D0923">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3D0923" w:rsidRPr="003D0923" w:rsidRDefault="003D0923" w:rsidP="003D0923">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BRUCE J. WESTON</w:t>
      </w:r>
    </w:p>
    <w:p w:rsidR="003D0923" w:rsidRPr="003D0923"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 COUNSEL</w:t>
      </w:r>
    </w:p>
    <w:p w:rsidR="003D0923" w:rsidRPr="003D0923"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947EE6"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r w:rsidR="00947EE6">
        <w:rPr>
          <w:rFonts w:ascii="Times New Roman" w:eastAsia="Times New Roman" w:hAnsi="Times New Roman" w:cs="Times New Roman"/>
          <w:sz w:val="24"/>
          <w:szCs w:val="24"/>
        </w:rPr>
        <w:t>Kyle L. Kern (</w:t>
      </w:r>
      <w:r w:rsidR="00947EE6" w:rsidRPr="003D0923">
        <w:rPr>
          <w:rFonts w:ascii="Times New Roman" w:eastAsia="Times New Roman" w:hAnsi="Times New Roman" w:cs="Times New Roman"/>
          <w:sz w:val="24"/>
          <w:szCs w:val="24"/>
        </w:rPr>
        <w:t>0084199)</w:t>
      </w:r>
      <w:r w:rsidRPr="003D0923">
        <w:rPr>
          <w:rFonts w:ascii="Times New Roman" w:eastAsia="Times New Roman" w:hAnsi="Times New Roman" w:cs="Times New Roman"/>
          <w:sz w:val="24"/>
          <w:szCs w:val="24"/>
        </w:rPr>
        <w:t xml:space="preserve"> </w:t>
      </w:r>
    </w:p>
    <w:p w:rsidR="003D0923" w:rsidRPr="003D0923" w:rsidRDefault="00947EE6" w:rsidP="003D0923">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0923" w:rsidRPr="003D0923">
        <w:rPr>
          <w:rFonts w:ascii="Times New Roman" w:eastAsia="Times New Roman" w:hAnsi="Times New Roman" w:cs="Times New Roman"/>
          <w:sz w:val="24"/>
          <w:szCs w:val="24"/>
        </w:rPr>
        <w:t>Counsel of Record</w:t>
      </w:r>
    </w:p>
    <w:p w:rsidR="003D0923" w:rsidRPr="003D0923"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Michael J. Schuler (0082390)</w:t>
      </w:r>
    </w:p>
    <w:p w:rsidR="003D0923" w:rsidRPr="003D0923" w:rsidRDefault="003D0923" w:rsidP="003D092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Assistant Consumers’ Counsel</w:t>
      </w:r>
    </w:p>
    <w:p w:rsidR="003D0923" w:rsidRPr="003D0923" w:rsidRDefault="003D0923" w:rsidP="003D0923">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3D0923" w:rsidRPr="003D0923" w:rsidRDefault="003D0923" w:rsidP="003D0923">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 Counsel</w:t>
      </w:r>
    </w:p>
    <w:p w:rsidR="003D0923" w:rsidRPr="003D0923" w:rsidRDefault="003D0923" w:rsidP="003D092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3D0923" w:rsidRPr="003D0923" w:rsidRDefault="003D0923" w:rsidP="003D092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3D0923" w:rsidRPr="003D0923" w:rsidRDefault="003D0923" w:rsidP="003D0923">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Telephone:  Kern Direct – 614-466-9585</w:t>
      </w:r>
    </w:p>
    <w:p w:rsidR="003D0923" w:rsidRPr="003D0923" w:rsidRDefault="003D0923" w:rsidP="003D0923">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Telephone:  Schuler Direct – 614-466-9547</w:t>
      </w:r>
    </w:p>
    <w:p w:rsidR="00F214B0" w:rsidRDefault="00ED573D" w:rsidP="00F214B0">
      <w:pPr>
        <w:autoSpaceDE w:val="0"/>
        <w:autoSpaceDN w:val="0"/>
        <w:adjustRightInd w:val="0"/>
        <w:spacing w:after="0" w:line="240" w:lineRule="auto"/>
        <w:ind w:left="3600" w:firstLine="720"/>
        <w:rPr>
          <w:rFonts w:ascii="Times New Roman" w:eastAsia="Times New Roman" w:hAnsi="Times New Roman" w:cs="Times New Roman"/>
          <w:sz w:val="24"/>
          <w:szCs w:val="24"/>
        </w:rPr>
      </w:pPr>
      <w:hyperlink r:id="rId8" w:history="1">
        <w:r w:rsidR="003D0923" w:rsidRPr="003D0923">
          <w:rPr>
            <w:rFonts w:ascii="Times New Roman" w:eastAsia="Times New Roman" w:hAnsi="Times New Roman" w:cs="Times New Roman"/>
            <w:color w:val="0000FF"/>
            <w:sz w:val="24"/>
            <w:szCs w:val="24"/>
            <w:u w:val="single"/>
          </w:rPr>
          <w:t>Kyle.kern@occ.ohio.gov</w:t>
        </w:r>
      </w:hyperlink>
    </w:p>
    <w:p w:rsidR="003A167B" w:rsidRPr="00F214B0" w:rsidRDefault="00F214B0" w:rsidP="00F214B0">
      <w:pPr>
        <w:autoSpaceDE w:val="0"/>
        <w:autoSpaceDN w:val="0"/>
        <w:adjustRightInd w:val="0"/>
        <w:spacing w:after="0" w:line="240" w:lineRule="auto"/>
        <w:rPr>
          <w:rFonts w:ascii="Times New Roman" w:eastAsia="Times New Roman" w:hAnsi="Times New Roman" w:cs="Times New Roman"/>
          <w:sz w:val="24"/>
          <w:szCs w:val="24"/>
        </w:rPr>
        <w:sectPr w:rsidR="003A167B" w:rsidRPr="00F214B0" w:rsidSect="000B1CA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Pr>
          <w:rFonts w:ascii="Times New Roman" w:eastAsia="Times New Roman" w:hAnsi="Times New Roman" w:cs="Times New Roman"/>
          <w:sz w:val="24"/>
          <w:szCs w:val="24"/>
        </w:rPr>
        <w:t xml:space="preserve">August </w:t>
      </w:r>
      <w:r w:rsidR="00C62244">
        <w:rPr>
          <w:rFonts w:ascii="Times New Roman" w:eastAsia="Times New Roman" w:hAnsi="Times New Roman" w:cs="Times New Roman"/>
          <w:sz w:val="24"/>
          <w:szCs w:val="24"/>
        </w:rPr>
        <w:t>21</w:t>
      </w:r>
      <w:r>
        <w:rPr>
          <w:rFonts w:ascii="Times New Roman" w:eastAsia="Times New Roman" w:hAnsi="Times New Roman" w:cs="Times New Roman"/>
          <w:sz w:val="24"/>
          <w:szCs w:val="24"/>
        </w:rPr>
        <w:t>, 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5" w:history="1">
        <w:r w:rsidR="003D0923" w:rsidRPr="00F214B0">
          <w:rPr>
            <w:rFonts w:ascii="Times New Roman" w:eastAsia="Times New Roman" w:hAnsi="Times New Roman" w:cs="Times New Roman"/>
            <w:color w:val="0000FF"/>
            <w:sz w:val="24"/>
            <w:szCs w:val="24"/>
            <w:u w:val="single"/>
          </w:rPr>
          <w:t>Michael.schuler@occ.ohio.gov</w:t>
        </w:r>
      </w:hyperlink>
    </w:p>
    <w:p w:rsidR="001D29E8" w:rsidRDefault="001D29E8" w:rsidP="001D29E8">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1D29E8" w:rsidRDefault="001D29E8" w:rsidP="00AB49FB">
      <w:pPr>
        <w:pStyle w:val="ListParagraph"/>
        <w:spacing w:after="0" w:line="480" w:lineRule="auto"/>
        <w:ind w:left="1080"/>
        <w:jc w:val="right"/>
        <w:rPr>
          <w:rFonts w:ascii="Times New Roman" w:hAnsi="Times New Roman" w:cs="Times New Roman"/>
          <w:b/>
          <w:sz w:val="24"/>
          <w:szCs w:val="24"/>
        </w:rPr>
      </w:pPr>
      <w:r>
        <w:rPr>
          <w:rFonts w:ascii="Times New Roman" w:hAnsi="Times New Roman" w:cs="Times New Roman"/>
          <w:b/>
          <w:sz w:val="24"/>
          <w:szCs w:val="24"/>
        </w:rPr>
        <w:t>PAGE</w:t>
      </w:r>
    </w:p>
    <w:p w:rsidR="00843D06" w:rsidRDefault="00AB49FB">
      <w:pPr>
        <w:pStyle w:val="TOC1"/>
        <w:rPr>
          <w:rFonts w:asciiTheme="minorHAnsi" w:eastAsiaTheme="minorEastAsia" w:hAnsiTheme="minorHAnsi"/>
          <w:noProof/>
          <w:sz w:val="22"/>
        </w:rPr>
      </w:pPr>
      <w:r>
        <w:rPr>
          <w:rFonts w:cs="Times New Roman"/>
          <w:b/>
          <w:szCs w:val="24"/>
        </w:rPr>
        <w:fldChar w:fldCharType="begin"/>
      </w:r>
      <w:r>
        <w:rPr>
          <w:rFonts w:cs="Times New Roman"/>
          <w:b/>
          <w:szCs w:val="24"/>
        </w:rPr>
        <w:instrText xml:space="preserve"> TOC \o "1-3" \h \z \u </w:instrText>
      </w:r>
      <w:r>
        <w:rPr>
          <w:rFonts w:cs="Times New Roman"/>
          <w:b/>
          <w:szCs w:val="24"/>
        </w:rPr>
        <w:fldChar w:fldCharType="separate"/>
      </w:r>
      <w:hyperlink w:anchor="_Toc427923425" w:history="1">
        <w:r w:rsidR="00843D06" w:rsidRPr="00A30C27">
          <w:rPr>
            <w:rStyle w:val="Hyperlink"/>
            <w:noProof/>
          </w:rPr>
          <w:t>I.</w:t>
        </w:r>
        <w:r w:rsidR="00843D06">
          <w:rPr>
            <w:rFonts w:asciiTheme="minorHAnsi" w:eastAsiaTheme="minorEastAsia" w:hAnsiTheme="minorHAnsi"/>
            <w:noProof/>
            <w:sz w:val="22"/>
          </w:rPr>
          <w:tab/>
        </w:r>
        <w:r w:rsidR="00843D06" w:rsidRPr="00A30C27">
          <w:rPr>
            <w:rStyle w:val="Hyperlink"/>
            <w:noProof/>
          </w:rPr>
          <w:t>INTRODUCTION</w:t>
        </w:r>
        <w:r w:rsidR="00843D06">
          <w:rPr>
            <w:noProof/>
            <w:webHidden/>
          </w:rPr>
          <w:tab/>
        </w:r>
        <w:r w:rsidR="00843D06">
          <w:rPr>
            <w:noProof/>
            <w:webHidden/>
          </w:rPr>
          <w:fldChar w:fldCharType="begin"/>
        </w:r>
        <w:r w:rsidR="00843D06">
          <w:rPr>
            <w:noProof/>
            <w:webHidden/>
          </w:rPr>
          <w:instrText xml:space="preserve"> PAGEREF _Toc427923425 \h </w:instrText>
        </w:r>
        <w:r w:rsidR="00843D06">
          <w:rPr>
            <w:noProof/>
            <w:webHidden/>
          </w:rPr>
        </w:r>
        <w:r w:rsidR="00843D06">
          <w:rPr>
            <w:noProof/>
            <w:webHidden/>
          </w:rPr>
          <w:fldChar w:fldCharType="separate"/>
        </w:r>
        <w:r w:rsidR="005D7C60">
          <w:rPr>
            <w:noProof/>
            <w:webHidden/>
          </w:rPr>
          <w:t>1</w:t>
        </w:r>
        <w:r w:rsidR="00843D06">
          <w:rPr>
            <w:noProof/>
            <w:webHidden/>
          </w:rPr>
          <w:fldChar w:fldCharType="end"/>
        </w:r>
      </w:hyperlink>
    </w:p>
    <w:p w:rsidR="00843D06" w:rsidRDefault="00ED573D">
      <w:pPr>
        <w:pStyle w:val="TOC1"/>
        <w:rPr>
          <w:rFonts w:asciiTheme="minorHAnsi" w:eastAsiaTheme="minorEastAsia" w:hAnsiTheme="minorHAnsi"/>
          <w:noProof/>
          <w:sz w:val="22"/>
        </w:rPr>
      </w:pPr>
      <w:hyperlink w:anchor="_Toc427923426" w:history="1">
        <w:r w:rsidR="00843D06" w:rsidRPr="00A30C27">
          <w:rPr>
            <w:rStyle w:val="Hyperlink"/>
            <w:noProof/>
          </w:rPr>
          <w:t>II.</w:t>
        </w:r>
        <w:r w:rsidR="00843D06">
          <w:rPr>
            <w:rFonts w:asciiTheme="minorHAnsi" w:eastAsiaTheme="minorEastAsia" w:hAnsiTheme="minorHAnsi"/>
            <w:noProof/>
            <w:sz w:val="22"/>
          </w:rPr>
          <w:tab/>
        </w:r>
        <w:r w:rsidR="00843D06" w:rsidRPr="00A30C27">
          <w:rPr>
            <w:rStyle w:val="Hyperlink"/>
            <w:noProof/>
          </w:rPr>
          <w:t>BACKGROUND</w:t>
        </w:r>
        <w:r w:rsidR="00843D06">
          <w:rPr>
            <w:noProof/>
            <w:webHidden/>
          </w:rPr>
          <w:tab/>
        </w:r>
        <w:r w:rsidR="00843D06">
          <w:rPr>
            <w:noProof/>
            <w:webHidden/>
          </w:rPr>
          <w:fldChar w:fldCharType="begin"/>
        </w:r>
        <w:r w:rsidR="00843D06">
          <w:rPr>
            <w:noProof/>
            <w:webHidden/>
          </w:rPr>
          <w:instrText xml:space="preserve"> PAGEREF _Toc427923426 \h </w:instrText>
        </w:r>
        <w:r w:rsidR="00843D06">
          <w:rPr>
            <w:noProof/>
            <w:webHidden/>
          </w:rPr>
        </w:r>
        <w:r w:rsidR="00843D06">
          <w:rPr>
            <w:noProof/>
            <w:webHidden/>
          </w:rPr>
          <w:fldChar w:fldCharType="separate"/>
        </w:r>
        <w:r w:rsidR="005D7C60">
          <w:rPr>
            <w:noProof/>
            <w:webHidden/>
          </w:rPr>
          <w:t>2</w:t>
        </w:r>
        <w:r w:rsidR="00843D06">
          <w:rPr>
            <w:noProof/>
            <w:webHidden/>
          </w:rPr>
          <w:fldChar w:fldCharType="end"/>
        </w:r>
      </w:hyperlink>
    </w:p>
    <w:p w:rsidR="00843D06" w:rsidRDefault="00ED573D">
      <w:pPr>
        <w:pStyle w:val="TOC1"/>
        <w:rPr>
          <w:rFonts w:asciiTheme="minorHAnsi" w:eastAsiaTheme="minorEastAsia" w:hAnsiTheme="minorHAnsi"/>
          <w:noProof/>
          <w:sz w:val="22"/>
        </w:rPr>
      </w:pPr>
      <w:hyperlink w:anchor="_Toc427923427" w:history="1">
        <w:r w:rsidR="00843D06" w:rsidRPr="00A30C27">
          <w:rPr>
            <w:rStyle w:val="Hyperlink"/>
            <w:noProof/>
          </w:rPr>
          <w:t>III.</w:t>
        </w:r>
        <w:r w:rsidR="00843D06">
          <w:rPr>
            <w:rFonts w:asciiTheme="minorHAnsi" w:eastAsiaTheme="minorEastAsia" w:hAnsiTheme="minorHAnsi"/>
            <w:noProof/>
            <w:sz w:val="22"/>
          </w:rPr>
          <w:tab/>
        </w:r>
        <w:r w:rsidR="00843D06" w:rsidRPr="00A30C27">
          <w:rPr>
            <w:rStyle w:val="Hyperlink"/>
            <w:noProof/>
          </w:rPr>
          <w:t>ARGUMENT</w:t>
        </w:r>
        <w:r w:rsidR="00843D06">
          <w:rPr>
            <w:noProof/>
            <w:webHidden/>
          </w:rPr>
          <w:tab/>
        </w:r>
        <w:r w:rsidR="00843D06">
          <w:rPr>
            <w:noProof/>
            <w:webHidden/>
          </w:rPr>
          <w:fldChar w:fldCharType="begin"/>
        </w:r>
        <w:r w:rsidR="00843D06">
          <w:rPr>
            <w:noProof/>
            <w:webHidden/>
          </w:rPr>
          <w:instrText xml:space="preserve"> PAGEREF _Toc427923427 \h </w:instrText>
        </w:r>
        <w:r w:rsidR="00843D06">
          <w:rPr>
            <w:noProof/>
            <w:webHidden/>
          </w:rPr>
        </w:r>
        <w:r w:rsidR="00843D06">
          <w:rPr>
            <w:noProof/>
            <w:webHidden/>
          </w:rPr>
          <w:fldChar w:fldCharType="separate"/>
        </w:r>
        <w:r w:rsidR="005D7C60">
          <w:rPr>
            <w:noProof/>
            <w:webHidden/>
          </w:rPr>
          <w:t>7</w:t>
        </w:r>
        <w:r w:rsidR="00843D06">
          <w:rPr>
            <w:noProof/>
            <w:webHidden/>
          </w:rPr>
          <w:fldChar w:fldCharType="end"/>
        </w:r>
      </w:hyperlink>
    </w:p>
    <w:p w:rsidR="00843D06" w:rsidRDefault="00ED573D">
      <w:pPr>
        <w:pStyle w:val="TOC2"/>
        <w:tabs>
          <w:tab w:val="left" w:pos="1440"/>
        </w:tabs>
        <w:rPr>
          <w:rFonts w:asciiTheme="minorHAnsi" w:eastAsiaTheme="minorEastAsia" w:hAnsiTheme="minorHAnsi"/>
          <w:noProof/>
          <w:sz w:val="22"/>
        </w:rPr>
      </w:pPr>
      <w:hyperlink w:anchor="_Toc427923428" w:history="1">
        <w:r w:rsidR="00843D06" w:rsidRPr="00A30C27">
          <w:rPr>
            <w:rStyle w:val="Hyperlink"/>
            <w:noProof/>
          </w:rPr>
          <w:t>A.</w:t>
        </w:r>
        <w:r w:rsidR="00843D06">
          <w:rPr>
            <w:rFonts w:asciiTheme="minorHAnsi" w:eastAsiaTheme="minorEastAsia" w:hAnsiTheme="minorHAnsi"/>
            <w:noProof/>
            <w:sz w:val="22"/>
          </w:rPr>
          <w:tab/>
        </w:r>
        <w:r w:rsidR="00843D06" w:rsidRPr="00A30C27">
          <w:rPr>
            <w:rStyle w:val="Hyperlink"/>
            <w:noProof/>
          </w:rPr>
          <w:t>Duke’s should not be permitted to continue to collect from customers uncapped shared savings into 2016.</w:t>
        </w:r>
        <w:r w:rsidR="00843D06">
          <w:rPr>
            <w:noProof/>
            <w:webHidden/>
          </w:rPr>
          <w:tab/>
        </w:r>
        <w:r w:rsidR="00843D06">
          <w:rPr>
            <w:noProof/>
            <w:webHidden/>
          </w:rPr>
          <w:fldChar w:fldCharType="begin"/>
        </w:r>
        <w:r w:rsidR="00843D06">
          <w:rPr>
            <w:noProof/>
            <w:webHidden/>
          </w:rPr>
          <w:instrText xml:space="preserve"> PAGEREF _Toc427923428 \h </w:instrText>
        </w:r>
        <w:r w:rsidR="00843D06">
          <w:rPr>
            <w:noProof/>
            <w:webHidden/>
          </w:rPr>
        </w:r>
        <w:r w:rsidR="00843D06">
          <w:rPr>
            <w:noProof/>
            <w:webHidden/>
          </w:rPr>
          <w:fldChar w:fldCharType="separate"/>
        </w:r>
        <w:r w:rsidR="005D7C60">
          <w:rPr>
            <w:noProof/>
            <w:webHidden/>
          </w:rPr>
          <w:t>8</w:t>
        </w:r>
        <w:r w:rsidR="00843D06">
          <w:rPr>
            <w:noProof/>
            <w:webHidden/>
          </w:rPr>
          <w:fldChar w:fldCharType="end"/>
        </w:r>
      </w:hyperlink>
    </w:p>
    <w:p w:rsidR="00843D06" w:rsidRDefault="00ED573D">
      <w:pPr>
        <w:pStyle w:val="TOC2"/>
        <w:tabs>
          <w:tab w:val="left" w:pos="1440"/>
        </w:tabs>
        <w:rPr>
          <w:rFonts w:asciiTheme="minorHAnsi" w:eastAsiaTheme="minorEastAsia" w:hAnsiTheme="minorHAnsi"/>
          <w:noProof/>
          <w:sz w:val="22"/>
        </w:rPr>
      </w:pPr>
      <w:hyperlink w:anchor="_Toc427923429" w:history="1">
        <w:r w:rsidR="00843D06" w:rsidRPr="00A30C27">
          <w:rPr>
            <w:rStyle w:val="Hyperlink"/>
            <w:noProof/>
          </w:rPr>
          <w:t>B.</w:t>
        </w:r>
        <w:r w:rsidR="00843D06">
          <w:rPr>
            <w:rFonts w:asciiTheme="minorHAnsi" w:eastAsiaTheme="minorEastAsia" w:hAnsiTheme="minorHAnsi"/>
            <w:noProof/>
            <w:sz w:val="22"/>
          </w:rPr>
          <w:tab/>
        </w:r>
        <w:r w:rsidR="00843D06" w:rsidRPr="00A30C27">
          <w:rPr>
            <w:rStyle w:val="Hyperlink"/>
            <w:noProof/>
          </w:rPr>
          <w:t>OCC’s recommendations to the methodology to be used for calculating shared savings should be adopted to protect consumers.</w:t>
        </w:r>
        <w:r w:rsidR="00843D06">
          <w:rPr>
            <w:noProof/>
            <w:webHidden/>
          </w:rPr>
          <w:tab/>
        </w:r>
        <w:r w:rsidR="00843D06">
          <w:rPr>
            <w:noProof/>
            <w:webHidden/>
          </w:rPr>
          <w:fldChar w:fldCharType="begin"/>
        </w:r>
        <w:r w:rsidR="00843D06">
          <w:rPr>
            <w:noProof/>
            <w:webHidden/>
          </w:rPr>
          <w:instrText xml:space="preserve"> PAGEREF _Toc427923429 \h </w:instrText>
        </w:r>
        <w:r w:rsidR="00843D06">
          <w:rPr>
            <w:noProof/>
            <w:webHidden/>
          </w:rPr>
        </w:r>
        <w:r w:rsidR="00843D06">
          <w:rPr>
            <w:noProof/>
            <w:webHidden/>
          </w:rPr>
          <w:fldChar w:fldCharType="separate"/>
        </w:r>
        <w:r w:rsidR="005D7C60">
          <w:rPr>
            <w:noProof/>
            <w:webHidden/>
          </w:rPr>
          <w:t>15</w:t>
        </w:r>
        <w:r w:rsidR="00843D06">
          <w:rPr>
            <w:noProof/>
            <w:webHidden/>
          </w:rPr>
          <w:fldChar w:fldCharType="end"/>
        </w:r>
      </w:hyperlink>
    </w:p>
    <w:p w:rsidR="00843D06" w:rsidRDefault="00ED573D">
      <w:pPr>
        <w:pStyle w:val="TOC3"/>
        <w:tabs>
          <w:tab w:val="left" w:pos="2160"/>
          <w:tab w:val="right" w:leader="dot" w:pos="8630"/>
        </w:tabs>
        <w:rPr>
          <w:rFonts w:asciiTheme="minorHAnsi" w:eastAsiaTheme="minorEastAsia" w:hAnsiTheme="minorHAnsi"/>
          <w:noProof/>
          <w:sz w:val="22"/>
        </w:rPr>
      </w:pPr>
      <w:hyperlink w:anchor="_Toc427923430" w:history="1">
        <w:r w:rsidR="00843D06" w:rsidRPr="00A30C27">
          <w:rPr>
            <w:rStyle w:val="Hyperlink"/>
            <w:noProof/>
          </w:rPr>
          <w:t>1.</w:t>
        </w:r>
        <w:r w:rsidR="00843D06">
          <w:rPr>
            <w:rFonts w:asciiTheme="minorHAnsi" w:eastAsiaTheme="minorEastAsia" w:hAnsiTheme="minorHAnsi"/>
            <w:noProof/>
            <w:sz w:val="22"/>
          </w:rPr>
          <w:tab/>
        </w:r>
        <w:r w:rsidR="00843D06" w:rsidRPr="00A30C27">
          <w:rPr>
            <w:rStyle w:val="Hyperlink"/>
            <w:noProof/>
          </w:rPr>
          <w:t>If Duke has a shared savings incentive for 2016, the PUCO should protect consumers from excessive charges by using the TRC to Calculate Net Benefits.</w:t>
        </w:r>
        <w:r w:rsidR="00843D06">
          <w:rPr>
            <w:noProof/>
            <w:webHidden/>
          </w:rPr>
          <w:tab/>
        </w:r>
        <w:r w:rsidR="00843D06">
          <w:rPr>
            <w:noProof/>
            <w:webHidden/>
          </w:rPr>
          <w:fldChar w:fldCharType="begin"/>
        </w:r>
        <w:r w:rsidR="00843D06">
          <w:rPr>
            <w:noProof/>
            <w:webHidden/>
          </w:rPr>
          <w:instrText xml:space="preserve"> PAGEREF _Toc427923430 \h </w:instrText>
        </w:r>
        <w:r w:rsidR="00843D06">
          <w:rPr>
            <w:noProof/>
            <w:webHidden/>
          </w:rPr>
        </w:r>
        <w:r w:rsidR="00843D06">
          <w:rPr>
            <w:noProof/>
            <w:webHidden/>
          </w:rPr>
          <w:fldChar w:fldCharType="separate"/>
        </w:r>
        <w:r w:rsidR="005D7C60">
          <w:rPr>
            <w:noProof/>
            <w:webHidden/>
          </w:rPr>
          <w:t>15</w:t>
        </w:r>
        <w:r w:rsidR="00843D06">
          <w:rPr>
            <w:noProof/>
            <w:webHidden/>
          </w:rPr>
          <w:fldChar w:fldCharType="end"/>
        </w:r>
      </w:hyperlink>
    </w:p>
    <w:p w:rsidR="00843D06" w:rsidRDefault="00ED573D">
      <w:pPr>
        <w:pStyle w:val="TOC3"/>
        <w:tabs>
          <w:tab w:val="left" w:pos="2160"/>
          <w:tab w:val="right" w:leader="dot" w:pos="8630"/>
        </w:tabs>
        <w:rPr>
          <w:rFonts w:asciiTheme="minorHAnsi" w:eastAsiaTheme="minorEastAsia" w:hAnsiTheme="minorHAnsi"/>
          <w:noProof/>
          <w:sz w:val="22"/>
        </w:rPr>
      </w:pPr>
      <w:hyperlink w:anchor="_Toc427923431" w:history="1">
        <w:r w:rsidR="00843D06" w:rsidRPr="00A30C27">
          <w:rPr>
            <w:rStyle w:val="Hyperlink"/>
            <w:noProof/>
          </w:rPr>
          <w:t xml:space="preserve">2. </w:t>
        </w:r>
        <w:r w:rsidR="00843D06">
          <w:rPr>
            <w:rFonts w:asciiTheme="minorHAnsi" w:eastAsiaTheme="minorEastAsia" w:hAnsiTheme="minorHAnsi"/>
            <w:noProof/>
            <w:sz w:val="22"/>
          </w:rPr>
          <w:tab/>
        </w:r>
        <w:r w:rsidR="00843D06" w:rsidRPr="00A30C27">
          <w:rPr>
            <w:rStyle w:val="Hyperlink"/>
            <w:noProof/>
          </w:rPr>
          <w:t>The energy savings used should be net savings, not gross savings in order to protect consumers from being charged for over-stated shared savings awards.</w:t>
        </w:r>
        <w:r w:rsidR="00843D06">
          <w:rPr>
            <w:noProof/>
            <w:webHidden/>
          </w:rPr>
          <w:tab/>
        </w:r>
        <w:r w:rsidR="00843D06">
          <w:rPr>
            <w:noProof/>
            <w:webHidden/>
          </w:rPr>
          <w:fldChar w:fldCharType="begin"/>
        </w:r>
        <w:r w:rsidR="00843D06">
          <w:rPr>
            <w:noProof/>
            <w:webHidden/>
          </w:rPr>
          <w:instrText xml:space="preserve"> PAGEREF _Toc427923431 \h </w:instrText>
        </w:r>
        <w:r w:rsidR="00843D06">
          <w:rPr>
            <w:noProof/>
            <w:webHidden/>
          </w:rPr>
        </w:r>
        <w:r w:rsidR="00843D06">
          <w:rPr>
            <w:noProof/>
            <w:webHidden/>
          </w:rPr>
          <w:fldChar w:fldCharType="separate"/>
        </w:r>
        <w:r w:rsidR="005D7C60">
          <w:rPr>
            <w:noProof/>
            <w:webHidden/>
          </w:rPr>
          <w:t>17</w:t>
        </w:r>
        <w:r w:rsidR="00843D06">
          <w:rPr>
            <w:noProof/>
            <w:webHidden/>
          </w:rPr>
          <w:fldChar w:fldCharType="end"/>
        </w:r>
      </w:hyperlink>
    </w:p>
    <w:p w:rsidR="00843D06" w:rsidRDefault="00ED573D">
      <w:pPr>
        <w:pStyle w:val="TOC3"/>
        <w:tabs>
          <w:tab w:val="left" w:pos="2160"/>
          <w:tab w:val="right" w:leader="dot" w:pos="8630"/>
        </w:tabs>
        <w:rPr>
          <w:rFonts w:asciiTheme="minorHAnsi" w:eastAsiaTheme="minorEastAsia" w:hAnsiTheme="minorHAnsi"/>
          <w:noProof/>
          <w:sz w:val="22"/>
        </w:rPr>
      </w:pPr>
      <w:hyperlink w:anchor="_Toc427923432" w:history="1">
        <w:r w:rsidR="00843D06" w:rsidRPr="00A30C27">
          <w:rPr>
            <w:rStyle w:val="Hyperlink"/>
            <w:noProof/>
          </w:rPr>
          <w:t>3.</w:t>
        </w:r>
        <w:r w:rsidR="00843D06">
          <w:rPr>
            <w:rFonts w:asciiTheme="minorHAnsi" w:eastAsiaTheme="minorEastAsia" w:hAnsiTheme="minorHAnsi"/>
            <w:noProof/>
            <w:sz w:val="22"/>
          </w:rPr>
          <w:tab/>
        </w:r>
        <w:r w:rsidR="00843D06" w:rsidRPr="00A30C27">
          <w:rPr>
            <w:rStyle w:val="Hyperlink"/>
            <w:noProof/>
          </w:rPr>
          <w:t>A shared savings incentive should be calculated on a pre-tax basis to protect customers from overpaying.</w:t>
        </w:r>
        <w:r w:rsidR="00843D06">
          <w:rPr>
            <w:noProof/>
            <w:webHidden/>
          </w:rPr>
          <w:tab/>
        </w:r>
        <w:r w:rsidR="00843D06">
          <w:rPr>
            <w:noProof/>
            <w:webHidden/>
          </w:rPr>
          <w:fldChar w:fldCharType="begin"/>
        </w:r>
        <w:r w:rsidR="00843D06">
          <w:rPr>
            <w:noProof/>
            <w:webHidden/>
          </w:rPr>
          <w:instrText xml:space="preserve"> PAGEREF _Toc427923432 \h </w:instrText>
        </w:r>
        <w:r w:rsidR="00843D06">
          <w:rPr>
            <w:noProof/>
            <w:webHidden/>
          </w:rPr>
        </w:r>
        <w:r w:rsidR="00843D06">
          <w:rPr>
            <w:noProof/>
            <w:webHidden/>
          </w:rPr>
          <w:fldChar w:fldCharType="separate"/>
        </w:r>
        <w:r w:rsidR="005D7C60">
          <w:rPr>
            <w:noProof/>
            <w:webHidden/>
          </w:rPr>
          <w:t>18</w:t>
        </w:r>
        <w:r w:rsidR="00843D06">
          <w:rPr>
            <w:noProof/>
            <w:webHidden/>
          </w:rPr>
          <w:fldChar w:fldCharType="end"/>
        </w:r>
      </w:hyperlink>
    </w:p>
    <w:p w:rsidR="00843D06" w:rsidRDefault="00ED573D">
      <w:pPr>
        <w:pStyle w:val="TOC2"/>
        <w:tabs>
          <w:tab w:val="left" w:pos="1440"/>
        </w:tabs>
        <w:rPr>
          <w:rFonts w:asciiTheme="minorHAnsi" w:eastAsiaTheme="minorEastAsia" w:hAnsiTheme="minorHAnsi"/>
          <w:noProof/>
          <w:sz w:val="22"/>
        </w:rPr>
      </w:pPr>
      <w:hyperlink w:anchor="_Toc427923433" w:history="1">
        <w:r w:rsidR="00843D06" w:rsidRPr="00A30C27">
          <w:rPr>
            <w:rStyle w:val="Hyperlink"/>
            <w:noProof/>
          </w:rPr>
          <w:t>C.</w:t>
        </w:r>
        <w:r w:rsidR="00843D06">
          <w:rPr>
            <w:rFonts w:asciiTheme="minorHAnsi" w:eastAsiaTheme="minorEastAsia" w:hAnsiTheme="minorHAnsi"/>
            <w:noProof/>
            <w:sz w:val="22"/>
          </w:rPr>
          <w:tab/>
        </w:r>
        <w:r w:rsidR="00843D06" w:rsidRPr="00A30C27">
          <w:rPr>
            <w:rStyle w:val="Hyperlink"/>
            <w:noProof/>
          </w:rPr>
          <w:t>Duke should be prohibited from using banked savings from previous years to collect higher incentive payments from customers.</w:t>
        </w:r>
        <w:r w:rsidR="00843D06">
          <w:rPr>
            <w:noProof/>
            <w:webHidden/>
          </w:rPr>
          <w:tab/>
        </w:r>
        <w:r w:rsidR="00843D06">
          <w:rPr>
            <w:noProof/>
            <w:webHidden/>
          </w:rPr>
          <w:fldChar w:fldCharType="begin"/>
        </w:r>
        <w:r w:rsidR="00843D06">
          <w:rPr>
            <w:noProof/>
            <w:webHidden/>
          </w:rPr>
          <w:instrText xml:space="preserve"> PAGEREF _Toc427923433 \h </w:instrText>
        </w:r>
        <w:r w:rsidR="00843D06">
          <w:rPr>
            <w:noProof/>
            <w:webHidden/>
          </w:rPr>
        </w:r>
        <w:r w:rsidR="00843D06">
          <w:rPr>
            <w:noProof/>
            <w:webHidden/>
          </w:rPr>
          <w:fldChar w:fldCharType="separate"/>
        </w:r>
        <w:r w:rsidR="005D7C60">
          <w:rPr>
            <w:noProof/>
            <w:webHidden/>
          </w:rPr>
          <w:t>18</w:t>
        </w:r>
        <w:r w:rsidR="00843D06">
          <w:rPr>
            <w:noProof/>
            <w:webHidden/>
          </w:rPr>
          <w:fldChar w:fldCharType="end"/>
        </w:r>
      </w:hyperlink>
    </w:p>
    <w:p w:rsidR="00843D06" w:rsidRDefault="00ED573D">
      <w:pPr>
        <w:pStyle w:val="TOC3"/>
        <w:tabs>
          <w:tab w:val="left" w:pos="2160"/>
          <w:tab w:val="right" w:leader="dot" w:pos="8630"/>
        </w:tabs>
        <w:rPr>
          <w:rFonts w:asciiTheme="minorHAnsi" w:eastAsiaTheme="minorEastAsia" w:hAnsiTheme="minorHAnsi"/>
          <w:noProof/>
          <w:sz w:val="22"/>
        </w:rPr>
      </w:pPr>
      <w:hyperlink w:anchor="_Toc427923434" w:history="1">
        <w:r w:rsidR="00843D06" w:rsidRPr="00A30C27">
          <w:rPr>
            <w:rStyle w:val="Hyperlink"/>
            <w:noProof/>
          </w:rPr>
          <w:t>1.</w:t>
        </w:r>
        <w:r w:rsidR="00843D06">
          <w:rPr>
            <w:rFonts w:asciiTheme="minorHAnsi" w:eastAsiaTheme="minorEastAsia" w:hAnsiTheme="minorHAnsi"/>
            <w:noProof/>
            <w:sz w:val="22"/>
          </w:rPr>
          <w:tab/>
        </w:r>
        <w:r w:rsidR="00843D06" w:rsidRPr="00A30C27">
          <w:rPr>
            <w:rStyle w:val="Hyperlink"/>
            <w:noProof/>
          </w:rPr>
          <w:t>Ohio law and PUCO precedent do not permit, authorize, or support the use of banked savings in calculating the shared savings mechanism.</w:t>
        </w:r>
        <w:r w:rsidR="00843D06">
          <w:rPr>
            <w:noProof/>
            <w:webHidden/>
          </w:rPr>
          <w:tab/>
        </w:r>
        <w:r w:rsidR="00843D06">
          <w:rPr>
            <w:noProof/>
            <w:webHidden/>
          </w:rPr>
          <w:fldChar w:fldCharType="begin"/>
        </w:r>
        <w:r w:rsidR="00843D06">
          <w:rPr>
            <w:noProof/>
            <w:webHidden/>
          </w:rPr>
          <w:instrText xml:space="preserve"> PAGEREF _Toc427923434 \h </w:instrText>
        </w:r>
        <w:r w:rsidR="00843D06">
          <w:rPr>
            <w:noProof/>
            <w:webHidden/>
          </w:rPr>
        </w:r>
        <w:r w:rsidR="00843D06">
          <w:rPr>
            <w:noProof/>
            <w:webHidden/>
          </w:rPr>
          <w:fldChar w:fldCharType="separate"/>
        </w:r>
        <w:r w:rsidR="005D7C60">
          <w:rPr>
            <w:noProof/>
            <w:webHidden/>
          </w:rPr>
          <w:t>19</w:t>
        </w:r>
        <w:r w:rsidR="00843D06">
          <w:rPr>
            <w:noProof/>
            <w:webHidden/>
          </w:rPr>
          <w:fldChar w:fldCharType="end"/>
        </w:r>
      </w:hyperlink>
    </w:p>
    <w:p w:rsidR="00843D06" w:rsidRDefault="00ED573D">
      <w:pPr>
        <w:pStyle w:val="TOC3"/>
        <w:tabs>
          <w:tab w:val="left" w:pos="2160"/>
          <w:tab w:val="right" w:leader="dot" w:pos="8630"/>
        </w:tabs>
        <w:rPr>
          <w:rFonts w:asciiTheme="minorHAnsi" w:eastAsiaTheme="minorEastAsia" w:hAnsiTheme="minorHAnsi"/>
          <w:noProof/>
          <w:sz w:val="22"/>
        </w:rPr>
      </w:pPr>
      <w:hyperlink w:anchor="_Toc427923435" w:history="1">
        <w:r w:rsidR="00843D06" w:rsidRPr="00A30C27">
          <w:rPr>
            <w:rStyle w:val="Hyperlink"/>
            <w:noProof/>
          </w:rPr>
          <w:t>2.</w:t>
        </w:r>
        <w:r w:rsidR="00843D06">
          <w:rPr>
            <w:rFonts w:asciiTheme="minorHAnsi" w:eastAsiaTheme="minorEastAsia" w:hAnsiTheme="minorHAnsi"/>
            <w:noProof/>
            <w:sz w:val="22"/>
          </w:rPr>
          <w:tab/>
        </w:r>
        <w:r w:rsidR="00843D06" w:rsidRPr="00A30C27">
          <w:rPr>
            <w:rStyle w:val="Hyperlink"/>
            <w:noProof/>
          </w:rPr>
          <w:t>Neither public policy nor the record in this case supports the use of banked savings for purposes of calculating the shared savings incentive.</w:t>
        </w:r>
        <w:r w:rsidR="00843D06">
          <w:rPr>
            <w:noProof/>
            <w:webHidden/>
          </w:rPr>
          <w:tab/>
        </w:r>
        <w:r w:rsidR="00843D06">
          <w:rPr>
            <w:noProof/>
            <w:webHidden/>
          </w:rPr>
          <w:fldChar w:fldCharType="begin"/>
        </w:r>
        <w:r w:rsidR="00843D06">
          <w:rPr>
            <w:noProof/>
            <w:webHidden/>
          </w:rPr>
          <w:instrText xml:space="preserve"> PAGEREF _Toc427923435 \h </w:instrText>
        </w:r>
        <w:r w:rsidR="00843D06">
          <w:rPr>
            <w:noProof/>
            <w:webHidden/>
          </w:rPr>
        </w:r>
        <w:r w:rsidR="00843D06">
          <w:rPr>
            <w:noProof/>
            <w:webHidden/>
          </w:rPr>
          <w:fldChar w:fldCharType="separate"/>
        </w:r>
        <w:r w:rsidR="005D7C60">
          <w:rPr>
            <w:noProof/>
            <w:webHidden/>
          </w:rPr>
          <w:t>23</w:t>
        </w:r>
        <w:r w:rsidR="00843D06">
          <w:rPr>
            <w:noProof/>
            <w:webHidden/>
          </w:rPr>
          <w:fldChar w:fldCharType="end"/>
        </w:r>
      </w:hyperlink>
    </w:p>
    <w:p w:rsidR="00843D06" w:rsidRDefault="00ED573D">
      <w:pPr>
        <w:pStyle w:val="TOC2"/>
        <w:tabs>
          <w:tab w:val="left" w:pos="1440"/>
        </w:tabs>
        <w:rPr>
          <w:rFonts w:asciiTheme="minorHAnsi" w:eastAsiaTheme="minorEastAsia" w:hAnsiTheme="minorHAnsi"/>
          <w:noProof/>
          <w:sz w:val="22"/>
        </w:rPr>
      </w:pPr>
      <w:hyperlink w:anchor="_Toc427923436" w:history="1">
        <w:r w:rsidR="00843D06" w:rsidRPr="00A30C27">
          <w:rPr>
            <w:rStyle w:val="Hyperlink"/>
            <w:noProof/>
          </w:rPr>
          <w:t>D.</w:t>
        </w:r>
        <w:r w:rsidR="00843D06">
          <w:rPr>
            <w:rFonts w:asciiTheme="minorHAnsi" w:eastAsiaTheme="minorEastAsia" w:hAnsiTheme="minorHAnsi"/>
            <w:noProof/>
            <w:sz w:val="22"/>
          </w:rPr>
          <w:tab/>
        </w:r>
        <w:r w:rsidR="00843D06" w:rsidRPr="00A30C27">
          <w:rPr>
            <w:rStyle w:val="Hyperlink"/>
            <w:noProof/>
          </w:rPr>
          <w:t>OEG’s recommendation on savings below the benchmark should be adopted to protect consumers.</w:t>
        </w:r>
        <w:r w:rsidR="00843D06">
          <w:rPr>
            <w:noProof/>
            <w:webHidden/>
          </w:rPr>
          <w:tab/>
        </w:r>
        <w:r w:rsidR="00843D06">
          <w:rPr>
            <w:noProof/>
            <w:webHidden/>
          </w:rPr>
          <w:fldChar w:fldCharType="begin"/>
        </w:r>
        <w:r w:rsidR="00843D06">
          <w:rPr>
            <w:noProof/>
            <w:webHidden/>
          </w:rPr>
          <w:instrText xml:space="preserve"> PAGEREF _Toc427923436 \h </w:instrText>
        </w:r>
        <w:r w:rsidR="00843D06">
          <w:rPr>
            <w:noProof/>
            <w:webHidden/>
          </w:rPr>
        </w:r>
        <w:r w:rsidR="00843D06">
          <w:rPr>
            <w:noProof/>
            <w:webHidden/>
          </w:rPr>
          <w:fldChar w:fldCharType="separate"/>
        </w:r>
        <w:r w:rsidR="005D7C60">
          <w:rPr>
            <w:noProof/>
            <w:webHidden/>
          </w:rPr>
          <w:t>27</w:t>
        </w:r>
        <w:r w:rsidR="00843D06">
          <w:rPr>
            <w:noProof/>
            <w:webHidden/>
          </w:rPr>
          <w:fldChar w:fldCharType="end"/>
        </w:r>
      </w:hyperlink>
    </w:p>
    <w:p w:rsidR="00843D06" w:rsidRDefault="00ED573D">
      <w:pPr>
        <w:pStyle w:val="TOC1"/>
        <w:rPr>
          <w:rFonts w:asciiTheme="minorHAnsi" w:eastAsiaTheme="minorEastAsia" w:hAnsiTheme="minorHAnsi"/>
          <w:noProof/>
          <w:sz w:val="22"/>
        </w:rPr>
      </w:pPr>
      <w:hyperlink w:anchor="_Toc427923437" w:history="1">
        <w:r w:rsidR="00843D06" w:rsidRPr="00A30C27">
          <w:rPr>
            <w:rStyle w:val="Hyperlink"/>
            <w:noProof/>
          </w:rPr>
          <w:t>IV.</w:t>
        </w:r>
        <w:r w:rsidR="00843D06">
          <w:rPr>
            <w:rFonts w:asciiTheme="minorHAnsi" w:eastAsiaTheme="minorEastAsia" w:hAnsiTheme="minorHAnsi"/>
            <w:noProof/>
            <w:sz w:val="22"/>
          </w:rPr>
          <w:tab/>
        </w:r>
        <w:r w:rsidR="00843D06" w:rsidRPr="00A30C27">
          <w:rPr>
            <w:rStyle w:val="Hyperlink"/>
            <w:noProof/>
          </w:rPr>
          <w:t>CONCLUSION</w:t>
        </w:r>
        <w:r w:rsidR="00843D06">
          <w:rPr>
            <w:noProof/>
            <w:webHidden/>
          </w:rPr>
          <w:tab/>
        </w:r>
        <w:r w:rsidR="00843D06">
          <w:rPr>
            <w:noProof/>
            <w:webHidden/>
          </w:rPr>
          <w:fldChar w:fldCharType="begin"/>
        </w:r>
        <w:r w:rsidR="00843D06">
          <w:rPr>
            <w:noProof/>
            <w:webHidden/>
          </w:rPr>
          <w:instrText xml:space="preserve"> PAGEREF _Toc427923437 \h </w:instrText>
        </w:r>
        <w:r w:rsidR="00843D06">
          <w:rPr>
            <w:noProof/>
            <w:webHidden/>
          </w:rPr>
        </w:r>
        <w:r w:rsidR="00843D06">
          <w:rPr>
            <w:noProof/>
            <w:webHidden/>
          </w:rPr>
          <w:fldChar w:fldCharType="separate"/>
        </w:r>
        <w:r w:rsidR="005D7C60">
          <w:rPr>
            <w:noProof/>
            <w:webHidden/>
          </w:rPr>
          <w:t>28</w:t>
        </w:r>
        <w:r w:rsidR="00843D06">
          <w:rPr>
            <w:noProof/>
            <w:webHidden/>
          </w:rPr>
          <w:fldChar w:fldCharType="end"/>
        </w:r>
      </w:hyperlink>
    </w:p>
    <w:p w:rsidR="00AB49FB" w:rsidRDefault="00AB49FB" w:rsidP="008C1F4E">
      <w:pPr>
        <w:pStyle w:val="ListParagraph"/>
        <w:tabs>
          <w:tab w:val="decimal" w:leader="dot" w:pos="8640"/>
        </w:tabs>
        <w:spacing w:after="0" w:line="480" w:lineRule="auto"/>
        <w:ind w:left="0" w:right="720"/>
        <w:rPr>
          <w:rFonts w:ascii="Times New Roman" w:hAnsi="Times New Roman" w:cs="Times New Roman"/>
          <w:b/>
          <w:sz w:val="24"/>
          <w:szCs w:val="24"/>
        </w:rPr>
      </w:pPr>
      <w:r>
        <w:rPr>
          <w:rFonts w:ascii="Times New Roman" w:hAnsi="Times New Roman" w:cs="Times New Roman"/>
          <w:b/>
          <w:sz w:val="24"/>
          <w:szCs w:val="24"/>
        </w:rPr>
        <w:fldChar w:fldCharType="end"/>
      </w:r>
    </w:p>
    <w:p w:rsidR="00AB49FB" w:rsidRDefault="00AB49FB" w:rsidP="001D29E8">
      <w:pPr>
        <w:pStyle w:val="ListParagraph"/>
        <w:spacing w:after="0" w:line="480" w:lineRule="auto"/>
        <w:ind w:left="1080"/>
        <w:jc w:val="center"/>
        <w:rPr>
          <w:rFonts w:ascii="Times New Roman" w:hAnsi="Times New Roman" w:cs="Times New Roman"/>
          <w:b/>
          <w:sz w:val="24"/>
          <w:szCs w:val="24"/>
        </w:rPr>
      </w:pPr>
    </w:p>
    <w:p w:rsidR="00F32156" w:rsidRDefault="00F32156" w:rsidP="001D29E8">
      <w:pPr>
        <w:pStyle w:val="ListParagraph"/>
        <w:spacing w:after="0" w:line="480" w:lineRule="auto"/>
        <w:ind w:left="1080"/>
        <w:jc w:val="center"/>
        <w:rPr>
          <w:rFonts w:ascii="Times New Roman" w:hAnsi="Times New Roman" w:cs="Times New Roman"/>
          <w:b/>
          <w:sz w:val="24"/>
          <w:szCs w:val="24"/>
        </w:rPr>
        <w:sectPr w:rsidR="00F32156" w:rsidSect="001D29E8">
          <w:headerReference w:type="default" r:id="rId16"/>
          <w:footerReference w:type="default" r:id="rId17"/>
          <w:pgSz w:w="12240" w:h="15840"/>
          <w:pgMar w:top="1440" w:right="1800" w:bottom="1440" w:left="1800" w:header="720" w:footer="720" w:gutter="0"/>
          <w:pgNumType w:fmt="lowerRoman" w:start="1"/>
          <w:cols w:space="720"/>
          <w:docGrid w:linePitch="360"/>
        </w:sectPr>
      </w:pPr>
    </w:p>
    <w:p w:rsidR="000B1CA3" w:rsidRPr="003D0923" w:rsidRDefault="000B1CA3" w:rsidP="000B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r w:rsidRPr="003D0923">
        <w:rPr>
          <w:rFonts w:ascii="Times New Roman" w:eastAsia="Courier New" w:hAnsi="Times New Roman" w:cs="Courier New"/>
          <w:b/>
          <w:bCs/>
          <w:sz w:val="24"/>
          <w:szCs w:val="20"/>
        </w:rPr>
        <w:t>BEFORE</w:t>
      </w:r>
    </w:p>
    <w:p w:rsidR="000B1CA3" w:rsidRPr="003D0923" w:rsidRDefault="000B1CA3" w:rsidP="000B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0B1CA3" w:rsidRPr="003D0923" w:rsidRDefault="000B1CA3" w:rsidP="000B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092" w:type="dxa"/>
        <w:tblLook w:val="01E0" w:firstRow="1" w:lastRow="1" w:firstColumn="1" w:lastColumn="1" w:noHBand="0" w:noVBand="0"/>
      </w:tblPr>
      <w:tblGrid>
        <w:gridCol w:w="4332"/>
        <w:gridCol w:w="360"/>
        <w:gridCol w:w="4400"/>
      </w:tblGrid>
      <w:tr w:rsidR="000B1CA3" w:rsidRPr="003D0923" w:rsidTr="00D80ABE">
        <w:trPr>
          <w:trHeight w:val="807"/>
        </w:trPr>
        <w:tc>
          <w:tcPr>
            <w:tcW w:w="4332" w:type="dxa"/>
            <w:shd w:val="clear" w:color="auto" w:fill="auto"/>
          </w:tcPr>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3D0923">
              <w:rPr>
                <w:rFonts w:ascii="Times New Roman" w:eastAsia="Courier New" w:hAnsi="Times New Roman" w:cs="Times New Roman"/>
                <w:sz w:val="24"/>
                <w:szCs w:val="24"/>
              </w:rPr>
              <w:t>In the Matter of the Application of Duke Energy Ohio, Inc., for Approval to Continue Cost Recovery Mechanism for Energy Efficiency Programs Through 2016.</w:t>
            </w:r>
          </w:p>
        </w:tc>
        <w:tc>
          <w:tcPr>
            <w:tcW w:w="360" w:type="dxa"/>
            <w:shd w:val="clear" w:color="auto" w:fill="auto"/>
          </w:tcPr>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tc>
        <w:tc>
          <w:tcPr>
            <w:tcW w:w="4400" w:type="dxa"/>
            <w:shd w:val="clear" w:color="auto" w:fill="auto"/>
          </w:tcPr>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947EE6" w:rsidRDefault="00947EE6"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Case No. 14-1580-EL-RDR</w:t>
            </w: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0B1CA3" w:rsidRPr="003D0923" w:rsidRDefault="000B1CA3" w:rsidP="00D80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0B1CA3" w:rsidRPr="003D0923" w:rsidRDefault="000B1CA3" w:rsidP="000B1CA3">
      <w:pPr>
        <w:pBdr>
          <w:bottom w:val="single" w:sz="12" w:space="1" w:color="auto"/>
        </w:pBdr>
        <w:spacing w:after="0" w:line="240" w:lineRule="auto"/>
        <w:rPr>
          <w:rFonts w:ascii="Times New Roman" w:eastAsia="Times New Roman" w:hAnsi="Times New Roman" w:cs="Times New Roman"/>
          <w:sz w:val="24"/>
          <w:szCs w:val="24"/>
        </w:rPr>
      </w:pPr>
    </w:p>
    <w:p w:rsidR="000B1CA3" w:rsidRPr="003D0923" w:rsidRDefault="000B1CA3" w:rsidP="000B1CA3">
      <w:pPr>
        <w:spacing w:after="0" w:line="240" w:lineRule="auto"/>
        <w:rPr>
          <w:rFonts w:ascii="Times New Roman" w:eastAsia="Times New Roman" w:hAnsi="Times New Roman" w:cs="Times New Roman"/>
          <w:sz w:val="24"/>
          <w:szCs w:val="24"/>
        </w:rPr>
      </w:pPr>
    </w:p>
    <w:p w:rsidR="000B1CA3" w:rsidRPr="003D0923" w:rsidRDefault="000B1CA3" w:rsidP="000B1C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POST-HEARING BRIEF</w:t>
      </w:r>
    </w:p>
    <w:p w:rsidR="000B1CA3" w:rsidRPr="003D0923" w:rsidRDefault="000B1CA3" w:rsidP="000B1CA3">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0B1CA3" w:rsidRPr="003D0923" w:rsidRDefault="000B1CA3" w:rsidP="000B1CA3">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0B1CA3" w:rsidRPr="003D0923" w:rsidRDefault="000B1CA3" w:rsidP="000B1CA3">
      <w:pPr>
        <w:pBdr>
          <w:bottom w:val="single" w:sz="12" w:space="1" w:color="auto"/>
        </w:pBdr>
        <w:spacing w:after="0" w:line="240" w:lineRule="auto"/>
        <w:jc w:val="center"/>
        <w:rPr>
          <w:rFonts w:ascii="Times New Roman" w:eastAsia="Times New Roman" w:hAnsi="Times New Roman" w:cs="Times New Roman"/>
          <w:sz w:val="24"/>
          <w:szCs w:val="24"/>
        </w:rPr>
      </w:pPr>
    </w:p>
    <w:p w:rsidR="000B1CA3" w:rsidRPr="003D0923" w:rsidRDefault="000B1CA3" w:rsidP="000B1CA3">
      <w:pPr>
        <w:spacing w:after="0" w:line="240" w:lineRule="auto"/>
        <w:rPr>
          <w:rFonts w:ascii="Times New Roman" w:eastAsia="Times New Roman" w:hAnsi="Times New Roman" w:cs="Times New Roman"/>
          <w:b/>
          <w:sz w:val="24"/>
          <w:szCs w:val="24"/>
        </w:rPr>
      </w:pPr>
    </w:p>
    <w:p w:rsidR="00404D46" w:rsidRPr="00AF2FBC" w:rsidRDefault="00386DE2" w:rsidP="00386DE2">
      <w:pPr>
        <w:pStyle w:val="Heading1"/>
      </w:pPr>
      <w:bookmarkStart w:id="1" w:name="_Toc426990910"/>
      <w:bookmarkStart w:id="2" w:name="_Toc427923425"/>
      <w:r>
        <w:t>I.</w:t>
      </w:r>
      <w:r>
        <w:tab/>
      </w:r>
      <w:r w:rsidR="006B7692" w:rsidRPr="00AF2FBC">
        <w:t>INTRODUCTION</w:t>
      </w:r>
      <w:bookmarkEnd w:id="1"/>
      <w:bookmarkEnd w:id="2"/>
    </w:p>
    <w:p w:rsidR="00DF65CA" w:rsidRDefault="003112C8" w:rsidP="00AD5944">
      <w:pPr>
        <w:autoSpaceDE w:val="0"/>
        <w:autoSpaceDN w:val="0"/>
        <w:adjustRightInd w:val="0"/>
        <w:spacing w:after="0" w:line="480" w:lineRule="auto"/>
        <w:ind w:firstLine="720"/>
        <w:rPr>
          <w:rFonts w:ascii="Times New Roman" w:hAnsi="Times New Roman" w:cs="Times New Roman"/>
          <w:sz w:val="24"/>
          <w:szCs w:val="24"/>
        </w:rPr>
      </w:pPr>
      <w:r w:rsidRPr="00AF2FBC">
        <w:rPr>
          <w:rFonts w:ascii="Times New Roman" w:hAnsi="Times New Roman" w:cs="Times New Roman"/>
          <w:sz w:val="24"/>
          <w:szCs w:val="24"/>
        </w:rPr>
        <w:t>A key opportunity for consumer protection—that was negotiated in a November 2011 settlement—will be resolved in this case where millions of dollars in potential utility charges to customers are at stake for the year 2016.</w:t>
      </w:r>
      <w:r w:rsidRPr="00AF2FBC">
        <w:rPr>
          <w:rStyle w:val="FootnoteReference"/>
          <w:rFonts w:ascii="Times New Roman" w:hAnsi="Times New Roman" w:cs="Times New Roman"/>
          <w:sz w:val="24"/>
          <w:szCs w:val="24"/>
        </w:rPr>
        <w:footnoteReference w:id="1"/>
      </w:r>
      <w:r w:rsidRPr="00AF2FBC">
        <w:rPr>
          <w:rFonts w:ascii="Times New Roman" w:hAnsi="Times New Roman" w:cs="Times New Roman"/>
          <w:sz w:val="24"/>
          <w:szCs w:val="24"/>
        </w:rPr>
        <w:t xml:space="preserve"> </w:t>
      </w:r>
      <w:r w:rsidR="009F6699">
        <w:rPr>
          <w:rFonts w:ascii="Times New Roman" w:hAnsi="Times New Roman" w:cs="Times New Roman"/>
          <w:sz w:val="24"/>
          <w:szCs w:val="24"/>
        </w:rPr>
        <w:t xml:space="preserve"> </w:t>
      </w:r>
      <w:r w:rsidR="00F2107C">
        <w:rPr>
          <w:rFonts w:ascii="Times New Roman" w:hAnsi="Times New Roman" w:cs="Times New Roman"/>
          <w:sz w:val="24"/>
          <w:szCs w:val="24"/>
        </w:rPr>
        <w:t xml:space="preserve">The Public Utilities Commission of Ohio (“PUCO”) will determine how little or how much customers might pay to Duke Energy Ohio (“Duke” or “Utility”) for energy efficiency in 2016.  The </w:t>
      </w:r>
      <w:r>
        <w:rPr>
          <w:rFonts w:ascii="Times New Roman" w:hAnsi="Times New Roman" w:cs="Times New Roman"/>
          <w:sz w:val="24"/>
          <w:szCs w:val="24"/>
        </w:rPr>
        <w:t>PUCO has the opportunity to reign in Duke’s exorbitant incentive awards, and set a more balanced framework for 2016 and beyond.  The Office of the Ohio Consumers’ Counsel (“OCC”)</w:t>
      </w:r>
      <w:r w:rsidR="006B7692" w:rsidRPr="00AF2FBC">
        <w:rPr>
          <w:rFonts w:ascii="Times New Roman" w:hAnsi="Times New Roman" w:cs="Times New Roman"/>
          <w:sz w:val="24"/>
          <w:szCs w:val="24"/>
        </w:rPr>
        <w:t xml:space="preserve">, recommends that the PUCO reject the Utility’s request to continue </w:t>
      </w:r>
      <w:r w:rsidR="00A201F9">
        <w:rPr>
          <w:rFonts w:ascii="Times New Roman" w:hAnsi="Times New Roman" w:cs="Times New Roman"/>
          <w:sz w:val="24"/>
          <w:szCs w:val="24"/>
        </w:rPr>
        <w:t>the existing</w:t>
      </w:r>
      <w:r w:rsidR="006B7692" w:rsidRPr="00AF2FBC">
        <w:rPr>
          <w:rFonts w:ascii="Times New Roman" w:hAnsi="Times New Roman" w:cs="Times New Roman"/>
          <w:sz w:val="24"/>
          <w:szCs w:val="24"/>
        </w:rPr>
        <w:t xml:space="preserve"> shared savings incentive </w:t>
      </w:r>
      <w:r w:rsidR="00A201F9">
        <w:rPr>
          <w:rFonts w:ascii="Times New Roman" w:hAnsi="Times New Roman" w:cs="Times New Roman"/>
          <w:sz w:val="24"/>
          <w:szCs w:val="24"/>
        </w:rPr>
        <w:t xml:space="preserve">mechanism </w:t>
      </w:r>
      <w:r w:rsidR="006B7692" w:rsidRPr="00AF2FBC">
        <w:rPr>
          <w:rFonts w:ascii="Times New Roman" w:hAnsi="Times New Roman" w:cs="Times New Roman"/>
          <w:sz w:val="24"/>
          <w:szCs w:val="24"/>
        </w:rPr>
        <w:t xml:space="preserve">into 2016 without significant modifications. </w:t>
      </w:r>
      <w:r w:rsidR="0053413A" w:rsidRPr="00AF2FBC">
        <w:rPr>
          <w:rFonts w:ascii="Times New Roman" w:hAnsi="Times New Roman" w:cs="Times New Roman"/>
          <w:sz w:val="24"/>
          <w:szCs w:val="24"/>
        </w:rPr>
        <w:t>Incentive awards, like shared savings, should be provided to utilities</w:t>
      </w:r>
      <w:r w:rsidR="00AF2FBC">
        <w:rPr>
          <w:rFonts w:ascii="Times New Roman" w:hAnsi="Times New Roman" w:cs="Times New Roman"/>
          <w:sz w:val="24"/>
          <w:szCs w:val="24"/>
        </w:rPr>
        <w:t xml:space="preserve"> for exemplary performance - but Duke</w:t>
      </w:r>
      <w:r w:rsidR="0053413A" w:rsidRPr="00AF2FBC">
        <w:rPr>
          <w:rFonts w:ascii="Times New Roman" w:hAnsi="Times New Roman" w:cs="Times New Roman"/>
          <w:sz w:val="24"/>
          <w:szCs w:val="24"/>
        </w:rPr>
        <w:t xml:space="preserve"> has failed to meet </w:t>
      </w:r>
      <w:r w:rsidR="003D0923">
        <w:rPr>
          <w:rFonts w:ascii="Times New Roman" w:hAnsi="Times New Roman" w:cs="Times New Roman"/>
          <w:sz w:val="24"/>
          <w:szCs w:val="24"/>
        </w:rPr>
        <w:t>Ohio’s</w:t>
      </w:r>
      <w:r w:rsidR="0053413A" w:rsidRPr="00AF2FBC">
        <w:rPr>
          <w:rFonts w:ascii="Times New Roman" w:hAnsi="Times New Roman" w:cs="Times New Roman"/>
          <w:sz w:val="24"/>
          <w:szCs w:val="24"/>
        </w:rPr>
        <w:t xml:space="preserve"> energy efficiency </w:t>
      </w:r>
      <w:r w:rsidR="00D80ABE">
        <w:rPr>
          <w:rFonts w:ascii="Times New Roman" w:hAnsi="Times New Roman" w:cs="Times New Roman"/>
          <w:sz w:val="24"/>
          <w:szCs w:val="24"/>
        </w:rPr>
        <w:t>compliance benchmarks since 2012 without the use of banked savings (or savings earned in past years)</w:t>
      </w:r>
      <w:r w:rsidR="0053413A" w:rsidRPr="00AF2FBC">
        <w:rPr>
          <w:rFonts w:ascii="Times New Roman" w:hAnsi="Times New Roman" w:cs="Times New Roman"/>
          <w:sz w:val="24"/>
          <w:szCs w:val="24"/>
        </w:rPr>
        <w:t>.</w:t>
      </w:r>
      <w:r w:rsidR="0053413A" w:rsidRPr="00AF2FBC">
        <w:rPr>
          <w:rStyle w:val="FootnoteReference"/>
          <w:rFonts w:ascii="Times New Roman" w:hAnsi="Times New Roman" w:cs="Times New Roman"/>
          <w:sz w:val="24"/>
          <w:szCs w:val="24"/>
        </w:rPr>
        <w:footnoteReference w:id="2"/>
      </w:r>
      <w:r w:rsidR="005F6B2A">
        <w:rPr>
          <w:rFonts w:ascii="Times New Roman" w:hAnsi="Times New Roman" w:cs="Times New Roman"/>
          <w:sz w:val="24"/>
          <w:szCs w:val="24"/>
        </w:rPr>
        <w:t xml:space="preserve"> An energy efficiency incentive should motivate a utility to go above the required compliance levels</w:t>
      </w:r>
      <w:r w:rsidR="003D308F">
        <w:rPr>
          <w:rFonts w:ascii="Times New Roman" w:hAnsi="Times New Roman" w:cs="Times New Roman"/>
          <w:sz w:val="24"/>
          <w:szCs w:val="24"/>
        </w:rPr>
        <w:t xml:space="preserve">.  But </w:t>
      </w:r>
      <w:r w:rsidR="005F6B2A">
        <w:rPr>
          <w:rFonts w:ascii="Times New Roman" w:hAnsi="Times New Roman" w:cs="Times New Roman"/>
          <w:sz w:val="24"/>
          <w:szCs w:val="24"/>
        </w:rPr>
        <w:t>the shared savings mechanism previously approved for Duke is not accomplishing this goal.</w:t>
      </w:r>
      <w:r w:rsidR="00DF65CA">
        <w:rPr>
          <w:rFonts w:ascii="Times New Roman" w:hAnsi="Times New Roman" w:cs="Times New Roman"/>
          <w:sz w:val="24"/>
          <w:szCs w:val="24"/>
        </w:rPr>
        <w:t xml:space="preserve"> </w:t>
      </w:r>
      <w:r w:rsidR="00DF65CA">
        <w:rPr>
          <w:rFonts w:ascii="Times New Roman" w:hAnsi="Times New Roman" w:cs="Times New Roman"/>
          <w:sz w:val="24"/>
          <w:szCs w:val="24"/>
        </w:rPr>
        <w:tab/>
      </w:r>
    </w:p>
    <w:p w:rsidR="006B7692" w:rsidRDefault="006B7692" w:rsidP="00947EE6">
      <w:pPr>
        <w:autoSpaceDE w:val="0"/>
        <w:autoSpaceDN w:val="0"/>
        <w:adjustRightInd w:val="0"/>
        <w:spacing w:after="0" w:line="480" w:lineRule="auto"/>
        <w:ind w:firstLine="720"/>
        <w:rPr>
          <w:rFonts w:ascii="Times New Roman" w:hAnsi="Times New Roman" w:cs="Times New Roman"/>
          <w:sz w:val="24"/>
          <w:szCs w:val="24"/>
        </w:rPr>
      </w:pPr>
      <w:r w:rsidRPr="00AF2FBC">
        <w:rPr>
          <w:rFonts w:ascii="Times New Roman" w:hAnsi="Times New Roman" w:cs="Times New Roman"/>
          <w:sz w:val="24"/>
          <w:szCs w:val="24"/>
        </w:rPr>
        <w:t xml:space="preserve">OCC made several recommendations in this proceeding to protect consumers from exorbitant </w:t>
      </w:r>
      <w:r w:rsidR="005F6B2A">
        <w:rPr>
          <w:rFonts w:ascii="Times New Roman" w:hAnsi="Times New Roman" w:cs="Times New Roman"/>
          <w:sz w:val="24"/>
          <w:szCs w:val="24"/>
        </w:rPr>
        <w:t>incentive</w:t>
      </w:r>
      <w:r w:rsidRPr="00AF2FBC">
        <w:rPr>
          <w:rFonts w:ascii="Times New Roman" w:hAnsi="Times New Roman" w:cs="Times New Roman"/>
          <w:sz w:val="24"/>
          <w:szCs w:val="24"/>
        </w:rPr>
        <w:t xml:space="preserve"> charges.</w:t>
      </w:r>
      <w:r w:rsidR="0053413A" w:rsidRPr="00AF2FBC">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53413A" w:rsidRPr="00AF2FBC">
        <w:rPr>
          <w:rFonts w:ascii="Times New Roman" w:hAnsi="Times New Roman" w:cs="Times New Roman"/>
          <w:sz w:val="24"/>
          <w:szCs w:val="24"/>
        </w:rPr>
        <w:t>OCC recommends that an annual, hard-dollar cap on s</w:t>
      </w:r>
      <w:r w:rsidR="00FE4DED">
        <w:rPr>
          <w:rFonts w:ascii="Times New Roman" w:hAnsi="Times New Roman" w:cs="Times New Roman"/>
          <w:sz w:val="24"/>
          <w:szCs w:val="24"/>
        </w:rPr>
        <w:t>hared savings of no more than five percent</w:t>
      </w:r>
      <w:r w:rsidR="0053413A" w:rsidRPr="00AF2FBC">
        <w:rPr>
          <w:rFonts w:ascii="Times New Roman" w:hAnsi="Times New Roman" w:cs="Times New Roman"/>
          <w:sz w:val="24"/>
          <w:szCs w:val="24"/>
        </w:rPr>
        <w:t xml:space="preserve"> of actual prudent program spending, </w:t>
      </w:r>
      <w:r w:rsidR="00810CCA">
        <w:rPr>
          <w:rFonts w:ascii="Times New Roman" w:hAnsi="Times New Roman" w:cs="Times New Roman"/>
          <w:sz w:val="24"/>
          <w:szCs w:val="24"/>
        </w:rPr>
        <w:t xml:space="preserve">be imposed </w:t>
      </w:r>
      <w:r w:rsidR="0053413A" w:rsidRPr="00AF2FBC">
        <w:rPr>
          <w:rFonts w:ascii="Times New Roman" w:hAnsi="Times New Roman" w:cs="Times New Roman"/>
          <w:sz w:val="24"/>
          <w:szCs w:val="24"/>
        </w:rPr>
        <w:t>to protect consumers.</w:t>
      </w:r>
      <w:r w:rsidR="0053413A" w:rsidRPr="00AF2FBC">
        <w:rPr>
          <w:rStyle w:val="FootnoteReference"/>
          <w:rFonts w:ascii="Times New Roman" w:hAnsi="Times New Roman" w:cs="Times New Roman"/>
          <w:sz w:val="24"/>
          <w:szCs w:val="24"/>
        </w:rPr>
        <w:footnoteReference w:id="3"/>
      </w:r>
      <w:r w:rsidR="0053413A" w:rsidRPr="00AF2FBC">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FE4DED">
        <w:rPr>
          <w:rFonts w:ascii="Times New Roman" w:hAnsi="Times New Roman" w:cs="Times New Roman"/>
          <w:sz w:val="24"/>
          <w:szCs w:val="24"/>
        </w:rPr>
        <w:t>And, a</w:t>
      </w:r>
      <w:r w:rsidR="0053413A" w:rsidRPr="00AF2FBC">
        <w:rPr>
          <w:rFonts w:ascii="Times New Roman" w:hAnsi="Times New Roman" w:cs="Times New Roman"/>
          <w:sz w:val="24"/>
          <w:szCs w:val="24"/>
        </w:rPr>
        <w:t>ny incentive awarded to the Utility should also use the Total Resource Cost Test (“TRC”) net benefits rather than the Utility Cost Test (“UCT”) net benefits;</w:t>
      </w:r>
      <w:r w:rsidR="0053413A" w:rsidRPr="00AF2FBC">
        <w:rPr>
          <w:rStyle w:val="FootnoteReference"/>
          <w:rFonts w:ascii="Times New Roman" w:hAnsi="Times New Roman" w:cs="Times New Roman"/>
          <w:sz w:val="24"/>
          <w:szCs w:val="24"/>
        </w:rPr>
        <w:footnoteReference w:id="4"/>
      </w:r>
      <w:r w:rsidR="0053413A" w:rsidRPr="00AF2FBC">
        <w:rPr>
          <w:rFonts w:ascii="Times New Roman" w:hAnsi="Times New Roman" w:cs="Times New Roman"/>
          <w:sz w:val="24"/>
          <w:szCs w:val="24"/>
        </w:rPr>
        <w:t xml:space="preserve"> use net, rather than gross program savings;</w:t>
      </w:r>
      <w:r w:rsidR="0053413A" w:rsidRPr="00AF2FBC">
        <w:rPr>
          <w:rStyle w:val="FootnoteReference"/>
          <w:rFonts w:ascii="Times New Roman" w:hAnsi="Times New Roman" w:cs="Times New Roman"/>
          <w:sz w:val="24"/>
          <w:szCs w:val="24"/>
        </w:rPr>
        <w:footnoteReference w:id="5"/>
      </w:r>
      <w:r w:rsidR="0053413A" w:rsidRPr="00AF2FBC">
        <w:rPr>
          <w:rFonts w:ascii="Times New Roman" w:hAnsi="Times New Roman" w:cs="Times New Roman"/>
          <w:sz w:val="24"/>
          <w:szCs w:val="24"/>
        </w:rPr>
        <w:t xml:space="preserve"> and should be calculated on a pretax basis.</w:t>
      </w:r>
      <w:r w:rsidR="0053413A" w:rsidRPr="00AF2FBC">
        <w:rPr>
          <w:rStyle w:val="FootnoteReference"/>
          <w:rFonts w:ascii="Times New Roman" w:hAnsi="Times New Roman" w:cs="Times New Roman"/>
          <w:sz w:val="24"/>
          <w:szCs w:val="24"/>
        </w:rPr>
        <w:footnoteReference w:id="6"/>
      </w:r>
      <w:r w:rsidR="0053413A" w:rsidRPr="00AF2FBC">
        <w:rPr>
          <w:rFonts w:ascii="Times New Roman" w:hAnsi="Times New Roman" w:cs="Times New Roman"/>
          <w:sz w:val="24"/>
          <w:szCs w:val="24"/>
        </w:rPr>
        <w:t xml:space="preserve">  </w:t>
      </w:r>
      <w:r w:rsidR="00DF65CA">
        <w:rPr>
          <w:rFonts w:ascii="Times New Roman" w:hAnsi="Times New Roman" w:cs="Times New Roman"/>
          <w:sz w:val="24"/>
          <w:szCs w:val="24"/>
        </w:rPr>
        <w:t>T</w:t>
      </w:r>
      <w:r w:rsidR="0053413A" w:rsidRPr="00AF2FBC">
        <w:rPr>
          <w:rFonts w:ascii="Times New Roman" w:hAnsi="Times New Roman" w:cs="Times New Roman"/>
          <w:sz w:val="24"/>
          <w:szCs w:val="24"/>
        </w:rPr>
        <w:t>he PUCO s</w:t>
      </w:r>
      <w:r w:rsidR="00D80ABE">
        <w:rPr>
          <w:rFonts w:ascii="Times New Roman" w:hAnsi="Times New Roman" w:cs="Times New Roman"/>
          <w:sz w:val="24"/>
          <w:szCs w:val="24"/>
        </w:rPr>
        <w:t xml:space="preserve">hould </w:t>
      </w:r>
      <w:r w:rsidR="00DF65CA">
        <w:rPr>
          <w:rFonts w:ascii="Times New Roman" w:hAnsi="Times New Roman" w:cs="Times New Roman"/>
          <w:sz w:val="24"/>
          <w:szCs w:val="24"/>
        </w:rPr>
        <w:t xml:space="preserve">also </w:t>
      </w:r>
      <w:r w:rsidR="00D80ABE">
        <w:rPr>
          <w:rFonts w:ascii="Times New Roman" w:hAnsi="Times New Roman" w:cs="Times New Roman"/>
          <w:sz w:val="24"/>
          <w:szCs w:val="24"/>
        </w:rPr>
        <w:t>prohibit Duke from using banked</w:t>
      </w:r>
      <w:r w:rsidR="0053413A" w:rsidRPr="00AF2FBC">
        <w:rPr>
          <w:rFonts w:ascii="Times New Roman" w:hAnsi="Times New Roman" w:cs="Times New Roman"/>
          <w:sz w:val="24"/>
          <w:szCs w:val="24"/>
        </w:rPr>
        <w:t xml:space="preserve"> savings from previous years to attain higher incentive levels that will make customers pay more in 2016.</w:t>
      </w:r>
      <w:r w:rsidR="0053413A" w:rsidRPr="00AF2FBC">
        <w:rPr>
          <w:rStyle w:val="FootnoteReference"/>
          <w:rFonts w:ascii="Times New Roman" w:hAnsi="Times New Roman" w:cs="Times New Roman"/>
          <w:sz w:val="24"/>
          <w:szCs w:val="24"/>
        </w:rPr>
        <w:footnoteReference w:id="7"/>
      </w:r>
      <w:r w:rsidR="0053413A" w:rsidRPr="00AF2FBC">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53413A" w:rsidRPr="00AF2FBC">
        <w:rPr>
          <w:rFonts w:ascii="Times New Roman" w:hAnsi="Times New Roman" w:cs="Times New Roman"/>
          <w:sz w:val="24"/>
          <w:szCs w:val="24"/>
        </w:rPr>
        <w:t>Finally, OCC supports the Ohio Energy Group’s recommendation that no savings below the energy efficiency benchmark should count towards a shared savings incentive.</w:t>
      </w:r>
      <w:r w:rsidR="0053413A" w:rsidRPr="00AF2FBC">
        <w:rPr>
          <w:rStyle w:val="FootnoteReference"/>
          <w:rFonts w:ascii="Times New Roman" w:hAnsi="Times New Roman" w:cs="Times New Roman"/>
          <w:sz w:val="24"/>
          <w:szCs w:val="24"/>
        </w:rPr>
        <w:footnoteReference w:id="8"/>
      </w:r>
    </w:p>
    <w:p w:rsidR="006B7692" w:rsidRPr="00AF2FBC" w:rsidRDefault="00386DE2" w:rsidP="00386DE2">
      <w:pPr>
        <w:pStyle w:val="Heading1"/>
      </w:pPr>
      <w:bookmarkStart w:id="3" w:name="_Toc426990911"/>
      <w:bookmarkStart w:id="4" w:name="_Toc427923426"/>
      <w:r>
        <w:t>II.</w:t>
      </w:r>
      <w:r>
        <w:tab/>
      </w:r>
      <w:r w:rsidR="006B7692" w:rsidRPr="00AF2FBC">
        <w:t>BACKGROUND</w:t>
      </w:r>
      <w:bookmarkEnd w:id="3"/>
      <w:bookmarkEnd w:id="4"/>
    </w:p>
    <w:p w:rsidR="006B7692" w:rsidRPr="00AF2FBC" w:rsidRDefault="006B7692" w:rsidP="00947EE6">
      <w:pPr>
        <w:spacing w:after="0" w:line="480" w:lineRule="auto"/>
        <w:ind w:firstLine="720"/>
        <w:rPr>
          <w:rFonts w:ascii="Times New Roman" w:hAnsi="Times New Roman" w:cs="Times New Roman"/>
          <w:sz w:val="24"/>
          <w:szCs w:val="24"/>
        </w:rPr>
      </w:pPr>
      <w:r w:rsidRPr="00AF2FBC">
        <w:rPr>
          <w:rFonts w:ascii="Times New Roman" w:hAnsi="Times New Roman" w:cs="Times New Roman"/>
          <w:sz w:val="24"/>
          <w:szCs w:val="24"/>
        </w:rPr>
        <w:t xml:space="preserve">Duke’s application in this proceeding stems from Case No. 11-4393-EL-RDR (“11-4393”). </w:t>
      </w:r>
      <w:r w:rsidR="00481218">
        <w:rPr>
          <w:rFonts w:ascii="Times New Roman" w:hAnsi="Times New Roman" w:cs="Times New Roman"/>
          <w:sz w:val="24"/>
          <w:szCs w:val="24"/>
        </w:rPr>
        <w:t xml:space="preserve"> </w:t>
      </w:r>
      <w:r w:rsidR="000158DF">
        <w:rPr>
          <w:rFonts w:ascii="Times New Roman" w:hAnsi="Times New Roman" w:cs="Times New Roman"/>
          <w:sz w:val="24"/>
          <w:szCs w:val="24"/>
        </w:rPr>
        <w:t>In that case,</w:t>
      </w:r>
      <w:r w:rsidR="000158DF" w:rsidRPr="00AF2FBC">
        <w:rPr>
          <w:rFonts w:ascii="Times New Roman" w:hAnsi="Times New Roman" w:cs="Times New Roman"/>
          <w:sz w:val="24"/>
          <w:szCs w:val="24"/>
        </w:rPr>
        <w:t xml:space="preserve"> </w:t>
      </w:r>
      <w:r w:rsidRPr="00AF2FBC">
        <w:rPr>
          <w:rFonts w:ascii="Times New Roman" w:hAnsi="Times New Roman" w:cs="Times New Roman"/>
          <w:sz w:val="24"/>
          <w:szCs w:val="24"/>
        </w:rPr>
        <w:t xml:space="preserve">Duke filed an application for approval of an “energy efficiency cost recovery mechanism.” </w:t>
      </w:r>
      <w:r w:rsidR="00481218">
        <w:rPr>
          <w:rFonts w:ascii="Times New Roman" w:hAnsi="Times New Roman" w:cs="Times New Roman"/>
          <w:sz w:val="24"/>
          <w:szCs w:val="24"/>
        </w:rPr>
        <w:t xml:space="preserve"> </w:t>
      </w:r>
      <w:r w:rsidRPr="00AF2FBC">
        <w:rPr>
          <w:rFonts w:ascii="Times New Roman" w:hAnsi="Times New Roman" w:cs="Times New Roman"/>
          <w:sz w:val="24"/>
          <w:szCs w:val="24"/>
        </w:rPr>
        <w:t>As part of its application in that case, Duke included a request for a shared savings incentive.</w:t>
      </w:r>
      <w:r w:rsidRPr="00AF2FBC">
        <w:rPr>
          <w:rStyle w:val="FootnoteReference"/>
          <w:rFonts w:ascii="Times New Roman" w:hAnsi="Times New Roman" w:cs="Times New Roman"/>
          <w:sz w:val="24"/>
          <w:szCs w:val="24"/>
        </w:rPr>
        <w:footnoteReference w:id="9"/>
      </w:r>
      <w:r w:rsidRPr="00AF2FBC">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Pr="00AF2FBC">
        <w:rPr>
          <w:rFonts w:ascii="Times New Roman" w:hAnsi="Times New Roman" w:cs="Times New Roman"/>
          <w:sz w:val="24"/>
          <w:szCs w:val="24"/>
        </w:rPr>
        <w:t xml:space="preserve">Generally, a shared savings incentive is a tool that can be used by regulators to encourage </w:t>
      </w:r>
      <w:r w:rsidR="00A201F9">
        <w:rPr>
          <w:rFonts w:ascii="Times New Roman" w:hAnsi="Times New Roman" w:cs="Times New Roman"/>
          <w:sz w:val="24"/>
          <w:szCs w:val="24"/>
        </w:rPr>
        <w:t xml:space="preserve">utilities to invest in </w:t>
      </w:r>
      <w:r w:rsidRPr="00AF2FBC">
        <w:rPr>
          <w:rFonts w:ascii="Times New Roman" w:hAnsi="Times New Roman" w:cs="Times New Roman"/>
          <w:sz w:val="24"/>
          <w:szCs w:val="24"/>
        </w:rPr>
        <w:t xml:space="preserve">energy efficiency and reward exemplary </w:t>
      </w:r>
      <w:r w:rsidR="00A201F9">
        <w:rPr>
          <w:rFonts w:ascii="Times New Roman" w:hAnsi="Times New Roman" w:cs="Times New Roman"/>
          <w:sz w:val="24"/>
          <w:szCs w:val="24"/>
        </w:rPr>
        <w:t>u</w:t>
      </w:r>
      <w:r w:rsidRPr="00AF2FBC">
        <w:rPr>
          <w:rFonts w:ascii="Times New Roman" w:hAnsi="Times New Roman" w:cs="Times New Roman"/>
          <w:sz w:val="24"/>
          <w:szCs w:val="24"/>
        </w:rPr>
        <w:t xml:space="preserve">tility performance, to provide benefits to </w:t>
      </w:r>
      <w:r w:rsidRPr="00CA1B35">
        <w:rPr>
          <w:rFonts w:ascii="Times New Roman" w:hAnsi="Times New Roman" w:cs="Times New Roman"/>
          <w:sz w:val="24"/>
          <w:szCs w:val="24"/>
        </w:rPr>
        <w:t>customers.</w:t>
      </w:r>
      <w:r w:rsidR="003B09EF" w:rsidRPr="00CA1B35">
        <w:rPr>
          <w:rStyle w:val="FootnoteReference"/>
          <w:rFonts w:ascii="Times New Roman" w:hAnsi="Times New Roman" w:cs="Times New Roman"/>
          <w:sz w:val="24"/>
          <w:szCs w:val="24"/>
        </w:rPr>
        <w:footnoteReference w:id="10"/>
      </w:r>
      <w:r w:rsidRPr="00CA1B35">
        <w:rPr>
          <w:rFonts w:ascii="Times New Roman" w:hAnsi="Times New Roman" w:cs="Times New Roman"/>
          <w:sz w:val="24"/>
          <w:szCs w:val="24"/>
        </w:rPr>
        <w:t xml:space="preserve"> </w:t>
      </w:r>
    </w:p>
    <w:p w:rsidR="00D05D76" w:rsidRPr="00BA70E4" w:rsidRDefault="006B7692" w:rsidP="00D05D76">
      <w:pPr>
        <w:autoSpaceDE w:val="0"/>
        <w:autoSpaceDN w:val="0"/>
        <w:adjustRightInd w:val="0"/>
        <w:spacing w:after="0" w:line="480" w:lineRule="auto"/>
        <w:ind w:firstLine="720"/>
        <w:rPr>
          <w:rFonts w:ascii="Times New Roman" w:hAnsi="Times New Roman" w:cs="Times New Roman"/>
          <w:sz w:val="24"/>
          <w:szCs w:val="24"/>
        </w:rPr>
      </w:pPr>
      <w:r w:rsidRPr="00AF2FBC">
        <w:rPr>
          <w:rFonts w:ascii="Times New Roman" w:hAnsi="Times New Roman" w:cs="Times New Roman"/>
          <w:sz w:val="24"/>
          <w:szCs w:val="24"/>
        </w:rPr>
        <w:t>Duke’s Application in 11-4393 was resolved through a Stipulation, filed at the PUCO on November 18, 2011</w:t>
      </w:r>
      <w:r w:rsidR="00D05D76" w:rsidRPr="00BA70E4">
        <w:rPr>
          <w:rFonts w:ascii="Times New Roman" w:hAnsi="Times New Roman" w:cs="Times New Roman"/>
          <w:sz w:val="24"/>
          <w:szCs w:val="24"/>
        </w:rPr>
        <w:t>.</w:t>
      </w:r>
      <w:r w:rsidR="00D05D76" w:rsidRPr="00BA70E4">
        <w:rPr>
          <w:rStyle w:val="FootnoteReference"/>
          <w:rFonts w:ascii="Times New Roman" w:hAnsi="Times New Roman" w:cs="Times New Roman"/>
          <w:sz w:val="24"/>
          <w:szCs w:val="24"/>
        </w:rPr>
        <w:footnoteReference w:id="11"/>
      </w:r>
      <w:r w:rsidR="00D05D76" w:rsidRPr="00BA70E4">
        <w:rPr>
          <w:rFonts w:ascii="Times New Roman" w:hAnsi="Times New Roman" w:cs="Times New Roman"/>
          <w:sz w:val="24"/>
          <w:szCs w:val="24"/>
        </w:rPr>
        <w:t xml:space="preserve">  </w:t>
      </w:r>
      <w:r w:rsidR="003D308F">
        <w:rPr>
          <w:rFonts w:ascii="Times New Roman" w:hAnsi="Times New Roman" w:cs="Times New Roman"/>
          <w:sz w:val="24"/>
          <w:szCs w:val="24"/>
        </w:rPr>
        <w:t xml:space="preserve">OCC was a signatory party to that Stipulation. </w:t>
      </w:r>
      <w:r w:rsidR="00D05D76" w:rsidRPr="00BA70E4">
        <w:rPr>
          <w:rFonts w:ascii="Times New Roman" w:hAnsi="Times New Roman" w:cs="Times New Roman"/>
          <w:sz w:val="24"/>
          <w:szCs w:val="24"/>
        </w:rPr>
        <w:t xml:space="preserve">As established in that case, </w:t>
      </w:r>
      <w:r w:rsidR="00D05D76">
        <w:rPr>
          <w:rFonts w:ascii="Times New Roman" w:hAnsi="Times New Roman" w:cs="Times New Roman"/>
          <w:sz w:val="24"/>
          <w:szCs w:val="24"/>
        </w:rPr>
        <w:t>Duke was granted the ability to institute a shared savings</w:t>
      </w:r>
      <w:r w:rsidR="00D05D76" w:rsidRPr="00BA70E4">
        <w:rPr>
          <w:rFonts w:ascii="Times New Roman" w:hAnsi="Times New Roman" w:cs="Times New Roman"/>
          <w:sz w:val="24"/>
          <w:szCs w:val="24"/>
        </w:rPr>
        <w:t xml:space="preserve"> incentive mechanism </w:t>
      </w:r>
      <w:r w:rsidR="00D05D76">
        <w:rPr>
          <w:rFonts w:ascii="Times New Roman" w:hAnsi="Times New Roman" w:cs="Times New Roman"/>
          <w:sz w:val="24"/>
          <w:szCs w:val="24"/>
        </w:rPr>
        <w:t xml:space="preserve">with </w:t>
      </w:r>
      <w:r w:rsidR="00D05D76" w:rsidRPr="00BA70E4">
        <w:rPr>
          <w:rFonts w:ascii="Times New Roman" w:hAnsi="Times New Roman" w:cs="Times New Roman"/>
          <w:sz w:val="24"/>
          <w:szCs w:val="24"/>
        </w:rPr>
        <w:t>the following tiered structure:</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890"/>
        <w:gridCol w:w="1710"/>
      </w:tblGrid>
      <w:tr w:rsidR="00D05D76" w:rsidRPr="00BA70E4" w:rsidTr="00E80C58">
        <w:trPr>
          <w:jc w:val="center"/>
        </w:trPr>
        <w:tc>
          <w:tcPr>
            <w:tcW w:w="1163" w:type="dxa"/>
            <w:shd w:val="clear" w:color="auto" w:fill="000000"/>
          </w:tcPr>
          <w:p w:rsidR="00D05D76" w:rsidRPr="00BA70E4" w:rsidRDefault="00D05D76" w:rsidP="00E80C58">
            <w:pPr>
              <w:autoSpaceDE w:val="0"/>
              <w:autoSpaceDN w:val="0"/>
              <w:adjustRightInd w:val="0"/>
              <w:spacing w:after="0" w:line="240" w:lineRule="auto"/>
              <w:rPr>
                <w:rFonts w:ascii="Times New Roman" w:hAnsi="Times New Roman" w:cs="Times New Roman"/>
                <w:b/>
                <w:bCs/>
                <w:sz w:val="24"/>
                <w:szCs w:val="24"/>
              </w:rPr>
            </w:pPr>
            <w:r w:rsidRPr="00BA70E4">
              <w:rPr>
                <w:rFonts w:ascii="Times New Roman" w:hAnsi="Times New Roman" w:cs="Times New Roman"/>
                <w:b/>
                <w:bCs/>
                <w:sz w:val="24"/>
                <w:szCs w:val="24"/>
              </w:rPr>
              <w:t>Incentive Tier</w:t>
            </w:r>
          </w:p>
        </w:tc>
        <w:tc>
          <w:tcPr>
            <w:tcW w:w="1890" w:type="dxa"/>
            <w:shd w:val="clear" w:color="auto" w:fill="000000"/>
          </w:tcPr>
          <w:p w:rsidR="00D05D76" w:rsidRPr="00BA70E4" w:rsidRDefault="00D05D76" w:rsidP="00E80C58">
            <w:pPr>
              <w:autoSpaceDE w:val="0"/>
              <w:autoSpaceDN w:val="0"/>
              <w:adjustRightInd w:val="0"/>
              <w:spacing w:after="0" w:line="240" w:lineRule="auto"/>
              <w:rPr>
                <w:rFonts w:ascii="Times New Roman" w:hAnsi="Times New Roman" w:cs="Times New Roman"/>
                <w:b/>
                <w:bCs/>
                <w:sz w:val="24"/>
                <w:szCs w:val="24"/>
              </w:rPr>
            </w:pPr>
            <w:r w:rsidRPr="00BA70E4">
              <w:rPr>
                <w:rFonts w:ascii="Times New Roman" w:hAnsi="Times New Roman" w:cs="Times New Roman"/>
                <w:b/>
                <w:bCs/>
                <w:sz w:val="24"/>
                <w:szCs w:val="24"/>
              </w:rPr>
              <w:t>Compliance Percentage</w:t>
            </w:r>
          </w:p>
        </w:tc>
        <w:tc>
          <w:tcPr>
            <w:tcW w:w="1710" w:type="dxa"/>
            <w:shd w:val="clear" w:color="auto" w:fill="000000"/>
          </w:tcPr>
          <w:p w:rsidR="00D05D76" w:rsidRPr="00BA70E4" w:rsidRDefault="00D05D76" w:rsidP="00E80C58">
            <w:pPr>
              <w:autoSpaceDE w:val="0"/>
              <w:autoSpaceDN w:val="0"/>
              <w:adjustRightInd w:val="0"/>
              <w:spacing w:after="0" w:line="240" w:lineRule="auto"/>
              <w:rPr>
                <w:rFonts w:ascii="Times New Roman" w:hAnsi="Times New Roman" w:cs="Times New Roman"/>
                <w:b/>
                <w:bCs/>
                <w:sz w:val="24"/>
                <w:szCs w:val="24"/>
              </w:rPr>
            </w:pPr>
            <w:r w:rsidRPr="00BA70E4">
              <w:rPr>
                <w:rFonts w:ascii="Times New Roman" w:hAnsi="Times New Roman" w:cs="Times New Roman"/>
                <w:b/>
                <w:bCs/>
                <w:sz w:val="24"/>
                <w:szCs w:val="24"/>
              </w:rPr>
              <w:t>Incentive Percentage</w:t>
            </w:r>
          </w:p>
        </w:tc>
      </w:tr>
      <w:tr w:rsidR="00D05D76" w:rsidRPr="00BA70E4" w:rsidTr="00E80C58">
        <w:trPr>
          <w:jc w:val="center"/>
        </w:trPr>
        <w:tc>
          <w:tcPr>
            <w:tcW w:w="1163"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 xml:space="preserve">1 </w:t>
            </w:r>
          </w:p>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p>
        </w:tc>
        <w:tc>
          <w:tcPr>
            <w:tcW w:w="1890" w:type="dxa"/>
          </w:tcPr>
          <w:p w:rsidR="00D05D76" w:rsidRPr="00BA70E4" w:rsidRDefault="00D05D76" w:rsidP="00E80C58">
            <w:pPr>
              <w:autoSpaceDE w:val="0"/>
              <w:autoSpaceDN w:val="0"/>
              <w:adjustRightInd w:val="0"/>
              <w:spacing w:after="0" w:line="240" w:lineRule="auto"/>
              <w:rPr>
                <w:rFonts w:ascii="Times New Roman" w:hAnsi="Times New Roman" w:cs="Times New Roman"/>
                <w:sz w:val="24"/>
                <w:szCs w:val="24"/>
              </w:rPr>
            </w:pPr>
            <w:r w:rsidRPr="00BA70E4">
              <w:rPr>
                <w:rFonts w:ascii="Times New Roman" w:hAnsi="Times New Roman" w:cs="Times New Roman"/>
                <w:sz w:val="24"/>
                <w:szCs w:val="24"/>
              </w:rPr>
              <w:t>&lt; 100%</w:t>
            </w:r>
          </w:p>
        </w:tc>
        <w:tc>
          <w:tcPr>
            <w:tcW w:w="1710"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0.0%</w:t>
            </w:r>
          </w:p>
        </w:tc>
      </w:tr>
      <w:tr w:rsidR="00D05D76" w:rsidRPr="00BA70E4" w:rsidTr="00E80C58">
        <w:trPr>
          <w:jc w:val="center"/>
        </w:trPr>
        <w:tc>
          <w:tcPr>
            <w:tcW w:w="1163"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2</w:t>
            </w:r>
          </w:p>
        </w:tc>
        <w:tc>
          <w:tcPr>
            <w:tcW w:w="1890" w:type="dxa"/>
          </w:tcPr>
          <w:p w:rsidR="00D05D76" w:rsidRPr="00BA70E4" w:rsidRDefault="00D05D76" w:rsidP="00E80C58">
            <w:pPr>
              <w:autoSpaceDE w:val="0"/>
              <w:autoSpaceDN w:val="0"/>
              <w:adjustRightInd w:val="0"/>
              <w:spacing w:after="0" w:line="240" w:lineRule="auto"/>
              <w:rPr>
                <w:rFonts w:ascii="Times New Roman" w:hAnsi="Times New Roman" w:cs="Times New Roman"/>
                <w:sz w:val="24"/>
                <w:szCs w:val="24"/>
              </w:rPr>
            </w:pPr>
            <w:r w:rsidRPr="00BA70E4">
              <w:rPr>
                <w:rFonts w:ascii="Times New Roman" w:hAnsi="Times New Roman" w:cs="Times New Roman"/>
                <w:sz w:val="24"/>
                <w:szCs w:val="24"/>
              </w:rPr>
              <w:t>&gt;100-105%</w:t>
            </w:r>
          </w:p>
        </w:tc>
        <w:tc>
          <w:tcPr>
            <w:tcW w:w="1710"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5.0%</w:t>
            </w:r>
          </w:p>
        </w:tc>
      </w:tr>
      <w:tr w:rsidR="00D05D76" w:rsidRPr="00BA70E4" w:rsidTr="00E80C58">
        <w:trPr>
          <w:jc w:val="center"/>
        </w:trPr>
        <w:tc>
          <w:tcPr>
            <w:tcW w:w="1163"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3</w:t>
            </w:r>
          </w:p>
        </w:tc>
        <w:tc>
          <w:tcPr>
            <w:tcW w:w="1890" w:type="dxa"/>
          </w:tcPr>
          <w:p w:rsidR="00D05D76" w:rsidRPr="00BA70E4" w:rsidRDefault="00D05D76" w:rsidP="00E80C58">
            <w:pPr>
              <w:autoSpaceDE w:val="0"/>
              <w:autoSpaceDN w:val="0"/>
              <w:adjustRightInd w:val="0"/>
              <w:spacing w:after="0" w:line="240" w:lineRule="auto"/>
              <w:rPr>
                <w:rFonts w:ascii="Times New Roman" w:hAnsi="Times New Roman" w:cs="Times New Roman"/>
                <w:sz w:val="24"/>
                <w:szCs w:val="24"/>
              </w:rPr>
            </w:pPr>
            <w:r w:rsidRPr="00BA70E4">
              <w:rPr>
                <w:rFonts w:ascii="Times New Roman" w:hAnsi="Times New Roman" w:cs="Times New Roman"/>
                <w:sz w:val="24"/>
                <w:szCs w:val="24"/>
              </w:rPr>
              <w:t>&gt;105-110%</w:t>
            </w:r>
          </w:p>
        </w:tc>
        <w:tc>
          <w:tcPr>
            <w:tcW w:w="1710"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7.5%</w:t>
            </w:r>
          </w:p>
        </w:tc>
      </w:tr>
      <w:tr w:rsidR="00D05D76" w:rsidRPr="00BA70E4" w:rsidTr="00E80C58">
        <w:trPr>
          <w:jc w:val="center"/>
        </w:trPr>
        <w:tc>
          <w:tcPr>
            <w:tcW w:w="1163"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4</w:t>
            </w:r>
          </w:p>
        </w:tc>
        <w:tc>
          <w:tcPr>
            <w:tcW w:w="1890" w:type="dxa"/>
          </w:tcPr>
          <w:p w:rsidR="00D05D76" w:rsidRPr="00BA70E4" w:rsidRDefault="00D05D76" w:rsidP="00E80C58">
            <w:pPr>
              <w:autoSpaceDE w:val="0"/>
              <w:autoSpaceDN w:val="0"/>
              <w:adjustRightInd w:val="0"/>
              <w:spacing w:after="0" w:line="240" w:lineRule="auto"/>
              <w:rPr>
                <w:rFonts w:ascii="Times New Roman" w:hAnsi="Times New Roman" w:cs="Times New Roman"/>
                <w:sz w:val="24"/>
                <w:szCs w:val="24"/>
              </w:rPr>
            </w:pPr>
            <w:r w:rsidRPr="00BA70E4">
              <w:rPr>
                <w:rFonts w:ascii="Times New Roman" w:hAnsi="Times New Roman" w:cs="Times New Roman"/>
                <w:sz w:val="24"/>
                <w:szCs w:val="24"/>
              </w:rPr>
              <w:t>&gt; 110-115%</w:t>
            </w:r>
          </w:p>
        </w:tc>
        <w:tc>
          <w:tcPr>
            <w:tcW w:w="1710"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10.0%</w:t>
            </w:r>
          </w:p>
        </w:tc>
      </w:tr>
      <w:tr w:rsidR="00D05D76" w:rsidRPr="00BA70E4" w:rsidTr="00E80C58">
        <w:trPr>
          <w:trHeight w:val="269"/>
          <w:jc w:val="center"/>
        </w:trPr>
        <w:tc>
          <w:tcPr>
            <w:tcW w:w="1163"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5</w:t>
            </w:r>
          </w:p>
        </w:tc>
        <w:tc>
          <w:tcPr>
            <w:tcW w:w="1890" w:type="dxa"/>
          </w:tcPr>
          <w:p w:rsidR="00D05D76" w:rsidRPr="00BA70E4" w:rsidRDefault="00D05D76" w:rsidP="00E80C58">
            <w:pPr>
              <w:autoSpaceDE w:val="0"/>
              <w:autoSpaceDN w:val="0"/>
              <w:adjustRightInd w:val="0"/>
              <w:spacing w:after="0" w:line="240" w:lineRule="auto"/>
              <w:rPr>
                <w:rFonts w:ascii="Times New Roman" w:hAnsi="Times New Roman" w:cs="Times New Roman"/>
                <w:sz w:val="24"/>
                <w:szCs w:val="24"/>
              </w:rPr>
            </w:pPr>
            <w:r w:rsidRPr="00BA70E4">
              <w:rPr>
                <w:rFonts w:ascii="Times New Roman" w:hAnsi="Times New Roman" w:cs="Times New Roman"/>
                <w:sz w:val="24"/>
                <w:szCs w:val="24"/>
              </w:rPr>
              <w:t>&gt; 115%</w:t>
            </w:r>
          </w:p>
        </w:tc>
        <w:tc>
          <w:tcPr>
            <w:tcW w:w="1710" w:type="dxa"/>
          </w:tcPr>
          <w:p w:rsidR="00D05D76" w:rsidRPr="00BA70E4" w:rsidRDefault="00D05D76" w:rsidP="00E80C58">
            <w:pPr>
              <w:autoSpaceDE w:val="0"/>
              <w:autoSpaceDN w:val="0"/>
              <w:adjustRightInd w:val="0"/>
              <w:spacing w:after="0" w:line="240" w:lineRule="auto"/>
              <w:ind w:firstLine="720"/>
              <w:rPr>
                <w:rFonts w:ascii="Times New Roman" w:hAnsi="Times New Roman" w:cs="Times New Roman"/>
                <w:sz w:val="24"/>
                <w:szCs w:val="24"/>
              </w:rPr>
            </w:pPr>
            <w:r w:rsidRPr="00BA70E4">
              <w:rPr>
                <w:rFonts w:ascii="Times New Roman" w:hAnsi="Times New Roman" w:cs="Times New Roman"/>
                <w:sz w:val="24"/>
                <w:szCs w:val="24"/>
              </w:rPr>
              <w:t>13.0%</w:t>
            </w:r>
          </w:p>
        </w:tc>
      </w:tr>
    </w:tbl>
    <w:p w:rsidR="00D05D76" w:rsidRPr="00BA70E4" w:rsidRDefault="00D05D76" w:rsidP="00D05D76">
      <w:pPr>
        <w:autoSpaceDE w:val="0"/>
        <w:autoSpaceDN w:val="0"/>
        <w:adjustRightInd w:val="0"/>
        <w:spacing w:after="0" w:line="480" w:lineRule="auto"/>
        <w:ind w:firstLine="720"/>
        <w:rPr>
          <w:rFonts w:ascii="Times New Roman" w:hAnsi="Times New Roman" w:cs="Times New Roman"/>
          <w:sz w:val="24"/>
          <w:szCs w:val="24"/>
        </w:rPr>
      </w:pPr>
    </w:p>
    <w:p w:rsidR="00D05D76" w:rsidRPr="00BA70E4" w:rsidRDefault="003D308F" w:rsidP="00E80C5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Under this arrangement Duke could receive a </w:t>
      </w:r>
      <w:r w:rsidR="00D05D76" w:rsidRPr="00BA70E4">
        <w:rPr>
          <w:rFonts w:ascii="Times New Roman" w:hAnsi="Times New Roman" w:cs="Times New Roman"/>
          <w:sz w:val="24"/>
          <w:szCs w:val="24"/>
        </w:rPr>
        <w:t xml:space="preserve">maximum of 13 </w:t>
      </w:r>
      <w:r w:rsidR="00A371B7">
        <w:rPr>
          <w:rFonts w:ascii="Times New Roman" w:hAnsi="Times New Roman" w:cs="Times New Roman"/>
          <w:sz w:val="24"/>
          <w:szCs w:val="24"/>
        </w:rPr>
        <w:t>%</w:t>
      </w:r>
      <w:r w:rsidR="00D05D76" w:rsidRPr="00BA70E4">
        <w:rPr>
          <w:rFonts w:ascii="Times New Roman" w:hAnsi="Times New Roman" w:cs="Times New Roman"/>
          <w:sz w:val="24"/>
          <w:szCs w:val="24"/>
        </w:rPr>
        <w:t xml:space="preserve"> of the avoided energy and capacity costs of EE/PDR (minus utility program costs) if Duke achieves more than 115 </w:t>
      </w:r>
      <w:r w:rsidR="00A371B7">
        <w:rPr>
          <w:rFonts w:ascii="Times New Roman" w:hAnsi="Times New Roman" w:cs="Times New Roman"/>
          <w:sz w:val="24"/>
          <w:szCs w:val="24"/>
        </w:rPr>
        <w:t>%</w:t>
      </w:r>
      <w:r w:rsidR="00D05D76" w:rsidRPr="00BA70E4">
        <w:rPr>
          <w:rFonts w:ascii="Times New Roman" w:hAnsi="Times New Roman" w:cs="Times New Roman"/>
          <w:sz w:val="24"/>
          <w:szCs w:val="24"/>
        </w:rPr>
        <w:t xml:space="preserve"> of the statutory benchmark.</w:t>
      </w:r>
      <w:r w:rsidR="00D05D76" w:rsidRPr="00BA70E4">
        <w:rPr>
          <w:rStyle w:val="FootnoteReference"/>
          <w:rFonts w:ascii="Times New Roman" w:hAnsi="Times New Roman" w:cs="Times New Roman"/>
          <w:sz w:val="24"/>
          <w:szCs w:val="24"/>
        </w:rPr>
        <w:footnoteReference w:id="12"/>
      </w:r>
      <w:r w:rsidR="00D05D76" w:rsidRPr="00BA70E4">
        <w:rPr>
          <w:rFonts w:ascii="Times New Roman" w:hAnsi="Times New Roman" w:cs="Times New Roman"/>
          <w:sz w:val="24"/>
          <w:szCs w:val="24"/>
        </w:rPr>
        <w:t xml:space="preserve">  If Duke does not meet the annual benchmark, it receives no incentive </w:t>
      </w:r>
      <w:r w:rsidR="00455044">
        <w:rPr>
          <w:rFonts w:ascii="Times New Roman" w:hAnsi="Times New Roman" w:cs="Times New Roman"/>
          <w:sz w:val="24"/>
          <w:szCs w:val="24"/>
        </w:rPr>
        <w:t xml:space="preserve">(shared savings) </w:t>
      </w:r>
      <w:r w:rsidR="00D05D76" w:rsidRPr="00BA70E4">
        <w:rPr>
          <w:rFonts w:ascii="Times New Roman" w:hAnsi="Times New Roman" w:cs="Times New Roman"/>
          <w:sz w:val="24"/>
          <w:szCs w:val="24"/>
        </w:rPr>
        <w:t>and is subject to a penalty.</w:t>
      </w:r>
      <w:r w:rsidR="00D05D76" w:rsidRPr="00BA70E4">
        <w:rPr>
          <w:rFonts w:ascii="Times New Roman" w:hAnsi="Times New Roman" w:cs="Times New Roman"/>
          <w:sz w:val="24"/>
          <w:szCs w:val="24"/>
          <w:vertAlign w:val="superscript"/>
        </w:rPr>
        <w:footnoteReference w:id="13"/>
      </w:r>
      <w:r w:rsidR="00D05D76" w:rsidRPr="00BA70E4">
        <w:rPr>
          <w:rFonts w:ascii="Times New Roman" w:hAnsi="Times New Roman" w:cs="Times New Roman"/>
          <w:sz w:val="24"/>
          <w:szCs w:val="24"/>
        </w:rPr>
        <w:t xml:space="preserve">  But the Utility receives an incentive on the entire amount of energy efficiency compliance (including that part which the Utility is statutorily required to perform up to the benchmark) if it exceeds the benchmark.</w:t>
      </w:r>
      <w:r w:rsidR="00D05D76" w:rsidRPr="00BA70E4">
        <w:rPr>
          <w:rStyle w:val="FootnoteReference"/>
          <w:rFonts w:ascii="Times New Roman" w:hAnsi="Times New Roman" w:cs="Times New Roman"/>
          <w:sz w:val="24"/>
          <w:szCs w:val="24"/>
        </w:rPr>
        <w:footnoteReference w:id="14"/>
      </w:r>
      <w:r w:rsidR="00D05D76" w:rsidRPr="00BA70E4">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D05D76" w:rsidRPr="00BA70E4">
        <w:rPr>
          <w:rFonts w:ascii="Times New Roman" w:hAnsi="Times New Roman" w:cs="Times New Roman"/>
          <w:sz w:val="24"/>
          <w:szCs w:val="24"/>
        </w:rPr>
        <w:t>O</w:t>
      </w:r>
      <w:r w:rsidR="00D05D76" w:rsidRPr="00BA70E4">
        <w:rPr>
          <w:rFonts w:ascii="Times New Roman" w:hAnsi="Times New Roman" w:cs="Times New Roman"/>
          <w:bCs/>
          <w:iCs/>
          <w:sz w:val="24"/>
          <w:szCs w:val="24"/>
        </w:rPr>
        <w:t>nce Duke exceeds the statutory benchmarks, Duke can also charge customers for its energy savings below the statutory benchmark.</w:t>
      </w:r>
      <w:r w:rsidR="00D05D76" w:rsidRPr="00BA70E4">
        <w:rPr>
          <w:rStyle w:val="FootnoteReference"/>
          <w:rFonts w:ascii="Times New Roman" w:hAnsi="Times New Roman" w:cs="Times New Roman"/>
          <w:bCs/>
          <w:iCs/>
          <w:sz w:val="24"/>
          <w:szCs w:val="24"/>
        </w:rPr>
        <w:footnoteReference w:id="15"/>
      </w:r>
      <w:r w:rsidR="00D05D76" w:rsidRPr="00BA70E4">
        <w:rPr>
          <w:rFonts w:ascii="Times New Roman" w:hAnsi="Times New Roman" w:cs="Times New Roman"/>
          <w:bCs/>
          <w:iCs/>
          <w:sz w:val="24"/>
          <w:szCs w:val="24"/>
        </w:rPr>
        <w:t xml:space="preserve"> </w:t>
      </w:r>
      <w:r w:rsidR="00D05D76" w:rsidRPr="00BA70E4">
        <w:rPr>
          <w:rFonts w:ascii="Times New Roman" w:hAnsi="Times New Roman" w:cs="Times New Roman"/>
          <w:sz w:val="24"/>
          <w:szCs w:val="24"/>
        </w:rPr>
        <w:t>And, as OCC witness Wilson Gonzalez pointed out, Duke has been using banked savings (savings from past years) to maximize the charge its customers pay on a going forward basis for shared savings.</w:t>
      </w:r>
      <w:r w:rsidR="00D05D76" w:rsidRPr="00BA70E4">
        <w:rPr>
          <w:rStyle w:val="FootnoteReference"/>
          <w:rFonts w:ascii="Times New Roman" w:hAnsi="Times New Roman" w:cs="Times New Roman"/>
          <w:sz w:val="24"/>
          <w:szCs w:val="24"/>
        </w:rPr>
        <w:footnoteReference w:id="16"/>
      </w:r>
    </w:p>
    <w:p w:rsidR="006B7692" w:rsidRPr="00AF2FBC" w:rsidRDefault="006B7692" w:rsidP="00E80C58">
      <w:pPr>
        <w:spacing w:after="0" w:line="480" w:lineRule="auto"/>
        <w:ind w:firstLine="720"/>
        <w:rPr>
          <w:rFonts w:ascii="Times New Roman" w:hAnsi="Times New Roman" w:cs="Times New Roman"/>
          <w:sz w:val="24"/>
          <w:szCs w:val="24"/>
        </w:rPr>
      </w:pPr>
      <w:r w:rsidRPr="00AF2FBC">
        <w:rPr>
          <w:rFonts w:ascii="Times New Roman" w:hAnsi="Times New Roman" w:cs="Times New Roman"/>
          <w:sz w:val="24"/>
          <w:szCs w:val="24"/>
        </w:rPr>
        <w:t xml:space="preserve">The stipulating parties agreed that </w:t>
      </w:r>
      <w:r w:rsidR="00D05D76">
        <w:rPr>
          <w:rFonts w:ascii="Times New Roman" w:hAnsi="Times New Roman" w:cs="Times New Roman"/>
          <w:sz w:val="24"/>
          <w:szCs w:val="24"/>
        </w:rPr>
        <w:t xml:space="preserve">the </w:t>
      </w:r>
      <w:r w:rsidRPr="00AF2FBC">
        <w:rPr>
          <w:rFonts w:ascii="Times New Roman" w:hAnsi="Times New Roman" w:cs="Times New Roman"/>
          <w:sz w:val="24"/>
          <w:szCs w:val="24"/>
        </w:rPr>
        <w:t>incentive mechanism would be in place from 2012 through 2015, and would expire at the end of 2015.</w:t>
      </w:r>
      <w:r w:rsidRPr="00AF2FBC">
        <w:rPr>
          <w:rStyle w:val="FootnoteReference"/>
          <w:rFonts w:ascii="Times New Roman" w:hAnsi="Times New Roman" w:cs="Times New Roman"/>
          <w:sz w:val="24"/>
          <w:szCs w:val="24"/>
        </w:rPr>
        <w:footnoteReference w:id="17"/>
      </w:r>
      <w:r w:rsidRPr="00AF2FBC">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Pr="00AF2FBC">
        <w:rPr>
          <w:rFonts w:ascii="Times New Roman" w:hAnsi="Times New Roman" w:cs="Times New Roman"/>
          <w:sz w:val="24"/>
          <w:szCs w:val="24"/>
        </w:rPr>
        <w:t xml:space="preserve">The shared savings incentive for Duke lacked a hard dollar cap (for limiting customers’ payments) for 2012 through 2015. </w:t>
      </w:r>
      <w:r w:rsidR="00481218">
        <w:rPr>
          <w:rFonts w:ascii="Times New Roman" w:hAnsi="Times New Roman" w:cs="Times New Roman"/>
          <w:sz w:val="24"/>
          <w:szCs w:val="24"/>
        </w:rPr>
        <w:t xml:space="preserve"> </w:t>
      </w:r>
      <w:r w:rsidRPr="00AF2FBC">
        <w:rPr>
          <w:rFonts w:ascii="Times New Roman" w:hAnsi="Times New Roman" w:cs="Times New Roman"/>
          <w:sz w:val="24"/>
          <w:szCs w:val="24"/>
        </w:rPr>
        <w:t xml:space="preserve">But the parties agreed that for purposes of 2016, the incentive mechanism would be: </w:t>
      </w:r>
    </w:p>
    <w:p w:rsidR="006B7692" w:rsidRPr="00AF2FBC" w:rsidRDefault="006B7692" w:rsidP="006B7692">
      <w:pPr>
        <w:ind w:left="1440" w:right="720"/>
        <w:rPr>
          <w:rFonts w:ascii="Times New Roman" w:hAnsi="Times New Roman" w:cs="Times New Roman"/>
          <w:sz w:val="24"/>
          <w:szCs w:val="24"/>
        </w:rPr>
      </w:pPr>
      <w:r w:rsidRPr="00AF2FBC">
        <w:rPr>
          <w:rFonts w:ascii="Times New Roman" w:hAnsi="Times New Roman" w:cs="Times New Roman"/>
          <w:sz w:val="24"/>
          <w:szCs w:val="24"/>
        </w:rPr>
        <w:t>reevaluated by all interested parties no sooner than third quarter of 2014 to allow interested parties to assess the reasonableness and effectiveness of the incentive mechanism and to consider whether or not they support its further use (as structured or as modified) for the remaining year of the five year portfolio….</w:t>
      </w:r>
      <w:r w:rsidRPr="00AF2FBC">
        <w:rPr>
          <w:rStyle w:val="FootnoteReference"/>
          <w:rFonts w:ascii="Times New Roman" w:hAnsi="Times New Roman" w:cs="Times New Roman"/>
          <w:sz w:val="24"/>
          <w:szCs w:val="24"/>
        </w:rPr>
        <w:footnoteReference w:id="18"/>
      </w:r>
      <w:r w:rsidRPr="00AF2FBC">
        <w:rPr>
          <w:rFonts w:ascii="Times New Roman" w:hAnsi="Times New Roman" w:cs="Times New Roman"/>
          <w:sz w:val="24"/>
          <w:szCs w:val="24"/>
        </w:rPr>
        <w:t xml:space="preserve"> </w:t>
      </w:r>
    </w:p>
    <w:p w:rsidR="006B7692" w:rsidRPr="00AF2FBC" w:rsidRDefault="006B7692" w:rsidP="006B7692">
      <w:pPr>
        <w:spacing w:after="0" w:line="480" w:lineRule="auto"/>
        <w:rPr>
          <w:rFonts w:ascii="Times New Roman" w:hAnsi="Times New Roman" w:cs="Times New Roman"/>
          <w:sz w:val="24"/>
          <w:szCs w:val="24"/>
        </w:rPr>
      </w:pPr>
      <w:r w:rsidRPr="00AF2FBC">
        <w:rPr>
          <w:rFonts w:ascii="Times New Roman" w:hAnsi="Times New Roman" w:cs="Times New Roman"/>
          <w:sz w:val="24"/>
          <w:szCs w:val="24"/>
        </w:rPr>
        <w:t>In its Opinion and Order, the PUCO acknowledged that the incentive mechanism would expire in 2015, and that interested parties would have the opportunity to assess the reasonableness and effectiveness of the incentive mechanism in 2014.</w:t>
      </w:r>
      <w:r w:rsidRPr="00AF2FBC">
        <w:rPr>
          <w:rStyle w:val="FootnoteReference"/>
          <w:rFonts w:ascii="Times New Roman" w:hAnsi="Times New Roman" w:cs="Times New Roman"/>
          <w:sz w:val="24"/>
          <w:szCs w:val="24"/>
        </w:rPr>
        <w:footnoteReference w:id="19"/>
      </w:r>
    </w:p>
    <w:p w:rsidR="006B7692" w:rsidRPr="00AF2FBC" w:rsidRDefault="006B7692" w:rsidP="006B7692">
      <w:pPr>
        <w:spacing w:after="0" w:line="480" w:lineRule="auto"/>
        <w:ind w:firstLine="720"/>
        <w:rPr>
          <w:rFonts w:ascii="Times New Roman" w:hAnsi="Times New Roman" w:cs="Times New Roman"/>
          <w:sz w:val="24"/>
          <w:szCs w:val="24"/>
        </w:rPr>
      </w:pPr>
      <w:r w:rsidRPr="00AF2FBC">
        <w:rPr>
          <w:rFonts w:ascii="Times New Roman" w:hAnsi="Times New Roman" w:cs="Times New Roman"/>
          <w:sz w:val="24"/>
          <w:szCs w:val="24"/>
        </w:rPr>
        <w:t xml:space="preserve">The carving out of 2016 for evaluation of customers’ payments to Duke is further evidenced in Case No. 13-431-EL-POR. </w:t>
      </w:r>
      <w:r w:rsidR="00481218">
        <w:rPr>
          <w:rFonts w:ascii="Times New Roman" w:hAnsi="Times New Roman" w:cs="Times New Roman"/>
          <w:sz w:val="24"/>
          <w:szCs w:val="24"/>
        </w:rPr>
        <w:t xml:space="preserve"> </w:t>
      </w:r>
      <w:r w:rsidRPr="00AF2FBC">
        <w:rPr>
          <w:rFonts w:ascii="Times New Roman" w:hAnsi="Times New Roman" w:cs="Times New Roman"/>
          <w:sz w:val="24"/>
          <w:szCs w:val="24"/>
        </w:rPr>
        <w:t>There the parties reiterated their agreement to assess the incentive mechanism and to consider whether they supported its further use for 2016.</w:t>
      </w:r>
      <w:r w:rsidRPr="00AF2FBC">
        <w:rPr>
          <w:rStyle w:val="FootnoteReference"/>
          <w:rFonts w:ascii="Times New Roman" w:hAnsi="Times New Roman" w:cs="Times New Roman"/>
          <w:sz w:val="24"/>
          <w:szCs w:val="24"/>
        </w:rPr>
        <w:footnoteReference w:id="20"/>
      </w:r>
      <w:r w:rsidRPr="00AF2FBC">
        <w:rPr>
          <w:rFonts w:ascii="Times New Roman" w:hAnsi="Times New Roman" w:cs="Times New Roman"/>
          <w:sz w:val="24"/>
          <w:szCs w:val="24"/>
        </w:rPr>
        <w:t xml:space="preserve"> The PUCO </w:t>
      </w:r>
      <w:r w:rsidR="000158DF">
        <w:rPr>
          <w:rFonts w:ascii="Times New Roman" w:hAnsi="Times New Roman" w:cs="Times New Roman"/>
          <w:sz w:val="24"/>
          <w:szCs w:val="24"/>
        </w:rPr>
        <w:t xml:space="preserve">again </w:t>
      </w:r>
      <w:r w:rsidRPr="00AF2FBC">
        <w:rPr>
          <w:rFonts w:ascii="Times New Roman" w:hAnsi="Times New Roman" w:cs="Times New Roman"/>
          <w:sz w:val="24"/>
          <w:szCs w:val="24"/>
        </w:rPr>
        <w:t>acknowledged the parties’ agreement in its Opinion and Order for 13-431-EL-POR, stating:</w:t>
      </w:r>
    </w:p>
    <w:p w:rsidR="006B7692" w:rsidRPr="00AF2FBC" w:rsidRDefault="006B7692" w:rsidP="006B7692">
      <w:pPr>
        <w:autoSpaceDE w:val="0"/>
        <w:autoSpaceDN w:val="0"/>
        <w:adjustRightInd w:val="0"/>
        <w:ind w:left="1440" w:right="720"/>
        <w:rPr>
          <w:rFonts w:ascii="Times New Roman" w:hAnsi="Times New Roman" w:cs="Times New Roman"/>
          <w:sz w:val="24"/>
          <w:szCs w:val="24"/>
        </w:rPr>
      </w:pPr>
      <w:r w:rsidRPr="00AF2FBC">
        <w:rPr>
          <w:rFonts w:ascii="Times New Roman" w:hAnsi="Times New Roman" w:cs="Times New Roman"/>
          <w:sz w:val="24"/>
          <w:szCs w:val="24"/>
        </w:rPr>
        <w:t>The mechanism for recovering costs from Duke’s customers, including recovery of prudent program costs incurred, lost distribution revenues and an incentive mechanism, shall expire at the end of 2015, as controlled by the stipulation in the 2011 Portfolio Case.</w:t>
      </w:r>
      <w:r w:rsidRPr="00AF2FBC">
        <w:rPr>
          <w:rStyle w:val="FootnoteReference"/>
          <w:rFonts w:ascii="Times New Roman" w:hAnsi="Times New Roman" w:cs="Times New Roman"/>
          <w:sz w:val="24"/>
          <w:szCs w:val="24"/>
        </w:rPr>
        <w:footnoteReference w:id="21"/>
      </w:r>
    </w:p>
    <w:p w:rsidR="006B7692" w:rsidRPr="00AF2FBC" w:rsidRDefault="006B7692" w:rsidP="006B7692">
      <w:pPr>
        <w:spacing w:line="480" w:lineRule="auto"/>
        <w:rPr>
          <w:rFonts w:ascii="Times New Roman" w:hAnsi="Times New Roman" w:cs="Times New Roman"/>
          <w:sz w:val="24"/>
          <w:szCs w:val="24"/>
        </w:rPr>
      </w:pPr>
      <w:r w:rsidRPr="00AF2FBC">
        <w:rPr>
          <w:rFonts w:ascii="Times New Roman" w:hAnsi="Times New Roman" w:cs="Times New Roman"/>
          <w:sz w:val="24"/>
          <w:szCs w:val="24"/>
        </w:rPr>
        <w:tab/>
        <w:t>Meanwhile, in legislation (Senate Bill 310) this year, the General Assembly allowed for two different options for energy efficiency programs and charges to consumers for the next two years (2015 and 2016). In this regard, uncodified Section 6 of Senate Bill 310 states:</w:t>
      </w:r>
    </w:p>
    <w:p w:rsidR="006B7692" w:rsidRPr="00AF2FBC" w:rsidRDefault="006B7692" w:rsidP="006B7692">
      <w:pPr>
        <w:autoSpaceDE w:val="0"/>
        <w:autoSpaceDN w:val="0"/>
        <w:adjustRightInd w:val="0"/>
        <w:ind w:left="2160" w:right="720" w:hanging="720"/>
        <w:rPr>
          <w:rFonts w:ascii="Times New Roman" w:hAnsi="Times New Roman" w:cs="Times New Roman"/>
          <w:sz w:val="24"/>
          <w:szCs w:val="24"/>
        </w:rPr>
      </w:pPr>
      <w:r w:rsidRPr="00AF2FBC">
        <w:rPr>
          <w:rFonts w:ascii="Times New Roman" w:hAnsi="Times New Roman" w:cs="Times New Roman"/>
          <w:sz w:val="24"/>
          <w:szCs w:val="24"/>
        </w:rPr>
        <w:t xml:space="preserve">(A) </w:t>
      </w:r>
      <w:r w:rsidRPr="00AF2FBC">
        <w:rPr>
          <w:rFonts w:ascii="Times New Roman" w:hAnsi="Times New Roman" w:cs="Times New Roman"/>
          <w:sz w:val="24"/>
          <w:szCs w:val="24"/>
        </w:rPr>
        <w:tab/>
        <w:t>If an electric distribution utility has a portfolio plan that is in effect on the effective date of this section, the utility shall do either of the following, at its sole discretion:</w:t>
      </w:r>
    </w:p>
    <w:p w:rsidR="006B7692" w:rsidRDefault="006B7692" w:rsidP="000B1CA3">
      <w:pPr>
        <w:pStyle w:val="ListParagraph"/>
        <w:numPr>
          <w:ilvl w:val="0"/>
          <w:numId w:val="2"/>
        </w:numPr>
        <w:autoSpaceDE w:val="0"/>
        <w:autoSpaceDN w:val="0"/>
        <w:adjustRightInd w:val="0"/>
        <w:spacing w:after="0" w:line="240" w:lineRule="auto"/>
        <w:ind w:left="2880" w:right="720" w:hanging="720"/>
        <w:rPr>
          <w:rFonts w:ascii="Times New Roman" w:hAnsi="Times New Roman" w:cs="Times New Roman"/>
          <w:sz w:val="24"/>
          <w:szCs w:val="24"/>
        </w:rPr>
      </w:pPr>
      <w:r w:rsidRPr="00AF2FBC">
        <w:rPr>
          <w:rFonts w:ascii="Times New Roman" w:hAnsi="Times New Roman" w:cs="Times New Roman"/>
          <w:sz w:val="24"/>
          <w:szCs w:val="24"/>
        </w:rPr>
        <w:t>Continue to implement the portfolio plan with no amendments to the plan, for the duration that the Public Utilities Commission originally approved, subject to divisions (D) and (E) of this section;</w:t>
      </w:r>
    </w:p>
    <w:p w:rsidR="00386DE2" w:rsidRPr="00AF2FBC" w:rsidRDefault="00386DE2" w:rsidP="00386DE2">
      <w:pPr>
        <w:pStyle w:val="ListParagraph"/>
        <w:autoSpaceDE w:val="0"/>
        <w:autoSpaceDN w:val="0"/>
        <w:adjustRightInd w:val="0"/>
        <w:spacing w:after="0" w:line="240" w:lineRule="auto"/>
        <w:ind w:left="2880" w:right="720"/>
        <w:rPr>
          <w:rFonts w:ascii="Times New Roman" w:hAnsi="Times New Roman" w:cs="Times New Roman"/>
          <w:sz w:val="24"/>
          <w:szCs w:val="24"/>
        </w:rPr>
      </w:pPr>
    </w:p>
    <w:p w:rsidR="006B7692" w:rsidRPr="00AF2FBC" w:rsidRDefault="006B7692" w:rsidP="000B1CA3">
      <w:pPr>
        <w:autoSpaceDE w:val="0"/>
        <w:autoSpaceDN w:val="0"/>
        <w:adjustRightInd w:val="0"/>
        <w:ind w:left="2880" w:right="720" w:hanging="720"/>
        <w:rPr>
          <w:rFonts w:ascii="Times New Roman" w:hAnsi="Times New Roman" w:cs="Times New Roman"/>
          <w:sz w:val="24"/>
          <w:szCs w:val="24"/>
        </w:rPr>
      </w:pPr>
      <w:r w:rsidRPr="00AF2FBC">
        <w:rPr>
          <w:rFonts w:ascii="Times New Roman" w:hAnsi="Times New Roman" w:cs="Times New Roman"/>
          <w:sz w:val="24"/>
          <w:szCs w:val="24"/>
        </w:rPr>
        <w:t xml:space="preserve">(2) </w:t>
      </w:r>
      <w:r w:rsidRPr="00AF2FBC">
        <w:rPr>
          <w:rFonts w:ascii="Times New Roman" w:hAnsi="Times New Roman" w:cs="Times New Roman"/>
          <w:sz w:val="24"/>
          <w:szCs w:val="24"/>
        </w:rPr>
        <w:tab/>
        <w:t>Seek an amendment of the portfolio plan under division (B) of this section.</w:t>
      </w:r>
    </w:p>
    <w:p w:rsidR="006B7692" w:rsidRPr="00AF2FBC" w:rsidRDefault="006B7692" w:rsidP="006B7692">
      <w:pPr>
        <w:autoSpaceDE w:val="0"/>
        <w:autoSpaceDN w:val="0"/>
        <w:adjustRightInd w:val="0"/>
        <w:spacing w:after="0" w:line="480" w:lineRule="auto"/>
        <w:rPr>
          <w:rFonts w:ascii="Times New Roman" w:hAnsi="Times New Roman" w:cs="Times New Roman"/>
          <w:sz w:val="24"/>
          <w:szCs w:val="24"/>
        </w:rPr>
      </w:pPr>
      <w:r w:rsidRPr="00AF2FBC">
        <w:rPr>
          <w:rFonts w:ascii="Times New Roman" w:hAnsi="Times New Roman" w:cs="Times New Roman"/>
          <w:sz w:val="24"/>
          <w:szCs w:val="24"/>
        </w:rPr>
        <w:tab/>
      </w:r>
      <w:r w:rsidR="000158DF">
        <w:rPr>
          <w:rFonts w:ascii="Times New Roman" w:hAnsi="Times New Roman" w:cs="Times New Roman"/>
          <w:sz w:val="24"/>
          <w:szCs w:val="24"/>
        </w:rPr>
        <w:t>In accordance with the Stipulations in 11-4393-EL-RDR and 13-431-EL-POR, Duke</w:t>
      </w:r>
      <w:r w:rsidRPr="00AF2FBC">
        <w:rPr>
          <w:rFonts w:ascii="Times New Roman" w:hAnsi="Times New Roman" w:cs="Times New Roman"/>
          <w:sz w:val="24"/>
          <w:szCs w:val="24"/>
        </w:rPr>
        <w:t xml:space="preserve"> held discussions with interested parties in August of 2014 regarding the appropriateness of its incentive mechanism for charging customers in 2016</w:t>
      </w:r>
      <w:r w:rsidRPr="00D05D76">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Pr="00D05D76">
        <w:rPr>
          <w:rFonts w:ascii="Times New Roman" w:hAnsi="Times New Roman" w:cs="Times New Roman"/>
          <w:sz w:val="24"/>
          <w:szCs w:val="24"/>
        </w:rPr>
        <w:t>But, as Duke has acknowledged, the interested parties did not reach an agreement as to the appropriateness or continuation of an incentive mechanism for Duke to charge customers in 2016.</w:t>
      </w:r>
      <w:r w:rsidRPr="00D05D76">
        <w:rPr>
          <w:rStyle w:val="FootnoteReference"/>
          <w:rFonts w:ascii="Times New Roman" w:hAnsi="Times New Roman" w:cs="Times New Roman"/>
          <w:sz w:val="24"/>
          <w:szCs w:val="24"/>
        </w:rPr>
        <w:footnoteReference w:id="22"/>
      </w:r>
      <w:r w:rsidRPr="00AF2FBC">
        <w:rPr>
          <w:rFonts w:ascii="Times New Roman" w:hAnsi="Times New Roman" w:cs="Times New Roman"/>
          <w:sz w:val="24"/>
          <w:szCs w:val="24"/>
        </w:rPr>
        <w:t xml:space="preserve">  </w:t>
      </w:r>
    </w:p>
    <w:p w:rsidR="006B7692" w:rsidRDefault="006B7692" w:rsidP="006B7692">
      <w:pPr>
        <w:autoSpaceDE w:val="0"/>
        <w:autoSpaceDN w:val="0"/>
        <w:adjustRightInd w:val="0"/>
        <w:spacing w:after="0" w:line="480" w:lineRule="auto"/>
        <w:rPr>
          <w:rFonts w:ascii="Times New Roman" w:hAnsi="Times New Roman" w:cs="Times New Roman"/>
          <w:sz w:val="24"/>
          <w:szCs w:val="24"/>
        </w:rPr>
      </w:pPr>
      <w:r w:rsidRPr="00AF2FBC">
        <w:rPr>
          <w:rFonts w:ascii="Times New Roman" w:hAnsi="Times New Roman" w:cs="Times New Roman"/>
          <w:sz w:val="24"/>
          <w:szCs w:val="24"/>
        </w:rPr>
        <w:tab/>
      </w:r>
      <w:r w:rsidRPr="00EC61CF">
        <w:rPr>
          <w:rFonts w:ascii="Times New Roman" w:hAnsi="Times New Roman" w:cs="Times New Roman"/>
          <w:sz w:val="24"/>
          <w:szCs w:val="24"/>
        </w:rPr>
        <w:t xml:space="preserve">On September 9, 2014, </w:t>
      </w:r>
      <w:r w:rsidR="000158DF" w:rsidRPr="00EC61CF">
        <w:rPr>
          <w:rFonts w:ascii="Times New Roman" w:hAnsi="Times New Roman" w:cs="Times New Roman"/>
          <w:sz w:val="24"/>
          <w:szCs w:val="24"/>
        </w:rPr>
        <w:t>one day before the new laws set forth in S</w:t>
      </w:r>
      <w:r w:rsidR="001A2E87">
        <w:rPr>
          <w:rFonts w:ascii="Times New Roman" w:hAnsi="Times New Roman" w:cs="Times New Roman"/>
          <w:sz w:val="24"/>
          <w:szCs w:val="24"/>
        </w:rPr>
        <w:t>enate Bill</w:t>
      </w:r>
      <w:r w:rsidR="000158DF" w:rsidRPr="00EC61CF">
        <w:rPr>
          <w:rFonts w:ascii="Times New Roman" w:hAnsi="Times New Roman" w:cs="Times New Roman"/>
          <w:sz w:val="24"/>
          <w:szCs w:val="24"/>
        </w:rPr>
        <w:t xml:space="preserve"> 310 took effect, </w:t>
      </w:r>
      <w:r w:rsidRPr="00EC61CF">
        <w:rPr>
          <w:rFonts w:ascii="Times New Roman" w:hAnsi="Times New Roman" w:cs="Times New Roman"/>
          <w:sz w:val="24"/>
          <w:szCs w:val="24"/>
        </w:rPr>
        <w:t>Duke filed an Application in this docket seeking the PUCO’s approval to keep its “cost recovery mechanism in place” through 2016.</w:t>
      </w:r>
      <w:r w:rsidRPr="00EC61CF">
        <w:rPr>
          <w:rStyle w:val="FootnoteReference"/>
          <w:rFonts w:ascii="Times New Roman" w:hAnsi="Times New Roman" w:cs="Times New Roman"/>
          <w:sz w:val="24"/>
          <w:szCs w:val="24"/>
        </w:rPr>
        <w:footnoteReference w:id="23"/>
      </w:r>
      <w:r w:rsidRPr="00EC61CF">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Pr="00EC61CF">
        <w:rPr>
          <w:rFonts w:ascii="Times New Roman" w:hAnsi="Times New Roman" w:cs="Times New Roman"/>
          <w:sz w:val="24"/>
          <w:szCs w:val="24"/>
        </w:rPr>
        <w:t>The Utility also asked that the PUCO find that the “continuation of the existing cost recovery and incentive mechanism continue through the end of 2016, in alignment with the approved term or the portfolio approval.”</w:t>
      </w:r>
      <w:r w:rsidRPr="00EC61CF">
        <w:rPr>
          <w:rStyle w:val="FootnoteReference"/>
          <w:rFonts w:ascii="Times New Roman" w:hAnsi="Times New Roman" w:cs="Times New Roman"/>
          <w:sz w:val="24"/>
          <w:szCs w:val="24"/>
        </w:rPr>
        <w:footnoteReference w:id="24"/>
      </w:r>
      <w:r w:rsidRPr="00EC61CF">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Pr="00EC61CF">
        <w:rPr>
          <w:rFonts w:ascii="Times New Roman" w:hAnsi="Times New Roman" w:cs="Times New Roman"/>
          <w:sz w:val="24"/>
          <w:szCs w:val="24"/>
        </w:rPr>
        <w:t xml:space="preserve">Duke </w:t>
      </w:r>
      <w:r w:rsidR="00C518D2" w:rsidRPr="00EC61CF">
        <w:rPr>
          <w:rFonts w:ascii="Times New Roman" w:hAnsi="Times New Roman" w:cs="Times New Roman"/>
          <w:sz w:val="24"/>
          <w:szCs w:val="24"/>
        </w:rPr>
        <w:t>also asked</w:t>
      </w:r>
      <w:r w:rsidRPr="00EC61CF">
        <w:rPr>
          <w:rFonts w:ascii="Times New Roman" w:hAnsi="Times New Roman" w:cs="Times New Roman"/>
          <w:sz w:val="24"/>
          <w:szCs w:val="24"/>
        </w:rPr>
        <w:t xml:space="preserve"> to continue using past “banked” savings to charge customers more money in 2016. </w:t>
      </w:r>
      <w:r w:rsidR="00481218">
        <w:rPr>
          <w:rFonts w:ascii="Times New Roman" w:hAnsi="Times New Roman" w:cs="Times New Roman"/>
          <w:sz w:val="24"/>
          <w:szCs w:val="24"/>
        </w:rPr>
        <w:t xml:space="preserve"> </w:t>
      </w:r>
      <w:r w:rsidR="000158DF" w:rsidRPr="00EC61CF">
        <w:rPr>
          <w:rFonts w:ascii="Times New Roman" w:hAnsi="Times New Roman" w:cs="Times New Roman"/>
          <w:sz w:val="24"/>
          <w:szCs w:val="24"/>
        </w:rPr>
        <w:t>In that filing, Duke indicated that “[t]he majority of signatory parties are in agreement with continuing the existing cost recovery mechanism (cost recover [sic] or prudent costs, lost distribution revenues, and its shared savings mechanism).”</w:t>
      </w:r>
      <w:r w:rsidR="000158DF" w:rsidRPr="00EC61CF">
        <w:rPr>
          <w:rStyle w:val="FootnoteReference"/>
          <w:rFonts w:ascii="Times New Roman" w:hAnsi="Times New Roman" w:cs="Times New Roman"/>
          <w:sz w:val="24"/>
          <w:szCs w:val="24"/>
        </w:rPr>
        <w:footnoteReference w:id="25"/>
      </w:r>
      <w:r w:rsidR="000158DF" w:rsidRPr="00EC61CF">
        <w:rPr>
          <w:rFonts w:ascii="Times New Roman" w:hAnsi="Times New Roman" w:cs="Times New Roman"/>
          <w:sz w:val="24"/>
          <w:szCs w:val="24"/>
        </w:rPr>
        <w:t xml:space="preserve">  </w:t>
      </w:r>
      <w:r w:rsidR="00EC61CF" w:rsidRPr="00EC61CF">
        <w:rPr>
          <w:rFonts w:ascii="Times New Roman" w:hAnsi="Times New Roman" w:cs="Times New Roman"/>
          <w:sz w:val="24"/>
          <w:szCs w:val="24"/>
        </w:rPr>
        <w:t>But o</w:t>
      </w:r>
      <w:r w:rsidR="00806F13" w:rsidRPr="00EC61CF">
        <w:rPr>
          <w:rFonts w:ascii="Times New Roman" w:hAnsi="Times New Roman" w:cs="Times New Roman"/>
          <w:sz w:val="24"/>
          <w:szCs w:val="24"/>
        </w:rPr>
        <w:t>ut of</w:t>
      </w:r>
      <w:r w:rsidR="000158DF" w:rsidRPr="00EC61CF">
        <w:rPr>
          <w:rFonts w:ascii="Times New Roman" w:hAnsi="Times New Roman" w:cs="Times New Roman"/>
          <w:sz w:val="24"/>
          <w:szCs w:val="24"/>
        </w:rPr>
        <w:t xml:space="preserve"> the </w:t>
      </w:r>
      <w:r w:rsidR="00EC61CF" w:rsidRPr="00EC61CF">
        <w:rPr>
          <w:rFonts w:ascii="Times New Roman" w:hAnsi="Times New Roman" w:cs="Times New Roman"/>
          <w:sz w:val="24"/>
          <w:szCs w:val="24"/>
        </w:rPr>
        <w:t>fourteen</w:t>
      </w:r>
      <w:r w:rsidR="000158DF" w:rsidRPr="00EC61CF">
        <w:rPr>
          <w:rFonts w:ascii="Times New Roman" w:hAnsi="Times New Roman" w:cs="Times New Roman"/>
          <w:sz w:val="24"/>
          <w:szCs w:val="24"/>
        </w:rPr>
        <w:t xml:space="preserve"> parties (other than Duke) that signed the 11-4393-EL-RDR </w:t>
      </w:r>
      <w:r w:rsidR="00EC61CF" w:rsidRPr="00EC61CF">
        <w:rPr>
          <w:rFonts w:ascii="Times New Roman" w:hAnsi="Times New Roman" w:cs="Times New Roman"/>
          <w:sz w:val="24"/>
          <w:szCs w:val="24"/>
        </w:rPr>
        <w:t xml:space="preserve"> and 13-431-EL-POR </w:t>
      </w:r>
      <w:r w:rsidR="000158DF" w:rsidRPr="00EC61CF">
        <w:rPr>
          <w:rFonts w:ascii="Times New Roman" w:hAnsi="Times New Roman" w:cs="Times New Roman"/>
          <w:sz w:val="24"/>
          <w:szCs w:val="24"/>
        </w:rPr>
        <w:t>Stipulation</w:t>
      </w:r>
      <w:r w:rsidR="00EC61CF" w:rsidRPr="00EC61CF">
        <w:rPr>
          <w:rFonts w:ascii="Times New Roman" w:hAnsi="Times New Roman" w:cs="Times New Roman"/>
          <w:sz w:val="24"/>
          <w:szCs w:val="24"/>
        </w:rPr>
        <w:t>s</w:t>
      </w:r>
      <w:r w:rsidR="000158DF" w:rsidRPr="00EC61CF">
        <w:rPr>
          <w:rStyle w:val="FootnoteReference"/>
          <w:rFonts w:ascii="Times New Roman" w:hAnsi="Times New Roman" w:cs="Times New Roman"/>
          <w:sz w:val="24"/>
          <w:szCs w:val="24"/>
        </w:rPr>
        <w:footnoteReference w:id="26"/>
      </w:r>
      <w:r w:rsidR="000158DF" w:rsidRPr="00EC61CF">
        <w:rPr>
          <w:rFonts w:ascii="Times New Roman" w:hAnsi="Times New Roman" w:cs="Times New Roman"/>
          <w:sz w:val="24"/>
          <w:szCs w:val="24"/>
        </w:rPr>
        <w:t xml:space="preserve"> </w:t>
      </w:r>
      <w:r w:rsidR="00EC61CF" w:rsidRPr="00EC61CF">
        <w:rPr>
          <w:rFonts w:ascii="Times New Roman" w:hAnsi="Times New Roman" w:cs="Times New Roman"/>
          <w:sz w:val="24"/>
          <w:szCs w:val="24"/>
        </w:rPr>
        <w:t>only three filed Comments in support of Duke’s Application in this matter,</w:t>
      </w:r>
      <w:r w:rsidR="00EC61CF" w:rsidRPr="00EC61CF">
        <w:rPr>
          <w:rStyle w:val="FootnoteReference"/>
          <w:rFonts w:ascii="Times New Roman" w:hAnsi="Times New Roman" w:cs="Times New Roman"/>
          <w:sz w:val="24"/>
          <w:szCs w:val="24"/>
        </w:rPr>
        <w:footnoteReference w:id="27"/>
      </w:r>
      <w:r w:rsidR="00EC61CF" w:rsidRPr="00EC61CF">
        <w:rPr>
          <w:rFonts w:ascii="Times New Roman" w:hAnsi="Times New Roman" w:cs="Times New Roman"/>
          <w:sz w:val="24"/>
          <w:szCs w:val="24"/>
        </w:rPr>
        <w:t xml:space="preserve"> none of which filed supporting testimony.  Conversely, six parties</w:t>
      </w:r>
      <w:r w:rsidR="00AC60EC">
        <w:rPr>
          <w:rFonts w:ascii="Times New Roman" w:hAnsi="Times New Roman" w:cs="Times New Roman"/>
          <w:sz w:val="24"/>
          <w:szCs w:val="24"/>
        </w:rPr>
        <w:t xml:space="preserve"> that were involved in those cases (three </w:t>
      </w:r>
      <w:r w:rsidR="00B77ADD">
        <w:rPr>
          <w:rFonts w:ascii="Times New Roman" w:hAnsi="Times New Roman" w:cs="Times New Roman"/>
          <w:sz w:val="24"/>
          <w:szCs w:val="24"/>
        </w:rPr>
        <w:t>of which</w:t>
      </w:r>
      <w:r w:rsidR="00AC60EC">
        <w:rPr>
          <w:rFonts w:ascii="Times New Roman" w:hAnsi="Times New Roman" w:cs="Times New Roman"/>
          <w:sz w:val="24"/>
          <w:szCs w:val="24"/>
        </w:rPr>
        <w:t xml:space="preserve"> signed the Stipulations)</w:t>
      </w:r>
      <w:r w:rsidR="00EC61CF" w:rsidRPr="00EC61CF">
        <w:rPr>
          <w:rFonts w:ascii="Times New Roman" w:hAnsi="Times New Roman" w:cs="Times New Roman"/>
          <w:sz w:val="24"/>
          <w:szCs w:val="24"/>
        </w:rPr>
        <w:t xml:space="preserve"> </w:t>
      </w:r>
      <w:r w:rsidR="000158DF" w:rsidRPr="00EC61CF">
        <w:rPr>
          <w:rFonts w:ascii="Times New Roman" w:hAnsi="Times New Roman" w:cs="Times New Roman"/>
          <w:sz w:val="24"/>
          <w:szCs w:val="24"/>
        </w:rPr>
        <w:t>filed Comments opposing Duke’s Application</w:t>
      </w:r>
      <w:r w:rsidR="00EC61CF" w:rsidRPr="00EC61CF">
        <w:rPr>
          <w:rFonts w:ascii="Times New Roman" w:hAnsi="Times New Roman" w:cs="Times New Roman"/>
          <w:sz w:val="24"/>
          <w:szCs w:val="24"/>
        </w:rPr>
        <w:t xml:space="preserve"> in this case.</w:t>
      </w:r>
      <w:r w:rsidR="00806F13" w:rsidRPr="00EC61CF">
        <w:rPr>
          <w:rStyle w:val="FootnoteReference"/>
          <w:rFonts w:ascii="Times New Roman" w:hAnsi="Times New Roman" w:cs="Times New Roman"/>
          <w:sz w:val="24"/>
          <w:szCs w:val="24"/>
        </w:rPr>
        <w:footnoteReference w:id="28"/>
      </w:r>
      <w:r w:rsidR="00EC61CF" w:rsidRPr="00EC61CF">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EC61CF" w:rsidRPr="00EC61CF">
        <w:rPr>
          <w:rFonts w:ascii="Times New Roman" w:hAnsi="Times New Roman" w:cs="Times New Roman"/>
          <w:sz w:val="24"/>
          <w:szCs w:val="24"/>
        </w:rPr>
        <w:t>Three of those parties</w:t>
      </w:r>
      <w:r w:rsidR="000F018E">
        <w:rPr>
          <w:rFonts w:ascii="Times New Roman" w:hAnsi="Times New Roman" w:cs="Times New Roman"/>
          <w:sz w:val="24"/>
          <w:szCs w:val="24"/>
        </w:rPr>
        <w:t>,</w:t>
      </w:r>
      <w:r w:rsidR="000F018E" w:rsidRPr="000F018E">
        <w:rPr>
          <w:rFonts w:ascii="Times New Roman" w:hAnsi="Times New Roman" w:cs="Times New Roman"/>
          <w:sz w:val="24"/>
          <w:szCs w:val="24"/>
        </w:rPr>
        <w:t xml:space="preserve"> </w:t>
      </w:r>
      <w:r w:rsidR="000F018E" w:rsidRPr="00EC61CF">
        <w:rPr>
          <w:rFonts w:ascii="Times New Roman" w:hAnsi="Times New Roman" w:cs="Times New Roman"/>
          <w:sz w:val="24"/>
          <w:szCs w:val="24"/>
        </w:rPr>
        <w:t>in addition to the PUCO Staff</w:t>
      </w:r>
      <w:r w:rsidR="000F018E">
        <w:rPr>
          <w:rFonts w:ascii="Times New Roman" w:hAnsi="Times New Roman" w:cs="Times New Roman"/>
          <w:sz w:val="24"/>
          <w:szCs w:val="24"/>
        </w:rPr>
        <w:t>,</w:t>
      </w:r>
      <w:r w:rsidR="00EC61CF" w:rsidRPr="00EC61CF">
        <w:rPr>
          <w:rFonts w:ascii="Times New Roman" w:hAnsi="Times New Roman" w:cs="Times New Roman"/>
          <w:sz w:val="24"/>
          <w:szCs w:val="24"/>
        </w:rPr>
        <w:t xml:space="preserve"> filed testimony opposing the </w:t>
      </w:r>
      <w:r w:rsidR="00455044">
        <w:rPr>
          <w:rFonts w:ascii="Times New Roman" w:hAnsi="Times New Roman" w:cs="Times New Roman"/>
          <w:sz w:val="24"/>
          <w:szCs w:val="24"/>
        </w:rPr>
        <w:t xml:space="preserve">Utility’s </w:t>
      </w:r>
      <w:r w:rsidR="00EC61CF" w:rsidRPr="00EC61CF">
        <w:rPr>
          <w:rFonts w:ascii="Times New Roman" w:hAnsi="Times New Roman" w:cs="Times New Roman"/>
          <w:sz w:val="24"/>
          <w:szCs w:val="24"/>
        </w:rPr>
        <w:t>Application.</w:t>
      </w:r>
      <w:r w:rsidR="00EC61CF" w:rsidRPr="00EC61CF">
        <w:rPr>
          <w:rStyle w:val="FootnoteReference"/>
          <w:rFonts w:ascii="Times New Roman" w:hAnsi="Times New Roman" w:cs="Times New Roman"/>
          <w:sz w:val="24"/>
          <w:szCs w:val="24"/>
        </w:rPr>
        <w:footnoteReference w:id="29"/>
      </w:r>
      <w:r w:rsidR="00EC61CF">
        <w:rPr>
          <w:rFonts w:ascii="Times New Roman" w:hAnsi="Times New Roman" w:cs="Times New Roman"/>
          <w:sz w:val="24"/>
          <w:szCs w:val="24"/>
        </w:rPr>
        <w:t xml:space="preserve"> </w:t>
      </w:r>
    </w:p>
    <w:p w:rsidR="00386DE2" w:rsidRPr="00AF2FBC" w:rsidRDefault="00386DE2" w:rsidP="00386DE2">
      <w:pPr>
        <w:autoSpaceDE w:val="0"/>
        <w:autoSpaceDN w:val="0"/>
        <w:adjustRightInd w:val="0"/>
        <w:spacing w:after="0" w:line="240" w:lineRule="auto"/>
        <w:rPr>
          <w:rFonts w:ascii="Times New Roman" w:hAnsi="Times New Roman" w:cs="Times New Roman"/>
          <w:sz w:val="24"/>
          <w:szCs w:val="24"/>
        </w:rPr>
      </w:pPr>
    </w:p>
    <w:p w:rsidR="004D5A27" w:rsidRPr="004D5A27" w:rsidRDefault="00386DE2" w:rsidP="005E5370">
      <w:pPr>
        <w:pStyle w:val="Heading1"/>
        <w:ind w:left="0" w:firstLine="0"/>
      </w:pPr>
      <w:bookmarkStart w:id="5" w:name="_Toc426990912"/>
      <w:bookmarkStart w:id="6" w:name="_Toc427923427"/>
      <w:r>
        <w:t>III.</w:t>
      </w:r>
      <w:r>
        <w:tab/>
      </w:r>
      <w:r w:rsidR="006B7692" w:rsidRPr="00AF2FBC">
        <w:t>ARGUMENT</w:t>
      </w:r>
      <w:bookmarkEnd w:id="5"/>
      <w:bookmarkEnd w:id="6"/>
    </w:p>
    <w:p w:rsidR="005F6B2A" w:rsidRPr="001903DC" w:rsidRDefault="00AF2FBC" w:rsidP="00AF2FBC">
      <w:pPr>
        <w:autoSpaceDE w:val="0"/>
        <w:autoSpaceDN w:val="0"/>
        <w:adjustRightInd w:val="0"/>
        <w:spacing w:after="0" w:line="480" w:lineRule="auto"/>
        <w:ind w:firstLine="720"/>
        <w:rPr>
          <w:rFonts w:ascii="Times New Roman" w:hAnsi="Times New Roman" w:cs="Times New Roman"/>
          <w:sz w:val="24"/>
          <w:szCs w:val="24"/>
        </w:rPr>
      </w:pPr>
      <w:r w:rsidRPr="001903DC">
        <w:rPr>
          <w:rFonts w:ascii="Times New Roman" w:hAnsi="Times New Roman" w:cs="Times New Roman"/>
          <w:sz w:val="24"/>
          <w:szCs w:val="24"/>
        </w:rPr>
        <w:t>As noted above, whether there would be an incentive mechanism for Duke in 2016 was left completely open by the parties in both the 11-4393 case and the 13-431 case.</w:t>
      </w:r>
      <w:r w:rsidR="00AC6F53" w:rsidRPr="001903DC">
        <w:rPr>
          <w:rStyle w:val="FootnoteReference"/>
          <w:rFonts w:ascii="Times New Roman" w:hAnsi="Times New Roman" w:cs="Times New Roman"/>
          <w:sz w:val="24"/>
          <w:szCs w:val="24"/>
        </w:rPr>
        <w:footnoteReference w:id="30"/>
      </w:r>
      <w:r w:rsidRPr="001903DC">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Pr="001903DC">
        <w:rPr>
          <w:rFonts w:ascii="Times New Roman" w:hAnsi="Times New Roman" w:cs="Times New Roman"/>
          <w:sz w:val="24"/>
          <w:szCs w:val="24"/>
        </w:rPr>
        <w:t>There is no legal requirement that the incentive mechanism continue</w:t>
      </w:r>
      <w:r w:rsidR="001903DC">
        <w:rPr>
          <w:rFonts w:ascii="Times New Roman" w:hAnsi="Times New Roman" w:cs="Times New Roman"/>
          <w:sz w:val="24"/>
          <w:szCs w:val="24"/>
        </w:rPr>
        <w:t>.</w:t>
      </w:r>
    </w:p>
    <w:p w:rsidR="00AF2FBC" w:rsidRPr="00AE7C62" w:rsidDel="004D5A27" w:rsidRDefault="001903DC" w:rsidP="00E80C5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In fact, </w:t>
      </w:r>
      <w:r w:rsidR="00AF2FBC" w:rsidRPr="00AE7C62" w:rsidDel="004D5A27">
        <w:rPr>
          <w:rFonts w:ascii="Times New Roman" w:hAnsi="Times New Roman" w:cs="Times New Roman"/>
          <w:sz w:val="24"/>
          <w:szCs w:val="24"/>
        </w:rPr>
        <w:t>Duke</w:t>
      </w:r>
      <w:r>
        <w:rPr>
          <w:rFonts w:ascii="Times New Roman" w:hAnsi="Times New Roman" w:cs="Times New Roman"/>
          <w:sz w:val="24"/>
          <w:szCs w:val="24"/>
        </w:rPr>
        <w:t>’s</w:t>
      </w:r>
      <w:r w:rsidR="00AF2FBC" w:rsidRPr="00AE7C62" w:rsidDel="004D5A27">
        <w:rPr>
          <w:rFonts w:ascii="Times New Roman" w:hAnsi="Times New Roman" w:cs="Times New Roman"/>
          <w:sz w:val="24"/>
          <w:szCs w:val="24"/>
        </w:rPr>
        <w:t xml:space="preserve"> witness</w:t>
      </w:r>
      <w:r>
        <w:rPr>
          <w:rFonts w:ascii="Times New Roman" w:hAnsi="Times New Roman" w:cs="Times New Roman"/>
          <w:sz w:val="24"/>
          <w:szCs w:val="24"/>
        </w:rPr>
        <w:t>,</w:t>
      </w:r>
      <w:r w:rsidR="00AF2FBC" w:rsidRPr="00AE7C62" w:rsidDel="004D5A27">
        <w:rPr>
          <w:rFonts w:ascii="Times New Roman" w:hAnsi="Times New Roman" w:cs="Times New Roman"/>
          <w:sz w:val="24"/>
          <w:szCs w:val="24"/>
        </w:rPr>
        <w:t xml:space="preserve"> </w:t>
      </w:r>
      <w:r w:rsidR="00C518D2" w:rsidRPr="00AE7C62" w:rsidDel="004D5A27">
        <w:rPr>
          <w:rFonts w:ascii="Times New Roman" w:hAnsi="Times New Roman" w:cs="Times New Roman"/>
          <w:sz w:val="24"/>
          <w:szCs w:val="24"/>
        </w:rPr>
        <w:t xml:space="preserve">Tim </w:t>
      </w:r>
      <w:r w:rsidR="00AF2FBC" w:rsidRPr="00AE7C62" w:rsidDel="004D5A27">
        <w:rPr>
          <w:rFonts w:ascii="Times New Roman" w:hAnsi="Times New Roman" w:cs="Times New Roman"/>
          <w:sz w:val="24"/>
          <w:szCs w:val="24"/>
        </w:rPr>
        <w:t xml:space="preserve">Duff, </w:t>
      </w:r>
      <w:r>
        <w:rPr>
          <w:rFonts w:ascii="Times New Roman" w:hAnsi="Times New Roman" w:cs="Times New Roman"/>
          <w:sz w:val="24"/>
          <w:szCs w:val="24"/>
        </w:rPr>
        <w:t xml:space="preserve">acknowledges that </w:t>
      </w:r>
      <w:r w:rsidR="00AF2FBC" w:rsidRPr="00AE7C62" w:rsidDel="004D5A27">
        <w:rPr>
          <w:rFonts w:ascii="Times New Roman" w:hAnsi="Times New Roman" w:cs="Times New Roman"/>
          <w:sz w:val="24"/>
          <w:szCs w:val="24"/>
        </w:rPr>
        <w:t>Ohio law does not require that Duke be permitted to charge customers for shared savings</w:t>
      </w:r>
      <w:r w:rsidR="00C518D2" w:rsidRPr="00AE7C62" w:rsidDel="004D5A27">
        <w:rPr>
          <w:rFonts w:ascii="Times New Roman" w:hAnsi="Times New Roman" w:cs="Times New Roman"/>
          <w:sz w:val="24"/>
          <w:szCs w:val="24"/>
        </w:rPr>
        <w:t xml:space="preserve"> (or any performance incentive for that matter)</w:t>
      </w:r>
      <w:r w:rsidR="00AF2FBC" w:rsidRPr="00AE7C62" w:rsidDel="004D5A27">
        <w:rPr>
          <w:rFonts w:ascii="Times New Roman" w:hAnsi="Times New Roman" w:cs="Times New Roman"/>
          <w:sz w:val="24"/>
          <w:szCs w:val="24"/>
        </w:rPr>
        <w:t>.</w:t>
      </w:r>
      <w:r w:rsidR="00E80C58">
        <w:rPr>
          <w:rStyle w:val="FootnoteReference"/>
          <w:rFonts w:ascii="Times New Roman" w:hAnsi="Times New Roman" w:cs="Times New Roman"/>
          <w:sz w:val="24"/>
          <w:szCs w:val="24"/>
        </w:rPr>
        <w:footnoteReference w:id="31"/>
      </w:r>
      <w:r w:rsidR="00AF2FBC" w:rsidRPr="00AE7C62" w:rsidDel="004D5A27">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AF2FBC" w:rsidRPr="00AE7C62" w:rsidDel="004D5A27">
        <w:rPr>
          <w:rFonts w:ascii="Times New Roman" w:hAnsi="Times New Roman" w:cs="Times New Roman"/>
          <w:sz w:val="24"/>
          <w:szCs w:val="24"/>
        </w:rPr>
        <w:t xml:space="preserve">Rather, the PUCO’s rules state that with the filing of its Portfolio Plan, an electric utility </w:t>
      </w:r>
      <w:r w:rsidR="00AF2FBC" w:rsidRPr="00AE7C62" w:rsidDel="004D5A27">
        <w:rPr>
          <w:rFonts w:ascii="Times New Roman" w:hAnsi="Times New Roman" w:cs="Times New Roman"/>
          <w:i/>
          <w:sz w:val="24"/>
          <w:szCs w:val="24"/>
        </w:rPr>
        <w:t>may</w:t>
      </w:r>
      <w:r w:rsidR="00AF2FBC" w:rsidRPr="00AE7C62" w:rsidDel="004D5A27">
        <w:rPr>
          <w:rFonts w:ascii="Times New Roman" w:hAnsi="Times New Roman" w:cs="Times New Roman"/>
          <w:sz w:val="24"/>
          <w:szCs w:val="24"/>
        </w:rPr>
        <w:t xml:space="preserve"> submit a request to charge customers for an approved rate mechanism</w:t>
      </w:r>
      <w:r w:rsidR="00E80C58">
        <w:rPr>
          <w:rStyle w:val="FootnoteReference"/>
          <w:rFonts w:ascii="Times New Roman" w:hAnsi="Times New Roman" w:cs="Times New Roman"/>
          <w:sz w:val="24"/>
          <w:szCs w:val="24"/>
        </w:rPr>
        <w:footnoteReference w:id="32"/>
      </w:r>
      <w:r w:rsidR="00AF2FBC" w:rsidRPr="00AE7C62" w:rsidDel="004D5A27">
        <w:rPr>
          <w:rFonts w:ascii="Times New Roman" w:hAnsi="Times New Roman" w:cs="Times New Roman"/>
          <w:sz w:val="24"/>
          <w:szCs w:val="24"/>
        </w:rPr>
        <w:t xml:space="preserve">.  </w:t>
      </w:r>
    </w:p>
    <w:p w:rsidR="00AF2FBC" w:rsidRDefault="001903DC" w:rsidP="004F574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1903DC">
        <w:rPr>
          <w:rFonts w:ascii="Times New Roman" w:hAnsi="Times New Roman" w:cs="Times New Roman"/>
          <w:sz w:val="24"/>
          <w:szCs w:val="24"/>
        </w:rPr>
        <w:t>here was no evidence put forth by any party (other than Duke) at the evidentiary hearing for this case supporting the continuation of Duke’s incentive mechanism as it currently exists.</w:t>
      </w:r>
      <w:r>
        <w:rPr>
          <w:rFonts w:ascii="Times New Roman" w:hAnsi="Times New Roman" w:cs="Times New Roman"/>
          <w:sz w:val="24"/>
          <w:szCs w:val="24"/>
        </w:rPr>
        <w:t xml:space="preserve">  </w:t>
      </w:r>
      <w:r w:rsidR="000F018E">
        <w:rPr>
          <w:rFonts w:ascii="Times New Roman" w:hAnsi="Times New Roman" w:cs="Times New Roman"/>
          <w:sz w:val="24"/>
          <w:szCs w:val="24"/>
        </w:rPr>
        <w:t xml:space="preserve">But </w:t>
      </w:r>
      <w:r>
        <w:rPr>
          <w:rFonts w:ascii="Times New Roman" w:hAnsi="Times New Roman" w:cs="Times New Roman"/>
          <w:sz w:val="24"/>
          <w:szCs w:val="24"/>
        </w:rPr>
        <w:t>i</w:t>
      </w:r>
      <w:r w:rsidR="00AF2FBC" w:rsidRPr="00AE7C62">
        <w:rPr>
          <w:rFonts w:ascii="Times New Roman" w:hAnsi="Times New Roman" w:cs="Times New Roman"/>
          <w:sz w:val="24"/>
          <w:szCs w:val="24"/>
        </w:rPr>
        <w:t xml:space="preserve">f the PUCO allows Duke to continue charging customers for shared savings, it should adopt consumer protections to limit what customers pay. </w:t>
      </w:r>
      <w:r w:rsidR="00481218">
        <w:rPr>
          <w:rFonts w:ascii="Times New Roman" w:hAnsi="Times New Roman" w:cs="Times New Roman"/>
          <w:sz w:val="24"/>
          <w:szCs w:val="24"/>
        </w:rPr>
        <w:t xml:space="preserve"> </w:t>
      </w:r>
      <w:r w:rsidR="00AF2FBC" w:rsidRPr="00AE7C62">
        <w:rPr>
          <w:rFonts w:ascii="Times New Roman" w:hAnsi="Times New Roman" w:cs="Times New Roman"/>
          <w:sz w:val="24"/>
          <w:szCs w:val="24"/>
        </w:rPr>
        <w:t>As OCC witness Gonzalez explained, “[a]n incentive mechanism is a tool used by regulators to reward exemplary utility performance in delivering energy efficiency and peak demand reduction programs to its customers.”</w:t>
      </w:r>
      <w:r w:rsidR="00AF2FBC" w:rsidRPr="00AE7C62">
        <w:rPr>
          <w:rStyle w:val="FootnoteReference"/>
          <w:rFonts w:ascii="Times New Roman" w:hAnsi="Times New Roman" w:cs="Times New Roman"/>
          <w:sz w:val="24"/>
          <w:szCs w:val="24"/>
        </w:rPr>
        <w:footnoteReference w:id="33"/>
      </w:r>
      <w:r w:rsidR="00AF2FBC" w:rsidRPr="00AE7C62">
        <w:rPr>
          <w:rFonts w:ascii="Times New Roman" w:hAnsi="Times New Roman" w:cs="Times New Roman"/>
          <w:sz w:val="24"/>
          <w:szCs w:val="24"/>
        </w:rPr>
        <w:t xml:space="preserve"> </w:t>
      </w:r>
      <w:r w:rsidR="00237C65">
        <w:rPr>
          <w:rFonts w:ascii="Times New Roman" w:hAnsi="Times New Roman" w:cs="Times New Roman"/>
          <w:sz w:val="24"/>
          <w:szCs w:val="24"/>
        </w:rPr>
        <w:t xml:space="preserve"> </w:t>
      </w:r>
      <w:r w:rsidR="00AF2FBC" w:rsidRPr="00AE7C62">
        <w:rPr>
          <w:rFonts w:ascii="Times New Roman" w:hAnsi="Times New Roman" w:cs="Times New Roman"/>
          <w:sz w:val="24"/>
          <w:szCs w:val="24"/>
        </w:rPr>
        <w:t>Duke’s energy efficiency performance in 2013, 2014, and 2015 has not been enough to satisfy the compliance benchmarks</w:t>
      </w:r>
      <w:r w:rsidR="004F5749" w:rsidRPr="00AE7C62">
        <w:rPr>
          <w:rFonts w:ascii="Times New Roman" w:hAnsi="Times New Roman" w:cs="Times New Roman"/>
          <w:sz w:val="24"/>
          <w:szCs w:val="24"/>
        </w:rPr>
        <w:t xml:space="preserve"> (without reliance on banked savings)</w:t>
      </w:r>
      <w:r w:rsidR="00AF2FBC" w:rsidRPr="00AE7C62">
        <w:rPr>
          <w:rFonts w:ascii="Times New Roman" w:hAnsi="Times New Roman" w:cs="Times New Roman"/>
          <w:sz w:val="24"/>
          <w:szCs w:val="24"/>
        </w:rPr>
        <w:t>, let alone qualify it for an incentive reward.</w:t>
      </w:r>
      <w:r w:rsidR="00AF2FBC" w:rsidRPr="00AE7C62">
        <w:rPr>
          <w:rStyle w:val="FootnoteReference"/>
          <w:rFonts w:ascii="Times New Roman" w:hAnsi="Times New Roman" w:cs="Times New Roman"/>
          <w:sz w:val="24"/>
          <w:szCs w:val="24"/>
        </w:rPr>
        <w:footnoteReference w:id="34"/>
      </w:r>
      <w:r w:rsidR="00AF2FBC" w:rsidRPr="00AE7C62">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CD390D" w:rsidRPr="00AE7C62">
        <w:rPr>
          <w:rFonts w:ascii="Times New Roman" w:hAnsi="Times New Roman" w:cs="Times New Roman"/>
          <w:sz w:val="24"/>
          <w:szCs w:val="24"/>
        </w:rPr>
        <w:t>T</w:t>
      </w:r>
      <w:r w:rsidR="00AF2FBC" w:rsidRPr="00AE7C62">
        <w:rPr>
          <w:rFonts w:ascii="Times New Roman" w:hAnsi="Times New Roman" w:cs="Times New Roman"/>
          <w:sz w:val="24"/>
          <w:szCs w:val="24"/>
        </w:rPr>
        <w:t xml:space="preserve">he Utility </w:t>
      </w:r>
      <w:r w:rsidR="00CD390D" w:rsidRPr="00AE7C62">
        <w:rPr>
          <w:rFonts w:ascii="Times New Roman" w:hAnsi="Times New Roman" w:cs="Times New Roman"/>
          <w:sz w:val="24"/>
          <w:szCs w:val="24"/>
        </w:rPr>
        <w:t xml:space="preserve">admits that it </w:t>
      </w:r>
      <w:r w:rsidR="00AF2FBC" w:rsidRPr="00AE7C62">
        <w:rPr>
          <w:rFonts w:ascii="Times New Roman" w:hAnsi="Times New Roman" w:cs="Times New Roman"/>
          <w:sz w:val="24"/>
          <w:szCs w:val="24"/>
        </w:rPr>
        <w:t>uses banked savings, (savings from past years) to charge customers on a going forward basis for shared savings.</w:t>
      </w:r>
      <w:r w:rsidR="00AF2FBC" w:rsidRPr="00AE7C62">
        <w:rPr>
          <w:rStyle w:val="FootnoteReference"/>
          <w:rFonts w:ascii="Times New Roman" w:hAnsi="Times New Roman" w:cs="Times New Roman"/>
          <w:sz w:val="24"/>
          <w:szCs w:val="24"/>
        </w:rPr>
        <w:footnoteReference w:id="35"/>
      </w:r>
      <w:r w:rsidR="00AF2FBC" w:rsidRPr="00AE7C62">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AF2FBC" w:rsidRPr="00AE7C62">
        <w:rPr>
          <w:rFonts w:ascii="Times New Roman" w:hAnsi="Times New Roman" w:cs="Times New Roman"/>
          <w:sz w:val="24"/>
          <w:szCs w:val="24"/>
        </w:rPr>
        <w:t>The PUCO should use discretion when determining whether the Utility should be permitted to earn an incentive in 2016 and the components of that incentive structure.</w:t>
      </w:r>
      <w:r w:rsidR="00A90098" w:rsidRPr="00AE7C62">
        <w:rPr>
          <w:rFonts w:ascii="Times New Roman" w:hAnsi="Times New Roman" w:cs="Times New Roman"/>
          <w:sz w:val="24"/>
          <w:szCs w:val="24"/>
        </w:rPr>
        <w:t xml:space="preserve">  Performance incentives </w:t>
      </w:r>
      <w:r w:rsidR="004F5749" w:rsidRPr="00AE7C62">
        <w:rPr>
          <w:rFonts w:ascii="Times New Roman" w:hAnsi="Times New Roman" w:cs="Times New Roman"/>
          <w:sz w:val="24"/>
          <w:szCs w:val="24"/>
        </w:rPr>
        <w:t xml:space="preserve">are not required by law and </w:t>
      </w:r>
      <w:r w:rsidR="00A90098" w:rsidRPr="00AE7C62">
        <w:rPr>
          <w:rFonts w:ascii="Times New Roman" w:hAnsi="Times New Roman" w:cs="Times New Roman"/>
          <w:sz w:val="24"/>
          <w:szCs w:val="24"/>
        </w:rPr>
        <w:t xml:space="preserve">should only be provided for </w:t>
      </w:r>
      <w:r w:rsidR="003B09EF" w:rsidRPr="00AE7C62">
        <w:rPr>
          <w:rFonts w:ascii="Times New Roman" w:hAnsi="Times New Roman" w:cs="Times New Roman"/>
          <w:sz w:val="24"/>
          <w:szCs w:val="24"/>
        </w:rPr>
        <w:t xml:space="preserve">superior </w:t>
      </w:r>
      <w:r w:rsidR="00A90098" w:rsidRPr="00AE7C62">
        <w:rPr>
          <w:rFonts w:ascii="Times New Roman" w:hAnsi="Times New Roman" w:cs="Times New Roman"/>
          <w:sz w:val="24"/>
          <w:szCs w:val="24"/>
        </w:rPr>
        <w:t>performance.</w:t>
      </w:r>
    </w:p>
    <w:p w:rsidR="00D05D76" w:rsidRPr="00D05D76" w:rsidRDefault="00D05D76" w:rsidP="00D05D76">
      <w:pPr>
        <w:autoSpaceDE w:val="0"/>
        <w:autoSpaceDN w:val="0"/>
        <w:adjustRightInd w:val="0"/>
        <w:spacing w:after="0" w:line="480" w:lineRule="auto"/>
        <w:ind w:firstLine="720"/>
        <w:rPr>
          <w:rFonts w:ascii="Times New Roman" w:hAnsi="Times New Roman" w:cs="Times New Roman"/>
          <w:sz w:val="24"/>
          <w:szCs w:val="24"/>
        </w:rPr>
      </w:pPr>
      <w:r w:rsidRPr="00D05D76">
        <w:rPr>
          <w:rFonts w:ascii="Times New Roman" w:hAnsi="Times New Roman" w:cs="Times New Roman"/>
          <w:sz w:val="24"/>
          <w:szCs w:val="24"/>
        </w:rPr>
        <w:t>For the reasons explained below, Duke’s request that its incentive mechanism continue into 2016 without modifications should be rejected.</w:t>
      </w:r>
    </w:p>
    <w:p w:rsidR="005E5370" w:rsidRPr="00AE7C62" w:rsidRDefault="005E5370" w:rsidP="00310C49">
      <w:pPr>
        <w:pStyle w:val="Heading2"/>
      </w:pPr>
      <w:bookmarkStart w:id="7" w:name="_Toc427923428"/>
      <w:r w:rsidRPr="00AE7C62">
        <w:t>A.</w:t>
      </w:r>
      <w:r w:rsidRPr="00AE7C62">
        <w:tab/>
        <w:t xml:space="preserve">Duke’s should not be permitted to continue </w:t>
      </w:r>
      <w:r w:rsidR="000F018E">
        <w:t>to collect from customer</w:t>
      </w:r>
      <w:r w:rsidR="00F71194">
        <w:t>s</w:t>
      </w:r>
      <w:r w:rsidR="000F018E">
        <w:t xml:space="preserve"> </w:t>
      </w:r>
      <w:r w:rsidRPr="00AE7C62">
        <w:t>uncapped shared savings into 2016.</w:t>
      </w:r>
      <w:bookmarkEnd w:id="7"/>
    </w:p>
    <w:p w:rsidR="0007216A" w:rsidRDefault="00310C49" w:rsidP="0007216A">
      <w:pPr>
        <w:spacing w:after="0" w:line="480" w:lineRule="auto"/>
        <w:ind w:firstLine="720"/>
        <w:rPr>
          <w:rFonts w:ascii="Times New Roman" w:hAnsi="Times New Roman" w:cs="Times New Roman"/>
          <w:sz w:val="24"/>
          <w:szCs w:val="24"/>
        </w:rPr>
      </w:pPr>
      <w:r w:rsidRPr="00AF2FBC" w:rsidDel="00726A2A">
        <w:rPr>
          <w:rFonts w:ascii="Times New Roman" w:hAnsi="Times New Roman" w:cs="Times New Roman"/>
          <w:sz w:val="24"/>
          <w:szCs w:val="24"/>
        </w:rPr>
        <w:t>Duke was permitted to collect uncapped shared savings from customers from 2012 through 2015.</w:t>
      </w:r>
      <w:r w:rsidR="008A4FAA">
        <w:rPr>
          <w:rStyle w:val="FootnoteReference"/>
          <w:rFonts w:ascii="Times New Roman" w:hAnsi="Times New Roman" w:cs="Times New Roman"/>
          <w:sz w:val="24"/>
          <w:szCs w:val="24"/>
        </w:rPr>
        <w:footnoteReference w:id="36"/>
      </w:r>
      <w:r w:rsidDel="00726A2A">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Del="00726A2A">
        <w:rPr>
          <w:rFonts w:ascii="Times New Roman" w:hAnsi="Times New Roman" w:cs="Times New Roman"/>
          <w:sz w:val="24"/>
          <w:szCs w:val="24"/>
        </w:rPr>
        <w:t xml:space="preserve">The four year uncapped shared savings experiment proved very costly to its customers and should be jettisoned in any future incentive mechanism. </w:t>
      </w:r>
      <w:r w:rsidR="0007216A">
        <w:rPr>
          <w:rFonts w:ascii="Times New Roman" w:hAnsi="Times New Roman" w:cs="Times New Roman"/>
          <w:sz w:val="24"/>
          <w:szCs w:val="24"/>
        </w:rPr>
        <w:t>Energy efficiency is supposed to save consumers money—not be a utility profit center.  Customers need protection from these unfettered shared savings charges for 2016.  The PUCO should not approve an incentive mechanism for Duke for 2016 without the critical consumer protection of a hard dollar cap.</w:t>
      </w:r>
    </w:p>
    <w:p w:rsidR="00AE7C62" w:rsidRDefault="00AF2FBC" w:rsidP="00404D46">
      <w:pPr>
        <w:spacing w:after="0" w:line="480" w:lineRule="auto"/>
        <w:ind w:firstLine="720"/>
        <w:rPr>
          <w:rFonts w:ascii="Times New Roman" w:hAnsi="Times New Roman" w:cs="Times New Roman"/>
          <w:sz w:val="24"/>
          <w:szCs w:val="24"/>
        </w:rPr>
      </w:pPr>
      <w:r w:rsidRPr="00AF2FBC">
        <w:rPr>
          <w:rFonts w:ascii="Times New Roman" w:hAnsi="Times New Roman" w:cs="Times New Roman"/>
          <w:sz w:val="24"/>
          <w:szCs w:val="24"/>
        </w:rPr>
        <w:t xml:space="preserve">A hard dollar cap means that no matter what the Utility’s </w:t>
      </w:r>
      <w:r w:rsidR="00C2477A">
        <w:rPr>
          <w:rFonts w:ascii="Times New Roman" w:hAnsi="Times New Roman" w:cs="Times New Roman"/>
          <w:sz w:val="24"/>
          <w:szCs w:val="24"/>
        </w:rPr>
        <w:t xml:space="preserve">compliance performance, </w:t>
      </w:r>
      <w:r w:rsidRPr="00AF2FBC">
        <w:rPr>
          <w:rFonts w:ascii="Times New Roman" w:hAnsi="Times New Roman" w:cs="Times New Roman"/>
          <w:sz w:val="24"/>
          <w:szCs w:val="24"/>
        </w:rPr>
        <w:t>shared savings cannot exceed</w:t>
      </w:r>
      <w:r w:rsidR="00004918">
        <w:rPr>
          <w:rFonts w:ascii="Times New Roman" w:hAnsi="Times New Roman" w:cs="Times New Roman"/>
          <w:sz w:val="24"/>
          <w:szCs w:val="24"/>
        </w:rPr>
        <w:t xml:space="preserve"> a pre-determined dollar amount</w:t>
      </w:r>
      <w:r w:rsidRPr="00AF2FBC">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A90098">
        <w:rPr>
          <w:rFonts w:ascii="Times New Roman" w:hAnsi="Times New Roman" w:cs="Times New Roman"/>
          <w:sz w:val="24"/>
          <w:szCs w:val="24"/>
        </w:rPr>
        <w:t>A hard-dollar</w:t>
      </w:r>
      <w:r w:rsidR="00A90098" w:rsidRPr="00A90098">
        <w:rPr>
          <w:rFonts w:ascii="Times New Roman" w:hAnsi="Times New Roman" w:cs="Times New Roman"/>
          <w:sz w:val="24"/>
          <w:szCs w:val="24"/>
        </w:rPr>
        <w:t xml:space="preserve"> cap would protect Duke’s customers from undetermined and excessive incentive charges that have greatly exceeded projec</w:t>
      </w:r>
      <w:r w:rsidR="004F5749">
        <w:rPr>
          <w:rFonts w:ascii="Times New Roman" w:hAnsi="Times New Roman" w:cs="Times New Roman"/>
          <w:sz w:val="24"/>
          <w:szCs w:val="24"/>
        </w:rPr>
        <w:t>tions and expectations.</w:t>
      </w:r>
      <w:r w:rsidR="00A90098">
        <w:rPr>
          <w:rStyle w:val="FootnoteReference"/>
          <w:rFonts w:ascii="Times New Roman" w:hAnsi="Times New Roman" w:cs="Times New Roman"/>
          <w:sz w:val="24"/>
          <w:szCs w:val="24"/>
        </w:rPr>
        <w:footnoteReference w:id="37"/>
      </w:r>
      <w:r w:rsidR="00004918">
        <w:rPr>
          <w:rFonts w:ascii="Times New Roman" w:hAnsi="Times New Roman" w:cs="Times New Roman"/>
          <w:sz w:val="24"/>
          <w:szCs w:val="24"/>
        </w:rPr>
        <w:t xml:space="preserve"> </w:t>
      </w:r>
    </w:p>
    <w:p w:rsidR="00404D46" w:rsidRPr="00A90098" w:rsidRDefault="00004918" w:rsidP="00404D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discussed in more detail below, OCC recommends a hard-dollar cap of no more than five </w:t>
      </w:r>
      <w:r w:rsidR="00A371B7">
        <w:rPr>
          <w:rFonts w:ascii="Times New Roman" w:hAnsi="Times New Roman" w:cs="Times New Roman"/>
          <w:sz w:val="24"/>
          <w:szCs w:val="24"/>
        </w:rPr>
        <w:t>%</w:t>
      </w:r>
      <w:r>
        <w:rPr>
          <w:rFonts w:ascii="Times New Roman" w:hAnsi="Times New Roman" w:cs="Times New Roman"/>
          <w:sz w:val="24"/>
          <w:szCs w:val="24"/>
        </w:rPr>
        <w:t xml:space="preserve"> of prudent program spending.</w:t>
      </w:r>
      <w:r w:rsidR="00404D46">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404D46">
        <w:rPr>
          <w:rFonts w:ascii="Times New Roman" w:hAnsi="Times New Roman" w:cs="Times New Roman"/>
          <w:sz w:val="24"/>
          <w:szCs w:val="24"/>
        </w:rPr>
        <w:t xml:space="preserve">Other intervenors </w:t>
      </w:r>
      <w:r w:rsidR="00B91C88">
        <w:rPr>
          <w:rFonts w:ascii="Times New Roman" w:hAnsi="Times New Roman" w:cs="Times New Roman"/>
          <w:sz w:val="24"/>
          <w:szCs w:val="24"/>
        </w:rPr>
        <w:t>also recommended hard-dollar cap amounts</w:t>
      </w:r>
      <w:r w:rsidR="00404D46">
        <w:rPr>
          <w:rFonts w:ascii="Times New Roman" w:hAnsi="Times New Roman" w:cs="Times New Roman"/>
          <w:sz w:val="24"/>
          <w:szCs w:val="24"/>
        </w:rPr>
        <w:t xml:space="preserve"> for the Utility.  Ohio Manufacturers’ Association wi</w:t>
      </w:r>
      <w:r w:rsidR="004F5749">
        <w:rPr>
          <w:rFonts w:ascii="Times New Roman" w:hAnsi="Times New Roman" w:cs="Times New Roman"/>
          <w:sz w:val="24"/>
          <w:szCs w:val="24"/>
        </w:rPr>
        <w:t xml:space="preserve">tness John Seryak recommended a hard dollar </w:t>
      </w:r>
      <w:r w:rsidR="00404D46">
        <w:rPr>
          <w:rFonts w:ascii="Times New Roman" w:hAnsi="Times New Roman" w:cs="Times New Roman"/>
          <w:sz w:val="24"/>
          <w:szCs w:val="24"/>
        </w:rPr>
        <w:t>cap on shared savings</w:t>
      </w:r>
      <w:r w:rsidR="00162BB8">
        <w:rPr>
          <w:rFonts w:ascii="Times New Roman" w:hAnsi="Times New Roman" w:cs="Times New Roman"/>
          <w:sz w:val="24"/>
          <w:szCs w:val="24"/>
        </w:rPr>
        <w:t xml:space="preserve">, </w:t>
      </w:r>
      <w:r w:rsidR="00162BB8" w:rsidRPr="00726A2A">
        <w:rPr>
          <w:rFonts w:ascii="Times New Roman" w:hAnsi="Times New Roman" w:cs="Times New Roman"/>
          <w:sz w:val="24"/>
          <w:szCs w:val="24"/>
        </w:rPr>
        <w:t>without</w:t>
      </w:r>
      <w:r w:rsidR="00726A2A">
        <w:rPr>
          <w:rFonts w:ascii="Times New Roman" w:hAnsi="Times New Roman" w:cs="Times New Roman"/>
          <w:sz w:val="24"/>
          <w:szCs w:val="24"/>
        </w:rPr>
        <w:t xml:space="preserve"> specifying any specific dollar value</w:t>
      </w:r>
      <w:r w:rsidR="00726A2A">
        <w:rPr>
          <w:rStyle w:val="FootnoteReference"/>
          <w:rFonts w:ascii="Times New Roman" w:hAnsi="Times New Roman" w:cs="Times New Roman"/>
          <w:sz w:val="24"/>
          <w:szCs w:val="24"/>
        </w:rPr>
        <w:t xml:space="preserve"> </w:t>
      </w:r>
      <w:r w:rsidR="00726A2A">
        <w:rPr>
          <w:rFonts w:ascii="Times New Roman" w:hAnsi="Times New Roman" w:cs="Times New Roman"/>
          <w:sz w:val="24"/>
          <w:szCs w:val="24"/>
        </w:rPr>
        <w:t>.</w:t>
      </w:r>
      <w:r w:rsidR="00B91C88">
        <w:rPr>
          <w:rStyle w:val="FootnoteReference"/>
          <w:rFonts w:ascii="Times New Roman" w:hAnsi="Times New Roman" w:cs="Times New Roman"/>
          <w:sz w:val="24"/>
          <w:szCs w:val="24"/>
        </w:rPr>
        <w:footnoteReference w:id="38"/>
      </w:r>
      <w:r w:rsidR="00B91C88">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B91C88">
        <w:rPr>
          <w:rFonts w:ascii="Times New Roman" w:hAnsi="Times New Roman" w:cs="Times New Roman"/>
          <w:sz w:val="24"/>
          <w:szCs w:val="24"/>
        </w:rPr>
        <w:t>Ohio Energy Group witness</w:t>
      </w:r>
      <w:r w:rsidR="00404D46">
        <w:rPr>
          <w:rFonts w:ascii="Times New Roman" w:hAnsi="Times New Roman" w:cs="Times New Roman"/>
          <w:sz w:val="24"/>
          <w:szCs w:val="24"/>
        </w:rPr>
        <w:t>, Stephe</w:t>
      </w:r>
      <w:r w:rsidR="00B91C88">
        <w:rPr>
          <w:rFonts w:ascii="Times New Roman" w:hAnsi="Times New Roman" w:cs="Times New Roman"/>
          <w:sz w:val="24"/>
          <w:szCs w:val="24"/>
        </w:rPr>
        <w:t>n Baron recommended a cap of $1 million</w:t>
      </w:r>
      <w:r w:rsidR="00404D46">
        <w:rPr>
          <w:rFonts w:ascii="Times New Roman" w:hAnsi="Times New Roman" w:cs="Times New Roman"/>
          <w:sz w:val="24"/>
          <w:szCs w:val="24"/>
        </w:rPr>
        <w:t>,</w:t>
      </w:r>
      <w:r w:rsidR="00B91C88">
        <w:rPr>
          <w:rStyle w:val="FootnoteReference"/>
          <w:rFonts w:ascii="Times New Roman" w:hAnsi="Times New Roman" w:cs="Times New Roman"/>
          <w:sz w:val="24"/>
          <w:szCs w:val="24"/>
        </w:rPr>
        <w:footnoteReference w:id="39"/>
      </w:r>
      <w:r w:rsidR="00404D46">
        <w:rPr>
          <w:rFonts w:ascii="Times New Roman" w:hAnsi="Times New Roman" w:cs="Times New Roman"/>
          <w:sz w:val="24"/>
          <w:szCs w:val="24"/>
        </w:rPr>
        <w:t xml:space="preserve"> and PUCO Staff witness Gregory Scheck recommended a cap of </w:t>
      </w:r>
      <w:r w:rsidR="004A0245">
        <w:rPr>
          <w:rFonts w:ascii="Times New Roman" w:hAnsi="Times New Roman" w:cs="Times New Roman"/>
          <w:sz w:val="24"/>
          <w:szCs w:val="24"/>
        </w:rPr>
        <w:t>$6.5 million per year after tax.</w:t>
      </w:r>
      <w:r w:rsidR="004A0245">
        <w:rPr>
          <w:rStyle w:val="FootnoteReference"/>
          <w:rFonts w:ascii="Times New Roman" w:hAnsi="Times New Roman" w:cs="Times New Roman"/>
          <w:sz w:val="24"/>
          <w:szCs w:val="24"/>
        </w:rPr>
        <w:footnoteReference w:id="40"/>
      </w:r>
      <w:r w:rsidR="004F5749">
        <w:rPr>
          <w:rFonts w:ascii="Times New Roman" w:hAnsi="Times New Roman" w:cs="Times New Roman"/>
          <w:sz w:val="24"/>
          <w:szCs w:val="24"/>
        </w:rPr>
        <w:t xml:space="preserve"> </w:t>
      </w:r>
    </w:p>
    <w:p w:rsidR="00807E2C" w:rsidRDefault="00726A2A" w:rsidP="00807E2C">
      <w:pPr>
        <w:spacing w:after="0" w:line="480" w:lineRule="auto"/>
        <w:ind w:firstLine="720"/>
        <w:rPr>
          <w:rStyle w:val="CommentTextChar"/>
          <w:bCs/>
          <w:iCs/>
        </w:rPr>
      </w:pPr>
      <w:r>
        <w:rPr>
          <w:rFonts w:ascii="Times New Roman" w:hAnsi="Times New Roman" w:cs="Times New Roman"/>
          <w:sz w:val="24"/>
          <w:szCs w:val="24"/>
        </w:rPr>
        <w:t>According to witness Gonzalez, t</w:t>
      </w:r>
      <w:r w:rsidR="00A90098" w:rsidRPr="00A90098">
        <w:rPr>
          <w:rFonts w:ascii="Times New Roman" w:hAnsi="Times New Roman" w:cs="Times New Roman"/>
          <w:sz w:val="24"/>
          <w:szCs w:val="24"/>
        </w:rPr>
        <w:t>he projected and actual incentive levels that Duke seeks to collect from customers are</w:t>
      </w:r>
      <w:r w:rsidR="00826080">
        <w:rPr>
          <w:rFonts w:ascii="Times New Roman" w:hAnsi="Times New Roman" w:cs="Times New Roman"/>
          <w:sz w:val="24"/>
          <w:szCs w:val="24"/>
        </w:rPr>
        <w:t>, “</w:t>
      </w:r>
      <w:r w:rsidR="00A90098" w:rsidRPr="00A90098">
        <w:rPr>
          <w:rFonts w:ascii="Times New Roman" w:hAnsi="Times New Roman" w:cs="Times New Roman"/>
          <w:sz w:val="24"/>
          <w:szCs w:val="24"/>
        </w:rPr>
        <w:t>exorbitant relative to the program size, and relative to other Ohio utilities.</w:t>
      </w:r>
      <w:r w:rsidR="00826080">
        <w:rPr>
          <w:rFonts w:ascii="Times New Roman" w:hAnsi="Times New Roman" w:cs="Times New Roman"/>
          <w:sz w:val="24"/>
          <w:szCs w:val="24"/>
        </w:rPr>
        <w:t>”</w:t>
      </w:r>
      <w:r w:rsidR="00826080">
        <w:rPr>
          <w:rStyle w:val="FootnoteReference"/>
          <w:rFonts w:ascii="Times New Roman" w:hAnsi="Times New Roman" w:cs="Times New Roman"/>
          <w:sz w:val="24"/>
          <w:szCs w:val="24"/>
        </w:rPr>
        <w:footnoteReference w:id="41"/>
      </w:r>
      <w:r w:rsidR="00A90098" w:rsidRPr="00A90098">
        <w:rPr>
          <w:rFonts w:ascii="Times New Roman" w:hAnsi="Times New Roman" w:cs="Times New Roman"/>
          <w:sz w:val="24"/>
          <w:szCs w:val="24"/>
        </w:rPr>
        <w:t xml:space="preserve">  </w:t>
      </w:r>
      <w:r w:rsidR="00826080">
        <w:rPr>
          <w:rFonts w:ascii="Times New Roman" w:hAnsi="Times New Roman" w:cs="Times New Roman"/>
          <w:sz w:val="24"/>
          <w:szCs w:val="24"/>
        </w:rPr>
        <w:t>To this end, Witness</w:t>
      </w:r>
      <w:r w:rsidR="003B09EF">
        <w:rPr>
          <w:rFonts w:ascii="Times New Roman" w:hAnsi="Times New Roman" w:cs="Times New Roman"/>
          <w:sz w:val="24"/>
          <w:szCs w:val="24"/>
        </w:rPr>
        <w:t xml:space="preserve"> Gonzalez </w:t>
      </w:r>
      <w:r w:rsidR="00215639">
        <w:rPr>
          <w:rFonts w:ascii="Times New Roman" w:hAnsi="Times New Roman" w:cs="Times New Roman"/>
          <w:sz w:val="24"/>
          <w:szCs w:val="24"/>
        </w:rPr>
        <w:t>explained</w:t>
      </w:r>
      <w:r w:rsidR="00826080">
        <w:rPr>
          <w:rFonts w:ascii="Times New Roman" w:hAnsi="Times New Roman" w:cs="Times New Roman"/>
          <w:sz w:val="24"/>
          <w:szCs w:val="24"/>
        </w:rPr>
        <w:t>, and the Table below demonstrates,</w:t>
      </w:r>
      <w:r w:rsidR="003B09EF">
        <w:rPr>
          <w:rFonts w:ascii="Times New Roman" w:hAnsi="Times New Roman" w:cs="Times New Roman"/>
          <w:sz w:val="24"/>
          <w:szCs w:val="24"/>
        </w:rPr>
        <w:t xml:space="preserve"> that Duke’s recent incentive awards</w:t>
      </w:r>
      <w:r w:rsidR="00807E2C">
        <w:rPr>
          <w:rFonts w:ascii="Times New Roman" w:hAnsi="Times New Roman" w:cs="Times New Roman"/>
          <w:sz w:val="24"/>
          <w:szCs w:val="24"/>
        </w:rPr>
        <w:t xml:space="preserve"> for 2012, 2013 and 2014</w:t>
      </w:r>
      <w:r w:rsidR="003B09EF">
        <w:rPr>
          <w:rFonts w:ascii="Times New Roman" w:hAnsi="Times New Roman" w:cs="Times New Roman"/>
          <w:sz w:val="24"/>
          <w:szCs w:val="24"/>
        </w:rPr>
        <w:t xml:space="preserve"> were </w:t>
      </w:r>
      <w:r w:rsidR="00807E2C">
        <w:rPr>
          <w:rFonts w:ascii="Times New Roman" w:hAnsi="Times New Roman" w:cs="Times New Roman"/>
          <w:sz w:val="24"/>
          <w:szCs w:val="24"/>
        </w:rPr>
        <w:t>49%, 51 % and 42% of the Utility’s program spending</w:t>
      </w:r>
      <w:r w:rsidR="00DF5AA6">
        <w:rPr>
          <w:rFonts w:ascii="Times New Roman" w:hAnsi="Times New Roman" w:cs="Times New Roman"/>
          <w:sz w:val="24"/>
          <w:szCs w:val="24"/>
        </w:rPr>
        <w:t>, respectively</w:t>
      </w:r>
      <w:r w:rsidR="00807E2C">
        <w:rPr>
          <w:rFonts w:ascii="Times New Roman" w:hAnsi="Times New Roman" w:cs="Times New Roman"/>
          <w:sz w:val="24"/>
          <w:szCs w:val="24"/>
        </w:rPr>
        <w:t>.</w:t>
      </w:r>
      <w:r w:rsidR="00807E2C" w:rsidRPr="00807E2C">
        <w:rPr>
          <w:rStyle w:val="CommentTextChar"/>
          <w:bCs/>
          <w:iCs/>
        </w:rPr>
        <w:t xml:space="preserve"> </w:t>
      </w:r>
      <w:r w:rsidR="00807E2C" w:rsidRPr="00826080">
        <w:rPr>
          <w:rStyle w:val="FootnoteReference"/>
          <w:rFonts w:ascii="Times New Roman" w:hAnsi="Times New Roman" w:cs="Times New Roman"/>
          <w:bCs/>
          <w:iCs/>
        </w:rPr>
        <w:footnoteReference w:id="42"/>
      </w:r>
    </w:p>
    <w:tbl>
      <w:tblPr>
        <w:tblStyle w:val="TableGrid"/>
        <w:tblW w:w="0" w:type="auto"/>
        <w:tblInd w:w="720" w:type="dxa"/>
        <w:tblLook w:val="04A0" w:firstRow="1" w:lastRow="0" w:firstColumn="1" w:lastColumn="0" w:noHBand="0" w:noVBand="1"/>
      </w:tblPr>
      <w:tblGrid>
        <w:gridCol w:w="1949"/>
        <w:gridCol w:w="2261"/>
        <w:gridCol w:w="2129"/>
        <w:gridCol w:w="1797"/>
      </w:tblGrid>
      <w:tr w:rsidR="00807E2C" w:rsidTr="00807E2C">
        <w:tc>
          <w:tcPr>
            <w:tcW w:w="1949" w:type="dxa"/>
            <w:shd w:val="clear" w:color="auto" w:fill="000000" w:themeFill="text1"/>
          </w:tcPr>
          <w:p w:rsidR="00807E2C" w:rsidRPr="00807E2C" w:rsidRDefault="00807E2C" w:rsidP="00807E2C">
            <w:pPr>
              <w:rPr>
                <w:b/>
                <w:bCs/>
                <w:iCs/>
              </w:rPr>
            </w:pPr>
            <w:r w:rsidRPr="00807E2C">
              <w:rPr>
                <w:b/>
                <w:bCs/>
                <w:iCs/>
              </w:rPr>
              <w:t>Year</w:t>
            </w:r>
          </w:p>
        </w:tc>
        <w:tc>
          <w:tcPr>
            <w:tcW w:w="2261" w:type="dxa"/>
            <w:shd w:val="clear" w:color="auto" w:fill="000000" w:themeFill="text1"/>
          </w:tcPr>
          <w:p w:rsidR="00807E2C" w:rsidRPr="00807E2C" w:rsidRDefault="00807E2C" w:rsidP="00807E2C">
            <w:pPr>
              <w:rPr>
                <w:b/>
                <w:bCs/>
                <w:iCs/>
              </w:rPr>
            </w:pPr>
            <w:r w:rsidRPr="00807E2C">
              <w:rPr>
                <w:b/>
                <w:bCs/>
                <w:iCs/>
              </w:rPr>
              <w:t>Actual and Projected Annual Dollar Incentives</w:t>
            </w:r>
          </w:p>
        </w:tc>
        <w:tc>
          <w:tcPr>
            <w:tcW w:w="2129" w:type="dxa"/>
            <w:shd w:val="clear" w:color="auto" w:fill="000000" w:themeFill="text1"/>
          </w:tcPr>
          <w:p w:rsidR="00807E2C" w:rsidRPr="00807E2C" w:rsidRDefault="00807E2C" w:rsidP="00807E2C">
            <w:pPr>
              <w:rPr>
                <w:b/>
                <w:bCs/>
                <w:iCs/>
              </w:rPr>
            </w:pPr>
            <w:r w:rsidRPr="00807E2C">
              <w:rPr>
                <w:b/>
                <w:bCs/>
                <w:iCs/>
              </w:rPr>
              <w:t>EE/PDR Program Spending</w:t>
            </w:r>
          </w:p>
        </w:tc>
        <w:tc>
          <w:tcPr>
            <w:tcW w:w="1797" w:type="dxa"/>
            <w:shd w:val="clear" w:color="auto" w:fill="000000" w:themeFill="text1"/>
          </w:tcPr>
          <w:p w:rsidR="00807E2C" w:rsidRPr="00807E2C" w:rsidRDefault="00807E2C" w:rsidP="00807E2C">
            <w:pPr>
              <w:rPr>
                <w:b/>
                <w:bCs/>
                <w:iCs/>
              </w:rPr>
            </w:pPr>
            <w:r w:rsidRPr="00807E2C">
              <w:rPr>
                <w:b/>
                <w:bCs/>
                <w:iCs/>
              </w:rPr>
              <w:t>Incentive as a % of Program Spending</w:t>
            </w:r>
          </w:p>
        </w:tc>
      </w:tr>
      <w:tr w:rsidR="00807E2C" w:rsidTr="00D80ABE">
        <w:tc>
          <w:tcPr>
            <w:tcW w:w="1949" w:type="dxa"/>
          </w:tcPr>
          <w:p w:rsidR="00807E2C" w:rsidRDefault="00807E2C" w:rsidP="00D80ABE">
            <w:pPr>
              <w:spacing w:line="480" w:lineRule="auto"/>
              <w:rPr>
                <w:bCs/>
                <w:iCs/>
              </w:rPr>
            </w:pPr>
            <w:r>
              <w:rPr>
                <w:bCs/>
                <w:iCs/>
              </w:rPr>
              <w:t>2012</w:t>
            </w:r>
          </w:p>
        </w:tc>
        <w:tc>
          <w:tcPr>
            <w:tcW w:w="2261" w:type="dxa"/>
          </w:tcPr>
          <w:p w:rsidR="00807E2C" w:rsidRDefault="00807E2C" w:rsidP="00D80ABE">
            <w:pPr>
              <w:spacing w:line="480" w:lineRule="auto"/>
              <w:rPr>
                <w:bCs/>
                <w:iCs/>
              </w:rPr>
            </w:pPr>
            <w:r>
              <w:rPr>
                <w:bCs/>
                <w:iCs/>
              </w:rPr>
              <w:t>$12,289,563</w:t>
            </w:r>
          </w:p>
        </w:tc>
        <w:tc>
          <w:tcPr>
            <w:tcW w:w="2129" w:type="dxa"/>
          </w:tcPr>
          <w:p w:rsidR="00807E2C" w:rsidRDefault="00807E2C" w:rsidP="00D80ABE">
            <w:pPr>
              <w:spacing w:line="480" w:lineRule="auto"/>
              <w:rPr>
                <w:bCs/>
                <w:iCs/>
              </w:rPr>
            </w:pPr>
            <w:r>
              <w:rPr>
                <w:bCs/>
                <w:iCs/>
              </w:rPr>
              <w:t>$25,147,118</w:t>
            </w:r>
          </w:p>
        </w:tc>
        <w:tc>
          <w:tcPr>
            <w:tcW w:w="1797" w:type="dxa"/>
          </w:tcPr>
          <w:p w:rsidR="00807E2C" w:rsidRDefault="00807E2C" w:rsidP="00D80ABE">
            <w:pPr>
              <w:spacing w:line="480" w:lineRule="auto"/>
              <w:rPr>
                <w:bCs/>
                <w:iCs/>
              </w:rPr>
            </w:pPr>
            <w:r>
              <w:rPr>
                <w:bCs/>
                <w:iCs/>
              </w:rPr>
              <w:t>49%</w:t>
            </w:r>
          </w:p>
        </w:tc>
      </w:tr>
      <w:tr w:rsidR="00807E2C" w:rsidTr="00D80ABE">
        <w:tc>
          <w:tcPr>
            <w:tcW w:w="1949" w:type="dxa"/>
          </w:tcPr>
          <w:p w:rsidR="00807E2C" w:rsidRDefault="00807E2C" w:rsidP="00D80ABE">
            <w:pPr>
              <w:spacing w:line="480" w:lineRule="auto"/>
              <w:rPr>
                <w:bCs/>
                <w:iCs/>
              </w:rPr>
            </w:pPr>
            <w:r>
              <w:rPr>
                <w:bCs/>
                <w:iCs/>
              </w:rPr>
              <w:t>2013</w:t>
            </w:r>
          </w:p>
        </w:tc>
        <w:tc>
          <w:tcPr>
            <w:tcW w:w="2261" w:type="dxa"/>
          </w:tcPr>
          <w:p w:rsidR="00807E2C" w:rsidRDefault="00807E2C" w:rsidP="00D80ABE">
            <w:pPr>
              <w:spacing w:line="480" w:lineRule="auto"/>
              <w:rPr>
                <w:bCs/>
                <w:iCs/>
              </w:rPr>
            </w:pPr>
            <w:r>
              <w:rPr>
                <w:bCs/>
                <w:iCs/>
              </w:rPr>
              <w:t>$11,364,692 (projected)</w:t>
            </w:r>
          </w:p>
        </w:tc>
        <w:tc>
          <w:tcPr>
            <w:tcW w:w="2129" w:type="dxa"/>
          </w:tcPr>
          <w:p w:rsidR="00807E2C" w:rsidRDefault="00807E2C" w:rsidP="00D80ABE">
            <w:pPr>
              <w:spacing w:line="480" w:lineRule="auto"/>
              <w:rPr>
                <w:bCs/>
                <w:iCs/>
              </w:rPr>
            </w:pPr>
            <w:r>
              <w:rPr>
                <w:bCs/>
                <w:iCs/>
              </w:rPr>
              <w:t>$22,130,677</w:t>
            </w:r>
          </w:p>
        </w:tc>
        <w:tc>
          <w:tcPr>
            <w:tcW w:w="1797" w:type="dxa"/>
          </w:tcPr>
          <w:p w:rsidR="00807E2C" w:rsidRDefault="00807E2C" w:rsidP="00D80ABE">
            <w:pPr>
              <w:spacing w:line="480" w:lineRule="auto"/>
              <w:rPr>
                <w:bCs/>
                <w:iCs/>
              </w:rPr>
            </w:pPr>
            <w:r>
              <w:rPr>
                <w:bCs/>
                <w:iCs/>
              </w:rPr>
              <w:t>51%</w:t>
            </w:r>
          </w:p>
        </w:tc>
      </w:tr>
      <w:tr w:rsidR="00807E2C" w:rsidTr="00D80ABE">
        <w:tc>
          <w:tcPr>
            <w:tcW w:w="1949" w:type="dxa"/>
          </w:tcPr>
          <w:p w:rsidR="00807E2C" w:rsidRDefault="00807E2C" w:rsidP="00D80ABE">
            <w:pPr>
              <w:spacing w:line="480" w:lineRule="auto"/>
              <w:rPr>
                <w:bCs/>
                <w:iCs/>
              </w:rPr>
            </w:pPr>
            <w:r>
              <w:rPr>
                <w:bCs/>
                <w:iCs/>
              </w:rPr>
              <w:t>2014</w:t>
            </w:r>
          </w:p>
        </w:tc>
        <w:tc>
          <w:tcPr>
            <w:tcW w:w="2261" w:type="dxa"/>
          </w:tcPr>
          <w:p w:rsidR="00807E2C" w:rsidRDefault="00807E2C" w:rsidP="00D80ABE">
            <w:pPr>
              <w:spacing w:line="480" w:lineRule="auto"/>
              <w:rPr>
                <w:bCs/>
                <w:iCs/>
              </w:rPr>
            </w:pPr>
            <w:r>
              <w:rPr>
                <w:bCs/>
                <w:iCs/>
              </w:rPr>
              <w:t>$12,975,188 (projected)</w:t>
            </w:r>
          </w:p>
        </w:tc>
        <w:tc>
          <w:tcPr>
            <w:tcW w:w="2129" w:type="dxa"/>
          </w:tcPr>
          <w:p w:rsidR="00807E2C" w:rsidRDefault="00807E2C" w:rsidP="00D80ABE">
            <w:pPr>
              <w:spacing w:line="480" w:lineRule="auto"/>
              <w:rPr>
                <w:bCs/>
                <w:iCs/>
              </w:rPr>
            </w:pPr>
            <w:r>
              <w:rPr>
                <w:bCs/>
                <w:iCs/>
              </w:rPr>
              <w:t>$30,608,344</w:t>
            </w:r>
          </w:p>
        </w:tc>
        <w:tc>
          <w:tcPr>
            <w:tcW w:w="1797" w:type="dxa"/>
          </w:tcPr>
          <w:p w:rsidR="00807E2C" w:rsidRDefault="00807E2C" w:rsidP="00D80ABE">
            <w:pPr>
              <w:spacing w:line="480" w:lineRule="auto"/>
              <w:rPr>
                <w:bCs/>
                <w:iCs/>
              </w:rPr>
            </w:pPr>
            <w:r>
              <w:rPr>
                <w:bCs/>
                <w:iCs/>
              </w:rPr>
              <w:t>42%</w:t>
            </w:r>
          </w:p>
        </w:tc>
      </w:tr>
      <w:tr w:rsidR="00807E2C" w:rsidTr="00D80ABE">
        <w:tc>
          <w:tcPr>
            <w:tcW w:w="1949" w:type="dxa"/>
          </w:tcPr>
          <w:p w:rsidR="00807E2C" w:rsidRDefault="00807E2C" w:rsidP="00D80ABE">
            <w:pPr>
              <w:spacing w:line="480" w:lineRule="auto"/>
              <w:rPr>
                <w:bCs/>
                <w:iCs/>
              </w:rPr>
            </w:pPr>
            <w:r>
              <w:rPr>
                <w:bCs/>
                <w:iCs/>
              </w:rPr>
              <w:t>2015</w:t>
            </w:r>
          </w:p>
        </w:tc>
        <w:tc>
          <w:tcPr>
            <w:tcW w:w="2261" w:type="dxa"/>
          </w:tcPr>
          <w:p w:rsidR="00807E2C" w:rsidRDefault="00807E2C" w:rsidP="00D80ABE">
            <w:pPr>
              <w:spacing w:line="480" w:lineRule="auto"/>
              <w:rPr>
                <w:bCs/>
                <w:iCs/>
              </w:rPr>
            </w:pPr>
            <w:r>
              <w:rPr>
                <w:bCs/>
                <w:iCs/>
              </w:rPr>
              <w:t>$8,718,468 (projected)</w:t>
            </w:r>
          </w:p>
        </w:tc>
        <w:tc>
          <w:tcPr>
            <w:tcW w:w="2129" w:type="dxa"/>
          </w:tcPr>
          <w:p w:rsidR="00807E2C" w:rsidRDefault="00807E2C" w:rsidP="00D80ABE">
            <w:pPr>
              <w:spacing w:line="480" w:lineRule="auto"/>
              <w:rPr>
                <w:bCs/>
                <w:iCs/>
              </w:rPr>
            </w:pPr>
          </w:p>
        </w:tc>
        <w:tc>
          <w:tcPr>
            <w:tcW w:w="1797" w:type="dxa"/>
          </w:tcPr>
          <w:p w:rsidR="00807E2C" w:rsidRDefault="00807E2C" w:rsidP="00D80ABE">
            <w:pPr>
              <w:spacing w:line="480" w:lineRule="auto"/>
              <w:rPr>
                <w:bCs/>
                <w:iCs/>
              </w:rPr>
            </w:pPr>
          </w:p>
        </w:tc>
      </w:tr>
      <w:tr w:rsidR="00807E2C" w:rsidTr="00D80ABE">
        <w:tc>
          <w:tcPr>
            <w:tcW w:w="1949" w:type="dxa"/>
          </w:tcPr>
          <w:p w:rsidR="00807E2C" w:rsidRDefault="00807E2C" w:rsidP="00D80ABE">
            <w:pPr>
              <w:spacing w:line="480" w:lineRule="auto"/>
              <w:rPr>
                <w:bCs/>
                <w:iCs/>
              </w:rPr>
            </w:pPr>
            <w:r>
              <w:rPr>
                <w:bCs/>
                <w:iCs/>
              </w:rPr>
              <w:t>Total</w:t>
            </w:r>
          </w:p>
        </w:tc>
        <w:tc>
          <w:tcPr>
            <w:tcW w:w="2261" w:type="dxa"/>
          </w:tcPr>
          <w:p w:rsidR="00807E2C" w:rsidRDefault="00807E2C" w:rsidP="00D80ABE">
            <w:pPr>
              <w:spacing w:line="480" w:lineRule="auto"/>
              <w:rPr>
                <w:bCs/>
                <w:iCs/>
              </w:rPr>
            </w:pPr>
            <w:r>
              <w:rPr>
                <w:bCs/>
                <w:iCs/>
              </w:rPr>
              <w:t>$45,347,911</w:t>
            </w:r>
          </w:p>
        </w:tc>
        <w:tc>
          <w:tcPr>
            <w:tcW w:w="2129" w:type="dxa"/>
          </w:tcPr>
          <w:p w:rsidR="00807E2C" w:rsidRDefault="00807E2C" w:rsidP="00D80ABE">
            <w:pPr>
              <w:spacing w:line="480" w:lineRule="auto"/>
              <w:rPr>
                <w:bCs/>
                <w:iCs/>
              </w:rPr>
            </w:pPr>
          </w:p>
        </w:tc>
        <w:tc>
          <w:tcPr>
            <w:tcW w:w="1797" w:type="dxa"/>
          </w:tcPr>
          <w:p w:rsidR="00807E2C" w:rsidRDefault="00807E2C" w:rsidP="00D80ABE">
            <w:pPr>
              <w:spacing w:line="480" w:lineRule="auto"/>
              <w:rPr>
                <w:bCs/>
                <w:iCs/>
              </w:rPr>
            </w:pPr>
          </w:p>
        </w:tc>
      </w:tr>
    </w:tbl>
    <w:p w:rsidR="00807E2C" w:rsidRDefault="00807E2C" w:rsidP="00A90098">
      <w:pPr>
        <w:spacing w:after="0" w:line="480" w:lineRule="auto"/>
        <w:ind w:firstLine="720"/>
        <w:rPr>
          <w:rFonts w:ascii="Times New Roman" w:hAnsi="Times New Roman" w:cs="Times New Roman"/>
          <w:sz w:val="24"/>
          <w:szCs w:val="24"/>
        </w:rPr>
      </w:pPr>
    </w:p>
    <w:p w:rsidR="0007216A" w:rsidRDefault="0007216A" w:rsidP="00CA1B35">
      <w:pPr>
        <w:spacing w:after="0" w:line="480" w:lineRule="auto"/>
        <w:rPr>
          <w:rFonts w:ascii="Times New Roman" w:hAnsi="Times New Roman" w:cs="Times New Roman"/>
          <w:sz w:val="24"/>
          <w:szCs w:val="24"/>
        </w:rPr>
      </w:pPr>
      <w:r>
        <w:rPr>
          <w:rFonts w:ascii="Times New Roman" w:hAnsi="Times New Roman" w:cs="Times New Roman"/>
          <w:sz w:val="24"/>
          <w:szCs w:val="24"/>
        </w:rPr>
        <w:t>Duke’s shared savings mechanism</w:t>
      </w:r>
      <w:r w:rsidRPr="00A90098">
        <w:rPr>
          <w:rFonts w:ascii="Times New Roman" w:hAnsi="Times New Roman" w:cs="Times New Roman"/>
          <w:sz w:val="24"/>
          <w:szCs w:val="24"/>
        </w:rPr>
        <w:t xml:space="preserve"> also significantly exceed</w:t>
      </w:r>
      <w:r>
        <w:rPr>
          <w:rFonts w:ascii="Times New Roman" w:hAnsi="Times New Roman" w:cs="Times New Roman"/>
          <w:sz w:val="24"/>
          <w:szCs w:val="24"/>
        </w:rPr>
        <w:t>s</w:t>
      </w:r>
      <w:r w:rsidRPr="00A90098">
        <w:rPr>
          <w:rFonts w:ascii="Times New Roman" w:hAnsi="Times New Roman" w:cs="Times New Roman"/>
          <w:sz w:val="24"/>
          <w:szCs w:val="24"/>
        </w:rPr>
        <w:t xml:space="preserve"> utility energy efficiency incentive awards nationwide as a percentage of program cost. </w:t>
      </w:r>
      <w:r>
        <w:rPr>
          <w:rStyle w:val="FootnoteReference"/>
          <w:rFonts w:ascii="Times New Roman" w:hAnsi="Times New Roman" w:cs="Times New Roman"/>
          <w:sz w:val="24"/>
          <w:szCs w:val="24"/>
        </w:rPr>
        <w:footnoteReference w:id="43"/>
      </w:r>
      <w:r w:rsidRPr="00A90098">
        <w:rPr>
          <w:rFonts w:ascii="Times New Roman" w:hAnsi="Times New Roman" w:cs="Times New Roman"/>
          <w:sz w:val="24"/>
          <w:szCs w:val="24"/>
        </w:rPr>
        <w:t xml:space="preserve"> </w:t>
      </w:r>
    </w:p>
    <w:p w:rsidR="00664810" w:rsidRDefault="0007216A" w:rsidP="00E2371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Imposing a hard dollar cap is also consistent with how the PUCO has treated this issue in the past.  </w:t>
      </w:r>
      <w:r w:rsidR="00E23711">
        <w:rPr>
          <w:rFonts w:ascii="Times New Roman" w:eastAsia="Times New Roman" w:hAnsi="Times New Roman" w:cs="Times New Roman"/>
          <w:sz w:val="24"/>
          <w:szCs w:val="24"/>
        </w:rPr>
        <w:t xml:space="preserve">The other three Ohio EDUs currently have hard-dollar caps </w:t>
      </w:r>
      <w:r w:rsidR="00BC3E2A">
        <w:rPr>
          <w:rFonts w:ascii="Times New Roman" w:eastAsia="Times New Roman" w:hAnsi="Times New Roman" w:cs="Times New Roman"/>
          <w:sz w:val="24"/>
          <w:szCs w:val="24"/>
        </w:rPr>
        <w:t xml:space="preserve">as a component of </w:t>
      </w:r>
      <w:r w:rsidR="00E23711">
        <w:rPr>
          <w:rFonts w:ascii="Times New Roman" w:eastAsia="Times New Roman" w:hAnsi="Times New Roman" w:cs="Times New Roman"/>
          <w:sz w:val="24"/>
          <w:szCs w:val="24"/>
        </w:rPr>
        <w:t xml:space="preserve">their incentive mechanisms.  </w:t>
      </w:r>
      <w:r w:rsidR="001716FB">
        <w:rPr>
          <w:rFonts w:ascii="Times New Roman" w:eastAsia="Times New Roman" w:hAnsi="Times New Roman" w:cs="Times New Roman"/>
          <w:sz w:val="24"/>
          <w:szCs w:val="24"/>
        </w:rPr>
        <w:t xml:space="preserve">The PUCO approved Stipulation Agreements whereby </w:t>
      </w:r>
      <w:r w:rsidR="00E23711">
        <w:rPr>
          <w:rFonts w:ascii="Times New Roman" w:eastAsia="Times New Roman" w:hAnsi="Times New Roman" w:cs="Times New Roman"/>
          <w:sz w:val="24"/>
          <w:szCs w:val="24"/>
        </w:rPr>
        <w:t>t</w:t>
      </w:r>
      <w:r w:rsidR="00E23711" w:rsidRPr="00E23711">
        <w:rPr>
          <w:rFonts w:ascii="Times New Roman" w:eastAsia="Times New Roman" w:hAnsi="Times New Roman" w:cs="Times New Roman"/>
          <w:sz w:val="24"/>
          <w:szCs w:val="24"/>
        </w:rPr>
        <w:t xml:space="preserve">he Dayton Power and Light Company </w:t>
      </w:r>
      <w:r w:rsidR="001716FB">
        <w:rPr>
          <w:rFonts w:ascii="Times New Roman" w:eastAsia="Times New Roman" w:hAnsi="Times New Roman" w:cs="Times New Roman"/>
          <w:sz w:val="24"/>
          <w:szCs w:val="24"/>
        </w:rPr>
        <w:t>is subject to</w:t>
      </w:r>
      <w:r w:rsidR="001716FB" w:rsidRPr="00E23711">
        <w:rPr>
          <w:rFonts w:ascii="Times New Roman" w:eastAsia="Times New Roman" w:hAnsi="Times New Roman" w:cs="Times New Roman"/>
          <w:sz w:val="24"/>
          <w:szCs w:val="24"/>
        </w:rPr>
        <w:t xml:space="preserve"> </w:t>
      </w:r>
      <w:r w:rsidR="00E23711" w:rsidRPr="00E23711">
        <w:rPr>
          <w:rFonts w:ascii="Times New Roman" w:eastAsia="Times New Roman" w:hAnsi="Times New Roman" w:cs="Times New Roman"/>
          <w:sz w:val="24"/>
          <w:szCs w:val="24"/>
        </w:rPr>
        <w:t>a hard-dollar cap of $4.5 million dollars per year</w:t>
      </w:r>
      <w:r w:rsidR="001716FB">
        <w:rPr>
          <w:rFonts w:ascii="Times New Roman" w:eastAsia="Times New Roman" w:hAnsi="Times New Roman" w:cs="Times New Roman"/>
          <w:sz w:val="24"/>
          <w:szCs w:val="24"/>
        </w:rPr>
        <w:t xml:space="preserve"> and Ohio Power </w:t>
      </w:r>
      <w:r w:rsidR="008A4FAA">
        <w:rPr>
          <w:rFonts w:ascii="Times New Roman" w:eastAsia="Times New Roman" w:hAnsi="Times New Roman" w:cs="Times New Roman"/>
          <w:sz w:val="24"/>
          <w:szCs w:val="24"/>
        </w:rPr>
        <w:t>C</w:t>
      </w:r>
      <w:r w:rsidR="001716FB">
        <w:rPr>
          <w:rFonts w:ascii="Times New Roman" w:eastAsia="Times New Roman" w:hAnsi="Times New Roman" w:cs="Times New Roman"/>
          <w:sz w:val="24"/>
          <w:szCs w:val="24"/>
        </w:rPr>
        <w:t>ompany is subject to a cap of $20 million per year</w:t>
      </w:r>
      <w:r w:rsidR="00E23711" w:rsidRPr="00E23711">
        <w:rPr>
          <w:rFonts w:ascii="Times New Roman" w:eastAsia="Times New Roman" w:hAnsi="Times New Roman" w:cs="Times New Roman"/>
          <w:sz w:val="24"/>
          <w:szCs w:val="24"/>
        </w:rPr>
        <w:t>.</w:t>
      </w:r>
      <w:r w:rsidR="00E23711">
        <w:rPr>
          <w:rStyle w:val="FootnoteReference"/>
          <w:rFonts w:ascii="Times New Roman" w:eastAsia="Times New Roman" w:hAnsi="Times New Roman" w:cs="Times New Roman"/>
          <w:sz w:val="24"/>
          <w:szCs w:val="24"/>
        </w:rPr>
        <w:footnoteReference w:id="44"/>
      </w:r>
      <w:r w:rsidR="00E23711" w:rsidRPr="00E23711">
        <w:rPr>
          <w:rFonts w:ascii="Times New Roman" w:eastAsia="Times New Roman" w:hAnsi="Times New Roman" w:cs="Times New Roman"/>
          <w:sz w:val="24"/>
          <w:szCs w:val="24"/>
        </w:rPr>
        <w:t xml:space="preserve"> </w:t>
      </w:r>
      <w:r w:rsidR="001716FB">
        <w:rPr>
          <w:rFonts w:ascii="Times New Roman" w:eastAsia="Times New Roman" w:hAnsi="Times New Roman" w:cs="Times New Roman"/>
          <w:sz w:val="24"/>
          <w:szCs w:val="24"/>
        </w:rPr>
        <w:t xml:space="preserve"> </w:t>
      </w:r>
    </w:p>
    <w:p w:rsidR="00E23711" w:rsidRDefault="00531F59" w:rsidP="00E23711">
      <w:pPr>
        <w:spacing w:after="0" w:line="480" w:lineRule="auto"/>
        <w:ind w:firstLine="720"/>
        <w:rPr>
          <w:rFonts w:ascii="Times New Roman" w:eastAsia="Times New Roman" w:hAnsi="Times New Roman" w:cs="Times New Roman"/>
          <w:sz w:val="24"/>
          <w:szCs w:val="24"/>
        </w:rPr>
      </w:pPr>
      <w:r w:rsidRPr="00E23711" w:rsidDel="001716FB">
        <w:rPr>
          <w:rFonts w:ascii="Times New Roman" w:eastAsia="Times New Roman" w:hAnsi="Times New Roman" w:cs="Times New Roman"/>
          <w:sz w:val="24"/>
          <w:szCs w:val="24"/>
        </w:rPr>
        <w:t xml:space="preserve">The PUCO has indicated that it is wary of an uncapped shared savings incentive mechanism. </w:t>
      </w:r>
      <w:r w:rsidR="00481218">
        <w:rPr>
          <w:rFonts w:ascii="Times New Roman" w:eastAsia="Times New Roman" w:hAnsi="Times New Roman" w:cs="Times New Roman"/>
          <w:sz w:val="24"/>
          <w:szCs w:val="24"/>
        </w:rPr>
        <w:t xml:space="preserve"> </w:t>
      </w:r>
      <w:r w:rsidR="001716FB" w:rsidRPr="00E23711" w:rsidDel="001716FB">
        <w:rPr>
          <w:rFonts w:ascii="Times New Roman" w:eastAsia="Times New Roman" w:hAnsi="Times New Roman" w:cs="Times New Roman"/>
          <w:sz w:val="24"/>
          <w:szCs w:val="24"/>
        </w:rPr>
        <w:t>FirstEnergy filed an Application for their EE/PDR Portfolio in 2012, which included an uncapped shared savings incentive mechanism similar to Duke’s.</w:t>
      </w:r>
      <w:r w:rsidR="008A4FAA">
        <w:rPr>
          <w:rStyle w:val="FootnoteReference"/>
          <w:rFonts w:ascii="Times New Roman" w:eastAsia="Times New Roman" w:hAnsi="Times New Roman" w:cs="Times New Roman"/>
          <w:sz w:val="24"/>
          <w:szCs w:val="24"/>
        </w:rPr>
        <w:footnoteReference w:id="45"/>
      </w:r>
      <w:r w:rsidR="001716FB" w:rsidRPr="00E23711" w:rsidDel="001716FB">
        <w:rPr>
          <w:rFonts w:ascii="Times New Roman" w:eastAsia="Times New Roman" w:hAnsi="Times New Roman" w:cs="Times New Roman"/>
          <w:sz w:val="24"/>
          <w:szCs w:val="24"/>
        </w:rPr>
        <w:t xml:space="preserve">  Despite FirstEnergy’s resistance, the PUCO instituted a $10 million annual cap on the amount of shared savings that could be collected under the incentive mechanism.</w:t>
      </w:r>
      <w:r w:rsidR="008A4FAA">
        <w:rPr>
          <w:rStyle w:val="FootnoteReference"/>
          <w:rFonts w:ascii="Times New Roman" w:eastAsia="Times New Roman" w:hAnsi="Times New Roman" w:cs="Times New Roman"/>
          <w:sz w:val="24"/>
          <w:szCs w:val="24"/>
        </w:rPr>
        <w:footnoteReference w:id="46"/>
      </w:r>
    </w:p>
    <w:p w:rsidR="00235CDC" w:rsidRDefault="00E23711" w:rsidP="00E23711">
      <w:pPr>
        <w:spacing w:after="0" w:line="480" w:lineRule="auto"/>
        <w:ind w:firstLine="720"/>
        <w:rPr>
          <w:rFonts w:ascii="Times New Roman" w:eastAsia="Times New Roman" w:hAnsi="Times New Roman" w:cs="Times New Roman"/>
          <w:sz w:val="24"/>
          <w:szCs w:val="24"/>
        </w:rPr>
      </w:pPr>
      <w:r w:rsidRPr="00E23711">
        <w:rPr>
          <w:rFonts w:ascii="Times New Roman" w:eastAsia="Times New Roman" w:hAnsi="Times New Roman" w:cs="Times New Roman"/>
          <w:sz w:val="24"/>
          <w:szCs w:val="24"/>
        </w:rPr>
        <w:t>A hard dollar cap protects consumers from paying the Utility excessive incentives for EE/PDR results, or other unintended negative consequences of a shared savings-type mechanism.</w:t>
      </w:r>
      <w:r w:rsidRPr="00E23711">
        <w:rPr>
          <w:rFonts w:ascii="Times New Roman" w:eastAsia="Times New Roman" w:hAnsi="Times New Roman" w:cs="Times New Roman"/>
          <w:sz w:val="24"/>
          <w:szCs w:val="24"/>
          <w:vertAlign w:val="superscript"/>
        </w:rPr>
        <w:footnoteReference w:id="47"/>
      </w:r>
      <w:r w:rsidRPr="00E23711">
        <w:rPr>
          <w:rFonts w:ascii="Times New Roman" w:eastAsia="Times New Roman" w:hAnsi="Times New Roman" w:cs="Times New Roman"/>
          <w:sz w:val="24"/>
          <w:szCs w:val="24"/>
        </w:rPr>
        <w:t xml:space="preserve">  For example, an unexpected and unprecedented increase in avoided costs, or the introduction of a revolutionary technology may lead to large increases in charges related to the shared savings incentive, which could result in unreasonably priced retail electric service in violation of R.C. 4928.02(A).</w:t>
      </w:r>
      <w:r w:rsidR="00B85F96">
        <w:rPr>
          <w:rStyle w:val="FootnoteReference"/>
          <w:rFonts w:ascii="Times New Roman" w:eastAsia="Times New Roman" w:hAnsi="Times New Roman" w:cs="Times New Roman"/>
          <w:sz w:val="24"/>
          <w:szCs w:val="24"/>
        </w:rPr>
        <w:footnoteReference w:id="48"/>
      </w:r>
      <w:r w:rsidRPr="00E23711">
        <w:rPr>
          <w:rFonts w:ascii="Times New Roman" w:eastAsia="Times New Roman" w:hAnsi="Times New Roman" w:cs="Times New Roman"/>
          <w:sz w:val="24"/>
          <w:szCs w:val="24"/>
        </w:rPr>
        <w:t xml:space="preserve">  Also, a legislative redefinition of “savings,” broadening what a utility can count towards its energy efficiency compliance can also present a risk of greater utility shared savings incentive payments by customers</w:t>
      </w:r>
      <w:r w:rsidR="00DF206C">
        <w:rPr>
          <w:rFonts w:ascii="Times New Roman" w:eastAsia="Times New Roman" w:hAnsi="Times New Roman" w:cs="Times New Roman"/>
          <w:sz w:val="24"/>
          <w:szCs w:val="24"/>
        </w:rPr>
        <w:t xml:space="preserve"> (without any additional effort by the utility)</w:t>
      </w:r>
      <w:r w:rsidRPr="00E23711">
        <w:rPr>
          <w:rFonts w:ascii="Times New Roman" w:eastAsia="Times New Roman" w:hAnsi="Times New Roman" w:cs="Times New Roman"/>
          <w:sz w:val="24"/>
          <w:szCs w:val="24"/>
        </w:rPr>
        <w:t>.</w:t>
      </w:r>
      <w:r w:rsidRPr="00E23711">
        <w:rPr>
          <w:rFonts w:ascii="Times New Roman" w:eastAsia="Times New Roman" w:hAnsi="Times New Roman" w:cs="Times New Roman"/>
          <w:sz w:val="24"/>
          <w:szCs w:val="24"/>
          <w:vertAlign w:val="superscript"/>
        </w:rPr>
        <w:footnoteReference w:id="49"/>
      </w:r>
      <w:r w:rsidR="009C03F9">
        <w:rPr>
          <w:rFonts w:ascii="Times New Roman" w:eastAsia="Times New Roman" w:hAnsi="Times New Roman" w:cs="Times New Roman"/>
          <w:sz w:val="24"/>
          <w:szCs w:val="24"/>
        </w:rPr>
        <w:t xml:space="preserve"> </w:t>
      </w:r>
    </w:p>
    <w:p w:rsidR="00481218" w:rsidRDefault="009C03F9" w:rsidP="00E2371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1218" w:rsidRDefault="004812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F78BD" w:rsidRDefault="00E23711" w:rsidP="00E23711">
      <w:pPr>
        <w:spacing w:after="0" w:line="480" w:lineRule="auto"/>
        <w:ind w:firstLine="720"/>
        <w:rPr>
          <w:rFonts w:ascii="Times New Roman" w:eastAsia="Times New Roman" w:hAnsi="Times New Roman" w:cs="Times New Roman"/>
          <w:bCs/>
          <w:iCs/>
          <w:sz w:val="24"/>
          <w:szCs w:val="24"/>
        </w:rPr>
      </w:pPr>
      <w:r w:rsidRPr="00E23711">
        <w:rPr>
          <w:rFonts w:ascii="Times New Roman" w:eastAsia="Times New Roman" w:hAnsi="Times New Roman" w:cs="Times New Roman"/>
          <w:sz w:val="24"/>
          <w:szCs w:val="24"/>
        </w:rPr>
        <w:t>In fact, in its 2013 Energy Efficiency Rider filing, Duke requested $12.5 million in shared savings incentives after spending $23.5 million on EE/PDR programs in 2012.</w:t>
      </w:r>
      <w:r w:rsidRPr="00E23711">
        <w:rPr>
          <w:rFonts w:ascii="Times New Roman" w:eastAsia="Times New Roman" w:hAnsi="Times New Roman" w:cs="Times New Roman"/>
          <w:sz w:val="24"/>
          <w:szCs w:val="24"/>
          <w:vertAlign w:val="superscript"/>
        </w:rPr>
        <w:footnoteReference w:id="50"/>
      </w:r>
      <w:r w:rsidRPr="00E23711">
        <w:rPr>
          <w:rFonts w:ascii="Times New Roman" w:eastAsia="Times New Roman" w:hAnsi="Times New Roman" w:cs="Times New Roman"/>
          <w:sz w:val="24"/>
          <w:szCs w:val="24"/>
        </w:rPr>
        <w:t xml:space="preserve">  The $12.5 million incentive that Duke requested be collected fro</w:t>
      </w:r>
      <w:r w:rsidR="006A3A16">
        <w:rPr>
          <w:rFonts w:ascii="Times New Roman" w:eastAsia="Times New Roman" w:hAnsi="Times New Roman" w:cs="Times New Roman"/>
          <w:sz w:val="24"/>
          <w:szCs w:val="24"/>
        </w:rPr>
        <w:t xml:space="preserve">m its customers for 2012 is 178% </w:t>
      </w:r>
      <w:r w:rsidRPr="00E23711">
        <w:rPr>
          <w:rFonts w:ascii="Times New Roman" w:eastAsia="Times New Roman" w:hAnsi="Times New Roman" w:cs="Times New Roman"/>
          <w:sz w:val="24"/>
          <w:szCs w:val="24"/>
        </w:rPr>
        <w:t>above Duke witness Duff’s estimated projection and 52</w:t>
      </w:r>
      <w:r w:rsidR="006A3A16">
        <w:rPr>
          <w:rFonts w:ascii="Times New Roman" w:eastAsia="Times New Roman" w:hAnsi="Times New Roman" w:cs="Times New Roman"/>
          <w:sz w:val="24"/>
          <w:szCs w:val="24"/>
        </w:rPr>
        <w:t>%</w:t>
      </w:r>
      <w:r w:rsidRPr="00E23711">
        <w:rPr>
          <w:rFonts w:ascii="Times New Roman" w:eastAsia="Times New Roman" w:hAnsi="Times New Roman" w:cs="Times New Roman"/>
          <w:sz w:val="24"/>
          <w:szCs w:val="24"/>
        </w:rPr>
        <w:t xml:space="preserve"> over his projected maximum shared savings award.</w:t>
      </w:r>
      <w:r w:rsidRPr="00E23711">
        <w:rPr>
          <w:rFonts w:ascii="Times New Roman" w:eastAsia="Times New Roman" w:hAnsi="Times New Roman" w:cs="Times New Roman"/>
          <w:sz w:val="24"/>
          <w:szCs w:val="24"/>
          <w:vertAlign w:val="superscript"/>
        </w:rPr>
        <w:footnoteReference w:id="51"/>
      </w:r>
      <w:r w:rsidR="006A3A16">
        <w:rPr>
          <w:rFonts w:ascii="Times New Roman" w:eastAsia="Times New Roman" w:hAnsi="Times New Roman" w:cs="Times New Roman"/>
          <w:sz w:val="24"/>
          <w:szCs w:val="24"/>
        </w:rPr>
        <w:t xml:space="preserve">  The incentive represents </w:t>
      </w:r>
      <w:r w:rsidR="00E753A3">
        <w:rPr>
          <w:rFonts w:ascii="Times New Roman" w:eastAsia="Times New Roman" w:hAnsi="Times New Roman" w:cs="Times New Roman"/>
          <w:sz w:val="24"/>
          <w:szCs w:val="24"/>
        </w:rPr>
        <w:t>53</w:t>
      </w:r>
      <w:r w:rsidR="006A3A16">
        <w:rPr>
          <w:rFonts w:ascii="Times New Roman" w:eastAsia="Times New Roman" w:hAnsi="Times New Roman" w:cs="Times New Roman"/>
          <w:sz w:val="24"/>
          <w:szCs w:val="24"/>
        </w:rPr>
        <w:t xml:space="preserve">% </w:t>
      </w:r>
      <w:r w:rsidRPr="00E23711">
        <w:rPr>
          <w:rFonts w:ascii="Times New Roman" w:eastAsia="Times New Roman" w:hAnsi="Times New Roman" w:cs="Times New Roman"/>
          <w:sz w:val="24"/>
          <w:szCs w:val="24"/>
        </w:rPr>
        <w:t>of Duke’s total expenditures on EE/PDR (expenditures that Duke</w:t>
      </w:r>
      <w:r w:rsidR="00E753A3">
        <w:rPr>
          <w:rFonts w:ascii="Times New Roman" w:eastAsia="Times New Roman" w:hAnsi="Times New Roman" w:cs="Times New Roman"/>
          <w:sz w:val="24"/>
          <w:szCs w:val="24"/>
        </w:rPr>
        <w:t xml:space="preserve"> seeks to charge to customers).  </w:t>
      </w:r>
      <w:r w:rsidRPr="00AF5F77">
        <w:rPr>
          <w:rFonts w:ascii="Times New Roman" w:eastAsia="Times New Roman" w:hAnsi="Times New Roman" w:cs="Times New Roman"/>
          <w:sz w:val="24"/>
          <w:szCs w:val="24"/>
        </w:rPr>
        <w:t>Similarly, Duke sought more than $11.6 million in shared savings incentives for the 2013 program year after spending $22.13 million on EE/PDR programs.</w:t>
      </w:r>
      <w:r w:rsidRPr="00AF5F77">
        <w:rPr>
          <w:rFonts w:ascii="Times New Roman" w:eastAsia="Times New Roman" w:hAnsi="Times New Roman" w:cs="Times New Roman"/>
          <w:sz w:val="24"/>
          <w:szCs w:val="24"/>
          <w:vertAlign w:val="superscript"/>
        </w:rPr>
        <w:footnoteReference w:id="52"/>
      </w:r>
      <w:r w:rsidRPr="00AF5F77">
        <w:rPr>
          <w:rFonts w:ascii="Times New Roman" w:eastAsia="Times New Roman" w:hAnsi="Times New Roman" w:cs="Times New Roman"/>
          <w:sz w:val="24"/>
          <w:szCs w:val="24"/>
        </w:rPr>
        <w:t xml:space="preserve">  This represents a shared savings incentive of over 5</w:t>
      </w:r>
      <w:r w:rsidR="00AF5F77">
        <w:rPr>
          <w:rFonts w:ascii="Times New Roman" w:eastAsia="Times New Roman" w:hAnsi="Times New Roman" w:cs="Times New Roman"/>
          <w:sz w:val="24"/>
          <w:szCs w:val="24"/>
        </w:rPr>
        <w:t>2</w:t>
      </w:r>
      <w:r w:rsidRPr="00AF5F77">
        <w:rPr>
          <w:rFonts w:ascii="Times New Roman" w:eastAsia="Times New Roman" w:hAnsi="Times New Roman" w:cs="Times New Roman"/>
          <w:sz w:val="24"/>
          <w:szCs w:val="24"/>
        </w:rPr>
        <w:t>% of program costs.</w:t>
      </w:r>
      <w:r w:rsidRPr="00AF5F77">
        <w:rPr>
          <w:rFonts w:ascii="Times New Roman" w:eastAsia="Times New Roman" w:hAnsi="Times New Roman" w:cs="Times New Roman"/>
          <w:bCs/>
          <w:iCs/>
          <w:sz w:val="24"/>
          <w:szCs w:val="24"/>
        </w:rPr>
        <w:t xml:space="preserve"> </w:t>
      </w:r>
      <w:r w:rsidR="00481218">
        <w:rPr>
          <w:rFonts w:ascii="Times New Roman" w:eastAsia="Times New Roman" w:hAnsi="Times New Roman" w:cs="Times New Roman"/>
          <w:bCs/>
          <w:iCs/>
          <w:sz w:val="24"/>
          <w:szCs w:val="24"/>
        </w:rPr>
        <w:t xml:space="preserve"> </w:t>
      </w:r>
      <w:r w:rsidRPr="00AF5F77">
        <w:rPr>
          <w:rFonts w:ascii="Times New Roman" w:eastAsia="Times New Roman" w:hAnsi="Times New Roman" w:cs="Times New Roman"/>
          <w:bCs/>
          <w:iCs/>
          <w:sz w:val="24"/>
          <w:szCs w:val="24"/>
        </w:rPr>
        <w:t>Duke is now requesting another $12,975,188 in shared savings charges in their 2014 true-up proceeding – 43% of the $30.3 million spent on EE/PDR programs for that year.</w:t>
      </w:r>
      <w:r w:rsidRPr="00AF5F77">
        <w:rPr>
          <w:rFonts w:ascii="Times New Roman" w:eastAsia="Times New Roman" w:hAnsi="Times New Roman" w:cs="Times New Roman"/>
          <w:bCs/>
          <w:iCs/>
          <w:sz w:val="24"/>
          <w:szCs w:val="24"/>
          <w:vertAlign w:val="superscript"/>
        </w:rPr>
        <w:footnoteReference w:id="53"/>
      </w:r>
      <w:r w:rsidRPr="00AF5F77">
        <w:rPr>
          <w:rFonts w:ascii="Times New Roman" w:eastAsia="Times New Roman" w:hAnsi="Times New Roman" w:cs="Times New Roman"/>
          <w:bCs/>
          <w:iCs/>
          <w:sz w:val="24"/>
          <w:szCs w:val="24"/>
        </w:rPr>
        <w:t xml:space="preserve"> </w:t>
      </w:r>
      <w:r w:rsidR="00481218">
        <w:rPr>
          <w:rFonts w:ascii="Times New Roman" w:eastAsia="Times New Roman" w:hAnsi="Times New Roman" w:cs="Times New Roman"/>
          <w:bCs/>
          <w:iCs/>
          <w:sz w:val="24"/>
          <w:szCs w:val="24"/>
        </w:rPr>
        <w:t xml:space="preserve"> </w:t>
      </w:r>
      <w:r w:rsidRPr="00AF5F77">
        <w:rPr>
          <w:rFonts w:ascii="Times New Roman" w:eastAsia="Times New Roman" w:hAnsi="Times New Roman" w:cs="Times New Roman"/>
          <w:bCs/>
          <w:iCs/>
          <w:sz w:val="24"/>
          <w:szCs w:val="24"/>
        </w:rPr>
        <w:t>That means that over a three year p</w:t>
      </w:r>
      <w:r w:rsidR="00E753A3">
        <w:rPr>
          <w:rFonts w:ascii="Times New Roman" w:eastAsia="Times New Roman" w:hAnsi="Times New Roman" w:cs="Times New Roman"/>
          <w:bCs/>
          <w:iCs/>
          <w:sz w:val="24"/>
          <w:szCs w:val="24"/>
        </w:rPr>
        <w:t>eriod (2012-2014</w:t>
      </w:r>
      <w:r w:rsidRPr="00AF5F77">
        <w:rPr>
          <w:rFonts w:ascii="Times New Roman" w:eastAsia="Times New Roman" w:hAnsi="Times New Roman" w:cs="Times New Roman"/>
          <w:bCs/>
          <w:iCs/>
          <w:sz w:val="24"/>
          <w:szCs w:val="24"/>
        </w:rPr>
        <w:t xml:space="preserve">) Duke </w:t>
      </w:r>
      <w:r w:rsidR="0049614C">
        <w:rPr>
          <w:rFonts w:ascii="Times New Roman" w:eastAsia="Times New Roman" w:hAnsi="Times New Roman" w:cs="Times New Roman"/>
          <w:bCs/>
          <w:iCs/>
          <w:sz w:val="24"/>
          <w:szCs w:val="24"/>
        </w:rPr>
        <w:t>is</w:t>
      </w:r>
      <w:r w:rsidRPr="00AF5F77">
        <w:rPr>
          <w:rFonts w:ascii="Times New Roman" w:eastAsia="Times New Roman" w:hAnsi="Times New Roman" w:cs="Times New Roman"/>
          <w:bCs/>
          <w:iCs/>
          <w:sz w:val="24"/>
          <w:szCs w:val="24"/>
        </w:rPr>
        <w:t xml:space="preserve"> seek</w:t>
      </w:r>
      <w:r w:rsidR="00AF5F77">
        <w:rPr>
          <w:rFonts w:ascii="Times New Roman" w:eastAsia="Times New Roman" w:hAnsi="Times New Roman" w:cs="Times New Roman"/>
          <w:bCs/>
          <w:iCs/>
          <w:sz w:val="24"/>
          <w:szCs w:val="24"/>
        </w:rPr>
        <w:t>ing to collect approximately $3</w:t>
      </w:r>
      <w:r w:rsidR="00E753A3">
        <w:rPr>
          <w:rFonts w:ascii="Times New Roman" w:eastAsia="Times New Roman" w:hAnsi="Times New Roman" w:cs="Times New Roman"/>
          <w:bCs/>
          <w:iCs/>
          <w:sz w:val="24"/>
          <w:szCs w:val="24"/>
        </w:rPr>
        <w:t xml:space="preserve">7.08 </w:t>
      </w:r>
      <w:r w:rsidRPr="00AF5F77">
        <w:rPr>
          <w:rFonts w:ascii="Times New Roman" w:eastAsia="Times New Roman" w:hAnsi="Times New Roman" w:cs="Times New Roman"/>
          <w:bCs/>
          <w:iCs/>
          <w:sz w:val="24"/>
          <w:szCs w:val="24"/>
        </w:rPr>
        <w:t>million in shared savings</w:t>
      </w:r>
      <w:r w:rsidR="000F78BD" w:rsidRPr="00AF5F77">
        <w:rPr>
          <w:rFonts w:ascii="Times New Roman" w:eastAsia="Times New Roman" w:hAnsi="Times New Roman" w:cs="Times New Roman"/>
          <w:bCs/>
          <w:iCs/>
          <w:sz w:val="24"/>
          <w:szCs w:val="24"/>
        </w:rPr>
        <w:t xml:space="preserve"> on programs that </w:t>
      </w:r>
      <w:r w:rsidR="00AF5F77" w:rsidRPr="00AF5F77">
        <w:rPr>
          <w:rFonts w:ascii="Times New Roman" w:eastAsia="Times New Roman" w:hAnsi="Times New Roman" w:cs="Times New Roman"/>
          <w:bCs/>
          <w:iCs/>
          <w:sz w:val="24"/>
          <w:szCs w:val="24"/>
        </w:rPr>
        <w:t xml:space="preserve">are projected to have </w:t>
      </w:r>
      <w:r w:rsidR="000F78BD" w:rsidRPr="00AF5F77">
        <w:rPr>
          <w:rFonts w:ascii="Times New Roman" w:eastAsia="Times New Roman" w:hAnsi="Times New Roman" w:cs="Times New Roman"/>
          <w:bCs/>
          <w:iCs/>
          <w:sz w:val="24"/>
          <w:szCs w:val="24"/>
        </w:rPr>
        <w:t>cost $</w:t>
      </w:r>
      <w:r w:rsidR="00E753A3">
        <w:rPr>
          <w:rFonts w:ascii="Times New Roman" w:eastAsia="Times New Roman" w:hAnsi="Times New Roman" w:cs="Times New Roman"/>
          <w:bCs/>
          <w:iCs/>
          <w:sz w:val="24"/>
          <w:szCs w:val="24"/>
        </w:rPr>
        <w:t>75.93</w:t>
      </w:r>
      <w:r w:rsidR="00AF5F77" w:rsidRPr="00AF5F77">
        <w:rPr>
          <w:rFonts w:ascii="Times New Roman" w:eastAsia="Times New Roman" w:hAnsi="Times New Roman" w:cs="Times New Roman"/>
          <w:bCs/>
          <w:iCs/>
          <w:sz w:val="24"/>
          <w:szCs w:val="24"/>
        </w:rPr>
        <w:t xml:space="preserve"> million</w:t>
      </w:r>
      <w:r w:rsidRPr="00AF5F77">
        <w:rPr>
          <w:rFonts w:ascii="Times New Roman" w:eastAsia="Times New Roman" w:hAnsi="Times New Roman" w:cs="Times New Roman"/>
          <w:bCs/>
          <w:iCs/>
          <w:sz w:val="24"/>
          <w:szCs w:val="24"/>
        </w:rPr>
        <w:t>.</w:t>
      </w:r>
      <w:r w:rsidRPr="00E23711">
        <w:rPr>
          <w:rFonts w:ascii="Times New Roman" w:eastAsia="Times New Roman" w:hAnsi="Times New Roman" w:cs="Times New Roman"/>
          <w:bCs/>
          <w:iCs/>
          <w:sz w:val="24"/>
          <w:szCs w:val="24"/>
        </w:rPr>
        <w:t xml:space="preserve">  </w:t>
      </w:r>
      <w:r w:rsidR="00E753A3" w:rsidRPr="00AF5F77">
        <w:rPr>
          <w:rFonts w:ascii="Times New Roman" w:eastAsia="Times New Roman" w:hAnsi="Times New Roman" w:cs="Times New Roman"/>
          <w:bCs/>
          <w:iCs/>
          <w:sz w:val="24"/>
          <w:szCs w:val="24"/>
        </w:rPr>
        <w:t>And Duke’s projection for 2015 shared savings charges has increased from $</w:t>
      </w:r>
      <w:r w:rsidR="00E753A3" w:rsidRPr="00AF5F77">
        <w:rPr>
          <w:rFonts w:ascii="Times New Roman" w:eastAsia="Times New Roman" w:hAnsi="Times New Roman" w:cs="Times New Roman"/>
          <w:sz w:val="24"/>
          <w:szCs w:val="24"/>
        </w:rPr>
        <w:t xml:space="preserve">7,256,153 (as filed in Case No. 13-431-EL-POR) </w:t>
      </w:r>
      <w:r w:rsidR="00E753A3" w:rsidRPr="00AF5F77">
        <w:rPr>
          <w:rFonts w:ascii="Times New Roman" w:eastAsia="Times New Roman" w:hAnsi="Times New Roman" w:cs="Times New Roman"/>
          <w:bCs/>
          <w:iCs/>
          <w:sz w:val="24"/>
          <w:szCs w:val="24"/>
        </w:rPr>
        <w:t>to $8,718,468.</w:t>
      </w:r>
      <w:r w:rsidR="009F6699">
        <w:rPr>
          <w:rStyle w:val="FootnoteReference"/>
          <w:rFonts w:ascii="Times New Roman" w:eastAsia="Times New Roman" w:hAnsi="Times New Roman" w:cs="Times New Roman"/>
          <w:bCs/>
          <w:iCs/>
          <w:sz w:val="24"/>
          <w:szCs w:val="24"/>
        </w:rPr>
        <w:footnoteReference w:id="54"/>
      </w:r>
      <w:r w:rsidR="00E753A3">
        <w:rPr>
          <w:rFonts w:ascii="Times New Roman" w:eastAsia="Times New Roman" w:hAnsi="Times New Roman" w:cs="Times New Roman"/>
          <w:bCs/>
          <w:iCs/>
          <w:sz w:val="24"/>
          <w:szCs w:val="24"/>
        </w:rPr>
        <w:t xml:space="preserve"> </w:t>
      </w:r>
    </w:p>
    <w:p w:rsidR="00E23711" w:rsidRPr="00E23711" w:rsidRDefault="009C03F9" w:rsidP="00E80C58">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OCC witness Gonzalez testified that “s</w:t>
      </w:r>
      <w:r w:rsidR="00E23711" w:rsidRPr="00E23711">
        <w:rPr>
          <w:rFonts w:ascii="Times New Roman" w:eastAsia="Times New Roman" w:hAnsi="Times New Roman" w:cs="Times New Roman"/>
          <w:sz w:val="24"/>
          <w:szCs w:val="24"/>
        </w:rPr>
        <w:t xml:space="preserve">uch exorbitant charges that Duke seeks to collect from customers are a direct result of the fact that Duke’s shared savings incentive </w:t>
      </w:r>
      <w:r w:rsidR="00E23711" w:rsidRPr="00E23711">
        <w:rPr>
          <w:rFonts w:ascii="Times New Roman" w:eastAsia="Times New Roman" w:hAnsi="Times New Roman" w:cs="Times New Roman"/>
          <w:b/>
          <w:i/>
          <w:sz w:val="24"/>
          <w:szCs w:val="24"/>
        </w:rPr>
        <w:t>does not have a cap</w:t>
      </w:r>
      <w:r w:rsidR="00E23711" w:rsidRPr="00E237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5"/>
      </w:r>
      <w:r w:rsidR="00E23711" w:rsidRPr="00E23711">
        <w:rPr>
          <w:rFonts w:ascii="Times New Roman" w:eastAsia="Times New Roman" w:hAnsi="Times New Roman" w:cs="Times New Roman"/>
          <w:sz w:val="24"/>
          <w:szCs w:val="24"/>
        </w:rPr>
        <w:t xml:space="preserve">  </w:t>
      </w:r>
      <w:r w:rsidR="004F2D5D">
        <w:rPr>
          <w:rFonts w:ascii="Times New Roman" w:eastAsia="Times New Roman" w:hAnsi="Times New Roman" w:cs="Times New Roman"/>
          <w:sz w:val="24"/>
          <w:szCs w:val="24"/>
        </w:rPr>
        <w:t>Mr.</w:t>
      </w:r>
      <w:r w:rsidR="00E23711">
        <w:rPr>
          <w:rFonts w:ascii="Times New Roman" w:eastAsia="Times New Roman" w:hAnsi="Times New Roman" w:cs="Times New Roman"/>
          <w:sz w:val="24"/>
          <w:szCs w:val="24"/>
        </w:rPr>
        <w:t xml:space="preserve"> Gonzalez </w:t>
      </w:r>
      <w:r w:rsidR="000F78BD">
        <w:rPr>
          <w:rFonts w:ascii="Times New Roman" w:eastAsia="Times New Roman" w:hAnsi="Times New Roman" w:cs="Times New Roman"/>
          <w:sz w:val="24"/>
          <w:szCs w:val="24"/>
        </w:rPr>
        <w:t xml:space="preserve">further </w:t>
      </w:r>
      <w:r w:rsidR="00E23711">
        <w:rPr>
          <w:rFonts w:ascii="Times New Roman" w:eastAsia="Times New Roman" w:hAnsi="Times New Roman" w:cs="Times New Roman"/>
          <w:sz w:val="24"/>
          <w:szCs w:val="24"/>
        </w:rPr>
        <w:t xml:space="preserve">explained </w:t>
      </w:r>
      <w:r w:rsidR="000F78BD">
        <w:rPr>
          <w:rFonts w:ascii="Times New Roman" w:eastAsia="Times New Roman" w:hAnsi="Times New Roman" w:cs="Times New Roman"/>
          <w:sz w:val="24"/>
          <w:szCs w:val="24"/>
        </w:rPr>
        <w:t xml:space="preserve">that </w:t>
      </w:r>
      <w:r w:rsidR="00E23711">
        <w:rPr>
          <w:rFonts w:ascii="Times New Roman" w:eastAsia="Times New Roman" w:hAnsi="Times New Roman" w:cs="Times New Roman"/>
          <w:sz w:val="24"/>
          <w:szCs w:val="24"/>
        </w:rPr>
        <w:t>a</w:t>
      </w:r>
      <w:r w:rsidR="00E23711" w:rsidRPr="00E23711">
        <w:rPr>
          <w:rFonts w:ascii="Times New Roman" w:eastAsia="Times New Roman" w:hAnsi="Times New Roman" w:cs="Times New Roman"/>
          <w:sz w:val="24"/>
          <w:szCs w:val="24"/>
        </w:rPr>
        <w:t xml:space="preserve"> cap on shared savings is most frequently based on a percentage of program spending.</w:t>
      </w:r>
      <w:r w:rsidR="00FE4DED">
        <w:rPr>
          <w:rStyle w:val="FootnoteReference"/>
          <w:rFonts w:ascii="Times New Roman" w:eastAsia="Times New Roman" w:hAnsi="Times New Roman" w:cs="Times New Roman"/>
          <w:sz w:val="24"/>
          <w:szCs w:val="24"/>
        </w:rPr>
        <w:footnoteReference w:id="56"/>
      </w:r>
      <w:r w:rsidR="00E23711" w:rsidRPr="00E23711">
        <w:rPr>
          <w:rFonts w:ascii="Times New Roman" w:eastAsia="Times New Roman" w:hAnsi="Times New Roman" w:cs="Times New Roman"/>
          <w:sz w:val="24"/>
          <w:szCs w:val="24"/>
        </w:rPr>
        <w:t xml:space="preserve">  </w:t>
      </w:r>
      <w:r w:rsidR="00FE4DED">
        <w:rPr>
          <w:rFonts w:ascii="Times New Roman" w:eastAsia="Times New Roman" w:hAnsi="Times New Roman" w:cs="Times New Roman"/>
          <w:sz w:val="24"/>
          <w:szCs w:val="24"/>
        </w:rPr>
        <w:t xml:space="preserve">To this end, </w:t>
      </w:r>
      <w:r w:rsidR="00FC041F">
        <w:rPr>
          <w:rFonts w:ascii="Times New Roman" w:eastAsia="Times New Roman" w:hAnsi="Times New Roman" w:cs="Times New Roman"/>
          <w:sz w:val="24"/>
          <w:szCs w:val="24"/>
        </w:rPr>
        <w:t xml:space="preserve">OCC witness Gonzalez recommends that </w:t>
      </w:r>
      <w:r w:rsidR="00E23711" w:rsidRPr="00E23711">
        <w:rPr>
          <w:rFonts w:ascii="Times New Roman" w:eastAsia="Times New Roman" w:hAnsi="Times New Roman" w:cs="Times New Roman"/>
          <w:sz w:val="24"/>
          <w:szCs w:val="24"/>
        </w:rPr>
        <w:t xml:space="preserve">the </w:t>
      </w:r>
      <w:r w:rsidR="00FC041F">
        <w:rPr>
          <w:rFonts w:ascii="Times New Roman" w:eastAsia="Times New Roman" w:hAnsi="Times New Roman" w:cs="Times New Roman"/>
          <w:sz w:val="24"/>
          <w:szCs w:val="24"/>
        </w:rPr>
        <w:t xml:space="preserve">maximum shared savings customer </w:t>
      </w:r>
      <w:r w:rsidR="00E23711" w:rsidRPr="00E23711">
        <w:rPr>
          <w:rFonts w:ascii="Times New Roman" w:eastAsia="Times New Roman" w:hAnsi="Times New Roman" w:cs="Times New Roman"/>
          <w:sz w:val="24"/>
          <w:szCs w:val="24"/>
        </w:rPr>
        <w:t>would pay to the U</w:t>
      </w:r>
      <w:r w:rsidR="00FC041F">
        <w:rPr>
          <w:rFonts w:ascii="Times New Roman" w:eastAsia="Times New Roman" w:hAnsi="Times New Roman" w:cs="Times New Roman"/>
          <w:sz w:val="24"/>
          <w:szCs w:val="24"/>
        </w:rPr>
        <w:t>tility should be five percent</w:t>
      </w:r>
      <w:r w:rsidR="00E23711" w:rsidRPr="00E23711">
        <w:rPr>
          <w:rFonts w:ascii="Times New Roman" w:eastAsia="Times New Roman" w:hAnsi="Times New Roman" w:cs="Times New Roman"/>
          <w:sz w:val="24"/>
          <w:szCs w:val="24"/>
        </w:rPr>
        <w:t xml:space="preserve"> of Duke’s prudent program spending.</w:t>
      </w:r>
      <w:r w:rsidR="008A4FAA">
        <w:rPr>
          <w:rStyle w:val="FootnoteReference"/>
          <w:rFonts w:ascii="Times New Roman" w:eastAsia="Times New Roman" w:hAnsi="Times New Roman" w:cs="Times New Roman"/>
          <w:sz w:val="24"/>
          <w:szCs w:val="24"/>
        </w:rPr>
        <w:footnoteReference w:id="57"/>
      </w:r>
      <w:r w:rsidR="00E23711" w:rsidRPr="00E23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OCC’s recommendation for a</w:t>
      </w:r>
      <w:r w:rsidR="00E23711" w:rsidRPr="00E23711">
        <w:rPr>
          <w:rFonts w:ascii="Times New Roman" w:eastAsia="Times New Roman" w:hAnsi="Times New Roman" w:cs="Times New Roman"/>
          <w:sz w:val="24"/>
          <w:szCs w:val="24"/>
        </w:rPr>
        <w:t xml:space="preserve"> hard dollar cap</w:t>
      </w:r>
      <w:r>
        <w:rPr>
          <w:rFonts w:ascii="Times New Roman" w:eastAsia="Times New Roman" w:hAnsi="Times New Roman" w:cs="Times New Roman"/>
          <w:sz w:val="24"/>
          <w:szCs w:val="24"/>
        </w:rPr>
        <w:t xml:space="preserve"> for Duke in 2016</w:t>
      </w:r>
      <w:r w:rsidR="00E23711" w:rsidRPr="00E23711">
        <w:rPr>
          <w:rFonts w:ascii="Times New Roman" w:eastAsia="Times New Roman" w:hAnsi="Times New Roman" w:cs="Times New Roman"/>
          <w:sz w:val="24"/>
          <w:szCs w:val="24"/>
        </w:rPr>
        <w:t xml:space="preserve"> would be approximately $1.8 million ($36 million x 5%).</w:t>
      </w:r>
      <w:r w:rsidR="008A4FAA">
        <w:rPr>
          <w:rStyle w:val="FootnoteReference"/>
          <w:rFonts w:ascii="Times New Roman" w:eastAsia="Times New Roman" w:hAnsi="Times New Roman" w:cs="Times New Roman"/>
          <w:sz w:val="24"/>
          <w:szCs w:val="24"/>
        </w:rPr>
        <w:footnoteReference w:id="58"/>
      </w:r>
      <w:r w:rsidR="00FC041F">
        <w:rPr>
          <w:rFonts w:ascii="Times New Roman" w:eastAsia="Times New Roman" w:hAnsi="Times New Roman" w:cs="Times New Roman"/>
          <w:sz w:val="24"/>
          <w:szCs w:val="24"/>
        </w:rPr>
        <w:t xml:space="preserve">  </w:t>
      </w:r>
      <w:r w:rsidR="004F2D5D">
        <w:rPr>
          <w:rFonts w:ascii="Times New Roman" w:eastAsia="Times New Roman" w:hAnsi="Times New Roman" w:cs="Times New Roman"/>
          <w:sz w:val="24"/>
          <w:szCs w:val="24"/>
        </w:rPr>
        <w:t>To support his recommendation, Mr. Gonzalez cited to a</w:t>
      </w:r>
      <w:r w:rsidR="004F2D5D" w:rsidRPr="00E23711">
        <w:rPr>
          <w:rFonts w:ascii="Times New Roman" w:eastAsia="Times New Roman" w:hAnsi="Times New Roman" w:cs="Times New Roman"/>
          <w:sz w:val="24"/>
          <w:szCs w:val="24"/>
        </w:rPr>
        <w:t xml:space="preserve"> study </w:t>
      </w:r>
      <w:r w:rsidR="004F2D5D">
        <w:rPr>
          <w:rFonts w:ascii="Times New Roman" w:eastAsia="Times New Roman" w:hAnsi="Times New Roman" w:cs="Times New Roman"/>
          <w:sz w:val="24"/>
          <w:szCs w:val="24"/>
        </w:rPr>
        <w:t xml:space="preserve">conducted by the American Council for an Energy-Efficient Economy (“ACEEE”) </w:t>
      </w:r>
      <w:r w:rsidR="004F2D5D" w:rsidRPr="00E23711">
        <w:rPr>
          <w:rFonts w:ascii="Times New Roman" w:eastAsia="Times New Roman" w:hAnsi="Times New Roman" w:cs="Times New Roman"/>
          <w:sz w:val="24"/>
          <w:szCs w:val="24"/>
        </w:rPr>
        <w:t>profiling 18 states</w:t>
      </w:r>
      <w:r w:rsidR="004F2D5D" w:rsidRPr="00E23711">
        <w:rPr>
          <w:rFonts w:ascii="Times New Roman" w:eastAsia="Times New Roman" w:hAnsi="Times New Roman" w:cs="Times New Roman"/>
          <w:sz w:val="24"/>
          <w:szCs w:val="24"/>
          <w:vertAlign w:val="superscript"/>
        </w:rPr>
        <w:footnoteReference w:id="59"/>
      </w:r>
      <w:r w:rsidR="004F2D5D">
        <w:rPr>
          <w:rFonts w:ascii="Times New Roman" w:eastAsia="Times New Roman" w:hAnsi="Times New Roman" w:cs="Times New Roman"/>
          <w:sz w:val="24"/>
          <w:szCs w:val="24"/>
        </w:rPr>
        <w:t xml:space="preserve"> documenting</w:t>
      </w:r>
      <w:r w:rsidR="004F2D5D" w:rsidRPr="00E23711">
        <w:rPr>
          <w:rFonts w:ascii="Times New Roman" w:eastAsia="Times New Roman" w:hAnsi="Times New Roman" w:cs="Times New Roman"/>
          <w:sz w:val="24"/>
          <w:szCs w:val="24"/>
        </w:rPr>
        <w:t xml:space="preserve"> </w:t>
      </w:r>
      <w:r w:rsidR="004F2D5D">
        <w:rPr>
          <w:rFonts w:ascii="Times New Roman" w:eastAsia="Times New Roman" w:hAnsi="Times New Roman" w:cs="Times New Roman"/>
          <w:sz w:val="24"/>
          <w:szCs w:val="24"/>
        </w:rPr>
        <w:t xml:space="preserve">shared savings incentive mechanisms that </w:t>
      </w:r>
      <w:r w:rsidR="004F2D5D" w:rsidRPr="00E23711">
        <w:rPr>
          <w:rFonts w:ascii="Times New Roman" w:eastAsia="Times New Roman" w:hAnsi="Times New Roman" w:cs="Times New Roman"/>
          <w:sz w:val="24"/>
          <w:szCs w:val="24"/>
        </w:rPr>
        <w:t>range</w:t>
      </w:r>
      <w:r w:rsidR="004F2D5D">
        <w:rPr>
          <w:rFonts w:ascii="Times New Roman" w:eastAsia="Times New Roman" w:hAnsi="Times New Roman" w:cs="Times New Roman"/>
          <w:sz w:val="24"/>
          <w:szCs w:val="24"/>
        </w:rPr>
        <w:t>d</w:t>
      </w:r>
      <w:r w:rsidR="004F2D5D" w:rsidRPr="00E23711">
        <w:rPr>
          <w:rFonts w:ascii="Times New Roman" w:eastAsia="Times New Roman" w:hAnsi="Times New Roman" w:cs="Times New Roman"/>
          <w:sz w:val="24"/>
          <w:szCs w:val="24"/>
        </w:rPr>
        <w:t xml:space="preserve"> from 5% to 20% of program spending with an average cap of 12% to 13%.</w:t>
      </w:r>
      <w:r w:rsidR="004F2D5D" w:rsidRPr="00E23711">
        <w:rPr>
          <w:rFonts w:ascii="Times New Roman" w:eastAsia="Times New Roman" w:hAnsi="Times New Roman" w:cs="Times New Roman"/>
          <w:sz w:val="24"/>
          <w:szCs w:val="24"/>
          <w:vertAlign w:val="superscript"/>
        </w:rPr>
        <w:footnoteReference w:id="60"/>
      </w:r>
    </w:p>
    <w:p w:rsidR="00D831B0" w:rsidRDefault="009C03F9" w:rsidP="00920B54">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Gonzalez explained</w:t>
      </w:r>
      <w:r w:rsidR="000F78BD">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is appropriate to cap</w:t>
      </w:r>
      <w:r w:rsidR="00FC041F">
        <w:rPr>
          <w:rFonts w:ascii="Times New Roman" w:eastAsia="Times New Roman" w:hAnsi="Times New Roman" w:cs="Times New Roman"/>
          <w:sz w:val="24"/>
          <w:szCs w:val="24"/>
        </w:rPr>
        <w:t xml:space="preserve"> Duke at an amount that </w:t>
      </w:r>
      <w:r w:rsidR="00E23711" w:rsidRPr="00E23711">
        <w:rPr>
          <w:rFonts w:ascii="Times New Roman" w:eastAsia="Times New Roman" w:hAnsi="Times New Roman" w:cs="Times New Roman"/>
          <w:sz w:val="24"/>
          <w:szCs w:val="24"/>
        </w:rPr>
        <w:t>is at the lower end of the “hard dollar” cap range reported in the ACEEE study</w:t>
      </w:r>
      <w:r w:rsidR="00FC04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C041F">
        <w:rPr>
          <w:rFonts w:ascii="Times New Roman" w:eastAsia="Times New Roman" w:hAnsi="Times New Roman" w:cs="Times New Roman"/>
          <w:sz w:val="24"/>
          <w:szCs w:val="24"/>
        </w:rPr>
        <w:t>because of</w:t>
      </w:r>
      <w:r w:rsidR="00E23711" w:rsidRPr="00E23711">
        <w:rPr>
          <w:rFonts w:ascii="Times New Roman" w:eastAsia="Times New Roman" w:hAnsi="Times New Roman" w:cs="Times New Roman"/>
          <w:sz w:val="24"/>
          <w:szCs w:val="24"/>
        </w:rPr>
        <w:t xml:space="preserve"> the change in the status of generation assets, the evolution of a competitively bid Standard Service Offer (“SSO”), and the increase in CRES offers across all of Ohio.</w:t>
      </w:r>
      <w:r>
        <w:rPr>
          <w:rFonts w:ascii="Times New Roman" w:eastAsia="Times New Roman" w:hAnsi="Times New Roman" w:cs="Times New Roman"/>
          <w:sz w:val="24"/>
          <w:szCs w:val="24"/>
        </w:rPr>
        <w:t>”</w:t>
      </w:r>
      <w:r w:rsidR="00FC041F">
        <w:rPr>
          <w:rStyle w:val="FootnoteReference"/>
          <w:rFonts w:ascii="Times New Roman" w:eastAsia="Times New Roman" w:hAnsi="Times New Roman" w:cs="Times New Roman"/>
          <w:sz w:val="24"/>
          <w:szCs w:val="24"/>
        </w:rPr>
        <w:footnoteReference w:id="61"/>
      </w:r>
      <w:r w:rsidR="00E23711" w:rsidRPr="00E23711">
        <w:rPr>
          <w:rFonts w:ascii="Times New Roman" w:eastAsia="Times New Roman" w:hAnsi="Times New Roman" w:cs="Times New Roman"/>
          <w:sz w:val="24"/>
          <w:szCs w:val="24"/>
        </w:rPr>
        <w:t xml:space="preserve">  </w:t>
      </w:r>
      <w:r w:rsidR="00CC4F87">
        <w:rPr>
          <w:rFonts w:ascii="Times New Roman" w:eastAsia="Times New Roman" w:hAnsi="Times New Roman" w:cs="Times New Roman"/>
          <w:sz w:val="24"/>
          <w:szCs w:val="24"/>
        </w:rPr>
        <w:t>Mr</w:t>
      </w:r>
      <w:r w:rsidR="00482F58">
        <w:rPr>
          <w:rFonts w:ascii="Times New Roman" w:eastAsia="Times New Roman" w:hAnsi="Times New Roman" w:cs="Times New Roman"/>
          <w:sz w:val="24"/>
          <w:szCs w:val="24"/>
        </w:rPr>
        <w:t>.</w:t>
      </w:r>
      <w:r w:rsidR="00CC4F87">
        <w:rPr>
          <w:rFonts w:ascii="Times New Roman" w:eastAsia="Times New Roman" w:hAnsi="Times New Roman" w:cs="Times New Roman"/>
          <w:sz w:val="24"/>
          <w:szCs w:val="24"/>
        </w:rPr>
        <w:t xml:space="preserve"> Gonzalez also indicated that an updated ACEEE study on the same subject corroborates that the incentive awards </w:t>
      </w:r>
      <w:r w:rsidR="00D831B0">
        <w:rPr>
          <w:rFonts w:ascii="Times New Roman" w:eastAsia="Times New Roman" w:hAnsi="Times New Roman" w:cs="Times New Roman"/>
          <w:sz w:val="24"/>
          <w:szCs w:val="24"/>
        </w:rPr>
        <w:t>in deregulated states (</w:t>
      </w:r>
      <w:r w:rsidR="00235CDC">
        <w:rPr>
          <w:rFonts w:ascii="Times New Roman" w:eastAsia="Times New Roman" w:hAnsi="Times New Roman" w:cs="Times New Roman"/>
          <w:sz w:val="24"/>
          <w:szCs w:val="24"/>
        </w:rPr>
        <w:t xml:space="preserve">like Ohio </w:t>
      </w:r>
      <w:r w:rsidR="00D831B0">
        <w:rPr>
          <w:rFonts w:ascii="Times New Roman" w:eastAsia="Times New Roman" w:hAnsi="Times New Roman" w:cs="Times New Roman"/>
          <w:sz w:val="24"/>
          <w:szCs w:val="24"/>
        </w:rPr>
        <w:t xml:space="preserve">where utility companies do not </w:t>
      </w:r>
      <w:r w:rsidR="00C2439B">
        <w:rPr>
          <w:rFonts w:ascii="Times New Roman" w:eastAsia="Times New Roman" w:hAnsi="Times New Roman" w:cs="Times New Roman"/>
          <w:sz w:val="24"/>
          <w:szCs w:val="24"/>
        </w:rPr>
        <w:t xml:space="preserve">directly </w:t>
      </w:r>
      <w:r w:rsidR="00D831B0">
        <w:rPr>
          <w:rFonts w:ascii="Times New Roman" w:eastAsia="Times New Roman" w:hAnsi="Times New Roman" w:cs="Times New Roman"/>
          <w:sz w:val="24"/>
          <w:szCs w:val="24"/>
        </w:rPr>
        <w:t xml:space="preserve">own generation) </w:t>
      </w:r>
      <w:r w:rsidR="00CC4F87">
        <w:rPr>
          <w:rFonts w:ascii="Times New Roman" w:eastAsia="Times New Roman" w:hAnsi="Times New Roman" w:cs="Times New Roman"/>
          <w:sz w:val="24"/>
          <w:szCs w:val="24"/>
        </w:rPr>
        <w:t>are much lower than awards in</w:t>
      </w:r>
      <w:r w:rsidR="00235CDC">
        <w:rPr>
          <w:rFonts w:ascii="Times New Roman" w:eastAsia="Times New Roman" w:hAnsi="Times New Roman" w:cs="Times New Roman"/>
          <w:sz w:val="24"/>
          <w:szCs w:val="24"/>
        </w:rPr>
        <w:t xml:space="preserve"> regulated </w:t>
      </w:r>
      <w:r w:rsidR="00CC4F87">
        <w:rPr>
          <w:rFonts w:ascii="Times New Roman" w:eastAsia="Times New Roman" w:hAnsi="Times New Roman" w:cs="Times New Roman"/>
          <w:sz w:val="24"/>
          <w:szCs w:val="24"/>
        </w:rPr>
        <w:t>vertically integrated states.</w:t>
      </w:r>
      <w:r w:rsidR="00CC4F87">
        <w:rPr>
          <w:rStyle w:val="FootnoteReference"/>
          <w:rFonts w:ascii="Times New Roman" w:eastAsia="Times New Roman" w:hAnsi="Times New Roman" w:cs="Times New Roman"/>
          <w:sz w:val="24"/>
          <w:szCs w:val="24"/>
        </w:rPr>
        <w:footnoteReference w:id="62"/>
      </w:r>
      <w:r w:rsidR="00E65BCF">
        <w:rPr>
          <w:rFonts w:ascii="Times New Roman" w:eastAsia="Times New Roman" w:hAnsi="Times New Roman" w:cs="Times New Roman"/>
          <w:sz w:val="24"/>
          <w:szCs w:val="24"/>
        </w:rPr>
        <w:t xml:space="preserve">  This </w:t>
      </w:r>
      <w:r w:rsidR="00D831B0">
        <w:rPr>
          <w:rFonts w:ascii="Times New Roman" w:eastAsia="Times New Roman" w:hAnsi="Times New Roman" w:cs="Times New Roman"/>
          <w:sz w:val="24"/>
          <w:szCs w:val="24"/>
        </w:rPr>
        <w:t>is because</w:t>
      </w:r>
      <w:r w:rsidR="00E65BCF">
        <w:rPr>
          <w:rFonts w:ascii="Times New Roman" w:eastAsia="Times New Roman" w:hAnsi="Times New Roman" w:cs="Times New Roman"/>
          <w:sz w:val="24"/>
          <w:szCs w:val="24"/>
        </w:rPr>
        <w:t xml:space="preserve"> </w:t>
      </w:r>
      <w:r w:rsidR="00235CDC">
        <w:rPr>
          <w:rFonts w:ascii="Times New Roman" w:eastAsia="Times New Roman" w:hAnsi="Times New Roman" w:cs="Times New Roman"/>
          <w:sz w:val="24"/>
          <w:szCs w:val="24"/>
        </w:rPr>
        <w:t xml:space="preserve">if generation is deregulated, the remaining </w:t>
      </w:r>
      <w:r w:rsidR="00E65BCF">
        <w:rPr>
          <w:rFonts w:ascii="Times New Roman" w:eastAsia="Times New Roman" w:hAnsi="Times New Roman" w:cs="Times New Roman"/>
          <w:sz w:val="24"/>
          <w:szCs w:val="24"/>
        </w:rPr>
        <w:t xml:space="preserve">electric distribution companies </w:t>
      </w:r>
      <w:r w:rsidR="00C2439B">
        <w:rPr>
          <w:rFonts w:ascii="Times New Roman" w:eastAsia="Times New Roman" w:hAnsi="Times New Roman" w:cs="Times New Roman"/>
          <w:sz w:val="24"/>
          <w:szCs w:val="24"/>
        </w:rPr>
        <w:t>should</w:t>
      </w:r>
      <w:r w:rsidR="00E65BCF">
        <w:rPr>
          <w:rFonts w:ascii="Times New Roman" w:eastAsia="Times New Roman" w:hAnsi="Times New Roman" w:cs="Times New Roman"/>
          <w:sz w:val="24"/>
          <w:szCs w:val="24"/>
        </w:rPr>
        <w:t xml:space="preserve"> not have a profit interest in generation</w:t>
      </w:r>
      <w:r w:rsidR="00235CDC">
        <w:rPr>
          <w:rFonts w:ascii="Times New Roman" w:eastAsia="Times New Roman" w:hAnsi="Times New Roman" w:cs="Times New Roman"/>
          <w:sz w:val="24"/>
          <w:szCs w:val="24"/>
        </w:rPr>
        <w:t>.  T</w:t>
      </w:r>
      <w:r w:rsidR="00E65BCF">
        <w:rPr>
          <w:rFonts w:ascii="Times New Roman" w:eastAsia="Times New Roman" w:hAnsi="Times New Roman" w:cs="Times New Roman"/>
          <w:sz w:val="24"/>
          <w:szCs w:val="24"/>
        </w:rPr>
        <w:t>herefore</w:t>
      </w:r>
      <w:r w:rsidR="00D831B0">
        <w:rPr>
          <w:rFonts w:ascii="Times New Roman" w:eastAsia="Times New Roman" w:hAnsi="Times New Roman" w:cs="Times New Roman"/>
          <w:sz w:val="24"/>
          <w:szCs w:val="24"/>
        </w:rPr>
        <w:t>, they</w:t>
      </w:r>
      <w:r w:rsidR="00E65BCF">
        <w:rPr>
          <w:rFonts w:ascii="Times New Roman" w:eastAsia="Times New Roman" w:hAnsi="Times New Roman" w:cs="Times New Roman"/>
          <w:sz w:val="24"/>
          <w:szCs w:val="24"/>
        </w:rPr>
        <w:t xml:space="preserve"> are not forgoing a</w:t>
      </w:r>
      <w:r w:rsidR="001354DB">
        <w:rPr>
          <w:rFonts w:ascii="Times New Roman" w:eastAsia="Times New Roman" w:hAnsi="Times New Roman" w:cs="Times New Roman"/>
          <w:sz w:val="24"/>
          <w:szCs w:val="24"/>
        </w:rPr>
        <w:t xml:space="preserve"> profitability opportunity like a vertically integrated company that undertakes energy efficiency.</w:t>
      </w:r>
      <w:r w:rsidR="00482F58">
        <w:rPr>
          <w:rFonts w:ascii="Times New Roman" w:eastAsia="Times New Roman" w:hAnsi="Times New Roman" w:cs="Times New Roman"/>
          <w:sz w:val="24"/>
          <w:szCs w:val="24"/>
        </w:rPr>
        <w:t xml:space="preserve">  </w:t>
      </w:r>
      <w:r w:rsidR="00A433DE">
        <w:rPr>
          <w:rFonts w:ascii="Times New Roman" w:eastAsia="Times New Roman" w:hAnsi="Times New Roman" w:cs="Times New Roman"/>
          <w:sz w:val="24"/>
          <w:szCs w:val="24"/>
        </w:rPr>
        <w:t xml:space="preserve">So the need to incentivize the utility to undertake energy efficiency is </w:t>
      </w:r>
      <w:r w:rsidR="00C2439B">
        <w:rPr>
          <w:rFonts w:ascii="Times New Roman" w:eastAsia="Times New Roman" w:hAnsi="Times New Roman" w:cs="Times New Roman"/>
          <w:sz w:val="24"/>
          <w:szCs w:val="24"/>
        </w:rPr>
        <w:t>diminished</w:t>
      </w:r>
      <w:r w:rsidR="00A433DE">
        <w:rPr>
          <w:rFonts w:ascii="Times New Roman" w:eastAsia="Times New Roman" w:hAnsi="Times New Roman" w:cs="Times New Roman"/>
          <w:sz w:val="24"/>
          <w:szCs w:val="24"/>
        </w:rPr>
        <w:t xml:space="preserve">.  </w:t>
      </w:r>
    </w:p>
    <w:p w:rsidR="00235CDC" w:rsidRDefault="00D831B0" w:rsidP="00920B54">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23711" w:rsidRPr="00E23711">
        <w:rPr>
          <w:rFonts w:ascii="Times New Roman" w:eastAsia="Times New Roman" w:hAnsi="Times New Roman" w:cs="Times New Roman"/>
          <w:sz w:val="24"/>
          <w:szCs w:val="24"/>
        </w:rPr>
        <w:t>fter the signing of S</w:t>
      </w:r>
      <w:r w:rsidR="00482F58">
        <w:rPr>
          <w:rFonts w:ascii="Times New Roman" w:eastAsia="Times New Roman" w:hAnsi="Times New Roman" w:cs="Times New Roman"/>
          <w:sz w:val="24"/>
          <w:szCs w:val="24"/>
        </w:rPr>
        <w:t xml:space="preserve">enate </w:t>
      </w:r>
      <w:r w:rsidR="00E23711" w:rsidRPr="00E23711">
        <w:rPr>
          <w:rFonts w:ascii="Times New Roman" w:eastAsia="Times New Roman" w:hAnsi="Times New Roman" w:cs="Times New Roman"/>
          <w:sz w:val="24"/>
          <w:szCs w:val="24"/>
        </w:rPr>
        <w:t>B</w:t>
      </w:r>
      <w:r w:rsidR="00482F58">
        <w:rPr>
          <w:rFonts w:ascii="Times New Roman" w:eastAsia="Times New Roman" w:hAnsi="Times New Roman" w:cs="Times New Roman"/>
          <w:sz w:val="24"/>
          <w:szCs w:val="24"/>
        </w:rPr>
        <w:t>ill</w:t>
      </w:r>
      <w:r w:rsidR="00E23711" w:rsidRPr="00E23711">
        <w:rPr>
          <w:rFonts w:ascii="Times New Roman" w:eastAsia="Times New Roman" w:hAnsi="Times New Roman" w:cs="Times New Roman"/>
          <w:sz w:val="24"/>
          <w:szCs w:val="24"/>
        </w:rPr>
        <w:t xml:space="preserve"> 221 in 2008 and the implementa</w:t>
      </w:r>
      <w:r w:rsidR="00920B54">
        <w:rPr>
          <w:rFonts w:ascii="Times New Roman" w:eastAsia="Times New Roman" w:hAnsi="Times New Roman" w:cs="Times New Roman"/>
          <w:sz w:val="24"/>
          <w:szCs w:val="24"/>
        </w:rPr>
        <w:t xml:space="preserve">tion of utility EE/PDR programs </w:t>
      </w:r>
      <w:r w:rsidR="00E23711" w:rsidRPr="00E23711">
        <w:rPr>
          <w:rFonts w:ascii="Times New Roman" w:eastAsia="Times New Roman" w:hAnsi="Times New Roman" w:cs="Times New Roman"/>
          <w:sz w:val="24"/>
          <w:szCs w:val="24"/>
        </w:rPr>
        <w:t>shortly thereafter, three of the four Ohio utilities</w:t>
      </w:r>
      <w:r w:rsidR="00E23711" w:rsidRPr="00E23711">
        <w:rPr>
          <w:rFonts w:ascii="Times New Roman" w:eastAsia="Times New Roman" w:hAnsi="Times New Roman" w:cs="Times New Roman"/>
          <w:sz w:val="24"/>
          <w:szCs w:val="24"/>
          <w:vertAlign w:val="superscript"/>
        </w:rPr>
        <w:footnoteReference w:id="63"/>
      </w:r>
      <w:r w:rsidR="00E23711" w:rsidRPr="00E23711">
        <w:rPr>
          <w:rFonts w:ascii="Times New Roman" w:eastAsia="Times New Roman" w:hAnsi="Times New Roman" w:cs="Times New Roman"/>
          <w:sz w:val="24"/>
          <w:szCs w:val="24"/>
        </w:rPr>
        <w:t xml:space="preserve"> had not corporately separated their generation assets and used their generation to meet their customers’ power requirements.</w:t>
      </w:r>
      <w:r w:rsidR="000A6628">
        <w:rPr>
          <w:rStyle w:val="FootnoteReference"/>
          <w:rFonts w:ascii="Times New Roman" w:eastAsia="Times New Roman" w:hAnsi="Times New Roman" w:cs="Times New Roman"/>
          <w:sz w:val="24"/>
          <w:szCs w:val="24"/>
        </w:rPr>
        <w:footnoteReference w:id="64"/>
      </w:r>
      <w:r w:rsidR="00E23711" w:rsidRPr="00E23711">
        <w:rPr>
          <w:rFonts w:ascii="Times New Roman" w:eastAsia="Times New Roman" w:hAnsi="Times New Roman" w:cs="Times New Roman"/>
          <w:sz w:val="24"/>
          <w:szCs w:val="24"/>
        </w:rPr>
        <w:t xml:space="preserve">  CRES offers were virtually non-existent in three of the four service territories.</w:t>
      </w:r>
      <w:r w:rsidR="000A6628">
        <w:rPr>
          <w:rStyle w:val="FootnoteReference"/>
          <w:rFonts w:ascii="Times New Roman" w:eastAsia="Times New Roman" w:hAnsi="Times New Roman" w:cs="Times New Roman"/>
          <w:sz w:val="24"/>
          <w:szCs w:val="24"/>
        </w:rPr>
        <w:footnoteReference w:id="65"/>
      </w:r>
      <w:r w:rsidR="00E23711" w:rsidRPr="00E23711">
        <w:rPr>
          <w:rFonts w:ascii="Times New Roman" w:eastAsia="Times New Roman" w:hAnsi="Times New Roman" w:cs="Times New Roman"/>
          <w:sz w:val="24"/>
          <w:szCs w:val="24"/>
        </w:rPr>
        <w:t xml:space="preserve">  The early shared savings incentive mechanisms approved in Ohio implicitly took into account that the EE/PDR programs were saving Ohio utilities’ avoided energy and capacity costs.</w:t>
      </w:r>
      <w:r w:rsidR="000A6628">
        <w:rPr>
          <w:rStyle w:val="FootnoteReference"/>
          <w:rFonts w:ascii="Times New Roman" w:eastAsia="Times New Roman" w:hAnsi="Times New Roman" w:cs="Times New Roman"/>
          <w:sz w:val="24"/>
          <w:szCs w:val="24"/>
        </w:rPr>
        <w:footnoteReference w:id="66"/>
      </w:r>
      <w:r w:rsidR="00E23711" w:rsidRPr="00E23711">
        <w:rPr>
          <w:rFonts w:ascii="Times New Roman" w:eastAsia="Times New Roman" w:hAnsi="Times New Roman" w:cs="Times New Roman"/>
          <w:sz w:val="24"/>
          <w:szCs w:val="24"/>
        </w:rPr>
        <w:t xml:space="preserve">  Accordingly,</w:t>
      </w:r>
      <w:r w:rsidR="000A6628">
        <w:rPr>
          <w:rFonts w:ascii="Times New Roman" w:eastAsia="Times New Roman" w:hAnsi="Times New Roman" w:cs="Times New Roman"/>
          <w:sz w:val="24"/>
          <w:szCs w:val="24"/>
        </w:rPr>
        <w:t xml:space="preserve"> Mr. Gonzalez pointed out that</w:t>
      </w:r>
      <w:r w:rsidR="00E23711" w:rsidRPr="00E23711">
        <w:rPr>
          <w:rFonts w:ascii="Times New Roman" w:eastAsia="Times New Roman" w:hAnsi="Times New Roman" w:cs="Times New Roman"/>
          <w:sz w:val="24"/>
          <w:szCs w:val="24"/>
        </w:rPr>
        <w:t xml:space="preserve"> the </w:t>
      </w:r>
      <w:r w:rsidR="000A6628">
        <w:rPr>
          <w:rFonts w:ascii="Times New Roman" w:eastAsia="Times New Roman" w:hAnsi="Times New Roman" w:cs="Times New Roman"/>
          <w:sz w:val="24"/>
          <w:szCs w:val="24"/>
        </w:rPr>
        <w:t>“</w:t>
      </w:r>
      <w:r w:rsidR="00E23711" w:rsidRPr="00E23711">
        <w:rPr>
          <w:rFonts w:ascii="Times New Roman" w:eastAsia="Times New Roman" w:hAnsi="Times New Roman" w:cs="Times New Roman"/>
          <w:sz w:val="24"/>
          <w:szCs w:val="24"/>
        </w:rPr>
        <w:t>incentive was structured to reflect the total level of avoided costs of the utility.</w:t>
      </w:r>
      <w:r w:rsidR="000A6628">
        <w:rPr>
          <w:rFonts w:ascii="Times New Roman" w:eastAsia="Times New Roman" w:hAnsi="Times New Roman" w:cs="Times New Roman"/>
          <w:sz w:val="24"/>
          <w:szCs w:val="24"/>
        </w:rPr>
        <w:t>”</w:t>
      </w:r>
      <w:r w:rsidR="000A6628">
        <w:rPr>
          <w:rStyle w:val="FootnoteReference"/>
          <w:rFonts w:ascii="Times New Roman" w:eastAsia="Times New Roman" w:hAnsi="Times New Roman" w:cs="Times New Roman"/>
          <w:sz w:val="24"/>
          <w:szCs w:val="24"/>
        </w:rPr>
        <w:footnoteReference w:id="67"/>
      </w:r>
      <w:r w:rsidR="00E23711" w:rsidRPr="00E23711">
        <w:rPr>
          <w:rFonts w:ascii="Times New Roman" w:eastAsia="Times New Roman" w:hAnsi="Times New Roman" w:cs="Times New Roman"/>
          <w:sz w:val="24"/>
          <w:szCs w:val="24"/>
        </w:rPr>
        <w:t xml:space="preserve">  </w:t>
      </w:r>
    </w:p>
    <w:p w:rsidR="00E23711" w:rsidRDefault="00E23711" w:rsidP="00920B54">
      <w:pPr>
        <w:autoSpaceDE w:val="0"/>
        <w:autoSpaceDN w:val="0"/>
        <w:adjustRightInd w:val="0"/>
        <w:spacing w:after="0" w:line="480" w:lineRule="auto"/>
        <w:ind w:firstLine="720"/>
        <w:rPr>
          <w:rFonts w:ascii="Times New Roman" w:eastAsia="Times New Roman" w:hAnsi="Times New Roman" w:cs="Times New Roman"/>
          <w:sz w:val="24"/>
          <w:szCs w:val="24"/>
        </w:rPr>
      </w:pPr>
      <w:r w:rsidRPr="00E23711">
        <w:rPr>
          <w:rFonts w:ascii="Times New Roman" w:eastAsia="Times New Roman" w:hAnsi="Times New Roman" w:cs="Times New Roman"/>
          <w:sz w:val="24"/>
          <w:szCs w:val="24"/>
        </w:rPr>
        <w:t>At present however, all of Oh</w:t>
      </w:r>
      <w:r w:rsidR="00D414BA">
        <w:rPr>
          <w:rFonts w:ascii="Times New Roman" w:eastAsia="Times New Roman" w:hAnsi="Times New Roman" w:cs="Times New Roman"/>
          <w:sz w:val="24"/>
          <w:szCs w:val="24"/>
        </w:rPr>
        <w:t xml:space="preserve">io’s utilities, including Duke, </w:t>
      </w:r>
      <w:r w:rsidRPr="00E23711">
        <w:rPr>
          <w:rFonts w:ascii="Times New Roman" w:eastAsia="Times New Roman" w:hAnsi="Times New Roman" w:cs="Times New Roman"/>
          <w:sz w:val="24"/>
          <w:szCs w:val="24"/>
        </w:rPr>
        <w:t>have or are in the process of corporately separating their generation assets.  That means the Ohio utilities generation assets now fully operate in deregulated competitive markets, and are profitable or not, depending on changing power market conditions.</w:t>
      </w:r>
      <w:r w:rsidR="000A6628">
        <w:rPr>
          <w:rStyle w:val="FootnoteReference"/>
          <w:rFonts w:ascii="Times New Roman" w:eastAsia="Times New Roman" w:hAnsi="Times New Roman" w:cs="Times New Roman"/>
          <w:sz w:val="24"/>
          <w:szCs w:val="24"/>
        </w:rPr>
        <w:footnoteReference w:id="68"/>
      </w:r>
      <w:r w:rsidRPr="00E23711">
        <w:rPr>
          <w:rFonts w:ascii="Times New Roman" w:eastAsia="Times New Roman" w:hAnsi="Times New Roman" w:cs="Times New Roman"/>
          <w:sz w:val="24"/>
          <w:szCs w:val="24"/>
        </w:rPr>
        <w:t xml:space="preserve">  </w:t>
      </w:r>
      <w:r w:rsidR="0007216A">
        <w:rPr>
          <w:rFonts w:ascii="Times New Roman" w:eastAsia="Times New Roman" w:hAnsi="Times New Roman" w:cs="Times New Roman"/>
          <w:sz w:val="24"/>
          <w:szCs w:val="24"/>
        </w:rPr>
        <w:t xml:space="preserve">Because the total avoided generation costs of the utility are no longer in the mix, a lower incentive is appropriate.  </w:t>
      </w:r>
    </w:p>
    <w:p w:rsidR="000A6628" w:rsidRPr="00E23711" w:rsidRDefault="001354DB" w:rsidP="00920B54">
      <w:pPr>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above arguments and the fact that Duke is made whole on lost distribution revenues through its decoupling mechanism</w:t>
      </w:r>
      <w:r w:rsidR="003112C8">
        <w:rPr>
          <w:rStyle w:val="FootnoteReference"/>
          <w:rFonts w:ascii="Times New Roman" w:eastAsia="Times New Roman" w:hAnsi="Times New Roman" w:cs="Times New Roman"/>
          <w:sz w:val="24"/>
          <w:szCs w:val="24"/>
        </w:rPr>
        <w:footnoteReference w:id="69"/>
      </w:r>
      <w:r>
        <w:rPr>
          <w:rFonts w:ascii="Times New Roman" w:eastAsia="Times New Roman" w:hAnsi="Times New Roman" w:cs="Times New Roman"/>
          <w:sz w:val="24"/>
          <w:szCs w:val="24"/>
        </w:rPr>
        <w:t xml:space="preserve"> justifies a</w:t>
      </w:r>
      <w:r w:rsidR="000A6628">
        <w:rPr>
          <w:rFonts w:ascii="Times New Roman" w:eastAsia="Times New Roman" w:hAnsi="Times New Roman" w:cs="Times New Roman"/>
          <w:sz w:val="24"/>
          <w:szCs w:val="24"/>
        </w:rPr>
        <w:t xml:space="preserve"> hard cap </w:t>
      </w:r>
      <w:r w:rsidR="00667750">
        <w:rPr>
          <w:rFonts w:ascii="Times New Roman" w:eastAsia="Times New Roman" w:hAnsi="Times New Roman" w:cs="Times New Roman"/>
          <w:sz w:val="24"/>
          <w:szCs w:val="24"/>
        </w:rPr>
        <w:t xml:space="preserve">at </w:t>
      </w:r>
      <w:r w:rsidR="000A6628">
        <w:rPr>
          <w:rFonts w:ascii="Times New Roman" w:eastAsia="Times New Roman" w:hAnsi="Times New Roman" w:cs="Times New Roman"/>
          <w:sz w:val="24"/>
          <w:szCs w:val="24"/>
        </w:rPr>
        <w:t xml:space="preserve">the lower end of the </w:t>
      </w:r>
      <w:r>
        <w:rPr>
          <w:rFonts w:ascii="Times New Roman" w:eastAsia="Times New Roman" w:hAnsi="Times New Roman" w:cs="Times New Roman"/>
          <w:sz w:val="24"/>
          <w:szCs w:val="24"/>
        </w:rPr>
        <w:t xml:space="preserve">ACEEE Report </w:t>
      </w:r>
      <w:r w:rsidR="000A6628">
        <w:rPr>
          <w:rFonts w:ascii="Times New Roman" w:eastAsia="Times New Roman" w:hAnsi="Times New Roman" w:cs="Times New Roman"/>
          <w:sz w:val="24"/>
          <w:szCs w:val="24"/>
        </w:rPr>
        <w:t>range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0"/>
      </w:r>
      <w:r w:rsidR="000A6628">
        <w:rPr>
          <w:rFonts w:ascii="Times New Roman" w:eastAsia="Times New Roman" w:hAnsi="Times New Roman" w:cs="Times New Roman"/>
          <w:sz w:val="24"/>
          <w:szCs w:val="24"/>
        </w:rPr>
        <w:t xml:space="preserve"> </w:t>
      </w:r>
    </w:p>
    <w:p w:rsidR="0053413A" w:rsidRPr="009B2386" w:rsidRDefault="00823C70" w:rsidP="00310C49">
      <w:pPr>
        <w:pStyle w:val="Heading2"/>
      </w:pPr>
      <w:bookmarkStart w:id="8" w:name="_Toc426990918"/>
      <w:bookmarkStart w:id="9" w:name="_Toc427923429"/>
      <w:r>
        <w:t>B</w:t>
      </w:r>
      <w:r w:rsidR="009B2386">
        <w:t>.</w:t>
      </w:r>
      <w:r w:rsidR="009B2386">
        <w:tab/>
      </w:r>
      <w:r w:rsidR="0053413A" w:rsidRPr="009B2386">
        <w:t>OCC’s recommendations</w:t>
      </w:r>
      <w:r w:rsidR="00A9197B">
        <w:t xml:space="preserve"> to the methodology to be used</w:t>
      </w:r>
      <w:r w:rsidR="0053413A" w:rsidRPr="009B2386">
        <w:t xml:space="preserve"> for calculating shared savings should be adopted to protect consumers.</w:t>
      </w:r>
      <w:bookmarkEnd w:id="8"/>
      <w:bookmarkEnd w:id="9"/>
    </w:p>
    <w:p w:rsidR="00243121" w:rsidRDefault="00243121" w:rsidP="00947E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w:t>
      </w:r>
      <w:r w:rsidR="009B2386">
        <w:rPr>
          <w:rFonts w:ascii="Times New Roman" w:hAnsi="Times New Roman" w:cs="Times New Roman"/>
          <w:sz w:val="24"/>
          <w:szCs w:val="24"/>
        </w:rPr>
        <w:t>witness, Wilson Gonzale</w:t>
      </w:r>
      <w:r w:rsidR="00CD2396">
        <w:rPr>
          <w:rFonts w:ascii="Times New Roman" w:hAnsi="Times New Roman" w:cs="Times New Roman"/>
          <w:sz w:val="24"/>
          <w:szCs w:val="24"/>
        </w:rPr>
        <w:t>z</w:t>
      </w:r>
      <w:r w:rsidR="009B2386">
        <w:rPr>
          <w:rFonts w:ascii="Times New Roman" w:hAnsi="Times New Roman" w:cs="Times New Roman"/>
          <w:sz w:val="24"/>
          <w:szCs w:val="24"/>
        </w:rPr>
        <w:t>, provided</w:t>
      </w:r>
      <w:r>
        <w:rPr>
          <w:rFonts w:ascii="Times New Roman" w:hAnsi="Times New Roman" w:cs="Times New Roman"/>
          <w:sz w:val="24"/>
          <w:szCs w:val="24"/>
        </w:rPr>
        <w:t xml:space="preserve"> three recommendations </w:t>
      </w:r>
      <w:r w:rsidR="00A9197B">
        <w:rPr>
          <w:rFonts w:ascii="Times New Roman" w:hAnsi="Times New Roman" w:cs="Times New Roman"/>
          <w:sz w:val="24"/>
          <w:szCs w:val="24"/>
        </w:rPr>
        <w:t xml:space="preserve">to the methodology used </w:t>
      </w:r>
      <w:r>
        <w:rPr>
          <w:rFonts w:ascii="Times New Roman" w:hAnsi="Times New Roman" w:cs="Times New Roman"/>
          <w:sz w:val="24"/>
          <w:szCs w:val="24"/>
        </w:rPr>
        <w:t>for calculating Duke’s shared savings incentive for 2016 in order to protect consumers.</w:t>
      </w:r>
      <w:r w:rsidR="00EC53D9">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t>
      </w:r>
      <w:r w:rsidR="009B2386">
        <w:rPr>
          <w:rFonts w:ascii="Times New Roman" w:hAnsi="Times New Roman" w:cs="Times New Roman"/>
          <w:sz w:val="24"/>
          <w:szCs w:val="24"/>
        </w:rPr>
        <w:t>Mr.</w:t>
      </w:r>
      <w:r>
        <w:rPr>
          <w:rFonts w:ascii="Times New Roman" w:hAnsi="Times New Roman" w:cs="Times New Roman"/>
          <w:sz w:val="24"/>
          <w:szCs w:val="24"/>
        </w:rPr>
        <w:t xml:space="preserve"> Gonzalez </w:t>
      </w:r>
      <w:r w:rsidR="009B2386">
        <w:rPr>
          <w:rFonts w:ascii="Times New Roman" w:hAnsi="Times New Roman" w:cs="Times New Roman"/>
          <w:sz w:val="24"/>
          <w:szCs w:val="24"/>
        </w:rPr>
        <w:t>suggested</w:t>
      </w:r>
      <w:r>
        <w:rPr>
          <w:rFonts w:ascii="Times New Roman" w:hAnsi="Times New Roman" w:cs="Times New Roman"/>
          <w:sz w:val="24"/>
          <w:szCs w:val="24"/>
        </w:rPr>
        <w:t xml:space="preserve"> that the </w:t>
      </w:r>
      <w:r w:rsidR="00AF3552">
        <w:rPr>
          <w:rFonts w:ascii="Times New Roman" w:hAnsi="Times New Roman" w:cs="Times New Roman"/>
          <w:sz w:val="24"/>
          <w:szCs w:val="24"/>
        </w:rPr>
        <w:t xml:space="preserve">TRC </w:t>
      </w:r>
      <w:r>
        <w:rPr>
          <w:rFonts w:ascii="Times New Roman" w:hAnsi="Times New Roman" w:cs="Times New Roman"/>
          <w:sz w:val="24"/>
          <w:szCs w:val="24"/>
        </w:rPr>
        <w:t xml:space="preserve">be used to calculate the net benefits associated with the shared savings incentive, </w:t>
      </w:r>
      <w:r w:rsidR="00A9197B">
        <w:rPr>
          <w:rFonts w:ascii="Times New Roman" w:hAnsi="Times New Roman" w:cs="Times New Roman"/>
          <w:sz w:val="24"/>
          <w:szCs w:val="24"/>
        </w:rPr>
        <w:t>rather than</w:t>
      </w:r>
      <w:r>
        <w:rPr>
          <w:rFonts w:ascii="Times New Roman" w:hAnsi="Times New Roman" w:cs="Times New Roman"/>
          <w:sz w:val="24"/>
          <w:szCs w:val="24"/>
        </w:rPr>
        <w:t xml:space="preserve"> the </w:t>
      </w:r>
      <w:r w:rsidR="00AF3552">
        <w:rPr>
          <w:rFonts w:ascii="Times New Roman" w:hAnsi="Times New Roman" w:cs="Times New Roman"/>
          <w:sz w:val="24"/>
          <w:szCs w:val="24"/>
        </w:rPr>
        <w:t>UCT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Pr>
          <w:rFonts w:ascii="Times New Roman" w:hAnsi="Times New Roman" w:cs="Times New Roman"/>
          <w:sz w:val="24"/>
          <w:szCs w:val="24"/>
        </w:rPr>
        <w:t xml:space="preserve">Second Mr. Gonzalez recommended that the energy savings used should be net savings, not gross savings (net to gross </w:t>
      </w:r>
      <w:r w:rsidR="00C27EB3">
        <w:rPr>
          <w:rFonts w:ascii="Times New Roman" w:hAnsi="Times New Roman" w:cs="Times New Roman"/>
          <w:sz w:val="24"/>
          <w:szCs w:val="24"/>
        </w:rPr>
        <w:t xml:space="preserve">issue). </w:t>
      </w:r>
      <w:r w:rsidR="00481218">
        <w:rPr>
          <w:rFonts w:ascii="Times New Roman" w:hAnsi="Times New Roman" w:cs="Times New Roman"/>
          <w:sz w:val="24"/>
          <w:szCs w:val="24"/>
        </w:rPr>
        <w:t xml:space="preserve"> </w:t>
      </w:r>
      <w:r w:rsidR="00C27EB3">
        <w:rPr>
          <w:rFonts w:ascii="Times New Roman" w:hAnsi="Times New Roman" w:cs="Times New Roman"/>
          <w:sz w:val="24"/>
          <w:szCs w:val="24"/>
        </w:rPr>
        <w:t>A</w:t>
      </w:r>
      <w:r>
        <w:rPr>
          <w:rFonts w:ascii="Times New Roman" w:hAnsi="Times New Roman" w:cs="Times New Roman"/>
          <w:sz w:val="24"/>
          <w:szCs w:val="24"/>
        </w:rPr>
        <w:t>nd finally,</w:t>
      </w:r>
      <w:r w:rsidR="00AF3552">
        <w:rPr>
          <w:rFonts w:ascii="Times New Roman" w:hAnsi="Times New Roman" w:cs="Times New Roman"/>
          <w:sz w:val="24"/>
          <w:szCs w:val="24"/>
        </w:rPr>
        <w:t xml:space="preserve"> Mr. Gonzalez advised </w:t>
      </w:r>
      <w:r>
        <w:rPr>
          <w:rFonts w:ascii="Times New Roman" w:hAnsi="Times New Roman" w:cs="Times New Roman"/>
          <w:sz w:val="24"/>
          <w:szCs w:val="24"/>
        </w:rPr>
        <w:t>that the calculation of Duke’s shared savings incentive should be on a pre-tax basis.</w:t>
      </w:r>
      <w:r>
        <w:rPr>
          <w:rStyle w:val="FootnoteReference"/>
          <w:rFonts w:ascii="Times New Roman" w:hAnsi="Times New Roman" w:cs="Times New Roman"/>
          <w:sz w:val="24"/>
          <w:szCs w:val="24"/>
        </w:rPr>
        <w:footnoteReference w:id="73"/>
      </w:r>
      <w:r w:rsidR="009B2386">
        <w:rPr>
          <w:rFonts w:ascii="Times New Roman" w:hAnsi="Times New Roman" w:cs="Times New Roman"/>
          <w:sz w:val="24"/>
          <w:szCs w:val="24"/>
        </w:rPr>
        <w:t xml:space="preserve">  These recommendations should be adopted if the PUCO permits Duke to charge customers for shared savings in 2016.</w:t>
      </w:r>
    </w:p>
    <w:p w:rsidR="00C27EB3" w:rsidRPr="00947EE6" w:rsidRDefault="001D29E8" w:rsidP="00947EE6">
      <w:pPr>
        <w:pStyle w:val="Heading3"/>
      </w:pPr>
      <w:bookmarkStart w:id="10" w:name="_Toc426990919"/>
      <w:bookmarkStart w:id="11" w:name="_Toc427923430"/>
      <w:r w:rsidRPr="00947EE6">
        <w:t>1</w:t>
      </w:r>
      <w:r w:rsidR="00C27EB3" w:rsidRPr="00947EE6">
        <w:t>.</w:t>
      </w:r>
      <w:r w:rsidR="00C27EB3" w:rsidRPr="00947EE6">
        <w:tab/>
      </w:r>
      <w:r w:rsidR="00AF3552" w:rsidRPr="00947EE6">
        <w:t xml:space="preserve">If Duke has a shared savings incentive for 2016, the </w:t>
      </w:r>
      <w:r w:rsidR="006D65A7">
        <w:t>PUCO should protect consumers from excessive charges by using the TRC</w:t>
      </w:r>
      <w:r w:rsidR="00E65BCF" w:rsidRPr="00947EE6">
        <w:t xml:space="preserve"> to Calculate Net Benefits</w:t>
      </w:r>
      <w:r w:rsidR="00AF3552" w:rsidRPr="00947EE6">
        <w:t>.</w:t>
      </w:r>
      <w:bookmarkEnd w:id="10"/>
      <w:bookmarkEnd w:id="11"/>
    </w:p>
    <w:p w:rsidR="00AF3552" w:rsidRDefault="006D65A7" w:rsidP="00C27E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Utility proposes to use the UCT to determine the shared savings collected from customers.  </w:t>
      </w:r>
      <w:r w:rsidR="00C27EB3">
        <w:rPr>
          <w:rFonts w:ascii="Times New Roman" w:hAnsi="Times New Roman" w:cs="Times New Roman"/>
          <w:sz w:val="24"/>
          <w:szCs w:val="24"/>
        </w:rPr>
        <w:t>T</w:t>
      </w:r>
      <w:r w:rsidR="00C27EB3" w:rsidRPr="00C27EB3">
        <w:rPr>
          <w:rFonts w:ascii="Times New Roman" w:hAnsi="Times New Roman" w:cs="Times New Roman"/>
          <w:sz w:val="24"/>
          <w:szCs w:val="24"/>
        </w:rPr>
        <w:t>he UCT is a partial benefit-cost analysis and only captures the benefits of the programs to the utility and not costs to utility customers as a whole.</w:t>
      </w:r>
      <w:r w:rsidR="00AF3552">
        <w:rPr>
          <w:rStyle w:val="FootnoteReference"/>
          <w:rFonts w:ascii="Times New Roman" w:hAnsi="Times New Roman" w:cs="Times New Roman"/>
          <w:sz w:val="24"/>
          <w:szCs w:val="24"/>
        </w:rPr>
        <w:footnoteReference w:id="74"/>
      </w:r>
      <w:r w:rsidR="009B2386">
        <w:rPr>
          <w:rFonts w:ascii="Times New Roman" w:hAnsi="Times New Roman" w:cs="Times New Roman"/>
          <w:sz w:val="24"/>
          <w:szCs w:val="24"/>
        </w:rPr>
        <w:t xml:space="preserve">  </w:t>
      </w:r>
      <w:r w:rsidR="00E65BCF">
        <w:rPr>
          <w:rFonts w:ascii="Times New Roman" w:hAnsi="Times New Roman" w:cs="Times New Roman"/>
          <w:sz w:val="24"/>
          <w:szCs w:val="24"/>
        </w:rPr>
        <w:t>T</w:t>
      </w:r>
      <w:r w:rsidR="00C27EB3" w:rsidRPr="00C27EB3">
        <w:rPr>
          <w:rFonts w:ascii="Times New Roman" w:hAnsi="Times New Roman" w:cs="Times New Roman"/>
          <w:sz w:val="24"/>
          <w:szCs w:val="24"/>
        </w:rPr>
        <w:t>he UCT fails to take into account significant participant (customer) costs and therefore cannot be used to determine the complete net benefit of the program.</w:t>
      </w:r>
      <w:r w:rsidR="00AF3552">
        <w:rPr>
          <w:rStyle w:val="FootnoteReference"/>
          <w:rFonts w:ascii="Times New Roman" w:hAnsi="Times New Roman" w:cs="Times New Roman"/>
          <w:sz w:val="24"/>
          <w:szCs w:val="24"/>
        </w:rPr>
        <w:footnoteReference w:id="75"/>
      </w:r>
      <w:r w:rsidR="00C27EB3" w:rsidRPr="00C27EB3">
        <w:rPr>
          <w:rFonts w:ascii="Times New Roman" w:hAnsi="Times New Roman" w:cs="Times New Roman"/>
          <w:sz w:val="24"/>
          <w:szCs w:val="24"/>
        </w:rPr>
        <w:t xml:space="preserve">  The Utility’s use of the UCT negatively impacts customers because it leads to a higher net benefit to the utility</w:t>
      </w:r>
      <w:r w:rsidR="00A9197B">
        <w:rPr>
          <w:rFonts w:ascii="Times New Roman" w:hAnsi="Times New Roman" w:cs="Times New Roman"/>
          <w:sz w:val="24"/>
          <w:szCs w:val="24"/>
        </w:rPr>
        <w:t>.  That higher net benefit is the basis for deriving shared savings</w:t>
      </w:r>
      <w:r w:rsidR="00C27EB3" w:rsidRPr="00C27EB3">
        <w:rPr>
          <w:rFonts w:ascii="Times New Roman" w:hAnsi="Times New Roman" w:cs="Times New Roman"/>
          <w:sz w:val="24"/>
          <w:szCs w:val="24"/>
        </w:rPr>
        <w:t xml:space="preserve"> and correspondingly higher costs to customers.</w:t>
      </w:r>
      <w:r w:rsidR="00AF3552">
        <w:rPr>
          <w:rStyle w:val="FootnoteReference"/>
          <w:rFonts w:ascii="Times New Roman" w:hAnsi="Times New Roman" w:cs="Times New Roman"/>
          <w:sz w:val="24"/>
          <w:szCs w:val="24"/>
        </w:rPr>
        <w:footnoteReference w:id="76"/>
      </w:r>
      <w:r w:rsidR="00C27EB3" w:rsidRPr="00C27EB3">
        <w:rPr>
          <w:rFonts w:ascii="Times New Roman" w:hAnsi="Times New Roman" w:cs="Times New Roman"/>
          <w:sz w:val="24"/>
          <w:szCs w:val="24"/>
        </w:rPr>
        <w:t xml:space="preserve"> </w:t>
      </w:r>
    </w:p>
    <w:p w:rsidR="00C27EB3" w:rsidRPr="00C27EB3" w:rsidRDefault="00C27EB3" w:rsidP="00C27EB3">
      <w:pPr>
        <w:spacing w:after="0" w:line="480" w:lineRule="auto"/>
        <w:ind w:firstLine="720"/>
        <w:rPr>
          <w:rFonts w:ascii="Times New Roman" w:hAnsi="Times New Roman" w:cs="Times New Roman"/>
          <w:sz w:val="24"/>
          <w:szCs w:val="24"/>
        </w:rPr>
      </w:pPr>
      <w:r w:rsidRPr="00C27EB3">
        <w:rPr>
          <w:rFonts w:ascii="Times New Roman" w:hAnsi="Times New Roman" w:cs="Times New Roman"/>
          <w:sz w:val="24"/>
          <w:szCs w:val="24"/>
        </w:rPr>
        <w:t xml:space="preserve">The PUCO should use the TRC </w:t>
      </w:r>
      <w:r w:rsidR="009B2386">
        <w:rPr>
          <w:rFonts w:ascii="Times New Roman" w:hAnsi="Times New Roman" w:cs="Times New Roman"/>
          <w:sz w:val="24"/>
          <w:szCs w:val="24"/>
        </w:rPr>
        <w:t xml:space="preserve">for purposes of calculating incentive awards to utilities </w:t>
      </w:r>
      <w:r w:rsidRPr="00C27EB3">
        <w:rPr>
          <w:rFonts w:ascii="Times New Roman" w:hAnsi="Times New Roman" w:cs="Times New Roman"/>
          <w:sz w:val="24"/>
          <w:szCs w:val="24"/>
        </w:rPr>
        <w:t xml:space="preserve">because it is the only analytical tool that accounts for </w:t>
      </w:r>
      <w:r w:rsidRPr="00E80C58">
        <w:rPr>
          <w:rFonts w:ascii="Times New Roman" w:hAnsi="Times New Roman" w:cs="Times New Roman"/>
          <w:i/>
          <w:sz w:val="24"/>
          <w:szCs w:val="24"/>
        </w:rPr>
        <w:t>all</w:t>
      </w:r>
      <w:r w:rsidRPr="00C27EB3">
        <w:rPr>
          <w:rFonts w:ascii="Times New Roman" w:hAnsi="Times New Roman" w:cs="Times New Roman"/>
          <w:sz w:val="24"/>
          <w:szCs w:val="24"/>
        </w:rPr>
        <w:t xml:space="preserve"> costs and benefits of the utility programs, and in doing so reduces what customers pay.</w:t>
      </w:r>
      <w:r w:rsidR="00AF3552">
        <w:rPr>
          <w:rStyle w:val="FootnoteReference"/>
          <w:rFonts w:ascii="Times New Roman" w:hAnsi="Times New Roman" w:cs="Times New Roman"/>
          <w:sz w:val="24"/>
          <w:szCs w:val="24"/>
        </w:rPr>
        <w:footnoteReference w:id="77"/>
      </w:r>
      <w:r w:rsidRPr="00C27EB3">
        <w:rPr>
          <w:rFonts w:ascii="Times New Roman" w:hAnsi="Times New Roman" w:cs="Times New Roman"/>
          <w:sz w:val="24"/>
          <w:szCs w:val="24"/>
        </w:rPr>
        <w:t xml:space="preserve">  To this end, the TRC is a benefit-cost test that measures the net avoided costs of a program based on considering the total costs of the program, including both the participants’ and the utility’s costs.  </w:t>
      </w:r>
      <w:r w:rsidR="00AF3552">
        <w:rPr>
          <w:rFonts w:ascii="Times New Roman" w:hAnsi="Times New Roman" w:cs="Times New Roman"/>
          <w:sz w:val="24"/>
          <w:szCs w:val="24"/>
        </w:rPr>
        <w:t>As Mr. Gonzalez</w:t>
      </w:r>
      <w:r w:rsidR="009B2386">
        <w:rPr>
          <w:rFonts w:ascii="Times New Roman" w:hAnsi="Times New Roman" w:cs="Times New Roman"/>
          <w:sz w:val="24"/>
          <w:szCs w:val="24"/>
        </w:rPr>
        <w:t xml:space="preserve"> testified</w:t>
      </w:r>
      <w:r w:rsidR="00AF3552">
        <w:rPr>
          <w:rFonts w:ascii="Times New Roman" w:hAnsi="Times New Roman" w:cs="Times New Roman"/>
          <w:sz w:val="24"/>
          <w:szCs w:val="24"/>
        </w:rPr>
        <w:t xml:space="preserve">, </w:t>
      </w:r>
      <w:r w:rsidR="009B2386">
        <w:rPr>
          <w:rFonts w:ascii="Times New Roman" w:hAnsi="Times New Roman" w:cs="Times New Roman"/>
          <w:sz w:val="24"/>
          <w:szCs w:val="24"/>
        </w:rPr>
        <w:t>“</w:t>
      </w:r>
      <w:r w:rsidR="00AF3552">
        <w:rPr>
          <w:rFonts w:ascii="Times New Roman" w:hAnsi="Times New Roman" w:cs="Times New Roman"/>
          <w:sz w:val="24"/>
          <w:szCs w:val="24"/>
        </w:rPr>
        <w:t>o</w:t>
      </w:r>
      <w:r w:rsidRPr="00C27EB3">
        <w:rPr>
          <w:rFonts w:ascii="Times New Roman" w:hAnsi="Times New Roman" w:cs="Times New Roman"/>
          <w:sz w:val="24"/>
          <w:szCs w:val="24"/>
        </w:rPr>
        <w:t>f all the tests, the TRC is the broadest measure of program cost effectiveness from the standpoint of energy acquisition.</w:t>
      </w:r>
      <w:r w:rsidR="009B2386">
        <w:rPr>
          <w:rFonts w:ascii="Times New Roman" w:hAnsi="Times New Roman" w:cs="Times New Roman"/>
          <w:sz w:val="24"/>
          <w:szCs w:val="24"/>
        </w:rPr>
        <w:t>”</w:t>
      </w:r>
      <w:r w:rsidR="00AF3552">
        <w:rPr>
          <w:rStyle w:val="FootnoteReference"/>
          <w:rFonts w:ascii="Times New Roman" w:hAnsi="Times New Roman" w:cs="Times New Roman"/>
          <w:sz w:val="24"/>
          <w:szCs w:val="24"/>
        </w:rPr>
        <w:footnoteReference w:id="78"/>
      </w:r>
      <w:r w:rsidRPr="00C27EB3">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Pr="00C27EB3">
        <w:rPr>
          <w:rFonts w:ascii="Times New Roman" w:hAnsi="Times New Roman" w:cs="Times New Roman"/>
          <w:sz w:val="24"/>
          <w:szCs w:val="24"/>
        </w:rPr>
        <w:t xml:space="preserve">This makes the TRC useful for comparing supply and demand side resources. </w:t>
      </w:r>
      <w:r w:rsidR="009B2386">
        <w:rPr>
          <w:rStyle w:val="FootnoteReference"/>
          <w:rFonts w:ascii="Times New Roman" w:hAnsi="Times New Roman" w:cs="Times New Roman"/>
          <w:sz w:val="24"/>
          <w:szCs w:val="24"/>
        </w:rPr>
        <w:footnoteReference w:id="79"/>
      </w:r>
    </w:p>
    <w:p w:rsidR="00C27EB3" w:rsidRDefault="00C27EB3" w:rsidP="009B2386">
      <w:pPr>
        <w:spacing w:after="0" w:line="480" w:lineRule="auto"/>
        <w:ind w:firstLine="720"/>
        <w:rPr>
          <w:rFonts w:ascii="Times New Roman" w:hAnsi="Times New Roman" w:cs="Times New Roman"/>
          <w:sz w:val="24"/>
          <w:szCs w:val="24"/>
        </w:rPr>
      </w:pPr>
      <w:r w:rsidRPr="00C27EB3">
        <w:rPr>
          <w:rFonts w:ascii="Times New Roman" w:hAnsi="Times New Roman" w:cs="Times New Roman"/>
          <w:sz w:val="24"/>
          <w:szCs w:val="24"/>
        </w:rPr>
        <w:t>Using the TRC would result in utility incentives taking the total net benefit</w:t>
      </w:r>
      <w:r w:rsidR="003D641F">
        <w:rPr>
          <w:rFonts w:ascii="Times New Roman" w:hAnsi="Times New Roman" w:cs="Times New Roman"/>
          <w:sz w:val="24"/>
          <w:szCs w:val="24"/>
        </w:rPr>
        <w:t xml:space="preserve"> that</w:t>
      </w:r>
      <w:r w:rsidRPr="00C27EB3">
        <w:rPr>
          <w:rFonts w:ascii="Times New Roman" w:hAnsi="Times New Roman" w:cs="Times New Roman"/>
          <w:sz w:val="24"/>
          <w:szCs w:val="24"/>
        </w:rPr>
        <w:t xml:space="preserve"> the programs provide</w:t>
      </w:r>
      <w:r w:rsidR="003D641F">
        <w:rPr>
          <w:rFonts w:ascii="Times New Roman" w:hAnsi="Times New Roman" w:cs="Times New Roman"/>
          <w:sz w:val="24"/>
          <w:szCs w:val="24"/>
        </w:rPr>
        <w:t xml:space="preserve"> into consideration</w:t>
      </w:r>
      <w:r w:rsidRPr="00C27EB3">
        <w:rPr>
          <w:rFonts w:ascii="Times New Roman" w:hAnsi="Times New Roman" w:cs="Times New Roman"/>
          <w:sz w:val="24"/>
          <w:szCs w:val="24"/>
        </w:rPr>
        <w:t xml:space="preserve">, not just the net benefits provided only to the utility.  A complete test is better than a partial test, like the UCT.  For this reason, </w:t>
      </w:r>
      <w:r w:rsidR="009B2386">
        <w:rPr>
          <w:rFonts w:ascii="Times New Roman" w:hAnsi="Times New Roman" w:cs="Times New Roman"/>
          <w:sz w:val="24"/>
          <w:szCs w:val="24"/>
        </w:rPr>
        <w:t>Mr. Gonzalez explained that “</w:t>
      </w:r>
      <w:r w:rsidRPr="00C27EB3">
        <w:rPr>
          <w:rFonts w:ascii="Times New Roman" w:hAnsi="Times New Roman" w:cs="Times New Roman"/>
          <w:sz w:val="24"/>
          <w:szCs w:val="24"/>
        </w:rPr>
        <w:t>the TRC is the litmus test used by most states (including Ohio) to determine the overall efficiency of their energy efficiency programs.</w:t>
      </w:r>
      <w:r w:rsidR="009B2386">
        <w:rPr>
          <w:rFonts w:ascii="Times New Roman" w:hAnsi="Times New Roman" w:cs="Times New Roman"/>
          <w:sz w:val="24"/>
          <w:szCs w:val="24"/>
        </w:rPr>
        <w:t>”</w:t>
      </w:r>
      <w:r w:rsidRPr="00C27EB3">
        <w:rPr>
          <w:rStyle w:val="FootnoteReference"/>
          <w:rFonts w:ascii="Times New Roman" w:hAnsi="Times New Roman" w:cs="Times New Roman"/>
          <w:sz w:val="24"/>
          <w:szCs w:val="24"/>
        </w:rPr>
        <w:footnoteReference w:id="80"/>
      </w:r>
      <w:r w:rsidRPr="00C27EB3">
        <w:rPr>
          <w:rFonts w:ascii="Times New Roman" w:hAnsi="Times New Roman" w:cs="Times New Roman"/>
          <w:sz w:val="24"/>
          <w:szCs w:val="24"/>
        </w:rPr>
        <w:t xml:space="preserve">  </w:t>
      </w:r>
    </w:p>
    <w:p w:rsidR="009B2386" w:rsidRDefault="009B2386" w:rsidP="009B23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Mr. Gonzalez included an example to illustrate the impact of using the TRC over the UCT</w:t>
      </w:r>
      <w:r w:rsidR="00CE25B7">
        <w:rPr>
          <w:rFonts w:ascii="Times New Roman" w:hAnsi="Times New Roman" w:cs="Times New Roman"/>
          <w:sz w:val="24"/>
          <w:szCs w:val="24"/>
        </w:rPr>
        <w:t xml:space="preserve"> for consumers</w:t>
      </w:r>
      <w:r>
        <w:rPr>
          <w:rFonts w:ascii="Times New Roman" w:hAnsi="Times New Roman" w:cs="Times New Roman"/>
          <w:sz w:val="24"/>
          <w:szCs w:val="24"/>
        </w:rPr>
        <w:t xml:space="preserve"> in his testimony.  In this regard, Mr. Gonzalez explained:</w:t>
      </w:r>
    </w:p>
    <w:p w:rsidR="000A6628" w:rsidRDefault="00CE25B7" w:rsidP="001D29E8">
      <w:p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U</w:t>
      </w:r>
      <w:r w:rsidR="009B2386" w:rsidRPr="009B2386">
        <w:rPr>
          <w:rFonts w:ascii="Times New Roman" w:hAnsi="Times New Roman" w:cs="Times New Roman"/>
          <w:sz w:val="24"/>
          <w:szCs w:val="24"/>
        </w:rPr>
        <w:t>sing the TRC over the UCT is not a trivial theoretical matter for customers.  As an example, Duke’s net benefits using the UCT are $220 million -- 18 percent greater than the $186 million calculated by using the TRC.</w:t>
      </w:r>
      <w:r w:rsidR="009B2386" w:rsidRPr="009B2386">
        <w:rPr>
          <w:rFonts w:ascii="Times New Roman" w:hAnsi="Times New Roman" w:cs="Times New Roman"/>
          <w:sz w:val="24"/>
          <w:szCs w:val="24"/>
          <w:vertAlign w:val="superscript"/>
        </w:rPr>
        <w:footnoteReference w:id="81"/>
      </w:r>
      <w:r w:rsidR="009B2386" w:rsidRPr="009B2386">
        <w:rPr>
          <w:rFonts w:ascii="Times New Roman" w:hAnsi="Times New Roman" w:cs="Times New Roman"/>
          <w:sz w:val="24"/>
          <w:szCs w:val="24"/>
        </w:rPr>
        <w:t xml:space="preserve">  </w:t>
      </w:r>
    </w:p>
    <w:p w:rsidR="000A6628" w:rsidRDefault="000A6628" w:rsidP="001D29E8">
      <w:pPr>
        <w:spacing w:after="0" w:line="240" w:lineRule="auto"/>
        <w:ind w:left="1440" w:right="720"/>
        <w:rPr>
          <w:rFonts w:ascii="Times New Roman" w:hAnsi="Times New Roman" w:cs="Times New Roman"/>
          <w:sz w:val="24"/>
          <w:szCs w:val="24"/>
        </w:rPr>
      </w:pPr>
    </w:p>
    <w:p w:rsidR="001D29E8" w:rsidRDefault="009B2386" w:rsidP="000A6628">
      <w:pPr>
        <w:spacing w:after="0" w:line="480" w:lineRule="auto"/>
        <w:rPr>
          <w:rFonts w:ascii="Times New Roman" w:hAnsi="Times New Roman" w:cs="Times New Roman"/>
          <w:sz w:val="24"/>
          <w:szCs w:val="24"/>
        </w:rPr>
      </w:pPr>
      <w:r w:rsidRPr="009B2386">
        <w:rPr>
          <w:rFonts w:ascii="Times New Roman" w:hAnsi="Times New Roman" w:cs="Times New Roman"/>
          <w:sz w:val="24"/>
          <w:szCs w:val="24"/>
        </w:rPr>
        <w:t>Use of the UCT instead of the TRC would force Duke’s customers to pay a larger shared savings award to Duke due to the failure of the incentive mechanism calculation to take into consideration all of the</w:t>
      </w:r>
      <w:r w:rsidR="003D641F">
        <w:rPr>
          <w:rFonts w:ascii="Times New Roman" w:hAnsi="Times New Roman" w:cs="Times New Roman"/>
          <w:sz w:val="24"/>
          <w:szCs w:val="24"/>
        </w:rPr>
        <w:t xml:space="preserve"> program</w:t>
      </w:r>
      <w:r w:rsidRPr="009B2386">
        <w:rPr>
          <w:rFonts w:ascii="Times New Roman" w:hAnsi="Times New Roman" w:cs="Times New Roman"/>
          <w:sz w:val="24"/>
          <w:szCs w:val="24"/>
        </w:rPr>
        <w:t xml:space="preserve"> costs.</w:t>
      </w:r>
      <w:r w:rsidR="000A6628">
        <w:rPr>
          <w:rFonts w:ascii="Times New Roman" w:hAnsi="Times New Roman" w:cs="Times New Roman"/>
          <w:sz w:val="24"/>
          <w:szCs w:val="24"/>
        </w:rPr>
        <w:t xml:space="preserve"> </w:t>
      </w:r>
      <w:r w:rsidR="00481218">
        <w:rPr>
          <w:rFonts w:ascii="Times New Roman" w:hAnsi="Times New Roman" w:cs="Times New Roman"/>
          <w:sz w:val="24"/>
          <w:szCs w:val="24"/>
        </w:rPr>
        <w:t xml:space="preserve"> </w:t>
      </w:r>
      <w:r w:rsidR="000A6628">
        <w:rPr>
          <w:rFonts w:ascii="Times New Roman" w:hAnsi="Times New Roman" w:cs="Times New Roman"/>
          <w:sz w:val="24"/>
          <w:szCs w:val="24"/>
        </w:rPr>
        <w:t>This is wrong.  The TRC should be used instead to protect consumers.</w:t>
      </w:r>
    </w:p>
    <w:p w:rsidR="009A7469" w:rsidRDefault="001D29E8" w:rsidP="00843D06">
      <w:pPr>
        <w:pStyle w:val="Heading3"/>
      </w:pPr>
      <w:bookmarkStart w:id="12" w:name="_Toc426990920"/>
      <w:bookmarkStart w:id="13" w:name="_Toc427923431"/>
      <w:r>
        <w:t>2</w:t>
      </w:r>
      <w:r w:rsidR="009B2386">
        <w:t>.</w:t>
      </w:r>
      <w:r w:rsidR="009A7469">
        <w:t xml:space="preserve"> </w:t>
      </w:r>
      <w:r w:rsidR="00807CCA">
        <w:tab/>
      </w:r>
      <w:r w:rsidR="009A7469">
        <w:t>The energy savings used should be net savings, not gross savings in order to protect consumers from being charged for over-stated shared savings awards.</w:t>
      </w:r>
      <w:bookmarkEnd w:id="12"/>
      <w:bookmarkEnd w:id="13"/>
    </w:p>
    <w:p w:rsidR="00EA7E5B" w:rsidRPr="00EA7E5B" w:rsidRDefault="009A7469" w:rsidP="00EA7E5B">
      <w:pPr>
        <w:spacing w:after="0" w:line="480" w:lineRule="auto"/>
        <w:rPr>
          <w:rFonts w:ascii="Times New Roman" w:hAnsi="Times New Roman" w:cs="Times New Roman"/>
          <w:sz w:val="24"/>
          <w:szCs w:val="24"/>
        </w:rPr>
      </w:pPr>
      <w:r>
        <w:rPr>
          <w:rFonts w:ascii="Times New Roman" w:hAnsi="Times New Roman" w:cs="Times New Roman"/>
          <w:sz w:val="24"/>
          <w:szCs w:val="24"/>
        </w:rPr>
        <w:tab/>
        <w:t>Mr. Gonzalez explained that gross energy savings may be appropriate for determining utility compliance with the Ohio energy efficiency requirements, but there should be a net to gross savings adjustment that accounts for free riders and spillover effects</w:t>
      </w:r>
      <w:r w:rsidR="00E65BCF">
        <w:rPr>
          <w:rFonts w:ascii="Times New Roman" w:hAnsi="Times New Roman" w:cs="Times New Roman"/>
          <w:sz w:val="24"/>
          <w:szCs w:val="24"/>
        </w:rPr>
        <w:t xml:space="preserve"> when it comes to determining Duke’s incentive payment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2"/>
      </w:r>
      <w:r w:rsidR="00EA7E5B">
        <w:rPr>
          <w:rFonts w:ascii="Times New Roman" w:hAnsi="Times New Roman" w:cs="Times New Roman"/>
          <w:sz w:val="24"/>
          <w:szCs w:val="24"/>
        </w:rPr>
        <w:t xml:space="preserve">  And </w:t>
      </w:r>
      <w:r w:rsidR="00667750">
        <w:rPr>
          <w:rFonts w:ascii="Times New Roman" w:hAnsi="Times New Roman" w:cs="Times New Roman"/>
          <w:sz w:val="24"/>
          <w:szCs w:val="24"/>
        </w:rPr>
        <w:t>t</w:t>
      </w:r>
      <w:r w:rsidR="00EA7E5B" w:rsidRPr="00EA7E5B">
        <w:rPr>
          <w:rFonts w:ascii="Times New Roman" w:hAnsi="Times New Roman" w:cs="Times New Roman"/>
          <w:sz w:val="24"/>
          <w:szCs w:val="24"/>
        </w:rPr>
        <w:t>he PUCO has stated that “… where an energy efficiency program is implemented by a utility, and customers have already taken the steps promoted by the program, the net savings methodology may be more appropriate.”</w:t>
      </w:r>
      <w:r w:rsidR="00EA7E5B" w:rsidRPr="00EA7E5B">
        <w:rPr>
          <w:rFonts w:ascii="Times New Roman" w:hAnsi="Times New Roman" w:cs="Times New Roman"/>
          <w:sz w:val="24"/>
          <w:szCs w:val="24"/>
          <w:vertAlign w:val="superscript"/>
        </w:rPr>
        <w:footnoteReference w:id="83"/>
      </w:r>
      <w:r w:rsidR="00EA7E5B" w:rsidRPr="00EA7E5B">
        <w:rPr>
          <w:rFonts w:ascii="Times New Roman" w:hAnsi="Times New Roman" w:cs="Times New Roman"/>
          <w:sz w:val="24"/>
          <w:szCs w:val="24"/>
        </w:rPr>
        <w:t xml:space="preserve">  As an example, </w:t>
      </w:r>
      <w:r w:rsidR="00EA7E5B">
        <w:rPr>
          <w:rFonts w:ascii="Times New Roman" w:hAnsi="Times New Roman" w:cs="Times New Roman"/>
          <w:sz w:val="24"/>
          <w:szCs w:val="24"/>
        </w:rPr>
        <w:t xml:space="preserve">Mr. Gonzalez pointed out that </w:t>
      </w:r>
      <w:r w:rsidR="00EA7E5B" w:rsidRPr="00EA7E5B">
        <w:rPr>
          <w:rFonts w:ascii="Times New Roman" w:hAnsi="Times New Roman" w:cs="Times New Roman"/>
          <w:sz w:val="24"/>
          <w:szCs w:val="24"/>
        </w:rPr>
        <w:t>in California a 0.8 ratio default net-to-gross figure is used until such time as a new, more appropriate, value is determined in the course of program evaluation.</w:t>
      </w:r>
      <w:r w:rsidR="00EA7E5B" w:rsidRPr="00EA7E5B">
        <w:rPr>
          <w:rFonts w:ascii="Times New Roman" w:hAnsi="Times New Roman" w:cs="Times New Roman"/>
          <w:sz w:val="24"/>
          <w:szCs w:val="24"/>
          <w:vertAlign w:val="superscript"/>
        </w:rPr>
        <w:footnoteReference w:id="84"/>
      </w:r>
      <w:r w:rsidR="00EA7E5B" w:rsidRPr="00EA7E5B">
        <w:rPr>
          <w:rFonts w:ascii="Times New Roman" w:hAnsi="Times New Roman" w:cs="Times New Roman"/>
          <w:sz w:val="24"/>
          <w:szCs w:val="24"/>
        </w:rPr>
        <w:t xml:space="preserve">  Using the above value as an example, an energy efficiency program that is projected to save 10,000 kWh is credited with only 8,000 kWh saved for incentive purposes. </w:t>
      </w:r>
      <w:r w:rsidR="00EA7E5B">
        <w:rPr>
          <w:rStyle w:val="FootnoteReference"/>
          <w:rFonts w:ascii="Times New Roman" w:hAnsi="Times New Roman" w:cs="Times New Roman"/>
          <w:sz w:val="24"/>
          <w:szCs w:val="24"/>
        </w:rPr>
        <w:footnoteReference w:id="85"/>
      </w:r>
      <w:r w:rsidR="00EA7E5B" w:rsidRPr="00EA7E5B">
        <w:rPr>
          <w:rFonts w:ascii="Times New Roman" w:hAnsi="Times New Roman" w:cs="Times New Roman"/>
          <w:sz w:val="24"/>
          <w:szCs w:val="24"/>
        </w:rPr>
        <w:t xml:space="preserve"> </w:t>
      </w:r>
    </w:p>
    <w:p w:rsidR="009B2386" w:rsidRDefault="001D29E8" w:rsidP="001D29E8">
      <w:pPr>
        <w:pStyle w:val="Heading3"/>
      </w:pPr>
      <w:bookmarkStart w:id="14" w:name="_Toc426990921"/>
      <w:bookmarkStart w:id="15" w:name="_Toc427923432"/>
      <w:r>
        <w:t>3</w:t>
      </w:r>
      <w:r w:rsidR="00EA7E5B">
        <w:t>.</w:t>
      </w:r>
      <w:r w:rsidR="00EA7E5B">
        <w:tab/>
        <w:t>A shared savings incentive should be calculated on a pre-tax basis</w:t>
      </w:r>
      <w:r w:rsidR="00806613">
        <w:t xml:space="preserve"> to protect customers from overpaying</w:t>
      </w:r>
      <w:r w:rsidR="00EA7E5B">
        <w:t>.</w:t>
      </w:r>
      <w:bookmarkEnd w:id="14"/>
      <w:bookmarkEnd w:id="15"/>
    </w:p>
    <w:p w:rsidR="001D29E8" w:rsidRDefault="00EA7E5B" w:rsidP="000A6628">
      <w:pPr>
        <w:autoSpaceDE w:val="0"/>
        <w:autoSpaceDN w:val="0"/>
        <w:adjustRightInd w:val="0"/>
        <w:spacing w:after="0" w:line="480" w:lineRule="auto"/>
        <w:ind w:firstLine="720"/>
        <w:rPr>
          <w:rFonts w:ascii="Times New Roman" w:hAnsi="Times New Roman" w:cs="Times New Roman"/>
          <w:b/>
          <w:sz w:val="24"/>
          <w:szCs w:val="24"/>
        </w:rPr>
      </w:pPr>
      <w:r w:rsidRPr="00807CCA">
        <w:rPr>
          <w:rFonts w:ascii="Times New Roman" w:hAnsi="Times New Roman" w:cs="Times New Roman"/>
          <w:sz w:val="24"/>
          <w:szCs w:val="24"/>
        </w:rPr>
        <w:t>The calculation of the shared savings incentive should be on a pre-tax basis.</w:t>
      </w:r>
      <w:r w:rsidRPr="00807CCA">
        <w:rPr>
          <w:rFonts w:ascii="Times New Roman" w:hAnsi="Times New Roman" w:cs="Times New Roman"/>
          <w:b/>
          <w:bCs/>
          <w:sz w:val="24"/>
          <w:szCs w:val="24"/>
        </w:rPr>
        <w:t xml:space="preserve"> </w:t>
      </w:r>
      <w:r w:rsidRPr="00807CCA">
        <w:rPr>
          <w:rFonts w:ascii="Times New Roman" w:hAnsi="Times New Roman" w:cs="Times New Roman"/>
          <w:sz w:val="24"/>
          <w:szCs w:val="24"/>
        </w:rPr>
        <w:t>Using an after tax calculation is a concern for customers because customers will not only pay the Utility an incentive on their shared savings, but will also be asked to pay for</w:t>
      </w:r>
      <w:r w:rsidRPr="00807CCA">
        <w:rPr>
          <w:rFonts w:ascii="Times New Roman" w:hAnsi="Times New Roman" w:cs="Times New Roman"/>
          <w:b/>
          <w:bCs/>
          <w:sz w:val="24"/>
          <w:szCs w:val="24"/>
        </w:rPr>
        <w:t xml:space="preserve"> </w:t>
      </w:r>
      <w:r w:rsidRPr="00807CCA">
        <w:rPr>
          <w:rFonts w:ascii="Times New Roman" w:hAnsi="Times New Roman" w:cs="Times New Roman"/>
          <w:sz w:val="24"/>
          <w:szCs w:val="24"/>
        </w:rPr>
        <w:t xml:space="preserve">Duke’s tax liability.  </w:t>
      </w:r>
      <w:r w:rsidRPr="00807CCA">
        <w:rPr>
          <w:rFonts w:ascii="Times New Roman" w:eastAsia="Times New Roman" w:hAnsi="Times New Roman" w:cs="Times New Roman"/>
          <w:sz w:val="24"/>
          <w:szCs w:val="24"/>
        </w:rPr>
        <w:t>Grossing up for taxes effectively grants Duke a top</w:t>
      </w:r>
      <w:r w:rsidR="00765061">
        <w:rPr>
          <w:rFonts w:ascii="Times New Roman" w:eastAsia="Times New Roman" w:hAnsi="Times New Roman" w:cs="Times New Roman"/>
          <w:sz w:val="24"/>
          <w:szCs w:val="24"/>
        </w:rPr>
        <w:t xml:space="preserve">-tier shared savings of over 20% </w:t>
      </w:r>
      <w:r w:rsidRPr="00807CCA">
        <w:rPr>
          <w:rFonts w:ascii="Times New Roman" w:eastAsia="Times New Roman" w:hAnsi="Times New Roman" w:cs="Times New Roman"/>
          <w:sz w:val="24"/>
          <w:szCs w:val="24"/>
        </w:rPr>
        <w:t>of the net benefits.  Duke’s approach thereby forces its c</w:t>
      </w:r>
      <w:r w:rsidR="00765061">
        <w:rPr>
          <w:rFonts w:ascii="Times New Roman" w:eastAsia="Times New Roman" w:hAnsi="Times New Roman" w:cs="Times New Roman"/>
          <w:sz w:val="24"/>
          <w:szCs w:val="24"/>
        </w:rPr>
        <w:t xml:space="preserve">ustomers to pay an additional 7% </w:t>
      </w:r>
      <w:r w:rsidRPr="00807CCA">
        <w:rPr>
          <w:rFonts w:ascii="Times New Roman" w:eastAsia="Times New Roman" w:hAnsi="Times New Roman" w:cs="Times New Roman"/>
          <w:sz w:val="24"/>
          <w:szCs w:val="24"/>
        </w:rPr>
        <w:t xml:space="preserve">of the net benefits.  While grossing up for taxes is common in distribution rate cases where utilities are given the opportunity to earn an authorized rate of return, it is not appropriate for a discretionary energy </w:t>
      </w:r>
      <w:r w:rsidRPr="00807CCA">
        <w:rPr>
          <w:rFonts w:ascii="Times New Roman" w:hAnsi="Times New Roman" w:cs="Times New Roman"/>
          <w:sz w:val="24"/>
          <w:szCs w:val="24"/>
        </w:rPr>
        <w:t>efficiency shared savings mechanism.</w:t>
      </w:r>
      <w:r w:rsidRPr="00807CCA">
        <w:rPr>
          <w:rStyle w:val="FootnoteReference"/>
          <w:rFonts w:ascii="Times New Roman" w:hAnsi="Times New Roman" w:cs="Times New Roman"/>
          <w:sz w:val="24"/>
          <w:szCs w:val="24"/>
        </w:rPr>
        <w:footnoteReference w:id="86"/>
      </w:r>
      <w:r w:rsidRPr="00807CCA">
        <w:rPr>
          <w:rFonts w:ascii="Times New Roman" w:hAnsi="Times New Roman" w:cs="Times New Roman"/>
          <w:sz w:val="24"/>
          <w:szCs w:val="24"/>
        </w:rPr>
        <w:t xml:space="preserve">  </w:t>
      </w:r>
    </w:p>
    <w:p w:rsidR="0053413A" w:rsidRDefault="00823C70" w:rsidP="00947EE6">
      <w:pPr>
        <w:pStyle w:val="Heading2"/>
      </w:pPr>
      <w:bookmarkStart w:id="16" w:name="_Toc427923433"/>
      <w:r>
        <w:t>C.</w:t>
      </w:r>
      <w:r>
        <w:tab/>
      </w:r>
      <w:r w:rsidR="0053413A" w:rsidRPr="001D29E8">
        <w:t xml:space="preserve">Duke should be prohibited from using banked savings from previous years to </w:t>
      </w:r>
      <w:r w:rsidR="006A3A16">
        <w:t>collect</w:t>
      </w:r>
      <w:r w:rsidR="0053413A" w:rsidRPr="001D29E8">
        <w:t xml:space="preserve"> higher incentive </w:t>
      </w:r>
      <w:r w:rsidR="00806613">
        <w:t xml:space="preserve">payments from </w:t>
      </w:r>
      <w:r w:rsidR="0053413A" w:rsidRPr="001D29E8">
        <w:t>c</w:t>
      </w:r>
      <w:r w:rsidR="00C2439B">
        <w:t>ustomers</w:t>
      </w:r>
      <w:r w:rsidR="0053413A" w:rsidRPr="001D29E8">
        <w:t>.</w:t>
      </w:r>
      <w:bookmarkEnd w:id="16"/>
      <w:r w:rsidR="00C27EB3" w:rsidRPr="001D29E8">
        <w:t xml:space="preserve"> </w:t>
      </w:r>
    </w:p>
    <w:p w:rsidR="00D80ABE" w:rsidRDefault="00D80ABE" w:rsidP="00D80ABE">
      <w:pPr>
        <w:spacing w:after="0" w:line="480" w:lineRule="auto"/>
        <w:ind w:firstLine="720"/>
        <w:rPr>
          <w:rFonts w:ascii="Times New Roman" w:hAnsi="Times New Roman"/>
          <w:sz w:val="24"/>
          <w:szCs w:val="24"/>
        </w:rPr>
      </w:pPr>
      <w:r>
        <w:rPr>
          <w:rFonts w:ascii="Times New Roman" w:hAnsi="Times New Roman"/>
          <w:sz w:val="24"/>
          <w:szCs w:val="24"/>
        </w:rPr>
        <w:t xml:space="preserve">Duke claims that its current EE/PDR portfolio is not designed in a way to allow the </w:t>
      </w:r>
      <w:r w:rsidR="00806613">
        <w:rPr>
          <w:rFonts w:ascii="Times New Roman" w:hAnsi="Times New Roman"/>
          <w:sz w:val="24"/>
          <w:szCs w:val="24"/>
        </w:rPr>
        <w:t>Utility</w:t>
      </w:r>
      <w:r>
        <w:rPr>
          <w:rFonts w:ascii="Times New Roman" w:hAnsi="Times New Roman"/>
          <w:sz w:val="24"/>
          <w:szCs w:val="24"/>
        </w:rPr>
        <w:t xml:space="preserve"> to meet the annual benchmarks of former R.C. 4928.66 for the year 2016</w:t>
      </w:r>
      <w:r w:rsidR="00806613">
        <w:rPr>
          <w:rFonts w:ascii="Times New Roman" w:hAnsi="Times New Roman"/>
          <w:sz w:val="24"/>
          <w:szCs w:val="24"/>
        </w:rPr>
        <w:t>.</w:t>
      </w:r>
      <w:r>
        <w:rPr>
          <w:rStyle w:val="FootnoteReference"/>
          <w:rFonts w:ascii="Times New Roman" w:hAnsi="Times New Roman"/>
          <w:sz w:val="24"/>
          <w:szCs w:val="24"/>
        </w:rPr>
        <w:footnoteReference w:id="87"/>
      </w:r>
      <w:r>
        <w:rPr>
          <w:rFonts w:ascii="Times New Roman" w:hAnsi="Times New Roman"/>
          <w:sz w:val="24"/>
          <w:szCs w:val="24"/>
        </w:rPr>
        <w:t xml:space="preserve"> </w:t>
      </w:r>
      <w:r w:rsidR="00806613">
        <w:rPr>
          <w:rFonts w:ascii="Times New Roman" w:hAnsi="Times New Roman"/>
          <w:sz w:val="24"/>
          <w:szCs w:val="24"/>
        </w:rPr>
        <w:t xml:space="preserve"> I</w:t>
      </w:r>
      <w:r w:rsidR="006A3A16">
        <w:rPr>
          <w:rFonts w:ascii="Times New Roman" w:hAnsi="Times New Roman"/>
          <w:sz w:val="24"/>
          <w:szCs w:val="24"/>
        </w:rPr>
        <w:t>t also complains that it cannot</w:t>
      </w:r>
      <w:r>
        <w:rPr>
          <w:rFonts w:ascii="Times New Roman" w:hAnsi="Times New Roman"/>
          <w:sz w:val="24"/>
          <w:szCs w:val="24"/>
        </w:rPr>
        <w:t xml:space="preserve"> earn a shared savings incentive if it cannot use savings generated from EE/PDR efforts in previous years (also referred to as “banked savings”).</w:t>
      </w:r>
      <w:r>
        <w:rPr>
          <w:rStyle w:val="FootnoteReference"/>
          <w:rFonts w:ascii="Times New Roman" w:hAnsi="Times New Roman"/>
          <w:sz w:val="24"/>
          <w:szCs w:val="24"/>
        </w:rPr>
        <w:footnoteReference w:id="88"/>
      </w:r>
      <w:r>
        <w:rPr>
          <w:rFonts w:ascii="Times New Roman" w:hAnsi="Times New Roman"/>
          <w:sz w:val="24"/>
          <w:szCs w:val="24"/>
        </w:rPr>
        <w:t xml:space="preserve">  While this fact in and of itself is contested,</w:t>
      </w:r>
      <w:r>
        <w:rPr>
          <w:rStyle w:val="FootnoteReference"/>
          <w:rFonts w:ascii="Times New Roman" w:hAnsi="Times New Roman"/>
          <w:sz w:val="24"/>
          <w:szCs w:val="24"/>
        </w:rPr>
        <w:footnoteReference w:id="89"/>
      </w:r>
      <w:r>
        <w:rPr>
          <w:rFonts w:ascii="Times New Roman" w:hAnsi="Times New Roman"/>
          <w:sz w:val="24"/>
          <w:szCs w:val="24"/>
        </w:rPr>
        <w:t xml:space="preserve"> Duke should not be permitted to use banked savings </w:t>
      </w:r>
      <w:r w:rsidR="00332FA1">
        <w:rPr>
          <w:rFonts w:ascii="Times New Roman" w:hAnsi="Times New Roman"/>
          <w:sz w:val="24"/>
          <w:szCs w:val="24"/>
        </w:rPr>
        <w:t xml:space="preserve">for purposes of calculating the shared savings incentive </w:t>
      </w:r>
      <w:r>
        <w:rPr>
          <w:rFonts w:ascii="Times New Roman" w:hAnsi="Times New Roman"/>
          <w:sz w:val="24"/>
          <w:szCs w:val="24"/>
        </w:rPr>
        <w:t xml:space="preserve">when it has not demonstrated exemplary performance.  Neither Ohio law nor PUCO precedent permit the use of banked savings for purposes of calculating the shared savings incentive.  Nor is it good policy to allow Duke to rely on banked EE/PDR savings from previous years because it undermines the entire concept of a yearly </w:t>
      </w:r>
      <w:r w:rsidRPr="00681ACB">
        <w:rPr>
          <w:rFonts w:ascii="Times New Roman" w:hAnsi="Times New Roman"/>
          <w:b/>
          <w:i/>
          <w:sz w:val="24"/>
          <w:szCs w:val="24"/>
        </w:rPr>
        <w:t>incentive</w:t>
      </w:r>
      <w:r>
        <w:rPr>
          <w:rFonts w:ascii="Times New Roman" w:hAnsi="Times New Roman"/>
          <w:sz w:val="24"/>
          <w:szCs w:val="24"/>
        </w:rPr>
        <w:t>.</w:t>
      </w:r>
    </w:p>
    <w:p w:rsidR="00D80ABE" w:rsidRPr="00947EE6" w:rsidRDefault="00947EE6" w:rsidP="00947EE6">
      <w:pPr>
        <w:pStyle w:val="Heading3"/>
      </w:pPr>
      <w:bookmarkStart w:id="17" w:name="_Toc427923434"/>
      <w:r>
        <w:t>1.</w:t>
      </w:r>
      <w:r>
        <w:tab/>
      </w:r>
      <w:r w:rsidR="00D80ABE" w:rsidRPr="00947EE6">
        <w:t>Ohio law and PUCO precedent do not permit, authorize, or support the use of banked savings in calculating the shared savings mechanism.</w:t>
      </w:r>
      <w:bookmarkEnd w:id="17"/>
    </w:p>
    <w:p w:rsidR="00D80ABE" w:rsidRDefault="00D80ABE" w:rsidP="00D80ABE">
      <w:pPr>
        <w:spacing w:after="0" w:line="480" w:lineRule="auto"/>
        <w:ind w:firstLine="720"/>
        <w:rPr>
          <w:rFonts w:ascii="Times New Roman" w:hAnsi="Times New Roman"/>
          <w:sz w:val="24"/>
          <w:szCs w:val="24"/>
        </w:rPr>
      </w:pPr>
      <w:r w:rsidRPr="00B43DC7">
        <w:rPr>
          <w:rFonts w:ascii="Times New Roman" w:hAnsi="Times New Roman"/>
          <w:sz w:val="24"/>
          <w:szCs w:val="24"/>
        </w:rPr>
        <w:t>After the passage of S</w:t>
      </w:r>
      <w:r w:rsidR="00482F58">
        <w:rPr>
          <w:rFonts w:ascii="Times New Roman" w:hAnsi="Times New Roman"/>
          <w:sz w:val="24"/>
          <w:szCs w:val="24"/>
        </w:rPr>
        <w:t xml:space="preserve">enate Bill </w:t>
      </w:r>
      <w:r w:rsidRPr="00B43DC7">
        <w:rPr>
          <w:rFonts w:ascii="Times New Roman" w:hAnsi="Times New Roman"/>
          <w:sz w:val="24"/>
          <w:szCs w:val="24"/>
        </w:rPr>
        <w:t>310, Ohio law expressly permits utilities to bank “energy efficiency savings or peak demand reduction amount achieved in excess of the requirements,” and apply them “toward achieving the energy efficiency or peak demand reduction requirements in future years.”</w:t>
      </w:r>
      <w:r>
        <w:rPr>
          <w:rStyle w:val="FootnoteReference"/>
          <w:rFonts w:ascii="Times New Roman" w:hAnsi="Times New Roman" w:cs="Times New Roman"/>
          <w:sz w:val="24"/>
          <w:szCs w:val="24"/>
        </w:rPr>
        <w:footnoteReference w:id="90"/>
      </w:r>
      <w:r w:rsidRPr="00B43DC7">
        <w:rPr>
          <w:rFonts w:ascii="Times New Roman" w:hAnsi="Times New Roman"/>
          <w:sz w:val="24"/>
          <w:szCs w:val="24"/>
        </w:rPr>
        <w:t xml:space="preserve">  At no point, however, do the provisions of S</w:t>
      </w:r>
      <w:r w:rsidR="00482F58">
        <w:rPr>
          <w:rFonts w:ascii="Times New Roman" w:hAnsi="Times New Roman"/>
          <w:sz w:val="24"/>
          <w:szCs w:val="24"/>
        </w:rPr>
        <w:t>enate Bill</w:t>
      </w:r>
      <w:r w:rsidRPr="00B43DC7">
        <w:rPr>
          <w:rFonts w:ascii="Times New Roman" w:hAnsi="Times New Roman"/>
          <w:sz w:val="24"/>
          <w:szCs w:val="24"/>
        </w:rPr>
        <w:t xml:space="preserve"> 310 permit banking for purposes of calculating the shared savings incentive. In fact, Duke’s only witness, Tim Duff, conceded that very point.</w:t>
      </w:r>
      <w:r>
        <w:rPr>
          <w:rStyle w:val="FootnoteReference"/>
          <w:rFonts w:ascii="Times New Roman" w:hAnsi="Times New Roman" w:cs="Times New Roman"/>
          <w:sz w:val="24"/>
          <w:szCs w:val="24"/>
        </w:rPr>
        <w:footnoteReference w:id="91"/>
      </w:r>
      <w:r w:rsidRPr="00B43DC7">
        <w:rPr>
          <w:rFonts w:ascii="Times New Roman" w:hAnsi="Times New Roman"/>
          <w:sz w:val="24"/>
          <w:szCs w:val="24"/>
        </w:rPr>
        <w:t xml:space="preserve">  </w:t>
      </w:r>
      <w:r>
        <w:rPr>
          <w:rFonts w:ascii="Times New Roman" w:hAnsi="Times New Roman"/>
          <w:sz w:val="24"/>
          <w:szCs w:val="24"/>
        </w:rPr>
        <w:t>Beyond the text itself,</w:t>
      </w:r>
      <w:r w:rsidRPr="00B43DC7">
        <w:rPr>
          <w:rFonts w:ascii="Times New Roman" w:hAnsi="Times New Roman"/>
          <w:sz w:val="24"/>
          <w:szCs w:val="24"/>
        </w:rPr>
        <w:t xml:space="preserve"> the statutory canons of construction also lend themselves to that </w:t>
      </w:r>
      <w:r>
        <w:rPr>
          <w:rFonts w:ascii="Times New Roman" w:hAnsi="Times New Roman"/>
          <w:sz w:val="24"/>
          <w:szCs w:val="24"/>
        </w:rPr>
        <w:t xml:space="preserve">same </w:t>
      </w:r>
      <w:r w:rsidRPr="00B43DC7">
        <w:rPr>
          <w:rFonts w:ascii="Times New Roman" w:hAnsi="Times New Roman"/>
          <w:sz w:val="24"/>
          <w:szCs w:val="24"/>
        </w:rPr>
        <w:t>conclusion</w:t>
      </w:r>
      <w:r>
        <w:rPr>
          <w:rFonts w:ascii="Times New Roman" w:hAnsi="Times New Roman"/>
          <w:sz w:val="24"/>
          <w:szCs w:val="24"/>
        </w:rPr>
        <w:t>.</w:t>
      </w:r>
    </w:p>
    <w:p w:rsidR="00D80ABE" w:rsidRDefault="00D80ABE" w:rsidP="00D80ABE">
      <w:pPr>
        <w:spacing w:after="0" w:line="480" w:lineRule="auto"/>
        <w:ind w:firstLine="720"/>
        <w:rPr>
          <w:rStyle w:val="sssh"/>
          <w:rFonts w:ascii="Times New Roman" w:hAnsi="Times New Roman" w:cs="Times New Roman"/>
          <w:sz w:val="24"/>
          <w:szCs w:val="24"/>
        </w:rPr>
      </w:pPr>
      <w:r w:rsidRPr="00B43DC7">
        <w:rPr>
          <w:rStyle w:val="ssrfcpassagedeactivated"/>
          <w:rFonts w:ascii="Times New Roman" w:hAnsi="Times New Roman" w:cs="Times New Roman"/>
          <w:sz w:val="24"/>
          <w:szCs w:val="24"/>
        </w:rPr>
        <w:t xml:space="preserve">As the Supreme Court of Ohio has held, “under the general rule of statutory construction, </w:t>
      </w:r>
      <w:r w:rsidRPr="00B43DC7">
        <w:rPr>
          <w:rStyle w:val="ssrfcpassagedeactivated"/>
          <w:rFonts w:ascii="Times New Roman" w:hAnsi="Times New Roman" w:cs="Times New Roman"/>
          <w:i/>
          <w:sz w:val="24"/>
          <w:szCs w:val="24"/>
        </w:rPr>
        <w:t xml:space="preserve">expressio </w:t>
      </w:r>
      <w:r w:rsidRPr="00B43DC7">
        <w:rPr>
          <w:rStyle w:val="sssh"/>
          <w:rFonts w:ascii="Times New Roman" w:hAnsi="Times New Roman" w:cs="Times New Roman"/>
          <w:i/>
          <w:sz w:val="24"/>
          <w:szCs w:val="24"/>
        </w:rPr>
        <w:t>unius</w:t>
      </w:r>
      <w:r w:rsidRPr="00B43DC7">
        <w:rPr>
          <w:rStyle w:val="ssrfcpassagedeactivated"/>
          <w:rFonts w:ascii="Times New Roman" w:hAnsi="Times New Roman" w:cs="Times New Roman"/>
          <w:i/>
          <w:sz w:val="24"/>
          <w:szCs w:val="24"/>
        </w:rPr>
        <w:t xml:space="preserve"> est exclusio alterius</w:t>
      </w:r>
      <w:r w:rsidRPr="00B43DC7">
        <w:rPr>
          <w:rStyle w:val="ssrfcpassagedeactivated"/>
          <w:rFonts w:ascii="Times New Roman" w:hAnsi="Times New Roman" w:cs="Times New Roman"/>
          <w:sz w:val="24"/>
          <w:szCs w:val="24"/>
        </w:rPr>
        <w:t xml:space="preserve">, ‘the </w:t>
      </w:r>
      <w:r w:rsidRPr="00B43DC7">
        <w:rPr>
          <w:rStyle w:val="sssh"/>
          <w:rFonts w:ascii="Times New Roman" w:hAnsi="Times New Roman" w:cs="Times New Roman"/>
          <w:sz w:val="24"/>
          <w:szCs w:val="24"/>
        </w:rPr>
        <w:t>expression</w:t>
      </w:r>
      <w:r w:rsidRPr="00B43DC7">
        <w:rPr>
          <w:rStyle w:val="ssrfcpassagedeactivated"/>
          <w:rFonts w:ascii="Times New Roman" w:hAnsi="Times New Roman" w:cs="Times New Roman"/>
          <w:sz w:val="24"/>
          <w:szCs w:val="24"/>
        </w:rPr>
        <w:t xml:space="preserve"> of one or more items of a class implies that those not identified are to be excluded.’”</w:t>
      </w:r>
      <w:r w:rsidRPr="009C0EBF">
        <w:rPr>
          <w:rStyle w:val="FootnoteReference"/>
          <w:rFonts w:ascii="Times New Roman" w:hAnsi="Times New Roman" w:cs="Times New Roman"/>
          <w:sz w:val="24"/>
          <w:szCs w:val="24"/>
        </w:rPr>
        <w:footnoteReference w:id="92"/>
      </w:r>
      <w:r w:rsidRPr="00B43DC7">
        <w:rPr>
          <w:rStyle w:val="ssrfcpassagedeactivated"/>
          <w:rFonts w:ascii="Times New Roman" w:hAnsi="Times New Roman" w:cs="Times New Roman"/>
          <w:sz w:val="24"/>
          <w:szCs w:val="24"/>
        </w:rPr>
        <w:t xml:space="preserve">  The Supreme Court also cited to Black’s Law Dictionary for the example that “t</w:t>
      </w:r>
      <w:r w:rsidRPr="00B43DC7">
        <w:rPr>
          <w:rFonts w:ascii="Times New Roman" w:hAnsi="Times New Roman" w:cs="Times New Roman"/>
          <w:sz w:val="24"/>
          <w:szCs w:val="24"/>
        </w:rPr>
        <w:t>he rule that each citizen is entitled to vote implies that noncitizens are not entitled to vote.”</w:t>
      </w:r>
      <w:r w:rsidRPr="009C0EBF">
        <w:rPr>
          <w:rStyle w:val="FootnoteReference"/>
          <w:rFonts w:ascii="Times New Roman" w:hAnsi="Times New Roman" w:cs="Times New Roman"/>
          <w:sz w:val="24"/>
          <w:szCs w:val="24"/>
        </w:rPr>
        <w:footnoteReference w:id="93"/>
      </w:r>
      <w:r w:rsidRPr="00B43DC7">
        <w:rPr>
          <w:rStyle w:val="ssrfcpassagedeactivated"/>
          <w:rFonts w:ascii="Times New Roman" w:hAnsi="Times New Roman" w:cs="Times New Roman"/>
          <w:sz w:val="24"/>
          <w:szCs w:val="24"/>
        </w:rPr>
        <w:t xml:space="preserve"> </w:t>
      </w:r>
      <w:r w:rsidR="00F64DF3">
        <w:rPr>
          <w:rStyle w:val="ssrfcpassagedeactivated"/>
          <w:rFonts w:ascii="Times New Roman" w:hAnsi="Times New Roman" w:cs="Times New Roman"/>
          <w:sz w:val="24"/>
          <w:szCs w:val="24"/>
        </w:rPr>
        <w:t xml:space="preserve"> </w:t>
      </w:r>
      <w:r w:rsidRPr="00B43DC7">
        <w:rPr>
          <w:rStyle w:val="ssrfcpassagedeactivated"/>
          <w:rFonts w:ascii="Times New Roman" w:hAnsi="Times New Roman" w:cs="Times New Roman"/>
          <w:sz w:val="24"/>
          <w:szCs w:val="24"/>
        </w:rPr>
        <w:t xml:space="preserve">The Ohio General Assembly expressly acknowledged and permitted the use of banked savings for purpose of compliance with the mandates set forth in R.C. 4928.66.  By not expressing or permitting the use of banked savings for purposes of shared savings, however, the </w:t>
      </w:r>
      <w:r w:rsidRPr="00B43DC7">
        <w:rPr>
          <w:rStyle w:val="ssrfcpassagedeactivated"/>
          <w:rFonts w:ascii="Times New Roman" w:hAnsi="Times New Roman" w:cs="Times New Roman"/>
          <w:i/>
          <w:sz w:val="24"/>
          <w:szCs w:val="24"/>
        </w:rPr>
        <w:t xml:space="preserve">expressio </w:t>
      </w:r>
      <w:r w:rsidRPr="00B43DC7">
        <w:rPr>
          <w:rStyle w:val="sssh"/>
          <w:rFonts w:ascii="Times New Roman" w:hAnsi="Times New Roman" w:cs="Times New Roman"/>
          <w:i/>
          <w:sz w:val="24"/>
          <w:szCs w:val="24"/>
        </w:rPr>
        <w:t>unius</w:t>
      </w:r>
      <w:r w:rsidRPr="00B43DC7">
        <w:rPr>
          <w:rStyle w:val="sssh"/>
          <w:rFonts w:ascii="Times New Roman" w:hAnsi="Times New Roman" w:cs="Times New Roman"/>
          <w:sz w:val="24"/>
          <w:szCs w:val="24"/>
        </w:rPr>
        <w:t xml:space="preserve"> canon of statutory construction indicates that banked savings may not be used in such a way.</w:t>
      </w:r>
    </w:p>
    <w:p w:rsidR="00806613" w:rsidRDefault="00D80ABE" w:rsidP="00D80ABE">
      <w:pPr>
        <w:spacing w:after="0" w:line="480" w:lineRule="auto"/>
        <w:ind w:firstLine="720"/>
        <w:rPr>
          <w:rFonts w:ascii="Times New Roman" w:hAnsi="Times New Roman" w:cs="Times New Roman"/>
          <w:sz w:val="24"/>
          <w:szCs w:val="24"/>
        </w:rPr>
      </w:pPr>
      <w:r w:rsidRPr="00B43DC7">
        <w:rPr>
          <w:rFonts w:ascii="Times New Roman" w:hAnsi="Times New Roman" w:cs="Times New Roman"/>
          <w:sz w:val="24"/>
          <w:szCs w:val="24"/>
        </w:rPr>
        <w:t>Prior to S</w:t>
      </w:r>
      <w:r w:rsidR="00A371B7">
        <w:rPr>
          <w:rFonts w:ascii="Times New Roman" w:hAnsi="Times New Roman" w:cs="Times New Roman"/>
          <w:sz w:val="24"/>
          <w:szCs w:val="24"/>
        </w:rPr>
        <w:t>enate Bill</w:t>
      </w:r>
      <w:r w:rsidRPr="00B43DC7">
        <w:rPr>
          <w:rFonts w:ascii="Times New Roman" w:hAnsi="Times New Roman" w:cs="Times New Roman"/>
          <w:sz w:val="24"/>
          <w:szCs w:val="24"/>
        </w:rPr>
        <w:t xml:space="preserve"> 310, however, shared savings was strictly a PUCO-created </w:t>
      </w:r>
      <w:r w:rsidR="008A093C">
        <w:rPr>
          <w:rFonts w:ascii="Times New Roman" w:hAnsi="Times New Roman" w:cs="Times New Roman"/>
          <w:sz w:val="24"/>
          <w:szCs w:val="24"/>
        </w:rPr>
        <w:t xml:space="preserve">incentive </w:t>
      </w:r>
      <w:r w:rsidRPr="00B43DC7">
        <w:rPr>
          <w:rFonts w:ascii="Times New Roman" w:hAnsi="Times New Roman" w:cs="Times New Roman"/>
          <w:sz w:val="24"/>
          <w:szCs w:val="24"/>
        </w:rPr>
        <w:t>mechanism.</w:t>
      </w:r>
      <w:r>
        <w:rPr>
          <w:rStyle w:val="FootnoteReference"/>
          <w:rFonts w:ascii="Times New Roman" w:hAnsi="Times New Roman" w:cs="Times New Roman"/>
          <w:sz w:val="24"/>
          <w:szCs w:val="24"/>
        </w:rPr>
        <w:footnoteReference w:id="94"/>
      </w:r>
      <w:r w:rsidRPr="00B43DC7">
        <w:rPr>
          <w:rFonts w:ascii="Times New Roman" w:hAnsi="Times New Roman" w:cs="Times New Roman"/>
          <w:sz w:val="24"/>
          <w:szCs w:val="24"/>
        </w:rPr>
        <w:t xml:space="preserve">  Even then, the PUCO did not permit utilities to use banked savings for purposes of calculating the shared savings incentive.  It was most clearly stated in FirstEnergy’s</w:t>
      </w:r>
      <w:r>
        <w:rPr>
          <w:rStyle w:val="FootnoteReference"/>
          <w:rFonts w:ascii="Times New Roman" w:hAnsi="Times New Roman" w:cs="Times New Roman"/>
          <w:sz w:val="24"/>
          <w:szCs w:val="24"/>
        </w:rPr>
        <w:footnoteReference w:id="95"/>
      </w:r>
      <w:r w:rsidRPr="00B43DC7">
        <w:rPr>
          <w:rFonts w:ascii="Times New Roman" w:hAnsi="Times New Roman" w:cs="Times New Roman"/>
          <w:sz w:val="24"/>
          <w:szCs w:val="24"/>
        </w:rPr>
        <w:t xml:space="preserve"> 2012 portfolio case, which was the only portfolio case that was not resolved by stipulation.  In that case, the PUCO held that “banked savings shall only be counted toward shared </w:t>
      </w:r>
      <w:r w:rsidRPr="005006BC">
        <w:rPr>
          <w:rFonts w:ascii="Times New Roman" w:hAnsi="Times New Roman" w:cs="Times New Roman"/>
          <w:sz w:val="24"/>
          <w:szCs w:val="24"/>
        </w:rPr>
        <w:t>savings</w:t>
      </w:r>
      <w:r w:rsidRPr="00B43DC7">
        <w:rPr>
          <w:rFonts w:ascii="Times New Roman" w:hAnsi="Times New Roman" w:cs="Times New Roman"/>
          <w:b/>
          <w:i/>
          <w:sz w:val="24"/>
          <w:szCs w:val="24"/>
        </w:rPr>
        <w:t xml:space="preserve"> in the year that it was banked</w:t>
      </w:r>
      <w:r w:rsidRPr="00B43DC7">
        <w:rPr>
          <w:rFonts w:ascii="Times New Roman" w:hAnsi="Times New Roman" w:cs="Times New Roman"/>
          <w:sz w:val="24"/>
          <w:szCs w:val="24"/>
        </w:rPr>
        <w:t>.”</w:t>
      </w:r>
      <w:r>
        <w:rPr>
          <w:rStyle w:val="FootnoteReference"/>
          <w:rFonts w:ascii="Times New Roman" w:hAnsi="Times New Roman" w:cs="Times New Roman"/>
          <w:sz w:val="24"/>
          <w:szCs w:val="24"/>
        </w:rPr>
        <w:footnoteReference w:id="96"/>
      </w:r>
      <w:r w:rsidRPr="00B43DC7">
        <w:rPr>
          <w:rFonts w:ascii="Times New Roman" w:hAnsi="Times New Roman" w:cs="Times New Roman"/>
          <w:sz w:val="24"/>
          <w:szCs w:val="24"/>
        </w:rPr>
        <w:t xml:space="preserve">  </w:t>
      </w:r>
    </w:p>
    <w:p w:rsidR="00D80ABE" w:rsidRDefault="00D80ABE" w:rsidP="00D80ABE">
      <w:pPr>
        <w:spacing w:after="0" w:line="480" w:lineRule="auto"/>
        <w:ind w:firstLine="720"/>
        <w:rPr>
          <w:rFonts w:ascii="Times New Roman" w:hAnsi="Times New Roman" w:cs="Times New Roman"/>
          <w:sz w:val="24"/>
          <w:szCs w:val="24"/>
        </w:rPr>
      </w:pPr>
      <w:r w:rsidRPr="00961780">
        <w:rPr>
          <w:rFonts w:ascii="Times New Roman" w:hAnsi="Times New Roman" w:cs="Times New Roman"/>
          <w:sz w:val="24"/>
          <w:szCs w:val="24"/>
        </w:rPr>
        <w:t>While Duke’s witness Timothy Duff claims that Ohio Power (“AEP Ohio”) and Dayton Power and Light (“DP&amp;L”) also have an ability to use banked savings for purpose</w:t>
      </w:r>
      <w:r>
        <w:rPr>
          <w:rFonts w:ascii="Times New Roman" w:hAnsi="Times New Roman" w:cs="Times New Roman"/>
          <w:sz w:val="24"/>
          <w:szCs w:val="24"/>
        </w:rPr>
        <w:t>s</w:t>
      </w:r>
      <w:r w:rsidRPr="00961780">
        <w:rPr>
          <w:rFonts w:ascii="Times New Roman" w:hAnsi="Times New Roman" w:cs="Times New Roman"/>
          <w:sz w:val="24"/>
          <w:szCs w:val="24"/>
        </w:rPr>
        <w:t xml:space="preserve"> of calculating their shared savings incentive,</w:t>
      </w:r>
      <w:r w:rsidRPr="00961780">
        <w:rPr>
          <w:rStyle w:val="FootnoteReference"/>
          <w:rFonts w:ascii="Times New Roman" w:hAnsi="Times New Roman" w:cs="Times New Roman"/>
          <w:sz w:val="24"/>
          <w:szCs w:val="24"/>
        </w:rPr>
        <w:footnoteReference w:id="97"/>
      </w:r>
      <w:r w:rsidRPr="00961780">
        <w:rPr>
          <w:rFonts w:ascii="Times New Roman" w:hAnsi="Times New Roman" w:cs="Times New Roman"/>
          <w:sz w:val="24"/>
          <w:szCs w:val="24"/>
        </w:rPr>
        <w:t xml:space="preserve"> the language of the Stipulations tell a different story.  The Stipulation in the AEP Ohio’s portfolio plan</w:t>
      </w:r>
      <w:r>
        <w:rPr>
          <w:rFonts w:ascii="Times New Roman" w:hAnsi="Times New Roman" w:cs="Times New Roman"/>
          <w:sz w:val="24"/>
          <w:szCs w:val="24"/>
        </w:rPr>
        <w:t xml:space="preserve"> established that “AEP Ohio will only be eligible for shared savings if it exceeds the benchmarks of Sections 4928.66(A)(1)(A) and (A)(1)(b), Revised Code, </w:t>
      </w:r>
      <w:r w:rsidRPr="00632FB4">
        <w:rPr>
          <w:rFonts w:ascii="Times New Roman" w:hAnsi="Times New Roman" w:cs="Times New Roman"/>
          <w:b/>
          <w:i/>
          <w:sz w:val="24"/>
          <w:szCs w:val="24"/>
        </w:rPr>
        <w:t>for a particular calendar year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8"/>
      </w:r>
      <w:r w:rsidRPr="00961780">
        <w:rPr>
          <w:rFonts w:ascii="Times New Roman" w:hAnsi="Times New Roman" w:cs="Times New Roman"/>
          <w:sz w:val="24"/>
          <w:szCs w:val="24"/>
        </w:rPr>
        <w:t xml:space="preserve"> </w:t>
      </w:r>
      <w:r w:rsidR="00F64DF3">
        <w:rPr>
          <w:rFonts w:ascii="Times New Roman" w:hAnsi="Times New Roman" w:cs="Times New Roman"/>
          <w:sz w:val="24"/>
          <w:szCs w:val="24"/>
        </w:rPr>
        <w:t xml:space="preserve"> </w:t>
      </w:r>
      <w:r>
        <w:rPr>
          <w:rFonts w:ascii="Times New Roman" w:hAnsi="Times New Roman" w:cs="Times New Roman"/>
          <w:sz w:val="24"/>
          <w:szCs w:val="24"/>
        </w:rPr>
        <w:t xml:space="preserve">And employing language </w:t>
      </w:r>
      <w:r w:rsidR="00806613">
        <w:rPr>
          <w:rFonts w:ascii="Times New Roman" w:hAnsi="Times New Roman" w:cs="Times New Roman"/>
          <w:sz w:val="24"/>
          <w:szCs w:val="24"/>
        </w:rPr>
        <w:t>t</w:t>
      </w:r>
      <w:r>
        <w:rPr>
          <w:rFonts w:ascii="Times New Roman" w:hAnsi="Times New Roman" w:cs="Times New Roman"/>
          <w:sz w:val="24"/>
          <w:szCs w:val="24"/>
        </w:rPr>
        <w:t xml:space="preserve">hat is also found in the AEP Ohio stipulation, </w:t>
      </w:r>
      <w:r w:rsidRPr="00C81CB7">
        <w:rPr>
          <w:rFonts w:ascii="Times New Roman" w:hAnsi="Times New Roman" w:cs="Times New Roman"/>
          <w:sz w:val="24"/>
          <w:szCs w:val="24"/>
        </w:rPr>
        <w:t>the Opinion and Order approving the Stipulation in DP</w:t>
      </w:r>
      <w:r w:rsidR="006A3A16">
        <w:rPr>
          <w:rFonts w:ascii="Times New Roman" w:hAnsi="Times New Roman" w:cs="Times New Roman"/>
          <w:sz w:val="24"/>
          <w:szCs w:val="24"/>
        </w:rPr>
        <w:t>&amp;</w:t>
      </w:r>
      <w:r>
        <w:rPr>
          <w:rFonts w:ascii="Times New Roman" w:hAnsi="Times New Roman" w:cs="Times New Roman"/>
          <w:sz w:val="24"/>
          <w:szCs w:val="24"/>
        </w:rPr>
        <w:t xml:space="preserve">L’s 2013 portfolio plan acknowledged that </w:t>
      </w:r>
      <w:r w:rsidRPr="00B43DC7">
        <w:rPr>
          <w:rFonts w:ascii="Times New Roman" w:hAnsi="Times New Roman" w:cs="Times New Roman"/>
          <w:sz w:val="24"/>
          <w:szCs w:val="24"/>
        </w:rPr>
        <w:t xml:space="preserve">“[i]n a year in which previous </w:t>
      </w:r>
      <w:r w:rsidRPr="00C81CB7">
        <w:rPr>
          <w:rFonts w:ascii="Times New Roman" w:hAnsi="Times New Roman" w:cs="Times New Roman"/>
          <w:sz w:val="24"/>
          <w:szCs w:val="24"/>
        </w:rPr>
        <w:t xml:space="preserve">years’ over-compliance is used to comply with the benchmarks, shared savings shall be based only on impacts generated </w:t>
      </w:r>
      <w:r w:rsidRPr="00C81CB7">
        <w:rPr>
          <w:rFonts w:ascii="Times New Roman" w:hAnsi="Times New Roman" w:cs="Times New Roman"/>
          <w:b/>
          <w:i/>
          <w:sz w:val="24"/>
          <w:szCs w:val="24"/>
        </w:rPr>
        <w:t>in the current year</w:t>
      </w:r>
      <w:r w:rsidRPr="00C81CB7">
        <w:rPr>
          <w:rFonts w:ascii="Times New Roman" w:hAnsi="Times New Roman" w:cs="Times New Roman"/>
          <w:sz w:val="24"/>
          <w:szCs w:val="24"/>
        </w:rPr>
        <w:t>.”</w:t>
      </w:r>
      <w:r w:rsidRPr="00C81CB7">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w:t>
      </w:r>
      <w:r w:rsidR="005D03F0">
        <w:rPr>
          <w:rFonts w:ascii="Times New Roman" w:hAnsi="Times New Roman" w:cs="Times New Roman"/>
          <w:sz w:val="24"/>
          <w:szCs w:val="24"/>
        </w:rPr>
        <w:t>The language in both stipulations removes the complication of having two accounts, a compliance bank and an incentive bank, and eliminates the opportunity for AEP and DP</w:t>
      </w:r>
      <w:r w:rsidR="00482F58">
        <w:rPr>
          <w:rFonts w:ascii="Times New Roman" w:hAnsi="Times New Roman" w:cs="Times New Roman"/>
          <w:sz w:val="24"/>
          <w:szCs w:val="24"/>
        </w:rPr>
        <w:t>&amp;</w:t>
      </w:r>
      <w:r w:rsidR="005D03F0">
        <w:rPr>
          <w:rFonts w:ascii="Times New Roman" w:hAnsi="Times New Roman" w:cs="Times New Roman"/>
          <w:sz w:val="24"/>
          <w:szCs w:val="24"/>
        </w:rPr>
        <w:t>L to game the system for their benefit.</w:t>
      </w:r>
    </w:p>
    <w:p w:rsidR="00D80ABE" w:rsidRDefault="00D80ABE" w:rsidP="00D80A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 even acknowledges that the Stipulations controlling</w:t>
      </w:r>
      <w:r w:rsidR="00806613">
        <w:rPr>
          <w:rFonts w:ascii="Times New Roman" w:hAnsi="Times New Roman" w:cs="Times New Roman"/>
          <w:sz w:val="24"/>
          <w:szCs w:val="24"/>
        </w:rPr>
        <w:t xml:space="preserve"> its</w:t>
      </w:r>
      <w:r>
        <w:rPr>
          <w:rFonts w:ascii="Times New Roman" w:hAnsi="Times New Roman" w:cs="Times New Roman"/>
          <w:sz w:val="24"/>
          <w:szCs w:val="24"/>
        </w:rPr>
        <w:t xml:space="preserve"> shared savings mechanism as it currently exists do not expressly allow </w:t>
      </w:r>
      <w:r w:rsidR="00806613">
        <w:rPr>
          <w:rFonts w:ascii="Times New Roman" w:hAnsi="Times New Roman" w:cs="Times New Roman"/>
          <w:sz w:val="24"/>
          <w:szCs w:val="24"/>
        </w:rPr>
        <w:t>it</w:t>
      </w:r>
      <w:r>
        <w:rPr>
          <w:rFonts w:ascii="Times New Roman" w:hAnsi="Times New Roman" w:cs="Times New Roman"/>
          <w:sz w:val="24"/>
          <w:szCs w:val="24"/>
        </w:rPr>
        <w:t xml:space="preserve"> to use banked savings to trigger the shared savings incentive.</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In fact</w:t>
      </w:r>
      <w:r w:rsidRPr="00B43DC7">
        <w:rPr>
          <w:rFonts w:ascii="Times New Roman" w:hAnsi="Times New Roman" w:cs="Times New Roman"/>
          <w:sz w:val="24"/>
          <w:szCs w:val="24"/>
        </w:rPr>
        <w:t xml:space="preserve">, the PUCO recently rejected Duke’s request to update its EE/PDR rider that calculated a </w:t>
      </w:r>
      <w:r>
        <w:rPr>
          <w:rFonts w:ascii="Times New Roman" w:hAnsi="Times New Roman" w:cs="Times New Roman"/>
          <w:sz w:val="24"/>
          <w:szCs w:val="24"/>
        </w:rPr>
        <w:t>shared savings incentive of $11,635,152</w:t>
      </w:r>
      <w:r w:rsidRPr="00B43DC7">
        <w:rPr>
          <w:rFonts w:ascii="Times New Roman" w:hAnsi="Times New Roman" w:cs="Times New Roman"/>
          <w:sz w:val="24"/>
          <w:szCs w:val="24"/>
        </w:rPr>
        <w:t xml:space="preserve"> based upon the use of </w:t>
      </w:r>
      <w:r>
        <w:rPr>
          <w:rFonts w:ascii="Times New Roman" w:hAnsi="Times New Roman" w:cs="Times New Roman"/>
          <w:sz w:val="24"/>
          <w:szCs w:val="24"/>
        </w:rPr>
        <w:t xml:space="preserve">85,122 mWh of </w:t>
      </w:r>
      <w:r w:rsidRPr="00B43DC7">
        <w:rPr>
          <w:rFonts w:ascii="Times New Roman" w:hAnsi="Times New Roman" w:cs="Times New Roman"/>
          <w:sz w:val="24"/>
          <w:szCs w:val="24"/>
        </w:rPr>
        <w:t>banked savings.</w:t>
      </w:r>
      <w:r>
        <w:rPr>
          <w:rStyle w:val="FootnoteReference"/>
          <w:rFonts w:ascii="Times New Roman" w:hAnsi="Times New Roman" w:cs="Times New Roman"/>
          <w:sz w:val="24"/>
          <w:szCs w:val="24"/>
        </w:rPr>
        <w:footnoteReference w:id="101"/>
      </w:r>
      <w:r w:rsidRPr="00B43DC7">
        <w:rPr>
          <w:rFonts w:ascii="Times New Roman" w:hAnsi="Times New Roman" w:cs="Times New Roman"/>
          <w:sz w:val="24"/>
          <w:szCs w:val="24"/>
        </w:rPr>
        <w:t xml:space="preserve">  In the 14-457-EL-RDR case, Duke claimed to “overachieve[] utilizing banked energy efficiency impacts versus its annual mandates by over 16%.”</w:t>
      </w:r>
      <w:r>
        <w:rPr>
          <w:rStyle w:val="FootnoteReference"/>
          <w:rFonts w:ascii="Times New Roman" w:hAnsi="Times New Roman" w:cs="Times New Roman"/>
          <w:sz w:val="24"/>
          <w:szCs w:val="24"/>
        </w:rPr>
        <w:footnoteReference w:id="102"/>
      </w:r>
      <w:r w:rsidRPr="00B43DC7">
        <w:rPr>
          <w:rFonts w:ascii="Times New Roman" w:hAnsi="Times New Roman" w:cs="Times New Roman"/>
          <w:sz w:val="24"/>
          <w:szCs w:val="24"/>
        </w:rPr>
        <w:t xml:space="preserve">  In order to meet the statutory mandate for 2013</w:t>
      </w:r>
      <w:r>
        <w:rPr>
          <w:rFonts w:ascii="Times New Roman" w:hAnsi="Times New Roman" w:cs="Times New Roman"/>
          <w:sz w:val="24"/>
          <w:szCs w:val="24"/>
        </w:rPr>
        <w:t>,</w:t>
      </w:r>
      <w:r w:rsidRPr="00B43DC7">
        <w:rPr>
          <w:rFonts w:ascii="Times New Roman" w:hAnsi="Times New Roman" w:cs="Times New Roman"/>
          <w:sz w:val="24"/>
          <w:szCs w:val="24"/>
        </w:rPr>
        <w:t xml:space="preserve"> Duke was required to reduce usage by 181,368 mWh</w:t>
      </w:r>
      <w:r>
        <w:rPr>
          <w:rFonts w:ascii="Times New Roman" w:hAnsi="Times New Roman" w:cs="Times New Roman"/>
          <w:sz w:val="24"/>
          <w:szCs w:val="24"/>
        </w:rPr>
        <w:t xml:space="preserve"> but only achieved 125,</w:t>
      </w:r>
      <w:r w:rsidRPr="00B43DC7">
        <w:rPr>
          <w:rFonts w:ascii="Times New Roman" w:hAnsi="Times New Roman" w:cs="Times New Roman"/>
          <w:sz w:val="24"/>
          <w:szCs w:val="24"/>
        </w:rPr>
        <w:t>266 mWh.</w:t>
      </w:r>
      <w:r>
        <w:rPr>
          <w:rStyle w:val="FootnoteReference"/>
          <w:rFonts w:ascii="Times New Roman" w:hAnsi="Times New Roman" w:cs="Times New Roman"/>
          <w:sz w:val="24"/>
          <w:szCs w:val="24"/>
        </w:rPr>
        <w:footnoteReference w:id="103"/>
      </w:r>
      <w:r w:rsidRPr="00B43DC7">
        <w:rPr>
          <w:rFonts w:ascii="Times New Roman" w:hAnsi="Times New Roman" w:cs="Times New Roman"/>
          <w:sz w:val="24"/>
          <w:szCs w:val="24"/>
        </w:rPr>
        <w:t xml:space="preserve">  As a result, Duke attempted to use 85,122 mWh of banked savings to reach 116% of the mandate</w:t>
      </w:r>
      <w:r>
        <w:rPr>
          <w:rStyle w:val="FootnoteReference"/>
          <w:rFonts w:ascii="Times New Roman" w:hAnsi="Times New Roman" w:cs="Times New Roman"/>
          <w:sz w:val="24"/>
          <w:szCs w:val="24"/>
        </w:rPr>
        <w:footnoteReference w:id="104"/>
      </w:r>
      <w:r w:rsidRPr="00B43DC7">
        <w:rPr>
          <w:rFonts w:ascii="Times New Roman" w:hAnsi="Times New Roman" w:cs="Times New Roman"/>
          <w:sz w:val="24"/>
          <w:szCs w:val="24"/>
        </w:rPr>
        <w:t xml:space="preserve"> so that they could “collect an incentive of 13% of the net benefit achieved through its programs.”</w:t>
      </w:r>
      <w:r>
        <w:rPr>
          <w:rStyle w:val="FootnoteReference"/>
          <w:rFonts w:ascii="Times New Roman" w:hAnsi="Times New Roman" w:cs="Times New Roman"/>
          <w:sz w:val="24"/>
          <w:szCs w:val="24"/>
        </w:rPr>
        <w:footnoteReference w:id="105"/>
      </w:r>
      <w:r w:rsidRPr="00B43DC7">
        <w:rPr>
          <w:rFonts w:ascii="Times New Roman" w:hAnsi="Times New Roman" w:cs="Times New Roman"/>
          <w:sz w:val="24"/>
          <w:szCs w:val="24"/>
        </w:rPr>
        <w:t xml:space="preserve">  But the PUCO denied Duke</w:t>
      </w:r>
      <w:r>
        <w:rPr>
          <w:rFonts w:ascii="Times New Roman" w:hAnsi="Times New Roman" w:cs="Times New Roman"/>
          <w:sz w:val="24"/>
          <w:szCs w:val="24"/>
        </w:rPr>
        <w:t>’</w:t>
      </w:r>
      <w:r w:rsidRPr="00B43DC7">
        <w:rPr>
          <w:rFonts w:ascii="Times New Roman" w:hAnsi="Times New Roman" w:cs="Times New Roman"/>
          <w:sz w:val="24"/>
          <w:szCs w:val="24"/>
        </w:rPr>
        <w:t>s request, finding that “the company may only use the banked savings to reach its mandated benchmark.”</w:t>
      </w:r>
      <w:r>
        <w:rPr>
          <w:rStyle w:val="FootnoteReference"/>
          <w:rFonts w:ascii="Times New Roman" w:hAnsi="Times New Roman" w:cs="Times New Roman"/>
          <w:sz w:val="24"/>
          <w:szCs w:val="24"/>
        </w:rPr>
        <w:footnoteReference w:id="106"/>
      </w:r>
      <w:r w:rsidRPr="00B43DC7">
        <w:rPr>
          <w:rFonts w:ascii="Times New Roman" w:hAnsi="Times New Roman" w:cs="Times New Roman"/>
          <w:sz w:val="24"/>
          <w:szCs w:val="24"/>
        </w:rPr>
        <w:t xml:space="preserve">  The Commission explained that “in order for the structure to continue to serve as a </w:t>
      </w:r>
      <w:r w:rsidRPr="00B43DC7">
        <w:rPr>
          <w:rFonts w:ascii="Times New Roman" w:hAnsi="Times New Roman" w:cs="Times New Roman"/>
          <w:b/>
          <w:i/>
          <w:sz w:val="24"/>
          <w:szCs w:val="24"/>
        </w:rPr>
        <w:t>true incentive</w:t>
      </w:r>
      <w:r w:rsidRPr="00B43DC7">
        <w:rPr>
          <w:rFonts w:ascii="Times New Roman" w:hAnsi="Times New Roman" w:cs="Times New Roman"/>
          <w:sz w:val="24"/>
          <w:szCs w:val="24"/>
        </w:rPr>
        <w:t xml:space="preserve"> for Duke to exceed the benchmarks, the Commission finds the banked saving cannot be used to determine the annual shared savings achievement level.”</w:t>
      </w:r>
      <w:r>
        <w:rPr>
          <w:rStyle w:val="FootnoteReference"/>
          <w:rFonts w:ascii="Times New Roman" w:hAnsi="Times New Roman" w:cs="Times New Roman"/>
          <w:sz w:val="24"/>
          <w:szCs w:val="24"/>
        </w:rPr>
        <w:footnoteReference w:id="107"/>
      </w:r>
    </w:p>
    <w:p w:rsidR="00D80ABE" w:rsidRPr="00B43DC7" w:rsidRDefault="00D80ABE" w:rsidP="00D80A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upon a textual and statutory interpretation of the Ohio Revised Code as well as PUCO precedent, Duke should not be permitted to </w:t>
      </w:r>
      <w:r w:rsidR="008A093C">
        <w:rPr>
          <w:rFonts w:ascii="Times New Roman" w:hAnsi="Times New Roman" w:cs="Times New Roman"/>
          <w:sz w:val="24"/>
          <w:szCs w:val="24"/>
        </w:rPr>
        <w:t>expand</w:t>
      </w:r>
      <w:r>
        <w:rPr>
          <w:rFonts w:ascii="Times New Roman" w:hAnsi="Times New Roman" w:cs="Times New Roman"/>
          <w:sz w:val="24"/>
          <w:szCs w:val="24"/>
        </w:rPr>
        <w:t xml:space="preserve"> its shared savings </w:t>
      </w:r>
      <w:r w:rsidR="008A093C">
        <w:rPr>
          <w:rFonts w:ascii="Times New Roman" w:hAnsi="Times New Roman" w:cs="Times New Roman"/>
          <w:sz w:val="24"/>
          <w:szCs w:val="24"/>
        </w:rPr>
        <w:t>incentive by including in the mechanism</w:t>
      </w:r>
      <w:r>
        <w:rPr>
          <w:rFonts w:ascii="Times New Roman" w:hAnsi="Times New Roman" w:cs="Times New Roman"/>
          <w:sz w:val="24"/>
          <w:szCs w:val="24"/>
        </w:rPr>
        <w:t xml:space="preserve"> an ability to use banked savings to trigger the incentive.</w:t>
      </w:r>
    </w:p>
    <w:p w:rsidR="00D80ABE" w:rsidRPr="00947EE6" w:rsidRDefault="00947EE6" w:rsidP="00947EE6">
      <w:pPr>
        <w:pStyle w:val="Heading3"/>
      </w:pPr>
      <w:bookmarkStart w:id="18" w:name="_Toc427923435"/>
      <w:r>
        <w:t>2.</w:t>
      </w:r>
      <w:r>
        <w:tab/>
      </w:r>
      <w:r w:rsidR="00D80ABE" w:rsidRPr="00947EE6">
        <w:t xml:space="preserve">Neither public policy nor the record in this case supports the use of banked savings for purposes of calculating the shared savings </w:t>
      </w:r>
      <w:r w:rsidR="00B53375">
        <w:t>incentive</w:t>
      </w:r>
      <w:r w:rsidR="00D80ABE" w:rsidRPr="00947EE6">
        <w:t>.</w:t>
      </w:r>
      <w:bookmarkEnd w:id="18"/>
    </w:p>
    <w:p w:rsidR="006A3A16" w:rsidRDefault="00D80ABE" w:rsidP="00D80AB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sz w:val="24"/>
          <w:szCs w:val="24"/>
        </w:rPr>
        <w:t>A</w:t>
      </w:r>
      <w:r w:rsidRPr="00C04FF8">
        <w:rPr>
          <w:rFonts w:ascii="Times New Roman" w:hAnsi="Times New Roman"/>
          <w:sz w:val="24"/>
          <w:szCs w:val="24"/>
        </w:rPr>
        <w:t>s Duke witness Tim Duff conceded at the hearing in this matter</w:t>
      </w:r>
      <w:r>
        <w:rPr>
          <w:rFonts w:ascii="Times New Roman" w:hAnsi="Times New Roman"/>
          <w:sz w:val="24"/>
          <w:szCs w:val="24"/>
        </w:rPr>
        <w:t xml:space="preserve">, </w:t>
      </w:r>
      <w:r w:rsidRPr="00C04FF8">
        <w:rPr>
          <w:rFonts w:ascii="Times New Roman" w:hAnsi="Times New Roman"/>
          <w:sz w:val="24"/>
          <w:szCs w:val="24"/>
        </w:rPr>
        <w:t>Ohio law does not guarantee a shared savings incentive mechanism.</w:t>
      </w:r>
      <w:r w:rsidRPr="00C04FF8">
        <w:rPr>
          <w:rStyle w:val="FootnoteReference"/>
          <w:rFonts w:ascii="Times New Roman" w:hAnsi="Times New Roman"/>
          <w:sz w:val="24"/>
          <w:szCs w:val="24"/>
        </w:rPr>
        <w:footnoteReference w:id="108"/>
      </w:r>
      <w:r>
        <w:rPr>
          <w:rFonts w:ascii="Times New Roman" w:hAnsi="Times New Roman"/>
          <w:sz w:val="24"/>
          <w:szCs w:val="24"/>
        </w:rPr>
        <w:t xml:space="preserve">  To the contrary, the shared savings incentive is an optional reward that is designed “</w:t>
      </w:r>
      <w:r>
        <w:rPr>
          <w:rFonts w:ascii="Times New Roman" w:hAnsi="Times New Roman" w:cs="Times New Roman"/>
          <w:sz w:val="24"/>
          <w:szCs w:val="24"/>
        </w:rPr>
        <w:t>to reward exemplary utility performance in delivering energy efficiency and peak demand reduction programs to its customers.”</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Duke’s recent performance, however, is far from exemplary seeing as the Utility has not met its annual benchmarks without the use of banked savings since 2012.  Duke missed its 2013 annual benchmark by 56,102 mWh</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and then missed its 2014 annual benchmark by 78,053 mWh.</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And Duke projects that it will miss the 2015 annual benchmark </w:t>
      </w:r>
      <w:r w:rsidR="00FF372A">
        <w:rPr>
          <w:rFonts w:ascii="Times New Roman" w:hAnsi="Times New Roman" w:cs="Times New Roman"/>
          <w:sz w:val="24"/>
          <w:szCs w:val="24"/>
        </w:rPr>
        <w:t xml:space="preserve">since it is only projecting to achieve </w:t>
      </w:r>
      <w:r w:rsidRPr="009552BA">
        <w:rPr>
          <w:rFonts w:ascii="Times New Roman" w:hAnsi="Times New Roman" w:cs="Times New Roman"/>
          <w:sz w:val="24"/>
          <w:szCs w:val="24"/>
        </w:rPr>
        <w:t>134,940 mWh</w:t>
      </w:r>
      <w:r w:rsidR="00FF372A">
        <w:rPr>
          <w:rFonts w:ascii="Times New Roman" w:hAnsi="Times New Roman" w:cs="Times New Roman"/>
          <w:sz w:val="24"/>
          <w:szCs w:val="24"/>
        </w:rPr>
        <w:t xml:space="preserve"> of reductions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w:t>
      </w:r>
    </w:p>
    <w:p w:rsidR="00D80ABE" w:rsidRDefault="00D80ABE" w:rsidP="00D80AB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comparison, the other three electric distribution utilities in the state have exceeded their annual benchmarks and have not had to use banked savings for purposes of calculating the shared savings incentive. </w:t>
      </w:r>
      <w:r w:rsidR="00F64DF3">
        <w:rPr>
          <w:rFonts w:ascii="Times New Roman" w:hAnsi="Times New Roman" w:cs="Times New Roman"/>
          <w:sz w:val="24"/>
          <w:szCs w:val="24"/>
        </w:rPr>
        <w:t xml:space="preserve"> </w:t>
      </w:r>
      <w:r>
        <w:rPr>
          <w:rFonts w:ascii="Times New Roman" w:hAnsi="Times New Roman" w:cs="Times New Roman"/>
          <w:sz w:val="24"/>
          <w:szCs w:val="24"/>
        </w:rPr>
        <w:t>For example, AEP Ohio’s 2013 annual benchmark was 387.9 gWh of reduction in usage, but the company achieved 632.7 gWh of energy reduction (including transmission and distribution).</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And in 2014, AEP Ohio’s </w:t>
      </w:r>
      <w:r w:rsidR="009D2453">
        <w:rPr>
          <w:rFonts w:ascii="Times New Roman" w:hAnsi="Times New Roman" w:cs="Times New Roman"/>
          <w:sz w:val="24"/>
          <w:szCs w:val="24"/>
        </w:rPr>
        <w:t>annual</w:t>
      </w:r>
      <w:r>
        <w:rPr>
          <w:rFonts w:ascii="Times New Roman" w:hAnsi="Times New Roman" w:cs="Times New Roman"/>
          <w:sz w:val="24"/>
          <w:szCs w:val="24"/>
        </w:rPr>
        <w:t xml:space="preserve"> benchmark was 431.8 gWh, but again, the company far exceeded the amount after it yielded 678.7 gWh of energy reduction.</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Similarly, Dayton Power and Light’s 2013 annual benchmark mandated 124,506 mWh of reduction but the company achieved a reduction of 203,491 mWh.</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In 2014, DP&amp;L achieved 182,014 mWh of reductions when the mandate only required 138,203 mWh.</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Even FirstEnergy, the only utility to amend its portfolio pursuant to S</w:t>
      </w:r>
      <w:r w:rsidR="00A371B7">
        <w:rPr>
          <w:rFonts w:ascii="Times New Roman" w:hAnsi="Times New Roman" w:cs="Times New Roman"/>
          <w:sz w:val="24"/>
          <w:szCs w:val="24"/>
        </w:rPr>
        <w:t>enate Bill</w:t>
      </w:r>
      <w:r>
        <w:rPr>
          <w:rFonts w:ascii="Times New Roman" w:hAnsi="Times New Roman" w:cs="Times New Roman"/>
          <w:sz w:val="24"/>
          <w:szCs w:val="24"/>
        </w:rPr>
        <w:t xml:space="preserve"> 310, exceeded its annual benchmarks for 2013 and 2014.  In 2013, FirstEnergy achieved 675,460 mWh (including T&amp;D) in reductions, well beyond its annual benchmark of 504,809 mWh.</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In 2014, FirstEnergy had an annual benchmark of 526,262 mWh and achieved of 774,368 mWh (including transmission and distribution improvements) of </w:t>
      </w:r>
      <w:r w:rsidRPr="00961780">
        <w:rPr>
          <w:rFonts w:ascii="Times New Roman" w:hAnsi="Times New Roman" w:cs="Times New Roman"/>
          <w:sz w:val="24"/>
          <w:szCs w:val="24"/>
        </w:rPr>
        <w:t>reductions.</w:t>
      </w:r>
      <w:r w:rsidRPr="00961780">
        <w:rPr>
          <w:rStyle w:val="FootnoteReference"/>
          <w:rFonts w:ascii="Times New Roman" w:hAnsi="Times New Roman" w:cs="Times New Roman"/>
          <w:sz w:val="24"/>
          <w:szCs w:val="24"/>
        </w:rPr>
        <w:footnoteReference w:id="118"/>
      </w:r>
      <w:r w:rsidRPr="00961780">
        <w:rPr>
          <w:rFonts w:ascii="Times New Roman" w:hAnsi="Times New Roman" w:cs="Times New Roman"/>
          <w:sz w:val="24"/>
          <w:szCs w:val="24"/>
        </w:rPr>
        <w:t xml:space="preserve">  In fact, Duke’s only witness, Timothy </w:t>
      </w:r>
      <w:r w:rsidR="00F71194">
        <w:rPr>
          <w:rFonts w:ascii="Times New Roman" w:hAnsi="Times New Roman" w:cs="Times New Roman"/>
          <w:sz w:val="24"/>
          <w:szCs w:val="24"/>
        </w:rPr>
        <w:t>D</w:t>
      </w:r>
      <w:r w:rsidRPr="00961780">
        <w:rPr>
          <w:rFonts w:ascii="Times New Roman" w:hAnsi="Times New Roman" w:cs="Times New Roman"/>
          <w:sz w:val="24"/>
          <w:szCs w:val="24"/>
        </w:rPr>
        <w:t>uff, acknowledged that none of the other utilities have had to use banked savings in order to trigger their shared savings mechanism.</w:t>
      </w:r>
      <w:r w:rsidRPr="00961780">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Duke should not be permitted to receive an award based upon an annual achievement when the Utility has consistently failed to meet its annual benchmarks for the past two years.</w:t>
      </w:r>
    </w:p>
    <w:p w:rsidR="00F71194" w:rsidRDefault="00D80ABE" w:rsidP="00D80ABE">
      <w:pPr>
        <w:autoSpaceDE w:val="0"/>
        <w:autoSpaceDN w:val="0"/>
        <w:adjustRightInd w:val="0"/>
        <w:spacing w:after="0" w:line="480" w:lineRule="auto"/>
        <w:ind w:firstLine="720"/>
        <w:rPr>
          <w:rFonts w:ascii="Times New Roman" w:hAnsi="Times New Roman" w:cs="Times New Roman"/>
          <w:sz w:val="24"/>
          <w:szCs w:val="24"/>
        </w:rPr>
      </w:pPr>
      <w:r w:rsidRPr="000B587A">
        <w:rPr>
          <w:rFonts w:ascii="Times New Roman" w:hAnsi="Times New Roman" w:cs="Times New Roman"/>
          <w:sz w:val="24"/>
          <w:szCs w:val="24"/>
        </w:rPr>
        <w:t>Duke tries to lay itself on the mercy of the PUCO by explaining that it did not design its portfolio to meet the annual benchmarks with the understanding that it would be able to use banked savings to trigger its shared savings incentive level.</w:t>
      </w:r>
      <w:r w:rsidRPr="000B587A">
        <w:rPr>
          <w:rStyle w:val="FootnoteReference"/>
          <w:rFonts w:ascii="Times New Roman" w:hAnsi="Times New Roman" w:cs="Times New Roman"/>
          <w:sz w:val="24"/>
          <w:szCs w:val="24"/>
        </w:rPr>
        <w:footnoteReference w:id="120"/>
      </w:r>
      <w:r w:rsidRPr="000B587A">
        <w:rPr>
          <w:rFonts w:ascii="Times New Roman" w:hAnsi="Times New Roman" w:cs="Times New Roman"/>
          <w:sz w:val="24"/>
          <w:szCs w:val="24"/>
        </w:rPr>
        <w:t xml:space="preserve">  In that same vein, Duke also contends that S</w:t>
      </w:r>
      <w:r w:rsidR="00A371B7">
        <w:rPr>
          <w:rFonts w:ascii="Times New Roman" w:hAnsi="Times New Roman" w:cs="Times New Roman"/>
          <w:sz w:val="24"/>
          <w:szCs w:val="24"/>
        </w:rPr>
        <w:t>enate Bill</w:t>
      </w:r>
      <w:r w:rsidRPr="000B587A">
        <w:rPr>
          <w:rFonts w:ascii="Times New Roman" w:hAnsi="Times New Roman" w:cs="Times New Roman"/>
          <w:sz w:val="24"/>
          <w:szCs w:val="24"/>
        </w:rPr>
        <w:t xml:space="preserve"> 310 exacerbated the impact of the banked savings because “the Company could not file applications with the Commission to add new programs to its portfolio after September 20, 2014.”</w:t>
      </w:r>
      <w:r w:rsidRPr="000B587A">
        <w:rPr>
          <w:rStyle w:val="FootnoteReference"/>
          <w:rFonts w:ascii="Times New Roman" w:hAnsi="Times New Roman" w:cs="Times New Roman"/>
          <w:sz w:val="24"/>
          <w:szCs w:val="24"/>
        </w:rPr>
        <w:footnoteReference w:id="121"/>
      </w:r>
      <w:r w:rsidRPr="000B587A">
        <w:rPr>
          <w:rFonts w:ascii="Times New Roman" w:hAnsi="Times New Roman" w:cs="Times New Roman"/>
          <w:sz w:val="24"/>
          <w:szCs w:val="24"/>
        </w:rPr>
        <w:t xml:space="preserve">  But Duke was certainly aware of S</w:t>
      </w:r>
      <w:r w:rsidR="00A371B7">
        <w:rPr>
          <w:rFonts w:ascii="Times New Roman" w:hAnsi="Times New Roman" w:cs="Times New Roman"/>
          <w:sz w:val="24"/>
          <w:szCs w:val="24"/>
        </w:rPr>
        <w:t>enate Bill</w:t>
      </w:r>
      <w:r w:rsidRPr="000B587A">
        <w:rPr>
          <w:rFonts w:ascii="Times New Roman" w:hAnsi="Times New Roman" w:cs="Times New Roman"/>
          <w:sz w:val="24"/>
          <w:szCs w:val="24"/>
        </w:rPr>
        <w:t xml:space="preserve"> 310 when it was signed into law on June 10, 2014 – three months before its effective date.  Moreover, S</w:t>
      </w:r>
      <w:r w:rsidR="00A371B7">
        <w:rPr>
          <w:rFonts w:ascii="Times New Roman" w:hAnsi="Times New Roman" w:cs="Times New Roman"/>
          <w:sz w:val="24"/>
          <w:szCs w:val="24"/>
        </w:rPr>
        <w:t>enate Bill</w:t>
      </w:r>
      <w:r w:rsidRPr="000B587A">
        <w:rPr>
          <w:rFonts w:ascii="Times New Roman" w:hAnsi="Times New Roman" w:cs="Times New Roman"/>
          <w:sz w:val="24"/>
          <w:szCs w:val="24"/>
        </w:rPr>
        <w:t xml:space="preserve"> 310 had been the subject of much discussion for months leading up to is passage.  At no point, however, did Duke choose to amend its portfolio </w:t>
      </w:r>
      <w:r w:rsidRPr="000B587A">
        <w:rPr>
          <w:rFonts w:ascii="Times New Roman" w:hAnsi="Times New Roman" w:cs="Times New Roman"/>
          <w:b/>
          <w:i/>
          <w:sz w:val="24"/>
          <w:szCs w:val="24"/>
        </w:rPr>
        <w:t>before</w:t>
      </w:r>
      <w:r w:rsidRPr="000B587A">
        <w:rPr>
          <w:rFonts w:ascii="Times New Roman" w:hAnsi="Times New Roman" w:cs="Times New Roman"/>
          <w:sz w:val="24"/>
          <w:szCs w:val="24"/>
        </w:rPr>
        <w:t xml:space="preserve"> the effective date, knowing that its shared savings mechanism was due to expire after 2015.  Instead, Duke chose to carry on with its current portfolio that </w:t>
      </w:r>
      <w:r w:rsidR="00B53375">
        <w:rPr>
          <w:rFonts w:ascii="Times New Roman" w:hAnsi="Times New Roman" w:cs="Times New Roman"/>
          <w:sz w:val="24"/>
          <w:szCs w:val="24"/>
        </w:rPr>
        <w:t xml:space="preserve">had not met its </w:t>
      </w:r>
      <w:r w:rsidR="00332FA1">
        <w:rPr>
          <w:rFonts w:ascii="Times New Roman" w:hAnsi="Times New Roman" w:cs="Times New Roman"/>
          <w:sz w:val="24"/>
          <w:szCs w:val="24"/>
        </w:rPr>
        <w:t xml:space="preserve">annual </w:t>
      </w:r>
      <w:r w:rsidR="00B53375">
        <w:rPr>
          <w:rFonts w:ascii="Times New Roman" w:hAnsi="Times New Roman" w:cs="Times New Roman"/>
          <w:sz w:val="24"/>
          <w:szCs w:val="24"/>
        </w:rPr>
        <w:t xml:space="preserve">benchmarks in </w:t>
      </w:r>
      <w:r w:rsidR="006A3A16">
        <w:rPr>
          <w:rFonts w:ascii="Times New Roman" w:hAnsi="Times New Roman" w:cs="Times New Roman"/>
          <w:sz w:val="24"/>
          <w:szCs w:val="24"/>
        </w:rPr>
        <w:t xml:space="preserve">2013 and </w:t>
      </w:r>
      <w:r w:rsidR="00B53375">
        <w:rPr>
          <w:rFonts w:ascii="Times New Roman" w:hAnsi="Times New Roman" w:cs="Times New Roman"/>
          <w:sz w:val="24"/>
          <w:szCs w:val="24"/>
        </w:rPr>
        <w:t xml:space="preserve">2014 and </w:t>
      </w:r>
      <w:r w:rsidRPr="000B587A">
        <w:rPr>
          <w:rFonts w:ascii="Times New Roman" w:hAnsi="Times New Roman" w:cs="Times New Roman"/>
          <w:sz w:val="24"/>
          <w:szCs w:val="24"/>
        </w:rPr>
        <w:t>was apparently not designed to meet the annual benchmarks</w:t>
      </w:r>
      <w:r w:rsidR="00B53375">
        <w:rPr>
          <w:rFonts w:ascii="Times New Roman" w:hAnsi="Times New Roman" w:cs="Times New Roman"/>
          <w:sz w:val="24"/>
          <w:szCs w:val="24"/>
        </w:rPr>
        <w:t xml:space="preserve"> in 2015 either</w:t>
      </w:r>
      <w:r w:rsidRPr="000B587A">
        <w:rPr>
          <w:rFonts w:ascii="Times New Roman" w:hAnsi="Times New Roman" w:cs="Times New Roman"/>
          <w:sz w:val="24"/>
          <w:szCs w:val="24"/>
        </w:rPr>
        <w:t>.</w:t>
      </w:r>
    </w:p>
    <w:p w:rsidR="00D80ABE" w:rsidRPr="000B587A" w:rsidRDefault="00D80ABE" w:rsidP="00D80ABE">
      <w:pPr>
        <w:autoSpaceDE w:val="0"/>
        <w:autoSpaceDN w:val="0"/>
        <w:adjustRightInd w:val="0"/>
        <w:spacing w:after="0" w:line="480" w:lineRule="auto"/>
        <w:ind w:firstLine="720"/>
        <w:rPr>
          <w:rFonts w:ascii="Times New Roman" w:hAnsi="Times New Roman" w:cs="Times New Roman"/>
          <w:sz w:val="24"/>
          <w:szCs w:val="24"/>
        </w:rPr>
      </w:pPr>
      <w:r w:rsidRPr="000B587A">
        <w:rPr>
          <w:rFonts w:ascii="Times New Roman" w:hAnsi="Times New Roman" w:cs="Times New Roman"/>
          <w:sz w:val="24"/>
          <w:szCs w:val="24"/>
        </w:rPr>
        <w:t xml:space="preserve"> Even after S</w:t>
      </w:r>
      <w:r w:rsidR="00A371B7">
        <w:rPr>
          <w:rFonts w:ascii="Times New Roman" w:hAnsi="Times New Roman" w:cs="Times New Roman"/>
          <w:sz w:val="24"/>
          <w:szCs w:val="24"/>
        </w:rPr>
        <w:t>enate Bill</w:t>
      </w:r>
      <w:r w:rsidRPr="000B587A">
        <w:rPr>
          <w:rFonts w:ascii="Times New Roman" w:hAnsi="Times New Roman" w:cs="Times New Roman"/>
          <w:sz w:val="24"/>
          <w:szCs w:val="24"/>
        </w:rPr>
        <w:t xml:space="preserve"> 310 became effective in September, Duke had thirty days to amend its portfolio plan under the new laws enacted by S</w:t>
      </w:r>
      <w:r w:rsidR="00A371B7">
        <w:rPr>
          <w:rFonts w:ascii="Times New Roman" w:hAnsi="Times New Roman" w:cs="Times New Roman"/>
          <w:sz w:val="24"/>
          <w:szCs w:val="24"/>
        </w:rPr>
        <w:t>enate Bill</w:t>
      </w:r>
      <w:r w:rsidRPr="000B587A">
        <w:rPr>
          <w:rFonts w:ascii="Times New Roman" w:hAnsi="Times New Roman" w:cs="Times New Roman"/>
          <w:sz w:val="24"/>
          <w:szCs w:val="24"/>
        </w:rPr>
        <w:t xml:space="preserve"> 310.</w:t>
      </w:r>
      <w:r w:rsidRPr="000B587A">
        <w:rPr>
          <w:rStyle w:val="FootnoteReference"/>
          <w:rFonts w:ascii="Times New Roman" w:hAnsi="Times New Roman" w:cs="Times New Roman"/>
          <w:sz w:val="24"/>
          <w:szCs w:val="24"/>
        </w:rPr>
        <w:footnoteReference w:id="122"/>
      </w:r>
      <w:r w:rsidRPr="000B587A">
        <w:rPr>
          <w:rFonts w:ascii="Times New Roman" w:hAnsi="Times New Roman" w:cs="Times New Roman"/>
          <w:sz w:val="24"/>
          <w:szCs w:val="24"/>
        </w:rPr>
        <w:t xml:space="preserve">  But again, Duke chose not to avail itself of this option despite the impending lapse of its shared savings incentive mechanism.  As OCC witness Gonzalez explained, when asked about Duke not being able to achieve a shared savings </w:t>
      </w:r>
      <w:r w:rsidR="00B53375">
        <w:rPr>
          <w:rFonts w:ascii="Times New Roman" w:hAnsi="Times New Roman" w:cs="Times New Roman"/>
          <w:sz w:val="24"/>
          <w:szCs w:val="24"/>
        </w:rPr>
        <w:t>incentive</w:t>
      </w:r>
      <w:r w:rsidRPr="000B587A">
        <w:rPr>
          <w:rFonts w:ascii="Times New Roman" w:hAnsi="Times New Roman" w:cs="Times New Roman"/>
          <w:sz w:val="24"/>
          <w:szCs w:val="24"/>
        </w:rPr>
        <w:t xml:space="preserve"> if not permitted to</w:t>
      </w:r>
      <w:r>
        <w:rPr>
          <w:rFonts w:ascii="Times New Roman" w:hAnsi="Times New Roman" w:cs="Times New Roman"/>
          <w:sz w:val="24"/>
          <w:szCs w:val="24"/>
        </w:rPr>
        <w:t xml:space="preserve"> use banked savings,</w:t>
      </w:r>
      <w:r w:rsidRPr="000B587A">
        <w:rPr>
          <w:rFonts w:ascii="Times New Roman" w:hAnsi="Times New Roman" w:cs="Times New Roman"/>
          <w:sz w:val="24"/>
          <w:szCs w:val="24"/>
        </w:rPr>
        <w:t xml:space="preserve"> “the company was aware of that risk,</w:t>
      </w:r>
      <w:r>
        <w:rPr>
          <w:rFonts w:ascii="Times New Roman" w:hAnsi="Times New Roman" w:cs="Times New Roman"/>
          <w:sz w:val="24"/>
          <w:szCs w:val="24"/>
        </w:rPr>
        <w:t xml:space="preserve"> </w:t>
      </w:r>
      <w:r w:rsidRPr="000B587A">
        <w:rPr>
          <w:rFonts w:ascii="Times New Roman" w:hAnsi="Times New Roman" w:cs="Times New Roman"/>
          <w:sz w:val="24"/>
          <w:szCs w:val="24"/>
        </w:rPr>
        <w:t xml:space="preserve">[but] the company rolled the dice in assuming that they would </w:t>
      </w:r>
      <w:r w:rsidR="00BC3E2A">
        <w:rPr>
          <w:rFonts w:ascii="Times New Roman" w:hAnsi="Times New Roman" w:cs="Times New Roman"/>
          <w:sz w:val="24"/>
          <w:szCs w:val="24"/>
        </w:rPr>
        <w:t xml:space="preserve">benefit from </w:t>
      </w:r>
      <w:r w:rsidRPr="000B587A">
        <w:rPr>
          <w:rFonts w:ascii="Times New Roman" w:hAnsi="Times New Roman" w:cs="Times New Roman"/>
          <w:sz w:val="24"/>
          <w:szCs w:val="24"/>
        </w:rPr>
        <w:t>the same type of incentive mechanisms</w:t>
      </w:r>
      <w:r w:rsidR="00BC3E2A">
        <w:rPr>
          <w:rFonts w:ascii="Times New Roman" w:hAnsi="Times New Roman" w:cs="Times New Roman"/>
          <w:sz w:val="24"/>
          <w:szCs w:val="24"/>
        </w:rPr>
        <w:t xml:space="preserve"> used previously</w:t>
      </w:r>
      <w:r w:rsidRPr="000B587A">
        <w:rPr>
          <w:rFonts w:ascii="Times New Roman" w:hAnsi="Times New Roman" w:cs="Times New Roman"/>
          <w:sz w:val="24"/>
          <w:szCs w:val="24"/>
        </w:rPr>
        <w:t>.”</w:t>
      </w:r>
      <w:r w:rsidRPr="000B587A">
        <w:rPr>
          <w:rStyle w:val="FootnoteReference"/>
          <w:rFonts w:ascii="Times New Roman" w:hAnsi="Times New Roman" w:cs="Times New Roman"/>
          <w:sz w:val="24"/>
          <w:szCs w:val="24"/>
        </w:rPr>
        <w:footnoteReference w:id="123"/>
      </w:r>
    </w:p>
    <w:p w:rsidR="00F71194" w:rsidRDefault="00D80ABE" w:rsidP="00D80ABE">
      <w:pPr>
        <w:autoSpaceDE w:val="0"/>
        <w:autoSpaceDN w:val="0"/>
        <w:adjustRightInd w:val="0"/>
        <w:spacing w:after="0" w:line="480" w:lineRule="auto"/>
        <w:ind w:firstLine="720"/>
        <w:rPr>
          <w:rFonts w:ascii="Times New Roman" w:hAnsi="Times New Roman" w:cs="Times New Roman"/>
          <w:sz w:val="24"/>
          <w:szCs w:val="24"/>
        </w:rPr>
      </w:pPr>
      <w:r w:rsidRPr="00E757C0">
        <w:rPr>
          <w:rFonts w:ascii="Times New Roman" w:hAnsi="Times New Roman" w:cs="Times New Roman"/>
          <w:sz w:val="24"/>
          <w:szCs w:val="24"/>
        </w:rPr>
        <w:t>The evidence in this case also indicates that it is not in the best interest of public policy to allow Duke to use banked savings for the 2016 shared savings incentive.  OCC witness Wilson Gonzalez consistently testified that Duke “should not be permitted to use ‘banked’ savings from previous years to trigger the shared savings incentive and make customers pay more for 2016.</w:t>
      </w:r>
      <w:r w:rsidRPr="00E757C0">
        <w:rPr>
          <w:rStyle w:val="FootnoteReference"/>
          <w:rFonts w:ascii="Times New Roman" w:hAnsi="Times New Roman" w:cs="Times New Roman"/>
          <w:sz w:val="24"/>
          <w:szCs w:val="24"/>
        </w:rPr>
        <w:footnoteReference w:id="124"/>
      </w:r>
      <w:r w:rsidRPr="00E757C0">
        <w:rPr>
          <w:rFonts w:ascii="Times New Roman" w:hAnsi="Times New Roman" w:cs="Times New Roman"/>
          <w:sz w:val="24"/>
          <w:szCs w:val="24"/>
        </w:rPr>
        <w:t xml:space="preserve">  Mr. Gonzalez explained that most business incentives do not carry over to future years, and shared savings should be no different because it is designed to reward performance for exceeding the annual savings benchmarks.</w:t>
      </w:r>
      <w:r w:rsidRPr="00E757C0">
        <w:rPr>
          <w:rStyle w:val="FootnoteReference"/>
          <w:rFonts w:ascii="Times New Roman" w:hAnsi="Times New Roman" w:cs="Times New Roman"/>
          <w:sz w:val="24"/>
          <w:szCs w:val="24"/>
        </w:rPr>
        <w:footnoteReference w:id="125"/>
      </w:r>
      <w:r w:rsidRPr="00E757C0">
        <w:rPr>
          <w:rFonts w:ascii="Times New Roman" w:hAnsi="Times New Roman" w:cs="Times New Roman"/>
          <w:sz w:val="24"/>
          <w:szCs w:val="24"/>
        </w:rPr>
        <w:t xml:space="preserve">  </w:t>
      </w:r>
    </w:p>
    <w:p w:rsidR="00F71194" w:rsidRDefault="00D80ABE" w:rsidP="00D80ABE">
      <w:pPr>
        <w:autoSpaceDE w:val="0"/>
        <w:autoSpaceDN w:val="0"/>
        <w:adjustRightInd w:val="0"/>
        <w:spacing w:after="0" w:line="480" w:lineRule="auto"/>
        <w:ind w:firstLine="720"/>
        <w:rPr>
          <w:rFonts w:ascii="Times New Roman" w:hAnsi="Times New Roman" w:cs="Times New Roman"/>
          <w:sz w:val="24"/>
          <w:szCs w:val="24"/>
        </w:rPr>
      </w:pPr>
      <w:r w:rsidRPr="00E757C0">
        <w:rPr>
          <w:rFonts w:ascii="Times New Roman" w:hAnsi="Times New Roman" w:cs="Times New Roman"/>
          <w:sz w:val="24"/>
          <w:szCs w:val="24"/>
        </w:rPr>
        <w:t xml:space="preserve">Similarly, OEG witness </w:t>
      </w:r>
      <w:r w:rsidR="00A371B7">
        <w:rPr>
          <w:rFonts w:ascii="Times New Roman" w:hAnsi="Times New Roman" w:cs="Times New Roman"/>
          <w:sz w:val="24"/>
          <w:szCs w:val="24"/>
        </w:rPr>
        <w:t xml:space="preserve">Dr. </w:t>
      </w:r>
      <w:r w:rsidRPr="00E757C0">
        <w:rPr>
          <w:rFonts w:ascii="Times New Roman" w:hAnsi="Times New Roman" w:cs="Times New Roman"/>
          <w:sz w:val="24"/>
          <w:szCs w:val="24"/>
        </w:rPr>
        <w:t>Stephen J. Baron testified that “[w]hile the use of ‘banked’ MWh is appropriate to determine if the Company met its statutory savings benchmark, it is inappropriate to include previously “saved” MWh in the determination of incentive payments.”</w:t>
      </w:r>
      <w:r w:rsidRPr="00E757C0">
        <w:rPr>
          <w:rStyle w:val="FootnoteReference"/>
          <w:rFonts w:ascii="Times New Roman" w:hAnsi="Times New Roman" w:cs="Times New Roman"/>
          <w:sz w:val="24"/>
          <w:szCs w:val="24"/>
        </w:rPr>
        <w:footnoteReference w:id="126"/>
      </w:r>
      <w:r w:rsidRPr="00E757C0">
        <w:rPr>
          <w:rFonts w:ascii="Times New Roman" w:hAnsi="Times New Roman" w:cs="Times New Roman"/>
          <w:sz w:val="24"/>
          <w:szCs w:val="24"/>
        </w:rPr>
        <w:t xml:space="preserve">  Mr. Baron explained that because the shared savings mechanism is to induce the Utility to exceed its benchmarks each year, “[p]rior overachievement of a previous benchmark does not need to be ‘induced.’”</w:t>
      </w:r>
      <w:r w:rsidRPr="00E757C0">
        <w:rPr>
          <w:rStyle w:val="FootnoteReference"/>
          <w:rFonts w:ascii="Times New Roman" w:hAnsi="Times New Roman" w:cs="Times New Roman"/>
          <w:sz w:val="24"/>
          <w:szCs w:val="24"/>
        </w:rPr>
        <w:footnoteReference w:id="127"/>
      </w:r>
      <w:r w:rsidRPr="00E757C0">
        <w:rPr>
          <w:rFonts w:ascii="Times New Roman" w:hAnsi="Times New Roman" w:cs="Times New Roman"/>
          <w:sz w:val="24"/>
          <w:szCs w:val="24"/>
        </w:rPr>
        <w:t xml:space="preserve">  </w:t>
      </w:r>
    </w:p>
    <w:p w:rsidR="00D80ABE" w:rsidRPr="00E757C0" w:rsidRDefault="00D80ABE" w:rsidP="00D80ABE">
      <w:pPr>
        <w:autoSpaceDE w:val="0"/>
        <w:autoSpaceDN w:val="0"/>
        <w:adjustRightInd w:val="0"/>
        <w:spacing w:after="0" w:line="480" w:lineRule="auto"/>
        <w:ind w:firstLine="720"/>
        <w:rPr>
          <w:rFonts w:ascii="Times New Roman" w:hAnsi="Times New Roman" w:cs="Times New Roman"/>
          <w:sz w:val="24"/>
          <w:szCs w:val="24"/>
        </w:rPr>
      </w:pPr>
      <w:r w:rsidRPr="00E757C0">
        <w:rPr>
          <w:rFonts w:ascii="Times New Roman" w:hAnsi="Times New Roman" w:cs="Times New Roman"/>
          <w:sz w:val="24"/>
          <w:szCs w:val="24"/>
        </w:rPr>
        <w:t>Even the PUCO Staff agreed with this position when witness Gregory Scheck testified that Duke should not be permitted to use accrued banked savings to earn shared savings in a future year.</w:t>
      </w:r>
      <w:r w:rsidRPr="00E757C0">
        <w:rPr>
          <w:rStyle w:val="FootnoteReference"/>
          <w:rFonts w:ascii="Times New Roman" w:hAnsi="Times New Roman" w:cs="Times New Roman"/>
          <w:sz w:val="24"/>
          <w:szCs w:val="24"/>
        </w:rPr>
        <w:footnoteReference w:id="128"/>
      </w:r>
      <w:r w:rsidRPr="00E757C0">
        <w:rPr>
          <w:rFonts w:ascii="Times New Roman" w:hAnsi="Times New Roman" w:cs="Times New Roman"/>
          <w:sz w:val="24"/>
          <w:szCs w:val="24"/>
        </w:rPr>
        <w:t xml:space="preserve">  Mr. Scheck reiterated his position at hearing stating “you can borrow from any bank that you've earned previously to reach compliance, but any historical bank cannot be used to earn a future year's shared savings.”</w:t>
      </w:r>
      <w:r>
        <w:rPr>
          <w:rStyle w:val="FootnoteReference"/>
          <w:rFonts w:ascii="Times New Roman" w:hAnsi="Times New Roman" w:cs="Times New Roman"/>
          <w:sz w:val="24"/>
          <w:szCs w:val="24"/>
        </w:rPr>
        <w:footnoteReference w:id="129"/>
      </w:r>
    </w:p>
    <w:p w:rsidR="00D80ABE" w:rsidRPr="00A82479" w:rsidRDefault="00823C70" w:rsidP="00947EE6">
      <w:pPr>
        <w:pStyle w:val="Heading2"/>
      </w:pPr>
      <w:bookmarkStart w:id="19" w:name="_Toc427923436"/>
      <w:r>
        <w:t>D.</w:t>
      </w:r>
      <w:r>
        <w:tab/>
      </w:r>
      <w:r w:rsidR="00D80ABE" w:rsidRPr="00A82479">
        <w:t>OEG’s recommendation on savings below the benchmark should be adopted to protect consumers.</w:t>
      </w:r>
      <w:bookmarkEnd w:id="19"/>
    </w:p>
    <w:p w:rsidR="00D80ABE" w:rsidRDefault="00D80ABE" w:rsidP="00D80AB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sz w:val="24"/>
          <w:szCs w:val="24"/>
        </w:rPr>
        <w:t xml:space="preserve">As set forth in OCC’s Comments and supported by testimony in this matter, </w:t>
      </w:r>
      <w:r w:rsidRPr="00BC7424">
        <w:rPr>
          <w:rFonts w:ascii="Times New Roman" w:hAnsi="Times New Roman"/>
          <w:sz w:val="24"/>
          <w:szCs w:val="24"/>
        </w:rPr>
        <w:t xml:space="preserve">Duke should not be permitted to charge customers for shared savings </w:t>
      </w:r>
      <w:r w:rsidRPr="00BC7424">
        <w:rPr>
          <w:rFonts w:ascii="Times New Roman" w:hAnsi="Times New Roman" w:cs="Times New Roman"/>
          <w:sz w:val="24"/>
          <w:szCs w:val="24"/>
        </w:rPr>
        <w:t xml:space="preserve">below the statutory benchmark. </w:t>
      </w:r>
      <w:r>
        <w:rPr>
          <w:rFonts w:ascii="Times New Roman" w:hAnsi="Times New Roman" w:cs="Times New Roman"/>
          <w:sz w:val="24"/>
          <w:szCs w:val="24"/>
        </w:rPr>
        <w:t xml:space="preserve"> As it is currently calculated, “</w:t>
      </w:r>
      <w:r w:rsidRPr="003B2C9E">
        <w:rPr>
          <w:rFonts w:ascii="Times New Roman" w:hAnsi="Times New Roman" w:cs="Times New Roman"/>
          <w:sz w:val="24"/>
          <w:szCs w:val="24"/>
        </w:rPr>
        <w:t xml:space="preserve">Duke’s current tiered formula only reflects a shared percentage if the MWh savings is in excess of the benchmark level for the year, the resulting percentage is then </w:t>
      </w:r>
      <w:r>
        <w:rPr>
          <w:rFonts w:ascii="Times New Roman" w:hAnsi="Times New Roman" w:cs="Times New Roman"/>
          <w:sz w:val="24"/>
          <w:szCs w:val="24"/>
        </w:rPr>
        <w:t>applied</w:t>
      </w:r>
      <w:r w:rsidRPr="003B2C9E">
        <w:rPr>
          <w:rFonts w:ascii="Times New Roman" w:hAnsi="Times New Roman" w:cs="Times New Roman"/>
          <w:sz w:val="24"/>
          <w:szCs w:val="24"/>
        </w:rPr>
        <w:t xml:space="preserve"> to 100% of the dollar savings, not just </w:t>
      </w:r>
      <w:r>
        <w:rPr>
          <w:rFonts w:ascii="Times New Roman" w:hAnsi="Times New Roman" w:cs="Times New Roman"/>
          <w:sz w:val="24"/>
          <w:szCs w:val="24"/>
        </w:rPr>
        <w:t>the</w:t>
      </w:r>
      <w:r w:rsidRPr="003B2C9E">
        <w:rPr>
          <w:rFonts w:ascii="Times New Roman" w:hAnsi="Times New Roman" w:cs="Times New Roman"/>
          <w:sz w:val="24"/>
          <w:szCs w:val="24"/>
        </w:rPr>
        <w:t xml:space="preserve"> dollar savings above the benchmark level</w:t>
      </w:r>
      <w:r>
        <w:rPr>
          <w:rFonts w:ascii="Times New Roman" w:hAnsi="Times New Roman" w:cs="Times New Roman"/>
          <w:sz w:val="24"/>
          <w:szCs w:val="24"/>
        </w:rPr>
        <w:t>.”</w:t>
      </w:r>
      <w:r w:rsidRPr="003B2C9E">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Under this design, Duke would not just get shared savings on the savings that exceed the benchmarks, but also on the amount that was </w:t>
      </w:r>
      <w:r w:rsidRPr="00D72B2D">
        <w:rPr>
          <w:rFonts w:ascii="Times New Roman" w:hAnsi="Times New Roman" w:cs="Times New Roman"/>
          <w:b/>
          <w:i/>
          <w:sz w:val="24"/>
          <w:szCs w:val="24"/>
        </w:rPr>
        <w:t>required</w:t>
      </w:r>
      <w:r>
        <w:rPr>
          <w:rFonts w:ascii="Times New Roman" w:hAnsi="Times New Roman" w:cs="Times New Roman"/>
          <w:sz w:val="24"/>
          <w:szCs w:val="24"/>
        </w:rPr>
        <w:t xml:space="preserve"> to meet the annual benchmark.  As a result, Ohio Energy Group’s witness Dr. Baron explained that under a lineal relationship, Duke keeps far more of the benefits than just the 13% under the shared savings incentive structure.</w:t>
      </w:r>
      <w:r>
        <w:rPr>
          <w:rStyle w:val="FootnoteReference"/>
          <w:rFonts w:ascii="Times New Roman" w:hAnsi="Times New Roman" w:cs="Times New Roman"/>
          <w:sz w:val="24"/>
          <w:szCs w:val="24"/>
        </w:rPr>
        <w:footnoteReference w:id="131"/>
      </w:r>
      <w:r>
        <w:rPr>
          <w:rFonts w:ascii="Times New Roman" w:hAnsi="Times New Roman" w:cs="Times New Roman"/>
          <w:sz w:val="24"/>
          <w:szCs w:val="24"/>
        </w:rPr>
        <w:t xml:space="preserve">  </w:t>
      </w:r>
    </w:p>
    <w:p w:rsidR="00F71194" w:rsidRDefault="00D80ABE" w:rsidP="00D80ABE">
      <w:pPr>
        <w:autoSpaceDE w:val="0"/>
        <w:autoSpaceDN w:val="0"/>
        <w:adjustRightInd w:val="0"/>
        <w:spacing w:after="0" w:line="480" w:lineRule="auto"/>
        <w:ind w:firstLine="720"/>
        <w:rPr>
          <w:rFonts w:ascii="Times New Roman" w:hAnsi="Times New Roman" w:cs="Times New Roman"/>
          <w:sz w:val="24"/>
          <w:szCs w:val="24"/>
        </w:rPr>
      </w:pPr>
      <w:r w:rsidRPr="00BC7424">
        <w:rPr>
          <w:rFonts w:ascii="Times New Roman" w:hAnsi="Times New Roman" w:cs="Times New Roman"/>
          <w:sz w:val="24"/>
          <w:szCs w:val="24"/>
        </w:rPr>
        <w:t>Incentive mechanisms should</w:t>
      </w:r>
      <w:r>
        <w:rPr>
          <w:rFonts w:ascii="Times New Roman" w:hAnsi="Times New Roman" w:cs="Times New Roman"/>
          <w:sz w:val="24"/>
          <w:szCs w:val="24"/>
        </w:rPr>
        <w:t xml:space="preserve"> </w:t>
      </w:r>
      <w:r w:rsidRPr="00BC7424">
        <w:rPr>
          <w:rFonts w:ascii="Times New Roman" w:hAnsi="Times New Roman" w:cs="Times New Roman"/>
          <w:sz w:val="24"/>
          <w:szCs w:val="24"/>
        </w:rPr>
        <w:t xml:space="preserve">encourage innovation and motivate utilities to exceed statutory </w:t>
      </w:r>
      <w:r>
        <w:rPr>
          <w:rFonts w:ascii="Times New Roman" w:hAnsi="Times New Roman" w:cs="Times New Roman"/>
          <w:sz w:val="24"/>
          <w:szCs w:val="24"/>
        </w:rPr>
        <w:t xml:space="preserve">benchmarks.  To do so, the shared savings “incentive is </w:t>
      </w:r>
      <w:r w:rsidRPr="003B2C9E">
        <w:rPr>
          <w:rFonts w:ascii="Times New Roman" w:hAnsi="Times New Roman" w:cs="Times New Roman"/>
          <w:sz w:val="24"/>
          <w:szCs w:val="24"/>
        </w:rPr>
        <w:t>supposed to be tied to the amount of EE-PDR that is achieved each year in excess of the mandated benchmark level</w:t>
      </w:r>
      <w:r w:rsidRPr="00BC7424">
        <w:rPr>
          <w:rFonts w:ascii="Times New Roman" w:hAnsi="Times New Roman" w:cs="Times New Roman"/>
          <w:sz w:val="24"/>
          <w:szCs w:val="24"/>
        </w:rPr>
        <w:t>.</w:t>
      </w:r>
      <w:r>
        <w:rPr>
          <w:rFonts w:ascii="Times New Roman" w:hAnsi="Times New Roman" w:cs="Times New Roman"/>
          <w:sz w:val="24"/>
          <w:szCs w:val="24"/>
        </w:rPr>
        <w:t>”</w:t>
      </w:r>
      <w:r w:rsidRPr="003B2C9E">
        <w:rPr>
          <w:rStyle w:val="FootnoteReference"/>
          <w:rFonts w:ascii="Times New Roman" w:hAnsi="Times New Roman" w:cs="Times New Roman"/>
          <w:sz w:val="24"/>
          <w:szCs w:val="24"/>
        </w:rPr>
        <w:footnoteReference w:id="132"/>
      </w:r>
      <w:r>
        <w:rPr>
          <w:rFonts w:ascii="Times New Roman" w:hAnsi="Times New Roman" w:cs="Times New Roman"/>
          <w:sz w:val="24"/>
          <w:szCs w:val="24"/>
        </w:rPr>
        <w:t xml:space="preserve">  Therefore, Dr. Baron testified that the shared savings “</w:t>
      </w:r>
      <w:r w:rsidRPr="003B2C9E">
        <w:rPr>
          <w:rFonts w:ascii="Times New Roman" w:hAnsi="Times New Roman" w:cs="Times New Roman"/>
          <w:sz w:val="24"/>
          <w:szCs w:val="24"/>
        </w:rPr>
        <w:t xml:space="preserve">incentive mechanism should only apply to the dollar savings above the </w:t>
      </w:r>
      <w:r>
        <w:rPr>
          <w:rFonts w:ascii="Times New Roman" w:hAnsi="Times New Roman" w:cs="Times New Roman"/>
          <w:sz w:val="24"/>
          <w:szCs w:val="24"/>
        </w:rPr>
        <w:t>benchmark.”</w:t>
      </w:r>
      <w:r>
        <w:rPr>
          <w:rStyle w:val="FootnoteReference"/>
          <w:rFonts w:ascii="Times New Roman" w:hAnsi="Times New Roman" w:cs="Times New Roman"/>
          <w:sz w:val="24"/>
          <w:szCs w:val="24"/>
        </w:rPr>
        <w:footnoteReference w:id="133"/>
      </w:r>
      <w:r>
        <w:rPr>
          <w:rFonts w:ascii="Times New Roman" w:hAnsi="Times New Roman" w:cs="Times New Roman"/>
          <w:sz w:val="24"/>
          <w:szCs w:val="24"/>
        </w:rPr>
        <w:t xml:space="preserve"> </w:t>
      </w:r>
      <w:r w:rsidRPr="00BC7424">
        <w:rPr>
          <w:rFonts w:ascii="Times New Roman" w:hAnsi="Times New Roman" w:cs="Times New Roman"/>
          <w:sz w:val="24"/>
          <w:szCs w:val="24"/>
        </w:rPr>
        <w:t xml:space="preserve"> </w:t>
      </w:r>
    </w:p>
    <w:p w:rsidR="00D80ABE" w:rsidRPr="00D72B2D" w:rsidRDefault="00D80ABE" w:rsidP="00D80AB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this evidence in the record, OCC agrees that to the extent the PUCO approves a shared savings mechanism for 2016, it should function as a true incentive</w:t>
      </w:r>
      <w:r w:rsidR="00F71194">
        <w:rPr>
          <w:rFonts w:ascii="Times New Roman" w:hAnsi="Times New Roman" w:cs="Times New Roman"/>
          <w:sz w:val="24"/>
          <w:szCs w:val="24"/>
        </w:rPr>
        <w:t>.  This mean</w:t>
      </w:r>
      <w:r w:rsidR="00AD5944">
        <w:rPr>
          <w:rFonts w:ascii="Times New Roman" w:hAnsi="Times New Roman" w:cs="Times New Roman"/>
          <w:sz w:val="24"/>
          <w:szCs w:val="24"/>
        </w:rPr>
        <w:t>s</w:t>
      </w:r>
      <w:r w:rsidR="00F71194">
        <w:rPr>
          <w:rFonts w:ascii="Times New Roman" w:hAnsi="Times New Roman" w:cs="Times New Roman"/>
          <w:sz w:val="24"/>
          <w:szCs w:val="24"/>
        </w:rPr>
        <w:t xml:space="preserve"> that the </w:t>
      </w:r>
      <w:r>
        <w:rPr>
          <w:rFonts w:ascii="Times New Roman" w:hAnsi="Times New Roman" w:cs="Times New Roman"/>
          <w:sz w:val="24"/>
          <w:szCs w:val="24"/>
        </w:rPr>
        <w:t xml:space="preserve">Utility </w:t>
      </w:r>
      <w:r w:rsidR="00F71194">
        <w:rPr>
          <w:rFonts w:ascii="Times New Roman" w:hAnsi="Times New Roman" w:cs="Times New Roman"/>
          <w:sz w:val="24"/>
          <w:szCs w:val="24"/>
        </w:rPr>
        <w:t xml:space="preserve">should only be allowed </w:t>
      </w:r>
      <w:r>
        <w:rPr>
          <w:rFonts w:ascii="Times New Roman" w:hAnsi="Times New Roman" w:cs="Times New Roman"/>
          <w:sz w:val="24"/>
          <w:szCs w:val="24"/>
        </w:rPr>
        <w:t>to collect the incentive for the amount of savings that exceed the benchmark.</w:t>
      </w:r>
    </w:p>
    <w:p w:rsidR="001D29E8" w:rsidRPr="001D29E8" w:rsidRDefault="001D29E8" w:rsidP="001D29E8">
      <w:pPr>
        <w:pStyle w:val="ListParagraph"/>
        <w:autoSpaceDE w:val="0"/>
        <w:autoSpaceDN w:val="0"/>
        <w:adjustRightInd w:val="0"/>
        <w:spacing w:after="0" w:line="240" w:lineRule="auto"/>
        <w:rPr>
          <w:rFonts w:ascii="Times New Roman" w:hAnsi="Times New Roman" w:cs="Times New Roman"/>
          <w:b/>
          <w:sz w:val="24"/>
          <w:szCs w:val="24"/>
        </w:rPr>
      </w:pPr>
    </w:p>
    <w:p w:rsidR="00AF2FBC" w:rsidRPr="00AF2FBC" w:rsidRDefault="001D29E8" w:rsidP="001D29E8">
      <w:pPr>
        <w:pStyle w:val="Heading1"/>
      </w:pPr>
      <w:bookmarkStart w:id="20" w:name="_Toc426990922"/>
      <w:bookmarkStart w:id="21" w:name="_Toc427923437"/>
      <w:r>
        <w:t>IV.</w:t>
      </w:r>
      <w:r>
        <w:tab/>
      </w:r>
      <w:r w:rsidR="00AF2FBC" w:rsidRPr="00AF2FBC">
        <w:t>CONCLUSION</w:t>
      </w:r>
      <w:bookmarkEnd w:id="20"/>
      <w:bookmarkEnd w:id="21"/>
    </w:p>
    <w:p w:rsidR="003112C8" w:rsidRPr="001475EB" w:rsidRDefault="003112C8" w:rsidP="003112C8">
      <w:pPr>
        <w:pStyle w:val="ListParagraph"/>
        <w:spacing w:after="0" w:line="480" w:lineRule="auto"/>
        <w:ind w:left="0" w:firstLine="720"/>
        <w:rPr>
          <w:rFonts w:ascii="Times New Roman" w:hAnsi="Times New Roman" w:cs="Times New Roman"/>
          <w:sz w:val="24"/>
          <w:szCs w:val="24"/>
        </w:rPr>
      </w:pPr>
      <w:r w:rsidRPr="000A6628">
        <w:rPr>
          <w:rFonts w:ascii="Times New Roman" w:hAnsi="Times New Roman" w:cs="Times New Roman"/>
          <w:sz w:val="24"/>
          <w:szCs w:val="24"/>
        </w:rPr>
        <w:t>The policy of this State includes ensuring</w:t>
      </w:r>
      <w:r>
        <w:rPr>
          <w:rFonts w:ascii="Times New Roman" w:hAnsi="Times New Roman" w:cs="Times New Roman"/>
          <w:sz w:val="24"/>
          <w:szCs w:val="24"/>
        </w:rPr>
        <w:t xml:space="preserve"> </w:t>
      </w:r>
      <w:r w:rsidRPr="000A6628">
        <w:rPr>
          <w:rFonts w:ascii="Times New Roman" w:hAnsi="Times New Roman" w:cs="Times New Roman"/>
          <w:sz w:val="24"/>
          <w:szCs w:val="24"/>
        </w:rPr>
        <w:t>that consumers have adequate, reliable, and reasonably priced retail electric service.</w:t>
      </w:r>
      <w:r>
        <w:rPr>
          <w:rStyle w:val="FootnoteReference"/>
          <w:rFonts w:ascii="Times New Roman" w:hAnsi="Times New Roman" w:cs="Times New Roman"/>
          <w:sz w:val="24"/>
          <w:szCs w:val="24"/>
        </w:rPr>
        <w:footnoteReference w:id="134"/>
      </w:r>
      <w:r w:rsidRPr="000A6628">
        <w:rPr>
          <w:rFonts w:ascii="Times New Roman" w:hAnsi="Times New Roman" w:cs="Times New Roman"/>
          <w:sz w:val="24"/>
          <w:szCs w:val="24"/>
        </w:rPr>
        <w:t xml:space="preserve"> </w:t>
      </w:r>
      <w:r w:rsidR="00F64DF3">
        <w:rPr>
          <w:rFonts w:ascii="Times New Roman" w:hAnsi="Times New Roman" w:cs="Times New Roman"/>
          <w:sz w:val="24"/>
          <w:szCs w:val="24"/>
        </w:rPr>
        <w:t xml:space="preserve"> </w:t>
      </w:r>
      <w:r w:rsidRPr="000A6628">
        <w:rPr>
          <w:rFonts w:ascii="Times New Roman" w:hAnsi="Times New Roman" w:cs="Times New Roman"/>
          <w:sz w:val="24"/>
          <w:szCs w:val="24"/>
        </w:rPr>
        <w:t>Energy efficiency portfolios should not be a profit center for utilities at the</w:t>
      </w:r>
      <w:r>
        <w:rPr>
          <w:rFonts w:ascii="Times New Roman" w:hAnsi="Times New Roman" w:cs="Times New Roman"/>
          <w:sz w:val="24"/>
          <w:szCs w:val="24"/>
        </w:rPr>
        <w:t xml:space="preserve"> </w:t>
      </w:r>
      <w:r w:rsidRPr="000A6628">
        <w:rPr>
          <w:rFonts w:ascii="Times New Roman" w:hAnsi="Times New Roman" w:cs="Times New Roman"/>
          <w:sz w:val="24"/>
          <w:szCs w:val="24"/>
        </w:rPr>
        <w:t xml:space="preserve">expense of customers. </w:t>
      </w:r>
      <w:r w:rsidR="00F64DF3">
        <w:rPr>
          <w:rFonts w:ascii="Times New Roman" w:hAnsi="Times New Roman" w:cs="Times New Roman"/>
          <w:sz w:val="24"/>
          <w:szCs w:val="24"/>
        </w:rPr>
        <w:t xml:space="preserve"> </w:t>
      </w:r>
      <w:r>
        <w:rPr>
          <w:rFonts w:ascii="Times New Roman" w:hAnsi="Times New Roman" w:cs="Times New Roman"/>
          <w:sz w:val="24"/>
          <w:szCs w:val="24"/>
        </w:rPr>
        <w:t xml:space="preserve">Duke’s uncapped incentive should end.  </w:t>
      </w:r>
      <w:r w:rsidRPr="000A6628">
        <w:rPr>
          <w:rFonts w:ascii="Times New Roman" w:hAnsi="Times New Roman" w:cs="Times New Roman"/>
          <w:sz w:val="24"/>
          <w:szCs w:val="24"/>
        </w:rPr>
        <w:t>Customers should</w:t>
      </w:r>
      <w:r>
        <w:rPr>
          <w:rFonts w:ascii="Times New Roman" w:hAnsi="Times New Roman" w:cs="Times New Roman"/>
          <w:sz w:val="24"/>
          <w:szCs w:val="24"/>
        </w:rPr>
        <w:t xml:space="preserve"> receive more of the net</w:t>
      </w:r>
      <w:r w:rsidRPr="000A6628">
        <w:rPr>
          <w:rFonts w:ascii="Times New Roman" w:hAnsi="Times New Roman" w:cs="Times New Roman"/>
          <w:sz w:val="24"/>
          <w:szCs w:val="24"/>
        </w:rPr>
        <w:t xml:space="preserve"> benefit</w:t>
      </w:r>
      <w:r>
        <w:rPr>
          <w:rFonts w:ascii="Times New Roman" w:hAnsi="Times New Roman" w:cs="Times New Roman"/>
          <w:sz w:val="24"/>
          <w:szCs w:val="24"/>
        </w:rPr>
        <w:t>s</w:t>
      </w:r>
      <w:r w:rsidRPr="000A6628">
        <w:rPr>
          <w:rFonts w:ascii="Times New Roman" w:hAnsi="Times New Roman" w:cs="Times New Roman"/>
          <w:sz w:val="24"/>
          <w:szCs w:val="24"/>
        </w:rPr>
        <w:t xml:space="preserve"> from </w:t>
      </w:r>
      <w:r>
        <w:rPr>
          <w:rFonts w:ascii="Times New Roman" w:hAnsi="Times New Roman" w:cs="Times New Roman"/>
          <w:sz w:val="24"/>
          <w:szCs w:val="24"/>
        </w:rPr>
        <w:t xml:space="preserve">Duke’s </w:t>
      </w:r>
      <w:r w:rsidRPr="000A6628">
        <w:rPr>
          <w:rFonts w:ascii="Times New Roman" w:hAnsi="Times New Roman" w:cs="Times New Roman"/>
          <w:sz w:val="24"/>
          <w:szCs w:val="24"/>
        </w:rPr>
        <w:t>energy efficiency programs.</w:t>
      </w:r>
      <w:r>
        <w:rPr>
          <w:rFonts w:ascii="Times New Roman" w:hAnsi="Times New Roman" w:cs="Times New Roman"/>
          <w:sz w:val="24"/>
          <w:szCs w:val="24"/>
        </w:rPr>
        <w:t xml:space="preserve"> </w:t>
      </w:r>
      <w:r w:rsidR="00F64DF3">
        <w:rPr>
          <w:rFonts w:ascii="Times New Roman" w:hAnsi="Times New Roman" w:cs="Times New Roman"/>
          <w:sz w:val="24"/>
          <w:szCs w:val="24"/>
        </w:rPr>
        <w:t xml:space="preserve"> </w:t>
      </w:r>
      <w:r w:rsidRPr="000A6628">
        <w:rPr>
          <w:rFonts w:ascii="Times New Roman" w:hAnsi="Times New Roman" w:cs="Times New Roman"/>
          <w:sz w:val="24"/>
          <w:szCs w:val="24"/>
        </w:rPr>
        <w:t xml:space="preserve">Charges to customers for </w:t>
      </w:r>
      <w:r>
        <w:rPr>
          <w:rFonts w:ascii="Times New Roman" w:hAnsi="Times New Roman" w:cs="Times New Roman"/>
          <w:sz w:val="24"/>
          <w:szCs w:val="24"/>
        </w:rPr>
        <w:t>Duke’s</w:t>
      </w:r>
      <w:r w:rsidRPr="000A6628">
        <w:rPr>
          <w:rFonts w:ascii="Times New Roman" w:hAnsi="Times New Roman" w:cs="Times New Roman"/>
          <w:sz w:val="24"/>
          <w:szCs w:val="24"/>
        </w:rPr>
        <w:t xml:space="preserve"> incentive </w:t>
      </w:r>
      <w:r w:rsidR="00AD5944" w:rsidRPr="000A6628">
        <w:rPr>
          <w:rFonts w:ascii="Times New Roman" w:hAnsi="Times New Roman" w:cs="Times New Roman"/>
          <w:sz w:val="24"/>
          <w:szCs w:val="24"/>
        </w:rPr>
        <w:t>mechanism</w:t>
      </w:r>
      <w:r w:rsidRPr="000A6628">
        <w:rPr>
          <w:rFonts w:ascii="Times New Roman" w:hAnsi="Times New Roman" w:cs="Times New Roman"/>
          <w:sz w:val="24"/>
          <w:szCs w:val="24"/>
        </w:rPr>
        <w:t xml:space="preserve"> should be minimized. </w:t>
      </w:r>
      <w:r w:rsidR="00F64DF3">
        <w:rPr>
          <w:rFonts w:ascii="Times New Roman" w:hAnsi="Times New Roman" w:cs="Times New Roman"/>
          <w:sz w:val="24"/>
          <w:szCs w:val="24"/>
        </w:rPr>
        <w:t xml:space="preserve"> </w:t>
      </w:r>
      <w:r>
        <w:rPr>
          <w:rFonts w:ascii="Times New Roman" w:hAnsi="Times New Roman" w:cs="Times New Roman"/>
          <w:sz w:val="24"/>
          <w:szCs w:val="24"/>
        </w:rPr>
        <w:t xml:space="preserve">It is time for the utility incentive pendulum in Ohio to start moving in the direction of the customer.  </w:t>
      </w:r>
      <w:r w:rsidRPr="000A6628">
        <w:rPr>
          <w:rFonts w:ascii="Times New Roman" w:hAnsi="Times New Roman" w:cs="Times New Roman"/>
          <w:sz w:val="24"/>
          <w:szCs w:val="24"/>
        </w:rPr>
        <w:t xml:space="preserve">Consumer protections are critical. </w:t>
      </w:r>
    </w:p>
    <w:p w:rsidR="003112C8" w:rsidRPr="000A6628" w:rsidRDefault="003112C8" w:rsidP="003112C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To ensure </w:t>
      </w:r>
      <w:r w:rsidRPr="001475EB">
        <w:rPr>
          <w:rFonts w:ascii="Times New Roman" w:hAnsi="Times New Roman" w:cs="Times New Roman"/>
          <w:sz w:val="24"/>
          <w:szCs w:val="24"/>
        </w:rPr>
        <w:t>that customers are paying reasonable and not excessive rates</w:t>
      </w:r>
      <w:r>
        <w:rPr>
          <w:rFonts w:ascii="Times New Roman" w:hAnsi="Times New Roman" w:cs="Times New Roman"/>
          <w:sz w:val="24"/>
          <w:szCs w:val="24"/>
        </w:rPr>
        <w:t>, a</w:t>
      </w:r>
      <w:r w:rsidRPr="000A6628">
        <w:rPr>
          <w:rFonts w:ascii="Times New Roman" w:hAnsi="Times New Roman" w:cs="Times New Roman"/>
          <w:sz w:val="24"/>
          <w:szCs w:val="24"/>
        </w:rPr>
        <w:t xml:space="preserve"> hard dollar cap</w:t>
      </w:r>
      <w:r>
        <w:rPr>
          <w:rFonts w:ascii="Times New Roman" w:hAnsi="Times New Roman" w:cs="Times New Roman"/>
          <w:sz w:val="24"/>
          <w:szCs w:val="24"/>
        </w:rPr>
        <w:t xml:space="preserve"> of no more than five percent of prudent program spending </w:t>
      </w:r>
      <w:r w:rsidRPr="000A6628">
        <w:rPr>
          <w:rFonts w:ascii="Times New Roman" w:hAnsi="Times New Roman" w:cs="Times New Roman"/>
          <w:sz w:val="24"/>
          <w:szCs w:val="24"/>
        </w:rPr>
        <w:t>on Duke’s shared savings mechanism for 2016 is</w:t>
      </w:r>
      <w:r>
        <w:rPr>
          <w:rFonts w:ascii="Times New Roman" w:hAnsi="Times New Roman" w:cs="Times New Roman"/>
          <w:sz w:val="24"/>
          <w:szCs w:val="24"/>
        </w:rPr>
        <w:t xml:space="preserve"> </w:t>
      </w:r>
      <w:r w:rsidRPr="001475EB">
        <w:rPr>
          <w:rFonts w:ascii="Times New Roman" w:hAnsi="Times New Roman" w:cs="Times New Roman"/>
          <w:sz w:val="24"/>
          <w:szCs w:val="24"/>
        </w:rPr>
        <w:t xml:space="preserve">appropriate. </w:t>
      </w:r>
      <w:r>
        <w:rPr>
          <w:rFonts w:ascii="Times New Roman" w:hAnsi="Times New Roman" w:cs="Times New Roman"/>
          <w:sz w:val="24"/>
          <w:szCs w:val="24"/>
        </w:rPr>
        <w:t xml:space="preserve"> And the PUCO should adopt the consumer protections recommended by OCC for calculating shared savings, including: </w:t>
      </w:r>
      <w:r w:rsidRPr="00AF2FBC">
        <w:rPr>
          <w:rFonts w:ascii="Times New Roman" w:hAnsi="Times New Roman" w:cs="Times New Roman"/>
          <w:sz w:val="24"/>
          <w:szCs w:val="24"/>
        </w:rPr>
        <w:t>use</w:t>
      </w:r>
      <w:r>
        <w:rPr>
          <w:rFonts w:ascii="Times New Roman" w:hAnsi="Times New Roman" w:cs="Times New Roman"/>
          <w:sz w:val="24"/>
          <w:szCs w:val="24"/>
        </w:rPr>
        <w:t xml:space="preserve"> of the Total Resource Cost Test</w:t>
      </w:r>
      <w:r w:rsidRPr="00AF2FBC">
        <w:rPr>
          <w:rFonts w:ascii="Times New Roman" w:hAnsi="Times New Roman" w:cs="Times New Roman"/>
          <w:sz w:val="24"/>
          <w:szCs w:val="24"/>
        </w:rPr>
        <w:t xml:space="preserve"> rather than the Utility Cost Test; use</w:t>
      </w:r>
      <w:r>
        <w:rPr>
          <w:rFonts w:ascii="Times New Roman" w:hAnsi="Times New Roman" w:cs="Times New Roman"/>
          <w:sz w:val="24"/>
          <w:szCs w:val="24"/>
        </w:rPr>
        <w:t xml:space="preserve"> of</w:t>
      </w:r>
      <w:r w:rsidRPr="00AF2FBC">
        <w:rPr>
          <w:rFonts w:ascii="Times New Roman" w:hAnsi="Times New Roman" w:cs="Times New Roman"/>
          <w:sz w:val="24"/>
          <w:szCs w:val="24"/>
        </w:rPr>
        <w:t xml:space="preserve"> net, rather than gross program savings; and </w:t>
      </w:r>
      <w:r>
        <w:rPr>
          <w:rFonts w:ascii="Times New Roman" w:hAnsi="Times New Roman" w:cs="Times New Roman"/>
          <w:sz w:val="24"/>
          <w:szCs w:val="24"/>
        </w:rPr>
        <w:t xml:space="preserve">calculating the incentive </w:t>
      </w:r>
      <w:r w:rsidRPr="00AF2FBC">
        <w:rPr>
          <w:rFonts w:ascii="Times New Roman" w:hAnsi="Times New Roman" w:cs="Times New Roman"/>
          <w:sz w:val="24"/>
          <w:szCs w:val="24"/>
        </w:rPr>
        <w:t>on a pretax basis</w:t>
      </w:r>
      <w:r>
        <w:rPr>
          <w:rFonts w:ascii="Times New Roman" w:hAnsi="Times New Roman" w:cs="Times New Roman"/>
          <w:sz w:val="24"/>
          <w:szCs w:val="24"/>
        </w:rPr>
        <w:t>.</w:t>
      </w:r>
      <w:r w:rsidR="00AD5944" w:rsidRPr="00AF2FBC">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To further protect customers from Duke overcharging customers for EE/PDR, the Utility</w:t>
      </w:r>
      <w:r w:rsidRPr="001475EB">
        <w:rPr>
          <w:rFonts w:ascii="Times New Roman" w:hAnsi="Times New Roman" w:cs="Times New Roman"/>
          <w:sz w:val="24"/>
          <w:szCs w:val="24"/>
        </w:rPr>
        <w:t xml:space="preserve"> should not be permitted to use banked savings from previous</w:t>
      </w:r>
      <w:r>
        <w:rPr>
          <w:rFonts w:ascii="Times New Roman" w:hAnsi="Times New Roman" w:cs="Times New Roman"/>
          <w:sz w:val="24"/>
          <w:szCs w:val="24"/>
        </w:rPr>
        <w:t xml:space="preserve"> </w:t>
      </w:r>
      <w:r w:rsidRPr="001475EB">
        <w:rPr>
          <w:rFonts w:ascii="Times New Roman" w:hAnsi="Times New Roman" w:cs="Times New Roman"/>
          <w:sz w:val="24"/>
          <w:szCs w:val="24"/>
        </w:rPr>
        <w:t xml:space="preserve">years to charge customers for shared savings in 2016. </w:t>
      </w:r>
      <w:r w:rsidR="00F64DF3">
        <w:rPr>
          <w:rFonts w:ascii="Times New Roman" w:hAnsi="Times New Roman" w:cs="Times New Roman"/>
          <w:sz w:val="24"/>
          <w:szCs w:val="24"/>
        </w:rPr>
        <w:t xml:space="preserve"> </w:t>
      </w:r>
      <w:r w:rsidRPr="001475EB">
        <w:rPr>
          <w:rFonts w:ascii="Times New Roman" w:hAnsi="Times New Roman" w:cs="Times New Roman"/>
          <w:sz w:val="24"/>
          <w:szCs w:val="24"/>
        </w:rPr>
        <w:t>Finally, Duke should be limited to</w:t>
      </w:r>
      <w:r>
        <w:rPr>
          <w:rFonts w:ascii="Times New Roman" w:hAnsi="Times New Roman" w:cs="Times New Roman"/>
          <w:sz w:val="24"/>
          <w:szCs w:val="24"/>
        </w:rPr>
        <w:t xml:space="preserve"> </w:t>
      </w:r>
      <w:r w:rsidRPr="001475EB">
        <w:rPr>
          <w:rFonts w:ascii="Times New Roman" w:hAnsi="Times New Roman" w:cs="Times New Roman"/>
          <w:sz w:val="24"/>
          <w:szCs w:val="24"/>
        </w:rPr>
        <w:t>charging customers for shared savings on only the ef</w:t>
      </w:r>
      <w:r>
        <w:rPr>
          <w:rFonts w:ascii="Times New Roman" w:hAnsi="Times New Roman" w:cs="Times New Roman"/>
          <w:sz w:val="24"/>
          <w:szCs w:val="24"/>
        </w:rPr>
        <w:t xml:space="preserve">ficiency savings that exceed the </w:t>
      </w:r>
      <w:r w:rsidRPr="000A6628">
        <w:rPr>
          <w:rFonts w:ascii="Times New Roman" w:hAnsi="Times New Roman" w:cs="Times New Roman"/>
          <w:sz w:val="24"/>
          <w:szCs w:val="24"/>
        </w:rPr>
        <w:t>statutory benchmark.</w:t>
      </w:r>
    </w:p>
    <w:p w:rsidR="00F214B0" w:rsidRPr="000A6628" w:rsidRDefault="00F214B0" w:rsidP="00F214B0">
      <w:pPr>
        <w:widowControl w:val="0"/>
        <w:spacing w:line="480" w:lineRule="auto"/>
        <w:ind w:left="3600" w:right="-672" w:firstLine="720"/>
        <w:rPr>
          <w:rFonts w:ascii="Times New Roman" w:hAnsi="Times New Roman" w:cs="Times New Roman"/>
          <w:szCs w:val="24"/>
        </w:rPr>
      </w:pPr>
      <w:r w:rsidRPr="000A6628">
        <w:rPr>
          <w:rFonts w:ascii="Times New Roman" w:hAnsi="Times New Roman" w:cs="Times New Roman"/>
          <w:szCs w:val="24"/>
        </w:rPr>
        <w:t>Respectfully submitted,</w:t>
      </w:r>
    </w:p>
    <w:p w:rsidR="00F214B0" w:rsidRPr="000A6628" w:rsidRDefault="00F214B0" w:rsidP="000A6628">
      <w:pPr>
        <w:tabs>
          <w:tab w:val="left" w:pos="4320"/>
        </w:tabs>
        <w:spacing w:before="240" w:after="0" w:line="240" w:lineRule="auto"/>
        <w:rPr>
          <w:rFonts w:ascii="Times New Roman" w:hAnsi="Times New Roman" w:cs="Times New Roman"/>
          <w:szCs w:val="24"/>
        </w:rPr>
      </w:pPr>
      <w:r w:rsidRPr="000A6628">
        <w:rPr>
          <w:rFonts w:ascii="Times New Roman" w:hAnsi="Times New Roman" w:cs="Times New Roman"/>
          <w:szCs w:val="24"/>
        </w:rPr>
        <w:tab/>
        <w:t>BRUCE J. WESTON</w:t>
      </w:r>
    </w:p>
    <w:p w:rsidR="00F214B0" w:rsidRPr="000A6628" w:rsidRDefault="00F214B0" w:rsidP="000A6628">
      <w:pPr>
        <w:tabs>
          <w:tab w:val="left" w:pos="4320"/>
        </w:tabs>
        <w:spacing w:after="0" w:line="240" w:lineRule="auto"/>
        <w:rPr>
          <w:rFonts w:ascii="Times New Roman" w:hAnsi="Times New Roman" w:cs="Times New Roman"/>
          <w:szCs w:val="24"/>
        </w:rPr>
      </w:pPr>
      <w:r w:rsidRPr="000A6628">
        <w:rPr>
          <w:rFonts w:ascii="Times New Roman" w:hAnsi="Times New Roman" w:cs="Times New Roman"/>
          <w:szCs w:val="24"/>
        </w:rPr>
        <w:tab/>
        <w:t>OHIO CONSUMERS’ COUNSEL</w:t>
      </w:r>
    </w:p>
    <w:p w:rsidR="00F214B0" w:rsidRPr="000A6628" w:rsidRDefault="00F214B0" w:rsidP="00F214B0">
      <w:pPr>
        <w:tabs>
          <w:tab w:val="left" w:pos="4320"/>
        </w:tabs>
        <w:rPr>
          <w:rFonts w:ascii="Times New Roman" w:hAnsi="Times New Roman" w:cs="Times New Roman"/>
          <w:szCs w:val="24"/>
        </w:rPr>
      </w:pPr>
      <w:r w:rsidRPr="000A6628">
        <w:rPr>
          <w:rFonts w:ascii="Times New Roman" w:hAnsi="Times New Roman" w:cs="Times New Roman"/>
          <w:szCs w:val="24"/>
        </w:rPr>
        <w:tab/>
      </w:r>
    </w:p>
    <w:p w:rsidR="00F214B0" w:rsidRPr="000A6628" w:rsidRDefault="00F214B0" w:rsidP="00947EE6">
      <w:pPr>
        <w:tabs>
          <w:tab w:val="left" w:pos="4320"/>
        </w:tabs>
        <w:spacing w:after="0" w:line="240" w:lineRule="auto"/>
        <w:rPr>
          <w:rFonts w:ascii="Times New Roman" w:hAnsi="Times New Roman" w:cs="Times New Roman"/>
          <w:szCs w:val="24"/>
        </w:rPr>
      </w:pPr>
      <w:r w:rsidRPr="000A6628">
        <w:rPr>
          <w:rFonts w:ascii="Times New Roman" w:hAnsi="Times New Roman" w:cs="Times New Roman"/>
          <w:szCs w:val="24"/>
        </w:rPr>
        <w:tab/>
      </w:r>
      <w:r w:rsidRPr="000A6628">
        <w:rPr>
          <w:rFonts w:ascii="Times New Roman" w:hAnsi="Times New Roman" w:cs="Times New Roman"/>
          <w:i/>
          <w:szCs w:val="24"/>
          <w:u w:val="single"/>
        </w:rPr>
        <w:t>/s/ Kyle L. Kern</w:t>
      </w:r>
      <w:r w:rsidRPr="000A6628">
        <w:rPr>
          <w:rFonts w:ascii="Times New Roman" w:hAnsi="Times New Roman" w:cs="Times New Roman"/>
          <w:szCs w:val="24"/>
        </w:rPr>
        <w:t>_________________</w:t>
      </w:r>
    </w:p>
    <w:p w:rsidR="00F214B0" w:rsidRPr="000A6628" w:rsidRDefault="00F214B0" w:rsidP="000A6628">
      <w:pPr>
        <w:tabs>
          <w:tab w:val="left" w:pos="4320"/>
        </w:tabs>
        <w:spacing w:after="0" w:line="240" w:lineRule="auto"/>
        <w:rPr>
          <w:rFonts w:ascii="Times New Roman" w:hAnsi="Times New Roman" w:cs="Times New Roman"/>
          <w:szCs w:val="24"/>
        </w:rPr>
      </w:pPr>
      <w:r w:rsidRPr="000A6628">
        <w:rPr>
          <w:rFonts w:ascii="Times New Roman" w:hAnsi="Times New Roman" w:cs="Times New Roman"/>
          <w:szCs w:val="24"/>
        </w:rPr>
        <w:tab/>
        <w:t>K</w:t>
      </w:r>
      <w:r w:rsidR="00F64DF3">
        <w:rPr>
          <w:rFonts w:ascii="Times New Roman" w:hAnsi="Times New Roman" w:cs="Times New Roman"/>
          <w:szCs w:val="24"/>
        </w:rPr>
        <w:t xml:space="preserve">yle L. Kern, Counsel of Record </w:t>
      </w:r>
    </w:p>
    <w:p w:rsidR="00F214B0" w:rsidRPr="000A6628" w:rsidRDefault="00F214B0" w:rsidP="000A6628">
      <w:pPr>
        <w:tabs>
          <w:tab w:val="left" w:pos="4320"/>
        </w:tabs>
        <w:spacing w:after="0" w:line="240" w:lineRule="auto"/>
        <w:rPr>
          <w:rFonts w:ascii="Times New Roman" w:hAnsi="Times New Roman" w:cs="Times New Roman"/>
          <w:szCs w:val="24"/>
        </w:rPr>
      </w:pPr>
      <w:r w:rsidRPr="000A6628">
        <w:rPr>
          <w:rFonts w:ascii="Times New Roman" w:hAnsi="Times New Roman" w:cs="Times New Roman"/>
          <w:szCs w:val="24"/>
        </w:rPr>
        <w:tab/>
        <w:t>(0084199)</w:t>
      </w:r>
    </w:p>
    <w:p w:rsidR="00F214B0" w:rsidRPr="000A6628" w:rsidRDefault="00F64DF3" w:rsidP="000A6628">
      <w:pPr>
        <w:tabs>
          <w:tab w:val="left" w:pos="4320"/>
        </w:tabs>
        <w:spacing w:after="0" w:line="240" w:lineRule="auto"/>
        <w:rPr>
          <w:rFonts w:ascii="Times New Roman" w:hAnsi="Times New Roman" w:cs="Times New Roman"/>
          <w:szCs w:val="24"/>
        </w:rPr>
      </w:pPr>
      <w:r>
        <w:rPr>
          <w:rFonts w:ascii="Times New Roman" w:hAnsi="Times New Roman" w:cs="Times New Roman"/>
          <w:szCs w:val="24"/>
        </w:rPr>
        <w:tab/>
        <w:t xml:space="preserve">Michael J. Schuler (0082390) </w:t>
      </w:r>
    </w:p>
    <w:p w:rsidR="00F214B0" w:rsidRDefault="00F214B0" w:rsidP="00F64DF3">
      <w:pPr>
        <w:tabs>
          <w:tab w:val="left" w:pos="4320"/>
        </w:tabs>
        <w:spacing w:after="0" w:line="240" w:lineRule="auto"/>
        <w:rPr>
          <w:rFonts w:ascii="Times New Roman" w:hAnsi="Times New Roman" w:cs="Times New Roman"/>
          <w:szCs w:val="24"/>
        </w:rPr>
      </w:pPr>
      <w:r w:rsidRPr="000A6628">
        <w:rPr>
          <w:rFonts w:ascii="Times New Roman" w:hAnsi="Times New Roman" w:cs="Times New Roman"/>
          <w:szCs w:val="24"/>
        </w:rPr>
        <w:tab/>
        <w:t>Assistant Consumers’ Counsel</w:t>
      </w:r>
    </w:p>
    <w:p w:rsidR="00F64DF3" w:rsidRPr="000A6628" w:rsidRDefault="00F64DF3" w:rsidP="00F64DF3">
      <w:pPr>
        <w:tabs>
          <w:tab w:val="left" w:pos="4320"/>
        </w:tabs>
        <w:spacing w:after="0" w:line="240" w:lineRule="auto"/>
        <w:rPr>
          <w:rFonts w:ascii="Times New Roman" w:hAnsi="Times New Roman" w:cs="Times New Roman"/>
          <w:szCs w:val="24"/>
        </w:rPr>
      </w:pPr>
    </w:p>
    <w:p w:rsidR="00F214B0" w:rsidRPr="00843D06" w:rsidRDefault="00F214B0" w:rsidP="00843D06">
      <w:pPr>
        <w:spacing w:after="0"/>
        <w:rPr>
          <w:rFonts w:ascii="Times New Roman" w:hAnsi="Times New Roman" w:cs="Times New Roman"/>
          <w:b/>
          <w:sz w:val="24"/>
          <w:szCs w:val="24"/>
        </w:rPr>
      </w:pPr>
      <w:r w:rsidRPr="000A6628">
        <w:rPr>
          <w:szCs w:val="24"/>
        </w:rPr>
        <w:tab/>
      </w:r>
      <w:r w:rsidR="00843D06">
        <w:rPr>
          <w:szCs w:val="24"/>
        </w:rPr>
        <w:tab/>
      </w:r>
      <w:r w:rsidR="00843D06">
        <w:rPr>
          <w:szCs w:val="24"/>
        </w:rPr>
        <w:tab/>
      </w:r>
      <w:r w:rsidR="00843D06">
        <w:rPr>
          <w:szCs w:val="24"/>
        </w:rPr>
        <w:tab/>
      </w:r>
      <w:r w:rsidR="00843D06">
        <w:rPr>
          <w:szCs w:val="24"/>
        </w:rPr>
        <w:tab/>
      </w:r>
      <w:r w:rsidR="00843D06">
        <w:rPr>
          <w:szCs w:val="24"/>
        </w:rPr>
        <w:tab/>
      </w:r>
      <w:r w:rsidRPr="00843D06">
        <w:rPr>
          <w:rFonts w:ascii="Times New Roman" w:hAnsi="Times New Roman" w:cs="Times New Roman"/>
          <w:b/>
          <w:sz w:val="24"/>
          <w:szCs w:val="24"/>
        </w:rPr>
        <w:t>Office of the Ohio Consumers’ Counsel</w:t>
      </w:r>
    </w:p>
    <w:p w:rsidR="00F214B0" w:rsidRPr="000A6628" w:rsidRDefault="00F214B0" w:rsidP="00843D06">
      <w:pPr>
        <w:spacing w:after="0" w:line="240" w:lineRule="auto"/>
        <w:ind w:left="4320"/>
        <w:rPr>
          <w:rFonts w:ascii="Times New Roman" w:hAnsi="Times New Roman" w:cs="Times New Roman"/>
        </w:rPr>
      </w:pPr>
      <w:r w:rsidRPr="000A6628">
        <w:rPr>
          <w:rFonts w:ascii="Times New Roman" w:hAnsi="Times New Roman" w:cs="Times New Roman"/>
        </w:rPr>
        <w:t>10 West Broad Street, Suite 1800</w:t>
      </w:r>
    </w:p>
    <w:p w:rsidR="00F214B0" w:rsidRPr="000A6628" w:rsidRDefault="00F214B0" w:rsidP="000A6628">
      <w:pPr>
        <w:spacing w:after="0" w:line="240" w:lineRule="auto"/>
        <w:ind w:left="4320"/>
        <w:rPr>
          <w:rFonts w:ascii="Times New Roman" w:hAnsi="Times New Roman" w:cs="Times New Roman"/>
        </w:rPr>
      </w:pPr>
      <w:r w:rsidRPr="000A6628">
        <w:rPr>
          <w:rFonts w:ascii="Times New Roman" w:hAnsi="Times New Roman" w:cs="Times New Roman"/>
        </w:rPr>
        <w:t>Columbus, Ohio 43215-3485</w:t>
      </w:r>
    </w:p>
    <w:p w:rsidR="00F214B0" w:rsidRPr="000A6628" w:rsidRDefault="00F214B0" w:rsidP="000A6628">
      <w:pPr>
        <w:autoSpaceDE w:val="0"/>
        <w:autoSpaceDN w:val="0"/>
        <w:adjustRightInd w:val="0"/>
        <w:spacing w:after="0" w:line="240" w:lineRule="auto"/>
        <w:ind w:left="3600" w:firstLine="720"/>
        <w:rPr>
          <w:rFonts w:ascii="Times New Roman" w:hAnsi="Times New Roman" w:cs="Times New Roman"/>
          <w:szCs w:val="24"/>
        </w:rPr>
      </w:pPr>
      <w:r w:rsidRPr="000A6628">
        <w:rPr>
          <w:rFonts w:ascii="Times New Roman" w:hAnsi="Times New Roman" w:cs="Times New Roman"/>
          <w:szCs w:val="24"/>
        </w:rPr>
        <w:t>Telephone:  Kern Direct – 614-466-9585</w:t>
      </w:r>
    </w:p>
    <w:p w:rsidR="00F214B0" w:rsidRPr="000A6628" w:rsidRDefault="00F214B0" w:rsidP="000A6628">
      <w:pPr>
        <w:autoSpaceDE w:val="0"/>
        <w:autoSpaceDN w:val="0"/>
        <w:adjustRightInd w:val="0"/>
        <w:spacing w:after="0" w:line="240" w:lineRule="auto"/>
        <w:ind w:left="3600" w:firstLine="720"/>
        <w:rPr>
          <w:rFonts w:ascii="Times New Roman" w:hAnsi="Times New Roman" w:cs="Times New Roman"/>
          <w:szCs w:val="24"/>
        </w:rPr>
      </w:pPr>
      <w:r w:rsidRPr="000A6628">
        <w:rPr>
          <w:rFonts w:ascii="Times New Roman" w:hAnsi="Times New Roman" w:cs="Times New Roman"/>
          <w:szCs w:val="24"/>
        </w:rPr>
        <w:t>Telephone:  Schuler Direct – 614-466-9547</w:t>
      </w:r>
    </w:p>
    <w:p w:rsidR="00F214B0" w:rsidRDefault="00ED573D" w:rsidP="000A6628">
      <w:pPr>
        <w:autoSpaceDE w:val="0"/>
        <w:autoSpaceDN w:val="0"/>
        <w:adjustRightInd w:val="0"/>
        <w:spacing w:after="0" w:line="240" w:lineRule="auto"/>
        <w:ind w:left="3600" w:firstLine="720"/>
        <w:rPr>
          <w:rFonts w:ascii="Times New Roman" w:hAnsi="Times New Roman" w:cs="Times New Roman"/>
          <w:color w:val="0000FF"/>
          <w:szCs w:val="24"/>
          <w:u w:val="single"/>
        </w:rPr>
      </w:pPr>
      <w:hyperlink r:id="rId18" w:history="1">
        <w:r w:rsidR="00F214B0" w:rsidRPr="000A6628">
          <w:rPr>
            <w:rFonts w:ascii="Times New Roman" w:hAnsi="Times New Roman" w:cs="Times New Roman"/>
            <w:color w:val="0000FF"/>
            <w:szCs w:val="24"/>
            <w:u w:val="single"/>
          </w:rPr>
          <w:t>Kyle.kern@occ.ohio.gov</w:t>
        </w:r>
      </w:hyperlink>
    </w:p>
    <w:p w:rsidR="00F64DF3" w:rsidRPr="00F64DF3" w:rsidRDefault="00F64DF3" w:rsidP="00F64DF3">
      <w:pPr>
        <w:autoSpaceDE w:val="0"/>
        <w:autoSpaceDN w:val="0"/>
        <w:adjustRightInd w:val="0"/>
        <w:spacing w:after="0" w:line="240" w:lineRule="auto"/>
        <w:ind w:left="4320"/>
        <w:rPr>
          <w:rFonts w:ascii="Times New Roman" w:hAnsi="Times New Roman" w:cs="Times New Roman"/>
          <w:szCs w:val="24"/>
        </w:rPr>
      </w:pPr>
      <w:r w:rsidRPr="00F64DF3">
        <w:rPr>
          <w:rFonts w:ascii="Times New Roman" w:hAnsi="Times New Roman" w:cs="Times New Roman"/>
          <w:szCs w:val="24"/>
        </w:rPr>
        <w:t>(Will accept service via email)</w:t>
      </w:r>
    </w:p>
    <w:p w:rsidR="00F214B0" w:rsidRPr="000A6628" w:rsidRDefault="00ED573D" w:rsidP="000A6628">
      <w:pPr>
        <w:autoSpaceDE w:val="0"/>
        <w:autoSpaceDN w:val="0"/>
        <w:adjustRightInd w:val="0"/>
        <w:spacing w:after="0" w:line="240" w:lineRule="auto"/>
        <w:ind w:left="3600" w:firstLine="720"/>
        <w:rPr>
          <w:rFonts w:ascii="Times New Roman" w:hAnsi="Times New Roman" w:cs="Times New Roman"/>
          <w:color w:val="0000FF"/>
          <w:szCs w:val="24"/>
          <w:u w:val="single"/>
        </w:rPr>
      </w:pPr>
      <w:hyperlink r:id="rId19" w:history="1">
        <w:r w:rsidR="00F214B0" w:rsidRPr="000A6628">
          <w:rPr>
            <w:rFonts w:ascii="Times New Roman" w:hAnsi="Times New Roman" w:cs="Times New Roman"/>
            <w:color w:val="0000FF"/>
            <w:szCs w:val="24"/>
            <w:u w:val="single"/>
          </w:rPr>
          <w:t>Michael.schuler@occ.ohio.gov</w:t>
        </w:r>
      </w:hyperlink>
    </w:p>
    <w:p w:rsidR="00F214B0" w:rsidRPr="00F64DF3" w:rsidRDefault="00F64DF3" w:rsidP="000A6628">
      <w:pPr>
        <w:autoSpaceDE w:val="0"/>
        <w:autoSpaceDN w:val="0"/>
        <w:adjustRightInd w:val="0"/>
        <w:spacing w:after="0" w:line="240" w:lineRule="auto"/>
        <w:ind w:left="4320"/>
        <w:rPr>
          <w:rFonts w:ascii="Times New Roman" w:hAnsi="Times New Roman" w:cs="Times New Roman"/>
          <w:szCs w:val="24"/>
        </w:rPr>
      </w:pPr>
      <w:r w:rsidRPr="00F64DF3">
        <w:rPr>
          <w:rFonts w:ascii="Times New Roman" w:hAnsi="Times New Roman" w:cs="Times New Roman"/>
          <w:szCs w:val="24"/>
        </w:rPr>
        <w:t>(</w:t>
      </w:r>
      <w:r w:rsidR="00F214B0" w:rsidRPr="00F64DF3">
        <w:rPr>
          <w:rFonts w:ascii="Times New Roman" w:hAnsi="Times New Roman" w:cs="Times New Roman"/>
          <w:szCs w:val="24"/>
        </w:rPr>
        <w:t xml:space="preserve">Will accept </w:t>
      </w:r>
      <w:r w:rsidRPr="00F64DF3">
        <w:rPr>
          <w:rFonts w:ascii="Times New Roman" w:hAnsi="Times New Roman" w:cs="Times New Roman"/>
          <w:szCs w:val="24"/>
        </w:rPr>
        <w:t>service via email)</w:t>
      </w:r>
    </w:p>
    <w:p w:rsidR="00F214B0" w:rsidRDefault="00F214B0" w:rsidP="00F214B0">
      <w:pPr>
        <w:spacing w:after="0" w:line="240" w:lineRule="auto"/>
        <w:jc w:val="center"/>
        <w:rPr>
          <w:rFonts w:ascii="Times New Roman" w:hAnsi="Times New Roman" w:cs="Times New Roman"/>
          <w:b/>
          <w:bCs/>
          <w:sz w:val="24"/>
          <w:szCs w:val="24"/>
          <w:u w:val="single"/>
        </w:rPr>
      </w:pPr>
      <w:r>
        <w:rPr>
          <w:szCs w:val="24"/>
        </w:rPr>
        <w:br w:type="page"/>
      </w:r>
      <w:r w:rsidRPr="00F214B0">
        <w:rPr>
          <w:rFonts w:ascii="Times New Roman" w:hAnsi="Times New Roman" w:cs="Times New Roman"/>
          <w:b/>
          <w:bCs/>
          <w:sz w:val="24"/>
          <w:szCs w:val="24"/>
          <w:u w:val="single"/>
        </w:rPr>
        <w:t>CERTIFICATE OF SERVICE</w:t>
      </w:r>
    </w:p>
    <w:p w:rsidR="00F214B0" w:rsidRPr="00F214B0" w:rsidRDefault="00F214B0" w:rsidP="00F214B0">
      <w:pPr>
        <w:spacing w:after="0" w:line="240" w:lineRule="auto"/>
        <w:jc w:val="center"/>
        <w:rPr>
          <w:rFonts w:ascii="Times New Roman" w:hAnsi="Times New Roman" w:cs="Times New Roman"/>
          <w:b/>
          <w:bCs/>
          <w:sz w:val="24"/>
          <w:szCs w:val="24"/>
          <w:u w:val="single"/>
        </w:rPr>
      </w:pPr>
    </w:p>
    <w:p w:rsidR="00F214B0" w:rsidRPr="00F214B0" w:rsidRDefault="00F214B0" w:rsidP="00F214B0">
      <w:pPr>
        <w:spacing w:after="0" w:line="480" w:lineRule="auto"/>
        <w:rPr>
          <w:rFonts w:ascii="Times New Roman" w:hAnsi="Times New Roman" w:cs="Times New Roman"/>
          <w:sz w:val="24"/>
          <w:szCs w:val="24"/>
        </w:rPr>
      </w:pPr>
      <w:r w:rsidRPr="00F214B0">
        <w:rPr>
          <w:rFonts w:ascii="Times New Roman" w:hAnsi="Times New Roman" w:cs="Times New Roman"/>
          <w:sz w:val="24"/>
          <w:szCs w:val="24"/>
        </w:rPr>
        <w:tab/>
        <w:t xml:space="preserve">I hereby certify that a copy of the </w:t>
      </w:r>
      <w:r>
        <w:rPr>
          <w:rFonts w:ascii="Times New Roman" w:hAnsi="Times New Roman" w:cs="Times New Roman"/>
          <w:sz w:val="24"/>
          <w:szCs w:val="24"/>
        </w:rPr>
        <w:t>Post Hearing Brief</w:t>
      </w:r>
      <w:r w:rsidRPr="00F214B0">
        <w:rPr>
          <w:rFonts w:ascii="Times New Roman" w:hAnsi="Times New Roman" w:cs="Times New Roman"/>
          <w:sz w:val="24"/>
          <w:szCs w:val="24"/>
        </w:rPr>
        <w:t xml:space="preserve"> was served on the persons stated below via electronic transmission, this </w:t>
      </w:r>
      <w:r w:rsidR="001475EB">
        <w:rPr>
          <w:rFonts w:ascii="Times New Roman" w:hAnsi="Times New Roman" w:cs="Times New Roman"/>
          <w:sz w:val="24"/>
          <w:szCs w:val="24"/>
        </w:rPr>
        <w:t>21st</w:t>
      </w:r>
      <w:r w:rsidRPr="00F214B0">
        <w:rPr>
          <w:rFonts w:ascii="Times New Roman" w:hAnsi="Times New Roman" w:cs="Times New Roman"/>
          <w:sz w:val="24"/>
          <w:szCs w:val="24"/>
        </w:rPr>
        <w:t xml:space="preserve"> day of </w:t>
      </w:r>
      <w:r>
        <w:rPr>
          <w:rFonts w:ascii="Times New Roman" w:hAnsi="Times New Roman" w:cs="Times New Roman"/>
          <w:sz w:val="24"/>
          <w:szCs w:val="24"/>
        </w:rPr>
        <w:t>August</w:t>
      </w:r>
      <w:r w:rsidRPr="00F214B0">
        <w:rPr>
          <w:rFonts w:ascii="Times New Roman" w:hAnsi="Times New Roman" w:cs="Times New Roman"/>
          <w:sz w:val="24"/>
          <w:szCs w:val="24"/>
        </w:rPr>
        <w:t xml:space="preserve"> 2015.</w:t>
      </w:r>
    </w:p>
    <w:p w:rsidR="00F214B0" w:rsidRPr="00F214B0" w:rsidRDefault="00F214B0" w:rsidP="00F214B0">
      <w:pPr>
        <w:spacing w:after="0" w:line="240" w:lineRule="auto"/>
        <w:rPr>
          <w:rFonts w:ascii="Times New Roman" w:hAnsi="Times New Roman" w:cs="Times New Roman"/>
          <w:sz w:val="24"/>
          <w:szCs w:val="24"/>
        </w:rPr>
      </w:pPr>
    </w:p>
    <w:p w:rsidR="00F214B0" w:rsidRPr="00F214B0" w:rsidRDefault="00F214B0" w:rsidP="00F214B0">
      <w:pPr>
        <w:tabs>
          <w:tab w:val="left" w:pos="4320"/>
        </w:tabs>
        <w:spacing w:after="0" w:line="240" w:lineRule="auto"/>
        <w:rPr>
          <w:rFonts w:ascii="Times New Roman" w:hAnsi="Times New Roman" w:cs="Times New Roman"/>
          <w:sz w:val="24"/>
          <w:szCs w:val="24"/>
        </w:rPr>
      </w:pPr>
      <w:r w:rsidRPr="00F214B0">
        <w:rPr>
          <w:rFonts w:ascii="Times New Roman" w:hAnsi="Times New Roman" w:cs="Times New Roman"/>
          <w:sz w:val="24"/>
          <w:szCs w:val="24"/>
        </w:rPr>
        <w:tab/>
      </w:r>
      <w:r w:rsidRPr="00F214B0">
        <w:rPr>
          <w:rFonts w:ascii="Times New Roman" w:hAnsi="Times New Roman" w:cs="Times New Roman"/>
          <w:i/>
          <w:sz w:val="24"/>
          <w:szCs w:val="24"/>
          <w:u w:val="single"/>
        </w:rPr>
        <w:t>/s/ Kyle L. Kern</w:t>
      </w:r>
      <w:r w:rsidRPr="00F214B0">
        <w:rPr>
          <w:rFonts w:ascii="Times New Roman" w:hAnsi="Times New Roman" w:cs="Times New Roman"/>
          <w:sz w:val="24"/>
          <w:szCs w:val="24"/>
        </w:rPr>
        <w:t>______________</w:t>
      </w:r>
    </w:p>
    <w:p w:rsidR="00F214B0" w:rsidRPr="00F214B0" w:rsidRDefault="00F214B0" w:rsidP="00F214B0">
      <w:pPr>
        <w:tabs>
          <w:tab w:val="left" w:pos="4320"/>
        </w:tabs>
        <w:spacing w:after="0" w:line="240" w:lineRule="auto"/>
        <w:rPr>
          <w:rFonts w:ascii="Times New Roman" w:hAnsi="Times New Roman" w:cs="Times New Roman"/>
          <w:sz w:val="24"/>
          <w:szCs w:val="24"/>
        </w:rPr>
      </w:pPr>
      <w:r w:rsidRPr="00F214B0">
        <w:rPr>
          <w:rFonts w:ascii="Times New Roman" w:hAnsi="Times New Roman" w:cs="Times New Roman"/>
          <w:sz w:val="24"/>
          <w:szCs w:val="24"/>
        </w:rPr>
        <w:tab/>
        <w:t>Kyle L. Kern</w:t>
      </w:r>
    </w:p>
    <w:p w:rsidR="00F214B0" w:rsidRPr="00F214B0" w:rsidRDefault="00F214B0" w:rsidP="00F214B0">
      <w:pPr>
        <w:tabs>
          <w:tab w:val="left" w:pos="4320"/>
        </w:tabs>
        <w:spacing w:after="0" w:line="240" w:lineRule="auto"/>
        <w:rPr>
          <w:rFonts w:ascii="Times New Roman" w:hAnsi="Times New Roman" w:cs="Times New Roman"/>
          <w:sz w:val="24"/>
          <w:szCs w:val="24"/>
        </w:rPr>
      </w:pPr>
      <w:r w:rsidRPr="00F214B0">
        <w:rPr>
          <w:rFonts w:ascii="Times New Roman" w:hAnsi="Times New Roman" w:cs="Times New Roman"/>
          <w:sz w:val="24"/>
          <w:szCs w:val="24"/>
        </w:rPr>
        <w:tab/>
        <w:t>Assistant Consumers’ Counsel</w:t>
      </w:r>
    </w:p>
    <w:p w:rsidR="00F214B0" w:rsidRPr="00F214B0" w:rsidRDefault="00F214B0" w:rsidP="00F214B0">
      <w:pPr>
        <w:pStyle w:val="CommentSubject"/>
        <w:spacing w:after="0"/>
        <w:rPr>
          <w:rFonts w:ascii="Times New Roman" w:hAnsi="Times New Roman" w:cs="Times New Roman"/>
          <w:sz w:val="24"/>
          <w:szCs w:val="24"/>
        </w:rPr>
      </w:pPr>
    </w:p>
    <w:p w:rsidR="00F214B0" w:rsidRPr="00F214B0" w:rsidRDefault="00F214B0" w:rsidP="00F214B0">
      <w:pPr>
        <w:pStyle w:val="CommentText"/>
        <w:spacing w:after="0"/>
        <w:rPr>
          <w:rFonts w:ascii="Times New Roman" w:hAnsi="Times New Roman" w:cs="Times New Roman"/>
          <w:sz w:val="24"/>
          <w:szCs w:val="24"/>
        </w:rPr>
      </w:pPr>
    </w:p>
    <w:p w:rsidR="00F214B0" w:rsidRPr="00F214B0" w:rsidRDefault="00F214B0" w:rsidP="00F214B0">
      <w:pPr>
        <w:pStyle w:val="CommentText"/>
        <w:spacing w:after="0"/>
        <w:jc w:val="center"/>
        <w:rPr>
          <w:rFonts w:ascii="Times New Roman" w:hAnsi="Times New Roman" w:cs="Times New Roman"/>
          <w:b/>
          <w:sz w:val="24"/>
          <w:szCs w:val="24"/>
          <w:u w:val="single"/>
        </w:rPr>
      </w:pPr>
      <w:r w:rsidRPr="00F214B0">
        <w:rPr>
          <w:rFonts w:ascii="Times New Roman" w:hAnsi="Times New Roman" w:cs="Times New Roman"/>
          <w:b/>
          <w:sz w:val="24"/>
          <w:szCs w:val="24"/>
          <w:u w:val="single"/>
        </w:rPr>
        <w:t>SERVICE LIST</w:t>
      </w:r>
    </w:p>
    <w:p w:rsidR="00F214B0" w:rsidRPr="00F214B0" w:rsidRDefault="00F214B0" w:rsidP="00F214B0">
      <w:pPr>
        <w:pStyle w:val="CommentText"/>
        <w:spacing w:after="0"/>
        <w:jc w:val="center"/>
        <w:rPr>
          <w:rFonts w:ascii="Times New Roman" w:hAnsi="Times New Roman" w:cs="Times New Roman"/>
          <w:b/>
          <w:sz w:val="24"/>
          <w:szCs w:val="24"/>
          <w:u w:val="single"/>
        </w:rPr>
      </w:pPr>
    </w:p>
    <w:tbl>
      <w:tblPr>
        <w:tblW w:w="0" w:type="auto"/>
        <w:tblLook w:val="04A0" w:firstRow="1" w:lastRow="0" w:firstColumn="1" w:lastColumn="0" w:noHBand="0" w:noVBand="1"/>
      </w:tblPr>
      <w:tblGrid>
        <w:gridCol w:w="4428"/>
        <w:gridCol w:w="4428"/>
      </w:tblGrid>
      <w:tr w:rsidR="00F214B0" w:rsidRPr="00F214B0" w:rsidTr="00D80ABE">
        <w:tc>
          <w:tcPr>
            <w:tcW w:w="4428" w:type="dxa"/>
            <w:shd w:val="clear" w:color="auto" w:fill="auto"/>
          </w:tcPr>
          <w:p w:rsidR="00F214B0" w:rsidRPr="00F214B0" w:rsidRDefault="00ED573D" w:rsidP="00F214B0">
            <w:pPr>
              <w:autoSpaceDE w:val="0"/>
              <w:autoSpaceDN w:val="0"/>
              <w:adjustRightInd w:val="0"/>
              <w:spacing w:after="0" w:line="240" w:lineRule="auto"/>
              <w:rPr>
                <w:rFonts w:ascii="Times New Roman" w:hAnsi="Times New Roman" w:cs="Times New Roman"/>
                <w:bCs/>
                <w:sz w:val="24"/>
                <w:szCs w:val="24"/>
              </w:rPr>
            </w:pPr>
            <w:hyperlink r:id="rId20" w:history="1">
              <w:r w:rsidR="00F214B0" w:rsidRPr="00F214B0">
                <w:rPr>
                  <w:rStyle w:val="Hyperlink"/>
                  <w:rFonts w:ascii="Times New Roman" w:hAnsi="Times New Roman" w:cs="Times New Roman"/>
                  <w:bCs/>
                  <w:sz w:val="24"/>
                  <w:szCs w:val="24"/>
                </w:rPr>
                <w:t>Katie.johnson@puc.state.oh.us</w:t>
              </w:r>
            </w:hyperlink>
          </w:p>
          <w:p w:rsidR="00F214B0" w:rsidRPr="00F214B0" w:rsidRDefault="00ED573D" w:rsidP="00F214B0">
            <w:pPr>
              <w:pStyle w:val="CommentText"/>
              <w:spacing w:after="0"/>
              <w:rPr>
                <w:rFonts w:ascii="Times New Roman" w:hAnsi="Times New Roman" w:cs="Times New Roman"/>
                <w:bCs/>
                <w:sz w:val="24"/>
                <w:szCs w:val="24"/>
              </w:rPr>
            </w:pPr>
            <w:hyperlink r:id="rId21" w:history="1">
              <w:r w:rsidR="00F214B0" w:rsidRPr="00F214B0">
                <w:rPr>
                  <w:rStyle w:val="Hyperlink"/>
                  <w:rFonts w:ascii="Times New Roman" w:hAnsi="Times New Roman" w:cs="Times New Roman"/>
                  <w:bCs/>
                  <w:sz w:val="24"/>
                  <w:szCs w:val="24"/>
                </w:rPr>
                <w:t>John.jones@puc.state.oh.us</w:t>
              </w:r>
            </w:hyperlink>
          </w:p>
          <w:p w:rsidR="00F214B0" w:rsidRPr="00F214B0" w:rsidRDefault="00ED573D" w:rsidP="00F214B0">
            <w:pPr>
              <w:spacing w:after="0" w:line="240" w:lineRule="auto"/>
              <w:rPr>
                <w:rFonts w:ascii="Times New Roman" w:hAnsi="Times New Roman" w:cs="Times New Roman"/>
                <w:sz w:val="24"/>
                <w:szCs w:val="24"/>
              </w:rPr>
            </w:pPr>
            <w:hyperlink r:id="rId22" w:history="1">
              <w:r w:rsidR="00F214B0" w:rsidRPr="00F214B0">
                <w:rPr>
                  <w:rStyle w:val="Hyperlink"/>
                  <w:rFonts w:ascii="Times New Roman" w:hAnsi="Times New Roman" w:cs="Times New Roman"/>
                  <w:sz w:val="24"/>
                  <w:szCs w:val="24"/>
                </w:rPr>
                <w:t>drinebolt@ohiopartners.org</w:t>
              </w:r>
            </w:hyperlink>
          </w:p>
          <w:p w:rsidR="00F214B0" w:rsidRPr="00F214B0" w:rsidRDefault="00ED573D" w:rsidP="00F214B0">
            <w:pPr>
              <w:spacing w:after="0" w:line="240" w:lineRule="auto"/>
              <w:rPr>
                <w:rStyle w:val="Hyperlink"/>
                <w:rFonts w:ascii="Times New Roman" w:hAnsi="Times New Roman" w:cs="Times New Roman"/>
                <w:sz w:val="24"/>
                <w:szCs w:val="24"/>
              </w:rPr>
            </w:pPr>
            <w:hyperlink r:id="rId23" w:history="1">
              <w:r w:rsidR="00F214B0" w:rsidRPr="00F214B0">
                <w:rPr>
                  <w:rStyle w:val="Hyperlink"/>
                  <w:rFonts w:ascii="Times New Roman" w:hAnsi="Times New Roman" w:cs="Times New Roman"/>
                  <w:sz w:val="24"/>
                  <w:szCs w:val="24"/>
                </w:rPr>
                <w:t>cmooney@ohiopartners.org</w:t>
              </w:r>
            </w:hyperlink>
          </w:p>
          <w:p w:rsidR="00F214B0" w:rsidRPr="00F214B0" w:rsidRDefault="00ED573D" w:rsidP="00F214B0">
            <w:pPr>
              <w:spacing w:after="0" w:line="240" w:lineRule="auto"/>
              <w:rPr>
                <w:rStyle w:val="Hyperlink"/>
                <w:rFonts w:ascii="Times New Roman" w:hAnsi="Times New Roman" w:cs="Times New Roman"/>
                <w:sz w:val="24"/>
                <w:szCs w:val="24"/>
              </w:rPr>
            </w:pPr>
            <w:hyperlink r:id="rId24" w:history="1">
              <w:r w:rsidR="00F214B0" w:rsidRPr="00F214B0">
                <w:rPr>
                  <w:rStyle w:val="Hyperlink"/>
                  <w:rFonts w:ascii="Times New Roman" w:hAnsi="Times New Roman" w:cs="Times New Roman"/>
                  <w:sz w:val="24"/>
                  <w:szCs w:val="24"/>
                </w:rPr>
                <w:t>asonderman@keglerbrown.cocm</w:t>
              </w:r>
            </w:hyperlink>
          </w:p>
          <w:p w:rsidR="00F214B0" w:rsidRPr="00F214B0" w:rsidRDefault="00ED573D" w:rsidP="00F214B0">
            <w:pPr>
              <w:spacing w:after="0" w:line="240" w:lineRule="auto"/>
              <w:rPr>
                <w:rStyle w:val="Hyperlink"/>
                <w:rFonts w:ascii="Times New Roman" w:hAnsi="Times New Roman" w:cs="Times New Roman"/>
                <w:sz w:val="24"/>
                <w:szCs w:val="24"/>
              </w:rPr>
            </w:pPr>
            <w:hyperlink r:id="rId25" w:history="1">
              <w:r w:rsidR="00F214B0" w:rsidRPr="00F214B0">
                <w:rPr>
                  <w:rStyle w:val="Hyperlink"/>
                  <w:rFonts w:ascii="Times New Roman" w:hAnsi="Times New Roman" w:cs="Times New Roman"/>
                  <w:sz w:val="24"/>
                  <w:szCs w:val="24"/>
                </w:rPr>
                <w:t>mkimbrough@keglerbrown.com</w:t>
              </w:r>
            </w:hyperlink>
          </w:p>
          <w:p w:rsidR="00F214B0" w:rsidRPr="00F214B0" w:rsidRDefault="00ED573D" w:rsidP="00F214B0">
            <w:pPr>
              <w:spacing w:after="0" w:line="240" w:lineRule="auto"/>
              <w:rPr>
                <w:rFonts w:ascii="Times New Roman" w:hAnsi="Times New Roman" w:cs="Times New Roman"/>
                <w:sz w:val="24"/>
                <w:szCs w:val="24"/>
              </w:rPr>
            </w:pPr>
            <w:hyperlink r:id="rId26" w:history="1">
              <w:r w:rsidR="00F214B0" w:rsidRPr="00F214B0">
                <w:rPr>
                  <w:rStyle w:val="Hyperlink"/>
                  <w:rFonts w:ascii="Times New Roman" w:hAnsi="Times New Roman" w:cs="Times New Roman"/>
                  <w:sz w:val="24"/>
                  <w:szCs w:val="24"/>
                </w:rPr>
                <w:t>hussey@carpenterlipps.com</w:t>
              </w:r>
            </w:hyperlink>
          </w:p>
          <w:p w:rsidR="00F214B0" w:rsidRPr="00F214B0" w:rsidRDefault="00ED573D" w:rsidP="00F214B0">
            <w:pPr>
              <w:spacing w:after="0" w:line="240" w:lineRule="auto"/>
              <w:rPr>
                <w:rFonts w:ascii="Times New Roman" w:eastAsia="Calibri" w:hAnsi="Times New Roman" w:cs="Times New Roman"/>
                <w:sz w:val="24"/>
                <w:szCs w:val="24"/>
              </w:rPr>
            </w:pPr>
            <w:hyperlink r:id="rId27" w:history="1">
              <w:r w:rsidR="00F214B0" w:rsidRPr="00F214B0">
                <w:rPr>
                  <w:rStyle w:val="Hyperlink"/>
                  <w:rFonts w:ascii="Times New Roman" w:eastAsia="Calibri" w:hAnsi="Times New Roman" w:cs="Times New Roman"/>
                  <w:sz w:val="24"/>
                  <w:szCs w:val="24"/>
                </w:rPr>
                <w:t>jvickers@elpc.org</w:t>
              </w:r>
            </w:hyperlink>
          </w:p>
          <w:p w:rsidR="00F214B0" w:rsidRPr="00F214B0" w:rsidRDefault="00ED573D" w:rsidP="00F214B0">
            <w:pPr>
              <w:spacing w:after="0" w:line="240" w:lineRule="auto"/>
              <w:rPr>
                <w:rFonts w:ascii="Times New Roman" w:eastAsia="Calibri" w:hAnsi="Times New Roman" w:cs="Times New Roman"/>
                <w:color w:val="0000FF"/>
                <w:sz w:val="24"/>
                <w:szCs w:val="24"/>
              </w:rPr>
            </w:pPr>
            <w:hyperlink r:id="rId28" w:history="1">
              <w:r w:rsidR="00F214B0" w:rsidRPr="00F214B0">
                <w:rPr>
                  <w:rStyle w:val="Hyperlink"/>
                  <w:rFonts w:ascii="Times New Roman" w:eastAsia="Calibri" w:hAnsi="Times New Roman" w:cs="Times New Roman"/>
                  <w:sz w:val="24"/>
                  <w:szCs w:val="24"/>
                </w:rPr>
                <w:t>swilliams@nrdc.org</w:t>
              </w:r>
            </w:hyperlink>
          </w:p>
          <w:p w:rsidR="00F214B0" w:rsidRPr="00F214B0" w:rsidRDefault="00F214B0" w:rsidP="00F214B0">
            <w:pPr>
              <w:spacing w:after="0" w:line="240" w:lineRule="auto"/>
              <w:rPr>
                <w:rFonts w:ascii="Times New Roman" w:eastAsia="Calibri" w:hAnsi="Times New Roman" w:cs="Times New Roman"/>
                <w:sz w:val="24"/>
                <w:szCs w:val="24"/>
              </w:rPr>
            </w:pPr>
          </w:p>
          <w:p w:rsidR="00F214B0" w:rsidRPr="00F214B0" w:rsidRDefault="00F214B0" w:rsidP="00F214B0">
            <w:pPr>
              <w:spacing w:after="0" w:line="240" w:lineRule="auto"/>
              <w:rPr>
                <w:rFonts w:ascii="Times New Roman" w:hAnsi="Times New Roman" w:cs="Times New Roman"/>
                <w:sz w:val="24"/>
                <w:szCs w:val="24"/>
              </w:rPr>
            </w:pPr>
          </w:p>
          <w:p w:rsidR="00F214B0" w:rsidRPr="00F214B0" w:rsidRDefault="00F214B0" w:rsidP="00F214B0">
            <w:pPr>
              <w:spacing w:after="0" w:line="240" w:lineRule="auto"/>
              <w:rPr>
                <w:rFonts w:ascii="Times New Roman" w:hAnsi="Times New Roman" w:cs="Times New Roman"/>
                <w:sz w:val="24"/>
                <w:szCs w:val="24"/>
              </w:rPr>
            </w:pPr>
            <w:r w:rsidRPr="00F214B0">
              <w:rPr>
                <w:rFonts w:ascii="Times New Roman" w:hAnsi="Times New Roman" w:cs="Times New Roman"/>
                <w:sz w:val="24"/>
                <w:szCs w:val="24"/>
              </w:rPr>
              <w:t>Attorney Examiners:</w:t>
            </w:r>
          </w:p>
          <w:p w:rsidR="00F214B0" w:rsidRPr="00F214B0" w:rsidRDefault="00F214B0" w:rsidP="00F214B0">
            <w:pPr>
              <w:spacing w:after="0" w:line="240" w:lineRule="auto"/>
              <w:rPr>
                <w:rFonts w:ascii="Times New Roman" w:hAnsi="Times New Roman" w:cs="Times New Roman"/>
                <w:sz w:val="24"/>
                <w:szCs w:val="24"/>
              </w:rPr>
            </w:pPr>
          </w:p>
          <w:p w:rsidR="00F214B0" w:rsidRPr="00F214B0" w:rsidRDefault="00ED573D" w:rsidP="00F214B0">
            <w:pPr>
              <w:spacing w:after="0" w:line="240" w:lineRule="auto"/>
              <w:rPr>
                <w:rFonts w:ascii="Times New Roman" w:hAnsi="Times New Roman" w:cs="Times New Roman"/>
                <w:sz w:val="24"/>
                <w:szCs w:val="24"/>
              </w:rPr>
            </w:pPr>
            <w:hyperlink r:id="rId29" w:history="1">
              <w:r w:rsidR="00F214B0" w:rsidRPr="00F214B0">
                <w:rPr>
                  <w:rStyle w:val="Hyperlink"/>
                  <w:rFonts w:ascii="Times New Roman" w:hAnsi="Times New Roman" w:cs="Times New Roman"/>
                  <w:sz w:val="24"/>
                  <w:szCs w:val="24"/>
                </w:rPr>
                <w:t>Christine.pirik@puc.state.oh.us</w:t>
              </w:r>
            </w:hyperlink>
          </w:p>
          <w:p w:rsidR="00F214B0" w:rsidRPr="00F214B0" w:rsidRDefault="00ED573D" w:rsidP="00F214B0">
            <w:pPr>
              <w:spacing w:after="0" w:line="240" w:lineRule="auto"/>
              <w:rPr>
                <w:rFonts w:ascii="Times New Roman" w:hAnsi="Times New Roman" w:cs="Times New Roman"/>
                <w:sz w:val="24"/>
                <w:szCs w:val="24"/>
              </w:rPr>
            </w:pPr>
            <w:hyperlink r:id="rId30" w:history="1">
              <w:r w:rsidR="00F214B0" w:rsidRPr="00F214B0">
                <w:rPr>
                  <w:rStyle w:val="Hyperlink"/>
                  <w:rFonts w:ascii="Times New Roman" w:hAnsi="Times New Roman" w:cs="Times New Roman"/>
                  <w:sz w:val="24"/>
                  <w:szCs w:val="24"/>
                </w:rPr>
                <w:t>Nicholas.walstra@puc.state.oh.us</w:t>
              </w:r>
            </w:hyperlink>
          </w:p>
          <w:p w:rsidR="00F214B0" w:rsidRPr="00F214B0" w:rsidRDefault="00F214B0" w:rsidP="00F214B0">
            <w:pPr>
              <w:spacing w:after="0" w:line="240" w:lineRule="auto"/>
              <w:rPr>
                <w:rFonts w:ascii="Times New Roman" w:hAnsi="Times New Roman" w:cs="Times New Roman"/>
                <w:sz w:val="24"/>
                <w:szCs w:val="24"/>
              </w:rPr>
            </w:pPr>
          </w:p>
          <w:p w:rsidR="00F214B0" w:rsidRPr="00F214B0" w:rsidRDefault="00F214B0" w:rsidP="00F214B0">
            <w:pPr>
              <w:pStyle w:val="CommentText"/>
              <w:spacing w:after="0"/>
              <w:rPr>
                <w:rFonts w:ascii="Times New Roman" w:hAnsi="Times New Roman" w:cs="Times New Roman"/>
                <w:b/>
                <w:sz w:val="24"/>
                <w:szCs w:val="24"/>
                <w:u w:val="single"/>
              </w:rPr>
            </w:pPr>
          </w:p>
        </w:tc>
        <w:tc>
          <w:tcPr>
            <w:tcW w:w="4428" w:type="dxa"/>
            <w:shd w:val="clear" w:color="auto" w:fill="auto"/>
          </w:tcPr>
          <w:p w:rsidR="00F214B0" w:rsidRPr="00F214B0" w:rsidRDefault="00ED573D" w:rsidP="00F214B0">
            <w:pPr>
              <w:pStyle w:val="BodyText"/>
              <w:rPr>
                <w:szCs w:val="24"/>
              </w:rPr>
            </w:pPr>
            <w:hyperlink r:id="rId31" w:history="1">
              <w:r w:rsidR="00F214B0" w:rsidRPr="00F214B0">
                <w:rPr>
                  <w:rStyle w:val="Hyperlink"/>
                  <w:szCs w:val="24"/>
                </w:rPr>
                <w:t>Amy.Spiller@duke-energy.com</w:t>
              </w:r>
            </w:hyperlink>
          </w:p>
          <w:p w:rsidR="00F214B0" w:rsidRPr="00F214B0" w:rsidRDefault="00ED573D" w:rsidP="00F214B0">
            <w:pPr>
              <w:pStyle w:val="BodyText"/>
              <w:rPr>
                <w:rStyle w:val="Hyperlink"/>
                <w:szCs w:val="24"/>
              </w:rPr>
            </w:pPr>
            <w:hyperlink r:id="rId32" w:history="1">
              <w:r w:rsidR="00F214B0" w:rsidRPr="00F214B0">
                <w:rPr>
                  <w:rStyle w:val="Hyperlink"/>
                  <w:szCs w:val="24"/>
                </w:rPr>
                <w:t>Elizabeth.watts@duke-energy.com</w:t>
              </w:r>
            </w:hyperlink>
          </w:p>
          <w:p w:rsidR="00F214B0" w:rsidRPr="00F214B0" w:rsidRDefault="00ED573D" w:rsidP="00F214B0">
            <w:pPr>
              <w:pStyle w:val="BodyText"/>
              <w:rPr>
                <w:rFonts w:eastAsia="Calibri"/>
                <w:szCs w:val="24"/>
              </w:rPr>
            </w:pPr>
            <w:hyperlink r:id="rId33" w:history="1">
              <w:r w:rsidR="00F214B0" w:rsidRPr="00F214B0">
                <w:rPr>
                  <w:rStyle w:val="Hyperlink"/>
                  <w:rFonts w:eastAsia="Calibri"/>
                  <w:szCs w:val="24"/>
                </w:rPr>
                <w:t>mpritchard@mwncmh.com</w:t>
              </w:r>
            </w:hyperlink>
          </w:p>
          <w:p w:rsidR="00F214B0" w:rsidRPr="00F214B0" w:rsidRDefault="00ED573D" w:rsidP="00F214B0">
            <w:pPr>
              <w:pStyle w:val="BodyText"/>
              <w:rPr>
                <w:rFonts w:eastAsia="Calibri"/>
                <w:szCs w:val="24"/>
              </w:rPr>
            </w:pPr>
            <w:hyperlink r:id="rId34" w:history="1">
              <w:r w:rsidR="00F214B0" w:rsidRPr="00F214B0">
                <w:rPr>
                  <w:rStyle w:val="Hyperlink"/>
                  <w:rFonts w:eastAsia="Calibri"/>
                  <w:szCs w:val="24"/>
                </w:rPr>
                <w:t>Bojko@carpenterlipps.com</w:t>
              </w:r>
            </w:hyperlink>
          </w:p>
          <w:p w:rsidR="00F214B0" w:rsidRPr="00F214B0" w:rsidRDefault="00ED573D" w:rsidP="00F214B0">
            <w:pPr>
              <w:autoSpaceDE w:val="0"/>
              <w:autoSpaceDN w:val="0"/>
              <w:adjustRightInd w:val="0"/>
              <w:spacing w:after="0" w:line="240" w:lineRule="auto"/>
              <w:rPr>
                <w:rFonts w:ascii="Times New Roman" w:eastAsia="Calibri" w:hAnsi="Times New Roman" w:cs="Times New Roman"/>
                <w:color w:val="686868"/>
                <w:sz w:val="24"/>
                <w:szCs w:val="24"/>
              </w:rPr>
            </w:pPr>
            <w:hyperlink r:id="rId35" w:history="1">
              <w:r w:rsidR="00F214B0" w:rsidRPr="00F214B0">
                <w:rPr>
                  <w:rStyle w:val="Hyperlink"/>
                  <w:rFonts w:ascii="Times New Roman" w:eastAsia="Calibri" w:hAnsi="Times New Roman" w:cs="Times New Roman"/>
                  <w:sz w:val="24"/>
                  <w:szCs w:val="24"/>
                </w:rPr>
                <w:t>dboehm@BKLlawfirm.com</w:t>
              </w:r>
            </w:hyperlink>
          </w:p>
          <w:p w:rsidR="00F214B0" w:rsidRPr="00F214B0" w:rsidRDefault="00ED573D" w:rsidP="00F214B0">
            <w:pPr>
              <w:autoSpaceDE w:val="0"/>
              <w:autoSpaceDN w:val="0"/>
              <w:adjustRightInd w:val="0"/>
              <w:spacing w:after="0" w:line="240" w:lineRule="auto"/>
              <w:rPr>
                <w:rFonts w:ascii="Times New Roman" w:eastAsia="Calibri" w:hAnsi="Times New Roman" w:cs="Times New Roman"/>
                <w:color w:val="686868"/>
                <w:sz w:val="24"/>
                <w:szCs w:val="24"/>
              </w:rPr>
            </w:pPr>
            <w:hyperlink r:id="rId36" w:history="1">
              <w:r w:rsidR="00F214B0" w:rsidRPr="00F214B0">
                <w:rPr>
                  <w:rStyle w:val="Hyperlink"/>
                  <w:rFonts w:ascii="Times New Roman" w:eastAsia="Calibri" w:hAnsi="Times New Roman" w:cs="Times New Roman"/>
                  <w:sz w:val="24"/>
                  <w:szCs w:val="24"/>
                </w:rPr>
                <w:t>mkurtz@BKLlawfirm.com</w:t>
              </w:r>
            </w:hyperlink>
          </w:p>
          <w:p w:rsidR="00F214B0" w:rsidRPr="00F214B0" w:rsidRDefault="00ED573D" w:rsidP="00F214B0">
            <w:pPr>
              <w:autoSpaceDE w:val="0"/>
              <w:autoSpaceDN w:val="0"/>
              <w:adjustRightInd w:val="0"/>
              <w:spacing w:after="0" w:line="240" w:lineRule="auto"/>
              <w:rPr>
                <w:rFonts w:ascii="Times New Roman" w:eastAsia="Calibri" w:hAnsi="Times New Roman" w:cs="Times New Roman"/>
                <w:color w:val="686868"/>
                <w:sz w:val="24"/>
                <w:szCs w:val="24"/>
              </w:rPr>
            </w:pPr>
            <w:hyperlink r:id="rId37" w:history="1">
              <w:r w:rsidR="00F214B0" w:rsidRPr="00F214B0">
                <w:rPr>
                  <w:rStyle w:val="Hyperlink"/>
                  <w:rFonts w:ascii="Times New Roman" w:eastAsia="Calibri" w:hAnsi="Times New Roman" w:cs="Times New Roman"/>
                  <w:sz w:val="24"/>
                  <w:szCs w:val="24"/>
                </w:rPr>
                <w:t>jkylercohn@BKLlawfirm.com</w:t>
              </w:r>
            </w:hyperlink>
          </w:p>
          <w:p w:rsidR="00F214B0" w:rsidRPr="00F214B0" w:rsidRDefault="00ED573D" w:rsidP="00F214B0">
            <w:pPr>
              <w:pStyle w:val="BodyText"/>
              <w:rPr>
                <w:rFonts w:eastAsia="Calibri"/>
                <w:iCs/>
                <w:szCs w:val="24"/>
              </w:rPr>
            </w:pPr>
            <w:hyperlink r:id="rId38" w:history="1">
              <w:r w:rsidR="00F214B0" w:rsidRPr="00F214B0">
                <w:rPr>
                  <w:rStyle w:val="Hyperlink"/>
                  <w:rFonts w:eastAsia="Calibri"/>
                  <w:iCs/>
                  <w:szCs w:val="24"/>
                </w:rPr>
                <w:t>TDougherty@theOEC.org</w:t>
              </w:r>
            </w:hyperlink>
          </w:p>
          <w:p w:rsidR="00F214B0" w:rsidRPr="00F214B0" w:rsidRDefault="00F214B0" w:rsidP="00F214B0">
            <w:pPr>
              <w:pStyle w:val="BodyText"/>
              <w:rPr>
                <w:szCs w:val="24"/>
              </w:rPr>
            </w:pPr>
          </w:p>
          <w:p w:rsidR="00F214B0" w:rsidRPr="00F214B0" w:rsidRDefault="00F214B0" w:rsidP="00F214B0">
            <w:pPr>
              <w:pStyle w:val="CommentText"/>
              <w:spacing w:after="0"/>
              <w:jc w:val="center"/>
              <w:rPr>
                <w:rFonts w:ascii="Times New Roman" w:hAnsi="Times New Roman" w:cs="Times New Roman"/>
                <w:b/>
                <w:sz w:val="24"/>
                <w:szCs w:val="24"/>
                <w:u w:val="single"/>
              </w:rPr>
            </w:pPr>
          </w:p>
        </w:tc>
      </w:tr>
    </w:tbl>
    <w:p w:rsidR="00F214B0" w:rsidRPr="00F214B0" w:rsidRDefault="00F214B0" w:rsidP="00F214B0">
      <w:pPr>
        <w:pStyle w:val="CommentText"/>
        <w:spacing w:after="0"/>
        <w:jc w:val="center"/>
        <w:rPr>
          <w:rFonts w:ascii="Times New Roman" w:hAnsi="Times New Roman" w:cs="Times New Roman"/>
          <w:b/>
          <w:sz w:val="24"/>
          <w:szCs w:val="24"/>
          <w:u w:val="single"/>
        </w:rPr>
      </w:pPr>
    </w:p>
    <w:p w:rsidR="00F214B0" w:rsidRPr="00F214B0" w:rsidRDefault="00F214B0" w:rsidP="00F214B0">
      <w:pPr>
        <w:pStyle w:val="ListParagraph"/>
        <w:autoSpaceDE w:val="0"/>
        <w:autoSpaceDN w:val="0"/>
        <w:adjustRightInd w:val="0"/>
        <w:spacing w:after="0" w:line="240" w:lineRule="auto"/>
        <w:ind w:left="1800"/>
        <w:rPr>
          <w:rFonts w:ascii="Times New Roman" w:hAnsi="Times New Roman" w:cs="Times New Roman"/>
          <w:b/>
          <w:sz w:val="24"/>
          <w:szCs w:val="24"/>
        </w:rPr>
      </w:pPr>
    </w:p>
    <w:sectPr w:rsidR="00F214B0" w:rsidRPr="00F214B0" w:rsidSect="008C1F4E">
      <w:headerReference w:type="default" r:id="rId39"/>
      <w:footerReference w:type="default" r:id="rId4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EE" w:rsidRDefault="00D272EE" w:rsidP="006B7692">
      <w:pPr>
        <w:spacing w:after="0" w:line="240" w:lineRule="auto"/>
      </w:pPr>
      <w:r>
        <w:separator/>
      </w:r>
    </w:p>
  </w:endnote>
  <w:endnote w:type="continuationSeparator" w:id="0">
    <w:p w:rsidR="00D272EE" w:rsidRDefault="00D272EE" w:rsidP="006B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60" w:rsidRDefault="005D7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18" w:rsidRDefault="00481218">
    <w:pPr>
      <w:pStyle w:val="Footer"/>
      <w:jc w:val="center"/>
    </w:pPr>
  </w:p>
  <w:p w:rsidR="00481218" w:rsidRPr="00AF2FBC" w:rsidRDefault="00481218">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60" w:rsidRDefault="005D7C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34813"/>
      <w:docPartObj>
        <w:docPartGallery w:val="Page Numbers (Bottom of Page)"/>
        <w:docPartUnique/>
      </w:docPartObj>
    </w:sdtPr>
    <w:sdtEndPr>
      <w:rPr>
        <w:noProof/>
      </w:rPr>
    </w:sdtEndPr>
    <w:sdtContent>
      <w:p w:rsidR="00481218" w:rsidRDefault="00481218">
        <w:pPr>
          <w:pStyle w:val="Footer"/>
          <w:jc w:val="center"/>
        </w:pPr>
        <w:r>
          <w:fldChar w:fldCharType="begin"/>
        </w:r>
        <w:r>
          <w:instrText xml:space="preserve"> PAGE   \* MERGEFORMAT </w:instrText>
        </w:r>
        <w:r>
          <w:fldChar w:fldCharType="separate"/>
        </w:r>
        <w:r w:rsidR="005D7C60">
          <w:rPr>
            <w:noProof/>
          </w:rPr>
          <w:t>i</w:t>
        </w:r>
        <w:r>
          <w:rPr>
            <w:noProof/>
          </w:rPr>
          <w:fldChar w:fldCharType="end"/>
        </w:r>
      </w:p>
    </w:sdtContent>
  </w:sdt>
  <w:p w:rsidR="00481218" w:rsidRPr="00AF2FBC" w:rsidRDefault="00481218">
    <w:pPr>
      <w:pStyle w:val="Foo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042089"/>
      <w:docPartObj>
        <w:docPartGallery w:val="Page Numbers (Bottom of Page)"/>
        <w:docPartUnique/>
      </w:docPartObj>
    </w:sdtPr>
    <w:sdtEndPr>
      <w:rPr>
        <w:rFonts w:ascii="Times New Roman" w:hAnsi="Times New Roman" w:cs="Times New Roman"/>
        <w:noProof/>
      </w:rPr>
    </w:sdtEndPr>
    <w:sdtContent>
      <w:p w:rsidR="00481218" w:rsidRPr="006511FC" w:rsidRDefault="00481218">
        <w:pPr>
          <w:pStyle w:val="Footer"/>
          <w:jc w:val="center"/>
          <w:rPr>
            <w:rFonts w:ascii="Times New Roman" w:hAnsi="Times New Roman" w:cs="Times New Roman"/>
          </w:rPr>
        </w:pPr>
        <w:r w:rsidRPr="006511FC">
          <w:rPr>
            <w:rFonts w:ascii="Times New Roman" w:hAnsi="Times New Roman" w:cs="Times New Roman"/>
          </w:rPr>
          <w:fldChar w:fldCharType="begin"/>
        </w:r>
        <w:r w:rsidRPr="006511FC">
          <w:rPr>
            <w:rFonts w:ascii="Times New Roman" w:hAnsi="Times New Roman" w:cs="Times New Roman"/>
          </w:rPr>
          <w:instrText xml:space="preserve"> PAGE   \* MERGEFORMAT </w:instrText>
        </w:r>
        <w:r w:rsidRPr="006511FC">
          <w:rPr>
            <w:rFonts w:ascii="Times New Roman" w:hAnsi="Times New Roman" w:cs="Times New Roman"/>
          </w:rPr>
          <w:fldChar w:fldCharType="separate"/>
        </w:r>
        <w:r w:rsidR="005D7C60">
          <w:rPr>
            <w:rFonts w:ascii="Times New Roman" w:hAnsi="Times New Roman" w:cs="Times New Roman"/>
            <w:noProof/>
          </w:rPr>
          <w:t>30</w:t>
        </w:r>
        <w:r w:rsidRPr="006511FC">
          <w:rPr>
            <w:rFonts w:ascii="Times New Roman" w:hAnsi="Times New Roman" w:cs="Times New Roman"/>
            <w:noProof/>
          </w:rPr>
          <w:fldChar w:fldCharType="end"/>
        </w:r>
      </w:p>
    </w:sdtContent>
  </w:sdt>
  <w:p w:rsidR="00481218" w:rsidRPr="00AF2FBC" w:rsidRDefault="0048121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EE" w:rsidRDefault="00D272EE" w:rsidP="006B7692">
      <w:pPr>
        <w:spacing w:after="0" w:line="240" w:lineRule="auto"/>
      </w:pPr>
      <w:r>
        <w:separator/>
      </w:r>
    </w:p>
  </w:footnote>
  <w:footnote w:type="continuationSeparator" w:id="0">
    <w:p w:rsidR="00D272EE" w:rsidRDefault="00D272EE" w:rsidP="006B7692">
      <w:pPr>
        <w:spacing w:after="0" w:line="240" w:lineRule="auto"/>
      </w:pPr>
      <w:r>
        <w:continuationSeparator/>
      </w:r>
    </w:p>
  </w:footnote>
  <w:footnote w:id="1">
    <w:p w:rsidR="00481218" w:rsidRPr="009F6699" w:rsidRDefault="00481218" w:rsidP="009F6699">
      <w:pPr>
        <w:autoSpaceDE w:val="0"/>
        <w:autoSpaceDN w:val="0"/>
        <w:spacing w:after="120" w:line="240" w:lineRule="auto"/>
        <w:rPr>
          <w:rFonts w:ascii="Calibri" w:hAnsi="Calibri"/>
          <w:color w:val="1F497D"/>
          <w:sz w:val="20"/>
          <w:szCs w:val="20"/>
        </w:rPr>
      </w:pPr>
      <w:r w:rsidRPr="009F6699">
        <w:rPr>
          <w:vertAlign w:val="superscript"/>
        </w:rPr>
        <w:t>1</w:t>
      </w:r>
      <w:r>
        <w:rPr>
          <w:vertAlign w:val="superscript"/>
        </w:rPr>
        <w:t xml:space="preserve"> </w:t>
      </w:r>
      <w:r w:rsidRPr="009F6699">
        <w:rPr>
          <w:rFonts w:ascii="Times New Roman" w:hAnsi="Times New Roman"/>
          <w:i/>
          <w:iCs/>
          <w:sz w:val="20"/>
          <w:szCs w:val="20"/>
        </w:rPr>
        <w:t>In the Matter of the Application of Duke Energy Ohio, Inc. for Approval of its Energy Efficiency and</w:t>
      </w:r>
      <w:r>
        <w:rPr>
          <w:rFonts w:ascii="Times New Roman" w:hAnsi="Times New Roman"/>
          <w:i/>
          <w:iCs/>
          <w:sz w:val="20"/>
          <w:szCs w:val="20"/>
        </w:rPr>
        <w:t xml:space="preserve"> </w:t>
      </w:r>
      <w:r w:rsidRPr="009F6699">
        <w:rPr>
          <w:rFonts w:ascii="Times New Roman" w:hAnsi="Times New Roman"/>
          <w:i/>
          <w:iCs/>
          <w:sz w:val="20"/>
          <w:szCs w:val="20"/>
        </w:rPr>
        <w:t>Peak-Demand Reduction Portfolio Programs</w:t>
      </w:r>
      <w:r w:rsidRPr="009F6699">
        <w:rPr>
          <w:rFonts w:ascii="Times New Roman" w:hAnsi="Times New Roman"/>
          <w:sz w:val="20"/>
          <w:szCs w:val="20"/>
        </w:rPr>
        <w:t>, Case No. 13-431-EL-POR, Opinion and Order at 6</w:t>
      </w:r>
      <w:r>
        <w:rPr>
          <w:rFonts w:ascii="Times New Roman" w:hAnsi="Times New Roman"/>
          <w:sz w:val="20"/>
          <w:szCs w:val="20"/>
        </w:rPr>
        <w:t xml:space="preserve"> </w:t>
      </w:r>
      <w:r w:rsidRPr="009F6699">
        <w:rPr>
          <w:rFonts w:ascii="Times New Roman" w:hAnsi="Times New Roman"/>
          <w:sz w:val="20"/>
          <w:szCs w:val="20"/>
        </w:rPr>
        <w:t>(December 4, 2013).</w:t>
      </w:r>
    </w:p>
    <w:p w:rsidR="00481218" w:rsidRPr="009F6699" w:rsidRDefault="00481218">
      <w:pPr>
        <w:rPr>
          <w:vertAlign w:val="superscript"/>
        </w:rPr>
      </w:pPr>
    </w:p>
  </w:footnote>
  <w:footnote w:id="2">
    <w:p w:rsidR="00481218" w:rsidRPr="008A4FAA" w:rsidRDefault="00481218" w:rsidP="008A4FAA">
      <w:pPr>
        <w:pStyle w:val="FootnoteText"/>
        <w:spacing w:after="120"/>
        <w:rPr>
          <w:rFonts w:ascii="Times New Roman" w:hAnsi="Times New Roman" w:cs="Times New Roman"/>
          <w:highlight w:val="yellow"/>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Approval to Continue Cost Recovery Mechanism for Energy Efficiency Programs Through 2016</w:t>
      </w:r>
      <w:r w:rsidRPr="008A4FAA">
        <w:rPr>
          <w:rFonts w:ascii="Times New Roman" w:hAnsi="Times New Roman" w:cs="Times New Roman"/>
        </w:rPr>
        <w:t>, Case No. 14-1580-EL-RDR, Direct Testimony of Wilson Gonzalez at 28 (June 30, 2015) (hereinafter, “Gonzalez Direct”).</w:t>
      </w:r>
    </w:p>
  </w:footnote>
  <w:footnote w:id="3">
    <w:p w:rsidR="00481218" w:rsidRPr="008A4FAA" w:rsidRDefault="00481218" w:rsidP="008A4FAA">
      <w:pPr>
        <w:pStyle w:val="FootnoteText"/>
        <w:spacing w:after="120"/>
        <w:rPr>
          <w:rFonts w:ascii="Times New Roman" w:hAnsi="Times New Roman" w:cs="Times New Roman"/>
          <w:highlight w:val="yellow"/>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17.</w:t>
      </w:r>
    </w:p>
  </w:footnote>
  <w:footnote w:id="4">
    <w:p w:rsidR="00481218" w:rsidRPr="008A4FAA" w:rsidRDefault="00481218" w:rsidP="008A4FAA">
      <w:pPr>
        <w:pStyle w:val="FootnoteText"/>
        <w:spacing w:after="120"/>
        <w:rPr>
          <w:rFonts w:ascii="Times New Roman" w:hAnsi="Times New Roman" w:cs="Times New Roman"/>
          <w:highlight w:val="yellow"/>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21.</w:t>
      </w:r>
    </w:p>
  </w:footnote>
  <w:footnote w:id="5">
    <w:p w:rsidR="00481218" w:rsidRPr="008A4FAA" w:rsidRDefault="00481218" w:rsidP="008A4FAA">
      <w:pPr>
        <w:pStyle w:val="FootnoteText"/>
        <w:spacing w:after="120"/>
        <w:rPr>
          <w:rFonts w:ascii="Times New Roman" w:hAnsi="Times New Roman" w:cs="Times New Roman"/>
          <w:highlight w:val="yellow"/>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21.</w:t>
      </w:r>
    </w:p>
  </w:footnote>
  <w:footnote w:id="6">
    <w:p w:rsidR="00481218" w:rsidRPr="008A4FAA" w:rsidRDefault="00481218" w:rsidP="008A4FAA">
      <w:pPr>
        <w:pStyle w:val="FootnoteText"/>
        <w:spacing w:after="120"/>
        <w:rPr>
          <w:rFonts w:ascii="Times New Roman" w:hAnsi="Times New Roman" w:cs="Times New Roman"/>
          <w:highlight w:val="yellow"/>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21.</w:t>
      </w:r>
    </w:p>
  </w:footnote>
  <w:footnote w:id="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27.</w:t>
      </w:r>
    </w:p>
  </w:footnote>
  <w:footnote w:id="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Approval to Continue Cost Recovery Mechanism for Energy Efficiency Programs Through 2016</w:t>
      </w:r>
      <w:r w:rsidRPr="008A4FAA">
        <w:rPr>
          <w:rFonts w:ascii="Times New Roman" w:hAnsi="Times New Roman" w:cs="Times New Roman"/>
        </w:rPr>
        <w:t>, Case No. 14-1580-EL-RDR, Direct Testimony of Stephen Baron at 3 (June 30, 2015) (hereinafter, “Baron Direct”).</w:t>
      </w:r>
    </w:p>
  </w:footnote>
  <w:footnote w:id="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i/>
        </w:rPr>
        <w:footnoteRef/>
      </w:r>
      <w:r w:rsidRPr="008A4FAA">
        <w:rPr>
          <w:rFonts w:ascii="Times New Roman" w:hAnsi="Times New Roman" w:cs="Times New Roman"/>
          <w:i/>
        </w:rPr>
        <w:t xml:space="preserve"> In the Matter of the Application of Duke Energy Ohio, Inc. for an Energy Efficiency Cost Recovery Mechanism and for Approval of Additional Programs for Inclusion in its Existing Portfolio</w:t>
      </w:r>
      <w:r w:rsidRPr="008A4FAA">
        <w:rPr>
          <w:rFonts w:ascii="Times New Roman" w:hAnsi="Times New Roman" w:cs="Times New Roman"/>
        </w:rPr>
        <w:t>, Case No. 11-4393-EL-RDR, Application at 4 (July 20, 2011).</w:t>
      </w:r>
    </w:p>
  </w:footnote>
  <w:footnote w:id="1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27.</w:t>
      </w:r>
    </w:p>
  </w:footnote>
  <w:footnote w:id="1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Case No. 11-4393-EL-RDR, Stipulation and Recommendation at 5 (November 18, 2011).</w:t>
      </w:r>
    </w:p>
  </w:footnote>
  <w:footnote w:id="1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Gonzalez at 7.</w:t>
      </w:r>
    </w:p>
  </w:footnote>
  <w:footnote w:id="1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R.C. 4928.66</w:t>
      </w:r>
      <w:r w:rsidR="00237C65">
        <w:rPr>
          <w:rFonts w:ascii="Times New Roman" w:hAnsi="Times New Roman" w:cs="Times New Roman"/>
        </w:rPr>
        <w:t xml:space="preserve"> </w:t>
      </w:r>
      <w:r w:rsidRPr="008A4FAA">
        <w:rPr>
          <w:rFonts w:ascii="Times New Roman" w:hAnsi="Times New Roman" w:cs="Times New Roman"/>
        </w:rPr>
        <w:t>(C).</w:t>
      </w:r>
    </w:p>
  </w:footnote>
  <w:footnote w:id="1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7.</w:t>
      </w:r>
    </w:p>
  </w:footnote>
  <w:footnote w:id="1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8.</w:t>
      </w:r>
    </w:p>
  </w:footnote>
  <w:footnote w:id="1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8.</w:t>
      </w:r>
    </w:p>
  </w:footnote>
  <w:footnote w:id="1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Case No. 11-4393-EL-RDR, Stipulation at 5 (November 18, 2011).</w:t>
      </w:r>
    </w:p>
  </w:footnote>
  <w:footnote w:id="1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001A2E87" w:rsidRPr="008A4FAA">
        <w:rPr>
          <w:rFonts w:ascii="Times New Roman" w:hAnsi="Times New Roman" w:cs="Times New Roman"/>
        </w:rPr>
        <w:t>Case No. 11-4393-EL-RDR, Stipulation at 5 (November 18, 2011).</w:t>
      </w:r>
    </w:p>
  </w:footnote>
  <w:footnote w:id="1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Case No. 11-4393-EL-POR, Opinion and Order at 8 (August 15, 2012).</w:t>
      </w:r>
    </w:p>
  </w:footnote>
  <w:footnote w:id="2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Case No. 13-431-EL-POR, Stipulation at 5 (September 6, 2013).</w:t>
      </w:r>
    </w:p>
  </w:footnote>
  <w:footnote w:id="21">
    <w:p w:rsidR="00481218" w:rsidRPr="008A4FAA" w:rsidRDefault="00481218" w:rsidP="008A4FAA">
      <w:pPr>
        <w:autoSpaceDE w:val="0"/>
        <w:autoSpaceDN w:val="0"/>
        <w:adjustRightInd w:val="0"/>
        <w:spacing w:after="120" w:line="240" w:lineRule="auto"/>
        <w:rPr>
          <w:rFonts w:ascii="Times New Roman" w:hAnsi="Times New Roman" w:cs="Times New Roman"/>
          <w:i/>
          <w:iCs/>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Case No. 13-431-EL-POR, Opinion and Order at 6 (December 4, 2013).</w:t>
      </w:r>
    </w:p>
  </w:footnote>
  <w:footnote w:id="2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Approval to Continue Cost Recovery Mechanism for Energy Efficiency Programs Through 2016</w:t>
      </w:r>
      <w:r w:rsidRPr="008A4FAA">
        <w:rPr>
          <w:rFonts w:ascii="Times New Roman" w:hAnsi="Times New Roman" w:cs="Times New Roman"/>
        </w:rPr>
        <w:t>, Case No. 14-1580-EL-RDR, Application at 3 (September 9, 2014).</w:t>
      </w:r>
    </w:p>
  </w:footnote>
  <w:footnote w:id="2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Id.</w:t>
      </w:r>
    </w:p>
  </w:footnote>
  <w:footnote w:id="2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Id. at 4.</w:t>
      </w:r>
    </w:p>
  </w:footnote>
  <w:footnote w:id="2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Application at 3-4 (September 9, 2014).</w:t>
      </w:r>
    </w:p>
  </w:footnote>
  <w:footnote w:id="2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The Stipulation was signed by the EMC Development Company, Environmental Law &amp; Policy Center (“ELPC”), Greater Cincinnati Energy Alliance, the Kroger Company (“Kroger”), Natural Resources Defense Council (“NRDC”), Ohio Advanced Energy Economy, OCC, Ohio Partners for Affordable Energy (“OPAE”), Ohio Environmental Council (“OEC”)l, People Working Cooperatively, Inc., the PUCO, Staff, Sierra Club, and Vectren Retail, LLC.</w:t>
      </w:r>
    </w:p>
  </w:footnote>
  <w:footnote w:id="2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Supporting Comments were filed by ELPC, NRDC, and OEC.</w:t>
      </w:r>
    </w:p>
  </w:footnote>
  <w:footnote w:id="2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Industrial Energy Users-Ohio, Kroger, Ohio Energy Group (“OEG”), OCC, the Ohio Manufacturers’ Association (“OMA”),</w:t>
      </w:r>
      <w:r>
        <w:rPr>
          <w:rFonts w:ascii="Times New Roman" w:hAnsi="Times New Roman" w:cs="Times New Roman"/>
        </w:rPr>
        <w:t xml:space="preserve"> and</w:t>
      </w:r>
      <w:r w:rsidRPr="008A4FAA">
        <w:rPr>
          <w:rFonts w:ascii="Times New Roman" w:hAnsi="Times New Roman" w:cs="Times New Roman"/>
        </w:rPr>
        <w:t xml:space="preserve"> OPAE</w:t>
      </w:r>
      <w:r>
        <w:rPr>
          <w:rFonts w:ascii="Times New Roman" w:hAnsi="Times New Roman" w:cs="Times New Roman"/>
        </w:rPr>
        <w:t>.</w:t>
      </w:r>
    </w:p>
  </w:footnote>
  <w:footnote w:id="2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Direct Testimony opposing the Application in this case was filed by the OCC, OEG, OMA,</w:t>
      </w:r>
      <w:r>
        <w:rPr>
          <w:rFonts w:ascii="Times New Roman" w:hAnsi="Times New Roman" w:cs="Times New Roman"/>
        </w:rPr>
        <w:t xml:space="preserve"> and the PUCO Staff.</w:t>
      </w:r>
    </w:p>
  </w:footnote>
  <w:footnote w:id="3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Case No. 14-1580-EL-RDR, Hearing Transcript at pp. 119, 122 (For purposes of 2016, “[w]e are starting with a clean page, you know”).</w:t>
      </w:r>
    </w:p>
  </w:footnote>
  <w:footnote w:id="3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Case No. 14-1580-EL-RDR, Hearing Transcript at p. 11.</w:t>
      </w:r>
    </w:p>
  </w:footnote>
  <w:footnote w:id="3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Ohio Admin. Code 4901:1-39-07 (emphasis added).</w:t>
      </w:r>
    </w:p>
  </w:footnote>
  <w:footnote w:id="3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27.</w:t>
      </w:r>
    </w:p>
  </w:footnote>
  <w:footnote w:id="3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28.</w:t>
      </w:r>
    </w:p>
  </w:footnote>
  <w:footnote w:id="35">
    <w:p w:rsidR="00481218" w:rsidRPr="008A4FAA" w:rsidRDefault="00481218" w:rsidP="008A4FAA">
      <w:pPr>
        <w:autoSpaceDE w:val="0"/>
        <w:autoSpaceDN w:val="0"/>
        <w:adjustRightInd w:val="0"/>
        <w:spacing w:after="120" w:line="240" w:lineRule="auto"/>
        <w:rPr>
          <w:rFonts w:ascii="Times New Roman" w:hAnsi="Times New Roman" w:cs="Times New Roman"/>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In the Matter of the Application of Duke Energy Ohio, Inc., for Approval to Continue Cost Recovery Mechanism for Energy Efficiency Programs Through 2016</w:t>
      </w:r>
      <w:r w:rsidRPr="008A4FAA">
        <w:rPr>
          <w:rFonts w:ascii="Times New Roman" w:hAnsi="Times New Roman" w:cs="Times New Roman"/>
          <w:sz w:val="20"/>
          <w:szCs w:val="20"/>
        </w:rPr>
        <w:t>, Case No. 14-1580-EL-RDR, Direst Testimony of Timothy J. Duff at 9 (June 30, 2015) (“Duff Direct”); Gonzalez Direct at 28.  Duke only met the annual mandates for energy efficiency because it used prior years’ banked energy efficiency reductions. Using banked savings means that Duke uses energy efficiency reductions from past years to charge its customers on a going forward basis for shared savings. After using the banked savings for 2013, the Utility “calculated an annual achievement of 116%,” which allowed Duke to charge customers for a 13% after tax shared savings incentive. But for using “banked savings” the Utility would not have been able to charge customers for shared savings in 2013.</w:t>
      </w:r>
    </w:p>
  </w:footnote>
  <w:footnote w:id="3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Pr>
          <w:rFonts w:ascii="Times New Roman" w:hAnsi="Times New Roman" w:cs="Times New Roman"/>
        </w:rPr>
        <w:t>Gonzalez Direct at 12.</w:t>
      </w:r>
    </w:p>
  </w:footnote>
  <w:footnote w:id="3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12.</w:t>
      </w:r>
    </w:p>
  </w:footnote>
  <w:footnote w:id="3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Approval to Continue Cost Recovery Mechanism for Energy Efficiency Programs Through 2016</w:t>
      </w:r>
      <w:r w:rsidRPr="008A4FAA">
        <w:rPr>
          <w:rFonts w:ascii="Times New Roman" w:hAnsi="Times New Roman" w:cs="Times New Roman"/>
        </w:rPr>
        <w:t>, Case No. 14-1590-EL-RDR, Seryak Direct at 3 (hereinafter “Seryak Direct”).</w:t>
      </w:r>
    </w:p>
  </w:footnote>
  <w:footnote w:id="3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Baron Direct at 3.</w:t>
      </w:r>
    </w:p>
  </w:footnote>
  <w:footnote w:id="4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Approval to Continue Cost Recovery Mechanism for Energy Efficiency Programs Through 2016</w:t>
      </w:r>
      <w:r w:rsidRPr="008A4FAA">
        <w:rPr>
          <w:rFonts w:ascii="Times New Roman" w:hAnsi="Times New Roman" w:cs="Times New Roman"/>
        </w:rPr>
        <w:t>, Case No. 14-1590-EL-RDR, Prefiled Testimony of Gregory C. Scheck at 3 (June 30, 2015) (hereinafter “Scheck Direct”).</w:t>
      </w:r>
    </w:p>
  </w:footnote>
  <w:footnote w:id="4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14.</w:t>
      </w:r>
    </w:p>
  </w:footnote>
  <w:footnote w:id="4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Incentive information is from Company Responses to OCC-INT-01-002 (Attachment 2) and OCC-INT-01-005 (Attachment 3).  The EE/PDR program spending is from Company Response to OCC-INT-01-001 (Attachment 4).</w:t>
      </w:r>
    </w:p>
  </w:footnote>
  <w:footnote w:id="43">
    <w:p w:rsidR="00481218" w:rsidRPr="008A4FAA" w:rsidRDefault="00481218" w:rsidP="0007216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14.</w:t>
      </w:r>
    </w:p>
  </w:footnote>
  <w:footnote w:id="4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Pr>
          <w:rFonts w:ascii="Times New Roman" w:hAnsi="Times New Roman" w:cs="Times New Roman"/>
        </w:rPr>
        <w:t>Id</w:t>
      </w:r>
      <w:r w:rsidRPr="008A4FAA">
        <w:rPr>
          <w:rFonts w:ascii="Times New Roman" w:hAnsi="Times New Roman" w:cs="Times New Roman"/>
        </w:rPr>
        <w:t>.</w:t>
      </w:r>
    </w:p>
  </w:footnote>
  <w:footnote w:id="45">
    <w:p w:rsidR="00481218" w:rsidRPr="006A3A16" w:rsidRDefault="00481218" w:rsidP="006A3A16">
      <w:pPr>
        <w:pStyle w:val="NormalWeb"/>
        <w:spacing w:after="120"/>
        <w:rPr>
          <w:color w:val="000000"/>
          <w:sz w:val="20"/>
          <w:szCs w:val="20"/>
        </w:rPr>
      </w:pPr>
      <w:r w:rsidRPr="006A3A16">
        <w:rPr>
          <w:rStyle w:val="FootnoteReference"/>
          <w:sz w:val="20"/>
          <w:szCs w:val="20"/>
        </w:rPr>
        <w:footnoteRef/>
      </w:r>
      <w:r w:rsidRPr="006A3A16">
        <w:rPr>
          <w:sz w:val="20"/>
          <w:szCs w:val="20"/>
        </w:rPr>
        <w:t xml:space="preserve"> </w:t>
      </w:r>
      <w:r w:rsidRPr="006A3A16">
        <w:rPr>
          <w:rStyle w:val="Emphasis"/>
          <w:color w:val="000000"/>
          <w:sz w:val="20"/>
          <w:szCs w:val="20"/>
        </w:rPr>
        <w:t>In the Matter of the Application of The Cleveland Electric Illuminating Company, Ohio Edison Company, and The Toledo Edison Company for Approval of Their Energy Efficiency and Peak Demand Reduction Program Plans for 2013 through 2015</w:t>
      </w:r>
      <w:r w:rsidRPr="006A3A16">
        <w:rPr>
          <w:color w:val="000000"/>
          <w:sz w:val="20"/>
          <w:szCs w:val="20"/>
        </w:rPr>
        <w:t xml:space="preserve">, Case Nos. 12-2190-EL-POR, 12-12191-EL-POR, and 12-2192-EL-POR, Application at 12-13 (Jan. 31, 2012). </w:t>
      </w:r>
    </w:p>
  </w:footnote>
  <w:footnote w:id="46">
    <w:p w:rsidR="00481218" w:rsidRPr="006A3A16" w:rsidRDefault="00481218" w:rsidP="006A3A16">
      <w:pPr>
        <w:pStyle w:val="NormalWeb"/>
        <w:spacing w:after="120"/>
        <w:rPr>
          <w:color w:val="000000"/>
          <w:sz w:val="20"/>
          <w:szCs w:val="20"/>
        </w:rPr>
      </w:pPr>
      <w:r w:rsidRPr="006A3A16">
        <w:rPr>
          <w:rStyle w:val="FootnoteReference"/>
          <w:sz w:val="20"/>
          <w:szCs w:val="20"/>
        </w:rPr>
        <w:footnoteRef/>
      </w:r>
      <w:r w:rsidRPr="006A3A16">
        <w:rPr>
          <w:sz w:val="20"/>
          <w:szCs w:val="20"/>
        </w:rPr>
        <w:t xml:space="preserve"> </w:t>
      </w:r>
      <w:r w:rsidRPr="006A3A16">
        <w:rPr>
          <w:rStyle w:val="Emphasis"/>
          <w:color w:val="000000"/>
          <w:sz w:val="20"/>
          <w:szCs w:val="20"/>
        </w:rPr>
        <w:t>In the Matter of the Application of The Cleveland Electric Illuminating Company, Ohio Edison Company, and The Toledo Edison Company for Approval of Their Energy Efficiency and Peak Demand Reduction Program Plans for 2013 through 2015</w:t>
      </w:r>
      <w:r w:rsidRPr="006A3A16">
        <w:rPr>
          <w:color w:val="000000"/>
          <w:sz w:val="20"/>
          <w:szCs w:val="20"/>
        </w:rPr>
        <w:t xml:space="preserve">, Case Nos. 12-2190-EL-POR, 12-12191-EL-POR, and 12-2192-EL-POR, Opinion and Order at 16 (Mar. 20, 2013). </w:t>
      </w:r>
    </w:p>
  </w:footnote>
  <w:footnote w:id="4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In their filed comments in this case the consumer groups, (OPAE at 6; OEG Comments at 4; OMA Comments at 6; Kroger Comments at 4; and OCC Comments at 5) and Staff (Comments at 6) have recommended a hard cap on Duke’s incentive.</w:t>
      </w:r>
    </w:p>
  </w:footnote>
  <w:footnote w:id="4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15.</w:t>
      </w:r>
    </w:p>
  </w:footnote>
  <w:footnote w:id="4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See</w:t>
      </w:r>
      <w:r w:rsidRPr="008A4FAA">
        <w:rPr>
          <w:rFonts w:ascii="Times New Roman" w:hAnsi="Times New Roman" w:cs="Times New Roman"/>
        </w:rPr>
        <w:t>, for example, R.C. 4928.662 (B).</w:t>
      </w:r>
    </w:p>
  </w:footnote>
  <w:footnote w:id="5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Recovery of Program Costs, Lost Distribution Revenue and Performance Incentives Related to its Energy Efficiency and Peak Demand Response Programs</w:t>
      </w:r>
      <w:r w:rsidRPr="008A4FAA">
        <w:rPr>
          <w:rFonts w:ascii="Times New Roman" w:hAnsi="Times New Roman" w:cs="Times New Roman"/>
        </w:rPr>
        <w:t xml:space="preserve">, Case No. 13-753-EL-RDR (“13-753 filing”), Direct Testimony of James E. Ziolkowski, Attachment JEZ-1, page 3 of 10 13-753 filing.  Duke is also collecting an incentive of $14 million from its Save a Watt cost recovery mechanism.  </w:t>
      </w:r>
      <w:r w:rsidRPr="008A4FAA">
        <w:rPr>
          <w:rFonts w:ascii="Times New Roman" w:hAnsi="Times New Roman" w:cs="Times New Roman"/>
          <w:i/>
        </w:rPr>
        <w:t>See</w:t>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Recovery of Program Costs, Lost Distribution Revenue and Performance Incentives Related to its Energy Efficiency and Peak Demand Response Programs</w:t>
      </w:r>
      <w:r w:rsidRPr="008A4FAA">
        <w:rPr>
          <w:rFonts w:ascii="Times New Roman" w:hAnsi="Times New Roman" w:cs="Times New Roman"/>
        </w:rPr>
        <w:t xml:space="preserve">, Case No. 12-1857-EL-RDR (“12-1857 filing”), Direct Testimony of James E. Ziolkowski, Attachment JEZ-2, page 2 of 6. </w:t>
      </w:r>
    </w:p>
  </w:footnote>
  <w:footnote w:id="5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of June 7, 2012, in Case No. 11-4393-EL-RDR at 37 (Attachment 5).</w:t>
      </w:r>
    </w:p>
  </w:footnote>
  <w:footnote w:id="5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Duke Energy Ohio Case No. 14-457-EL-RDR, Attachment JEZ-1.</w:t>
      </w:r>
    </w:p>
  </w:footnote>
  <w:footnote w:id="5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Duke Energy Ohio Case 15-534-EL-RDR, Attachment JEZ-1.</w:t>
      </w:r>
    </w:p>
  </w:footnote>
  <w:footnote w:id="54">
    <w:p w:rsidR="00481218" w:rsidRPr="009F6699" w:rsidRDefault="00481218">
      <w:pPr>
        <w:pStyle w:val="FootnoteText"/>
        <w:rPr>
          <w:rFonts w:ascii="Times New Roman" w:hAnsi="Times New Roman" w:cs="Times New Roman"/>
        </w:rPr>
      </w:pPr>
      <w:r w:rsidRPr="009F6699">
        <w:rPr>
          <w:rStyle w:val="FootnoteReference"/>
          <w:rFonts w:ascii="Times New Roman" w:hAnsi="Times New Roman" w:cs="Times New Roman"/>
        </w:rPr>
        <w:footnoteRef/>
      </w:r>
      <w:r w:rsidRPr="009F6699">
        <w:rPr>
          <w:rFonts w:ascii="Times New Roman" w:hAnsi="Times New Roman" w:cs="Times New Roman"/>
        </w:rPr>
        <w:t xml:space="preserve"> Id.</w:t>
      </w:r>
    </w:p>
  </w:footnote>
  <w:footnote w:id="5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16.</w:t>
      </w:r>
    </w:p>
  </w:footnote>
  <w:footnote w:id="5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15.</w:t>
      </w:r>
    </w:p>
  </w:footnote>
  <w:footnote w:id="57">
    <w:p w:rsidR="00481218" w:rsidRPr="009354FF" w:rsidRDefault="00481218" w:rsidP="008A4FAA">
      <w:pPr>
        <w:pStyle w:val="FootnoteText"/>
        <w:spacing w:after="120"/>
        <w:rPr>
          <w:rFonts w:ascii="Times New Roman" w:hAnsi="Times New Roman" w:cs="Times New Roman"/>
        </w:rPr>
      </w:pPr>
      <w:r w:rsidRPr="009354FF">
        <w:rPr>
          <w:rStyle w:val="FootnoteReference"/>
          <w:rFonts w:ascii="Times New Roman" w:hAnsi="Times New Roman" w:cs="Times New Roman"/>
        </w:rPr>
        <w:footnoteRef/>
      </w:r>
      <w:r w:rsidRPr="009354FF">
        <w:rPr>
          <w:rFonts w:ascii="Times New Roman" w:hAnsi="Times New Roman" w:cs="Times New Roman"/>
        </w:rPr>
        <w:t xml:space="preserve"> Gonzalez Direct at 6</w:t>
      </w:r>
      <w:r>
        <w:rPr>
          <w:rFonts w:ascii="Times New Roman" w:hAnsi="Times New Roman" w:cs="Times New Roman"/>
        </w:rPr>
        <w:t>, 10, 17</w:t>
      </w:r>
      <w:r w:rsidRPr="009354FF">
        <w:rPr>
          <w:rFonts w:ascii="Times New Roman" w:hAnsi="Times New Roman" w:cs="Times New Roman"/>
        </w:rPr>
        <w:t>.</w:t>
      </w:r>
    </w:p>
  </w:footnote>
  <w:footnote w:id="58">
    <w:p w:rsidR="00481218" w:rsidRPr="00AF5F77" w:rsidRDefault="00481218" w:rsidP="008A4FAA">
      <w:pPr>
        <w:pStyle w:val="FootnoteText"/>
        <w:spacing w:after="120"/>
        <w:rPr>
          <w:rFonts w:ascii="Times New Roman" w:hAnsi="Times New Roman" w:cs="Times New Roman"/>
        </w:rPr>
      </w:pPr>
      <w:r w:rsidRPr="00AF5F77">
        <w:rPr>
          <w:rStyle w:val="FootnoteReference"/>
          <w:rFonts w:ascii="Times New Roman" w:hAnsi="Times New Roman" w:cs="Times New Roman"/>
        </w:rPr>
        <w:footnoteRef/>
      </w:r>
      <w:r w:rsidRPr="00AF5F77">
        <w:rPr>
          <w:rFonts w:ascii="Times New Roman" w:hAnsi="Times New Roman" w:cs="Times New Roman"/>
        </w:rPr>
        <w:t xml:space="preserve"> Gonzalez Direct at 17.</w:t>
      </w:r>
    </w:p>
  </w:footnote>
  <w:footnote w:id="5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The 18 states profiled on average exceeded the national average of utility efficiency spending per person.</w:t>
      </w:r>
    </w:p>
  </w:footnote>
  <w:footnote w:id="60">
    <w:p w:rsidR="00481218" w:rsidRPr="008A4FAA" w:rsidRDefault="00481218" w:rsidP="008A4FAA">
      <w:pPr>
        <w:autoSpaceDE w:val="0"/>
        <w:autoSpaceDN w:val="0"/>
        <w:adjustRightInd w:val="0"/>
        <w:spacing w:after="120" w:line="240" w:lineRule="auto"/>
        <w:rPr>
          <w:rFonts w:ascii="Times New Roman" w:hAnsi="Times New Roman" w:cs="Times New Roman"/>
          <w:color w:val="0000FF"/>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w:t>
      </w:r>
      <w:r w:rsidRPr="008A4FAA">
        <w:rPr>
          <w:rFonts w:ascii="Times New Roman" w:hAnsi="Times New Roman" w:cs="Times New Roman"/>
          <w:color w:val="000000"/>
          <w:sz w:val="20"/>
          <w:szCs w:val="20"/>
        </w:rPr>
        <w:t xml:space="preserve">Gonzalez at 15, citing to American Council for an Energy-Efficient Economy, “Carrots for Utilities: Providing Financial Returns for Utility Investments in Energy Efficiency,” January 2011 at 10. </w:t>
      </w:r>
      <w:r w:rsidRPr="000D5FD9">
        <w:rPr>
          <w:rFonts w:ascii="Times New Roman" w:hAnsi="Times New Roman" w:cs="Times New Roman"/>
          <w:sz w:val="20"/>
          <w:szCs w:val="20"/>
        </w:rPr>
        <w:t>http://www.aceee.org/researchre</w:t>
      </w:r>
      <w:r>
        <w:rPr>
          <w:rFonts w:ascii="Times New Roman" w:hAnsi="Times New Roman" w:cs="Times New Roman"/>
          <w:sz w:val="20"/>
          <w:szCs w:val="20"/>
        </w:rPr>
        <w:t>port/u11.</w:t>
      </w:r>
    </w:p>
  </w:footnote>
  <w:footnote w:id="6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18.</w:t>
      </w:r>
    </w:p>
  </w:footnote>
  <w:footnote w:id="6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pp. 136, 148.</w:t>
      </w:r>
    </w:p>
  </w:footnote>
  <w:footnote w:id="6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Only the FirstEnergy companies had corporately separated their generation assets.  The FirstEnergy companies did not get approval for an incentive mechanism during their first portfolio application in Case No. 09-1947-EL-POR et al.</w:t>
      </w:r>
    </w:p>
  </w:footnote>
  <w:footnote w:id="6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18.</w:t>
      </w:r>
    </w:p>
  </w:footnote>
  <w:footnote w:id="6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18.</w:t>
      </w:r>
    </w:p>
  </w:footnote>
  <w:footnote w:id="6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18.</w:t>
      </w:r>
    </w:p>
  </w:footnote>
  <w:footnote w:id="67">
    <w:p w:rsidR="00481218" w:rsidRPr="008A4FAA" w:rsidRDefault="00481218" w:rsidP="008A4FAA">
      <w:pPr>
        <w:pStyle w:val="FootnoteText"/>
        <w:tabs>
          <w:tab w:val="left" w:pos="7450"/>
        </w:tabs>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19.</w:t>
      </w:r>
      <w:r w:rsidRPr="008A4FAA">
        <w:rPr>
          <w:rFonts w:ascii="Times New Roman" w:hAnsi="Times New Roman" w:cs="Times New Roman"/>
        </w:rPr>
        <w:tab/>
      </w:r>
    </w:p>
  </w:footnote>
  <w:footnote w:id="6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19.</w:t>
      </w:r>
    </w:p>
  </w:footnote>
  <w:footnote w:id="69">
    <w:p w:rsidR="00481218" w:rsidRPr="006A3A16" w:rsidRDefault="00481218" w:rsidP="006A3A16">
      <w:pPr>
        <w:pStyle w:val="FootnoteText"/>
        <w:spacing w:after="120"/>
        <w:rPr>
          <w:rFonts w:ascii="Times New Roman" w:hAnsi="Times New Roman" w:cs="Times New Roman"/>
        </w:rPr>
      </w:pPr>
      <w:r w:rsidRPr="006A3A16">
        <w:rPr>
          <w:rStyle w:val="FootnoteReference"/>
          <w:rFonts w:ascii="Times New Roman" w:hAnsi="Times New Roman" w:cs="Times New Roman"/>
        </w:rPr>
        <w:footnoteRef/>
      </w:r>
      <w:r w:rsidRPr="006A3A16">
        <w:rPr>
          <w:rFonts w:ascii="Times New Roman" w:hAnsi="Times New Roman" w:cs="Times New Roman"/>
        </w:rPr>
        <w:t xml:space="preserve"> A “decoupling mechanism” </w:t>
      </w:r>
      <w:r w:rsidRPr="006A3A16">
        <w:rPr>
          <w:rFonts w:ascii="Times New Roman" w:hAnsi="Times New Roman" w:cs="Times New Roman"/>
          <w:lang w:val="en"/>
        </w:rPr>
        <w:t xml:space="preserve">is a rate adjustment </w:t>
      </w:r>
      <w:r w:rsidRPr="006A3A16">
        <w:rPr>
          <w:rFonts w:ascii="Times New Roman" w:hAnsi="Times New Roman" w:cs="Times New Roman"/>
          <w:bCs/>
          <w:lang w:val="en"/>
        </w:rPr>
        <w:t>mechanism</w:t>
      </w:r>
      <w:r w:rsidRPr="006A3A16">
        <w:rPr>
          <w:rFonts w:ascii="Times New Roman" w:hAnsi="Times New Roman" w:cs="Times New Roman"/>
          <w:lang w:val="en"/>
        </w:rPr>
        <w:t xml:space="preserve"> that separates (</w:t>
      </w:r>
      <w:r w:rsidRPr="006A3A16">
        <w:rPr>
          <w:rFonts w:ascii="Times New Roman" w:hAnsi="Times New Roman" w:cs="Times New Roman"/>
          <w:bCs/>
          <w:lang w:val="en"/>
        </w:rPr>
        <w:t>decouples</w:t>
      </w:r>
      <w:r w:rsidRPr="006A3A16">
        <w:rPr>
          <w:rFonts w:ascii="Times New Roman" w:hAnsi="Times New Roman" w:cs="Times New Roman"/>
          <w:lang w:val="en"/>
        </w:rPr>
        <w:t xml:space="preserve">) an electric </w:t>
      </w:r>
      <w:r w:rsidRPr="003112C8">
        <w:rPr>
          <w:rFonts w:ascii="Times New Roman" w:hAnsi="Times New Roman" w:cs="Times New Roman"/>
          <w:lang w:val="en"/>
        </w:rPr>
        <w:t>utility</w:t>
      </w:r>
      <w:r>
        <w:rPr>
          <w:rFonts w:ascii="Times New Roman" w:hAnsi="Times New Roman" w:cs="Times New Roman"/>
          <w:lang w:val="en"/>
        </w:rPr>
        <w:t>’</w:t>
      </w:r>
      <w:r w:rsidRPr="006A3A16">
        <w:rPr>
          <w:rFonts w:ascii="Times New Roman" w:hAnsi="Times New Roman" w:cs="Times New Roman"/>
          <w:lang w:val="en"/>
        </w:rPr>
        <w:t>s fixed cost recovery from the amount of electricity it sells.</w:t>
      </w:r>
    </w:p>
  </w:footnote>
  <w:footnote w:id="7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pp. 142-143.</w:t>
      </w:r>
    </w:p>
  </w:footnote>
  <w:footnote w:id="7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Direct Testimony of Wilson Gonzalez at 21.</w:t>
      </w:r>
    </w:p>
  </w:footnote>
  <w:footnote w:id="7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21.</w:t>
      </w:r>
    </w:p>
  </w:footnote>
  <w:footnote w:id="7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21.</w:t>
      </w:r>
    </w:p>
  </w:footnote>
  <w:footnote w:id="7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22.</w:t>
      </w:r>
    </w:p>
  </w:footnote>
  <w:footnote w:id="7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Id.</w:t>
      </w:r>
    </w:p>
  </w:footnote>
  <w:footnote w:id="7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Id.</w:t>
      </w:r>
    </w:p>
  </w:footnote>
  <w:footnote w:id="7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Id.</w:t>
      </w:r>
    </w:p>
  </w:footnote>
  <w:footnote w:id="7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Id.</w:t>
      </w:r>
    </w:p>
  </w:footnote>
  <w:footnote w:id="7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Id.</w:t>
      </w:r>
    </w:p>
  </w:footnote>
  <w:footnote w:id="8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“Understanding Cost-Effectiveness of Energy Efficiency Programs: Best Practices, Technical Methods, and Emerging Issues for Policy-Makers,” National Action Plan For Energy Efficiency, November 2008. Page 1-2. </w:t>
      </w:r>
    </w:p>
  </w:footnote>
  <w:footnote w:id="8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Duke Responses to OCC INT -02-016 (Attachment 6) and 02-017 (Attachment 7) in Case No. 13-431-EL-POR.</w:t>
      </w:r>
    </w:p>
  </w:footnote>
  <w:footnote w:id="8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25-26.</w:t>
      </w:r>
    </w:p>
  </w:footnote>
  <w:footnote w:id="8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October 15, 2009 Finding and Order in Case No. 09-512-GE-UNC, page 5.</w:t>
      </w:r>
    </w:p>
  </w:footnote>
  <w:footnote w:id="8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hyperlink r:id="rId1" w:history="1">
        <w:r w:rsidRPr="008A4FAA">
          <w:rPr>
            <w:rStyle w:val="Hyperlink"/>
            <w:rFonts w:ascii="Times New Roman" w:hAnsi="Times New Roman" w:cs="Times New Roman"/>
          </w:rPr>
          <w:t>http://docs.cpuc.ca.gov/published/Final_decision/11474-13.htm</w:t>
        </w:r>
      </w:hyperlink>
      <w:r w:rsidRPr="008A4FAA">
        <w:rPr>
          <w:rFonts w:ascii="Times New Roman" w:hAnsi="Times New Roman" w:cs="Times New Roman"/>
        </w:rPr>
        <w:t xml:space="preserve"> </w:t>
      </w:r>
    </w:p>
  </w:footnote>
  <w:footnote w:id="8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26.</w:t>
      </w:r>
    </w:p>
  </w:footnote>
  <w:footnote w:id="8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Under OAC 4901:1-39-07(A), a utility incentive is permissive.</w:t>
      </w:r>
    </w:p>
  </w:footnote>
  <w:footnote w:id="8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By failing to seek an amendment to its EE/PDR portfolio in accordance with Section 6(B) of S.B.</w:t>
      </w:r>
      <w:r w:rsidR="00A87E63">
        <w:rPr>
          <w:rFonts w:ascii="Times New Roman" w:hAnsi="Times New Roman" w:cs="Times New Roman"/>
        </w:rPr>
        <w:t xml:space="preserve"> </w:t>
      </w:r>
      <w:r w:rsidRPr="008A4FAA">
        <w:rPr>
          <w:rFonts w:ascii="Times New Roman" w:hAnsi="Times New Roman" w:cs="Times New Roman"/>
        </w:rPr>
        <w:t xml:space="preserve">310, Duke effectively chose to continue its current portfolio plan with no amendments through December 31, 2016, which would be subject to “the provisions of section 4928.66 of the Revised Code, as it existed </w:t>
      </w:r>
      <w:r w:rsidRPr="008A4FAA">
        <w:rPr>
          <w:rFonts w:ascii="Times New Roman" w:hAnsi="Times New Roman" w:cs="Times New Roman"/>
          <w:b/>
          <w:i/>
        </w:rPr>
        <w:t>prior to the effective date of [SB 310].”</w:t>
      </w:r>
      <w:r w:rsidRPr="008A4FAA">
        <w:rPr>
          <w:rFonts w:ascii="Times New Roman" w:hAnsi="Times New Roman" w:cs="Times New Roman"/>
        </w:rPr>
        <w:t xml:space="preserve">; </w:t>
      </w:r>
      <w:r w:rsidRPr="008A4FAA">
        <w:rPr>
          <w:rFonts w:ascii="Times New Roman" w:hAnsi="Times New Roman" w:cs="Times New Roman"/>
          <w:i/>
        </w:rPr>
        <w:t>see also</w:t>
      </w:r>
      <w:r w:rsidRPr="008A4FAA">
        <w:rPr>
          <w:rFonts w:ascii="Times New Roman" w:hAnsi="Times New Roman" w:cs="Times New Roman"/>
        </w:rPr>
        <w:t>, Transcript at p. 41.</w:t>
      </w:r>
    </w:p>
  </w:footnote>
  <w:footnote w:id="8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Pr>
          <w:rFonts w:ascii="Times New Roman" w:hAnsi="Times New Roman" w:cs="Times New Roman"/>
        </w:rPr>
        <w:t>Duff Direct at 9-10</w:t>
      </w:r>
      <w:r w:rsidRPr="008A4FAA">
        <w:rPr>
          <w:rFonts w:ascii="Times New Roman" w:hAnsi="Times New Roman" w:cs="Times New Roman"/>
        </w:rPr>
        <w:t>.</w:t>
      </w:r>
    </w:p>
  </w:footnote>
  <w:footnote w:id="8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 205 (opining that Duke could still earn a shared savings incentive mechanism without the use of banked savings “if it applied itself”).</w:t>
      </w:r>
    </w:p>
  </w:footnote>
  <w:footnote w:id="9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R.C. 4928.662(G).</w:t>
      </w:r>
    </w:p>
  </w:footnote>
  <w:footnote w:id="9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 41.</w:t>
      </w:r>
    </w:p>
  </w:footnote>
  <w:footnote w:id="9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State ex rel. Salim. v. Ayed</w:t>
      </w:r>
      <w:r w:rsidRPr="008A4FAA">
        <w:rPr>
          <w:rFonts w:ascii="Times New Roman" w:hAnsi="Times New Roman" w:cs="Times New Roman"/>
        </w:rPr>
        <w:t xml:space="preserve">, 141 Ohio St.3d 129, 134, 2014-Ohio-4736, 22 N.E.3d 1054, quoting </w:t>
      </w:r>
      <w:r w:rsidRPr="008A4FAA">
        <w:rPr>
          <w:rStyle w:val="ssit1"/>
          <w:rFonts w:ascii="Times New Roman" w:hAnsi="Times New Roman" w:cs="Times New Roman"/>
        </w:rPr>
        <w:t>State v. Droste</w:t>
      </w:r>
      <w:r w:rsidRPr="008A4FAA">
        <w:rPr>
          <w:rStyle w:val="ssrfcpassagedeactivated"/>
          <w:rFonts w:ascii="Times New Roman" w:hAnsi="Times New Roman" w:cs="Times New Roman"/>
        </w:rPr>
        <w:t>, 83 Ohio St.3d 36, 39, 1998 Ohio 182, 697 N.E.2d 620 (1998).</w:t>
      </w:r>
    </w:p>
  </w:footnote>
  <w:footnote w:id="9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Schussheim v. Schussheim</w:t>
      </w:r>
      <w:r w:rsidRPr="008A4FAA">
        <w:rPr>
          <w:rFonts w:ascii="Times New Roman" w:hAnsi="Times New Roman" w:cs="Times New Roman"/>
        </w:rPr>
        <w:t>, 137 Ohio St.3d 133, 139, 2013-Ohio-4529, 998 N.E.2d 446.</w:t>
      </w:r>
    </w:p>
  </w:footnote>
  <w:footnote w:id="9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See</w:t>
      </w:r>
      <w:r w:rsidRPr="008A4FAA">
        <w:rPr>
          <w:rFonts w:ascii="Times New Roman" w:hAnsi="Times New Roman" w:cs="Times New Roman"/>
        </w:rPr>
        <w:t xml:space="preserve">, Ohio Adm. Code </w:t>
      </w:r>
      <w:r w:rsidR="00237C65">
        <w:rPr>
          <w:rFonts w:ascii="Times New Roman" w:hAnsi="Times New Roman" w:cs="Times New Roman"/>
        </w:rPr>
        <w:t>4901:1-39-07</w:t>
      </w:r>
      <w:r w:rsidRPr="008A4FAA">
        <w:rPr>
          <w:rFonts w:ascii="Times New Roman" w:hAnsi="Times New Roman" w:cs="Times New Roman"/>
        </w:rPr>
        <w:t>(A).</w:t>
      </w:r>
    </w:p>
  </w:footnote>
  <w:footnote w:id="9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FirstEnergy is comprised of The Cleveland Electric Illuminating Company, Ohio Edison Company, and The Toledo Edison Company.</w:t>
      </w:r>
    </w:p>
  </w:footnote>
  <w:footnote w:id="9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The Cleveland Electric Illuminating Company, Ohio Edison Company, and The Toledo Edison Company for Approval of Their Energy Efficiency and Peak Demand Reduction Program Plans for 2013 Through 2015</w:t>
      </w:r>
      <w:r w:rsidRPr="008A4FAA">
        <w:rPr>
          <w:rFonts w:ascii="Times New Roman" w:hAnsi="Times New Roman" w:cs="Times New Roman"/>
        </w:rPr>
        <w:t xml:space="preserve">, 12-2190-EL-POR, Opinion and Order at p. 16 (March 20, 2013) (emphasis added); </w:t>
      </w:r>
      <w:r w:rsidRPr="008A4FAA">
        <w:rPr>
          <w:rFonts w:ascii="Times New Roman" w:hAnsi="Times New Roman" w:cs="Times New Roman"/>
          <w:i/>
        </w:rPr>
        <w:t>see also</w:t>
      </w:r>
      <w:r w:rsidRPr="008A4FAA">
        <w:rPr>
          <w:rFonts w:ascii="Times New Roman" w:hAnsi="Times New Roman" w:cs="Times New Roman"/>
        </w:rPr>
        <w:t>, Transcript at p. 188 (“I know for sure that FirstEnergy would not use any historical bank for shared savings”).</w:t>
      </w:r>
    </w:p>
  </w:footnote>
  <w:footnote w:id="9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pp. 45, 82-83.</w:t>
      </w:r>
    </w:p>
  </w:footnote>
  <w:footnote w:id="9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bCs/>
          <w:i/>
        </w:rPr>
        <w:t>In the Matter of the Application of Columbus Southern Power Company for Approval of its Program Portfolio Plan and Request for Expedited Consideration</w:t>
      </w:r>
      <w:r w:rsidRPr="008A4FAA">
        <w:rPr>
          <w:rFonts w:ascii="Times New Roman" w:hAnsi="Times New Roman" w:cs="Times New Roman"/>
          <w:bCs/>
        </w:rPr>
        <w:t>,</w:t>
      </w:r>
      <w:r w:rsidRPr="008A4FAA">
        <w:rPr>
          <w:rFonts w:ascii="Times New Roman" w:hAnsi="Times New Roman" w:cs="Times New Roman"/>
          <w:b/>
          <w:bCs/>
        </w:rPr>
        <w:t xml:space="preserve"> </w:t>
      </w:r>
      <w:r w:rsidRPr="008A4FAA">
        <w:rPr>
          <w:rFonts w:ascii="Times New Roman" w:hAnsi="Times New Roman" w:cs="Times New Roman"/>
        </w:rPr>
        <w:t>11-5568-EL-POR, Stipulation at p. 6 (November 29, 2011).</w:t>
      </w:r>
    </w:p>
  </w:footnote>
  <w:footnote w:id="99">
    <w:p w:rsidR="00481218" w:rsidRPr="008A4FAA" w:rsidRDefault="00481218" w:rsidP="008A4FAA">
      <w:pPr>
        <w:autoSpaceDE w:val="0"/>
        <w:autoSpaceDN w:val="0"/>
        <w:adjustRightInd w:val="0"/>
        <w:spacing w:after="120" w:line="240" w:lineRule="auto"/>
        <w:rPr>
          <w:rFonts w:ascii="Times New Roman" w:hAnsi="Times New Roman" w:cs="Times New Roman"/>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In the Matter of the Application of The Dayton Power and Light Company for Approval of its Energy Efficiency and Peak Demand Reduction Program Portfolio Plan for 2013 through 2015</w:t>
      </w:r>
      <w:r w:rsidRPr="008A4FAA">
        <w:rPr>
          <w:rFonts w:ascii="Times New Roman" w:hAnsi="Times New Roman" w:cs="Times New Roman"/>
          <w:sz w:val="20"/>
          <w:szCs w:val="20"/>
        </w:rPr>
        <w:t xml:space="preserve">, 13-833-EL-POR, Opinion and Order at 9 (December 4, 2013); </w:t>
      </w:r>
      <w:r w:rsidRPr="008A4FAA">
        <w:rPr>
          <w:rFonts w:ascii="Times New Roman" w:hAnsi="Times New Roman" w:cs="Times New Roman"/>
          <w:i/>
          <w:sz w:val="20"/>
          <w:szCs w:val="20"/>
        </w:rPr>
        <w:t>see also</w:t>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In the Matter of the Application of The Dayton Power and Light Company for Approval of its Energy Efficiency and Peak Demand Reduction Program Portfolio Plan for 2013 through 2015</w:t>
      </w:r>
      <w:r w:rsidRPr="008A4FAA">
        <w:rPr>
          <w:rFonts w:ascii="Times New Roman" w:hAnsi="Times New Roman" w:cs="Times New Roman"/>
          <w:sz w:val="20"/>
          <w:szCs w:val="20"/>
        </w:rPr>
        <w:t>, 13-833-EL-POR Stipulation at 12 (October 2, 2013).</w:t>
      </w:r>
    </w:p>
  </w:footnote>
  <w:footnote w:id="10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pp. 84-85; </w:t>
      </w:r>
      <w:r w:rsidRPr="008A4FAA">
        <w:rPr>
          <w:rFonts w:ascii="Times New Roman" w:hAnsi="Times New Roman" w:cs="Times New Roman"/>
          <w:i/>
        </w:rPr>
        <w:t>See generally</w:t>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for an Energy Efficiency Cost Recovery Mechanism and for Approval of Additional Programs for Inclusion in the Existing Portfolio</w:t>
      </w:r>
      <w:r w:rsidRPr="008A4FAA">
        <w:rPr>
          <w:rFonts w:ascii="Times New Roman" w:hAnsi="Times New Roman" w:cs="Times New Roman"/>
        </w:rPr>
        <w:t xml:space="preserve">, Case No. 11-4393-EL-RDR, Stipulation and Recommendation (November 18, 2011); </w:t>
      </w:r>
      <w:r w:rsidRPr="008A4FAA">
        <w:rPr>
          <w:rFonts w:ascii="Times New Roman" w:hAnsi="Times New Roman" w:cs="Times New Roman"/>
          <w:i/>
        </w:rPr>
        <w:t>In the Matter of the Application of Duke Energy Ohio, Inc. for Approval of its Energy Efficiency and Peak Demand Reduction Portfolio of Programs</w:t>
      </w:r>
      <w:r w:rsidRPr="008A4FAA">
        <w:rPr>
          <w:rFonts w:ascii="Times New Roman" w:hAnsi="Times New Roman" w:cs="Times New Roman"/>
        </w:rPr>
        <w:t>, Case No. 13-431-EL-POR, Amended Stipulation and Recommendation (September 9, 2013).</w:t>
      </w:r>
    </w:p>
  </w:footnote>
  <w:footnote w:id="10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Recovery of Program Costs, Lost Distribution Revenue and Performance Incentives Related to its Energy Efficiency and Demand Response Programs (“Duke 2013 True-Up”)</w:t>
      </w:r>
      <w:r w:rsidRPr="008A4FAA">
        <w:rPr>
          <w:rFonts w:ascii="Times New Roman" w:hAnsi="Times New Roman" w:cs="Times New Roman"/>
        </w:rPr>
        <w:t>, Case No. 14-457-EL-RDR, Direct Testimony of James E. Ziolkowski, at Attachment JEZ-1 (March 28, 2014).</w:t>
      </w:r>
    </w:p>
  </w:footnote>
  <w:footnote w:id="102">
    <w:p w:rsidR="00481218" w:rsidRPr="008A4FAA" w:rsidRDefault="00481218" w:rsidP="008A4FAA">
      <w:pPr>
        <w:autoSpaceDE w:val="0"/>
        <w:autoSpaceDN w:val="0"/>
        <w:adjustRightInd w:val="0"/>
        <w:spacing w:after="120" w:line="240" w:lineRule="auto"/>
        <w:rPr>
          <w:rFonts w:ascii="Times New Roman" w:hAnsi="Times New Roman" w:cs="Times New Roman"/>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In the Matter of the Application of Duke Energy Ohio, Inc., for Recovery of Program Costs, Lost Distribution Revenue and Performance Incentives Related to its Energy Efficiency and Demand Response Programs (“Duke 2013 True-Up”)</w:t>
      </w:r>
      <w:r w:rsidRPr="008A4FAA">
        <w:rPr>
          <w:rFonts w:ascii="Times New Roman" w:hAnsi="Times New Roman" w:cs="Times New Roman"/>
          <w:sz w:val="20"/>
          <w:szCs w:val="20"/>
        </w:rPr>
        <w:t xml:space="preserve">, Case No. 14-457-EL-RDR, Direct Testimony of Trisha A. Haemmerle, at 9 (March 28, 2014); </w:t>
      </w:r>
      <w:r w:rsidRPr="008A4FAA">
        <w:rPr>
          <w:rFonts w:ascii="Times New Roman" w:hAnsi="Times New Roman" w:cs="Times New Roman"/>
          <w:i/>
          <w:sz w:val="20"/>
          <w:szCs w:val="20"/>
        </w:rPr>
        <w:t>see also</w:t>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Duke 2013 True-Up</w:t>
      </w:r>
      <w:r w:rsidRPr="008A4FAA">
        <w:rPr>
          <w:rFonts w:ascii="Times New Roman" w:hAnsi="Times New Roman" w:cs="Times New Roman"/>
          <w:sz w:val="20"/>
          <w:szCs w:val="20"/>
        </w:rPr>
        <w:t>, Case No. 14-457-EL-RDR, Direct Testimony of James E. Ziolkowski, at Attachment JEZ-1 p. 1 (March 28, 2014).</w:t>
      </w:r>
    </w:p>
  </w:footnote>
  <w:footnote w:id="10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Duke 2013 True-Up</w:t>
      </w:r>
      <w:r w:rsidRPr="008A4FAA">
        <w:rPr>
          <w:rFonts w:ascii="Times New Roman" w:hAnsi="Times New Roman" w:cs="Times New Roman"/>
        </w:rPr>
        <w:t>, Case No. 14-457-EL-RDR, Direct Testimony of James E. Ziolkowski at Attachment JEZ-1 p. 1.</w:t>
      </w:r>
    </w:p>
  </w:footnote>
  <w:footnote w:id="10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Duke 2013 True-Up</w:t>
      </w:r>
      <w:r w:rsidRPr="008A4FAA">
        <w:rPr>
          <w:rFonts w:ascii="Times New Roman" w:hAnsi="Times New Roman" w:cs="Times New Roman"/>
        </w:rPr>
        <w:t>, Case No. 14-457-EL-RDR, Direct Testimony of James E. Ziolkowski at Attachment JEZ-1 p. 1.</w:t>
      </w:r>
    </w:p>
  </w:footnote>
  <w:footnote w:id="10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Duke 2013 True-Up”)</w:t>
      </w:r>
      <w:r w:rsidRPr="008A4FAA">
        <w:rPr>
          <w:rFonts w:ascii="Times New Roman" w:hAnsi="Times New Roman" w:cs="Times New Roman"/>
        </w:rPr>
        <w:t>, Case No. 14-457-EL-RDR, Direct Testimony of Trisha A. Haemmerle at 9.</w:t>
      </w:r>
    </w:p>
  </w:footnote>
  <w:footnote w:id="10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Duke 2013 True-Up</w:t>
      </w:r>
      <w:r w:rsidRPr="008A4FAA">
        <w:rPr>
          <w:rFonts w:ascii="Times New Roman" w:hAnsi="Times New Roman" w:cs="Times New Roman"/>
        </w:rPr>
        <w:t>, Case No. 14-457-EL-RDR Finding and Order at 5.</w:t>
      </w:r>
    </w:p>
  </w:footnote>
  <w:footnote w:id="10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Duke 2013 True-Up</w:t>
      </w:r>
      <w:r w:rsidRPr="008A4FAA">
        <w:rPr>
          <w:rFonts w:ascii="Times New Roman" w:hAnsi="Times New Roman" w:cs="Times New Roman"/>
        </w:rPr>
        <w:t>, Case No. 14-457-EL-RDR Finding and Order at 5 (emphasis added).</w:t>
      </w:r>
    </w:p>
  </w:footnote>
  <w:footnote w:id="10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 41.</w:t>
      </w:r>
    </w:p>
  </w:footnote>
  <w:footnote w:id="10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27.</w:t>
      </w:r>
    </w:p>
  </w:footnote>
  <w:footnote w:id="11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Duke 2013 True-Up</w:t>
      </w:r>
      <w:r w:rsidRPr="008A4FAA">
        <w:rPr>
          <w:rFonts w:ascii="Times New Roman" w:hAnsi="Times New Roman" w:cs="Times New Roman"/>
        </w:rPr>
        <w:t xml:space="preserve">, Case No. 14-457-EL-RDR, Direct Testimony of James E. Ziolkowski at Attachment JEZ-1 p. 1; </w:t>
      </w:r>
      <w:r w:rsidRPr="008A4FAA">
        <w:rPr>
          <w:rFonts w:ascii="Times New Roman" w:hAnsi="Times New Roman" w:cs="Times New Roman"/>
          <w:i/>
        </w:rPr>
        <w:t>see</w:t>
      </w:r>
      <w:r w:rsidRPr="008A4FAA">
        <w:rPr>
          <w:rFonts w:ascii="Times New Roman" w:hAnsi="Times New Roman" w:cs="Times New Roman"/>
        </w:rPr>
        <w:t xml:space="preserve"> </w:t>
      </w:r>
      <w:r w:rsidRPr="008A4FAA">
        <w:rPr>
          <w:rFonts w:ascii="Times New Roman" w:hAnsi="Times New Roman" w:cs="Times New Roman"/>
          <w:i/>
        </w:rPr>
        <w:t>also</w:t>
      </w:r>
      <w:r w:rsidRPr="008A4FAA">
        <w:rPr>
          <w:rFonts w:ascii="Times New Roman" w:hAnsi="Times New Roman" w:cs="Times New Roman"/>
        </w:rPr>
        <w:t>, Transcript at p. 15 (July 7, 2015).</w:t>
      </w:r>
    </w:p>
  </w:footnote>
  <w:footnote w:id="11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Application of Duke Energy Ohio, Inc., for Recovery of Program Costs, Lost Distribution Revenue and Performance Incentives Related to its Energy Efficiency and Demand Response Programs (“Duke 2014 True-Up”)</w:t>
      </w:r>
      <w:r w:rsidRPr="008A4FAA">
        <w:rPr>
          <w:rFonts w:ascii="Times New Roman" w:hAnsi="Times New Roman" w:cs="Times New Roman"/>
        </w:rPr>
        <w:t xml:space="preserve">, Case No. 15-534-EL-RDR, Direct Testimony of James E. Ziolkowski at Attachment JEZ-1 p. 1 (March 30, 2015); </w:t>
      </w:r>
      <w:r w:rsidRPr="008A4FAA">
        <w:rPr>
          <w:rFonts w:ascii="Times New Roman" w:hAnsi="Times New Roman" w:cs="Times New Roman"/>
          <w:i/>
        </w:rPr>
        <w:t>see</w:t>
      </w:r>
      <w:r w:rsidRPr="008A4FAA">
        <w:rPr>
          <w:rFonts w:ascii="Times New Roman" w:hAnsi="Times New Roman" w:cs="Times New Roman"/>
        </w:rPr>
        <w:t xml:space="preserve"> </w:t>
      </w:r>
      <w:r w:rsidRPr="008A4FAA">
        <w:rPr>
          <w:rFonts w:ascii="Times New Roman" w:hAnsi="Times New Roman" w:cs="Times New Roman"/>
          <w:i/>
        </w:rPr>
        <w:t>also</w:t>
      </w:r>
      <w:r w:rsidRPr="008A4FAA">
        <w:rPr>
          <w:rFonts w:ascii="Times New Roman" w:hAnsi="Times New Roman" w:cs="Times New Roman"/>
        </w:rPr>
        <w:t>, Transcript at p. 20.</w:t>
      </w:r>
    </w:p>
  </w:footnote>
  <w:footnote w:id="11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Duke 2014 True-Up</w:t>
      </w:r>
      <w:r w:rsidRPr="008A4FAA">
        <w:rPr>
          <w:rFonts w:ascii="Times New Roman" w:hAnsi="Times New Roman" w:cs="Times New Roman"/>
        </w:rPr>
        <w:t>, Case No. 15-534-EL-RDR, Direct Testimony of James E. Ziolkowski at Attachment JEZ-1 p. 1</w:t>
      </w:r>
      <w:r w:rsidR="00F64DF3">
        <w:rPr>
          <w:rFonts w:ascii="Times New Roman" w:hAnsi="Times New Roman" w:cs="Times New Roman"/>
        </w:rPr>
        <w:t>.</w:t>
      </w:r>
    </w:p>
  </w:footnote>
  <w:footnote w:id="113">
    <w:p w:rsidR="00481218" w:rsidRPr="008A4FAA" w:rsidRDefault="00481218" w:rsidP="008A4FAA">
      <w:pPr>
        <w:autoSpaceDE w:val="0"/>
        <w:autoSpaceDN w:val="0"/>
        <w:adjustRightInd w:val="0"/>
        <w:spacing w:after="120" w:line="240" w:lineRule="auto"/>
        <w:rPr>
          <w:rFonts w:ascii="Times New Roman" w:hAnsi="Times New Roman" w:cs="Times New Roman"/>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In the Matter of the Annual Portfolio Status Report Under Rule 4901:1-39-05(C), Ohio Administrative Code, by Ohio Power Company</w:t>
      </w:r>
      <w:r w:rsidRPr="008A4FAA">
        <w:rPr>
          <w:rFonts w:ascii="Times New Roman" w:hAnsi="Times New Roman" w:cs="Times New Roman"/>
          <w:sz w:val="20"/>
          <w:szCs w:val="20"/>
        </w:rPr>
        <w:t>, Case No. 14-853-EL-EEC, 2013 Portfolio Status Report of the Energy Efficiency and Peak Demand Response Programs at pp. 5-8 (May 15, 2014).</w:t>
      </w:r>
    </w:p>
  </w:footnote>
  <w:footnote w:id="11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Annual Portfolio Status Report Under Rule 4901:1-39-05(C), Ohio Administrative Code, by Ohio Power Company</w:t>
      </w:r>
      <w:r w:rsidRPr="008A4FAA">
        <w:rPr>
          <w:rFonts w:ascii="Times New Roman" w:hAnsi="Times New Roman" w:cs="Times New Roman"/>
        </w:rPr>
        <w:t>, Case No. 15-919-EL-EEC, 2014 Portfolio Status Report of the Energy Efficiency and Peak Demand Response Programs at pp. 5-8 (May 15, 2015)</w:t>
      </w:r>
      <w:r w:rsidR="00F64DF3">
        <w:rPr>
          <w:rFonts w:ascii="Times New Roman" w:hAnsi="Times New Roman" w:cs="Times New Roman"/>
        </w:rPr>
        <w:t>.</w:t>
      </w:r>
    </w:p>
  </w:footnote>
  <w:footnote w:id="115">
    <w:p w:rsidR="00481218" w:rsidRPr="008A4FAA" w:rsidRDefault="00481218" w:rsidP="008A4FAA">
      <w:pPr>
        <w:autoSpaceDE w:val="0"/>
        <w:autoSpaceDN w:val="0"/>
        <w:adjustRightInd w:val="0"/>
        <w:spacing w:after="120" w:line="240" w:lineRule="auto"/>
        <w:rPr>
          <w:rFonts w:ascii="Times New Roman" w:hAnsi="Times New Roman" w:cs="Times New Roman"/>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In the Matter of The Dayton Power and Light Company’s Portfolio Status Report</w:t>
      </w:r>
      <w:r w:rsidRPr="008A4FAA">
        <w:rPr>
          <w:rFonts w:ascii="Times New Roman" w:hAnsi="Times New Roman" w:cs="Times New Roman"/>
          <w:sz w:val="20"/>
          <w:szCs w:val="20"/>
        </w:rPr>
        <w:t>, Case No. 14-738-EL-POR, 2013 Energy Efficiency and Demand Reduction/Response Portfolio Status Report at pp. 3, 8-10, Appendix A (May 15, 2014).</w:t>
      </w:r>
    </w:p>
  </w:footnote>
  <w:footnote w:id="11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Dayton Power and Light Company’s Portfolio Status Report</w:t>
      </w:r>
      <w:r w:rsidRPr="008A4FAA">
        <w:rPr>
          <w:rFonts w:ascii="Times New Roman" w:hAnsi="Times New Roman" w:cs="Times New Roman"/>
        </w:rPr>
        <w:t>, Case No. 15-777-EL-POR, 2013 Energy Efficiency and Demand Reduction/Response Portfolio Status Report at pp. 3, 8-10, Appendix A (May 15, 2015).</w:t>
      </w:r>
    </w:p>
  </w:footnote>
  <w:footnote w:id="117">
    <w:p w:rsidR="00481218" w:rsidRPr="008A4FAA" w:rsidRDefault="00481218" w:rsidP="008A4FAA">
      <w:pPr>
        <w:autoSpaceDE w:val="0"/>
        <w:autoSpaceDN w:val="0"/>
        <w:adjustRightInd w:val="0"/>
        <w:spacing w:after="120" w:line="240" w:lineRule="auto"/>
        <w:rPr>
          <w:rFonts w:ascii="Times New Roman" w:hAnsi="Times New Roman" w:cs="Times New Roman"/>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In the Matter of the Energy Efficiency and Peak Demand Reduction Program Portfolio Status Report of Ohio Edison Company, The Cleveland Electric Illuminating Company and The Toledo Edison Company</w:t>
      </w:r>
      <w:r w:rsidRPr="008A4FAA">
        <w:rPr>
          <w:rFonts w:ascii="Times New Roman" w:hAnsi="Times New Roman" w:cs="Times New Roman"/>
          <w:sz w:val="20"/>
          <w:szCs w:val="20"/>
        </w:rPr>
        <w:t xml:space="preserve">, Case Nos. 14-859-EL-EEC, et al., Energy Efficiency and Peak Demand Reduction Program Portfolio Status Report to the Public Utilities Commission of Ohio at p. 5 (May 15, 2014). </w:t>
      </w:r>
    </w:p>
  </w:footnote>
  <w:footnote w:id="11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In the Matter of the Energy Efficiency and Peak Demand Reduction Program Portfolio Status Report of Ohio Edison Company, The Cleveland Electric Illuminating Company and The Toledo Edison Company</w:t>
      </w:r>
      <w:r w:rsidRPr="008A4FAA">
        <w:rPr>
          <w:rFonts w:ascii="Times New Roman" w:hAnsi="Times New Roman" w:cs="Times New Roman"/>
        </w:rPr>
        <w:t>, Case Nos. 15-900-EL-EEC, et al., Energy Efficiency and Peak Demand Reduction Program Portfolio Status Report to the Public Utilities Commission of Ohio at p. 5 (May 15, 2015).</w:t>
      </w:r>
    </w:p>
  </w:footnote>
  <w:footnote w:id="11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 45.</w:t>
      </w:r>
    </w:p>
  </w:footnote>
  <w:footnote w:id="12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Duff Direct at 7-8; </w:t>
      </w:r>
      <w:r w:rsidRPr="008A4FAA">
        <w:rPr>
          <w:rFonts w:ascii="Times New Roman" w:hAnsi="Times New Roman" w:cs="Times New Roman"/>
          <w:i/>
        </w:rPr>
        <w:t>see also</w:t>
      </w:r>
      <w:r w:rsidRPr="008A4FAA">
        <w:rPr>
          <w:rFonts w:ascii="Times New Roman" w:hAnsi="Times New Roman" w:cs="Times New Roman"/>
        </w:rPr>
        <w:t>, Transcript at p. 41.</w:t>
      </w:r>
    </w:p>
  </w:footnote>
  <w:footnote w:id="12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Duff Direct at 7-8.</w:t>
      </w:r>
    </w:p>
  </w:footnote>
  <w:footnote w:id="122">
    <w:p w:rsidR="00481218" w:rsidRPr="008A4FAA" w:rsidRDefault="00481218" w:rsidP="008A4FAA">
      <w:pPr>
        <w:autoSpaceDE w:val="0"/>
        <w:autoSpaceDN w:val="0"/>
        <w:adjustRightInd w:val="0"/>
        <w:spacing w:after="120" w:line="240" w:lineRule="auto"/>
        <w:rPr>
          <w:rFonts w:ascii="Times New Roman" w:hAnsi="Times New Roman" w:cs="Times New Roman"/>
          <w:sz w:val="20"/>
          <w:szCs w:val="20"/>
        </w:rPr>
      </w:pPr>
      <w:r w:rsidRPr="008A4FAA">
        <w:rPr>
          <w:rStyle w:val="FootnoteReference"/>
          <w:rFonts w:ascii="Times New Roman" w:hAnsi="Times New Roman" w:cs="Times New Roman"/>
          <w:sz w:val="20"/>
          <w:szCs w:val="20"/>
        </w:rPr>
        <w:footnoteRef/>
      </w:r>
      <w:r w:rsidRPr="008A4FAA">
        <w:rPr>
          <w:rFonts w:ascii="Times New Roman" w:hAnsi="Times New Roman" w:cs="Times New Roman"/>
          <w:sz w:val="20"/>
          <w:szCs w:val="20"/>
        </w:rPr>
        <w:t xml:space="preserve"> </w:t>
      </w:r>
      <w:r w:rsidRPr="008A4FAA">
        <w:rPr>
          <w:rFonts w:ascii="Times New Roman" w:hAnsi="Times New Roman" w:cs="Times New Roman"/>
          <w:i/>
          <w:sz w:val="20"/>
          <w:szCs w:val="20"/>
        </w:rPr>
        <w:t>In the Matter of the Application of Ohio Edison Company, The Cleveland Electric Illuminating Company, and The Toledo Edison Company For Approval of Their Energy Efficiency and Peak Demand Reduction Program Portfolio Plans for 2013 to 2015</w:t>
      </w:r>
      <w:r w:rsidRPr="008A4FAA">
        <w:rPr>
          <w:rFonts w:ascii="Times New Roman" w:hAnsi="Times New Roman" w:cs="Times New Roman"/>
          <w:sz w:val="20"/>
          <w:szCs w:val="20"/>
        </w:rPr>
        <w:t>, Case No. 12-2190-EL-POR, Verified Application for Approval of Amended Energy Efficiency and Peak Demand Reduction Plans for 2015 Through 2016 (September 17, 2014).</w:t>
      </w:r>
    </w:p>
  </w:footnote>
  <w:footnote w:id="12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 123-124.</w:t>
      </w:r>
    </w:p>
  </w:footnote>
  <w:footnote w:id="124">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6, 10-11, 27-28. </w:t>
      </w:r>
    </w:p>
  </w:footnote>
  <w:footnote w:id="125">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28.</w:t>
      </w:r>
    </w:p>
  </w:footnote>
  <w:footnote w:id="126">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Baron Direct at 9.</w:t>
      </w:r>
    </w:p>
  </w:footnote>
  <w:footnote w:id="127">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Baron Direct at 9</w:t>
      </w:r>
    </w:p>
  </w:footnote>
  <w:footnote w:id="128">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Scheck Direct at 2.</w:t>
      </w:r>
    </w:p>
  </w:footnote>
  <w:footnote w:id="129">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 187.</w:t>
      </w:r>
    </w:p>
  </w:footnote>
  <w:footnote w:id="130">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Baron Direct at p. 10 (June 20, 2015).</w:t>
      </w:r>
    </w:p>
  </w:footnote>
  <w:footnote w:id="131">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Transcript at p. 114.</w:t>
      </w:r>
    </w:p>
  </w:footnote>
  <w:footnote w:id="132">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Baron Direct at p. 10 (June 20, 2015).</w:t>
      </w:r>
    </w:p>
  </w:footnote>
  <w:footnote w:id="133">
    <w:p w:rsidR="00481218" w:rsidRPr="008A4FAA" w:rsidRDefault="00481218" w:rsidP="008A4FAA">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Baron Direct at p. 10; Transcript at pp. 112-114.</w:t>
      </w:r>
    </w:p>
  </w:footnote>
  <w:footnote w:id="134">
    <w:p w:rsidR="00481218" w:rsidRPr="008A4FAA" w:rsidRDefault="00481218" w:rsidP="003112C8">
      <w:pPr>
        <w:pStyle w:val="FootnoteText"/>
        <w:spacing w:after="120"/>
        <w:rPr>
          <w:rFonts w:ascii="Times New Roman" w:hAnsi="Times New Roman" w:cs="Times New Roman"/>
        </w:rPr>
      </w:pPr>
      <w:r w:rsidRPr="008A4FAA">
        <w:rPr>
          <w:rStyle w:val="FootnoteReference"/>
          <w:rFonts w:ascii="Times New Roman" w:hAnsi="Times New Roman" w:cs="Times New Roman"/>
        </w:rPr>
        <w:footnoteRef/>
      </w:r>
      <w:r w:rsidRPr="008A4FAA">
        <w:rPr>
          <w:rFonts w:ascii="Times New Roman" w:hAnsi="Times New Roman" w:cs="Times New Roman"/>
        </w:rPr>
        <w:t xml:space="preserve"> </w:t>
      </w:r>
      <w:r w:rsidRPr="008A4FAA">
        <w:rPr>
          <w:rFonts w:ascii="Times New Roman" w:hAnsi="Times New Roman" w:cs="Times New Roman"/>
          <w:i/>
        </w:rPr>
        <w:t>See</w:t>
      </w:r>
      <w:r w:rsidRPr="008A4FAA">
        <w:rPr>
          <w:rFonts w:ascii="Times New Roman" w:hAnsi="Times New Roman" w:cs="Times New Roman"/>
        </w:rPr>
        <w:t>, R.C. 4928.02(A).</w:t>
      </w:r>
    </w:p>
  </w:footnote>
  <w:footnote w:id="135">
    <w:p w:rsidR="00481218" w:rsidRPr="008A4FAA" w:rsidRDefault="00481218" w:rsidP="00AD5944">
      <w:pPr>
        <w:pStyle w:val="FootnoteText"/>
        <w:spacing w:after="120"/>
        <w:rPr>
          <w:rFonts w:ascii="Times New Roman" w:hAnsi="Times New Roman" w:cs="Times New Roman"/>
          <w:highlight w:val="yellow"/>
        </w:rPr>
      </w:pPr>
      <w:r w:rsidRPr="008A4FAA">
        <w:rPr>
          <w:rStyle w:val="FootnoteReference"/>
          <w:rFonts w:ascii="Times New Roman" w:hAnsi="Times New Roman" w:cs="Times New Roman"/>
        </w:rPr>
        <w:footnoteRef/>
      </w:r>
      <w:r w:rsidRPr="008A4FAA">
        <w:rPr>
          <w:rFonts w:ascii="Times New Roman" w:hAnsi="Times New Roman" w:cs="Times New Roman"/>
        </w:rPr>
        <w:t xml:space="preserve"> Gonzalez Direct at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60" w:rsidRDefault="005D7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60" w:rsidRDefault="005D7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60" w:rsidRDefault="005D7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18" w:rsidRDefault="004812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18" w:rsidRDefault="00481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4CA53EA"/>
    <w:lvl w:ilvl="0">
      <w:start w:val="1"/>
      <w:numFmt w:val="decimal"/>
      <w:lvlText w:val="%1."/>
      <w:lvlJc w:val="left"/>
      <w:pPr>
        <w:tabs>
          <w:tab w:val="num" w:pos="720"/>
        </w:tabs>
        <w:ind w:left="720" w:hanging="360"/>
      </w:pPr>
    </w:lvl>
  </w:abstractNum>
  <w:abstractNum w:abstractNumId="1">
    <w:nsid w:val="FFFFFF80"/>
    <w:multiLevelType w:val="singleLevel"/>
    <w:tmpl w:val="1A72D60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1A25F08"/>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0C61C9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1CAAB42"/>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1E7A776A"/>
    <w:lvl w:ilvl="0">
      <w:start w:val="1"/>
      <w:numFmt w:val="decimal"/>
      <w:lvlText w:val="%1."/>
      <w:lvlJc w:val="left"/>
      <w:pPr>
        <w:tabs>
          <w:tab w:val="num" w:pos="360"/>
        </w:tabs>
        <w:ind w:left="360" w:hanging="360"/>
      </w:pPr>
    </w:lvl>
  </w:abstractNum>
  <w:abstractNum w:abstractNumId="6">
    <w:nsid w:val="FFFFFF89"/>
    <w:multiLevelType w:val="singleLevel"/>
    <w:tmpl w:val="ABA09E42"/>
    <w:lvl w:ilvl="0">
      <w:start w:val="1"/>
      <w:numFmt w:val="bullet"/>
      <w:lvlText w:val=""/>
      <w:lvlJc w:val="left"/>
      <w:pPr>
        <w:tabs>
          <w:tab w:val="num" w:pos="360"/>
        </w:tabs>
        <w:ind w:left="360" w:hanging="360"/>
      </w:pPr>
      <w:rPr>
        <w:rFonts w:ascii="Symbol" w:hAnsi="Symbol" w:hint="default"/>
      </w:rPr>
    </w:lvl>
  </w:abstractNum>
  <w:abstractNum w:abstractNumId="7">
    <w:nsid w:val="10E668F4"/>
    <w:multiLevelType w:val="hybridMultilevel"/>
    <w:tmpl w:val="9F24B00E"/>
    <w:lvl w:ilvl="0" w:tplc="2AE88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A0057"/>
    <w:multiLevelType w:val="hybridMultilevel"/>
    <w:tmpl w:val="5A107E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5516D"/>
    <w:multiLevelType w:val="hybridMultilevel"/>
    <w:tmpl w:val="38244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C7C13"/>
    <w:multiLevelType w:val="hybridMultilevel"/>
    <w:tmpl w:val="62DE5438"/>
    <w:lvl w:ilvl="0" w:tplc="2828E5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624A3B6C">
      <w:start w:val="1"/>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B465701"/>
    <w:multiLevelType w:val="hybridMultilevel"/>
    <w:tmpl w:val="2534B106"/>
    <w:lvl w:ilvl="0" w:tplc="5AA4B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3DA017F"/>
    <w:multiLevelType w:val="hybridMultilevel"/>
    <w:tmpl w:val="372A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288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D3A14"/>
    <w:multiLevelType w:val="hybridMultilevel"/>
    <w:tmpl w:val="6D361610"/>
    <w:lvl w:ilvl="0" w:tplc="EE2A4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92"/>
    <w:rsid w:val="00004918"/>
    <w:rsid w:val="000158DF"/>
    <w:rsid w:val="00067A5D"/>
    <w:rsid w:val="0007216A"/>
    <w:rsid w:val="000958B4"/>
    <w:rsid w:val="000A6628"/>
    <w:rsid w:val="000B1CA3"/>
    <w:rsid w:val="000B351B"/>
    <w:rsid w:val="000D5FD9"/>
    <w:rsid w:val="000F018E"/>
    <w:rsid w:val="000F78BD"/>
    <w:rsid w:val="001354DB"/>
    <w:rsid w:val="001475EB"/>
    <w:rsid w:val="00162BB8"/>
    <w:rsid w:val="001716FB"/>
    <w:rsid w:val="001903DC"/>
    <w:rsid w:val="00194DA6"/>
    <w:rsid w:val="001A2E87"/>
    <w:rsid w:val="001D29E8"/>
    <w:rsid w:val="00215639"/>
    <w:rsid w:val="00233C83"/>
    <w:rsid w:val="00235CDC"/>
    <w:rsid w:val="00237C65"/>
    <w:rsid w:val="00243121"/>
    <w:rsid w:val="00296F86"/>
    <w:rsid w:val="002F4601"/>
    <w:rsid w:val="002F5A79"/>
    <w:rsid w:val="00310C49"/>
    <w:rsid w:val="003112C8"/>
    <w:rsid w:val="00332FA1"/>
    <w:rsid w:val="00374D34"/>
    <w:rsid w:val="00386DE2"/>
    <w:rsid w:val="003A167B"/>
    <w:rsid w:val="003A1F04"/>
    <w:rsid w:val="003B09EF"/>
    <w:rsid w:val="003B2093"/>
    <w:rsid w:val="003C2EDC"/>
    <w:rsid w:val="003D0505"/>
    <w:rsid w:val="003D0923"/>
    <w:rsid w:val="003D308F"/>
    <w:rsid w:val="003D641F"/>
    <w:rsid w:val="003E7029"/>
    <w:rsid w:val="003F0342"/>
    <w:rsid w:val="00404D46"/>
    <w:rsid w:val="00412D81"/>
    <w:rsid w:val="00416CF9"/>
    <w:rsid w:val="00455044"/>
    <w:rsid w:val="00470B57"/>
    <w:rsid w:val="00470C95"/>
    <w:rsid w:val="00481218"/>
    <w:rsid w:val="00482F58"/>
    <w:rsid w:val="0049614C"/>
    <w:rsid w:val="004A0245"/>
    <w:rsid w:val="004D588E"/>
    <w:rsid w:val="004D5A27"/>
    <w:rsid w:val="004F2D5D"/>
    <w:rsid w:val="004F5749"/>
    <w:rsid w:val="00521A07"/>
    <w:rsid w:val="00531F59"/>
    <w:rsid w:val="0053413A"/>
    <w:rsid w:val="005722BF"/>
    <w:rsid w:val="00583329"/>
    <w:rsid w:val="005A7C85"/>
    <w:rsid w:val="005D03F0"/>
    <w:rsid w:val="005D7C60"/>
    <w:rsid w:val="005E5370"/>
    <w:rsid w:val="005F6B2A"/>
    <w:rsid w:val="006479B6"/>
    <w:rsid w:val="006511FC"/>
    <w:rsid w:val="00664810"/>
    <w:rsid w:val="006654BF"/>
    <w:rsid w:val="00667750"/>
    <w:rsid w:val="006902F7"/>
    <w:rsid w:val="006A3915"/>
    <w:rsid w:val="006A3A16"/>
    <w:rsid w:val="006A73D6"/>
    <w:rsid w:val="006B7692"/>
    <w:rsid w:val="006D24D8"/>
    <w:rsid w:val="006D65A7"/>
    <w:rsid w:val="00702364"/>
    <w:rsid w:val="00703127"/>
    <w:rsid w:val="00704AAD"/>
    <w:rsid w:val="0071309C"/>
    <w:rsid w:val="007248A2"/>
    <w:rsid w:val="00726A2A"/>
    <w:rsid w:val="00765061"/>
    <w:rsid w:val="00772CAC"/>
    <w:rsid w:val="007924D3"/>
    <w:rsid w:val="007D08EA"/>
    <w:rsid w:val="007E10CD"/>
    <w:rsid w:val="007E543A"/>
    <w:rsid w:val="00806613"/>
    <w:rsid w:val="00806F13"/>
    <w:rsid w:val="00807CCA"/>
    <w:rsid w:val="00807E2C"/>
    <w:rsid w:val="00810CCA"/>
    <w:rsid w:val="00823C70"/>
    <w:rsid w:val="00825EA9"/>
    <w:rsid w:val="00826080"/>
    <w:rsid w:val="00843D06"/>
    <w:rsid w:val="008942EF"/>
    <w:rsid w:val="008A093C"/>
    <w:rsid w:val="008A4FAA"/>
    <w:rsid w:val="008C1F4E"/>
    <w:rsid w:val="00920B54"/>
    <w:rsid w:val="009354FF"/>
    <w:rsid w:val="00947EE6"/>
    <w:rsid w:val="00965102"/>
    <w:rsid w:val="0097436A"/>
    <w:rsid w:val="009A7469"/>
    <w:rsid w:val="009B2386"/>
    <w:rsid w:val="009C03F9"/>
    <w:rsid w:val="009D2453"/>
    <w:rsid w:val="009F6699"/>
    <w:rsid w:val="00A201F9"/>
    <w:rsid w:val="00A3663E"/>
    <w:rsid w:val="00A371B7"/>
    <w:rsid w:val="00A433DE"/>
    <w:rsid w:val="00A452CF"/>
    <w:rsid w:val="00A60943"/>
    <w:rsid w:val="00A87E63"/>
    <w:rsid w:val="00A90098"/>
    <w:rsid w:val="00A9197B"/>
    <w:rsid w:val="00A9386D"/>
    <w:rsid w:val="00A94A41"/>
    <w:rsid w:val="00AB49FB"/>
    <w:rsid w:val="00AC60EC"/>
    <w:rsid w:val="00AC6F53"/>
    <w:rsid w:val="00AD5944"/>
    <w:rsid w:val="00AD75EC"/>
    <w:rsid w:val="00AE7C62"/>
    <w:rsid w:val="00AF2FBC"/>
    <w:rsid w:val="00AF3552"/>
    <w:rsid w:val="00AF5F77"/>
    <w:rsid w:val="00B23382"/>
    <w:rsid w:val="00B31ADD"/>
    <w:rsid w:val="00B53375"/>
    <w:rsid w:val="00B77ADD"/>
    <w:rsid w:val="00B842DF"/>
    <w:rsid w:val="00B85F96"/>
    <w:rsid w:val="00B91C88"/>
    <w:rsid w:val="00BA70E4"/>
    <w:rsid w:val="00BB4848"/>
    <w:rsid w:val="00BC3E2A"/>
    <w:rsid w:val="00BD56F8"/>
    <w:rsid w:val="00BF4058"/>
    <w:rsid w:val="00C2439B"/>
    <w:rsid w:val="00C2477A"/>
    <w:rsid w:val="00C27EB3"/>
    <w:rsid w:val="00C518D2"/>
    <w:rsid w:val="00C62244"/>
    <w:rsid w:val="00C62389"/>
    <w:rsid w:val="00CA1B35"/>
    <w:rsid w:val="00CB0A19"/>
    <w:rsid w:val="00CB30E8"/>
    <w:rsid w:val="00CB431F"/>
    <w:rsid w:val="00CC4F87"/>
    <w:rsid w:val="00CD2396"/>
    <w:rsid w:val="00CD390D"/>
    <w:rsid w:val="00CE25B7"/>
    <w:rsid w:val="00D05D76"/>
    <w:rsid w:val="00D272EE"/>
    <w:rsid w:val="00D414BA"/>
    <w:rsid w:val="00D46E29"/>
    <w:rsid w:val="00D80ABE"/>
    <w:rsid w:val="00D831B0"/>
    <w:rsid w:val="00DA482F"/>
    <w:rsid w:val="00DB43F3"/>
    <w:rsid w:val="00DE10B2"/>
    <w:rsid w:val="00DF206C"/>
    <w:rsid w:val="00DF5AA6"/>
    <w:rsid w:val="00DF65CA"/>
    <w:rsid w:val="00E00A87"/>
    <w:rsid w:val="00E23711"/>
    <w:rsid w:val="00E42B90"/>
    <w:rsid w:val="00E54E0B"/>
    <w:rsid w:val="00E62AC2"/>
    <w:rsid w:val="00E65BCF"/>
    <w:rsid w:val="00E713A8"/>
    <w:rsid w:val="00E753A3"/>
    <w:rsid w:val="00E80C58"/>
    <w:rsid w:val="00EA7E5B"/>
    <w:rsid w:val="00EC2370"/>
    <w:rsid w:val="00EC53D9"/>
    <w:rsid w:val="00EC61CF"/>
    <w:rsid w:val="00ED573D"/>
    <w:rsid w:val="00EE030C"/>
    <w:rsid w:val="00F2107C"/>
    <w:rsid w:val="00F214B0"/>
    <w:rsid w:val="00F32156"/>
    <w:rsid w:val="00F44AAD"/>
    <w:rsid w:val="00F60174"/>
    <w:rsid w:val="00F64DF3"/>
    <w:rsid w:val="00F71194"/>
    <w:rsid w:val="00F831FC"/>
    <w:rsid w:val="00FB171C"/>
    <w:rsid w:val="00FC041F"/>
    <w:rsid w:val="00FD03C8"/>
    <w:rsid w:val="00FD72CA"/>
    <w:rsid w:val="00FE0556"/>
    <w:rsid w:val="00FE4DED"/>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E2"/>
  </w:style>
  <w:style w:type="paragraph" w:styleId="Heading1">
    <w:name w:val="heading 1"/>
    <w:basedOn w:val="Normal"/>
    <w:next w:val="Normal"/>
    <w:link w:val="Heading1Char"/>
    <w:autoRedefine/>
    <w:uiPriority w:val="9"/>
    <w:qFormat/>
    <w:rsid w:val="00386DE2"/>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310C49"/>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947EE6"/>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semiHidden/>
    <w:unhideWhenUsed/>
    <w:qFormat/>
    <w:rsid w:val="00386DE2"/>
    <w:pPr>
      <w:keepNext/>
      <w:keepLines/>
      <w:spacing w:after="240" w:line="240" w:lineRule="auto"/>
      <w:ind w:left="288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92"/>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6B7692"/>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semiHidden/>
    <w:rsid w:val="006B7692"/>
    <w:rPr>
      <w:sz w:val="20"/>
      <w:szCs w:val="20"/>
    </w:rPr>
  </w:style>
  <w:style w:type="character" w:styleId="FootnoteReference">
    <w:name w:val="footnote reference"/>
    <w:aliases w:val="o,fr"/>
    <w:basedOn w:val="DefaultParagraphFont"/>
    <w:uiPriority w:val="99"/>
    <w:unhideWhenUsed/>
    <w:rsid w:val="006B7692"/>
    <w:rPr>
      <w:vertAlign w:val="superscript"/>
    </w:rPr>
  </w:style>
  <w:style w:type="paragraph" w:styleId="Header">
    <w:name w:val="header"/>
    <w:basedOn w:val="Normal"/>
    <w:link w:val="HeaderChar"/>
    <w:uiPriority w:val="99"/>
    <w:unhideWhenUsed/>
    <w:rsid w:val="0053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3A"/>
  </w:style>
  <w:style w:type="paragraph" w:styleId="Footer">
    <w:name w:val="footer"/>
    <w:basedOn w:val="Normal"/>
    <w:link w:val="FooterChar"/>
    <w:uiPriority w:val="99"/>
    <w:unhideWhenUsed/>
    <w:rsid w:val="0053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3A"/>
  </w:style>
  <w:style w:type="paragraph" w:styleId="HTMLPreformatted">
    <w:name w:val="HTML Preformatted"/>
    <w:basedOn w:val="Normal"/>
    <w:link w:val="HTMLPreformattedChar"/>
    <w:uiPriority w:val="99"/>
    <w:semiHidden/>
    <w:unhideWhenUsed/>
    <w:rsid w:val="003D092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0923"/>
    <w:rPr>
      <w:rFonts w:ascii="Consolas" w:hAnsi="Consolas" w:cs="Consolas"/>
      <w:sz w:val="20"/>
      <w:szCs w:val="20"/>
    </w:rPr>
  </w:style>
  <w:style w:type="character" w:styleId="CommentReference">
    <w:name w:val="annotation reference"/>
    <w:basedOn w:val="DefaultParagraphFont"/>
    <w:uiPriority w:val="99"/>
    <w:semiHidden/>
    <w:unhideWhenUsed/>
    <w:rsid w:val="00412D81"/>
    <w:rPr>
      <w:sz w:val="16"/>
      <w:szCs w:val="16"/>
    </w:rPr>
  </w:style>
  <w:style w:type="paragraph" w:styleId="CommentText">
    <w:name w:val="annotation text"/>
    <w:basedOn w:val="Normal"/>
    <w:link w:val="CommentTextChar"/>
    <w:uiPriority w:val="99"/>
    <w:semiHidden/>
    <w:unhideWhenUsed/>
    <w:rsid w:val="00412D81"/>
    <w:pPr>
      <w:spacing w:line="240" w:lineRule="auto"/>
    </w:pPr>
    <w:rPr>
      <w:sz w:val="20"/>
      <w:szCs w:val="20"/>
    </w:rPr>
  </w:style>
  <w:style w:type="character" w:customStyle="1" w:styleId="CommentTextChar">
    <w:name w:val="Comment Text Char"/>
    <w:basedOn w:val="DefaultParagraphFont"/>
    <w:link w:val="CommentText"/>
    <w:uiPriority w:val="99"/>
    <w:semiHidden/>
    <w:rsid w:val="00412D81"/>
    <w:rPr>
      <w:sz w:val="20"/>
      <w:szCs w:val="20"/>
    </w:rPr>
  </w:style>
  <w:style w:type="paragraph" w:styleId="CommentSubject">
    <w:name w:val="annotation subject"/>
    <w:basedOn w:val="CommentText"/>
    <w:next w:val="CommentText"/>
    <w:link w:val="CommentSubjectChar"/>
    <w:semiHidden/>
    <w:unhideWhenUsed/>
    <w:rsid w:val="00412D81"/>
    <w:rPr>
      <w:b/>
      <w:bCs/>
    </w:rPr>
  </w:style>
  <w:style w:type="character" w:customStyle="1" w:styleId="CommentSubjectChar">
    <w:name w:val="Comment Subject Char"/>
    <w:basedOn w:val="CommentTextChar"/>
    <w:link w:val="CommentSubject"/>
    <w:semiHidden/>
    <w:rsid w:val="00412D81"/>
    <w:rPr>
      <w:b/>
      <w:bCs/>
      <w:sz w:val="20"/>
      <w:szCs w:val="20"/>
    </w:rPr>
  </w:style>
  <w:style w:type="paragraph" w:styleId="BalloonText">
    <w:name w:val="Balloon Text"/>
    <w:basedOn w:val="Normal"/>
    <w:link w:val="BalloonTextChar"/>
    <w:uiPriority w:val="99"/>
    <w:semiHidden/>
    <w:unhideWhenUsed/>
    <w:rsid w:val="0041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81"/>
    <w:rPr>
      <w:rFonts w:ascii="Tahoma" w:hAnsi="Tahoma" w:cs="Tahoma"/>
      <w:sz w:val="16"/>
      <w:szCs w:val="16"/>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uiPriority w:val="99"/>
    <w:locked/>
    <w:rsid w:val="00C27EB3"/>
    <w:rPr>
      <w:lang w:val="en-US" w:eastAsia="en-US"/>
    </w:rPr>
  </w:style>
  <w:style w:type="character" w:styleId="Hyperlink">
    <w:name w:val="Hyperlink"/>
    <w:basedOn w:val="DefaultParagraphFont"/>
    <w:uiPriority w:val="99"/>
    <w:rsid w:val="00EA7E5B"/>
    <w:rPr>
      <w:color w:val="0000FF"/>
      <w:u w:val="single"/>
    </w:rPr>
  </w:style>
  <w:style w:type="table" w:styleId="TableGrid">
    <w:name w:val="Table Grid"/>
    <w:basedOn w:val="TableNormal"/>
    <w:uiPriority w:val="99"/>
    <w:rsid w:val="00807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6DE2"/>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310C49"/>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947EE6"/>
    <w:rPr>
      <w:rFonts w:ascii="Times New Roman Bold" w:eastAsiaTheme="majorEastAsia" w:hAnsi="Times New Roman Bold" w:cstheme="majorBidi"/>
      <w:b/>
      <w:bCs/>
      <w:sz w:val="24"/>
    </w:rPr>
  </w:style>
  <w:style w:type="character" w:customStyle="1" w:styleId="Heading4Char">
    <w:name w:val="Heading 4 Char"/>
    <w:basedOn w:val="DefaultParagraphFont"/>
    <w:link w:val="Heading4"/>
    <w:uiPriority w:val="9"/>
    <w:semiHidden/>
    <w:rsid w:val="00386DE2"/>
    <w:rPr>
      <w:rFonts w:ascii="Times New Roman Bold" w:eastAsiaTheme="majorEastAsia" w:hAnsi="Times New Roman Bold" w:cstheme="majorBidi"/>
      <w:b/>
      <w:bCs/>
      <w:iCs/>
      <w:sz w:val="24"/>
    </w:rPr>
  </w:style>
  <w:style w:type="paragraph" w:styleId="TOC1">
    <w:name w:val="toc 1"/>
    <w:basedOn w:val="Normal"/>
    <w:next w:val="Normal"/>
    <w:autoRedefine/>
    <w:uiPriority w:val="39"/>
    <w:unhideWhenUsed/>
    <w:qFormat/>
    <w:rsid w:val="001D29E8"/>
    <w:pPr>
      <w:tabs>
        <w:tab w:val="decimal" w:leader="dot" w:pos="864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1D29E8"/>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1D29E8"/>
    <w:pPr>
      <w:spacing w:after="240" w:line="240" w:lineRule="auto"/>
      <w:ind w:left="2160" w:hanging="720"/>
    </w:pPr>
    <w:rPr>
      <w:rFonts w:ascii="Times New Roman" w:hAnsi="Times New Roman"/>
      <w:sz w:val="24"/>
    </w:rPr>
  </w:style>
  <w:style w:type="paragraph" w:styleId="BodyText">
    <w:name w:val="Body Text"/>
    <w:basedOn w:val="Normal"/>
    <w:link w:val="BodyTextChar"/>
    <w:rsid w:val="00F214B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14B0"/>
    <w:rPr>
      <w:rFonts w:ascii="Times New Roman" w:eastAsia="Times New Roman" w:hAnsi="Times New Roman" w:cs="Times New Roman"/>
      <w:sz w:val="24"/>
      <w:szCs w:val="20"/>
    </w:rPr>
  </w:style>
  <w:style w:type="character" w:customStyle="1" w:styleId="ssrfcpassagedeactivated">
    <w:name w:val="ss_rfcpassage_deactivated"/>
    <w:basedOn w:val="DefaultParagraphFont"/>
    <w:rsid w:val="00D80ABE"/>
  </w:style>
  <w:style w:type="character" w:customStyle="1" w:styleId="sssh">
    <w:name w:val="ss_sh"/>
    <w:basedOn w:val="DefaultParagraphFont"/>
    <w:rsid w:val="00D80ABE"/>
  </w:style>
  <w:style w:type="character" w:customStyle="1" w:styleId="ssit1">
    <w:name w:val="ss_it1"/>
    <w:basedOn w:val="DefaultParagraphFont"/>
    <w:rsid w:val="00D80ABE"/>
    <w:rPr>
      <w:i/>
      <w:iCs/>
    </w:rPr>
  </w:style>
  <w:style w:type="paragraph" w:styleId="NormalWeb">
    <w:name w:val="Normal (Web)"/>
    <w:basedOn w:val="Normal"/>
    <w:uiPriority w:val="99"/>
    <w:unhideWhenUsed/>
    <w:rsid w:val="006A3A1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6A3A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E2"/>
  </w:style>
  <w:style w:type="paragraph" w:styleId="Heading1">
    <w:name w:val="heading 1"/>
    <w:basedOn w:val="Normal"/>
    <w:next w:val="Normal"/>
    <w:link w:val="Heading1Char"/>
    <w:autoRedefine/>
    <w:uiPriority w:val="9"/>
    <w:qFormat/>
    <w:rsid w:val="00386DE2"/>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310C49"/>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947EE6"/>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semiHidden/>
    <w:unhideWhenUsed/>
    <w:qFormat/>
    <w:rsid w:val="00386DE2"/>
    <w:pPr>
      <w:keepNext/>
      <w:keepLines/>
      <w:spacing w:after="240" w:line="240" w:lineRule="auto"/>
      <w:ind w:left="288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92"/>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6B7692"/>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semiHidden/>
    <w:rsid w:val="006B7692"/>
    <w:rPr>
      <w:sz w:val="20"/>
      <w:szCs w:val="20"/>
    </w:rPr>
  </w:style>
  <w:style w:type="character" w:styleId="FootnoteReference">
    <w:name w:val="footnote reference"/>
    <w:aliases w:val="o,fr"/>
    <w:basedOn w:val="DefaultParagraphFont"/>
    <w:uiPriority w:val="99"/>
    <w:unhideWhenUsed/>
    <w:rsid w:val="006B7692"/>
    <w:rPr>
      <w:vertAlign w:val="superscript"/>
    </w:rPr>
  </w:style>
  <w:style w:type="paragraph" w:styleId="Header">
    <w:name w:val="header"/>
    <w:basedOn w:val="Normal"/>
    <w:link w:val="HeaderChar"/>
    <w:uiPriority w:val="99"/>
    <w:unhideWhenUsed/>
    <w:rsid w:val="0053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3A"/>
  </w:style>
  <w:style w:type="paragraph" w:styleId="Footer">
    <w:name w:val="footer"/>
    <w:basedOn w:val="Normal"/>
    <w:link w:val="FooterChar"/>
    <w:uiPriority w:val="99"/>
    <w:unhideWhenUsed/>
    <w:rsid w:val="0053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3A"/>
  </w:style>
  <w:style w:type="paragraph" w:styleId="HTMLPreformatted">
    <w:name w:val="HTML Preformatted"/>
    <w:basedOn w:val="Normal"/>
    <w:link w:val="HTMLPreformattedChar"/>
    <w:uiPriority w:val="99"/>
    <w:semiHidden/>
    <w:unhideWhenUsed/>
    <w:rsid w:val="003D092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0923"/>
    <w:rPr>
      <w:rFonts w:ascii="Consolas" w:hAnsi="Consolas" w:cs="Consolas"/>
      <w:sz w:val="20"/>
      <w:szCs w:val="20"/>
    </w:rPr>
  </w:style>
  <w:style w:type="character" w:styleId="CommentReference">
    <w:name w:val="annotation reference"/>
    <w:basedOn w:val="DefaultParagraphFont"/>
    <w:uiPriority w:val="99"/>
    <w:semiHidden/>
    <w:unhideWhenUsed/>
    <w:rsid w:val="00412D81"/>
    <w:rPr>
      <w:sz w:val="16"/>
      <w:szCs w:val="16"/>
    </w:rPr>
  </w:style>
  <w:style w:type="paragraph" w:styleId="CommentText">
    <w:name w:val="annotation text"/>
    <w:basedOn w:val="Normal"/>
    <w:link w:val="CommentTextChar"/>
    <w:uiPriority w:val="99"/>
    <w:semiHidden/>
    <w:unhideWhenUsed/>
    <w:rsid w:val="00412D81"/>
    <w:pPr>
      <w:spacing w:line="240" w:lineRule="auto"/>
    </w:pPr>
    <w:rPr>
      <w:sz w:val="20"/>
      <w:szCs w:val="20"/>
    </w:rPr>
  </w:style>
  <w:style w:type="character" w:customStyle="1" w:styleId="CommentTextChar">
    <w:name w:val="Comment Text Char"/>
    <w:basedOn w:val="DefaultParagraphFont"/>
    <w:link w:val="CommentText"/>
    <w:uiPriority w:val="99"/>
    <w:semiHidden/>
    <w:rsid w:val="00412D81"/>
    <w:rPr>
      <w:sz w:val="20"/>
      <w:szCs w:val="20"/>
    </w:rPr>
  </w:style>
  <w:style w:type="paragraph" w:styleId="CommentSubject">
    <w:name w:val="annotation subject"/>
    <w:basedOn w:val="CommentText"/>
    <w:next w:val="CommentText"/>
    <w:link w:val="CommentSubjectChar"/>
    <w:semiHidden/>
    <w:unhideWhenUsed/>
    <w:rsid w:val="00412D81"/>
    <w:rPr>
      <w:b/>
      <w:bCs/>
    </w:rPr>
  </w:style>
  <w:style w:type="character" w:customStyle="1" w:styleId="CommentSubjectChar">
    <w:name w:val="Comment Subject Char"/>
    <w:basedOn w:val="CommentTextChar"/>
    <w:link w:val="CommentSubject"/>
    <w:semiHidden/>
    <w:rsid w:val="00412D81"/>
    <w:rPr>
      <w:b/>
      <w:bCs/>
      <w:sz w:val="20"/>
      <w:szCs w:val="20"/>
    </w:rPr>
  </w:style>
  <w:style w:type="paragraph" w:styleId="BalloonText">
    <w:name w:val="Balloon Text"/>
    <w:basedOn w:val="Normal"/>
    <w:link w:val="BalloonTextChar"/>
    <w:uiPriority w:val="99"/>
    <w:semiHidden/>
    <w:unhideWhenUsed/>
    <w:rsid w:val="0041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81"/>
    <w:rPr>
      <w:rFonts w:ascii="Tahoma" w:hAnsi="Tahoma" w:cs="Tahoma"/>
      <w:sz w:val="16"/>
      <w:szCs w:val="16"/>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uiPriority w:val="99"/>
    <w:locked/>
    <w:rsid w:val="00C27EB3"/>
    <w:rPr>
      <w:lang w:val="en-US" w:eastAsia="en-US"/>
    </w:rPr>
  </w:style>
  <w:style w:type="character" w:styleId="Hyperlink">
    <w:name w:val="Hyperlink"/>
    <w:basedOn w:val="DefaultParagraphFont"/>
    <w:uiPriority w:val="99"/>
    <w:rsid w:val="00EA7E5B"/>
    <w:rPr>
      <w:color w:val="0000FF"/>
      <w:u w:val="single"/>
    </w:rPr>
  </w:style>
  <w:style w:type="table" w:styleId="TableGrid">
    <w:name w:val="Table Grid"/>
    <w:basedOn w:val="TableNormal"/>
    <w:uiPriority w:val="99"/>
    <w:rsid w:val="00807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6DE2"/>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310C49"/>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947EE6"/>
    <w:rPr>
      <w:rFonts w:ascii="Times New Roman Bold" w:eastAsiaTheme="majorEastAsia" w:hAnsi="Times New Roman Bold" w:cstheme="majorBidi"/>
      <w:b/>
      <w:bCs/>
      <w:sz w:val="24"/>
    </w:rPr>
  </w:style>
  <w:style w:type="character" w:customStyle="1" w:styleId="Heading4Char">
    <w:name w:val="Heading 4 Char"/>
    <w:basedOn w:val="DefaultParagraphFont"/>
    <w:link w:val="Heading4"/>
    <w:uiPriority w:val="9"/>
    <w:semiHidden/>
    <w:rsid w:val="00386DE2"/>
    <w:rPr>
      <w:rFonts w:ascii="Times New Roman Bold" w:eastAsiaTheme="majorEastAsia" w:hAnsi="Times New Roman Bold" w:cstheme="majorBidi"/>
      <w:b/>
      <w:bCs/>
      <w:iCs/>
      <w:sz w:val="24"/>
    </w:rPr>
  </w:style>
  <w:style w:type="paragraph" w:styleId="TOC1">
    <w:name w:val="toc 1"/>
    <w:basedOn w:val="Normal"/>
    <w:next w:val="Normal"/>
    <w:autoRedefine/>
    <w:uiPriority w:val="39"/>
    <w:unhideWhenUsed/>
    <w:qFormat/>
    <w:rsid w:val="001D29E8"/>
    <w:pPr>
      <w:tabs>
        <w:tab w:val="decimal" w:leader="dot" w:pos="864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1D29E8"/>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1D29E8"/>
    <w:pPr>
      <w:spacing w:after="240" w:line="240" w:lineRule="auto"/>
      <w:ind w:left="2160" w:hanging="720"/>
    </w:pPr>
    <w:rPr>
      <w:rFonts w:ascii="Times New Roman" w:hAnsi="Times New Roman"/>
      <w:sz w:val="24"/>
    </w:rPr>
  </w:style>
  <w:style w:type="paragraph" w:styleId="BodyText">
    <w:name w:val="Body Text"/>
    <w:basedOn w:val="Normal"/>
    <w:link w:val="BodyTextChar"/>
    <w:rsid w:val="00F214B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14B0"/>
    <w:rPr>
      <w:rFonts w:ascii="Times New Roman" w:eastAsia="Times New Roman" w:hAnsi="Times New Roman" w:cs="Times New Roman"/>
      <w:sz w:val="24"/>
      <w:szCs w:val="20"/>
    </w:rPr>
  </w:style>
  <w:style w:type="character" w:customStyle="1" w:styleId="ssrfcpassagedeactivated">
    <w:name w:val="ss_rfcpassage_deactivated"/>
    <w:basedOn w:val="DefaultParagraphFont"/>
    <w:rsid w:val="00D80ABE"/>
  </w:style>
  <w:style w:type="character" w:customStyle="1" w:styleId="sssh">
    <w:name w:val="ss_sh"/>
    <w:basedOn w:val="DefaultParagraphFont"/>
    <w:rsid w:val="00D80ABE"/>
  </w:style>
  <w:style w:type="character" w:customStyle="1" w:styleId="ssit1">
    <w:name w:val="ss_it1"/>
    <w:basedOn w:val="DefaultParagraphFont"/>
    <w:rsid w:val="00D80ABE"/>
    <w:rPr>
      <w:i/>
      <w:iCs/>
    </w:rPr>
  </w:style>
  <w:style w:type="paragraph" w:styleId="NormalWeb">
    <w:name w:val="Normal (Web)"/>
    <w:basedOn w:val="Normal"/>
    <w:uiPriority w:val="99"/>
    <w:unhideWhenUsed/>
    <w:rsid w:val="006A3A1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6A3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540">
      <w:bodyDiv w:val="1"/>
      <w:marLeft w:val="0"/>
      <w:marRight w:val="0"/>
      <w:marTop w:val="0"/>
      <w:marBottom w:val="0"/>
      <w:divBdr>
        <w:top w:val="none" w:sz="0" w:space="0" w:color="auto"/>
        <w:left w:val="none" w:sz="0" w:space="0" w:color="auto"/>
        <w:bottom w:val="none" w:sz="0" w:space="0" w:color="auto"/>
        <w:right w:val="none" w:sz="0" w:space="0" w:color="auto"/>
      </w:divBdr>
    </w:div>
    <w:div w:id="279188403">
      <w:bodyDiv w:val="1"/>
      <w:marLeft w:val="0"/>
      <w:marRight w:val="0"/>
      <w:marTop w:val="0"/>
      <w:marBottom w:val="0"/>
      <w:divBdr>
        <w:top w:val="none" w:sz="0" w:space="0" w:color="auto"/>
        <w:left w:val="none" w:sz="0" w:space="0" w:color="auto"/>
        <w:bottom w:val="none" w:sz="0" w:space="0" w:color="auto"/>
        <w:right w:val="none" w:sz="0" w:space="0" w:color="auto"/>
      </w:divBdr>
    </w:div>
    <w:div w:id="13809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header" Target="header3.xml"/><Relationship Id="rId18" Type="http://schemas.openxmlformats.org/officeDocument/2006/relationships/hyperlink" Target="mailto:Kyle.kern@occ.ohio.gov" TargetMode="External"/><Relationship Id="rId26" Type="http://schemas.openxmlformats.org/officeDocument/2006/relationships/hyperlink" Target="mailto:hussey@carpenterlipps.com" TargetMode="External"/><Relationship Id="rId39"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mailto:John.jones@puc.state.oh.us" TargetMode="External"/><Relationship Id="rId34" Type="http://schemas.openxmlformats.org/officeDocument/2006/relationships/hyperlink" Target="mailto:Bojko@carpenterlipps.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mkimbrough@keglerbrown.com" TargetMode="External"/><Relationship Id="rId33" Type="http://schemas.openxmlformats.org/officeDocument/2006/relationships/hyperlink" Target="mailto:mpritchard@mwncmh.com" TargetMode="External"/><Relationship Id="rId38" Type="http://schemas.openxmlformats.org/officeDocument/2006/relationships/hyperlink" Target="mailto:TDougherty@theOEC.org"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Katie.johnson@puc.state.oh.us" TargetMode="External"/><Relationship Id="rId29" Type="http://schemas.openxmlformats.org/officeDocument/2006/relationships/hyperlink" Target="mailto:Christine.pirik@puc.state.oh.u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sonderman@keglerbrown.cocm" TargetMode="External"/><Relationship Id="rId32" Type="http://schemas.openxmlformats.org/officeDocument/2006/relationships/hyperlink" Target="mailto:Elizabeth.watts@duke-energy.com" TargetMode="External"/><Relationship Id="rId37" Type="http://schemas.openxmlformats.org/officeDocument/2006/relationships/hyperlink" Target="mailto:jkylercohn@BKLlawfirm.com"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Michael.schuler@occ.ohio.gov" TargetMode="External"/><Relationship Id="rId23" Type="http://schemas.openxmlformats.org/officeDocument/2006/relationships/hyperlink" Target="mailto:cmooney@ohiopartners.org" TargetMode="External"/><Relationship Id="rId28" Type="http://schemas.openxmlformats.org/officeDocument/2006/relationships/hyperlink" Target="mailto:swilliams@nrdc.org" TargetMode="External"/><Relationship Id="rId36" Type="http://schemas.openxmlformats.org/officeDocument/2006/relationships/hyperlink" Target="mailto:mkurtz@BKLlawfirm.com" TargetMode="External"/><Relationship Id="rId10" Type="http://schemas.openxmlformats.org/officeDocument/2006/relationships/header" Target="header2.xml"/><Relationship Id="rId19" Type="http://schemas.openxmlformats.org/officeDocument/2006/relationships/hyperlink" Target="mailto:Michael.schuler@occ.ohio.gov" TargetMode="External"/><Relationship Id="rId31"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rinebolt@ohiopartners.org" TargetMode="External"/><Relationship Id="rId27" Type="http://schemas.openxmlformats.org/officeDocument/2006/relationships/hyperlink" Target="mailto:jvickers@elpc.org" TargetMode="External"/><Relationship Id="rId30" Type="http://schemas.openxmlformats.org/officeDocument/2006/relationships/hyperlink" Target="mailto:Nicholas.walstra@puc.state.oh.us" TargetMode="External"/><Relationship Id="rId35" Type="http://schemas.openxmlformats.org/officeDocument/2006/relationships/hyperlink" Target="mailto:dboehm@BKLlawfirm.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Final_decision/11474-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6406</Words>
  <Characters>34500</Characters>
  <Application>Microsoft Office Word</Application>
  <DocSecurity>0</DocSecurity>
  <Lines>705</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2015-08-21T14:03:00Z</cp:lastPrinted>
  <dcterms:created xsi:type="dcterms:W3CDTF">2015-08-21T19:19:00Z</dcterms:created>
  <dcterms:modified xsi:type="dcterms:W3CDTF">2015-08-21T19:19:00Z</dcterms:modified>
  <cp:category> </cp:category>
  <cp:contentStatus> </cp:contentStatus>
</cp:coreProperties>
</file>