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53250C" w:rsidRPr="00FE178E" w:rsidP="0053250C" w14:paraId="462AA766" w14:textId="77777777">
      <w:pPr>
        <w:pStyle w:val="Title"/>
        <w:rPr>
          <w:sz w:val="24"/>
          <w:szCs w:val="24"/>
        </w:rPr>
      </w:pPr>
      <w:bookmarkStart w:id="0" w:name="_GoBack"/>
      <w:bookmarkEnd w:id="0"/>
      <w:r w:rsidRPr="00FE178E">
        <w:rPr>
          <w:sz w:val="24"/>
          <w:szCs w:val="24"/>
        </w:rPr>
        <w:t>BEFORE</w:t>
      </w:r>
    </w:p>
    <w:p w:rsidR="0053250C" w:rsidRPr="00FE178E" w:rsidP="0053250C" w14:paraId="6D64DF6D" w14:textId="77777777">
      <w:pPr>
        <w:jc w:val="center"/>
        <w:rPr>
          <w:b/>
        </w:rPr>
      </w:pPr>
      <w:r w:rsidRPr="00FE178E">
        <w:rPr>
          <w:b/>
        </w:rPr>
        <w:t>THE PUBLIC UTILITIES COMMISSION OF OHIO</w:t>
      </w:r>
    </w:p>
    <w:p w:rsidR="0053250C" w:rsidRPr="00FE178E" w:rsidP="0053250C" w14:paraId="51DC3D9A" w14:textId="77777777">
      <w:pPr>
        <w:jc w:val="center"/>
        <w:rPr>
          <w:b/>
        </w:rPr>
      </w:pPr>
    </w:p>
    <w:tbl>
      <w:tblPr>
        <w:tblW w:w="8900" w:type="dxa"/>
        <w:tblLook w:val="01E0"/>
      </w:tblPr>
      <w:tblGrid>
        <w:gridCol w:w="4140"/>
        <w:gridCol w:w="360"/>
        <w:gridCol w:w="4400"/>
      </w:tblGrid>
      <w:tr w14:paraId="359FC867" w14:textId="77777777" w:rsidTr="00F9228C">
        <w:tblPrEx>
          <w:tblW w:w="8900" w:type="dxa"/>
          <w:tblLook w:val="01E0"/>
        </w:tblPrEx>
        <w:trPr>
          <w:trHeight w:val="792"/>
        </w:trPr>
        <w:tc>
          <w:tcPr>
            <w:tcW w:w="4140" w:type="dxa"/>
            <w:shd w:val="clear" w:color="auto" w:fill="auto"/>
          </w:tcPr>
          <w:p w:rsidR="0053250C" w:rsidRPr="00FE178E" w:rsidP="0053250C" w14:paraId="09341118" w14:textId="77777777">
            <w:pPr>
              <w:autoSpaceDE w:val="0"/>
              <w:autoSpaceDN w:val="0"/>
              <w:adjustRightInd w:val="0"/>
            </w:pPr>
            <w:r w:rsidRPr="00FE178E">
              <w:t xml:space="preserve">In the Matter of the Review of Duke </w:t>
            </w:r>
          </w:p>
          <w:p w:rsidR="0053250C" w:rsidRPr="00FE178E" w:rsidP="0053250C" w14:paraId="2D807886" w14:textId="77777777">
            <w:pPr>
              <w:autoSpaceDE w:val="0"/>
              <w:autoSpaceDN w:val="0"/>
              <w:adjustRightInd w:val="0"/>
            </w:pPr>
            <w:r w:rsidRPr="00FE178E">
              <w:t xml:space="preserve">Energy Ohio, Inc.’s Distribution </w:t>
            </w:r>
          </w:p>
          <w:p w:rsidR="0053250C" w:rsidRPr="00FE178E" w:rsidP="0053250C" w14:paraId="349C6600" w14:textId="77777777">
            <w:pPr>
              <w:autoSpaceDE w:val="0"/>
              <w:autoSpaceDN w:val="0"/>
              <w:adjustRightInd w:val="0"/>
            </w:pPr>
            <w:r w:rsidRPr="00FE178E">
              <w:t xml:space="preserve">Capital Investment Rider. </w:t>
            </w:r>
          </w:p>
        </w:tc>
        <w:tc>
          <w:tcPr>
            <w:tcW w:w="360" w:type="dxa"/>
            <w:shd w:val="clear" w:color="auto" w:fill="auto"/>
          </w:tcPr>
          <w:p w:rsidR="0053250C" w:rsidRPr="00FE178E" w:rsidP="0053250C" w14:paraId="6F01E61D" w14:textId="77777777">
            <w:pPr>
              <w:pStyle w:val="HTMLPreformatted"/>
              <w:rPr>
                <w:rFonts w:ascii="Times New Roman" w:hAnsi="Times New Roman" w:cs="Times New Roman"/>
                <w:sz w:val="24"/>
                <w:szCs w:val="24"/>
              </w:rPr>
            </w:pPr>
            <w:r w:rsidRPr="00FE178E">
              <w:rPr>
                <w:rFonts w:ascii="Times New Roman" w:hAnsi="Times New Roman" w:cs="Times New Roman"/>
                <w:sz w:val="24"/>
                <w:szCs w:val="24"/>
              </w:rPr>
              <w:t>)</w:t>
            </w:r>
          </w:p>
          <w:p w:rsidR="0053250C" w:rsidRPr="00FE178E" w:rsidP="0053250C" w14:paraId="36E5D7C1" w14:textId="77777777">
            <w:pPr>
              <w:pStyle w:val="HTMLPreformatted"/>
              <w:rPr>
                <w:rFonts w:ascii="Times New Roman" w:hAnsi="Times New Roman" w:cs="Times New Roman"/>
                <w:sz w:val="24"/>
                <w:szCs w:val="24"/>
              </w:rPr>
            </w:pPr>
            <w:r w:rsidRPr="00FE178E">
              <w:rPr>
                <w:rFonts w:ascii="Times New Roman" w:hAnsi="Times New Roman" w:cs="Times New Roman"/>
                <w:sz w:val="24"/>
                <w:szCs w:val="24"/>
              </w:rPr>
              <w:t>)</w:t>
            </w:r>
          </w:p>
          <w:p w:rsidR="0053250C" w:rsidRPr="00FE178E" w:rsidP="0053250C" w14:paraId="2A92CC46" w14:textId="77777777">
            <w:pPr>
              <w:pStyle w:val="HTMLPreformatted"/>
              <w:rPr>
                <w:rFonts w:ascii="Times New Roman" w:hAnsi="Times New Roman" w:cs="Times New Roman"/>
                <w:sz w:val="24"/>
                <w:szCs w:val="24"/>
              </w:rPr>
            </w:pPr>
            <w:r w:rsidRPr="00FE178E">
              <w:rPr>
                <w:rFonts w:ascii="Times New Roman" w:hAnsi="Times New Roman" w:cs="Times New Roman"/>
                <w:sz w:val="24"/>
                <w:szCs w:val="24"/>
              </w:rPr>
              <w:t>)</w:t>
            </w:r>
          </w:p>
        </w:tc>
        <w:tc>
          <w:tcPr>
            <w:tcW w:w="4400" w:type="dxa"/>
            <w:shd w:val="clear" w:color="auto" w:fill="auto"/>
          </w:tcPr>
          <w:p w:rsidR="0053250C" w:rsidRPr="00FE178E" w:rsidP="0053250C" w14:paraId="5CB36601" w14:textId="77777777">
            <w:pPr>
              <w:pStyle w:val="HTMLPreformatted"/>
              <w:rPr>
                <w:rFonts w:ascii="Times New Roman" w:hAnsi="Times New Roman" w:cs="Times New Roman"/>
                <w:sz w:val="24"/>
                <w:szCs w:val="24"/>
              </w:rPr>
            </w:pPr>
          </w:p>
          <w:p w:rsidR="0053250C" w:rsidRPr="00FE178E" w:rsidP="0053250C" w14:paraId="695D26A0" w14:textId="2D594118">
            <w:pPr>
              <w:pStyle w:val="HTMLPreformatted"/>
              <w:rPr>
                <w:rFonts w:ascii="Times New Roman" w:hAnsi="Times New Roman" w:cs="Times New Roman"/>
                <w:sz w:val="24"/>
                <w:szCs w:val="24"/>
              </w:rPr>
            </w:pPr>
            <w:r w:rsidRPr="00FE178E">
              <w:rPr>
                <w:rFonts w:ascii="Times New Roman" w:hAnsi="Times New Roman" w:cs="Times New Roman"/>
                <w:sz w:val="24"/>
                <w:szCs w:val="24"/>
              </w:rPr>
              <w:t>Case No. 1</w:t>
            </w:r>
            <w:r w:rsidRPr="00FE178E" w:rsidR="000722DA">
              <w:rPr>
                <w:rFonts w:ascii="Times New Roman" w:hAnsi="Times New Roman" w:cs="Times New Roman"/>
                <w:sz w:val="24"/>
                <w:szCs w:val="24"/>
              </w:rPr>
              <w:t>9-1287</w:t>
            </w:r>
            <w:r w:rsidRPr="00FE178E">
              <w:rPr>
                <w:rFonts w:ascii="Times New Roman" w:hAnsi="Times New Roman" w:cs="Times New Roman"/>
                <w:sz w:val="24"/>
                <w:szCs w:val="24"/>
              </w:rPr>
              <w:t>-EL-RDR</w:t>
            </w:r>
          </w:p>
        </w:tc>
      </w:tr>
    </w:tbl>
    <w:p w:rsidR="0053250C" w:rsidRPr="00FE178E" w:rsidP="00AD4195" w14:paraId="4DD7F00F" w14:textId="77777777">
      <w:pPr>
        <w:pStyle w:val="Heading1"/>
      </w:pPr>
    </w:p>
    <w:p w:rsidR="0053250C" w:rsidRPr="00FE178E" w:rsidP="0053250C" w14:paraId="702144B7" w14:textId="77777777">
      <w:pPr>
        <w:pBdr>
          <w:top w:val="single" w:sz="12" w:space="1" w:color="auto"/>
        </w:pBdr>
      </w:pPr>
    </w:p>
    <w:p w:rsidR="0053250C" w:rsidRPr="00FE178E" w:rsidP="0053250C" w14:paraId="47561572" w14:textId="77777777">
      <w:pPr>
        <w:jc w:val="center"/>
        <w:rPr>
          <w:b/>
        </w:rPr>
      </w:pPr>
      <w:r w:rsidRPr="00FE178E">
        <w:rPr>
          <w:b/>
        </w:rPr>
        <w:t xml:space="preserve">COMMENTS </w:t>
      </w:r>
    </w:p>
    <w:p w:rsidR="0053250C" w:rsidRPr="00FE178E" w:rsidP="0053250C" w14:paraId="4C817EB8" w14:textId="77777777">
      <w:pPr>
        <w:jc w:val="center"/>
        <w:rPr>
          <w:b/>
        </w:rPr>
      </w:pPr>
      <w:r w:rsidRPr="00FE178E">
        <w:rPr>
          <w:b/>
        </w:rPr>
        <w:t>BY</w:t>
      </w:r>
    </w:p>
    <w:p w:rsidR="0053250C" w:rsidRPr="00FE178E" w:rsidP="0053250C" w14:paraId="1EE73D8D" w14:textId="77777777">
      <w:pPr>
        <w:jc w:val="center"/>
        <w:rPr>
          <w:b/>
        </w:rPr>
      </w:pPr>
      <w:r w:rsidRPr="00FE178E">
        <w:rPr>
          <w:b/>
        </w:rPr>
        <w:t>THE OFFICE OF THE OHIO CONSUMERS’ COUNSEL</w:t>
      </w:r>
    </w:p>
    <w:p w:rsidR="0053250C" w:rsidRPr="00FE178E" w:rsidP="0053250C" w14:paraId="2831027F" w14:textId="77777777">
      <w:pPr>
        <w:pBdr>
          <w:bottom w:val="single" w:sz="12" w:space="1" w:color="auto"/>
        </w:pBdr>
      </w:pPr>
    </w:p>
    <w:p w:rsidR="0053250C" w:rsidRPr="00FE178E" w14:paraId="7B39856B" w14:textId="77777777">
      <w:pPr>
        <w:rPr>
          <w:b/>
        </w:rPr>
      </w:pPr>
    </w:p>
    <w:p w:rsidR="0053250C" w:rsidRPr="00FE178E" w:rsidP="0053250C" w14:paraId="68C05E6B" w14:textId="77777777">
      <w:pPr>
        <w:pStyle w:val="Title"/>
        <w:rPr>
          <w:sz w:val="24"/>
          <w:szCs w:val="24"/>
        </w:rPr>
      </w:pPr>
    </w:p>
    <w:p w:rsidR="0053250C" w:rsidRPr="00FE178E" w:rsidP="0053250C" w14:paraId="36F31526" w14:textId="77777777">
      <w:pPr>
        <w:pStyle w:val="Title"/>
        <w:rPr>
          <w:sz w:val="24"/>
          <w:szCs w:val="24"/>
        </w:rPr>
      </w:pPr>
    </w:p>
    <w:p w:rsidR="0053250C" w:rsidRPr="00FE178E" w:rsidP="0053250C" w14:paraId="267F2A53" w14:textId="77777777">
      <w:pPr>
        <w:pStyle w:val="Footer"/>
        <w:tabs>
          <w:tab w:val="left" w:pos="4320"/>
        </w:tabs>
        <w:ind w:left="4320"/>
        <w:rPr>
          <w:rFonts w:ascii="Times New Roman" w:hAnsi="Times New Roman" w:cs="Times New Roman"/>
          <w:sz w:val="24"/>
          <w:szCs w:val="24"/>
        </w:rPr>
      </w:pPr>
    </w:p>
    <w:p w:rsidR="0053250C" w:rsidRPr="00FE178E" w:rsidP="0053250C" w14:paraId="77876B9F" w14:textId="77777777">
      <w:pPr>
        <w:pStyle w:val="Footer"/>
        <w:tabs>
          <w:tab w:val="left" w:pos="4320"/>
        </w:tabs>
        <w:ind w:left="4320"/>
        <w:rPr>
          <w:rFonts w:ascii="Times New Roman" w:hAnsi="Times New Roman" w:cs="Times New Roman"/>
          <w:sz w:val="24"/>
          <w:szCs w:val="24"/>
        </w:rPr>
      </w:pPr>
    </w:p>
    <w:p w:rsidR="0053250C" w:rsidRPr="00FE178E" w:rsidP="0053250C" w14:paraId="213898D1" w14:textId="77777777">
      <w:pPr>
        <w:pStyle w:val="Footer"/>
        <w:tabs>
          <w:tab w:val="left" w:pos="4320"/>
        </w:tabs>
        <w:ind w:left="4320"/>
        <w:rPr>
          <w:rFonts w:ascii="Times New Roman" w:hAnsi="Times New Roman" w:cs="Times New Roman"/>
          <w:sz w:val="24"/>
          <w:szCs w:val="24"/>
        </w:rPr>
      </w:pPr>
    </w:p>
    <w:p w:rsidR="0053250C" w:rsidRPr="00FE178E" w:rsidP="0053250C" w14:paraId="134B4CB1" w14:textId="77777777">
      <w:pPr>
        <w:pStyle w:val="Footer"/>
        <w:tabs>
          <w:tab w:val="left" w:pos="4320"/>
        </w:tabs>
        <w:ind w:left="4320"/>
        <w:rPr>
          <w:rFonts w:ascii="Times New Roman" w:hAnsi="Times New Roman" w:cs="Times New Roman"/>
          <w:sz w:val="24"/>
          <w:szCs w:val="24"/>
        </w:rPr>
      </w:pPr>
    </w:p>
    <w:p w:rsidR="0053250C" w:rsidRPr="00FE178E" w:rsidP="0053250C" w14:paraId="4AC9CFB5" w14:textId="77777777">
      <w:pPr>
        <w:pStyle w:val="Footer"/>
        <w:tabs>
          <w:tab w:val="left" w:pos="4320"/>
        </w:tabs>
        <w:ind w:left="4320"/>
        <w:rPr>
          <w:rFonts w:ascii="Times New Roman" w:hAnsi="Times New Roman" w:cs="Times New Roman"/>
          <w:sz w:val="24"/>
          <w:szCs w:val="24"/>
        </w:rPr>
      </w:pPr>
    </w:p>
    <w:p w:rsidR="0053250C" w:rsidRPr="00FE178E" w:rsidP="0053250C" w14:paraId="3B322F71" w14:textId="77777777">
      <w:pPr>
        <w:pStyle w:val="Footer"/>
        <w:tabs>
          <w:tab w:val="left" w:pos="4320"/>
        </w:tabs>
        <w:ind w:left="4320"/>
        <w:rPr>
          <w:rFonts w:ascii="Times New Roman" w:hAnsi="Times New Roman" w:cs="Times New Roman"/>
          <w:sz w:val="24"/>
          <w:szCs w:val="24"/>
        </w:rPr>
      </w:pPr>
    </w:p>
    <w:p w:rsidR="0053250C" w:rsidRPr="00FE178E" w:rsidP="0053250C" w14:paraId="0F52CFFB" w14:textId="77777777">
      <w:pPr>
        <w:pStyle w:val="Footer"/>
        <w:tabs>
          <w:tab w:val="left" w:pos="4320"/>
        </w:tabs>
        <w:ind w:left="4320"/>
        <w:rPr>
          <w:rFonts w:ascii="Times New Roman" w:hAnsi="Times New Roman" w:cs="Times New Roman"/>
          <w:sz w:val="24"/>
          <w:szCs w:val="24"/>
        </w:rPr>
      </w:pPr>
    </w:p>
    <w:p w:rsidR="0053250C" w:rsidRPr="00FE178E" w:rsidP="0053250C" w14:paraId="7701800F" w14:textId="77777777">
      <w:pPr>
        <w:pStyle w:val="Footer"/>
        <w:tabs>
          <w:tab w:val="left" w:pos="4320"/>
        </w:tabs>
        <w:ind w:left="4320"/>
        <w:rPr>
          <w:rFonts w:ascii="Times New Roman" w:hAnsi="Times New Roman" w:cs="Times New Roman"/>
          <w:sz w:val="24"/>
          <w:szCs w:val="24"/>
        </w:rPr>
      </w:pPr>
    </w:p>
    <w:p w:rsidR="0053250C" w:rsidRPr="00FE178E" w:rsidP="0053250C" w14:paraId="0F9AC247" w14:textId="77777777">
      <w:pPr>
        <w:pStyle w:val="Footer"/>
        <w:tabs>
          <w:tab w:val="left" w:pos="4320"/>
        </w:tabs>
        <w:ind w:left="4320"/>
        <w:rPr>
          <w:rFonts w:ascii="Times New Roman" w:hAnsi="Times New Roman" w:cs="Times New Roman"/>
          <w:sz w:val="24"/>
          <w:szCs w:val="24"/>
        </w:rPr>
      </w:pPr>
    </w:p>
    <w:p w:rsidR="00AD4195" w:rsidRPr="00FE178E" w:rsidP="00217C13" w14:paraId="76ACFF60" w14:textId="77777777">
      <w:pPr>
        <w:pStyle w:val="Footer"/>
        <w:tabs>
          <w:tab w:val="left" w:pos="4320"/>
        </w:tabs>
        <w:ind w:left="4320"/>
        <w:rPr>
          <w:rFonts w:ascii="Times New Roman" w:hAnsi="Times New Roman" w:cs="Times New Roman"/>
          <w:sz w:val="24"/>
          <w:szCs w:val="24"/>
        </w:rPr>
      </w:pPr>
    </w:p>
    <w:p w:rsidR="00AD4195" w:rsidRPr="00FE178E" w:rsidP="00217C13" w14:paraId="2AF468A3" w14:textId="77777777">
      <w:pPr>
        <w:pStyle w:val="Footer"/>
        <w:tabs>
          <w:tab w:val="left" w:pos="4320"/>
        </w:tabs>
        <w:ind w:left="4320"/>
        <w:rPr>
          <w:rFonts w:ascii="Times New Roman" w:hAnsi="Times New Roman" w:cs="Times New Roman"/>
          <w:sz w:val="24"/>
          <w:szCs w:val="24"/>
        </w:rPr>
      </w:pPr>
    </w:p>
    <w:p w:rsidR="00AD4195" w:rsidRPr="00FE178E" w:rsidP="00217C13" w14:paraId="43137AC9" w14:textId="77777777">
      <w:pPr>
        <w:pStyle w:val="Footer"/>
        <w:tabs>
          <w:tab w:val="left" w:pos="4320"/>
        </w:tabs>
        <w:ind w:left="4320"/>
        <w:rPr>
          <w:rFonts w:ascii="Times New Roman" w:hAnsi="Times New Roman" w:cs="Times New Roman"/>
          <w:sz w:val="24"/>
          <w:szCs w:val="24"/>
        </w:rPr>
      </w:pPr>
    </w:p>
    <w:p w:rsidR="00AD4195" w:rsidRPr="00FE178E" w:rsidP="00217C13" w14:paraId="69338B68" w14:textId="77777777">
      <w:pPr>
        <w:pStyle w:val="Footer"/>
        <w:tabs>
          <w:tab w:val="left" w:pos="4320"/>
        </w:tabs>
        <w:ind w:left="4320"/>
        <w:rPr>
          <w:rFonts w:ascii="Times New Roman" w:hAnsi="Times New Roman" w:cs="Times New Roman"/>
          <w:sz w:val="24"/>
          <w:szCs w:val="24"/>
        </w:rPr>
      </w:pPr>
    </w:p>
    <w:p w:rsidR="00AD4195" w:rsidRPr="00FE178E" w:rsidP="00217C13" w14:paraId="0B6B8005" w14:textId="77777777">
      <w:pPr>
        <w:pStyle w:val="Footer"/>
        <w:tabs>
          <w:tab w:val="left" w:pos="4320"/>
        </w:tabs>
        <w:ind w:left="4320"/>
        <w:rPr>
          <w:rFonts w:ascii="Times New Roman" w:hAnsi="Times New Roman" w:cs="Times New Roman"/>
          <w:sz w:val="24"/>
          <w:szCs w:val="24"/>
        </w:rPr>
      </w:pPr>
    </w:p>
    <w:p w:rsidR="00AD4195" w:rsidRPr="00FE178E" w:rsidP="00217C13" w14:paraId="4436476F" w14:textId="77777777">
      <w:pPr>
        <w:pStyle w:val="Footer"/>
        <w:tabs>
          <w:tab w:val="left" w:pos="4320"/>
        </w:tabs>
        <w:ind w:left="4320"/>
        <w:rPr>
          <w:rFonts w:ascii="Times New Roman" w:hAnsi="Times New Roman" w:cs="Times New Roman"/>
          <w:sz w:val="24"/>
          <w:szCs w:val="24"/>
        </w:rPr>
      </w:pPr>
    </w:p>
    <w:p w:rsidR="0053250C" w:rsidRPr="00FE178E" w:rsidP="00217C13" w14:paraId="3F1BD6F7" w14:textId="715F4583">
      <w:pPr>
        <w:pStyle w:val="Footer"/>
        <w:tabs>
          <w:tab w:val="left" w:pos="4320"/>
        </w:tabs>
        <w:ind w:left="4320"/>
        <w:rPr>
          <w:rFonts w:ascii="Times New Roman" w:hAnsi="Times New Roman" w:cs="Times New Roman"/>
          <w:sz w:val="24"/>
          <w:szCs w:val="24"/>
        </w:rPr>
      </w:pPr>
      <w:r w:rsidRPr="00FE178E">
        <w:rPr>
          <w:rFonts w:ascii="Times New Roman" w:hAnsi="Times New Roman" w:cs="Times New Roman"/>
          <w:sz w:val="24"/>
          <w:szCs w:val="24"/>
        </w:rPr>
        <w:t>Bruce Weston (0016973)</w:t>
      </w:r>
    </w:p>
    <w:p w:rsidR="0053250C" w:rsidRPr="00FE178E" w:rsidP="00217C13" w14:paraId="2A128BE9" w14:textId="77777777">
      <w:pPr>
        <w:pStyle w:val="ListParagraph"/>
        <w:tabs>
          <w:tab w:val="left" w:pos="4320"/>
        </w:tabs>
        <w:spacing w:line="240" w:lineRule="auto"/>
        <w:ind w:left="4320"/>
        <w:rPr>
          <w:rFonts w:ascii="Times New Roman" w:hAnsi="Times New Roman" w:cs="Times New Roman"/>
          <w:sz w:val="24"/>
          <w:szCs w:val="24"/>
        </w:rPr>
      </w:pPr>
      <w:r w:rsidRPr="00FE178E">
        <w:rPr>
          <w:rFonts w:ascii="Times New Roman" w:hAnsi="Times New Roman" w:cs="Times New Roman"/>
          <w:sz w:val="24"/>
          <w:szCs w:val="24"/>
        </w:rPr>
        <w:t>Ohio Consumers’ Counsel</w:t>
      </w:r>
    </w:p>
    <w:p w:rsidR="0053250C" w:rsidRPr="00FE178E" w:rsidP="0053250C" w14:paraId="248E3CBE" w14:textId="77777777">
      <w:pPr>
        <w:pStyle w:val="ListParagraph"/>
        <w:tabs>
          <w:tab w:val="left" w:pos="4320"/>
        </w:tabs>
        <w:ind w:left="4320"/>
        <w:rPr>
          <w:rFonts w:ascii="Times New Roman" w:hAnsi="Times New Roman" w:cs="Times New Roman"/>
          <w:sz w:val="24"/>
          <w:szCs w:val="24"/>
        </w:rPr>
      </w:pPr>
      <w:r w:rsidRPr="00FE178E">
        <w:rPr>
          <w:rFonts w:ascii="Times New Roman" w:hAnsi="Times New Roman" w:cs="Times New Roman"/>
          <w:sz w:val="24"/>
          <w:szCs w:val="24"/>
        </w:rPr>
        <w:tab/>
      </w:r>
    </w:p>
    <w:p w:rsidR="00217C13" w:rsidRPr="00FE178E" w:rsidP="00217C13" w14:paraId="016FCAC9" w14:textId="5EFA419D">
      <w:pPr>
        <w:pStyle w:val="ListParagraph"/>
        <w:tabs>
          <w:tab w:val="left" w:pos="4320"/>
        </w:tabs>
        <w:spacing w:line="240" w:lineRule="auto"/>
        <w:ind w:left="4320"/>
        <w:rPr>
          <w:rFonts w:ascii="Times New Roman" w:hAnsi="Times New Roman" w:cs="Times New Roman"/>
          <w:sz w:val="24"/>
          <w:szCs w:val="24"/>
        </w:rPr>
      </w:pPr>
      <w:r w:rsidRPr="00FE178E">
        <w:rPr>
          <w:rFonts w:ascii="Times New Roman" w:hAnsi="Times New Roman" w:cs="Times New Roman"/>
          <w:sz w:val="24"/>
          <w:szCs w:val="24"/>
        </w:rPr>
        <w:t>Ambrosia Logsdon (0096598)</w:t>
      </w:r>
    </w:p>
    <w:p w:rsidR="0053250C" w:rsidRPr="00FE178E" w:rsidP="00217C13" w14:paraId="7FBD095B" w14:textId="4B103ADD">
      <w:pPr>
        <w:pStyle w:val="ListParagraph"/>
        <w:tabs>
          <w:tab w:val="left" w:pos="4320"/>
        </w:tabs>
        <w:spacing w:line="240" w:lineRule="auto"/>
        <w:ind w:left="4320"/>
        <w:rPr>
          <w:rFonts w:ascii="Times New Roman" w:hAnsi="Times New Roman" w:cs="Times New Roman"/>
          <w:sz w:val="24"/>
          <w:szCs w:val="24"/>
        </w:rPr>
      </w:pPr>
      <w:r w:rsidRPr="00FE178E">
        <w:rPr>
          <w:rFonts w:ascii="Times New Roman" w:hAnsi="Times New Roman" w:cs="Times New Roman"/>
          <w:sz w:val="24"/>
          <w:szCs w:val="24"/>
        </w:rPr>
        <w:t>Counsel of Record</w:t>
      </w:r>
      <w:r w:rsidRPr="00FE178E" w:rsidR="00217C13">
        <w:rPr>
          <w:rFonts w:ascii="Times New Roman" w:hAnsi="Times New Roman" w:cs="Times New Roman"/>
          <w:sz w:val="24"/>
          <w:szCs w:val="24"/>
        </w:rPr>
        <w:br/>
        <w:t>Assistant Consumers’ Counsel</w:t>
      </w:r>
    </w:p>
    <w:p w:rsidR="0053250C" w:rsidRPr="00FE178E" w:rsidP="003832AA" w14:paraId="71FEE165" w14:textId="2DEE3000">
      <w:pPr>
        <w:rPr>
          <w:b/>
          <w:bCs/>
        </w:rPr>
      </w:pPr>
      <w:r w:rsidRPr="00FE178E">
        <w:tab/>
      </w:r>
      <w:r w:rsidRPr="00FE178E" w:rsidR="003832AA">
        <w:tab/>
      </w:r>
      <w:r w:rsidRPr="00FE178E" w:rsidR="003832AA">
        <w:tab/>
      </w:r>
      <w:r w:rsidRPr="00FE178E" w:rsidR="003832AA">
        <w:tab/>
      </w:r>
      <w:r w:rsidRPr="00FE178E" w:rsidR="003832AA">
        <w:tab/>
      </w:r>
      <w:r w:rsidRPr="00FE178E" w:rsidR="003832AA">
        <w:tab/>
      </w:r>
      <w:r w:rsidRPr="00FE178E">
        <w:rPr>
          <w:b/>
          <w:bCs/>
        </w:rPr>
        <w:t>Office of the Ohio Consumers’ Counsel</w:t>
      </w:r>
    </w:p>
    <w:p w:rsidR="0053250C" w:rsidRPr="00FE178E" w:rsidP="0053250C" w14:paraId="5A19DAA6" w14:textId="77777777">
      <w:pPr>
        <w:ind w:left="4320"/>
      </w:pPr>
      <w:r w:rsidRPr="00FE178E">
        <w:t>65 East State Street, 7</w:t>
      </w:r>
      <w:r w:rsidRPr="00FE178E">
        <w:rPr>
          <w:vertAlign w:val="superscript"/>
        </w:rPr>
        <w:t>th</w:t>
      </w:r>
      <w:r w:rsidRPr="00FE178E">
        <w:t xml:space="preserve"> Floor</w:t>
      </w:r>
    </w:p>
    <w:p w:rsidR="0053250C" w:rsidRPr="00FE178E" w:rsidP="0053250C" w14:paraId="2CE605EC" w14:textId="77777777">
      <w:pPr>
        <w:ind w:left="4320"/>
      </w:pPr>
      <w:r w:rsidRPr="00FE178E">
        <w:t>Columbus, Ohio 43215</w:t>
      </w:r>
    </w:p>
    <w:p w:rsidR="00217C13" w:rsidRPr="00FE178E" w:rsidP="00217C13" w14:paraId="2B275823" w14:textId="77777777">
      <w:pPr>
        <w:pStyle w:val="ListParagraph"/>
        <w:autoSpaceDE w:val="0"/>
        <w:autoSpaceDN w:val="0"/>
        <w:adjustRightInd w:val="0"/>
        <w:spacing w:after="0" w:line="240" w:lineRule="auto"/>
        <w:ind w:left="3600" w:firstLine="720"/>
        <w:rPr>
          <w:rFonts w:ascii="Times New Roman" w:hAnsi="Times New Roman" w:cs="Times New Roman"/>
          <w:sz w:val="24"/>
          <w:szCs w:val="24"/>
        </w:rPr>
      </w:pPr>
      <w:r w:rsidRPr="00FE178E">
        <w:rPr>
          <w:rFonts w:ascii="Times New Roman" w:hAnsi="Times New Roman" w:cs="Times New Roman"/>
          <w:sz w:val="24"/>
          <w:szCs w:val="24"/>
        </w:rPr>
        <w:t>Telephone: (614) 466-129</w:t>
      </w:r>
      <w:r w:rsidRPr="00FE178E" w:rsidR="000722DA">
        <w:rPr>
          <w:rFonts w:ascii="Times New Roman" w:hAnsi="Times New Roman" w:cs="Times New Roman"/>
          <w:sz w:val="24"/>
          <w:szCs w:val="24"/>
        </w:rPr>
        <w:t>2</w:t>
      </w:r>
    </w:p>
    <w:p w:rsidR="00217C13" w:rsidRPr="00FE178E" w:rsidP="0053250C" w14:paraId="32EACE3F" w14:textId="5FE3F500">
      <w:pPr>
        <w:pStyle w:val="ListParagraph"/>
        <w:autoSpaceDE w:val="0"/>
        <w:autoSpaceDN w:val="0"/>
        <w:adjustRightInd w:val="0"/>
        <w:spacing w:after="0" w:line="240" w:lineRule="auto"/>
        <w:ind w:left="0"/>
        <w:rPr>
          <w:rStyle w:val="Hyperlink"/>
          <w:rFonts w:ascii="Times New Roman" w:hAnsi="Times New Roman" w:cs="Times New Roman"/>
          <w:sz w:val="24"/>
          <w:szCs w:val="24"/>
        </w:rPr>
      </w:pPr>
      <w:r w:rsidRPr="00FE178E">
        <w:rPr>
          <w:rFonts w:ascii="Times New Roman" w:hAnsi="Times New Roman" w:cs="Times New Roman"/>
          <w:sz w:val="24"/>
          <w:szCs w:val="24"/>
        </w:rPr>
        <w:tab/>
      </w:r>
      <w:r w:rsidRPr="00FE178E">
        <w:rPr>
          <w:rFonts w:ascii="Times New Roman" w:hAnsi="Times New Roman" w:cs="Times New Roman"/>
          <w:sz w:val="24"/>
          <w:szCs w:val="24"/>
        </w:rPr>
        <w:tab/>
      </w:r>
      <w:r w:rsidRPr="00FE178E">
        <w:rPr>
          <w:rFonts w:ascii="Times New Roman" w:hAnsi="Times New Roman" w:cs="Times New Roman"/>
          <w:sz w:val="24"/>
          <w:szCs w:val="24"/>
        </w:rPr>
        <w:tab/>
      </w:r>
      <w:r w:rsidRPr="00FE178E">
        <w:rPr>
          <w:rFonts w:ascii="Times New Roman" w:hAnsi="Times New Roman" w:cs="Times New Roman"/>
          <w:sz w:val="24"/>
          <w:szCs w:val="24"/>
        </w:rPr>
        <w:tab/>
      </w:r>
      <w:r w:rsidRPr="00FE178E">
        <w:rPr>
          <w:rFonts w:ascii="Times New Roman" w:hAnsi="Times New Roman" w:cs="Times New Roman"/>
          <w:sz w:val="24"/>
          <w:szCs w:val="24"/>
        </w:rPr>
        <w:tab/>
      </w:r>
      <w:r w:rsidRPr="00FE178E">
        <w:rPr>
          <w:rFonts w:ascii="Times New Roman" w:hAnsi="Times New Roman" w:cs="Times New Roman"/>
          <w:sz w:val="24"/>
          <w:szCs w:val="24"/>
        </w:rPr>
        <w:tab/>
      </w:r>
      <w:hyperlink r:id="rId6" w:history="1">
        <w:r w:rsidRPr="00FE178E">
          <w:rPr>
            <w:rStyle w:val="Hyperlink"/>
            <w:rFonts w:ascii="Times New Roman" w:hAnsi="Times New Roman" w:cs="Times New Roman"/>
            <w:sz w:val="24"/>
            <w:szCs w:val="24"/>
          </w:rPr>
          <w:t>Ambrosia.Logsdon@occ.ohio.gov</w:t>
        </w:r>
      </w:hyperlink>
    </w:p>
    <w:p w:rsidR="003832AA" w:rsidRPr="00FE178E" w:rsidP="0053250C" w14:paraId="473AEF98" w14:textId="00EE4CD5">
      <w:pPr>
        <w:pStyle w:val="ListParagraph"/>
        <w:autoSpaceDE w:val="0"/>
        <w:autoSpaceDN w:val="0"/>
        <w:adjustRightInd w:val="0"/>
        <w:spacing w:after="0" w:line="240" w:lineRule="auto"/>
        <w:ind w:left="0"/>
        <w:rPr>
          <w:rStyle w:val="Hyperlink"/>
          <w:rFonts w:ascii="Times New Roman" w:hAnsi="Times New Roman" w:cs="Times New Roman"/>
          <w:color w:val="auto"/>
          <w:sz w:val="24"/>
          <w:szCs w:val="24"/>
          <w:u w:val="none"/>
        </w:rPr>
      </w:pPr>
      <w:r w:rsidRPr="00FE178E">
        <w:rPr>
          <w:rStyle w:val="Hyperlink"/>
          <w:rFonts w:ascii="Times New Roman" w:hAnsi="Times New Roman" w:cs="Times New Roman"/>
          <w:color w:val="auto"/>
          <w:sz w:val="24"/>
          <w:szCs w:val="24"/>
          <w:u w:val="none"/>
        </w:rPr>
        <w:t>February 28, 2020</w:t>
      </w:r>
      <w:r w:rsidRPr="00FE178E">
        <w:rPr>
          <w:rStyle w:val="Hyperlink"/>
          <w:rFonts w:ascii="Times New Roman" w:hAnsi="Times New Roman" w:cs="Times New Roman"/>
          <w:color w:val="auto"/>
          <w:sz w:val="24"/>
          <w:szCs w:val="24"/>
          <w:u w:val="none"/>
        </w:rPr>
        <w:tab/>
      </w:r>
      <w:r w:rsidRPr="00FE178E">
        <w:rPr>
          <w:rStyle w:val="Hyperlink"/>
          <w:rFonts w:ascii="Times New Roman" w:hAnsi="Times New Roman" w:cs="Times New Roman"/>
          <w:sz w:val="24"/>
          <w:szCs w:val="24"/>
          <w:u w:val="none"/>
        </w:rPr>
        <w:tab/>
      </w:r>
      <w:r w:rsidRPr="00FE178E">
        <w:rPr>
          <w:rStyle w:val="Hyperlink"/>
          <w:rFonts w:ascii="Times New Roman" w:hAnsi="Times New Roman" w:cs="Times New Roman"/>
          <w:sz w:val="24"/>
          <w:szCs w:val="24"/>
          <w:u w:val="none"/>
        </w:rPr>
        <w:tab/>
      </w:r>
      <w:r w:rsidRPr="00FE178E">
        <w:rPr>
          <w:rStyle w:val="Hyperlink"/>
          <w:rFonts w:ascii="Times New Roman" w:hAnsi="Times New Roman" w:cs="Times New Roman"/>
          <w:sz w:val="24"/>
          <w:szCs w:val="24"/>
          <w:u w:val="none"/>
        </w:rPr>
        <w:tab/>
      </w:r>
      <w:r w:rsidRPr="00FE178E">
        <w:rPr>
          <w:rStyle w:val="Hyperlink"/>
          <w:rFonts w:ascii="Times New Roman" w:hAnsi="Times New Roman" w:cs="Times New Roman"/>
          <w:color w:val="auto"/>
          <w:sz w:val="24"/>
          <w:szCs w:val="24"/>
          <w:u w:val="none"/>
        </w:rPr>
        <w:t>(willing to accept service by e-mail)</w:t>
      </w:r>
    </w:p>
    <w:p w:rsidR="00D7626F" w:rsidRPr="00FE178E" w:rsidP="0053250C" w14:paraId="3559BACD" w14:textId="77777777">
      <w:pPr>
        <w:pStyle w:val="ListParagraph"/>
        <w:autoSpaceDE w:val="0"/>
        <w:autoSpaceDN w:val="0"/>
        <w:adjustRightInd w:val="0"/>
        <w:spacing w:after="0" w:line="240" w:lineRule="auto"/>
        <w:ind w:left="0"/>
        <w:rPr>
          <w:rFonts w:ascii="Times New Roman" w:hAnsi="Times New Roman" w:cs="Times New Roman"/>
          <w:sz w:val="24"/>
          <w:szCs w:val="24"/>
        </w:rPr>
        <w:sectPr w:rsidSect="003832AA">
          <w:footerReference w:type="default" r:id="rId7"/>
          <w:pgSz w:w="12240" w:h="15840"/>
          <w:pgMar w:top="1440" w:right="1800" w:bottom="1440" w:left="1800" w:header="720" w:footer="720" w:gutter="0"/>
          <w:pgNumType w:fmt="lowerRoman" w:start="1"/>
          <w:cols w:space="720"/>
          <w:docGrid w:linePitch="360"/>
        </w:sectPr>
      </w:pPr>
    </w:p>
    <w:p w:rsidR="0053250C" w:rsidRPr="00FE178E" w:rsidP="0053250C" w14:paraId="593C5510" w14:textId="77777777">
      <w:pPr>
        <w:pStyle w:val="Title"/>
        <w:rPr>
          <w:sz w:val="24"/>
          <w:szCs w:val="24"/>
          <w:u w:val="single"/>
        </w:rPr>
      </w:pPr>
      <w:r w:rsidRPr="00FE178E">
        <w:rPr>
          <w:sz w:val="24"/>
          <w:szCs w:val="24"/>
          <w:u w:val="single"/>
        </w:rPr>
        <w:t>TABLE OF CONTENTS</w:t>
      </w:r>
    </w:p>
    <w:p w:rsidR="0053250C" w:rsidRPr="00FE178E" w:rsidP="0053250C" w14:paraId="7A982A17" w14:textId="77777777">
      <w:pPr>
        <w:pStyle w:val="Title"/>
        <w:jc w:val="left"/>
        <w:rPr>
          <w:sz w:val="24"/>
          <w:szCs w:val="24"/>
        </w:rPr>
      </w:pPr>
    </w:p>
    <w:p w:rsidR="0053250C" w:rsidRPr="00FE178E" w:rsidP="00FF4ED9" w14:paraId="3A93A80C" w14:textId="73DD32A1">
      <w:pPr>
        <w:pStyle w:val="Title"/>
        <w:jc w:val="right"/>
        <w:rPr>
          <w:sz w:val="24"/>
          <w:szCs w:val="24"/>
        </w:rPr>
      </w:pPr>
      <w:r w:rsidRPr="00FE178E">
        <w:rPr>
          <w:sz w:val="24"/>
          <w:szCs w:val="24"/>
        </w:rPr>
        <w:t>PAGE</w:t>
      </w:r>
    </w:p>
    <w:p w:rsidR="003832AA" w:rsidRPr="00FE178E" w:rsidP="0053250C" w14:paraId="4B2DFCC0" w14:textId="77777777">
      <w:pPr>
        <w:pStyle w:val="Title"/>
        <w:rPr>
          <w:sz w:val="24"/>
          <w:szCs w:val="24"/>
        </w:rPr>
      </w:pPr>
    </w:p>
    <w:p w:rsidR="00103AAE" w14:paraId="0C8CA976" w14:textId="76F47662">
      <w:pPr>
        <w:pStyle w:val="TOC1"/>
        <w:rPr>
          <w:rFonts w:asciiTheme="minorHAnsi" w:eastAsiaTheme="minorEastAsia" w:hAnsiTheme="minorHAnsi"/>
          <w:caps w:val="0"/>
          <w:noProof/>
          <w:sz w:val="22"/>
        </w:rPr>
      </w:pPr>
      <w:r w:rsidRPr="00FE178E">
        <w:rPr>
          <w:rFonts w:cs="Times New Roman"/>
          <w:szCs w:val="24"/>
        </w:rPr>
        <w:fldChar w:fldCharType="begin"/>
      </w:r>
      <w:r w:rsidRPr="00FE178E">
        <w:rPr>
          <w:rFonts w:cs="Times New Roman"/>
          <w:szCs w:val="24"/>
        </w:rPr>
        <w:instrText xml:space="preserve"> TOC \o "1-3" \h \z \u </w:instrText>
      </w:r>
      <w:r w:rsidRPr="00FE178E">
        <w:rPr>
          <w:rFonts w:cs="Times New Roman"/>
          <w:szCs w:val="24"/>
        </w:rPr>
        <w:fldChar w:fldCharType="separate"/>
      </w:r>
      <w:hyperlink w:anchor="_Toc33790158" w:history="1">
        <w:r w:rsidRPr="00847A88">
          <w:rPr>
            <w:rStyle w:val="Hyperlink"/>
            <w:noProof/>
          </w:rPr>
          <w:t>I.</w:t>
        </w:r>
        <w:r>
          <w:rPr>
            <w:rFonts w:asciiTheme="minorHAnsi" w:eastAsiaTheme="minorEastAsia" w:hAnsiTheme="minorHAnsi"/>
            <w:caps w:val="0"/>
            <w:noProof/>
            <w:sz w:val="22"/>
          </w:rPr>
          <w:tab/>
        </w:r>
        <w:r w:rsidRPr="00847A88">
          <w:rPr>
            <w:rStyle w:val="Hyperlink"/>
            <w:noProof/>
          </w:rPr>
          <w:t>INTRODUCTION</w:t>
        </w:r>
        <w:r>
          <w:rPr>
            <w:noProof/>
            <w:webHidden/>
          </w:rPr>
          <w:tab/>
        </w:r>
        <w:r>
          <w:rPr>
            <w:noProof/>
            <w:webHidden/>
          </w:rPr>
          <w:fldChar w:fldCharType="begin"/>
        </w:r>
        <w:r>
          <w:rPr>
            <w:noProof/>
            <w:webHidden/>
          </w:rPr>
          <w:instrText xml:space="preserve"> PAGEREF _Toc33790158 \h </w:instrText>
        </w:r>
        <w:r>
          <w:rPr>
            <w:noProof/>
            <w:webHidden/>
          </w:rPr>
          <w:fldChar w:fldCharType="separate"/>
        </w:r>
        <w:r>
          <w:rPr>
            <w:noProof/>
            <w:webHidden/>
          </w:rPr>
          <w:t>1</w:t>
        </w:r>
        <w:r>
          <w:rPr>
            <w:noProof/>
            <w:webHidden/>
          </w:rPr>
          <w:fldChar w:fldCharType="end"/>
        </w:r>
      </w:hyperlink>
    </w:p>
    <w:p w:rsidR="00103AAE" w14:paraId="0B4DDA3A" w14:textId="22F234A5">
      <w:pPr>
        <w:pStyle w:val="TOC1"/>
        <w:rPr>
          <w:rFonts w:asciiTheme="minorHAnsi" w:eastAsiaTheme="minorEastAsia" w:hAnsiTheme="minorHAnsi"/>
          <w:caps w:val="0"/>
          <w:noProof/>
          <w:sz w:val="22"/>
        </w:rPr>
      </w:pPr>
      <w:hyperlink w:anchor="_Toc33790159" w:history="1">
        <w:r w:rsidRPr="00847A88">
          <w:rPr>
            <w:rStyle w:val="Hyperlink"/>
            <w:noProof/>
          </w:rPr>
          <w:t>II.</w:t>
        </w:r>
        <w:r>
          <w:rPr>
            <w:rFonts w:asciiTheme="minorHAnsi" w:eastAsiaTheme="minorEastAsia" w:hAnsiTheme="minorHAnsi"/>
            <w:caps w:val="0"/>
            <w:noProof/>
            <w:sz w:val="22"/>
          </w:rPr>
          <w:tab/>
        </w:r>
        <w:r w:rsidRPr="00847A88">
          <w:rPr>
            <w:rStyle w:val="Hyperlink"/>
            <w:noProof/>
          </w:rPr>
          <w:t>COMMENTS</w:t>
        </w:r>
        <w:r>
          <w:rPr>
            <w:noProof/>
            <w:webHidden/>
          </w:rPr>
          <w:tab/>
        </w:r>
        <w:r>
          <w:rPr>
            <w:noProof/>
            <w:webHidden/>
          </w:rPr>
          <w:fldChar w:fldCharType="begin"/>
        </w:r>
        <w:r>
          <w:rPr>
            <w:noProof/>
            <w:webHidden/>
          </w:rPr>
          <w:instrText xml:space="preserve"> PAGEREF _Toc33790159 \h </w:instrText>
        </w:r>
        <w:r>
          <w:rPr>
            <w:noProof/>
            <w:webHidden/>
          </w:rPr>
          <w:fldChar w:fldCharType="separate"/>
        </w:r>
        <w:r>
          <w:rPr>
            <w:noProof/>
            <w:webHidden/>
          </w:rPr>
          <w:t>2</w:t>
        </w:r>
        <w:r>
          <w:rPr>
            <w:noProof/>
            <w:webHidden/>
          </w:rPr>
          <w:fldChar w:fldCharType="end"/>
        </w:r>
      </w:hyperlink>
    </w:p>
    <w:p w:rsidR="00103AAE" w14:paraId="44B9AC0D" w14:textId="52B7907C">
      <w:pPr>
        <w:pStyle w:val="TOC2"/>
        <w:tabs>
          <w:tab w:val="left" w:pos="1440"/>
        </w:tabs>
        <w:rPr>
          <w:rFonts w:asciiTheme="minorHAnsi" w:eastAsiaTheme="minorEastAsia" w:hAnsiTheme="minorHAnsi"/>
          <w:noProof/>
          <w:sz w:val="22"/>
        </w:rPr>
      </w:pPr>
      <w:hyperlink w:anchor="_Toc33790160" w:history="1">
        <w:r w:rsidRPr="00847A88">
          <w:rPr>
            <w:rStyle w:val="Hyperlink"/>
            <w:rFonts w:cs="Times New Roman"/>
            <w:noProof/>
          </w:rPr>
          <w:t>A.</w:t>
        </w:r>
        <w:r>
          <w:rPr>
            <w:rFonts w:asciiTheme="minorHAnsi" w:eastAsiaTheme="minorEastAsia" w:hAnsiTheme="minorHAnsi"/>
            <w:noProof/>
            <w:sz w:val="22"/>
          </w:rPr>
          <w:tab/>
        </w:r>
        <w:r w:rsidRPr="00847A88">
          <w:rPr>
            <w:rStyle w:val="Hyperlink"/>
            <w:rFonts w:cs="Times New Roman"/>
            <w:noProof/>
          </w:rPr>
          <w:t>The PUCO should adopt recommendations made by the Auditor to remove improperly included transmission plant, operations and maintenance expenses, and incentive pay expenses from the distribution Rider so that customers are not overcharged.</w:t>
        </w:r>
        <w:r>
          <w:rPr>
            <w:noProof/>
            <w:webHidden/>
          </w:rPr>
          <w:tab/>
        </w:r>
        <w:r>
          <w:rPr>
            <w:noProof/>
            <w:webHidden/>
          </w:rPr>
          <w:fldChar w:fldCharType="begin"/>
        </w:r>
        <w:r>
          <w:rPr>
            <w:noProof/>
            <w:webHidden/>
          </w:rPr>
          <w:instrText xml:space="preserve"> PAGEREF _Toc33790160 \h </w:instrText>
        </w:r>
        <w:r>
          <w:rPr>
            <w:noProof/>
            <w:webHidden/>
          </w:rPr>
          <w:fldChar w:fldCharType="separate"/>
        </w:r>
        <w:r>
          <w:rPr>
            <w:noProof/>
            <w:webHidden/>
          </w:rPr>
          <w:t>2</w:t>
        </w:r>
        <w:r>
          <w:rPr>
            <w:noProof/>
            <w:webHidden/>
          </w:rPr>
          <w:fldChar w:fldCharType="end"/>
        </w:r>
      </w:hyperlink>
    </w:p>
    <w:p w:rsidR="00103AAE" w14:paraId="220A456B" w14:textId="6D52ED6E">
      <w:pPr>
        <w:pStyle w:val="TOC2"/>
        <w:tabs>
          <w:tab w:val="left" w:pos="1440"/>
        </w:tabs>
        <w:rPr>
          <w:rFonts w:asciiTheme="minorHAnsi" w:eastAsiaTheme="minorEastAsia" w:hAnsiTheme="minorHAnsi"/>
          <w:noProof/>
          <w:sz w:val="22"/>
        </w:rPr>
      </w:pPr>
      <w:hyperlink w:anchor="_Toc33790161" w:history="1">
        <w:r w:rsidRPr="00847A88">
          <w:rPr>
            <w:rStyle w:val="Hyperlink"/>
            <w:rFonts w:cs="Times New Roman"/>
            <w:noProof/>
          </w:rPr>
          <w:t>B.</w:t>
        </w:r>
        <w:r>
          <w:rPr>
            <w:rFonts w:asciiTheme="minorHAnsi" w:eastAsiaTheme="minorEastAsia" w:hAnsiTheme="minorHAnsi"/>
            <w:noProof/>
            <w:sz w:val="22"/>
          </w:rPr>
          <w:tab/>
        </w:r>
        <w:r w:rsidRPr="00847A88">
          <w:rPr>
            <w:rStyle w:val="Hyperlink"/>
            <w:rFonts w:cs="Times New Roman"/>
            <w:noProof/>
          </w:rPr>
          <w:t>The PUCO should adopt recommendations made by the Auditor to remove Contributions in Aid of Construction from the Rider to protect customers from paying for a return on non-investor supplied capital.</w:t>
        </w:r>
        <w:r>
          <w:rPr>
            <w:noProof/>
            <w:webHidden/>
          </w:rPr>
          <w:tab/>
        </w:r>
        <w:r>
          <w:rPr>
            <w:noProof/>
            <w:webHidden/>
          </w:rPr>
          <w:fldChar w:fldCharType="begin"/>
        </w:r>
        <w:r>
          <w:rPr>
            <w:noProof/>
            <w:webHidden/>
          </w:rPr>
          <w:instrText xml:space="preserve"> PAGEREF _Toc33790161 \h </w:instrText>
        </w:r>
        <w:r>
          <w:rPr>
            <w:noProof/>
            <w:webHidden/>
          </w:rPr>
          <w:fldChar w:fldCharType="separate"/>
        </w:r>
        <w:r>
          <w:rPr>
            <w:noProof/>
            <w:webHidden/>
          </w:rPr>
          <w:t>5</w:t>
        </w:r>
        <w:r>
          <w:rPr>
            <w:noProof/>
            <w:webHidden/>
          </w:rPr>
          <w:fldChar w:fldCharType="end"/>
        </w:r>
      </w:hyperlink>
    </w:p>
    <w:p w:rsidR="00103AAE" w14:paraId="7F15D36A" w14:textId="4AD13A42">
      <w:pPr>
        <w:pStyle w:val="TOC2"/>
        <w:tabs>
          <w:tab w:val="left" w:pos="1440"/>
        </w:tabs>
        <w:rPr>
          <w:rFonts w:asciiTheme="minorHAnsi" w:eastAsiaTheme="minorEastAsia" w:hAnsiTheme="minorHAnsi"/>
          <w:noProof/>
          <w:sz w:val="22"/>
        </w:rPr>
      </w:pPr>
      <w:hyperlink w:anchor="_Toc33790162" w:history="1">
        <w:r w:rsidRPr="00847A88">
          <w:rPr>
            <w:rStyle w:val="Hyperlink"/>
            <w:rFonts w:cs="Times New Roman"/>
            <w:noProof/>
          </w:rPr>
          <w:t>C.</w:t>
        </w:r>
        <w:r>
          <w:rPr>
            <w:rFonts w:asciiTheme="minorHAnsi" w:eastAsiaTheme="minorEastAsia" w:hAnsiTheme="minorHAnsi"/>
            <w:noProof/>
            <w:sz w:val="22"/>
          </w:rPr>
          <w:tab/>
        </w:r>
        <w:r w:rsidRPr="00847A88">
          <w:rPr>
            <w:rStyle w:val="Hyperlink"/>
            <w:rFonts w:cs="Times New Roman"/>
            <w:noProof/>
          </w:rPr>
          <w:t>To protect consumers, the PUCO should adopt recommendations made by the Auditor to remove improper expenses such as depreciation expense lag from unposted retirements and ineffective cost controls for estimating projects resulting from Duke’s inefficient accounting practices from the Distribution Improvement Rider.</w:t>
        </w:r>
        <w:r>
          <w:rPr>
            <w:noProof/>
            <w:webHidden/>
          </w:rPr>
          <w:tab/>
        </w:r>
        <w:r>
          <w:rPr>
            <w:noProof/>
            <w:webHidden/>
          </w:rPr>
          <w:fldChar w:fldCharType="begin"/>
        </w:r>
        <w:r>
          <w:rPr>
            <w:noProof/>
            <w:webHidden/>
          </w:rPr>
          <w:instrText xml:space="preserve"> PAGEREF _Toc33790162 \h </w:instrText>
        </w:r>
        <w:r>
          <w:rPr>
            <w:noProof/>
            <w:webHidden/>
          </w:rPr>
          <w:fldChar w:fldCharType="separate"/>
        </w:r>
        <w:r>
          <w:rPr>
            <w:noProof/>
            <w:webHidden/>
          </w:rPr>
          <w:t>7</w:t>
        </w:r>
        <w:r>
          <w:rPr>
            <w:noProof/>
            <w:webHidden/>
          </w:rPr>
          <w:fldChar w:fldCharType="end"/>
        </w:r>
      </w:hyperlink>
    </w:p>
    <w:p w:rsidR="00103AAE" w14:paraId="035C7688" w14:textId="27682482">
      <w:pPr>
        <w:pStyle w:val="TOC2"/>
        <w:tabs>
          <w:tab w:val="left" w:pos="1440"/>
        </w:tabs>
        <w:rPr>
          <w:rFonts w:asciiTheme="minorHAnsi" w:eastAsiaTheme="minorEastAsia" w:hAnsiTheme="minorHAnsi"/>
          <w:noProof/>
          <w:sz w:val="22"/>
        </w:rPr>
      </w:pPr>
      <w:hyperlink w:anchor="_Toc33790163" w:history="1">
        <w:r w:rsidRPr="00847A88">
          <w:rPr>
            <w:rStyle w:val="Hyperlink"/>
            <w:rFonts w:cs="Times New Roman"/>
            <w:noProof/>
          </w:rPr>
          <w:t>D.</w:t>
        </w:r>
        <w:r>
          <w:rPr>
            <w:rFonts w:asciiTheme="minorHAnsi" w:eastAsiaTheme="minorEastAsia" w:hAnsiTheme="minorHAnsi"/>
            <w:noProof/>
            <w:sz w:val="22"/>
          </w:rPr>
          <w:tab/>
        </w:r>
        <w:r w:rsidRPr="00847A88">
          <w:rPr>
            <w:rStyle w:val="Hyperlink"/>
            <w:rFonts w:cs="Times New Roman"/>
            <w:noProof/>
          </w:rPr>
          <w:t>The PUCO should enforce its previous orders and adopt recommendations made by the Auditor so that Duke’s Unitization and Retirement Work in Progress backlogs are eliminated, and consumers are protected from unreasonable charges.</w:t>
        </w:r>
        <w:r>
          <w:rPr>
            <w:noProof/>
            <w:webHidden/>
          </w:rPr>
          <w:tab/>
        </w:r>
        <w:r>
          <w:rPr>
            <w:noProof/>
            <w:webHidden/>
          </w:rPr>
          <w:fldChar w:fldCharType="begin"/>
        </w:r>
        <w:r>
          <w:rPr>
            <w:noProof/>
            <w:webHidden/>
          </w:rPr>
          <w:instrText xml:space="preserve"> PAGEREF _Toc33790163 \h </w:instrText>
        </w:r>
        <w:r>
          <w:rPr>
            <w:noProof/>
            <w:webHidden/>
          </w:rPr>
          <w:fldChar w:fldCharType="separate"/>
        </w:r>
        <w:r>
          <w:rPr>
            <w:noProof/>
            <w:webHidden/>
          </w:rPr>
          <w:t>9</w:t>
        </w:r>
        <w:r>
          <w:rPr>
            <w:noProof/>
            <w:webHidden/>
          </w:rPr>
          <w:fldChar w:fldCharType="end"/>
        </w:r>
      </w:hyperlink>
    </w:p>
    <w:p w:rsidR="00103AAE" w14:paraId="0D3BFDFA" w14:textId="016A9E52">
      <w:pPr>
        <w:pStyle w:val="TOC1"/>
        <w:rPr>
          <w:rFonts w:asciiTheme="minorHAnsi" w:eastAsiaTheme="minorEastAsia" w:hAnsiTheme="minorHAnsi"/>
          <w:caps w:val="0"/>
          <w:noProof/>
          <w:sz w:val="22"/>
        </w:rPr>
      </w:pPr>
      <w:hyperlink w:anchor="_Toc33790164" w:history="1">
        <w:r w:rsidRPr="00847A88">
          <w:rPr>
            <w:rStyle w:val="Hyperlink"/>
            <w:noProof/>
          </w:rPr>
          <w:t>III.</w:t>
        </w:r>
        <w:r>
          <w:rPr>
            <w:rFonts w:asciiTheme="minorHAnsi" w:eastAsiaTheme="minorEastAsia" w:hAnsiTheme="minorHAnsi"/>
            <w:caps w:val="0"/>
            <w:noProof/>
            <w:sz w:val="22"/>
          </w:rPr>
          <w:tab/>
        </w:r>
        <w:r w:rsidRPr="00847A88">
          <w:rPr>
            <w:rStyle w:val="Hyperlink"/>
            <w:noProof/>
          </w:rPr>
          <w:t>CONCLUSION</w:t>
        </w:r>
        <w:r>
          <w:rPr>
            <w:noProof/>
            <w:webHidden/>
          </w:rPr>
          <w:tab/>
        </w:r>
        <w:r>
          <w:rPr>
            <w:noProof/>
            <w:webHidden/>
          </w:rPr>
          <w:fldChar w:fldCharType="begin"/>
        </w:r>
        <w:r>
          <w:rPr>
            <w:noProof/>
            <w:webHidden/>
          </w:rPr>
          <w:instrText xml:space="preserve"> PAGEREF _Toc33790164 \h </w:instrText>
        </w:r>
        <w:r>
          <w:rPr>
            <w:noProof/>
            <w:webHidden/>
          </w:rPr>
          <w:fldChar w:fldCharType="separate"/>
        </w:r>
        <w:r>
          <w:rPr>
            <w:noProof/>
            <w:webHidden/>
          </w:rPr>
          <w:t>11</w:t>
        </w:r>
        <w:r>
          <w:rPr>
            <w:noProof/>
            <w:webHidden/>
          </w:rPr>
          <w:fldChar w:fldCharType="end"/>
        </w:r>
      </w:hyperlink>
    </w:p>
    <w:p w:rsidR="003832AA" w:rsidRPr="00FE178E" w:rsidP="0053250C" w14:paraId="16028596" w14:textId="3F8FD935">
      <w:pPr>
        <w:pStyle w:val="Title"/>
        <w:rPr>
          <w:sz w:val="24"/>
          <w:szCs w:val="24"/>
        </w:rPr>
      </w:pPr>
      <w:r w:rsidRPr="00FE178E">
        <w:rPr>
          <w:sz w:val="24"/>
          <w:szCs w:val="24"/>
        </w:rPr>
        <w:fldChar w:fldCharType="end"/>
      </w:r>
    </w:p>
    <w:p w:rsidR="00165460" w:rsidRPr="00FE178E" w:rsidP="0053250C" w14:paraId="5D27B81A" w14:textId="77777777">
      <w:pPr>
        <w:pStyle w:val="Title"/>
        <w:rPr>
          <w:sz w:val="24"/>
          <w:szCs w:val="24"/>
        </w:rPr>
      </w:pPr>
    </w:p>
    <w:p w:rsidR="00165460" w:rsidRPr="00FE178E" w:rsidP="0053250C" w14:paraId="2C8B91D0" w14:textId="77777777">
      <w:pPr>
        <w:pStyle w:val="Title"/>
        <w:rPr>
          <w:sz w:val="24"/>
          <w:szCs w:val="24"/>
        </w:rPr>
      </w:pPr>
    </w:p>
    <w:p w:rsidR="00165460" w:rsidRPr="00FE178E" w:rsidP="0053250C" w14:paraId="32CDC9DF" w14:textId="77777777">
      <w:pPr>
        <w:pStyle w:val="Title"/>
        <w:rPr>
          <w:sz w:val="24"/>
          <w:szCs w:val="24"/>
        </w:rPr>
      </w:pPr>
    </w:p>
    <w:p w:rsidR="00165460" w:rsidRPr="00FE178E" w:rsidP="0053250C" w14:paraId="10AE0CD9" w14:textId="77777777">
      <w:pPr>
        <w:pStyle w:val="Title"/>
        <w:rPr>
          <w:sz w:val="24"/>
          <w:szCs w:val="24"/>
        </w:rPr>
        <w:sectPr w:rsidSect="003832AA">
          <w:footerReference w:type="default" r:id="rId8"/>
          <w:pgSz w:w="12240" w:h="15840"/>
          <w:pgMar w:top="1440" w:right="1800" w:bottom="1440" w:left="1800" w:header="720" w:footer="720" w:gutter="0"/>
          <w:pgNumType w:fmt="lowerRoman" w:start="1"/>
          <w:cols w:space="720"/>
          <w:docGrid w:linePitch="360"/>
        </w:sectPr>
      </w:pPr>
    </w:p>
    <w:p w:rsidR="0053250C" w:rsidRPr="00FE178E" w:rsidP="0053250C" w14:paraId="6E1CA67C" w14:textId="77777777">
      <w:pPr>
        <w:pStyle w:val="Title"/>
        <w:rPr>
          <w:sz w:val="24"/>
          <w:szCs w:val="24"/>
        </w:rPr>
      </w:pPr>
      <w:r w:rsidRPr="00FE178E">
        <w:rPr>
          <w:sz w:val="24"/>
          <w:szCs w:val="24"/>
        </w:rPr>
        <w:t>BEFORE</w:t>
      </w:r>
    </w:p>
    <w:p w:rsidR="0053250C" w:rsidRPr="00FE178E" w:rsidP="0053250C" w14:paraId="5C2BE3D9" w14:textId="77777777">
      <w:pPr>
        <w:jc w:val="center"/>
        <w:rPr>
          <w:b/>
        </w:rPr>
      </w:pPr>
      <w:r w:rsidRPr="00FE178E">
        <w:rPr>
          <w:b/>
        </w:rPr>
        <w:t>THE PUBLIC UTILITIES COMMISSION OF OHIO</w:t>
      </w:r>
    </w:p>
    <w:p w:rsidR="0053250C" w:rsidRPr="00FE178E" w:rsidP="0053250C" w14:paraId="1AD0DEF7" w14:textId="77777777">
      <w:pPr>
        <w:jc w:val="center"/>
        <w:rPr>
          <w:b/>
        </w:rPr>
      </w:pPr>
    </w:p>
    <w:tbl>
      <w:tblPr>
        <w:tblW w:w="9998" w:type="dxa"/>
        <w:tblLook w:val="01E0"/>
      </w:tblPr>
      <w:tblGrid>
        <w:gridCol w:w="5238"/>
        <w:gridCol w:w="360"/>
        <w:gridCol w:w="4400"/>
      </w:tblGrid>
      <w:tr w14:paraId="65687504" w14:textId="77777777" w:rsidTr="0053250C">
        <w:tblPrEx>
          <w:tblW w:w="9998" w:type="dxa"/>
          <w:tblLook w:val="01E0"/>
        </w:tblPrEx>
        <w:trPr>
          <w:trHeight w:val="792"/>
        </w:trPr>
        <w:tc>
          <w:tcPr>
            <w:tcW w:w="5238" w:type="dxa"/>
            <w:shd w:val="clear" w:color="auto" w:fill="auto"/>
          </w:tcPr>
          <w:p w:rsidR="0053250C" w:rsidRPr="00FE178E" w:rsidP="0053250C" w14:paraId="5A06691E" w14:textId="77777777">
            <w:pPr>
              <w:autoSpaceDE w:val="0"/>
              <w:autoSpaceDN w:val="0"/>
              <w:adjustRightInd w:val="0"/>
            </w:pPr>
            <w:r w:rsidRPr="00FE178E">
              <w:t xml:space="preserve">In the Matter of the Review of Duke </w:t>
            </w:r>
          </w:p>
          <w:p w:rsidR="0053250C" w:rsidRPr="00FE178E" w:rsidP="0053250C" w14:paraId="42FB975D" w14:textId="77777777">
            <w:pPr>
              <w:autoSpaceDE w:val="0"/>
              <w:autoSpaceDN w:val="0"/>
              <w:adjustRightInd w:val="0"/>
            </w:pPr>
            <w:r w:rsidRPr="00FE178E">
              <w:t xml:space="preserve">Energy Ohio, Inc.’s Distribution </w:t>
            </w:r>
          </w:p>
          <w:p w:rsidR="0053250C" w:rsidRPr="00FE178E" w:rsidP="0053250C" w14:paraId="48EAA11A" w14:textId="77777777">
            <w:pPr>
              <w:autoSpaceDE w:val="0"/>
              <w:autoSpaceDN w:val="0"/>
              <w:adjustRightInd w:val="0"/>
            </w:pPr>
            <w:r w:rsidRPr="00FE178E">
              <w:t xml:space="preserve">Capital Investment Rider. </w:t>
            </w:r>
          </w:p>
        </w:tc>
        <w:tc>
          <w:tcPr>
            <w:tcW w:w="360" w:type="dxa"/>
            <w:shd w:val="clear" w:color="auto" w:fill="auto"/>
          </w:tcPr>
          <w:p w:rsidR="0053250C" w:rsidRPr="00FE178E" w:rsidP="0053250C" w14:paraId="6C3345DF" w14:textId="77777777">
            <w:pPr>
              <w:pStyle w:val="HTMLPreformatted"/>
              <w:rPr>
                <w:rFonts w:ascii="Times New Roman" w:hAnsi="Times New Roman" w:cs="Times New Roman"/>
                <w:sz w:val="24"/>
                <w:szCs w:val="24"/>
              </w:rPr>
            </w:pPr>
            <w:r w:rsidRPr="00FE178E">
              <w:rPr>
                <w:rFonts w:ascii="Times New Roman" w:hAnsi="Times New Roman" w:cs="Times New Roman"/>
                <w:sz w:val="24"/>
                <w:szCs w:val="24"/>
              </w:rPr>
              <w:t>)</w:t>
            </w:r>
          </w:p>
          <w:p w:rsidR="0053250C" w:rsidRPr="00FE178E" w:rsidP="0053250C" w14:paraId="060C7DA4" w14:textId="77777777">
            <w:pPr>
              <w:pStyle w:val="HTMLPreformatted"/>
              <w:rPr>
                <w:rFonts w:ascii="Times New Roman" w:hAnsi="Times New Roman" w:cs="Times New Roman"/>
                <w:sz w:val="24"/>
                <w:szCs w:val="24"/>
              </w:rPr>
            </w:pPr>
            <w:r w:rsidRPr="00FE178E">
              <w:rPr>
                <w:rFonts w:ascii="Times New Roman" w:hAnsi="Times New Roman" w:cs="Times New Roman"/>
                <w:sz w:val="24"/>
                <w:szCs w:val="24"/>
              </w:rPr>
              <w:t>)</w:t>
            </w:r>
          </w:p>
          <w:p w:rsidR="0053250C" w:rsidRPr="00FE178E" w:rsidP="004E7A35" w14:paraId="283CB959" w14:textId="77777777">
            <w:pPr>
              <w:pStyle w:val="HTMLPreformatted"/>
              <w:spacing w:after="240"/>
              <w:rPr>
                <w:rFonts w:ascii="Times New Roman" w:hAnsi="Times New Roman" w:cs="Times New Roman"/>
                <w:sz w:val="24"/>
                <w:szCs w:val="24"/>
              </w:rPr>
            </w:pPr>
            <w:r w:rsidRPr="00FE178E">
              <w:rPr>
                <w:rFonts w:ascii="Times New Roman" w:hAnsi="Times New Roman" w:cs="Times New Roman"/>
                <w:sz w:val="24"/>
                <w:szCs w:val="24"/>
              </w:rPr>
              <w:t>)</w:t>
            </w:r>
          </w:p>
        </w:tc>
        <w:tc>
          <w:tcPr>
            <w:tcW w:w="4400" w:type="dxa"/>
            <w:shd w:val="clear" w:color="auto" w:fill="auto"/>
          </w:tcPr>
          <w:p w:rsidR="0053250C" w:rsidRPr="00FE178E" w:rsidP="0053250C" w14:paraId="3C9F4AB9" w14:textId="77777777">
            <w:pPr>
              <w:pStyle w:val="HTMLPreformatted"/>
              <w:rPr>
                <w:rFonts w:ascii="Times New Roman" w:hAnsi="Times New Roman" w:cs="Times New Roman"/>
                <w:sz w:val="24"/>
                <w:szCs w:val="24"/>
              </w:rPr>
            </w:pPr>
          </w:p>
          <w:p w:rsidR="0053250C" w:rsidRPr="00FE178E" w:rsidP="0053250C" w14:paraId="4602684F" w14:textId="290415C0">
            <w:pPr>
              <w:pStyle w:val="HTMLPreformatted"/>
              <w:rPr>
                <w:rFonts w:ascii="Times New Roman" w:hAnsi="Times New Roman" w:cs="Times New Roman"/>
                <w:sz w:val="24"/>
                <w:szCs w:val="24"/>
              </w:rPr>
            </w:pPr>
            <w:r w:rsidRPr="00FE178E">
              <w:rPr>
                <w:rFonts w:ascii="Times New Roman" w:hAnsi="Times New Roman" w:cs="Times New Roman"/>
                <w:sz w:val="24"/>
                <w:szCs w:val="24"/>
              </w:rPr>
              <w:t>Case No. 1</w:t>
            </w:r>
            <w:r w:rsidRPr="00FE178E" w:rsidR="000722DA">
              <w:rPr>
                <w:rFonts w:ascii="Times New Roman" w:hAnsi="Times New Roman" w:cs="Times New Roman"/>
                <w:sz w:val="24"/>
                <w:szCs w:val="24"/>
              </w:rPr>
              <w:t>9</w:t>
            </w:r>
            <w:r w:rsidRPr="00FE178E">
              <w:rPr>
                <w:rFonts w:ascii="Times New Roman" w:hAnsi="Times New Roman" w:cs="Times New Roman"/>
                <w:sz w:val="24"/>
                <w:szCs w:val="24"/>
              </w:rPr>
              <w:t>-1</w:t>
            </w:r>
            <w:r w:rsidRPr="00FE178E" w:rsidR="000722DA">
              <w:rPr>
                <w:rFonts w:ascii="Times New Roman" w:hAnsi="Times New Roman" w:cs="Times New Roman"/>
                <w:sz w:val="24"/>
                <w:szCs w:val="24"/>
              </w:rPr>
              <w:t>287</w:t>
            </w:r>
            <w:r w:rsidRPr="00FE178E">
              <w:rPr>
                <w:rFonts w:ascii="Times New Roman" w:hAnsi="Times New Roman" w:cs="Times New Roman"/>
                <w:sz w:val="24"/>
                <w:szCs w:val="24"/>
              </w:rPr>
              <w:t>-EL-RDR</w:t>
            </w:r>
          </w:p>
        </w:tc>
      </w:tr>
    </w:tbl>
    <w:p w:rsidR="0053250C" w:rsidRPr="00FE178E" w:rsidP="00217C13" w14:paraId="77E1A25C" w14:textId="77777777">
      <w:pPr>
        <w:pBdr>
          <w:top w:val="single" w:sz="12" w:space="1" w:color="auto"/>
        </w:pBdr>
      </w:pPr>
    </w:p>
    <w:p w:rsidR="0053250C" w:rsidRPr="00FE178E" w:rsidP="0053250C" w14:paraId="261EACEB" w14:textId="77777777">
      <w:pPr>
        <w:jc w:val="center"/>
        <w:rPr>
          <w:b/>
        </w:rPr>
      </w:pPr>
      <w:r w:rsidRPr="00FE178E">
        <w:rPr>
          <w:b/>
        </w:rPr>
        <w:t xml:space="preserve">COMMENTS </w:t>
      </w:r>
    </w:p>
    <w:p w:rsidR="0053250C" w:rsidRPr="00FE178E" w:rsidP="0053250C" w14:paraId="01DC72D7" w14:textId="77777777">
      <w:pPr>
        <w:jc w:val="center"/>
        <w:rPr>
          <w:b/>
        </w:rPr>
      </w:pPr>
      <w:r w:rsidRPr="00FE178E">
        <w:rPr>
          <w:b/>
        </w:rPr>
        <w:t>BY</w:t>
      </w:r>
    </w:p>
    <w:p w:rsidR="0053250C" w:rsidRPr="00FE178E" w:rsidP="0053250C" w14:paraId="012E4FD1" w14:textId="77777777">
      <w:pPr>
        <w:jc w:val="center"/>
        <w:rPr>
          <w:b/>
        </w:rPr>
      </w:pPr>
      <w:r w:rsidRPr="00FE178E">
        <w:rPr>
          <w:b/>
        </w:rPr>
        <w:t>THE OFFICE OF THE OHIO CONSUMERS’ COUNSEL</w:t>
      </w:r>
    </w:p>
    <w:p w:rsidR="0053250C" w:rsidRPr="00FE178E" w:rsidP="0053250C" w14:paraId="68B8B0C2" w14:textId="77777777">
      <w:pPr>
        <w:pBdr>
          <w:bottom w:val="single" w:sz="12" w:space="1" w:color="auto"/>
        </w:pBdr>
      </w:pPr>
    </w:p>
    <w:p w:rsidR="0053250C" w:rsidRPr="00FE178E" w:rsidP="00AD4195" w14:paraId="1061FD48" w14:textId="77777777">
      <w:pPr>
        <w:pStyle w:val="Heading1"/>
      </w:pPr>
      <w:bookmarkStart w:id="1" w:name="_Toc33428779"/>
      <w:bookmarkStart w:id="2" w:name="_Toc33790158"/>
      <w:r w:rsidRPr="00FE178E">
        <w:t>I.</w:t>
      </w:r>
      <w:r w:rsidRPr="00FE178E">
        <w:tab/>
        <w:t>INTRODUCTION</w:t>
      </w:r>
      <w:bookmarkEnd w:id="1"/>
      <w:bookmarkEnd w:id="2"/>
    </w:p>
    <w:p w:rsidR="002D427B" w:rsidRPr="00FE178E" w:rsidP="002D427B" w14:paraId="2B2972F9" w14:textId="6199299D">
      <w:pPr>
        <w:spacing w:line="480" w:lineRule="auto"/>
        <w:ind w:firstLine="720"/>
      </w:pPr>
      <w:r w:rsidRPr="00FE178E">
        <w:t>The distribution capital investment rider (“Rider DCI”</w:t>
      </w:r>
      <w:r w:rsidRPr="00FE178E" w:rsidR="00481D7C">
        <w:t xml:space="preserve"> or “Rider”</w:t>
      </w:r>
      <w:r w:rsidRPr="00FE178E">
        <w:t xml:space="preserve">) enables </w:t>
      </w:r>
      <w:r w:rsidRPr="00FE178E" w:rsidR="00F6355C">
        <w:t>Duke Energy Ohio, Inc. (“Duke”) to</w:t>
      </w:r>
      <w:r w:rsidRPr="00FE178E">
        <w:t xml:space="preserve"> charge customers </w:t>
      </w:r>
      <w:r w:rsidRPr="00FE178E" w:rsidR="00F6355C">
        <w:t xml:space="preserve">for </w:t>
      </w:r>
      <w:r w:rsidRPr="00FE178E" w:rsidR="00870C01">
        <w:t xml:space="preserve">a return on and of its </w:t>
      </w:r>
      <w:r w:rsidRPr="00FE178E" w:rsidR="005C35F2">
        <w:t>distribution infrastructure investments</w:t>
      </w:r>
      <w:r w:rsidRPr="00FE178E">
        <w:t>.</w:t>
      </w:r>
      <w:r>
        <w:rPr>
          <w:rStyle w:val="FootnoteReference"/>
        </w:rPr>
        <w:footnoteReference w:id="2"/>
      </w:r>
      <w:r w:rsidRPr="00FE178E">
        <w:t xml:space="preserve"> </w:t>
      </w:r>
      <w:r w:rsidRPr="00FE178E" w:rsidR="00637796">
        <w:t xml:space="preserve">This </w:t>
      </w:r>
      <w:r w:rsidRPr="00FE178E" w:rsidR="008B1B8C">
        <w:t xml:space="preserve">Rider </w:t>
      </w:r>
      <w:r w:rsidRPr="00FE178E" w:rsidR="00AB1B0C">
        <w:t xml:space="preserve">also </w:t>
      </w:r>
      <w:r w:rsidRPr="00FE178E" w:rsidR="00637796">
        <w:t>allows Duke to charge customers sooner than under traditional ratemaking</w:t>
      </w:r>
      <w:r w:rsidRPr="00FE178E" w:rsidR="00870C01">
        <w:t xml:space="preserve"> and without the benefit of a full</w:t>
      </w:r>
      <w:r w:rsidRPr="00FE178E" w:rsidR="000F58BD">
        <w:t xml:space="preserve"> regulatory review of all revenues and expenses under a traditional</w:t>
      </w:r>
      <w:r w:rsidRPr="00FE178E" w:rsidR="00870C01">
        <w:t xml:space="preserve"> rate proceeding</w:t>
      </w:r>
      <w:r w:rsidRPr="00FE178E" w:rsidR="00637796">
        <w:t>.</w:t>
      </w:r>
      <w:r>
        <w:rPr>
          <w:rStyle w:val="FootnoteReference"/>
        </w:rPr>
        <w:footnoteReference w:id="3"/>
      </w:r>
      <w:r w:rsidRPr="00FE178E" w:rsidR="00637796">
        <w:t xml:space="preserve"> </w:t>
      </w:r>
      <w:r w:rsidRPr="00FE178E">
        <w:t xml:space="preserve">The </w:t>
      </w:r>
      <w:r w:rsidRPr="00FE178E" w:rsidR="00F6355C">
        <w:t xml:space="preserve">Public Utilities </w:t>
      </w:r>
      <w:r w:rsidRPr="00FE178E" w:rsidR="00F9228C">
        <w:t>Commission</w:t>
      </w:r>
      <w:r w:rsidRPr="00FE178E" w:rsidR="00F6355C">
        <w:t xml:space="preserve"> </w:t>
      </w:r>
      <w:r w:rsidRPr="00FE178E" w:rsidR="007A6963">
        <w:t xml:space="preserve">of Ohio </w:t>
      </w:r>
      <w:r w:rsidRPr="00FE178E" w:rsidR="00F6355C">
        <w:t>(“</w:t>
      </w:r>
      <w:r w:rsidRPr="00FE178E">
        <w:t>PUCO</w:t>
      </w:r>
      <w:r w:rsidRPr="00FE178E" w:rsidR="00F6355C">
        <w:t>”)</w:t>
      </w:r>
      <w:r w:rsidRPr="00FE178E">
        <w:t xml:space="preserve"> has required that Duke’s Rider be audited annually for accounting accuracy, prudence, and compliance with PUCO orders. Th</w:t>
      </w:r>
      <w:r w:rsidRPr="00FE178E" w:rsidR="000F58BD">
        <w:t>is</w:t>
      </w:r>
      <w:r w:rsidRPr="00FE178E">
        <w:t xml:space="preserve"> audit involve</w:t>
      </w:r>
      <w:r w:rsidRPr="00FE178E" w:rsidR="007A6963">
        <w:t>s</w:t>
      </w:r>
      <w:r w:rsidRPr="00FE178E">
        <w:t xml:space="preserve"> a review of capital spending during the period July 1, 2018 through June 30, 2019</w:t>
      </w:r>
      <w:r w:rsidRPr="00FE178E" w:rsidR="00EE734B">
        <w:t xml:space="preserve"> (“review period”)</w:t>
      </w:r>
      <w:r w:rsidRPr="00FE178E">
        <w:t xml:space="preserve">. </w:t>
      </w:r>
    </w:p>
    <w:p w:rsidR="00165460" w:rsidRPr="00FE178E" w:rsidP="00165460" w14:paraId="6CBDA230" w14:textId="77777777">
      <w:pPr>
        <w:spacing w:line="480" w:lineRule="auto"/>
        <w:ind w:firstLine="720"/>
        <w:sectPr w:rsidSect="00B842B2">
          <w:footerReference w:type="default" r:id="rId9"/>
          <w:pgSz w:w="12240" w:h="15840"/>
          <w:pgMar w:top="1440" w:right="1800" w:bottom="1440" w:left="1800" w:header="720" w:footer="720" w:gutter="0"/>
          <w:pgNumType w:start="1"/>
          <w:cols w:space="720"/>
          <w:docGrid w:linePitch="360"/>
        </w:sectPr>
      </w:pPr>
      <w:r w:rsidRPr="00FE178E">
        <w:t>Rehmann Consulting (</w:t>
      </w:r>
      <w:r w:rsidRPr="00FE178E" w:rsidR="00EE734B">
        <w:t>“Rehmann” or</w:t>
      </w:r>
      <w:r w:rsidRPr="00FE178E">
        <w:t xml:space="preserve"> “Auditor”) performed the audit and detailed the findings in an audit report filed with the PUCO.</w:t>
      </w:r>
      <w:r>
        <w:rPr>
          <w:rStyle w:val="FootnoteReference"/>
        </w:rPr>
        <w:footnoteReference w:id="4"/>
      </w:r>
      <w:r w:rsidRPr="00FE178E">
        <w:t xml:space="preserve"> The Auditor identified many issues </w:t>
      </w:r>
      <w:r w:rsidRPr="00FE178E" w:rsidR="001B71F3">
        <w:t>concerning</w:t>
      </w:r>
      <w:r w:rsidRPr="00FE178E">
        <w:t xml:space="preserve"> </w:t>
      </w:r>
      <w:r w:rsidRPr="00FE178E" w:rsidR="001B71F3">
        <w:t>the unreasonable</w:t>
      </w:r>
      <w:r w:rsidRPr="00FE178E">
        <w:t xml:space="preserve"> amount of </w:t>
      </w:r>
      <w:r w:rsidRPr="00FE178E" w:rsidR="00EE734B">
        <w:t xml:space="preserve">Rider </w:t>
      </w:r>
      <w:r w:rsidRPr="00FE178E">
        <w:t xml:space="preserve">DCI charges collected from customers </w:t>
      </w:r>
    </w:p>
    <w:p w:rsidR="002D427B" w:rsidRPr="00FE178E" w:rsidP="00165460" w14:paraId="24848361" w14:textId="42F98D68">
      <w:pPr>
        <w:spacing w:line="480" w:lineRule="auto"/>
      </w:pPr>
      <w:r w:rsidRPr="00FE178E">
        <w:t xml:space="preserve">during the audit period and a significant number of “defects” in Duke’s process, procedure, and policies that should be corrected. Some of these defects have </w:t>
      </w:r>
      <w:r w:rsidRPr="00FE178E" w:rsidR="001B71F3">
        <w:t xml:space="preserve">also </w:t>
      </w:r>
      <w:r w:rsidRPr="00FE178E">
        <w:t>been identified in prior audit reports</w:t>
      </w:r>
      <w:r w:rsidRPr="00FE178E" w:rsidR="003916C8">
        <w:t xml:space="preserve"> and yet Duke has made little progress in resolving the defect.</w:t>
      </w:r>
      <w:r w:rsidRPr="00FE178E">
        <w:t xml:space="preserve"> </w:t>
      </w:r>
      <w:r w:rsidRPr="00FE178E" w:rsidR="002720D8">
        <w:t xml:space="preserve">The Auditor also made several recommendations that will reduce the costs that were inaccurately recorded under Rider DCI by </w:t>
      </w:r>
      <w:r w:rsidRPr="00FE178E" w:rsidR="002140C6">
        <w:t>$13,611,269 and</w:t>
      </w:r>
      <w:r w:rsidRPr="00FE178E" w:rsidR="002720D8">
        <w:t xml:space="preserve"> lower the ongoing Rider DCI revenue requirement paid by customers by $880,052 </w:t>
      </w:r>
      <w:r w:rsidRPr="00FE178E" w:rsidR="00B230CD">
        <w:t xml:space="preserve">during the audit period, </w:t>
      </w:r>
      <w:r w:rsidRPr="00FE178E" w:rsidR="002720D8">
        <w:t>accordingly.</w:t>
      </w:r>
      <w:r>
        <w:rPr>
          <w:rStyle w:val="FootnoteReference"/>
        </w:rPr>
        <w:footnoteReference w:id="5"/>
      </w:r>
    </w:p>
    <w:p w:rsidR="00F6355C" w:rsidRPr="00FE178E" w:rsidP="00F6355C" w14:paraId="21B46EFA" w14:textId="374DE6D0">
      <w:pPr>
        <w:spacing w:line="480" w:lineRule="auto"/>
        <w:ind w:firstLine="720"/>
      </w:pPr>
      <w:r w:rsidRPr="00FE178E">
        <w:t xml:space="preserve">The purpose of these comments filed by the Office of the Ohio Consumers’ Counsel (“OCC”) is to recommend that the PUCO adopt </w:t>
      </w:r>
      <w:r w:rsidRPr="00FE178E" w:rsidR="0022691A">
        <w:t>all</w:t>
      </w:r>
      <w:r w:rsidRPr="00FE178E" w:rsidR="00F9228C">
        <w:t xml:space="preserve"> </w:t>
      </w:r>
      <w:r w:rsidRPr="00FE178E" w:rsidR="007A6963">
        <w:t>of the Auditor’s recommendations</w:t>
      </w:r>
      <w:r w:rsidRPr="00FE178E" w:rsidR="00EB7D77">
        <w:t xml:space="preserve">, </w:t>
      </w:r>
      <w:r w:rsidRPr="00FE178E" w:rsidR="006E5DE3">
        <w:t xml:space="preserve">along </w:t>
      </w:r>
      <w:r w:rsidRPr="00FE178E" w:rsidR="00EB7D77">
        <w:t>with some additional recommendations</w:t>
      </w:r>
      <w:r w:rsidRPr="00FE178E" w:rsidR="00EE734B">
        <w:t xml:space="preserve"> </w:t>
      </w:r>
      <w:r w:rsidRPr="00FE178E" w:rsidR="00560DE1">
        <w:t xml:space="preserve">by OCC </w:t>
      </w:r>
      <w:r w:rsidRPr="00FE178E" w:rsidR="00EE734B">
        <w:t xml:space="preserve">to </w:t>
      </w:r>
      <w:r w:rsidRPr="00FE178E" w:rsidR="00620895">
        <w:t xml:space="preserve">further </w:t>
      </w:r>
      <w:r w:rsidRPr="00FE178E" w:rsidR="00EE734B">
        <w:t xml:space="preserve">protect consumers from being overcharged </w:t>
      </w:r>
      <w:r w:rsidRPr="00FE178E" w:rsidR="004852DC">
        <w:t xml:space="preserve">through </w:t>
      </w:r>
      <w:r w:rsidRPr="00FE178E" w:rsidR="00EE734B">
        <w:t>the Rider</w:t>
      </w:r>
      <w:r w:rsidRPr="00FE178E">
        <w:t xml:space="preserve">. </w:t>
      </w:r>
    </w:p>
    <w:p w:rsidR="0053250C" w:rsidRPr="00FE178E" w:rsidP="00AD4195" w14:paraId="4639BEBF" w14:textId="0C1BD44C">
      <w:pPr>
        <w:pStyle w:val="Heading1"/>
      </w:pPr>
      <w:bookmarkStart w:id="3" w:name="_Toc33428780"/>
      <w:bookmarkStart w:id="4" w:name="_Toc33790159"/>
      <w:r w:rsidRPr="00FE178E">
        <w:t>II.</w:t>
      </w:r>
      <w:r w:rsidRPr="00FE178E">
        <w:tab/>
        <w:t>COMMENTS</w:t>
      </w:r>
      <w:bookmarkEnd w:id="3"/>
      <w:bookmarkEnd w:id="4"/>
    </w:p>
    <w:p w:rsidR="00965156" w:rsidRPr="00FE178E" w:rsidP="00B842B2" w14:paraId="761F2DC7" w14:textId="3CEBB2C8">
      <w:pPr>
        <w:pStyle w:val="Heading2"/>
        <w:rPr>
          <w:rFonts w:ascii="Times New Roman" w:hAnsi="Times New Roman" w:cs="Times New Roman"/>
          <w:szCs w:val="24"/>
        </w:rPr>
      </w:pPr>
      <w:bookmarkStart w:id="5" w:name="_Toc33428782"/>
      <w:bookmarkStart w:id="6" w:name="_Toc33790160"/>
      <w:r w:rsidRPr="00FE178E">
        <w:rPr>
          <w:rFonts w:ascii="Times New Roman" w:hAnsi="Times New Roman" w:cs="Times New Roman"/>
          <w:szCs w:val="24"/>
        </w:rPr>
        <w:t xml:space="preserve">The PUCO should adopt recommendations made by the Auditor to remove </w:t>
      </w:r>
      <w:r w:rsidRPr="00FE178E" w:rsidR="00BC0887">
        <w:rPr>
          <w:rFonts w:ascii="Times New Roman" w:hAnsi="Times New Roman" w:cs="Times New Roman"/>
          <w:szCs w:val="24"/>
        </w:rPr>
        <w:t xml:space="preserve">improperly included </w:t>
      </w:r>
      <w:r w:rsidRPr="00FE178E">
        <w:rPr>
          <w:rFonts w:ascii="Times New Roman" w:hAnsi="Times New Roman" w:cs="Times New Roman"/>
          <w:szCs w:val="24"/>
        </w:rPr>
        <w:t>transmission plant</w:t>
      </w:r>
      <w:r w:rsidRPr="00FE178E" w:rsidR="00BC0887">
        <w:rPr>
          <w:rFonts w:ascii="Times New Roman" w:hAnsi="Times New Roman" w:cs="Times New Roman"/>
          <w:szCs w:val="24"/>
        </w:rPr>
        <w:t>,</w:t>
      </w:r>
      <w:r w:rsidRPr="00FE178E">
        <w:rPr>
          <w:rFonts w:ascii="Times New Roman" w:hAnsi="Times New Roman" w:cs="Times New Roman"/>
          <w:szCs w:val="24"/>
        </w:rPr>
        <w:t xml:space="preserve"> </w:t>
      </w:r>
      <w:r w:rsidRPr="00FE178E" w:rsidR="002B1204">
        <w:rPr>
          <w:rFonts w:ascii="Times New Roman" w:hAnsi="Times New Roman" w:cs="Times New Roman"/>
          <w:szCs w:val="24"/>
        </w:rPr>
        <w:t xml:space="preserve">operations and </w:t>
      </w:r>
      <w:r w:rsidRPr="00FE178E">
        <w:rPr>
          <w:rFonts w:ascii="Times New Roman" w:hAnsi="Times New Roman" w:cs="Times New Roman"/>
          <w:szCs w:val="24"/>
        </w:rPr>
        <w:t>maintenance expenses</w:t>
      </w:r>
      <w:r w:rsidRPr="00FE178E" w:rsidR="00BC0887">
        <w:rPr>
          <w:rFonts w:ascii="Times New Roman" w:hAnsi="Times New Roman" w:cs="Times New Roman"/>
          <w:szCs w:val="24"/>
        </w:rPr>
        <w:t>, and incentive pay</w:t>
      </w:r>
      <w:r w:rsidRPr="00FE178E" w:rsidR="002B1204">
        <w:rPr>
          <w:rFonts w:ascii="Times New Roman" w:hAnsi="Times New Roman" w:cs="Times New Roman"/>
          <w:szCs w:val="24"/>
        </w:rPr>
        <w:t xml:space="preserve"> </w:t>
      </w:r>
      <w:r w:rsidRPr="00FE178E" w:rsidR="0079330F">
        <w:rPr>
          <w:rFonts w:ascii="Times New Roman" w:hAnsi="Times New Roman" w:cs="Times New Roman"/>
          <w:szCs w:val="24"/>
        </w:rPr>
        <w:t xml:space="preserve">expenses </w:t>
      </w:r>
      <w:r w:rsidRPr="00FE178E">
        <w:rPr>
          <w:rFonts w:ascii="Times New Roman" w:hAnsi="Times New Roman" w:cs="Times New Roman"/>
          <w:szCs w:val="24"/>
        </w:rPr>
        <w:t xml:space="preserve">from the </w:t>
      </w:r>
      <w:r w:rsidRPr="00FE178E" w:rsidR="004A09E6">
        <w:rPr>
          <w:rFonts w:ascii="Times New Roman" w:hAnsi="Times New Roman" w:cs="Times New Roman"/>
          <w:szCs w:val="24"/>
        </w:rPr>
        <w:t xml:space="preserve">distribution </w:t>
      </w:r>
      <w:r w:rsidRPr="00FE178E">
        <w:rPr>
          <w:rFonts w:ascii="Times New Roman" w:hAnsi="Times New Roman" w:cs="Times New Roman"/>
          <w:szCs w:val="24"/>
        </w:rPr>
        <w:t>Rider so that customers are not overcharged.</w:t>
      </w:r>
      <w:bookmarkEnd w:id="5"/>
      <w:bookmarkEnd w:id="6"/>
      <w:r w:rsidRPr="00FE178E" w:rsidR="00A50315">
        <w:rPr>
          <w:rFonts w:ascii="Times New Roman" w:hAnsi="Times New Roman" w:cs="Times New Roman"/>
          <w:szCs w:val="24"/>
        </w:rPr>
        <w:t xml:space="preserve">     </w:t>
      </w:r>
    </w:p>
    <w:p w:rsidR="00BC65B4" w:rsidRPr="00FE178E" w:rsidP="00BC65B4" w14:paraId="404FB655" w14:textId="77105DC4">
      <w:pPr>
        <w:spacing w:line="480" w:lineRule="auto"/>
        <w:ind w:firstLine="720"/>
      </w:pPr>
      <w:r w:rsidRPr="00FE178E">
        <w:t>The purpose of Rider DCI as approved by the PUCO is to allow Duke to proactively modernize its distribution infrastructure in order to improve reliability for customers.</w:t>
      </w:r>
      <w:r>
        <w:rPr>
          <w:rStyle w:val="FootnoteReference"/>
        </w:rPr>
        <w:footnoteReference w:id="6"/>
      </w:r>
      <w:r w:rsidRPr="00FE178E">
        <w:t xml:space="preserve"> The PUCO </w:t>
      </w:r>
      <w:r w:rsidRPr="00FE178E" w:rsidR="00191695">
        <w:t>ordered that</w:t>
      </w:r>
      <w:r w:rsidRPr="00FE178E">
        <w:t xml:space="preserve"> only distribution plant could be included in the distribution improvement rider</w:t>
      </w:r>
      <w:r w:rsidRPr="00FE178E" w:rsidR="00870C01">
        <w:t xml:space="preserve">.  The PUCO did not approve the collection </w:t>
      </w:r>
      <w:r w:rsidRPr="00FE178E">
        <w:t>of transmission plant under Rider DCI.</w:t>
      </w:r>
      <w:r>
        <w:rPr>
          <w:rStyle w:val="FootnoteReference"/>
        </w:rPr>
        <w:footnoteReference w:id="7"/>
      </w:r>
      <w:r w:rsidRPr="00FE178E">
        <w:t xml:space="preserve"> </w:t>
      </w:r>
      <w:r w:rsidRPr="00FE178E" w:rsidR="00981FE3">
        <w:t xml:space="preserve">Nor did the PUCO authorize </w:t>
      </w:r>
      <w:r w:rsidRPr="00FE178E">
        <w:t xml:space="preserve">tree trimming expenses or incentive compensation </w:t>
      </w:r>
      <w:r w:rsidRPr="00FE178E" w:rsidR="0079330F">
        <w:t>expenses</w:t>
      </w:r>
      <w:r w:rsidRPr="00FE178E" w:rsidR="00981FE3">
        <w:t xml:space="preserve"> </w:t>
      </w:r>
      <w:r w:rsidRPr="00FE178E" w:rsidR="0079330F">
        <w:t xml:space="preserve">, which are not distribution plant, </w:t>
      </w:r>
      <w:r w:rsidRPr="00FE178E">
        <w:t>t</w:t>
      </w:r>
      <w:r w:rsidRPr="00FE178E" w:rsidR="00981FE3">
        <w:t xml:space="preserve">o be capitalized and collected through the distribution investment rider.  </w:t>
      </w:r>
      <w:r w:rsidRPr="00FE178E" w:rsidR="000F58BD">
        <w:t xml:space="preserve">Duke’s inclusion of such costs for collection from </w:t>
      </w:r>
      <w:r w:rsidRPr="00FE178E">
        <w:t>customers results</w:t>
      </w:r>
      <w:r w:rsidRPr="00FE178E" w:rsidR="000F58BD">
        <w:t xml:space="preserve"> in those</w:t>
      </w:r>
      <w:r w:rsidRPr="00FE178E" w:rsidR="00981FE3">
        <w:t xml:space="preserve"> </w:t>
      </w:r>
      <w:r w:rsidRPr="00FE178E" w:rsidR="0079330F">
        <w:t xml:space="preserve">customers </w:t>
      </w:r>
      <w:r w:rsidRPr="00FE178E" w:rsidR="000F58BD">
        <w:t>being</w:t>
      </w:r>
      <w:r w:rsidRPr="00FE178E" w:rsidR="0079330F">
        <w:t xml:space="preserve"> overcharged</w:t>
      </w:r>
      <w:r w:rsidRPr="00FE178E" w:rsidR="00981FE3">
        <w:t xml:space="preserve">.  </w:t>
      </w:r>
      <w:r w:rsidRPr="00FE178E">
        <w:t xml:space="preserve">Improper Rider DCI charges from transmission plant, tree trimming, and incentive compensation should be disallowed as the Auditor recommended because they are not </w:t>
      </w:r>
      <w:r w:rsidRPr="00FE178E" w:rsidR="00AD292D">
        <w:t>PUCO</w:t>
      </w:r>
      <w:r w:rsidRPr="00FE178E" w:rsidR="00870C01">
        <w:t>-</w:t>
      </w:r>
      <w:r w:rsidRPr="00FE178E" w:rsidR="00AD292D">
        <w:t xml:space="preserve">approved </w:t>
      </w:r>
      <w:r w:rsidRPr="00FE178E">
        <w:t>charges.</w:t>
      </w:r>
    </w:p>
    <w:p w:rsidR="002B1204" w:rsidRPr="00FE178E" w:rsidP="00AB3E77" w14:paraId="4C762A09" w14:textId="3C0149C0">
      <w:pPr>
        <w:spacing w:line="480" w:lineRule="auto"/>
        <w:ind w:firstLine="720"/>
      </w:pPr>
      <w:r w:rsidRPr="00FE178E">
        <w:t xml:space="preserve">The Auditor found that </w:t>
      </w:r>
      <w:r w:rsidRPr="00FE178E" w:rsidR="00CD59CF">
        <w:t xml:space="preserve">Duke incorrectly classified </w:t>
      </w:r>
      <w:r w:rsidRPr="00FE178E" w:rsidR="0057597E">
        <w:t xml:space="preserve">$198,254 (as part of an invoice for </w:t>
      </w:r>
      <w:r w:rsidRPr="00FE178E" w:rsidR="00CD59CF">
        <w:t>$</w:t>
      </w:r>
      <w:r w:rsidRPr="00FE178E" w:rsidR="00F53536">
        <w:t>1,494,878</w:t>
      </w:r>
      <w:r w:rsidRPr="00FE178E" w:rsidR="0057597E">
        <w:t>)</w:t>
      </w:r>
      <w:r w:rsidRPr="00FE178E" w:rsidR="00CD59CF">
        <w:t xml:space="preserve"> </w:t>
      </w:r>
      <w:r w:rsidRPr="00FE178E">
        <w:t xml:space="preserve">in transmission plant </w:t>
      </w:r>
      <w:r w:rsidRPr="00FE178E" w:rsidR="00CD59CF">
        <w:t>as distribution plant subject to collection</w:t>
      </w:r>
      <w:r w:rsidRPr="00FE178E" w:rsidR="000F58BD">
        <w:t xml:space="preserve"> from customers</w:t>
      </w:r>
      <w:r w:rsidRPr="00FE178E" w:rsidR="00CD59CF">
        <w:t xml:space="preserve"> under </w:t>
      </w:r>
      <w:r w:rsidRPr="00FE178E" w:rsidR="00977F61">
        <w:t>Rider DCI</w:t>
      </w:r>
      <w:r w:rsidRPr="00FE178E" w:rsidR="00AD292D">
        <w:t xml:space="preserve"> and</w:t>
      </w:r>
      <w:r w:rsidRPr="00FE178E" w:rsidR="00CD59CF">
        <w:t xml:space="preserve"> recommended that the </w:t>
      </w:r>
      <w:r w:rsidRPr="00FE178E" w:rsidR="007102BC">
        <w:t xml:space="preserve">improper </w:t>
      </w:r>
      <w:r w:rsidRPr="00FE178E" w:rsidR="00CD59CF">
        <w:t xml:space="preserve">transmission plant </w:t>
      </w:r>
      <w:r w:rsidRPr="00FE178E" w:rsidR="007102BC">
        <w:t xml:space="preserve">costs </w:t>
      </w:r>
      <w:r w:rsidRPr="00FE178E" w:rsidR="00CD59CF">
        <w:t xml:space="preserve">be removed from </w:t>
      </w:r>
      <w:r w:rsidRPr="00FE178E" w:rsidR="00753758">
        <w:t>Rider DCI</w:t>
      </w:r>
      <w:r w:rsidRPr="00FE178E" w:rsidR="00CD59CF">
        <w:t>.</w:t>
      </w:r>
      <w:r>
        <w:rPr>
          <w:rStyle w:val="FootnoteReference"/>
        </w:rPr>
        <w:footnoteReference w:id="8"/>
      </w:r>
      <w:r w:rsidRPr="00FE178E" w:rsidR="00CD59CF">
        <w:t xml:space="preserve">  </w:t>
      </w:r>
      <w:r w:rsidRPr="00FE178E" w:rsidR="00AD292D">
        <w:t>T</w:t>
      </w:r>
      <w:r w:rsidRPr="00FE178E" w:rsidR="00CD59CF">
        <w:t xml:space="preserve">he </w:t>
      </w:r>
      <w:r w:rsidRPr="00FE178E" w:rsidR="00DF36A3">
        <w:t>A</w:t>
      </w:r>
      <w:r w:rsidRPr="00FE178E" w:rsidR="00CD59CF">
        <w:t xml:space="preserve">uditor </w:t>
      </w:r>
      <w:r w:rsidRPr="00FE178E" w:rsidR="00AD292D">
        <w:t xml:space="preserve">also </w:t>
      </w:r>
      <w:r w:rsidRPr="00FE178E" w:rsidR="00CD59CF">
        <w:t>recommended that the revenue requirement be reduced by $</w:t>
      </w:r>
      <w:r w:rsidRPr="00FE178E" w:rsidR="0057597E">
        <w:t xml:space="preserve">67,787 for </w:t>
      </w:r>
      <w:r w:rsidRPr="00FE178E" w:rsidR="000D0341">
        <w:t>nine months</w:t>
      </w:r>
      <w:r w:rsidRPr="00FE178E" w:rsidR="00CD59CF">
        <w:t>.</w:t>
      </w:r>
      <w:r>
        <w:rPr>
          <w:rStyle w:val="FootnoteReference"/>
        </w:rPr>
        <w:footnoteReference w:id="9"/>
      </w:r>
      <w:r w:rsidRPr="00FE178E" w:rsidR="00CD59CF">
        <w:t xml:space="preserve"> </w:t>
      </w:r>
      <w:r w:rsidRPr="00FE178E" w:rsidR="00BC0887">
        <w:t xml:space="preserve">OCC agrees with this recommendation because transmission plant is </w:t>
      </w:r>
      <w:r w:rsidRPr="00FE178E" w:rsidR="00981FE3">
        <w:t xml:space="preserve">not </w:t>
      </w:r>
      <w:r w:rsidRPr="00FE178E" w:rsidR="00870C01">
        <w:t>permitted to be collected as part of the distribution rider</w:t>
      </w:r>
      <w:r w:rsidRPr="00FE178E" w:rsidR="0064734F">
        <w:t xml:space="preserve"> </w:t>
      </w:r>
    </w:p>
    <w:p w:rsidR="008D477B" w:rsidRPr="00FE178E" w14:paraId="633C75BD" w14:textId="798328DE">
      <w:pPr>
        <w:spacing w:line="480" w:lineRule="auto"/>
        <w:ind w:firstLine="720"/>
      </w:pPr>
      <w:r w:rsidRPr="00FE178E">
        <w:t xml:space="preserve">Similarly, the Auditor found that Duke incorrectly </w:t>
      </w:r>
      <w:r w:rsidRPr="00FE178E" w:rsidR="002140C6">
        <w:t>capitalized</w:t>
      </w:r>
      <w:r w:rsidRPr="00FE178E">
        <w:t xml:space="preserve"> $11,538 in vegetation management expenses for collection under Rider DCI, when they should have been </w:t>
      </w:r>
      <w:r w:rsidRPr="00FE178E" w:rsidR="00C539B9">
        <w:t xml:space="preserve">treated </w:t>
      </w:r>
      <w:r w:rsidRPr="00FE178E">
        <w:t>as operations and maintenance (“O&amp;M”) expenses</w:t>
      </w:r>
      <w:r w:rsidRPr="00FE178E" w:rsidR="00AD292D">
        <w:t>, and recommended their removal from the Rider</w:t>
      </w:r>
      <w:r w:rsidRPr="00FE178E">
        <w:t>.</w:t>
      </w:r>
      <w:r>
        <w:rPr>
          <w:rStyle w:val="FootnoteReference"/>
        </w:rPr>
        <w:footnoteReference w:id="10"/>
      </w:r>
      <w:r w:rsidRPr="00FE178E">
        <w:t xml:space="preserve"> </w:t>
      </w:r>
      <w:r w:rsidRPr="00FE178E" w:rsidR="00AD292D">
        <w:t xml:space="preserve">The Auditor further </w:t>
      </w:r>
      <w:r w:rsidRPr="00FE178E">
        <w:t>recommended that the revenue requirement be reduced by $</w:t>
      </w:r>
      <w:r w:rsidRPr="00FE178E" w:rsidR="00C304D6">
        <w:t>2,692</w:t>
      </w:r>
      <w:r w:rsidRPr="00FE178E">
        <w:t xml:space="preserve"> for </w:t>
      </w:r>
      <w:r w:rsidRPr="00FE178E" w:rsidR="00C304D6">
        <w:t>12</w:t>
      </w:r>
      <w:r w:rsidRPr="00FE178E">
        <w:t xml:space="preserve"> months.</w:t>
      </w:r>
      <w:r>
        <w:rPr>
          <w:rStyle w:val="FootnoteReference"/>
        </w:rPr>
        <w:footnoteReference w:id="11"/>
      </w:r>
      <w:r w:rsidRPr="00FE178E">
        <w:t xml:space="preserve"> </w:t>
      </w:r>
      <w:r w:rsidRPr="00FE178E" w:rsidR="00981FE3">
        <w:t xml:space="preserve">The Auditor’s recommendation should be adopted because </w:t>
      </w:r>
      <w:r w:rsidRPr="00FE178E" w:rsidR="00BC0887">
        <w:t xml:space="preserve">vegetation management is an operations and maintenance expense, and is not related to distribution infrastructure </w:t>
      </w:r>
      <w:r w:rsidRPr="00FE178E" w:rsidR="000F58BD">
        <w:t>investment</w:t>
      </w:r>
      <w:r w:rsidRPr="00FE178E" w:rsidR="00AD292D">
        <w:t>. T</w:t>
      </w:r>
      <w:r w:rsidRPr="00FE178E" w:rsidR="0064734F">
        <w:t>herefore</w:t>
      </w:r>
      <w:r w:rsidRPr="00FE178E" w:rsidR="00AD292D">
        <w:t>, it is</w:t>
      </w:r>
      <w:r w:rsidRPr="00FE178E" w:rsidR="0064734F">
        <w:t xml:space="preserve"> </w:t>
      </w:r>
      <w:r w:rsidRPr="00FE178E" w:rsidR="00BC0887">
        <w:t>not a</w:t>
      </w:r>
      <w:r w:rsidRPr="00FE178E" w:rsidR="000F58BD">
        <w:t>n appropriate</w:t>
      </w:r>
      <w:r w:rsidRPr="00FE178E" w:rsidR="00BC0887">
        <w:t xml:space="preserve"> cost that </w:t>
      </w:r>
      <w:r w:rsidRPr="00FE178E" w:rsidR="00870C01">
        <w:t xml:space="preserve">should be collected from customers </w:t>
      </w:r>
      <w:r w:rsidRPr="00FE178E" w:rsidR="00BC0887">
        <w:t>under Rider DCI</w:t>
      </w:r>
      <w:r w:rsidRPr="00FE178E" w:rsidR="0064734F">
        <w:t xml:space="preserve">. </w:t>
      </w:r>
    </w:p>
    <w:p w:rsidR="00E56DB2" w:rsidRPr="00FE178E" w14:paraId="5793A15F" w14:textId="1A34A0E1">
      <w:pPr>
        <w:spacing w:line="480" w:lineRule="auto"/>
        <w:ind w:firstLine="720"/>
      </w:pPr>
      <w:r w:rsidRPr="00FE178E">
        <w:t xml:space="preserve">Finally, the Auditor recommended that capitalized incentive pay was improperly captured and offset in Rider DCI. </w:t>
      </w:r>
      <w:r w:rsidRPr="00FE178E" w:rsidR="00BC0887">
        <w:t>Duke was required to capture capitalized incentive pay accrued since July 1, 2016 and offset the amount to Distribution Rate Base in future Rider DCI filings.</w:t>
      </w:r>
      <w:r>
        <w:rPr>
          <w:rStyle w:val="FootnoteReference"/>
        </w:rPr>
        <w:footnoteReference w:id="12"/>
      </w:r>
      <w:r w:rsidRPr="00FE178E" w:rsidR="00BC0887">
        <w:t xml:space="preserve"> The total offset through the June 30, 2019 Rider DCI is $1,090,193.</w:t>
      </w:r>
      <w:r>
        <w:rPr>
          <w:rStyle w:val="FootnoteReference"/>
        </w:rPr>
        <w:footnoteReference w:id="13"/>
      </w:r>
      <w:r w:rsidRPr="00FE178E" w:rsidR="00BC0887">
        <w:t xml:space="preserve"> Rehmann reviewed a sample of 15 work orders that were field visited, to determine whether each was offset in the Rider DCI filings (with 30% earnings related incentives in 2018 and 35% earnings related incentives in 2019).</w:t>
      </w:r>
      <w:r>
        <w:rPr>
          <w:rStyle w:val="FootnoteReference"/>
        </w:rPr>
        <w:footnoteReference w:id="14"/>
      </w:r>
      <w:r w:rsidRPr="00FE178E" w:rsidR="00BC0887">
        <w:t xml:space="preserve"> The Auditor found incentive pay included in Retirement Work in Progress since July 1, 2016 totaled $212,475 and determined a 30% and 35% earnings component results in a net $66,361 of additional incentive pay offset.</w:t>
      </w:r>
      <w:r>
        <w:rPr>
          <w:rStyle w:val="FootnoteReference"/>
        </w:rPr>
        <w:footnoteReference w:id="15"/>
      </w:r>
      <w:r w:rsidRPr="00FE178E" w:rsidR="00BC0887">
        <w:t xml:space="preserve"> The Auditor recommended that the revenue requirement be reduced for the incentive pay offset overcharges by $19,527 over </w:t>
      </w:r>
      <w:r w:rsidRPr="00FE178E" w:rsidR="00AD292D">
        <w:t>a year</w:t>
      </w:r>
      <w:r w:rsidRPr="00FE178E" w:rsidR="00BC0887">
        <w:t>.</w:t>
      </w:r>
      <w:r>
        <w:rPr>
          <w:rStyle w:val="FootnoteReference"/>
        </w:rPr>
        <w:footnoteReference w:id="16"/>
      </w:r>
      <w:r w:rsidRPr="00FE178E" w:rsidR="00BC0887">
        <w:t xml:space="preserve"> </w:t>
      </w:r>
      <w:r w:rsidRPr="00FE178E" w:rsidR="00AD292D">
        <w:t>Additionall</w:t>
      </w:r>
      <w:r w:rsidRPr="00FE178E" w:rsidR="00BC0887">
        <w:t xml:space="preserve">y, the Auditor recommended that the Rider </w:t>
      </w:r>
      <w:r w:rsidRPr="00FE178E" w:rsidR="00AD292D">
        <w:t xml:space="preserve">filing for </w:t>
      </w:r>
      <w:r w:rsidRPr="00FE178E" w:rsidR="00BC0887">
        <w:t>September 30, 2019 be amended to reflect an adjustment to the incentive pay calculation by adding $66,361 to the cumulative total of gross plant incentives and $69,240 to the incentive pay offset total adjustment.</w:t>
      </w:r>
      <w:r>
        <w:rPr>
          <w:rStyle w:val="FootnoteReference"/>
        </w:rPr>
        <w:footnoteReference w:id="17"/>
      </w:r>
      <w:r w:rsidRPr="00FE178E" w:rsidR="00BC0887">
        <w:t xml:space="preserve"> </w:t>
      </w:r>
      <w:r w:rsidRPr="00FE178E" w:rsidR="00981FE3">
        <w:t xml:space="preserve">  The PUCO should adopt the </w:t>
      </w:r>
      <w:r w:rsidRPr="00FE178E" w:rsidR="002B1204">
        <w:t xml:space="preserve">Auditor’s recommendations to remove </w:t>
      </w:r>
      <w:r w:rsidRPr="00FE178E" w:rsidR="00BC65B4">
        <w:t>incentive payments</w:t>
      </w:r>
      <w:r w:rsidRPr="00FE178E" w:rsidR="002B6618">
        <w:t xml:space="preserve"> </w:t>
      </w:r>
      <w:r w:rsidRPr="00FE178E" w:rsidR="002B1204">
        <w:t xml:space="preserve">from Rider DCI, and </w:t>
      </w:r>
      <w:r w:rsidRPr="00FE178E" w:rsidR="00BC65B4">
        <w:t xml:space="preserve">to </w:t>
      </w:r>
      <w:r w:rsidRPr="00FE178E" w:rsidR="002B1204">
        <w:t xml:space="preserve">reduce the applicable revenue requirement, because </w:t>
      </w:r>
      <w:r w:rsidRPr="00FE178E" w:rsidR="00981FE3">
        <w:t xml:space="preserve">these payments are not appropriate costs to collect from customers under </w:t>
      </w:r>
      <w:r w:rsidRPr="00FE178E" w:rsidR="008505D6">
        <w:t xml:space="preserve"> Rider DCI</w:t>
      </w:r>
      <w:r w:rsidRPr="00FE178E" w:rsidR="002B1204">
        <w:t xml:space="preserve">. </w:t>
      </w:r>
    </w:p>
    <w:p w:rsidR="00BB7F3E" w:rsidRPr="00FE178E" w:rsidP="00B842B2" w14:paraId="2FE71D06" w14:textId="700CA968">
      <w:pPr>
        <w:pStyle w:val="Heading2"/>
        <w:rPr>
          <w:rFonts w:ascii="Times New Roman" w:hAnsi="Times New Roman" w:cs="Times New Roman"/>
          <w:szCs w:val="24"/>
        </w:rPr>
      </w:pPr>
      <w:bookmarkStart w:id="7" w:name="_Toc33428784"/>
      <w:bookmarkStart w:id="8" w:name="_Toc33790161"/>
      <w:r w:rsidRPr="00FE178E">
        <w:rPr>
          <w:rFonts w:ascii="Times New Roman" w:hAnsi="Times New Roman" w:cs="Times New Roman"/>
          <w:szCs w:val="24"/>
        </w:rPr>
        <w:t>The PUCO should adopt recommendations made by the Auditor to remove Contribution</w:t>
      </w:r>
      <w:r w:rsidRPr="00FE178E" w:rsidR="008329AE">
        <w:rPr>
          <w:rFonts w:ascii="Times New Roman" w:hAnsi="Times New Roman" w:cs="Times New Roman"/>
          <w:szCs w:val="24"/>
        </w:rPr>
        <w:t>s</w:t>
      </w:r>
      <w:r w:rsidRPr="00FE178E">
        <w:rPr>
          <w:rFonts w:ascii="Times New Roman" w:hAnsi="Times New Roman" w:cs="Times New Roman"/>
          <w:szCs w:val="24"/>
        </w:rPr>
        <w:t xml:space="preserve"> in Aid of Construction </w:t>
      </w:r>
      <w:bookmarkEnd w:id="7"/>
      <w:r w:rsidRPr="00FE178E">
        <w:rPr>
          <w:rFonts w:ascii="Times New Roman" w:hAnsi="Times New Roman" w:cs="Times New Roman"/>
          <w:szCs w:val="24"/>
        </w:rPr>
        <w:t>from the Rider to protect customers from paying for a return on non-investor supplied capital.</w:t>
      </w:r>
      <w:bookmarkEnd w:id="8"/>
    </w:p>
    <w:p w:rsidR="00B74D3C" w:rsidRPr="00FE178E" w:rsidP="00697BAD" w14:paraId="50AF7802" w14:textId="36061C26">
      <w:pPr>
        <w:spacing w:line="480" w:lineRule="auto"/>
        <w:ind w:firstLine="720"/>
      </w:pPr>
      <w:r w:rsidRPr="00FE178E">
        <w:t>Contributions in Aid of Construction (“</w:t>
      </w:r>
      <w:r w:rsidRPr="00FE178E" w:rsidR="00697BAD">
        <w:t>CIAC</w:t>
      </w:r>
      <w:r w:rsidRPr="00FE178E">
        <w:t>”)</w:t>
      </w:r>
      <w:r w:rsidRPr="00FE178E" w:rsidR="00697BAD">
        <w:t xml:space="preserve"> is properly treated as an offset to plant in service </w:t>
      </w:r>
      <w:r w:rsidRPr="00FE178E" w:rsidR="00B514DD">
        <w:t>because the CIAC is not investor supplied capital</w:t>
      </w:r>
      <w:r w:rsidRPr="00FE178E" w:rsidR="002140C6">
        <w:t>.</w:t>
      </w:r>
      <w:r w:rsidRPr="00FE178E" w:rsidR="00B514DD">
        <w:t xml:space="preserve"> </w:t>
      </w:r>
      <w:r w:rsidRPr="00FE178E" w:rsidR="002140C6">
        <w:t xml:space="preserve">Moreover, </w:t>
      </w:r>
      <w:r w:rsidRPr="00FE178E" w:rsidR="0079330F">
        <w:t xml:space="preserve">it is </w:t>
      </w:r>
      <w:r w:rsidRPr="00FE178E" w:rsidR="00B514DD">
        <w:t xml:space="preserve">established </w:t>
      </w:r>
      <w:r w:rsidRPr="00FE178E" w:rsidR="00697BAD">
        <w:t xml:space="preserve">regulatory </w:t>
      </w:r>
      <w:r w:rsidRPr="00FE178E" w:rsidR="00812053">
        <w:t>precedent</w:t>
      </w:r>
      <w:r w:rsidRPr="00FE178E" w:rsidR="00697BAD">
        <w:t xml:space="preserve"> </w:t>
      </w:r>
      <w:r w:rsidRPr="00FE178E" w:rsidR="00B514DD">
        <w:t xml:space="preserve">that </w:t>
      </w:r>
      <w:r w:rsidRPr="00FE178E" w:rsidR="0079330F">
        <w:t xml:space="preserve">utilities, such as </w:t>
      </w:r>
      <w:r w:rsidRPr="00FE178E" w:rsidR="00B514DD">
        <w:t>Duke</w:t>
      </w:r>
      <w:r w:rsidRPr="00FE178E" w:rsidR="0079330F">
        <w:t>,</w:t>
      </w:r>
      <w:r w:rsidRPr="00FE178E" w:rsidR="00B514DD">
        <w:t xml:space="preserve"> should not </w:t>
      </w:r>
      <w:r w:rsidRPr="00FE178E" w:rsidR="0079330F">
        <w:t>earn</w:t>
      </w:r>
      <w:r w:rsidRPr="00FE178E" w:rsidR="00B514DD">
        <w:t xml:space="preserve"> a return on plant </w:t>
      </w:r>
      <w:r w:rsidRPr="00FE178E" w:rsidR="002140C6">
        <w:t>that it</w:t>
      </w:r>
      <w:r w:rsidRPr="00FE178E" w:rsidR="00870C01">
        <w:t>s investors</w:t>
      </w:r>
      <w:r w:rsidRPr="00FE178E" w:rsidR="002140C6">
        <w:t xml:space="preserve"> did not fund</w:t>
      </w:r>
      <w:r w:rsidRPr="00FE178E" w:rsidR="00B514DD">
        <w:t xml:space="preserve">. </w:t>
      </w:r>
      <w:r w:rsidRPr="00FE178E" w:rsidR="00981FE3">
        <w:t xml:space="preserve">For this reason, it </w:t>
      </w:r>
      <w:r w:rsidRPr="00FE178E" w:rsidR="00697BAD">
        <w:t xml:space="preserve">is important to </w:t>
      </w:r>
      <w:r w:rsidRPr="00FE178E" w:rsidR="00D70C61">
        <w:t xml:space="preserve">properly </w:t>
      </w:r>
      <w:r w:rsidRPr="00FE178E" w:rsidR="00981FE3">
        <w:t>account for and seg</w:t>
      </w:r>
      <w:r w:rsidRPr="00FE178E" w:rsidR="00697BAD">
        <w:t xml:space="preserve">regate CIAC charges so that customers do not pay a return on non-investor supplied capital. To do otherwise is contrary to long-standing </w:t>
      </w:r>
      <w:r w:rsidRPr="00FE178E" w:rsidR="008F7FB7">
        <w:t>case precedent</w:t>
      </w:r>
      <w:r w:rsidRPr="00FE178E" w:rsidR="00697BAD">
        <w:t>.</w:t>
      </w:r>
      <w:r>
        <w:rPr>
          <w:rStyle w:val="FootnoteReference"/>
        </w:rPr>
        <w:footnoteReference w:id="18"/>
      </w:r>
      <w:r w:rsidRPr="00FE178E" w:rsidR="00697BAD">
        <w:t xml:space="preserve"> </w:t>
      </w:r>
      <w:r w:rsidRPr="00FE178E" w:rsidR="00981FE3">
        <w:t xml:space="preserve">Unfortunately for Duke’s </w:t>
      </w:r>
      <w:r w:rsidRPr="00FE178E">
        <w:t>customers, Duke</w:t>
      </w:r>
      <w:r w:rsidRPr="00FE178E" w:rsidR="00D70C61">
        <w:t xml:space="preserve"> did not properly </w:t>
      </w:r>
      <w:r w:rsidRPr="00FE178E" w:rsidR="00697BAD">
        <w:t xml:space="preserve">bill and collect </w:t>
      </w:r>
      <w:r w:rsidRPr="00FE178E" w:rsidR="00D70C61">
        <w:t>CIAC</w:t>
      </w:r>
      <w:r w:rsidRPr="00FE178E" w:rsidR="00697BAD">
        <w:t xml:space="preserve"> from </w:t>
      </w:r>
      <w:r w:rsidRPr="00FE178E" w:rsidR="00D70C61">
        <w:t>customers during this audit period</w:t>
      </w:r>
      <w:r w:rsidRPr="00FE178E" w:rsidR="00697BAD">
        <w:t>.</w:t>
      </w:r>
      <w:r>
        <w:rPr>
          <w:rStyle w:val="FootnoteReference"/>
        </w:rPr>
        <w:footnoteReference w:id="19"/>
      </w:r>
      <w:r w:rsidRPr="00FE178E" w:rsidR="00697BAD">
        <w:t xml:space="preserve"> </w:t>
      </w:r>
    </w:p>
    <w:p w:rsidR="00D70C61" w:rsidRPr="00FE178E" w:rsidP="00697BAD" w14:paraId="3822E870" w14:textId="494AEBB3">
      <w:pPr>
        <w:spacing w:line="480" w:lineRule="auto"/>
        <w:ind w:firstLine="720"/>
      </w:pPr>
      <w:r w:rsidRPr="00FE178E">
        <w:t>The Auditor recommended a reduction to the revenue requirement of $562,933 for the missing or untimely CIAC entries for four quarters (the length of time the overcharge went undetected).</w:t>
      </w:r>
      <w:r>
        <w:rPr>
          <w:rStyle w:val="FootnoteReference"/>
        </w:rPr>
        <w:footnoteReference w:id="20"/>
      </w:r>
      <w:r w:rsidRPr="00FE178E">
        <w:t xml:space="preserve"> The Auditor further recommended that $296,024 be removed from Rider DCI for CIAC overcharges.</w:t>
      </w:r>
      <w:r>
        <w:rPr>
          <w:rStyle w:val="FootnoteReference"/>
        </w:rPr>
        <w:footnoteReference w:id="21"/>
      </w:r>
      <w:r w:rsidRPr="00FE178E">
        <w:t xml:space="preserve"> And to prevent this issue from recurring, the Auditor recommended a separate detailed audit for any CIAC postings unrecorded in work orders and Rider DCI from July 1</w:t>
      </w:r>
      <w:r w:rsidRPr="00FE178E" w:rsidR="00EF77FB">
        <w:t>, 2018</w:t>
      </w:r>
      <w:r w:rsidRPr="00FE178E">
        <w:t xml:space="preserve"> to June 30, 2019, and that any unrecorded CIAC should be quantified in a report for the revenue requirement impact and applied to the December 31, 2019 Rider DCI filing.</w:t>
      </w:r>
      <w:r>
        <w:rPr>
          <w:rStyle w:val="FootnoteReference"/>
        </w:rPr>
        <w:footnoteReference w:id="22"/>
      </w:r>
      <w:r w:rsidRPr="00FE178E">
        <w:t xml:space="preserve">  </w:t>
      </w:r>
    </w:p>
    <w:p w:rsidR="00870C01" w:rsidRPr="00FE178E" w:rsidP="00FE7C58" w14:paraId="7640A726" w14:textId="01ABB5C0">
      <w:pPr>
        <w:spacing w:line="480" w:lineRule="auto"/>
        <w:ind w:firstLine="720"/>
      </w:pPr>
      <w:r w:rsidRPr="00FE178E">
        <w:t xml:space="preserve">Notably, it is not the first time that Duke’s lax accounting of CIAC has created overcharges to customers.  This same issue was raised in the previous audit of the DCI rider. </w:t>
      </w:r>
      <w:r w:rsidRPr="00FE178E" w:rsidR="004C1619">
        <w:t xml:space="preserve">In fact, to resolve that audit, Duke agreed, as part of a settlement, </w:t>
      </w:r>
      <w:r w:rsidRPr="00FE178E" w:rsidR="00D70C61">
        <w:t>to implement enhanced controls to ensure that CIAC is billed on a timely, complete, and accurate basis by January 1, 2020</w:t>
      </w:r>
      <w:r>
        <w:t>.</w:t>
      </w:r>
      <w:r w:rsidRPr="00FE178E" w:rsidR="00D70C61">
        <w:t xml:space="preserve">  </w:t>
      </w:r>
      <w:r w:rsidRPr="00FE178E" w:rsidR="004C1619">
        <w:t xml:space="preserve">In its follow-up </w:t>
      </w:r>
      <w:r w:rsidRPr="00FE178E" w:rsidR="00EB6BD2">
        <w:t>here</w:t>
      </w:r>
      <w:r w:rsidRPr="00FE178E" w:rsidR="004C1619">
        <w:t>, t</w:t>
      </w:r>
      <w:r w:rsidRPr="00FE178E" w:rsidR="008D799A">
        <w:t>he Auditor found that</w:t>
      </w:r>
      <w:r w:rsidRPr="00FE178E" w:rsidR="00D009E0">
        <w:t xml:space="preserve"> o</w:t>
      </w:r>
      <w:r w:rsidRPr="00FE178E" w:rsidR="00697BAD">
        <w:t xml:space="preserve">ut of 25 work orders </w:t>
      </w:r>
      <w:r w:rsidRPr="00FE178E" w:rsidR="008D799A">
        <w:t>it</w:t>
      </w:r>
      <w:r w:rsidRPr="00FE178E" w:rsidR="00D009E0">
        <w:t xml:space="preserve"> </w:t>
      </w:r>
      <w:r w:rsidRPr="00FE178E" w:rsidR="00697BAD">
        <w:t>sampled, more than half of them (13) were improperly charged to customers or not recorded at all.</w:t>
      </w:r>
      <w:r>
        <w:rPr>
          <w:rStyle w:val="FootnoteReference"/>
        </w:rPr>
        <w:footnoteReference w:id="23"/>
      </w:r>
      <w:r w:rsidRPr="00FE178E" w:rsidR="00697BAD">
        <w:t xml:space="preserve"> This indicates that there continues to be a serious problem with </w:t>
      </w:r>
      <w:r w:rsidRPr="00FE178E" w:rsidR="00EB6BD2">
        <w:t xml:space="preserve">Duke’s accounting controls for the </w:t>
      </w:r>
      <w:r w:rsidRPr="00FE178E" w:rsidR="00697BAD">
        <w:t xml:space="preserve">recording of CIAC. </w:t>
      </w:r>
    </w:p>
    <w:p w:rsidR="00F74381" w:rsidRPr="00FE178E" w:rsidP="00FE7C58" w14:paraId="211845FB" w14:textId="509B3E68">
      <w:pPr>
        <w:spacing w:line="480" w:lineRule="auto"/>
        <w:ind w:firstLine="720"/>
      </w:pPr>
      <w:r w:rsidRPr="00FE178E">
        <w:t xml:space="preserve">In addition to </w:t>
      </w:r>
      <w:r w:rsidRPr="00FE178E" w:rsidR="004C1619">
        <w:t xml:space="preserve">correcting the revenue requirement impact of the CIAC, as recommended by the Auditor, </w:t>
      </w:r>
      <w:r w:rsidRPr="00FE178E" w:rsidR="00697BAD">
        <w:t xml:space="preserve">the PUCO </w:t>
      </w:r>
      <w:r w:rsidRPr="00FE178E" w:rsidR="004C1619">
        <w:t xml:space="preserve">should </w:t>
      </w:r>
      <w:r w:rsidRPr="00FE178E" w:rsidR="00EB6BD2">
        <w:t xml:space="preserve">also </w:t>
      </w:r>
      <w:r w:rsidRPr="00FE178E" w:rsidR="00697BAD">
        <w:t xml:space="preserve">disallow </w:t>
      </w:r>
      <w:r w:rsidRPr="00FE178E" w:rsidR="005A5B03">
        <w:t xml:space="preserve">in this audit, and any future audits, </w:t>
      </w:r>
      <w:r w:rsidRPr="00FE178E" w:rsidR="00697BAD">
        <w:t>any CIAC that has not been properly recorded</w:t>
      </w:r>
      <w:r w:rsidRPr="00FE178E" w:rsidR="004C1619">
        <w:t xml:space="preserve">.  This will </w:t>
      </w:r>
      <w:r w:rsidRPr="00FE178E" w:rsidR="00697BAD">
        <w:t xml:space="preserve">ensure that the Rider DCI is not collecting costs from </w:t>
      </w:r>
      <w:r w:rsidRPr="00FE178E" w:rsidR="00CF7DD7">
        <w:t>customers that result in a return on non-investor supplied capital.</w:t>
      </w:r>
      <w:r w:rsidRPr="00FE178E" w:rsidR="000653AC">
        <w:t xml:space="preserve"> </w:t>
      </w:r>
      <w:r w:rsidRPr="00FE178E" w:rsidR="005E5E94">
        <w:t xml:space="preserve">By not reflecting the proper CIAC amounts, the amount </w:t>
      </w:r>
      <w:r w:rsidRPr="00FE178E" w:rsidR="0079330F">
        <w:t>Duke</w:t>
      </w:r>
      <w:r w:rsidRPr="00FE178E" w:rsidR="005E5E94">
        <w:t xml:space="preserve"> charges its customers is overstated</w:t>
      </w:r>
      <w:r w:rsidRPr="00FE178E" w:rsidR="00B514DD">
        <w:t xml:space="preserve"> and customers </w:t>
      </w:r>
      <w:r w:rsidRPr="00FE178E" w:rsidR="00870C01">
        <w:t xml:space="preserve">are charged more than is just and reasonable. </w:t>
      </w:r>
      <w:r w:rsidRPr="00FE178E" w:rsidR="005E5E94">
        <w:t xml:space="preserve">  </w:t>
      </w:r>
    </w:p>
    <w:p w:rsidR="008E7137" w:rsidRPr="00FE178E" w:rsidP="00B842B2" w14:paraId="74B45681" w14:textId="6EB60AF9">
      <w:pPr>
        <w:pStyle w:val="Heading2"/>
        <w:rPr>
          <w:rFonts w:ascii="Times New Roman" w:hAnsi="Times New Roman" w:cs="Times New Roman"/>
          <w:szCs w:val="24"/>
        </w:rPr>
      </w:pPr>
      <w:bookmarkStart w:id="9" w:name="_Toc33654083"/>
      <w:bookmarkStart w:id="10" w:name="_Toc33659183"/>
      <w:bookmarkStart w:id="11" w:name="_Toc33790162"/>
      <w:bookmarkEnd w:id="9"/>
      <w:bookmarkEnd w:id="10"/>
      <w:r w:rsidRPr="00FE178E">
        <w:rPr>
          <w:rFonts w:ascii="Times New Roman" w:hAnsi="Times New Roman" w:cs="Times New Roman"/>
          <w:szCs w:val="24"/>
        </w:rPr>
        <w:t>T</w:t>
      </w:r>
      <w:r w:rsidRPr="00FE178E" w:rsidR="00C47E53">
        <w:rPr>
          <w:rFonts w:ascii="Times New Roman" w:hAnsi="Times New Roman" w:cs="Times New Roman"/>
          <w:szCs w:val="24"/>
        </w:rPr>
        <w:t>o protect consumers, t</w:t>
      </w:r>
      <w:r w:rsidRPr="00FE178E" w:rsidR="0079330F">
        <w:rPr>
          <w:rFonts w:ascii="Times New Roman" w:hAnsi="Times New Roman" w:cs="Times New Roman"/>
          <w:szCs w:val="24"/>
        </w:rPr>
        <w:t xml:space="preserve">he PUCO should adopt recommendations made by the Auditor to remove </w:t>
      </w:r>
      <w:r w:rsidRPr="00FE178E" w:rsidR="00221F1B">
        <w:rPr>
          <w:rFonts w:ascii="Times New Roman" w:hAnsi="Times New Roman" w:cs="Times New Roman"/>
          <w:szCs w:val="24"/>
        </w:rPr>
        <w:t>improper expenses such as depreciation expense lag from unposted retirements and ineffective cost controls for estimating projects resulting from Duke’s inefficient accounting practices from the Distribution Improvement Rider</w:t>
      </w:r>
      <w:r w:rsidRPr="00FE178E" w:rsidR="0079330F">
        <w:rPr>
          <w:rFonts w:ascii="Times New Roman" w:hAnsi="Times New Roman" w:cs="Times New Roman"/>
          <w:szCs w:val="24"/>
        </w:rPr>
        <w:t>.</w:t>
      </w:r>
      <w:bookmarkEnd w:id="11"/>
    </w:p>
    <w:p w:rsidR="009C401E" w:rsidRPr="00FE178E" w:rsidP="00435A6C" w14:paraId="119BC69F" w14:textId="77777777">
      <w:pPr>
        <w:spacing w:line="480" w:lineRule="auto"/>
        <w:ind w:firstLine="720"/>
      </w:pPr>
      <w:r w:rsidRPr="00FE178E">
        <w:t xml:space="preserve">The Auditor discovered </w:t>
      </w:r>
      <w:r w:rsidRPr="00FE178E" w:rsidR="00A40EA7">
        <w:t xml:space="preserve">several issues with Duke’s accounting practices such as </w:t>
      </w:r>
      <w:r w:rsidRPr="00FE178E">
        <w:t>inconsistencies in the accumulated depreciation balances between Duke’s Federal Energy Regulatory Commission (“FERC”) Forms and its Rider DCI filing</w:t>
      </w:r>
      <w:r w:rsidRPr="00FE178E" w:rsidR="00A40EA7">
        <w:t>,</w:t>
      </w:r>
      <w:r>
        <w:rPr>
          <w:vertAlign w:val="superscript"/>
        </w:rPr>
        <w:footnoteReference w:id="24"/>
      </w:r>
      <w:r w:rsidRPr="00FE178E">
        <w:t xml:space="preserve"> </w:t>
      </w:r>
      <w:r w:rsidRPr="00FE178E" w:rsidR="00A40EA7">
        <w:t>ineffective budgeting planning and follow-up controls.</w:t>
      </w:r>
      <w:r>
        <w:rPr>
          <w:rStyle w:val="FootnoteReference"/>
        </w:rPr>
        <w:footnoteReference w:id="25"/>
      </w:r>
      <w:r w:rsidRPr="00FE178E" w:rsidR="00A40EA7">
        <w:t xml:space="preserve"> </w:t>
      </w:r>
    </w:p>
    <w:p w:rsidR="00191695" w:rsidRPr="00FE178E" w:rsidP="00F1726E" w14:paraId="2C6096F2" w14:textId="77777777">
      <w:pPr>
        <w:spacing w:line="480" w:lineRule="auto"/>
        <w:ind w:firstLine="720"/>
      </w:pPr>
      <w:r w:rsidRPr="00FE178E">
        <w:t>The Auditor identified a $311,135 revenue requirement reduction for the depreciation expense impact of the lag in unposted retirements and an increase of $109,064 for the accumulated depreciation impact of the lag in on top entries</w:t>
      </w:r>
      <w:r>
        <w:rPr>
          <w:rStyle w:val="FootnoteReference"/>
        </w:rPr>
        <w:footnoteReference w:id="26"/>
      </w:r>
      <w:r w:rsidRPr="00FE178E">
        <w:t xml:space="preserve"> for </w:t>
      </w:r>
      <w:r w:rsidRPr="00FE178E" w:rsidR="00221F1B">
        <w:t>a year</w:t>
      </w:r>
      <w:r w:rsidRPr="00FE178E">
        <w:t>.</w:t>
      </w:r>
      <w:r>
        <w:rPr>
          <w:vertAlign w:val="superscript"/>
        </w:rPr>
        <w:footnoteReference w:id="27"/>
      </w:r>
      <w:r w:rsidRPr="00FE178E">
        <w:t xml:space="preserve"> </w:t>
      </w:r>
      <w:bookmarkStart w:id="12" w:name="_Toc33644527"/>
      <w:bookmarkStart w:id="13" w:name="_Toc33654084"/>
      <w:bookmarkStart w:id="14" w:name="_Toc33659185"/>
      <w:bookmarkStart w:id="15" w:name="_Toc33654085"/>
      <w:bookmarkStart w:id="16" w:name="_Toc33659186"/>
      <w:bookmarkEnd w:id="12"/>
      <w:bookmarkEnd w:id="13"/>
      <w:bookmarkEnd w:id="14"/>
      <w:bookmarkEnd w:id="15"/>
      <w:bookmarkEnd w:id="16"/>
    </w:p>
    <w:p w:rsidR="00E97525" w:rsidRPr="00FE178E" w:rsidP="00F1726E" w14:paraId="47E8E9D6" w14:textId="6339683B">
      <w:pPr>
        <w:spacing w:line="480" w:lineRule="auto"/>
        <w:ind w:firstLine="720"/>
      </w:pPr>
      <w:r w:rsidRPr="00FE178E">
        <w:t>The</w:t>
      </w:r>
      <w:r w:rsidRPr="00FE178E" w:rsidR="00CD22FE">
        <w:t xml:space="preserve"> Auditor</w:t>
      </w:r>
      <w:r w:rsidRPr="00FE178E" w:rsidR="00F1726E">
        <w:t xml:space="preserve"> </w:t>
      </w:r>
      <w:r w:rsidRPr="00FE178E">
        <w:t>also found that Duke has problematic procedures for estimating projects to ensure their accuracy.</w:t>
      </w:r>
      <w:r w:rsidRPr="00FE178E">
        <w:rPr>
          <w:rStyle w:val="FootnoteReference"/>
        </w:rPr>
        <w:t xml:space="preserve"> </w:t>
      </w:r>
      <w:r>
        <w:rPr>
          <w:rStyle w:val="FootnoteReference"/>
        </w:rPr>
        <w:footnoteReference w:id="28"/>
      </w:r>
      <w:r w:rsidRPr="00FE178E">
        <w:t xml:space="preserve"> Rehmann </w:t>
      </w:r>
      <w:r w:rsidRPr="00FE178E" w:rsidR="00F1726E">
        <w:t xml:space="preserve">sampled </w:t>
      </w:r>
      <w:r w:rsidRPr="00FE178E" w:rsidR="00264A0C">
        <w:t>25</w:t>
      </w:r>
      <w:r w:rsidRPr="00FE178E" w:rsidR="00F1726E">
        <w:t xml:space="preserve"> work orders and found that at least </w:t>
      </w:r>
      <w:r w:rsidRPr="00FE178E" w:rsidR="00264A0C">
        <w:t>eight</w:t>
      </w:r>
      <w:r w:rsidRPr="00FE178E" w:rsidR="00F1726E">
        <w:t xml:space="preserve"> </w:t>
      </w:r>
      <w:r w:rsidRPr="00FE178E" w:rsidR="00C7316C">
        <w:t xml:space="preserve">varied from estimates by </w:t>
      </w:r>
      <w:r w:rsidRPr="00FE178E" w:rsidR="0087003E">
        <w:t>-117%</w:t>
      </w:r>
      <w:r w:rsidRPr="00FE178E" w:rsidR="00BC2672">
        <w:t xml:space="preserve"> to 2,065%</w:t>
      </w:r>
      <w:r w:rsidRPr="00FE178E" w:rsidR="0087003E">
        <w:t>.</w:t>
      </w:r>
      <w:r>
        <w:rPr>
          <w:rStyle w:val="FootnoteReference"/>
        </w:rPr>
        <w:footnoteReference w:id="29"/>
      </w:r>
      <w:r w:rsidRPr="00FE178E" w:rsidR="00F1726E">
        <w:t xml:space="preserve"> For a </w:t>
      </w:r>
      <w:r w:rsidRPr="00FE178E" w:rsidR="0087003E">
        <w:t>third</w:t>
      </w:r>
      <w:r w:rsidRPr="00FE178E" w:rsidR="00F1726E">
        <w:t xml:space="preserve"> year in a row, a PUCO</w:t>
      </w:r>
      <w:r w:rsidRPr="00FE178E" w:rsidR="0087003E">
        <w:t xml:space="preserve"> </w:t>
      </w:r>
      <w:r w:rsidRPr="00FE178E" w:rsidR="00F1726E">
        <w:t>appointed auditor was unable to determine the effectiveness of Duke’s budgeting process and follow-up controls.</w:t>
      </w:r>
      <w:r>
        <w:rPr>
          <w:rStyle w:val="FootnoteReference"/>
        </w:rPr>
        <w:footnoteReference w:id="30"/>
      </w:r>
      <w:r w:rsidRPr="00FE178E" w:rsidR="00F1726E">
        <w:t xml:space="preserve"> </w:t>
      </w:r>
      <w:r w:rsidRPr="00FE178E" w:rsidR="003438FD">
        <w:t xml:space="preserve">At Duke’s request, the Auditor even re-estimated three of the 25 work orders that had significant </w:t>
      </w:r>
      <w:r w:rsidRPr="00FE178E" w:rsidR="00814E35">
        <w:t>overages from original estimated costs.</w:t>
      </w:r>
      <w:r>
        <w:rPr>
          <w:rStyle w:val="FootnoteReference"/>
        </w:rPr>
        <w:footnoteReference w:id="31"/>
      </w:r>
      <w:r w:rsidRPr="00FE178E" w:rsidR="00814E35">
        <w:t xml:space="preserve"> </w:t>
      </w:r>
    </w:p>
    <w:p w:rsidR="00191695" w:rsidRPr="00FE178E" w:rsidP="009C401E" w14:paraId="10167143" w14:textId="0A968935">
      <w:pPr>
        <w:spacing w:line="480" w:lineRule="auto"/>
        <w:ind w:firstLine="720"/>
      </w:pPr>
      <w:r w:rsidRPr="00FE178E">
        <w:t xml:space="preserve">The Auditor </w:t>
      </w:r>
      <w:r w:rsidRPr="00FE178E" w:rsidR="00E97525">
        <w:t xml:space="preserve">also </w:t>
      </w:r>
      <w:r w:rsidRPr="00FE178E">
        <w:t>recommend</w:t>
      </w:r>
      <w:r w:rsidRPr="00FE178E" w:rsidR="00CA2900">
        <w:t xml:space="preserve">ed </w:t>
      </w:r>
      <w:r w:rsidRPr="00FE178E">
        <w:t xml:space="preserve">that an operational audit of contractor charges be completed to determine whether competitive bids are being obtained, </w:t>
      </w:r>
      <w:r w:rsidRPr="00FE178E" w:rsidR="00E97525">
        <w:t>contractors</w:t>
      </w:r>
      <w:r w:rsidRPr="00FE178E">
        <w:t xml:space="preserve"> are complying with their bid specifications, contract terms are being adhered to, duplicate payments are not </w:t>
      </w:r>
      <w:r w:rsidRPr="00FE178E" w:rsidR="00E97525">
        <w:t>made</w:t>
      </w:r>
      <w:r w:rsidRPr="00FE178E">
        <w:t xml:space="preserve">, and contractor time sheets and </w:t>
      </w:r>
      <w:r w:rsidRPr="00FE178E" w:rsidR="00E97525">
        <w:t>equipment</w:t>
      </w:r>
      <w:r w:rsidRPr="00FE178E">
        <w:t xml:space="preserve"> hours are being </w:t>
      </w:r>
      <w:r w:rsidRPr="00FE178E" w:rsidR="00EB6BD2">
        <w:t xml:space="preserve">closely </w:t>
      </w:r>
      <w:r w:rsidRPr="00FE178E">
        <w:t>monitored by Duke.</w:t>
      </w:r>
      <w:r>
        <w:rPr>
          <w:rStyle w:val="FootnoteReference"/>
        </w:rPr>
        <w:footnoteReference w:id="32"/>
      </w:r>
      <w:r w:rsidRPr="00FE178E">
        <w:t xml:space="preserve"> Further, any detected overcharges and operational </w:t>
      </w:r>
      <w:r w:rsidRPr="00FE178E" w:rsidR="00E97525">
        <w:t>improvements</w:t>
      </w:r>
      <w:r w:rsidRPr="00FE178E">
        <w:t xml:space="preserve"> should be quantified in a report for the revenue requirement </w:t>
      </w:r>
      <w:r w:rsidRPr="00FE178E" w:rsidR="00E97525">
        <w:t>impact</w:t>
      </w:r>
      <w:r w:rsidRPr="00FE178E">
        <w:t xml:space="preserve"> and the </w:t>
      </w:r>
      <w:r w:rsidRPr="00FE178E" w:rsidR="00E97525">
        <w:t>impact</w:t>
      </w:r>
      <w:r w:rsidRPr="00FE178E">
        <w:t xml:space="preserve"> applied to the March 31, 2020 Rider DCI </w:t>
      </w:r>
      <w:r w:rsidRPr="00FE178E" w:rsidR="00E97525">
        <w:t>filing.</w:t>
      </w:r>
      <w:r>
        <w:rPr>
          <w:rStyle w:val="FootnoteReference"/>
        </w:rPr>
        <w:footnoteReference w:id="33"/>
      </w:r>
      <w:r w:rsidRPr="00FE178E" w:rsidR="00E97525">
        <w:t xml:space="preserve"> Finally, the Auditor recommend</w:t>
      </w:r>
      <w:r w:rsidRPr="00FE178E" w:rsidR="00CA2900">
        <w:t>ed</w:t>
      </w:r>
      <w:r w:rsidRPr="00FE178E" w:rsidR="00E97525">
        <w:t xml:space="preserve"> that when a contractor</w:t>
      </w:r>
      <w:r w:rsidRPr="00FE178E" w:rsidR="00EB6BD2">
        <w:t>’</w:t>
      </w:r>
      <w:r w:rsidRPr="00FE178E" w:rsidR="00E97525">
        <w:t>s estimated hours needed to complete the work exceeds the estimated hours, then Duke should evaluate whether or not to approve a contract change order for the overage.</w:t>
      </w:r>
      <w:r>
        <w:rPr>
          <w:rStyle w:val="FootnoteReference"/>
        </w:rPr>
        <w:footnoteReference w:id="34"/>
      </w:r>
      <w:r w:rsidRPr="00FE178E" w:rsidR="009C401E">
        <w:t xml:space="preserve"> </w:t>
      </w:r>
    </w:p>
    <w:p w:rsidR="009C401E" w:rsidRPr="00FE178E" w:rsidP="009C401E" w14:paraId="7731438D" w14:textId="3E02121A">
      <w:pPr>
        <w:spacing w:line="480" w:lineRule="auto"/>
        <w:ind w:firstLine="720"/>
      </w:pPr>
      <w:r w:rsidRPr="00FE178E">
        <w:t>B</w:t>
      </w:r>
      <w:r w:rsidRPr="00FE178E" w:rsidR="007C6E4A">
        <w:t xml:space="preserve">ut Duke has shown that it cannot be relied on to do this. Therefore, </w:t>
      </w:r>
      <w:r w:rsidRPr="00FE178E" w:rsidR="005C3816">
        <w:t xml:space="preserve">OCC recommends that </w:t>
      </w:r>
      <w:r w:rsidRPr="00FE178E" w:rsidR="007C6E4A">
        <w:t>t</w:t>
      </w:r>
      <w:r w:rsidRPr="00FE178E" w:rsidR="00F1726E">
        <w:t xml:space="preserve">he </w:t>
      </w:r>
      <w:r w:rsidRPr="00FE178E" w:rsidR="00222B45">
        <w:rPr>
          <w:i/>
          <w:iCs/>
        </w:rPr>
        <w:t>A</w:t>
      </w:r>
      <w:r w:rsidRPr="00FE178E" w:rsidR="00F1726E">
        <w:rPr>
          <w:i/>
          <w:iCs/>
        </w:rPr>
        <w:t xml:space="preserve">uditor </w:t>
      </w:r>
      <w:r w:rsidRPr="00FE178E" w:rsidR="00F1726E">
        <w:t>for the next DCI Rider audit review</w:t>
      </w:r>
      <w:r w:rsidRPr="00FE178E" w:rsidR="005C3816">
        <w:t xml:space="preserve"> </w:t>
      </w:r>
      <w:r w:rsidRPr="00FE178E" w:rsidR="004C1619">
        <w:t xml:space="preserve">disallow </w:t>
      </w:r>
      <w:r w:rsidRPr="00FE178E" w:rsidR="00F1726E">
        <w:t xml:space="preserve">for the overrun portion of any sampled work orders </w:t>
      </w:r>
      <w:r w:rsidRPr="00FE178E" w:rsidR="004C1619">
        <w:t xml:space="preserve">any </w:t>
      </w:r>
      <w:r w:rsidRPr="00FE178E" w:rsidR="00F1726E">
        <w:t xml:space="preserve">final costs </w:t>
      </w:r>
      <w:r w:rsidRPr="00FE178E" w:rsidR="004C1619">
        <w:t xml:space="preserve">that </w:t>
      </w:r>
      <w:r w:rsidRPr="00FE178E" w:rsidR="00F1726E">
        <w:t xml:space="preserve">exceed the original budget by more than 25% if Duke </w:t>
      </w:r>
      <w:r w:rsidRPr="00FE178E" w:rsidR="004C1619">
        <w:t xml:space="preserve">fails </w:t>
      </w:r>
      <w:r w:rsidRPr="00FE178E" w:rsidR="00F1726E">
        <w:t xml:space="preserve">to verify the reasonableness of the cost overruns. The </w:t>
      </w:r>
      <w:r w:rsidRPr="00FE178E" w:rsidR="00CB2DAF">
        <w:t>A</w:t>
      </w:r>
      <w:r w:rsidRPr="00FE178E" w:rsidR="00F1726E">
        <w:t xml:space="preserve">uditor should </w:t>
      </w:r>
      <w:r w:rsidRPr="00FE178E" w:rsidR="00CB2DAF">
        <w:t xml:space="preserve">also </w:t>
      </w:r>
      <w:r w:rsidRPr="00FE178E" w:rsidR="00F1726E">
        <w:t xml:space="preserve">increase the sample size of the work orders that are audited if more than 20% of the sampled work orders are over-budget by more than 25%. In selecting work orders that should be added to the original sample, the auditor should select a minimum of </w:t>
      </w:r>
      <w:r w:rsidRPr="00FE178E" w:rsidR="00222B45">
        <w:t>2</w:t>
      </w:r>
      <w:r w:rsidRPr="00FE178E" w:rsidR="00F1726E">
        <w:t xml:space="preserve">5 additional work orders based on criteria including total work order costs. </w:t>
      </w:r>
    </w:p>
    <w:p w:rsidR="00F1726E" w:rsidRPr="00FE178E" w:rsidP="00F1726E" w14:paraId="49975B75" w14:textId="69E9407D">
      <w:pPr>
        <w:spacing w:line="480" w:lineRule="auto"/>
        <w:ind w:firstLine="720"/>
      </w:pPr>
      <w:r w:rsidRPr="00FE178E">
        <w:t xml:space="preserve">The PUCO should implement the Auditor’s recommendations, but it should also go further to protect consumers. The OCC previously filed comments filed in Cases 17-1118-EL-RDR and 18-1036-EL-RDR, </w:t>
      </w:r>
      <w:r w:rsidRPr="00FE178E" w:rsidR="00EB6BD2">
        <w:t>recommending</w:t>
      </w:r>
      <w:r w:rsidRPr="00FE178E">
        <w:t xml:space="preserve"> that the continuing significant cost overruns show that Duke’s implementation and management of Rider DCI are inadequate. Given that Duke has failed to implement sufficient management </w:t>
      </w:r>
      <w:r w:rsidRPr="00FE178E" w:rsidR="00EB6BD2">
        <w:t xml:space="preserve">and accounting </w:t>
      </w:r>
      <w:r w:rsidRPr="00FE178E">
        <w:t xml:space="preserve">controls in the Rider DCI budget planning and implementation process for a </w:t>
      </w:r>
      <w:r w:rsidRPr="00FE178E">
        <w:rPr>
          <w:u w:val="single"/>
        </w:rPr>
        <w:t>third time</w:t>
      </w:r>
      <w:r w:rsidRPr="00FE178E">
        <w:t xml:space="preserve">, the PUCO must act now to protect consumers by imposing more stringent requirements before more DCI Rider costs are collected from customers. Requiring customers to pay charges in the DCI Rider for significant cost overruns that continue is not just and reasonable. The additional scrutiny OCC is requesting should </w:t>
      </w:r>
      <w:r w:rsidRPr="00FE178E" w:rsidR="00435D57">
        <w:t xml:space="preserve">(hopefully) </w:t>
      </w:r>
      <w:r w:rsidRPr="00FE178E">
        <w:t xml:space="preserve">incent Duke to adequately manage the programs and costs that it seeks to collect from consumers through </w:t>
      </w:r>
      <w:r w:rsidRPr="00FE178E" w:rsidR="00435D57">
        <w:t xml:space="preserve">Rider </w:t>
      </w:r>
      <w:r w:rsidRPr="00FE178E">
        <w:t xml:space="preserve">DCI. </w:t>
      </w:r>
    </w:p>
    <w:p w:rsidR="00314A1E" w:rsidRPr="00FE178E" w:rsidP="00B842B2" w14:paraId="0B8B8910" w14:textId="707D483C">
      <w:pPr>
        <w:pStyle w:val="Heading2"/>
        <w:rPr>
          <w:rFonts w:ascii="Times New Roman" w:hAnsi="Times New Roman" w:cs="Times New Roman"/>
          <w:szCs w:val="24"/>
        </w:rPr>
      </w:pPr>
      <w:bookmarkStart w:id="17" w:name="_Toc33428790"/>
      <w:bookmarkStart w:id="18" w:name="_Toc33790163"/>
      <w:r w:rsidRPr="00FE178E">
        <w:rPr>
          <w:rFonts w:ascii="Times New Roman" w:hAnsi="Times New Roman" w:cs="Times New Roman"/>
          <w:szCs w:val="24"/>
        </w:rPr>
        <w:t xml:space="preserve">The PUCO should </w:t>
      </w:r>
      <w:r w:rsidRPr="00FE178E" w:rsidR="009C401E">
        <w:rPr>
          <w:rFonts w:ascii="Times New Roman" w:hAnsi="Times New Roman" w:cs="Times New Roman"/>
          <w:szCs w:val="24"/>
        </w:rPr>
        <w:t xml:space="preserve">enforce its previous orders and </w:t>
      </w:r>
      <w:r w:rsidRPr="00FE178E">
        <w:rPr>
          <w:rFonts w:ascii="Times New Roman" w:hAnsi="Times New Roman" w:cs="Times New Roman"/>
          <w:szCs w:val="24"/>
        </w:rPr>
        <w:t xml:space="preserve">adopt recommendations made by the </w:t>
      </w:r>
      <w:r w:rsidRPr="00FE178E" w:rsidR="00E93D58">
        <w:rPr>
          <w:rFonts w:ascii="Times New Roman" w:hAnsi="Times New Roman" w:cs="Times New Roman"/>
          <w:szCs w:val="24"/>
        </w:rPr>
        <w:t>A</w:t>
      </w:r>
      <w:r w:rsidRPr="00FE178E">
        <w:rPr>
          <w:rFonts w:ascii="Times New Roman" w:hAnsi="Times New Roman" w:cs="Times New Roman"/>
          <w:szCs w:val="24"/>
        </w:rPr>
        <w:t xml:space="preserve">uditor so that </w:t>
      </w:r>
      <w:r w:rsidRPr="00FE178E" w:rsidR="00AB159F">
        <w:rPr>
          <w:rFonts w:ascii="Times New Roman" w:hAnsi="Times New Roman" w:cs="Times New Roman"/>
          <w:szCs w:val="24"/>
        </w:rPr>
        <w:t xml:space="preserve">Duke’s Unitization and </w:t>
      </w:r>
      <w:r w:rsidRPr="00FE178E" w:rsidR="00C17F63">
        <w:rPr>
          <w:rFonts w:ascii="Times New Roman" w:hAnsi="Times New Roman" w:cs="Times New Roman"/>
          <w:szCs w:val="24"/>
        </w:rPr>
        <w:t xml:space="preserve">Retirement Work </w:t>
      </w:r>
      <w:r w:rsidRPr="00FE178E" w:rsidR="006D5C09">
        <w:rPr>
          <w:rFonts w:ascii="Times New Roman" w:hAnsi="Times New Roman" w:cs="Times New Roman"/>
          <w:szCs w:val="24"/>
        </w:rPr>
        <w:t>i</w:t>
      </w:r>
      <w:r w:rsidRPr="00FE178E" w:rsidR="00C17F63">
        <w:rPr>
          <w:rFonts w:ascii="Times New Roman" w:hAnsi="Times New Roman" w:cs="Times New Roman"/>
          <w:szCs w:val="24"/>
        </w:rPr>
        <w:t>n Progress</w:t>
      </w:r>
      <w:r w:rsidRPr="00FE178E" w:rsidR="00AB159F">
        <w:rPr>
          <w:rFonts w:ascii="Times New Roman" w:hAnsi="Times New Roman" w:cs="Times New Roman"/>
          <w:szCs w:val="24"/>
        </w:rPr>
        <w:t xml:space="preserve"> backlogs are </w:t>
      </w:r>
      <w:r w:rsidRPr="00FE178E">
        <w:rPr>
          <w:rFonts w:ascii="Times New Roman" w:hAnsi="Times New Roman" w:cs="Times New Roman"/>
          <w:szCs w:val="24"/>
        </w:rPr>
        <w:t>eliminated,</w:t>
      </w:r>
      <w:r w:rsidRPr="00FE178E" w:rsidR="00EB6BD2">
        <w:rPr>
          <w:rFonts w:ascii="Times New Roman" w:hAnsi="Times New Roman" w:cs="Times New Roman"/>
          <w:szCs w:val="24"/>
        </w:rPr>
        <w:t xml:space="preserve"> and consumer</w:t>
      </w:r>
      <w:r>
        <w:rPr>
          <w:rFonts w:ascii="Times New Roman" w:hAnsi="Times New Roman" w:cs="Times New Roman"/>
          <w:szCs w:val="24"/>
        </w:rPr>
        <w:t>s</w:t>
      </w:r>
      <w:r w:rsidRPr="00FE178E" w:rsidR="00EB6BD2">
        <w:rPr>
          <w:rFonts w:ascii="Times New Roman" w:hAnsi="Times New Roman" w:cs="Times New Roman"/>
          <w:szCs w:val="24"/>
        </w:rPr>
        <w:t xml:space="preserve"> are protected from unreasonable charges</w:t>
      </w:r>
      <w:r w:rsidRPr="00FE178E" w:rsidR="00AB159F">
        <w:rPr>
          <w:rFonts w:ascii="Times New Roman" w:hAnsi="Times New Roman" w:cs="Times New Roman"/>
          <w:szCs w:val="24"/>
        </w:rPr>
        <w:t>.</w:t>
      </w:r>
      <w:bookmarkEnd w:id="17"/>
      <w:bookmarkEnd w:id="18"/>
      <w:r w:rsidRPr="00FE178E" w:rsidR="001D4F3F">
        <w:rPr>
          <w:rFonts w:ascii="Times New Roman" w:hAnsi="Times New Roman" w:cs="Times New Roman"/>
          <w:szCs w:val="24"/>
        </w:rPr>
        <w:t xml:space="preserve"> </w:t>
      </w:r>
    </w:p>
    <w:p w:rsidR="004C1619" w:rsidRPr="00FE178E" w:rsidP="00E55D19" w14:paraId="199DF375" w14:textId="77777777">
      <w:pPr>
        <w:spacing w:line="480" w:lineRule="auto"/>
        <w:ind w:firstLine="720"/>
      </w:pPr>
      <w:r w:rsidRPr="00FE178E">
        <w:rPr>
          <w:rFonts w:eastAsiaTheme="minorHAnsi"/>
        </w:rPr>
        <w:t>Timely u</w:t>
      </w:r>
      <w:r w:rsidRPr="00FE178E" w:rsidR="002C3FD9">
        <w:rPr>
          <w:rFonts w:eastAsiaTheme="minorHAnsi"/>
        </w:rPr>
        <w:t xml:space="preserve">nitization </w:t>
      </w:r>
      <w:r w:rsidRPr="00FE178E">
        <w:rPr>
          <w:rFonts w:eastAsiaTheme="minorHAnsi"/>
        </w:rPr>
        <w:t xml:space="preserve">is important because it </w:t>
      </w:r>
      <w:r w:rsidRPr="00FE178E" w:rsidR="002C3FD9">
        <w:rPr>
          <w:rFonts w:eastAsiaTheme="minorHAnsi"/>
        </w:rPr>
        <w:t xml:space="preserve">detects errors </w:t>
      </w:r>
      <w:r w:rsidRPr="00FE178E" w:rsidR="00E94FBB">
        <w:rPr>
          <w:rFonts w:eastAsiaTheme="minorHAnsi"/>
        </w:rPr>
        <w:t>resulting from</w:t>
      </w:r>
      <w:r w:rsidRPr="00FE178E" w:rsidR="002C3FD9">
        <w:rPr>
          <w:rFonts w:eastAsiaTheme="minorHAnsi"/>
        </w:rPr>
        <w:t xml:space="preserve"> charging expenditures to distribution plant, charging incorrect work orders, or charging incorrect FERC account</w:t>
      </w:r>
      <w:r w:rsidRPr="00FE178E" w:rsidR="00D802B8">
        <w:rPr>
          <w:rFonts w:eastAsiaTheme="minorHAnsi"/>
        </w:rPr>
        <w:t>s.</w:t>
      </w:r>
      <w:r>
        <w:rPr>
          <w:rStyle w:val="FootnoteReference"/>
          <w:rFonts w:eastAsiaTheme="minorHAnsi"/>
        </w:rPr>
        <w:footnoteReference w:id="35"/>
      </w:r>
      <w:r w:rsidRPr="00FE178E" w:rsidR="00633609">
        <w:rPr>
          <w:rFonts w:eastAsiaTheme="minorHAnsi"/>
        </w:rPr>
        <w:t xml:space="preserve"> Duke previously agreed that the un-unitized plant backlog would be caught up within one year </w:t>
      </w:r>
      <w:r w:rsidRPr="00FE178E">
        <w:rPr>
          <w:rFonts w:eastAsiaTheme="minorHAnsi"/>
        </w:rPr>
        <w:t xml:space="preserve">from </w:t>
      </w:r>
      <w:r w:rsidRPr="00FE178E" w:rsidR="00633609">
        <w:rPr>
          <w:rFonts w:eastAsiaTheme="minorHAnsi"/>
        </w:rPr>
        <w:t>October 23, 2019.</w:t>
      </w:r>
      <w:r>
        <w:rPr>
          <w:rStyle w:val="FootnoteReference"/>
          <w:rFonts w:eastAsiaTheme="minorHAnsi"/>
        </w:rPr>
        <w:footnoteReference w:id="36"/>
      </w:r>
      <w:r w:rsidRPr="00FE178E" w:rsidR="00633609">
        <w:rPr>
          <w:rFonts w:eastAsiaTheme="minorHAnsi"/>
        </w:rPr>
        <w:t xml:space="preserve"> </w:t>
      </w:r>
      <w:r w:rsidRPr="00FE178E" w:rsidR="008D28D8">
        <w:rPr>
          <w:rFonts w:eastAsiaTheme="minorHAnsi"/>
        </w:rPr>
        <w:t xml:space="preserve">Accordingly, </w:t>
      </w:r>
      <w:r w:rsidRPr="00FE178E" w:rsidR="00FD1799">
        <w:rPr>
          <w:rFonts w:eastAsiaTheme="minorHAnsi"/>
        </w:rPr>
        <w:t xml:space="preserve">as part of this audit, </w:t>
      </w:r>
      <w:r w:rsidRPr="00FE178E" w:rsidR="00D20987">
        <w:t xml:space="preserve">Rehmann was directed to assess Duke’s efforts to timely unitize plant including efforts to eliminate the Plan Unitization and </w:t>
      </w:r>
      <w:r w:rsidRPr="00FE178E" w:rsidR="0084298B">
        <w:t xml:space="preserve">Retirement Work in Progress </w:t>
      </w:r>
      <w:r w:rsidRPr="00FE178E" w:rsidR="00D20987">
        <w:t xml:space="preserve">backlogs. </w:t>
      </w:r>
    </w:p>
    <w:p w:rsidR="00BB4096" w:rsidRPr="00FE178E" w:rsidP="00E55D19" w14:paraId="00C6B2FE" w14:textId="62C0CDA4">
      <w:pPr>
        <w:spacing w:line="480" w:lineRule="auto"/>
        <w:ind w:firstLine="720"/>
        <w:rPr>
          <w:rFonts w:eastAsiaTheme="minorHAnsi"/>
        </w:rPr>
      </w:pPr>
      <w:r w:rsidRPr="00FE178E">
        <w:t xml:space="preserve">The Auditor found that </w:t>
      </w:r>
      <w:r w:rsidRPr="00FE178E" w:rsidR="00FD1799">
        <w:t xml:space="preserve">while </w:t>
      </w:r>
      <w:r w:rsidRPr="00FE178E">
        <w:t xml:space="preserve">Duke </w:t>
      </w:r>
      <w:r w:rsidRPr="00FE178E">
        <w:rPr>
          <w:rFonts w:eastAsiaTheme="minorHAnsi"/>
        </w:rPr>
        <w:t xml:space="preserve">has made progress on its backlog of un-unitized work orders from in-service year 2017 and older, there are </w:t>
      </w:r>
      <w:r w:rsidRPr="00FE178E" w:rsidR="00C17F63">
        <w:rPr>
          <w:rFonts w:eastAsiaTheme="minorHAnsi"/>
        </w:rPr>
        <w:t xml:space="preserve">still </w:t>
      </w:r>
      <w:r w:rsidRPr="00FE178E">
        <w:rPr>
          <w:rFonts w:eastAsiaTheme="minorHAnsi"/>
        </w:rPr>
        <w:t>significant un-unitized work orders that are over one year old from in service date.</w:t>
      </w:r>
      <w:r>
        <w:rPr>
          <w:rStyle w:val="FootnoteReference"/>
          <w:rFonts w:eastAsiaTheme="minorHAnsi"/>
        </w:rPr>
        <w:footnoteReference w:id="37"/>
      </w:r>
      <w:r w:rsidRPr="00FE178E">
        <w:rPr>
          <w:rFonts w:eastAsiaTheme="minorHAnsi"/>
        </w:rPr>
        <w:t xml:space="preserve"> </w:t>
      </w:r>
      <w:r w:rsidRPr="00FE178E" w:rsidR="00142B6E">
        <w:rPr>
          <w:rFonts w:eastAsiaTheme="minorHAnsi"/>
        </w:rPr>
        <w:t>The Auditor also discovered an increase in Retirement Work in Progress from $53,465,525 to $77,939,478.</w:t>
      </w:r>
      <w:r>
        <w:rPr>
          <w:rStyle w:val="FootnoteReference"/>
          <w:rFonts w:eastAsiaTheme="minorHAnsi"/>
        </w:rPr>
        <w:footnoteReference w:id="38"/>
      </w:r>
      <w:r w:rsidRPr="00FE178E" w:rsidR="002C3FD9">
        <w:rPr>
          <w:rFonts w:eastAsiaTheme="minorHAnsi"/>
        </w:rPr>
        <w:t xml:space="preserve"> </w:t>
      </w:r>
      <w:r w:rsidRPr="00FE178E" w:rsidR="00120469">
        <w:rPr>
          <w:rFonts w:eastAsiaTheme="minorHAnsi"/>
        </w:rPr>
        <w:t xml:space="preserve">Rehmann </w:t>
      </w:r>
      <w:r w:rsidRPr="00FE178E" w:rsidR="00B3167C">
        <w:rPr>
          <w:rFonts w:eastAsiaTheme="minorHAnsi"/>
        </w:rPr>
        <w:t xml:space="preserve">also </w:t>
      </w:r>
      <w:r w:rsidRPr="00FE178E" w:rsidR="00564F36">
        <w:rPr>
          <w:rFonts w:eastAsiaTheme="minorHAnsi"/>
        </w:rPr>
        <w:t xml:space="preserve">noted </w:t>
      </w:r>
      <w:r w:rsidRPr="00FE178E" w:rsidR="00B3167C">
        <w:rPr>
          <w:rFonts w:eastAsiaTheme="minorHAnsi"/>
        </w:rPr>
        <w:t xml:space="preserve">that </w:t>
      </w:r>
      <w:r w:rsidRPr="00FE178E">
        <w:rPr>
          <w:rFonts w:eastAsiaTheme="minorHAnsi"/>
        </w:rPr>
        <w:t>an accumulating balance delays the unitization of cost of removal and salvage to FERC Plant Accounts 360-374</w:t>
      </w:r>
      <w:r w:rsidRPr="00FE178E" w:rsidR="0025399B">
        <w:rPr>
          <w:rFonts w:eastAsiaTheme="minorHAnsi"/>
        </w:rPr>
        <w:t>, which are critical components of</w:t>
      </w:r>
      <w:r w:rsidRPr="00FE178E" w:rsidR="0021677D">
        <w:rPr>
          <w:rFonts w:eastAsiaTheme="minorHAnsi"/>
        </w:rPr>
        <w:t xml:space="preserve"> establishing depreciation rates at individual FERC Plant Accounts 360-374</w:t>
      </w:r>
      <w:r w:rsidRPr="00FE178E">
        <w:rPr>
          <w:rFonts w:eastAsiaTheme="minorHAnsi"/>
        </w:rPr>
        <w:t>.</w:t>
      </w:r>
      <w:r>
        <w:rPr>
          <w:rStyle w:val="FootnoteReference"/>
          <w:rFonts w:eastAsiaTheme="minorHAnsi"/>
        </w:rPr>
        <w:footnoteReference w:id="39"/>
      </w:r>
      <w:r w:rsidRPr="00FE178E">
        <w:rPr>
          <w:rFonts w:eastAsiaTheme="minorHAnsi"/>
        </w:rPr>
        <w:t xml:space="preserve"> </w:t>
      </w:r>
      <w:r w:rsidRPr="00FE178E" w:rsidR="00120469">
        <w:rPr>
          <w:rFonts w:eastAsiaTheme="minorHAnsi"/>
        </w:rPr>
        <w:t xml:space="preserve">Rehmann also </w:t>
      </w:r>
      <w:r w:rsidRPr="00FE178E" w:rsidR="00B3167C">
        <w:rPr>
          <w:rFonts w:eastAsiaTheme="minorHAnsi"/>
        </w:rPr>
        <w:t xml:space="preserve">explained </w:t>
      </w:r>
      <w:r w:rsidRPr="00FE178E" w:rsidR="00120469">
        <w:rPr>
          <w:rFonts w:eastAsiaTheme="minorHAnsi"/>
        </w:rPr>
        <w:t>that w</w:t>
      </w:r>
      <w:r w:rsidRPr="00FE178E">
        <w:rPr>
          <w:rFonts w:eastAsiaTheme="minorHAnsi"/>
        </w:rPr>
        <w:t xml:space="preserve">hile </w:t>
      </w:r>
      <w:r w:rsidRPr="00FE178E" w:rsidR="00120469">
        <w:rPr>
          <w:rFonts w:eastAsiaTheme="minorHAnsi"/>
        </w:rPr>
        <w:t>R</w:t>
      </w:r>
      <w:r w:rsidRPr="00FE178E">
        <w:rPr>
          <w:rFonts w:eastAsiaTheme="minorHAnsi"/>
        </w:rPr>
        <w:t xml:space="preserve">ider DCI has authorized depreciation rates, it would be difficult to establish new authorized rates, </w:t>
      </w:r>
      <w:r w:rsidRPr="00FE178E" w:rsidR="00120469">
        <w:rPr>
          <w:rFonts w:eastAsiaTheme="minorHAnsi"/>
        </w:rPr>
        <w:t xml:space="preserve">which are </w:t>
      </w:r>
      <w:r w:rsidRPr="00FE178E">
        <w:rPr>
          <w:rFonts w:eastAsiaTheme="minorHAnsi"/>
        </w:rPr>
        <w:t>representative of current depreciation expense, without the $77,939,478 unitized.</w:t>
      </w:r>
      <w:r>
        <w:rPr>
          <w:rStyle w:val="FootnoteReference"/>
          <w:rFonts w:eastAsiaTheme="minorHAnsi"/>
        </w:rPr>
        <w:footnoteReference w:id="40"/>
      </w:r>
      <w:r w:rsidRPr="00FE178E" w:rsidR="00120469">
        <w:rPr>
          <w:rFonts w:eastAsiaTheme="minorHAnsi"/>
        </w:rPr>
        <w:t xml:space="preserve"> </w:t>
      </w:r>
    </w:p>
    <w:p w:rsidR="00314A1E" w:rsidRPr="00FE178E" w:rsidP="00AB3E77" w14:paraId="767A593B" w14:textId="45915E0A">
      <w:pPr>
        <w:spacing w:line="480" w:lineRule="auto"/>
        <w:ind w:firstLine="720"/>
      </w:pPr>
      <w:r w:rsidRPr="00FE178E">
        <w:rPr>
          <w:rFonts w:eastAsiaTheme="minorHAnsi"/>
        </w:rPr>
        <w:t>The</w:t>
      </w:r>
      <w:r w:rsidRPr="00FE178E" w:rsidR="002B73F3">
        <w:rPr>
          <w:rFonts w:eastAsiaTheme="minorHAnsi"/>
        </w:rPr>
        <w:t xml:space="preserve">se overcharges </w:t>
      </w:r>
      <w:r w:rsidRPr="00FE178E" w:rsidR="00EE67C9">
        <w:rPr>
          <w:rFonts w:eastAsiaTheme="minorHAnsi"/>
        </w:rPr>
        <w:t>should be eliminated</w:t>
      </w:r>
      <w:r w:rsidRPr="00FE178E" w:rsidR="004C1619">
        <w:rPr>
          <w:rFonts w:eastAsiaTheme="minorHAnsi"/>
        </w:rPr>
        <w:t xml:space="preserve">. </w:t>
      </w:r>
      <w:r w:rsidRPr="00FE178E" w:rsidR="00EE67C9">
        <w:rPr>
          <w:rFonts w:eastAsiaTheme="minorHAnsi"/>
        </w:rPr>
        <w:t>but</w:t>
      </w:r>
      <w:r w:rsidRPr="00FE178E" w:rsidR="002B73F3">
        <w:rPr>
          <w:rFonts w:eastAsiaTheme="minorHAnsi"/>
        </w:rPr>
        <w:t xml:space="preserve"> Duke has not complied with its previous commitment to get caught up on this </w:t>
      </w:r>
      <w:r w:rsidRPr="00FE178E" w:rsidR="00EB6BD2">
        <w:rPr>
          <w:rFonts w:eastAsiaTheme="minorHAnsi"/>
        </w:rPr>
        <w:t>work</w:t>
      </w:r>
      <w:r w:rsidRPr="00FE178E" w:rsidR="00C47E53">
        <w:rPr>
          <w:rFonts w:eastAsiaTheme="minorHAnsi"/>
        </w:rPr>
        <w:t xml:space="preserve"> </w:t>
      </w:r>
      <w:r w:rsidRPr="00FE178E" w:rsidR="00EB6BD2">
        <w:rPr>
          <w:rFonts w:eastAsiaTheme="minorHAnsi"/>
        </w:rPr>
        <w:t>order</w:t>
      </w:r>
      <w:r w:rsidRPr="00FE178E" w:rsidR="00C47E53">
        <w:rPr>
          <w:rFonts w:eastAsiaTheme="minorHAnsi"/>
        </w:rPr>
        <w:t xml:space="preserve"> </w:t>
      </w:r>
      <w:r w:rsidRPr="00FE178E" w:rsidR="002B73F3">
        <w:rPr>
          <w:rFonts w:eastAsiaTheme="minorHAnsi"/>
        </w:rPr>
        <w:t>backlog</w:t>
      </w:r>
      <w:r w:rsidRPr="00FE178E" w:rsidR="00E01FBA">
        <w:rPr>
          <w:rFonts w:eastAsiaTheme="minorHAnsi"/>
        </w:rPr>
        <w:t xml:space="preserve">. </w:t>
      </w:r>
      <w:r w:rsidRPr="00FE178E" w:rsidR="004C1619">
        <w:rPr>
          <w:rFonts w:eastAsiaTheme="minorHAnsi"/>
        </w:rPr>
        <w:t>T</w:t>
      </w:r>
      <w:r w:rsidRPr="00FE178E" w:rsidR="00E55D19">
        <w:t xml:space="preserve">here should be enforcement </w:t>
      </w:r>
      <w:r w:rsidRPr="00FE178E" w:rsidR="00E01FBA">
        <w:t xml:space="preserve">consequences for </w:t>
      </w:r>
      <w:r w:rsidRPr="00FE178E" w:rsidR="00E55D19">
        <w:t>Duke</w:t>
      </w:r>
      <w:r w:rsidRPr="00FE178E" w:rsidR="00E01FBA">
        <w:t>’s</w:t>
      </w:r>
      <w:r w:rsidRPr="00FE178E" w:rsidR="00E55D19">
        <w:t xml:space="preserve"> </w:t>
      </w:r>
      <w:r w:rsidRPr="00FE178E">
        <w:t xml:space="preserve">repeated </w:t>
      </w:r>
      <w:r w:rsidRPr="00FE178E" w:rsidR="00E01FBA">
        <w:t>failure</w:t>
      </w:r>
      <w:r w:rsidRPr="00FE178E" w:rsidR="00E55D19">
        <w:t xml:space="preserve"> to get caught up</w:t>
      </w:r>
      <w:r w:rsidRPr="00FE178E" w:rsidR="00BB4096">
        <w:t xml:space="preserve"> on the backlog of unitization</w:t>
      </w:r>
      <w:r w:rsidRPr="00FE178E" w:rsidR="00E55D19">
        <w:t>.</w:t>
      </w:r>
      <w:r>
        <w:rPr>
          <w:rStyle w:val="FootnoteReference"/>
        </w:rPr>
        <w:footnoteReference w:id="41"/>
      </w:r>
      <w:r w:rsidRPr="00FE178E" w:rsidR="00E55D19">
        <w:t xml:space="preserve"> </w:t>
      </w:r>
      <w:r w:rsidRPr="00FE178E" w:rsidR="00C97501">
        <w:t xml:space="preserve">It is wrong for Duke’s customers to pay unjust and unreasonable Rider DCI charges </w:t>
      </w:r>
      <w:r w:rsidRPr="00FE178E" w:rsidR="004E1775">
        <w:t xml:space="preserve">caused by Duke’s failure to </w:t>
      </w:r>
      <w:r w:rsidRPr="00FE178E" w:rsidR="003117F1">
        <w:t xml:space="preserve">timely and </w:t>
      </w:r>
      <w:r w:rsidRPr="00FE178E" w:rsidR="004E1775">
        <w:t xml:space="preserve">properly </w:t>
      </w:r>
      <w:r w:rsidRPr="00FE178E" w:rsidR="003117F1">
        <w:t>unitize or error-check its</w:t>
      </w:r>
      <w:r w:rsidRPr="00FE178E" w:rsidR="00F112AA">
        <w:t xml:space="preserve"> accounting.</w:t>
      </w:r>
      <w:r w:rsidRPr="00FE178E" w:rsidR="00861DFF">
        <w:rPr>
          <w:rFonts w:eastAsiaTheme="minorHAnsi"/>
        </w:rPr>
        <w:t xml:space="preserve"> </w:t>
      </w:r>
      <w:r w:rsidRPr="00FE178E">
        <w:rPr>
          <w:rFonts w:eastAsiaTheme="minorHAnsi"/>
        </w:rPr>
        <w:t xml:space="preserve">The PUCO </w:t>
      </w:r>
      <w:r w:rsidRPr="00FE178E" w:rsidR="00321850">
        <w:rPr>
          <w:rFonts w:eastAsiaTheme="minorHAnsi"/>
        </w:rPr>
        <w:t>should enforce its previous orders</w:t>
      </w:r>
      <w:r w:rsidRPr="00FE178E" w:rsidR="009C7138">
        <w:rPr>
          <w:rFonts w:eastAsiaTheme="minorHAnsi"/>
        </w:rPr>
        <w:t>.</w:t>
      </w:r>
      <w:r w:rsidRPr="00FE178E" w:rsidR="00321850">
        <w:rPr>
          <w:rFonts w:eastAsiaTheme="minorHAnsi"/>
        </w:rPr>
        <w:t xml:space="preserve"> </w:t>
      </w:r>
      <w:r w:rsidRPr="00FE178E" w:rsidR="00861DFF">
        <w:rPr>
          <w:rFonts w:eastAsiaTheme="minorHAnsi"/>
        </w:rPr>
        <w:t xml:space="preserve">At a </w:t>
      </w:r>
      <w:r w:rsidRPr="00FE178E" w:rsidR="009C7138">
        <w:rPr>
          <w:rFonts w:eastAsiaTheme="minorHAnsi"/>
        </w:rPr>
        <w:t xml:space="preserve">bare </w:t>
      </w:r>
      <w:r w:rsidRPr="00FE178E" w:rsidR="00861DFF">
        <w:rPr>
          <w:rFonts w:eastAsiaTheme="minorHAnsi"/>
        </w:rPr>
        <w:t>m</w:t>
      </w:r>
      <w:r w:rsidRPr="00FE178E" w:rsidR="00760889">
        <w:rPr>
          <w:rFonts w:eastAsiaTheme="minorHAnsi"/>
        </w:rPr>
        <w:t>i</w:t>
      </w:r>
      <w:r w:rsidRPr="00FE178E" w:rsidR="00861DFF">
        <w:rPr>
          <w:rFonts w:eastAsiaTheme="minorHAnsi"/>
        </w:rPr>
        <w:t xml:space="preserve">nimum, the PUCO should </w:t>
      </w:r>
      <w:r w:rsidRPr="00FE178E" w:rsidR="009C7138">
        <w:rPr>
          <w:rFonts w:eastAsiaTheme="minorHAnsi"/>
        </w:rPr>
        <w:t xml:space="preserve">(again) </w:t>
      </w:r>
      <w:r w:rsidRPr="00FE178E" w:rsidR="00861DFF">
        <w:rPr>
          <w:rFonts w:eastAsiaTheme="minorHAnsi"/>
        </w:rPr>
        <w:t xml:space="preserve">adopt the Auditor’s recommendations to require Duke to catch up this backlog </w:t>
      </w:r>
      <w:r w:rsidRPr="00FE178E" w:rsidR="00861AAD">
        <w:rPr>
          <w:rFonts w:eastAsiaTheme="minorHAnsi"/>
        </w:rPr>
        <w:t xml:space="preserve">within one year of the PUCO’s Order </w:t>
      </w:r>
      <w:r w:rsidRPr="00FE178E" w:rsidR="00171F04">
        <w:rPr>
          <w:rFonts w:eastAsiaTheme="minorHAnsi"/>
        </w:rPr>
        <w:t>adopting the set</w:t>
      </w:r>
      <w:r w:rsidRPr="00FE178E" w:rsidR="00760889">
        <w:rPr>
          <w:rFonts w:eastAsiaTheme="minorHAnsi"/>
        </w:rPr>
        <w:t>t</w:t>
      </w:r>
      <w:r w:rsidRPr="00FE178E" w:rsidR="00171F04">
        <w:rPr>
          <w:rFonts w:eastAsiaTheme="minorHAnsi"/>
        </w:rPr>
        <w:t>lem</w:t>
      </w:r>
      <w:r w:rsidRPr="00FE178E" w:rsidR="00760889">
        <w:rPr>
          <w:rFonts w:eastAsiaTheme="minorHAnsi"/>
        </w:rPr>
        <w:t>e</w:t>
      </w:r>
      <w:r w:rsidRPr="00FE178E" w:rsidR="00171F04">
        <w:rPr>
          <w:rFonts w:eastAsiaTheme="minorHAnsi"/>
        </w:rPr>
        <w:t>nt in Case No. 18-1036-EL-RDR (October 23, 20</w:t>
      </w:r>
      <w:r w:rsidRPr="00FE178E" w:rsidR="009C7138">
        <w:rPr>
          <w:rFonts w:eastAsiaTheme="minorHAnsi"/>
        </w:rPr>
        <w:t>19</w:t>
      </w:r>
      <w:r w:rsidRPr="00FE178E" w:rsidR="00171F04">
        <w:rPr>
          <w:rFonts w:eastAsiaTheme="minorHAnsi"/>
        </w:rPr>
        <w:t>).</w:t>
      </w:r>
      <w:r w:rsidRPr="00FE178E" w:rsidR="00D20987">
        <w:rPr>
          <w:rFonts w:eastAsiaTheme="minorHAnsi"/>
        </w:rPr>
        <w:t xml:space="preserve"> </w:t>
      </w:r>
    </w:p>
    <w:p w:rsidR="0053250C" w:rsidRPr="00FE178E" w:rsidP="00AD4195" w14:paraId="08645B15" w14:textId="77777777">
      <w:pPr>
        <w:pStyle w:val="Heading1"/>
      </w:pPr>
      <w:bookmarkStart w:id="19" w:name="_Toc33428793"/>
      <w:bookmarkStart w:id="20" w:name="_Toc33790164"/>
      <w:r w:rsidRPr="00FE178E">
        <w:t>III.</w:t>
      </w:r>
      <w:r w:rsidRPr="00FE178E">
        <w:tab/>
        <w:t>CONCLUSION</w:t>
      </w:r>
      <w:bookmarkEnd w:id="19"/>
      <w:bookmarkEnd w:id="20"/>
    </w:p>
    <w:p w:rsidR="0053250C" w:rsidRPr="00FE178E" w:rsidP="0053250C" w14:paraId="0D06EBB4" w14:textId="62B06E33">
      <w:pPr>
        <w:spacing w:line="480" w:lineRule="auto"/>
        <w:ind w:firstLine="720"/>
      </w:pPr>
      <w:r w:rsidRPr="00FE178E">
        <w:t>By law, c</w:t>
      </w:r>
      <w:r w:rsidRPr="00FE178E" w:rsidR="004C34CF">
        <w:t xml:space="preserve">onsumers </w:t>
      </w:r>
      <w:r w:rsidRPr="00FE178E">
        <w:t xml:space="preserve">are entitled to be charged only what are </w:t>
      </w:r>
      <w:r w:rsidRPr="00FE178E" w:rsidR="004C34CF">
        <w:t xml:space="preserve">just and reasonable rates for adequate and reliable </w:t>
      </w:r>
      <w:r w:rsidRPr="00FE178E">
        <w:t xml:space="preserve">utility </w:t>
      </w:r>
      <w:r w:rsidRPr="00FE178E" w:rsidR="004C34CF">
        <w:t xml:space="preserve">service. </w:t>
      </w:r>
      <w:r w:rsidRPr="00FE178E">
        <w:t>Accordingly</w:t>
      </w:r>
      <w:r>
        <w:t>,</w:t>
      </w:r>
      <w:r w:rsidRPr="00FE178E" w:rsidR="004C34CF">
        <w:t xml:space="preserve"> t</w:t>
      </w:r>
      <w:r w:rsidRPr="00FE178E" w:rsidR="00CD59CF">
        <w:t xml:space="preserve">he PUCO should adopt the auditor recommendations along with OCC’s </w:t>
      </w:r>
      <w:r w:rsidRPr="00FE178E" w:rsidR="004C34CF">
        <w:t xml:space="preserve">additional </w:t>
      </w:r>
      <w:r w:rsidRPr="00FE178E" w:rsidR="00CD59CF">
        <w:t>recommendations</w:t>
      </w:r>
      <w:r w:rsidRPr="00FE178E" w:rsidR="003916C8">
        <w:t xml:space="preserve"> that are directed at removing </w:t>
      </w:r>
      <w:r w:rsidRPr="00FE178E" w:rsidR="00AF4B7C">
        <w:t>improper costs from the distribution improvement rider</w:t>
      </w:r>
      <w:r w:rsidRPr="00FE178E" w:rsidR="00C47E53">
        <w:t xml:space="preserve"> so that the charges are just and reasonable</w:t>
      </w:r>
      <w:r w:rsidRPr="00FE178E" w:rsidR="00CD59CF">
        <w:t xml:space="preserve">.  </w:t>
      </w:r>
    </w:p>
    <w:p w:rsidR="00AB3E77" w:rsidRPr="00FE178E" w:rsidP="004C34CF" w14:paraId="54B54230" w14:textId="77777777">
      <w:pPr>
        <w:ind w:left="3600" w:firstLine="720"/>
      </w:pPr>
    </w:p>
    <w:p w:rsidR="0053250C" w:rsidRPr="00FE178E" w:rsidP="004C34CF" w14:paraId="09F593D4" w14:textId="65A290B4">
      <w:pPr>
        <w:ind w:left="3600" w:firstLine="720"/>
      </w:pPr>
      <w:r w:rsidRPr="00FE178E">
        <w:t>Respectfully submitted,</w:t>
      </w:r>
    </w:p>
    <w:p w:rsidR="0053250C" w:rsidRPr="00FE178E" w:rsidP="0053250C" w14:paraId="2D34E5DD" w14:textId="77777777">
      <w:pPr>
        <w:pStyle w:val="BodyTextIndent3"/>
        <w:widowControl w:val="0"/>
        <w:spacing w:line="240" w:lineRule="auto"/>
        <w:ind w:left="4320"/>
        <w:rPr>
          <w:szCs w:val="24"/>
        </w:rPr>
      </w:pPr>
    </w:p>
    <w:p w:rsidR="00217C13" w:rsidRPr="00FE178E" w:rsidP="00217C13" w14:paraId="421B66CA" w14:textId="77777777">
      <w:pPr>
        <w:pStyle w:val="Footer"/>
        <w:tabs>
          <w:tab w:val="left" w:pos="4320"/>
        </w:tabs>
        <w:ind w:left="4320"/>
        <w:rPr>
          <w:rFonts w:ascii="Times New Roman" w:hAnsi="Times New Roman" w:cs="Times New Roman"/>
          <w:sz w:val="24"/>
          <w:szCs w:val="24"/>
        </w:rPr>
      </w:pPr>
      <w:r w:rsidRPr="00FE178E">
        <w:rPr>
          <w:rFonts w:ascii="Times New Roman" w:hAnsi="Times New Roman" w:cs="Times New Roman"/>
          <w:sz w:val="24"/>
          <w:szCs w:val="24"/>
        </w:rPr>
        <w:tab/>
        <w:t>Bruce Weston (0016973)</w:t>
      </w:r>
    </w:p>
    <w:p w:rsidR="00217C13" w:rsidRPr="00FE178E" w:rsidP="00217C13" w14:paraId="30432A87" w14:textId="77777777">
      <w:pPr>
        <w:pStyle w:val="ListParagraph"/>
        <w:tabs>
          <w:tab w:val="left" w:pos="4320"/>
        </w:tabs>
        <w:spacing w:line="240" w:lineRule="auto"/>
        <w:ind w:left="4320"/>
        <w:rPr>
          <w:rFonts w:ascii="Times New Roman" w:hAnsi="Times New Roman" w:cs="Times New Roman"/>
          <w:sz w:val="24"/>
          <w:szCs w:val="24"/>
        </w:rPr>
      </w:pPr>
      <w:r w:rsidRPr="00FE178E">
        <w:rPr>
          <w:rFonts w:ascii="Times New Roman" w:hAnsi="Times New Roman" w:cs="Times New Roman"/>
          <w:sz w:val="24"/>
          <w:szCs w:val="24"/>
        </w:rPr>
        <w:t>Ohio Consumers’ Counsel</w:t>
      </w:r>
    </w:p>
    <w:p w:rsidR="00217C13" w:rsidRPr="00FE178E" w:rsidP="00217C13" w14:paraId="1BC33A0A" w14:textId="77777777">
      <w:pPr>
        <w:pStyle w:val="ListParagraph"/>
        <w:tabs>
          <w:tab w:val="left" w:pos="4320"/>
        </w:tabs>
        <w:ind w:left="4320"/>
        <w:rPr>
          <w:rFonts w:ascii="Times New Roman" w:hAnsi="Times New Roman" w:cs="Times New Roman"/>
          <w:sz w:val="24"/>
          <w:szCs w:val="24"/>
        </w:rPr>
      </w:pPr>
      <w:r w:rsidRPr="00FE178E">
        <w:rPr>
          <w:rFonts w:ascii="Times New Roman" w:hAnsi="Times New Roman" w:cs="Times New Roman"/>
          <w:sz w:val="24"/>
          <w:szCs w:val="24"/>
        </w:rPr>
        <w:tab/>
      </w:r>
    </w:p>
    <w:p w:rsidR="00217C13" w:rsidRPr="00FE178E" w:rsidP="00217C13" w14:paraId="2B963F91" w14:textId="77777777">
      <w:pPr>
        <w:pStyle w:val="ListParagraph"/>
        <w:tabs>
          <w:tab w:val="left" w:pos="4320"/>
        </w:tabs>
        <w:spacing w:line="240" w:lineRule="auto"/>
        <w:ind w:left="4320"/>
        <w:rPr>
          <w:rFonts w:ascii="Times New Roman" w:hAnsi="Times New Roman" w:cs="Times New Roman"/>
          <w:i/>
          <w:iCs/>
          <w:sz w:val="24"/>
          <w:szCs w:val="24"/>
          <w:u w:val="single"/>
        </w:rPr>
      </w:pPr>
      <w:r w:rsidRPr="00FE178E">
        <w:rPr>
          <w:rFonts w:ascii="Times New Roman" w:hAnsi="Times New Roman" w:cs="Times New Roman"/>
          <w:i/>
          <w:iCs/>
          <w:sz w:val="24"/>
          <w:szCs w:val="24"/>
          <w:u w:val="single"/>
        </w:rPr>
        <w:t>/s/ Ambrosia E. Logsdon_____</w:t>
      </w:r>
    </w:p>
    <w:p w:rsidR="00217C13" w:rsidRPr="00FE178E" w:rsidP="00217C13" w14:paraId="3E115E6A" w14:textId="3C5AB95B">
      <w:pPr>
        <w:pStyle w:val="ListParagraph"/>
        <w:tabs>
          <w:tab w:val="left" w:pos="4320"/>
        </w:tabs>
        <w:spacing w:line="240" w:lineRule="auto"/>
        <w:ind w:left="4320"/>
        <w:rPr>
          <w:rFonts w:ascii="Times New Roman" w:hAnsi="Times New Roman" w:cs="Times New Roman"/>
          <w:sz w:val="24"/>
          <w:szCs w:val="24"/>
        </w:rPr>
      </w:pPr>
      <w:r w:rsidRPr="00FE178E">
        <w:rPr>
          <w:rFonts w:ascii="Times New Roman" w:hAnsi="Times New Roman" w:cs="Times New Roman"/>
          <w:sz w:val="24"/>
          <w:szCs w:val="24"/>
        </w:rPr>
        <w:t xml:space="preserve">Ambrosia </w:t>
      </w:r>
      <w:r>
        <w:rPr>
          <w:rFonts w:ascii="Times New Roman" w:hAnsi="Times New Roman" w:cs="Times New Roman"/>
          <w:sz w:val="24"/>
          <w:szCs w:val="24"/>
        </w:rPr>
        <w:t xml:space="preserve">E. </w:t>
      </w:r>
      <w:r w:rsidRPr="00FE178E">
        <w:rPr>
          <w:rFonts w:ascii="Times New Roman" w:hAnsi="Times New Roman" w:cs="Times New Roman"/>
          <w:sz w:val="24"/>
          <w:szCs w:val="24"/>
        </w:rPr>
        <w:t>Logsdon (0096598)</w:t>
      </w:r>
    </w:p>
    <w:p w:rsidR="00217C13" w:rsidRPr="00FE178E" w:rsidP="00217C13" w14:paraId="3B5FDFF3" w14:textId="77777777">
      <w:pPr>
        <w:pStyle w:val="ListParagraph"/>
        <w:tabs>
          <w:tab w:val="left" w:pos="4320"/>
        </w:tabs>
        <w:spacing w:line="240" w:lineRule="auto"/>
        <w:ind w:left="4320"/>
        <w:rPr>
          <w:rFonts w:ascii="Times New Roman" w:hAnsi="Times New Roman" w:cs="Times New Roman"/>
          <w:sz w:val="24"/>
          <w:szCs w:val="24"/>
        </w:rPr>
      </w:pPr>
      <w:r w:rsidRPr="00FE178E">
        <w:rPr>
          <w:rFonts w:ascii="Times New Roman" w:hAnsi="Times New Roman" w:cs="Times New Roman"/>
          <w:sz w:val="24"/>
          <w:szCs w:val="24"/>
        </w:rPr>
        <w:t>Counsel of Record</w:t>
      </w:r>
      <w:r w:rsidRPr="00FE178E">
        <w:rPr>
          <w:rFonts w:ascii="Times New Roman" w:hAnsi="Times New Roman" w:cs="Times New Roman"/>
          <w:sz w:val="24"/>
          <w:szCs w:val="24"/>
        </w:rPr>
        <w:br/>
        <w:t>Assistant Consumers’ Counsel</w:t>
      </w:r>
    </w:p>
    <w:p w:rsidR="00217C13" w:rsidRPr="00FE178E" w:rsidP="00567148" w14:paraId="12D2BD41" w14:textId="425F03CC">
      <w:pPr>
        <w:rPr>
          <w:b/>
          <w:bCs/>
        </w:rPr>
      </w:pPr>
      <w:r w:rsidRPr="00FE178E">
        <w:tab/>
      </w:r>
      <w:r w:rsidRPr="00FE178E" w:rsidR="00567148">
        <w:tab/>
      </w:r>
      <w:r w:rsidRPr="00FE178E" w:rsidR="00567148">
        <w:tab/>
      </w:r>
      <w:r w:rsidRPr="00FE178E" w:rsidR="00567148">
        <w:tab/>
      </w:r>
      <w:r w:rsidRPr="00FE178E" w:rsidR="00567148">
        <w:tab/>
      </w:r>
      <w:r w:rsidRPr="00FE178E" w:rsidR="00567148">
        <w:tab/>
      </w:r>
      <w:r w:rsidRPr="00FE178E">
        <w:rPr>
          <w:b/>
          <w:bCs/>
        </w:rPr>
        <w:t>Office of the Ohio Consumers’ Counsel</w:t>
      </w:r>
    </w:p>
    <w:p w:rsidR="00217C13" w:rsidRPr="00FE178E" w:rsidP="00217C13" w14:paraId="39B328DA" w14:textId="77777777">
      <w:pPr>
        <w:ind w:left="4320"/>
      </w:pPr>
      <w:r w:rsidRPr="00FE178E">
        <w:t>65 East State Street, 7</w:t>
      </w:r>
      <w:r w:rsidRPr="00FE178E">
        <w:rPr>
          <w:vertAlign w:val="superscript"/>
        </w:rPr>
        <w:t>th</w:t>
      </w:r>
      <w:r w:rsidRPr="00FE178E">
        <w:t xml:space="preserve"> Floor</w:t>
      </w:r>
    </w:p>
    <w:p w:rsidR="00217C13" w:rsidRPr="00FE178E" w:rsidP="00217C13" w14:paraId="2932FC8D" w14:textId="77777777">
      <w:pPr>
        <w:ind w:left="4320"/>
      </w:pPr>
      <w:r w:rsidRPr="00FE178E">
        <w:t>Columbus, Ohio 43215</w:t>
      </w:r>
    </w:p>
    <w:p w:rsidR="00217C13" w:rsidRPr="00FE178E" w:rsidP="00217C13" w14:paraId="240F8065" w14:textId="77777777">
      <w:pPr>
        <w:pStyle w:val="ListParagraph"/>
        <w:autoSpaceDE w:val="0"/>
        <w:autoSpaceDN w:val="0"/>
        <w:adjustRightInd w:val="0"/>
        <w:spacing w:after="0" w:line="240" w:lineRule="auto"/>
        <w:ind w:left="3600" w:firstLine="720"/>
        <w:rPr>
          <w:rFonts w:ascii="Times New Roman" w:hAnsi="Times New Roman" w:cs="Times New Roman"/>
          <w:sz w:val="24"/>
          <w:szCs w:val="24"/>
        </w:rPr>
      </w:pPr>
      <w:r w:rsidRPr="00FE178E">
        <w:rPr>
          <w:rFonts w:ascii="Times New Roman" w:hAnsi="Times New Roman" w:cs="Times New Roman"/>
          <w:sz w:val="24"/>
          <w:szCs w:val="24"/>
        </w:rPr>
        <w:t>Telephone: (614) 466-1292</w:t>
      </w:r>
    </w:p>
    <w:p w:rsidR="00217C13" w:rsidRPr="00FE178E" w:rsidP="00217C13" w14:paraId="01BD6E00" w14:textId="52218712">
      <w:pPr>
        <w:pStyle w:val="ListParagraph"/>
        <w:autoSpaceDE w:val="0"/>
        <w:autoSpaceDN w:val="0"/>
        <w:adjustRightInd w:val="0"/>
        <w:spacing w:after="0" w:line="240" w:lineRule="auto"/>
        <w:ind w:left="0"/>
        <w:rPr>
          <w:rStyle w:val="Hyperlink"/>
          <w:rFonts w:ascii="Times New Roman" w:hAnsi="Times New Roman" w:cs="Times New Roman"/>
          <w:sz w:val="24"/>
          <w:szCs w:val="24"/>
        </w:rPr>
      </w:pPr>
      <w:r w:rsidRPr="00FE178E">
        <w:rPr>
          <w:rFonts w:ascii="Times New Roman" w:hAnsi="Times New Roman" w:cs="Times New Roman"/>
          <w:sz w:val="24"/>
          <w:szCs w:val="24"/>
        </w:rPr>
        <w:tab/>
      </w:r>
      <w:r w:rsidRPr="00FE178E">
        <w:rPr>
          <w:rFonts w:ascii="Times New Roman" w:hAnsi="Times New Roman" w:cs="Times New Roman"/>
          <w:sz w:val="24"/>
          <w:szCs w:val="24"/>
        </w:rPr>
        <w:tab/>
      </w:r>
      <w:r w:rsidRPr="00FE178E">
        <w:rPr>
          <w:rFonts w:ascii="Times New Roman" w:hAnsi="Times New Roman" w:cs="Times New Roman"/>
          <w:sz w:val="24"/>
          <w:szCs w:val="24"/>
        </w:rPr>
        <w:tab/>
      </w:r>
      <w:r w:rsidRPr="00FE178E">
        <w:rPr>
          <w:rFonts w:ascii="Times New Roman" w:hAnsi="Times New Roman" w:cs="Times New Roman"/>
          <w:sz w:val="24"/>
          <w:szCs w:val="24"/>
        </w:rPr>
        <w:tab/>
      </w:r>
      <w:r w:rsidRPr="00FE178E">
        <w:rPr>
          <w:rFonts w:ascii="Times New Roman" w:hAnsi="Times New Roman" w:cs="Times New Roman"/>
          <w:sz w:val="24"/>
          <w:szCs w:val="24"/>
        </w:rPr>
        <w:tab/>
      </w:r>
      <w:r w:rsidRPr="00FE178E">
        <w:rPr>
          <w:rFonts w:ascii="Times New Roman" w:hAnsi="Times New Roman" w:cs="Times New Roman"/>
          <w:sz w:val="24"/>
          <w:szCs w:val="24"/>
        </w:rPr>
        <w:tab/>
      </w:r>
      <w:hyperlink r:id="rId6" w:history="1">
        <w:r w:rsidRPr="00FE178E">
          <w:rPr>
            <w:rStyle w:val="Hyperlink"/>
            <w:rFonts w:ascii="Times New Roman" w:hAnsi="Times New Roman" w:cs="Times New Roman"/>
            <w:sz w:val="24"/>
            <w:szCs w:val="24"/>
          </w:rPr>
          <w:t>Ambrosia.Logsdon@occ.ohio.gov</w:t>
        </w:r>
      </w:hyperlink>
    </w:p>
    <w:p w:rsidR="00567148" w:rsidRPr="00FE178E" w:rsidP="00217C13" w14:paraId="6B478ED5" w14:textId="3D5785CA">
      <w:pPr>
        <w:pStyle w:val="ListParagraph"/>
        <w:autoSpaceDE w:val="0"/>
        <w:autoSpaceDN w:val="0"/>
        <w:adjustRightInd w:val="0"/>
        <w:spacing w:after="0" w:line="240" w:lineRule="auto"/>
        <w:ind w:left="0"/>
        <w:rPr>
          <w:rFonts w:ascii="Times New Roman" w:hAnsi="Times New Roman" w:cs="Times New Roman"/>
          <w:sz w:val="24"/>
          <w:szCs w:val="24"/>
        </w:rPr>
      </w:pPr>
      <w:r w:rsidRPr="00FE178E">
        <w:rPr>
          <w:rStyle w:val="Hyperlink"/>
          <w:rFonts w:ascii="Times New Roman" w:hAnsi="Times New Roman" w:cs="Times New Roman"/>
          <w:sz w:val="24"/>
          <w:szCs w:val="24"/>
          <w:u w:val="none"/>
        </w:rPr>
        <w:tab/>
      </w:r>
      <w:r w:rsidRPr="00FE178E">
        <w:rPr>
          <w:rStyle w:val="Hyperlink"/>
          <w:rFonts w:ascii="Times New Roman" w:hAnsi="Times New Roman" w:cs="Times New Roman"/>
          <w:sz w:val="24"/>
          <w:szCs w:val="24"/>
          <w:u w:val="none"/>
        </w:rPr>
        <w:tab/>
      </w:r>
      <w:r w:rsidRPr="00FE178E">
        <w:rPr>
          <w:rStyle w:val="Hyperlink"/>
          <w:rFonts w:ascii="Times New Roman" w:hAnsi="Times New Roman" w:cs="Times New Roman"/>
          <w:sz w:val="24"/>
          <w:szCs w:val="24"/>
          <w:u w:val="none"/>
        </w:rPr>
        <w:tab/>
      </w:r>
      <w:r w:rsidRPr="00FE178E">
        <w:rPr>
          <w:rStyle w:val="Hyperlink"/>
          <w:rFonts w:ascii="Times New Roman" w:hAnsi="Times New Roman" w:cs="Times New Roman"/>
          <w:sz w:val="24"/>
          <w:szCs w:val="24"/>
          <w:u w:val="none"/>
        </w:rPr>
        <w:tab/>
      </w:r>
      <w:r w:rsidRPr="00FE178E">
        <w:rPr>
          <w:rStyle w:val="Hyperlink"/>
          <w:rFonts w:ascii="Times New Roman" w:hAnsi="Times New Roman" w:cs="Times New Roman"/>
          <w:sz w:val="24"/>
          <w:szCs w:val="24"/>
          <w:u w:val="none"/>
        </w:rPr>
        <w:tab/>
      </w:r>
      <w:r w:rsidRPr="00FE178E">
        <w:rPr>
          <w:rStyle w:val="Hyperlink"/>
          <w:rFonts w:ascii="Times New Roman" w:hAnsi="Times New Roman" w:cs="Times New Roman"/>
          <w:sz w:val="24"/>
          <w:szCs w:val="24"/>
          <w:u w:val="none"/>
        </w:rPr>
        <w:tab/>
      </w:r>
      <w:r w:rsidRPr="00FE178E">
        <w:rPr>
          <w:rStyle w:val="Hyperlink"/>
          <w:rFonts w:ascii="Times New Roman" w:hAnsi="Times New Roman" w:cs="Times New Roman"/>
          <w:color w:val="auto"/>
          <w:sz w:val="24"/>
          <w:szCs w:val="24"/>
          <w:u w:val="none"/>
        </w:rPr>
        <w:t>(willing to accept service by e-mail)</w:t>
      </w:r>
    </w:p>
    <w:p w:rsidR="00217C13" w:rsidRPr="00FE178E" w:rsidP="00217C13" w14:paraId="0DCB29F2" w14:textId="5B31982A">
      <w:pPr>
        <w:pStyle w:val="Footer"/>
        <w:tabs>
          <w:tab w:val="left" w:pos="4320"/>
        </w:tabs>
        <w:ind w:left="4320"/>
        <w:rPr>
          <w:rFonts w:ascii="Times New Roman" w:hAnsi="Times New Roman" w:cs="Times New Roman"/>
          <w:sz w:val="24"/>
          <w:szCs w:val="24"/>
        </w:rPr>
      </w:pPr>
    </w:p>
    <w:p w:rsidR="0053250C" w:rsidRPr="00FE178E" w:rsidP="00217C13" w14:paraId="4BBB807D" w14:textId="65D52C82">
      <w:pPr>
        <w:pStyle w:val="Footer"/>
        <w:tabs>
          <w:tab w:val="left" w:pos="4320"/>
        </w:tabs>
        <w:ind w:left="4320"/>
        <w:rPr>
          <w:rFonts w:ascii="Times New Roman" w:hAnsi="Times New Roman" w:cs="Times New Roman"/>
          <w:sz w:val="24"/>
          <w:szCs w:val="24"/>
        </w:rPr>
      </w:pPr>
      <w:r w:rsidRPr="00FE178E">
        <w:rPr>
          <w:rFonts w:ascii="Times New Roman" w:hAnsi="Times New Roman" w:cs="Times New Roman"/>
          <w:sz w:val="24"/>
          <w:szCs w:val="24"/>
        </w:rPr>
        <w:tab/>
      </w:r>
      <w:r w:rsidRPr="00FE178E">
        <w:rPr>
          <w:rFonts w:ascii="Times New Roman" w:hAnsi="Times New Roman" w:cs="Times New Roman"/>
          <w:sz w:val="24"/>
          <w:szCs w:val="24"/>
        </w:rPr>
        <w:tab/>
      </w:r>
      <w:r w:rsidRPr="00FE178E">
        <w:rPr>
          <w:rFonts w:ascii="Times New Roman" w:hAnsi="Times New Roman" w:cs="Times New Roman"/>
          <w:sz w:val="24"/>
          <w:szCs w:val="24"/>
        </w:rPr>
        <w:tab/>
      </w:r>
    </w:p>
    <w:p w:rsidR="0053250C" w:rsidRPr="00FE178E" w:rsidP="004D2848" w14:paraId="733D0C41" w14:textId="77777777">
      <w:pPr>
        <w:pStyle w:val="ListParagraph"/>
        <w:ind w:left="0"/>
        <w:jc w:val="center"/>
        <w:rPr>
          <w:rFonts w:ascii="Times New Roman" w:hAnsi="Times New Roman" w:cs="Times New Roman"/>
          <w:b/>
          <w:sz w:val="24"/>
          <w:szCs w:val="24"/>
          <w:u w:val="single"/>
        </w:rPr>
      </w:pPr>
      <w:r w:rsidRPr="00FE178E">
        <w:rPr>
          <w:rFonts w:ascii="Times New Roman" w:hAnsi="Times New Roman" w:cs="Times New Roman"/>
          <w:b/>
          <w:sz w:val="24"/>
          <w:szCs w:val="24"/>
        </w:rPr>
        <w:br w:type="page"/>
      </w:r>
      <w:r w:rsidRPr="00FE178E">
        <w:rPr>
          <w:rFonts w:ascii="Times New Roman" w:hAnsi="Times New Roman" w:cs="Times New Roman"/>
          <w:b/>
          <w:sz w:val="24"/>
          <w:szCs w:val="24"/>
          <w:u w:val="single"/>
        </w:rPr>
        <w:t>CERTIFICATE OF SERVICE</w:t>
      </w:r>
    </w:p>
    <w:p w:rsidR="0053250C" w:rsidRPr="00FE178E" w:rsidP="0053250C" w14:paraId="080C1972" w14:textId="281EB1B0">
      <w:pPr>
        <w:spacing w:line="480" w:lineRule="auto"/>
      </w:pPr>
      <w:r w:rsidRPr="00FE178E">
        <w:tab/>
        <w:t xml:space="preserve">I hereby certify that a copy of these Comments </w:t>
      </w:r>
      <w:r w:rsidRPr="00FE178E" w:rsidR="00BF3773">
        <w:t>was</w:t>
      </w:r>
      <w:r w:rsidRPr="00FE178E">
        <w:t xml:space="preserve"> served via electronic transmission upon the following parties of record this 2</w:t>
      </w:r>
      <w:r w:rsidRPr="00FE178E" w:rsidR="00217C13">
        <w:t>8</w:t>
      </w:r>
      <w:r w:rsidRPr="00FE178E">
        <w:t>th day of February 20</w:t>
      </w:r>
      <w:r w:rsidRPr="00FE178E" w:rsidR="00BF3773">
        <w:t>20</w:t>
      </w:r>
      <w:r w:rsidRPr="00FE178E">
        <w:t>.</w:t>
      </w:r>
    </w:p>
    <w:p w:rsidR="0053250C" w:rsidRPr="00FE178E" w:rsidP="0053250C" w14:paraId="46F8CD42" w14:textId="77777777">
      <w:pPr>
        <w:pStyle w:val="ListParagraph"/>
        <w:ind w:left="1080"/>
        <w:rPr>
          <w:rFonts w:ascii="Times New Roman" w:hAnsi="Times New Roman" w:cs="Times New Roman"/>
          <w:sz w:val="24"/>
          <w:szCs w:val="24"/>
        </w:rPr>
      </w:pPr>
    </w:p>
    <w:p w:rsidR="0053250C" w:rsidRPr="00FE178E" w:rsidP="004D2848" w14:paraId="51E74773" w14:textId="0E1DBB72">
      <w:pPr>
        <w:pStyle w:val="ListParagraph"/>
        <w:ind w:left="0"/>
        <w:rPr>
          <w:rFonts w:ascii="Times New Roman" w:hAnsi="Times New Roman" w:cs="Times New Roman"/>
          <w:sz w:val="24"/>
          <w:szCs w:val="24"/>
        </w:rPr>
      </w:pPr>
      <w:r w:rsidRPr="00FE178E">
        <w:rPr>
          <w:rFonts w:ascii="Times New Roman" w:hAnsi="Times New Roman" w:cs="Times New Roman"/>
          <w:sz w:val="24"/>
          <w:szCs w:val="24"/>
        </w:rPr>
        <w:tab/>
      </w:r>
      <w:r w:rsidRPr="00FE178E">
        <w:rPr>
          <w:rFonts w:ascii="Times New Roman" w:hAnsi="Times New Roman" w:cs="Times New Roman"/>
          <w:sz w:val="24"/>
          <w:szCs w:val="24"/>
        </w:rPr>
        <w:tab/>
      </w:r>
      <w:r w:rsidRPr="00FE178E">
        <w:rPr>
          <w:rFonts w:ascii="Times New Roman" w:hAnsi="Times New Roman" w:cs="Times New Roman"/>
          <w:sz w:val="24"/>
          <w:szCs w:val="24"/>
        </w:rPr>
        <w:tab/>
      </w:r>
      <w:r w:rsidRPr="00FE178E">
        <w:rPr>
          <w:rFonts w:ascii="Times New Roman" w:hAnsi="Times New Roman" w:cs="Times New Roman"/>
          <w:sz w:val="24"/>
          <w:szCs w:val="24"/>
        </w:rPr>
        <w:tab/>
      </w:r>
      <w:r w:rsidRPr="00FE178E">
        <w:rPr>
          <w:rFonts w:ascii="Times New Roman" w:hAnsi="Times New Roman" w:cs="Times New Roman"/>
          <w:sz w:val="24"/>
          <w:szCs w:val="24"/>
        </w:rPr>
        <w:tab/>
      </w:r>
      <w:r w:rsidRPr="00FE178E">
        <w:rPr>
          <w:rFonts w:ascii="Times New Roman" w:hAnsi="Times New Roman" w:cs="Times New Roman"/>
          <w:sz w:val="24"/>
          <w:szCs w:val="24"/>
        </w:rPr>
        <w:tab/>
      </w:r>
      <w:r w:rsidRPr="00FE178E">
        <w:rPr>
          <w:rFonts w:ascii="Times New Roman" w:hAnsi="Times New Roman" w:cs="Times New Roman"/>
          <w:i/>
          <w:sz w:val="24"/>
          <w:szCs w:val="24"/>
          <w:u w:val="single"/>
        </w:rPr>
        <w:t xml:space="preserve">/s/ </w:t>
      </w:r>
      <w:r w:rsidRPr="00FE178E" w:rsidR="00217C13">
        <w:rPr>
          <w:rFonts w:ascii="Times New Roman" w:hAnsi="Times New Roman" w:cs="Times New Roman"/>
          <w:i/>
          <w:sz w:val="24"/>
          <w:szCs w:val="24"/>
          <w:u w:val="single"/>
        </w:rPr>
        <w:t>Ambrosia E. Logsdon</w:t>
      </w:r>
      <w:r w:rsidRPr="00FE178E">
        <w:rPr>
          <w:rFonts w:ascii="Times New Roman" w:hAnsi="Times New Roman" w:cs="Times New Roman"/>
          <w:sz w:val="24"/>
          <w:szCs w:val="24"/>
        </w:rPr>
        <w:t>_____</w:t>
      </w:r>
    </w:p>
    <w:p w:rsidR="0053250C" w:rsidRPr="00FE178E" w:rsidP="004D2848" w14:paraId="30ACE4E3" w14:textId="334BD063">
      <w:pPr>
        <w:pStyle w:val="ListParagraph"/>
        <w:ind w:left="0"/>
        <w:rPr>
          <w:rFonts w:ascii="Times New Roman" w:hAnsi="Times New Roman" w:cs="Times New Roman"/>
          <w:sz w:val="24"/>
          <w:szCs w:val="24"/>
        </w:rPr>
      </w:pPr>
      <w:r w:rsidRPr="00FE178E">
        <w:rPr>
          <w:rFonts w:ascii="Times New Roman" w:hAnsi="Times New Roman" w:cs="Times New Roman"/>
          <w:sz w:val="24"/>
          <w:szCs w:val="24"/>
        </w:rPr>
        <w:tab/>
      </w:r>
      <w:r w:rsidRPr="00FE178E">
        <w:rPr>
          <w:rFonts w:ascii="Times New Roman" w:hAnsi="Times New Roman" w:cs="Times New Roman"/>
          <w:sz w:val="24"/>
          <w:szCs w:val="24"/>
        </w:rPr>
        <w:tab/>
      </w:r>
      <w:r w:rsidRPr="00FE178E">
        <w:rPr>
          <w:rFonts w:ascii="Times New Roman" w:hAnsi="Times New Roman" w:cs="Times New Roman"/>
          <w:sz w:val="24"/>
          <w:szCs w:val="24"/>
        </w:rPr>
        <w:tab/>
      </w:r>
      <w:r w:rsidRPr="00FE178E">
        <w:rPr>
          <w:rFonts w:ascii="Times New Roman" w:hAnsi="Times New Roman" w:cs="Times New Roman"/>
          <w:sz w:val="24"/>
          <w:szCs w:val="24"/>
        </w:rPr>
        <w:tab/>
      </w:r>
      <w:r w:rsidRPr="00FE178E">
        <w:rPr>
          <w:rFonts w:ascii="Times New Roman" w:hAnsi="Times New Roman" w:cs="Times New Roman"/>
          <w:sz w:val="24"/>
          <w:szCs w:val="24"/>
        </w:rPr>
        <w:tab/>
      </w:r>
      <w:r w:rsidRPr="00FE178E">
        <w:rPr>
          <w:rFonts w:ascii="Times New Roman" w:hAnsi="Times New Roman" w:cs="Times New Roman"/>
          <w:sz w:val="24"/>
          <w:szCs w:val="24"/>
        </w:rPr>
        <w:tab/>
      </w:r>
      <w:r w:rsidRPr="00FE178E" w:rsidR="00217C13">
        <w:rPr>
          <w:rFonts w:ascii="Times New Roman" w:hAnsi="Times New Roman" w:cs="Times New Roman"/>
          <w:sz w:val="24"/>
          <w:szCs w:val="24"/>
        </w:rPr>
        <w:t>Ambrosia E. Logsdon</w:t>
      </w:r>
    </w:p>
    <w:p w:rsidR="0053250C" w:rsidRPr="00FE178E" w:rsidP="004D2848" w14:paraId="73D5B7B2" w14:textId="77777777">
      <w:pPr>
        <w:pStyle w:val="ListParagraph"/>
        <w:ind w:left="0"/>
        <w:rPr>
          <w:rFonts w:ascii="Times New Roman" w:hAnsi="Times New Roman" w:cs="Times New Roman"/>
          <w:sz w:val="24"/>
          <w:szCs w:val="24"/>
        </w:rPr>
      </w:pPr>
      <w:r w:rsidRPr="00FE178E">
        <w:rPr>
          <w:rFonts w:ascii="Times New Roman" w:hAnsi="Times New Roman" w:cs="Times New Roman"/>
          <w:sz w:val="24"/>
          <w:szCs w:val="24"/>
        </w:rPr>
        <w:tab/>
      </w:r>
      <w:r w:rsidRPr="00FE178E">
        <w:rPr>
          <w:rFonts w:ascii="Times New Roman" w:hAnsi="Times New Roman" w:cs="Times New Roman"/>
          <w:sz w:val="24"/>
          <w:szCs w:val="24"/>
        </w:rPr>
        <w:tab/>
      </w:r>
      <w:r w:rsidRPr="00FE178E">
        <w:rPr>
          <w:rFonts w:ascii="Times New Roman" w:hAnsi="Times New Roman" w:cs="Times New Roman"/>
          <w:sz w:val="24"/>
          <w:szCs w:val="24"/>
        </w:rPr>
        <w:tab/>
      </w:r>
      <w:r w:rsidRPr="00FE178E">
        <w:rPr>
          <w:rFonts w:ascii="Times New Roman" w:hAnsi="Times New Roman" w:cs="Times New Roman"/>
          <w:sz w:val="24"/>
          <w:szCs w:val="24"/>
        </w:rPr>
        <w:tab/>
      </w:r>
      <w:r w:rsidRPr="00FE178E">
        <w:rPr>
          <w:rFonts w:ascii="Times New Roman" w:hAnsi="Times New Roman" w:cs="Times New Roman"/>
          <w:sz w:val="24"/>
          <w:szCs w:val="24"/>
        </w:rPr>
        <w:tab/>
      </w:r>
      <w:r w:rsidRPr="00FE178E">
        <w:rPr>
          <w:rFonts w:ascii="Times New Roman" w:hAnsi="Times New Roman" w:cs="Times New Roman"/>
          <w:sz w:val="24"/>
          <w:szCs w:val="24"/>
        </w:rPr>
        <w:tab/>
        <w:t>Assistant Consumers’ Counsel</w:t>
      </w:r>
    </w:p>
    <w:p w:rsidR="0053250C" w:rsidRPr="00FE178E" w:rsidP="0053250C" w14:paraId="68F522B2" w14:textId="32F5DE70">
      <w:pPr>
        <w:pStyle w:val="ListParagraph"/>
        <w:ind w:left="1080"/>
        <w:rPr>
          <w:rFonts w:ascii="Times New Roman" w:hAnsi="Times New Roman" w:cs="Times New Roman"/>
          <w:sz w:val="24"/>
          <w:szCs w:val="24"/>
        </w:rPr>
      </w:pPr>
    </w:p>
    <w:p w:rsidR="001361DA" w:rsidRPr="00FE178E" w:rsidP="001361DA" w14:paraId="00A96558" w14:textId="77777777">
      <w:pPr>
        <w:tabs>
          <w:tab w:val="left" w:pos="4320"/>
        </w:tabs>
        <w:ind w:left="4320"/>
      </w:pPr>
    </w:p>
    <w:p w:rsidR="001361DA" w:rsidRPr="00FE178E" w:rsidP="001361DA" w14:paraId="7DA1A2FA" w14:textId="77777777">
      <w:r w:rsidRPr="00FE178E">
        <w:t>The PUCO’s e-filing system will electronically serve notice of the filing of this document on the following parties:</w:t>
      </w:r>
    </w:p>
    <w:p w:rsidR="001361DA" w:rsidRPr="00FE178E" w:rsidP="001361DA" w14:paraId="3CF65200" w14:textId="77777777">
      <w:pPr>
        <w:tabs>
          <w:tab w:val="left" w:pos="4320"/>
        </w:tabs>
        <w:ind w:left="4320"/>
      </w:pPr>
    </w:p>
    <w:p w:rsidR="001361DA" w:rsidRPr="00FE178E" w:rsidP="001361DA" w14:paraId="50B48EB5" w14:textId="77777777">
      <w:pPr>
        <w:pStyle w:val="CommentSubject"/>
        <w:rPr>
          <w:rFonts w:ascii="Times New Roman" w:hAnsi="Times New Roman" w:cs="Times New Roman"/>
          <w:sz w:val="24"/>
          <w:szCs w:val="24"/>
        </w:rPr>
      </w:pPr>
    </w:p>
    <w:p w:rsidR="001361DA" w:rsidRPr="00FE178E" w:rsidP="001361DA" w14:paraId="07774685" w14:textId="524CEFD8">
      <w:pPr>
        <w:pStyle w:val="CommentText"/>
        <w:spacing w:after="0"/>
        <w:jc w:val="center"/>
        <w:rPr>
          <w:rFonts w:ascii="Times New Roman" w:hAnsi="Times New Roman" w:cs="Times New Roman"/>
          <w:b/>
          <w:sz w:val="24"/>
          <w:szCs w:val="24"/>
          <w:u w:val="single"/>
        </w:rPr>
      </w:pPr>
      <w:r w:rsidRPr="00FE178E">
        <w:rPr>
          <w:rFonts w:ascii="Times New Roman" w:hAnsi="Times New Roman" w:cs="Times New Roman"/>
          <w:b/>
          <w:sz w:val="24"/>
          <w:szCs w:val="24"/>
          <w:u w:val="single"/>
        </w:rPr>
        <w:t>SERVICE LIST</w:t>
      </w:r>
    </w:p>
    <w:p w:rsidR="001361DA" w:rsidRPr="00FE178E" w:rsidP="001361DA" w14:paraId="6C9A23E2" w14:textId="77777777">
      <w:pPr>
        <w:pStyle w:val="CommentText"/>
        <w:spacing w:after="0"/>
        <w:jc w:val="center"/>
        <w:rPr>
          <w:rFonts w:ascii="Times New Roman" w:hAnsi="Times New Roman"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6C6713B2" w14:textId="77777777" w:rsidTr="0051109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1361DA" w:rsidRPr="00FE178E" w:rsidP="001361DA" w14:paraId="6F65D36E" w14:textId="6565C5C8">
            <w:pPr>
              <w:pStyle w:val="CommentText"/>
              <w:spacing w:after="0"/>
              <w:rPr>
                <w:rStyle w:val="Hyperlink"/>
                <w:rFonts w:ascii="Times New Roman" w:hAnsi="Times New Roman" w:cs="Times New Roman"/>
                <w:bCs/>
                <w:color w:val="0000FF"/>
                <w:sz w:val="24"/>
                <w:szCs w:val="24"/>
              </w:rPr>
            </w:pPr>
            <w:hyperlink r:id="rId10" w:history="1">
              <w:r w:rsidRPr="00FE178E" w:rsidR="007A5432">
                <w:rPr>
                  <w:rStyle w:val="Hyperlink"/>
                  <w:rFonts w:ascii="Times New Roman" w:hAnsi="Times New Roman" w:cs="Times New Roman"/>
                  <w:bCs/>
                  <w:color w:val="0000FF"/>
                  <w:sz w:val="24"/>
                  <w:szCs w:val="24"/>
                </w:rPr>
                <w:t>steven.beeler@ohioattorneygeneral.gov</w:t>
              </w:r>
            </w:hyperlink>
          </w:p>
          <w:p w:rsidR="001361DA" w:rsidRPr="00FE178E" w:rsidP="001361DA" w14:paraId="0C61836B" w14:textId="0D235158">
            <w:pPr>
              <w:pStyle w:val="CommentText"/>
              <w:spacing w:after="0"/>
              <w:rPr>
                <w:rStyle w:val="Hyperlink"/>
                <w:rFonts w:ascii="Times New Roman" w:hAnsi="Times New Roman" w:cs="Times New Roman"/>
                <w:bCs/>
                <w:color w:val="0000FF"/>
                <w:sz w:val="24"/>
                <w:szCs w:val="24"/>
              </w:rPr>
            </w:pPr>
            <w:hyperlink r:id="rId11" w:history="1">
              <w:r w:rsidRPr="00FE178E" w:rsidR="007A5432">
                <w:rPr>
                  <w:rStyle w:val="Hyperlink"/>
                  <w:rFonts w:ascii="Times New Roman" w:hAnsi="Times New Roman" w:cs="Times New Roman"/>
                  <w:bCs/>
                  <w:sz w:val="24"/>
                  <w:szCs w:val="24"/>
                </w:rPr>
                <w:t>steven.darnell@ohioattorneygeneral.gov</w:t>
              </w:r>
            </w:hyperlink>
          </w:p>
          <w:p w:rsidR="001361DA" w:rsidRPr="00FE178E" w:rsidP="001361DA" w14:paraId="306D0CB0" w14:textId="77777777">
            <w:pPr>
              <w:pStyle w:val="CommentText"/>
              <w:spacing w:after="0"/>
              <w:rPr>
                <w:rFonts w:ascii="Times New Roman" w:hAnsi="Times New Roman" w:cs="Times New Roman"/>
                <w:bCs/>
                <w:sz w:val="24"/>
                <w:szCs w:val="24"/>
                <w:u w:val="single"/>
              </w:rPr>
            </w:pPr>
          </w:p>
          <w:p w:rsidR="001361DA" w:rsidRPr="00FE178E" w:rsidP="001361DA" w14:paraId="628C7ACD" w14:textId="77777777">
            <w:pPr>
              <w:pStyle w:val="CommentText"/>
              <w:spacing w:after="0"/>
              <w:rPr>
                <w:rFonts w:ascii="Times New Roman" w:hAnsi="Times New Roman" w:cs="Times New Roman"/>
                <w:bCs/>
                <w:sz w:val="24"/>
                <w:szCs w:val="24"/>
              </w:rPr>
            </w:pPr>
            <w:r w:rsidRPr="00FE178E">
              <w:rPr>
                <w:rFonts w:ascii="Times New Roman" w:hAnsi="Times New Roman" w:cs="Times New Roman"/>
                <w:bCs/>
                <w:sz w:val="24"/>
                <w:szCs w:val="24"/>
              </w:rPr>
              <w:t>Attorney Examiner:</w:t>
            </w:r>
          </w:p>
          <w:p w:rsidR="001361DA" w:rsidRPr="00FE178E" w:rsidP="001361DA" w14:paraId="424FF386" w14:textId="77777777">
            <w:pPr>
              <w:pStyle w:val="CommentText"/>
              <w:spacing w:after="0"/>
              <w:rPr>
                <w:rFonts w:ascii="Times New Roman" w:hAnsi="Times New Roman" w:cs="Times New Roman"/>
                <w:bCs/>
                <w:sz w:val="24"/>
                <w:szCs w:val="24"/>
              </w:rPr>
            </w:pPr>
          </w:p>
          <w:p w:rsidR="001361DA" w:rsidRPr="00FE178E" w:rsidP="001361DA" w14:paraId="103E287C" w14:textId="6B552EB4">
            <w:pPr>
              <w:pStyle w:val="CommentText"/>
              <w:spacing w:after="0"/>
              <w:rPr>
                <w:rStyle w:val="Hyperlink"/>
                <w:rFonts w:ascii="Times New Roman" w:hAnsi="Times New Roman" w:cs="Times New Roman"/>
                <w:bCs/>
                <w:color w:val="0000FF"/>
                <w:sz w:val="24"/>
                <w:szCs w:val="24"/>
              </w:rPr>
            </w:pPr>
            <w:hyperlink r:id="rId12" w:history="1">
              <w:r w:rsidRPr="00FE178E" w:rsidR="007A5432">
                <w:rPr>
                  <w:rStyle w:val="Hyperlink"/>
                  <w:rFonts w:ascii="Times New Roman" w:hAnsi="Times New Roman" w:cs="Times New Roman"/>
                  <w:bCs/>
                  <w:sz w:val="24"/>
                  <w:szCs w:val="24"/>
                </w:rPr>
                <w:t>lauren.augostini@puco.ohio.gov</w:t>
              </w:r>
            </w:hyperlink>
          </w:p>
          <w:p w:rsidR="001361DA" w:rsidRPr="00FE178E" w:rsidP="001361DA" w14:paraId="27572F5F" w14:textId="46734199">
            <w:pPr>
              <w:pStyle w:val="CommentText"/>
              <w:spacing w:after="0"/>
              <w:rPr>
                <w:rStyle w:val="Hyperlink"/>
                <w:rFonts w:ascii="Times New Roman" w:hAnsi="Times New Roman" w:cs="Times New Roman"/>
                <w:bCs/>
                <w:color w:val="0000FF"/>
                <w:sz w:val="24"/>
                <w:szCs w:val="24"/>
              </w:rPr>
            </w:pPr>
            <w:hyperlink r:id="rId13" w:history="1">
              <w:r w:rsidRPr="00FE178E" w:rsidR="007A5432">
                <w:rPr>
                  <w:rStyle w:val="Hyperlink"/>
                  <w:rFonts w:ascii="Times New Roman" w:hAnsi="Times New Roman" w:cs="Times New Roman"/>
                  <w:bCs/>
                  <w:sz w:val="24"/>
                  <w:szCs w:val="24"/>
                </w:rPr>
                <w:t>Nicholas.walstra@puco.ohio.gov</w:t>
              </w:r>
            </w:hyperlink>
          </w:p>
          <w:p w:rsidR="001361DA" w:rsidRPr="00FE178E" w:rsidP="001361DA" w14:paraId="18A80865" w14:textId="77777777">
            <w:pPr>
              <w:pStyle w:val="CommentText"/>
              <w:spacing w:after="0"/>
              <w:rPr>
                <w:rFonts w:ascii="Times New Roman" w:hAnsi="Times New Roman" w:cs="Times New Roman"/>
                <w:bCs/>
                <w:sz w:val="24"/>
                <w:szCs w:val="24"/>
              </w:rPr>
            </w:pPr>
          </w:p>
          <w:p w:rsidR="001361DA" w:rsidRPr="00FE178E" w:rsidP="001361DA" w14:paraId="3BA3D77E" w14:textId="77777777">
            <w:pPr>
              <w:pStyle w:val="CommentText"/>
              <w:spacing w:after="0"/>
              <w:rPr>
                <w:rFonts w:ascii="Times New Roman" w:hAnsi="Times New Roman" w:cs="Times New Roman"/>
                <w:bCs/>
                <w:sz w:val="24"/>
                <w:szCs w:val="24"/>
              </w:rPr>
            </w:pPr>
          </w:p>
          <w:p w:rsidR="001361DA" w:rsidRPr="00FE178E" w:rsidP="001361DA" w14:paraId="178ECA54" w14:textId="77777777">
            <w:pPr>
              <w:pStyle w:val="CommentText"/>
              <w:spacing w:after="0"/>
              <w:rPr>
                <w:rFonts w:ascii="Times New Roman" w:hAnsi="Times New Roman" w:cs="Times New Roman"/>
                <w:bCs/>
                <w:sz w:val="24"/>
                <w:szCs w:val="24"/>
                <w:u w:val="single"/>
              </w:rPr>
            </w:pPr>
          </w:p>
        </w:tc>
        <w:tc>
          <w:tcPr>
            <w:tcW w:w="4315" w:type="dxa"/>
          </w:tcPr>
          <w:p w:rsidR="001361DA" w:rsidRPr="00FE178E" w:rsidP="001361DA" w14:paraId="54742113" w14:textId="77777777">
            <w:pPr>
              <w:pStyle w:val="CommentText"/>
              <w:spacing w:after="0"/>
              <w:ind w:left="522"/>
              <w:rPr>
                <w:rFonts w:ascii="Times New Roman" w:hAnsi="Times New Roman" w:cs="Times New Roman"/>
                <w:bCs/>
                <w:sz w:val="24"/>
                <w:szCs w:val="24"/>
              </w:rPr>
            </w:pPr>
            <w:hyperlink r:id="rId14" w:history="1">
              <w:r w:rsidRPr="00FE178E" w:rsidR="007A5432">
                <w:rPr>
                  <w:rStyle w:val="Hyperlink"/>
                  <w:rFonts w:ascii="Times New Roman" w:hAnsi="Times New Roman" w:cs="Times New Roman"/>
                  <w:bCs/>
                  <w:color w:val="0000FF"/>
                  <w:sz w:val="24"/>
                  <w:szCs w:val="24"/>
                </w:rPr>
                <w:t>Jeanne.kingery@duke-energy.com</w:t>
              </w:r>
            </w:hyperlink>
          </w:p>
          <w:p w:rsidR="001361DA" w:rsidRPr="00FE178E" w:rsidP="001361DA" w14:paraId="0625B36B" w14:textId="705F7CF3">
            <w:pPr>
              <w:pStyle w:val="CommentText"/>
              <w:spacing w:after="0"/>
              <w:ind w:left="522"/>
              <w:rPr>
                <w:rStyle w:val="Hyperlink"/>
                <w:rFonts w:ascii="Times New Roman" w:hAnsi="Times New Roman" w:cs="Times New Roman"/>
                <w:bCs/>
                <w:color w:val="0000FF"/>
                <w:sz w:val="24"/>
                <w:szCs w:val="24"/>
              </w:rPr>
            </w:pPr>
            <w:hyperlink r:id="rId15" w:history="1">
              <w:r w:rsidRPr="00FE178E" w:rsidR="007A5432">
                <w:rPr>
                  <w:rStyle w:val="Hyperlink"/>
                  <w:rFonts w:ascii="Times New Roman" w:hAnsi="Times New Roman" w:cs="Times New Roman"/>
                  <w:bCs/>
                  <w:color w:val="0000FF"/>
                  <w:sz w:val="24"/>
                  <w:szCs w:val="24"/>
                </w:rPr>
                <w:t>Rocco.dascenzo@duke-energy.com</w:t>
              </w:r>
            </w:hyperlink>
          </w:p>
          <w:p w:rsidR="001361DA" w:rsidRPr="00FE178E" w:rsidP="001361DA" w14:paraId="1A496D31" w14:textId="4D5DE7C0">
            <w:pPr>
              <w:pStyle w:val="CommentText"/>
              <w:spacing w:after="0"/>
              <w:ind w:left="522"/>
              <w:rPr>
                <w:rStyle w:val="Hyperlink"/>
                <w:rFonts w:ascii="Times New Roman" w:hAnsi="Times New Roman" w:cs="Times New Roman"/>
                <w:bCs/>
                <w:color w:val="0000FF"/>
                <w:sz w:val="24"/>
                <w:szCs w:val="24"/>
              </w:rPr>
            </w:pPr>
            <w:hyperlink r:id="rId16" w:history="1">
              <w:r w:rsidRPr="00FE178E" w:rsidR="007A5432">
                <w:rPr>
                  <w:rStyle w:val="Hyperlink"/>
                  <w:rFonts w:ascii="Times New Roman" w:hAnsi="Times New Roman" w:cs="Times New Roman"/>
                  <w:bCs/>
                  <w:sz w:val="24"/>
                  <w:szCs w:val="24"/>
                </w:rPr>
                <w:t>Larisa.vaysman@duke-energy.com</w:t>
              </w:r>
            </w:hyperlink>
          </w:p>
          <w:p w:rsidR="001361DA" w:rsidRPr="00FE178E" w:rsidP="001361DA" w14:paraId="5DA8C48C" w14:textId="77777777">
            <w:pPr>
              <w:pStyle w:val="CommentText"/>
              <w:spacing w:after="0"/>
              <w:rPr>
                <w:rFonts w:ascii="Times New Roman" w:hAnsi="Times New Roman" w:cs="Times New Roman"/>
                <w:bCs/>
                <w:sz w:val="24"/>
                <w:szCs w:val="24"/>
              </w:rPr>
            </w:pPr>
          </w:p>
          <w:p w:rsidR="001361DA" w:rsidRPr="00FE178E" w:rsidP="001361DA" w14:paraId="6F60B75B" w14:textId="77777777">
            <w:pPr>
              <w:pStyle w:val="CommentText"/>
              <w:spacing w:after="0"/>
              <w:rPr>
                <w:rFonts w:ascii="Times New Roman" w:hAnsi="Times New Roman" w:cs="Times New Roman"/>
                <w:bCs/>
                <w:sz w:val="24"/>
                <w:szCs w:val="24"/>
              </w:rPr>
            </w:pPr>
          </w:p>
        </w:tc>
      </w:tr>
    </w:tbl>
    <w:p w:rsidR="0053250C" w:rsidRPr="00FE178E" w:rsidP="0053250C" w14:paraId="186CF578" w14:textId="77777777">
      <w:pPr>
        <w:pStyle w:val="CommentText"/>
        <w:ind w:left="1080"/>
        <w:rPr>
          <w:rFonts w:ascii="Times New Roman" w:hAnsi="Times New Roman" w:cs="Times New Roman"/>
          <w:b/>
          <w:sz w:val="24"/>
          <w:szCs w:val="24"/>
          <w:u w:val="single"/>
        </w:rPr>
      </w:pPr>
    </w:p>
    <w:tbl>
      <w:tblPr>
        <w:tblW w:w="9900" w:type="dxa"/>
        <w:tblLook w:val="04A0"/>
      </w:tblPr>
      <w:tblGrid>
        <w:gridCol w:w="4386"/>
        <w:gridCol w:w="5514"/>
      </w:tblGrid>
      <w:tr w14:paraId="02DD311A" w14:textId="77777777" w:rsidTr="00217C13">
        <w:tblPrEx>
          <w:tblW w:w="9900" w:type="dxa"/>
          <w:tblLook w:val="04A0"/>
        </w:tblPrEx>
        <w:tc>
          <w:tcPr>
            <w:tcW w:w="4386" w:type="dxa"/>
            <w:shd w:val="clear" w:color="auto" w:fill="auto"/>
          </w:tcPr>
          <w:p w:rsidR="0053250C" w:rsidRPr="00FE178E" w:rsidP="0053250C" w14:paraId="12509B13" w14:textId="77777777">
            <w:pPr>
              <w:pStyle w:val="CommentText"/>
              <w:rPr>
                <w:rFonts w:ascii="Times New Roman" w:hAnsi="Times New Roman" w:cs="Times New Roman"/>
                <w:sz w:val="24"/>
                <w:szCs w:val="24"/>
              </w:rPr>
            </w:pPr>
          </w:p>
        </w:tc>
        <w:tc>
          <w:tcPr>
            <w:tcW w:w="5514" w:type="dxa"/>
            <w:shd w:val="clear" w:color="auto" w:fill="auto"/>
          </w:tcPr>
          <w:p w:rsidR="0053250C" w:rsidRPr="00FE178E" w:rsidP="0053250C" w14:paraId="7C73D5C7" w14:textId="77777777">
            <w:pPr>
              <w:pStyle w:val="CommentText"/>
              <w:rPr>
                <w:rFonts w:ascii="Times New Roman" w:hAnsi="Times New Roman" w:cs="Times New Roman"/>
                <w:sz w:val="24"/>
                <w:szCs w:val="24"/>
              </w:rPr>
            </w:pPr>
          </w:p>
        </w:tc>
      </w:tr>
    </w:tbl>
    <w:p w:rsidR="0053250C" w:rsidRPr="00FE178E" w:rsidP="0053250C" w14:paraId="7AB16505" w14:textId="77777777">
      <w:pPr>
        <w:pStyle w:val="ListParagraph"/>
        <w:spacing w:line="480" w:lineRule="auto"/>
        <w:ind w:left="0"/>
        <w:rPr>
          <w:rFonts w:ascii="Times New Roman" w:hAnsi="Times New Roman" w:cs="Times New Roman"/>
          <w:sz w:val="24"/>
          <w:szCs w:val="24"/>
        </w:rPr>
      </w:pPr>
    </w:p>
    <w:sectPr w:rsidSect="003832AA">
      <w:footerReference w:type="default" r:id="rId17"/>
      <w:pgSz w:w="12240" w:h="15840"/>
      <w:pgMar w:top="1440" w:right="1800" w:bottom="1440" w:left="1800"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42B2" w14:paraId="40932870" w14:textId="5F489002">
    <w:pPr>
      <w:pStyle w:val="Footer"/>
      <w:jc w:val="center"/>
    </w:pPr>
  </w:p>
  <w:p w:rsidR="002140C6" w14:paraId="63C6533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33044253"/>
      <w:docPartObj>
        <w:docPartGallery w:val="Page Numbers (Bottom of Page)"/>
        <w:docPartUnique/>
      </w:docPartObj>
    </w:sdtPr>
    <w:sdtEndPr>
      <w:rPr>
        <w:rFonts w:ascii="Times New Roman" w:hAnsi="Times New Roman" w:cs="Times New Roman"/>
        <w:noProof/>
        <w:sz w:val="24"/>
        <w:szCs w:val="24"/>
      </w:rPr>
    </w:sdtEndPr>
    <w:sdtContent>
      <w:p w:rsidR="00D7626F" w:rsidRPr="00D7626F" w14:paraId="4E7A1C05" w14:textId="77777777">
        <w:pPr>
          <w:pStyle w:val="Footer"/>
          <w:jc w:val="center"/>
          <w:rPr>
            <w:rFonts w:ascii="Times New Roman" w:hAnsi="Times New Roman" w:cs="Times New Roman"/>
            <w:sz w:val="24"/>
            <w:szCs w:val="24"/>
          </w:rPr>
        </w:pPr>
        <w:r w:rsidRPr="00D7626F">
          <w:rPr>
            <w:rFonts w:ascii="Times New Roman" w:hAnsi="Times New Roman" w:cs="Times New Roman"/>
            <w:sz w:val="24"/>
            <w:szCs w:val="24"/>
          </w:rPr>
          <w:fldChar w:fldCharType="begin"/>
        </w:r>
        <w:r w:rsidRPr="00D7626F">
          <w:rPr>
            <w:rFonts w:ascii="Times New Roman" w:hAnsi="Times New Roman" w:cs="Times New Roman"/>
            <w:sz w:val="24"/>
            <w:szCs w:val="24"/>
          </w:rPr>
          <w:instrText xml:space="preserve"> PAGE   \* MERGEFORMAT </w:instrText>
        </w:r>
        <w:r w:rsidRPr="00D7626F">
          <w:rPr>
            <w:rFonts w:ascii="Times New Roman" w:hAnsi="Times New Roman" w:cs="Times New Roman"/>
            <w:sz w:val="24"/>
            <w:szCs w:val="24"/>
          </w:rPr>
          <w:fldChar w:fldCharType="separate"/>
        </w:r>
        <w:r w:rsidRPr="00D7626F">
          <w:rPr>
            <w:rFonts w:ascii="Times New Roman" w:hAnsi="Times New Roman" w:cs="Times New Roman"/>
            <w:noProof/>
            <w:sz w:val="24"/>
            <w:szCs w:val="24"/>
          </w:rPr>
          <w:t>2</w:t>
        </w:r>
        <w:r w:rsidRPr="00D7626F">
          <w:rPr>
            <w:rFonts w:ascii="Times New Roman" w:hAnsi="Times New Roman" w:cs="Times New Roman"/>
            <w:noProof/>
            <w:sz w:val="24"/>
            <w:szCs w:val="24"/>
          </w:rPr>
          <w:fldChar w:fldCharType="end"/>
        </w:r>
      </w:p>
    </w:sdtContent>
  </w:sdt>
  <w:p w:rsidR="00D7626F" w14:paraId="3D91C3A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58823178"/>
      <w:docPartObj>
        <w:docPartGallery w:val="Page Numbers (Bottom of Page)"/>
        <w:docPartUnique/>
      </w:docPartObj>
    </w:sdtPr>
    <w:sdtEndPr>
      <w:rPr>
        <w:rFonts w:ascii="Times New Roman" w:hAnsi="Times New Roman" w:cs="Times New Roman"/>
        <w:noProof/>
        <w:sz w:val="24"/>
        <w:szCs w:val="24"/>
      </w:rPr>
    </w:sdtEndPr>
    <w:sdtContent>
      <w:p w:rsidR="00B842B2" w:rsidRPr="00B842B2" w14:paraId="4F02E2A7" w14:textId="5ECA4433">
        <w:pPr>
          <w:pStyle w:val="Footer"/>
          <w:jc w:val="center"/>
          <w:rPr>
            <w:rFonts w:ascii="Times New Roman" w:hAnsi="Times New Roman" w:cs="Times New Roman"/>
            <w:sz w:val="24"/>
            <w:szCs w:val="24"/>
          </w:rPr>
        </w:pPr>
        <w:r w:rsidRPr="00B842B2">
          <w:rPr>
            <w:rFonts w:ascii="Times New Roman" w:hAnsi="Times New Roman" w:cs="Times New Roman"/>
            <w:sz w:val="24"/>
            <w:szCs w:val="24"/>
          </w:rPr>
          <w:fldChar w:fldCharType="begin"/>
        </w:r>
        <w:r w:rsidRPr="00B842B2">
          <w:rPr>
            <w:rFonts w:ascii="Times New Roman" w:hAnsi="Times New Roman" w:cs="Times New Roman"/>
            <w:sz w:val="24"/>
            <w:szCs w:val="24"/>
          </w:rPr>
          <w:instrText xml:space="preserve"> PAGE   \* MERGEFORMAT </w:instrText>
        </w:r>
        <w:r w:rsidRPr="00B842B2">
          <w:rPr>
            <w:rFonts w:ascii="Times New Roman" w:hAnsi="Times New Roman" w:cs="Times New Roman"/>
            <w:sz w:val="24"/>
            <w:szCs w:val="24"/>
          </w:rPr>
          <w:fldChar w:fldCharType="separate"/>
        </w:r>
        <w:r w:rsidRPr="00B842B2">
          <w:rPr>
            <w:rFonts w:ascii="Times New Roman" w:hAnsi="Times New Roman" w:cs="Times New Roman"/>
            <w:noProof/>
            <w:sz w:val="24"/>
            <w:szCs w:val="24"/>
          </w:rPr>
          <w:t>2</w:t>
        </w:r>
        <w:r w:rsidRPr="00B842B2">
          <w:rPr>
            <w:rFonts w:ascii="Times New Roman" w:hAnsi="Times New Roman" w:cs="Times New Roman"/>
            <w:noProof/>
            <w:sz w:val="24"/>
            <w:szCs w:val="24"/>
          </w:rPr>
          <w:fldChar w:fldCharType="end"/>
        </w:r>
      </w:p>
    </w:sdtContent>
  </w:sdt>
  <w:p w:rsidR="002140C6" w:rsidRPr="00192398" w14:paraId="78D8768F" w14:textId="77777777">
    <w:pPr>
      <w:pStyle w:val="Foote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04120331"/>
      <w:docPartObj>
        <w:docPartGallery w:val="Page Numbers (Bottom of Page)"/>
        <w:docPartUnique/>
      </w:docPartObj>
    </w:sdtPr>
    <w:sdtEndPr>
      <w:rPr>
        <w:rFonts w:ascii="Times New Roman" w:hAnsi="Times New Roman" w:cs="Times New Roman"/>
        <w:noProof/>
        <w:sz w:val="24"/>
        <w:szCs w:val="24"/>
      </w:rPr>
    </w:sdtEndPr>
    <w:sdtContent>
      <w:p w:rsidR="00165460" w:rsidRPr="00165460" w14:paraId="7D8A19DE" w14:textId="77777777">
        <w:pPr>
          <w:pStyle w:val="Footer"/>
          <w:jc w:val="center"/>
          <w:rPr>
            <w:rFonts w:ascii="Times New Roman" w:hAnsi="Times New Roman" w:cs="Times New Roman"/>
            <w:sz w:val="24"/>
            <w:szCs w:val="24"/>
          </w:rPr>
        </w:pPr>
        <w:r w:rsidRPr="00165460">
          <w:rPr>
            <w:rFonts w:ascii="Times New Roman" w:hAnsi="Times New Roman" w:cs="Times New Roman"/>
            <w:sz w:val="24"/>
            <w:szCs w:val="24"/>
          </w:rPr>
          <w:fldChar w:fldCharType="begin"/>
        </w:r>
        <w:r w:rsidRPr="00165460">
          <w:rPr>
            <w:rFonts w:ascii="Times New Roman" w:hAnsi="Times New Roman" w:cs="Times New Roman"/>
            <w:sz w:val="24"/>
            <w:szCs w:val="24"/>
          </w:rPr>
          <w:instrText xml:space="preserve"> PAGE   \* MERGEFORMAT </w:instrText>
        </w:r>
        <w:r w:rsidRPr="00165460">
          <w:rPr>
            <w:rFonts w:ascii="Times New Roman" w:hAnsi="Times New Roman" w:cs="Times New Roman"/>
            <w:sz w:val="24"/>
            <w:szCs w:val="24"/>
          </w:rPr>
          <w:fldChar w:fldCharType="separate"/>
        </w:r>
        <w:r w:rsidRPr="00165460">
          <w:rPr>
            <w:rFonts w:ascii="Times New Roman" w:hAnsi="Times New Roman" w:cs="Times New Roman"/>
            <w:noProof/>
            <w:sz w:val="24"/>
            <w:szCs w:val="24"/>
          </w:rPr>
          <w:t>2</w:t>
        </w:r>
        <w:r w:rsidRPr="00165460">
          <w:rPr>
            <w:rFonts w:ascii="Times New Roman" w:hAnsi="Times New Roman" w:cs="Times New Roman"/>
            <w:noProof/>
            <w:sz w:val="24"/>
            <w:szCs w:val="24"/>
          </w:rPr>
          <w:fldChar w:fldCharType="end"/>
        </w:r>
      </w:p>
    </w:sdtContent>
  </w:sdt>
  <w:p w:rsidR="00165460" w:rsidRPr="00192398" w14:paraId="360F6757" w14:textId="77777777">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140C6" w:rsidP="0053250C" w14:paraId="1C0D32A5" w14:textId="77777777">
      <w:r>
        <w:separator/>
      </w:r>
    </w:p>
  </w:footnote>
  <w:footnote w:type="continuationSeparator" w:id="1">
    <w:p w:rsidR="002140C6" w:rsidP="0053250C" w14:paraId="1C3766DC" w14:textId="77777777">
      <w:r>
        <w:continuationSeparator/>
      </w:r>
    </w:p>
  </w:footnote>
  <w:footnote w:id="2">
    <w:p w:rsidR="002140C6" w:rsidRPr="00566662" w:rsidP="00566662" w14:paraId="3E4E52D0" w14:textId="6A9C604C">
      <w:pPr>
        <w:autoSpaceDE w:val="0"/>
        <w:autoSpaceDN w:val="0"/>
        <w:adjustRightInd w:val="0"/>
        <w:spacing w:after="120"/>
        <w:rPr>
          <w:sz w:val="20"/>
          <w:szCs w:val="20"/>
        </w:rPr>
      </w:pPr>
      <w:r w:rsidRPr="00566662">
        <w:rPr>
          <w:rStyle w:val="FootnoteReference"/>
          <w:sz w:val="20"/>
          <w:szCs w:val="20"/>
        </w:rPr>
        <w:footnoteRef/>
      </w:r>
      <w:r w:rsidRPr="00566662">
        <w:rPr>
          <w:sz w:val="20"/>
          <w:szCs w:val="20"/>
        </w:rPr>
        <w:t xml:space="preserve"> </w:t>
      </w:r>
      <w:r w:rsidRPr="00566662">
        <w:rPr>
          <w:i/>
          <w:iCs/>
          <w:sz w:val="20"/>
          <w:szCs w:val="20"/>
        </w:rPr>
        <w:t xml:space="preserve">See </w:t>
      </w:r>
      <w:r w:rsidRPr="00566662">
        <w:rPr>
          <w:sz w:val="20"/>
          <w:szCs w:val="20"/>
        </w:rPr>
        <w:t xml:space="preserve">AE Entry (June 19, 2019) at ¶4; </w:t>
      </w:r>
      <w:r w:rsidRPr="00566662">
        <w:rPr>
          <w:i/>
          <w:iCs/>
          <w:sz w:val="20"/>
          <w:szCs w:val="20"/>
        </w:rPr>
        <w:t>In re Duke Energy Ohio, Inc</w:t>
      </w:r>
      <w:r w:rsidRPr="00566662">
        <w:rPr>
          <w:sz w:val="20"/>
          <w:szCs w:val="20"/>
        </w:rPr>
        <w:t>., Case No. 14-841-EL-SSO, et al., Opinion and Order (Apr. 2, 2015) (</w:t>
      </w:r>
      <w:r w:rsidRPr="00566662">
        <w:rPr>
          <w:i/>
          <w:iCs/>
          <w:sz w:val="20"/>
          <w:szCs w:val="20"/>
        </w:rPr>
        <w:t>ESP 3 Case</w:t>
      </w:r>
      <w:r w:rsidRPr="00566662">
        <w:rPr>
          <w:sz w:val="20"/>
          <w:szCs w:val="20"/>
        </w:rPr>
        <w:t>).</w:t>
      </w:r>
    </w:p>
  </w:footnote>
  <w:footnote w:id="3">
    <w:p w:rsidR="000F58BD" w:rsidRPr="00566662" w:rsidP="00566662" w14:paraId="5DD54C13" w14:textId="47B24654">
      <w:pPr>
        <w:pStyle w:val="FootnoteText"/>
        <w:spacing w:after="120"/>
        <w:rPr>
          <w:rFonts w:ascii="Times New Roman" w:hAnsi="Times New Roman" w:cs="Times New Roman"/>
        </w:rPr>
      </w:pPr>
      <w:r w:rsidRPr="00566662">
        <w:rPr>
          <w:rStyle w:val="FootnoteReference"/>
          <w:rFonts w:ascii="Times New Roman" w:hAnsi="Times New Roman" w:cs="Times New Roman"/>
        </w:rPr>
        <w:footnoteRef/>
      </w:r>
      <w:r w:rsidRPr="00566662">
        <w:rPr>
          <w:rFonts w:ascii="Times New Roman" w:hAnsi="Times New Roman" w:cs="Times New Roman"/>
        </w:rPr>
        <w:t xml:space="preserve"> R.C. 4909.18.</w:t>
      </w:r>
    </w:p>
  </w:footnote>
  <w:footnote w:id="4">
    <w:p w:rsidR="002140C6" w:rsidRPr="00566662" w:rsidP="00566662" w14:paraId="694EDCC9" w14:textId="57FFDA6D">
      <w:pPr>
        <w:pStyle w:val="FootnoteText"/>
        <w:spacing w:after="120"/>
        <w:rPr>
          <w:rFonts w:ascii="Times New Roman" w:hAnsi="Times New Roman" w:cs="Times New Roman"/>
        </w:rPr>
      </w:pPr>
      <w:r w:rsidRPr="00566662">
        <w:rPr>
          <w:rStyle w:val="FootnoteReference"/>
          <w:rFonts w:ascii="Times New Roman" w:hAnsi="Times New Roman" w:cs="Times New Roman"/>
        </w:rPr>
        <w:footnoteRef/>
      </w:r>
      <w:r w:rsidRPr="00566662">
        <w:rPr>
          <w:rFonts w:ascii="Times New Roman" w:hAnsi="Times New Roman" w:cs="Times New Roman"/>
        </w:rPr>
        <w:t xml:space="preserve"> </w:t>
      </w:r>
      <w:r w:rsidRPr="00566662">
        <w:rPr>
          <w:rFonts w:ascii="Times New Roman" w:hAnsi="Times New Roman" w:cs="Times New Roman"/>
          <w:i/>
          <w:iCs/>
        </w:rPr>
        <w:t xml:space="preserve">See </w:t>
      </w:r>
      <w:r w:rsidRPr="00566662">
        <w:rPr>
          <w:rFonts w:ascii="Times New Roman" w:hAnsi="Times New Roman" w:cs="Times New Roman"/>
        </w:rPr>
        <w:t>Case No. 19-1287-EL-RDR, Compliance Audit of the July 1, 2018 to June 30, 2019 Distribution Capital Investment Rider (“Rider DCI”) Duke Energy Ohio at 2 (December 13, 2019) (The review included November 1, 2018 quarterly filings up to and including the August 1, 2019 filing) (“Audit Report”).</w:t>
      </w:r>
    </w:p>
  </w:footnote>
  <w:footnote w:id="5">
    <w:p w:rsidR="002140C6" w:rsidRPr="00566662" w:rsidP="00566662" w14:paraId="5BF0B13B" w14:textId="77777777">
      <w:pPr>
        <w:pStyle w:val="FootnoteText"/>
        <w:spacing w:after="120"/>
        <w:rPr>
          <w:rFonts w:ascii="Times New Roman" w:hAnsi="Times New Roman" w:cs="Times New Roman"/>
        </w:rPr>
      </w:pPr>
      <w:r w:rsidRPr="00566662">
        <w:rPr>
          <w:rStyle w:val="FootnoteReference"/>
          <w:rFonts w:ascii="Times New Roman" w:hAnsi="Times New Roman" w:cs="Times New Roman"/>
        </w:rPr>
        <w:footnoteRef/>
      </w:r>
      <w:r w:rsidRPr="00566662">
        <w:rPr>
          <w:rFonts w:ascii="Times New Roman" w:hAnsi="Times New Roman" w:cs="Times New Roman"/>
        </w:rPr>
        <w:t xml:space="preserve"> </w:t>
      </w:r>
      <w:r w:rsidRPr="00566662">
        <w:rPr>
          <w:rFonts w:ascii="Times New Roman" w:hAnsi="Times New Roman" w:cs="Times New Roman"/>
          <w:i/>
          <w:iCs/>
        </w:rPr>
        <w:t>See Id.</w:t>
      </w:r>
      <w:r w:rsidRPr="00566662">
        <w:rPr>
          <w:rFonts w:ascii="Times New Roman" w:hAnsi="Times New Roman" w:cs="Times New Roman"/>
        </w:rPr>
        <w:t xml:space="preserve"> at 38, Report Table 11.</w:t>
      </w:r>
    </w:p>
  </w:footnote>
  <w:footnote w:id="6">
    <w:p w:rsidR="0064734F" w:rsidRPr="00566662" w:rsidP="00566662" w14:paraId="28FEA352" w14:textId="725AE161">
      <w:pPr>
        <w:pStyle w:val="FootnoteText"/>
        <w:spacing w:after="120"/>
        <w:rPr>
          <w:rFonts w:ascii="Times New Roman" w:hAnsi="Times New Roman" w:cs="Times New Roman"/>
        </w:rPr>
      </w:pPr>
      <w:r w:rsidRPr="00566662">
        <w:rPr>
          <w:rStyle w:val="FootnoteReference"/>
          <w:rFonts w:ascii="Times New Roman" w:hAnsi="Times New Roman" w:cs="Times New Roman"/>
        </w:rPr>
        <w:footnoteRef/>
      </w:r>
      <w:r w:rsidRPr="00566662">
        <w:rPr>
          <w:rFonts w:ascii="Times New Roman" w:hAnsi="Times New Roman" w:cs="Times New Roman"/>
        </w:rPr>
        <w:t xml:space="preserve"> </w:t>
      </w:r>
      <w:r w:rsidRPr="00566662">
        <w:rPr>
          <w:rFonts w:ascii="Times New Roman" w:hAnsi="Times New Roman" w:cs="Times New Roman"/>
          <w:i/>
          <w:iCs/>
        </w:rPr>
        <w:t>See In re the Application of Duke Energy Ohio, Inc. for Authority to Establish a Standard Service Offer Pursuant to R.C. 4928.143 in the Form of an Electric Security Plan, Accounting Modifications, and Tariffs for Generation Service</w:t>
      </w:r>
      <w:r w:rsidRPr="00566662">
        <w:rPr>
          <w:rFonts w:ascii="Times New Roman" w:hAnsi="Times New Roman" w:cs="Times New Roman"/>
        </w:rPr>
        <w:t>, Case No. 14-841-EL-SSO, et al.,</w:t>
      </w:r>
      <w:r w:rsidRPr="00566662">
        <w:rPr>
          <w:rFonts w:ascii="Times New Roman" w:hAnsi="Times New Roman" w:cs="Times New Roman"/>
          <w:i/>
          <w:iCs/>
        </w:rPr>
        <w:t xml:space="preserve"> </w:t>
      </w:r>
      <w:r w:rsidRPr="00566662">
        <w:rPr>
          <w:rFonts w:ascii="Times New Roman" w:hAnsi="Times New Roman" w:cs="Times New Roman"/>
        </w:rPr>
        <w:t>Finding and Order at 71-72 (April 2, 2015).</w:t>
      </w:r>
    </w:p>
    <w:p w:rsidR="00AD292D" w:rsidRPr="00566662" w:rsidP="00566662" w14:paraId="23852D1E" w14:textId="77777777">
      <w:pPr>
        <w:pStyle w:val="FootnoteText"/>
        <w:spacing w:after="120"/>
        <w:rPr>
          <w:rFonts w:ascii="Times New Roman" w:hAnsi="Times New Roman" w:cs="Times New Roman"/>
        </w:rPr>
      </w:pPr>
    </w:p>
  </w:footnote>
  <w:footnote w:id="7">
    <w:p w:rsidR="0064734F" w:rsidRPr="00566662" w:rsidP="00566662" w14:paraId="4BCC46C6" w14:textId="77777777">
      <w:pPr>
        <w:pStyle w:val="FootnoteText"/>
        <w:spacing w:after="120"/>
        <w:rPr>
          <w:rFonts w:ascii="Times New Roman" w:hAnsi="Times New Roman" w:cs="Times New Roman"/>
          <w:i/>
          <w:iCs/>
        </w:rPr>
      </w:pPr>
      <w:r w:rsidRPr="00566662">
        <w:rPr>
          <w:rStyle w:val="FootnoteReference"/>
          <w:rFonts w:ascii="Times New Roman" w:hAnsi="Times New Roman" w:cs="Times New Roman"/>
        </w:rPr>
        <w:footnoteRef/>
      </w:r>
      <w:r w:rsidRPr="00566662">
        <w:rPr>
          <w:rFonts w:ascii="Times New Roman" w:hAnsi="Times New Roman" w:cs="Times New Roman"/>
        </w:rPr>
        <w:t xml:space="preserve"> </w:t>
      </w:r>
      <w:r w:rsidRPr="00566662">
        <w:rPr>
          <w:rFonts w:ascii="Times New Roman" w:hAnsi="Times New Roman" w:cs="Times New Roman"/>
          <w:i/>
          <w:iCs/>
        </w:rPr>
        <w:t>Id.</w:t>
      </w:r>
    </w:p>
  </w:footnote>
  <w:footnote w:id="8">
    <w:p w:rsidR="002140C6" w:rsidRPr="00566662" w:rsidP="00566662" w14:paraId="49E6179A" w14:textId="77777777">
      <w:pPr>
        <w:pStyle w:val="FootnoteText"/>
        <w:spacing w:after="120"/>
        <w:rPr>
          <w:rFonts w:ascii="Times New Roman" w:hAnsi="Times New Roman" w:cs="Times New Roman"/>
        </w:rPr>
      </w:pPr>
      <w:r w:rsidRPr="00566662">
        <w:rPr>
          <w:rStyle w:val="FootnoteReference"/>
          <w:rFonts w:ascii="Times New Roman" w:hAnsi="Times New Roman" w:cs="Times New Roman"/>
        </w:rPr>
        <w:footnoteRef/>
      </w:r>
      <w:r w:rsidRPr="00566662">
        <w:rPr>
          <w:rFonts w:ascii="Times New Roman" w:hAnsi="Times New Roman" w:cs="Times New Roman"/>
        </w:rPr>
        <w:t xml:space="preserve"> </w:t>
      </w:r>
      <w:r w:rsidRPr="00566662">
        <w:rPr>
          <w:rFonts w:ascii="Times New Roman" w:hAnsi="Times New Roman" w:cs="Times New Roman"/>
          <w:i/>
        </w:rPr>
        <w:t>Id</w:t>
      </w:r>
      <w:r w:rsidRPr="00566662">
        <w:rPr>
          <w:rFonts w:ascii="Times New Roman" w:hAnsi="Times New Roman" w:cs="Times New Roman"/>
        </w:rPr>
        <w:t>.</w:t>
      </w:r>
    </w:p>
  </w:footnote>
  <w:footnote w:id="9">
    <w:p w:rsidR="002140C6" w:rsidRPr="00566662" w:rsidP="00566662" w14:paraId="1B245D78" w14:textId="77777777">
      <w:pPr>
        <w:pStyle w:val="FootnoteText"/>
        <w:spacing w:after="120"/>
        <w:rPr>
          <w:rFonts w:ascii="Times New Roman" w:hAnsi="Times New Roman" w:cs="Times New Roman"/>
          <w:i/>
        </w:rPr>
      </w:pPr>
      <w:r w:rsidRPr="00566662">
        <w:rPr>
          <w:rStyle w:val="FootnoteReference"/>
          <w:rFonts w:ascii="Times New Roman" w:hAnsi="Times New Roman" w:cs="Times New Roman"/>
        </w:rPr>
        <w:footnoteRef/>
      </w:r>
      <w:r w:rsidRPr="00566662">
        <w:rPr>
          <w:rFonts w:ascii="Times New Roman" w:hAnsi="Times New Roman" w:cs="Times New Roman"/>
        </w:rPr>
        <w:t xml:space="preserve"> </w:t>
      </w:r>
      <w:r w:rsidRPr="00566662">
        <w:rPr>
          <w:rFonts w:ascii="Times New Roman" w:hAnsi="Times New Roman" w:cs="Times New Roman"/>
          <w:i/>
        </w:rPr>
        <w:t>Id.</w:t>
      </w:r>
    </w:p>
  </w:footnote>
  <w:footnote w:id="10">
    <w:p w:rsidR="002140C6" w:rsidRPr="00566662" w:rsidP="00566662" w14:paraId="31E8ADE3" w14:textId="77777777">
      <w:pPr>
        <w:pStyle w:val="FootnoteText"/>
        <w:spacing w:after="120"/>
        <w:rPr>
          <w:rFonts w:ascii="Times New Roman" w:hAnsi="Times New Roman" w:cs="Times New Roman"/>
        </w:rPr>
      </w:pPr>
      <w:r w:rsidRPr="00566662">
        <w:rPr>
          <w:rStyle w:val="FootnoteReference"/>
          <w:rFonts w:ascii="Times New Roman" w:hAnsi="Times New Roman" w:cs="Times New Roman"/>
        </w:rPr>
        <w:footnoteRef/>
      </w:r>
      <w:r w:rsidRPr="00566662">
        <w:rPr>
          <w:rFonts w:ascii="Times New Roman" w:hAnsi="Times New Roman" w:cs="Times New Roman"/>
        </w:rPr>
        <w:t xml:space="preserve"> </w:t>
      </w:r>
      <w:r w:rsidRPr="00566662">
        <w:rPr>
          <w:rFonts w:ascii="Times New Roman" w:hAnsi="Times New Roman" w:cs="Times New Roman"/>
          <w:i/>
          <w:iCs/>
        </w:rPr>
        <w:t>Id.</w:t>
      </w:r>
      <w:r w:rsidRPr="00566662">
        <w:rPr>
          <w:rFonts w:ascii="Times New Roman" w:hAnsi="Times New Roman" w:cs="Times New Roman"/>
        </w:rPr>
        <w:t xml:space="preserve"> at 7. </w:t>
      </w:r>
    </w:p>
  </w:footnote>
  <w:footnote w:id="11">
    <w:p w:rsidR="002140C6" w:rsidRPr="00566662" w:rsidP="00566662" w14:paraId="7B705203" w14:textId="77777777">
      <w:pPr>
        <w:pStyle w:val="FootnoteText"/>
        <w:spacing w:after="120"/>
        <w:rPr>
          <w:rFonts w:ascii="Times New Roman" w:hAnsi="Times New Roman" w:cs="Times New Roman"/>
          <w:i/>
        </w:rPr>
      </w:pPr>
      <w:r w:rsidRPr="00566662">
        <w:rPr>
          <w:rStyle w:val="FootnoteReference"/>
          <w:rFonts w:ascii="Times New Roman" w:hAnsi="Times New Roman" w:cs="Times New Roman"/>
        </w:rPr>
        <w:footnoteRef/>
      </w:r>
      <w:r w:rsidRPr="00566662">
        <w:rPr>
          <w:rFonts w:ascii="Times New Roman" w:hAnsi="Times New Roman" w:cs="Times New Roman"/>
        </w:rPr>
        <w:t xml:space="preserve"> </w:t>
      </w:r>
      <w:r w:rsidRPr="00566662">
        <w:rPr>
          <w:rFonts w:ascii="Times New Roman" w:hAnsi="Times New Roman" w:cs="Times New Roman"/>
          <w:i/>
        </w:rPr>
        <w:t>Id.</w:t>
      </w:r>
    </w:p>
  </w:footnote>
  <w:footnote w:id="12">
    <w:p w:rsidR="00BC0887" w:rsidRPr="00566662" w:rsidP="00566662" w14:paraId="31987D0C" w14:textId="77777777">
      <w:pPr>
        <w:pStyle w:val="FootnoteText"/>
        <w:spacing w:after="120"/>
        <w:rPr>
          <w:rFonts w:ascii="Times New Roman" w:hAnsi="Times New Roman" w:cs="Times New Roman"/>
        </w:rPr>
      </w:pPr>
      <w:r w:rsidRPr="00566662">
        <w:rPr>
          <w:rStyle w:val="FootnoteReference"/>
          <w:rFonts w:ascii="Times New Roman" w:hAnsi="Times New Roman" w:cs="Times New Roman"/>
        </w:rPr>
        <w:footnoteRef/>
      </w:r>
      <w:r w:rsidRPr="00566662">
        <w:rPr>
          <w:rFonts w:ascii="Times New Roman" w:hAnsi="Times New Roman" w:cs="Times New Roman"/>
        </w:rPr>
        <w:t xml:space="preserve"> </w:t>
      </w:r>
      <w:r w:rsidRPr="00566662">
        <w:rPr>
          <w:rFonts w:ascii="Times New Roman" w:hAnsi="Times New Roman" w:cs="Times New Roman"/>
          <w:i/>
          <w:iCs/>
        </w:rPr>
        <w:t>Id.</w:t>
      </w:r>
      <w:r w:rsidRPr="00566662">
        <w:rPr>
          <w:rFonts w:ascii="Times New Roman" w:hAnsi="Times New Roman" w:cs="Times New Roman"/>
        </w:rPr>
        <w:t xml:space="preserve"> at 13.</w:t>
      </w:r>
    </w:p>
  </w:footnote>
  <w:footnote w:id="13">
    <w:p w:rsidR="00BC0887" w:rsidRPr="00566662" w:rsidP="00566662" w14:paraId="4201F4AD" w14:textId="77777777">
      <w:pPr>
        <w:pStyle w:val="FootnoteText"/>
        <w:spacing w:after="120"/>
        <w:rPr>
          <w:rFonts w:ascii="Times New Roman" w:hAnsi="Times New Roman" w:cs="Times New Roman"/>
        </w:rPr>
      </w:pPr>
      <w:r w:rsidRPr="00566662">
        <w:rPr>
          <w:rStyle w:val="FootnoteReference"/>
          <w:rFonts w:ascii="Times New Roman" w:hAnsi="Times New Roman" w:cs="Times New Roman"/>
        </w:rPr>
        <w:footnoteRef/>
      </w:r>
      <w:r w:rsidRPr="00566662">
        <w:rPr>
          <w:rFonts w:ascii="Times New Roman" w:hAnsi="Times New Roman" w:cs="Times New Roman"/>
        </w:rPr>
        <w:t xml:space="preserve"> </w:t>
      </w:r>
      <w:r w:rsidRPr="00566662">
        <w:rPr>
          <w:rFonts w:ascii="Times New Roman" w:hAnsi="Times New Roman" w:cs="Times New Roman"/>
          <w:i/>
          <w:iCs/>
        </w:rPr>
        <w:t>Id.</w:t>
      </w:r>
    </w:p>
  </w:footnote>
  <w:footnote w:id="14">
    <w:p w:rsidR="00BC0887" w:rsidRPr="00566662" w:rsidP="00566662" w14:paraId="601456FB" w14:textId="77777777">
      <w:pPr>
        <w:pStyle w:val="FootnoteText"/>
        <w:spacing w:after="120"/>
        <w:rPr>
          <w:rFonts w:ascii="Times New Roman" w:hAnsi="Times New Roman" w:cs="Times New Roman"/>
        </w:rPr>
      </w:pPr>
      <w:r w:rsidRPr="00566662">
        <w:rPr>
          <w:rStyle w:val="FootnoteReference"/>
          <w:rFonts w:ascii="Times New Roman" w:hAnsi="Times New Roman" w:cs="Times New Roman"/>
        </w:rPr>
        <w:footnoteRef/>
      </w:r>
      <w:r w:rsidRPr="00566662">
        <w:rPr>
          <w:rFonts w:ascii="Times New Roman" w:hAnsi="Times New Roman" w:cs="Times New Roman"/>
        </w:rPr>
        <w:t xml:space="preserve"> </w:t>
      </w:r>
      <w:r w:rsidRPr="00566662">
        <w:rPr>
          <w:rFonts w:ascii="Times New Roman" w:hAnsi="Times New Roman" w:cs="Times New Roman"/>
          <w:i/>
          <w:iCs/>
        </w:rPr>
        <w:t>Id.</w:t>
      </w:r>
    </w:p>
  </w:footnote>
  <w:footnote w:id="15">
    <w:p w:rsidR="00BC0887" w:rsidRPr="00566662" w:rsidP="00566662" w14:paraId="0759B5A0" w14:textId="77777777">
      <w:pPr>
        <w:pStyle w:val="FootnoteText"/>
        <w:spacing w:after="120"/>
        <w:rPr>
          <w:rFonts w:ascii="Times New Roman" w:hAnsi="Times New Roman" w:cs="Times New Roman"/>
        </w:rPr>
      </w:pPr>
      <w:r w:rsidRPr="00566662">
        <w:rPr>
          <w:rStyle w:val="FootnoteReference"/>
          <w:rFonts w:ascii="Times New Roman" w:hAnsi="Times New Roman" w:cs="Times New Roman"/>
        </w:rPr>
        <w:footnoteRef/>
      </w:r>
      <w:r w:rsidRPr="00566662">
        <w:rPr>
          <w:rFonts w:ascii="Times New Roman" w:hAnsi="Times New Roman" w:cs="Times New Roman"/>
        </w:rPr>
        <w:t xml:space="preserve"> </w:t>
      </w:r>
      <w:r w:rsidRPr="00566662">
        <w:rPr>
          <w:rFonts w:ascii="Times New Roman" w:hAnsi="Times New Roman" w:cs="Times New Roman"/>
          <w:i/>
          <w:iCs/>
        </w:rPr>
        <w:t>Id.</w:t>
      </w:r>
    </w:p>
  </w:footnote>
  <w:footnote w:id="16">
    <w:p w:rsidR="00BC0887" w:rsidRPr="00566662" w:rsidP="00566662" w14:paraId="26AEF657" w14:textId="77777777">
      <w:pPr>
        <w:pStyle w:val="FootnoteText"/>
        <w:spacing w:after="120"/>
        <w:rPr>
          <w:rFonts w:ascii="Times New Roman" w:hAnsi="Times New Roman" w:cs="Times New Roman"/>
        </w:rPr>
      </w:pPr>
      <w:r w:rsidRPr="00566662">
        <w:rPr>
          <w:rStyle w:val="FootnoteReference"/>
          <w:rFonts w:ascii="Times New Roman" w:hAnsi="Times New Roman" w:cs="Times New Roman"/>
        </w:rPr>
        <w:footnoteRef/>
      </w:r>
      <w:r w:rsidRPr="00566662">
        <w:rPr>
          <w:rFonts w:ascii="Times New Roman" w:hAnsi="Times New Roman" w:cs="Times New Roman"/>
        </w:rPr>
        <w:t xml:space="preserve"> </w:t>
      </w:r>
      <w:r w:rsidRPr="00566662">
        <w:rPr>
          <w:rFonts w:ascii="Times New Roman" w:hAnsi="Times New Roman" w:cs="Times New Roman"/>
          <w:i/>
          <w:iCs/>
        </w:rPr>
        <w:t>Id.</w:t>
      </w:r>
    </w:p>
  </w:footnote>
  <w:footnote w:id="17">
    <w:p w:rsidR="00BC0887" w:rsidRPr="00566662" w:rsidP="00566662" w14:paraId="212D3D8D" w14:textId="1CD39F2D">
      <w:pPr>
        <w:pStyle w:val="FootnoteText"/>
        <w:spacing w:after="120"/>
        <w:rPr>
          <w:rFonts w:ascii="Times New Roman" w:hAnsi="Times New Roman" w:cs="Times New Roman"/>
        </w:rPr>
      </w:pPr>
      <w:r w:rsidRPr="00566662">
        <w:rPr>
          <w:rStyle w:val="FootnoteReference"/>
          <w:rFonts w:ascii="Times New Roman" w:hAnsi="Times New Roman" w:cs="Times New Roman"/>
        </w:rPr>
        <w:footnoteRef/>
      </w:r>
      <w:r w:rsidRPr="00566662">
        <w:rPr>
          <w:rFonts w:ascii="Times New Roman" w:hAnsi="Times New Roman" w:cs="Times New Roman"/>
        </w:rPr>
        <w:t xml:space="preserve"> </w:t>
      </w:r>
      <w:r w:rsidRPr="00566662">
        <w:rPr>
          <w:rFonts w:ascii="Times New Roman" w:hAnsi="Times New Roman" w:cs="Times New Roman"/>
          <w:i/>
          <w:iCs/>
        </w:rPr>
        <w:t>Id</w:t>
      </w:r>
      <w:r w:rsidRPr="00566662" w:rsidR="00191695">
        <w:rPr>
          <w:rFonts w:ascii="Times New Roman" w:hAnsi="Times New Roman" w:cs="Times New Roman"/>
          <w:i/>
          <w:iCs/>
        </w:rPr>
        <w:t>.</w:t>
      </w:r>
    </w:p>
  </w:footnote>
  <w:footnote w:id="18">
    <w:p w:rsidR="002140C6" w:rsidRPr="00566662" w:rsidP="00566662" w14:paraId="4DBD706F" w14:textId="7991F257">
      <w:pPr>
        <w:pStyle w:val="FootnoteText"/>
        <w:spacing w:after="120"/>
        <w:rPr>
          <w:rFonts w:ascii="Times New Roman" w:hAnsi="Times New Roman" w:cs="Times New Roman"/>
        </w:rPr>
      </w:pPr>
      <w:r w:rsidRPr="00566662">
        <w:rPr>
          <w:rStyle w:val="FootnoteReference"/>
          <w:rFonts w:ascii="Times New Roman" w:hAnsi="Times New Roman" w:cs="Times New Roman"/>
        </w:rPr>
        <w:footnoteRef/>
      </w:r>
      <w:r w:rsidRPr="00566662">
        <w:rPr>
          <w:rFonts w:ascii="Times New Roman" w:hAnsi="Times New Roman" w:cs="Times New Roman"/>
        </w:rPr>
        <w:t xml:space="preserve"> </w:t>
      </w:r>
      <w:r w:rsidRPr="00566662" w:rsidR="008F7FB7">
        <w:rPr>
          <w:rFonts w:ascii="Times New Roman" w:hAnsi="Times New Roman" w:cs="Times New Roman"/>
          <w:i/>
          <w:iCs/>
        </w:rPr>
        <w:t xml:space="preserve">See In re the Matter of the Application and Complaint and Appeal of Columbus and Southern Ohio Electric Company for Authority to Amend and Increase Certain of its Rates and Charges for Electric Service, </w:t>
      </w:r>
      <w:r w:rsidRPr="00566662" w:rsidR="008F7FB7">
        <w:rPr>
          <w:rFonts w:ascii="Times New Roman" w:hAnsi="Times New Roman" w:cs="Times New Roman"/>
        </w:rPr>
        <w:t xml:space="preserve">Case No. 77-545-EL-AIR, Opinion and Order at 54 (March 31, 1978)) (“the </w:t>
      </w:r>
      <w:r w:rsidRPr="00566662" w:rsidR="008F7FB7">
        <w:rPr>
          <w:rFonts w:ascii="Times New Roman" w:hAnsi="Times New Roman" w:cs="Times New Roman"/>
          <w:color w:val="373739"/>
          <w:shd w:val="clear" w:color="auto" w:fill="FFFFFF"/>
        </w:rPr>
        <w:t>Commission is of the opinion that a rate base deduction to reflect customer advances for construction is proper and that the staff recommendation should be adopted. Section 4909.05(I) Revised Code provides that the rate base should be reduced by any amounts a utility has received as total or partial defrayal of the cost of its property. Customers advances clearly fall within this category.</w:t>
      </w:r>
      <w:r w:rsidRPr="00566662" w:rsidR="008F7FB7">
        <w:rPr>
          <w:rFonts w:ascii="Times New Roman" w:hAnsi="Times New Roman" w:cs="Times New Roman"/>
        </w:rPr>
        <w:t>”)</w:t>
      </w:r>
      <w:r w:rsidRPr="00566662" w:rsidR="00812053">
        <w:rPr>
          <w:rFonts w:ascii="Times New Roman" w:hAnsi="Times New Roman" w:cs="Times New Roman"/>
        </w:rPr>
        <w:t xml:space="preserve">; </w:t>
      </w:r>
      <w:r w:rsidRPr="00566662" w:rsidR="008F7FB7">
        <w:rPr>
          <w:rFonts w:ascii="Times New Roman" w:hAnsi="Times New Roman" w:cs="Times New Roman"/>
          <w:i/>
          <w:iCs/>
        </w:rPr>
        <w:t xml:space="preserve">See In re the Matter of the Application and Complaint and Appeal of Columbus and Southern Ohio Electric Company for Authority to Amend and Increase Certain of its Rates and Charges for Electric Service, </w:t>
      </w:r>
      <w:r w:rsidRPr="00566662" w:rsidR="008F7FB7">
        <w:rPr>
          <w:rFonts w:ascii="Times New Roman" w:hAnsi="Times New Roman" w:cs="Times New Roman"/>
        </w:rPr>
        <w:t xml:space="preserve">Case No. 78-1438-EL-AIR, </w:t>
      </w:r>
      <w:r w:rsidRPr="00566662" w:rsidR="00812053">
        <w:rPr>
          <w:rFonts w:ascii="Times New Roman" w:hAnsi="Times New Roman" w:cs="Times New Roman"/>
        </w:rPr>
        <w:t>Opinion</w:t>
      </w:r>
      <w:r w:rsidRPr="00566662" w:rsidR="008F7FB7">
        <w:rPr>
          <w:rFonts w:ascii="Times New Roman" w:hAnsi="Times New Roman" w:cs="Times New Roman"/>
        </w:rPr>
        <w:t xml:space="preserve"> and Order at 14 (December 17, 1975) (“As we pointed out in our decision in Case No. 77-545-EL-AIR, customer advances clearly fall within amounts received as total or partial defrayal of the cost of the company’s property, which must be deducted from the rate base…”)</w:t>
      </w:r>
      <w:r w:rsidRPr="00566662" w:rsidR="00383D40">
        <w:rPr>
          <w:rFonts w:ascii="Times New Roman" w:hAnsi="Times New Roman" w:cs="Times New Roman"/>
        </w:rPr>
        <w:t>.</w:t>
      </w:r>
      <w:r w:rsidRPr="00566662" w:rsidR="008F7FB7">
        <w:rPr>
          <w:rFonts w:ascii="Times New Roman" w:hAnsi="Times New Roman" w:cs="Times New Roman"/>
        </w:rPr>
        <w:t xml:space="preserve"> </w:t>
      </w:r>
    </w:p>
  </w:footnote>
  <w:footnote w:id="19">
    <w:p w:rsidR="002140C6" w:rsidRPr="00566662" w:rsidP="00566662" w14:paraId="1E3F1C8A" w14:textId="6F0AF707">
      <w:pPr>
        <w:pStyle w:val="FootnoteText"/>
        <w:spacing w:after="120"/>
        <w:rPr>
          <w:rFonts w:ascii="Times New Roman" w:hAnsi="Times New Roman" w:cs="Times New Roman"/>
        </w:rPr>
      </w:pPr>
      <w:r w:rsidRPr="00566662">
        <w:rPr>
          <w:rStyle w:val="FootnoteReference"/>
          <w:rFonts w:ascii="Times New Roman" w:hAnsi="Times New Roman" w:cs="Times New Roman"/>
        </w:rPr>
        <w:footnoteRef/>
      </w:r>
      <w:r w:rsidRPr="00566662">
        <w:rPr>
          <w:rFonts w:ascii="Times New Roman" w:hAnsi="Times New Roman" w:cs="Times New Roman"/>
        </w:rPr>
        <w:t xml:space="preserve"> Audit Report at 12</w:t>
      </w:r>
      <w:r w:rsidR="00165460">
        <w:rPr>
          <w:rFonts w:ascii="Times New Roman" w:hAnsi="Times New Roman" w:cs="Times New Roman"/>
        </w:rPr>
        <w:t>.</w:t>
      </w:r>
    </w:p>
  </w:footnote>
  <w:footnote w:id="20">
    <w:p w:rsidR="002140C6" w:rsidRPr="00566662" w:rsidP="00566662" w14:paraId="280592C6" w14:textId="77777777">
      <w:pPr>
        <w:pStyle w:val="FootnoteText"/>
        <w:spacing w:after="120"/>
        <w:rPr>
          <w:rFonts w:ascii="Times New Roman" w:hAnsi="Times New Roman" w:cs="Times New Roman"/>
        </w:rPr>
      </w:pPr>
      <w:r w:rsidRPr="00566662">
        <w:rPr>
          <w:rStyle w:val="FootnoteReference"/>
          <w:rFonts w:ascii="Times New Roman" w:hAnsi="Times New Roman" w:cs="Times New Roman"/>
        </w:rPr>
        <w:footnoteRef/>
      </w:r>
      <w:r w:rsidRPr="00566662">
        <w:rPr>
          <w:rFonts w:ascii="Times New Roman" w:hAnsi="Times New Roman" w:cs="Times New Roman"/>
        </w:rPr>
        <w:t xml:space="preserve"> </w:t>
      </w:r>
      <w:r w:rsidRPr="00566662">
        <w:rPr>
          <w:rFonts w:ascii="Times New Roman" w:hAnsi="Times New Roman" w:cs="Times New Roman"/>
          <w:i/>
          <w:iCs/>
        </w:rPr>
        <w:t>Id.</w:t>
      </w:r>
    </w:p>
  </w:footnote>
  <w:footnote w:id="21">
    <w:p w:rsidR="002140C6" w:rsidRPr="00566662" w:rsidP="00566662" w14:paraId="78DC7F95" w14:textId="77777777">
      <w:pPr>
        <w:pStyle w:val="FootnoteText"/>
        <w:spacing w:after="120"/>
        <w:rPr>
          <w:rFonts w:ascii="Times New Roman" w:hAnsi="Times New Roman" w:cs="Times New Roman"/>
        </w:rPr>
      </w:pPr>
      <w:r w:rsidRPr="00566662">
        <w:rPr>
          <w:rStyle w:val="FootnoteReference"/>
          <w:rFonts w:ascii="Times New Roman" w:hAnsi="Times New Roman" w:cs="Times New Roman"/>
        </w:rPr>
        <w:footnoteRef/>
      </w:r>
      <w:r w:rsidRPr="00566662">
        <w:rPr>
          <w:rFonts w:ascii="Times New Roman" w:hAnsi="Times New Roman" w:cs="Times New Roman"/>
        </w:rPr>
        <w:t xml:space="preserve"> </w:t>
      </w:r>
      <w:r w:rsidRPr="00566662">
        <w:rPr>
          <w:rFonts w:ascii="Times New Roman" w:hAnsi="Times New Roman" w:cs="Times New Roman"/>
          <w:i/>
          <w:iCs/>
        </w:rPr>
        <w:t>Id.</w:t>
      </w:r>
    </w:p>
  </w:footnote>
  <w:footnote w:id="22">
    <w:p w:rsidR="002140C6" w:rsidRPr="00566662" w:rsidP="00566662" w14:paraId="035854E5" w14:textId="77777777">
      <w:pPr>
        <w:pStyle w:val="FootnoteText"/>
        <w:spacing w:after="120"/>
        <w:rPr>
          <w:rFonts w:ascii="Times New Roman" w:hAnsi="Times New Roman" w:cs="Times New Roman"/>
        </w:rPr>
      </w:pPr>
      <w:r w:rsidRPr="00566662">
        <w:rPr>
          <w:rStyle w:val="FootnoteReference"/>
          <w:rFonts w:ascii="Times New Roman" w:hAnsi="Times New Roman" w:cs="Times New Roman"/>
        </w:rPr>
        <w:footnoteRef/>
      </w:r>
      <w:r w:rsidRPr="00566662">
        <w:rPr>
          <w:rFonts w:ascii="Times New Roman" w:hAnsi="Times New Roman" w:cs="Times New Roman"/>
        </w:rPr>
        <w:t xml:space="preserve"> </w:t>
      </w:r>
      <w:r w:rsidRPr="00566662">
        <w:rPr>
          <w:rFonts w:ascii="Times New Roman" w:hAnsi="Times New Roman" w:cs="Times New Roman"/>
          <w:i/>
          <w:iCs/>
        </w:rPr>
        <w:t>Id.</w:t>
      </w:r>
    </w:p>
  </w:footnote>
  <w:footnote w:id="23">
    <w:p w:rsidR="002140C6" w:rsidRPr="00566662" w:rsidP="00566662" w14:paraId="7625B154" w14:textId="42B37CD5">
      <w:pPr>
        <w:pStyle w:val="FootnoteText"/>
        <w:spacing w:after="120"/>
        <w:rPr>
          <w:rFonts w:ascii="Times New Roman" w:hAnsi="Times New Roman" w:cs="Times New Roman"/>
        </w:rPr>
      </w:pPr>
      <w:r w:rsidRPr="00566662">
        <w:rPr>
          <w:rStyle w:val="FootnoteReference"/>
          <w:rFonts w:ascii="Times New Roman" w:hAnsi="Times New Roman" w:cs="Times New Roman"/>
        </w:rPr>
        <w:footnoteRef/>
      </w:r>
      <w:r w:rsidRPr="00566662">
        <w:rPr>
          <w:rFonts w:ascii="Times New Roman" w:hAnsi="Times New Roman" w:cs="Times New Roman"/>
        </w:rPr>
        <w:t xml:space="preserve"> </w:t>
      </w:r>
      <w:r w:rsidRPr="00566662" w:rsidR="00191695">
        <w:rPr>
          <w:rFonts w:ascii="Times New Roman" w:hAnsi="Times New Roman" w:cs="Times New Roman"/>
          <w:i/>
          <w:iCs/>
        </w:rPr>
        <w:t>Id.</w:t>
      </w:r>
    </w:p>
  </w:footnote>
  <w:footnote w:id="24">
    <w:p w:rsidR="002140C6" w:rsidRPr="00566662" w:rsidP="00566662" w14:paraId="70255985" w14:textId="77777777">
      <w:pPr>
        <w:pStyle w:val="FootnoteText"/>
        <w:spacing w:after="120"/>
        <w:rPr>
          <w:rFonts w:ascii="Times New Roman" w:hAnsi="Times New Roman" w:cs="Times New Roman"/>
        </w:rPr>
      </w:pPr>
      <w:r w:rsidRPr="00566662">
        <w:rPr>
          <w:rStyle w:val="FootnoteReference"/>
          <w:rFonts w:ascii="Times New Roman" w:hAnsi="Times New Roman" w:cs="Times New Roman"/>
        </w:rPr>
        <w:footnoteRef/>
      </w:r>
      <w:r w:rsidRPr="00566662">
        <w:rPr>
          <w:rFonts w:ascii="Times New Roman" w:hAnsi="Times New Roman" w:cs="Times New Roman"/>
        </w:rPr>
        <w:t xml:space="preserve"> </w:t>
      </w:r>
      <w:r w:rsidRPr="00566662">
        <w:rPr>
          <w:rFonts w:ascii="Times New Roman" w:hAnsi="Times New Roman" w:cs="Times New Roman"/>
          <w:i/>
          <w:iCs/>
        </w:rPr>
        <w:t xml:space="preserve">Id. </w:t>
      </w:r>
      <w:r w:rsidRPr="00566662">
        <w:rPr>
          <w:rFonts w:ascii="Times New Roman" w:hAnsi="Times New Roman" w:cs="Times New Roman"/>
        </w:rPr>
        <w:t>at 5.</w:t>
      </w:r>
    </w:p>
  </w:footnote>
  <w:footnote w:id="25">
    <w:p w:rsidR="00A40EA7" w:rsidRPr="00566662" w:rsidP="00566662" w14:paraId="6A836664" w14:textId="0D13971E">
      <w:pPr>
        <w:pStyle w:val="FootnoteText"/>
        <w:spacing w:after="120"/>
        <w:rPr>
          <w:rFonts w:ascii="Times New Roman" w:hAnsi="Times New Roman" w:cs="Times New Roman"/>
        </w:rPr>
      </w:pPr>
      <w:r w:rsidRPr="00566662">
        <w:rPr>
          <w:rStyle w:val="FootnoteReference"/>
          <w:rFonts w:ascii="Times New Roman" w:hAnsi="Times New Roman" w:cs="Times New Roman"/>
        </w:rPr>
        <w:footnoteRef/>
      </w:r>
      <w:r w:rsidRPr="00566662">
        <w:rPr>
          <w:rFonts w:ascii="Times New Roman" w:hAnsi="Times New Roman" w:cs="Times New Roman"/>
        </w:rPr>
        <w:t xml:space="preserve"> </w:t>
      </w:r>
      <w:r w:rsidRPr="00566662" w:rsidR="00191695">
        <w:rPr>
          <w:rFonts w:ascii="Times New Roman" w:hAnsi="Times New Roman" w:cs="Times New Roman"/>
          <w:i/>
          <w:iCs/>
        </w:rPr>
        <w:t>Id.</w:t>
      </w:r>
      <w:r w:rsidRPr="00566662">
        <w:rPr>
          <w:rFonts w:ascii="Times New Roman" w:hAnsi="Times New Roman" w:cs="Times New Roman"/>
        </w:rPr>
        <w:t xml:space="preserve"> at 8-9.</w:t>
      </w:r>
    </w:p>
  </w:footnote>
  <w:footnote w:id="26">
    <w:p w:rsidR="00191695" w:rsidRPr="00566662" w:rsidP="00566662" w14:paraId="113EFD40" w14:textId="12B3B877">
      <w:pPr>
        <w:pStyle w:val="FootnoteText"/>
        <w:spacing w:after="120"/>
        <w:rPr>
          <w:rFonts w:ascii="Times New Roman" w:hAnsi="Times New Roman" w:cs="Times New Roman"/>
        </w:rPr>
      </w:pPr>
      <w:r w:rsidRPr="00566662">
        <w:rPr>
          <w:rStyle w:val="FootnoteReference"/>
          <w:rFonts w:ascii="Times New Roman" w:hAnsi="Times New Roman" w:cs="Times New Roman"/>
        </w:rPr>
        <w:footnoteRef/>
      </w:r>
      <w:r w:rsidRPr="00566662">
        <w:rPr>
          <w:rFonts w:ascii="Times New Roman" w:hAnsi="Times New Roman" w:cs="Times New Roman"/>
        </w:rPr>
        <w:t xml:space="preserve"> Securities and Exchange Commission, Accounting and Enforcement Release, SEC Docket, Vol. 93, Part 1, page 69 (April 2008) (“On top” entries generally refer to the accounting practice of recording large, unsupported entries after the close of each quarter).</w:t>
      </w:r>
    </w:p>
  </w:footnote>
  <w:footnote w:id="27">
    <w:p w:rsidR="002140C6" w:rsidRPr="00566662" w:rsidP="00566662" w14:paraId="63E837E7" w14:textId="39899E43">
      <w:pPr>
        <w:pStyle w:val="FootnoteText"/>
        <w:spacing w:after="120"/>
        <w:rPr>
          <w:rFonts w:ascii="Times New Roman" w:hAnsi="Times New Roman" w:cs="Times New Roman"/>
        </w:rPr>
      </w:pPr>
      <w:r w:rsidRPr="00566662">
        <w:rPr>
          <w:rStyle w:val="FootnoteReference"/>
          <w:rFonts w:ascii="Times New Roman" w:hAnsi="Times New Roman" w:cs="Times New Roman"/>
        </w:rPr>
        <w:footnoteRef/>
      </w:r>
      <w:r w:rsidRPr="00566662">
        <w:rPr>
          <w:rFonts w:ascii="Times New Roman" w:hAnsi="Times New Roman" w:cs="Times New Roman"/>
          <w:i/>
          <w:iCs/>
        </w:rPr>
        <w:t xml:space="preserve"> </w:t>
      </w:r>
      <w:r w:rsidRPr="00566662" w:rsidR="00191695">
        <w:rPr>
          <w:rFonts w:ascii="Times New Roman" w:hAnsi="Times New Roman" w:cs="Times New Roman"/>
        </w:rPr>
        <w:t>Audit Report at 8-9.</w:t>
      </w:r>
    </w:p>
  </w:footnote>
  <w:footnote w:id="28">
    <w:p w:rsidR="009C401E" w:rsidRPr="00566662" w:rsidP="00566662" w14:paraId="7F834046" w14:textId="77777777">
      <w:pPr>
        <w:pStyle w:val="FootnoteText"/>
        <w:spacing w:after="120"/>
        <w:rPr>
          <w:rFonts w:ascii="Times New Roman" w:hAnsi="Times New Roman" w:cs="Times New Roman"/>
        </w:rPr>
      </w:pPr>
      <w:r w:rsidRPr="00566662">
        <w:rPr>
          <w:rStyle w:val="FootnoteReference"/>
          <w:rFonts w:ascii="Times New Roman" w:hAnsi="Times New Roman" w:cs="Times New Roman"/>
        </w:rPr>
        <w:footnoteRef/>
      </w:r>
      <w:r w:rsidRPr="00566662">
        <w:rPr>
          <w:rFonts w:ascii="Times New Roman" w:hAnsi="Times New Roman" w:cs="Times New Roman"/>
        </w:rPr>
        <w:t xml:space="preserve"> </w:t>
      </w:r>
      <w:r w:rsidRPr="00566662">
        <w:rPr>
          <w:rFonts w:ascii="Times New Roman" w:hAnsi="Times New Roman" w:cs="Times New Roman"/>
          <w:i/>
          <w:iCs/>
        </w:rPr>
        <w:t>Id</w:t>
      </w:r>
      <w:r w:rsidRPr="00566662">
        <w:rPr>
          <w:rFonts w:ascii="Times New Roman" w:hAnsi="Times New Roman" w:cs="Times New Roman"/>
        </w:rPr>
        <w:t xml:space="preserve">. </w:t>
      </w:r>
    </w:p>
  </w:footnote>
  <w:footnote w:id="29">
    <w:p w:rsidR="002140C6" w:rsidRPr="00566662" w:rsidP="00566662" w14:paraId="54604C12" w14:textId="7D4AC258">
      <w:pPr>
        <w:pStyle w:val="FootnoteText"/>
        <w:spacing w:after="120"/>
        <w:rPr>
          <w:rFonts w:ascii="Times New Roman" w:hAnsi="Times New Roman" w:cs="Times New Roman"/>
        </w:rPr>
      </w:pPr>
      <w:r w:rsidRPr="00566662">
        <w:rPr>
          <w:rStyle w:val="FootnoteReference"/>
          <w:rFonts w:ascii="Times New Roman" w:hAnsi="Times New Roman" w:cs="Times New Roman"/>
        </w:rPr>
        <w:footnoteRef/>
      </w:r>
      <w:r w:rsidRPr="00566662">
        <w:rPr>
          <w:rFonts w:ascii="Times New Roman" w:hAnsi="Times New Roman" w:cs="Times New Roman"/>
        </w:rPr>
        <w:t xml:space="preserve"> </w:t>
      </w:r>
      <w:r w:rsidRPr="00566662" w:rsidR="00191695">
        <w:rPr>
          <w:rFonts w:ascii="Times New Roman" w:hAnsi="Times New Roman" w:cs="Times New Roman"/>
          <w:i/>
          <w:iCs/>
        </w:rPr>
        <w:t>Id</w:t>
      </w:r>
      <w:r w:rsidRPr="00566662" w:rsidR="00191695">
        <w:rPr>
          <w:rFonts w:ascii="Times New Roman" w:hAnsi="Times New Roman" w:cs="Times New Roman"/>
        </w:rPr>
        <w:t>.</w:t>
      </w:r>
    </w:p>
  </w:footnote>
  <w:footnote w:id="30">
    <w:p w:rsidR="002140C6" w:rsidRPr="00566662" w:rsidP="00566662" w14:paraId="27C0F62D" w14:textId="05992CFA">
      <w:pPr>
        <w:pStyle w:val="FootnoteText"/>
        <w:spacing w:after="120"/>
        <w:rPr>
          <w:rFonts w:ascii="Times New Roman" w:hAnsi="Times New Roman" w:cs="Times New Roman"/>
        </w:rPr>
      </w:pPr>
      <w:r w:rsidRPr="00566662">
        <w:rPr>
          <w:rStyle w:val="FootnoteReference"/>
          <w:rFonts w:ascii="Times New Roman" w:hAnsi="Times New Roman" w:cs="Times New Roman"/>
        </w:rPr>
        <w:footnoteRef/>
      </w:r>
      <w:r w:rsidRPr="00566662">
        <w:rPr>
          <w:rFonts w:ascii="Times New Roman" w:hAnsi="Times New Roman" w:cs="Times New Roman"/>
        </w:rPr>
        <w:t xml:space="preserve"> </w:t>
      </w:r>
      <w:r w:rsidRPr="00566662">
        <w:rPr>
          <w:rFonts w:ascii="Times New Roman" w:hAnsi="Times New Roman" w:cs="Times New Roman"/>
          <w:i/>
          <w:iCs/>
        </w:rPr>
        <w:t>Id</w:t>
      </w:r>
      <w:r w:rsidRPr="00566662">
        <w:rPr>
          <w:rFonts w:ascii="Times New Roman" w:hAnsi="Times New Roman" w:cs="Times New Roman"/>
        </w:rPr>
        <w:t>.</w:t>
      </w:r>
    </w:p>
  </w:footnote>
  <w:footnote w:id="31">
    <w:p w:rsidR="002140C6" w:rsidRPr="00566662" w:rsidP="00566662" w14:paraId="74797D26" w14:textId="1D43A5A5">
      <w:pPr>
        <w:pStyle w:val="FootnoteText"/>
        <w:spacing w:after="120"/>
        <w:rPr>
          <w:rFonts w:ascii="Times New Roman" w:hAnsi="Times New Roman" w:cs="Times New Roman"/>
        </w:rPr>
      </w:pPr>
      <w:r w:rsidRPr="00566662">
        <w:rPr>
          <w:rStyle w:val="FootnoteReference"/>
          <w:rFonts w:ascii="Times New Roman" w:hAnsi="Times New Roman" w:cs="Times New Roman"/>
        </w:rPr>
        <w:footnoteRef/>
      </w:r>
      <w:r w:rsidRPr="00566662">
        <w:rPr>
          <w:rFonts w:ascii="Times New Roman" w:hAnsi="Times New Roman" w:cs="Times New Roman"/>
        </w:rPr>
        <w:t xml:space="preserve"> </w:t>
      </w:r>
      <w:r w:rsidRPr="00566662">
        <w:rPr>
          <w:rFonts w:ascii="Times New Roman" w:hAnsi="Times New Roman" w:cs="Times New Roman"/>
          <w:i/>
          <w:iCs/>
        </w:rPr>
        <w:t>Id</w:t>
      </w:r>
      <w:r w:rsidRPr="00566662">
        <w:rPr>
          <w:rFonts w:ascii="Times New Roman" w:hAnsi="Times New Roman" w:cs="Times New Roman"/>
        </w:rPr>
        <w:t>. at 9.</w:t>
      </w:r>
    </w:p>
  </w:footnote>
  <w:footnote w:id="32">
    <w:p w:rsidR="002140C6" w:rsidRPr="00566662" w:rsidP="00566662" w14:paraId="5BBC12C0" w14:textId="72E240C5">
      <w:pPr>
        <w:pStyle w:val="FootnoteText"/>
        <w:spacing w:after="120"/>
        <w:rPr>
          <w:rFonts w:ascii="Times New Roman" w:hAnsi="Times New Roman" w:cs="Times New Roman"/>
        </w:rPr>
      </w:pPr>
      <w:r w:rsidRPr="00566662">
        <w:rPr>
          <w:rStyle w:val="FootnoteReference"/>
          <w:rFonts w:ascii="Times New Roman" w:hAnsi="Times New Roman" w:cs="Times New Roman"/>
        </w:rPr>
        <w:footnoteRef/>
      </w:r>
      <w:r w:rsidRPr="00566662">
        <w:rPr>
          <w:rFonts w:ascii="Times New Roman" w:hAnsi="Times New Roman" w:cs="Times New Roman"/>
        </w:rPr>
        <w:t xml:space="preserve"> </w:t>
      </w:r>
      <w:r w:rsidRPr="00566662">
        <w:rPr>
          <w:rFonts w:ascii="Times New Roman" w:hAnsi="Times New Roman" w:cs="Times New Roman"/>
          <w:i/>
          <w:iCs/>
        </w:rPr>
        <w:t>Id</w:t>
      </w:r>
      <w:r w:rsidRPr="00566662">
        <w:rPr>
          <w:rFonts w:ascii="Times New Roman" w:hAnsi="Times New Roman" w:cs="Times New Roman"/>
        </w:rPr>
        <w:t>.</w:t>
      </w:r>
    </w:p>
  </w:footnote>
  <w:footnote w:id="33">
    <w:p w:rsidR="002140C6" w:rsidRPr="00566662" w:rsidP="00566662" w14:paraId="59A3B5C1" w14:textId="468F64B1">
      <w:pPr>
        <w:pStyle w:val="FootnoteText"/>
        <w:spacing w:after="120"/>
        <w:rPr>
          <w:rFonts w:ascii="Times New Roman" w:hAnsi="Times New Roman" w:cs="Times New Roman"/>
        </w:rPr>
      </w:pPr>
      <w:r w:rsidRPr="00566662">
        <w:rPr>
          <w:rStyle w:val="FootnoteReference"/>
          <w:rFonts w:ascii="Times New Roman" w:hAnsi="Times New Roman" w:cs="Times New Roman"/>
        </w:rPr>
        <w:footnoteRef/>
      </w:r>
      <w:r w:rsidRPr="00566662">
        <w:rPr>
          <w:rFonts w:ascii="Times New Roman" w:hAnsi="Times New Roman" w:cs="Times New Roman"/>
        </w:rPr>
        <w:t xml:space="preserve"> </w:t>
      </w:r>
      <w:r w:rsidRPr="00566662">
        <w:rPr>
          <w:rFonts w:ascii="Times New Roman" w:hAnsi="Times New Roman" w:cs="Times New Roman"/>
          <w:i/>
          <w:iCs/>
        </w:rPr>
        <w:t>Id</w:t>
      </w:r>
      <w:r w:rsidRPr="00566662">
        <w:rPr>
          <w:rFonts w:ascii="Times New Roman" w:hAnsi="Times New Roman" w:cs="Times New Roman"/>
        </w:rPr>
        <w:t>.</w:t>
      </w:r>
    </w:p>
  </w:footnote>
  <w:footnote w:id="34">
    <w:p w:rsidR="002140C6" w:rsidRPr="00566662" w:rsidP="00566662" w14:paraId="7124F697" w14:textId="30FB0FE3">
      <w:pPr>
        <w:pStyle w:val="FootnoteText"/>
        <w:spacing w:after="120"/>
        <w:rPr>
          <w:rFonts w:ascii="Times New Roman" w:hAnsi="Times New Roman" w:cs="Times New Roman"/>
        </w:rPr>
      </w:pPr>
      <w:r w:rsidRPr="00566662">
        <w:rPr>
          <w:rStyle w:val="FootnoteReference"/>
          <w:rFonts w:ascii="Times New Roman" w:hAnsi="Times New Roman" w:cs="Times New Roman"/>
        </w:rPr>
        <w:footnoteRef/>
      </w:r>
      <w:r w:rsidRPr="00566662">
        <w:rPr>
          <w:rFonts w:ascii="Times New Roman" w:hAnsi="Times New Roman" w:cs="Times New Roman"/>
        </w:rPr>
        <w:t xml:space="preserve"> </w:t>
      </w:r>
      <w:r w:rsidRPr="00566662">
        <w:rPr>
          <w:rFonts w:ascii="Times New Roman" w:hAnsi="Times New Roman" w:cs="Times New Roman"/>
          <w:i/>
          <w:iCs/>
        </w:rPr>
        <w:t>Id</w:t>
      </w:r>
      <w:r w:rsidRPr="00566662">
        <w:rPr>
          <w:rFonts w:ascii="Times New Roman" w:hAnsi="Times New Roman" w:cs="Times New Roman"/>
        </w:rPr>
        <w:t>.</w:t>
      </w:r>
    </w:p>
  </w:footnote>
  <w:footnote w:id="35">
    <w:p w:rsidR="002140C6" w:rsidRPr="00566662" w:rsidP="00566662" w14:paraId="0429C378" w14:textId="1DD46C09">
      <w:pPr>
        <w:pStyle w:val="FootnoteText"/>
        <w:spacing w:after="120"/>
        <w:rPr>
          <w:rFonts w:ascii="Times New Roman" w:hAnsi="Times New Roman" w:cs="Times New Roman"/>
        </w:rPr>
      </w:pPr>
      <w:r w:rsidRPr="00566662">
        <w:rPr>
          <w:rStyle w:val="FootnoteReference"/>
          <w:rFonts w:ascii="Times New Roman" w:hAnsi="Times New Roman" w:cs="Times New Roman"/>
        </w:rPr>
        <w:footnoteRef/>
      </w:r>
      <w:r w:rsidRPr="00566662">
        <w:rPr>
          <w:rFonts w:ascii="Times New Roman" w:hAnsi="Times New Roman" w:cs="Times New Roman"/>
        </w:rPr>
        <w:t xml:space="preserve"> Case No. 18-1036-EL-RDR, Compliance Audit at 10 (December 7, 2018).</w:t>
      </w:r>
    </w:p>
  </w:footnote>
  <w:footnote w:id="36">
    <w:p w:rsidR="00191695" w:rsidRPr="00566662" w:rsidP="00566662" w14:paraId="57427D37" w14:textId="1CA21A81">
      <w:pPr>
        <w:pStyle w:val="FootnoteText"/>
        <w:spacing w:after="120"/>
        <w:rPr>
          <w:rFonts w:ascii="Times New Roman" w:hAnsi="Times New Roman" w:cs="Times New Roman"/>
        </w:rPr>
      </w:pPr>
      <w:r w:rsidRPr="00566662">
        <w:rPr>
          <w:rStyle w:val="FootnoteReference"/>
          <w:rFonts w:ascii="Times New Roman" w:hAnsi="Times New Roman" w:cs="Times New Roman"/>
        </w:rPr>
        <w:footnoteRef/>
      </w:r>
      <w:r w:rsidRPr="00566662">
        <w:rPr>
          <w:rFonts w:ascii="Times New Roman" w:hAnsi="Times New Roman" w:cs="Times New Roman"/>
        </w:rPr>
        <w:t xml:space="preserve"> </w:t>
      </w:r>
      <w:r w:rsidRPr="00566662">
        <w:rPr>
          <w:rFonts w:ascii="Times New Roman" w:hAnsi="Times New Roman" w:cs="Times New Roman"/>
          <w:i/>
          <w:iCs/>
        </w:rPr>
        <w:t>Id</w:t>
      </w:r>
      <w:r w:rsidRPr="00566662">
        <w:rPr>
          <w:rFonts w:ascii="Times New Roman" w:hAnsi="Times New Roman" w:cs="Times New Roman"/>
        </w:rPr>
        <w:t>., Stipulation and Recommendation at 6 (June 10, 2019).</w:t>
      </w:r>
    </w:p>
  </w:footnote>
  <w:footnote w:id="37">
    <w:p w:rsidR="002140C6" w:rsidRPr="00566662" w:rsidP="00566662" w14:paraId="58601F8D" w14:textId="39758186">
      <w:pPr>
        <w:pStyle w:val="FootnoteText"/>
        <w:spacing w:after="120"/>
        <w:rPr>
          <w:rFonts w:ascii="Times New Roman" w:hAnsi="Times New Roman" w:cs="Times New Roman"/>
        </w:rPr>
      </w:pPr>
      <w:r w:rsidRPr="00566662">
        <w:rPr>
          <w:rStyle w:val="FootnoteReference"/>
          <w:rFonts w:ascii="Times New Roman" w:hAnsi="Times New Roman" w:cs="Times New Roman"/>
        </w:rPr>
        <w:footnoteRef/>
      </w:r>
      <w:r w:rsidRPr="00566662">
        <w:rPr>
          <w:rFonts w:ascii="Times New Roman" w:hAnsi="Times New Roman" w:cs="Times New Roman"/>
        </w:rPr>
        <w:t xml:space="preserve"> </w:t>
      </w:r>
      <w:r w:rsidRPr="00566662" w:rsidR="00572CEA">
        <w:rPr>
          <w:rFonts w:ascii="Times New Roman" w:hAnsi="Times New Roman" w:cs="Times New Roman"/>
        </w:rPr>
        <w:t>Audit Report at 9.</w:t>
      </w:r>
      <w:r w:rsidRPr="00566662">
        <w:rPr>
          <w:rFonts w:ascii="Times New Roman" w:hAnsi="Times New Roman" w:cs="Times New Roman"/>
        </w:rPr>
        <w:t xml:space="preserve"> </w:t>
      </w:r>
    </w:p>
  </w:footnote>
  <w:footnote w:id="38">
    <w:p w:rsidR="002140C6" w:rsidRPr="00566662" w:rsidP="00566662" w14:paraId="18F601F0" w14:textId="2B3EDF0C">
      <w:pPr>
        <w:pStyle w:val="FootnoteText"/>
        <w:spacing w:after="120"/>
        <w:rPr>
          <w:rFonts w:ascii="Times New Roman" w:hAnsi="Times New Roman" w:cs="Times New Roman"/>
        </w:rPr>
      </w:pPr>
      <w:r w:rsidRPr="00566662">
        <w:rPr>
          <w:rStyle w:val="FootnoteReference"/>
          <w:rFonts w:ascii="Times New Roman" w:hAnsi="Times New Roman" w:cs="Times New Roman"/>
        </w:rPr>
        <w:footnoteRef/>
      </w:r>
      <w:r w:rsidRPr="00566662">
        <w:rPr>
          <w:rFonts w:ascii="Times New Roman" w:hAnsi="Times New Roman" w:cs="Times New Roman"/>
        </w:rPr>
        <w:t xml:space="preserve"> </w:t>
      </w:r>
      <w:r w:rsidRPr="00566662">
        <w:rPr>
          <w:rFonts w:ascii="Times New Roman" w:hAnsi="Times New Roman" w:cs="Times New Roman"/>
          <w:i/>
          <w:iCs/>
        </w:rPr>
        <w:t>Id</w:t>
      </w:r>
      <w:r w:rsidRPr="00566662">
        <w:rPr>
          <w:rFonts w:ascii="Times New Roman" w:hAnsi="Times New Roman" w:cs="Times New Roman"/>
        </w:rPr>
        <w:t>.</w:t>
      </w:r>
    </w:p>
  </w:footnote>
  <w:footnote w:id="39">
    <w:p w:rsidR="002140C6" w:rsidRPr="00566662" w:rsidP="00566662" w14:paraId="51FB0E03" w14:textId="7FD267FC">
      <w:pPr>
        <w:pStyle w:val="FootnoteText"/>
        <w:spacing w:after="120"/>
        <w:rPr>
          <w:rFonts w:ascii="Times New Roman" w:hAnsi="Times New Roman" w:cs="Times New Roman"/>
        </w:rPr>
      </w:pPr>
      <w:r w:rsidRPr="00566662">
        <w:rPr>
          <w:rStyle w:val="FootnoteReference"/>
          <w:rFonts w:ascii="Times New Roman" w:hAnsi="Times New Roman" w:cs="Times New Roman"/>
        </w:rPr>
        <w:footnoteRef/>
      </w:r>
      <w:r w:rsidRPr="00566662">
        <w:rPr>
          <w:rFonts w:ascii="Times New Roman" w:hAnsi="Times New Roman" w:cs="Times New Roman"/>
        </w:rPr>
        <w:t xml:space="preserve"> </w:t>
      </w:r>
      <w:r w:rsidRPr="00566662">
        <w:rPr>
          <w:rFonts w:ascii="Times New Roman" w:hAnsi="Times New Roman" w:cs="Times New Roman"/>
          <w:i/>
          <w:iCs/>
        </w:rPr>
        <w:t>Id</w:t>
      </w:r>
      <w:r w:rsidRPr="00566662">
        <w:rPr>
          <w:rFonts w:ascii="Times New Roman" w:hAnsi="Times New Roman" w:cs="Times New Roman"/>
        </w:rPr>
        <w:t>.</w:t>
      </w:r>
    </w:p>
  </w:footnote>
  <w:footnote w:id="40">
    <w:p w:rsidR="002140C6" w:rsidRPr="00566662" w:rsidP="00566662" w14:paraId="5711D989" w14:textId="6A3432E3">
      <w:pPr>
        <w:pStyle w:val="FootnoteText"/>
        <w:spacing w:after="120"/>
        <w:rPr>
          <w:rFonts w:ascii="Times New Roman" w:hAnsi="Times New Roman" w:cs="Times New Roman"/>
        </w:rPr>
      </w:pPr>
      <w:r w:rsidRPr="00566662">
        <w:rPr>
          <w:rStyle w:val="FootnoteReference"/>
          <w:rFonts w:ascii="Times New Roman" w:hAnsi="Times New Roman" w:cs="Times New Roman"/>
        </w:rPr>
        <w:footnoteRef/>
      </w:r>
      <w:r w:rsidRPr="00566662">
        <w:rPr>
          <w:rFonts w:ascii="Times New Roman" w:hAnsi="Times New Roman" w:cs="Times New Roman"/>
        </w:rPr>
        <w:t xml:space="preserve"> </w:t>
      </w:r>
      <w:r w:rsidRPr="00566662">
        <w:rPr>
          <w:rFonts w:ascii="Times New Roman" w:hAnsi="Times New Roman" w:cs="Times New Roman"/>
          <w:i/>
          <w:iCs/>
        </w:rPr>
        <w:t>Id</w:t>
      </w:r>
      <w:r w:rsidRPr="00566662">
        <w:rPr>
          <w:rFonts w:ascii="Times New Roman" w:hAnsi="Times New Roman" w:cs="Times New Roman"/>
        </w:rPr>
        <w:t>.</w:t>
      </w:r>
    </w:p>
  </w:footnote>
  <w:footnote w:id="41">
    <w:p w:rsidR="002140C6" w:rsidRPr="00566662" w:rsidP="00566662" w14:paraId="582FA5F6" w14:textId="13B85685">
      <w:pPr>
        <w:pStyle w:val="FootnoteText"/>
        <w:spacing w:after="120"/>
        <w:rPr>
          <w:rFonts w:ascii="Times New Roman" w:hAnsi="Times New Roman" w:cs="Times New Roman"/>
        </w:rPr>
      </w:pPr>
      <w:r w:rsidRPr="00566662">
        <w:rPr>
          <w:rStyle w:val="FootnoteReference"/>
          <w:rFonts w:ascii="Times New Roman" w:hAnsi="Times New Roman" w:cs="Times New Roman"/>
        </w:rPr>
        <w:footnoteRef/>
      </w:r>
      <w:r w:rsidRPr="00566662">
        <w:rPr>
          <w:rFonts w:ascii="Times New Roman" w:hAnsi="Times New Roman" w:cs="Times New Roman"/>
        </w:rPr>
        <w:t xml:space="preserve"> Case No. 18-1036-EL-RDR, </w:t>
      </w:r>
      <w:r w:rsidRPr="00566662" w:rsidR="009C401E">
        <w:rPr>
          <w:rFonts w:ascii="Times New Roman" w:hAnsi="Times New Roman" w:cs="Times New Roman"/>
        </w:rPr>
        <w:t xml:space="preserve">Direct Testimony of James D. Williams </w:t>
      </w:r>
      <w:r w:rsidRPr="00566662">
        <w:rPr>
          <w:rFonts w:ascii="Times New Roman" w:hAnsi="Times New Roman" w:cs="Times New Roman"/>
        </w:rPr>
        <w:t xml:space="preserve">at </w:t>
      </w:r>
      <w:r w:rsidRPr="00566662" w:rsidR="009C401E">
        <w:rPr>
          <w:rFonts w:ascii="Times New Roman" w:hAnsi="Times New Roman" w:cs="Times New Roman"/>
        </w:rPr>
        <w:t>12-13</w:t>
      </w:r>
      <w:r w:rsidR="00165460">
        <w:rPr>
          <w:rFonts w:ascii="Times New Roman" w:hAnsi="Times New Roman" w:cs="Times New Roman"/>
        </w:rPr>
        <w:t xml:space="preserve"> </w:t>
      </w:r>
      <w:r w:rsidRPr="00566662">
        <w:rPr>
          <w:rFonts w:ascii="Times New Roman" w:hAnsi="Times New Roman" w:cs="Times New Roman"/>
        </w:rPr>
        <w:t>(</w:t>
      </w:r>
      <w:r w:rsidRPr="00566662" w:rsidR="00AF4B7C">
        <w:rPr>
          <w:rFonts w:ascii="Times New Roman" w:hAnsi="Times New Roman" w:cs="Times New Roman"/>
        </w:rPr>
        <w:t>July 8</w:t>
      </w:r>
      <w:r w:rsidRPr="00566662">
        <w:rPr>
          <w:rFonts w:ascii="Times New Roman" w:hAnsi="Times New Roman" w:cs="Times New Roman"/>
        </w:rPr>
        <w:t>,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622EE4"/>
    <w:lvl w:ilvl="0">
      <w:start w:val="1"/>
      <w:numFmt w:val="decimal"/>
      <w:lvlText w:val="%1."/>
      <w:lvlJc w:val="left"/>
      <w:pPr>
        <w:tabs>
          <w:tab w:val="num" w:pos="1800"/>
        </w:tabs>
        <w:ind w:left="1800" w:hanging="360"/>
      </w:pPr>
    </w:lvl>
  </w:abstractNum>
  <w:abstractNum w:abstractNumId="1">
    <w:nsid w:val="FFFFFF7D"/>
    <w:multiLevelType w:val="singleLevel"/>
    <w:tmpl w:val="19901164"/>
    <w:lvl w:ilvl="0">
      <w:start w:val="1"/>
      <w:numFmt w:val="decimal"/>
      <w:lvlText w:val="%1."/>
      <w:lvlJc w:val="left"/>
      <w:pPr>
        <w:tabs>
          <w:tab w:val="num" w:pos="1440"/>
        </w:tabs>
        <w:ind w:left="1440" w:hanging="360"/>
      </w:pPr>
    </w:lvl>
  </w:abstractNum>
  <w:abstractNum w:abstractNumId="2">
    <w:nsid w:val="FFFFFF7E"/>
    <w:multiLevelType w:val="singleLevel"/>
    <w:tmpl w:val="D1D0B55C"/>
    <w:lvl w:ilvl="0">
      <w:start w:val="1"/>
      <w:numFmt w:val="decimal"/>
      <w:lvlText w:val="%1."/>
      <w:lvlJc w:val="left"/>
      <w:pPr>
        <w:tabs>
          <w:tab w:val="num" w:pos="1080"/>
        </w:tabs>
        <w:ind w:left="1080" w:hanging="360"/>
      </w:pPr>
    </w:lvl>
  </w:abstractNum>
  <w:abstractNum w:abstractNumId="3">
    <w:nsid w:val="FFFFFF7F"/>
    <w:multiLevelType w:val="singleLevel"/>
    <w:tmpl w:val="33E660B0"/>
    <w:lvl w:ilvl="0">
      <w:start w:val="1"/>
      <w:numFmt w:val="decimal"/>
      <w:lvlText w:val="%1."/>
      <w:lvlJc w:val="left"/>
      <w:pPr>
        <w:tabs>
          <w:tab w:val="num" w:pos="720"/>
        </w:tabs>
        <w:ind w:left="720" w:hanging="360"/>
      </w:pPr>
    </w:lvl>
  </w:abstractNum>
  <w:abstractNum w:abstractNumId="4">
    <w:nsid w:val="FFFFFF80"/>
    <w:multiLevelType w:val="singleLevel"/>
    <w:tmpl w:val="3BE896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B2937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AA6D8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CB241E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40CFF98"/>
    <w:lvl w:ilvl="0">
      <w:start w:val="1"/>
      <w:numFmt w:val="decimal"/>
      <w:lvlText w:val="%1."/>
      <w:lvlJc w:val="left"/>
      <w:pPr>
        <w:tabs>
          <w:tab w:val="num" w:pos="360"/>
        </w:tabs>
        <w:ind w:left="360" w:hanging="360"/>
      </w:pPr>
    </w:lvl>
  </w:abstractNum>
  <w:abstractNum w:abstractNumId="9">
    <w:nsid w:val="FFFFFF89"/>
    <w:multiLevelType w:val="singleLevel"/>
    <w:tmpl w:val="931E4894"/>
    <w:lvl w:ilvl="0">
      <w:start w:val="1"/>
      <w:numFmt w:val="bullet"/>
      <w:lvlText w:val=""/>
      <w:lvlJc w:val="left"/>
      <w:pPr>
        <w:tabs>
          <w:tab w:val="num" w:pos="360"/>
        </w:tabs>
        <w:ind w:left="360" w:hanging="360"/>
      </w:pPr>
      <w:rPr>
        <w:rFonts w:ascii="Symbol" w:hAnsi="Symbol" w:hint="default"/>
      </w:rPr>
    </w:lvl>
  </w:abstractNum>
  <w:abstractNum w:abstractNumId="10">
    <w:nsid w:val="1EEF631C"/>
    <w:multiLevelType w:val="hybridMultilevel"/>
    <w:tmpl w:val="EF5E92B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124150B"/>
    <w:multiLevelType w:val="hybridMultilevel"/>
    <w:tmpl w:val="F534725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29E86644"/>
    <w:multiLevelType w:val="hybridMultilevel"/>
    <w:tmpl w:val="7422C428"/>
    <w:lvl w:ilvl="0">
      <w:start w:val="1"/>
      <w:numFmt w:val="decimal"/>
      <w:lvlText w:val="%1."/>
      <w:lvlJc w:val="left"/>
      <w:pPr>
        <w:ind w:left="3600" w:hanging="720"/>
      </w:pPr>
      <w:rPr>
        <w:rFonts w:hint="default"/>
        <w:b/>
        <w:bCs/>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13">
    <w:nsid w:val="52A95C26"/>
    <w:multiLevelType w:val="hybridMultilevel"/>
    <w:tmpl w:val="B49C6EA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53412171"/>
    <w:multiLevelType w:val="hybridMultilevel"/>
    <w:tmpl w:val="07CA454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6FD6708"/>
    <w:multiLevelType w:val="hybridMultilevel"/>
    <w:tmpl w:val="1C7880F6"/>
    <w:lvl w:ilvl="0">
      <w:start w:val="1"/>
      <w:numFmt w:val="upperLetter"/>
      <w:pStyle w:val="Heading2"/>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5E2035BA"/>
    <w:multiLevelType w:val="hybridMultilevel"/>
    <w:tmpl w:val="B3F2F50A"/>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7">
    <w:nsid w:val="64351F0E"/>
    <w:multiLevelType w:val="hybridMultilevel"/>
    <w:tmpl w:val="39528758"/>
    <w:lvl w:ilvl="0">
      <w:start w:val="1"/>
      <w:numFmt w:val="upperLetter"/>
      <w:pStyle w:val="Heading3"/>
      <w:lvlText w:val="%1."/>
      <w:lvlJc w:val="left"/>
      <w:pPr>
        <w:ind w:left="99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65A24D2F"/>
    <w:multiLevelType w:val="hybridMultilevel"/>
    <w:tmpl w:val="989AD118"/>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nsid w:val="69471014"/>
    <w:multiLevelType w:val="hybridMultilevel"/>
    <w:tmpl w:val="43FA2684"/>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E823893"/>
    <w:multiLevelType w:val="hybridMultilevel"/>
    <w:tmpl w:val="82E64888"/>
    <w:lvl w:ilvl="0">
      <w:start w:val="1"/>
      <w:numFmt w:val="decimal"/>
      <w:lvlText w:val="%1."/>
      <w:lvlJc w:val="left"/>
      <w:pPr>
        <w:ind w:left="1800" w:hanging="360"/>
      </w:pPr>
      <w:rPr>
        <w:rFonts w:ascii="Times New Roman" w:eastAsia="Times New Roman" w:hAnsi="Times New Roman" w:cs="Times New Roman" w:hint="default"/>
        <w:color w:val="0000FF" w:themeColor="hyperlink"/>
        <w:sz w:val="24"/>
        <w:u w:val="single"/>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1">
    <w:nsid w:val="7DA85746"/>
    <w:multiLevelType w:val="hybridMultilevel"/>
    <w:tmpl w:val="B92C6CBA"/>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9"/>
  </w:num>
  <w:num w:numId="2">
    <w:abstractNumId w:val="14"/>
  </w:num>
  <w:num w:numId="3">
    <w:abstractNumId w:val="10"/>
  </w:num>
  <w:num w:numId="4">
    <w:abstractNumId w:val="9"/>
  </w:num>
  <w:num w:numId="5">
    <w:abstractNumId w:val="7"/>
  </w:num>
  <w:num w:numId="6">
    <w:abstractNumId w:val="6"/>
  </w:num>
  <w:num w:numId="7">
    <w:abstractNumId w:val="5"/>
  </w:num>
  <w:num w:numId="8">
    <w:abstractNumId w:val="21"/>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2"/>
  </w:num>
  <w:num w:numId="17">
    <w:abstractNumId w:val="18"/>
  </w:num>
  <w:num w:numId="18">
    <w:abstractNumId w:val="20"/>
  </w:num>
  <w:num w:numId="19">
    <w:abstractNumId w:val="11"/>
  </w:num>
  <w:num w:numId="20">
    <w:abstractNumId w:val="13"/>
  </w:num>
  <w:num w:numId="21">
    <w:abstractNumId w:val="16"/>
  </w:num>
  <w:num w:numId="22">
    <w:abstractNumId w:val="18"/>
    <w:lvlOverride w:ilvl="0">
      <w:startOverride w:val="1"/>
    </w:lvlOverride>
  </w:num>
  <w:num w:numId="23">
    <w:abstractNumId w:val="17"/>
  </w:num>
  <w:num w:numId="24">
    <w:abstractNumId w:val="17"/>
  </w:num>
  <w:num w:numId="25">
    <w:abstractNumId w:val="17"/>
  </w:num>
  <w:num w:numId="26">
    <w:abstractNumId w:val="17"/>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822"/>
    <w:rsid w:val="00002616"/>
    <w:rsid w:val="000123C9"/>
    <w:rsid w:val="00014327"/>
    <w:rsid w:val="00015FA8"/>
    <w:rsid w:val="0003187A"/>
    <w:rsid w:val="0003724D"/>
    <w:rsid w:val="00041078"/>
    <w:rsid w:val="00041167"/>
    <w:rsid w:val="000532AE"/>
    <w:rsid w:val="00053C51"/>
    <w:rsid w:val="0005620D"/>
    <w:rsid w:val="000653AC"/>
    <w:rsid w:val="000722DA"/>
    <w:rsid w:val="00074752"/>
    <w:rsid w:val="000768D0"/>
    <w:rsid w:val="000775BB"/>
    <w:rsid w:val="000A069C"/>
    <w:rsid w:val="000B04DA"/>
    <w:rsid w:val="000C4540"/>
    <w:rsid w:val="000D0341"/>
    <w:rsid w:val="000D32F3"/>
    <w:rsid w:val="000D4657"/>
    <w:rsid w:val="000D69C7"/>
    <w:rsid w:val="000F29BF"/>
    <w:rsid w:val="000F5471"/>
    <w:rsid w:val="000F58BD"/>
    <w:rsid w:val="00103AAE"/>
    <w:rsid w:val="00104F99"/>
    <w:rsid w:val="0010694B"/>
    <w:rsid w:val="001130FD"/>
    <w:rsid w:val="0011650C"/>
    <w:rsid w:val="00117BD8"/>
    <w:rsid w:val="00120469"/>
    <w:rsid w:val="00121604"/>
    <w:rsid w:val="00133309"/>
    <w:rsid w:val="001361DA"/>
    <w:rsid w:val="00142B6E"/>
    <w:rsid w:val="00165460"/>
    <w:rsid w:val="00171F04"/>
    <w:rsid w:val="00191695"/>
    <w:rsid w:val="00192398"/>
    <w:rsid w:val="00192CAF"/>
    <w:rsid w:val="001938A5"/>
    <w:rsid w:val="001B0775"/>
    <w:rsid w:val="001B71F3"/>
    <w:rsid w:val="001C2405"/>
    <w:rsid w:val="001C581A"/>
    <w:rsid w:val="001D4F3F"/>
    <w:rsid w:val="001E5745"/>
    <w:rsid w:val="001F1B8D"/>
    <w:rsid w:val="001F337D"/>
    <w:rsid w:val="002119DF"/>
    <w:rsid w:val="002140C6"/>
    <w:rsid w:val="0021677D"/>
    <w:rsid w:val="00217C13"/>
    <w:rsid w:val="00221F1B"/>
    <w:rsid w:val="00222B45"/>
    <w:rsid w:val="002251C1"/>
    <w:rsid w:val="00225315"/>
    <w:rsid w:val="0022691A"/>
    <w:rsid w:val="0023147C"/>
    <w:rsid w:val="002334AB"/>
    <w:rsid w:val="002335A6"/>
    <w:rsid w:val="002379B3"/>
    <w:rsid w:val="002431DA"/>
    <w:rsid w:val="00253331"/>
    <w:rsid w:val="0025399B"/>
    <w:rsid w:val="00264A0C"/>
    <w:rsid w:val="002720D8"/>
    <w:rsid w:val="002724DA"/>
    <w:rsid w:val="00274351"/>
    <w:rsid w:val="0027473E"/>
    <w:rsid w:val="0027542A"/>
    <w:rsid w:val="002B1204"/>
    <w:rsid w:val="002B4F7F"/>
    <w:rsid w:val="002B6618"/>
    <w:rsid w:val="002B7323"/>
    <w:rsid w:val="002B73F3"/>
    <w:rsid w:val="002C0ABE"/>
    <w:rsid w:val="002C28DC"/>
    <w:rsid w:val="002C3FD9"/>
    <w:rsid w:val="002C472C"/>
    <w:rsid w:val="002D427B"/>
    <w:rsid w:val="002E5FC8"/>
    <w:rsid w:val="00305477"/>
    <w:rsid w:val="0030706D"/>
    <w:rsid w:val="0031097C"/>
    <w:rsid w:val="00310A02"/>
    <w:rsid w:val="003117F1"/>
    <w:rsid w:val="0031334C"/>
    <w:rsid w:val="00314A1E"/>
    <w:rsid w:val="00321850"/>
    <w:rsid w:val="003225B6"/>
    <w:rsid w:val="00323C43"/>
    <w:rsid w:val="003255EF"/>
    <w:rsid w:val="00330151"/>
    <w:rsid w:val="0033156C"/>
    <w:rsid w:val="003438FD"/>
    <w:rsid w:val="003459E7"/>
    <w:rsid w:val="00357746"/>
    <w:rsid w:val="003578D2"/>
    <w:rsid w:val="00360E3F"/>
    <w:rsid w:val="00361ED7"/>
    <w:rsid w:val="00367D31"/>
    <w:rsid w:val="00382BE2"/>
    <w:rsid w:val="003832AA"/>
    <w:rsid w:val="00383D40"/>
    <w:rsid w:val="003916C8"/>
    <w:rsid w:val="003B3209"/>
    <w:rsid w:val="003B37A7"/>
    <w:rsid w:val="003B4DB7"/>
    <w:rsid w:val="003F4073"/>
    <w:rsid w:val="00402383"/>
    <w:rsid w:val="00404FDC"/>
    <w:rsid w:val="00412ECD"/>
    <w:rsid w:val="00425260"/>
    <w:rsid w:val="00435A6C"/>
    <w:rsid w:val="00435D57"/>
    <w:rsid w:val="00461A5C"/>
    <w:rsid w:val="00463867"/>
    <w:rsid w:val="004652C4"/>
    <w:rsid w:val="00471C9B"/>
    <w:rsid w:val="00481D7C"/>
    <w:rsid w:val="004852DC"/>
    <w:rsid w:val="00490024"/>
    <w:rsid w:val="00495D7D"/>
    <w:rsid w:val="00497635"/>
    <w:rsid w:val="004A09E6"/>
    <w:rsid w:val="004C1619"/>
    <w:rsid w:val="004C34CF"/>
    <w:rsid w:val="004C3822"/>
    <w:rsid w:val="004D0D64"/>
    <w:rsid w:val="004D2848"/>
    <w:rsid w:val="004E1775"/>
    <w:rsid w:val="004E7A35"/>
    <w:rsid w:val="00511090"/>
    <w:rsid w:val="0053250C"/>
    <w:rsid w:val="00554C06"/>
    <w:rsid w:val="00560DE1"/>
    <w:rsid w:val="0056452C"/>
    <w:rsid w:val="00564F36"/>
    <w:rsid w:val="00566456"/>
    <w:rsid w:val="00566662"/>
    <w:rsid w:val="00567148"/>
    <w:rsid w:val="00572CEA"/>
    <w:rsid w:val="0057597E"/>
    <w:rsid w:val="00580443"/>
    <w:rsid w:val="00580936"/>
    <w:rsid w:val="005869BF"/>
    <w:rsid w:val="00587F08"/>
    <w:rsid w:val="005A5B03"/>
    <w:rsid w:val="005A5CE9"/>
    <w:rsid w:val="005A6D31"/>
    <w:rsid w:val="005A7F9F"/>
    <w:rsid w:val="005B0BB6"/>
    <w:rsid w:val="005B3E06"/>
    <w:rsid w:val="005B40A2"/>
    <w:rsid w:val="005C3094"/>
    <w:rsid w:val="005C35F2"/>
    <w:rsid w:val="005C3816"/>
    <w:rsid w:val="005C6F38"/>
    <w:rsid w:val="005D417A"/>
    <w:rsid w:val="005D4E82"/>
    <w:rsid w:val="005E5E94"/>
    <w:rsid w:val="005E77CB"/>
    <w:rsid w:val="005F5915"/>
    <w:rsid w:val="006148A8"/>
    <w:rsid w:val="00620895"/>
    <w:rsid w:val="006271A4"/>
    <w:rsid w:val="00627A06"/>
    <w:rsid w:val="006323D5"/>
    <w:rsid w:val="00633609"/>
    <w:rsid w:val="00636F23"/>
    <w:rsid w:val="00637796"/>
    <w:rsid w:val="0064734F"/>
    <w:rsid w:val="006617AB"/>
    <w:rsid w:val="006642B1"/>
    <w:rsid w:val="006812C9"/>
    <w:rsid w:val="006817AE"/>
    <w:rsid w:val="006936D2"/>
    <w:rsid w:val="00697BAD"/>
    <w:rsid w:val="006B44A9"/>
    <w:rsid w:val="006D04C1"/>
    <w:rsid w:val="006D5C09"/>
    <w:rsid w:val="006D6BC6"/>
    <w:rsid w:val="006E1AA7"/>
    <w:rsid w:val="006E28CA"/>
    <w:rsid w:val="006E5DE3"/>
    <w:rsid w:val="007102BC"/>
    <w:rsid w:val="00717E1C"/>
    <w:rsid w:val="00734080"/>
    <w:rsid w:val="00736C9D"/>
    <w:rsid w:val="00742EE2"/>
    <w:rsid w:val="00747760"/>
    <w:rsid w:val="00753758"/>
    <w:rsid w:val="007569F2"/>
    <w:rsid w:val="007578B6"/>
    <w:rsid w:val="00760889"/>
    <w:rsid w:val="00762454"/>
    <w:rsid w:val="00764F28"/>
    <w:rsid w:val="007663E5"/>
    <w:rsid w:val="00775C46"/>
    <w:rsid w:val="0079330F"/>
    <w:rsid w:val="007A2F78"/>
    <w:rsid w:val="007A5432"/>
    <w:rsid w:val="007A6963"/>
    <w:rsid w:val="007A69BC"/>
    <w:rsid w:val="007C6E4A"/>
    <w:rsid w:val="007E25B4"/>
    <w:rsid w:val="007E3627"/>
    <w:rsid w:val="007E576F"/>
    <w:rsid w:val="007F2D5E"/>
    <w:rsid w:val="007F363B"/>
    <w:rsid w:val="007F4117"/>
    <w:rsid w:val="007F7739"/>
    <w:rsid w:val="007F79DA"/>
    <w:rsid w:val="0080462C"/>
    <w:rsid w:val="00805173"/>
    <w:rsid w:val="00806382"/>
    <w:rsid w:val="00812053"/>
    <w:rsid w:val="00814E35"/>
    <w:rsid w:val="008239BD"/>
    <w:rsid w:val="00830EA1"/>
    <w:rsid w:val="008329AE"/>
    <w:rsid w:val="0084298B"/>
    <w:rsid w:val="00847A88"/>
    <w:rsid w:val="008505D6"/>
    <w:rsid w:val="00861AAD"/>
    <w:rsid w:val="00861DFF"/>
    <w:rsid w:val="008644DE"/>
    <w:rsid w:val="0087003E"/>
    <w:rsid w:val="00870C01"/>
    <w:rsid w:val="008722E3"/>
    <w:rsid w:val="00872A4D"/>
    <w:rsid w:val="00874B5C"/>
    <w:rsid w:val="00876C2D"/>
    <w:rsid w:val="00885644"/>
    <w:rsid w:val="0088723E"/>
    <w:rsid w:val="008A72E2"/>
    <w:rsid w:val="008B0A0D"/>
    <w:rsid w:val="008B1B8C"/>
    <w:rsid w:val="008C478F"/>
    <w:rsid w:val="008D28D8"/>
    <w:rsid w:val="008D2E76"/>
    <w:rsid w:val="008D477B"/>
    <w:rsid w:val="008D742E"/>
    <w:rsid w:val="008D799A"/>
    <w:rsid w:val="008E3AAD"/>
    <w:rsid w:val="008E7137"/>
    <w:rsid w:val="008F5CA7"/>
    <w:rsid w:val="008F7FB7"/>
    <w:rsid w:val="00905B7D"/>
    <w:rsid w:val="00911869"/>
    <w:rsid w:val="009225ED"/>
    <w:rsid w:val="009231A9"/>
    <w:rsid w:val="00925A59"/>
    <w:rsid w:val="00953AD6"/>
    <w:rsid w:val="00965156"/>
    <w:rsid w:val="00974905"/>
    <w:rsid w:val="00975674"/>
    <w:rsid w:val="00977F61"/>
    <w:rsid w:val="00981DCE"/>
    <w:rsid w:val="00981FE3"/>
    <w:rsid w:val="00983992"/>
    <w:rsid w:val="00984AE6"/>
    <w:rsid w:val="00986FB6"/>
    <w:rsid w:val="00991052"/>
    <w:rsid w:val="009931A7"/>
    <w:rsid w:val="009941F3"/>
    <w:rsid w:val="009A6C05"/>
    <w:rsid w:val="009A797B"/>
    <w:rsid w:val="009B19EC"/>
    <w:rsid w:val="009B5679"/>
    <w:rsid w:val="009B660C"/>
    <w:rsid w:val="009C401E"/>
    <w:rsid w:val="009C7138"/>
    <w:rsid w:val="009C73E0"/>
    <w:rsid w:val="009D3968"/>
    <w:rsid w:val="00A3584D"/>
    <w:rsid w:val="00A40AFA"/>
    <w:rsid w:val="00A40EA7"/>
    <w:rsid w:val="00A50315"/>
    <w:rsid w:val="00A514A3"/>
    <w:rsid w:val="00A723EE"/>
    <w:rsid w:val="00A74577"/>
    <w:rsid w:val="00A80FEB"/>
    <w:rsid w:val="00A866AB"/>
    <w:rsid w:val="00AB116D"/>
    <w:rsid w:val="00AB159F"/>
    <w:rsid w:val="00AB1B0C"/>
    <w:rsid w:val="00AB3E77"/>
    <w:rsid w:val="00AB616D"/>
    <w:rsid w:val="00AD292D"/>
    <w:rsid w:val="00AD4195"/>
    <w:rsid w:val="00AE0AA1"/>
    <w:rsid w:val="00AF1CE5"/>
    <w:rsid w:val="00AF4B7C"/>
    <w:rsid w:val="00AF5C45"/>
    <w:rsid w:val="00B00539"/>
    <w:rsid w:val="00B12078"/>
    <w:rsid w:val="00B172B1"/>
    <w:rsid w:val="00B2200F"/>
    <w:rsid w:val="00B230CD"/>
    <w:rsid w:val="00B275AF"/>
    <w:rsid w:val="00B3167C"/>
    <w:rsid w:val="00B45865"/>
    <w:rsid w:val="00B45E37"/>
    <w:rsid w:val="00B514DD"/>
    <w:rsid w:val="00B52743"/>
    <w:rsid w:val="00B64014"/>
    <w:rsid w:val="00B657ED"/>
    <w:rsid w:val="00B7475F"/>
    <w:rsid w:val="00B74D3C"/>
    <w:rsid w:val="00B842B2"/>
    <w:rsid w:val="00B97814"/>
    <w:rsid w:val="00BA33CD"/>
    <w:rsid w:val="00BA499C"/>
    <w:rsid w:val="00BA7850"/>
    <w:rsid w:val="00BB198B"/>
    <w:rsid w:val="00BB4096"/>
    <w:rsid w:val="00BB7F3E"/>
    <w:rsid w:val="00BC0887"/>
    <w:rsid w:val="00BC2672"/>
    <w:rsid w:val="00BC65B4"/>
    <w:rsid w:val="00BD202E"/>
    <w:rsid w:val="00BE18EE"/>
    <w:rsid w:val="00BE713C"/>
    <w:rsid w:val="00BF2E17"/>
    <w:rsid w:val="00BF3773"/>
    <w:rsid w:val="00C029A4"/>
    <w:rsid w:val="00C06315"/>
    <w:rsid w:val="00C17F63"/>
    <w:rsid w:val="00C304D6"/>
    <w:rsid w:val="00C31E82"/>
    <w:rsid w:val="00C404BA"/>
    <w:rsid w:val="00C47E53"/>
    <w:rsid w:val="00C539B9"/>
    <w:rsid w:val="00C611F5"/>
    <w:rsid w:val="00C7316C"/>
    <w:rsid w:val="00C97501"/>
    <w:rsid w:val="00CA2900"/>
    <w:rsid w:val="00CA4F31"/>
    <w:rsid w:val="00CB2097"/>
    <w:rsid w:val="00CB2DAF"/>
    <w:rsid w:val="00CD148C"/>
    <w:rsid w:val="00CD22FE"/>
    <w:rsid w:val="00CD3C1C"/>
    <w:rsid w:val="00CD4984"/>
    <w:rsid w:val="00CD59CF"/>
    <w:rsid w:val="00CE5387"/>
    <w:rsid w:val="00CF2789"/>
    <w:rsid w:val="00CF7DD7"/>
    <w:rsid w:val="00D009E0"/>
    <w:rsid w:val="00D0520B"/>
    <w:rsid w:val="00D10480"/>
    <w:rsid w:val="00D175AA"/>
    <w:rsid w:val="00D20987"/>
    <w:rsid w:val="00D36541"/>
    <w:rsid w:val="00D37C38"/>
    <w:rsid w:val="00D41BFF"/>
    <w:rsid w:val="00D508C8"/>
    <w:rsid w:val="00D51449"/>
    <w:rsid w:val="00D60CF8"/>
    <w:rsid w:val="00D70C61"/>
    <w:rsid w:val="00D738D8"/>
    <w:rsid w:val="00D7626F"/>
    <w:rsid w:val="00D802B8"/>
    <w:rsid w:val="00D82C9C"/>
    <w:rsid w:val="00D836F0"/>
    <w:rsid w:val="00D96398"/>
    <w:rsid w:val="00D97871"/>
    <w:rsid w:val="00D97E28"/>
    <w:rsid w:val="00DA0950"/>
    <w:rsid w:val="00DA1C15"/>
    <w:rsid w:val="00DA6B69"/>
    <w:rsid w:val="00DB718E"/>
    <w:rsid w:val="00DC1194"/>
    <w:rsid w:val="00DC33DB"/>
    <w:rsid w:val="00DC4828"/>
    <w:rsid w:val="00DD1783"/>
    <w:rsid w:val="00DD3A6E"/>
    <w:rsid w:val="00DD79F8"/>
    <w:rsid w:val="00DE4486"/>
    <w:rsid w:val="00DE5B70"/>
    <w:rsid w:val="00DF36A3"/>
    <w:rsid w:val="00E01FBA"/>
    <w:rsid w:val="00E06AF0"/>
    <w:rsid w:val="00E06B65"/>
    <w:rsid w:val="00E1073E"/>
    <w:rsid w:val="00E136FE"/>
    <w:rsid w:val="00E4354E"/>
    <w:rsid w:val="00E47408"/>
    <w:rsid w:val="00E511B3"/>
    <w:rsid w:val="00E55D19"/>
    <w:rsid w:val="00E56DB2"/>
    <w:rsid w:val="00E57221"/>
    <w:rsid w:val="00E61E68"/>
    <w:rsid w:val="00E66DAB"/>
    <w:rsid w:val="00E93D58"/>
    <w:rsid w:val="00E94FBB"/>
    <w:rsid w:val="00E97525"/>
    <w:rsid w:val="00E97AAB"/>
    <w:rsid w:val="00EB3976"/>
    <w:rsid w:val="00EB6BD2"/>
    <w:rsid w:val="00EB7D77"/>
    <w:rsid w:val="00EC7347"/>
    <w:rsid w:val="00EE67C9"/>
    <w:rsid w:val="00EE734B"/>
    <w:rsid w:val="00EF516B"/>
    <w:rsid w:val="00EF77FB"/>
    <w:rsid w:val="00F02CC3"/>
    <w:rsid w:val="00F058F3"/>
    <w:rsid w:val="00F112AA"/>
    <w:rsid w:val="00F12A7B"/>
    <w:rsid w:val="00F13886"/>
    <w:rsid w:val="00F1726E"/>
    <w:rsid w:val="00F22E9E"/>
    <w:rsid w:val="00F24126"/>
    <w:rsid w:val="00F27558"/>
    <w:rsid w:val="00F32340"/>
    <w:rsid w:val="00F32506"/>
    <w:rsid w:val="00F33C1F"/>
    <w:rsid w:val="00F34A6F"/>
    <w:rsid w:val="00F34CEC"/>
    <w:rsid w:val="00F40740"/>
    <w:rsid w:val="00F53536"/>
    <w:rsid w:val="00F55079"/>
    <w:rsid w:val="00F6355C"/>
    <w:rsid w:val="00F64170"/>
    <w:rsid w:val="00F74381"/>
    <w:rsid w:val="00F76BF1"/>
    <w:rsid w:val="00F771BE"/>
    <w:rsid w:val="00F80972"/>
    <w:rsid w:val="00F87508"/>
    <w:rsid w:val="00F9228C"/>
    <w:rsid w:val="00F94E92"/>
    <w:rsid w:val="00FB31A7"/>
    <w:rsid w:val="00FB5A18"/>
    <w:rsid w:val="00FB78C5"/>
    <w:rsid w:val="00FB7996"/>
    <w:rsid w:val="00FC2051"/>
    <w:rsid w:val="00FD1799"/>
    <w:rsid w:val="00FE0426"/>
    <w:rsid w:val="00FE178E"/>
    <w:rsid w:val="00FE7C58"/>
    <w:rsid w:val="00FF0A7C"/>
    <w:rsid w:val="00FF4ED9"/>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2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D4195"/>
    <w:pPr>
      <w:keepNext/>
      <w:widowControl w:val="0"/>
      <w:spacing w:before="240" w:after="240"/>
      <w:ind w:left="720" w:hanging="720"/>
      <w:outlineLvl w:val="0"/>
    </w:pPr>
    <w:rPr>
      <w:b/>
      <w:caps/>
      <w:snapToGrid w:val="0"/>
    </w:rPr>
  </w:style>
  <w:style w:type="paragraph" w:styleId="Heading2">
    <w:name w:val="heading 2"/>
    <w:basedOn w:val="Normal"/>
    <w:next w:val="Normal"/>
    <w:link w:val="Heading2Char"/>
    <w:autoRedefine/>
    <w:uiPriority w:val="9"/>
    <w:unhideWhenUsed/>
    <w:qFormat/>
    <w:rsid w:val="00402383"/>
    <w:pPr>
      <w:keepNext/>
      <w:keepLines/>
      <w:numPr>
        <w:numId w:val="15"/>
      </w:numPr>
      <w:spacing w:after="240"/>
      <w:outlineLvl w:val="1"/>
    </w:pPr>
    <w:rPr>
      <w:rFonts w:ascii="Times New Roman Bold" w:hAnsi="Times New Roman Bold" w:eastAsiaTheme="majorEastAsia" w:cstheme="majorBidi"/>
      <w:b/>
      <w:szCs w:val="26"/>
    </w:rPr>
  </w:style>
  <w:style w:type="paragraph" w:styleId="Heading3">
    <w:name w:val="heading 3"/>
    <w:basedOn w:val="Normal"/>
    <w:next w:val="Normal"/>
    <w:link w:val="Heading3Char"/>
    <w:autoRedefine/>
    <w:uiPriority w:val="9"/>
    <w:unhideWhenUsed/>
    <w:qFormat/>
    <w:rsid w:val="00165460"/>
    <w:pPr>
      <w:keepNext/>
      <w:keepLines/>
      <w:numPr>
        <w:numId w:val="23"/>
      </w:numPr>
      <w:spacing w:after="240"/>
      <w:ind w:left="1440" w:hanging="720"/>
      <w:outlineLvl w:val="2"/>
    </w:pPr>
    <w:rPr>
      <w:rFonts w:ascii="Times New Roman Bold" w:hAnsi="Times New Roman Bold"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32A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332A5"/>
    <w:rPr>
      <w:sz w:val="20"/>
      <w:szCs w:val="20"/>
    </w:rPr>
  </w:style>
  <w:style w:type="character" w:styleId="FootnoteReference">
    <w:name w:val="footnote reference"/>
    <w:basedOn w:val="DefaultParagraphFont"/>
    <w:uiPriority w:val="99"/>
    <w:semiHidden/>
    <w:unhideWhenUsed/>
    <w:rsid w:val="00F332A5"/>
    <w:rPr>
      <w:vertAlign w:val="superscript"/>
    </w:rPr>
  </w:style>
  <w:style w:type="paragraph" w:styleId="ListParagraph">
    <w:name w:val="List Paragraph"/>
    <w:basedOn w:val="Normal"/>
    <w:uiPriority w:val="34"/>
    <w:qFormat/>
    <w:rsid w:val="00A0206A"/>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9C5CC9"/>
    <w:rPr>
      <w:sz w:val="16"/>
      <w:szCs w:val="16"/>
    </w:rPr>
  </w:style>
  <w:style w:type="paragraph" w:styleId="CommentText">
    <w:name w:val="annotation text"/>
    <w:basedOn w:val="Normal"/>
    <w:link w:val="CommentTextChar"/>
    <w:unhideWhenUsed/>
    <w:rsid w:val="009C5CC9"/>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9C5CC9"/>
    <w:rPr>
      <w:sz w:val="20"/>
      <w:szCs w:val="20"/>
    </w:rPr>
  </w:style>
  <w:style w:type="paragraph" w:styleId="CommentSubject">
    <w:name w:val="annotation subject"/>
    <w:basedOn w:val="CommentText"/>
    <w:next w:val="CommentText"/>
    <w:link w:val="CommentSubjectChar"/>
    <w:semiHidden/>
    <w:unhideWhenUsed/>
    <w:rsid w:val="009C5CC9"/>
    <w:rPr>
      <w:b/>
      <w:bCs/>
    </w:rPr>
  </w:style>
  <w:style w:type="character" w:customStyle="1" w:styleId="CommentSubjectChar">
    <w:name w:val="Comment Subject Char"/>
    <w:basedOn w:val="CommentTextChar"/>
    <w:link w:val="CommentSubject"/>
    <w:semiHidden/>
    <w:rsid w:val="009C5CC9"/>
    <w:rPr>
      <w:b/>
      <w:bCs/>
      <w:sz w:val="20"/>
      <w:szCs w:val="20"/>
    </w:rPr>
  </w:style>
  <w:style w:type="paragraph" w:styleId="BalloonText">
    <w:name w:val="Balloon Text"/>
    <w:basedOn w:val="Normal"/>
    <w:link w:val="BalloonTextChar"/>
    <w:uiPriority w:val="99"/>
    <w:semiHidden/>
    <w:unhideWhenUsed/>
    <w:rsid w:val="009C5CC9"/>
    <w:rPr>
      <w:rFonts w:ascii="Segoe UI" w:hAnsi="Segoe UI" w:eastAsiaTheme="minorHAnsi" w:cs="Segoe UI"/>
      <w:sz w:val="18"/>
      <w:szCs w:val="18"/>
    </w:rPr>
  </w:style>
  <w:style w:type="character" w:customStyle="1" w:styleId="BalloonTextChar">
    <w:name w:val="Balloon Text Char"/>
    <w:basedOn w:val="DefaultParagraphFont"/>
    <w:link w:val="BalloonText"/>
    <w:uiPriority w:val="99"/>
    <w:semiHidden/>
    <w:rsid w:val="009C5CC9"/>
    <w:rPr>
      <w:rFonts w:ascii="Segoe UI" w:hAnsi="Segoe UI" w:cs="Segoe UI"/>
      <w:sz w:val="18"/>
      <w:szCs w:val="18"/>
    </w:rPr>
  </w:style>
  <w:style w:type="character" w:styleId="Hyperlink">
    <w:name w:val="Hyperlink"/>
    <w:basedOn w:val="DefaultParagraphFont"/>
    <w:uiPriority w:val="99"/>
    <w:unhideWhenUsed/>
    <w:rsid w:val="00F74A60"/>
    <w:rPr>
      <w:color w:val="0000FF" w:themeColor="hyperlink"/>
      <w:u w:val="single"/>
    </w:rPr>
  </w:style>
  <w:style w:type="character" w:customStyle="1" w:styleId="UnresolvedMention1">
    <w:name w:val="Unresolved Mention1"/>
    <w:basedOn w:val="DefaultParagraphFont"/>
    <w:uiPriority w:val="99"/>
    <w:semiHidden/>
    <w:unhideWhenUsed/>
    <w:rsid w:val="00F74A60"/>
    <w:rPr>
      <w:color w:val="605E5C"/>
      <w:shd w:val="clear" w:color="auto" w:fill="E1DFDD"/>
    </w:rPr>
  </w:style>
  <w:style w:type="paragraph" w:styleId="Revision">
    <w:name w:val="Revision"/>
    <w:hidden/>
    <w:uiPriority w:val="99"/>
    <w:semiHidden/>
    <w:rsid w:val="00C75986"/>
    <w:pPr>
      <w:spacing w:after="0" w:line="240" w:lineRule="auto"/>
    </w:pPr>
  </w:style>
  <w:style w:type="paragraph" w:styleId="Header">
    <w:name w:val="header"/>
    <w:basedOn w:val="Normal"/>
    <w:link w:val="HeaderChar"/>
    <w:uiPriority w:val="99"/>
    <w:unhideWhenUsed/>
    <w:rsid w:val="00D6740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67402"/>
  </w:style>
  <w:style w:type="paragraph" w:styleId="Footer">
    <w:name w:val="footer"/>
    <w:basedOn w:val="Normal"/>
    <w:link w:val="FooterChar"/>
    <w:uiPriority w:val="99"/>
    <w:unhideWhenUsed/>
    <w:rsid w:val="00D6740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67402"/>
  </w:style>
  <w:style w:type="paragraph" w:styleId="Title">
    <w:name w:val="Title"/>
    <w:basedOn w:val="Normal"/>
    <w:link w:val="TitleChar"/>
    <w:qFormat/>
    <w:rsid w:val="004D199E"/>
    <w:pPr>
      <w:jc w:val="center"/>
    </w:pPr>
    <w:rPr>
      <w:b/>
      <w:sz w:val="22"/>
      <w:szCs w:val="20"/>
    </w:rPr>
  </w:style>
  <w:style w:type="character" w:customStyle="1" w:styleId="TitleChar">
    <w:name w:val="Title Char"/>
    <w:basedOn w:val="DefaultParagraphFont"/>
    <w:link w:val="Title"/>
    <w:rsid w:val="004D199E"/>
    <w:rPr>
      <w:rFonts w:ascii="Times New Roman" w:eastAsia="Times New Roman" w:hAnsi="Times New Roman" w:cs="Times New Roman"/>
      <w:b/>
      <w:szCs w:val="20"/>
    </w:rPr>
  </w:style>
  <w:style w:type="paragraph" w:styleId="HTMLPreformatted">
    <w:name w:val="HTML Preformatted"/>
    <w:basedOn w:val="Normal"/>
    <w:link w:val="HTMLPreformattedChar"/>
    <w:rsid w:val="004D1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4D199E"/>
    <w:rPr>
      <w:rFonts w:ascii="Courier New" w:eastAsia="Courier New" w:hAnsi="Courier New" w:cs="Courier New"/>
      <w:sz w:val="20"/>
      <w:szCs w:val="20"/>
    </w:rPr>
  </w:style>
  <w:style w:type="character" w:customStyle="1" w:styleId="Heading1Char">
    <w:name w:val="Heading 1 Char"/>
    <w:basedOn w:val="DefaultParagraphFont"/>
    <w:link w:val="Heading1"/>
    <w:rsid w:val="00AD4195"/>
    <w:rPr>
      <w:rFonts w:ascii="Times New Roman" w:eastAsia="Times New Roman" w:hAnsi="Times New Roman" w:cs="Times New Roman"/>
      <w:b/>
      <w:caps/>
      <w:snapToGrid w:val="0"/>
      <w:sz w:val="24"/>
      <w:szCs w:val="24"/>
    </w:rPr>
  </w:style>
  <w:style w:type="paragraph" w:styleId="BodyText">
    <w:name w:val="Body Text"/>
    <w:basedOn w:val="Normal"/>
    <w:link w:val="BodyTextChar"/>
    <w:rsid w:val="004D199E"/>
    <w:pPr>
      <w:spacing w:line="480" w:lineRule="auto"/>
    </w:pPr>
    <w:rPr>
      <w:szCs w:val="20"/>
    </w:rPr>
  </w:style>
  <w:style w:type="character" w:customStyle="1" w:styleId="BodyTextChar">
    <w:name w:val="Body Text Char"/>
    <w:basedOn w:val="DefaultParagraphFont"/>
    <w:link w:val="BodyText"/>
    <w:rsid w:val="004D199E"/>
    <w:rPr>
      <w:rFonts w:ascii="Times New Roman" w:eastAsia="Times New Roman" w:hAnsi="Times New Roman" w:cs="Times New Roman"/>
      <w:sz w:val="24"/>
      <w:szCs w:val="20"/>
    </w:rPr>
  </w:style>
  <w:style w:type="paragraph" w:styleId="BodyTextIndent3">
    <w:name w:val="Body Text Indent 3"/>
    <w:basedOn w:val="Normal"/>
    <w:link w:val="BodyTextIndent3Char"/>
    <w:rsid w:val="004D199E"/>
    <w:pPr>
      <w:spacing w:line="480" w:lineRule="auto"/>
      <w:ind w:left="720"/>
    </w:pPr>
    <w:rPr>
      <w:szCs w:val="20"/>
    </w:rPr>
  </w:style>
  <w:style w:type="character" w:customStyle="1" w:styleId="BodyTextIndent3Char">
    <w:name w:val="Body Text Indent 3 Char"/>
    <w:basedOn w:val="DefaultParagraphFont"/>
    <w:link w:val="BodyTextIndent3"/>
    <w:rsid w:val="004D199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402383"/>
    <w:rPr>
      <w:rFonts w:ascii="Times New Roman Bold" w:hAnsi="Times New Roman Bold" w:eastAsiaTheme="majorEastAsia" w:cstheme="majorBidi"/>
      <w:b/>
      <w:sz w:val="24"/>
      <w:szCs w:val="26"/>
    </w:rPr>
  </w:style>
  <w:style w:type="character" w:customStyle="1" w:styleId="Heading3Char">
    <w:name w:val="Heading 3 Char"/>
    <w:basedOn w:val="DefaultParagraphFont"/>
    <w:link w:val="Heading3"/>
    <w:uiPriority w:val="9"/>
    <w:rsid w:val="00165460"/>
    <w:rPr>
      <w:rFonts w:ascii="Times New Roman Bold" w:hAnsi="Times New Roman Bold" w:eastAsiaTheme="majorEastAsia" w:cstheme="majorBidi"/>
      <w:b/>
      <w:sz w:val="24"/>
      <w:szCs w:val="24"/>
    </w:rPr>
  </w:style>
  <w:style w:type="paragraph" w:styleId="TOC1">
    <w:name w:val="toc 1"/>
    <w:basedOn w:val="Normal"/>
    <w:next w:val="Normal"/>
    <w:autoRedefine/>
    <w:uiPriority w:val="39"/>
    <w:unhideWhenUsed/>
    <w:qFormat/>
    <w:rsid w:val="000A069C"/>
    <w:pPr>
      <w:tabs>
        <w:tab w:val="decimal" w:leader="dot" w:pos="8640"/>
      </w:tabs>
      <w:spacing w:after="240"/>
      <w:ind w:left="720" w:hanging="720"/>
    </w:pPr>
    <w:rPr>
      <w:rFonts w:eastAsiaTheme="minorHAnsi" w:cstheme="minorBidi"/>
      <w:caps/>
      <w:szCs w:val="22"/>
    </w:rPr>
  </w:style>
  <w:style w:type="paragraph" w:styleId="TOC2">
    <w:name w:val="toc 2"/>
    <w:basedOn w:val="Normal"/>
    <w:next w:val="Normal"/>
    <w:autoRedefine/>
    <w:uiPriority w:val="39"/>
    <w:unhideWhenUsed/>
    <w:qFormat/>
    <w:rsid w:val="009A7A1D"/>
    <w:pPr>
      <w:tabs>
        <w:tab w:val="decimal" w:leader="dot" w:pos="8640"/>
      </w:tabs>
      <w:spacing w:after="240"/>
      <w:ind w:left="1440" w:hanging="720"/>
    </w:pPr>
    <w:rPr>
      <w:rFonts w:eastAsiaTheme="minorHAnsi" w:cstheme="minorBidi"/>
      <w:szCs w:val="22"/>
    </w:rPr>
  </w:style>
  <w:style w:type="character" w:customStyle="1" w:styleId="UnresolvedMention2">
    <w:name w:val="Unresolved Mention2"/>
    <w:basedOn w:val="DefaultParagraphFont"/>
    <w:uiPriority w:val="99"/>
    <w:rsid w:val="000722DA"/>
    <w:rPr>
      <w:color w:val="605E5C"/>
      <w:shd w:val="clear" w:color="auto" w:fill="E1DFDD"/>
    </w:rPr>
  </w:style>
  <w:style w:type="paragraph" w:styleId="EndnoteText">
    <w:name w:val="endnote text"/>
    <w:basedOn w:val="Normal"/>
    <w:link w:val="EndnoteTextChar"/>
    <w:uiPriority w:val="99"/>
    <w:semiHidden/>
    <w:unhideWhenUsed/>
    <w:rsid w:val="00DD1783"/>
    <w:rPr>
      <w:sz w:val="20"/>
      <w:szCs w:val="20"/>
    </w:rPr>
  </w:style>
  <w:style w:type="character" w:customStyle="1" w:styleId="EndnoteTextChar">
    <w:name w:val="Endnote Text Char"/>
    <w:basedOn w:val="DefaultParagraphFont"/>
    <w:link w:val="EndnoteText"/>
    <w:uiPriority w:val="99"/>
    <w:semiHidden/>
    <w:rsid w:val="00DD1783"/>
    <w:rPr>
      <w:sz w:val="20"/>
      <w:szCs w:val="20"/>
    </w:rPr>
  </w:style>
  <w:style w:type="character" w:styleId="EndnoteReference">
    <w:name w:val="endnote reference"/>
    <w:basedOn w:val="DefaultParagraphFont"/>
    <w:uiPriority w:val="99"/>
    <w:semiHidden/>
    <w:unhideWhenUsed/>
    <w:rsid w:val="00DD1783"/>
    <w:rPr>
      <w:vertAlign w:val="superscript"/>
    </w:rPr>
  </w:style>
  <w:style w:type="paragraph" w:styleId="TOCHeading">
    <w:name w:val="TOC Heading"/>
    <w:basedOn w:val="Heading1"/>
    <w:next w:val="Normal"/>
    <w:uiPriority w:val="39"/>
    <w:unhideWhenUsed/>
    <w:qFormat/>
    <w:rsid w:val="00FF4ED9"/>
    <w:pPr>
      <w:keepLines/>
      <w:widowControl/>
      <w:spacing w:after="0" w:line="259" w:lineRule="auto"/>
      <w:ind w:left="0" w:firstLine="0"/>
      <w:outlineLvl w:val="9"/>
    </w:pPr>
    <w:rPr>
      <w:rFonts w:asciiTheme="majorHAnsi" w:eastAsiaTheme="majorEastAsia" w:hAnsiTheme="majorHAnsi" w:cstheme="majorBidi"/>
      <w:b w:val="0"/>
      <w:caps w:val="0"/>
      <w:snapToGrid/>
      <w:color w:val="365F91" w:themeColor="accent1" w:themeShade="BF"/>
      <w:sz w:val="32"/>
      <w:szCs w:val="32"/>
    </w:rPr>
  </w:style>
  <w:style w:type="paragraph" w:styleId="TOC3">
    <w:name w:val="toc 3"/>
    <w:basedOn w:val="Normal"/>
    <w:next w:val="Normal"/>
    <w:autoRedefine/>
    <w:uiPriority w:val="39"/>
    <w:unhideWhenUsed/>
    <w:rsid w:val="00EF516B"/>
    <w:pPr>
      <w:tabs>
        <w:tab w:val="left" w:pos="1440"/>
        <w:tab w:val="left" w:pos="1840"/>
        <w:tab w:val="right" w:leader="dot" w:pos="8630"/>
      </w:tabs>
      <w:spacing w:after="100"/>
      <w:ind w:left="1440"/>
    </w:pPr>
  </w:style>
  <w:style w:type="table" w:styleId="TableGrid">
    <w:name w:val="Table Grid"/>
    <w:basedOn w:val="TableNormal"/>
    <w:rsid w:val="001361DA"/>
    <w:pPr>
      <w:spacing w:after="0" w:line="240" w:lineRule="auto"/>
    </w:pPr>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3">
    <w:name w:val="Unresolved Mention3"/>
    <w:basedOn w:val="DefaultParagraphFont"/>
    <w:uiPriority w:val="99"/>
    <w:semiHidden/>
    <w:unhideWhenUsed/>
    <w:rsid w:val="00136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ohn.jones@ohioattorneygeneral.gov" TargetMode="External" /><Relationship Id="rId11" Type="http://schemas.openxmlformats.org/officeDocument/2006/relationships/hyperlink" Target="mailto:steven.darnell@ohioattorneygeneral.gov" TargetMode="External" /><Relationship Id="rId12" Type="http://schemas.openxmlformats.org/officeDocument/2006/relationships/hyperlink" Target="mailto:lauren.augostini@puco.ohio.gov" TargetMode="External" /><Relationship Id="rId13" Type="http://schemas.openxmlformats.org/officeDocument/2006/relationships/hyperlink" Target="mailto:Nicholas.walstra@puco.ohio.gov" TargetMode="External" /><Relationship Id="rId14" Type="http://schemas.openxmlformats.org/officeDocument/2006/relationships/hyperlink" Target="mailto:Jeanne.kingery@duke-energy.com" TargetMode="External" /><Relationship Id="rId15" Type="http://schemas.openxmlformats.org/officeDocument/2006/relationships/hyperlink" Target="mailto:Rocco.dascenzo@duke-energy.com" TargetMode="External" /><Relationship Id="rId16" Type="http://schemas.openxmlformats.org/officeDocument/2006/relationships/hyperlink" Target="mailto:Larisa.vaysman@duke-energy.com" TargetMode="External" /><Relationship Id="rId17" Type="http://schemas.openxmlformats.org/officeDocument/2006/relationships/footer" Target="foot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mbrosia.Logsdon@occ.ohio.gov"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B3F81-C9C2-4B95-BC87-785B1A99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2746</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OCC Comments - Duke - 19-1287-EL-RDR - 2.28.20.docx</vt:lpstr>
    </vt:vector>
  </TitlesOfParts>
  <Company/>
  <LinksUpToDate>false</LinksUpToDate>
  <CharactersWithSpaces>18368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2020-02-28T18:49:55Z</dcterms:created>
  <dcterms:modified xsi:type="dcterms:W3CDTF">2020-02-28T18:49:55Z</dcterms:modified>
</cp:coreProperties>
</file>