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62" w:rsidRDefault="00C6310A">
      <w:pPr>
        <w:spacing w:line="320" w:lineRule="exact"/>
        <w:jc w:val="center"/>
        <w:rPr>
          <w:rFonts w:ascii="Palatino Linotype" w:hAnsi="Palatino Linotype"/>
          <w:b/>
          <w:spacing w:val="-12"/>
          <w:kern w:val="24"/>
        </w:rPr>
      </w:pPr>
      <w:bookmarkStart w:id="0" w:name="_GoBack"/>
      <w:bookmarkEnd w:id="0"/>
      <w:r>
        <w:rPr>
          <w:rFonts w:ascii="Palatino Linotype" w:hAnsi="Palatino Linotype"/>
          <w:b/>
          <w:spacing w:val="-12"/>
          <w:kern w:val="24"/>
        </w:rPr>
        <w:t>BEFORE</w:t>
      </w:r>
    </w:p>
    <w:p w:rsidR="00D93062" w:rsidRDefault="00C6310A">
      <w:pPr>
        <w:spacing w:line="320" w:lineRule="exact"/>
        <w:jc w:val="center"/>
        <w:rPr>
          <w:rFonts w:ascii="Palatino Linotype" w:hAnsi="Palatino Linotype"/>
          <w:b/>
          <w:spacing w:val="-12"/>
          <w:kern w:val="24"/>
        </w:rPr>
      </w:pPr>
      <w:r>
        <w:rPr>
          <w:rFonts w:ascii="Palatino Linotype" w:hAnsi="Palatino Linotype"/>
          <w:b/>
          <w:spacing w:val="-12"/>
          <w:kern w:val="24"/>
        </w:rPr>
        <w:t>THE PUBLIC UTILITIES COMMISSION OF OHIO</w:t>
      </w:r>
    </w:p>
    <w:p w:rsidR="00D93062" w:rsidRDefault="00D93062">
      <w:pPr>
        <w:spacing w:line="320" w:lineRule="exact"/>
        <w:rPr>
          <w:rFonts w:ascii="Palatino Linotype" w:hAnsi="Palatino Linotype"/>
          <w:spacing w:val="-12"/>
        </w:rPr>
      </w:pPr>
    </w:p>
    <w:tbl>
      <w:tblPr>
        <w:tblW w:w="0" w:type="auto"/>
        <w:tblLook w:val="01E0" w:firstRow="1" w:lastRow="1" w:firstColumn="1" w:lastColumn="1" w:noHBand="0" w:noVBand="0"/>
      </w:tblPr>
      <w:tblGrid>
        <w:gridCol w:w="4428"/>
        <w:gridCol w:w="360"/>
        <w:gridCol w:w="4068"/>
      </w:tblGrid>
      <w:tr w:rsidR="00D93062">
        <w:tc>
          <w:tcPr>
            <w:tcW w:w="4428" w:type="dxa"/>
          </w:tcPr>
          <w:p w:rsidR="00D93062" w:rsidRDefault="00C6310A">
            <w:pPr>
              <w:suppressAutoHyphens/>
              <w:spacing w:line="320" w:lineRule="exact"/>
              <w:jc w:val="both"/>
              <w:rPr>
                <w:rFonts w:ascii="Palatino Linotype" w:hAnsi="Palatino Linotype"/>
              </w:rPr>
            </w:pPr>
            <w:r>
              <w:rPr>
                <w:rFonts w:ascii="Palatino Linotype" w:hAnsi="Palatino Linotype"/>
              </w:rPr>
              <w:t xml:space="preserve">In the Matter of the Application of Columbia Gas of Ohio, Inc. for Approval to Implement a Capital Expenditure Program </w:t>
            </w:r>
          </w:p>
        </w:tc>
        <w:tc>
          <w:tcPr>
            <w:tcW w:w="360" w:type="dxa"/>
          </w:tcPr>
          <w:p w:rsidR="00D93062" w:rsidRDefault="00C6310A">
            <w:pPr>
              <w:spacing w:line="320" w:lineRule="exact"/>
              <w:rPr>
                <w:rFonts w:ascii="Palatino Linotype" w:hAnsi="Palatino Linotype"/>
              </w:rPr>
            </w:pPr>
            <w:r>
              <w:rPr>
                <w:rFonts w:ascii="Palatino Linotype" w:hAnsi="Palatino Linotype"/>
              </w:rPr>
              <w:t>)</w:t>
            </w:r>
          </w:p>
          <w:p w:rsidR="00D93062" w:rsidRDefault="00C6310A">
            <w:pPr>
              <w:spacing w:line="320" w:lineRule="exact"/>
              <w:rPr>
                <w:rFonts w:ascii="Palatino Linotype" w:hAnsi="Palatino Linotype"/>
              </w:rPr>
            </w:pPr>
            <w:r>
              <w:rPr>
                <w:rFonts w:ascii="Palatino Linotype" w:hAnsi="Palatino Linotype"/>
              </w:rPr>
              <w:t>)</w:t>
            </w:r>
          </w:p>
          <w:p w:rsidR="00D93062" w:rsidRDefault="00C6310A">
            <w:pPr>
              <w:spacing w:line="320" w:lineRule="exact"/>
              <w:rPr>
                <w:rFonts w:ascii="Palatino Linotype" w:hAnsi="Palatino Linotype"/>
              </w:rPr>
            </w:pPr>
            <w:r>
              <w:rPr>
                <w:rFonts w:ascii="Palatino Linotype" w:hAnsi="Palatino Linotype"/>
              </w:rPr>
              <w:t>)</w:t>
            </w:r>
          </w:p>
          <w:p w:rsidR="00D93062" w:rsidRDefault="00C6310A">
            <w:pPr>
              <w:spacing w:line="320" w:lineRule="exact"/>
              <w:rPr>
                <w:rFonts w:ascii="Palatino Linotype" w:hAnsi="Palatino Linotype"/>
              </w:rPr>
            </w:pPr>
            <w:r>
              <w:rPr>
                <w:rFonts w:ascii="Palatino Linotype" w:hAnsi="Palatino Linotype"/>
              </w:rPr>
              <w:t>)</w:t>
            </w:r>
          </w:p>
          <w:p w:rsidR="00D93062" w:rsidRDefault="00D93062">
            <w:pPr>
              <w:spacing w:line="320" w:lineRule="exact"/>
              <w:rPr>
                <w:rFonts w:ascii="Palatino Linotype" w:hAnsi="Palatino Linotype"/>
              </w:rPr>
            </w:pPr>
          </w:p>
        </w:tc>
        <w:tc>
          <w:tcPr>
            <w:tcW w:w="4068" w:type="dxa"/>
          </w:tcPr>
          <w:p w:rsidR="00D93062" w:rsidRDefault="00D93062">
            <w:pPr>
              <w:spacing w:line="320" w:lineRule="exact"/>
              <w:rPr>
                <w:rFonts w:ascii="Palatino Linotype" w:hAnsi="Palatino Linotype"/>
              </w:rPr>
            </w:pPr>
          </w:p>
          <w:p w:rsidR="00D93062" w:rsidRDefault="00D93062">
            <w:pPr>
              <w:spacing w:line="320" w:lineRule="exact"/>
              <w:rPr>
                <w:rFonts w:ascii="Palatino Linotype" w:hAnsi="Palatino Linotype"/>
              </w:rPr>
            </w:pPr>
          </w:p>
          <w:p w:rsidR="00D93062" w:rsidRDefault="00C6310A">
            <w:pPr>
              <w:spacing w:line="320" w:lineRule="exact"/>
              <w:rPr>
                <w:rFonts w:ascii="Palatino Linotype" w:hAnsi="Palatino Linotype"/>
              </w:rPr>
            </w:pPr>
            <w:r>
              <w:rPr>
                <w:rFonts w:ascii="Palatino Linotype" w:hAnsi="Palatino Linotype"/>
              </w:rPr>
              <w:t>Case No. 11-5351-GA-UNC</w:t>
            </w:r>
          </w:p>
          <w:p w:rsidR="00D93062" w:rsidRDefault="00D93062">
            <w:pPr>
              <w:spacing w:line="320" w:lineRule="exact"/>
              <w:rPr>
                <w:rFonts w:ascii="Palatino Linotype" w:hAnsi="Palatino Linotype"/>
              </w:rPr>
            </w:pPr>
          </w:p>
        </w:tc>
      </w:tr>
      <w:tr w:rsidR="00D93062">
        <w:tc>
          <w:tcPr>
            <w:tcW w:w="4428" w:type="dxa"/>
          </w:tcPr>
          <w:p w:rsidR="00D93062" w:rsidRDefault="00C6310A">
            <w:pPr>
              <w:suppressAutoHyphens/>
              <w:spacing w:line="320" w:lineRule="exact"/>
              <w:jc w:val="both"/>
              <w:rPr>
                <w:rFonts w:ascii="Palatino Linotype" w:hAnsi="Palatino Linotype"/>
              </w:rPr>
            </w:pPr>
            <w:r>
              <w:rPr>
                <w:rFonts w:ascii="Palatino Linotype" w:hAnsi="Palatino Linotype"/>
              </w:rPr>
              <w:t>In the Matter of the Application of Columbia Gas of Ohio, Inc. for Approval to Change Accounting Methods</w:t>
            </w:r>
          </w:p>
        </w:tc>
        <w:tc>
          <w:tcPr>
            <w:tcW w:w="360" w:type="dxa"/>
          </w:tcPr>
          <w:p w:rsidR="00D93062" w:rsidRDefault="00C6310A">
            <w:pPr>
              <w:spacing w:line="320" w:lineRule="exact"/>
              <w:rPr>
                <w:rFonts w:ascii="Palatino Linotype" w:hAnsi="Palatino Linotype"/>
              </w:rPr>
            </w:pPr>
            <w:r>
              <w:rPr>
                <w:rFonts w:ascii="Palatino Linotype" w:hAnsi="Palatino Linotype"/>
              </w:rPr>
              <w:t>)</w:t>
            </w:r>
          </w:p>
          <w:p w:rsidR="00D93062" w:rsidRDefault="00C6310A">
            <w:pPr>
              <w:spacing w:line="320" w:lineRule="exact"/>
              <w:rPr>
                <w:rFonts w:ascii="Palatino Linotype" w:hAnsi="Palatino Linotype"/>
              </w:rPr>
            </w:pPr>
            <w:r>
              <w:rPr>
                <w:rFonts w:ascii="Palatino Linotype" w:hAnsi="Palatino Linotype"/>
              </w:rPr>
              <w:t>)</w:t>
            </w:r>
          </w:p>
          <w:p w:rsidR="00D93062" w:rsidRDefault="00C6310A">
            <w:pPr>
              <w:spacing w:line="320" w:lineRule="exact"/>
              <w:rPr>
                <w:rFonts w:ascii="Palatino Linotype" w:hAnsi="Palatino Linotype"/>
              </w:rPr>
            </w:pPr>
            <w:r>
              <w:rPr>
                <w:rFonts w:ascii="Palatino Linotype" w:hAnsi="Palatino Linotype"/>
              </w:rPr>
              <w:t>)</w:t>
            </w:r>
          </w:p>
          <w:p w:rsidR="00D93062" w:rsidRDefault="00C6310A">
            <w:pPr>
              <w:spacing w:line="320" w:lineRule="exact"/>
              <w:rPr>
                <w:rFonts w:ascii="Palatino Linotype" w:hAnsi="Palatino Linotype"/>
              </w:rPr>
            </w:pPr>
            <w:r>
              <w:rPr>
                <w:rFonts w:ascii="Palatino Linotype" w:hAnsi="Palatino Linotype"/>
              </w:rPr>
              <w:t>)</w:t>
            </w:r>
          </w:p>
        </w:tc>
        <w:tc>
          <w:tcPr>
            <w:tcW w:w="4068" w:type="dxa"/>
          </w:tcPr>
          <w:p w:rsidR="00D93062" w:rsidRDefault="00D93062">
            <w:pPr>
              <w:spacing w:line="320" w:lineRule="exact"/>
              <w:rPr>
                <w:rFonts w:ascii="Palatino Linotype" w:hAnsi="Palatino Linotype"/>
              </w:rPr>
            </w:pPr>
          </w:p>
          <w:p w:rsidR="00D93062" w:rsidRDefault="00C6310A">
            <w:pPr>
              <w:spacing w:line="320" w:lineRule="exact"/>
              <w:rPr>
                <w:rFonts w:ascii="Palatino Linotype" w:hAnsi="Palatino Linotype"/>
              </w:rPr>
            </w:pPr>
            <w:r>
              <w:rPr>
                <w:rFonts w:ascii="Palatino Linotype" w:hAnsi="Palatino Linotype"/>
              </w:rPr>
              <w:t>Case No. 11-5352-GA-AAM</w:t>
            </w:r>
          </w:p>
        </w:tc>
      </w:tr>
    </w:tbl>
    <w:p w:rsidR="00D93062" w:rsidRDefault="00D93062">
      <w:pPr>
        <w:spacing w:line="320" w:lineRule="exact"/>
        <w:rPr>
          <w:rFonts w:ascii="Palatino Linotype" w:hAnsi="Palatino Linotype"/>
        </w:rPr>
      </w:pPr>
    </w:p>
    <w:p w:rsidR="00D93062" w:rsidRDefault="00C6310A">
      <w:pPr>
        <w:spacing w:line="320" w:lineRule="exact"/>
        <w:jc w:val="center"/>
        <w:rPr>
          <w:rFonts w:ascii="Palatino Linotype" w:hAnsi="Palatino Linotype"/>
          <w:b/>
          <w:u w:val="double"/>
        </w:rPr>
      </w:pP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sidR="00E81783">
        <w:rPr>
          <w:rFonts w:ascii="Palatino Linotype" w:hAnsi="Palatino Linotype"/>
          <w:b/>
          <w:u w:val="double"/>
        </w:rPr>
        <w:tab/>
      </w:r>
      <w:r w:rsidR="00E81783">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p>
    <w:p w:rsidR="00D93062" w:rsidRDefault="00D93062">
      <w:pPr>
        <w:spacing w:line="320" w:lineRule="exact"/>
        <w:jc w:val="center"/>
        <w:rPr>
          <w:rFonts w:ascii="Palatino Linotype" w:hAnsi="Palatino Linotype"/>
          <w:b/>
        </w:rPr>
      </w:pPr>
    </w:p>
    <w:p w:rsidR="00D93062" w:rsidRDefault="00E81783">
      <w:pPr>
        <w:spacing w:line="320" w:lineRule="exact"/>
        <w:jc w:val="center"/>
        <w:rPr>
          <w:rFonts w:ascii="Palatino Linotype" w:hAnsi="Palatino Linotype"/>
          <w:b/>
          <w:bCs/>
          <w:spacing w:val="-12"/>
          <w:kern w:val="26"/>
          <w:sz w:val="26"/>
          <w:szCs w:val="26"/>
        </w:rPr>
      </w:pPr>
      <w:r>
        <w:rPr>
          <w:rFonts w:ascii="Palatino Linotype" w:hAnsi="Palatino Linotype"/>
          <w:b/>
          <w:bCs/>
          <w:spacing w:val="-12"/>
          <w:kern w:val="26"/>
          <w:sz w:val="26"/>
          <w:szCs w:val="26"/>
        </w:rPr>
        <w:t>MEMORANDUM CONTRA</w:t>
      </w:r>
    </w:p>
    <w:p w:rsidR="00D93062" w:rsidRDefault="00C6310A">
      <w:pPr>
        <w:spacing w:line="320" w:lineRule="exact"/>
        <w:jc w:val="center"/>
        <w:rPr>
          <w:rFonts w:ascii="Palatino Linotype" w:hAnsi="Palatino Linotype"/>
          <w:b/>
          <w:bCs/>
          <w:spacing w:val="-12"/>
          <w:kern w:val="26"/>
          <w:sz w:val="26"/>
          <w:szCs w:val="26"/>
        </w:rPr>
      </w:pPr>
      <w:r>
        <w:rPr>
          <w:rFonts w:ascii="Palatino Linotype" w:hAnsi="Palatino Linotype"/>
          <w:b/>
          <w:bCs/>
          <w:spacing w:val="-12"/>
          <w:kern w:val="26"/>
          <w:sz w:val="26"/>
          <w:szCs w:val="26"/>
        </w:rPr>
        <w:t>OF COLUMBIA GAS OF OHIO, INC.</w:t>
      </w:r>
    </w:p>
    <w:p w:rsidR="00E81783" w:rsidRDefault="00E81783">
      <w:pPr>
        <w:spacing w:line="320" w:lineRule="exact"/>
        <w:jc w:val="center"/>
        <w:rPr>
          <w:rFonts w:ascii="Palatino Linotype" w:hAnsi="Palatino Linotype"/>
          <w:b/>
          <w:bCs/>
          <w:spacing w:val="-12"/>
          <w:kern w:val="26"/>
          <w:sz w:val="26"/>
          <w:szCs w:val="26"/>
        </w:rPr>
      </w:pPr>
      <w:r>
        <w:rPr>
          <w:rFonts w:ascii="Palatino Linotype" w:hAnsi="Palatino Linotype"/>
          <w:b/>
          <w:bCs/>
          <w:spacing w:val="-12"/>
          <w:kern w:val="26"/>
          <w:sz w:val="26"/>
          <w:szCs w:val="26"/>
        </w:rPr>
        <w:t>TO THE APPLICATION FOR REHEARING OF</w:t>
      </w:r>
    </w:p>
    <w:p w:rsidR="00E81783" w:rsidRDefault="00E81783">
      <w:pPr>
        <w:spacing w:line="320" w:lineRule="exact"/>
        <w:jc w:val="center"/>
        <w:rPr>
          <w:rFonts w:ascii="Palatino Linotype" w:hAnsi="Palatino Linotype"/>
          <w:b/>
          <w:spacing w:val="-12"/>
          <w:kern w:val="26"/>
          <w:sz w:val="26"/>
          <w:szCs w:val="26"/>
        </w:rPr>
      </w:pPr>
      <w:r>
        <w:rPr>
          <w:rFonts w:ascii="Palatino Linotype" w:hAnsi="Palatino Linotype"/>
          <w:b/>
          <w:bCs/>
          <w:spacing w:val="-12"/>
          <w:kern w:val="26"/>
          <w:sz w:val="26"/>
          <w:szCs w:val="26"/>
        </w:rPr>
        <w:t>THE OFFICE OF THE OHIO CONSUMERS’ COUNSEL</w:t>
      </w:r>
    </w:p>
    <w:p w:rsidR="00D93062" w:rsidRDefault="00C6310A">
      <w:pPr>
        <w:spacing w:line="320" w:lineRule="exact"/>
        <w:jc w:val="center"/>
        <w:rPr>
          <w:rFonts w:ascii="Palatino Linotype" w:hAnsi="Palatino Linotype"/>
          <w:b/>
          <w:u w:val="double"/>
        </w:rPr>
      </w:pP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sidR="00E81783">
        <w:rPr>
          <w:rFonts w:ascii="Palatino Linotype" w:hAnsi="Palatino Linotype"/>
          <w:b/>
          <w:u w:val="double"/>
        </w:rPr>
        <w:tab/>
      </w:r>
      <w:r w:rsidR="00E81783">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p>
    <w:p w:rsidR="00D93062" w:rsidRDefault="00D93062">
      <w:pPr>
        <w:pStyle w:val="BodyText"/>
        <w:spacing w:line="320" w:lineRule="exact"/>
        <w:ind w:left="120"/>
        <w:jc w:val="both"/>
        <w:rPr>
          <w:rFonts w:ascii="Palatino Linotype" w:hAnsi="Palatino Linotype"/>
          <w:kern w:val="16"/>
        </w:rPr>
      </w:pPr>
    </w:p>
    <w:p w:rsidR="00D93062" w:rsidRPr="009053AC" w:rsidRDefault="009053AC">
      <w:pPr>
        <w:spacing w:after="320" w:line="320" w:lineRule="exact"/>
        <w:ind w:right="187"/>
        <w:rPr>
          <w:rFonts w:ascii="Palatino Linotype" w:hAnsi="Palatino Linotype"/>
          <w:b/>
          <w:bCs/>
          <w:kern w:val="24"/>
        </w:rPr>
      </w:pPr>
      <w:r w:rsidRPr="009053AC">
        <w:rPr>
          <w:rFonts w:ascii="Palatino Linotype" w:hAnsi="Palatino Linotype"/>
          <w:b/>
          <w:bCs/>
          <w:kern w:val="24"/>
        </w:rPr>
        <w:t>Introduction</w:t>
      </w:r>
    </w:p>
    <w:p w:rsidR="00D93062" w:rsidRDefault="00C6310A" w:rsidP="00E81783">
      <w:pPr>
        <w:spacing w:after="320" w:line="320" w:lineRule="exact"/>
        <w:ind w:right="187" w:firstLine="720"/>
        <w:jc w:val="both"/>
        <w:rPr>
          <w:rFonts w:ascii="Palatino Linotype" w:hAnsi="Palatino Linotype"/>
        </w:rPr>
      </w:pPr>
      <w:r>
        <w:rPr>
          <w:rFonts w:ascii="Palatino Linotype" w:hAnsi="Palatino Linotype"/>
        </w:rPr>
        <w:t xml:space="preserve">On October 3, 2011, Columbia Gas of Ohio, Inc. (“Columbia”) filed an Application for Authority to Implement a Capital Expenditure Program and for Approval to Change Accounting Methods (“Application”) in the dockets listed above. Columbia </w:t>
      </w:r>
      <w:r w:rsidR="00AB3379">
        <w:rPr>
          <w:rFonts w:ascii="Palatino Linotype" w:hAnsi="Palatino Linotype"/>
        </w:rPr>
        <w:t xml:space="preserve">sought </w:t>
      </w:r>
      <w:r>
        <w:rPr>
          <w:rFonts w:ascii="Palatino Linotype" w:hAnsi="Palatino Linotype"/>
        </w:rPr>
        <w:t>the Commission’s approval to create a capital e</w:t>
      </w:r>
      <w:r>
        <w:rPr>
          <w:rFonts w:ascii="Palatino Linotype" w:hAnsi="Palatino Linotype"/>
        </w:rPr>
        <w:t>x</w:t>
      </w:r>
      <w:r>
        <w:rPr>
          <w:rFonts w:ascii="Palatino Linotype" w:hAnsi="Palatino Linotype"/>
        </w:rPr>
        <w:t>penditure program (“CEP”) for the period from October 1, 2011, through D</w:t>
      </w:r>
      <w:r>
        <w:rPr>
          <w:rFonts w:ascii="Palatino Linotype" w:hAnsi="Palatino Linotype"/>
        </w:rPr>
        <w:t>e</w:t>
      </w:r>
      <w:r>
        <w:rPr>
          <w:rFonts w:ascii="Palatino Linotype" w:hAnsi="Palatino Linotype"/>
        </w:rPr>
        <w:t>cember 31, 2012, and associated deferral authority (“accounting treatment”) retroactive to October 1, 2011.</w:t>
      </w:r>
      <w:r w:rsidR="00AB3379">
        <w:rPr>
          <w:rFonts w:ascii="Palatino Linotype" w:hAnsi="Palatino Linotype"/>
        </w:rPr>
        <w:t xml:space="preserve"> </w:t>
      </w:r>
      <w:r w:rsidR="009F55C9">
        <w:rPr>
          <w:rFonts w:ascii="Palatino Linotype" w:hAnsi="Palatino Linotype"/>
        </w:rPr>
        <w:t>After receiving comments from the parties, the Commission issued a Finding and Order (“Order”) on August 29, 2012. In the Order the Commission approved the Application, with modifications as su</w:t>
      </w:r>
      <w:r w:rsidR="009F55C9">
        <w:rPr>
          <w:rFonts w:ascii="Palatino Linotype" w:hAnsi="Palatino Linotype"/>
        </w:rPr>
        <w:t>g</w:t>
      </w:r>
      <w:r w:rsidR="009F55C9">
        <w:rPr>
          <w:rFonts w:ascii="Palatino Linotype" w:hAnsi="Palatino Linotype"/>
        </w:rPr>
        <w:t>gested in some of the comments.</w:t>
      </w:r>
    </w:p>
    <w:p w:rsidR="009F55C9" w:rsidRDefault="009F55C9" w:rsidP="00E81783">
      <w:pPr>
        <w:spacing w:after="320" w:line="320" w:lineRule="exact"/>
        <w:ind w:right="187" w:firstLine="720"/>
        <w:jc w:val="both"/>
        <w:rPr>
          <w:rFonts w:ascii="Palatino Linotype" w:hAnsi="Palatino Linotype"/>
        </w:rPr>
      </w:pPr>
      <w:r>
        <w:rPr>
          <w:rFonts w:ascii="Palatino Linotype" w:hAnsi="Palatino Linotype"/>
        </w:rPr>
        <w:t>On September 28, 2012, the Office of the Ohio Consumers’ Counsel (“OCC”) filed an Application for Rehearing. The OCC Application for Rehea</w:t>
      </w:r>
      <w:r>
        <w:rPr>
          <w:rFonts w:ascii="Palatino Linotype" w:hAnsi="Palatino Linotype"/>
        </w:rPr>
        <w:t>r</w:t>
      </w:r>
      <w:r>
        <w:rPr>
          <w:rFonts w:ascii="Palatino Linotype" w:hAnsi="Palatino Linotype"/>
        </w:rPr>
        <w:t xml:space="preserve">ing contains three arguments, all of which are tied to the OCC’s allegation that the Commission erred by failing to “include the actual CEP-related investment </w:t>
      </w:r>
      <w:r>
        <w:rPr>
          <w:rFonts w:ascii="Palatino Linotype" w:hAnsi="Palatino Linotype"/>
        </w:rPr>
        <w:lastRenderedPageBreak/>
        <w:t>in the calculation of a cap.”</w:t>
      </w:r>
      <w:r>
        <w:rPr>
          <w:rStyle w:val="FootnoteReference"/>
          <w:rFonts w:ascii="Palatino Linotype" w:hAnsi="Palatino Linotype"/>
        </w:rPr>
        <w:footnoteReference w:id="1"/>
      </w:r>
      <w:r w:rsidR="002D5E25">
        <w:rPr>
          <w:rFonts w:ascii="Palatino Linotype" w:hAnsi="Palatino Linotype"/>
        </w:rPr>
        <w:t xml:space="preserve"> The OCC’s arguments are procedurally defective, and are factually incorrect, as explained below. Therefore, the Commission should deny the OCC’s Application for Rehearing</w:t>
      </w:r>
      <w:r>
        <w:rPr>
          <w:rFonts w:ascii="Palatino Linotype" w:hAnsi="Palatino Linotype"/>
        </w:rPr>
        <w:t>.</w:t>
      </w:r>
    </w:p>
    <w:p w:rsidR="002D5E25" w:rsidRPr="009053AC" w:rsidRDefault="009053AC" w:rsidP="002D5E25">
      <w:pPr>
        <w:spacing w:after="320" w:line="320" w:lineRule="exact"/>
        <w:ind w:right="187"/>
        <w:jc w:val="both"/>
        <w:rPr>
          <w:rFonts w:ascii="Palatino Linotype" w:hAnsi="Palatino Linotype"/>
          <w:b/>
        </w:rPr>
      </w:pPr>
      <w:r w:rsidRPr="009053AC">
        <w:rPr>
          <w:rFonts w:ascii="Palatino Linotype" w:hAnsi="Palatino Linotype"/>
          <w:b/>
        </w:rPr>
        <w:t>The OCC’s Arguments Are Not Based On The Record And The OCC Has Failed To Provide Any Rationale For Requiring Additional Evidence</w:t>
      </w:r>
    </w:p>
    <w:p w:rsidR="002D5E25" w:rsidRDefault="002D5E25" w:rsidP="002D5E25">
      <w:pPr>
        <w:spacing w:after="320" w:line="320" w:lineRule="exact"/>
        <w:ind w:right="187" w:firstLine="720"/>
        <w:jc w:val="both"/>
        <w:rPr>
          <w:rFonts w:ascii="Palatino Linotype" w:hAnsi="Palatino Linotype"/>
        </w:rPr>
      </w:pPr>
      <w:r>
        <w:rPr>
          <w:rFonts w:ascii="Palatino Linotype" w:hAnsi="Palatino Linotype"/>
        </w:rPr>
        <w:t>The Commission must base its decisions in each case upon the record before it.</w:t>
      </w:r>
      <w:r w:rsidR="00246445">
        <w:rPr>
          <w:rStyle w:val="FootnoteReference"/>
          <w:rFonts w:ascii="Palatino Linotype" w:hAnsi="Palatino Linotype"/>
        </w:rPr>
        <w:footnoteReference w:id="2"/>
      </w:r>
      <w:r>
        <w:rPr>
          <w:rFonts w:ascii="Palatino Linotype" w:hAnsi="Palatino Linotype"/>
        </w:rPr>
        <w:t xml:space="preserve"> </w:t>
      </w:r>
      <w:r w:rsidR="00207832">
        <w:rPr>
          <w:rFonts w:ascii="Palatino Linotype" w:hAnsi="Palatino Linotype"/>
        </w:rPr>
        <w:t>However, the OCC’s three arguments are all based upon data that is not in the record in this case. Nowhere in any parties’ comments filed in this case, including the OCC’s Comments and Reply Comments, is there any me</w:t>
      </w:r>
      <w:r w:rsidR="00207832">
        <w:rPr>
          <w:rFonts w:ascii="Palatino Linotype" w:hAnsi="Palatino Linotype"/>
        </w:rPr>
        <w:t>n</w:t>
      </w:r>
      <w:r w:rsidR="00207832">
        <w:rPr>
          <w:rFonts w:ascii="Palatino Linotype" w:hAnsi="Palatino Linotype"/>
        </w:rPr>
        <w:t>tion of the argument that the OCC now attempts to make on rehearing – i.e., the Commission erred by failing to include the actual CEP-related investment in the calculation of a cap. The OCC is instead attempting to augment the re</w:t>
      </w:r>
      <w:r w:rsidR="00207832">
        <w:rPr>
          <w:rFonts w:ascii="Palatino Linotype" w:hAnsi="Palatino Linotype"/>
        </w:rPr>
        <w:t>c</w:t>
      </w:r>
      <w:r w:rsidR="00207832">
        <w:rPr>
          <w:rFonts w:ascii="Palatino Linotype" w:hAnsi="Palatino Linotype"/>
        </w:rPr>
        <w:t>ord by raising an issue for the first time in its Application for Rehearing.</w:t>
      </w:r>
    </w:p>
    <w:p w:rsidR="00207832" w:rsidRPr="002D5E25" w:rsidRDefault="00207832" w:rsidP="002D5E25">
      <w:pPr>
        <w:spacing w:after="320" w:line="320" w:lineRule="exact"/>
        <w:ind w:right="187" w:firstLine="720"/>
        <w:jc w:val="both"/>
        <w:rPr>
          <w:rFonts w:ascii="Palatino Linotype" w:hAnsi="Palatino Linotype"/>
        </w:rPr>
      </w:pPr>
      <w:r>
        <w:rPr>
          <w:rFonts w:ascii="Palatino Linotype" w:hAnsi="Palatino Linotype"/>
        </w:rPr>
        <w:t>The Commission should reject this attempted subversion of the Co</w:t>
      </w:r>
      <w:r>
        <w:rPr>
          <w:rFonts w:ascii="Palatino Linotype" w:hAnsi="Palatino Linotype"/>
        </w:rPr>
        <w:t>m</w:t>
      </w:r>
      <w:r>
        <w:rPr>
          <w:rFonts w:ascii="Palatino Linotype" w:hAnsi="Palatino Linotype"/>
        </w:rPr>
        <w:t>mission’s procedures. The Commission recently faced a similar issue in a FirstEnergy case.</w:t>
      </w:r>
      <w:r>
        <w:rPr>
          <w:rStyle w:val="FootnoteReference"/>
          <w:rFonts w:ascii="Palatino Linotype" w:hAnsi="Palatino Linotype"/>
        </w:rPr>
        <w:footnoteReference w:id="3"/>
      </w:r>
      <w:r w:rsidR="00087EFA">
        <w:rPr>
          <w:rFonts w:ascii="Palatino Linotype" w:hAnsi="Palatino Linotype"/>
        </w:rPr>
        <w:t xml:space="preserve"> In that case FirstEnergy argued that the OCC was imprope</w:t>
      </w:r>
      <w:r w:rsidR="00087EFA">
        <w:rPr>
          <w:rFonts w:ascii="Palatino Linotype" w:hAnsi="Palatino Linotype"/>
        </w:rPr>
        <w:t>r</w:t>
      </w:r>
      <w:r w:rsidR="00087EFA">
        <w:rPr>
          <w:rFonts w:ascii="Palatino Linotype" w:hAnsi="Palatino Linotype"/>
        </w:rPr>
        <w:t>ly attempting to augment the record for the first time in an application for r</w:t>
      </w:r>
      <w:r w:rsidR="00087EFA">
        <w:rPr>
          <w:rFonts w:ascii="Palatino Linotype" w:hAnsi="Palatino Linotype"/>
        </w:rPr>
        <w:t>e</w:t>
      </w:r>
      <w:r w:rsidR="00087EFA">
        <w:rPr>
          <w:rFonts w:ascii="Palatino Linotype" w:hAnsi="Palatino Linotype"/>
        </w:rPr>
        <w:t>hearing because OCC comments in the case did not reference an argument OCC made on rehearing. The Commission rejected the OCC application for r</w:t>
      </w:r>
      <w:r w:rsidR="00087EFA">
        <w:rPr>
          <w:rFonts w:ascii="Palatino Linotype" w:hAnsi="Palatino Linotype"/>
        </w:rPr>
        <w:t>e</w:t>
      </w:r>
      <w:r w:rsidR="00087EFA">
        <w:rPr>
          <w:rFonts w:ascii="Palatino Linotype" w:hAnsi="Palatino Linotype"/>
        </w:rPr>
        <w:t>hearing and agreed with FirstEnergy that there was no information in the docket to support the OCC’s argument.</w:t>
      </w:r>
      <w:r w:rsidR="00087EFA">
        <w:rPr>
          <w:rStyle w:val="FootnoteReference"/>
          <w:rFonts w:ascii="Palatino Linotype" w:hAnsi="Palatino Linotype"/>
        </w:rPr>
        <w:footnoteReference w:id="4"/>
      </w:r>
      <w:r w:rsidR="00087EFA">
        <w:rPr>
          <w:rFonts w:ascii="Palatino Linotype" w:hAnsi="Palatino Linotype"/>
        </w:rPr>
        <w:t xml:space="preserve"> The Commission should reject OCC’s arguments in the instant case for the same reason.</w:t>
      </w:r>
    </w:p>
    <w:p w:rsidR="002D5E25" w:rsidRDefault="00087EFA" w:rsidP="00E81783">
      <w:pPr>
        <w:spacing w:after="320" w:line="320" w:lineRule="exact"/>
        <w:ind w:right="187" w:firstLine="720"/>
        <w:jc w:val="both"/>
        <w:rPr>
          <w:rFonts w:ascii="Palatino Linotype" w:hAnsi="Palatino Linotype"/>
        </w:rPr>
      </w:pPr>
      <w:r>
        <w:rPr>
          <w:rFonts w:ascii="Palatino Linotype" w:hAnsi="Palatino Linotype"/>
        </w:rPr>
        <w:t>The statutory basis for the Commission’s rehearing process is Rev. Code § 4903.10. That statute contemplates that there may be instances in which the Commission will grant rehearing and take additional evidence. However, in order to permit the taking of additional evidence the applicant for rehearing must demonstrate that the evidence was evidence that with reasonable dil</w:t>
      </w:r>
      <w:r>
        <w:rPr>
          <w:rFonts w:ascii="Palatino Linotype" w:hAnsi="Palatino Linotype"/>
        </w:rPr>
        <w:t>i</w:t>
      </w:r>
      <w:r>
        <w:rPr>
          <w:rFonts w:ascii="Palatino Linotype" w:hAnsi="Palatino Linotype"/>
        </w:rPr>
        <w:t>gence could not have been offered earlier. Here, the OCC has made no request for the taking of additional evidence, nor has it made any attempt to explain why the evidence upon which it wants to rely could not</w:t>
      </w:r>
      <w:r w:rsidR="009E5C41">
        <w:rPr>
          <w:rFonts w:ascii="Palatino Linotype" w:hAnsi="Palatino Linotype"/>
        </w:rPr>
        <w:t>, with reasonable dil</w:t>
      </w:r>
      <w:r w:rsidR="009E5C41">
        <w:rPr>
          <w:rFonts w:ascii="Palatino Linotype" w:hAnsi="Palatino Linotype"/>
        </w:rPr>
        <w:t>i</w:t>
      </w:r>
      <w:r w:rsidR="009E5C41">
        <w:rPr>
          <w:rFonts w:ascii="Palatino Linotype" w:hAnsi="Palatino Linotype"/>
        </w:rPr>
        <w:lastRenderedPageBreak/>
        <w:t>gence,</w:t>
      </w:r>
      <w:r>
        <w:rPr>
          <w:rFonts w:ascii="Palatino Linotype" w:hAnsi="Palatino Linotype"/>
        </w:rPr>
        <w:t xml:space="preserve"> have been </w:t>
      </w:r>
      <w:r w:rsidR="009E5C41">
        <w:rPr>
          <w:rFonts w:ascii="Palatino Linotype" w:hAnsi="Palatino Linotype"/>
        </w:rPr>
        <w:t>submitted</w:t>
      </w:r>
      <w:r>
        <w:rPr>
          <w:rFonts w:ascii="Palatino Linotype" w:hAnsi="Palatino Linotype"/>
        </w:rPr>
        <w:t xml:space="preserve"> prior to the issuance of the Order.</w:t>
      </w:r>
      <w:r w:rsidR="009E5C41">
        <w:rPr>
          <w:rFonts w:ascii="Palatino Linotype" w:hAnsi="Palatino Linotype"/>
        </w:rPr>
        <w:t xml:space="preserve"> Thus, there is simply no reason for the Commission to consider the OCC’s arguments, and the OCC’s Application for Rehearing should be denied.</w:t>
      </w:r>
    </w:p>
    <w:p w:rsidR="009F55C9" w:rsidRPr="009053AC" w:rsidRDefault="009053AC" w:rsidP="00182CC6">
      <w:pPr>
        <w:spacing w:after="320" w:line="320" w:lineRule="exact"/>
        <w:ind w:right="187"/>
        <w:jc w:val="both"/>
        <w:rPr>
          <w:rFonts w:ascii="Palatino Linotype" w:eastAsia="Times" w:hAnsi="Palatino Linotype"/>
          <w:b/>
        </w:rPr>
      </w:pPr>
      <w:r w:rsidRPr="009053AC">
        <w:rPr>
          <w:rFonts w:ascii="Palatino Linotype" w:eastAsia="Times" w:hAnsi="Palatino Linotype"/>
          <w:b/>
        </w:rPr>
        <w:t>The OCC’s Arguments Are Meritless And The OCC’s Data Analysis Is Flawed</w:t>
      </w:r>
    </w:p>
    <w:p w:rsidR="00B94CBE" w:rsidRDefault="00B94CBE" w:rsidP="00B94CBE">
      <w:pPr>
        <w:autoSpaceDE w:val="0"/>
        <w:autoSpaceDN w:val="0"/>
        <w:adjustRightInd w:val="0"/>
        <w:ind w:firstLine="720"/>
        <w:jc w:val="both"/>
        <w:rPr>
          <w:rFonts w:ascii="Palatino Linotype" w:hAnsi="Palatino Linotype" w:cs="Palatino Linotype"/>
        </w:rPr>
      </w:pPr>
      <w:r>
        <w:rPr>
          <w:rFonts w:ascii="Palatino Linotype" w:eastAsia="Times" w:hAnsi="Palatino Linotype"/>
        </w:rPr>
        <w:t>During the comment procedure in this case, the Staff and OCC expressed concern that accrued deferrals proposed by Columbia could result in rate shock when the deferrals ultimately are included in rates.</w:t>
      </w:r>
      <w:r>
        <w:rPr>
          <w:rStyle w:val="FootnoteReference"/>
          <w:rFonts w:ascii="Palatino Linotype" w:eastAsia="Times" w:hAnsi="Palatino Linotype"/>
        </w:rPr>
        <w:footnoteReference w:id="5"/>
      </w:r>
      <w:r>
        <w:rPr>
          <w:rFonts w:ascii="Palatino Linotype" w:eastAsia="Times" w:hAnsi="Palatino Linotype"/>
        </w:rPr>
        <w:t xml:space="preserve"> In response to those concerns Columbia proposed </w:t>
      </w:r>
      <w:r>
        <w:rPr>
          <w:rFonts w:ascii="Palatino Linotype" w:hAnsi="Palatino Linotype" w:cs="Palatino Linotype"/>
        </w:rPr>
        <w:t>that the deferrals under its CEP be allowed to accrue until the impact from those deferrals on the rates for Columbia’s Small General Service (“SGS”) customers would exceed $1.50/month.</w:t>
      </w:r>
      <w:r>
        <w:rPr>
          <w:rStyle w:val="FootnoteReference"/>
          <w:rFonts w:ascii="Palatino Linotype" w:hAnsi="Palatino Linotype" w:cs="Palatino Linotype"/>
        </w:rPr>
        <w:footnoteReference w:id="6"/>
      </w:r>
      <w:r w:rsidR="00486B40">
        <w:rPr>
          <w:rFonts w:ascii="Palatino Linotype" w:hAnsi="Palatino Linotype" w:cs="Palatino Linotype"/>
        </w:rPr>
        <w:t xml:space="preserve"> Staff agreed with Columbia’s proposed limit on the deferrals.</w:t>
      </w:r>
      <w:r w:rsidR="00486B40">
        <w:rPr>
          <w:rStyle w:val="FootnoteReference"/>
          <w:rFonts w:ascii="Palatino Linotype" w:hAnsi="Palatino Linotype" w:cs="Palatino Linotype"/>
        </w:rPr>
        <w:footnoteReference w:id="7"/>
      </w:r>
    </w:p>
    <w:p w:rsidR="00486B40" w:rsidRDefault="00486B40" w:rsidP="00B94CBE">
      <w:pPr>
        <w:autoSpaceDE w:val="0"/>
        <w:autoSpaceDN w:val="0"/>
        <w:adjustRightInd w:val="0"/>
        <w:ind w:firstLine="720"/>
        <w:jc w:val="both"/>
        <w:rPr>
          <w:rFonts w:ascii="Palatino Linotype" w:eastAsia="Times" w:hAnsi="Palatino Linotype"/>
        </w:rPr>
      </w:pPr>
    </w:p>
    <w:p w:rsidR="00D93062" w:rsidRDefault="00182CC6" w:rsidP="00182CC6">
      <w:pPr>
        <w:spacing w:after="320" w:line="320" w:lineRule="exact"/>
        <w:ind w:right="187" w:firstLine="720"/>
        <w:jc w:val="both"/>
        <w:rPr>
          <w:rFonts w:ascii="Palatino Linotype" w:eastAsia="Times" w:hAnsi="Palatino Linotype"/>
        </w:rPr>
      </w:pPr>
      <w:r>
        <w:rPr>
          <w:rFonts w:ascii="Palatino Linotype" w:eastAsia="Times" w:hAnsi="Palatino Linotype"/>
        </w:rPr>
        <w:t xml:space="preserve">The Order </w:t>
      </w:r>
      <w:r w:rsidR="00486B40">
        <w:rPr>
          <w:rFonts w:ascii="Palatino Linotype" w:eastAsia="Times" w:hAnsi="Palatino Linotype"/>
        </w:rPr>
        <w:t xml:space="preserve">adopted Columbia’s proposed limits on the deferrals, and </w:t>
      </w:r>
      <w:r>
        <w:rPr>
          <w:rFonts w:ascii="Palatino Linotype" w:eastAsia="Times" w:hAnsi="Palatino Linotype"/>
        </w:rPr>
        <w:t xml:space="preserve">provides that </w:t>
      </w:r>
      <w:r w:rsidR="00C6310A">
        <w:rPr>
          <w:rFonts w:ascii="Palatino Linotype" w:eastAsia="Times" w:hAnsi="Palatino Linotype"/>
        </w:rPr>
        <w:t xml:space="preserve">the deferrals under </w:t>
      </w:r>
      <w:r>
        <w:rPr>
          <w:rFonts w:ascii="Palatino Linotype" w:eastAsia="Times" w:hAnsi="Palatino Linotype"/>
        </w:rPr>
        <w:t xml:space="preserve">Columbia’s </w:t>
      </w:r>
      <w:r w:rsidR="00C6310A">
        <w:rPr>
          <w:rFonts w:ascii="Palatino Linotype" w:eastAsia="Times" w:hAnsi="Palatino Linotype"/>
        </w:rPr>
        <w:t xml:space="preserve">CEP be allowed to accrue until the impact from those deferrals on the rates for Columbia’s Small General Service (“SGS”) customers would exceed $1.50/month. </w:t>
      </w:r>
      <w:r w:rsidRPr="00182CC6">
        <w:rPr>
          <w:rFonts w:ascii="Palatino Linotype" w:eastAsia="Times" w:hAnsi="Palatino Linotype"/>
        </w:rPr>
        <w:t>Accrual of all future CEP-related</w:t>
      </w:r>
      <w:r>
        <w:rPr>
          <w:rFonts w:ascii="Palatino Linotype" w:eastAsia="Times" w:hAnsi="Palatino Linotype"/>
        </w:rPr>
        <w:t xml:space="preserve"> </w:t>
      </w:r>
      <w:r w:rsidRPr="00182CC6">
        <w:rPr>
          <w:rFonts w:ascii="Palatino Linotype" w:eastAsia="Times" w:hAnsi="Palatino Linotype"/>
        </w:rPr>
        <w:t xml:space="preserve">deferrals </w:t>
      </w:r>
      <w:r>
        <w:rPr>
          <w:rFonts w:ascii="Palatino Linotype" w:eastAsia="Times" w:hAnsi="Palatino Linotype"/>
        </w:rPr>
        <w:t xml:space="preserve">will </w:t>
      </w:r>
      <w:r w:rsidRPr="00182CC6">
        <w:rPr>
          <w:rFonts w:ascii="Palatino Linotype" w:eastAsia="Times" w:hAnsi="Palatino Linotype"/>
        </w:rPr>
        <w:t>cease once the $1.50/month</w:t>
      </w:r>
      <w:r>
        <w:rPr>
          <w:rFonts w:ascii="Palatino Linotype" w:eastAsia="Times" w:hAnsi="Palatino Linotype"/>
        </w:rPr>
        <w:t xml:space="preserve"> </w:t>
      </w:r>
      <w:r w:rsidRPr="00182CC6">
        <w:rPr>
          <w:rFonts w:ascii="Palatino Linotype" w:eastAsia="Times" w:hAnsi="Palatino Linotype"/>
        </w:rPr>
        <w:t>threshold is surpassed, until such time as</w:t>
      </w:r>
      <w:r>
        <w:rPr>
          <w:rFonts w:ascii="Palatino Linotype" w:eastAsia="Times" w:hAnsi="Palatino Linotype"/>
        </w:rPr>
        <w:t xml:space="preserve"> </w:t>
      </w:r>
      <w:r w:rsidRPr="00182CC6">
        <w:rPr>
          <w:rFonts w:ascii="Palatino Linotype" w:eastAsia="Times" w:hAnsi="Palatino Linotype"/>
        </w:rPr>
        <w:t>Columbia files to recover the existing accrued</w:t>
      </w:r>
      <w:r>
        <w:rPr>
          <w:rFonts w:ascii="Palatino Linotype" w:eastAsia="Times" w:hAnsi="Palatino Linotype"/>
        </w:rPr>
        <w:t xml:space="preserve"> </w:t>
      </w:r>
      <w:r w:rsidRPr="00182CC6">
        <w:rPr>
          <w:rFonts w:ascii="Palatino Linotype" w:eastAsia="Times" w:hAnsi="Palatino Linotype"/>
        </w:rPr>
        <w:t>deferrals and establish a recovery mechanism</w:t>
      </w:r>
      <w:r>
        <w:rPr>
          <w:rFonts w:ascii="Palatino Linotype" w:eastAsia="Times" w:hAnsi="Palatino Linotype"/>
        </w:rPr>
        <w:t>.</w:t>
      </w:r>
      <w:r>
        <w:rPr>
          <w:rStyle w:val="FootnoteReference"/>
          <w:rFonts w:ascii="Palatino Linotype" w:eastAsia="Times" w:hAnsi="Palatino Linotype"/>
        </w:rPr>
        <w:footnoteReference w:id="8"/>
      </w:r>
      <w:r>
        <w:rPr>
          <w:rFonts w:ascii="Palatino Linotype" w:eastAsia="Times" w:hAnsi="Palatino Linotype"/>
        </w:rPr>
        <w:t xml:space="preserve"> </w:t>
      </w:r>
      <w:r w:rsidR="00C6310A">
        <w:rPr>
          <w:rFonts w:ascii="Palatino Linotype" w:eastAsia="Times" w:hAnsi="Palatino Linotype"/>
        </w:rPr>
        <w:t>By tying the deferral</w:t>
      </w:r>
      <w:r>
        <w:rPr>
          <w:rFonts w:ascii="Palatino Linotype" w:eastAsia="Times" w:hAnsi="Palatino Linotype"/>
        </w:rPr>
        <w:t>s</w:t>
      </w:r>
      <w:r w:rsidR="00C6310A">
        <w:rPr>
          <w:rFonts w:ascii="Palatino Linotype" w:eastAsia="Times" w:hAnsi="Palatino Linotype"/>
        </w:rPr>
        <w:t xml:space="preserve"> to this specific rate impact threshold, </w:t>
      </w:r>
      <w:r>
        <w:rPr>
          <w:rFonts w:ascii="Palatino Linotype" w:eastAsia="Times" w:hAnsi="Palatino Linotype"/>
        </w:rPr>
        <w:t xml:space="preserve">the Commission minimized any customer </w:t>
      </w:r>
      <w:r w:rsidR="00C6310A">
        <w:rPr>
          <w:rFonts w:ascii="Palatino Linotype" w:eastAsia="Times" w:hAnsi="Palatino Linotype"/>
        </w:rPr>
        <w:t>“rate shock</w:t>
      </w:r>
      <w:r>
        <w:rPr>
          <w:rFonts w:ascii="Palatino Linotype" w:eastAsia="Times" w:hAnsi="Palatino Linotype"/>
        </w:rPr>
        <w:t>.</w:t>
      </w:r>
      <w:r w:rsidR="00C6310A">
        <w:rPr>
          <w:rFonts w:ascii="Palatino Linotype" w:eastAsia="Times" w:hAnsi="Palatino Linotype"/>
        </w:rPr>
        <w:t>”</w:t>
      </w:r>
    </w:p>
    <w:p w:rsidR="0093568A" w:rsidRDefault="004D0E06" w:rsidP="00182CC6">
      <w:pPr>
        <w:spacing w:after="320" w:line="320" w:lineRule="exact"/>
        <w:ind w:right="187" w:firstLine="720"/>
        <w:jc w:val="both"/>
        <w:rPr>
          <w:rFonts w:ascii="Palatino Linotype" w:hAnsi="Palatino Linotype"/>
        </w:rPr>
      </w:pPr>
      <w:r>
        <w:rPr>
          <w:rFonts w:ascii="Palatino Linotype" w:hAnsi="Palatino Linotype"/>
        </w:rPr>
        <w:t xml:space="preserve">While the OCC’s Comments expressed concern only about the rate impact of the deferrals, on rehearing the </w:t>
      </w:r>
      <w:r w:rsidR="0093568A">
        <w:rPr>
          <w:rFonts w:ascii="Palatino Linotype" w:hAnsi="Palatino Linotype"/>
        </w:rPr>
        <w:t xml:space="preserve">OCC </w:t>
      </w:r>
      <w:r>
        <w:rPr>
          <w:rFonts w:ascii="Palatino Linotype" w:hAnsi="Palatino Linotype"/>
        </w:rPr>
        <w:t xml:space="preserve">has changed course and </w:t>
      </w:r>
      <w:r w:rsidR="0093568A">
        <w:rPr>
          <w:rFonts w:ascii="Palatino Linotype" w:hAnsi="Palatino Linotype"/>
        </w:rPr>
        <w:t xml:space="preserve">argues that the $1.50/month cap should include </w:t>
      </w:r>
      <w:r w:rsidR="00F213DC">
        <w:rPr>
          <w:rFonts w:ascii="Palatino Linotype" w:hAnsi="Palatino Linotype"/>
        </w:rPr>
        <w:t xml:space="preserve">not only </w:t>
      </w:r>
      <w:r w:rsidR="00FD12DE">
        <w:rPr>
          <w:rFonts w:ascii="Palatino Linotype" w:hAnsi="Palatino Linotype"/>
        </w:rPr>
        <w:t xml:space="preserve">the </w:t>
      </w:r>
      <w:r w:rsidR="00F213DC">
        <w:rPr>
          <w:rFonts w:ascii="Palatino Linotype" w:hAnsi="Palatino Linotype"/>
        </w:rPr>
        <w:t xml:space="preserve">rate impact of the deferrals, but also </w:t>
      </w:r>
      <w:r w:rsidR="0093568A">
        <w:rPr>
          <w:rFonts w:ascii="Palatino Linotype" w:hAnsi="Palatino Linotype"/>
        </w:rPr>
        <w:t>the rate impact of the actual CEP-related investment.</w:t>
      </w:r>
      <w:r w:rsidR="00F54039">
        <w:rPr>
          <w:rFonts w:ascii="Palatino Linotype" w:hAnsi="Palatino Linotype"/>
        </w:rPr>
        <w:t xml:space="preserve"> While the OCC argument is procedurally improper, for the reasons explained above, the argument also lacks substantive merit.</w:t>
      </w:r>
    </w:p>
    <w:p w:rsidR="005136E0" w:rsidRDefault="005136E0" w:rsidP="00315B1A">
      <w:pPr>
        <w:spacing w:after="320" w:line="320" w:lineRule="exact"/>
        <w:ind w:right="187" w:firstLine="720"/>
        <w:jc w:val="both"/>
        <w:rPr>
          <w:rFonts w:ascii="Palatino Linotype" w:eastAsia="Times" w:hAnsi="Palatino Linotype"/>
        </w:rPr>
      </w:pPr>
      <w:r>
        <w:rPr>
          <w:rFonts w:ascii="Palatino Linotype" w:hAnsi="Palatino Linotype"/>
        </w:rPr>
        <w:t>There is no basis – statutory or otherwise – for the Commission to limit any utility’s capital expenditures based upon future rate impacts. In</w:t>
      </w:r>
      <w:r w:rsidR="00315B1A">
        <w:rPr>
          <w:rFonts w:ascii="Palatino Linotype" w:hAnsi="Palatino Linotype"/>
        </w:rPr>
        <w:t xml:space="preserve"> this case, the Commission has found that Columbia’s CEP is </w:t>
      </w:r>
      <w:r w:rsidR="00315B1A" w:rsidRPr="00315B1A">
        <w:rPr>
          <w:rFonts w:ascii="Palatino Linotype" w:hAnsi="Palatino Linotype"/>
        </w:rPr>
        <w:t xml:space="preserve">consistent with </w:t>
      </w:r>
      <w:r w:rsidR="00315B1A">
        <w:rPr>
          <w:rFonts w:ascii="Palatino Linotype" w:hAnsi="Palatino Linotype"/>
        </w:rPr>
        <w:t xml:space="preserve">Columbia’s </w:t>
      </w:r>
      <w:r w:rsidR="00315B1A" w:rsidRPr="00315B1A">
        <w:rPr>
          <w:rFonts w:ascii="Palatino Linotype" w:hAnsi="Palatino Linotype"/>
        </w:rPr>
        <w:t>obligation under</w:t>
      </w:r>
      <w:r w:rsidR="00315B1A">
        <w:rPr>
          <w:rFonts w:ascii="Palatino Linotype" w:hAnsi="Palatino Linotype"/>
        </w:rPr>
        <w:t xml:space="preserve"> Rev. Code § </w:t>
      </w:r>
      <w:r w:rsidR="00315B1A" w:rsidRPr="00315B1A">
        <w:rPr>
          <w:rFonts w:ascii="Palatino Linotype" w:hAnsi="Palatino Linotype"/>
        </w:rPr>
        <w:t>4905.22 to furnish necessary and</w:t>
      </w:r>
      <w:r w:rsidR="00315B1A">
        <w:rPr>
          <w:rFonts w:ascii="Palatino Linotype" w:hAnsi="Palatino Linotype"/>
        </w:rPr>
        <w:t xml:space="preserve"> </w:t>
      </w:r>
      <w:r w:rsidR="00315B1A" w:rsidRPr="00315B1A">
        <w:rPr>
          <w:rFonts w:ascii="Palatino Linotype" w:hAnsi="Palatino Linotype"/>
        </w:rPr>
        <w:t>adequate services and facilities, which the Commission f</w:t>
      </w:r>
      <w:r w:rsidR="00315B1A">
        <w:rPr>
          <w:rFonts w:ascii="Palatino Linotype" w:hAnsi="Palatino Linotype"/>
        </w:rPr>
        <w:t>ound</w:t>
      </w:r>
      <w:r w:rsidR="00315B1A" w:rsidRPr="00315B1A">
        <w:rPr>
          <w:rFonts w:ascii="Palatino Linotype" w:hAnsi="Palatino Linotype"/>
        </w:rPr>
        <w:t xml:space="preserve"> to</w:t>
      </w:r>
      <w:r w:rsidR="00315B1A">
        <w:rPr>
          <w:rFonts w:ascii="Palatino Linotype" w:hAnsi="Palatino Linotype"/>
        </w:rPr>
        <w:t xml:space="preserve"> </w:t>
      </w:r>
      <w:r w:rsidR="00315B1A" w:rsidRPr="00315B1A">
        <w:rPr>
          <w:rFonts w:ascii="Palatino Linotype" w:hAnsi="Palatino Linotype"/>
        </w:rPr>
        <w:t>be just and reasonable.</w:t>
      </w:r>
      <w:r w:rsidR="00315B1A">
        <w:rPr>
          <w:rStyle w:val="FootnoteReference"/>
          <w:rFonts w:ascii="Palatino Linotype" w:hAnsi="Palatino Linotype"/>
        </w:rPr>
        <w:footnoteReference w:id="9"/>
      </w:r>
    </w:p>
    <w:p w:rsidR="0093568A" w:rsidRDefault="00315B1A" w:rsidP="00182CC6">
      <w:pPr>
        <w:spacing w:after="320" w:line="320" w:lineRule="exact"/>
        <w:ind w:right="187" w:firstLine="720"/>
        <w:jc w:val="both"/>
        <w:rPr>
          <w:rFonts w:ascii="Palatino Linotype" w:eastAsia="Times" w:hAnsi="Palatino Linotype"/>
        </w:rPr>
      </w:pPr>
      <w:r>
        <w:rPr>
          <w:rFonts w:ascii="Palatino Linotype" w:eastAsia="Times" w:hAnsi="Palatino Linotype"/>
        </w:rPr>
        <w:t>In its second argument, the OCC argues that the Commission should have explained why it did not include the actual cost of the CEP-related investment in the calculation of the cap.</w:t>
      </w:r>
      <w:r>
        <w:rPr>
          <w:rStyle w:val="FootnoteReference"/>
          <w:rFonts w:ascii="Palatino Linotype" w:eastAsia="Times" w:hAnsi="Palatino Linotype"/>
        </w:rPr>
        <w:footnoteReference w:id="10"/>
      </w:r>
      <w:r>
        <w:rPr>
          <w:rFonts w:ascii="Palatino Linotype" w:eastAsia="Times" w:hAnsi="Palatino Linotype"/>
        </w:rPr>
        <w:t xml:space="preserve"> This argument must fail because no party – including the OCC – ever raised the argument prior to the issuance of the Order in this case.</w:t>
      </w:r>
      <w:r w:rsidR="00431AE2">
        <w:rPr>
          <w:rFonts w:ascii="Palatino Linotype" w:eastAsia="Times" w:hAnsi="Palatino Linotype"/>
        </w:rPr>
        <w:t xml:space="preserve"> The Commission has no duty to respond to arguments that no party has raised.</w:t>
      </w:r>
    </w:p>
    <w:p w:rsidR="007E0EE5" w:rsidRDefault="007E0EE5" w:rsidP="00182CC6">
      <w:pPr>
        <w:spacing w:after="320" w:line="320" w:lineRule="exact"/>
        <w:ind w:right="187" w:firstLine="720"/>
        <w:jc w:val="both"/>
        <w:rPr>
          <w:rFonts w:ascii="Palatino Linotype" w:eastAsia="Times" w:hAnsi="Palatino Linotype"/>
        </w:rPr>
      </w:pPr>
      <w:r>
        <w:rPr>
          <w:rFonts w:ascii="Palatino Linotype" w:eastAsia="Times" w:hAnsi="Palatino Linotype"/>
        </w:rPr>
        <w:t>Much of the OCC’s argument with respect to the calculation of the cap centers on the OCC’s calculation of the rate impact of the deferrals coupled with the potential rate impact of the underlying capital investments.</w:t>
      </w:r>
      <w:r w:rsidR="00FA66B9">
        <w:rPr>
          <w:rFonts w:ascii="Palatino Linotype" w:eastAsia="Times" w:hAnsi="Palatino Linotype"/>
        </w:rPr>
        <w:t xml:space="preserve"> In data exchanged between the parties to this case, Columbia estimated that the $1.50 cap would not be reached until 2023.</w:t>
      </w:r>
      <w:r w:rsidR="00FA66B9">
        <w:rPr>
          <w:rStyle w:val="FootnoteReference"/>
          <w:rFonts w:ascii="Palatino Linotype" w:eastAsia="Times" w:hAnsi="Palatino Linotype"/>
        </w:rPr>
        <w:footnoteReference w:id="11"/>
      </w:r>
      <w:r w:rsidR="00FA66B9">
        <w:rPr>
          <w:rFonts w:ascii="Palatino Linotype" w:eastAsia="Times" w:hAnsi="Palatino Linotype"/>
        </w:rPr>
        <w:t xml:space="preserve"> In its Application for Rehearing, the OCC calculates that by including in its rate impact calculation the investment underlying the deferrals, the 2023 rate impact </w:t>
      </w:r>
      <w:r w:rsidR="007D565A">
        <w:rPr>
          <w:rFonts w:ascii="Palatino Linotype" w:eastAsia="Times" w:hAnsi="Palatino Linotype"/>
        </w:rPr>
        <w:t>would be</w:t>
      </w:r>
      <w:r w:rsidR="00FA66B9">
        <w:rPr>
          <w:rFonts w:ascii="Palatino Linotype" w:eastAsia="Times" w:hAnsi="Palatino Linotype"/>
        </w:rPr>
        <w:t xml:space="preserve"> $5.25/month.</w:t>
      </w:r>
      <w:r w:rsidR="00FA66B9">
        <w:rPr>
          <w:rStyle w:val="FootnoteReference"/>
          <w:rFonts w:ascii="Palatino Linotype" w:eastAsia="Times" w:hAnsi="Palatino Linotype"/>
        </w:rPr>
        <w:footnoteReference w:id="12"/>
      </w:r>
    </w:p>
    <w:p w:rsidR="00182CC6" w:rsidRDefault="007D565A" w:rsidP="00182CC6">
      <w:pPr>
        <w:spacing w:after="320" w:line="320" w:lineRule="exact"/>
        <w:ind w:right="187" w:firstLine="720"/>
        <w:jc w:val="both"/>
        <w:rPr>
          <w:rFonts w:ascii="Palatino Linotype" w:eastAsia="Times" w:hAnsi="Palatino Linotype"/>
        </w:rPr>
      </w:pPr>
      <w:r>
        <w:rPr>
          <w:rFonts w:ascii="Palatino Linotype" w:eastAsia="Times" w:hAnsi="Palatino Linotype"/>
        </w:rPr>
        <w:t xml:space="preserve">Even if the OCC’s argument had been properly presented, which it was not, and if it had any relevance, which it does not, the OCC has grossly over-estimated the rate impact of its position. A cursory examination of the OCC’s </w:t>
      </w:r>
      <w:r w:rsidR="00182CC6" w:rsidRPr="00182CC6">
        <w:rPr>
          <w:rFonts w:ascii="Palatino Linotype" w:eastAsia="Times" w:hAnsi="Palatino Linotype"/>
        </w:rPr>
        <w:t>revenue requirement study</w:t>
      </w:r>
      <w:r w:rsidR="00182CC6" w:rsidRPr="00182CC6">
        <w:rPr>
          <w:rFonts w:ascii="Palatino Linotype" w:eastAsia="Times" w:hAnsi="Palatino Linotype"/>
          <w:vertAlign w:val="superscript"/>
        </w:rPr>
        <w:footnoteReference w:id="13"/>
      </w:r>
      <w:r w:rsidR="00182CC6" w:rsidRPr="00182CC6">
        <w:rPr>
          <w:rFonts w:ascii="Palatino Linotype" w:eastAsia="Times" w:hAnsi="Palatino Linotype"/>
        </w:rPr>
        <w:t xml:space="preserve"> </w:t>
      </w:r>
      <w:r>
        <w:rPr>
          <w:rFonts w:ascii="Palatino Linotype" w:eastAsia="Times" w:hAnsi="Palatino Linotype"/>
        </w:rPr>
        <w:t xml:space="preserve">shows </w:t>
      </w:r>
      <w:r w:rsidR="00182CC6" w:rsidRPr="00182CC6">
        <w:rPr>
          <w:rFonts w:ascii="Palatino Linotype" w:eastAsia="Times" w:hAnsi="Palatino Linotype"/>
        </w:rPr>
        <w:t xml:space="preserve">that </w:t>
      </w:r>
      <w:r>
        <w:rPr>
          <w:rFonts w:ascii="Palatino Linotype" w:eastAsia="Times" w:hAnsi="Palatino Linotype"/>
        </w:rPr>
        <w:t>the OCC study contains errors, including, but not limited to:</w:t>
      </w:r>
      <w:r w:rsidR="00182CC6" w:rsidRPr="00182CC6">
        <w:rPr>
          <w:rFonts w:ascii="Palatino Linotype" w:eastAsia="Times" w:hAnsi="Palatino Linotype"/>
        </w:rPr>
        <w:t xml:space="preserve"> (1) inclusion of costs that would be recovered through rate case proceedings if PISCC had not </w:t>
      </w:r>
      <w:r w:rsidR="00B65F02">
        <w:rPr>
          <w:rFonts w:ascii="Palatino Linotype" w:eastAsia="Times" w:hAnsi="Palatino Linotype"/>
        </w:rPr>
        <w:t xml:space="preserve">been </w:t>
      </w:r>
      <w:r w:rsidR="00182CC6" w:rsidRPr="00182CC6">
        <w:rPr>
          <w:rFonts w:ascii="Palatino Linotype" w:eastAsia="Times" w:hAnsi="Palatino Linotype"/>
        </w:rPr>
        <w:t>approved by the Commission such as return on rate base and annualized depreciation; (</w:t>
      </w:r>
      <w:r>
        <w:rPr>
          <w:rFonts w:ascii="Palatino Linotype" w:eastAsia="Times" w:hAnsi="Palatino Linotype"/>
        </w:rPr>
        <w:t>2</w:t>
      </w:r>
      <w:r w:rsidR="00182CC6" w:rsidRPr="00182CC6">
        <w:rPr>
          <w:rFonts w:ascii="Palatino Linotype" w:eastAsia="Times" w:hAnsi="Palatino Linotype"/>
        </w:rPr>
        <w:t>) failure to properly recognize accrued depreciation on investment made by Columbia during the period 2012-2023</w:t>
      </w:r>
      <w:r w:rsidR="00182CC6" w:rsidRPr="00182CC6">
        <w:rPr>
          <w:rFonts w:ascii="Palatino Linotype" w:eastAsia="Times" w:hAnsi="Palatino Linotype"/>
          <w:vertAlign w:val="superscript"/>
        </w:rPr>
        <w:footnoteReference w:id="14"/>
      </w:r>
      <w:r w:rsidR="00182CC6" w:rsidRPr="00182CC6">
        <w:rPr>
          <w:rFonts w:ascii="Palatino Linotype" w:eastAsia="Times" w:hAnsi="Palatino Linotype"/>
        </w:rPr>
        <w:t>; (</w:t>
      </w:r>
      <w:r>
        <w:rPr>
          <w:rFonts w:ascii="Palatino Linotype" w:eastAsia="Times" w:hAnsi="Palatino Linotype"/>
        </w:rPr>
        <w:t>3</w:t>
      </w:r>
      <w:r w:rsidR="00182CC6" w:rsidRPr="00182CC6">
        <w:rPr>
          <w:rFonts w:ascii="Palatino Linotype" w:eastAsia="Times" w:hAnsi="Palatino Linotype"/>
        </w:rPr>
        <w:t>) failure to properly recognize that rate base would be reduced by depreciation on investment made by Columbia prior to 2012</w:t>
      </w:r>
      <w:r w:rsidR="00182CC6" w:rsidRPr="00182CC6">
        <w:rPr>
          <w:rFonts w:ascii="Palatino Linotype" w:eastAsia="Times" w:hAnsi="Palatino Linotype"/>
          <w:vertAlign w:val="superscript"/>
        </w:rPr>
        <w:footnoteReference w:id="15"/>
      </w:r>
      <w:r w:rsidR="00182CC6" w:rsidRPr="00182CC6">
        <w:rPr>
          <w:rFonts w:ascii="Palatino Linotype" w:eastAsia="Times" w:hAnsi="Palatino Linotype"/>
        </w:rPr>
        <w:t>; (</w:t>
      </w:r>
      <w:r>
        <w:rPr>
          <w:rFonts w:ascii="Palatino Linotype" w:eastAsia="Times" w:hAnsi="Palatino Linotype"/>
        </w:rPr>
        <w:t>4</w:t>
      </w:r>
      <w:r w:rsidR="00182CC6" w:rsidRPr="00182CC6">
        <w:rPr>
          <w:rFonts w:ascii="Palatino Linotype" w:eastAsia="Times" w:hAnsi="Palatino Linotype"/>
        </w:rPr>
        <w:t>) failure to properly recognize a non-investor source of funds</w:t>
      </w:r>
      <w:r w:rsidR="009053AC">
        <w:rPr>
          <w:rFonts w:ascii="Palatino Linotype" w:eastAsia="Times" w:hAnsi="Palatino Linotype"/>
        </w:rPr>
        <w:t xml:space="preserve"> – i.e.,</w:t>
      </w:r>
      <w:r w:rsidR="00182CC6" w:rsidRPr="00182CC6">
        <w:rPr>
          <w:rFonts w:ascii="Palatino Linotype" w:eastAsia="Times" w:hAnsi="Palatino Linotype"/>
        </w:rPr>
        <w:t xml:space="preserve"> deferred income taxes on investment made by Columbia during the period 2012-2023</w:t>
      </w:r>
      <w:r w:rsidR="00182CC6" w:rsidRPr="00182CC6">
        <w:rPr>
          <w:rFonts w:ascii="Palatino Linotype" w:eastAsia="Times" w:hAnsi="Palatino Linotype"/>
          <w:vertAlign w:val="superscript"/>
        </w:rPr>
        <w:footnoteReference w:id="16"/>
      </w:r>
      <w:r w:rsidR="00182CC6" w:rsidRPr="00182CC6">
        <w:rPr>
          <w:rFonts w:ascii="Palatino Linotype" w:eastAsia="Times" w:hAnsi="Palatino Linotype"/>
        </w:rPr>
        <w:t>; and</w:t>
      </w:r>
      <w:r>
        <w:rPr>
          <w:rFonts w:ascii="Palatino Linotype" w:eastAsia="Times" w:hAnsi="Palatino Linotype"/>
        </w:rPr>
        <w:t>,</w:t>
      </w:r>
      <w:r w:rsidR="00182CC6" w:rsidRPr="00182CC6">
        <w:rPr>
          <w:rFonts w:ascii="Palatino Linotype" w:eastAsia="Times" w:hAnsi="Palatino Linotype"/>
        </w:rPr>
        <w:t xml:space="preserve"> (</w:t>
      </w:r>
      <w:r>
        <w:rPr>
          <w:rFonts w:ascii="Palatino Linotype" w:eastAsia="Times" w:hAnsi="Palatino Linotype"/>
        </w:rPr>
        <w:t>5</w:t>
      </w:r>
      <w:r w:rsidR="00182CC6" w:rsidRPr="00182CC6">
        <w:rPr>
          <w:rFonts w:ascii="Palatino Linotype" w:eastAsia="Times" w:hAnsi="Palatino Linotype"/>
        </w:rPr>
        <w:t xml:space="preserve">) the omission of annualized property taxes. The correction of these errors </w:t>
      </w:r>
      <w:r w:rsidR="009053AC">
        <w:rPr>
          <w:rFonts w:ascii="Palatino Linotype" w:eastAsia="Times" w:hAnsi="Palatino Linotype"/>
        </w:rPr>
        <w:t xml:space="preserve">alone </w:t>
      </w:r>
      <w:r w:rsidR="00182CC6" w:rsidRPr="00182CC6">
        <w:rPr>
          <w:rFonts w:ascii="Palatino Linotype" w:eastAsia="Times" w:hAnsi="Palatino Linotype"/>
        </w:rPr>
        <w:t xml:space="preserve">would result in rates that range from $0.09 per customer per month in 2012 to $1.79 per customer per month 2023. </w:t>
      </w:r>
      <w:r w:rsidR="009053AC">
        <w:rPr>
          <w:rFonts w:ascii="Palatino Linotype" w:eastAsia="Times" w:hAnsi="Palatino Linotype"/>
        </w:rPr>
        <w:t>Thus, if the OCC had properly analyzed the rate impact of its argument, the difference between the cap authorized by the Commission and the cap the OCC would impose is only $</w:t>
      </w:r>
      <w:r w:rsidR="00F03427">
        <w:rPr>
          <w:rFonts w:ascii="Palatino Linotype" w:eastAsia="Times" w:hAnsi="Palatino Linotype"/>
        </w:rPr>
        <w:t>0</w:t>
      </w:r>
      <w:r w:rsidR="009053AC">
        <w:rPr>
          <w:rFonts w:ascii="Palatino Linotype" w:eastAsia="Times" w:hAnsi="Palatino Linotype"/>
        </w:rPr>
        <w:t>.29/month – not the difference of $3.75 used by the OCC in support of its argument.</w:t>
      </w:r>
    </w:p>
    <w:p w:rsidR="009053AC" w:rsidRPr="00182CC6" w:rsidRDefault="009053AC" w:rsidP="00182CC6">
      <w:pPr>
        <w:spacing w:after="320" w:line="320" w:lineRule="exact"/>
        <w:ind w:right="187" w:firstLine="720"/>
        <w:jc w:val="both"/>
        <w:rPr>
          <w:rFonts w:ascii="Palatino Linotype" w:eastAsia="Times" w:hAnsi="Palatino Linotype"/>
        </w:rPr>
      </w:pPr>
      <w:r>
        <w:rPr>
          <w:rFonts w:ascii="Palatino Linotype" w:eastAsia="Times" w:hAnsi="Palatino Linotype"/>
        </w:rPr>
        <w:t xml:space="preserve">There is simply no basis for the OCC’s argument, and if properly calculated the difference in the rate impact espoused by the OCC and that adopted in the Order is de </w:t>
      </w:r>
      <w:proofErr w:type="spellStart"/>
      <w:r>
        <w:rPr>
          <w:rFonts w:ascii="Palatino Linotype" w:eastAsia="Times" w:hAnsi="Palatino Linotype"/>
        </w:rPr>
        <w:t>minimus</w:t>
      </w:r>
      <w:proofErr w:type="spellEnd"/>
      <w:r>
        <w:rPr>
          <w:rFonts w:ascii="Palatino Linotype" w:eastAsia="Times" w:hAnsi="Palatino Linotype"/>
        </w:rPr>
        <w:t>. This compels denial of the OCC’s Application for Rehearing.</w:t>
      </w:r>
    </w:p>
    <w:p w:rsidR="00B96209" w:rsidRPr="009053AC" w:rsidRDefault="009053AC" w:rsidP="00E81783">
      <w:pPr>
        <w:spacing w:after="320" w:line="320" w:lineRule="exact"/>
        <w:ind w:right="187"/>
        <w:jc w:val="both"/>
        <w:rPr>
          <w:rFonts w:ascii="Palatino Linotype" w:hAnsi="Palatino Linotype"/>
          <w:b/>
          <w:bCs/>
          <w:kern w:val="24"/>
        </w:rPr>
      </w:pPr>
      <w:r w:rsidRPr="009053AC">
        <w:rPr>
          <w:rFonts w:ascii="Palatino Linotype" w:hAnsi="Palatino Linotype"/>
          <w:b/>
          <w:bCs/>
          <w:kern w:val="24"/>
        </w:rPr>
        <w:t>Revised Code § 4929.111 Does Not Require A Showing Of Extraordinary Circumstances Before The Commission May Approve Deferrals Associated With A Capital Expenditure Program</w:t>
      </w:r>
    </w:p>
    <w:p w:rsidR="006F6F0C" w:rsidRDefault="0009648B" w:rsidP="006F6F0C">
      <w:pPr>
        <w:spacing w:after="320" w:line="320" w:lineRule="exact"/>
        <w:ind w:right="187"/>
        <w:jc w:val="both"/>
        <w:rPr>
          <w:rFonts w:ascii="Palatino Linotype" w:hAnsi="Palatino Linotype"/>
        </w:rPr>
      </w:pPr>
      <w:r w:rsidRPr="0009648B">
        <w:rPr>
          <w:rFonts w:ascii="Palatino Linotype" w:hAnsi="Palatino Linotype"/>
          <w:bCs/>
          <w:kern w:val="24"/>
        </w:rPr>
        <w:tab/>
        <w:t xml:space="preserve">The OCC Application for Rehearing contains three headings that summarize the OCC’s allegations of error. All three of these headings relate to the OCC’s allegation that the Commission failed to </w:t>
      </w:r>
      <w:r w:rsidRPr="0009648B">
        <w:rPr>
          <w:rFonts w:ascii="Palatino Linotype" w:hAnsi="Palatino Linotype"/>
        </w:rPr>
        <w:t>include the actual CEP-related investment in the calculation of a cap.</w:t>
      </w:r>
      <w:r>
        <w:rPr>
          <w:rFonts w:ascii="Palatino Linotype" w:hAnsi="Palatino Linotype"/>
        </w:rPr>
        <w:t xml:space="preserve"> However, as an aside the OCC </w:t>
      </w:r>
      <w:r w:rsidR="00F20C7E">
        <w:rPr>
          <w:rFonts w:ascii="Palatino Linotype" w:hAnsi="Palatino Linotype"/>
        </w:rPr>
        <w:t xml:space="preserve">also </w:t>
      </w:r>
      <w:r>
        <w:rPr>
          <w:rFonts w:ascii="Palatino Linotype" w:hAnsi="Palatino Linotype"/>
        </w:rPr>
        <w:t xml:space="preserve">seems to suggest that the Commission should find the existence of extraordinary circumstances </w:t>
      </w:r>
      <w:r w:rsidR="0073738E">
        <w:rPr>
          <w:rFonts w:ascii="Palatino Linotype" w:hAnsi="Palatino Linotype"/>
        </w:rPr>
        <w:t>before authorizing the deferrals requested in this case.</w:t>
      </w:r>
      <w:r>
        <w:rPr>
          <w:rStyle w:val="FootnoteReference"/>
          <w:rFonts w:ascii="Palatino Linotype" w:hAnsi="Palatino Linotype"/>
        </w:rPr>
        <w:footnoteReference w:id="17"/>
      </w:r>
      <w:r w:rsidR="0073738E">
        <w:rPr>
          <w:rFonts w:ascii="Palatino Linotype" w:hAnsi="Palatino Linotype"/>
        </w:rPr>
        <w:t xml:space="preserve"> There is </w:t>
      </w:r>
      <w:r w:rsidR="006F6F0C">
        <w:rPr>
          <w:rFonts w:ascii="Palatino Linotype" w:hAnsi="Palatino Linotype"/>
        </w:rPr>
        <w:t>simply no statutory basis for the OCC’s suggestion.</w:t>
      </w:r>
    </w:p>
    <w:p w:rsidR="00FE470D" w:rsidRDefault="00FE470D" w:rsidP="006F6F0C">
      <w:pPr>
        <w:spacing w:after="320" w:line="320" w:lineRule="exact"/>
        <w:ind w:right="187"/>
        <w:jc w:val="both"/>
        <w:rPr>
          <w:rFonts w:ascii="Palatino Linotype" w:hAnsi="Palatino Linotype"/>
        </w:rPr>
      </w:pPr>
      <w:r>
        <w:rPr>
          <w:rFonts w:ascii="Palatino Linotype" w:hAnsi="Palatino Linotype"/>
        </w:rPr>
        <w:tab/>
        <w:t xml:space="preserve">Columbia’s application was filed pursuant to Rev. Code §§ 4909.18 and 4929.111, and it is this latter statute that specifically authorizes the accounting deferrals requested in this case. Rev. Code § 4929.111(C) states in pertinent part, </w:t>
      </w:r>
    </w:p>
    <w:p w:rsidR="00FE470D" w:rsidRDefault="00FE470D" w:rsidP="00FE470D">
      <w:pPr>
        <w:spacing w:after="320" w:line="320" w:lineRule="exact"/>
        <w:ind w:left="720" w:right="720"/>
        <w:jc w:val="both"/>
        <w:rPr>
          <w:rFonts w:ascii="Palatino Linotype" w:hAnsi="Palatino Linotype"/>
        </w:rPr>
      </w:pPr>
      <w:r w:rsidRPr="00FE470D">
        <w:rPr>
          <w:rFonts w:ascii="Palatino Linotype" w:hAnsi="Palatino Linotype"/>
        </w:rPr>
        <w:t>If the commission finds that the capital expenditure program is consistent with the natural gas company's obligation under section 4905.22 of the Revised Code to furnish necessary and adequate services and facilities, which services and facilities the commission finds to be just and reasonable, the commission shall approve the application.</w:t>
      </w:r>
    </w:p>
    <w:p w:rsidR="00FE470D" w:rsidRDefault="00FE470D" w:rsidP="006F6F0C">
      <w:pPr>
        <w:spacing w:after="320" w:line="320" w:lineRule="exact"/>
        <w:ind w:right="187"/>
        <w:jc w:val="both"/>
        <w:rPr>
          <w:rFonts w:ascii="Palatino Linotype" w:hAnsi="Palatino Linotype"/>
        </w:rPr>
      </w:pPr>
      <w:r>
        <w:rPr>
          <w:rFonts w:ascii="Palatino Linotype" w:hAnsi="Palatino Linotype"/>
        </w:rPr>
        <w:t>And, Rev. Code § 4929.111(D) further provides</w:t>
      </w:r>
    </w:p>
    <w:p w:rsidR="00FE470D" w:rsidRPr="00FE470D" w:rsidRDefault="00FE470D" w:rsidP="00FE470D">
      <w:pPr>
        <w:spacing w:after="320" w:line="320" w:lineRule="exact"/>
        <w:ind w:left="720" w:right="720"/>
        <w:jc w:val="both"/>
        <w:rPr>
          <w:rFonts w:ascii="Palatino Linotype" w:hAnsi="Palatino Linotype"/>
        </w:rPr>
      </w:pPr>
      <w:r w:rsidRPr="00FE470D">
        <w:rPr>
          <w:rFonts w:ascii="Palatino Linotype" w:hAnsi="Palatino Linotype"/>
        </w:rPr>
        <w:t>In approving an application under division (C) of this section, the commission shall authorize the natural gas company to defer or recover in an application that the natural gas company may file under section 4909.18, 4929.05, or 4929.11 of the Revised Code, both of the following:</w:t>
      </w:r>
    </w:p>
    <w:p w:rsidR="00FE470D" w:rsidRPr="00FE470D" w:rsidRDefault="00FE470D" w:rsidP="00FE470D">
      <w:pPr>
        <w:spacing w:after="320" w:line="320" w:lineRule="exact"/>
        <w:ind w:left="1170" w:right="720"/>
        <w:jc w:val="both"/>
        <w:rPr>
          <w:rFonts w:ascii="Palatino Linotype" w:hAnsi="Palatino Linotype"/>
        </w:rPr>
      </w:pPr>
      <w:r w:rsidRPr="00FE470D">
        <w:rPr>
          <w:rFonts w:ascii="Palatino Linotype" w:hAnsi="Palatino Linotype"/>
        </w:rPr>
        <w:t>(1) A regulatory asset for the post-in-service carrying costs on that portion of the assets of the capital expenditure program that are placed in service but not reflected in rates as plant in service;</w:t>
      </w:r>
    </w:p>
    <w:p w:rsidR="00FE470D" w:rsidRPr="00FE470D" w:rsidRDefault="00FE470D" w:rsidP="00FE470D">
      <w:pPr>
        <w:spacing w:after="320" w:line="320" w:lineRule="exact"/>
        <w:ind w:left="1080" w:right="720"/>
        <w:jc w:val="both"/>
        <w:rPr>
          <w:rFonts w:ascii="Palatino Linotype" w:hAnsi="Palatino Linotype"/>
        </w:rPr>
      </w:pPr>
      <w:r w:rsidRPr="00FE470D">
        <w:rPr>
          <w:rFonts w:ascii="Palatino Linotype" w:hAnsi="Palatino Linotype"/>
        </w:rPr>
        <w:t>(2) A regulatory asset for the incremental depreciation directly attributable to the capital expenditure program and the property tax expense directly attributable to the capital expenditure program.</w:t>
      </w:r>
    </w:p>
    <w:p w:rsidR="00FE470D" w:rsidRDefault="00FE470D" w:rsidP="006F6F0C">
      <w:pPr>
        <w:spacing w:after="320" w:line="320" w:lineRule="exact"/>
        <w:ind w:right="187"/>
        <w:jc w:val="both"/>
        <w:rPr>
          <w:rFonts w:ascii="Palatino Linotype" w:hAnsi="Palatino Linotype"/>
        </w:rPr>
      </w:pPr>
      <w:r>
        <w:rPr>
          <w:rFonts w:ascii="Palatino Linotype" w:hAnsi="Palatino Linotype"/>
        </w:rPr>
        <w:tab/>
        <w:t>In the Order, the Commission found that Columbia had satisfied the above statutory criteria.</w:t>
      </w:r>
      <w:r>
        <w:rPr>
          <w:rStyle w:val="FootnoteReference"/>
          <w:rFonts w:ascii="Palatino Linotype" w:hAnsi="Palatino Linotype"/>
        </w:rPr>
        <w:footnoteReference w:id="18"/>
      </w:r>
      <w:r w:rsidR="0099224E">
        <w:rPr>
          <w:rFonts w:ascii="Palatino Linotype" w:hAnsi="Palatino Linotype"/>
        </w:rPr>
        <w:t xml:space="preserve"> Pursuant to the statute, the Commission therefore was required to approve the CEP and the deferred accounting. Nowhere in the statute is there any requirement that the Commission first find that extraordinary circumstances exist. To require such a finding, as suggested by the OCC, would violate Rev. Code § 4929.111.</w:t>
      </w:r>
    </w:p>
    <w:p w:rsidR="00D93062" w:rsidRPr="009053AC" w:rsidRDefault="009053AC" w:rsidP="00E81783">
      <w:pPr>
        <w:spacing w:after="320" w:line="320" w:lineRule="exact"/>
        <w:ind w:right="187"/>
        <w:jc w:val="both"/>
        <w:rPr>
          <w:rFonts w:ascii="Palatino Linotype" w:hAnsi="Palatino Linotype"/>
          <w:b/>
          <w:bCs/>
          <w:kern w:val="24"/>
        </w:rPr>
      </w:pPr>
      <w:r w:rsidRPr="009053AC">
        <w:rPr>
          <w:rFonts w:ascii="Palatino Linotype" w:hAnsi="Palatino Linotype"/>
          <w:b/>
          <w:bCs/>
          <w:kern w:val="24"/>
        </w:rPr>
        <w:t>Conclusion</w:t>
      </w:r>
    </w:p>
    <w:p w:rsidR="00D93062" w:rsidRDefault="002F7D88" w:rsidP="00E81783">
      <w:pPr>
        <w:spacing w:after="320" w:line="320" w:lineRule="exact"/>
        <w:ind w:right="187" w:firstLine="720"/>
        <w:jc w:val="both"/>
        <w:rPr>
          <w:rFonts w:ascii="Palatino Linotype" w:eastAsia="Times" w:hAnsi="Palatino Linotype"/>
        </w:rPr>
      </w:pPr>
      <w:r>
        <w:rPr>
          <w:rFonts w:ascii="Palatino Linotype" w:eastAsia="Times" w:hAnsi="Palatino Linotype"/>
        </w:rPr>
        <w:t xml:space="preserve">The issues raised by the OCC on rehearing are not proper issues for rehearing because the issues are not based on the record in this case. Furthermore, even if the issues were properly before the Commission the proposal espoused by the OCC lacks any basis in statute or rule, and the impact of its proposal is far less than the OCC claims. </w:t>
      </w:r>
      <w:r w:rsidR="00C6310A">
        <w:rPr>
          <w:rFonts w:ascii="Palatino Linotype" w:eastAsia="Times" w:hAnsi="Palatino Linotype"/>
        </w:rPr>
        <w:t xml:space="preserve">For the reasons stated </w:t>
      </w:r>
      <w:r>
        <w:rPr>
          <w:rFonts w:ascii="Palatino Linotype" w:eastAsia="Times" w:hAnsi="Palatino Linotype"/>
        </w:rPr>
        <w:t>here</w:t>
      </w:r>
      <w:r w:rsidR="00C6310A">
        <w:rPr>
          <w:rFonts w:ascii="Palatino Linotype" w:eastAsia="Times" w:hAnsi="Palatino Linotype"/>
        </w:rPr>
        <w:t>in</w:t>
      </w:r>
      <w:r>
        <w:rPr>
          <w:rFonts w:ascii="Palatino Linotype" w:eastAsia="Times" w:hAnsi="Palatino Linotype"/>
        </w:rPr>
        <w:t>,</w:t>
      </w:r>
      <w:r w:rsidR="00C6310A">
        <w:rPr>
          <w:rFonts w:ascii="Palatino Linotype" w:eastAsia="Times" w:hAnsi="Palatino Linotype"/>
        </w:rPr>
        <w:t xml:space="preserve"> </w:t>
      </w:r>
      <w:r>
        <w:rPr>
          <w:rFonts w:ascii="Palatino Linotype" w:eastAsia="Times" w:hAnsi="Palatino Linotype"/>
        </w:rPr>
        <w:t>the Commission should deny the OCC’s Application for Rehearing.</w:t>
      </w:r>
    </w:p>
    <w:p w:rsidR="008253D9" w:rsidRDefault="008253D9">
      <w:pPr>
        <w:rPr>
          <w:rFonts w:ascii="Palatino Linotype" w:eastAsia="Times" w:hAnsi="Palatino Linotype"/>
        </w:rPr>
      </w:pPr>
      <w:r>
        <w:rPr>
          <w:rFonts w:ascii="Palatino Linotype" w:eastAsia="Times" w:hAnsi="Palatino Linotype"/>
        </w:rPr>
        <w:br w:type="page"/>
      </w:r>
    </w:p>
    <w:p w:rsidR="00D93062" w:rsidRDefault="00C6310A" w:rsidP="00E81783">
      <w:pPr>
        <w:spacing w:line="320" w:lineRule="exact"/>
        <w:ind w:left="3600" w:firstLine="720"/>
        <w:jc w:val="both"/>
        <w:rPr>
          <w:rFonts w:ascii="Palatino Linotype" w:eastAsia="Times" w:hAnsi="Palatino Linotype"/>
        </w:rPr>
      </w:pPr>
      <w:r>
        <w:rPr>
          <w:rFonts w:ascii="Palatino Linotype" w:eastAsia="Times" w:hAnsi="Palatino Linotype"/>
        </w:rPr>
        <w:t>Respectfully submitted,</w:t>
      </w:r>
    </w:p>
    <w:p w:rsidR="00D93062" w:rsidRDefault="00C6310A" w:rsidP="00E81783">
      <w:pPr>
        <w:spacing w:line="320" w:lineRule="exact"/>
        <w:jc w:val="both"/>
        <w:rPr>
          <w:rFonts w:ascii="Palatino Linotype" w:eastAsia="Times" w:hAnsi="Palatino Linotype"/>
          <w:b/>
          <w:spacing w:val="-12"/>
          <w:kern w:val="24"/>
        </w:rPr>
      </w:pP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b/>
          <w:spacing w:val="-12"/>
          <w:kern w:val="24"/>
        </w:rPr>
        <w:t>COLUMBIA GAS OF OHIO, INC.</w:t>
      </w:r>
    </w:p>
    <w:p w:rsidR="00D93062" w:rsidRDefault="00D93062" w:rsidP="00E81783">
      <w:pPr>
        <w:spacing w:line="320" w:lineRule="exact"/>
        <w:jc w:val="both"/>
        <w:rPr>
          <w:rFonts w:ascii="Palatino Linotype" w:eastAsia="Times" w:hAnsi="Palatino Linotype"/>
        </w:rPr>
      </w:pPr>
    </w:p>
    <w:p w:rsidR="00D93062" w:rsidRPr="00F43416" w:rsidRDefault="00C6310A" w:rsidP="00E81783">
      <w:pPr>
        <w:spacing w:line="320" w:lineRule="exact"/>
        <w:jc w:val="both"/>
        <w:rPr>
          <w:rFonts w:ascii="Palatino Linotype" w:eastAsia="Times" w:hAnsi="Palatino Linotype"/>
          <w:u w:val="single"/>
        </w:rPr>
      </w:pP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sidR="00F43416" w:rsidRPr="00F43416">
        <w:rPr>
          <w:rFonts w:ascii="Palatino Linotype" w:eastAsia="Times" w:hAnsi="Palatino Linotype"/>
          <w:u w:val="single"/>
        </w:rPr>
        <w:t>/s/ Stephen B. Seiple</w:t>
      </w:r>
      <w:r w:rsidR="00F43416">
        <w:rPr>
          <w:rFonts w:ascii="Palatino Linotype" w:eastAsia="Times" w:hAnsi="Palatino Linotype"/>
          <w:u w:val="single"/>
        </w:rPr>
        <w:tab/>
      </w:r>
      <w:r w:rsidR="00F43416">
        <w:rPr>
          <w:rFonts w:ascii="Palatino Linotype" w:eastAsia="Times" w:hAnsi="Palatino Linotype"/>
          <w:u w:val="single"/>
        </w:rPr>
        <w:tab/>
      </w:r>
      <w:r w:rsidR="00F43416">
        <w:rPr>
          <w:rFonts w:ascii="Palatino Linotype" w:eastAsia="Times" w:hAnsi="Palatino Linotype"/>
          <w:u w:val="single"/>
        </w:rPr>
        <w:tab/>
      </w:r>
      <w:r w:rsidR="00F43416">
        <w:rPr>
          <w:rFonts w:ascii="Palatino Linotype" w:eastAsia="Times" w:hAnsi="Palatino Linotype"/>
          <w:u w:val="single"/>
        </w:rPr>
        <w:tab/>
      </w:r>
    </w:p>
    <w:p w:rsidR="00D93062" w:rsidRDefault="00C6310A" w:rsidP="00E81783">
      <w:pPr>
        <w:spacing w:line="320" w:lineRule="exact"/>
        <w:jc w:val="both"/>
        <w:rPr>
          <w:rFonts w:ascii="Palatino Linotype" w:eastAsia="Times" w:hAnsi="Palatino Linotype"/>
        </w:rPr>
      </w:pP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t>Stephen B. Seiple</w:t>
      </w:r>
    </w:p>
    <w:p w:rsidR="00D93062" w:rsidRDefault="00D93062" w:rsidP="00E81783">
      <w:pPr>
        <w:spacing w:line="320" w:lineRule="exact"/>
        <w:jc w:val="both"/>
        <w:rPr>
          <w:rFonts w:ascii="Palatino Linotype" w:eastAsia="Times" w:hAnsi="Palatino Linotype"/>
        </w:rPr>
      </w:pPr>
    </w:p>
    <w:p w:rsidR="00D93062" w:rsidRDefault="00C6310A" w:rsidP="00E81783">
      <w:pPr>
        <w:spacing w:line="320" w:lineRule="exact"/>
        <w:jc w:val="both"/>
        <w:rPr>
          <w:rFonts w:ascii="Palatino Linotype" w:eastAsia="Times" w:hAnsi="Palatino Linotype"/>
        </w:rPr>
      </w:pP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t>Stephen B. Seiple, Asst. General Counsel</w:t>
      </w:r>
    </w:p>
    <w:p w:rsidR="00D93062" w:rsidRDefault="00C6310A" w:rsidP="00E81783">
      <w:pPr>
        <w:spacing w:line="320" w:lineRule="exact"/>
        <w:jc w:val="both"/>
        <w:rPr>
          <w:rFonts w:ascii="Palatino Linotype" w:eastAsia="Times" w:hAnsi="Palatino Linotype"/>
        </w:rPr>
      </w:pP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t>Brooke E. Leslie, Counsel</w:t>
      </w:r>
    </w:p>
    <w:p w:rsidR="00D93062" w:rsidRDefault="00C6310A" w:rsidP="00E81783">
      <w:pPr>
        <w:spacing w:line="320" w:lineRule="exact"/>
        <w:jc w:val="both"/>
        <w:rPr>
          <w:rFonts w:ascii="Palatino Linotype" w:eastAsia="Times" w:hAnsi="Palatino Linotype"/>
        </w:rPr>
      </w:pP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t>200 Civic Center Drive</w:t>
      </w:r>
    </w:p>
    <w:p w:rsidR="00D93062" w:rsidRDefault="00C6310A" w:rsidP="00E81783">
      <w:pPr>
        <w:spacing w:line="320" w:lineRule="exact"/>
        <w:jc w:val="both"/>
        <w:rPr>
          <w:rFonts w:ascii="Palatino Linotype" w:eastAsia="Times" w:hAnsi="Palatino Linotype"/>
        </w:rPr>
      </w:pP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t>P. O. Box 117</w:t>
      </w:r>
    </w:p>
    <w:p w:rsidR="00D93062" w:rsidRDefault="00C6310A" w:rsidP="00E81783">
      <w:pPr>
        <w:spacing w:line="320" w:lineRule="exact"/>
        <w:jc w:val="both"/>
        <w:rPr>
          <w:rFonts w:ascii="Palatino Linotype" w:eastAsia="Times" w:hAnsi="Palatino Linotype"/>
        </w:rPr>
      </w:pP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t>Columbus, Ohio 43216-0117</w:t>
      </w:r>
    </w:p>
    <w:p w:rsidR="00D93062" w:rsidRDefault="00C6310A" w:rsidP="00E81783">
      <w:pPr>
        <w:spacing w:line="320" w:lineRule="exact"/>
        <w:jc w:val="both"/>
        <w:rPr>
          <w:rFonts w:ascii="Palatino Linotype" w:eastAsia="Times" w:hAnsi="Palatino Linotype"/>
        </w:rPr>
      </w:pP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t>Telephone: (614) 460-4648</w:t>
      </w:r>
    </w:p>
    <w:p w:rsidR="00D93062" w:rsidRDefault="00C6310A" w:rsidP="00E81783">
      <w:pPr>
        <w:spacing w:line="320" w:lineRule="exact"/>
        <w:jc w:val="both"/>
        <w:rPr>
          <w:rFonts w:ascii="Palatino Linotype" w:eastAsia="Times" w:hAnsi="Palatino Linotype"/>
        </w:rPr>
      </w:pP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t>Fax: (614) 460-6986</w:t>
      </w:r>
    </w:p>
    <w:p w:rsidR="00D93062" w:rsidRDefault="00C6310A" w:rsidP="00E81783">
      <w:pPr>
        <w:spacing w:line="320" w:lineRule="exact"/>
        <w:jc w:val="both"/>
        <w:rPr>
          <w:rFonts w:ascii="Palatino Linotype" w:eastAsia="Times" w:hAnsi="Palatino Linotype"/>
        </w:rPr>
      </w:pP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t>Email:</w:t>
      </w:r>
      <w:r>
        <w:rPr>
          <w:rFonts w:ascii="Palatino Linotype" w:eastAsia="Times" w:hAnsi="Palatino Linotype"/>
        </w:rPr>
        <w:tab/>
        <w:t>sseiple@nisource.com</w:t>
      </w:r>
    </w:p>
    <w:p w:rsidR="00D93062" w:rsidRDefault="00C6310A" w:rsidP="00E81783">
      <w:pPr>
        <w:spacing w:line="320" w:lineRule="exact"/>
        <w:jc w:val="both"/>
        <w:rPr>
          <w:rFonts w:ascii="Palatino Linotype" w:eastAsia="Times" w:hAnsi="Palatino Linotype"/>
        </w:rPr>
      </w:pP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t>bleslie@nisource.com</w:t>
      </w:r>
    </w:p>
    <w:p w:rsidR="00D93062" w:rsidRDefault="00D93062" w:rsidP="00E81783">
      <w:pPr>
        <w:spacing w:line="320" w:lineRule="exact"/>
        <w:jc w:val="both"/>
        <w:rPr>
          <w:rFonts w:ascii="Palatino Linotype" w:eastAsia="Times" w:hAnsi="Palatino Linotype"/>
        </w:rPr>
      </w:pPr>
    </w:p>
    <w:p w:rsidR="00D93062" w:rsidRDefault="00C6310A" w:rsidP="00E81783">
      <w:pPr>
        <w:spacing w:line="320" w:lineRule="exact"/>
        <w:jc w:val="both"/>
        <w:rPr>
          <w:rFonts w:ascii="Palatino Linotype" w:eastAsia="Times" w:hAnsi="Palatino Linotype"/>
        </w:rPr>
      </w:pP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t>Attorneys for Applicant</w:t>
      </w:r>
    </w:p>
    <w:p w:rsidR="00D93062" w:rsidRDefault="00C6310A" w:rsidP="00E81783">
      <w:pPr>
        <w:spacing w:line="320" w:lineRule="exact"/>
        <w:jc w:val="both"/>
        <w:rPr>
          <w:rFonts w:ascii="Palatino Linotype" w:eastAsia="Times" w:hAnsi="Palatino Linotype"/>
          <w:b/>
          <w:spacing w:val="-12"/>
          <w:kern w:val="24"/>
        </w:rPr>
      </w:pP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rPr>
        <w:tab/>
      </w:r>
      <w:r>
        <w:rPr>
          <w:rFonts w:ascii="Palatino Linotype" w:eastAsia="Times" w:hAnsi="Palatino Linotype"/>
          <w:b/>
          <w:spacing w:val="-12"/>
          <w:kern w:val="24"/>
        </w:rPr>
        <w:t>COLUMBIA GAS OF OHIO, INC.</w:t>
      </w:r>
    </w:p>
    <w:p w:rsidR="00D93062" w:rsidRDefault="00D93062" w:rsidP="00E81783">
      <w:pPr>
        <w:spacing w:line="320" w:lineRule="exact"/>
        <w:jc w:val="both"/>
        <w:rPr>
          <w:rFonts w:ascii="Palatino Linotype" w:eastAsia="Times" w:hAnsi="Palatino Linotype"/>
          <w:b/>
          <w:spacing w:val="-12"/>
        </w:rPr>
      </w:pPr>
    </w:p>
    <w:p w:rsidR="00D93062" w:rsidRDefault="00C6310A" w:rsidP="00E81783">
      <w:pPr>
        <w:jc w:val="both"/>
      </w:pPr>
      <w:r>
        <w:t xml:space="preserve"> </w:t>
      </w:r>
      <w:r>
        <w:br w:type="page"/>
      </w:r>
    </w:p>
    <w:p w:rsidR="00D93062" w:rsidRDefault="00C6310A" w:rsidP="008253D9">
      <w:pPr>
        <w:spacing w:line="320" w:lineRule="exact"/>
        <w:jc w:val="center"/>
        <w:rPr>
          <w:rFonts w:ascii="Palatino Linotype" w:hAnsi="Palatino Linotype"/>
          <w:spacing w:val="-12"/>
          <w:kern w:val="24"/>
        </w:rPr>
      </w:pPr>
      <w:r>
        <w:rPr>
          <w:rFonts w:ascii="Palatino Linotype" w:hAnsi="Palatino Linotype"/>
          <w:b/>
          <w:spacing w:val="-12"/>
          <w:kern w:val="24"/>
          <w:u w:val="single"/>
        </w:rPr>
        <w:t>CERTIFICATE OF SERVICE</w:t>
      </w:r>
    </w:p>
    <w:p w:rsidR="00D93062" w:rsidRDefault="00D93062" w:rsidP="00E81783">
      <w:pPr>
        <w:spacing w:line="320" w:lineRule="exact"/>
        <w:jc w:val="both"/>
        <w:rPr>
          <w:rFonts w:ascii="Palatino Linotype" w:hAnsi="Palatino Linotype"/>
        </w:rPr>
      </w:pPr>
    </w:p>
    <w:p w:rsidR="00D93062" w:rsidRDefault="00C6310A" w:rsidP="00C6310A">
      <w:pPr>
        <w:spacing w:after="320" w:line="320" w:lineRule="exact"/>
        <w:ind w:firstLine="720"/>
        <w:jc w:val="both"/>
        <w:rPr>
          <w:rFonts w:ascii="Palatino Linotype" w:hAnsi="Palatino Linotype"/>
        </w:rPr>
      </w:pPr>
      <w:r>
        <w:rPr>
          <w:rFonts w:ascii="Palatino Linotype" w:hAnsi="Palatino Linotype"/>
        </w:rPr>
        <w:t xml:space="preserve">I hereby certify that a true and accurate copy of the foregoing </w:t>
      </w:r>
      <w:r w:rsidR="008253D9">
        <w:rPr>
          <w:rFonts w:ascii="Palatino Linotype" w:hAnsi="Palatino Linotype"/>
        </w:rPr>
        <w:t xml:space="preserve">Memorandum Contra of Columbia Gas of Ohio, Inc. </w:t>
      </w:r>
      <w:r>
        <w:rPr>
          <w:rFonts w:ascii="Palatino Linotype" w:hAnsi="Palatino Linotype"/>
        </w:rPr>
        <w:t xml:space="preserve">sent by electronic mail to the parties listed below on this </w:t>
      </w:r>
      <w:r w:rsidR="008253D9">
        <w:rPr>
          <w:rFonts w:ascii="Palatino Linotype" w:hAnsi="Palatino Linotype"/>
        </w:rPr>
        <w:t>8</w:t>
      </w:r>
      <w:r w:rsidR="008253D9" w:rsidRPr="008253D9">
        <w:rPr>
          <w:rFonts w:ascii="Palatino Linotype" w:hAnsi="Palatino Linotype"/>
          <w:vertAlign w:val="superscript"/>
        </w:rPr>
        <w:t>th</w:t>
      </w:r>
      <w:r w:rsidR="008253D9">
        <w:rPr>
          <w:rFonts w:ascii="Palatino Linotype" w:hAnsi="Palatino Linotype"/>
        </w:rPr>
        <w:t xml:space="preserve"> </w:t>
      </w:r>
      <w:r>
        <w:rPr>
          <w:rFonts w:ascii="Palatino Linotype" w:hAnsi="Palatino Linotype"/>
        </w:rPr>
        <w:t>day of</w:t>
      </w:r>
      <w:r w:rsidR="008253D9">
        <w:rPr>
          <w:rFonts w:ascii="Palatino Linotype" w:hAnsi="Palatino Linotype"/>
        </w:rPr>
        <w:t xml:space="preserve"> October</w:t>
      </w:r>
      <w:r>
        <w:rPr>
          <w:rFonts w:ascii="Palatino Linotype" w:hAnsi="Palatino Linotype"/>
        </w:rPr>
        <w:t>, 2012.</w:t>
      </w:r>
    </w:p>
    <w:p w:rsidR="00D93062" w:rsidRDefault="00F43416">
      <w:pPr>
        <w:spacing w:line="320" w:lineRule="exact"/>
        <w:ind w:left="5040"/>
        <w:jc w:val="both"/>
        <w:rPr>
          <w:rFonts w:ascii="Palatino Linotype" w:hAnsi="Palatino Linotype"/>
        </w:rPr>
      </w:pPr>
      <w:r>
        <w:rPr>
          <w:rFonts w:ascii="Palatino Linotype" w:hAnsi="Palatino Linotype"/>
          <w:u w:val="single"/>
        </w:rPr>
        <w:t>/s/ Stephen B. Seiple</w:t>
      </w:r>
      <w:r w:rsidR="00C6310A">
        <w:rPr>
          <w:rFonts w:ascii="Palatino Linotype" w:hAnsi="Palatino Linotype"/>
          <w:u w:val="single"/>
        </w:rPr>
        <w:tab/>
      </w:r>
      <w:r w:rsidR="00C6310A">
        <w:rPr>
          <w:rFonts w:ascii="Palatino Linotype" w:hAnsi="Palatino Linotype"/>
          <w:u w:val="single"/>
        </w:rPr>
        <w:tab/>
      </w:r>
      <w:r w:rsidR="00C6310A">
        <w:rPr>
          <w:rFonts w:ascii="Palatino Linotype" w:hAnsi="Palatino Linotype"/>
          <w:u w:val="single"/>
        </w:rPr>
        <w:tab/>
      </w:r>
    </w:p>
    <w:p w:rsidR="00D93062" w:rsidRDefault="00C6310A">
      <w:pPr>
        <w:spacing w:line="320" w:lineRule="exact"/>
        <w:ind w:left="5040"/>
        <w:jc w:val="both"/>
        <w:rPr>
          <w:rFonts w:ascii="Palatino Linotype" w:hAnsi="Palatino Linotype"/>
        </w:rPr>
      </w:pPr>
      <w:r>
        <w:rPr>
          <w:rFonts w:ascii="Palatino Linotype" w:hAnsi="Palatino Linotype"/>
        </w:rPr>
        <w:t>Stephen B. Seiple</w:t>
      </w:r>
    </w:p>
    <w:p w:rsidR="00D93062" w:rsidRDefault="00C6310A">
      <w:pPr>
        <w:spacing w:line="320" w:lineRule="exact"/>
        <w:ind w:left="5040"/>
        <w:jc w:val="both"/>
        <w:rPr>
          <w:rFonts w:ascii="Palatino Linotype" w:hAnsi="Palatino Linotype"/>
        </w:rPr>
      </w:pPr>
      <w:r>
        <w:rPr>
          <w:rFonts w:ascii="Palatino Linotype" w:hAnsi="Palatino Linotype"/>
        </w:rPr>
        <w:t xml:space="preserve">Attorney for </w:t>
      </w:r>
    </w:p>
    <w:p w:rsidR="00D93062" w:rsidRDefault="00C6310A">
      <w:pPr>
        <w:spacing w:line="320" w:lineRule="exact"/>
        <w:ind w:left="5040"/>
        <w:jc w:val="both"/>
        <w:rPr>
          <w:rFonts w:ascii="Palatino Linotype" w:hAnsi="Palatino Linotype"/>
          <w:b/>
          <w:spacing w:val="-12"/>
          <w:kern w:val="24"/>
        </w:rPr>
      </w:pPr>
      <w:r>
        <w:rPr>
          <w:rFonts w:ascii="Palatino Linotype" w:hAnsi="Palatino Linotype"/>
          <w:b/>
          <w:spacing w:val="-12"/>
          <w:kern w:val="24"/>
        </w:rPr>
        <w:t>COLUMBIA GAS OF OHIO, INC.</w:t>
      </w:r>
    </w:p>
    <w:p w:rsidR="00D93062" w:rsidRDefault="00D93062">
      <w:pPr>
        <w:spacing w:after="320" w:line="320" w:lineRule="exact"/>
        <w:ind w:firstLine="720"/>
        <w:jc w:val="both"/>
        <w:rPr>
          <w:rFonts w:ascii="Palatino Linotype" w:hAnsi="Palatino Linotype"/>
        </w:rPr>
      </w:pPr>
    </w:p>
    <w:p w:rsidR="008253D9" w:rsidRPr="008253D9" w:rsidRDefault="008253D9" w:rsidP="008253D9">
      <w:pPr>
        <w:spacing w:after="320" w:line="320" w:lineRule="exact"/>
        <w:jc w:val="center"/>
        <w:rPr>
          <w:rFonts w:ascii="Palatino Linotype" w:hAnsi="Palatino Linotype"/>
          <w:b/>
          <w:spacing w:val="-12"/>
          <w:u w:val="single"/>
        </w:rPr>
      </w:pPr>
      <w:r w:rsidRPr="008253D9">
        <w:rPr>
          <w:rFonts w:ascii="Palatino Linotype" w:hAnsi="Palatino Linotype"/>
          <w:b/>
          <w:spacing w:val="-12"/>
          <w:u w:val="single"/>
        </w:rPr>
        <w:t>SERVICE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D93062">
        <w:tc>
          <w:tcPr>
            <w:tcW w:w="4428" w:type="dxa"/>
          </w:tcPr>
          <w:p w:rsidR="00D93062" w:rsidRDefault="00C6310A" w:rsidP="00E81783">
            <w:pPr>
              <w:spacing w:line="320" w:lineRule="exact"/>
              <w:jc w:val="both"/>
            </w:pPr>
            <w:r>
              <w:t xml:space="preserve">Joseph P. </w:t>
            </w:r>
            <w:proofErr w:type="spellStart"/>
            <w:r>
              <w:t>Serio</w:t>
            </w:r>
            <w:proofErr w:type="spellEnd"/>
          </w:p>
          <w:p w:rsidR="00D93062" w:rsidRDefault="00C6310A" w:rsidP="00E81783">
            <w:pPr>
              <w:spacing w:line="320" w:lineRule="exact"/>
              <w:jc w:val="both"/>
            </w:pPr>
            <w:r>
              <w:t>Assistant Consumers’ Counsel</w:t>
            </w:r>
          </w:p>
          <w:p w:rsidR="00D93062" w:rsidRDefault="00C6310A" w:rsidP="00E81783">
            <w:pPr>
              <w:spacing w:line="320" w:lineRule="exact"/>
              <w:jc w:val="both"/>
            </w:pPr>
            <w:r>
              <w:t>10 West Broad Street, Suite 1800</w:t>
            </w:r>
          </w:p>
          <w:p w:rsidR="00D93062" w:rsidRDefault="00C6310A" w:rsidP="00E81783">
            <w:pPr>
              <w:spacing w:line="320" w:lineRule="exact"/>
              <w:jc w:val="both"/>
            </w:pPr>
            <w:r>
              <w:t>Columbus, OH 43215-3485</w:t>
            </w:r>
          </w:p>
          <w:p w:rsidR="00D93062" w:rsidRDefault="00C6310A" w:rsidP="00E81783">
            <w:pPr>
              <w:spacing w:line="320" w:lineRule="exact"/>
              <w:jc w:val="both"/>
            </w:pPr>
            <w:r>
              <w:t>serio@occ.state.oh.us</w:t>
            </w:r>
          </w:p>
        </w:tc>
        <w:tc>
          <w:tcPr>
            <w:tcW w:w="4428" w:type="dxa"/>
          </w:tcPr>
          <w:p w:rsidR="00D93062" w:rsidRDefault="00C6310A" w:rsidP="00E81783">
            <w:pPr>
              <w:spacing w:line="320" w:lineRule="exact"/>
              <w:jc w:val="both"/>
            </w:pPr>
            <w:r>
              <w:t>Colleen L. Mooney</w:t>
            </w:r>
          </w:p>
          <w:p w:rsidR="00D93062" w:rsidRDefault="00C6310A" w:rsidP="00E81783">
            <w:pPr>
              <w:spacing w:line="320" w:lineRule="exact"/>
              <w:jc w:val="both"/>
            </w:pPr>
            <w:r>
              <w:t>Ohio Partners for Affordable Energy</w:t>
            </w:r>
          </w:p>
          <w:p w:rsidR="00D93062" w:rsidRDefault="00C6310A" w:rsidP="00E81783">
            <w:pPr>
              <w:spacing w:line="320" w:lineRule="exact"/>
              <w:jc w:val="both"/>
            </w:pPr>
            <w:r>
              <w:t>231 West Lima Street</w:t>
            </w:r>
          </w:p>
          <w:p w:rsidR="00D93062" w:rsidRDefault="00C6310A" w:rsidP="00E81783">
            <w:pPr>
              <w:spacing w:line="320" w:lineRule="exact"/>
              <w:jc w:val="both"/>
            </w:pPr>
            <w:r>
              <w:t>P.O. Box 1793</w:t>
            </w:r>
          </w:p>
          <w:p w:rsidR="00D93062" w:rsidRDefault="00C6310A" w:rsidP="00E81783">
            <w:pPr>
              <w:spacing w:line="320" w:lineRule="exact"/>
              <w:jc w:val="both"/>
            </w:pPr>
            <w:r>
              <w:t>Findlay, OH 45839-1793</w:t>
            </w:r>
          </w:p>
          <w:p w:rsidR="00D93062" w:rsidRDefault="00C6310A" w:rsidP="00E81783">
            <w:pPr>
              <w:spacing w:line="320" w:lineRule="exact"/>
              <w:jc w:val="both"/>
            </w:pPr>
            <w:r>
              <w:t>cmooney2@columbus.rr.com</w:t>
            </w:r>
          </w:p>
          <w:p w:rsidR="00D93062" w:rsidRDefault="00D93062" w:rsidP="00E81783">
            <w:pPr>
              <w:spacing w:line="320" w:lineRule="exact"/>
              <w:jc w:val="both"/>
            </w:pPr>
          </w:p>
        </w:tc>
      </w:tr>
      <w:tr w:rsidR="00D93062">
        <w:tc>
          <w:tcPr>
            <w:tcW w:w="4428" w:type="dxa"/>
          </w:tcPr>
          <w:p w:rsidR="00D93062" w:rsidRDefault="00C6310A" w:rsidP="00E81783">
            <w:pPr>
              <w:spacing w:line="320" w:lineRule="exact"/>
              <w:jc w:val="both"/>
            </w:pPr>
            <w:r>
              <w:t>Stephen A. Reilly</w:t>
            </w:r>
          </w:p>
          <w:p w:rsidR="00D93062" w:rsidRDefault="00C6310A" w:rsidP="00E81783">
            <w:pPr>
              <w:spacing w:line="320" w:lineRule="exact"/>
              <w:jc w:val="both"/>
            </w:pPr>
            <w:r>
              <w:t>Assistant Attorney General</w:t>
            </w:r>
          </w:p>
          <w:p w:rsidR="00D93062" w:rsidRDefault="00C6310A" w:rsidP="00E81783">
            <w:pPr>
              <w:spacing w:line="320" w:lineRule="exact"/>
              <w:jc w:val="both"/>
            </w:pPr>
            <w:r>
              <w:t>Public Utilities Commission of Ohio</w:t>
            </w:r>
          </w:p>
          <w:p w:rsidR="00D93062" w:rsidRDefault="00C6310A" w:rsidP="00E81783">
            <w:pPr>
              <w:spacing w:line="320" w:lineRule="exact"/>
              <w:jc w:val="both"/>
            </w:pPr>
            <w:r>
              <w:t>180 East Broad Street, 6th Floor</w:t>
            </w:r>
          </w:p>
          <w:p w:rsidR="00D93062" w:rsidRDefault="00C6310A" w:rsidP="00E81783">
            <w:pPr>
              <w:spacing w:line="320" w:lineRule="exact"/>
              <w:jc w:val="both"/>
            </w:pPr>
            <w:r>
              <w:t>Columbus, OH 43215</w:t>
            </w:r>
          </w:p>
          <w:p w:rsidR="00D93062" w:rsidRDefault="00C6310A" w:rsidP="00E81783">
            <w:pPr>
              <w:spacing w:line="320" w:lineRule="exact"/>
              <w:jc w:val="both"/>
            </w:pPr>
            <w:r>
              <w:t>stephen.reilly@puc.state.oh.us</w:t>
            </w:r>
          </w:p>
        </w:tc>
        <w:tc>
          <w:tcPr>
            <w:tcW w:w="4428" w:type="dxa"/>
          </w:tcPr>
          <w:p w:rsidR="00D93062" w:rsidRDefault="00D93062" w:rsidP="00E81783">
            <w:pPr>
              <w:spacing w:line="320" w:lineRule="exact"/>
              <w:jc w:val="both"/>
            </w:pPr>
          </w:p>
        </w:tc>
      </w:tr>
    </w:tbl>
    <w:p w:rsidR="00D93062" w:rsidRDefault="00D93062" w:rsidP="00E81783">
      <w:pPr>
        <w:jc w:val="both"/>
      </w:pPr>
    </w:p>
    <w:sectPr w:rsidR="00D9306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AC" w:rsidRDefault="009053AC">
      <w:r>
        <w:separator/>
      </w:r>
    </w:p>
  </w:endnote>
  <w:endnote w:type="continuationSeparator" w:id="0">
    <w:p w:rsidR="009053AC" w:rsidRDefault="0090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FC" w:rsidRDefault="005B4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286761"/>
      <w:docPartObj>
        <w:docPartGallery w:val="Page Numbers (Bottom of Page)"/>
        <w:docPartUnique/>
      </w:docPartObj>
    </w:sdtPr>
    <w:sdtEndPr>
      <w:rPr>
        <w:noProof/>
      </w:rPr>
    </w:sdtEndPr>
    <w:sdtContent>
      <w:p w:rsidR="009053AC" w:rsidRDefault="009053AC">
        <w:pPr>
          <w:pStyle w:val="Footer"/>
          <w:jc w:val="center"/>
        </w:pPr>
        <w:r>
          <w:fldChar w:fldCharType="begin"/>
        </w:r>
        <w:r>
          <w:instrText xml:space="preserve"> PAGE   \* MERGEFORMAT </w:instrText>
        </w:r>
        <w:r>
          <w:fldChar w:fldCharType="separate"/>
        </w:r>
        <w:r w:rsidR="005B40FC">
          <w:rPr>
            <w:noProof/>
          </w:rPr>
          <w:t>2</w:t>
        </w:r>
        <w:r>
          <w:rPr>
            <w:noProof/>
          </w:rPr>
          <w:fldChar w:fldCharType="end"/>
        </w:r>
      </w:p>
    </w:sdtContent>
  </w:sdt>
  <w:p w:rsidR="009053AC" w:rsidRDefault="00905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FC" w:rsidRDefault="005B4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AC" w:rsidRDefault="009053AC">
      <w:r>
        <w:separator/>
      </w:r>
    </w:p>
  </w:footnote>
  <w:footnote w:type="continuationSeparator" w:id="0">
    <w:p w:rsidR="009053AC" w:rsidRDefault="009053AC">
      <w:r>
        <w:continuationSeparator/>
      </w:r>
    </w:p>
  </w:footnote>
  <w:footnote w:id="1">
    <w:p w:rsidR="009053AC" w:rsidRPr="00207832" w:rsidRDefault="009053AC">
      <w:pPr>
        <w:pStyle w:val="FootnoteText"/>
        <w:rPr>
          <w:rFonts w:ascii="Palatino Linotype" w:hAnsi="Palatino Linotype"/>
          <w:sz w:val="20"/>
          <w:szCs w:val="20"/>
        </w:rPr>
      </w:pPr>
      <w:r w:rsidRPr="00207832">
        <w:rPr>
          <w:rStyle w:val="FootnoteReference"/>
          <w:rFonts w:ascii="Palatino Linotype" w:hAnsi="Palatino Linotype"/>
          <w:sz w:val="20"/>
          <w:szCs w:val="20"/>
        </w:rPr>
        <w:footnoteRef/>
      </w:r>
      <w:r w:rsidRPr="00207832">
        <w:rPr>
          <w:rFonts w:ascii="Palatino Linotype" w:hAnsi="Palatino Linotype"/>
          <w:sz w:val="20"/>
          <w:szCs w:val="20"/>
        </w:rPr>
        <w:t xml:space="preserve"> OCC Application for Rehearing (September 28, 2012) at 6.</w:t>
      </w:r>
    </w:p>
  </w:footnote>
  <w:footnote w:id="2">
    <w:p w:rsidR="00246445" w:rsidRPr="00246445" w:rsidRDefault="00246445">
      <w:pPr>
        <w:pStyle w:val="FootnoteText"/>
        <w:rPr>
          <w:rFonts w:ascii="Palatino Linotype" w:hAnsi="Palatino Linotype"/>
          <w:sz w:val="20"/>
          <w:szCs w:val="20"/>
        </w:rPr>
      </w:pPr>
      <w:r w:rsidRPr="00246445">
        <w:rPr>
          <w:rStyle w:val="FootnoteReference"/>
          <w:rFonts w:ascii="Palatino Linotype" w:hAnsi="Palatino Linotype"/>
          <w:sz w:val="20"/>
          <w:szCs w:val="20"/>
        </w:rPr>
        <w:footnoteRef/>
      </w:r>
      <w:r w:rsidRPr="00246445">
        <w:rPr>
          <w:rFonts w:ascii="Palatino Linotype" w:hAnsi="Palatino Linotype"/>
          <w:sz w:val="20"/>
          <w:szCs w:val="20"/>
        </w:rPr>
        <w:t xml:space="preserve"> </w:t>
      </w:r>
      <w:r w:rsidRPr="00246445">
        <w:rPr>
          <w:rFonts w:ascii="Palatino Linotype" w:hAnsi="Palatino Linotype"/>
          <w:i/>
          <w:sz w:val="20"/>
          <w:szCs w:val="20"/>
        </w:rPr>
        <w:t xml:space="preserve">Ideal Transportation, Inc. v. Pub. Util. </w:t>
      </w:r>
      <w:proofErr w:type="spellStart"/>
      <w:r w:rsidRPr="00246445">
        <w:rPr>
          <w:rFonts w:ascii="Palatino Linotype" w:hAnsi="Palatino Linotype"/>
          <w:i/>
          <w:sz w:val="20"/>
          <w:szCs w:val="20"/>
        </w:rPr>
        <w:t>Com’n</w:t>
      </w:r>
      <w:proofErr w:type="spellEnd"/>
      <w:r w:rsidRPr="00246445">
        <w:rPr>
          <w:rFonts w:ascii="Palatino Linotype" w:hAnsi="Palatino Linotype"/>
          <w:i/>
          <w:sz w:val="20"/>
          <w:szCs w:val="20"/>
        </w:rPr>
        <w:t>.</w:t>
      </w:r>
      <w:r w:rsidRPr="00246445">
        <w:rPr>
          <w:rFonts w:ascii="Palatino Linotype" w:hAnsi="Palatino Linotype"/>
          <w:sz w:val="20"/>
          <w:szCs w:val="20"/>
        </w:rPr>
        <w:t>, 42 Ohio St. 2d 195, syllabus number 2 (1975).</w:t>
      </w:r>
    </w:p>
  </w:footnote>
  <w:footnote w:id="3">
    <w:p w:rsidR="009053AC" w:rsidRPr="00207832" w:rsidRDefault="009053AC" w:rsidP="00207832">
      <w:pPr>
        <w:pStyle w:val="FootnoteText"/>
        <w:jc w:val="both"/>
        <w:rPr>
          <w:rFonts w:ascii="Palatino Linotype" w:hAnsi="Palatino Linotype"/>
          <w:sz w:val="20"/>
          <w:szCs w:val="20"/>
        </w:rPr>
      </w:pPr>
      <w:r w:rsidRPr="00207832">
        <w:rPr>
          <w:rStyle w:val="FootnoteReference"/>
          <w:rFonts w:ascii="Palatino Linotype" w:hAnsi="Palatino Linotype"/>
          <w:sz w:val="20"/>
          <w:szCs w:val="20"/>
        </w:rPr>
        <w:footnoteRef/>
      </w:r>
      <w:r w:rsidRPr="00207832">
        <w:rPr>
          <w:rFonts w:ascii="Palatino Linotype" w:hAnsi="Palatino Linotype"/>
          <w:sz w:val="20"/>
          <w:szCs w:val="20"/>
        </w:rPr>
        <w:t xml:space="preserve"> </w:t>
      </w:r>
      <w:r w:rsidRPr="00207832">
        <w:rPr>
          <w:rFonts w:ascii="Palatino Linotype" w:hAnsi="Palatino Linotype"/>
          <w:i/>
          <w:sz w:val="20"/>
          <w:szCs w:val="20"/>
        </w:rPr>
        <w:t>In the Matter of the Application of Bay Shore Unit 1 for Certification as an Eligible Ohio Renewable E</w:t>
      </w:r>
      <w:r w:rsidRPr="00207832">
        <w:rPr>
          <w:rFonts w:ascii="Palatino Linotype" w:hAnsi="Palatino Linotype"/>
          <w:i/>
          <w:sz w:val="20"/>
          <w:szCs w:val="20"/>
        </w:rPr>
        <w:t>n</w:t>
      </w:r>
      <w:r w:rsidRPr="00207832">
        <w:rPr>
          <w:rFonts w:ascii="Palatino Linotype" w:hAnsi="Palatino Linotype"/>
          <w:i/>
          <w:sz w:val="20"/>
          <w:szCs w:val="20"/>
        </w:rPr>
        <w:t>ergy Resource Generating Facility</w:t>
      </w:r>
      <w:r w:rsidRPr="00207832">
        <w:rPr>
          <w:rFonts w:ascii="Palatino Linotype" w:hAnsi="Palatino Linotype"/>
          <w:sz w:val="20"/>
          <w:szCs w:val="20"/>
        </w:rPr>
        <w:t xml:space="preserve">, </w:t>
      </w:r>
      <w:r>
        <w:rPr>
          <w:rFonts w:ascii="Palatino Linotype" w:hAnsi="Palatino Linotype"/>
          <w:sz w:val="20"/>
          <w:szCs w:val="20"/>
        </w:rPr>
        <w:t>Case No. 09-1042-EL-REN, 2010 Ohio PUC LEXIS 687, Entry on Rehearing (June 16, 2010).</w:t>
      </w:r>
    </w:p>
  </w:footnote>
  <w:footnote w:id="4">
    <w:p w:rsidR="009053AC" w:rsidRPr="00087EFA" w:rsidRDefault="009053AC">
      <w:pPr>
        <w:pStyle w:val="FootnoteText"/>
        <w:rPr>
          <w:rFonts w:ascii="Palatino Linotype" w:hAnsi="Palatino Linotype"/>
          <w:sz w:val="20"/>
          <w:szCs w:val="20"/>
        </w:rPr>
      </w:pPr>
      <w:r w:rsidRPr="00087EFA">
        <w:rPr>
          <w:rStyle w:val="FootnoteReference"/>
          <w:rFonts w:ascii="Palatino Linotype" w:hAnsi="Palatino Linotype"/>
          <w:sz w:val="20"/>
          <w:szCs w:val="20"/>
        </w:rPr>
        <w:footnoteRef/>
      </w:r>
      <w:r w:rsidRPr="00087EFA">
        <w:rPr>
          <w:rFonts w:ascii="Palatino Linotype" w:hAnsi="Palatino Linotype"/>
          <w:sz w:val="20"/>
          <w:szCs w:val="20"/>
        </w:rPr>
        <w:t xml:space="preserve"> </w:t>
      </w:r>
      <w:r w:rsidRPr="00087EFA">
        <w:rPr>
          <w:rFonts w:ascii="Palatino Linotype" w:hAnsi="Palatino Linotype"/>
          <w:i/>
          <w:sz w:val="20"/>
          <w:szCs w:val="20"/>
        </w:rPr>
        <w:t>Id.</w:t>
      </w:r>
      <w:r w:rsidRPr="00087EFA">
        <w:rPr>
          <w:rFonts w:ascii="Palatino Linotype" w:hAnsi="Palatino Linotype"/>
          <w:sz w:val="20"/>
          <w:szCs w:val="20"/>
        </w:rPr>
        <w:t xml:space="preserve"> at 5, paragraph 14.</w:t>
      </w:r>
    </w:p>
  </w:footnote>
  <w:footnote w:id="5">
    <w:p w:rsidR="009053AC" w:rsidRPr="00B94CBE" w:rsidRDefault="009053AC" w:rsidP="00B94CBE">
      <w:pPr>
        <w:pStyle w:val="FootnoteText"/>
        <w:jc w:val="both"/>
        <w:rPr>
          <w:rFonts w:ascii="Palatino Linotype" w:hAnsi="Palatino Linotype"/>
          <w:sz w:val="20"/>
          <w:szCs w:val="20"/>
        </w:rPr>
      </w:pPr>
      <w:r w:rsidRPr="00B94CBE">
        <w:rPr>
          <w:rStyle w:val="FootnoteReference"/>
          <w:rFonts w:ascii="Palatino Linotype" w:hAnsi="Palatino Linotype"/>
          <w:sz w:val="20"/>
          <w:szCs w:val="20"/>
        </w:rPr>
        <w:footnoteRef/>
      </w:r>
      <w:r w:rsidRPr="00B94CBE">
        <w:rPr>
          <w:rFonts w:ascii="Palatino Linotype" w:hAnsi="Palatino Linotype"/>
          <w:sz w:val="20"/>
          <w:szCs w:val="20"/>
        </w:rPr>
        <w:t xml:space="preserve"> Initial Comments of the OCC (February 17, 2012) at 12; Reply Comments Submitted on Behalf of the Staff (February 27, 2012) at 2-3.</w:t>
      </w:r>
    </w:p>
  </w:footnote>
  <w:footnote w:id="6">
    <w:p w:rsidR="009053AC" w:rsidRPr="00B94CBE" w:rsidRDefault="009053AC">
      <w:pPr>
        <w:pStyle w:val="FootnoteText"/>
        <w:rPr>
          <w:rFonts w:ascii="Palatino Linotype" w:hAnsi="Palatino Linotype"/>
          <w:sz w:val="20"/>
          <w:szCs w:val="20"/>
        </w:rPr>
      </w:pPr>
      <w:r w:rsidRPr="00B94CBE">
        <w:rPr>
          <w:rStyle w:val="FootnoteReference"/>
          <w:rFonts w:ascii="Palatino Linotype" w:hAnsi="Palatino Linotype"/>
          <w:sz w:val="20"/>
          <w:szCs w:val="20"/>
        </w:rPr>
        <w:footnoteRef/>
      </w:r>
      <w:r w:rsidRPr="00B94CBE">
        <w:rPr>
          <w:rFonts w:ascii="Palatino Linotype" w:hAnsi="Palatino Linotype"/>
          <w:sz w:val="20"/>
          <w:szCs w:val="20"/>
        </w:rPr>
        <w:t xml:space="preserve"> Supplemental Reply Comments of Columbia (July 26, 2012) at 4-5.</w:t>
      </w:r>
    </w:p>
  </w:footnote>
  <w:footnote w:id="7">
    <w:p w:rsidR="009053AC" w:rsidRPr="00486B40" w:rsidRDefault="009053AC">
      <w:pPr>
        <w:pStyle w:val="FootnoteText"/>
        <w:rPr>
          <w:rFonts w:ascii="Palatino Linotype" w:hAnsi="Palatino Linotype"/>
          <w:sz w:val="20"/>
          <w:szCs w:val="20"/>
        </w:rPr>
      </w:pPr>
      <w:r w:rsidRPr="00486B40">
        <w:rPr>
          <w:rStyle w:val="FootnoteReference"/>
          <w:rFonts w:ascii="Palatino Linotype" w:hAnsi="Palatino Linotype"/>
          <w:sz w:val="20"/>
          <w:szCs w:val="20"/>
        </w:rPr>
        <w:footnoteRef/>
      </w:r>
      <w:r w:rsidRPr="00486B40">
        <w:rPr>
          <w:rFonts w:ascii="Palatino Linotype" w:hAnsi="Palatino Linotype"/>
          <w:sz w:val="20"/>
          <w:szCs w:val="20"/>
        </w:rPr>
        <w:t xml:space="preserve"> Sur-Reply Comments of Staff (August 15, 2012) at 8.</w:t>
      </w:r>
    </w:p>
  </w:footnote>
  <w:footnote w:id="8">
    <w:p w:rsidR="009053AC" w:rsidRPr="00182CC6" w:rsidRDefault="009053AC">
      <w:pPr>
        <w:pStyle w:val="FootnoteText"/>
        <w:rPr>
          <w:rFonts w:ascii="Palatino Linotype" w:hAnsi="Palatino Linotype"/>
          <w:sz w:val="20"/>
          <w:szCs w:val="20"/>
        </w:rPr>
      </w:pPr>
      <w:r w:rsidRPr="00182CC6">
        <w:rPr>
          <w:rStyle w:val="FootnoteReference"/>
          <w:rFonts w:ascii="Palatino Linotype" w:hAnsi="Palatino Linotype"/>
          <w:sz w:val="20"/>
          <w:szCs w:val="20"/>
        </w:rPr>
        <w:footnoteRef/>
      </w:r>
      <w:r w:rsidRPr="00182CC6">
        <w:rPr>
          <w:rFonts w:ascii="Palatino Linotype" w:hAnsi="Palatino Linotype"/>
          <w:sz w:val="20"/>
          <w:szCs w:val="20"/>
        </w:rPr>
        <w:t xml:space="preserve"> Order at 12.</w:t>
      </w:r>
    </w:p>
  </w:footnote>
  <w:footnote w:id="9">
    <w:p w:rsidR="009053AC" w:rsidRPr="00315B1A" w:rsidRDefault="009053AC">
      <w:pPr>
        <w:pStyle w:val="FootnoteText"/>
        <w:rPr>
          <w:rFonts w:ascii="Palatino Linotype" w:hAnsi="Palatino Linotype"/>
          <w:sz w:val="20"/>
          <w:szCs w:val="20"/>
        </w:rPr>
      </w:pPr>
      <w:r w:rsidRPr="00315B1A">
        <w:rPr>
          <w:rStyle w:val="FootnoteReference"/>
          <w:rFonts w:ascii="Palatino Linotype" w:hAnsi="Palatino Linotype"/>
          <w:sz w:val="20"/>
          <w:szCs w:val="20"/>
        </w:rPr>
        <w:footnoteRef/>
      </w:r>
      <w:r w:rsidRPr="00315B1A">
        <w:rPr>
          <w:rFonts w:ascii="Palatino Linotype" w:hAnsi="Palatino Linotype"/>
          <w:sz w:val="20"/>
          <w:szCs w:val="20"/>
        </w:rPr>
        <w:t xml:space="preserve"> Order at 13.</w:t>
      </w:r>
    </w:p>
  </w:footnote>
  <w:footnote w:id="10">
    <w:p w:rsidR="009053AC" w:rsidRPr="00315B1A" w:rsidRDefault="009053AC">
      <w:pPr>
        <w:pStyle w:val="FootnoteText"/>
        <w:rPr>
          <w:rFonts w:ascii="Palatino Linotype" w:hAnsi="Palatino Linotype"/>
          <w:sz w:val="20"/>
          <w:szCs w:val="20"/>
        </w:rPr>
      </w:pPr>
      <w:r w:rsidRPr="00315B1A">
        <w:rPr>
          <w:rStyle w:val="FootnoteReference"/>
          <w:rFonts w:ascii="Palatino Linotype" w:hAnsi="Palatino Linotype"/>
          <w:sz w:val="20"/>
          <w:szCs w:val="20"/>
        </w:rPr>
        <w:footnoteRef/>
      </w:r>
      <w:r w:rsidRPr="00315B1A">
        <w:rPr>
          <w:rFonts w:ascii="Palatino Linotype" w:hAnsi="Palatino Linotype"/>
          <w:sz w:val="20"/>
          <w:szCs w:val="20"/>
        </w:rPr>
        <w:t xml:space="preserve"> OCC Application for Rehearing at 7-9.</w:t>
      </w:r>
    </w:p>
  </w:footnote>
  <w:footnote w:id="11">
    <w:p w:rsidR="009053AC" w:rsidRPr="00FA66B9" w:rsidRDefault="009053AC">
      <w:pPr>
        <w:pStyle w:val="FootnoteText"/>
        <w:rPr>
          <w:rFonts w:ascii="Palatino Linotype" w:hAnsi="Palatino Linotype"/>
          <w:sz w:val="20"/>
          <w:szCs w:val="20"/>
        </w:rPr>
      </w:pPr>
      <w:r w:rsidRPr="00FA66B9">
        <w:rPr>
          <w:rStyle w:val="FootnoteReference"/>
          <w:rFonts w:ascii="Palatino Linotype" w:hAnsi="Palatino Linotype"/>
          <w:sz w:val="20"/>
          <w:szCs w:val="20"/>
        </w:rPr>
        <w:footnoteRef/>
      </w:r>
      <w:r w:rsidRPr="00FA66B9">
        <w:rPr>
          <w:rFonts w:ascii="Palatino Linotype" w:hAnsi="Palatino Linotype"/>
          <w:sz w:val="20"/>
          <w:szCs w:val="20"/>
        </w:rPr>
        <w:t xml:space="preserve"> </w:t>
      </w:r>
      <w:r w:rsidRPr="00FA66B9">
        <w:rPr>
          <w:rFonts w:ascii="Palatino Linotype" w:hAnsi="Palatino Linotype"/>
          <w:i/>
          <w:sz w:val="20"/>
          <w:szCs w:val="20"/>
        </w:rPr>
        <w:t>Id.</w:t>
      </w:r>
      <w:r w:rsidRPr="00FA66B9">
        <w:rPr>
          <w:rFonts w:ascii="Palatino Linotype" w:hAnsi="Palatino Linotype"/>
          <w:sz w:val="20"/>
          <w:szCs w:val="20"/>
        </w:rPr>
        <w:t xml:space="preserve"> at 4.</w:t>
      </w:r>
    </w:p>
  </w:footnote>
  <w:footnote w:id="12">
    <w:p w:rsidR="009053AC" w:rsidRPr="00FA66B9" w:rsidRDefault="009053AC">
      <w:pPr>
        <w:pStyle w:val="FootnoteText"/>
        <w:rPr>
          <w:rFonts w:ascii="Palatino Linotype" w:hAnsi="Palatino Linotype"/>
          <w:sz w:val="20"/>
          <w:szCs w:val="20"/>
        </w:rPr>
      </w:pPr>
      <w:r w:rsidRPr="00FA66B9">
        <w:rPr>
          <w:rStyle w:val="FootnoteReference"/>
          <w:rFonts w:ascii="Palatino Linotype" w:hAnsi="Palatino Linotype"/>
          <w:sz w:val="20"/>
          <w:szCs w:val="20"/>
        </w:rPr>
        <w:footnoteRef/>
      </w:r>
      <w:r w:rsidRPr="00FA66B9">
        <w:rPr>
          <w:rFonts w:ascii="Palatino Linotype" w:hAnsi="Palatino Linotype"/>
          <w:sz w:val="20"/>
          <w:szCs w:val="20"/>
        </w:rPr>
        <w:t xml:space="preserve"> </w:t>
      </w:r>
      <w:r w:rsidRPr="00FA66B9">
        <w:rPr>
          <w:rFonts w:ascii="Palatino Linotype" w:hAnsi="Palatino Linotype"/>
          <w:i/>
          <w:sz w:val="20"/>
          <w:szCs w:val="20"/>
        </w:rPr>
        <w:t>Id</w:t>
      </w:r>
      <w:r w:rsidRPr="00FA66B9">
        <w:rPr>
          <w:rFonts w:ascii="Palatino Linotype" w:hAnsi="Palatino Linotype"/>
          <w:sz w:val="20"/>
          <w:szCs w:val="20"/>
        </w:rPr>
        <w:t>. at 6.</w:t>
      </w:r>
    </w:p>
  </w:footnote>
  <w:footnote w:id="13">
    <w:p w:rsidR="009053AC" w:rsidRPr="00315B1A" w:rsidRDefault="009053AC" w:rsidP="00182CC6">
      <w:pPr>
        <w:pStyle w:val="FootnoteText"/>
        <w:rPr>
          <w:rFonts w:ascii="Palatino Linotype" w:hAnsi="Palatino Linotype"/>
          <w:sz w:val="20"/>
          <w:szCs w:val="20"/>
        </w:rPr>
      </w:pPr>
      <w:r w:rsidRPr="00315B1A">
        <w:rPr>
          <w:rStyle w:val="FootnoteReference"/>
          <w:rFonts w:ascii="Palatino Linotype" w:hAnsi="Palatino Linotype"/>
          <w:sz w:val="20"/>
          <w:szCs w:val="20"/>
        </w:rPr>
        <w:footnoteRef/>
      </w:r>
      <w:r w:rsidRPr="00315B1A">
        <w:rPr>
          <w:rFonts w:ascii="Palatino Linotype" w:hAnsi="Palatino Linotype"/>
          <w:sz w:val="20"/>
          <w:szCs w:val="20"/>
        </w:rPr>
        <w:t xml:space="preserve"> OCC Application for Rehearing, Attachment A.</w:t>
      </w:r>
    </w:p>
  </w:footnote>
  <w:footnote w:id="14">
    <w:p w:rsidR="009053AC" w:rsidRPr="007D565A" w:rsidRDefault="009053AC" w:rsidP="007D565A">
      <w:pPr>
        <w:pStyle w:val="FootnoteText"/>
        <w:jc w:val="both"/>
        <w:rPr>
          <w:rFonts w:ascii="Palatino Linotype" w:hAnsi="Palatino Linotype"/>
          <w:sz w:val="20"/>
          <w:szCs w:val="20"/>
        </w:rPr>
      </w:pPr>
      <w:r w:rsidRPr="007D565A">
        <w:rPr>
          <w:rStyle w:val="FootnoteReference"/>
          <w:rFonts w:ascii="Palatino Linotype" w:hAnsi="Palatino Linotype"/>
          <w:sz w:val="20"/>
          <w:szCs w:val="20"/>
        </w:rPr>
        <w:footnoteRef/>
      </w:r>
      <w:r w:rsidRPr="007D565A">
        <w:rPr>
          <w:rFonts w:ascii="Palatino Linotype" w:hAnsi="Palatino Linotype"/>
          <w:sz w:val="20"/>
          <w:szCs w:val="20"/>
        </w:rPr>
        <w:t xml:space="preserve"> Results in an overstatement of rate base by </w:t>
      </w:r>
      <w:r>
        <w:rPr>
          <w:rFonts w:ascii="Palatino Linotype" w:hAnsi="Palatino Linotype"/>
          <w:sz w:val="20"/>
          <w:szCs w:val="20"/>
        </w:rPr>
        <w:t xml:space="preserve">over </w:t>
      </w:r>
      <w:r w:rsidRPr="007D565A">
        <w:rPr>
          <w:rFonts w:ascii="Palatino Linotype" w:hAnsi="Palatino Linotype"/>
          <w:sz w:val="20"/>
          <w:szCs w:val="20"/>
        </w:rPr>
        <w:t>$85,000,000 in 2023.</w:t>
      </w:r>
    </w:p>
  </w:footnote>
  <w:footnote w:id="15">
    <w:p w:rsidR="009053AC" w:rsidRPr="007D565A" w:rsidRDefault="009053AC" w:rsidP="007D565A">
      <w:pPr>
        <w:pStyle w:val="FootnoteText"/>
        <w:jc w:val="both"/>
        <w:rPr>
          <w:rFonts w:ascii="Palatino Linotype" w:hAnsi="Palatino Linotype"/>
          <w:sz w:val="20"/>
          <w:szCs w:val="20"/>
        </w:rPr>
      </w:pPr>
      <w:r w:rsidRPr="007D565A">
        <w:rPr>
          <w:rStyle w:val="FootnoteReference"/>
          <w:rFonts w:ascii="Palatino Linotype" w:hAnsi="Palatino Linotype"/>
          <w:sz w:val="20"/>
          <w:szCs w:val="20"/>
        </w:rPr>
        <w:footnoteRef/>
      </w:r>
      <w:r w:rsidRPr="007D565A">
        <w:rPr>
          <w:rFonts w:ascii="Palatino Linotype" w:hAnsi="Palatino Linotype"/>
          <w:sz w:val="20"/>
          <w:szCs w:val="20"/>
        </w:rPr>
        <w:t xml:space="preserve"> Results in an overstatement of rate base by an amount in excess of $</w:t>
      </w:r>
      <w:r w:rsidR="002C5C06">
        <w:rPr>
          <w:rFonts w:ascii="Palatino Linotype" w:hAnsi="Palatino Linotype"/>
          <w:sz w:val="20"/>
          <w:szCs w:val="20"/>
        </w:rPr>
        <w:t>598</w:t>
      </w:r>
      <w:r w:rsidRPr="007D565A">
        <w:rPr>
          <w:rFonts w:ascii="Palatino Linotype" w:hAnsi="Palatino Linotype"/>
          <w:sz w:val="20"/>
          <w:szCs w:val="20"/>
        </w:rPr>
        <w:t>,000,000 in 2023.</w:t>
      </w:r>
    </w:p>
  </w:footnote>
  <w:footnote w:id="16">
    <w:p w:rsidR="009053AC" w:rsidRPr="007D565A" w:rsidRDefault="009053AC" w:rsidP="007D565A">
      <w:pPr>
        <w:pStyle w:val="FootnoteText"/>
        <w:jc w:val="both"/>
        <w:rPr>
          <w:rFonts w:ascii="Palatino Linotype" w:hAnsi="Palatino Linotype"/>
          <w:sz w:val="20"/>
          <w:szCs w:val="20"/>
        </w:rPr>
      </w:pPr>
      <w:r w:rsidRPr="007D565A">
        <w:rPr>
          <w:rStyle w:val="FootnoteReference"/>
          <w:rFonts w:ascii="Palatino Linotype" w:hAnsi="Palatino Linotype"/>
          <w:sz w:val="20"/>
          <w:szCs w:val="20"/>
        </w:rPr>
        <w:footnoteRef/>
      </w:r>
      <w:r w:rsidRPr="007D565A">
        <w:rPr>
          <w:rFonts w:ascii="Palatino Linotype" w:hAnsi="Palatino Linotype"/>
          <w:sz w:val="20"/>
          <w:szCs w:val="20"/>
        </w:rPr>
        <w:t xml:space="preserve"> Results in an overstatement of rate base by an amount in excess of $46,000,000 in 2023.</w:t>
      </w:r>
    </w:p>
  </w:footnote>
  <w:footnote w:id="17">
    <w:p w:rsidR="009053AC" w:rsidRDefault="009053AC">
      <w:pPr>
        <w:pStyle w:val="FootnoteText"/>
      </w:pPr>
      <w:r>
        <w:rPr>
          <w:rStyle w:val="FootnoteReference"/>
        </w:rPr>
        <w:footnoteRef/>
      </w:r>
      <w:r>
        <w:t xml:space="preserve"> </w:t>
      </w:r>
      <w:r w:rsidRPr="00207832">
        <w:rPr>
          <w:rFonts w:ascii="Palatino Linotype" w:hAnsi="Palatino Linotype"/>
          <w:sz w:val="20"/>
          <w:szCs w:val="20"/>
        </w:rPr>
        <w:t>OCC Application for Rehearing (September 28, 2</w:t>
      </w:r>
      <w:r>
        <w:rPr>
          <w:rFonts w:ascii="Palatino Linotype" w:hAnsi="Palatino Linotype"/>
          <w:sz w:val="20"/>
          <w:szCs w:val="20"/>
        </w:rPr>
        <w:t>012) at 5</w:t>
      </w:r>
      <w:r w:rsidRPr="00207832">
        <w:rPr>
          <w:rFonts w:ascii="Palatino Linotype" w:hAnsi="Palatino Linotype"/>
          <w:sz w:val="20"/>
          <w:szCs w:val="20"/>
        </w:rPr>
        <w:t>.</w:t>
      </w:r>
    </w:p>
  </w:footnote>
  <w:footnote w:id="18">
    <w:p w:rsidR="009053AC" w:rsidRPr="00FE470D" w:rsidRDefault="009053AC">
      <w:pPr>
        <w:pStyle w:val="FootnoteText"/>
        <w:rPr>
          <w:rFonts w:ascii="Palatino Linotype" w:hAnsi="Palatino Linotype"/>
          <w:sz w:val="20"/>
          <w:szCs w:val="20"/>
        </w:rPr>
      </w:pPr>
      <w:r w:rsidRPr="00FE470D">
        <w:rPr>
          <w:rStyle w:val="FootnoteReference"/>
          <w:rFonts w:ascii="Palatino Linotype" w:hAnsi="Palatino Linotype"/>
          <w:sz w:val="20"/>
          <w:szCs w:val="20"/>
        </w:rPr>
        <w:footnoteRef/>
      </w:r>
      <w:r w:rsidRPr="00FE470D">
        <w:rPr>
          <w:rFonts w:ascii="Palatino Linotype" w:hAnsi="Palatino Linotype"/>
          <w:sz w:val="20"/>
          <w:szCs w:val="20"/>
        </w:rPr>
        <w:t xml:space="preserve"> Order at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FC" w:rsidRDefault="005B4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FC" w:rsidRDefault="005B4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FC" w:rsidRDefault="005B4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5C4"/>
    <w:multiLevelType w:val="hybridMultilevel"/>
    <w:tmpl w:val="675EE6F0"/>
    <w:lvl w:ilvl="0" w:tplc="04090019">
      <w:start w:val="1"/>
      <w:numFmt w:val="lowerLetter"/>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nsid w:val="05012BCA"/>
    <w:multiLevelType w:val="hybridMultilevel"/>
    <w:tmpl w:val="4D2AB6A6"/>
    <w:lvl w:ilvl="0" w:tplc="04090019">
      <w:start w:val="1"/>
      <w:numFmt w:val="lowerLetter"/>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nsid w:val="074E7002"/>
    <w:multiLevelType w:val="hybridMultilevel"/>
    <w:tmpl w:val="AADC2C4E"/>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8B82F31"/>
    <w:multiLevelType w:val="hybridMultilevel"/>
    <w:tmpl w:val="4656C6B2"/>
    <w:lvl w:ilvl="0" w:tplc="FFFFFFFF">
      <w:start w:val="1"/>
      <w:numFmt w:val="decimal"/>
      <w:lvlText w:val="%1."/>
      <w:lvlJc w:val="left"/>
      <w:pPr>
        <w:tabs>
          <w:tab w:val="num" w:pos="1080"/>
        </w:tabs>
        <w:ind w:left="1080" w:hanging="360"/>
      </w:pPr>
      <w:rPr>
        <w:rFonts w:hint="default"/>
      </w:rPr>
    </w:lvl>
    <w:lvl w:ilvl="1" w:tplc="43FA2488">
      <w:start w:val="1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42EF0"/>
    <w:multiLevelType w:val="hybridMultilevel"/>
    <w:tmpl w:val="E2DA5CEC"/>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14B76D3F"/>
    <w:multiLevelType w:val="hybridMultilevel"/>
    <w:tmpl w:val="0C80D39E"/>
    <w:lvl w:ilvl="0" w:tplc="FA38F4C4">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D72A6"/>
    <w:multiLevelType w:val="hybridMultilevel"/>
    <w:tmpl w:val="E110B890"/>
    <w:lvl w:ilvl="0" w:tplc="0409000F">
      <w:start w:val="1"/>
      <w:numFmt w:val="decimal"/>
      <w:lvlText w:val="%1."/>
      <w:lvlJc w:val="left"/>
      <w:pPr>
        <w:tabs>
          <w:tab w:val="num" w:pos="720"/>
        </w:tabs>
        <w:ind w:left="720" w:hanging="360"/>
      </w:pPr>
      <w:rPr>
        <w:rFonts w:hint="default"/>
      </w:rPr>
    </w:lvl>
    <w:lvl w:ilvl="1" w:tplc="3EBE8412">
      <w:start w:val="1"/>
      <w:numFmt w:val="lowerLetter"/>
      <w:lvlText w:val="%2."/>
      <w:lvlJc w:val="left"/>
      <w:pPr>
        <w:tabs>
          <w:tab w:val="num" w:pos="1800"/>
        </w:tabs>
        <w:ind w:left="1800" w:hanging="720"/>
      </w:pPr>
      <w:rPr>
        <w:rFonts w:hint="default"/>
      </w:rPr>
    </w:lvl>
    <w:lvl w:ilvl="2" w:tplc="E7487CBC">
      <w:start w:val="1"/>
      <w:numFmt w:val="decimal"/>
      <w:lvlText w:val="%3"/>
      <w:lvlJc w:val="left"/>
      <w:pPr>
        <w:tabs>
          <w:tab w:val="num" w:pos="2340"/>
        </w:tabs>
        <w:ind w:left="2340" w:hanging="360"/>
      </w:pPr>
      <w:rPr>
        <w:rFonts w:ascii="Arial" w:hAnsi="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FF2FAB"/>
    <w:multiLevelType w:val="hybridMultilevel"/>
    <w:tmpl w:val="EEBEA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8F1AB4"/>
    <w:multiLevelType w:val="multilevel"/>
    <w:tmpl w:val="0409001D"/>
    <w:styleLink w:val="Style1"/>
    <w:lvl w:ilvl="0">
      <w:start w:val="1"/>
      <w:numFmt w:val="decimal"/>
      <w:lvlText w:val="%1)"/>
      <w:lvlJc w:val="left"/>
      <w:pPr>
        <w:tabs>
          <w:tab w:val="num" w:pos="360"/>
        </w:tabs>
        <w:ind w:left="360" w:hanging="360"/>
      </w:pPr>
      <w:rPr>
        <w:rFonts w:ascii="Palatino Linotype" w:hAnsi="Palatino Linotype"/>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Palatino Linotype" w:hAnsi="Palatino Linotype"/>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D0616"/>
    <w:multiLevelType w:val="hybridMultilevel"/>
    <w:tmpl w:val="2DD6F4DA"/>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260"/>
        </w:tabs>
        <w:ind w:left="1260" w:hanging="360"/>
      </w:pPr>
    </w:lvl>
    <w:lvl w:ilvl="2" w:tplc="6094988E">
      <w:start w:val="1"/>
      <w:numFmt w:val="lowerLetter"/>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2BD42A5A"/>
    <w:multiLevelType w:val="hybridMultilevel"/>
    <w:tmpl w:val="15F2393E"/>
    <w:lvl w:ilvl="0" w:tplc="D22A478C">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B57F4B"/>
    <w:multiLevelType w:val="hybridMultilevel"/>
    <w:tmpl w:val="F892C030"/>
    <w:lvl w:ilvl="0" w:tplc="9D3ED72E">
      <w:start w:val="1"/>
      <w:numFmt w:val="decimal"/>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8584851"/>
    <w:multiLevelType w:val="hybridMultilevel"/>
    <w:tmpl w:val="2FB47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DE6B10"/>
    <w:multiLevelType w:val="hybridMultilevel"/>
    <w:tmpl w:val="0B7299C0"/>
    <w:lvl w:ilvl="0" w:tplc="F042C0C2">
      <w:start w:val="1"/>
      <w:numFmt w:val="decimal"/>
      <w:lvlText w:val="%1."/>
      <w:lvlJc w:val="left"/>
      <w:pPr>
        <w:tabs>
          <w:tab w:val="num" w:pos="720"/>
        </w:tabs>
        <w:ind w:left="720" w:hanging="360"/>
      </w:pPr>
      <w:rPr>
        <w:color w:val="auto"/>
      </w:rPr>
    </w:lvl>
    <w:lvl w:ilvl="1" w:tplc="AE7A23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EE1409"/>
    <w:multiLevelType w:val="hybridMultilevel"/>
    <w:tmpl w:val="E9C005CC"/>
    <w:lvl w:ilvl="0" w:tplc="CFB0074E">
      <w:start w:val="1"/>
      <w:numFmt w:val="lowerLetter"/>
      <w:lvlText w:val="%1)"/>
      <w:lvlJc w:val="left"/>
      <w:pPr>
        <w:tabs>
          <w:tab w:val="num" w:pos="1080"/>
        </w:tabs>
        <w:ind w:left="1080" w:hanging="360"/>
      </w:pPr>
      <w:rPr>
        <w:rFonts w:hint="default"/>
      </w:rPr>
    </w:lvl>
    <w:lvl w:ilvl="1" w:tplc="CFEC0D94">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FCB17C7"/>
    <w:multiLevelType w:val="hybridMultilevel"/>
    <w:tmpl w:val="C38C78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0140B59"/>
    <w:multiLevelType w:val="multilevel"/>
    <w:tmpl w:val="9BAA6FDA"/>
    <w:lvl w:ilvl="0">
      <w:start w:val="1"/>
      <w:numFmt w:val="decimal"/>
      <w:lvlText w:val="%1."/>
      <w:lvlJc w:val="left"/>
      <w:pPr>
        <w:tabs>
          <w:tab w:val="num" w:pos="720"/>
        </w:tabs>
        <w:ind w:left="720" w:hanging="360"/>
      </w:pPr>
      <w:rPr>
        <w:rFonts w:ascii="Times New Roman" w:hAnsi="Times New Roman" w:cs="Times New Roman" w:hint="default"/>
      </w:rPr>
    </w:lvl>
    <w:lvl w:ilvl="1">
      <w:start w:val="14"/>
      <w:numFmt w:val="decimal"/>
      <w:lvlText w:val="%2."/>
      <w:lvlJc w:val="left"/>
      <w:pPr>
        <w:tabs>
          <w:tab w:val="num" w:pos="1890"/>
        </w:tabs>
        <w:ind w:left="1890" w:hanging="81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497BAF"/>
    <w:multiLevelType w:val="hybridMultilevel"/>
    <w:tmpl w:val="51F6CB1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8B5789E"/>
    <w:multiLevelType w:val="hybridMultilevel"/>
    <w:tmpl w:val="7ED06B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B1227BD"/>
    <w:multiLevelType w:val="hybridMultilevel"/>
    <w:tmpl w:val="66B6CD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C4378E1"/>
    <w:multiLevelType w:val="hybridMultilevel"/>
    <w:tmpl w:val="5414F7BE"/>
    <w:lvl w:ilvl="0" w:tplc="CFB0074E">
      <w:start w:val="1"/>
      <w:numFmt w:val="lowerLetter"/>
      <w:lvlText w:val="%1)"/>
      <w:lvlJc w:val="left"/>
      <w:pPr>
        <w:tabs>
          <w:tab w:val="num" w:pos="1398"/>
        </w:tabs>
        <w:ind w:left="1398" w:hanging="360"/>
      </w:pPr>
      <w:rPr>
        <w:rFonts w:hint="default"/>
      </w:rPr>
    </w:lvl>
    <w:lvl w:ilvl="1" w:tplc="FCA28358">
      <w:start w:val="2"/>
      <w:numFmt w:val="decimal"/>
      <w:lvlText w:val="%2."/>
      <w:lvlJc w:val="left"/>
      <w:pPr>
        <w:tabs>
          <w:tab w:val="num" w:pos="2118"/>
        </w:tabs>
        <w:ind w:left="2118" w:hanging="360"/>
      </w:pPr>
      <w:rPr>
        <w:rFonts w:hint="default"/>
      </w:rPr>
    </w:lvl>
    <w:lvl w:ilvl="2" w:tplc="0409001B" w:tentative="1">
      <w:start w:val="1"/>
      <w:numFmt w:val="lowerRoman"/>
      <w:lvlText w:val="%3."/>
      <w:lvlJc w:val="right"/>
      <w:pPr>
        <w:tabs>
          <w:tab w:val="num" w:pos="2838"/>
        </w:tabs>
        <w:ind w:left="2838" w:hanging="180"/>
      </w:pPr>
    </w:lvl>
    <w:lvl w:ilvl="3" w:tplc="0409000F" w:tentative="1">
      <w:start w:val="1"/>
      <w:numFmt w:val="decimal"/>
      <w:lvlText w:val="%4."/>
      <w:lvlJc w:val="left"/>
      <w:pPr>
        <w:tabs>
          <w:tab w:val="num" w:pos="3558"/>
        </w:tabs>
        <w:ind w:left="3558" w:hanging="360"/>
      </w:pPr>
    </w:lvl>
    <w:lvl w:ilvl="4" w:tplc="04090019" w:tentative="1">
      <w:start w:val="1"/>
      <w:numFmt w:val="lowerLetter"/>
      <w:lvlText w:val="%5."/>
      <w:lvlJc w:val="left"/>
      <w:pPr>
        <w:tabs>
          <w:tab w:val="num" w:pos="4278"/>
        </w:tabs>
        <w:ind w:left="4278" w:hanging="360"/>
      </w:pPr>
    </w:lvl>
    <w:lvl w:ilvl="5" w:tplc="0409001B" w:tentative="1">
      <w:start w:val="1"/>
      <w:numFmt w:val="lowerRoman"/>
      <w:lvlText w:val="%6."/>
      <w:lvlJc w:val="right"/>
      <w:pPr>
        <w:tabs>
          <w:tab w:val="num" w:pos="4998"/>
        </w:tabs>
        <w:ind w:left="4998" w:hanging="180"/>
      </w:pPr>
    </w:lvl>
    <w:lvl w:ilvl="6" w:tplc="0409000F" w:tentative="1">
      <w:start w:val="1"/>
      <w:numFmt w:val="decimal"/>
      <w:lvlText w:val="%7."/>
      <w:lvlJc w:val="left"/>
      <w:pPr>
        <w:tabs>
          <w:tab w:val="num" w:pos="5718"/>
        </w:tabs>
        <w:ind w:left="5718" w:hanging="360"/>
      </w:pPr>
    </w:lvl>
    <w:lvl w:ilvl="7" w:tplc="04090019" w:tentative="1">
      <w:start w:val="1"/>
      <w:numFmt w:val="lowerLetter"/>
      <w:lvlText w:val="%8."/>
      <w:lvlJc w:val="left"/>
      <w:pPr>
        <w:tabs>
          <w:tab w:val="num" w:pos="6438"/>
        </w:tabs>
        <w:ind w:left="6438" w:hanging="360"/>
      </w:pPr>
    </w:lvl>
    <w:lvl w:ilvl="8" w:tplc="0409001B" w:tentative="1">
      <w:start w:val="1"/>
      <w:numFmt w:val="lowerRoman"/>
      <w:lvlText w:val="%9."/>
      <w:lvlJc w:val="right"/>
      <w:pPr>
        <w:tabs>
          <w:tab w:val="num" w:pos="7158"/>
        </w:tabs>
        <w:ind w:left="7158" w:hanging="180"/>
      </w:pPr>
    </w:lvl>
  </w:abstractNum>
  <w:abstractNum w:abstractNumId="21">
    <w:nsid w:val="4DD0571A"/>
    <w:multiLevelType w:val="hybridMultilevel"/>
    <w:tmpl w:val="B0F2A072"/>
    <w:lvl w:ilvl="0" w:tplc="04090019">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nsid w:val="504959B5"/>
    <w:multiLevelType w:val="singleLevel"/>
    <w:tmpl w:val="6FF4550A"/>
    <w:lvl w:ilvl="0">
      <w:start w:val="1"/>
      <w:numFmt w:val="decimal"/>
      <w:lvlText w:val="%1."/>
      <w:lvlJc w:val="left"/>
      <w:pPr>
        <w:tabs>
          <w:tab w:val="num" w:pos="720"/>
        </w:tabs>
        <w:ind w:left="720" w:hanging="720"/>
      </w:pPr>
      <w:rPr>
        <w:rFonts w:hint="default"/>
      </w:rPr>
    </w:lvl>
  </w:abstractNum>
  <w:abstractNum w:abstractNumId="23">
    <w:nsid w:val="52F25CED"/>
    <w:multiLevelType w:val="hybridMultilevel"/>
    <w:tmpl w:val="6016A948"/>
    <w:lvl w:ilvl="0" w:tplc="AC0A91B8">
      <w:start w:val="1"/>
      <w:numFmt w:val="lowerLetter"/>
      <w:lvlText w:val="%1."/>
      <w:lvlJc w:val="left"/>
      <w:pPr>
        <w:tabs>
          <w:tab w:val="num" w:pos="2160"/>
        </w:tabs>
        <w:ind w:left="2160" w:hanging="360"/>
      </w:pPr>
      <w:rPr>
        <w:rFonts w:ascii="Palatino Linotype" w:eastAsia="Times New Roman" w:hAnsi="Palatino Linotype" w:cs="Times New Roman"/>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D849E6"/>
    <w:multiLevelType w:val="hybridMultilevel"/>
    <w:tmpl w:val="5F98E3EC"/>
    <w:lvl w:ilvl="0" w:tplc="C294256A">
      <w:start w:val="1"/>
      <w:numFmt w:val="decimal"/>
      <w:lvlText w:val="%1."/>
      <w:lvlJc w:val="left"/>
      <w:pPr>
        <w:tabs>
          <w:tab w:val="num" w:pos="780"/>
        </w:tabs>
        <w:ind w:left="780" w:hanging="360"/>
      </w:pPr>
      <w:rPr>
        <w:rFonts w:ascii="Times New Roman" w:eastAsia="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FA3B13"/>
    <w:multiLevelType w:val="hybridMultilevel"/>
    <w:tmpl w:val="1D6E7E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EB6550"/>
    <w:multiLevelType w:val="hybridMultilevel"/>
    <w:tmpl w:val="FD88EF5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0C70392"/>
    <w:multiLevelType w:val="hybridMultilevel"/>
    <w:tmpl w:val="209EB2F4"/>
    <w:lvl w:ilvl="0" w:tplc="CFB0074E">
      <w:start w:val="1"/>
      <w:numFmt w:val="lowerLetter"/>
      <w:lvlText w:val="%1)"/>
      <w:lvlJc w:val="left"/>
      <w:pPr>
        <w:tabs>
          <w:tab w:val="num" w:pos="1446"/>
        </w:tabs>
        <w:ind w:left="1446" w:hanging="360"/>
      </w:pPr>
      <w:rPr>
        <w:rFonts w:hint="default"/>
        <w:color w:val="auto"/>
      </w:rPr>
    </w:lvl>
    <w:lvl w:ilvl="1" w:tplc="AA5C2AB6">
      <w:start w:val="1"/>
      <w:numFmt w:val="decimal"/>
      <w:lvlText w:val="%2."/>
      <w:lvlJc w:val="left"/>
      <w:pPr>
        <w:tabs>
          <w:tab w:val="num" w:pos="2166"/>
        </w:tabs>
        <w:ind w:left="2166" w:hanging="360"/>
      </w:pPr>
      <w:rPr>
        <w:rFonts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9">
    <w:nsid w:val="63AB69EB"/>
    <w:multiLevelType w:val="hybridMultilevel"/>
    <w:tmpl w:val="F518525C"/>
    <w:lvl w:ilvl="0" w:tplc="B02E769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63D03B0"/>
    <w:multiLevelType w:val="hybridMultilevel"/>
    <w:tmpl w:val="389E5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EA7EB0"/>
    <w:multiLevelType w:val="hybridMultilevel"/>
    <w:tmpl w:val="3FCA7744"/>
    <w:lvl w:ilvl="0" w:tplc="DF58D550">
      <w:start w:val="1"/>
      <w:numFmt w:val="decimal"/>
      <w:lvlText w:val="%1."/>
      <w:lvlJc w:val="left"/>
      <w:pPr>
        <w:tabs>
          <w:tab w:val="num" w:pos="780"/>
        </w:tabs>
        <w:ind w:left="780" w:hanging="360"/>
      </w:pPr>
      <w:rPr>
        <w:rFonts w:ascii="Times New Roman" w:eastAsia="Times New Roman" w:hAnsi="Times New Roman" w:cs="Times New Roman"/>
        <w:sz w:val="24"/>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rPr>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B019F6"/>
    <w:multiLevelType w:val="hybridMultilevel"/>
    <w:tmpl w:val="507614B8"/>
    <w:lvl w:ilvl="0" w:tplc="04090001">
      <w:start w:val="1"/>
      <w:numFmt w:val="bullet"/>
      <w:lvlText w:val=""/>
      <w:lvlJc w:val="left"/>
      <w:pPr>
        <w:tabs>
          <w:tab w:val="num" w:pos="1814"/>
        </w:tabs>
        <w:ind w:left="1814" w:hanging="360"/>
      </w:pPr>
      <w:rPr>
        <w:rFonts w:ascii="Symbol" w:hAnsi="Symbol" w:hint="default"/>
      </w:rPr>
    </w:lvl>
    <w:lvl w:ilvl="1" w:tplc="04090003">
      <w:start w:val="1"/>
      <w:numFmt w:val="bullet"/>
      <w:lvlText w:val="o"/>
      <w:lvlJc w:val="left"/>
      <w:pPr>
        <w:tabs>
          <w:tab w:val="num" w:pos="2534"/>
        </w:tabs>
        <w:ind w:left="2534" w:hanging="360"/>
      </w:pPr>
      <w:rPr>
        <w:rFonts w:ascii="Courier New" w:hAnsi="Courier New" w:cs="Courier New" w:hint="default"/>
      </w:rPr>
    </w:lvl>
    <w:lvl w:ilvl="2" w:tplc="04090005" w:tentative="1">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cs="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cs="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33">
    <w:nsid w:val="6E6435DD"/>
    <w:multiLevelType w:val="hybridMultilevel"/>
    <w:tmpl w:val="3C805966"/>
    <w:lvl w:ilvl="0" w:tplc="04090019">
      <w:start w:val="1"/>
      <w:numFmt w:val="lowerLetter"/>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34">
    <w:nsid w:val="71F63FC5"/>
    <w:multiLevelType w:val="hybridMultilevel"/>
    <w:tmpl w:val="34A277E6"/>
    <w:lvl w:ilvl="0" w:tplc="04090001">
      <w:start w:val="1"/>
      <w:numFmt w:val="bullet"/>
      <w:lvlText w:val=""/>
      <w:lvlJc w:val="left"/>
      <w:pPr>
        <w:tabs>
          <w:tab w:val="num" w:pos="2760"/>
        </w:tabs>
        <w:ind w:left="2760" w:hanging="360"/>
      </w:pPr>
      <w:rPr>
        <w:rFonts w:ascii="Symbol" w:hAnsi="Symbol"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5">
    <w:nsid w:val="79F62BE2"/>
    <w:multiLevelType w:val="hybridMultilevel"/>
    <w:tmpl w:val="3D66C4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404C21"/>
    <w:multiLevelType w:val="hybridMultilevel"/>
    <w:tmpl w:val="BCE2D1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ABE1A67"/>
    <w:multiLevelType w:val="multilevel"/>
    <w:tmpl w:val="9BAA6FDA"/>
    <w:lvl w:ilvl="0">
      <w:start w:val="1"/>
      <w:numFmt w:val="decimal"/>
      <w:lvlText w:val="%1."/>
      <w:lvlJc w:val="left"/>
      <w:pPr>
        <w:tabs>
          <w:tab w:val="num" w:pos="720"/>
        </w:tabs>
        <w:ind w:left="720" w:hanging="360"/>
      </w:pPr>
      <w:rPr>
        <w:rFonts w:ascii="Times New Roman" w:hAnsi="Times New Roman" w:cs="Times New Roman" w:hint="default"/>
      </w:rPr>
    </w:lvl>
    <w:lvl w:ilvl="1">
      <w:start w:val="14"/>
      <w:numFmt w:val="decimal"/>
      <w:lvlText w:val="%2."/>
      <w:lvlJc w:val="left"/>
      <w:pPr>
        <w:tabs>
          <w:tab w:val="num" w:pos="1890"/>
        </w:tabs>
        <w:ind w:left="1890" w:hanging="81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D63DA8"/>
    <w:multiLevelType w:val="hybridMultilevel"/>
    <w:tmpl w:val="99F60FF8"/>
    <w:lvl w:ilvl="0" w:tplc="B694EA6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26214D"/>
    <w:multiLevelType w:val="hybridMultilevel"/>
    <w:tmpl w:val="727EE2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14"/>
  </w:num>
  <w:num w:numId="3">
    <w:abstractNumId w:val="20"/>
  </w:num>
  <w:num w:numId="4">
    <w:abstractNumId w:val="15"/>
  </w:num>
  <w:num w:numId="5">
    <w:abstractNumId w:val="2"/>
  </w:num>
  <w:num w:numId="6">
    <w:abstractNumId w:val="4"/>
  </w:num>
  <w:num w:numId="7">
    <w:abstractNumId w:val="37"/>
  </w:num>
  <w:num w:numId="8">
    <w:abstractNumId w:val="18"/>
  </w:num>
  <w:num w:numId="9">
    <w:abstractNumId w:val="22"/>
    <w:lvlOverride w:ilvl="0">
      <w:startOverride w:val="1"/>
    </w:lvlOverride>
  </w:num>
  <w:num w:numId="10">
    <w:abstractNumId w:val="17"/>
  </w:num>
  <w:num w:numId="11">
    <w:abstractNumId w:val="10"/>
  </w:num>
  <w:num w:numId="12">
    <w:abstractNumId w:val="38"/>
  </w:num>
  <w:num w:numId="13">
    <w:abstractNumId w:val="35"/>
  </w:num>
  <w:num w:numId="14">
    <w:abstractNumId w:val="27"/>
  </w:num>
  <w:num w:numId="15">
    <w:abstractNumId w:val="13"/>
  </w:num>
  <w:num w:numId="16">
    <w:abstractNumId w:val="31"/>
  </w:num>
  <w:num w:numId="17">
    <w:abstractNumId w:val="1"/>
  </w:num>
  <w:num w:numId="18">
    <w:abstractNumId w:val="23"/>
  </w:num>
  <w:num w:numId="19">
    <w:abstractNumId w:val="0"/>
  </w:num>
  <w:num w:numId="20">
    <w:abstractNumId w:val="21"/>
  </w:num>
  <w:num w:numId="21">
    <w:abstractNumId w:val="33"/>
  </w:num>
  <w:num w:numId="22">
    <w:abstractNumId w:val="3"/>
  </w:num>
  <w:num w:numId="23">
    <w:abstractNumId w:val="19"/>
  </w:num>
  <w:num w:numId="24">
    <w:abstractNumId w:val="32"/>
  </w:num>
  <w:num w:numId="25">
    <w:abstractNumId w:val="34"/>
  </w:num>
  <w:num w:numId="26">
    <w:abstractNumId w:val="11"/>
  </w:num>
  <w:num w:numId="27">
    <w:abstractNumId w:val="39"/>
  </w:num>
  <w:num w:numId="28">
    <w:abstractNumId w:val="6"/>
  </w:num>
  <w:num w:numId="29">
    <w:abstractNumId w:val="5"/>
  </w:num>
  <w:num w:numId="30">
    <w:abstractNumId w:val="24"/>
  </w:num>
  <w:num w:numId="31">
    <w:abstractNumId w:val="12"/>
  </w:num>
  <w:num w:numId="32">
    <w:abstractNumId w:val="26"/>
  </w:num>
  <w:num w:numId="33">
    <w:abstractNumId w:val="36"/>
  </w:num>
  <w:num w:numId="34">
    <w:abstractNumId w:val="28"/>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5"/>
  </w:num>
  <w:num w:numId="38">
    <w:abstractNumId w:val="16"/>
  </w:num>
  <w:num w:numId="39">
    <w:abstractNumId w:val="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62"/>
    <w:rsid w:val="00023450"/>
    <w:rsid w:val="00087EFA"/>
    <w:rsid w:val="0009648B"/>
    <w:rsid w:val="000A766F"/>
    <w:rsid w:val="00143FB2"/>
    <w:rsid w:val="00182CC6"/>
    <w:rsid w:val="001F3152"/>
    <w:rsid w:val="00207832"/>
    <w:rsid w:val="00246445"/>
    <w:rsid w:val="002C5C06"/>
    <w:rsid w:val="002D5E25"/>
    <w:rsid w:val="002F7D88"/>
    <w:rsid w:val="00315B1A"/>
    <w:rsid w:val="00431AE2"/>
    <w:rsid w:val="00486B40"/>
    <w:rsid w:val="004D0E06"/>
    <w:rsid w:val="004E0D53"/>
    <w:rsid w:val="005136E0"/>
    <w:rsid w:val="005779E9"/>
    <w:rsid w:val="005B40FC"/>
    <w:rsid w:val="005E2622"/>
    <w:rsid w:val="005E3F91"/>
    <w:rsid w:val="006F6F0C"/>
    <w:rsid w:val="0073738E"/>
    <w:rsid w:val="0078299F"/>
    <w:rsid w:val="007D565A"/>
    <w:rsid w:val="007E0EE5"/>
    <w:rsid w:val="008253D9"/>
    <w:rsid w:val="009053AC"/>
    <w:rsid w:val="0093568A"/>
    <w:rsid w:val="0099224E"/>
    <w:rsid w:val="009E5C41"/>
    <w:rsid w:val="009F55C9"/>
    <w:rsid w:val="00A5217E"/>
    <w:rsid w:val="00AB3379"/>
    <w:rsid w:val="00B65F02"/>
    <w:rsid w:val="00B94CBE"/>
    <w:rsid w:val="00B96209"/>
    <w:rsid w:val="00C6310A"/>
    <w:rsid w:val="00D93062"/>
    <w:rsid w:val="00E81783"/>
    <w:rsid w:val="00ED4CC2"/>
    <w:rsid w:val="00EE1ED4"/>
    <w:rsid w:val="00F03427"/>
    <w:rsid w:val="00F20C7E"/>
    <w:rsid w:val="00F213DC"/>
    <w:rsid w:val="00F43416"/>
    <w:rsid w:val="00F54039"/>
    <w:rsid w:val="00F73801"/>
    <w:rsid w:val="00FA66B9"/>
    <w:rsid w:val="00FD12DE"/>
    <w:rsid w:val="00FE470D"/>
    <w:rsid w:val="00FE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pPr>
      <w:numPr>
        <w:numId w:val="1"/>
      </w:numPr>
    </w:pPr>
  </w:style>
  <w:style w:type="paragraph" w:styleId="Title">
    <w:name w:val="Title"/>
    <w:basedOn w:val="Normal"/>
    <w:qFormat/>
    <w:pPr>
      <w:jc w:val="center"/>
    </w:pPr>
    <w:rPr>
      <w:rFonts w:ascii="Arial" w:hAnsi="Arial"/>
      <w:b/>
      <w:sz w:val="32"/>
      <w:szCs w:val="20"/>
      <w:u w:val="single"/>
    </w:rPr>
  </w:style>
  <w:style w:type="paragraph" w:styleId="FootnoteText">
    <w:name w:val="footnote text"/>
    <w:basedOn w:val="Normal"/>
    <w:pPr>
      <w:widowControl w:val="0"/>
      <w:autoSpaceDE w:val="0"/>
      <w:autoSpaceDN w:val="0"/>
      <w:adjustRightInd w:val="0"/>
    </w:pPr>
  </w:style>
  <w:style w:type="character" w:styleId="FootnoteReference">
    <w:name w:val="footnote reference"/>
    <w:uiPriority w:val="99"/>
    <w:rPr>
      <w:vertAlign w:val="superscript"/>
    </w:rPr>
  </w:style>
  <w:style w:type="character" w:customStyle="1" w:styleId="CharacterStyle1">
    <w:name w:val="Character Style 1"/>
    <w:rPr>
      <w:rFonts w:ascii="Times New Roman" w:hAnsi="Times New Roman" w:cs="Times New Roman"/>
      <w:sz w:val="24"/>
      <w:szCs w:val="24"/>
    </w:rPr>
  </w:style>
  <w:style w:type="paragraph" w:styleId="TOC1">
    <w:name w:val="toc 1"/>
    <w:basedOn w:val="Normal"/>
    <w:next w:val="Normal"/>
    <w:autoRedefine/>
    <w:semiHidden/>
    <w:pPr>
      <w:spacing w:before="120" w:after="120"/>
    </w:pPr>
    <w:rPr>
      <w:b/>
      <w:bCs/>
      <w:caps/>
      <w:sz w:val="20"/>
      <w:szCs w:val="20"/>
    </w:rPr>
  </w:style>
  <w:style w:type="character" w:styleId="Hyperlink">
    <w:name w:val="Hyperlink"/>
    <w:rPr>
      <w:rFonts w:ascii="Palatino Linotype" w:hAnsi="Palatino Linotype"/>
      <w:color w:val="0000FF"/>
      <w:sz w:val="24"/>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vsDraft">
    <w:name w:val="vsDraft"/>
    <w:basedOn w:val="Normal"/>
    <w:pPr>
      <w:tabs>
        <w:tab w:val="left" w:pos="1440"/>
        <w:tab w:val="left" w:pos="2160"/>
        <w:tab w:val="left" w:pos="2880"/>
      </w:tabs>
      <w:spacing w:before="120" w:after="120"/>
      <w:jc w:val="center"/>
    </w:pPr>
    <w:rPr>
      <w:b/>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BodyTextChar">
    <w:name w:val="Body Text Char"/>
    <w:link w:val="BodyText"/>
    <w:rPr>
      <w:sz w:val="24"/>
      <w:szCs w:val="24"/>
      <w:lang w:val="en-US" w:eastAsia="en-US" w:bidi="ar-SA"/>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Style2">
    <w:name w:val="Style2"/>
    <w:basedOn w:val="TOC1"/>
    <w:autoRedefine/>
    <w:pPr>
      <w:tabs>
        <w:tab w:val="left" w:pos="480"/>
        <w:tab w:val="right" w:leader="dot" w:pos="8630"/>
      </w:tabs>
    </w:pPr>
    <w:rPr>
      <w:rFonts w:ascii="Palatino Linotype" w:hAnsi="Palatino Linotype"/>
      <w:b w:val="0"/>
      <w:noProof/>
      <w:sz w:val="24"/>
    </w:rPr>
  </w:style>
  <w:style w:type="character" w:customStyle="1" w:styleId="FooterChar">
    <w:name w:val="Footer Char"/>
    <w:link w:val="Footer"/>
    <w:uiPriority w:val="99"/>
    <w:rsid w:val="00D5377A"/>
    <w:rPr>
      <w:sz w:val="24"/>
      <w:szCs w:val="24"/>
    </w:rPr>
  </w:style>
  <w:style w:type="paragraph" w:styleId="Index1">
    <w:name w:val="index 1"/>
    <w:basedOn w:val="Normal"/>
    <w:next w:val="Normal"/>
    <w:autoRedefine/>
    <w:semiHidden/>
    <w:pPr>
      <w:ind w:left="240" w:hanging="240"/>
    </w:pPr>
    <w:rPr>
      <w:rFonts w:ascii="Palatino Linotype" w:hAnsi="Palatino Linotype"/>
    </w:rPr>
  </w:style>
  <w:style w:type="character" w:customStyle="1" w:styleId="LBFileStampAtCursor">
    <w:name w:val="*LBFileStampAtCursor"/>
    <w:aliases w:val="FSC"/>
    <w:basedOn w:val="DefaultParagraphFont"/>
    <w:rPr>
      <w:rFonts w:ascii="Arial" w:hAnsi="Arial" w:cs="Times New Roman"/>
      <w:sz w:val="12"/>
      <w:szCs w:val="32"/>
    </w:rPr>
  </w:style>
  <w:style w:type="paragraph" w:customStyle="1" w:styleId="LBFileStampAtEnd">
    <w:name w:val="*LBFileStampAtEnd"/>
    <w:aliases w:val="FSE"/>
    <w:basedOn w:val="Normal"/>
    <w:pPr>
      <w:spacing w:before="360"/>
    </w:pPr>
    <w:rPr>
      <w:rFonts w:ascii="Arial" w:hAnsi="Arial"/>
      <w:sz w:val="12"/>
      <w:szCs w:val="32"/>
    </w:rPr>
  </w:style>
  <w:style w:type="paragraph" w:styleId="PlainText">
    <w:name w:val="Plain Text"/>
    <w:basedOn w:val="Normal"/>
    <w:link w:val="PlainTextChar"/>
    <w:uiPriority w:val="99"/>
    <w:unhideWhenUs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pPr>
      <w:numPr>
        <w:numId w:val="1"/>
      </w:numPr>
    </w:pPr>
  </w:style>
  <w:style w:type="paragraph" w:styleId="Title">
    <w:name w:val="Title"/>
    <w:basedOn w:val="Normal"/>
    <w:qFormat/>
    <w:pPr>
      <w:jc w:val="center"/>
    </w:pPr>
    <w:rPr>
      <w:rFonts w:ascii="Arial" w:hAnsi="Arial"/>
      <w:b/>
      <w:sz w:val="32"/>
      <w:szCs w:val="20"/>
      <w:u w:val="single"/>
    </w:rPr>
  </w:style>
  <w:style w:type="paragraph" w:styleId="FootnoteText">
    <w:name w:val="footnote text"/>
    <w:basedOn w:val="Normal"/>
    <w:pPr>
      <w:widowControl w:val="0"/>
      <w:autoSpaceDE w:val="0"/>
      <w:autoSpaceDN w:val="0"/>
      <w:adjustRightInd w:val="0"/>
    </w:pPr>
  </w:style>
  <w:style w:type="character" w:styleId="FootnoteReference">
    <w:name w:val="footnote reference"/>
    <w:uiPriority w:val="99"/>
    <w:rPr>
      <w:vertAlign w:val="superscript"/>
    </w:rPr>
  </w:style>
  <w:style w:type="character" w:customStyle="1" w:styleId="CharacterStyle1">
    <w:name w:val="Character Style 1"/>
    <w:rPr>
      <w:rFonts w:ascii="Times New Roman" w:hAnsi="Times New Roman" w:cs="Times New Roman"/>
      <w:sz w:val="24"/>
      <w:szCs w:val="24"/>
    </w:rPr>
  </w:style>
  <w:style w:type="paragraph" w:styleId="TOC1">
    <w:name w:val="toc 1"/>
    <w:basedOn w:val="Normal"/>
    <w:next w:val="Normal"/>
    <w:autoRedefine/>
    <w:semiHidden/>
    <w:pPr>
      <w:spacing w:before="120" w:after="120"/>
    </w:pPr>
    <w:rPr>
      <w:b/>
      <w:bCs/>
      <w:caps/>
      <w:sz w:val="20"/>
      <w:szCs w:val="20"/>
    </w:rPr>
  </w:style>
  <w:style w:type="character" w:styleId="Hyperlink">
    <w:name w:val="Hyperlink"/>
    <w:rPr>
      <w:rFonts w:ascii="Palatino Linotype" w:hAnsi="Palatino Linotype"/>
      <w:color w:val="0000FF"/>
      <w:sz w:val="24"/>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vsDraft">
    <w:name w:val="vsDraft"/>
    <w:basedOn w:val="Normal"/>
    <w:pPr>
      <w:tabs>
        <w:tab w:val="left" w:pos="1440"/>
        <w:tab w:val="left" w:pos="2160"/>
        <w:tab w:val="left" w:pos="2880"/>
      </w:tabs>
      <w:spacing w:before="120" w:after="120"/>
      <w:jc w:val="center"/>
    </w:pPr>
    <w:rPr>
      <w:b/>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BodyTextChar">
    <w:name w:val="Body Text Char"/>
    <w:link w:val="BodyText"/>
    <w:rPr>
      <w:sz w:val="24"/>
      <w:szCs w:val="24"/>
      <w:lang w:val="en-US" w:eastAsia="en-US" w:bidi="ar-SA"/>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Style2">
    <w:name w:val="Style2"/>
    <w:basedOn w:val="TOC1"/>
    <w:autoRedefine/>
    <w:pPr>
      <w:tabs>
        <w:tab w:val="left" w:pos="480"/>
        <w:tab w:val="right" w:leader="dot" w:pos="8630"/>
      </w:tabs>
    </w:pPr>
    <w:rPr>
      <w:rFonts w:ascii="Palatino Linotype" w:hAnsi="Palatino Linotype"/>
      <w:b w:val="0"/>
      <w:noProof/>
      <w:sz w:val="24"/>
    </w:rPr>
  </w:style>
  <w:style w:type="character" w:customStyle="1" w:styleId="FooterChar">
    <w:name w:val="Footer Char"/>
    <w:link w:val="Footer"/>
    <w:uiPriority w:val="99"/>
    <w:rsid w:val="00D5377A"/>
    <w:rPr>
      <w:sz w:val="24"/>
      <w:szCs w:val="24"/>
    </w:rPr>
  </w:style>
  <w:style w:type="paragraph" w:styleId="Index1">
    <w:name w:val="index 1"/>
    <w:basedOn w:val="Normal"/>
    <w:next w:val="Normal"/>
    <w:autoRedefine/>
    <w:semiHidden/>
    <w:pPr>
      <w:ind w:left="240" w:hanging="240"/>
    </w:pPr>
    <w:rPr>
      <w:rFonts w:ascii="Palatino Linotype" w:hAnsi="Palatino Linotype"/>
    </w:rPr>
  </w:style>
  <w:style w:type="character" w:customStyle="1" w:styleId="LBFileStampAtCursor">
    <w:name w:val="*LBFileStampAtCursor"/>
    <w:aliases w:val="FSC"/>
    <w:basedOn w:val="DefaultParagraphFont"/>
    <w:rPr>
      <w:rFonts w:ascii="Arial" w:hAnsi="Arial" w:cs="Times New Roman"/>
      <w:sz w:val="12"/>
      <w:szCs w:val="32"/>
    </w:rPr>
  </w:style>
  <w:style w:type="paragraph" w:customStyle="1" w:styleId="LBFileStampAtEnd">
    <w:name w:val="*LBFileStampAtEnd"/>
    <w:aliases w:val="FSE"/>
    <w:basedOn w:val="Normal"/>
    <w:pPr>
      <w:spacing w:before="360"/>
    </w:pPr>
    <w:rPr>
      <w:rFonts w:ascii="Arial" w:hAnsi="Arial"/>
      <w:sz w:val="12"/>
      <w:szCs w:val="32"/>
    </w:rPr>
  </w:style>
  <w:style w:type="paragraph" w:styleId="PlainText">
    <w:name w:val="Plain Text"/>
    <w:basedOn w:val="Normal"/>
    <w:link w:val="PlainTextChar"/>
    <w:uiPriority w:val="99"/>
    <w:unhideWhenUs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8153">
      <w:bodyDiv w:val="1"/>
      <w:marLeft w:val="0"/>
      <w:marRight w:val="0"/>
      <w:marTop w:val="0"/>
      <w:marBottom w:val="0"/>
      <w:divBdr>
        <w:top w:val="none" w:sz="0" w:space="0" w:color="auto"/>
        <w:left w:val="none" w:sz="0" w:space="0" w:color="auto"/>
        <w:bottom w:val="none" w:sz="0" w:space="0" w:color="auto"/>
        <w:right w:val="none" w:sz="0" w:space="0" w:color="auto"/>
      </w:divBdr>
    </w:div>
    <w:div w:id="770008967">
      <w:bodyDiv w:val="1"/>
      <w:marLeft w:val="0"/>
      <w:marRight w:val="0"/>
      <w:marTop w:val="0"/>
      <w:marBottom w:val="0"/>
      <w:divBdr>
        <w:top w:val="none" w:sz="0" w:space="0" w:color="auto"/>
        <w:left w:val="none" w:sz="0" w:space="0" w:color="auto"/>
        <w:bottom w:val="none" w:sz="0" w:space="0" w:color="auto"/>
        <w:right w:val="none" w:sz="0" w:space="0" w:color="auto"/>
      </w:divBdr>
    </w:div>
    <w:div w:id="1549300600">
      <w:bodyDiv w:val="1"/>
      <w:marLeft w:val="0"/>
      <w:marRight w:val="0"/>
      <w:marTop w:val="0"/>
      <w:marBottom w:val="0"/>
      <w:divBdr>
        <w:top w:val="none" w:sz="0" w:space="0" w:color="auto"/>
        <w:left w:val="none" w:sz="0" w:space="0" w:color="auto"/>
        <w:bottom w:val="none" w:sz="0" w:space="0" w:color="auto"/>
        <w:right w:val="none" w:sz="0" w:space="0" w:color="auto"/>
      </w:divBdr>
    </w:div>
    <w:div w:id="16782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79A3D-D7FE-45B3-AAA6-BE3B2AB4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1948</Words>
  <Characters>10351</Characters>
  <Application>Microsoft Office Word</Application>
  <DocSecurity>0</DocSecurity>
  <Lines>246</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