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0B" w:rsidRPr="000E3D0B" w:rsidRDefault="000E3D0B" w:rsidP="000E3D0B">
      <w:pPr>
        <w:widowControl w:val="0"/>
        <w:jc w:val="center"/>
        <w:rPr>
          <w:rFonts w:eastAsia="Times New Roman"/>
          <w:b/>
          <w:sz w:val="24"/>
        </w:rPr>
      </w:pPr>
      <w:r w:rsidRPr="000E3D0B">
        <w:rPr>
          <w:rFonts w:eastAsia="Times New Roman"/>
          <w:b/>
          <w:sz w:val="24"/>
        </w:rPr>
        <w:t>BEFORE</w:t>
      </w:r>
    </w:p>
    <w:p w:rsidR="000E3D0B" w:rsidRPr="000E3D0B" w:rsidRDefault="000E3D0B" w:rsidP="000E3D0B">
      <w:pPr>
        <w:widowControl w:val="0"/>
        <w:spacing w:after="200" w:line="276" w:lineRule="auto"/>
        <w:jc w:val="center"/>
        <w:rPr>
          <w:b/>
          <w:sz w:val="24"/>
        </w:rPr>
      </w:pPr>
      <w:r w:rsidRPr="000E3D0B">
        <w:rPr>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0E3D0B" w:rsidRPr="000E3D0B" w:rsidTr="00CD2218">
        <w:trPr>
          <w:trHeight w:val="873"/>
          <w:jc w:val="center"/>
        </w:trPr>
        <w:tc>
          <w:tcPr>
            <w:tcW w:w="4739" w:type="dxa"/>
          </w:tcPr>
          <w:p w:rsidR="000E3D0B" w:rsidRPr="000E3D0B" w:rsidRDefault="000E3D0B" w:rsidP="000E3D0B">
            <w:pPr>
              <w:autoSpaceDE w:val="0"/>
              <w:autoSpaceDN w:val="0"/>
              <w:adjustRightInd w:val="0"/>
              <w:jc w:val="left"/>
              <w:rPr>
                <w:sz w:val="24"/>
              </w:rPr>
            </w:pPr>
            <w:r w:rsidRPr="000E3D0B">
              <w:rPr>
                <w:sz w:val="24"/>
              </w:rPr>
              <w:t>In the Matter of the Application Seeking</w:t>
            </w:r>
          </w:p>
          <w:p w:rsidR="000E3D0B" w:rsidRPr="000E3D0B" w:rsidRDefault="000E3D0B" w:rsidP="000E3D0B">
            <w:pPr>
              <w:autoSpaceDE w:val="0"/>
              <w:autoSpaceDN w:val="0"/>
              <w:adjustRightInd w:val="0"/>
              <w:jc w:val="left"/>
              <w:rPr>
                <w:sz w:val="24"/>
              </w:rPr>
            </w:pPr>
            <w:r w:rsidRPr="000E3D0B">
              <w:rPr>
                <w:sz w:val="24"/>
              </w:rPr>
              <w:t>Approval of Ohio Power Company’s</w:t>
            </w:r>
          </w:p>
          <w:p w:rsidR="000E3D0B" w:rsidRPr="000E3D0B" w:rsidRDefault="000E3D0B" w:rsidP="000E3D0B">
            <w:pPr>
              <w:autoSpaceDE w:val="0"/>
              <w:autoSpaceDN w:val="0"/>
              <w:adjustRightInd w:val="0"/>
              <w:jc w:val="left"/>
              <w:rPr>
                <w:sz w:val="24"/>
              </w:rPr>
            </w:pPr>
            <w:r w:rsidRPr="000E3D0B">
              <w:rPr>
                <w:sz w:val="24"/>
              </w:rPr>
              <w:t>Proposal to Enter into an Affiliate Power</w:t>
            </w:r>
          </w:p>
          <w:p w:rsidR="000E3D0B" w:rsidRPr="000E3D0B" w:rsidRDefault="000E3D0B" w:rsidP="000E3D0B">
            <w:pPr>
              <w:autoSpaceDE w:val="0"/>
              <w:autoSpaceDN w:val="0"/>
              <w:adjustRightInd w:val="0"/>
              <w:jc w:val="left"/>
              <w:rPr>
                <w:sz w:val="24"/>
              </w:rPr>
            </w:pPr>
            <w:r w:rsidRPr="000E3D0B">
              <w:rPr>
                <w:sz w:val="24"/>
              </w:rPr>
              <w:t>Purchase Agreement for Inclusion in the</w:t>
            </w:r>
          </w:p>
          <w:p w:rsidR="000E3D0B" w:rsidRPr="000E3D0B" w:rsidRDefault="000E3D0B" w:rsidP="000E3D0B">
            <w:pPr>
              <w:autoSpaceDE w:val="0"/>
              <w:autoSpaceDN w:val="0"/>
              <w:adjustRightInd w:val="0"/>
              <w:jc w:val="left"/>
              <w:rPr>
                <w:sz w:val="24"/>
              </w:rPr>
            </w:pPr>
            <w:r w:rsidRPr="000E3D0B">
              <w:rPr>
                <w:sz w:val="24"/>
              </w:rPr>
              <w:t>Power Purchase Agreement Rider</w:t>
            </w:r>
          </w:p>
          <w:p w:rsidR="000E3D0B" w:rsidRPr="000E3D0B" w:rsidRDefault="000E3D0B" w:rsidP="000E3D0B">
            <w:pPr>
              <w:autoSpaceDE w:val="0"/>
              <w:autoSpaceDN w:val="0"/>
              <w:adjustRightInd w:val="0"/>
              <w:jc w:val="left"/>
              <w:rPr>
                <w:sz w:val="24"/>
              </w:rPr>
            </w:pPr>
          </w:p>
          <w:p w:rsidR="000E3D0B" w:rsidRPr="000E3D0B" w:rsidRDefault="000E3D0B" w:rsidP="000E3D0B">
            <w:pPr>
              <w:autoSpaceDE w:val="0"/>
              <w:autoSpaceDN w:val="0"/>
              <w:adjustRightInd w:val="0"/>
              <w:jc w:val="left"/>
              <w:rPr>
                <w:sz w:val="24"/>
              </w:rPr>
            </w:pPr>
            <w:r w:rsidRPr="000E3D0B">
              <w:rPr>
                <w:sz w:val="24"/>
              </w:rPr>
              <w:t>In the Matter of the Application of Ohio</w:t>
            </w:r>
          </w:p>
          <w:p w:rsidR="000E3D0B" w:rsidRPr="000E3D0B" w:rsidRDefault="000E3D0B" w:rsidP="000E3D0B">
            <w:pPr>
              <w:autoSpaceDE w:val="0"/>
              <w:autoSpaceDN w:val="0"/>
              <w:adjustRightInd w:val="0"/>
              <w:jc w:val="left"/>
              <w:rPr>
                <w:sz w:val="24"/>
              </w:rPr>
            </w:pPr>
            <w:r w:rsidRPr="000E3D0B">
              <w:rPr>
                <w:sz w:val="24"/>
              </w:rPr>
              <w:t>Power Company for Approval of Certain</w:t>
            </w:r>
          </w:p>
          <w:p w:rsidR="000E3D0B" w:rsidRPr="000E3D0B" w:rsidRDefault="000E3D0B" w:rsidP="000E3D0B">
            <w:pPr>
              <w:autoSpaceDE w:val="0"/>
              <w:autoSpaceDN w:val="0"/>
              <w:adjustRightInd w:val="0"/>
              <w:jc w:val="left"/>
              <w:rPr>
                <w:sz w:val="24"/>
              </w:rPr>
            </w:pPr>
            <w:r w:rsidRPr="000E3D0B">
              <w:rPr>
                <w:sz w:val="24"/>
              </w:rPr>
              <w:t>Accounting Authority</w:t>
            </w:r>
          </w:p>
        </w:tc>
        <w:tc>
          <w:tcPr>
            <w:tcW w:w="630" w:type="dxa"/>
          </w:tcPr>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left"/>
              <w:rPr>
                <w:sz w:val="24"/>
              </w:rPr>
            </w:pPr>
          </w:p>
        </w:tc>
        <w:tc>
          <w:tcPr>
            <w:tcW w:w="3928" w:type="dxa"/>
          </w:tcPr>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r w:rsidRPr="000E3D0B">
              <w:rPr>
                <w:sz w:val="24"/>
              </w:rPr>
              <w:t>Case No. 14-1693-EL-RDR</w:t>
            </w: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r w:rsidRPr="000E3D0B">
              <w:rPr>
                <w:sz w:val="24"/>
              </w:rPr>
              <w:t>Case No. 14-1694-EL-AAM</w:t>
            </w: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tc>
      </w:tr>
    </w:tbl>
    <w:p w:rsidR="000E3D0B" w:rsidRPr="000E3D0B" w:rsidRDefault="000E3D0B" w:rsidP="000E3D0B">
      <w:pPr>
        <w:widowControl w:val="0"/>
        <w:suppressLineNumbers/>
        <w:pBdr>
          <w:bottom w:val="single" w:sz="12" w:space="1" w:color="auto"/>
        </w:pBdr>
        <w:overflowPunct w:val="0"/>
        <w:autoSpaceDE w:val="0"/>
        <w:autoSpaceDN w:val="0"/>
        <w:adjustRightInd w:val="0"/>
        <w:jc w:val="left"/>
        <w:rPr>
          <w:rFonts w:eastAsia="Times New Roman"/>
          <w:kern w:val="28"/>
          <w:sz w:val="24"/>
        </w:rPr>
      </w:pPr>
    </w:p>
    <w:p w:rsidR="000E3D0B" w:rsidRPr="000E3D0B" w:rsidRDefault="000E3D0B" w:rsidP="00B959C2">
      <w:pPr>
        <w:suppressLineNumbers/>
        <w:spacing w:after="120"/>
        <w:jc w:val="center"/>
        <w:rPr>
          <w:b/>
          <w:bCs/>
          <w:sz w:val="24"/>
        </w:rPr>
      </w:pPr>
    </w:p>
    <w:p w:rsidR="001B4FFD" w:rsidRDefault="00162BE2" w:rsidP="001B4FFD">
      <w:pPr>
        <w:suppressLineNumbers/>
        <w:spacing w:after="120"/>
        <w:contextualSpacing/>
        <w:jc w:val="center"/>
        <w:rPr>
          <w:rStyle w:val="Strong"/>
          <w:sz w:val="24"/>
        </w:rPr>
      </w:pPr>
      <w:r>
        <w:rPr>
          <w:rStyle w:val="Strong"/>
          <w:sz w:val="24"/>
        </w:rPr>
        <w:t xml:space="preserve">JOINT </w:t>
      </w:r>
      <w:r w:rsidR="00003CA0" w:rsidRPr="00B959C2">
        <w:rPr>
          <w:rStyle w:val="Strong"/>
          <w:sz w:val="24"/>
        </w:rPr>
        <w:t>INITIAL BRIEF O</w:t>
      </w:r>
      <w:r w:rsidR="000E3D0B" w:rsidRPr="00B959C2">
        <w:rPr>
          <w:rStyle w:val="Strong"/>
          <w:sz w:val="24"/>
        </w:rPr>
        <w:t>F INTERSTATE GAS SUPPLY, INC.</w:t>
      </w:r>
      <w:r w:rsidR="007A7AE6">
        <w:rPr>
          <w:rStyle w:val="Strong"/>
          <w:sz w:val="24"/>
        </w:rPr>
        <w:t>,</w:t>
      </w:r>
      <w:r w:rsidR="00B959C2" w:rsidRPr="00B959C2">
        <w:rPr>
          <w:rStyle w:val="Strong"/>
          <w:sz w:val="24"/>
        </w:rPr>
        <w:t xml:space="preserve"> DIRECT ENERGY</w:t>
      </w:r>
    </w:p>
    <w:p w:rsidR="000E3D0B" w:rsidRPr="00B959C2" w:rsidRDefault="00B959C2" w:rsidP="001B4FFD">
      <w:pPr>
        <w:suppressLineNumbers/>
        <w:spacing w:after="120"/>
        <w:contextualSpacing/>
        <w:jc w:val="center"/>
        <w:rPr>
          <w:rStyle w:val="Strong"/>
          <w:sz w:val="24"/>
        </w:rPr>
      </w:pPr>
      <w:r w:rsidRPr="00B959C2">
        <w:rPr>
          <w:rStyle w:val="Strong"/>
          <w:sz w:val="24"/>
        </w:rPr>
        <w:t xml:space="preserve"> SERVICES, LLC</w:t>
      </w:r>
      <w:r w:rsidR="007A7AE6">
        <w:rPr>
          <w:rStyle w:val="Strong"/>
          <w:sz w:val="24"/>
        </w:rPr>
        <w:t>,</w:t>
      </w:r>
      <w:r w:rsidR="001B4FFD">
        <w:rPr>
          <w:rStyle w:val="Strong"/>
          <w:sz w:val="24"/>
        </w:rPr>
        <w:t xml:space="preserve"> </w:t>
      </w:r>
      <w:r w:rsidRPr="00B959C2">
        <w:rPr>
          <w:rStyle w:val="Strong"/>
          <w:sz w:val="24"/>
        </w:rPr>
        <w:t xml:space="preserve">AND DIRECT ENERGY BUSINESS, LLC </w:t>
      </w:r>
    </w:p>
    <w:p w:rsidR="000E3D0B" w:rsidRPr="000E3D0B" w:rsidRDefault="000E3D0B" w:rsidP="000E3D0B">
      <w:pPr>
        <w:suppressLineNumbers/>
        <w:spacing w:after="200" w:line="276" w:lineRule="auto"/>
        <w:jc w:val="center"/>
        <w:rPr>
          <w:b/>
          <w:bCs/>
          <w:sz w:val="24"/>
        </w:rPr>
      </w:pPr>
      <w:r w:rsidRPr="000E3D0B">
        <w:rPr>
          <w:b/>
          <w:bCs/>
          <w:sz w:val="24"/>
        </w:rPr>
        <w:t>_______________</w:t>
      </w:r>
      <w:r>
        <w:rPr>
          <w:b/>
          <w:bCs/>
          <w:sz w:val="24"/>
        </w:rPr>
        <w:t>________________________________</w:t>
      </w:r>
      <w:r w:rsidRPr="000E3D0B">
        <w:rPr>
          <w:b/>
          <w:bCs/>
          <w:sz w:val="24"/>
        </w:rPr>
        <w:t>_______________________</w:t>
      </w:r>
    </w:p>
    <w:p w:rsidR="000E3D0B" w:rsidRPr="000E3D0B" w:rsidRDefault="000E3D0B" w:rsidP="000E3D0B">
      <w:pPr>
        <w:suppressLineNumbers/>
        <w:spacing w:after="200" w:line="276" w:lineRule="auto"/>
        <w:jc w:val="center"/>
        <w:rPr>
          <w:b/>
          <w:bCs/>
          <w:sz w:val="24"/>
        </w:rPr>
      </w:pPr>
    </w:p>
    <w:p w:rsidR="009F5B55" w:rsidRDefault="009F5B55"/>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AB6F6B">
      <w:r>
        <w:tab/>
      </w:r>
      <w:r>
        <w:tab/>
      </w:r>
      <w:r>
        <w:tab/>
      </w:r>
      <w:r>
        <w:tab/>
      </w:r>
      <w:r>
        <w:tab/>
      </w:r>
      <w:r>
        <w:tab/>
      </w:r>
      <w:r>
        <w:tab/>
      </w:r>
    </w:p>
    <w:p w:rsidR="009E19A6" w:rsidRDefault="009E19A6" w:rsidP="009E19A6">
      <w:pPr>
        <w:rPr>
          <w:sz w:val="24"/>
        </w:rPr>
      </w:pPr>
      <w:r>
        <w:rPr>
          <w:sz w:val="24"/>
        </w:rPr>
        <w:t>Joseph Oliker (0086088)</w:t>
      </w:r>
      <w:r>
        <w:rPr>
          <w:sz w:val="24"/>
        </w:rPr>
        <w:tab/>
      </w:r>
      <w:r>
        <w:rPr>
          <w:sz w:val="24"/>
        </w:rPr>
        <w:tab/>
      </w:r>
      <w:r>
        <w:rPr>
          <w:sz w:val="24"/>
        </w:rPr>
        <w:tab/>
      </w:r>
      <w:r>
        <w:rPr>
          <w:sz w:val="24"/>
        </w:rPr>
        <w:tab/>
        <w:t>Jennifer Spinosi (0089162)</w:t>
      </w:r>
    </w:p>
    <w:p w:rsidR="009E19A6" w:rsidRDefault="0075172E" w:rsidP="009E19A6">
      <w:pPr>
        <w:rPr>
          <w:sz w:val="24"/>
        </w:rPr>
      </w:pPr>
      <w:hyperlink r:id="rId9" w:history="1">
        <w:r w:rsidR="009E19A6" w:rsidRPr="00AB6F6B">
          <w:rPr>
            <w:rStyle w:val="Hyperlink"/>
            <w:color w:val="auto"/>
            <w:sz w:val="24"/>
            <w:u w:val="none"/>
          </w:rPr>
          <w:t>joliker@igsenergy.com</w:t>
        </w:r>
      </w:hyperlink>
      <w:r w:rsidR="009E19A6">
        <w:rPr>
          <w:rStyle w:val="Hyperlink"/>
          <w:color w:val="auto"/>
          <w:sz w:val="24"/>
          <w:u w:val="none"/>
        </w:rPr>
        <w:tab/>
      </w:r>
      <w:r w:rsidR="009E19A6">
        <w:rPr>
          <w:rStyle w:val="Hyperlink"/>
          <w:color w:val="auto"/>
          <w:sz w:val="24"/>
          <w:u w:val="none"/>
        </w:rPr>
        <w:tab/>
      </w:r>
      <w:r w:rsidR="009E19A6">
        <w:rPr>
          <w:rStyle w:val="Hyperlink"/>
          <w:color w:val="auto"/>
          <w:sz w:val="24"/>
          <w:u w:val="none"/>
        </w:rPr>
        <w:tab/>
      </w:r>
      <w:r w:rsidR="009E19A6">
        <w:rPr>
          <w:rStyle w:val="Hyperlink"/>
          <w:color w:val="auto"/>
          <w:sz w:val="24"/>
          <w:u w:val="none"/>
        </w:rPr>
        <w:tab/>
        <w:t>Jennifer.Spinosi@directenergy.com</w:t>
      </w:r>
    </w:p>
    <w:p w:rsidR="009E19A6" w:rsidRDefault="009E19A6" w:rsidP="009E19A6">
      <w:pPr>
        <w:rPr>
          <w:sz w:val="24"/>
        </w:rPr>
      </w:pPr>
      <w:r>
        <w:rPr>
          <w:sz w:val="24"/>
        </w:rPr>
        <w:t>Counsel of Record</w:t>
      </w:r>
      <w:r>
        <w:rPr>
          <w:sz w:val="24"/>
        </w:rPr>
        <w:tab/>
      </w:r>
      <w:r>
        <w:rPr>
          <w:sz w:val="24"/>
        </w:rPr>
        <w:tab/>
      </w:r>
      <w:r>
        <w:rPr>
          <w:sz w:val="24"/>
        </w:rPr>
        <w:tab/>
      </w:r>
      <w:r>
        <w:rPr>
          <w:sz w:val="24"/>
        </w:rPr>
        <w:tab/>
      </w:r>
      <w:r>
        <w:rPr>
          <w:sz w:val="24"/>
        </w:rPr>
        <w:tab/>
        <w:t>Counsel of Record</w:t>
      </w:r>
    </w:p>
    <w:p w:rsidR="009E19A6" w:rsidRDefault="009E19A6" w:rsidP="009E19A6">
      <w:pPr>
        <w:tabs>
          <w:tab w:val="left" w:pos="3765"/>
        </w:tabs>
        <w:rPr>
          <w:sz w:val="24"/>
        </w:rPr>
      </w:pPr>
      <w:r>
        <w:rPr>
          <w:sz w:val="24"/>
        </w:rPr>
        <w:t>IGS Energy</w:t>
      </w:r>
      <w:r>
        <w:rPr>
          <w:sz w:val="24"/>
        </w:rPr>
        <w:tab/>
      </w:r>
      <w:r>
        <w:rPr>
          <w:sz w:val="24"/>
        </w:rPr>
        <w:tab/>
      </w:r>
      <w:r>
        <w:rPr>
          <w:sz w:val="24"/>
        </w:rPr>
        <w:tab/>
        <w:t>Direct Energy</w:t>
      </w:r>
    </w:p>
    <w:p w:rsidR="009E19A6" w:rsidRDefault="009E19A6" w:rsidP="009E19A6">
      <w:pPr>
        <w:rPr>
          <w:sz w:val="24"/>
        </w:rPr>
      </w:pPr>
      <w:r>
        <w:rPr>
          <w:sz w:val="24"/>
        </w:rPr>
        <w:t>6100 Emerald Parkway</w:t>
      </w:r>
      <w:r>
        <w:rPr>
          <w:sz w:val="24"/>
        </w:rPr>
        <w:tab/>
      </w:r>
      <w:r>
        <w:rPr>
          <w:sz w:val="24"/>
        </w:rPr>
        <w:tab/>
      </w:r>
      <w:r>
        <w:rPr>
          <w:sz w:val="24"/>
        </w:rPr>
        <w:tab/>
      </w:r>
      <w:r>
        <w:rPr>
          <w:sz w:val="24"/>
        </w:rPr>
        <w:tab/>
        <w:t>21 E. State St. / 19</w:t>
      </w:r>
      <w:r w:rsidRPr="00AD03FF">
        <w:rPr>
          <w:sz w:val="24"/>
          <w:vertAlign w:val="superscript"/>
        </w:rPr>
        <w:t>th</w:t>
      </w:r>
      <w:r>
        <w:rPr>
          <w:sz w:val="24"/>
        </w:rPr>
        <w:t xml:space="preserve"> Floor</w:t>
      </w:r>
    </w:p>
    <w:p w:rsidR="009E19A6" w:rsidRDefault="009E19A6" w:rsidP="009E19A6">
      <w:pPr>
        <w:rPr>
          <w:sz w:val="24"/>
        </w:rPr>
      </w:pPr>
      <w:r>
        <w:rPr>
          <w:sz w:val="24"/>
        </w:rPr>
        <w:t>Dublin, Ohio 43016</w:t>
      </w:r>
      <w:r>
        <w:rPr>
          <w:sz w:val="24"/>
        </w:rPr>
        <w:tab/>
      </w:r>
      <w:r>
        <w:rPr>
          <w:sz w:val="24"/>
        </w:rPr>
        <w:tab/>
      </w:r>
      <w:r>
        <w:rPr>
          <w:sz w:val="24"/>
        </w:rPr>
        <w:tab/>
      </w:r>
      <w:r>
        <w:rPr>
          <w:sz w:val="24"/>
        </w:rPr>
        <w:tab/>
      </w:r>
      <w:r>
        <w:rPr>
          <w:sz w:val="24"/>
        </w:rPr>
        <w:tab/>
        <w:t>Columbus, OH 43215</w:t>
      </w:r>
    </w:p>
    <w:p w:rsidR="009E19A6" w:rsidRDefault="009E19A6" w:rsidP="009E19A6">
      <w:pPr>
        <w:rPr>
          <w:sz w:val="24"/>
        </w:rPr>
      </w:pPr>
      <w:r>
        <w:rPr>
          <w:sz w:val="24"/>
        </w:rPr>
        <w:t>Telephone:</w:t>
      </w:r>
      <w:r>
        <w:rPr>
          <w:sz w:val="24"/>
        </w:rPr>
        <w:tab/>
        <w:t>(614) 659-5000</w:t>
      </w:r>
      <w:r>
        <w:rPr>
          <w:sz w:val="24"/>
        </w:rPr>
        <w:tab/>
      </w:r>
      <w:r>
        <w:rPr>
          <w:sz w:val="24"/>
        </w:rPr>
        <w:tab/>
      </w:r>
      <w:r>
        <w:rPr>
          <w:sz w:val="24"/>
        </w:rPr>
        <w:tab/>
        <w:t>Telephone:  (614) 220-4369 ext. 221</w:t>
      </w:r>
    </w:p>
    <w:p w:rsidR="009E19A6" w:rsidRDefault="009E19A6" w:rsidP="009E19A6">
      <w:pPr>
        <w:rPr>
          <w:sz w:val="24"/>
        </w:rPr>
      </w:pPr>
      <w:r>
        <w:rPr>
          <w:sz w:val="24"/>
        </w:rPr>
        <w:t>Facsimile:</w:t>
      </w:r>
      <w:r>
        <w:rPr>
          <w:sz w:val="24"/>
        </w:rPr>
        <w:tab/>
        <w:t>(614) 659-5073</w:t>
      </w:r>
      <w:r>
        <w:rPr>
          <w:sz w:val="24"/>
        </w:rPr>
        <w:tab/>
      </w:r>
      <w:r>
        <w:rPr>
          <w:sz w:val="24"/>
        </w:rPr>
        <w:tab/>
      </w:r>
      <w:r>
        <w:rPr>
          <w:sz w:val="24"/>
        </w:rPr>
        <w:tab/>
        <w:t>Facsimile:  (614) 220-4674</w:t>
      </w:r>
    </w:p>
    <w:p w:rsidR="000E3D0B" w:rsidRPr="00AB6F6B" w:rsidRDefault="000E3D0B" w:rsidP="00E20B6C">
      <w:pPr>
        <w:spacing w:line="480" w:lineRule="auto"/>
      </w:pPr>
    </w:p>
    <w:p w:rsidR="00003CA0" w:rsidRDefault="00003CA0" w:rsidP="00AB6F6B">
      <w:pPr>
        <w:widowControl w:val="0"/>
        <w:jc w:val="center"/>
        <w:rPr>
          <w:rFonts w:eastAsia="Times New Roman"/>
          <w:b/>
          <w:sz w:val="24"/>
        </w:rPr>
      </w:pPr>
    </w:p>
    <w:p w:rsidR="001B4FFD" w:rsidRDefault="001B4FFD" w:rsidP="00AB6F6B">
      <w:pPr>
        <w:widowControl w:val="0"/>
        <w:jc w:val="center"/>
        <w:rPr>
          <w:rFonts w:eastAsia="Times New Roman"/>
          <w:b/>
          <w:sz w:val="24"/>
        </w:rPr>
      </w:pPr>
    </w:p>
    <w:p w:rsidR="00AB6F6B" w:rsidRPr="000E3D0B" w:rsidRDefault="00AB6F6B" w:rsidP="00AB6F6B">
      <w:pPr>
        <w:widowControl w:val="0"/>
        <w:jc w:val="center"/>
        <w:rPr>
          <w:rFonts w:eastAsia="Times New Roman"/>
          <w:b/>
          <w:sz w:val="24"/>
        </w:rPr>
      </w:pPr>
      <w:r w:rsidRPr="000E3D0B">
        <w:rPr>
          <w:rFonts w:eastAsia="Times New Roman"/>
          <w:b/>
          <w:sz w:val="24"/>
        </w:rPr>
        <w:lastRenderedPageBreak/>
        <w:t>BEFORE</w:t>
      </w:r>
    </w:p>
    <w:p w:rsidR="00AB6F6B" w:rsidRPr="000E3D0B" w:rsidRDefault="00AB6F6B" w:rsidP="00AB6F6B">
      <w:pPr>
        <w:widowControl w:val="0"/>
        <w:spacing w:after="200" w:line="276" w:lineRule="auto"/>
        <w:jc w:val="center"/>
        <w:rPr>
          <w:b/>
          <w:sz w:val="24"/>
        </w:rPr>
      </w:pPr>
      <w:r w:rsidRPr="000E3D0B">
        <w:rPr>
          <w:b/>
          <w:sz w:val="24"/>
        </w:rPr>
        <w:t>THE PUBLIC UTILITIES COMMISSION OF OHIO</w:t>
      </w:r>
    </w:p>
    <w:tbl>
      <w:tblPr>
        <w:tblW w:w="0" w:type="auto"/>
        <w:jc w:val="center"/>
        <w:tblLook w:val="01E0" w:firstRow="1" w:lastRow="1" w:firstColumn="1" w:lastColumn="1" w:noHBand="0" w:noVBand="0"/>
      </w:tblPr>
      <w:tblGrid>
        <w:gridCol w:w="4762"/>
        <w:gridCol w:w="633"/>
        <w:gridCol w:w="3947"/>
      </w:tblGrid>
      <w:tr w:rsidR="00AB6F6B" w:rsidRPr="000E3D0B" w:rsidTr="00B959C2">
        <w:trPr>
          <w:trHeight w:val="756"/>
          <w:jc w:val="center"/>
        </w:trPr>
        <w:tc>
          <w:tcPr>
            <w:tcW w:w="4762" w:type="dxa"/>
          </w:tcPr>
          <w:p w:rsidR="00AB6F6B" w:rsidRPr="000E3D0B" w:rsidRDefault="00AB6F6B" w:rsidP="009A414F">
            <w:pPr>
              <w:autoSpaceDE w:val="0"/>
              <w:autoSpaceDN w:val="0"/>
              <w:adjustRightInd w:val="0"/>
              <w:jc w:val="left"/>
              <w:rPr>
                <w:sz w:val="24"/>
              </w:rPr>
            </w:pPr>
            <w:r w:rsidRPr="000E3D0B">
              <w:rPr>
                <w:sz w:val="24"/>
              </w:rPr>
              <w:t>In the Matter of the Application Seeking</w:t>
            </w:r>
          </w:p>
          <w:p w:rsidR="00AB6F6B" w:rsidRPr="000E3D0B" w:rsidRDefault="00AB6F6B" w:rsidP="009A414F">
            <w:pPr>
              <w:autoSpaceDE w:val="0"/>
              <w:autoSpaceDN w:val="0"/>
              <w:adjustRightInd w:val="0"/>
              <w:jc w:val="left"/>
              <w:rPr>
                <w:sz w:val="24"/>
              </w:rPr>
            </w:pPr>
            <w:r w:rsidRPr="000E3D0B">
              <w:rPr>
                <w:sz w:val="24"/>
              </w:rPr>
              <w:t>Approval of Ohio Power Company’s</w:t>
            </w:r>
          </w:p>
          <w:p w:rsidR="00AB6F6B" w:rsidRPr="000E3D0B" w:rsidRDefault="00AB6F6B" w:rsidP="009A414F">
            <w:pPr>
              <w:autoSpaceDE w:val="0"/>
              <w:autoSpaceDN w:val="0"/>
              <w:adjustRightInd w:val="0"/>
              <w:jc w:val="left"/>
              <w:rPr>
                <w:sz w:val="24"/>
              </w:rPr>
            </w:pPr>
            <w:r w:rsidRPr="000E3D0B">
              <w:rPr>
                <w:sz w:val="24"/>
              </w:rPr>
              <w:t>Proposal to Enter into an Affiliate Power</w:t>
            </w:r>
          </w:p>
          <w:p w:rsidR="00AB6F6B" w:rsidRPr="000E3D0B" w:rsidRDefault="00AB6F6B" w:rsidP="009A414F">
            <w:pPr>
              <w:autoSpaceDE w:val="0"/>
              <w:autoSpaceDN w:val="0"/>
              <w:adjustRightInd w:val="0"/>
              <w:jc w:val="left"/>
              <w:rPr>
                <w:sz w:val="24"/>
              </w:rPr>
            </w:pPr>
            <w:r w:rsidRPr="000E3D0B">
              <w:rPr>
                <w:sz w:val="24"/>
              </w:rPr>
              <w:t>Purchase Agreement for Inclusion in the</w:t>
            </w:r>
          </w:p>
          <w:p w:rsidR="00AB6F6B" w:rsidRPr="000E3D0B" w:rsidRDefault="00AB6F6B" w:rsidP="009A414F">
            <w:pPr>
              <w:autoSpaceDE w:val="0"/>
              <w:autoSpaceDN w:val="0"/>
              <w:adjustRightInd w:val="0"/>
              <w:jc w:val="left"/>
              <w:rPr>
                <w:sz w:val="24"/>
              </w:rPr>
            </w:pPr>
            <w:r w:rsidRPr="000E3D0B">
              <w:rPr>
                <w:sz w:val="24"/>
              </w:rPr>
              <w:t>Power Purchase Agreement Rider</w:t>
            </w:r>
          </w:p>
          <w:p w:rsidR="00AB6F6B" w:rsidRPr="000E3D0B" w:rsidRDefault="00AB6F6B" w:rsidP="009A414F">
            <w:pPr>
              <w:autoSpaceDE w:val="0"/>
              <w:autoSpaceDN w:val="0"/>
              <w:adjustRightInd w:val="0"/>
              <w:jc w:val="left"/>
              <w:rPr>
                <w:sz w:val="24"/>
              </w:rPr>
            </w:pPr>
          </w:p>
          <w:p w:rsidR="00AB6F6B" w:rsidRPr="000E3D0B" w:rsidRDefault="00AB6F6B" w:rsidP="009A414F">
            <w:pPr>
              <w:autoSpaceDE w:val="0"/>
              <w:autoSpaceDN w:val="0"/>
              <w:adjustRightInd w:val="0"/>
              <w:jc w:val="left"/>
              <w:rPr>
                <w:sz w:val="24"/>
              </w:rPr>
            </w:pPr>
            <w:r w:rsidRPr="000E3D0B">
              <w:rPr>
                <w:sz w:val="24"/>
              </w:rPr>
              <w:t>In the Matter of the Application of Ohio</w:t>
            </w:r>
          </w:p>
          <w:p w:rsidR="00AB6F6B" w:rsidRPr="000E3D0B" w:rsidRDefault="00AB6F6B" w:rsidP="009A414F">
            <w:pPr>
              <w:autoSpaceDE w:val="0"/>
              <w:autoSpaceDN w:val="0"/>
              <w:adjustRightInd w:val="0"/>
              <w:jc w:val="left"/>
              <w:rPr>
                <w:sz w:val="24"/>
              </w:rPr>
            </w:pPr>
            <w:r w:rsidRPr="000E3D0B">
              <w:rPr>
                <w:sz w:val="24"/>
              </w:rPr>
              <w:t>Power Company for Approval of Certain</w:t>
            </w:r>
          </w:p>
          <w:p w:rsidR="00AB6F6B" w:rsidRPr="000E3D0B" w:rsidRDefault="00AB6F6B" w:rsidP="009A414F">
            <w:pPr>
              <w:autoSpaceDE w:val="0"/>
              <w:autoSpaceDN w:val="0"/>
              <w:adjustRightInd w:val="0"/>
              <w:jc w:val="left"/>
              <w:rPr>
                <w:sz w:val="24"/>
              </w:rPr>
            </w:pPr>
            <w:r w:rsidRPr="000E3D0B">
              <w:rPr>
                <w:sz w:val="24"/>
              </w:rPr>
              <w:t>Accounting Authority</w:t>
            </w:r>
          </w:p>
        </w:tc>
        <w:tc>
          <w:tcPr>
            <w:tcW w:w="633" w:type="dxa"/>
          </w:tcPr>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center"/>
              <w:rPr>
                <w:sz w:val="24"/>
              </w:rPr>
            </w:pPr>
            <w:r w:rsidRPr="000E3D0B">
              <w:rPr>
                <w:sz w:val="24"/>
              </w:rPr>
              <w:t>)</w:t>
            </w:r>
          </w:p>
          <w:p w:rsidR="00AB6F6B" w:rsidRPr="000E3D0B" w:rsidRDefault="00AB6F6B" w:rsidP="009A414F">
            <w:pPr>
              <w:widowControl w:val="0"/>
              <w:jc w:val="left"/>
              <w:rPr>
                <w:sz w:val="24"/>
              </w:rPr>
            </w:pPr>
          </w:p>
        </w:tc>
        <w:tc>
          <w:tcPr>
            <w:tcW w:w="3947" w:type="dxa"/>
          </w:tcPr>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r w:rsidRPr="000E3D0B">
              <w:rPr>
                <w:sz w:val="24"/>
              </w:rPr>
              <w:t>Case No. 14-1693-EL-RDR</w:t>
            </w: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r w:rsidRPr="000E3D0B">
              <w:rPr>
                <w:sz w:val="24"/>
              </w:rPr>
              <w:t>Case No. 14-1694-EL-AAM</w:t>
            </w: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p w:rsidR="00AB6F6B" w:rsidRPr="000E3D0B" w:rsidRDefault="00AB6F6B" w:rsidP="009A414F">
            <w:pPr>
              <w:widowControl w:val="0"/>
              <w:jc w:val="left"/>
              <w:rPr>
                <w:sz w:val="24"/>
              </w:rPr>
            </w:pPr>
          </w:p>
        </w:tc>
      </w:tr>
    </w:tbl>
    <w:p w:rsidR="00B959C2" w:rsidRPr="000E3D0B" w:rsidRDefault="00B959C2" w:rsidP="00B959C2">
      <w:pPr>
        <w:widowControl w:val="0"/>
        <w:suppressLineNumbers/>
        <w:pBdr>
          <w:bottom w:val="single" w:sz="12" w:space="1" w:color="auto"/>
        </w:pBdr>
        <w:overflowPunct w:val="0"/>
        <w:autoSpaceDE w:val="0"/>
        <w:autoSpaceDN w:val="0"/>
        <w:adjustRightInd w:val="0"/>
        <w:jc w:val="left"/>
        <w:rPr>
          <w:rFonts w:eastAsia="Times New Roman"/>
          <w:kern w:val="28"/>
          <w:sz w:val="24"/>
        </w:rPr>
      </w:pPr>
    </w:p>
    <w:p w:rsidR="00B959C2" w:rsidRPr="000E3D0B" w:rsidRDefault="00B959C2" w:rsidP="001B4FFD">
      <w:pPr>
        <w:suppressLineNumbers/>
        <w:spacing w:after="120"/>
        <w:rPr>
          <w:b/>
          <w:bCs/>
          <w:sz w:val="24"/>
        </w:rPr>
      </w:pPr>
    </w:p>
    <w:p w:rsidR="001B4FFD" w:rsidRDefault="00162BE2" w:rsidP="001B4FFD">
      <w:pPr>
        <w:suppressLineNumbers/>
        <w:spacing w:after="120"/>
        <w:contextualSpacing/>
        <w:jc w:val="center"/>
        <w:rPr>
          <w:rStyle w:val="Strong"/>
          <w:sz w:val="24"/>
        </w:rPr>
      </w:pPr>
      <w:r>
        <w:rPr>
          <w:rStyle w:val="Strong"/>
          <w:sz w:val="24"/>
        </w:rPr>
        <w:t xml:space="preserve">JOINT </w:t>
      </w:r>
      <w:r w:rsidR="00B959C2" w:rsidRPr="00B959C2">
        <w:rPr>
          <w:rStyle w:val="Strong"/>
          <w:sz w:val="24"/>
        </w:rPr>
        <w:t xml:space="preserve">INITIAL BRIEF OF </w:t>
      </w:r>
      <w:r w:rsidR="001B4FFD">
        <w:rPr>
          <w:rStyle w:val="Strong"/>
          <w:sz w:val="24"/>
        </w:rPr>
        <w:t xml:space="preserve">INTERSTATE GAS SUPPLY, INC., </w:t>
      </w:r>
      <w:r w:rsidR="00B959C2" w:rsidRPr="00B959C2">
        <w:rPr>
          <w:rStyle w:val="Strong"/>
          <w:sz w:val="24"/>
        </w:rPr>
        <w:t>DIRECT ENERGY</w:t>
      </w:r>
    </w:p>
    <w:p w:rsidR="00B959C2" w:rsidRPr="00B959C2" w:rsidRDefault="00B959C2" w:rsidP="001B4FFD">
      <w:pPr>
        <w:suppressLineNumbers/>
        <w:spacing w:after="120"/>
        <w:contextualSpacing/>
        <w:jc w:val="center"/>
        <w:rPr>
          <w:rStyle w:val="Strong"/>
          <w:sz w:val="24"/>
        </w:rPr>
      </w:pPr>
      <w:r w:rsidRPr="00B959C2">
        <w:rPr>
          <w:rStyle w:val="Strong"/>
          <w:sz w:val="24"/>
        </w:rPr>
        <w:t xml:space="preserve"> SERVICES, LLC</w:t>
      </w:r>
      <w:r w:rsidR="001B4FFD">
        <w:rPr>
          <w:rStyle w:val="Strong"/>
          <w:sz w:val="24"/>
        </w:rPr>
        <w:t xml:space="preserve">, </w:t>
      </w:r>
      <w:r w:rsidRPr="00B959C2">
        <w:rPr>
          <w:rStyle w:val="Strong"/>
          <w:sz w:val="24"/>
        </w:rPr>
        <w:t xml:space="preserve">AND DIRECT ENERGY BUSINESS, LLC </w:t>
      </w:r>
    </w:p>
    <w:p w:rsidR="00B959C2" w:rsidRPr="000E3D0B" w:rsidRDefault="00B959C2" w:rsidP="001B4FFD">
      <w:pPr>
        <w:suppressLineNumbers/>
        <w:spacing w:after="120" w:line="276" w:lineRule="auto"/>
        <w:jc w:val="center"/>
        <w:rPr>
          <w:b/>
          <w:bCs/>
          <w:sz w:val="24"/>
        </w:rPr>
      </w:pPr>
      <w:r w:rsidRPr="000E3D0B">
        <w:rPr>
          <w:b/>
          <w:bCs/>
          <w:sz w:val="24"/>
        </w:rPr>
        <w:t>_______________</w:t>
      </w:r>
      <w:r>
        <w:rPr>
          <w:b/>
          <w:bCs/>
          <w:sz w:val="24"/>
        </w:rPr>
        <w:t>________________________________</w:t>
      </w:r>
      <w:r w:rsidRPr="000E3D0B">
        <w:rPr>
          <w:b/>
          <w:bCs/>
          <w:sz w:val="24"/>
        </w:rPr>
        <w:t>_______________________</w:t>
      </w:r>
    </w:p>
    <w:p w:rsidR="001B4FFD" w:rsidRDefault="001B4FFD" w:rsidP="001B4FFD">
      <w:pPr>
        <w:pStyle w:val="ListParagraph"/>
        <w:autoSpaceDE w:val="0"/>
        <w:autoSpaceDN w:val="0"/>
        <w:adjustRightInd w:val="0"/>
        <w:spacing w:after="120" w:line="480" w:lineRule="auto"/>
        <w:ind w:left="1080"/>
        <w:rPr>
          <w:b/>
          <w:sz w:val="24"/>
        </w:rPr>
      </w:pPr>
      <w:bookmarkStart w:id="0" w:name="_GoBack"/>
      <w:bookmarkEnd w:id="0"/>
    </w:p>
    <w:p w:rsidR="0082615C" w:rsidRDefault="0082615C" w:rsidP="0082615C">
      <w:pPr>
        <w:pStyle w:val="ListParagraph"/>
        <w:numPr>
          <w:ilvl w:val="0"/>
          <w:numId w:val="18"/>
        </w:numPr>
        <w:autoSpaceDE w:val="0"/>
        <w:autoSpaceDN w:val="0"/>
        <w:adjustRightInd w:val="0"/>
        <w:spacing w:after="120" w:line="480" w:lineRule="auto"/>
        <w:rPr>
          <w:b/>
          <w:sz w:val="24"/>
        </w:rPr>
      </w:pPr>
      <w:r>
        <w:rPr>
          <w:b/>
          <w:sz w:val="24"/>
        </w:rPr>
        <w:t>INTRODUCTION</w:t>
      </w:r>
    </w:p>
    <w:p w:rsidR="008B4B07" w:rsidRDefault="0082615C" w:rsidP="0082615C">
      <w:pPr>
        <w:autoSpaceDE w:val="0"/>
        <w:autoSpaceDN w:val="0"/>
        <w:adjustRightInd w:val="0"/>
        <w:spacing w:after="120" w:line="480" w:lineRule="auto"/>
        <w:ind w:firstLine="720"/>
        <w:rPr>
          <w:sz w:val="24"/>
        </w:rPr>
      </w:pPr>
      <w:r>
        <w:rPr>
          <w:sz w:val="24"/>
        </w:rPr>
        <w:t xml:space="preserve">On December 14, 2015, Ohio Power Company </w:t>
      </w:r>
      <w:r w:rsidR="00B54697">
        <w:rPr>
          <w:sz w:val="24"/>
        </w:rPr>
        <w:t xml:space="preserve">(“AEP”) </w:t>
      </w:r>
      <w:r>
        <w:rPr>
          <w:sz w:val="24"/>
        </w:rPr>
        <w:t>and a diverse group of parties, including Interstate Gas Supply, Inc. (“IGS”)</w:t>
      </w:r>
      <w:r w:rsidR="00B959C2">
        <w:rPr>
          <w:sz w:val="24"/>
        </w:rPr>
        <w:t xml:space="preserve"> and Direct Energy Services, LLC and Direct Energy Business, LLC (“Direct Energy”) (IGS and Direct Energy are collectively referred to as “Suppliers”)</w:t>
      </w:r>
      <w:r>
        <w:rPr>
          <w:sz w:val="24"/>
        </w:rPr>
        <w:t xml:space="preserve"> submitted a</w:t>
      </w:r>
      <w:r w:rsidR="00256FD6">
        <w:rPr>
          <w:sz w:val="24"/>
        </w:rPr>
        <w:t xml:space="preserve"> Joint Stipulation and R</w:t>
      </w:r>
      <w:r>
        <w:rPr>
          <w:sz w:val="24"/>
        </w:rPr>
        <w:t>ecommendation</w:t>
      </w:r>
      <w:r w:rsidR="00D261F3">
        <w:rPr>
          <w:sz w:val="24"/>
        </w:rPr>
        <w:t xml:space="preserve"> (“Stipulation”)</w:t>
      </w:r>
      <w:r>
        <w:rPr>
          <w:sz w:val="24"/>
        </w:rPr>
        <w:t xml:space="preserve"> to resolve the outstanding issues presented in this proceeding.</w:t>
      </w:r>
      <w:r w:rsidR="00D261F3">
        <w:rPr>
          <w:sz w:val="24"/>
        </w:rPr>
        <w:t xml:space="preserve">  While the Stipulation represents a comprehensive resolution </w:t>
      </w:r>
      <w:r w:rsidR="00B959C2">
        <w:rPr>
          <w:sz w:val="24"/>
        </w:rPr>
        <w:t>of several different issues, the Suppliers</w:t>
      </w:r>
      <w:r w:rsidR="00064520">
        <w:rPr>
          <w:sz w:val="24"/>
        </w:rPr>
        <w:t xml:space="preserve"> file</w:t>
      </w:r>
      <w:r w:rsidR="00D261F3">
        <w:rPr>
          <w:sz w:val="24"/>
        </w:rPr>
        <w:t xml:space="preserve"> this brief in support of </w:t>
      </w:r>
      <w:r w:rsidR="008B4B07">
        <w:rPr>
          <w:sz w:val="24"/>
        </w:rPr>
        <w:t xml:space="preserve">three pilot programs </w:t>
      </w:r>
      <w:r w:rsidR="00DE53F1">
        <w:rPr>
          <w:sz w:val="24"/>
        </w:rPr>
        <w:t xml:space="preserve">and the further deployment of advanced metering </w:t>
      </w:r>
      <w:r w:rsidR="008B4B07">
        <w:rPr>
          <w:sz w:val="24"/>
        </w:rPr>
        <w:t>recommended for consideration in the Stipulation:</w:t>
      </w:r>
    </w:p>
    <w:p w:rsidR="008B4B07" w:rsidRPr="008B4B07" w:rsidRDefault="008B4B07" w:rsidP="008B4B07">
      <w:pPr>
        <w:pStyle w:val="ListParagraph"/>
        <w:numPr>
          <w:ilvl w:val="0"/>
          <w:numId w:val="22"/>
        </w:numPr>
        <w:autoSpaceDE w:val="0"/>
        <w:autoSpaceDN w:val="0"/>
        <w:adjustRightInd w:val="0"/>
        <w:spacing w:after="120" w:line="480" w:lineRule="auto"/>
        <w:rPr>
          <w:sz w:val="24"/>
        </w:rPr>
      </w:pPr>
      <w:r>
        <w:rPr>
          <w:sz w:val="24"/>
        </w:rPr>
        <w:t>The guaranteed discount rate referral program (“Referral Program”);</w:t>
      </w:r>
    </w:p>
    <w:p w:rsidR="008B4B07" w:rsidRDefault="008B4B07" w:rsidP="008B4B07">
      <w:pPr>
        <w:pStyle w:val="ListParagraph"/>
        <w:numPr>
          <w:ilvl w:val="0"/>
          <w:numId w:val="22"/>
        </w:numPr>
        <w:autoSpaceDE w:val="0"/>
        <w:autoSpaceDN w:val="0"/>
        <w:adjustRightInd w:val="0"/>
        <w:spacing w:after="120" w:line="480" w:lineRule="auto"/>
        <w:rPr>
          <w:sz w:val="24"/>
        </w:rPr>
      </w:pPr>
      <w:r>
        <w:rPr>
          <w:sz w:val="24"/>
        </w:rPr>
        <w:lastRenderedPageBreak/>
        <w:t>The Competition Incentive Rider (“CIR”)</w:t>
      </w:r>
      <w:r w:rsidR="0026267C">
        <w:rPr>
          <w:sz w:val="24"/>
        </w:rPr>
        <w:t>;</w:t>
      </w:r>
    </w:p>
    <w:p w:rsidR="008B4B07" w:rsidRDefault="008B4B07" w:rsidP="008B4B07">
      <w:pPr>
        <w:pStyle w:val="ListParagraph"/>
        <w:numPr>
          <w:ilvl w:val="0"/>
          <w:numId w:val="22"/>
        </w:numPr>
        <w:autoSpaceDE w:val="0"/>
        <w:autoSpaceDN w:val="0"/>
        <w:adjustRightInd w:val="0"/>
        <w:spacing w:after="120" w:line="480" w:lineRule="auto"/>
        <w:rPr>
          <w:sz w:val="24"/>
        </w:rPr>
      </w:pPr>
      <w:r>
        <w:rPr>
          <w:sz w:val="24"/>
        </w:rPr>
        <w:t>Supplier consolidated billing program (“SCB”)</w:t>
      </w:r>
      <w:r w:rsidR="0026267C">
        <w:rPr>
          <w:sz w:val="24"/>
        </w:rPr>
        <w:t>;</w:t>
      </w:r>
    </w:p>
    <w:p w:rsidR="00064EC4" w:rsidRDefault="00290788" w:rsidP="008B4B07">
      <w:pPr>
        <w:pStyle w:val="ListParagraph"/>
        <w:numPr>
          <w:ilvl w:val="0"/>
          <w:numId w:val="22"/>
        </w:numPr>
        <w:autoSpaceDE w:val="0"/>
        <w:autoSpaceDN w:val="0"/>
        <w:adjustRightInd w:val="0"/>
        <w:spacing w:after="120" w:line="480" w:lineRule="auto"/>
        <w:rPr>
          <w:sz w:val="24"/>
        </w:rPr>
      </w:pPr>
      <w:r>
        <w:rPr>
          <w:sz w:val="24"/>
        </w:rPr>
        <w:t>Grid modernization and e</w:t>
      </w:r>
      <w:r w:rsidR="00064EC4">
        <w:rPr>
          <w:sz w:val="24"/>
        </w:rPr>
        <w:t>xpansion of advanced metering (“AMI”)</w:t>
      </w:r>
      <w:r w:rsidR="0026267C">
        <w:rPr>
          <w:sz w:val="24"/>
        </w:rPr>
        <w:t>.</w:t>
      </w:r>
    </w:p>
    <w:p w:rsidR="00E81F4C" w:rsidRDefault="008B4B07" w:rsidP="008B4B07">
      <w:pPr>
        <w:autoSpaceDE w:val="0"/>
        <w:autoSpaceDN w:val="0"/>
        <w:adjustRightInd w:val="0"/>
        <w:spacing w:after="120" w:line="480" w:lineRule="auto"/>
        <w:rPr>
          <w:sz w:val="24"/>
        </w:rPr>
      </w:pPr>
      <w:r>
        <w:rPr>
          <w:sz w:val="24"/>
        </w:rPr>
        <w:t>These programs will contribute to</w:t>
      </w:r>
      <w:r w:rsidR="00D261F3">
        <w:rPr>
          <w:sz w:val="24"/>
        </w:rPr>
        <w:t xml:space="preserve"> the development of the competitive market</w:t>
      </w:r>
      <w:r>
        <w:rPr>
          <w:sz w:val="24"/>
        </w:rPr>
        <w:t>, increase the availability of innovative products and services,</w:t>
      </w:r>
      <w:r w:rsidR="00D261F3">
        <w:rPr>
          <w:sz w:val="24"/>
        </w:rPr>
        <w:t xml:space="preserve"> and resul</w:t>
      </w:r>
      <w:r w:rsidR="00064520">
        <w:rPr>
          <w:sz w:val="24"/>
        </w:rPr>
        <w:t xml:space="preserve">t in direct savings to </w:t>
      </w:r>
      <w:r w:rsidR="00D261F3">
        <w:rPr>
          <w:sz w:val="24"/>
        </w:rPr>
        <w:t>customers.</w:t>
      </w:r>
      <w:r w:rsidR="00E81F4C">
        <w:rPr>
          <w:sz w:val="24"/>
        </w:rPr>
        <w:t xml:space="preserve">  Therefore, IGS </w:t>
      </w:r>
      <w:r w:rsidR="00B54697">
        <w:rPr>
          <w:sz w:val="24"/>
        </w:rPr>
        <w:t xml:space="preserve">and Direct Energy </w:t>
      </w:r>
      <w:r w:rsidR="00E81F4C">
        <w:rPr>
          <w:sz w:val="24"/>
        </w:rPr>
        <w:t>urge the Commission to acknowl</w:t>
      </w:r>
      <w:r w:rsidR="001902F0">
        <w:rPr>
          <w:sz w:val="24"/>
        </w:rPr>
        <w:t>edge the benefits of these</w:t>
      </w:r>
      <w:r w:rsidR="00E81F4C">
        <w:rPr>
          <w:sz w:val="24"/>
        </w:rPr>
        <w:t xml:space="preserve"> programs in its Opinion and Order.</w:t>
      </w:r>
      <w:r>
        <w:rPr>
          <w:sz w:val="24"/>
        </w:rPr>
        <w:t xml:space="preserve">  </w:t>
      </w:r>
    </w:p>
    <w:p w:rsidR="00E81F4C" w:rsidRPr="00E81F4C" w:rsidRDefault="00E81F4C" w:rsidP="008B4B07">
      <w:pPr>
        <w:pStyle w:val="ListParagraph"/>
        <w:numPr>
          <w:ilvl w:val="0"/>
          <w:numId w:val="18"/>
        </w:numPr>
        <w:autoSpaceDE w:val="0"/>
        <w:autoSpaceDN w:val="0"/>
        <w:adjustRightInd w:val="0"/>
        <w:spacing w:after="120" w:line="480" w:lineRule="auto"/>
        <w:rPr>
          <w:b/>
          <w:sz w:val="24"/>
        </w:rPr>
      </w:pPr>
      <w:r w:rsidRPr="00E81F4C">
        <w:rPr>
          <w:b/>
          <w:sz w:val="24"/>
        </w:rPr>
        <w:t>ARGUMENT</w:t>
      </w:r>
    </w:p>
    <w:p w:rsidR="00E81F4C" w:rsidRPr="00E81F4C" w:rsidRDefault="00964767" w:rsidP="00B84CBF">
      <w:pPr>
        <w:autoSpaceDE w:val="0"/>
        <w:autoSpaceDN w:val="0"/>
        <w:adjustRightInd w:val="0"/>
        <w:spacing w:line="480" w:lineRule="auto"/>
        <w:ind w:firstLine="720"/>
        <w:rPr>
          <w:sz w:val="24"/>
        </w:rPr>
      </w:pPr>
      <w:r w:rsidRPr="00964767">
        <w:rPr>
          <w:sz w:val="24"/>
        </w:rPr>
        <w:t>Rule 4901-1-30, O.A.C</w:t>
      </w:r>
      <w:r w:rsidR="004D7618">
        <w:rPr>
          <w:sz w:val="24"/>
        </w:rPr>
        <w:t>.</w:t>
      </w:r>
      <w:r w:rsidRPr="00964767">
        <w:rPr>
          <w:sz w:val="24"/>
        </w:rPr>
        <w:t xml:space="preserve"> authorizes parties to Commiss</w:t>
      </w:r>
      <w:r>
        <w:rPr>
          <w:sz w:val="24"/>
        </w:rPr>
        <w:t xml:space="preserve">ion proceedings to enter into a </w:t>
      </w:r>
      <w:r w:rsidRPr="00964767">
        <w:rPr>
          <w:sz w:val="24"/>
        </w:rPr>
        <w:t>stipulation.</w:t>
      </w:r>
      <w:r>
        <w:rPr>
          <w:sz w:val="24"/>
        </w:rPr>
        <w:t xml:space="preserve">  While a Stipulation does not bind the Commission, the terms of such agreements are accorded substantial weight.  </w:t>
      </w:r>
      <w:r w:rsidR="00E81F4C" w:rsidRPr="00E81F4C">
        <w:rPr>
          <w:sz w:val="24"/>
        </w:rPr>
        <w:t>The ultimate issue for our consideration is whether the agreement, which embodies considerable time and effort by the signatory parties, is reasonable and should be adopted. In considering the reasonableness of a stipulation, the Commission has used the following criteria</w:t>
      </w:r>
      <w:r w:rsidR="0077481E">
        <w:rPr>
          <w:sz w:val="24"/>
        </w:rPr>
        <w:t>, commonly referred to as the three prong test</w:t>
      </w:r>
      <w:r w:rsidR="00E81F4C" w:rsidRPr="00E81F4C">
        <w:rPr>
          <w:sz w:val="24"/>
        </w:rPr>
        <w:t xml:space="preserve">: </w:t>
      </w:r>
    </w:p>
    <w:p w:rsidR="00E81F4C" w:rsidRPr="00B84CBF" w:rsidRDefault="00E81F4C" w:rsidP="00B84CBF">
      <w:pPr>
        <w:pStyle w:val="ListParagraph"/>
        <w:numPr>
          <w:ilvl w:val="0"/>
          <w:numId w:val="25"/>
        </w:numPr>
        <w:autoSpaceDE w:val="0"/>
        <w:autoSpaceDN w:val="0"/>
        <w:adjustRightInd w:val="0"/>
        <w:rPr>
          <w:sz w:val="24"/>
        </w:rPr>
      </w:pPr>
      <w:r w:rsidRPr="00B84CBF">
        <w:rPr>
          <w:sz w:val="24"/>
        </w:rPr>
        <w:t xml:space="preserve">Is the settlement a product of serious bargaining among capable, knowledgeable parties? </w:t>
      </w:r>
    </w:p>
    <w:p w:rsidR="00B84CBF" w:rsidRPr="00B84CBF" w:rsidRDefault="00B84CBF" w:rsidP="00B84CBF">
      <w:pPr>
        <w:pStyle w:val="ListParagraph"/>
        <w:autoSpaceDE w:val="0"/>
        <w:autoSpaceDN w:val="0"/>
        <w:adjustRightInd w:val="0"/>
        <w:ind w:left="1200"/>
        <w:rPr>
          <w:sz w:val="24"/>
        </w:rPr>
      </w:pPr>
    </w:p>
    <w:p w:rsidR="00E81F4C" w:rsidRPr="00B84CBF" w:rsidRDefault="00E81F4C" w:rsidP="00B84CBF">
      <w:pPr>
        <w:pStyle w:val="ListParagraph"/>
        <w:numPr>
          <w:ilvl w:val="0"/>
          <w:numId w:val="25"/>
        </w:numPr>
        <w:autoSpaceDE w:val="0"/>
        <w:autoSpaceDN w:val="0"/>
        <w:adjustRightInd w:val="0"/>
        <w:rPr>
          <w:sz w:val="24"/>
        </w:rPr>
      </w:pPr>
      <w:r w:rsidRPr="00B84CBF">
        <w:rPr>
          <w:sz w:val="24"/>
        </w:rPr>
        <w:t>Does the settlement, as a package, benefit ratepayers and the public interest?</w:t>
      </w:r>
    </w:p>
    <w:p w:rsidR="00B84CBF" w:rsidRPr="00B84CBF" w:rsidRDefault="00B84CBF" w:rsidP="00B84CBF">
      <w:pPr>
        <w:autoSpaceDE w:val="0"/>
        <w:autoSpaceDN w:val="0"/>
        <w:adjustRightInd w:val="0"/>
        <w:rPr>
          <w:sz w:val="24"/>
        </w:rPr>
      </w:pPr>
    </w:p>
    <w:p w:rsidR="00B84CBF" w:rsidRPr="001B1132" w:rsidRDefault="00E81F4C" w:rsidP="001B1132">
      <w:pPr>
        <w:pStyle w:val="ListParagraph"/>
        <w:numPr>
          <w:ilvl w:val="0"/>
          <w:numId w:val="25"/>
        </w:numPr>
        <w:autoSpaceDE w:val="0"/>
        <w:autoSpaceDN w:val="0"/>
        <w:adjustRightInd w:val="0"/>
        <w:rPr>
          <w:sz w:val="24"/>
        </w:rPr>
      </w:pPr>
      <w:r w:rsidRPr="001B1132">
        <w:rPr>
          <w:sz w:val="24"/>
        </w:rPr>
        <w:t xml:space="preserve">Does the settlement package violate any important regulatory principle or </w:t>
      </w:r>
      <w:r w:rsidR="00B84CBF" w:rsidRPr="001B1132">
        <w:rPr>
          <w:sz w:val="24"/>
        </w:rPr>
        <w:t>practi</w:t>
      </w:r>
      <w:r w:rsidRPr="001B1132">
        <w:rPr>
          <w:sz w:val="24"/>
        </w:rPr>
        <w:t>ce?</w:t>
      </w:r>
      <w:r w:rsidR="0026267C">
        <w:rPr>
          <w:rStyle w:val="FootnoteReference"/>
          <w:sz w:val="24"/>
        </w:rPr>
        <w:footnoteReference w:id="1"/>
      </w:r>
    </w:p>
    <w:p w:rsidR="001B1132" w:rsidRPr="001B1132" w:rsidRDefault="001B1132" w:rsidP="001B1132">
      <w:pPr>
        <w:autoSpaceDE w:val="0"/>
        <w:autoSpaceDN w:val="0"/>
        <w:adjustRightInd w:val="0"/>
        <w:rPr>
          <w:sz w:val="24"/>
        </w:rPr>
      </w:pPr>
    </w:p>
    <w:p w:rsidR="00064520" w:rsidRDefault="001902F0" w:rsidP="0077481E">
      <w:pPr>
        <w:autoSpaceDE w:val="0"/>
        <w:autoSpaceDN w:val="0"/>
        <w:adjustRightInd w:val="0"/>
        <w:spacing w:line="480" w:lineRule="auto"/>
        <w:jc w:val="left"/>
        <w:rPr>
          <w:sz w:val="24"/>
        </w:rPr>
      </w:pPr>
      <w:r>
        <w:rPr>
          <w:sz w:val="24"/>
        </w:rPr>
        <w:t>The proposed</w:t>
      </w:r>
      <w:r w:rsidR="00064520">
        <w:rPr>
          <w:sz w:val="24"/>
        </w:rPr>
        <w:t xml:space="preserve"> programs satisfy th</w:t>
      </w:r>
      <w:r w:rsidR="00DE53F1">
        <w:rPr>
          <w:sz w:val="24"/>
        </w:rPr>
        <w:t>ese</w:t>
      </w:r>
      <w:r w:rsidR="00064520">
        <w:rPr>
          <w:sz w:val="24"/>
        </w:rPr>
        <w:t xml:space="preserve"> criteria.</w:t>
      </w:r>
    </w:p>
    <w:p w:rsidR="001B4FFD" w:rsidRDefault="001B4FFD" w:rsidP="0077481E">
      <w:pPr>
        <w:autoSpaceDE w:val="0"/>
        <w:autoSpaceDN w:val="0"/>
        <w:adjustRightInd w:val="0"/>
        <w:spacing w:line="480" w:lineRule="auto"/>
        <w:jc w:val="left"/>
        <w:rPr>
          <w:sz w:val="24"/>
        </w:rPr>
      </w:pPr>
    </w:p>
    <w:p w:rsidR="005C0E0C" w:rsidRPr="005C0E0C" w:rsidRDefault="0077481E" w:rsidP="005C0E0C">
      <w:pPr>
        <w:pStyle w:val="ListParagraph"/>
        <w:numPr>
          <w:ilvl w:val="0"/>
          <w:numId w:val="24"/>
        </w:numPr>
        <w:autoSpaceDE w:val="0"/>
        <w:autoSpaceDN w:val="0"/>
        <w:adjustRightInd w:val="0"/>
        <w:spacing w:line="480" w:lineRule="auto"/>
        <w:jc w:val="left"/>
        <w:rPr>
          <w:b/>
          <w:sz w:val="24"/>
        </w:rPr>
      </w:pPr>
      <w:r w:rsidRPr="005C0E0C">
        <w:rPr>
          <w:b/>
          <w:sz w:val="24"/>
        </w:rPr>
        <w:lastRenderedPageBreak/>
        <w:t>The Stipulation satisfies the First Prong</w:t>
      </w:r>
    </w:p>
    <w:p w:rsidR="005C0E0C" w:rsidRPr="00064520" w:rsidRDefault="005C0E0C" w:rsidP="00064520">
      <w:pPr>
        <w:autoSpaceDE w:val="0"/>
        <w:autoSpaceDN w:val="0"/>
        <w:adjustRightInd w:val="0"/>
        <w:spacing w:line="480" w:lineRule="auto"/>
        <w:ind w:firstLine="720"/>
        <w:rPr>
          <w:sz w:val="24"/>
        </w:rPr>
      </w:pPr>
      <w:r>
        <w:rPr>
          <w:sz w:val="24"/>
        </w:rPr>
        <w:t xml:space="preserve">The Stipulation is the result of intense bargaining between a diverse set of parties. While not all parties to the negotiations signed the Stipulation, every party had a seat at the table.  The final Stipulation submitted to the Commission for consideration was signed by a large, diverse group of parties of varying interests.  Therefore, the Stipulation satisfies the first prong and should be approved.  </w:t>
      </w:r>
    </w:p>
    <w:p w:rsidR="0077481E" w:rsidRPr="00064520" w:rsidRDefault="0077481E" w:rsidP="00064520">
      <w:pPr>
        <w:pStyle w:val="ListParagraph"/>
        <w:numPr>
          <w:ilvl w:val="0"/>
          <w:numId w:val="24"/>
        </w:numPr>
        <w:autoSpaceDE w:val="0"/>
        <w:autoSpaceDN w:val="0"/>
        <w:adjustRightInd w:val="0"/>
        <w:spacing w:line="480" w:lineRule="auto"/>
        <w:jc w:val="left"/>
        <w:rPr>
          <w:b/>
          <w:sz w:val="24"/>
        </w:rPr>
      </w:pPr>
      <w:r>
        <w:rPr>
          <w:b/>
          <w:sz w:val="24"/>
        </w:rPr>
        <w:t>The Pilot Programs will benefit ratepayers and the public interest</w:t>
      </w:r>
    </w:p>
    <w:p w:rsidR="00B84CBF" w:rsidRDefault="0077481E" w:rsidP="001B1132">
      <w:pPr>
        <w:autoSpaceDE w:val="0"/>
        <w:autoSpaceDN w:val="0"/>
        <w:adjustRightInd w:val="0"/>
        <w:spacing w:line="480" w:lineRule="auto"/>
        <w:ind w:firstLine="720"/>
        <w:rPr>
          <w:sz w:val="24"/>
        </w:rPr>
      </w:pPr>
      <w:r>
        <w:rPr>
          <w:sz w:val="24"/>
        </w:rPr>
        <w:t>As discussed further below, the pilot</w:t>
      </w:r>
      <w:r w:rsidRPr="0077481E">
        <w:rPr>
          <w:sz w:val="24"/>
        </w:rPr>
        <w:t xml:space="preserve"> programs will contribute to the development of the competitive market,</w:t>
      </w:r>
      <w:r w:rsidR="001B1132">
        <w:rPr>
          <w:sz w:val="24"/>
        </w:rPr>
        <w:t xml:space="preserve"> promote comparable and unbundled rate structures,</w:t>
      </w:r>
      <w:r w:rsidRPr="0077481E">
        <w:rPr>
          <w:sz w:val="24"/>
        </w:rPr>
        <w:t xml:space="preserve"> increase the availability of innovative products and services, and result in direct savings to shopping customers</w:t>
      </w:r>
      <w:r>
        <w:rPr>
          <w:sz w:val="24"/>
        </w:rPr>
        <w:t>.</w:t>
      </w:r>
      <w:r w:rsidR="001B1132">
        <w:rPr>
          <w:sz w:val="24"/>
        </w:rPr>
        <w:t xml:space="preserve"> </w:t>
      </w:r>
      <w:r>
        <w:rPr>
          <w:sz w:val="24"/>
        </w:rPr>
        <w:t xml:space="preserve"> </w:t>
      </w:r>
      <w:r w:rsidR="00FF20B3">
        <w:rPr>
          <w:sz w:val="24"/>
        </w:rPr>
        <w:t>As AEP witness Allen testified, it is hoped that each of these competitive enhancements will ultimately reduce the costs that customers pay.</w:t>
      </w:r>
      <w:r w:rsidR="007A7AE6">
        <w:rPr>
          <w:rStyle w:val="FootnoteReference"/>
          <w:sz w:val="24"/>
        </w:rPr>
        <w:footnoteReference w:id="2"/>
      </w:r>
      <w:r w:rsidR="00FF20B3">
        <w:rPr>
          <w:sz w:val="24"/>
        </w:rPr>
        <w:t xml:space="preserve">  </w:t>
      </w:r>
      <w:r>
        <w:rPr>
          <w:sz w:val="24"/>
        </w:rPr>
        <w:t>Therefore, each of the programs will benefit ratepayers and the public interest.</w:t>
      </w:r>
    </w:p>
    <w:p w:rsidR="009A414F" w:rsidRDefault="009A414F" w:rsidP="001B1132">
      <w:pPr>
        <w:autoSpaceDE w:val="0"/>
        <w:autoSpaceDN w:val="0"/>
        <w:adjustRightInd w:val="0"/>
        <w:spacing w:line="480" w:lineRule="auto"/>
        <w:ind w:firstLine="720"/>
        <w:rPr>
          <w:sz w:val="24"/>
        </w:rPr>
      </w:pPr>
      <w:r w:rsidRPr="004A23D9">
        <w:rPr>
          <w:sz w:val="24"/>
        </w:rPr>
        <w:t>The stipulation includes provisions that</w:t>
      </w:r>
      <w:r w:rsidR="0015726D" w:rsidRPr="004A23D9">
        <w:rPr>
          <w:sz w:val="24"/>
        </w:rPr>
        <w:t xml:space="preserve"> meet the state policy by ensuring a continuing diversity of supplies through innovation and methods to further allow customers to meet their energy needs</w:t>
      </w:r>
      <w:r w:rsidRPr="004A23D9">
        <w:rPr>
          <w:sz w:val="24"/>
        </w:rPr>
        <w:t>.  It is the position of IGS and Direct Energy that inclusion of the competitive market enhancement</w:t>
      </w:r>
      <w:r w:rsidR="00AB330A" w:rsidRPr="004A23D9">
        <w:rPr>
          <w:sz w:val="24"/>
        </w:rPr>
        <w:t xml:space="preserve"> pilots</w:t>
      </w:r>
      <w:r w:rsidRPr="004A23D9">
        <w:rPr>
          <w:sz w:val="24"/>
        </w:rPr>
        <w:t xml:space="preserve"> </w:t>
      </w:r>
      <w:r w:rsidR="0015726D" w:rsidRPr="004A23D9">
        <w:rPr>
          <w:sz w:val="24"/>
        </w:rPr>
        <w:t xml:space="preserve">along with broader roll out of AMI </w:t>
      </w:r>
      <w:r w:rsidRPr="004A23D9">
        <w:rPr>
          <w:sz w:val="24"/>
        </w:rPr>
        <w:t>will ensure that competitive options for customers in Ohio will improve under the settlement.</w:t>
      </w:r>
    </w:p>
    <w:p w:rsidR="00162BE2" w:rsidRDefault="00162BE2" w:rsidP="001B1132">
      <w:pPr>
        <w:autoSpaceDE w:val="0"/>
        <w:autoSpaceDN w:val="0"/>
        <w:adjustRightInd w:val="0"/>
        <w:spacing w:line="480" w:lineRule="auto"/>
        <w:ind w:firstLine="720"/>
        <w:rPr>
          <w:sz w:val="24"/>
        </w:rPr>
      </w:pPr>
    </w:p>
    <w:p w:rsidR="00162BE2" w:rsidRDefault="00162BE2" w:rsidP="001B1132">
      <w:pPr>
        <w:autoSpaceDE w:val="0"/>
        <w:autoSpaceDN w:val="0"/>
        <w:adjustRightInd w:val="0"/>
        <w:spacing w:line="480" w:lineRule="auto"/>
        <w:ind w:firstLine="720"/>
        <w:rPr>
          <w:sz w:val="24"/>
        </w:rPr>
      </w:pPr>
    </w:p>
    <w:p w:rsidR="00162BE2" w:rsidRPr="004A23D9" w:rsidRDefault="00162BE2" w:rsidP="001B1132">
      <w:pPr>
        <w:autoSpaceDE w:val="0"/>
        <w:autoSpaceDN w:val="0"/>
        <w:adjustRightInd w:val="0"/>
        <w:spacing w:line="480" w:lineRule="auto"/>
        <w:ind w:firstLine="720"/>
        <w:rPr>
          <w:sz w:val="24"/>
        </w:rPr>
      </w:pPr>
    </w:p>
    <w:p w:rsidR="00E81F4C" w:rsidRPr="00B84CBF" w:rsidRDefault="0077481E" w:rsidP="0077481E">
      <w:pPr>
        <w:pStyle w:val="ListParagraph"/>
        <w:numPr>
          <w:ilvl w:val="0"/>
          <w:numId w:val="26"/>
        </w:numPr>
        <w:autoSpaceDE w:val="0"/>
        <w:autoSpaceDN w:val="0"/>
        <w:adjustRightInd w:val="0"/>
        <w:spacing w:after="120" w:line="480" w:lineRule="auto"/>
        <w:rPr>
          <w:b/>
          <w:sz w:val="24"/>
        </w:rPr>
      </w:pPr>
      <w:r>
        <w:rPr>
          <w:b/>
          <w:sz w:val="24"/>
        </w:rPr>
        <w:lastRenderedPageBreak/>
        <w:t xml:space="preserve">The </w:t>
      </w:r>
      <w:r w:rsidR="00E81F4C" w:rsidRPr="00B84CBF">
        <w:rPr>
          <w:b/>
          <w:sz w:val="24"/>
        </w:rPr>
        <w:t>Referral Program</w:t>
      </w:r>
    </w:p>
    <w:p w:rsidR="0077481E" w:rsidRDefault="00E81F4C" w:rsidP="00A11705">
      <w:pPr>
        <w:autoSpaceDE w:val="0"/>
        <w:autoSpaceDN w:val="0"/>
        <w:adjustRightInd w:val="0"/>
        <w:spacing w:after="120" w:line="480" w:lineRule="auto"/>
        <w:ind w:firstLine="720"/>
        <w:rPr>
          <w:sz w:val="24"/>
        </w:rPr>
      </w:pPr>
      <w:r>
        <w:rPr>
          <w:sz w:val="24"/>
        </w:rPr>
        <w:t>Under this provision of the Stipulation, AEP is required to</w:t>
      </w:r>
      <w:r w:rsidRPr="00E81F4C">
        <w:rPr>
          <w:sz w:val="24"/>
        </w:rPr>
        <w:t xml:space="preserve"> file a pro</w:t>
      </w:r>
      <w:r>
        <w:rPr>
          <w:sz w:val="24"/>
        </w:rPr>
        <w:t>posal for a pilot program in its J</w:t>
      </w:r>
      <w:r w:rsidRPr="00E81F4C">
        <w:rPr>
          <w:sz w:val="24"/>
        </w:rPr>
        <w:t>anuary 6,</w:t>
      </w:r>
      <w:r>
        <w:rPr>
          <w:sz w:val="24"/>
        </w:rPr>
        <w:t xml:space="preserve"> </w:t>
      </w:r>
      <w:r w:rsidRPr="00E81F4C">
        <w:rPr>
          <w:sz w:val="24"/>
        </w:rPr>
        <w:t>2016,</w:t>
      </w:r>
      <w:r>
        <w:rPr>
          <w:sz w:val="24"/>
        </w:rPr>
        <w:t xml:space="preserve"> comments in Case No. 12-3151-EL-COI</w:t>
      </w:r>
      <w:r w:rsidRPr="00E81F4C">
        <w:rPr>
          <w:sz w:val="24"/>
        </w:rPr>
        <w:t>.</w:t>
      </w:r>
      <w:r w:rsidR="00256FD6">
        <w:rPr>
          <w:rStyle w:val="FootnoteReference"/>
          <w:sz w:val="24"/>
        </w:rPr>
        <w:footnoteReference w:id="3"/>
      </w:r>
      <w:r>
        <w:rPr>
          <w:sz w:val="24"/>
        </w:rPr>
        <w:t xml:space="preserve">   The Stipulation provides that AEP is required to propose “an </w:t>
      </w:r>
      <w:r w:rsidRPr="00E81F4C">
        <w:rPr>
          <w:sz w:val="24"/>
        </w:rPr>
        <w:t>EDU third-party agent c</w:t>
      </w:r>
      <w:r>
        <w:rPr>
          <w:sz w:val="24"/>
        </w:rPr>
        <w:t xml:space="preserve">all transfer process to educate </w:t>
      </w:r>
      <w:r w:rsidRPr="00E81F4C">
        <w:rPr>
          <w:sz w:val="24"/>
        </w:rPr>
        <w:t>and enroll interested customers moving and initiating service and t</w:t>
      </w:r>
      <w:r>
        <w:rPr>
          <w:sz w:val="24"/>
        </w:rPr>
        <w:t xml:space="preserve">o establish a procedure for the </w:t>
      </w:r>
      <w:r w:rsidRPr="00E81F4C">
        <w:rPr>
          <w:sz w:val="24"/>
        </w:rPr>
        <w:t>offering of a standard discount rate providing a guaranteed di</w:t>
      </w:r>
      <w:r>
        <w:rPr>
          <w:sz w:val="24"/>
        </w:rPr>
        <w:t xml:space="preserve">scount off the price to compare </w:t>
      </w:r>
      <w:r w:rsidRPr="00E81F4C">
        <w:rPr>
          <w:sz w:val="24"/>
        </w:rPr>
        <w:t>without early termination fees.</w:t>
      </w:r>
      <w:r>
        <w:rPr>
          <w:sz w:val="24"/>
        </w:rPr>
        <w:t>”</w:t>
      </w:r>
      <w:r w:rsidR="00256FD6">
        <w:rPr>
          <w:rStyle w:val="FootnoteReference"/>
          <w:sz w:val="24"/>
        </w:rPr>
        <w:footnoteReference w:id="4"/>
      </w:r>
      <w:r w:rsidR="0077481E">
        <w:rPr>
          <w:sz w:val="24"/>
        </w:rPr>
        <w:t xml:space="preserve">  </w:t>
      </w:r>
    </w:p>
    <w:p w:rsidR="0077481E" w:rsidRDefault="0077481E" w:rsidP="0077481E">
      <w:pPr>
        <w:autoSpaceDE w:val="0"/>
        <w:autoSpaceDN w:val="0"/>
        <w:adjustRightInd w:val="0"/>
        <w:spacing w:after="120" w:line="480" w:lineRule="auto"/>
        <w:rPr>
          <w:sz w:val="24"/>
        </w:rPr>
      </w:pPr>
      <w:r>
        <w:rPr>
          <w:sz w:val="24"/>
        </w:rPr>
        <w:tab/>
        <w:t>The Referral Program will both enhance customer education regarding retail electric choice as well as result in direct</w:t>
      </w:r>
      <w:r w:rsidR="00B8635A">
        <w:rPr>
          <w:sz w:val="24"/>
        </w:rPr>
        <w:t xml:space="preserve"> customer</w:t>
      </w:r>
      <w:r>
        <w:rPr>
          <w:sz w:val="24"/>
        </w:rPr>
        <w:t xml:space="preserve"> savings through a guaranteed discount off the standard service offer price. </w:t>
      </w:r>
      <w:r w:rsidR="00B8635A">
        <w:rPr>
          <w:sz w:val="24"/>
        </w:rPr>
        <w:t xml:space="preserve"> </w:t>
      </w:r>
      <w:r w:rsidR="00B8635A" w:rsidRPr="00B8635A">
        <w:rPr>
          <w:sz w:val="24"/>
        </w:rPr>
        <w:t>The program will also highlight to cust</w:t>
      </w:r>
      <w:r w:rsidR="00B8635A" w:rsidRPr="00575A47">
        <w:rPr>
          <w:sz w:val="24"/>
        </w:rPr>
        <w:t xml:space="preserve">omers their options to receive </w:t>
      </w:r>
      <w:r w:rsidR="00B8635A" w:rsidRPr="00B5116A">
        <w:rPr>
          <w:sz w:val="24"/>
        </w:rPr>
        <w:t>retail electric service and also provide consumers with the supplier, price, terms, conditions, and quality options they can elect to meet their respective needs.</w:t>
      </w:r>
      <w:r w:rsidR="00B8635A" w:rsidRPr="00B8635A">
        <w:rPr>
          <w:sz w:val="24"/>
        </w:rPr>
        <w:t xml:space="preserve"> </w:t>
      </w:r>
      <w:r w:rsidR="00B8635A">
        <w:rPr>
          <w:sz w:val="24"/>
        </w:rPr>
        <w:t xml:space="preserve"> </w:t>
      </w:r>
      <w:r>
        <w:rPr>
          <w:sz w:val="24"/>
        </w:rPr>
        <w:t>Thus, the Referral Program will provide several direct benefits to customers by increasing consumer understanding and engagement in the competitive market</w:t>
      </w:r>
      <w:r w:rsidR="001B1132">
        <w:rPr>
          <w:sz w:val="24"/>
        </w:rPr>
        <w:t xml:space="preserve">, as well </w:t>
      </w:r>
      <w:r w:rsidR="004D7618">
        <w:rPr>
          <w:sz w:val="24"/>
        </w:rPr>
        <w:t xml:space="preserve">as </w:t>
      </w:r>
      <w:r w:rsidR="001B1132">
        <w:rPr>
          <w:sz w:val="24"/>
        </w:rPr>
        <w:t>direct financial benefits to participating customers.</w:t>
      </w:r>
      <w:r>
        <w:rPr>
          <w:sz w:val="24"/>
        </w:rPr>
        <w:t xml:space="preserve"> </w:t>
      </w:r>
    </w:p>
    <w:p w:rsidR="0077481E" w:rsidRDefault="0077481E" w:rsidP="00B5116A">
      <w:pPr>
        <w:pStyle w:val="ListParagraph"/>
        <w:numPr>
          <w:ilvl w:val="0"/>
          <w:numId w:val="26"/>
        </w:numPr>
        <w:rPr>
          <w:b/>
          <w:sz w:val="24"/>
        </w:rPr>
      </w:pPr>
      <w:r>
        <w:rPr>
          <w:b/>
          <w:sz w:val="24"/>
        </w:rPr>
        <w:t xml:space="preserve">The </w:t>
      </w:r>
      <w:r w:rsidR="00B5116A">
        <w:rPr>
          <w:b/>
          <w:sz w:val="24"/>
        </w:rPr>
        <w:t>Competition</w:t>
      </w:r>
      <w:r w:rsidR="00B8635A">
        <w:rPr>
          <w:b/>
          <w:sz w:val="24"/>
        </w:rPr>
        <w:t xml:space="preserve"> Incentive Rider</w:t>
      </w:r>
    </w:p>
    <w:p w:rsidR="00575A47" w:rsidRDefault="00575A47" w:rsidP="00B5116A">
      <w:pPr>
        <w:pStyle w:val="ListParagraph"/>
        <w:ind w:left="1080"/>
        <w:rPr>
          <w:b/>
          <w:sz w:val="24"/>
        </w:rPr>
      </w:pPr>
    </w:p>
    <w:p w:rsidR="00A173CF" w:rsidRDefault="006C712C" w:rsidP="00064520">
      <w:pPr>
        <w:autoSpaceDE w:val="0"/>
        <w:autoSpaceDN w:val="0"/>
        <w:adjustRightInd w:val="0"/>
        <w:spacing w:after="120" w:line="480" w:lineRule="auto"/>
        <w:ind w:firstLine="720"/>
        <w:rPr>
          <w:sz w:val="24"/>
        </w:rPr>
      </w:pPr>
      <w:r>
        <w:rPr>
          <w:sz w:val="24"/>
        </w:rPr>
        <w:t>Under this provision, AEP will file an application to establish “a bypassable CIR</w:t>
      </w:r>
      <w:r w:rsidRPr="006C712C">
        <w:rPr>
          <w:sz w:val="24"/>
        </w:rPr>
        <w:t xml:space="preserve"> as an addition to the </w:t>
      </w:r>
      <w:r>
        <w:rPr>
          <w:sz w:val="24"/>
        </w:rPr>
        <w:t xml:space="preserve">SSO non-shopping rate above the </w:t>
      </w:r>
      <w:r w:rsidRPr="006C712C">
        <w:rPr>
          <w:sz w:val="24"/>
        </w:rPr>
        <w:t>auction price with the purpose of incenting shopping and recognizing that there may be costs</w:t>
      </w:r>
      <w:r>
        <w:rPr>
          <w:sz w:val="24"/>
        </w:rPr>
        <w:t xml:space="preserve"> </w:t>
      </w:r>
      <w:r w:rsidRPr="006C712C">
        <w:rPr>
          <w:sz w:val="24"/>
        </w:rPr>
        <w:t xml:space="preserve">associated with providing </w:t>
      </w:r>
      <w:r w:rsidRPr="006C712C">
        <w:rPr>
          <w:sz w:val="24"/>
        </w:rPr>
        <w:lastRenderedPageBreak/>
        <w:t>retail electric service that are not reflected in</w:t>
      </w:r>
      <w:r>
        <w:rPr>
          <w:sz w:val="24"/>
        </w:rPr>
        <w:t xml:space="preserve"> SSO bypassable rates.”</w:t>
      </w:r>
      <w:r w:rsidR="00256FD6">
        <w:rPr>
          <w:rStyle w:val="FootnoteReference"/>
          <w:sz w:val="24"/>
        </w:rPr>
        <w:footnoteReference w:id="5"/>
      </w:r>
      <w:r>
        <w:rPr>
          <w:sz w:val="24"/>
        </w:rPr>
        <w:t xml:space="preserve">  Amounts collected through the CIR will be refunded to all distribution customers</w:t>
      </w:r>
      <w:r w:rsidR="00064520">
        <w:rPr>
          <w:sz w:val="24"/>
        </w:rPr>
        <w:t>.</w:t>
      </w:r>
      <w:r w:rsidR="0062530B">
        <w:rPr>
          <w:rStyle w:val="FootnoteReference"/>
          <w:sz w:val="24"/>
        </w:rPr>
        <w:footnoteReference w:id="6"/>
      </w:r>
      <w:r w:rsidR="00064520">
        <w:rPr>
          <w:sz w:val="24"/>
        </w:rPr>
        <w:t xml:space="preserve">  Moreover, “</w:t>
      </w:r>
      <w:r w:rsidR="00064520" w:rsidRPr="00064520">
        <w:rPr>
          <w:sz w:val="24"/>
        </w:rPr>
        <w:t>AE</w:t>
      </w:r>
      <w:r w:rsidR="00064520">
        <w:rPr>
          <w:sz w:val="24"/>
        </w:rPr>
        <w:t xml:space="preserve">P Ohio will provide an analysis </w:t>
      </w:r>
      <w:r w:rsidR="00064520" w:rsidRPr="00064520">
        <w:rPr>
          <w:sz w:val="24"/>
        </w:rPr>
        <w:t xml:space="preserve">as part of its next distribution rate case to show all </w:t>
      </w:r>
      <w:r w:rsidR="00064520">
        <w:rPr>
          <w:sz w:val="24"/>
        </w:rPr>
        <w:t xml:space="preserve">of the actual costs required to </w:t>
      </w:r>
      <w:r w:rsidR="00064520" w:rsidRPr="00064520">
        <w:rPr>
          <w:sz w:val="24"/>
        </w:rPr>
        <w:t>provide SSO generation service that are included in the Company's cost of service</w:t>
      </w:r>
      <w:r w:rsidR="00064520">
        <w:rPr>
          <w:sz w:val="24"/>
        </w:rPr>
        <w:t xml:space="preserve"> </w:t>
      </w:r>
      <w:r w:rsidR="00064520" w:rsidRPr="00064520">
        <w:rPr>
          <w:sz w:val="24"/>
        </w:rPr>
        <w:t>study</w:t>
      </w:r>
      <w:r w:rsidR="00064520">
        <w:rPr>
          <w:sz w:val="24"/>
        </w:rPr>
        <w:t>.”</w:t>
      </w:r>
      <w:r w:rsidR="00256FD6">
        <w:rPr>
          <w:rStyle w:val="FootnoteReference"/>
          <w:sz w:val="24"/>
        </w:rPr>
        <w:footnoteReference w:id="7"/>
      </w:r>
    </w:p>
    <w:p w:rsidR="002969B1" w:rsidRDefault="00FF20B3" w:rsidP="002969B1">
      <w:pPr>
        <w:autoSpaceDE w:val="0"/>
        <w:autoSpaceDN w:val="0"/>
        <w:adjustRightInd w:val="0"/>
        <w:spacing w:after="120" w:line="480" w:lineRule="auto"/>
        <w:ind w:firstLine="720"/>
        <w:rPr>
          <w:sz w:val="24"/>
        </w:rPr>
      </w:pPr>
      <w:r>
        <w:rPr>
          <w:sz w:val="24"/>
        </w:rPr>
        <w:t>As Mr. Allen testified, “[t]</w:t>
      </w:r>
      <w:r w:rsidRPr="00FF20B3">
        <w:rPr>
          <w:sz w:val="24"/>
        </w:rPr>
        <w:t>he goa</w:t>
      </w:r>
      <w:r>
        <w:rPr>
          <w:sz w:val="24"/>
        </w:rPr>
        <w:t xml:space="preserve">l of provisions like that is to </w:t>
      </w:r>
      <w:r w:rsidRPr="00FF20B3">
        <w:rPr>
          <w:sz w:val="24"/>
        </w:rPr>
        <w:t>grow the market for shopping customers and</w:t>
      </w:r>
      <w:r>
        <w:rPr>
          <w:sz w:val="24"/>
        </w:rPr>
        <w:t xml:space="preserve"> to allow </w:t>
      </w:r>
      <w:r w:rsidRPr="00FF20B3">
        <w:rPr>
          <w:sz w:val="24"/>
        </w:rPr>
        <w:t xml:space="preserve">more opportunity </w:t>
      </w:r>
      <w:r>
        <w:rPr>
          <w:sz w:val="24"/>
        </w:rPr>
        <w:t xml:space="preserve">for CRES providers to enter the </w:t>
      </w:r>
      <w:r w:rsidRPr="00FF20B3">
        <w:rPr>
          <w:sz w:val="24"/>
        </w:rPr>
        <w:t>market and to provi</w:t>
      </w:r>
      <w:r>
        <w:rPr>
          <w:sz w:val="24"/>
        </w:rPr>
        <w:t xml:space="preserve">de more innovative offerings to </w:t>
      </w:r>
      <w:r w:rsidRPr="00FF20B3">
        <w:rPr>
          <w:sz w:val="24"/>
        </w:rPr>
        <w:t>customers as a market is developed.</w:t>
      </w:r>
      <w:r>
        <w:rPr>
          <w:sz w:val="24"/>
        </w:rPr>
        <w:t>”</w:t>
      </w:r>
      <w:r w:rsidR="00256FD6">
        <w:rPr>
          <w:rStyle w:val="FootnoteReference"/>
          <w:sz w:val="24"/>
        </w:rPr>
        <w:footnoteReference w:id="8"/>
      </w:r>
      <w:r w:rsidR="00A173CF">
        <w:rPr>
          <w:sz w:val="24"/>
        </w:rPr>
        <w:t xml:space="preserve">  </w:t>
      </w:r>
      <w:r w:rsidR="00B54634">
        <w:rPr>
          <w:sz w:val="24"/>
        </w:rPr>
        <w:t>The Commission will have the opportunity to “consider whether the filing of that kind of mechanism has the potential to improve Ohio’s competitive markets.”</w:t>
      </w:r>
      <w:r w:rsidR="00256FD6">
        <w:rPr>
          <w:rStyle w:val="FootnoteReference"/>
          <w:sz w:val="24"/>
        </w:rPr>
        <w:footnoteReference w:id="9"/>
      </w:r>
      <w:r w:rsidR="00B54634">
        <w:rPr>
          <w:sz w:val="24"/>
        </w:rPr>
        <w:t xml:space="preserve"> </w:t>
      </w:r>
      <w:r w:rsidR="00A173CF">
        <w:rPr>
          <w:sz w:val="24"/>
        </w:rPr>
        <w:t xml:space="preserve"> </w:t>
      </w:r>
      <w:r w:rsidR="00B54634">
        <w:rPr>
          <w:sz w:val="24"/>
        </w:rPr>
        <w:t>The Commission has already “recognized that there may be value in incentives to customers shopping.”</w:t>
      </w:r>
      <w:r w:rsidR="00256FD6">
        <w:rPr>
          <w:rStyle w:val="FootnoteReference"/>
          <w:sz w:val="24"/>
        </w:rPr>
        <w:footnoteReference w:id="10"/>
      </w:r>
      <w:r w:rsidR="00A173CF">
        <w:rPr>
          <w:sz w:val="24"/>
        </w:rPr>
        <w:t xml:space="preserve">  And the Commission has in the past approved shopping incen</w:t>
      </w:r>
      <w:r w:rsidR="00064520">
        <w:rPr>
          <w:sz w:val="24"/>
        </w:rPr>
        <w:t xml:space="preserve">tive structures on at least two </w:t>
      </w:r>
      <w:r w:rsidR="00A173CF">
        <w:rPr>
          <w:sz w:val="24"/>
        </w:rPr>
        <w:t>occasions.</w:t>
      </w:r>
      <w:r w:rsidR="00256FD6">
        <w:rPr>
          <w:rStyle w:val="FootnoteReference"/>
          <w:sz w:val="24"/>
        </w:rPr>
        <w:footnoteReference w:id="11"/>
      </w:r>
      <w:r w:rsidR="00A173CF">
        <w:rPr>
          <w:sz w:val="24"/>
        </w:rPr>
        <w:t xml:space="preserve"> </w:t>
      </w:r>
    </w:p>
    <w:p w:rsidR="002969B1" w:rsidRDefault="002969B1" w:rsidP="002969B1">
      <w:pPr>
        <w:autoSpaceDE w:val="0"/>
        <w:autoSpaceDN w:val="0"/>
        <w:adjustRightInd w:val="0"/>
        <w:spacing w:after="120" w:line="480" w:lineRule="auto"/>
        <w:ind w:firstLine="720"/>
        <w:rPr>
          <w:sz w:val="24"/>
        </w:rPr>
      </w:pPr>
      <w:r>
        <w:rPr>
          <w:sz w:val="24"/>
        </w:rPr>
        <w:t>Moreover, as the Stipulation notes, the CIR recognizes that there are costs associated with providing retail electric service that are not reflected in SSO bypassable rates.</w:t>
      </w:r>
      <w:r w:rsidR="00256FD6">
        <w:rPr>
          <w:rStyle w:val="FootnoteReference"/>
          <w:sz w:val="24"/>
        </w:rPr>
        <w:footnoteReference w:id="12"/>
      </w:r>
      <w:r>
        <w:rPr>
          <w:sz w:val="24"/>
        </w:rPr>
        <w:t xml:space="preserve">  OCC witness Haugh agreed that there are several additional costs that retail </w:t>
      </w:r>
      <w:r>
        <w:rPr>
          <w:sz w:val="24"/>
        </w:rPr>
        <w:lastRenderedPageBreak/>
        <w:t>electric providers must incur that are not exclusively related to the commodity of electricity, such as scheduling, product development, pricing, risk management, and regulatory.</w:t>
      </w:r>
      <w:r w:rsidR="0062530B">
        <w:rPr>
          <w:rStyle w:val="FootnoteReference"/>
          <w:sz w:val="24"/>
        </w:rPr>
        <w:footnoteReference w:id="13"/>
      </w:r>
      <w:r>
        <w:rPr>
          <w:sz w:val="24"/>
        </w:rPr>
        <w:t xml:space="preserve">  </w:t>
      </w:r>
      <w:r w:rsidR="001B1132">
        <w:rPr>
          <w:sz w:val="24"/>
        </w:rPr>
        <w:t>In its next distribution rate case, AEP will provide an analysis of the costs embedded in distribution rates that are necessary to provide the SSO.</w:t>
      </w:r>
      <w:r w:rsidR="0062530B">
        <w:rPr>
          <w:rStyle w:val="FootnoteReference"/>
          <w:sz w:val="24"/>
        </w:rPr>
        <w:footnoteReference w:id="14"/>
      </w:r>
    </w:p>
    <w:p w:rsidR="00B8635A" w:rsidRDefault="00B8635A" w:rsidP="002969B1">
      <w:pPr>
        <w:autoSpaceDE w:val="0"/>
        <w:autoSpaceDN w:val="0"/>
        <w:adjustRightInd w:val="0"/>
        <w:spacing w:after="120" w:line="480" w:lineRule="auto"/>
        <w:ind w:firstLine="720"/>
        <w:rPr>
          <w:sz w:val="24"/>
        </w:rPr>
      </w:pPr>
      <w:r>
        <w:rPr>
          <w:sz w:val="24"/>
        </w:rPr>
        <w:t xml:space="preserve">Finally, the CIR is revenue neutral </w:t>
      </w:r>
      <w:r w:rsidR="00B5116A">
        <w:rPr>
          <w:sz w:val="24"/>
        </w:rPr>
        <w:t xml:space="preserve">to AEP </w:t>
      </w:r>
      <w:r>
        <w:rPr>
          <w:sz w:val="24"/>
        </w:rPr>
        <w:t>so</w:t>
      </w:r>
      <w:r w:rsidR="00B136F6">
        <w:rPr>
          <w:sz w:val="24"/>
        </w:rPr>
        <w:t>, on net, it will</w:t>
      </w:r>
      <w:r w:rsidR="00675B3E">
        <w:rPr>
          <w:sz w:val="24"/>
        </w:rPr>
        <w:t xml:space="preserve"> no</w:t>
      </w:r>
      <w:r>
        <w:rPr>
          <w:sz w:val="24"/>
        </w:rPr>
        <w:t>t increase costs for customers.  Rather, it will merely help to c</w:t>
      </w:r>
      <w:r w:rsidR="00575A47">
        <w:rPr>
          <w:sz w:val="24"/>
        </w:rPr>
        <w:t>orrect</w:t>
      </w:r>
      <w:r>
        <w:rPr>
          <w:sz w:val="24"/>
        </w:rPr>
        <w:t xml:space="preserve"> a subsidy that currently is flowing from </w:t>
      </w:r>
      <w:r w:rsidR="00575A47">
        <w:rPr>
          <w:sz w:val="24"/>
        </w:rPr>
        <w:t>distribution rates to default service</w:t>
      </w:r>
      <w:r w:rsidR="000C0457">
        <w:rPr>
          <w:sz w:val="24"/>
        </w:rPr>
        <w:t xml:space="preserve"> and otherwise incent retail choice.</w:t>
      </w:r>
    </w:p>
    <w:p w:rsidR="00A173CF" w:rsidRDefault="00A173CF" w:rsidP="00B5116A">
      <w:pPr>
        <w:autoSpaceDE w:val="0"/>
        <w:autoSpaceDN w:val="0"/>
        <w:adjustRightInd w:val="0"/>
        <w:spacing w:after="120" w:line="480" w:lineRule="auto"/>
        <w:ind w:firstLine="720"/>
        <w:rPr>
          <w:sz w:val="24"/>
        </w:rPr>
      </w:pPr>
      <w:r>
        <w:rPr>
          <w:sz w:val="24"/>
        </w:rPr>
        <w:t>The CIR is clearly beneficial to customers and in the public interest.  It will promote the state policy in favor of retail electric choice by encouraging new supplier entry.  That enhanced competition will foster the development of innovative products and services which should lower the total costs for all customers.  Moreover, the CIR will decrease the total costs that shopping customers pay through its crediting mechanism, which, in part, is intended to account for the fact that the default service does not reflect all costs that are necessary to provide retail electric service</w:t>
      </w:r>
      <w:r w:rsidR="00F56514">
        <w:rPr>
          <w:sz w:val="24"/>
        </w:rPr>
        <w:t xml:space="preserve"> and </w:t>
      </w:r>
      <w:r w:rsidR="00DE53F1">
        <w:rPr>
          <w:sz w:val="24"/>
        </w:rPr>
        <w:t>w</w:t>
      </w:r>
      <w:r w:rsidR="00F56514">
        <w:rPr>
          <w:sz w:val="24"/>
        </w:rPr>
        <w:t xml:space="preserve">ould </w:t>
      </w:r>
      <w:r w:rsidR="0015726D">
        <w:rPr>
          <w:sz w:val="24"/>
        </w:rPr>
        <w:t>help to eliminate</w:t>
      </w:r>
      <w:r w:rsidR="00F56514">
        <w:rPr>
          <w:sz w:val="24"/>
        </w:rPr>
        <w:t xml:space="preserve"> a subsidy flowing from shopping to non-shopping customers</w:t>
      </w:r>
      <w:r>
        <w:rPr>
          <w:sz w:val="24"/>
        </w:rPr>
        <w:t>.</w:t>
      </w:r>
      <w:r w:rsidR="00F56514">
        <w:rPr>
          <w:sz w:val="24"/>
        </w:rPr>
        <w:t xml:space="preserve">  </w:t>
      </w:r>
    </w:p>
    <w:p w:rsidR="00A173CF" w:rsidRPr="00A11705" w:rsidRDefault="00B5116A" w:rsidP="001B4FFD">
      <w:pPr>
        <w:pStyle w:val="ListParagraph"/>
        <w:autoSpaceDE w:val="0"/>
        <w:autoSpaceDN w:val="0"/>
        <w:adjustRightInd w:val="0"/>
        <w:spacing w:after="120" w:line="480" w:lineRule="auto"/>
        <w:ind w:left="1080" w:hanging="360"/>
        <w:rPr>
          <w:b/>
          <w:sz w:val="24"/>
        </w:rPr>
      </w:pPr>
      <w:r>
        <w:rPr>
          <w:b/>
          <w:sz w:val="24"/>
        </w:rPr>
        <w:t xml:space="preserve">3.  </w:t>
      </w:r>
      <w:r w:rsidR="00575A47">
        <w:rPr>
          <w:b/>
          <w:sz w:val="24"/>
        </w:rPr>
        <w:t>Supplier Consolidated Billing</w:t>
      </w:r>
    </w:p>
    <w:p w:rsidR="006D0692" w:rsidRDefault="00584D2F" w:rsidP="006D0692">
      <w:pPr>
        <w:autoSpaceDE w:val="0"/>
        <w:autoSpaceDN w:val="0"/>
        <w:adjustRightInd w:val="0"/>
        <w:spacing w:after="120" w:line="480" w:lineRule="auto"/>
        <w:ind w:firstLine="720"/>
        <w:rPr>
          <w:sz w:val="24"/>
        </w:rPr>
      </w:pPr>
      <w:r>
        <w:rPr>
          <w:sz w:val="24"/>
        </w:rPr>
        <w:t xml:space="preserve">Under this provision, AEP, Staff, and Signatory parties will </w:t>
      </w:r>
      <w:r w:rsidR="006D0692">
        <w:rPr>
          <w:sz w:val="24"/>
        </w:rPr>
        <w:t xml:space="preserve">work to establish a </w:t>
      </w:r>
      <w:r w:rsidR="0062530B">
        <w:rPr>
          <w:sz w:val="24"/>
        </w:rPr>
        <w:t>two</w:t>
      </w:r>
      <w:r w:rsidR="006D0692">
        <w:rPr>
          <w:sz w:val="24"/>
        </w:rPr>
        <w:t>-year SCB for participating CRES providers.</w:t>
      </w:r>
      <w:r w:rsidR="0062530B">
        <w:rPr>
          <w:rStyle w:val="FootnoteReference"/>
          <w:sz w:val="24"/>
        </w:rPr>
        <w:footnoteReference w:id="15"/>
      </w:r>
      <w:r w:rsidR="006D0692">
        <w:rPr>
          <w:sz w:val="24"/>
        </w:rPr>
        <w:t xml:space="preserve">  SCB allows a customer to receive a consolidated bill from their CRES provider as opposed to an electric distribution utility. The SCB pilot is to provide “</w:t>
      </w:r>
      <w:r w:rsidR="006D0692" w:rsidRPr="006D0692">
        <w:rPr>
          <w:sz w:val="24"/>
        </w:rPr>
        <w:t xml:space="preserve">the industry with data and information on the practicality of </w:t>
      </w:r>
      <w:r w:rsidR="006D0692" w:rsidRPr="006D0692">
        <w:rPr>
          <w:sz w:val="24"/>
        </w:rPr>
        <w:lastRenderedPageBreak/>
        <w:t>a supplier consolidate</w:t>
      </w:r>
      <w:r w:rsidR="006D0692">
        <w:rPr>
          <w:sz w:val="24"/>
        </w:rPr>
        <w:t xml:space="preserve">d billing </w:t>
      </w:r>
      <w:r w:rsidR="006D0692" w:rsidRPr="006D0692">
        <w:rPr>
          <w:sz w:val="24"/>
        </w:rPr>
        <w:t>implementation in the Ohio Electric Choice Market</w:t>
      </w:r>
      <w:r w:rsidR="006D0692">
        <w:rPr>
          <w:sz w:val="24"/>
        </w:rPr>
        <w:t>.”</w:t>
      </w:r>
      <w:r w:rsidR="0062530B">
        <w:rPr>
          <w:rStyle w:val="FootnoteReference"/>
          <w:sz w:val="24"/>
        </w:rPr>
        <w:footnoteReference w:id="16"/>
      </w:r>
      <w:r w:rsidR="006D0692">
        <w:rPr>
          <w:sz w:val="24"/>
        </w:rPr>
        <w:t xml:space="preserve">  The pilot limits the amount of customers that each participating CRES provider may enroll in the program to 5,000 customers per year.</w:t>
      </w:r>
      <w:r w:rsidR="0062530B">
        <w:rPr>
          <w:rStyle w:val="FootnoteReference"/>
          <w:sz w:val="24"/>
        </w:rPr>
        <w:footnoteReference w:id="17"/>
      </w:r>
      <w:r w:rsidR="006D0692">
        <w:rPr>
          <w:sz w:val="24"/>
        </w:rPr>
        <w:t xml:space="preserve">  The limited size of the pilot ensures close staff oversight over the program and its feasibility for scale. </w:t>
      </w:r>
    </w:p>
    <w:p w:rsidR="00F65E05" w:rsidRDefault="00575A47" w:rsidP="006D0692">
      <w:pPr>
        <w:autoSpaceDE w:val="0"/>
        <w:autoSpaceDN w:val="0"/>
        <w:adjustRightInd w:val="0"/>
        <w:spacing w:after="120" w:line="480" w:lineRule="auto"/>
        <w:ind w:firstLine="720"/>
        <w:rPr>
          <w:sz w:val="24"/>
        </w:rPr>
      </w:pPr>
      <w:r>
        <w:rPr>
          <w:sz w:val="24"/>
        </w:rPr>
        <w:t xml:space="preserve">This pilot is open to signatory parties but will allow any size customer to enroll </w:t>
      </w:r>
      <w:r w:rsidR="00B54697">
        <w:rPr>
          <w:sz w:val="24"/>
        </w:rPr>
        <w:t>on a</w:t>
      </w:r>
      <w:r>
        <w:rPr>
          <w:sz w:val="24"/>
        </w:rPr>
        <w:t xml:space="preserve"> participating supplier</w:t>
      </w:r>
      <w:r w:rsidR="00B54697">
        <w:rPr>
          <w:sz w:val="24"/>
        </w:rPr>
        <w:t>’s</w:t>
      </w:r>
      <w:r>
        <w:rPr>
          <w:sz w:val="24"/>
        </w:rPr>
        <w:t xml:space="preserve"> SCB</w:t>
      </w:r>
      <w:r w:rsidR="00B54697">
        <w:rPr>
          <w:sz w:val="24"/>
        </w:rPr>
        <w:t xml:space="preserve"> option,</w:t>
      </w:r>
      <w:r>
        <w:rPr>
          <w:sz w:val="24"/>
        </w:rPr>
        <w:t xml:space="preserve"> thus allowing for full analysis of interest </w:t>
      </w:r>
      <w:r w:rsidR="009E19A6">
        <w:rPr>
          <w:sz w:val="24"/>
        </w:rPr>
        <w:t xml:space="preserve">in </w:t>
      </w:r>
      <w:r>
        <w:rPr>
          <w:sz w:val="24"/>
        </w:rPr>
        <w:t xml:space="preserve">and workings of SCB.  In addition, the SCB </w:t>
      </w:r>
      <w:r w:rsidR="009E19A6">
        <w:rPr>
          <w:sz w:val="24"/>
        </w:rPr>
        <w:t xml:space="preserve">pilot </w:t>
      </w:r>
      <w:r>
        <w:rPr>
          <w:sz w:val="24"/>
        </w:rPr>
        <w:t>includes a transition</w:t>
      </w:r>
      <w:r w:rsidR="009E19A6">
        <w:rPr>
          <w:sz w:val="24"/>
        </w:rPr>
        <w:t xml:space="preserve"> plan</w:t>
      </w:r>
      <w:r>
        <w:rPr>
          <w:sz w:val="24"/>
        </w:rPr>
        <w:t xml:space="preserve"> to allow any supplier the ability to participate after review of the findings from the pilot.</w:t>
      </w:r>
      <w:r w:rsidR="0062530B">
        <w:rPr>
          <w:rStyle w:val="FootnoteReference"/>
          <w:sz w:val="24"/>
        </w:rPr>
        <w:footnoteReference w:id="18"/>
      </w:r>
      <w:r>
        <w:rPr>
          <w:sz w:val="24"/>
        </w:rPr>
        <w:t xml:space="preserve"> While the SCB is initially limited to only signatory parties, Witness Bennett agreed that this pilot would be difficult to run with</w:t>
      </w:r>
      <w:r w:rsidR="0062530B">
        <w:rPr>
          <w:sz w:val="24"/>
        </w:rPr>
        <w:t xml:space="preserve"> a partner who was an adversary</w:t>
      </w:r>
      <w:r>
        <w:rPr>
          <w:sz w:val="24"/>
        </w:rPr>
        <w:t xml:space="preserve"> and that it is appropriate to enter into pilots with partners who share the same goal.</w:t>
      </w:r>
      <w:r w:rsidR="0062530B">
        <w:rPr>
          <w:rStyle w:val="FootnoteReference"/>
          <w:sz w:val="24"/>
        </w:rPr>
        <w:footnoteReference w:id="19"/>
      </w:r>
      <w:r>
        <w:rPr>
          <w:sz w:val="24"/>
        </w:rPr>
        <w:t xml:space="preserve">   </w:t>
      </w:r>
    </w:p>
    <w:p w:rsidR="00D4127F" w:rsidRDefault="006D0692" w:rsidP="00162BE2">
      <w:pPr>
        <w:autoSpaceDE w:val="0"/>
        <w:autoSpaceDN w:val="0"/>
        <w:adjustRightInd w:val="0"/>
        <w:spacing w:after="120" w:line="480" w:lineRule="auto"/>
        <w:ind w:firstLine="720"/>
        <w:rPr>
          <w:sz w:val="24"/>
        </w:rPr>
      </w:pPr>
      <w:r>
        <w:rPr>
          <w:sz w:val="24"/>
        </w:rPr>
        <w:t>The SCB</w:t>
      </w:r>
      <w:r w:rsidR="009E19A6">
        <w:rPr>
          <w:sz w:val="24"/>
        </w:rPr>
        <w:t xml:space="preserve"> pilot</w:t>
      </w:r>
      <w:r>
        <w:rPr>
          <w:sz w:val="24"/>
        </w:rPr>
        <w:t xml:space="preserve"> will benefit ratepayers and the public interest because it will enable CRES providers to offer customers more innovative products and services and increase customer awareness of their retail electric choice opportunities.</w:t>
      </w:r>
      <w:r w:rsidR="001B1132">
        <w:rPr>
          <w:sz w:val="24"/>
        </w:rPr>
        <w:t xml:space="preserve"> </w:t>
      </w:r>
      <w:r w:rsidR="00064EC4">
        <w:rPr>
          <w:sz w:val="24"/>
        </w:rPr>
        <w:t xml:space="preserve"> In addition, SCB will </w:t>
      </w:r>
      <w:r w:rsidR="0015726D">
        <w:rPr>
          <w:sz w:val="24"/>
        </w:rPr>
        <w:t xml:space="preserve">require costs to be shared between </w:t>
      </w:r>
      <w:r w:rsidR="00064EC4">
        <w:rPr>
          <w:sz w:val="24"/>
        </w:rPr>
        <w:t xml:space="preserve">suppliers </w:t>
      </w:r>
      <w:r w:rsidR="0015726D">
        <w:rPr>
          <w:sz w:val="24"/>
        </w:rPr>
        <w:t>and the company</w:t>
      </w:r>
      <w:r w:rsidR="00064EC4">
        <w:rPr>
          <w:sz w:val="24"/>
        </w:rPr>
        <w:t>.</w:t>
      </w:r>
      <w:r w:rsidR="0015726D">
        <w:rPr>
          <w:sz w:val="24"/>
        </w:rPr>
        <w:t xml:space="preserve">  Then</w:t>
      </w:r>
      <w:r w:rsidR="0062530B">
        <w:rPr>
          <w:sz w:val="24"/>
        </w:rPr>
        <w:t>,</w:t>
      </w:r>
      <w:r w:rsidR="0015726D">
        <w:rPr>
          <w:sz w:val="24"/>
        </w:rPr>
        <w:t xml:space="preserve"> if a decision is made post-pilot for a full rollout of SCB</w:t>
      </w:r>
      <w:r w:rsidR="004D7618">
        <w:rPr>
          <w:sz w:val="24"/>
        </w:rPr>
        <w:t>,</w:t>
      </w:r>
      <w:r w:rsidR="0015726D">
        <w:rPr>
          <w:sz w:val="24"/>
        </w:rPr>
        <w:t xml:space="preserve"> the staff will work with parties to ensure costs are appropriately handled.</w:t>
      </w:r>
      <w:r w:rsidR="001B1132">
        <w:rPr>
          <w:sz w:val="24"/>
        </w:rPr>
        <w:t xml:space="preserve"> This pilot program will provide the Commission with necessary information to evaluate the feasibility of implementing </w:t>
      </w:r>
      <w:r w:rsidR="00B54697">
        <w:rPr>
          <w:sz w:val="24"/>
        </w:rPr>
        <w:t>SCB</w:t>
      </w:r>
      <w:r w:rsidR="001B1132">
        <w:rPr>
          <w:sz w:val="24"/>
        </w:rPr>
        <w:t xml:space="preserve"> throughout AEP’s service territory.</w:t>
      </w:r>
    </w:p>
    <w:p w:rsidR="0015726D" w:rsidRPr="00B5116A" w:rsidRDefault="00290788" w:rsidP="00B5116A">
      <w:pPr>
        <w:pStyle w:val="ListParagraph"/>
        <w:numPr>
          <w:ilvl w:val="0"/>
          <w:numId w:val="27"/>
        </w:numPr>
        <w:autoSpaceDE w:val="0"/>
        <w:autoSpaceDN w:val="0"/>
        <w:adjustRightInd w:val="0"/>
        <w:spacing w:after="120" w:line="480" w:lineRule="auto"/>
        <w:rPr>
          <w:b/>
          <w:sz w:val="24"/>
        </w:rPr>
      </w:pPr>
      <w:r w:rsidRPr="00B5116A">
        <w:rPr>
          <w:b/>
          <w:sz w:val="24"/>
        </w:rPr>
        <w:lastRenderedPageBreak/>
        <w:t>Grid Modernization</w:t>
      </w:r>
    </w:p>
    <w:p w:rsidR="00290788" w:rsidRPr="00B5116A" w:rsidRDefault="00575A47" w:rsidP="00B5116A">
      <w:pPr>
        <w:autoSpaceDE w:val="0"/>
        <w:autoSpaceDN w:val="0"/>
        <w:adjustRightInd w:val="0"/>
        <w:spacing w:after="120" w:line="480" w:lineRule="auto"/>
        <w:rPr>
          <w:sz w:val="24"/>
        </w:rPr>
      </w:pPr>
      <w:r>
        <w:rPr>
          <w:sz w:val="24"/>
        </w:rPr>
        <w:tab/>
      </w:r>
      <w:r w:rsidR="00290788">
        <w:rPr>
          <w:sz w:val="24"/>
        </w:rPr>
        <w:t>AEP’s c</w:t>
      </w:r>
      <w:r w:rsidR="00F65E05">
        <w:rPr>
          <w:sz w:val="24"/>
        </w:rPr>
        <w:t>ommitment to create</w:t>
      </w:r>
      <w:r w:rsidR="00B54697">
        <w:rPr>
          <w:sz w:val="24"/>
        </w:rPr>
        <w:t xml:space="preserve"> a</w:t>
      </w:r>
      <w:r w:rsidR="00F65E05">
        <w:rPr>
          <w:sz w:val="24"/>
        </w:rPr>
        <w:t xml:space="preserve"> timeline for </w:t>
      </w:r>
      <w:r w:rsidR="00290788">
        <w:rPr>
          <w:sz w:val="24"/>
        </w:rPr>
        <w:t>full smart meter deployment in conjunction with the above items will allow customers greater access to options to meet their individual needs.</w:t>
      </w:r>
      <w:r w:rsidR="0062530B">
        <w:rPr>
          <w:rStyle w:val="FootnoteReference"/>
          <w:sz w:val="24"/>
        </w:rPr>
        <w:footnoteReference w:id="20"/>
      </w:r>
      <w:r w:rsidR="00290788">
        <w:rPr>
          <w:sz w:val="24"/>
        </w:rPr>
        <w:t xml:space="preserve">  AEP is committing to a specific timeframe and process in this settlement which will allow customers acce</w:t>
      </w:r>
      <w:r w:rsidR="00604876">
        <w:rPr>
          <w:sz w:val="24"/>
        </w:rPr>
        <w:t xml:space="preserve">ss to a grid structure </w:t>
      </w:r>
      <w:r w:rsidR="002F420A">
        <w:rPr>
          <w:sz w:val="24"/>
        </w:rPr>
        <w:t>that is more comprehensive than currently exists.  This is a significant benefit to customers not only for products but for reliability and control over their usage.</w:t>
      </w:r>
      <w:r w:rsidR="00290788">
        <w:rPr>
          <w:sz w:val="24"/>
        </w:rPr>
        <w:t xml:space="preserve"> </w:t>
      </w:r>
    </w:p>
    <w:p w:rsidR="00A11705" w:rsidRDefault="000C0457" w:rsidP="00A11705">
      <w:pPr>
        <w:pStyle w:val="ListParagraph"/>
        <w:numPr>
          <w:ilvl w:val="0"/>
          <w:numId w:val="24"/>
        </w:numPr>
        <w:autoSpaceDE w:val="0"/>
        <w:autoSpaceDN w:val="0"/>
        <w:adjustRightInd w:val="0"/>
        <w:spacing w:after="120" w:line="480" w:lineRule="auto"/>
        <w:rPr>
          <w:b/>
          <w:sz w:val="24"/>
        </w:rPr>
      </w:pPr>
      <w:r>
        <w:rPr>
          <w:b/>
          <w:sz w:val="24"/>
        </w:rPr>
        <w:t>The p</w:t>
      </w:r>
      <w:r w:rsidR="00A11705">
        <w:rPr>
          <w:b/>
          <w:sz w:val="24"/>
        </w:rPr>
        <w:t>rograms</w:t>
      </w:r>
      <w:r w:rsidR="00B5116A">
        <w:rPr>
          <w:b/>
          <w:sz w:val="24"/>
        </w:rPr>
        <w:t xml:space="preserve"> </w:t>
      </w:r>
      <w:r w:rsidR="00A11705">
        <w:rPr>
          <w:b/>
          <w:sz w:val="24"/>
        </w:rPr>
        <w:t>do not violate any regulatory policy or principle</w:t>
      </w:r>
    </w:p>
    <w:p w:rsidR="00064520" w:rsidRDefault="000C0457" w:rsidP="005C0E0C">
      <w:pPr>
        <w:autoSpaceDE w:val="0"/>
        <w:autoSpaceDN w:val="0"/>
        <w:adjustRightInd w:val="0"/>
        <w:spacing w:after="120" w:line="480" w:lineRule="auto"/>
        <w:ind w:firstLine="720"/>
        <w:rPr>
          <w:sz w:val="24"/>
        </w:rPr>
      </w:pPr>
      <w:r>
        <w:rPr>
          <w:sz w:val="24"/>
        </w:rPr>
        <w:t>The</w:t>
      </w:r>
      <w:r w:rsidR="00A11705">
        <w:rPr>
          <w:sz w:val="24"/>
        </w:rPr>
        <w:t xml:space="preserve"> programs </w:t>
      </w:r>
      <w:r w:rsidR="0015726D">
        <w:rPr>
          <w:sz w:val="24"/>
        </w:rPr>
        <w:t xml:space="preserve">do </w:t>
      </w:r>
      <w:r w:rsidR="00A11705">
        <w:rPr>
          <w:sz w:val="24"/>
        </w:rPr>
        <w:t xml:space="preserve">not violate any regulatory policy or principle; rather, they </w:t>
      </w:r>
      <w:r w:rsidR="00A11705">
        <w:rPr>
          <w:i/>
          <w:sz w:val="24"/>
        </w:rPr>
        <w:t xml:space="preserve">promote </w:t>
      </w:r>
      <w:r w:rsidR="00A11705">
        <w:rPr>
          <w:sz w:val="24"/>
        </w:rPr>
        <w:t>the state po</w:t>
      </w:r>
      <w:r w:rsidR="005C0E0C">
        <w:rPr>
          <w:sz w:val="24"/>
        </w:rPr>
        <w:t>licy contained in R.C. 4928.02.  The state policy is undeniably procompetitive.  It favors custome</w:t>
      </w:r>
      <w:r w:rsidR="001B1132">
        <w:rPr>
          <w:sz w:val="24"/>
        </w:rPr>
        <w:t>r education,</w:t>
      </w:r>
      <w:r w:rsidR="005C0E0C">
        <w:rPr>
          <w:sz w:val="24"/>
        </w:rPr>
        <w:t xml:space="preserve"> innovation</w:t>
      </w:r>
      <w:r w:rsidR="001B1132">
        <w:rPr>
          <w:sz w:val="24"/>
        </w:rPr>
        <w:t>, and retail electric choice</w:t>
      </w:r>
      <w:r w:rsidR="005C0E0C">
        <w:rPr>
          <w:sz w:val="24"/>
        </w:rPr>
        <w:t xml:space="preserve">. </w:t>
      </w:r>
      <w:r w:rsidR="009451DD">
        <w:rPr>
          <w:sz w:val="24"/>
        </w:rPr>
        <w:t xml:space="preserve"> </w:t>
      </w:r>
      <w:r w:rsidR="005C0E0C">
        <w:rPr>
          <w:sz w:val="24"/>
        </w:rPr>
        <w:t xml:space="preserve">The aforementioned enhancements to the competitive market further each of these principles.  </w:t>
      </w:r>
    </w:p>
    <w:p w:rsidR="00064520" w:rsidRDefault="00064520" w:rsidP="00064520">
      <w:pPr>
        <w:autoSpaceDE w:val="0"/>
        <w:autoSpaceDN w:val="0"/>
        <w:adjustRightInd w:val="0"/>
        <w:spacing w:after="120" w:line="480" w:lineRule="auto"/>
        <w:ind w:firstLine="720"/>
        <w:rPr>
          <w:sz w:val="24"/>
        </w:rPr>
      </w:pPr>
      <w:r>
        <w:rPr>
          <w:sz w:val="24"/>
        </w:rPr>
        <w:t xml:space="preserve">Moreover, during AEP’s next distribution rate case, it will provide an analysis of all of the costs embedded in distribution rates that are required to provide SSO generation </w:t>
      </w:r>
      <w:r w:rsidR="009E19A6">
        <w:rPr>
          <w:sz w:val="24"/>
        </w:rPr>
        <w:t>service.  Thus, the CIR supports</w:t>
      </w:r>
      <w:r>
        <w:rPr>
          <w:sz w:val="24"/>
        </w:rPr>
        <w:t xml:space="preserve"> the state policy of promoting unbundled, comparable rates.</w:t>
      </w:r>
    </w:p>
    <w:p w:rsidR="00B5116A" w:rsidRPr="00B5116A" w:rsidRDefault="006E72CE" w:rsidP="006E72CE">
      <w:pPr>
        <w:autoSpaceDE w:val="0"/>
        <w:autoSpaceDN w:val="0"/>
        <w:adjustRightInd w:val="0"/>
        <w:spacing w:after="120" w:line="480" w:lineRule="auto"/>
        <w:ind w:firstLine="720"/>
        <w:rPr>
          <w:sz w:val="24"/>
        </w:rPr>
      </w:pPr>
      <w:r>
        <w:rPr>
          <w:sz w:val="24"/>
        </w:rPr>
        <w:t>AEP’s grid modernization plan, particularly smart grid deployment accompanied with enhanced access to customer usage information, will further promote the state policy of enabling customers to have increased access to retail products and services that fit their needs.  Moreover,</w:t>
      </w:r>
      <w:r w:rsidR="00B5116A">
        <w:rPr>
          <w:sz w:val="24"/>
        </w:rPr>
        <w:t xml:space="preserve"> Ohio law contains provisions that favor grid modernization.  </w:t>
      </w:r>
      <w:r w:rsidR="00B5116A">
        <w:rPr>
          <w:i/>
          <w:sz w:val="24"/>
        </w:rPr>
        <w:t xml:space="preserve">See </w:t>
      </w:r>
      <w:r w:rsidR="00B5116A">
        <w:rPr>
          <w:sz w:val="24"/>
        </w:rPr>
        <w:t>4928.143(H) (“</w:t>
      </w:r>
      <w:r w:rsidR="00B5116A" w:rsidRPr="00B5116A">
        <w:rPr>
          <w:sz w:val="24"/>
        </w:rPr>
        <w:t xml:space="preserve">provisions regarding distribution infrastructure and </w:t>
      </w:r>
      <w:r w:rsidR="00B5116A" w:rsidRPr="00B5116A">
        <w:rPr>
          <w:sz w:val="24"/>
        </w:rPr>
        <w:lastRenderedPageBreak/>
        <w:t>modernization incentives for the electric distribution</w:t>
      </w:r>
      <w:r w:rsidR="00B5116A">
        <w:rPr>
          <w:sz w:val="24"/>
        </w:rPr>
        <w:t xml:space="preserve"> utility” including “</w:t>
      </w:r>
      <w:r w:rsidR="00B5116A" w:rsidRPr="00B5116A">
        <w:rPr>
          <w:sz w:val="24"/>
        </w:rPr>
        <w:t>a long-term energy delivery infrastructure modernization plan for that utility</w:t>
      </w:r>
      <w:r w:rsidR="00B5116A">
        <w:rPr>
          <w:sz w:val="24"/>
        </w:rPr>
        <w:t>. . . .”).</w:t>
      </w:r>
    </w:p>
    <w:p w:rsidR="0082615C" w:rsidRDefault="006E72CE" w:rsidP="001B1132">
      <w:pPr>
        <w:autoSpaceDE w:val="0"/>
        <w:autoSpaceDN w:val="0"/>
        <w:adjustRightInd w:val="0"/>
        <w:spacing w:after="120" w:line="480" w:lineRule="auto"/>
        <w:ind w:firstLine="720"/>
        <w:rPr>
          <w:sz w:val="24"/>
        </w:rPr>
      </w:pPr>
      <w:r>
        <w:rPr>
          <w:sz w:val="24"/>
        </w:rPr>
        <w:t>Accordingly, neither the</w:t>
      </w:r>
      <w:r w:rsidR="00064520">
        <w:rPr>
          <w:sz w:val="24"/>
        </w:rPr>
        <w:t xml:space="preserve"> pilot programs</w:t>
      </w:r>
      <w:r>
        <w:rPr>
          <w:sz w:val="24"/>
        </w:rPr>
        <w:t xml:space="preserve"> nor AEP’s grid modernization plan</w:t>
      </w:r>
      <w:r w:rsidR="00064520">
        <w:rPr>
          <w:sz w:val="24"/>
        </w:rPr>
        <w:t xml:space="preserve"> violate any regulatory policy or principle.</w:t>
      </w:r>
    </w:p>
    <w:p w:rsidR="007A7AE6" w:rsidRPr="007A7AE6" w:rsidRDefault="007A7AE6" w:rsidP="007A7AE6">
      <w:pPr>
        <w:pStyle w:val="ListParagraph"/>
        <w:numPr>
          <w:ilvl w:val="0"/>
          <w:numId w:val="18"/>
        </w:numPr>
        <w:autoSpaceDE w:val="0"/>
        <w:autoSpaceDN w:val="0"/>
        <w:adjustRightInd w:val="0"/>
        <w:spacing w:after="120" w:line="480" w:lineRule="auto"/>
        <w:rPr>
          <w:b/>
          <w:sz w:val="24"/>
        </w:rPr>
      </w:pPr>
      <w:r w:rsidRPr="007A7AE6">
        <w:rPr>
          <w:b/>
          <w:sz w:val="24"/>
        </w:rPr>
        <w:t>CONCLUSION</w:t>
      </w:r>
    </w:p>
    <w:p w:rsidR="00D4127F" w:rsidRPr="007A7AE6" w:rsidRDefault="007A7AE6" w:rsidP="00D4127F">
      <w:pPr>
        <w:autoSpaceDE w:val="0"/>
        <w:autoSpaceDN w:val="0"/>
        <w:adjustRightInd w:val="0"/>
        <w:spacing w:after="120" w:line="480" w:lineRule="auto"/>
        <w:ind w:firstLine="720"/>
        <w:rPr>
          <w:sz w:val="24"/>
        </w:rPr>
      </w:pPr>
      <w:r>
        <w:rPr>
          <w:sz w:val="24"/>
        </w:rPr>
        <w:t xml:space="preserve">For the reasons stated herein, IGS and Direct </w:t>
      </w:r>
      <w:r w:rsidR="00B54697">
        <w:rPr>
          <w:sz w:val="24"/>
        </w:rPr>
        <w:t xml:space="preserve">Energy </w:t>
      </w:r>
      <w:r>
        <w:rPr>
          <w:sz w:val="24"/>
        </w:rPr>
        <w:t>recommend that the Commission find that the portions of the Stipulation related to the pilot programs and AEP’s proposed grid modernization plan are the product of serious bargaining, are in the public interest, and do not otherwise violate any regulatory policy or principle.  These programs will contribute to the development of the competitive market, increase the availability of innovative products and services, and result in direct savings to customers.  Therefore, IGS and Direct</w:t>
      </w:r>
      <w:r w:rsidR="00B54697">
        <w:rPr>
          <w:sz w:val="24"/>
        </w:rPr>
        <w:t xml:space="preserve"> Energy</w:t>
      </w:r>
      <w:r>
        <w:rPr>
          <w:sz w:val="24"/>
        </w:rPr>
        <w:t xml:space="preserve"> recommend that the Commission approve these components of the Stipulation. </w:t>
      </w:r>
    </w:p>
    <w:p w:rsidR="00943DE9" w:rsidRDefault="00943DE9" w:rsidP="00D4127F">
      <w:pPr>
        <w:spacing w:line="480" w:lineRule="auto"/>
        <w:ind w:left="4320" w:firstLine="720"/>
        <w:rPr>
          <w:sz w:val="24"/>
        </w:rPr>
      </w:pPr>
      <w:r>
        <w:rPr>
          <w:sz w:val="24"/>
        </w:rPr>
        <w:t>Very truly yours,</w:t>
      </w:r>
    </w:p>
    <w:p w:rsidR="00943DE9" w:rsidRPr="0039552E" w:rsidRDefault="00943DE9" w:rsidP="00943DE9">
      <w:pPr>
        <w:ind w:left="4320" w:firstLine="720"/>
        <w:rPr>
          <w:i/>
          <w:sz w:val="24"/>
        </w:rPr>
      </w:pPr>
      <w:r w:rsidRPr="0039552E">
        <w:rPr>
          <w:b/>
          <w:i/>
          <w:sz w:val="24"/>
          <w:u w:val="single"/>
        </w:rPr>
        <w:t>/s/Joseph Oliker</w:t>
      </w:r>
      <w:r w:rsidRPr="0039552E">
        <w:rPr>
          <w:i/>
          <w:sz w:val="24"/>
        </w:rPr>
        <w:tab/>
      </w:r>
    </w:p>
    <w:p w:rsidR="00943DE9" w:rsidRDefault="00943DE9" w:rsidP="00943DE9">
      <w:pPr>
        <w:ind w:left="5040"/>
        <w:rPr>
          <w:sz w:val="24"/>
        </w:rPr>
      </w:pPr>
      <w:r>
        <w:rPr>
          <w:sz w:val="24"/>
        </w:rPr>
        <w:t>Joseph Oliker (0086088)</w:t>
      </w:r>
    </w:p>
    <w:p w:rsidR="00943DE9" w:rsidRDefault="00943DE9" w:rsidP="00943DE9">
      <w:pPr>
        <w:ind w:left="5040"/>
        <w:rPr>
          <w:sz w:val="24"/>
        </w:rPr>
      </w:pPr>
      <w:r>
        <w:rPr>
          <w:sz w:val="24"/>
        </w:rPr>
        <w:t>Email</w:t>
      </w:r>
      <w:r w:rsidRPr="00A71E20">
        <w:rPr>
          <w:sz w:val="24"/>
        </w:rPr>
        <w:t>:</w:t>
      </w:r>
      <w:r w:rsidRPr="00943DE9">
        <w:rPr>
          <w:sz w:val="24"/>
        </w:rPr>
        <w:t xml:space="preserve"> </w:t>
      </w:r>
      <w:hyperlink r:id="rId10" w:history="1">
        <w:r w:rsidRPr="00943DE9">
          <w:rPr>
            <w:rStyle w:val="Hyperlink"/>
            <w:color w:val="auto"/>
            <w:sz w:val="24"/>
            <w:u w:val="none"/>
          </w:rPr>
          <w:t>joliker@igsenergy.com</w:t>
        </w:r>
      </w:hyperlink>
    </w:p>
    <w:p w:rsidR="00943DE9" w:rsidRDefault="00943DE9" w:rsidP="00943DE9">
      <w:pPr>
        <w:ind w:left="5040"/>
        <w:rPr>
          <w:sz w:val="24"/>
        </w:rPr>
      </w:pPr>
      <w:r>
        <w:rPr>
          <w:sz w:val="24"/>
        </w:rPr>
        <w:t>Counsel of Record</w:t>
      </w:r>
    </w:p>
    <w:p w:rsidR="00943DE9" w:rsidRDefault="00943DE9" w:rsidP="00943DE9">
      <w:pPr>
        <w:ind w:left="5040"/>
        <w:rPr>
          <w:sz w:val="24"/>
        </w:rPr>
      </w:pPr>
      <w:r>
        <w:rPr>
          <w:sz w:val="24"/>
        </w:rPr>
        <w:t>IGS Energy</w:t>
      </w:r>
    </w:p>
    <w:p w:rsidR="00943DE9" w:rsidRDefault="00943DE9" w:rsidP="00943DE9">
      <w:pPr>
        <w:ind w:left="5040"/>
        <w:rPr>
          <w:sz w:val="24"/>
        </w:rPr>
      </w:pPr>
      <w:r>
        <w:rPr>
          <w:sz w:val="24"/>
        </w:rPr>
        <w:t>6100 Emerald Parkway</w:t>
      </w:r>
    </w:p>
    <w:p w:rsidR="00943DE9" w:rsidRDefault="00943DE9" w:rsidP="00943DE9">
      <w:pPr>
        <w:ind w:left="5040"/>
        <w:rPr>
          <w:sz w:val="24"/>
        </w:rPr>
      </w:pPr>
      <w:r>
        <w:rPr>
          <w:sz w:val="24"/>
        </w:rPr>
        <w:t>Dublin, Ohio 43016</w:t>
      </w:r>
    </w:p>
    <w:p w:rsidR="00943DE9" w:rsidRDefault="00943DE9" w:rsidP="00943DE9">
      <w:pPr>
        <w:ind w:left="5040"/>
        <w:rPr>
          <w:sz w:val="24"/>
        </w:rPr>
      </w:pPr>
      <w:r>
        <w:rPr>
          <w:sz w:val="24"/>
        </w:rPr>
        <w:t>Telephone:</w:t>
      </w:r>
      <w:r>
        <w:rPr>
          <w:sz w:val="24"/>
        </w:rPr>
        <w:tab/>
        <w:t>(614) 659-5000</w:t>
      </w:r>
    </w:p>
    <w:p w:rsidR="00943DE9" w:rsidRDefault="00943DE9" w:rsidP="009E19A6">
      <w:pPr>
        <w:ind w:left="5040"/>
        <w:rPr>
          <w:sz w:val="24"/>
        </w:rPr>
      </w:pPr>
      <w:r>
        <w:rPr>
          <w:sz w:val="24"/>
        </w:rPr>
        <w:t>Facsimile:</w:t>
      </w:r>
      <w:r>
        <w:rPr>
          <w:sz w:val="24"/>
        </w:rPr>
        <w:tab/>
        <w:t>(614) 659-5073</w:t>
      </w:r>
    </w:p>
    <w:p w:rsidR="009E19A6" w:rsidRDefault="009E19A6" w:rsidP="009E19A6">
      <w:pPr>
        <w:ind w:left="5040"/>
        <w:rPr>
          <w:sz w:val="24"/>
        </w:rPr>
      </w:pPr>
      <w:r>
        <w:rPr>
          <w:sz w:val="24"/>
        </w:rPr>
        <w:tab/>
      </w:r>
      <w:r>
        <w:rPr>
          <w:sz w:val="24"/>
        </w:rPr>
        <w:tab/>
      </w:r>
      <w:r>
        <w:rPr>
          <w:sz w:val="24"/>
        </w:rPr>
        <w:tab/>
      </w:r>
      <w:r>
        <w:rPr>
          <w:sz w:val="24"/>
        </w:rPr>
        <w:tab/>
      </w:r>
      <w:r>
        <w:rPr>
          <w:sz w:val="24"/>
        </w:rPr>
        <w:tab/>
      </w:r>
      <w:r>
        <w:rPr>
          <w:sz w:val="24"/>
        </w:rPr>
        <w:tab/>
      </w:r>
    </w:p>
    <w:p w:rsidR="009E19A6" w:rsidRPr="009E19A6" w:rsidRDefault="009E19A6" w:rsidP="009E19A6">
      <w:pPr>
        <w:ind w:left="5040"/>
        <w:rPr>
          <w:b/>
          <w:i/>
          <w:sz w:val="24"/>
          <w:u w:val="single"/>
        </w:rPr>
      </w:pPr>
      <w:r w:rsidRPr="009E19A6">
        <w:rPr>
          <w:b/>
          <w:i/>
          <w:sz w:val="24"/>
          <w:u w:val="single"/>
        </w:rPr>
        <w:t>/s/Jennifer L. Spinosi</w:t>
      </w:r>
    </w:p>
    <w:p w:rsidR="009E19A6" w:rsidRDefault="009E19A6" w:rsidP="009E19A6">
      <w:pPr>
        <w:ind w:left="5040"/>
        <w:rPr>
          <w:sz w:val="24"/>
        </w:rPr>
      </w:pPr>
      <w:r>
        <w:rPr>
          <w:sz w:val="24"/>
        </w:rPr>
        <w:t>Jennifer L. Spinosi (0089162)</w:t>
      </w:r>
    </w:p>
    <w:p w:rsidR="009E19A6" w:rsidRDefault="009E19A6" w:rsidP="009E19A6">
      <w:pPr>
        <w:rPr>
          <w:sz w:val="24"/>
        </w:rPr>
      </w:pPr>
      <w:r>
        <w:rPr>
          <w:sz w:val="24"/>
        </w:rPr>
        <w:tab/>
      </w:r>
      <w:r>
        <w:rPr>
          <w:sz w:val="24"/>
        </w:rPr>
        <w:tab/>
      </w:r>
      <w:r>
        <w:rPr>
          <w:sz w:val="24"/>
        </w:rPr>
        <w:tab/>
      </w:r>
      <w:r>
        <w:rPr>
          <w:sz w:val="24"/>
        </w:rPr>
        <w:tab/>
      </w:r>
      <w:r>
        <w:rPr>
          <w:sz w:val="24"/>
        </w:rPr>
        <w:tab/>
      </w:r>
      <w:r>
        <w:rPr>
          <w:sz w:val="24"/>
        </w:rPr>
        <w:tab/>
      </w:r>
      <w:r>
        <w:rPr>
          <w:sz w:val="24"/>
        </w:rPr>
        <w:tab/>
        <w:t>Jennifer.spinosi@directenergy.com</w:t>
      </w:r>
    </w:p>
    <w:p w:rsidR="009E19A6" w:rsidRDefault="009E19A6" w:rsidP="009E19A6">
      <w:pPr>
        <w:ind w:left="5040"/>
        <w:rPr>
          <w:sz w:val="24"/>
        </w:rPr>
      </w:pPr>
      <w:r>
        <w:rPr>
          <w:sz w:val="24"/>
        </w:rPr>
        <w:t>Counsel of Record</w:t>
      </w:r>
    </w:p>
    <w:p w:rsidR="009E19A6" w:rsidRDefault="009E19A6" w:rsidP="009E19A6">
      <w:pPr>
        <w:ind w:left="5040"/>
        <w:rPr>
          <w:sz w:val="24"/>
        </w:rPr>
      </w:pPr>
      <w:r>
        <w:rPr>
          <w:sz w:val="24"/>
        </w:rPr>
        <w:t>Direct Energy</w:t>
      </w:r>
    </w:p>
    <w:p w:rsidR="009E19A6" w:rsidRDefault="009E19A6" w:rsidP="009E19A6">
      <w:pPr>
        <w:ind w:left="5040"/>
        <w:rPr>
          <w:sz w:val="24"/>
        </w:rPr>
      </w:pPr>
      <w:r>
        <w:rPr>
          <w:sz w:val="24"/>
        </w:rPr>
        <w:t>21 E. State St. / 19</w:t>
      </w:r>
      <w:r w:rsidRPr="009E19A6">
        <w:rPr>
          <w:sz w:val="24"/>
          <w:vertAlign w:val="superscript"/>
        </w:rPr>
        <w:t>th</w:t>
      </w:r>
      <w:r>
        <w:rPr>
          <w:sz w:val="24"/>
        </w:rPr>
        <w:t xml:space="preserve"> Floor</w:t>
      </w:r>
    </w:p>
    <w:p w:rsidR="009E19A6" w:rsidRDefault="009E19A6" w:rsidP="009E19A6">
      <w:pPr>
        <w:ind w:left="5040"/>
        <w:rPr>
          <w:sz w:val="24"/>
        </w:rPr>
      </w:pPr>
      <w:r>
        <w:rPr>
          <w:sz w:val="24"/>
        </w:rPr>
        <w:t>Columbus, OH 43215</w:t>
      </w:r>
    </w:p>
    <w:p w:rsidR="009E19A6" w:rsidRDefault="009E19A6" w:rsidP="009E19A6">
      <w:pPr>
        <w:ind w:left="5040"/>
        <w:rPr>
          <w:sz w:val="24"/>
        </w:rPr>
      </w:pPr>
      <w:r>
        <w:rPr>
          <w:sz w:val="24"/>
        </w:rPr>
        <w:lastRenderedPageBreak/>
        <w:t>Telephone:</w:t>
      </w:r>
      <w:r>
        <w:rPr>
          <w:sz w:val="24"/>
        </w:rPr>
        <w:tab/>
        <w:t>(614) 506-8594</w:t>
      </w:r>
    </w:p>
    <w:p w:rsidR="009E19A6" w:rsidRDefault="009E19A6" w:rsidP="009E19A6">
      <w:pPr>
        <w:ind w:left="5040"/>
        <w:rPr>
          <w:sz w:val="24"/>
        </w:rPr>
      </w:pPr>
      <w:r>
        <w:rPr>
          <w:sz w:val="24"/>
        </w:rPr>
        <w:t>Facsimile:</w:t>
      </w:r>
      <w:r>
        <w:rPr>
          <w:sz w:val="24"/>
        </w:rPr>
        <w:tab/>
        <w:t>(614) 220-4674</w:t>
      </w:r>
    </w:p>
    <w:p w:rsidR="005D01CA" w:rsidRDefault="005D01CA" w:rsidP="007511FC">
      <w:pPr>
        <w:spacing w:line="480" w:lineRule="auto"/>
        <w:ind w:firstLine="720"/>
        <w:rPr>
          <w:sz w:val="24"/>
        </w:rPr>
      </w:pPr>
    </w:p>
    <w:p w:rsidR="006E72CE" w:rsidRDefault="006E72CE" w:rsidP="007511FC">
      <w:pPr>
        <w:spacing w:line="480" w:lineRule="auto"/>
        <w:ind w:firstLine="720"/>
        <w:rPr>
          <w:sz w:val="24"/>
        </w:rPr>
      </w:pPr>
    </w:p>
    <w:p w:rsidR="006E72CE" w:rsidRDefault="006E72CE" w:rsidP="007511FC">
      <w:pPr>
        <w:spacing w:line="480" w:lineRule="auto"/>
        <w:ind w:firstLine="720"/>
        <w:rPr>
          <w:sz w:val="24"/>
        </w:rPr>
      </w:pPr>
    </w:p>
    <w:p w:rsidR="005D01CA" w:rsidRDefault="005D01CA" w:rsidP="007511FC">
      <w:pPr>
        <w:spacing w:line="480" w:lineRule="auto"/>
        <w:ind w:firstLine="720"/>
        <w:rPr>
          <w:sz w:val="24"/>
        </w:rPr>
      </w:pPr>
    </w:p>
    <w:p w:rsidR="000C0457" w:rsidRDefault="000C0457" w:rsidP="007511FC">
      <w:pPr>
        <w:spacing w:line="480" w:lineRule="auto"/>
        <w:ind w:firstLine="720"/>
        <w:rPr>
          <w:sz w:val="24"/>
        </w:rPr>
      </w:pPr>
    </w:p>
    <w:p w:rsidR="005D01CA" w:rsidRDefault="005D01CA"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9E19A6" w:rsidRDefault="009E19A6" w:rsidP="0039552E">
      <w:pPr>
        <w:spacing w:line="480" w:lineRule="auto"/>
        <w:rPr>
          <w:sz w:val="24"/>
        </w:rPr>
      </w:pPr>
    </w:p>
    <w:p w:rsidR="00D4127F" w:rsidRDefault="00D4127F" w:rsidP="0039552E">
      <w:pPr>
        <w:spacing w:line="480" w:lineRule="auto"/>
        <w:rPr>
          <w:sz w:val="24"/>
        </w:rPr>
      </w:pPr>
    </w:p>
    <w:p w:rsidR="00D4127F" w:rsidRDefault="00D4127F" w:rsidP="0039552E">
      <w:pPr>
        <w:spacing w:line="480" w:lineRule="auto"/>
        <w:rPr>
          <w:sz w:val="24"/>
        </w:rPr>
      </w:pPr>
    </w:p>
    <w:p w:rsidR="009E19A6" w:rsidRDefault="009E19A6" w:rsidP="0039552E">
      <w:pPr>
        <w:spacing w:line="480" w:lineRule="auto"/>
        <w:rPr>
          <w:sz w:val="24"/>
        </w:rPr>
      </w:pPr>
    </w:p>
    <w:p w:rsidR="007A7AE6" w:rsidRDefault="007A7AE6" w:rsidP="0039552E">
      <w:pPr>
        <w:spacing w:line="480" w:lineRule="auto"/>
        <w:rPr>
          <w:sz w:val="24"/>
        </w:rPr>
      </w:pPr>
    </w:p>
    <w:p w:rsidR="005D01CA" w:rsidRPr="005D01CA" w:rsidRDefault="005D01CA" w:rsidP="005D01CA">
      <w:pPr>
        <w:suppressLineNumbers/>
        <w:ind w:left="2160" w:firstLine="720"/>
        <w:contextualSpacing/>
        <w:rPr>
          <w:rFonts w:eastAsia="Arial"/>
          <w:sz w:val="24"/>
        </w:rPr>
      </w:pPr>
      <w:r w:rsidRPr="005D01CA">
        <w:rPr>
          <w:rFonts w:eastAsia="Arial"/>
          <w:b/>
          <w:sz w:val="24"/>
          <w:u w:val="single"/>
        </w:rPr>
        <w:lastRenderedPageBreak/>
        <w:t>CERTIFICATE OF SERVICE</w:t>
      </w:r>
    </w:p>
    <w:p w:rsidR="005D01CA" w:rsidRPr="005D01CA" w:rsidRDefault="005D01CA" w:rsidP="005D01CA">
      <w:pPr>
        <w:suppressLineNumbers/>
        <w:jc w:val="center"/>
        <w:rPr>
          <w:rFonts w:eastAsia="Arial"/>
          <w:b/>
          <w:sz w:val="24"/>
          <w:u w:val="single"/>
        </w:rPr>
      </w:pPr>
    </w:p>
    <w:p w:rsidR="005D01CA" w:rsidRPr="005D01CA" w:rsidRDefault="005D01CA" w:rsidP="005D01CA">
      <w:pPr>
        <w:suppressLineNumbers/>
        <w:rPr>
          <w:rFonts w:eastAsia="Calibri"/>
          <w:sz w:val="24"/>
        </w:rPr>
      </w:pPr>
      <w:r w:rsidRPr="005D01CA">
        <w:rPr>
          <w:rFonts w:eastAsia="Arial"/>
          <w:sz w:val="24"/>
        </w:rPr>
        <w:tab/>
      </w:r>
      <w:r w:rsidRPr="005D01CA">
        <w:rPr>
          <w:rFonts w:eastAsia="Calibri"/>
          <w:sz w:val="24"/>
        </w:rPr>
        <w:t xml:space="preserve">The undersigned hereby certifies that a copy of the foregoing </w:t>
      </w:r>
      <w:r w:rsidR="00162BE2">
        <w:rPr>
          <w:rFonts w:eastAsia="Calibri"/>
          <w:i/>
          <w:sz w:val="24"/>
        </w:rPr>
        <w:t xml:space="preserve">Joint </w:t>
      </w:r>
      <w:r w:rsidR="007A7AE6">
        <w:rPr>
          <w:rFonts w:eastAsia="Calibri"/>
          <w:i/>
          <w:sz w:val="24"/>
        </w:rPr>
        <w:t xml:space="preserve">Initial Brief of Interstate Gas Supply, Inc., Direct Energy Services, LLC, and Direct Energy Business, LLC </w:t>
      </w:r>
      <w:r w:rsidRPr="005D01CA">
        <w:rPr>
          <w:rFonts w:eastAsia="Calibri"/>
          <w:sz w:val="24"/>
        </w:rPr>
        <w:t xml:space="preserve">was served this </w:t>
      </w:r>
      <w:r w:rsidR="007A7AE6">
        <w:rPr>
          <w:rFonts w:eastAsia="Calibri"/>
          <w:sz w:val="24"/>
        </w:rPr>
        <w:t>1st</w:t>
      </w:r>
      <w:r w:rsidRPr="005D01CA">
        <w:rPr>
          <w:rFonts w:eastAsia="Calibri"/>
          <w:sz w:val="24"/>
        </w:rPr>
        <w:t xml:space="preserve"> day of </w:t>
      </w:r>
      <w:r w:rsidR="007A7AE6">
        <w:rPr>
          <w:rFonts w:eastAsia="Calibri"/>
          <w:sz w:val="24"/>
        </w:rPr>
        <w:t>February 2016</w:t>
      </w:r>
      <w:r w:rsidRPr="005D01CA">
        <w:rPr>
          <w:rFonts w:eastAsia="Calibri"/>
          <w:sz w:val="24"/>
        </w:rPr>
        <w:t xml:space="preserve"> via electronic mail upon the following:</w:t>
      </w:r>
    </w:p>
    <w:p w:rsidR="005D01CA" w:rsidRPr="005D01CA" w:rsidRDefault="005D01CA" w:rsidP="005D01CA">
      <w:pPr>
        <w:suppressLineNumbers/>
        <w:rPr>
          <w:rFonts w:eastAsia="Calibri"/>
          <w:sz w:val="24"/>
        </w:rPr>
      </w:pPr>
    </w:p>
    <w:p w:rsidR="005D01CA" w:rsidRPr="005D01CA" w:rsidRDefault="005D01CA" w:rsidP="005D01CA">
      <w:pPr>
        <w:suppressLineNumbers/>
        <w:jc w:val="left"/>
        <w:rPr>
          <w:sz w:val="16"/>
          <w:szCs w:val="16"/>
        </w:rPr>
      </w:pPr>
    </w:p>
    <w:tbl>
      <w:tblPr>
        <w:tblW w:w="0" w:type="auto"/>
        <w:tblLook w:val="01E0" w:firstRow="1" w:lastRow="1" w:firstColumn="1" w:lastColumn="1" w:noHBand="0" w:noVBand="0"/>
      </w:tblPr>
      <w:tblGrid>
        <w:gridCol w:w="4462"/>
        <w:gridCol w:w="4502"/>
      </w:tblGrid>
      <w:tr w:rsidR="005D01CA" w:rsidRPr="005D01CA" w:rsidTr="009A414F">
        <w:tc>
          <w:tcPr>
            <w:tcW w:w="4428" w:type="dxa"/>
            <w:shd w:val="clear" w:color="auto" w:fill="auto"/>
          </w:tcPr>
          <w:p w:rsidR="005D01CA" w:rsidRPr="005D01CA" w:rsidRDefault="0075172E" w:rsidP="005D01CA">
            <w:pPr>
              <w:autoSpaceDE w:val="0"/>
              <w:autoSpaceDN w:val="0"/>
              <w:adjustRightInd w:val="0"/>
              <w:jc w:val="left"/>
              <w:rPr>
                <w:rFonts w:eastAsia="Times New Roman"/>
                <w:color w:val="000000"/>
                <w:sz w:val="24"/>
              </w:rPr>
            </w:pPr>
            <w:hyperlink r:id="rId11" w:history="1">
              <w:r w:rsidR="009E19A6" w:rsidRPr="00B5575B">
                <w:rPr>
                  <w:rStyle w:val="Hyperlink"/>
                  <w:rFonts w:eastAsia="Times New Roman"/>
                  <w:sz w:val="24"/>
                </w:rPr>
                <w:t>Thomas.mcnamee@puc.state.oh.us</w:t>
              </w:r>
            </w:hyperlink>
          </w:p>
          <w:p w:rsidR="005D01CA" w:rsidRPr="005D01CA" w:rsidRDefault="0075172E" w:rsidP="005D01CA">
            <w:pPr>
              <w:autoSpaceDE w:val="0"/>
              <w:autoSpaceDN w:val="0"/>
              <w:adjustRightInd w:val="0"/>
              <w:jc w:val="left"/>
              <w:rPr>
                <w:rFonts w:eastAsia="Times New Roman"/>
                <w:color w:val="000000"/>
                <w:sz w:val="24"/>
              </w:rPr>
            </w:pPr>
            <w:hyperlink r:id="rId12" w:history="1">
              <w:r w:rsidR="005D01CA" w:rsidRPr="005D01CA">
                <w:rPr>
                  <w:rFonts w:eastAsia="Times New Roman"/>
                  <w:color w:val="0000FF"/>
                  <w:sz w:val="24"/>
                  <w:u w:val="single"/>
                </w:rPr>
                <w:t>Katie.johnson@puc.state.oh.us</w:t>
              </w:r>
            </w:hyperlink>
          </w:p>
          <w:p w:rsidR="005D01CA" w:rsidRPr="005D01CA" w:rsidRDefault="0075172E" w:rsidP="005D01CA">
            <w:pPr>
              <w:autoSpaceDE w:val="0"/>
              <w:autoSpaceDN w:val="0"/>
              <w:adjustRightInd w:val="0"/>
              <w:jc w:val="left"/>
              <w:rPr>
                <w:rFonts w:eastAsia="Times New Roman"/>
                <w:color w:val="000000"/>
                <w:sz w:val="24"/>
              </w:rPr>
            </w:pPr>
            <w:hyperlink r:id="rId13" w:history="1">
              <w:r w:rsidR="005D01CA" w:rsidRPr="005D01CA">
                <w:rPr>
                  <w:rFonts w:eastAsia="Times New Roman"/>
                  <w:color w:val="0000FF"/>
                  <w:sz w:val="24"/>
                  <w:u w:val="single"/>
                </w:rPr>
                <w:t>haydenm@firstenergycorp.com</w:t>
              </w:r>
            </w:hyperlink>
          </w:p>
          <w:p w:rsidR="005D01CA" w:rsidRPr="005D01CA" w:rsidRDefault="0075172E" w:rsidP="005D01CA">
            <w:pPr>
              <w:autoSpaceDE w:val="0"/>
              <w:autoSpaceDN w:val="0"/>
              <w:adjustRightInd w:val="0"/>
              <w:jc w:val="left"/>
              <w:rPr>
                <w:rFonts w:eastAsia="Times New Roman"/>
                <w:color w:val="000000"/>
                <w:sz w:val="24"/>
              </w:rPr>
            </w:pPr>
            <w:hyperlink r:id="rId14" w:history="1">
              <w:r w:rsidR="005D01CA" w:rsidRPr="005D01CA">
                <w:rPr>
                  <w:rFonts w:eastAsia="Times New Roman"/>
                  <w:color w:val="0000FF"/>
                  <w:sz w:val="24"/>
                  <w:u w:val="single"/>
                </w:rPr>
                <w:t>jmcdermott@firstenergycorp.com</w:t>
              </w:r>
            </w:hyperlink>
          </w:p>
          <w:p w:rsidR="005D01CA" w:rsidRPr="005D01CA" w:rsidRDefault="0075172E" w:rsidP="005D01CA">
            <w:pPr>
              <w:autoSpaceDE w:val="0"/>
              <w:autoSpaceDN w:val="0"/>
              <w:adjustRightInd w:val="0"/>
              <w:jc w:val="left"/>
              <w:rPr>
                <w:rFonts w:eastAsia="Times New Roman"/>
                <w:color w:val="000000"/>
                <w:sz w:val="24"/>
              </w:rPr>
            </w:pPr>
            <w:hyperlink r:id="rId15" w:history="1">
              <w:r w:rsidR="005D01CA" w:rsidRPr="005D01CA">
                <w:rPr>
                  <w:rFonts w:eastAsia="Times New Roman"/>
                  <w:color w:val="0000FF"/>
                  <w:sz w:val="24"/>
                  <w:u w:val="single"/>
                </w:rPr>
                <w:t>scasto@firstenergycorp.com</w:t>
              </w:r>
            </w:hyperlink>
          </w:p>
          <w:p w:rsidR="005D01CA" w:rsidRPr="005D01CA" w:rsidRDefault="0075172E" w:rsidP="005D01CA">
            <w:pPr>
              <w:autoSpaceDE w:val="0"/>
              <w:autoSpaceDN w:val="0"/>
              <w:adjustRightInd w:val="0"/>
              <w:jc w:val="left"/>
              <w:rPr>
                <w:rFonts w:eastAsia="Times New Roman"/>
                <w:color w:val="000000"/>
                <w:sz w:val="24"/>
              </w:rPr>
            </w:pPr>
            <w:hyperlink r:id="rId16" w:history="1">
              <w:r w:rsidR="005D01CA" w:rsidRPr="005D01CA">
                <w:rPr>
                  <w:rFonts w:eastAsia="Times New Roman"/>
                  <w:color w:val="0000FF"/>
                  <w:sz w:val="24"/>
                  <w:u w:val="single"/>
                </w:rPr>
                <w:t>jlang@calfee.com</w:t>
              </w:r>
            </w:hyperlink>
          </w:p>
          <w:p w:rsidR="005D01CA" w:rsidRPr="005D01CA" w:rsidRDefault="0075172E" w:rsidP="005D01CA">
            <w:pPr>
              <w:autoSpaceDE w:val="0"/>
              <w:autoSpaceDN w:val="0"/>
              <w:adjustRightInd w:val="0"/>
              <w:jc w:val="left"/>
              <w:rPr>
                <w:rFonts w:eastAsia="Times New Roman"/>
                <w:color w:val="000000"/>
                <w:sz w:val="24"/>
              </w:rPr>
            </w:pPr>
            <w:hyperlink r:id="rId17" w:history="1">
              <w:r w:rsidR="005D01CA" w:rsidRPr="005D01CA">
                <w:rPr>
                  <w:rFonts w:eastAsia="Times New Roman"/>
                  <w:color w:val="0000FF"/>
                  <w:sz w:val="24"/>
                  <w:u w:val="single"/>
                </w:rPr>
                <w:t>talexander@calfee.com</w:t>
              </w:r>
            </w:hyperlink>
          </w:p>
          <w:p w:rsidR="005D01CA" w:rsidRPr="005D01CA" w:rsidRDefault="0075172E" w:rsidP="005D01CA">
            <w:pPr>
              <w:autoSpaceDE w:val="0"/>
              <w:autoSpaceDN w:val="0"/>
              <w:adjustRightInd w:val="0"/>
              <w:jc w:val="left"/>
              <w:rPr>
                <w:rFonts w:eastAsia="Times New Roman"/>
                <w:color w:val="000000"/>
                <w:sz w:val="24"/>
              </w:rPr>
            </w:pPr>
            <w:hyperlink r:id="rId18" w:history="1">
              <w:r w:rsidR="005D01CA" w:rsidRPr="005D01CA">
                <w:rPr>
                  <w:rFonts w:eastAsia="Times New Roman"/>
                  <w:color w:val="0000FF"/>
                  <w:sz w:val="24"/>
                  <w:u w:val="single"/>
                </w:rPr>
                <w:t>myurick@taftlaw.com</w:t>
              </w:r>
            </w:hyperlink>
          </w:p>
          <w:p w:rsidR="005D01CA" w:rsidRPr="005D01CA" w:rsidRDefault="0075172E" w:rsidP="005D01CA">
            <w:pPr>
              <w:autoSpaceDE w:val="0"/>
              <w:autoSpaceDN w:val="0"/>
              <w:adjustRightInd w:val="0"/>
              <w:jc w:val="left"/>
              <w:rPr>
                <w:rFonts w:eastAsia="Times New Roman"/>
                <w:color w:val="000000"/>
                <w:sz w:val="24"/>
              </w:rPr>
            </w:pPr>
            <w:hyperlink r:id="rId19" w:history="1">
              <w:r w:rsidR="005D01CA" w:rsidRPr="005D01CA">
                <w:rPr>
                  <w:rFonts w:eastAsia="Times New Roman"/>
                  <w:color w:val="0000FF"/>
                  <w:sz w:val="24"/>
                  <w:u w:val="single"/>
                </w:rPr>
                <w:t>callwein@wamenergylaw.com</w:t>
              </w:r>
            </w:hyperlink>
          </w:p>
          <w:p w:rsidR="005D01CA" w:rsidRPr="005D01CA" w:rsidRDefault="0075172E" w:rsidP="005D01CA">
            <w:pPr>
              <w:autoSpaceDE w:val="0"/>
              <w:autoSpaceDN w:val="0"/>
              <w:adjustRightInd w:val="0"/>
              <w:jc w:val="left"/>
              <w:rPr>
                <w:rFonts w:eastAsia="Times New Roman"/>
                <w:color w:val="000000"/>
                <w:sz w:val="24"/>
              </w:rPr>
            </w:pPr>
            <w:hyperlink r:id="rId20" w:history="1">
              <w:r w:rsidR="005D01CA" w:rsidRPr="005D01CA">
                <w:rPr>
                  <w:rFonts w:eastAsia="Times New Roman"/>
                  <w:color w:val="0000FF"/>
                  <w:sz w:val="24"/>
                  <w:u w:val="single"/>
                </w:rPr>
                <w:t>tony.mendoza@sierraclub.org</w:t>
              </w:r>
            </w:hyperlink>
          </w:p>
          <w:p w:rsidR="005D01CA" w:rsidRPr="005D01CA" w:rsidRDefault="0075172E" w:rsidP="005D01CA">
            <w:pPr>
              <w:autoSpaceDE w:val="0"/>
              <w:autoSpaceDN w:val="0"/>
              <w:adjustRightInd w:val="0"/>
              <w:jc w:val="left"/>
              <w:rPr>
                <w:rFonts w:eastAsia="Times New Roman"/>
                <w:color w:val="000000"/>
                <w:sz w:val="24"/>
              </w:rPr>
            </w:pPr>
            <w:hyperlink r:id="rId21" w:history="1">
              <w:r w:rsidR="005D01CA" w:rsidRPr="005D01CA">
                <w:rPr>
                  <w:rFonts w:eastAsia="Times New Roman"/>
                  <w:color w:val="0000FF"/>
                  <w:sz w:val="24"/>
                  <w:u w:val="single"/>
                </w:rPr>
                <w:t>todonnell@dickinsonwright.com</w:t>
              </w:r>
            </w:hyperlink>
          </w:p>
          <w:p w:rsidR="005D01CA" w:rsidRPr="005D01CA" w:rsidRDefault="0075172E" w:rsidP="005D01CA">
            <w:pPr>
              <w:autoSpaceDE w:val="0"/>
              <w:autoSpaceDN w:val="0"/>
              <w:adjustRightInd w:val="0"/>
              <w:jc w:val="left"/>
              <w:rPr>
                <w:rFonts w:eastAsia="Times New Roman"/>
                <w:color w:val="000000"/>
                <w:sz w:val="24"/>
              </w:rPr>
            </w:pPr>
            <w:hyperlink r:id="rId22" w:history="1">
              <w:r w:rsidR="005D01CA" w:rsidRPr="005D01CA">
                <w:rPr>
                  <w:rFonts w:eastAsia="Times New Roman"/>
                  <w:color w:val="0000FF"/>
                  <w:sz w:val="24"/>
                  <w:u w:val="single"/>
                </w:rPr>
                <w:t>tdougherty@theOEC.org</w:t>
              </w:r>
            </w:hyperlink>
          </w:p>
          <w:p w:rsidR="005D01CA" w:rsidRPr="005D01CA" w:rsidRDefault="0075172E" w:rsidP="005D01CA">
            <w:pPr>
              <w:autoSpaceDE w:val="0"/>
              <w:autoSpaceDN w:val="0"/>
              <w:adjustRightInd w:val="0"/>
              <w:jc w:val="left"/>
              <w:rPr>
                <w:rFonts w:eastAsia="Times New Roman"/>
                <w:color w:val="000000"/>
                <w:sz w:val="24"/>
              </w:rPr>
            </w:pPr>
            <w:hyperlink r:id="rId23" w:history="1">
              <w:r w:rsidR="005D01CA" w:rsidRPr="005D01CA">
                <w:rPr>
                  <w:rFonts w:eastAsia="Times New Roman"/>
                  <w:color w:val="0000FF"/>
                  <w:sz w:val="24"/>
                  <w:u w:val="single"/>
                </w:rPr>
                <w:t>toddm@wamenergylaw.com</w:t>
              </w:r>
            </w:hyperlink>
          </w:p>
          <w:p w:rsidR="005D01CA" w:rsidRPr="005D01CA" w:rsidRDefault="0075172E" w:rsidP="005D01CA">
            <w:pPr>
              <w:autoSpaceDE w:val="0"/>
              <w:autoSpaceDN w:val="0"/>
              <w:adjustRightInd w:val="0"/>
              <w:jc w:val="left"/>
              <w:rPr>
                <w:rFonts w:eastAsia="Times New Roman"/>
                <w:color w:val="000000"/>
                <w:sz w:val="24"/>
              </w:rPr>
            </w:pPr>
            <w:hyperlink r:id="rId24" w:history="1">
              <w:r w:rsidR="005D01CA" w:rsidRPr="005D01CA">
                <w:rPr>
                  <w:rFonts w:eastAsia="Times New Roman"/>
                  <w:color w:val="0000FF"/>
                  <w:sz w:val="24"/>
                  <w:u w:val="single"/>
                </w:rPr>
                <w:t>jeffrey.mayes@monitoringanalytics.com</w:t>
              </w:r>
            </w:hyperlink>
          </w:p>
          <w:p w:rsidR="005D01CA" w:rsidRPr="005D01CA" w:rsidRDefault="0075172E" w:rsidP="005D01CA">
            <w:pPr>
              <w:autoSpaceDE w:val="0"/>
              <w:autoSpaceDN w:val="0"/>
              <w:adjustRightInd w:val="0"/>
              <w:jc w:val="left"/>
              <w:rPr>
                <w:rFonts w:eastAsia="Times New Roman"/>
                <w:color w:val="000000"/>
                <w:sz w:val="24"/>
              </w:rPr>
            </w:pPr>
            <w:hyperlink r:id="rId25" w:history="1">
              <w:r w:rsidR="005D01CA" w:rsidRPr="005D01CA">
                <w:rPr>
                  <w:rFonts w:eastAsia="Times New Roman"/>
                  <w:color w:val="0000FF"/>
                  <w:sz w:val="24"/>
                  <w:u w:val="single"/>
                </w:rPr>
                <w:t>ricks@ohanet.org</w:t>
              </w:r>
            </w:hyperlink>
          </w:p>
          <w:p w:rsidR="005D01CA" w:rsidRPr="005D01CA" w:rsidRDefault="0075172E" w:rsidP="005D01CA">
            <w:pPr>
              <w:autoSpaceDE w:val="0"/>
              <w:autoSpaceDN w:val="0"/>
              <w:adjustRightInd w:val="0"/>
              <w:jc w:val="left"/>
              <w:rPr>
                <w:rFonts w:eastAsia="Times New Roman"/>
                <w:color w:val="000000"/>
                <w:sz w:val="24"/>
              </w:rPr>
            </w:pPr>
            <w:hyperlink r:id="rId26" w:history="1">
              <w:r w:rsidR="005D01CA" w:rsidRPr="005D01CA">
                <w:rPr>
                  <w:rFonts w:eastAsia="Times New Roman"/>
                  <w:color w:val="0000FF"/>
                  <w:sz w:val="24"/>
                  <w:u w:val="single"/>
                </w:rPr>
                <w:t>tobrien@bricker.com</w:t>
              </w:r>
            </w:hyperlink>
          </w:p>
          <w:p w:rsidR="005D01CA" w:rsidRPr="005D01CA" w:rsidRDefault="0075172E" w:rsidP="005D01CA">
            <w:pPr>
              <w:autoSpaceDE w:val="0"/>
              <w:autoSpaceDN w:val="0"/>
              <w:adjustRightInd w:val="0"/>
              <w:jc w:val="left"/>
              <w:rPr>
                <w:rFonts w:eastAsia="Times New Roman"/>
                <w:color w:val="0000FF"/>
                <w:sz w:val="24"/>
              </w:rPr>
            </w:pPr>
            <w:hyperlink r:id="rId27" w:history="1">
              <w:r w:rsidR="005D01CA" w:rsidRPr="005D01CA">
                <w:rPr>
                  <w:rFonts w:eastAsia="Times New Roman"/>
                  <w:color w:val="0000FF"/>
                  <w:sz w:val="24"/>
                  <w:u w:val="single"/>
                </w:rPr>
                <w:t>mhpetricoff@vorys.com</w:t>
              </w:r>
            </w:hyperlink>
          </w:p>
          <w:p w:rsidR="005D01CA" w:rsidRPr="005D01CA" w:rsidRDefault="0075172E" w:rsidP="005D01CA">
            <w:pPr>
              <w:autoSpaceDE w:val="0"/>
              <w:autoSpaceDN w:val="0"/>
              <w:adjustRightInd w:val="0"/>
              <w:jc w:val="left"/>
              <w:rPr>
                <w:rFonts w:eastAsia="Times New Roman"/>
                <w:color w:val="0000FF"/>
                <w:sz w:val="24"/>
              </w:rPr>
            </w:pPr>
            <w:hyperlink r:id="rId28" w:history="1">
              <w:r w:rsidR="005D01CA" w:rsidRPr="005D01CA">
                <w:rPr>
                  <w:rFonts w:eastAsia="Times New Roman"/>
                  <w:color w:val="0000FF"/>
                  <w:sz w:val="24"/>
                  <w:u w:val="single"/>
                </w:rPr>
                <w:t>mjsettineri@vorys.com</w:t>
              </w:r>
            </w:hyperlink>
          </w:p>
          <w:p w:rsidR="005D01CA" w:rsidRPr="005D01CA" w:rsidRDefault="0075172E" w:rsidP="005D01CA">
            <w:pPr>
              <w:autoSpaceDE w:val="0"/>
              <w:autoSpaceDN w:val="0"/>
              <w:adjustRightInd w:val="0"/>
              <w:jc w:val="left"/>
              <w:rPr>
                <w:rFonts w:eastAsia="Times New Roman"/>
                <w:color w:val="0000FF"/>
                <w:sz w:val="24"/>
              </w:rPr>
            </w:pPr>
            <w:hyperlink r:id="rId29" w:history="1">
              <w:r w:rsidR="005D01CA" w:rsidRPr="005D01CA">
                <w:rPr>
                  <w:rFonts w:eastAsia="Times New Roman"/>
                  <w:color w:val="0000FF"/>
                  <w:sz w:val="24"/>
                  <w:u w:val="single"/>
                </w:rPr>
                <w:t>glpetrucci@vorys.com</w:t>
              </w:r>
            </w:hyperlink>
          </w:p>
          <w:p w:rsidR="005D01CA" w:rsidRPr="005D01CA" w:rsidRDefault="0075172E" w:rsidP="005D01CA">
            <w:pPr>
              <w:autoSpaceDE w:val="0"/>
              <w:autoSpaceDN w:val="0"/>
              <w:adjustRightInd w:val="0"/>
              <w:jc w:val="left"/>
              <w:rPr>
                <w:rFonts w:eastAsia="Times New Roman"/>
                <w:sz w:val="24"/>
              </w:rPr>
            </w:pPr>
            <w:hyperlink r:id="rId30" w:history="1">
              <w:r w:rsidR="005D01CA" w:rsidRPr="005D01CA">
                <w:rPr>
                  <w:rFonts w:eastAsia="Times New Roman"/>
                  <w:color w:val="0000FF"/>
                  <w:sz w:val="24"/>
                  <w:u w:val="single"/>
                </w:rPr>
                <w:t>mdortch@kravitzllc.com</w:t>
              </w:r>
            </w:hyperlink>
          </w:p>
          <w:p w:rsidR="005D01CA" w:rsidRPr="005D01CA" w:rsidRDefault="0075172E" w:rsidP="005D01CA">
            <w:pPr>
              <w:autoSpaceDE w:val="0"/>
              <w:autoSpaceDN w:val="0"/>
              <w:adjustRightInd w:val="0"/>
              <w:jc w:val="left"/>
              <w:rPr>
                <w:rFonts w:eastAsia="Times New Roman"/>
                <w:sz w:val="24"/>
              </w:rPr>
            </w:pPr>
            <w:hyperlink r:id="rId31" w:history="1">
              <w:r w:rsidR="005D01CA" w:rsidRPr="005D01CA">
                <w:rPr>
                  <w:rFonts w:eastAsia="Times New Roman"/>
                  <w:color w:val="0000FF"/>
                  <w:sz w:val="24"/>
                  <w:u w:val="single"/>
                </w:rPr>
                <w:t>joliker@igsenergy.com</w:t>
              </w:r>
            </w:hyperlink>
          </w:p>
          <w:p w:rsidR="005D01CA" w:rsidRPr="005D01CA" w:rsidRDefault="0075172E" w:rsidP="005D01CA">
            <w:pPr>
              <w:autoSpaceDE w:val="0"/>
              <w:autoSpaceDN w:val="0"/>
              <w:adjustRightInd w:val="0"/>
              <w:jc w:val="left"/>
              <w:rPr>
                <w:rFonts w:eastAsia="Times New Roman"/>
                <w:sz w:val="24"/>
              </w:rPr>
            </w:pPr>
            <w:hyperlink r:id="rId32" w:history="1">
              <w:r w:rsidR="005D01CA" w:rsidRPr="005D01CA">
                <w:rPr>
                  <w:rFonts w:eastAsia="Times New Roman"/>
                  <w:color w:val="0000FF"/>
                  <w:sz w:val="24"/>
                  <w:u w:val="single"/>
                </w:rPr>
                <w:t>mswhite@igsenergy.com</w:t>
              </w:r>
            </w:hyperlink>
          </w:p>
          <w:p w:rsidR="005D01CA" w:rsidRPr="005D01CA" w:rsidRDefault="005D01CA" w:rsidP="005D01CA">
            <w:pPr>
              <w:autoSpaceDE w:val="0"/>
              <w:autoSpaceDN w:val="0"/>
              <w:adjustRightInd w:val="0"/>
              <w:jc w:val="left"/>
              <w:rPr>
                <w:rFonts w:eastAsia="Times New Roman"/>
                <w:color w:val="0000FF"/>
                <w:sz w:val="24"/>
              </w:rPr>
            </w:pPr>
          </w:p>
          <w:p w:rsidR="005D01CA" w:rsidRPr="005D01CA" w:rsidRDefault="005D01CA" w:rsidP="005D01CA">
            <w:pPr>
              <w:autoSpaceDE w:val="0"/>
              <w:autoSpaceDN w:val="0"/>
              <w:adjustRightInd w:val="0"/>
              <w:jc w:val="left"/>
              <w:rPr>
                <w:rFonts w:eastAsia="Times New Roman"/>
                <w:color w:val="000000"/>
                <w:sz w:val="24"/>
              </w:rPr>
            </w:pPr>
          </w:p>
        </w:tc>
        <w:tc>
          <w:tcPr>
            <w:tcW w:w="4428" w:type="dxa"/>
            <w:shd w:val="clear" w:color="auto" w:fill="auto"/>
          </w:tcPr>
          <w:p w:rsidR="005D01CA" w:rsidRPr="005D01CA" w:rsidRDefault="0075172E" w:rsidP="005D01CA">
            <w:pPr>
              <w:autoSpaceDE w:val="0"/>
              <w:autoSpaceDN w:val="0"/>
              <w:adjustRightInd w:val="0"/>
              <w:jc w:val="left"/>
              <w:rPr>
                <w:rFonts w:eastAsia="Times New Roman"/>
                <w:color w:val="000000"/>
                <w:sz w:val="24"/>
              </w:rPr>
            </w:pPr>
            <w:hyperlink r:id="rId33" w:history="1">
              <w:r w:rsidR="005D01CA" w:rsidRPr="005D01CA">
                <w:rPr>
                  <w:rFonts w:eastAsia="Times New Roman"/>
                  <w:color w:val="0000FF"/>
                  <w:sz w:val="24"/>
                  <w:u w:val="single"/>
                </w:rPr>
                <w:t>stnourse@aep.com</w:t>
              </w:r>
            </w:hyperlink>
          </w:p>
          <w:p w:rsidR="005D01CA" w:rsidRPr="005D01CA" w:rsidRDefault="0075172E" w:rsidP="005D01CA">
            <w:pPr>
              <w:autoSpaceDE w:val="0"/>
              <w:autoSpaceDN w:val="0"/>
              <w:adjustRightInd w:val="0"/>
              <w:jc w:val="left"/>
              <w:rPr>
                <w:rFonts w:eastAsia="Times New Roman"/>
                <w:color w:val="000000"/>
                <w:sz w:val="24"/>
              </w:rPr>
            </w:pPr>
            <w:hyperlink r:id="rId34" w:history="1">
              <w:r w:rsidR="005D01CA" w:rsidRPr="005D01CA">
                <w:rPr>
                  <w:rFonts w:eastAsia="Times New Roman"/>
                  <w:color w:val="0000FF"/>
                  <w:sz w:val="24"/>
                  <w:u w:val="single"/>
                </w:rPr>
                <w:t>mjsatterwhite@aep.com</w:t>
              </w:r>
            </w:hyperlink>
          </w:p>
          <w:p w:rsidR="005D01CA" w:rsidRPr="005D01CA" w:rsidRDefault="0075172E" w:rsidP="005D01CA">
            <w:pPr>
              <w:autoSpaceDE w:val="0"/>
              <w:autoSpaceDN w:val="0"/>
              <w:adjustRightInd w:val="0"/>
              <w:jc w:val="left"/>
              <w:rPr>
                <w:rFonts w:eastAsia="Times New Roman"/>
                <w:color w:val="000000"/>
                <w:sz w:val="24"/>
              </w:rPr>
            </w:pPr>
            <w:hyperlink r:id="rId35" w:history="1">
              <w:r w:rsidR="005D01CA" w:rsidRPr="005D01CA">
                <w:rPr>
                  <w:rFonts w:eastAsia="Times New Roman"/>
                  <w:color w:val="0000FF"/>
                  <w:sz w:val="24"/>
                  <w:u w:val="single"/>
                </w:rPr>
                <w:t>msmckenzie@aep.com</w:t>
              </w:r>
            </w:hyperlink>
          </w:p>
          <w:p w:rsidR="005D01CA" w:rsidRPr="005D01CA" w:rsidRDefault="0075172E" w:rsidP="005D01CA">
            <w:pPr>
              <w:autoSpaceDE w:val="0"/>
              <w:autoSpaceDN w:val="0"/>
              <w:adjustRightInd w:val="0"/>
              <w:jc w:val="left"/>
              <w:rPr>
                <w:rFonts w:eastAsia="Times New Roman"/>
                <w:color w:val="000000"/>
                <w:sz w:val="24"/>
              </w:rPr>
            </w:pPr>
            <w:hyperlink r:id="rId36" w:history="1">
              <w:r w:rsidR="005D01CA" w:rsidRPr="005D01CA">
                <w:rPr>
                  <w:rFonts w:eastAsia="Times New Roman"/>
                  <w:color w:val="0000FF"/>
                  <w:sz w:val="24"/>
                  <w:u w:val="single"/>
                </w:rPr>
                <w:t>mkurtz@BKLlawfirm.com</w:t>
              </w:r>
            </w:hyperlink>
          </w:p>
          <w:p w:rsidR="005D01CA" w:rsidRPr="005D01CA" w:rsidRDefault="0075172E" w:rsidP="005D01CA">
            <w:pPr>
              <w:autoSpaceDE w:val="0"/>
              <w:autoSpaceDN w:val="0"/>
              <w:adjustRightInd w:val="0"/>
              <w:jc w:val="left"/>
              <w:rPr>
                <w:rFonts w:eastAsia="Times New Roman"/>
                <w:color w:val="000000"/>
                <w:sz w:val="24"/>
              </w:rPr>
            </w:pPr>
            <w:hyperlink r:id="rId37" w:history="1">
              <w:r w:rsidR="005D01CA" w:rsidRPr="005D01CA">
                <w:rPr>
                  <w:rFonts w:eastAsia="Times New Roman"/>
                  <w:color w:val="0000FF"/>
                  <w:sz w:val="24"/>
                  <w:u w:val="single"/>
                </w:rPr>
                <w:t>kboehm@BKLlawfirm.com</w:t>
              </w:r>
            </w:hyperlink>
          </w:p>
          <w:p w:rsidR="005D01CA" w:rsidRPr="005D01CA" w:rsidRDefault="0075172E" w:rsidP="005D01CA">
            <w:pPr>
              <w:autoSpaceDE w:val="0"/>
              <w:autoSpaceDN w:val="0"/>
              <w:adjustRightInd w:val="0"/>
              <w:jc w:val="left"/>
              <w:rPr>
                <w:rFonts w:eastAsia="Times New Roman"/>
                <w:color w:val="000000"/>
                <w:sz w:val="24"/>
              </w:rPr>
            </w:pPr>
            <w:hyperlink r:id="rId38" w:history="1">
              <w:r w:rsidR="005D01CA" w:rsidRPr="005D01CA">
                <w:rPr>
                  <w:rFonts w:eastAsia="Times New Roman"/>
                  <w:color w:val="0000FF"/>
                  <w:sz w:val="24"/>
                  <w:u w:val="single"/>
                </w:rPr>
                <w:t>jkylercohn@BKLlawfirm.com</w:t>
              </w:r>
            </w:hyperlink>
          </w:p>
          <w:p w:rsidR="005D01CA" w:rsidRPr="005D01CA" w:rsidRDefault="0075172E" w:rsidP="005D01CA">
            <w:pPr>
              <w:autoSpaceDE w:val="0"/>
              <w:autoSpaceDN w:val="0"/>
              <w:adjustRightInd w:val="0"/>
              <w:jc w:val="left"/>
              <w:rPr>
                <w:rFonts w:eastAsia="Times New Roman"/>
                <w:color w:val="000000"/>
                <w:sz w:val="24"/>
              </w:rPr>
            </w:pPr>
            <w:hyperlink r:id="rId39" w:history="1">
              <w:r w:rsidR="005D01CA" w:rsidRPr="005D01CA">
                <w:rPr>
                  <w:rFonts w:eastAsia="Times New Roman"/>
                  <w:color w:val="0000FF"/>
                  <w:sz w:val="24"/>
                  <w:u w:val="single"/>
                </w:rPr>
                <w:t>sam@mwncmh.com</w:t>
              </w:r>
            </w:hyperlink>
          </w:p>
          <w:p w:rsidR="005D01CA" w:rsidRPr="005D01CA" w:rsidRDefault="0075172E" w:rsidP="005D01CA">
            <w:pPr>
              <w:autoSpaceDE w:val="0"/>
              <w:autoSpaceDN w:val="0"/>
              <w:adjustRightInd w:val="0"/>
              <w:jc w:val="left"/>
              <w:rPr>
                <w:rFonts w:eastAsia="Times New Roman"/>
                <w:color w:val="000000"/>
                <w:sz w:val="24"/>
              </w:rPr>
            </w:pPr>
            <w:hyperlink r:id="rId40" w:history="1">
              <w:r w:rsidR="005D01CA" w:rsidRPr="005D01CA">
                <w:rPr>
                  <w:rFonts w:eastAsia="Times New Roman"/>
                  <w:color w:val="0000FF"/>
                  <w:sz w:val="24"/>
                  <w:u w:val="single"/>
                </w:rPr>
                <w:t>fdarr@mwncmh.com</w:t>
              </w:r>
            </w:hyperlink>
          </w:p>
          <w:p w:rsidR="005D01CA" w:rsidRPr="005D01CA" w:rsidRDefault="0075172E" w:rsidP="005D01CA">
            <w:pPr>
              <w:autoSpaceDE w:val="0"/>
              <w:autoSpaceDN w:val="0"/>
              <w:adjustRightInd w:val="0"/>
              <w:jc w:val="left"/>
              <w:rPr>
                <w:rFonts w:eastAsia="Times New Roman"/>
                <w:color w:val="000000"/>
                <w:sz w:val="24"/>
              </w:rPr>
            </w:pPr>
            <w:hyperlink r:id="rId41" w:history="1">
              <w:r w:rsidR="005D01CA" w:rsidRPr="005D01CA">
                <w:rPr>
                  <w:rFonts w:eastAsia="Times New Roman"/>
                  <w:color w:val="0000FF"/>
                  <w:sz w:val="24"/>
                  <w:u w:val="single"/>
                </w:rPr>
                <w:t>mpritchard@mwncmh.com</w:t>
              </w:r>
            </w:hyperlink>
          </w:p>
          <w:p w:rsidR="005D01CA" w:rsidRPr="005D01CA" w:rsidRDefault="0075172E" w:rsidP="005D01CA">
            <w:pPr>
              <w:autoSpaceDE w:val="0"/>
              <w:autoSpaceDN w:val="0"/>
              <w:adjustRightInd w:val="0"/>
              <w:jc w:val="left"/>
              <w:rPr>
                <w:rFonts w:eastAsia="Times New Roman"/>
                <w:color w:val="000000"/>
                <w:sz w:val="24"/>
              </w:rPr>
            </w:pPr>
            <w:hyperlink r:id="rId42" w:history="1">
              <w:r w:rsidR="005D01CA" w:rsidRPr="005D01CA">
                <w:rPr>
                  <w:rFonts w:eastAsia="Times New Roman"/>
                  <w:color w:val="0000FF"/>
                  <w:sz w:val="24"/>
                  <w:u w:val="single"/>
                </w:rPr>
                <w:t>Kurt.Helfrich@ThompsonHine.com</w:t>
              </w:r>
            </w:hyperlink>
          </w:p>
          <w:p w:rsidR="005D01CA" w:rsidRPr="005D01CA" w:rsidRDefault="0075172E" w:rsidP="005D01CA">
            <w:pPr>
              <w:autoSpaceDE w:val="0"/>
              <w:autoSpaceDN w:val="0"/>
              <w:adjustRightInd w:val="0"/>
              <w:jc w:val="left"/>
              <w:rPr>
                <w:rFonts w:eastAsia="Times New Roman"/>
                <w:color w:val="000000"/>
                <w:sz w:val="24"/>
              </w:rPr>
            </w:pPr>
            <w:hyperlink r:id="rId43" w:history="1">
              <w:r w:rsidR="005D01CA" w:rsidRPr="005D01CA">
                <w:rPr>
                  <w:rFonts w:eastAsia="Times New Roman"/>
                  <w:color w:val="0000FF"/>
                  <w:sz w:val="24"/>
                  <w:u w:val="single"/>
                </w:rPr>
                <w:t>Scott.Campbell@ThompsonHine.com</w:t>
              </w:r>
            </w:hyperlink>
          </w:p>
          <w:p w:rsidR="005D01CA" w:rsidRPr="005D01CA" w:rsidRDefault="0075172E" w:rsidP="005D01CA">
            <w:pPr>
              <w:autoSpaceDE w:val="0"/>
              <w:autoSpaceDN w:val="0"/>
              <w:adjustRightInd w:val="0"/>
              <w:jc w:val="left"/>
              <w:rPr>
                <w:rFonts w:eastAsia="Times New Roman"/>
                <w:color w:val="000000"/>
                <w:sz w:val="24"/>
              </w:rPr>
            </w:pPr>
            <w:hyperlink r:id="rId44" w:history="1">
              <w:r w:rsidR="005D01CA" w:rsidRPr="005D01CA">
                <w:rPr>
                  <w:rFonts w:eastAsia="Times New Roman"/>
                  <w:color w:val="0000FF"/>
                  <w:sz w:val="24"/>
                  <w:u w:val="single"/>
                </w:rPr>
                <w:t>Stephanie.Chmiel@ThompsonHine.com</w:t>
              </w:r>
            </w:hyperlink>
          </w:p>
          <w:p w:rsidR="005D01CA" w:rsidRPr="005D01CA" w:rsidRDefault="0075172E" w:rsidP="005D01CA">
            <w:pPr>
              <w:autoSpaceDE w:val="0"/>
              <w:autoSpaceDN w:val="0"/>
              <w:adjustRightInd w:val="0"/>
              <w:jc w:val="left"/>
              <w:rPr>
                <w:rFonts w:eastAsia="Times New Roman"/>
                <w:color w:val="000000"/>
                <w:sz w:val="24"/>
              </w:rPr>
            </w:pPr>
            <w:hyperlink r:id="rId45" w:history="1">
              <w:r w:rsidR="005D01CA" w:rsidRPr="005D01CA">
                <w:rPr>
                  <w:rFonts w:eastAsia="Times New Roman"/>
                  <w:color w:val="0000FF"/>
                  <w:sz w:val="24"/>
                  <w:u w:val="single"/>
                </w:rPr>
                <w:t>lhawrot@spilmanlaw.com</w:t>
              </w:r>
            </w:hyperlink>
          </w:p>
          <w:p w:rsidR="005D01CA" w:rsidRPr="005D01CA" w:rsidRDefault="0075172E" w:rsidP="005D01CA">
            <w:pPr>
              <w:autoSpaceDE w:val="0"/>
              <w:autoSpaceDN w:val="0"/>
              <w:adjustRightInd w:val="0"/>
              <w:jc w:val="left"/>
              <w:rPr>
                <w:rFonts w:eastAsia="Times New Roman"/>
                <w:color w:val="000000"/>
                <w:sz w:val="24"/>
              </w:rPr>
            </w:pPr>
            <w:hyperlink r:id="rId46" w:history="1">
              <w:r w:rsidR="005D01CA" w:rsidRPr="005D01CA">
                <w:rPr>
                  <w:rFonts w:eastAsia="Times New Roman"/>
                  <w:color w:val="0000FF"/>
                  <w:sz w:val="24"/>
                  <w:u w:val="single"/>
                </w:rPr>
                <w:t>dwilliamson@spilmanlaw.com</w:t>
              </w:r>
            </w:hyperlink>
          </w:p>
          <w:p w:rsidR="005D01CA" w:rsidRPr="005D01CA" w:rsidRDefault="0075172E" w:rsidP="005D01CA">
            <w:pPr>
              <w:autoSpaceDE w:val="0"/>
              <w:autoSpaceDN w:val="0"/>
              <w:adjustRightInd w:val="0"/>
              <w:jc w:val="left"/>
              <w:rPr>
                <w:rFonts w:eastAsia="Times New Roman"/>
                <w:color w:val="000000"/>
                <w:sz w:val="24"/>
              </w:rPr>
            </w:pPr>
            <w:hyperlink r:id="rId47" w:history="1">
              <w:r w:rsidR="005D01CA" w:rsidRPr="005D01CA">
                <w:rPr>
                  <w:rFonts w:eastAsia="Times New Roman"/>
                  <w:color w:val="0000FF"/>
                  <w:sz w:val="24"/>
                  <w:u w:val="single"/>
                </w:rPr>
                <w:t>Stephen.Chriss@walmart.com</w:t>
              </w:r>
            </w:hyperlink>
          </w:p>
          <w:p w:rsidR="005D01CA" w:rsidRPr="005D01CA" w:rsidRDefault="0075172E" w:rsidP="005D01CA">
            <w:pPr>
              <w:autoSpaceDE w:val="0"/>
              <w:autoSpaceDN w:val="0"/>
              <w:adjustRightInd w:val="0"/>
              <w:jc w:val="left"/>
              <w:rPr>
                <w:rFonts w:eastAsia="Times New Roman"/>
                <w:color w:val="000000"/>
                <w:sz w:val="24"/>
              </w:rPr>
            </w:pPr>
            <w:hyperlink r:id="rId48" w:history="1">
              <w:r w:rsidR="005D01CA" w:rsidRPr="005D01CA">
                <w:rPr>
                  <w:rFonts w:eastAsia="Times New Roman"/>
                  <w:color w:val="0000FF"/>
                  <w:sz w:val="24"/>
                  <w:u w:val="single"/>
                </w:rPr>
                <w:t>Schmidt@sppgrp.com</w:t>
              </w:r>
            </w:hyperlink>
          </w:p>
          <w:p w:rsidR="005D01CA" w:rsidRPr="005D01CA" w:rsidRDefault="0075172E" w:rsidP="005D01CA">
            <w:pPr>
              <w:autoSpaceDE w:val="0"/>
              <w:autoSpaceDN w:val="0"/>
              <w:adjustRightInd w:val="0"/>
              <w:jc w:val="left"/>
              <w:rPr>
                <w:rFonts w:eastAsia="Times New Roman"/>
                <w:color w:val="000000"/>
                <w:sz w:val="24"/>
              </w:rPr>
            </w:pPr>
            <w:hyperlink r:id="rId49" w:history="1">
              <w:r w:rsidR="005D01CA" w:rsidRPr="005D01CA">
                <w:rPr>
                  <w:rFonts w:eastAsia="Times New Roman"/>
                  <w:color w:val="0000FF"/>
                  <w:sz w:val="24"/>
                  <w:u w:val="single"/>
                </w:rPr>
                <w:t>jfinnigan@edf.org</w:t>
              </w:r>
            </w:hyperlink>
          </w:p>
          <w:p w:rsidR="005D01CA" w:rsidRPr="005D01CA" w:rsidRDefault="0075172E" w:rsidP="005D01CA">
            <w:pPr>
              <w:autoSpaceDE w:val="0"/>
              <w:autoSpaceDN w:val="0"/>
              <w:adjustRightInd w:val="0"/>
              <w:jc w:val="left"/>
              <w:rPr>
                <w:rFonts w:eastAsia="Times New Roman"/>
                <w:color w:val="000000"/>
                <w:sz w:val="24"/>
              </w:rPr>
            </w:pPr>
            <w:hyperlink r:id="rId50" w:history="1">
              <w:r w:rsidR="005D01CA" w:rsidRPr="005D01CA">
                <w:rPr>
                  <w:rFonts w:eastAsia="Times New Roman"/>
                  <w:color w:val="0000FF"/>
                  <w:sz w:val="24"/>
                  <w:u w:val="single"/>
                </w:rPr>
                <w:t>Bojko@carpenterlipps.com</w:t>
              </w:r>
            </w:hyperlink>
          </w:p>
          <w:p w:rsidR="005D01CA" w:rsidRPr="005D01CA" w:rsidRDefault="0075172E" w:rsidP="005D01CA">
            <w:pPr>
              <w:autoSpaceDE w:val="0"/>
              <w:autoSpaceDN w:val="0"/>
              <w:adjustRightInd w:val="0"/>
              <w:jc w:val="left"/>
              <w:rPr>
                <w:rFonts w:eastAsia="Times New Roman"/>
                <w:color w:val="0000FF"/>
                <w:sz w:val="24"/>
              </w:rPr>
            </w:pPr>
            <w:hyperlink r:id="rId51" w:history="1">
              <w:r w:rsidR="005D01CA" w:rsidRPr="005D01CA">
                <w:rPr>
                  <w:rFonts w:eastAsia="Times New Roman"/>
                  <w:color w:val="0000FF"/>
                  <w:sz w:val="24"/>
                  <w:u w:val="single"/>
                </w:rPr>
                <w:t>mfleisher@elpc.org</w:t>
              </w:r>
            </w:hyperlink>
          </w:p>
          <w:p w:rsidR="005D01CA" w:rsidRPr="005D01CA" w:rsidRDefault="0075172E" w:rsidP="005D01CA">
            <w:pPr>
              <w:autoSpaceDE w:val="0"/>
              <w:autoSpaceDN w:val="0"/>
              <w:adjustRightInd w:val="0"/>
              <w:jc w:val="left"/>
              <w:rPr>
                <w:rFonts w:eastAsia="Times New Roman"/>
                <w:color w:val="0000FF"/>
                <w:sz w:val="24"/>
              </w:rPr>
            </w:pPr>
            <w:hyperlink r:id="rId52" w:history="1">
              <w:r w:rsidR="005D01CA" w:rsidRPr="005D01CA">
                <w:rPr>
                  <w:rFonts w:eastAsia="Times New Roman"/>
                  <w:color w:val="0000FF"/>
                  <w:sz w:val="24"/>
                  <w:u w:val="single"/>
                </w:rPr>
                <w:t>msmalz@ohiopovertylaw.org</w:t>
              </w:r>
            </w:hyperlink>
          </w:p>
          <w:p w:rsidR="005D01CA" w:rsidRPr="005D01CA" w:rsidRDefault="0075172E" w:rsidP="005D01CA">
            <w:pPr>
              <w:autoSpaceDE w:val="0"/>
              <w:autoSpaceDN w:val="0"/>
              <w:adjustRightInd w:val="0"/>
              <w:jc w:val="left"/>
              <w:rPr>
                <w:rFonts w:eastAsia="Times New Roman"/>
                <w:color w:val="0000FF"/>
                <w:sz w:val="24"/>
              </w:rPr>
            </w:pPr>
            <w:hyperlink r:id="rId53" w:history="1">
              <w:r w:rsidR="005D01CA" w:rsidRPr="005D01CA">
                <w:rPr>
                  <w:rFonts w:eastAsia="Times New Roman"/>
                  <w:color w:val="0000FF"/>
                  <w:sz w:val="24"/>
                  <w:u w:val="single"/>
                </w:rPr>
                <w:t>cmooney@ohiopartners.org</w:t>
              </w:r>
            </w:hyperlink>
          </w:p>
          <w:p w:rsidR="005D01CA" w:rsidRPr="005D01CA" w:rsidRDefault="0075172E" w:rsidP="005D01CA">
            <w:pPr>
              <w:autoSpaceDE w:val="0"/>
              <w:autoSpaceDN w:val="0"/>
              <w:adjustRightInd w:val="0"/>
              <w:jc w:val="left"/>
              <w:rPr>
                <w:rFonts w:eastAsia="Times New Roman"/>
                <w:color w:val="0000FF"/>
                <w:sz w:val="24"/>
              </w:rPr>
            </w:pPr>
            <w:hyperlink r:id="rId54" w:history="1">
              <w:r w:rsidR="005D01CA" w:rsidRPr="005D01CA">
                <w:rPr>
                  <w:rFonts w:eastAsia="Times New Roman"/>
                  <w:color w:val="0000FF"/>
                  <w:sz w:val="24"/>
                  <w:u w:val="single"/>
                </w:rPr>
                <w:t>joseph.clark@directenergy.com</w:t>
              </w:r>
            </w:hyperlink>
          </w:p>
          <w:p w:rsidR="005D01CA" w:rsidRPr="005D01CA" w:rsidRDefault="0075172E" w:rsidP="005D01CA">
            <w:pPr>
              <w:autoSpaceDE w:val="0"/>
              <w:autoSpaceDN w:val="0"/>
              <w:adjustRightInd w:val="0"/>
              <w:jc w:val="left"/>
              <w:rPr>
                <w:rFonts w:eastAsia="Times New Roman"/>
                <w:color w:val="0000FF"/>
                <w:sz w:val="24"/>
              </w:rPr>
            </w:pPr>
            <w:hyperlink r:id="rId55" w:history="1">
              <w:r w:rsidR="005D01CA" w:rsidRPr="005D01CA">
                <w:rPr>
                  <w:rFonts w:eastAsia="Times New Roman"/>
                  <w:color w:val="0000FF"/>
                  <w:sz w:val="24"/>
                  <w:u w:val="single"/>
                </w:rPr>
                <w:t>ghull@eckertseamans.com</w:t>
              </w:r>
            </w:hyperlink>
          </w:p>
          <w:p w:rsidR="005D01CA" w:rsidRPr="005D01CA" w:rsidRDefault="005D01CA" w:rsidP="005D01CA">
            <w:pPr>
              <w:autoSpaceDE w:val="0"/>
              <w:autoSpaceDN w:val="0"/>
              <w:adjustRightInd w:val="0"/>
              <w:jc w:val="left"/>
              <w:rPr>
                <w:rFonts w:eastAsia="Times New Roman"/>
                <w:color w:val="0000FF"/>
                <w:sz w:val="24"/>
              </w:rPr>
            </w:pPr>
          </w:p>
          <w:p w:rsidR="005D01CA" w:rsidRPr="005D01CA" w:rsidRDefault="005D01CA" w:rsidP="005D01CA">
            <w:pPr>
              <w:autoSpaceDE w:val="0"/>
              <w:autoSpaceDN w:val="0"/>
              <w:adjustRightInd w:val="0"/>
              <w:jc w:val="left"/>
              <w:rPr>
                <w:rFonts w:eastAsia="Times New Roman"/>
                <w:color w:val="000000"/>
                <w:sz w:val="24"/>
              </w:rPr>
            </w:pPr>
          </w:p>
        </w:tc>
      </w:tr>
      <w:tr w:rsidR="005D01CA" w:rsidRPr="005D01CA" w:rsidTr="009A414F">
        <w:trPr>
          <w:trHeight w:val="80"/>
        </w:trPr>
        <w:tc>
          <w:tcPr>
            <w:tcW w:w="4428" w:type="dxa"/>
            <w:shd w:val="clear" w:color="auto" w:fill="auto"/>
          </w:tcPr>
          <w:p w:rsidR="005D01CA" w:rsidRPr="005D01CA" w:rsidRDefault="005D01CA" w:rsidP="005D01CA">
            <w:pPr>
              <w:autoSpaceDE w:val="0"/>
              <w:autoSpaceDN w:val="0"/>
              <w:adjustRightInd w:val="0"/>
              <w:jc w:val="left"/>
              <w:rPr>
                <w:sz w:val="24"/>
              </w:rPr>
            </w:pPr>
          </w:p>
        </w:tc>
        <w:tc>
          <w:tcPr>
            <w:tcW w:w="4428" w:type="dxa"/>
            <w:shd w:val="clear" w:color="auto" w:fill="auto"/>
          </w:tcPr>
          <w:p w:rsidR="005D01CA" w:rsidRPr="005D01CA" w:rsidRDefault="005D01CA" w:rsidP="005D01CA">
            <w:pPr>
              <w:autoSpaceDE w:val="0"/>
              <w:autoSpaceDN w:val="0"/>
              <w:adjustRightInd w:val="0"/>
              <w:jc w:val="left"/>
              <w:rPr>
                <w:b/>
                <w:i/>
                <w:sz w:val="24"/>
                <w:u w:val="single"/>
              </w:rPr>
            </w:pPr>
            <w:r w:rsidRPr="005D01CA">
              <w:rPr>
                <w:i/>
                <w:sz w:val="24"/>
              </w:rPr>
              <w:t xml:space="preserve">        </w:t>
            </w:r>
            <w:r w:rsidRPr="005D01CA">
              <w:rPr>
                <w:b/>
                <w:i/>
                <w:sz w:val="24"/>
              </w:rPr>
              <w:t xml:space="preserve"> </w:t>
            </w:r>
            <w:r w:rsidRPr="005D01CA">
              <w:rPr>
                <w:b/>
                <w:i/>
                <w:sz w:val="24"/>
                <w:u w:val="single"/>
              </w:rPr>
              <w:t xml:space="preserve"> /s/ Joseph Oliker</w:t>
            </w:r>
          </w:p>
        </w:tc>
      </w:tr>
    </w:tbl>
    <w:p w:rsidR="005D01CA" w:rsidRPr="005D01CA" w:rsidRDefault="005D01CA" w:rsidP="005D01CA">
      <w:pPr>
        <w:suppressLineNumbers/>
        <w:rPr>
          <w:rFonts w:eastAsia="Calibri"/>
          <w:sz w:val="24"/>
        </w:rPr>
      </w:pPr>
      <w:r w:rsidRPr="005D01CA">
        <w:rPr>
          <w:rFonts w:eastAsia="Calibri"/>
          <w:sz w:val="24"/>
        </w:rPr>
        <w:tab/>
      </w:r>
      <w:r w:rsidRPr="005D01CA">
        <w:rPr>
          <w:rFonts w:eastAsia="Calibri"/>
          <w:sz w:val="24"/>
        </w:rPr>
        <w:tab/>
      </w:r>
      <w:r w:rsidRPr="005D01CA">
        <w:rPr>
          <w:rFonts w:eastAsia="Calibri"/>
          <w:sz w:val="24"/>
        </w:rPr>
        <w:tab/>
      </w:r>
      <w:r w:rsidRPr="005D01CA">
        <w:rPr>
          <w:rFonts w:eastAsia="Calibri"/>
          <w:sz w:val="24"/>
        </w:rPr>
        <w:tab/>
      </w:r>
      <w:r w:rsidRPr="005D01CA">
        <w:rPr>
          <w:rFonts w:eastAsia="Calibri"/>
          <w:sz w:val="24"/>
        </w:rPr>
        <w:tab/>
      </w:r>
      <w:r w:rsidRPr="005D01CA">
        <w:rPr>
          <w:rFonts w:eastAsia="Calibri"/>
          <w:sz w:val="24"/>
        </w:rPr>
        <w:tab/>
        <w:t xml:space="preserve">           Counsel for IGS Energy</w:t>
      </w:r>
    </w:p>
    <w:p w:rsidR="005D01CA" w:rsidRPr="0039552E" w:rsidRDefault="005D01CA" w:rsidP="007511FC">
      <w:pPr>
        <w:spacing w:line="480" w:lineRule="auto"/>
        <w:ind w:firstLine="720"/>
        <w:rPr>
          <w:sz w:val="24"/>
        </w:rPr>
      </w:pPr>
    </w:p>
    <w:p w:rsidR="005D01CA" w:rsidRPr="004F4C39" w:rsidRDefault="005D01CA" w:rsidP="007511FC">
      <w:pPr>
        <w:spacing w:line="480" w:lineRule="auto"/>
        <w:ind w:firstLine="720"/>
        <w:rPr>
          <w:sz w:val="24"/>
        </w:rPr>
      </w:pPr>
    </w:p>
    <w:sectPr w:rsidR="005D01CA" w:rsidRPr="004F4C39">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2E" w:rsidRDefault="0075172E" w:rsidP="00310965">
      <w:r>
        <w:separator/>
      </w:r>
    </w:p>
  </w:endnote>
  <w:endnote w:type="continuationSeparator" w:id="0">
    <w:p w:rsidR="0075172E" w:rsidRDefault="0075172E" w:rsidP="0031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F" w:rsidRDefault="009A4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62455"/>
      <w:docPartObj>
        <w:docPartGallery w:val="Page Numbers (Bottom of Page)"/>
        <w:docPartUnique/>
      </w:docPartObj>
    </w:sdtPr>
    <w:sdtEndPr>
      <w:rPr>
        <w:noProof/>
      </w:rPr>
    </w:sdtEndPr>
    <w:sdtContent>
      <w:p w:rsidR="009A414F" w:rsidRDefault="009A414F">
        <w:pPr>
          <w:pStyle w:val="Footer"/>
          <w:jc w:val="center"/>
        </w:pPr>
        <w:r>
          <w:fldChar w:fldCharType="begin"/>
        </w:r>
        <w:r>
          <w:instrText xml:space="preserve"> PAGE   \* MERGEFORMAT </w:instrText>
        </w:r>
        <w:r>
          <w:fldChar w:fldCharType="separate"/>
        </w:r>
        <w:r w:rsidR="0095047B">
          <w:rPr>
            <w:noProof/>
          </w:rPr>
          <w:t>2</w:t>
        </w:r>
        <w:r>
          <w:rPr>
            <w:noProof/>
          </w:rPr>
          <w:fldChar w:fldCharType="end"/>
        </w:r>
      </w:p>
    </w:sdtContent>
  </w:sdt>
  <w:p w:rsidR="009A414F" w:rsidRDefault="009A4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F" w:rsidRDefault="009A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2E" w:rsidRDefault="0075172E" w:rsidP="00310965">
      <w:r>
        <w:separator/>
      </w:r>
    </w:p>
  </w:footnote>
  <w:footnote w:type="continuationSeparator" w:id="0">
    <w:p w:rsidR="0075172E" w:rsidRDefault="0075172E" w:rsidP="00310965">
      <w:r>
        <w:continuationSeparator/>
      </w:r>
    </w:p>
  </w:footnote>
  <w:footnote w:id="1">
    <w:p w:rsidR="0026267C" w:rsidRPr="0026267C" w:rsidRDefault="0026267C" w:rsidP="0026267C">
      <w:pPr>
        <w:pStyle w:val="FootnoteText"/>
      </w:pPr>
      <w:r>
        <w:rPr>
          <w:rStyle w:val="FootnoteReference"/>
        </w:rPr>
        <w:footnoteRef/>
      </w:r>
      <w:r>
        <w:t xml:space="preserve"> </w:t>
      </w:r>
      <w:r>
        <w:rPr>
          <w:i/>
        </w:rPr>
        <w:t xml:space="preserve">See </w:t>
      </w:r>
      <w:r w:rsidRPr="0026267C">
        <w:rPr>
          <w:i/>
        </w:rPr>
        <w:t>Indus. Energy Consumers of Oh</w:t>
      </w:r>
      <w:r>
        <w:rPr>
          <w:i/>
        </w:rPr>
        <w:t>io Power Co. v. Pub. Util. Comm’n</w:t>
      </w:r>
      <w:r>
        <w:t>, 68 Ohio St.3d 559 (1994).</w:t>
      </w:r>
    </w:p>
  </w:footnote>
  <w:footnote w:id="2">
    <w:p w:rsidR="007A7AE6" w:rsidRDefault="007A7AE6">
      <w:pPr>
        <w:pStyle w:val="FootnoteText"/>
      </w:pPr>
      <w:r>
        <w:rPr>
          <w:rStyle w:val="FootnoteReference"/>
        </w:rPr>
        <w:footnoteRef/>
      </w:r>
      <w:r>
        <w:t xml:space="preserve"> </w:t>
      </w:r>
      <w:r w:rsidRPr="007A7AE6">
        <w:t>Tr. Vol. XIX at 4875.</w:t>
      </w:r>
    </w:p>
    <w:p w:rsidR="007A7AE6" w:rsidRDefault="007A7AE6">
      <w:pPr>
        <w:pStyle w:val="FootnoteText"/>
      </w:pPr>
    </w:p>
  </w:footnote>
  <w:footnote w:id="3">
    <w:p w:rsidR="00256FD6" w:rsidRDefault="00256FD6">
      <w:pPr>
        <w:pStyle w:val="FootnoteText"/>
      </w:pPr>
      <w:r>
        <w:rPr>
          <w:rStyle w:val="FootnoteReference"/>
        </w:rPr>
        <w:footnoteRef/>
      </w:r>
      <w:r>
        <w:t xml:space="preserve"> Joint Stipulation and Recommendation at 19 (Dec. 14, 2015).</w:t>
      </w:r>
    </w:p>
    <w:p w:rsidR="00162BE2" w:rsidRDefault="00162BE2">
      <w:pPr>
        <w:pStyle w:val="FootnoteText"/>
      </w:pPr>
    </w:p>
  </w:footnote>
  <w:footnote w:id="4">
    <w:p w:rsidR="00256FD6" w:rsidRDefault="00256FD6">
      <w:pPr>
        <w:pStyle w:val="FootnoteText"/>
      </w:pPr>
      <w:r>
        <w:rPr>
          <w:rStyle w:val="FootnoteReference"/>
        </w:rPr>
        <w:footnoteRef/>
      </w:r>
      <w:r>
        <w:t xml:space="preserve"> Joint Stipulation and Recommendation at 19 (Dec. 14, 2015).</w:t>
      </w:r>
    </w:p>
    <w:p w:rsidR="00256FD6" w:rsidRPr="00256FD6" w:rsidRDefault="00256FD6">
      <w:pPr>
        <w:pStyle w:val="FootnoteText"/>
      </w:pPr>
      <w:r>
        <w:t xml:space="preserve">  </w:t>
      </w:r>
      <w:r>
        <w:rPr>
          <w:i/>
        </w:rPr>
        <w:t xml:space="preserve"> </w:t>
      </w:r>
    </w:p>
  </w:footnote>
  <w:footnote w:id="5">
    <w:p w:rsidR="00256FD6" w:rsidRDefault="00256FD6">
      <w:pPr>
        <w:pStyle w:val="FootnoteText"/>
      </w:pPr>
      <w:r>
        <w:rPr>
          <w:rStyle w:val="FootnoteReference"/>
        </w:rPr>
        <w:footnoteRef/>
      </w:r>
      <w:r>
        <w:t xml:space="preserve"> </w:t>
      </w:r>
      <w:r>
        <w:rPr>
          <w:i/>
        </w:rPr>
        <w:t xml:space="preserve">Id. </w:t>
      </w:r>
      <w:r>
        <w:t>at 12.</w:t>
      </w:r>
    </w:p>
    <w:p w:rsidR="00256FD6" w:rsidRDefault="00256FD6">
      <w:pPr>
        <w:pStyle w:val="FootnoteText"/>
      </w:pPr>
      <w:r>
        <w:t xml:space="preserve"> </w:t>
      </w:r>
    </w:p>
  </w:footnote>
  <w:footnote w:id="6">
    <w:p w:rsidR="0062530B" w:rsidRDefault="0062530B">
      <w:pPr>
        <w:pStyle w:val="FootnoteText"/>
        <w:rPr>
          <w:i/>
        </w:rPr>
      </w:pPr>
      <w:r>
        <w:rPr>
          <w:rStyle w:val="FootnoteReference"/>
        </w:rPr>
        <w:footnoteRef/>
      </w:r>
      <w:r>
        <w:t xml:space="preserve"> </w:t>
      </w:r>
      <w:r>
        <w:rPr>
          <w:i/>
        </w:rPr>
        <w:t xml:space="preserve">Id. </w:t>
      </w:r>
    </w:p>
    <w:p w:rsidR="007A7AE6" w:rsidRPr="0062530B" w:rsidRDefault="007A7AE6">
      <w:pPr>
        <w:pStyle w:val="FootnoteText"/>
      </w:pPr>
    </w:p>
  </w:footnote>
  <w:footnote w:id="7">
    <w:p w:rsidR="00256FD6" w:rsidRDefault="00256FD6">
      <w:pPr>
        <w:pStyle w:val="FootnoteText"/>
      </w:pPr>
      <w:r>
        <w:rPr>
          <w:rStyle w:val="FootnoteReference"/>
        </w:rPr>
        <w:footnoteRef/>
      </w:r>
      <w:r>
        <w:t xml:space="preserve"> </w:t>
      </w:r>
      <w:r w:rsidR="0062530B">
        <w:t>Joint Stipulation and Recommendation at</w:t>
      </w:r>
      <w:r>
        <w:t xml:space="preserve"> 13</w:t>
      </w:r>
      <w:r w:rsidR="0062530B">
        <w:t xml:space="preserve"> (Dec. 14, 2015)</w:t>
      </w:r>
      <w:r>
        <w:t>.</w:t>
      </w:r>
    </w:p>
    <w:p w:rsidR="0062530B" w:rsidRPr="00256FD6" w:rsidRDefault="0062530B">
      <w:pPr>
        <w:pStyle w:val="FootnoteText"/>
      </w:pPr>
    </w:p>
  </w:footnote>
  <w:footnote w:id="8">
    <w:p w:rsidR="00256FD6" w:rsidRDefault="00256FD6">
      <w:pPr>
        <w:pStyle w:val="FootnoteText"/>
      </w:pPr>
      <w:r w:rsidRPr="00256FD6">
        <w:rPr>
          <w:rStyle w:val="FootnoteReference"/>
        </w:rPr>
        <w:footnoteRef/>
      </w:r>
      <w:r w:rsidRPr="00256FD6">
        <w:t xml:space="preserve"> Tr. Vol. XX at 4928.</w:t>
      </w:r>
    </w:p>
    <w:p w:rsidR="00256FD6" w:rsidRPr="00256FD6" w:rsidRDefault="00256FD6">
      <w:pPr>
        <w:pStyle w:val="FootnoteText"/>
      </w:pPr>
    </w:p>
  </w:footnote>
  <w:footnote w:id="9">
    <w:p w:rsidR="00256FD6" w:rsidRDefault="00256FD6">
      <w:pPr>
        <w:pStyle w:val="FootnoteText"/>
      </w:pPr>
      <w:r w:rsidRPr="00256FD6">
        <w:rPr>
          <w:rStyle w:val="FootnoteReference"/>
        </w:rPr>
        <w:footnoteRef/>
      </w:r>
      <w:r w:rsidRPr="00256FD6">
        <w:t xml:space="preserve"> Tr. Vol. XVIII at 4642.  </w:t>
      </w:r>
    </w:p>
    <w:p w:rsidR="00256FD6" w:rsidRPr="00256FD6" w:rsidRDefault="00256FD6">
      <w:pPr>
        <w:pStyle w:val="FootnoteText"/>
      </w:pPr>
    </w:p>
  </w:footnote>
  <w:footnote w:id="10">
    <w:p w:rsidR="00256FD6" w:rsidRDefault="00256FD6">
      <w:pPr>
        <w:pStyle w:val="FootnoteText"/>
        <w:rPr>
          <w:i/>
        </w:rPr>
      </w:pPr>
      <w:r>
        <w:rPr>
          <w:rStyle w:val="FootnoteReference"/>
        </w:rPr>
        <w:footnoteRef/>
      </w:r>
      <w:r>
        <w:t xml:space="preserve"> </w:t>
      </w:r>
      <w:r w:rsidR="007008DB">
        <w:rPr>
          <w:i/>
        </w:rPr>
        <w:t xml:space="preserve">Id. </w:t>
      </w:r>
    </w:p>
    <w:p w:rsidR="007008DB" w:rsidRPr="007008DB" w:rsidRDefault="007008DB">
      <w:pPr>
        <w:pStyle w:val="FootnoteText"/>
      </w:pPr>
    </w:p>
  </w:footnote>
  <w:footnote w:id="11">
    <w:p w:rsidR="00256FD6" w:rsidRDefault="00256FD6">
      <w:pPr>
        <w:pStyle w:val="FootnoteText"/>
      </w:pPr>
      <w:r w:rsidRPr="00256FD6">
        <w:rPr>
          <w:rStyle w:val="FootnoteReference"/>
        </w:rPr>
        <w:footnoteRef/>
      </w:r>
      <w:r w:rsidRPr="00256FD6">
        <w:t xml:space="preserve"> Tr. Vol. XX at 4927-28.  </w:t>
      </w:r>
    </w:p>
    <w:p w:rsidR="00256FD6" w:rsidRDefault="00256FD6">
      <w:pPr>
        <w:pStyle w:val="FootnoteText"/>
      </w:pPr>
    </w:p>
  </w:footnote>
  <w:footnote w:id="12">
    <w:p w:rsidR="0062530B" w:rsidRDefault="00256FD6">
      <w:pPr>
        <w:pStyle w:val="FootnoteText"/>
      </w:pPr>
      <w:r>
        <w:rPr>
          <w:rStyle w:val="FootnoteReference"/>
        </w:rPr>
        <w:footnoteRef/>
      </w:r>
      <w:r>
        <w:t xml:space="preserve"> Joint Stipulation and Recommendation at 12-13 (Dec. 14, 2015).</w:t>
      </w:r>
    </w:p>
  </w:footnote>
  <w:footnote w:id="13">
    <w:p w:rsidR="0062530B" w:rsidRDefault="0062530B">
      <w:pPr>
        <w:pStyle w:val="FootnoteText"/>
      </w:pPr>
      <w:r>
        <w:rPr>
          <w:rStyle w:val="FootnoteReference"/>
        </w:rPr>
        <w:footnoteRef/>
      </w:r>
      <w:r>
        <w:t xml:space="preserve"> </w:t>
      </w:r>
      <w:r w:rsidRPr="0062530B">
        <w:t>Tr. Vol. XXI at 5400-03.</w:t>
      </w:r>
    </w:p>
    <w:p w:rsidR="0062530B" w:rsidRDefault="0062530B">
      <w:pPr>
        <w:pStyle w:val="FootnoteText"/>
      </w:pPr>
    </w:p>
  </w:footnote>
  <w:footnote w:id="14">
    <w:p w:rsidR="0062530B" w:rsidRDefault="0062530B">
      <w:pPr>
        <w:pStyle w:val="FootnoteText"/>
      </w:pPr>
      <w:r>
        <w:rPr>
          <w:rStyle w:val="FootnoteReference"/>
        </w:rPr>
        <w:footnoteRef/>
      </w:r>
      <w:r>
        <w:t xml:space="preserve"> </w:t>
      </w:r>
      <w:r w:rsidRPr="0062530B">
        <w:t>Joint Stip</w:t>
      </w:r>
      <w:r>
        <w:t>ulation and Recommendation at 13</w:t>
      </w:r>
      <w:r w:rsidRPr="0062530B">
        <w:t xml:space="preserve"> (Dec. 14, 2015).</w:t>
      </w:r>
    </w:p>
    <w:p w:rsidR="0062530B" w:rsidRDefault="0062530B">
      <w:pPr>
        <w:pStyle w:val="FootnoteText"/>
      </w:pPr>
    </w:p>
  </w:footnote>
  <w:footnote w:id="15">
    <w:p w:rsidR="0062530B" w:rsidRDefault="0062530B">
      <w:pPr>
        <w:pStyle w:val="FootnoteText"/>
      </w:pPr>
      <w:r>
        <w:rPr>
          <w:rStyle w:val="FootnoteReference"/>
        </w:rPr>
        <w:footnoteRef/>
      </w:r>
      <w:r>
        <w:t xml:space="preserve"> </w:t>
      </w:r>
      <w:r>
        <w:rPr>
          <w:i/>
        </w:rPr>
        <w:t xml:space="preserve">Id. </w:t>
      </w:r>
      <w:r>
        <w:t>at 16-19.</w:t>
      </w:r>
    </w:p>
    <w:p w:rsidR="0062530B" w:rsidRPr="0062530B" w:rsidRDefault="0062530B">
      <w:pPr>
        <w:pStyle w:val="FootnoteText"/>
      </w:pPr>
    </w:p>
  </w:footnote>
  <w:footnote w:id="16">
    <w:p w:rsidR="007A7AE6" w:rsidRPr="0062530B" w:rsidRDefault="0062530B">
      <w:pPr>
        <w:pStyle w:val="FootnoteText"/>
      </w:pPr>
      <w:r>
        <w:rPr>
          <w:rStyle w:val="FootnoteReference"/>
        </w:rPr>
        <w:footnoteRef/>
      </w:r>
      <w:r>
        <w:t xml:space="preserve"> </w:t>
      </w:r>
      <w:r>
        <w:rPr>
          <w:i/>
        </w:rPr>
        <w:t>Id</w:t>
      </w:r>
      <w:r>
        <w:t>. at 17.</w:t>
      </w:r>
    </w:p>
  </w:footnote>
  <w:footnote w:id="17">
    <w:p w:rsidR="0062530B" w:rsidRDefault="0062530B">
      <w:pPr>
        <w:pStyle w:val="FootnoteText"/>
      </w:pPr>
      <w:r>
        <w:rPr>
          <w:rStyle w:val="FootnoteReference"/>
        </w:rPr>
        <w:footnoteRef/>
      </w:r>
      <w:r>
        <w:t xml:space="preserve"> Joint Stipulation and Recommendation at 17 (Dec. 14, 2015).</w:t>
      </w:r>
    </w:p>
    <w:p w:rsidR="0026267C" w:rsidRDefault="0026267C">
      <w:pPr>
        <w:pStyle w:val="FootnoteText"/>
      </w:pPr>
    </w:p>
  </w:footnote>
  <w:footnote w:id="18">
    <w:p w:rsidR="0062530B" w:rsidRDefault="0062530B">
      <w:pPr>
        <w:pStyle w:val="FootnoteText"/>
      </w:pPr>
      <w:r>
        <w:rPr>
          <w:rStyle w:val="FootnoteReference"/>
        </w:rPr>
        <w:footnoteRef/>
      </w:r>
      <w:r>
        <w:t xml:space="preserve"> </w:t>
      </w:r>
      <w:r>
        <w:rPr>
          <w:i/>
        </w:rPr>
        <w:t xml:space="preserve">Id. </w:t>
      </w:r>
      <w:r>
        <w:t>at 18.</w:t>
      </w:r>
    </w:p>
    <w:p w:rsidR="0062530B" w:rsidRPr="0062530B" w:rsidRDefault="0062530B">
      <w:pPr>
        <w:pStyle w:val="FootnoteText"/>
      </w:pPr>
    </w:p>
  </w:footnote>
  <w:footnote w:id="19">
    <w:p w:rsidR="0062530B" w:rsidRDefault="0062530B">
      <w:pPr>
        <w:pStyle w:val="FootnoteText"/>
      </w:pPr>
      <w:r>
        <w:rPr>
          <w:rStyle w:val="FootnoteReference"/>
        </w:rPr>
        <w:footnoteRef/>
      </w:r>
      <w:r>
        <w:t xml:space="preserve"> Tr. Vol. XXII at 5575-76. </w:t>
      </w:r>
    </w:p>
    <w:p w:rsidR="007A7AE6" w:rsidRDefault="007A7AE6">
      <w:pPr>
        <w:pStyle w:val="FootnoteText"/>
      </w:pPr>
    </w:p>
  </w:footnote>
  <w:footnote w:id="20">
    <w:p w:rsidR="0062530B" w:rsidRDefault="0062530B">
      <w:pPr>
        <w:pStyle w:val="FootnoteText"/>
      </w:pPr>
      <w:r>
        <w:rPr>
          <w:rStyle w:val="FootnoteReference"/>
        </w:rPr>
        <w:footnoteRef/>
      </w:r>
      <w:r>
        <w:t xml:space="preserve"> Joint Stipulation and Recommendation at 29-30 (Dec. 14,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F" w:rsidRDefault="009A4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F" w:rsidRDefault="009A4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F" w:rsidRDefault="009A4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B4"/>
    <w:multiLevelType w:val="hybridMultilevel"/>
    <w:tmpl w:val="C64034F8"/>
    <w:lvl w:ilvl="0" w:tplc="9F9CB8B0">
      <w:start w:val="1"/>
      <w:numFmt w:val="upperLetter"/>
      <w:lvlText w:val="%1."/>
      <w:lvlJc w:val="left"/>
      <w:pPr>
        <w:ind w:left="1080" w:hanging="360"/>
      </w:pPr>
      <w:rPr>
        <w:rFonts w:ascii="Arial" w:eastAsiaTheme="minorHAnsi" w:hAnsi="Arial" w:cs="Arial"/>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0A18F2"/>
    <w:multiLevelType w:val="hybridMultilevel"/>
    <w:tmpl w:val="5C50FAE4"/>
    <w:lvl w:ilvl="0" w:tplc="83CA3DB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C14C4"/>
    <w:multiLevelType w:val="hybridMultilevel"/>
    <w:tmpl w:val="9EBE4698"/>
    <w:lvl w:ilvl="0" w:tplc="A6CEC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C7321"/>
    <w:multiLevelType w:val="hybridMultilevel"/>
    <w:tmpl w:val="D3DC3F9E"/>
    <w:lvl w:ilvl="0" w:tplc="FA368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71998"/>
    <w:multiLevelType w:val="hybridMultilevel"/>
    <w:tmpl w:val="207235D4"/>
    <w:lvl w:ilvl="0" w:tplc="524CC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56568"/>
    <w:multiLevelType w:val="hybridMultilevel"/>
    <w:tmpl w:val="220C6812"/>
    <w:lvl w:ilvl="0" w:tplc="EDB4A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1477A"/>
    <w:multiLevelType w:val="hybridMultilevel"/>
    <w:tmpl w:val="4468C9CE"/>
    <w:lvl w:ilvl="0" w:tplc="DA242F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B5DF4"/>
    <w:multiLevelType w:val="hybridMultilevel"/>
    <w:tmpl w:val="F050F17C"/>
    <w:lvl w:ilvl="0" w:tplc="4878B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12D1A"/>
    <w:multiLevelType w:val="hybridMultilevel"/>
    <w:tmpl w:val="5E1CD240"/>
    <w:lvl w:ilvl="0" w:tplc="21622F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A9587E"/>
    <w:multiLevelType w:val="hybridMultilevel"/>
    <w:tmpl w:val="D6D09DB2"/>
    <w:lvl w:ilvl="0" w:tplc="FBB01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E00E6"/>
    <w:multiLevelType w:val="hybridMultilevel"/>
    <w:tmpl w:val="30B29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A33C4"/>
    <w:multiLevelType w:val="hybridMultilevel"/>
    <w:tmpl w:val="632AD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ED212F7"/>
    <w:multiLevelType w:val="hybridMultilevel"/>
    <w:tmpl w:val="B4B05402"/>
    <w:lvl w:ilvl="0" w:tplc="7764ADD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C614BC"/>
    <w:multiLevelType w:val="hybridMultilevel"/>
    <w:tmpl w:val="7BB2D514"/>
    <w:lvl w:ilvl="0" w:tplc="ED764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8387166"/>
    <w:multiLevelType w:val="hybridMultilevel"/>
    <w:tmpl w:val="8C8EC594"/>
    <w:lvl w:ilvl="0" w:tplc="2E1AE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735B18"/>
    <w:multiLevelType w:val="hybridMultilevel"/>
    <w:tmpl w:val="0688E4DE"/>
    <w:lvl w:ilvl="0" w:tplc="16E8164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9F57D6"/>
    <w:multiLevelType w:val="hybridMultilevel"/>
    <w:tmpl w:val="0F42A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7D79FA"/>
    <w:multiLevelType w:val="hybridMultilevel"/>
    <w:tmpl w:val="0D9EBCA6"/>
    <w:lvl w:ilvl="0" w:tplc="ED764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B887ED0"/>
    <w:multiLevelType w:val="hybridMultilevel"/>
    <w:tmpl w:val="82CC48AA"/>
    <w:lvl w:ilvl="0" w:tplc="64E2BDE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245197"/>
    <w:multiLevelType w:val="hybridMultilevel"/>
    <w:tmpl w:val="EE747354"/>
    <w:lvl w:ilvl="0" w:tplc="A4BE7B6A">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0">
    <w:nsid w:val="6D5E0D2C"/>
    <w:multiLevelType w:val="hybridMultilevel"/>
    <w:tmpl w:val="E17AA1F4"/>
    <w:lvl w:ilvl="0" w:tplc="2F729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310BB4"/>
    <w:multiLevelType w:val="hybridMultilevel"/>
    <w:tmpl w:val="AEC64EEE"/>
    <w:lvl w:ilvl="0" w:tplc="49FE05E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F06BA4"/>
    <w:multiLevelType w:val="hybridMultilevel"/>
    <w:tmpl w:val="5D52AF5A"/>
    <w:lvl w:ilvl="0" w:tplc="2D6622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6F6E0C"/>
    <w:multiLevelType w:val="hybridMultilevel"/>
    <w:tmpl w:val="1FA8B1B4"/>
    <w:lvl w:ilvl="0" w:tplc="A496A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F34189"/>
    <w:multiLevelType w:val="hybridMultilevel"/>
    <w:tmpl w:val="42284E8E"/>
    <w:lvl w:ilvl="0" w:tplc="F5D481E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BA701C"/>
    <w:multiLevelType w:val="hybridMultilevel"/>
    <w:tmpl w:val="E84C5CF2"/>
    <w:lvl w:ilvl="0" w:tplc="39B414DA">
      <w:start w:val="1"/>
      <w:numFmt w:val="decimal"/>
      <w:lvlText w:val="%1."/>
      <w:lvlJc w:val="left"/>
      <w:pPr>
        <w:ind w:left="1500" w:hanging="360"/>
      </w:pPr>
      <w:rPr>
        <w:rFonts w:ascii="Arial" w:eastAsiaTheme="minorHAnsi" w:hAnsi="Arial" w:cs="Arial"/>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7E9F69CD"/>
    <w:multiLevelType w:val="hybridMultilevel"/>
    <w:tmpl w:val="FF226674"/>
    <w:lvl w:ilvl="0" w:tplc="A85EB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23"/>
  </w:num>
  <w:num w:numId="4">
    <w:abstractNumId w:val="7"/>
  </w:num>
  <w:num w:numId="5">
    <w:abstractNumId w:val="0"/>
  </w:num>
  <w:num w:numId="6">
    <w:abstractNumId w:val="8"/>
  </w:num>
  <w:num w:numId="7">
    <w:abstractNumId w:val="22"/>
  </w:num>
  <w:num w:numId="8">
    <w:abstractNumId w:val="12"/>
  </w:num>
  <w:num w:numId="9">
    <w:abstractNumId w:val="21"/>
  </w:num>
  <w:num w:numId="10">
    <w:abstractNumId w:val="19"/>
  </w:num>
  <w:num w:numId="11">
    <w:abstractNumId w:val="18"/>
  </w:num>
  <w:num w:numId="12">
    <w:abstractNumId w:val="17"/>
  </w:num>
  <w:num w:numId="13">
    <w:abstractNumId w:val="9"/>
  </w:num>
  <w:num w:numId="14">
    <w:abstractNumId w:val="13"/>
  </w:num>
  <w:num w:numId="15">
    <w:abstractNumId w:val="20"/>
  </w:num>
  <w:num w:numId="16">
    <w:abstractNumId w:val="24"/>
  </w:num>
  <w:num w:numId="17">
    <w:abstractNumId w:val="3"/>
  </w:num>
  <w:num w:numId="18">
    <w:abstractNumId w:val="6"/>
  </w:num>
  <w:num w:numId="19">
    <w:abstractNumId w:val="25"/>
  </w:num>
  <w:num w:numId="20">
    <w:abstractNumId w:val="4"/>
  </w:num>
  <w:num w:numId="21">
    <w:abstractNumId w:val="5"/>
  </w:num>
  <w:num w:numId="22">
    <w:abstractNumId w:val="16"/>
  </w:num>
  <w:num w:numId="23">
    <w:abstractNumId w:val="14"/>
  </w:num>
  <w:num w:numId="24">
    <w:abstractNumId w:val="10"/>
  </w:num>
  <w:num w:numId="25">
    <w:abstractNumId w:val="1"/>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0B"/>
    <w:rsid w:val="00003CA0"/>
    <w:rsid w:val="00014369"/>
    <w:rsid w:val="00025711"/>
    <w:rsid w:val="000552AB"/>
    <w:rsid w:val="00056504"/>
    <w:rsid w:val="00064520"/>
    <w:rsid w:val="00064EC4"/>
    <w:rsid w:val="0006517E"/>
    <w:rsid w:val="00071777"/>
    <w:rsid w:val="0007485B"/>
    <w:rsid w:val="000A15C8"/>
    <w:rsid w:val="000C0457"/>
    <w:rsid w:val="000C1B1C"/>
    <w:rsid w:val="000C34DB"/>
    <w:rsid w:val="000E3D0B"/>
    <w:rsid w:val="000E782A"/>
    <w:rsid w:val="0010429C"/>
    <w:rsid w:val="00107993"/>
    <w:rsid w:val="0011185B"/>
    <w:rsid w:val="00130249"/>
    <w:rsid w:val="001519AF"/>
    <w:rsid w:val="0015726D"/>
    <w:rsid w:val="00161D74"/>
    <w:rsid w:val="00162BE2"/>
    <w:rsid w:val="00185F01"/>
    <w:rsid w:val="001861EB"/>
    <w:rsid w:val="001902F0"/>
    <w:rsid w:val="001A7538"/>
    <w:rsid w:val="001B1132"/>
    <w:rsid w:val="001B4FFD"/>
    <w:rsid w:val="001D26B3"/>
    <w:rsid w:val="001F569F"/>
    <w:rsid w:val="001F5BD0"/>
    <w:rsid w:val="00201B74"/>
    <w:rsid w:val="002305AC"/>
    <w:rsid w:val="002549DE"/>
    <w:rsid w:val="00256FD6"/>
    <w:rsid w:val="0026267C"/>
    <w:rsid w:val="00267CD4"/>
    <w:rsid w:val="00277731"/>
    <w:rsid w:val="00290788"/>
    <w:rsid w:val="002969B1"/>
    <w:rsid w:val="002A5BE5"/>
    <w:rsid w:val="002C2CEB"/>
    <w:rsid w:val="002D58CE"/>
    <w:rsid w:val="002F420A"/>
    <w:rsid w:val="003035BF"/>
    <w:rsid w:val="00305285"/>
    <w:rsid w:val="003079E3"/>
    <w:rsid w:val="00310965"/>
    <w:rsid w:val="00310D39"/>
    <w:rsid w:val="00312ABF"/>
    <w:rsid w:val="00351A75"/>
    <w:rsid w:val="0039552E"/>
    <w:rsid w:val="003A53F8"/>
    <w:rsid w:val="003E40BF"/>
    <w:rsid w:val="003E4735"/>
    <w:rsid w:val="004236DD"/>
    <w:rsid w:val="004237B4"/>
    <w:rsid w:val="00425480"/>
    <w:rsid w:val="00431DA8"/>
    <w:rsid w:val="004558A7"/>
    <w:rsid w:val="00461BE7"/>
    <w:rsid w:val="004621C1"/>
    <w:rsid w:val="004738BF"/>
    <w:rsid w:val="00482A80"/>
    <w:rsid w:val="004870E1"/>
    <w:rsid w:val="004A1FC9"/>
    <w:rsid w:val="004A23D9"/>
    <w:rsid w:val="004A3D49"/>
    <w:rsid w:val="004B6B16"/>
    <w:rsid w:val="004C7AA6"/>
    <w:rsid w:val="004D7618"/>
    <w:rsid w:val="004E769A"/>
    <w:rsid w:val="004F3CC9"/>
    <w:rsid w:val="004F4C39"/>
    <w:rsid w:val="005003C5"/>
    <w:rsid w:val="00501F58"/>
    <w:rsid w:val="005164B3"/>
    <w:rsid w:val="00522058"/>
    <w:rsid w:val="00527BC9"/>
    <w:rsid w:val="005327AE"/>
    <w:rsid w:val="00544952"/>
    <w:rsid w:val="00575A47"/>
    <w:rsid w:val="00584D2F"/>
    <w:rsid w:val="005A0DF8"/>
    <w:rsid w:val="005C0E0C"/>
    <w:rsid w:val="005C165E"/>
    <w:rsid w:val="005D01CA"/>
    <w:rsid w:val="005D6591"/>
    <w:rsid w:val="005F0B0C"/>
    <w:rsid w:val="005F1D5F"/>
    <w:rsid w:val="00600362"/>
    <w:rsid w:val="00604876"/>
    <w:rsid w:val="0062442C"/>
    <w:rsid w:val="0062530B"/>
    <w:rsid w:val="00636713"/>
    <w:rsid w:val="00667ACB"/>
    <w:rsid w:val="00675A9D"/>
    <w:rsid w:val="00675B3E"/>
    <w:rsid w:val="006A0EE7"/>
    <w:rsid w:val="006B4078"/>
    <w:rsid w:val="006C712C"/>
    <w:rsid w:val="006D0692"/>
    <w:rsid w:val="006E2E35"/>
    <w:rsid w:val="006E72CE"/>
    <w:rsid w:val="006F4EF3"/>
    <w:rsid w:val="007008DB"/>
    <w:rsid w:val="007063FD"/>
    <w:rsid w:val="00720002"/>
    <w:rsid w:val="0073008E"/>
    <w:rsid w:val="007511FC"/>
    <w:rsid w:val="0075172E"/>
    <w:rsid w:val="0077481E"/>
    <w:rsid w:val="007A348A"/>
    <w:rsid w:val="007A7AE6"/>
    <w:rsid w:val="007B7681"/>
    <w:rsid w:val="007B7ED1"/>
    <w:rsid w:val="007D0FEA"/>
    <w:rsid w:val="007D148A"/>
    <w:rsid w:val="007D7C99"/>
    <w:rsid w:val="007F2C8A"/>
    <w:rsid w:val="007F346F"/>
    <w:rsid w:val="008063DE"/>
    <w:rsid w:val="00813618"/>
    <w:rsid w:val="00813E0D"/>
    <w:rsid w:val="00824965"/>
    <w:rsid w:val="00825D7F"/>
    <w:rsid w:val="0082615C"/>
    <w:rsid w:val="00885F25"/>
    <w:rsid w:val="00896FB9"/>
    <w:rsid w:val="008B3D69"/>
    <w:rsid w:val="008B4B07"/>
    <w:rsid w:val="008B7A29"/>
    <w:rsid w:val="008E267B"/>
    <w:rsid w:val="008E787D"/>
    <w:rsid w:val="008F5FED"/>
    <w:rsid w:val="00907656"/>
    <w:rsid w:val="00930DF0"/>
    <w:rsid w:val="00943DE9"/>
    <w:rsid w:val="009451DD"/>
    <w:rsid w:val="0095047B"/>
    <w:rsid w:val="0095570D"/>
    <w:rsid w:val="00964767"/>
    <w:rsid w:val="009754EB"/>
    <w:rsid w:val="0097722C"/>
    <w:rsid w:val="00977A44"/>
    <w:rsid w:val="009A414F"/>
    <w:rsid w:val="009A7BC8"/>
    <w:rsid w:val="009B1CE9"/>
    <w:rsid w:val="009C2E88"/>
    <w:rsid w:val="009D238F"/>
    <w:rsid w:val="009E19A6"/>
    <w:rsid w:val="009F5B55"/>
    <w:rsid w:val="00A0334A"/>
    <w:rsid w:val="00A11705"/>
    <w:rsid w:val="00A173CF"/>
    <w:rsid w:val="00A2634B"/>
    <w:rsid w:val="00A53DEA"/>
    <w:rsid w:val="00A65997"/>
    <w:rsid w:val="00A77EAE"/>
    <w:rsid w:val="00A94847"/>
    <w:rsid w:val="00AA014A"/>
    <w:rsid w:val="00AB330A"/>
    <w:rsid w:val="00AB6F6B"/>
    <w:rsid w:val="00AC4ED8"/>
    <w:rsid w:val="00AD21BD"/>
    <w:rsid w:val="00AD6F47"/>
    <w:rsid w:val="00B0237B"/>
    <w:rsid w:val="00B02FD1"/>
    <w:rsid w:val="00B05348"/>
    <w:rsid w:val="00B136F6"/>
    <w:rsid w:val="00B15FA6"/>
    <w:rsid w:val="00B24580"/>
    <w:rsid w:val="00B45891"/>
    <w:rsid w:val="00B5116A"/>
    <w:rsid w:val="00B54634"/>
    <w:rsid w:val="00B54697"/>
    <w:rsid w:val="00B66F71"/>
    <w:rsid w:val="00B774A5"/>
    <w:rsid w:val="00B77784"/>
    <w:rsid w:val="00B84CBF"/>
    <w:rsid w:val="00B8635A"/>
    <w:rsid w:val="00B959C2"/>
    <w:rsid w:val="00BA0654"/>
    <w:rsid w:val="00BC6404"/>
    <w:rsid w:val="00BD0023"/>
    <w:rsid w:val="00BD3F44"/>
    <w:rsid w:val="00BD59FA"/>
    <w:rsid w:val="00BD69D5"/>
    <w:rsid w:val="00BE7108"/>
    <w:rsid w:val="00C47976"/>
    <w:rsid w:val="00C50848"/>
    <w:rsid w:val="00C6267A"/>
    <w:rsid w:val="00C62F76"/>
    <w:rsid w:val="00C703D9"/>
    <w:rsid w:val="00C72E52"/>
    <w:rsid w:val="00C95B3D"/>
    <w:rsid w:val="00CB5637"/>
    <w:rsid w:val="00CD2218"/>
    <w:rsid w:val="00CE1D5D"/>
    <w:rsid w:val="00D03F70"/>
    <w:rsid w:val="00D1198A"/>
    <w:rsid w:val="00D2245D"/>
    <w:rsid w:val="00D261F3"/>
    <w:rsid w:val="00D4127F"/>
    <w:rsid w:val="00D42C87"/>
    <w:rsid w:val="00D55841"/>
    <w:rsid w:val="00D82832"/>
    <w:rsid w:val="00DB22FF"/>
    <w:rsid w:val="00DB4CD0"/>
    <w:rsid w:val="00DC7748"/>
    <w:rsid w:val="00DE53F1"/>
    <w:rsid w:val="00E02DC5"/>
    <w:rsid w:val="00E072A0"/>
    <w:rsid w:val="00E1700E"/>
    <w:rsid w:val="00E20826"/>
    <w:rsid w:val="00E20B6C"/>
    <w:rsid w:val="00E24F6C"/>
    <w:rsid w:val="00E25B9D"/>
    <w:rsid w:val="00E30F20"/>
    <w:rsid w:val="00E5275B"/>
    <w:rsid w:val="00E819D7"/>
    <w:rsid w:val="00E81F4C"/>
    <w:rsid w:val="00E956A7"/>
    <w:rsid w:val="00EB0D0E"/>
    <w:rsid w:val="00ED4656"/>
    <w:rsid w:val="00ED7061"/>
    <w:rsid w:val="00F006A8"/>
    <w:rsid w:val="00F56514"/>
    <w:rsid w:val="00F60B4B"/>
    <w:rsid w:val="00F65E05"/>
    <w:rsid w:val="00F722DF"/>
    <w:rsid w:val="00F778E9"/>
    <w:rsid w:val="00F922D3"/>
    <w:rsid w:val="00FA21AA"/>
    <w:rsid w:val="00FA30F5"/>
    <w:rsid w:val="00FD144F"/>
    <w:rsid w:val="00FE2744"/>
    <w:rsid w:val="00FF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E9"/>
    <w:pPr>
      <w:ind w:left="720"/>
      <w:contextualSpacing/>
    </w:pPr>
  </w:style>
  <w:style w:type="paragraph" w:styleId="FootnoteText">
    <w:name w:val="footnote text"/>
    <w:basedOn w:val="Normal"/>
    <w:link w:val="FootnoteTextChar"/>
    <w:uiPriority w:val="99"/>
    <w:unhideWhenUsed/>
    <w:rsid w:val="00310965"/>
    <w:rPr>
      <w:szCs w:val="20"/>
    </w:rPr>
  </w:style>
  <w:style w:type="character" w:customStyle="1" w:styleId="FootnoteTextChar">
    <w:name w:val="Footnote Text Char"/>
    <w:basedOn w:val="DefaultParagraphFont"/>
    <w:link w:val="FootnoteText"/>
    <w:uiPriority w:val="99"/>
    <w:rsid w:val="00310965"/>
    <w:rPr>
      <w:szCs w:val="20"/>
    </w:rPr>
  </w:style>
  <w:style w:type="character" w:styleId="FootnoteReference">
    <w:name w:val="footnote reference"/>
    <w:basedOn w:val="DefaultParagraphFont"/>
    <w:uiPriority w:val="99"/>
    <w:unhideWhenUsed/>
    <w:rsid w:val="00310965"/>
    <w:rPr>
      <w:vertAlign w:val="superscript"/>
    </w:rPr>
  </w:style>
  <w:style w:type="paragraph" w:styleId="BalloonText">
    <w:name w:val="Balloon Text"/>
    <w:basedOn w:val="Normal"/>
    <w:link w:val="BalloonTextChar"/>
    <w:uiPriority w:val="99"/>
    <w:semiHidden/>
    <w:unhideWhenUsed/>
    <w:rsid w:val="009D238F"/>
    <w:rPr>
      <w:rFonts w:ascii="Tahoma" w:hAnsi="Tahoma" w:cs="Tahoma"/>
      <w:sz w:val="16"/>
      <w:szCs w:val="16"/>
    </w:rPr>
  </w:style>
  <w:style w:type="character" w:customStyle="1" w:styleId="BalloonTextChar">
    <w:name w:val="Balloon Text Char"/>
    <w:basedOn w:val="DefaultParagraphFont"/>
    <w:link w:val="BalloonText"/>
    <w:uiPriority w:val="99"/>
    <w:semiHidden/>
    <w:rsid w:val="009D238F"/>
    <w:rPr>
      <w:rFonts w:ascii="Tahoma" w:hAnsi="Tahoma" w:cs="Tahoma"/>
      <w:sz w:val="16"/>
      <w:szCs w:val="16"/>
    </w:rPr>
  </w:style>
  <w:style w:type="paragraph" w:styleId="Header">
    <w:name w:val="header"/>
    <w:basedOn w:val="Normal"/>
    <w:link w:val="HeaderChar"/>
    <w:uiPriority w:val="99"/>
    <w:unhideWhenUsed/>
    <w:rsid w:val="0006517E"/>
    <w:pPr>
      <w:tabs>
        <w:tab w:val="center" w:pos="4680"/>
        <w:tab w:val="right" w:pos="9360"/>
      </w:tabs>
    </w:pPr>
  </w:style>
  <w:style w:type="character" w:customStyle="1" w:styleId="HeaderChar">
    <w:name w:val="Header Char"/>
    <w:basedOn w:val="DefaultParagraphFont"/>
    <w:link w:val="Header"/>
    <w:uiPriority w:val="99"/>
    <w:rsid w:val="0006517E"/>
  </w:style>
  <w:style w:type="paragraph" w:styleId="Footer">
    <w:name w:val="footer"/>
    <w:basedOn w:val="Normal"/>
    <w:link w:val="FooterChar"/>
    <w:uiPriority w:val="99"/>
    <w:unhideWhenUsed/>
    <w:rsid w:val="0006517E"/>
    <w:pPr>
      <w:tabs>
        <w:tab w:val="center" w:pos="4680"/>
        <w:tab w:val="right" w:pos="9360"/>
      </w:tabs>
    </w:pPr>
  </w:style>
  <w:style w:type="character" w:customStyle="1" w:styleId="FooterChar">
    <w:name w:val="Footer Char"/>
    <w:basedOn w:val="DefaultParagraphFont"/>
    <w:link w:val="Footer"/>
    <w:uiPriority w:val="99"/>
    <w:rsid w:val="0006517E"/>
  </w:style>
  <w:style w:type="character" w:styleId="Hyperlink">
    <w:name w:val="Hyperlink"/>
    <w:basedOn w:val="DefaultParagraphFont"/>
    <w:uiPriority w:val="99"/>
    <w:unhideWhenUsed/>
    <w:rsid w:val="002A5BE5"/>
    <w:rPr>
      <w:color w:val="0000FF" w:themeColor="hyperlink"/>
      <w:u w:val="single"/>
    </w:rPr>
  </w:style>
  <w:style w:type="character" w:styleId="Strong">
    <w:name w:val="Strong"/>
    <w:basedOn w:val="DefaultParagraphFont"/>
    <w:uiPriority w:val="22"/>
    <w:qFormat/>
    <w:rsid w:val="00B959C2"/>
    <w:rPr>
      <w:b/>
      <w:bCs/>
    </w:rPr>
  </w:style>
  <w:style w:type="character" w:styleId="CommentReference">
    <w:name w:val="annotation reference"/>
    <w:basedOn w:val="DefaultParagraphFont"/>
    <w:uiPriority w:val="99"/>
    <w:semiHidden/>
    <w:unhideWhenUsed/>
    <w:rsid w:val="00F65E05"/>
    <w:rPr>
      <w:sz w:val="16"/>
      <w:szCs w:val="16"/>
    </w:rPr>
  </w:style>
  <w:style w:type="paragraph" w:styleId="CommentText">
    <w:name w:val="annotation text"/>
    <w:basedOn w:val="Normal"/>
    <w:link w:val="CommentTextChar"/>
    <w:uiPriority w:val="99"/>
    <w:semiHidden/>
    <w:unhideWhenUsed/>
    <w:rsid w:val="00F65E05"/>
    <w:rPr>
      <w:szCs w:val="20"/>
    </w:rPr>
  </w:style>
  <w:style w:type="character" w:customStyle="1" w:styleId="CommentTextChar">
    <w:name w:val="Comment Text Char"/>
    <w:basedOn w:val="DefaultParagraphFont"/>
    <w:link w:val="CommentText"/>
    <w:uiPriority w:val="99"/>
    <w:semiHidden/>
    <w:rsid w:val="00F65E05"/>
    <w:rPr>
      <w:szCs w:val="20"/>
    </w:rPr>
  </w:style>
  <w:style w:type="paragraph" w:styleId="CommentSubject">
    <w:name w:val="annotation subject"/>
    <w:basedOn w:val="CommentText"/>
    <w:next w:val="CommentText"/>
    <w:link w:val="CommentSubjectChar"/>
    <w:uiPriority w:val="99"/>
    <w:semiHidden/>
    <w:unhideWhenUsed/>
    <w:rsid w:val="00F65E05"/>
    <w:rPr>
      <w:b/>
      <w:bCs/>
    </w:rPr>
  </w:style>
  <w:style w:type="character" w:customStyle="1" w:styleId="CommentSubjectChar">
    <w:name w:val="Comment Subject Char"/>
    <w:basedOn w:val="CommentTextChar"/>
    <w:link w:val="CommentSubject"/>
    <w:uiPriority w:val="99"/>
    <w:semiHidden/>
    <w:rsid w:val="00F65E05"/>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E9"/>
    <w:pPr>
      <w:ind w:left="720"/>
      <w:contextualSpacing/>
    </w:pPr>
  </w:style>
  <w:style w:type="paragraph" w:styleId="FootnoteText">
    <w:name w:val="footnote text"/>
    <w:basedOn w:val="Normal"/>
    <w:link w:val="FootnoteTextChar"/>
    <w:uiPriority w:val="99"/>
    <w:unhideWhenUsed/>
    <w:rsid w:val="00310965"/>
    <w:rPr>
      <w:szCs w:val="20"/>
    </w:rPr>
  </w:style>
  <w:style w:type="character" w:customStyle="1" w:styleId="FootnoteTextChar">
    <w:name w:val="Footnote Text Char"/>
    <w:basedOn w:val="DefaultParagraphFont"/>
    <w:link w:val="FootnoteText"/>
    <w:uiPriority w:val="99"/>
    <w:rsid w:val="00310965"/>
    <w:rPr>
      <w:szCs w:val="20"/>
    </w:rPr>
  </w:style>
  <w:style w:type="character" w:styleId="FootnoteReference">
    <w:name w:val="footnote reference"/>
    <w:basedOn w:val="DefaultParagraphFont"/>
    <w:uiPriority w:val="99"/>
    <w:unhideWhenUsed/>
    <w:rsid w:val="00310965"/>
    <w:rPr>
      <w:vertAlign w:val="superscript"/>
    </w:rPr>
  </w:style>
  <w:style w:type="paragraph" w:styleId="BalloonText">
    <w:name w:val="Balloon Text"/>
    <w:basedOn w:val="Normal"/>
    <w:link w:val="BalloonTextChar"/>
    <w:uiPriority w:val="99"/>
    <w:semiHidden/>
    <w:unhideWhenUsed/>
    <w:rsid w:val="009D238F"/>
    <w:rPr>
      <w:rFonts w:ascii="Tahoma" w:hAnsi="Tahoma" w:cs="Tahoma"/>
      <w:sz w:val="16"/>
      <w:szCs w:val="16"/>
    </w:rPr>
  </w:style>
  <w:style w:type="character" w:customStyle="1" w:styleId="BalloonTextChar">
    <w:name w:val="Balloon Text Char"/>
    <w:basedOn w:val="DefaultParagraphFont"/>
    <w:link w:val="BalloonText"/>
    <w:uiPriority w:val="99"/>
    <w:semiHidden/>
    <w:rsid w:val="009D238F"/>
    <w:rPr>
      <w:rFonts w:ascii="Tahoma" w:hAnsi="Tahoma" w:cs="Tahoma"/>
      <w:sz w:val="16"/>
      <w:szCs w:val="16"/>
    </w:rPr>
  </w:style>
  <w:style w:type="paragraph" w:styleId="Header">
    <w:name w:val="header"/>
    <w:basedOn w:val="Normal"/>
    <w:link w:val="HeaderChar"/>
    <w:uiPriority w:val="99"/>
    <w:unhideWhenUsed/>
    <w:rsid w:val="0006517E"/>
    <w:pPr>
      <w:tabs>
        <w:tab w:val="center" w:pos="4680"/>
        <w:tab w:val="right" w:pos="9360"/>
      </w:tabs>
    </w:pPr>
  </w:style>
  <w:style w:type="character" w:customStyle="1" w:styleId="HeaderChar">
    <w:name w:val="Header Char"/>
    <w:basedOn w:val="DefaultParagraphFont"/>
    <w:link w:val="Header"/>
    <w:uiPriority w:val="99"/>
    <w:rsid w:val="0006517E"/>
  </w:style>
  <w:style w:type="paragraph" w:styleId="Footer">
    <w:name w:val="footer"/>
    <w:basedOn w:val="Normal"/>
    <w:link w:val="FooterChar"/>
    <w:uiPriority w:val="99"/>
    <w:unhideWhenUsed/>
    <w:rsid w:val="0006517E"/>
    <w:pPr>
      <w:tabs>
        <w:tab w:val="center" w:pos="4680"/>
        <w:tab w:val="right" w:pos="9360"/>
      </w:tabs>
    </w:pPr>
  </w:style>
  <w:style w:type="character" w:customStyle="1" w:styleId="FooterChar">
    <w:name w:val="Footer Char"/>
    <w:basedOn w:val="DefaultParagraphFont"/>
    <w:link w:val="Footer"/>
    <w:uiPriority w:val="99"/>
    <w:rsid w:val="0006517E"/>
  </w:style>
  <w:style w:type="character" w:styleId="Hyperlink">
    <w:name w:val="Hyperlink"/>
    <w:basedOn w:val="DefaultParagraphFont"/>
    <w:uiPriority w:val="99"/>
    <w:unhideWhenUsed/>
    <w:rsid w:val="002A5BE5"/>
    <w:rPr>
      <w:color w:val="0000FF" w:themeColor="hyperlink"/>
      <w:u w:val="single"/>
    </w:rPr>
  </w:style>
  <w:style w:type="character" w:styleId="Strong">
    <w:name w:val="Strong"/>
    <w:basedOn w:val="DefaultParagraphFont"/>
    <w:uiPriority w:val="22"/>
    <w:qFormat/>
    <w:rsid w:val="00B959C2"/>
    <w:rPr>
      <w:b/>
      <w:bCs/>
    </w:rPr>
  </w:style>
  <w:style w:type="character" w:styleId="CommentReference">
    <w:name w:val="annotation reference"/>
    <w:basedOn w:val="DefaultParagraphFont"/>
    <w:uiPriority w:val="99"/>
    <w:semiHidden/>
    <w:unhideWhenUsed/>
    <w:rsid w:val="00F65E05"/>
    <w:rPr>
      <w:sz w:val="16"/>
      <w:szCs w:val="16"/>
    </w:rPr>
  </w:style>
  <w:style w:type="paragraph" w:styleId="CommentText">
    <w:name w:val="annotation text"/>
    <w:basedOn w:val="Normal"/>
    <w:link w:val="CommentTextChar"/>
    <w:uiPriority w:val="99"/>
    <w:semiHidden/>
    <w:unhideWhenUsed/>
    <w:rsid w:val="00F65E05"/>
    <w:rPr>
      <w:szCs w:val="20"/>
    </w:rPr>
  </w:style>
  <w:style w:type="character" w:customStyle="1" w:styleId="CommentTextChar">
    <w:name w:val="Comment Text Char"/>
    <w:basedOn w:val="DefaultParagraphFont"/>
    <w:link w:val="CommentText"/>
    <w:uiPriority w:val="99"/>
    <w:semiHidden/>
    <w:rsid w:val="00F65E05"/>
    <w:rPr>
      <w:szCs w:val="20"/>
    </w:rPr>
  </w:style>
  <w:style w:type="paragraph" w:styleId="CommentSubject">
    <w:name w:val="annotation subject"/>
    <w:basedOn w:val="CommentText"/>
    <w:next w:val="CommentText"/>
    <w:link w:val="CommentSubjectChar"/>
    <w:uiPriority w:val="99"/>
    <w:semiHidden/>
    <w:unhideWhenUsed/>
    <w:rsid w:val="00F65E05"/>
    <w:rPr>
      <w:b/>
      <w:bCs/>
    </w:rPr>
  </w:style>
  <w:style w:type="character" w:customStyle="1" w:styleId="CommentSubjectChar">
    <w:name w:val="Comment Subject Char"/>
    <w:basedOn w:val="CommentTextChar"/>
    <w:link w:val="CommentSubject"/>
    <w:uiPriority w:val="99"/>
    <w:semiHidden/>
    <w:rsid w:val="00F65E0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289">
      <w:bodyDiv w:val="1"/>
      <w:marLeft w:val="0"/>
      <w:marRight w:val="0"/>
      <w:marTop w:val="0"/>
      <w:marBottom w:val="0"/>
      <w:divBdr>
        <w:top w:val="none" w:sz="0" w:space="0" w:color="auto"/>
        <w:left w:val="none" w:sz="0" w:space="0" w:color="auto"/>
        <w:bottom w:val="none" w:sz="0" w:space="0" w:color="auto"/>
        <w:right w:val="none" w:sz="0" w:space="0" w:color="auto"/>
      </w:divBdr>
    </w:div>
    <w:div w:id="109469867">
      <w:bodyDiv w:val="1"/>
      <w:marLeft w:val="0"/>
      <w:marRight w:val="0"/>
      <w:marTop w:val="0"/>
      <w:marBottom w:val="0"/>
      <w:divBdr>
        <w:top w:val="none" w:sz="0" w:space="0" w:color="auto"/>
        <w:left w:val="none" w:sz="0" w:space="0" w:color="auto"/>
        <w:bottom w:val="none" w:sz="0" w:space="0" w:color="auto"/>
        <w:right w:val="none" w:sz="0" w:space="0" w:color="auto"/>
      </w:divBdr>
    </w:div>
    <w:div w:id="162016274">
      <w:bodyDiv w:val="1"/>
      <w:marLeft w:val="0"/>
      <w:marRight w:val="0"/>
      <w:marTop w:val="0"/>
      <w:marBottom w:val="0"/>
      <w:divBdr>
        <w:top w:val="none" w:sz="0" w:space="0" w:color="auto"/>
        <w:left w:val="none" w:sz="0" w:space="0" w:color="auto"/>
        <w:bottom w:val="none" w:sz="0" w:space="0" w:color="auto"/>
        <w:right w:val="none" w:sz="0" w:space="0" w:color="auto"/>
      </w:divBdr>
    </w:div>
    <w:div w:id="355890183">
      <w:bodyDiv w:val="1"/>
      <w:marLeft w:val="0"/>
      <w:marRight w:val="0"/>
      <w:marTop w:val="0"/>
      <w:marBottom w:val="0"/>
      <w:divBdr>
        <w:top w:val="none" w:sz="0" w:space="0" w:color="auto"/>
        <w:left w:val="none" w:sz="0" w:space="0" w:color="auto"/>
        <w:bottom w:val="none" w:sz="0" w:space="0" w:color="auto"/>
        <w:right w:val="none" w:sz="0" w:space="0" w:color="auto"/>
      </w:divBdr>
    </w:div>
    <w:div w:id="360670771">
      <w:bodyDiv w:val="1"/>
      <w:marLeft w:val="0"/>
      <w:marRight w:val="0"/>
      <w:marTop w:val="0"/>
      <w:marBottom w:val="0"/>
      <w:divBdr>
        <w:top w:val="none" w:sz="0" w:space="0" w:color="auto"/>
        <w:left w:val="none" w:sz="0" w:space="0" w:color="auto"/>
        <w:bottom w:val="none" w:sz="0" w:space="0" w:color="auto"/>
        <w:right w:val="none" w:sz="0" w:space="0" w:color="auto"/>
      </w:divBdr>
    </w:div>
    <w:div w:id="612439167">
      <w:bodyDiv w:val="1"/>
      <w:marLeft w:val="0"/>
      <w:marRight w:val="0"/>
      <w:marTop w:val="0"/>
      <w:marBottom w:val="0"/>
      <w:divBdr>
        <w:top w:val="none" w:sz="0" w:space="0" w:color="auto"/>
        <w:left w:val="none" w:sz="0" w:space="0" w:color="auto"/>
        <w:bottom w:val="none" w:sz="0" w:space="0" w:color="auto"/>
        <w:right w:val="none" w:sz="0" w:space="0" w:color="auto"/>
      </w:divBdr>
    </w:div>
    <w:div w:id="859778311">
      <w:bodyDiv w:val="1"/>
      <w:marLeft w:val="0"/>
      <w:marRight w:val="0"/>
      <w:marTop w:val="0"/>
      <w:marBottom w:val="0"/>
      <w:divBdr>
        <w:top w:val="none" w:sz="0" w:space="0" w:color="auto"/>
        <w:left w:val="none" w:sz="0" w:space="0" w:color="auto"/>
        <w:bottom w:val="none" w:sz="0" w:space="0" w:color="auto"/>
        <w:right w:val="none" w:sz="0" w:space="0" w:color="auto"/>
      </w:divBdr>
    </w:div>
    <w:div w:id="1232232700">
      <w:bodyDiv w:val="1"/>
      <w:marLeft w:val="0"/>
      <w:marRight w:val="0"/>
      <w:marTop w:val="0"/>
      <w:marBottom w:val="0"/>
      <w:divBdr>
        <w:top w:val="none" w:sz="0" w:space="0" w:color="auto"/>
        <w:left w:val="none" w:sz="0" w:space="0" w:color="auto"/>
        <w:bottom w:val="none" w:sz="0" w:space="0" w:color="auto"/>
        <w:right w:val="none" w:sz="0" w:space="0" w:color="auto"/>
      </w:divBdr>
    </w:div>
    <w:div w:id="1283805025">
      <w:bodyDiv w:val="1"/>
      <w:marLeft w:val="0"/>
      <w:marRight w:val="0"/>
      <w:marTop w:val="0"/>
      <w:marBottom w:val="0"/>
      <w:divBdr>
        <w:top w:val="none" w:sz="0" w:space="0" w:color="auto"/>
        <w:left w:val="none" w:sz="0" w:space="0" w:color="auto"/>
        <w:bottom w:val="none" w:sz="0" w:space="0" w:color="auto"/>
        <w:right w:val="none" w:sz="0" w:space="0" w:color="auto"/>
      </w:divBdr>
    </w:div>
    <w:div w:id="1597250501">
      <w:bodyDiv w:val="1"/>
      <w:marLeft w:val="0"/>
      <w:marRight w:val="0"/>
      <w:marTop w:val="0"/>
      <w:marBottom w:val="0"/>
      <w:divBdr>
        <w:top w:val="none" w:sz="0" w:space="0" w:color="auto"/>
        <w:left w:val="none" w:sz="0" w:space="0" w:color="auto"/>
        <w:bottom w:val="none" w:sz="0" w:space="0" w:color="auto"/>
        <w:right w:val="none" w:sz="0" w:space="0" w:color="auto"/>
      </w:divBdr>
    </w:div>
    <w:div w:id="1926958298">
      <w:bodyDiv w:val="1"/>
      <w:marLeft w:val="0"/>
      <w:marRight w:val="0"/>
      <w:marTop w:val="0"/>
      <w:marBottom w:val="0"/>
      <w:divBdr>
        <w:top w:val="none" w:sz="0" w:space="0" w:color="auto"/>
        <w:left w:val="none" w:sz="0" w:space="0" w:color="auto"/>
        <w:bottom w:val="none" w:sz="0" w:space="0" w:color="auto"/>
        <w:right w:val="none" w:sz="0" w:space="0" w:color="auto"/>
      </w:divBdr>
    </w:div>
    <w:div w:id="19906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ydenm@firstenergycorp.com" TargetMode="External"/><Relationship Id="rId18" Type="http://schemas.openxmlformats.org/officeDocument/2006/relationships/hyperlink" Target="mailto:myurick@taftlaw.com" TargetMode="External"/><Relationship Id="rId26" Type="http://schemas.openxmlformats.org/officeDocument/2006/relationships/hyperlink" Target="mailto:tobrien@bricker.com" TargetMode="External"/><Relationship Id="rId39" Type="http://schemas.openxmlformats.org/officeDocument/2006/relationships/hyperlink" Target="mailto:sam@mwncmh.com" TargetMode="External"/><Relationship Id="rId21" Type="http://schemas.openxmlformats.org/officeDocument/2006/relationships/hyperlink" Target="mailto:todonnell@dickinsonwright.com" TargetMode="External"/><Relationship Id="rId34" Type="http://schemas.openxmlformats.org/officeDocument/2006/relationships/hyperlink" Target="mailto:mjsatterwhite@aep.com" TargetMode="External"/><Relationship Id="rId42" Type="http://schemas.openxmlformats.org/officeDocument/2006/relationships/hyperlink" Target="mailto:Kurt.Helfrich@ThompsonHine.com" TargetMode="External"/><Relationship Id="rId47" Type="http://schemas.openxmlformats.org/officeDocument/2006/relationships/hyperlink" Target="mailto:Stephen.Chriss@walmart.com" TargetMode="External"/><Relationship Id="rId50" Type="http://schemas.openxmlformats.org/officeDocument/2006/relationships/hyperlink" Target="mailto:Bojko@carpenterlipps.com" TargetMode="External"/><Relationship Id="rId55" Type="http://schemas.openxmlformats.org/officeDocument/2006/relationships/hyperlink" Target="mailto:ghull@eckertseamans.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lang@calfee.com" TargetMode="External"/><Relationship Id="rId20" Type="http://schemas.openxmlformats.org/officeDocument/2006/relationships/hyperlink" Target="mailto:tony.mendoza@sierraclub.org" TargetMode="External"/><Relationship Id="rId29" Type="http://schemas.openxmlformats.org/officeDocument/2006/relationships/hyperlink" Target="mailto:glpetrucci@vorys.com" TargetMode="External"/><Relationship Id="rId41" Type="http://schemas.openxmlformats.org/officeDocument/2006/relationships/hyperlink" Target="mailto:mpritchard@mwncmh.com" TargetMode="External"/><Relationship Id="rId54" Type="http://schemas.openxmlformats.org/officeDocument/2006/relationships/hyperlink" Target="mailto:joseph.clark@directenergy.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mcnamee@puc.state.oh.us" TargetMode="External"/><Relationship Id="rId24" Type="http://schemas.openxmlformats.org/officeDocument/2006/relationships/hyperlink" Target="mailto:jeffrey.mayes@monitoringanalytics.com" TargetMode="External"/><Relationship Id="rId32" Type="http://schemas.openxmlformats.org/officeDocument/2006/relationships/hyperlink" Target="mailto:mswhite@igsenergy.com" TargetMode="External"/><Relationship Id="rId37" Type="http://schemas.openxmlformats.org/officeDocument/2006/relationships/hyperlink" Target="mailto:kboehm@BKLlawfirm.com" TargetMode="External"/><Relationship Id="rId40" Type="http://schemas.openxmlformats.org/officeDocument/2006/relationships/hyperlink" Target="mailto:fdarr@mwncmh.com" TargetMode="External"/><Relationship Id="rId45" Type="http://schemas.openxmlformats.org/officeDocument/2006/relationships/hyperlink" Target="mailto:lhawrot@spilmanlaw.com" TargetMode="External"/><Relationship Id="rId53" Type="http://schemas.openxmlformats.org/officeDocument/2006/relationships/hyperlink" Target="mailto:cmooney@ohiopartners.org"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casto@firstenergycorp.com" TargetMode="External"/><Relationship Id="rId23" Type="http://schemas.openxmlformats.org/officeDocument/2006/relationships/hyperlink" Target="mailto:toddm@wamenergylaw.com" TargetMode="External"/><Relationship Id="rId28" Type="http://schemas.openxmlformats.org/officeDocument/2006/relationships/hyperlink" Target="mailto:mjsettineri@vorys.com" TargetMode="External"/><Relationship Id="rId36" Type="http://schemas.openxmlformats.org/officeDocument/2006/relationships/hyperlink" Target="mailto:mkurtz@BKLlawfirm.com" TargetMode="External"/><Relationship Id="rId49" Type="http://schemas.openxmlformats.org/officeDocument/2006/relationships/hyperlink" Target="mailto:jfinnigan@edf.org"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mailto:joliker@igsenergy.com" TargetMode="External"/><Relationship Id="rId19" Type="http://schemas.openxmlformats.org/officeDocument/2006/relationships/hyperlink" Target="mailto:callwein@wamenergylaw.com" TargetMode="External"/><Relationship Id="rId31" Type="http://schemas.openxmlformats.org/officeDocument/2006/relationships/hyperlink" Target="mailto:joliker@igsenergy.com" TargetMode="External"/><Relationship Id="rId44" Type="http://schemas.openxmlformats.org/officeDocument/2006/relationships/hyperlink" Target="mailto:Stephanie.Chmiel@ThompsonHine.com" TargetMode="External"/><Relationship Id="rId52" Type="http://schemas.openxmlformats.org/officeDocument/2006/relationships/hyperlink" Target="mailto:msmalz@ohiopovertylaw.org"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jmcdermott@firstenergycorp.com" TargetMode="External"/><Relationship Id="rId22" Type="http://schemas.openxmlformats.org/officeDocument/2006/relationships/hyperlink" Target="mailto:tdougherty@theOEC.org" TargetMode="External"/><Relationship Id="rId27" Type="http://schemas.openxmlformats.org/officeDocument/2006/relationships/hyperlink" Target="mailto:mhpetricoff@vorys.com" TargetMode="External"/><Relationship Id="rId30" Type="http://schemas.openxmlformats.org/officeDocument/2006/relationships/hyperlink" Target="mailto:mdortch@kravitzllc.com" TargetMode="External"/><Relationship Id="rId35" Type="http://schemas.openxmlformats.org/officeDocument/2006/relationships/hyperlink" Target="mailto:msmckenzie@aep.com" TargetMode="External"/><Relationship Id="rId43" Type="http://schemas.openxmlformats.org/officeDocument/2006/relationships/hyperlink" Target="mailto:Scott.Campbell@ThompsonHine.com" TargetMode="External"/><Relationship Id="rId48" Type="http://schemas.openxmlformats.org/officeDocument/2006/relationships/hyperlink" Target="mailto:Schmidt@sppgrp.co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mfleisher@elpc.org" TargetMode="External"/><Relationship Id="rId3" Type="http://schemas.openxmlformats.org/officeDocument/2006/relationships/styles" Target="styles.xml"/><Relationship Id="rId12" Type="http://schemas.openxmlformats.org/officeDocument/2006/relationships/hyperlink" Target="mailto:Katie.johnson@puc.state.oh.us" TargetMode="External"/><Relationship Id="rId17" Type="http://schemas.openxmlformats.org/officeDocument/2006/relationships/hyperlink" Target="mailto:talexander@calfee.com" TargetMode="External"/><Relationship Id="rId25" Type="http://schemas.openxmlformats.org/officeDocument/2006/relationships/hyperlink" Target="mailto:ricks@ohanet.org" TargetMode="External"/><Relationship Id="rId33" Type="http://schemas.openxmlformats.org/officeDocument/2006/relationships/hyperlink" Target="mailto:stnourse@aep.com" TargetMode="External"/><Relationship Id="rId38" Type="http://schemas.openxmlformats.org/officeDocument/2006/relationships/hyperlink" Target="mailto:jkylercohn@BKLlawfirm.com" TargetMode="External"/><Relationship Id="rId46" Type="http://schemas.openxmlformats.org/officeDocument/2006/relationships/hyperlink" Target="mailto:dwilliamson@spilmanlaw.com"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EAF0-83AF-4C30-B996-8A3E58C9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2016-02-01T20:37:00Z</dcterms:created>
  <dcterms:modified xsi:type="dcterms:W3CDTF">2016-02-01T21:38:00Z</dcterms:modified>
</cp:coreProperties>
</file>