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E4" w:rsidRPr="00E85515" w:rsidRDefault="00DF1DE4" w:rsidP="00DD445F">
      <w:pPr>
        <w:jc w:val="center"/>
        <w:rPr>
          <w:b/>
          <w:sz w:val="26"/>
          <w:szCs w:val="26"/>
        </w:rPr>
      </w:pPr>
      <w:bookmarkStart w:id="0" w:name="_GoBack"/>
      <w:bookmarkEnd w:id="0"/>
    </w:p>
    <w:p w:rsidR="006D07B9" w:rsidRPr="00921AC0" w:rsidRDefault="006D07B9" w:rsidP="006D07B9">
      <w:pPr>
        <w:suppressLineNumbers/>
        <w:jc w:val="center"/>
        <w:rPr>
          <w:b/>
          <w:sz w:val="26"/>
          <w:szCs w:val="26"/>
        </w:rPr>
      </w:pPr>
      <w:r w:rsidRPr="00921AC0">
        <w:rPr>
          <w:b/>
          <w:sz w:val="26"/>
          <w:szCs w:val="26"/>
        </w:rPr>
        <w:t>BEFORE</w:t>
      </w:r>
    </w:p>
    <w:p w:rsidR="006D07B9" w:rsidRPr="00921AC0" w:rsidRDefault="006D07B9" w:rsidP="006D07B9">
      <w:pPr>
        <w:suppressLineNumbers/>
        <w:jc w:val="center"/>
        <w:rPr>
          <w:b/>
          <w:sz w:val="26"/>
          <w:szCs w:val="26"/>
        </w:rPr>
      </w:pPr>
      <w:r w:rsidRPr="00921AC0">
        <w:rPr>
          <w:b/>
          <w:sz w:val="26"/>
          <w:szCs w:val="26"/>
        </w:rPr>
        <w:t xml:space="preserve">THE </w:t>
      </w:r>
      <w:r>
        <w:rPr>
          <w:b/>
          <w:sz w:val="26"/>
          <w:szCs w:val="26"/>
        </w:rPr>
        <w:t>PUBLIC UTILITIES COMMISSION OF OHIO</w:t>
      </w:r>
    </w:p>
    <w:p w:rsidR="006D07B9" w:rsidRPr="00921AC0" w:rsidRDefault="006D07B9" w:rsidP="006D07B9">
      <w:pPr>
        <w:suppressLineNumbers/>
        <w:jc w:val="center"/>
        <w:rPr>
          <w:b/>
          <w:sz w:val="26"/>
          <w:szCs w:val="26"/>
        </w:rPr>
      </w:pPr>
    </w:p>
    <w:tbl>
      <w:tblPr>
        <w:tblW w:w="0" w:type="auto"/>
        <w:tblLook w:val="01E0" w:firstRow="1" w:lastRow="1" w:firstColumn="1" w:lastColumn="1" w:noHBand="0" w:noVBand="0"/>
      </w:tblPr>
      <w:tblGrid>
        <w:gridCol w:w="4590"/>
        <w:gridCol w:w="1151"/>
        <w:gridCol w:w="3619"/>
      </w:tblGrid>
      <w:tr w:rsidR="006D07B9" w:rsidRPr="00921AC0" w:rsidTr="00963273">
        <w:trPr>
          <w:trHeight w:val="1863"/>
        </w:trPr>
        <w:tc>
          <w:tcPr>
            <w:tcW w:w="4590" w:type="dxa"/>
          </w:tcPr>
          <w:p w:rsidR="006D07B9" w:rsidRPr="00201EE8" w:rsidRDefault="006D07B9" w:rsidP="00963273">
            <w:pPr>
              <w:suppressLineNumbers/>
              <w:jc w:val="both"/>
              <w:rPr>
                <w:sz w:val="26"/>
                <w:szCs w:val="26"/>
              </w:rPr>
            </w:pPr>
            <w:r w:rsidRPr="00201EE8">
              <w:rPr>
                <w:sz w:val="26"/>
                <w:szCs w:val="26"/>
              </w:rPr>
              <w:t xml:space="preserve">In the Matter of the Application of </w:t>
            </w:r>
          </w:p>
          <w:p w:rsidR="006D07B9" w:rsidRPr="00201EE8" w:rsidRDefault="006D07B9" w:rsidP="00963273">
            <w:pPr>
              <w:suppressLineNumbers/>
              <w:jc w:val="both"/>
              <w:rPr>
                <w:sz w:val="26"/>
                <w:szCs w:val="26"/>
              </w:rPr>
            </w:pPr>
            <w:r w:rsidRPr="00201EE8">
              <w:rPr>
                <w:sz w:val="26"/>
                <w:szCs w:val="26"/>
              </w:rPr>
              <w:t xml:space="preserve">The East Ohio Gas Company d/b/a </w:t>
            </w:r>
          </w:p>
          <w:p w:rsidR="006D07B9" w:rsidRDefault="006D07B9" w:rsidP="00963273">
            <w:pPr>
              <w:suppressLineNumbers/>
              <w:jc w:val="both"/>
              <w:rPr>
                <w:sz w:val="26"/>
                <w:szCs w:val="26"/>
              </w:rPr>
            </w:pPr>
            <w:r w:rsidRPr="00201EE8">
              <w:rPr>
                <w:sz w:val="26"/>
                <w:szCs w:val="26"/>
              </w:rPr>
              <w:t xml:space="preserve">Dominion East Ohio for Approval </w:t>
            </w:r>
          </w:p>
          <w:p w:rsidR="006D07B9" w:rsidRPr="00921AC0" w:rsidRDefault="006D07B9" w:rsidP="00963273">
            <w:pPr>
              <w:suppressLineNumbers/>
              <w:jc w:val="both"/>
              <w:rPr>
                <w:color w:val="FF0000"/>
                <w:sz w:val="26"/>
                <w:szCs w:val="26"/>
              </w:rPr>
            </w:pPr>
            <w:r w:rsidRPr="00201EE8">
              <w:rPr>
                <w:sz w:val="26"/>
                <w:szCs w:val="26"/>
              </w:rPr>
              <w:t>of an Alternative Form of Regulation</w:t>
            </w:r>
          </w:p>
        </w:tc>
        <w:tc>
          <w:tcPr>
            <w:tcW w:w="1151" w:type="dxa"/>
          </w:tcPr>
          <w:p w:rsidR="006D07B9" w:rsidRPr="00921AC0" w:rsidRDefault="006D07B9" w:rsidP="00963273">
            <w:pPr>
              <w:suppressLineNumbers/>
              <w:rPr>
                <w:sz w:val="26"/>
                <w:szCs w:val="26"/>
              </w:rPr>
            </w:pPr>
            <w:r w:rsidRPr="00921AC0">
              <w:rPr>
                <w:sz w:val="26"/>
                <w:szCs w:val="26"/>
              </w:rPr>
              <w:t>:</w:t>
            </w:r>
          </w:p>
          <w:p w:rsidR="006D07B9" w:rsidRPr="00921AC0" w:rsidRDefault="006D07B9" w:rsidP="00963273">
            <w:pPr>
              <w:suppressLineNumbers/>
              <w:rPr>
                <w:sz w:val="26"/>
                <w:szCs w:val="26"/>
              </w:rPr>
            </w:pPr>
            <w:r w:rsidRPr="00921AC0">
              <w:rPr>
                <w:sz w:val="26"/>
                <w:szCs w:val="26"/>
              </w:rPr>
              <w:t>:</w:t>
            </w:r>
          </w:p>
          <w:p w:rsidR="006D07B9" w:rsidRPr="00921AC0" w:rsidRDefault="006D07B9" w:rsidP="00963273">
            <w:pPr>
              <w:suppressLineNumbers/>
              <w:rPr>
                <w:sz w:val="26"/>
                <w:szCs w:val="26"/>
              </w:rPr>
            </w:pPr>
            <w:r w:rsidRPr="00921AC0">
              <w:rPr>
                <w:sz w:val="26"/>
                <w:szCs w:val="26"/>
              </w:rPr>
              <w:t>:</w:t>
            </w:r>
          </w:p>
          <w:p w:rsidR="006D07B9" w:rsidRPr="00921AC0" w:rsidRDefault="006D07B9" w:rsidP="00963273">
            <w:pPr>
              <w:suppressLineNumbers/>
              <w:rPr>
                <w:sz w:val="26"/>
                <w:szCs w:val="26"/>
              </w:rPr>
            </w:pPr>
            <w:r w:rsidRPr="00921AC0">
              <w:rPr>
                <w:sz w:val="26"/>
                <w:szCs w:val="26"/>
              </w:rPr>
              <w:t>:</w:t>
            </w:r>
          </w:p>
        </w:tc>
        <w:tc>
          <w:tcPr>
            <w:tcW w:w="3619" w:type="dxa"/>
          </w:tcPr>
          <w:p w:rsidR="006D07B9" w:rsidRPr="00921AC0" w:rsidRDefault="006D07B9" w:rsidP="00963273">
            <w:pPr>
              <w:suppressLineNumbers/>
              <w:rPr>
                <w:sz w:val="26"/>
                <w:szCs w:val="26"/>
              </w:rPr>
            </w:pPr>
          </w:p>
          <w:p w:rsidR="006D07B9" w:rsidRPr="00921AC0" w:rsidRDefault="006D07B9" w:rsidP="00963273">
            <w:pPr>
              <w:suppressLineNumbers/>
              <w:rPr>
                <w:sz w:val="26"/>
                <w:szCs w:val="26"/>
              </w:rPr>
            </w:pPr>
            <w:r w:rsidRPr="00921AC0">
              <w:rPr>
                <w:sz w:val="26"/>
                <w:szCs w:val="26"/>
              </w:rPr>
              <w:t>Case No</w:t>
            </w:r>
            <w:r>
              <w:rPr>
                <w:sz w:val="26"/>
                <w:szCs w:val="26"/>
              </w:rPr>
              <w:t>. 15-0362-GA-ALT</w:t>
            </w:r>
          </w:p>
        </w:tc>
      </w:tr>
    </w:tbl>
    <w:p w:rsidR="002B48AB" w:rsidRDefault="002B48AB" w:rsidP="00B46CB7">
      <w:pPr>
        <w:tabs>
          <w:tab w:val="left" w:pos="9360"/>
        </w:tabs>
        <w:spacing w:after="240"/>
        <w:rPr>
          <w:sz w:val="26"/>
          <w:szCs w:val="26"/>
          <w:u w:val="single"/>
        </w:rPr>
      </w:pPr>
    </w:p>
    <w:p w:rsidR="00B46CB7" w:rsidRPr="00E85515" w:rsidRDefault="00B46CB7" w:rsidP="00B46CB7">
      <w:pPr>
        <w:tabs>
          <w:tab w:val="left" w:pos="9360"/>
        </w:tabs>
        <w:spacing w:after="240"/>
        <w:rPr>
          <w:sz w:val="26"/>
          <w:szCs w:val="26"/>
          <w:u w:val="single"/>
        </w:rPr>
      </w:pPr>
      <w:r w:rsidRPr="00E85515">
        <w:rPr>
          <w:sz w:val="26"/>
          <w:szCs w:val="26"/>
          <w:u w:val="single"/>
        </w:rPr>
        <w:tab/>
      </w:r>
    </w:p>
    <w:p w:rsidR="00B46CB7" w:rsidRPr="00E85515" w:rsidRDefault="007B1283" w:rsidP="00B46CB7">
      <w:pPr>
        <w:tabs>
          <w:tab w:val="left" w:pos="9360"/>
        </w:tabs>
        <w:jc w:val="center"/>
        <w:rPr>
          <w:b/>
          <w:sz w:val="26"/>
          <w:szCs w:val="26"/>
        </w:rPr>
      </w:pPr>
      <w:r w:rsidRPr="00655FB7">
        <w:rPr>
          <w:b/>
          <w:sz w:val="28"/>
          <w:szCs w:val="28"/>
        </w:rPr>
        <w:t xml:space="preserve">POST-HEARING </w:t>
      </w:r>
      <w:r w:rsidR="00B46CB7" w:rsidRPr="00655FB7">
        <w:rPr>
          <w:b/>
          <w:sz w:val="28"/>
          <w:szCs w:val="28"/>
        </w:rPr>
        <w:t>BRIEF</w:t>
      </w:r>
      <w:r w:rsidR="00B46CB7" w:rsidRPr="00655FB7">
        <w:rPr>
          <w:b/>
          <w:sz w:val="28"/>
          <w:szCs w:val="28"/>
        </w:rPr>
        <w:br/>
      </w:r>
      <w:r w:rsidRPr="00E85515">
        <w:rPr>
          <w:b/>
          <w:sz w:val="26"/>
          <w:szCs w:val="26"/>
        </w:rPr>
        <w:t xml:space="preserve">SUBMITTED ON BEHALF </w:t>
      </w:r>
      <w:r w:rsidR="00B46CB7" w:rsidRPr="00E85515">
        <w:rPr>
          <w:b/>
          <w:sz w:val="26"/>
          <w:szCs w:val="26"/>
        </w:rPr>
        <w:t>OF THE STAFF</w:t>
      </w:r>
    </w:p>
    <w:p w:rsidR="007B1283" w:rsidRPr="00E85515" w:rsidRDefault="00B46CB7" w:rsidP="00B46CB7">
      <w:pPr>
        <w:tabs>
          <w:tab w:val="left" w:pos="9360"/>
        </w:tabs>
        <w:jc w:val="center"/>
        <w:rPr>
          <w:b/>
          <w:sz w:val="26"/>
          <w:szCs w:val="26"/>
        </w:rPr>
      </w:pPr>
      <w:r w:rsidRPr="00E85515">
        <w:rPr>
          <w:b/>
          <w:sz w:val="26"/>
          <w:szCs w:val="26"/>
        </w:rPr>
        <w:t>OF</w:t>
      </w:r>
    </w:p>
    <w:p w:rsidR="00B46CB7" w:rsidRPr="00E85515" w:rsidRDefault="007B1283" w:rsidP="00B46CB7">
      <w:pPr>
        <w:tabs>
          <w:tab w:val="left" w:pos="9360"/>
        </w:tabs>
        <w:jc w:val="center"/>
        <w:rPr>
          <w:b/>
          <w:sz w:val="26"/>
          <w:szCs w:val="26"/>
        </w:rPr>
      </w:pPr>
      <w:r w:rsidRPr="00E85515">
        <w:rPr>
          <w:b/>
          <w:sz w:val="26"/>
          <w:szCs w:val="26"/>
        </w:rPr>
        <w:t xml:space="preserve">THE </w:t>
      </w:r>
      <w:r w:rsidR="00B46CB7" w:rsidRPr="00E85515">
        <w:rPr>
          <w:b/>
          <w:sz w:val="26"/>
          <w:szCs w:val="26"/>
        </w:rPr>
        <w:t>PUBLIC UTILITIES COMMISSION OF OHIO</w:t>
      </w:r>
      <w:r w:rsidR="00B46CB7" w:rsidRPr="00E85515">
        <w:rPr>
          <w:b/>
          <w:sz w:val="26"/>
          <w:szCs w:val="26"/>
        </w:rPr>
        <w:br/>
      </w:r>
    </w:p>
    <w:p w:rsidR="002B48AB" w:rsidRDefault="00B46CB7" w:rsidP="00B46CB7">
      <w:pPr>
        <w:tabs>
          <w:tab w:val="left" w:pos="9360"/>
        </w:tabs>
        <w:spacing w:after="240"/>
        <w:rPr>
          <w:sz w:val="26"/>
          <w:szCs w:val="26"/>
          <w:u w:val="single"/>
        </w:rPr>
      </w:pPr>
      <w:r w:rsidRPr="00E85515">
        <w:rPr>
          <w:sz w:val="26"/>
          <w:szCs w:val="26"/>
          <w:u w:val="single"/>
        </w:rPr>
        <w:tab/>
      </w:r>
    </w:p>
    <w:p w:rsidR="002B48AB" w:rsidRPr="00E85515" w:rsidRDefault="002B48AB" w:rsidP="00B46CB7">
      <w:pPr>
        <w:tabs>
          <w:tab w:val="left" w:pos="9360"/>
        </w:tabs>
        <w:spacing w:after="240"/>
        <w:rPr>
          <w:sz w:val="26"/>
          <w:szCs w:val="26"/>
          <w:u w:val="single"/>
        </w:rPr>
      </w:pPr>
    </w:p>
    <w:tbl>
      <w:tblPr>
        <w:tblW w:w="0" w:type="auto"/>
        <w:tblLook w:val="04A0" w:firstRow="1" w:lastRow="0" w:firstColumn="1" w:lastColumn="0" w:noHBand="0" w:noVBand="1"/>
      </w:tblPr>
      <w:tblGrid>
        <w:gridCol w:w="4630"/>
        <w:gridCol w:w="4730"/>
      </w:tblGrid>
      <w:tr w:rsidR="00A915C6" w:rsidRPr="00E85515" w:rsidTr="003F5592">
        <w:tc>
          <w:tcPr>
            <w:tcW w:w="4788" w:type="dxa"/>
            <w:shd w:val="clear" w:color="auto" w:fill="auto"/>
          </w:tcPr>
          <w:p w:rsidR="00A915C6" w:rsidRPr="00E85515" w:rsidRDefault="00A915C6"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B1283" w:rsidRPr="00E85515" w:rsidRDefault="007B1283" w:rsidP="007B1283">
            <w:pPr>
              <w:rPr>
                <w:sz w:val="26"/>
                <w:szCs w:val="26"/>
              </w:rPr>
            </w:pPr>
          </w:p>
          <w:p w:rsidR="007A79F9" w:rsidRPr="00E85515" w:rsidRDefault="007A79F9" w:rsidP="006168FF">
            <w:pPr>
              <w:rPr>
                <w:sz w:val="26"/>
                <w:szCs w:val="26"/>
              </w:rPr>
            </w:pPr>
          </w:p>
          <w:p w:rsidR="007A79F9" w:rsidRDefault="007A79F9" w:rsidP="006168FF">
            <w:pPr>
              <w:rPr>
                <w:sz w:val="26"/>
                <w:szCs w:val="26"/>
              </w:rPr>
            </w:pPr>
          </w:p>
          <w:p w:rsidR="002B48AB" w:rsidRPr="00E85515" w:rsidRDefault="002B48AB" w:rsidP="006168FF">
            <w:pPr>
              <w:rPr>
                <w:sz w:val="26"/>
                <w:szCs w:val="26"/>
              </w:rPr>
            </w:pPr>
          </w:p>
          <w:p w:rsidR="007B1283" w:rsidRPr="00E85515" w:rsidRDefault="00B71DD2" w:rsidP="006168FF">
            <w:pPr>
              <w:rPr>
                <w:sz w:val="26"/>
                <w:szCs w:val="26"/>
              </w:rPr>
            </w:pPr>
            <w:r>
              <w:rPr>
                <w:sz w:val="26"/>
                <w:szCs w:val="26"/>
              </w:rPr>
              <w:t>March 15</w:t>
            </w:r>
            <w:r w:rsidR="007B1283" w:rsidRPr="00E85515">
              <w:rPr>
                <w:sz w:val="26"/>
                <w:szCs w:val="26"/>
              </w:rPr>
              <w:t>, 201</w:t>
            </w:r>
            <w:r w:rsidR="00DD445F" w:rsidRPr="00E85515">
              <w:rPr>
                <w:sz w:val="26"/>
                <w:szCs w:val="26"/>
              </w:rPr>
              <w:t>6</w:t>
            </w:r>
          </w:p>
        </w:tc>
        <w:tc>
          <w:tcPr>
            <w:tcW w:w="4788" w:type="dxa"/>
            <w:shd w:val="clear" w:color="auto" w:fill="auto"/>
          </w:tcPr>
          <w:p w:rsidR="00A915C6" w:rsidRPr="00E85515" w:rsidRDefault="00854B1C" w:rsidP="007B1283">
            <w:pPr>
              <w:rPr>
                <w:sz w:val="26"/>
                <w:szCs w:val="26"/>
              </w:rPr>
            </w:pPr>
            <w:r w:rsidRPr="00E85515">
              <w:rPr>
                <w:b/>
                <w:sz w:val="26"/>
                <w:szCs w:val="26"/>
              </w:rPr>
              <w:lastRenderedPageBreak/>
              <w:t>Mike DeWine</w:t>
            </w:r>
            <w:r w:rsidR="007B1283" w:rsidRPr="00E85515">
              <w:rPr>
                <w:sz w:val="26"/>
                <w:szCs w:val="26"/>
              </w:rPr>
              <w:br/>
            </w:r>
            <w:r w:rsidR="00A915C6" w:rsidRPr="00E85515">
              <w:rPr>
                <w:sz w:val="26"/>
                <w:szCs w:val="26"/>
              </w:rPr>
              <w:t>Ohio Attorney General</w:t>
            </w:r>
          </w:p>
          <w:p w:rsidR="00A915C6" w:rsidRPr="00E85515" w:rsidRDefault="00A915C6" w:rsidP="007B1283">
            <w:pPr>
              <w:rPr>
                <w:sz w:val="26"/>
                <w:szCs w:val="26"/>
              </w:rPr>
            </w:pPr>
          </w:p>
          <w:p w:rsidR="00A915C6" w:rsidRPr="00E85515" w:rsidRDefault="00854B1C" w:rsidP="007B1283">
            <w:pPr>
              <w:rPr>
                <w:b/>
                <w:sz w:val="26"/>
                <w:szCs w:val="26"/>
              </w:rPr>
            </w:pPr>
            <w:r w:rsidRPr="00E85515">
              <w:rPr>
                <w:b/>
                <w:sz w:val="26"/>
                <w:szCs w:val="26"/>
              </w:rPr>
              <w:t>William</w:t>
            </w:r>
            <w:r w:rsidR="00A915C6" w:rsidRPr="00E85515">
              <w:rPr>
                <w:b/>
                <w:sz w:val="26"/>
                <w:szCs w:val="26"/>
              </w:rPr>
              <w:t xml:space="preserve"> </w:t>
            </w:r>
            <w:r w:rsidRPr="00E85515">
              <w:rPr>
                <w:b/>
                <w:sz w:val="26"/>
                <w:szCs w:val="26"/>
              </w:rPr>
              <w:t>L</w:t>
            </w:r>
            <w:r w:rsidR="00A915C6" w:rsidRPr="00E85515">
              <w:rPr>
                <w:b/>
                <w:sz w:val="26"/>
                <w:szCs w:val="26"/>
              </w:rPr>
              <w:t xml:space="preserve">. </w:t>
            </w:r>
            <w:r w:rsidRPr="00E85515">
              <w:rPr>
                <w:b/>
                <w:sz w:val="26"/>
                <w:szCs w:val="26"/>
              </w:rPr>
              <w:t>Wright</w:t>
            </w:r>
          </w:p>
          <w:p w:rsidR="00A915C6" w:rsidRPr="00E85515" w:rsidRDefault="00A915C6" w:rsidP="007B1283">
            <w:pPr>
              <w:rPr>
                <w:sz w:val="26"/>
                <w:szCs w:val="26"/>
              </w:rPr>
            </w:pPr>
            <w:r w:rsidRPr="00E85515">
              <w:rPr>
                <w:sz w:val="26"/>
                <w:szCs w:val="26"/>
              </w:rPr>
              <w:t>Section Chief</w:t>
            </w:r>
          </w:p>
          <w:p w:rsidR="00A915C6" w:rsidRPr="00E85515" w:rsidRDefault="00A915C6" w:rsidP="007B1283">
            <w:pPr>
              <w:rPr>
                <w:sz w:val="26"/>
                <w:szCs w:val="26"/>
              </w:rPr>
            </w:pPr>
          </w:p>
          <w:p w:rsidR="00DD445F" w:rsidRPr="00E85515" w:rsidRDefault="00DD445F" w:rsidP="007B1283">
            <w:pPr>
              <w:rPr>
                <w:b/>
                <w:sz w:val="26"/>
                <w:szCs w:val="26"/>
              </w:rPr>
            </w:pPr>
            <w:r w:rsidRPr="00E85515">
              <w:rPr>
                <w:b/>
                <w:sz w:val="26"/>
                <w:szCs w:val="26"/>
              </w:rPr>
              <w:t xml:space="preserve">Steven L. Beeler </w:t>
            </w:r>
          </w:p>
          <w:p w:rsidR="00A915C6" w:rsidRPr="00E85515" w:rsidRDefault="006D07B9" w:rsidP="007B1283">
            <w:pPr>
              <w:rPr>
                <w:b/>
                <w:sz w:val="26"/>
                <w:szCs w:val="26"/>
              </w:rPr>
            </w:pPr>
            <w:r>
              <w:rPr>
                <w:b/>
                <w:sz w:val="26"/>
                <w:szCs w:val="26"/>
              </w:rPr>
              <w:t>John H. Jones</w:t>
            </w:r>
            <w:r w:rsidR="00A915C6" w:rsidRPr="00E85515">
              <w:rPr>
                <w:sz w:val="26"/>
                <w:szCs w:val="26"/>
              </w:rPr>
              <w:br/>
              <w:t>Assistant Attorney</w:t>
            </w:r>
            <w:r w:rsidR="00DD7C63" w:rsidRPr="00E85515">
              <w:rPr>
                <w:sz w:val="26"/>
                <w:szCs w:val="26"/>
              </w:rPr>
              <w:t>s</w:t>
            </w:r>
            <w:r w:rsidR="00A915C6" w:rsidRPr="00E85515">
              <w:rPr>
                <w:sz w:val="26"/>
                <w:szCs w:val="26"/>
              </w:rPr>
              <w:t xml:space="preserve"> General</w:t>
            </w:r>
          </w:p>
          <w:p w:rsidR="00A915C6" w:rsidRPr="00E85515" w:rsidRDefault="00A915C6" w:rsidP="007B1283">
            <w:pPr>
              <w:rPr>
                <w:sz w:val="26"/>
                <w:szCs w:val="26"/>
              </w:rPr>
            </w:pPr>
            <w:r w:rsidRPr="00E85515">
              <w:rPr>
                <w:sz w:val="26"/>
                <w:szCs w:val="26"/>
              </w:rPr>
              <w:t>Public Utilities Section</w:t>
            </w:r>
          </w:p>
          <w:p w:rsidR="00A915C6" w:rsidRPr="00E85515" w:rsidRDefault="00A915C6" w:rsidP="007B1283">
            <w:pPr>
              <w:rPr>
                <w:sz w:val="26"/>
                <w:szCs w:val="26"/>
              </w:rPr>
            </w:pPr>
            <w:r w:rsidRPr="00E85515">
              <w:rPr>
                <w:sz w:val="26"/>
                <w:szCs w:val="26"/>
              </w:rPr>
              <w:t>180 East Broad Street, 6</w:t>
            </w:r>
            <w:r w:rsidRPr="00E85515">
              <w:rPr>
                <w:sz w:val="26"/>
                <w:szCs w:val="26"/>
                <w:vertAlign w:val="superscript"/>
              </w:rPr>
              <w:t>th</w:t>
            </w:r>
            <w:r w:rsidRPr="00E85515">
              <w:rPr>
                <w:sz w:val="26"/>
                <w:szCs w:val="26"/>
              </w:rPr>
              <w:t xml:space="preserve"> Fl</w:t>
            </w:r>
            <w:r w:rsidR="00E230B9">
              <w:rPr>
                <w:sz w:val="26"/>
                <w:szCs w:val="26"/>
              </w:rPr>
              <w:t>.</w:t>
            </w:r>
          </w:p>
          <w:p w:rsidR="00A915C6" w:rsidRPr="00E85515" w:rsidRDefault="00A915C6" w:rsidP="007B1283">
            <w:pPr>
              <w:rPr>
                <w:sz w:val="26"/>
                <w:szCs w:val="26"/>
              </w:rPr>
            </w:pPr>
            <w:r w:rsidRPr="00E85515">
              <w:rPr>
                <w:sz w:val="26"/>
                <w:szCs w:val="26"/>
              </w:rPr>
              <w:t>Columbus, OH  43215-3793</w:t>
            </w:r>
          </w:p>
          <w:p w:rsidR="00A915C6" w:rsidRPr="00E85515" w:rsidRDefault="00A915C6" w:rsidP="007B1283">
            <w:pPr>
              <w:rPr>
                <w:sz w:val="26"/>
                <w:szCs w:val="26"/>
              </w:rPr>
            </w:pPr>
            <w:r w:rsidRPr="00E85515">
              <w:rPr>
                <w:sz w:val="26"/>
                <w:szCs w:val="26"/>
              </w:rPr>
              <w:t>614.466.4397 (telephone)</w:t>
            </w:r>
          </w:p>
          <w:p w:rsidR="00A915C6" w:rsidRPr="00E85515" w:rsidRDefault="00A915C6" w:rsidP="007B1283">
            <w:pPr>
              <w:rPr>
                <w:sz w:val="26"/>
                <w:szCs w:val="26"/>
              </w:rPr>
            </w:pPr>
            <w:r w:rsidRPr="00E85515">
              <w:rPr>
                <w:sz w:val="26"/>
                <w:szCs w:val="26"/>
              </w:rPr>
              <w:t>614.644.8764 (fax)</w:t>
            </w:r>
          </w:p>
          <w:p w:rsidR="00DD445F" w:rsidRPr="00E85515" w:rsidRDefault="00057A6E" w:rsidP="00DD445F">
            <w:pPr>
              <w:rPr>
                <w:sz w:val="26"/>
                <w:szCs w:val="26"/>
              </w:rPr>
            </w:pPr>
            <w:hyperlink r:id="rId8" w:history="1">
              <w:r w:rsidR="00DD445F" w:rsidRPr="00E85515">
                <w:rPr>
                  <w:rStyle w:val="Hyperlink"/>
                  <w:sz w:val="26"/>
                  <w:szCs w:val="26"/>
                </w:rPr>
                <w:t>steven.beeler@puc.state.oh.us</w:t>
              </w:r>
            </w:hyperlink>
          </w:p>
          <w:p w:rsidR="007B1283" w:rsidRPr="00E85515" w:rsidRDefault="00057A6E" w:rsidP="007B1283">
            <w:pPr>
              <w:rPr>
                <w:sz w:val="26"/>
                <w:szCs w:val="26"/>
              </w:rPr>
            </w:pPr>
            <w:hyperlink r:id="rId9" w:history="1">
              <w:r w:rsidR="006D07B9" w:rsidRPr="0002299F">
                <w:rPr>
                  <w:rStyle w:val="Hyperlink"/>
                  <w:sz w:val="26"/>
                  <w:szCs w:val="26"/>
                </w:rPr>
                <w:t>john.jones@puc.state.oh.us</w:t>
              </w:r>
            </w:hyperlink>
            <w:r w:rsidR="0059367E" w:rsidRPr="00E85515">
              <w:rPr>
                <w:sz w:val="26"/>
                <w:szCs w:val="26"/>
              </w:rPr>
              <w:t xml:space="preserve"> </w:t>
            </w:r>
          </w:p>
          <w:p w:rsidR="007A79F9" w:rsidRPr="00E85515" w:rsidRDefault="007A79F9" w:rsidP="007B1283">
            <w:pPr>
              <w:rPr>
                <w:sz w:val="26"/>
                <w:szCs w:val="26"/>
              </w:rPr>
            </w:pPr>
          </w:p>
          <w:p w:rsidR="007A79F9" w:rsidRPr="00E85515" w:rsidRDefault="007A79F9" w:rsidP="007B1283">
            <w:pPr>
              <w:rPr>
                <w:sz w:val="26"/>
                <w:szCs w:val="26"/>
              </w:rPr>
            </w:pPr>
          </w:p>
          <w:p w:rsidR="0059367E" w:rsidRPr="00E85515" w:rsidRDefault="0059367E" w:rsidP="007B1283">
            <w:pPr>
              <w:rPr>
                <w:sz w:val="26"/>
                <w:szCs w:val="26"/>
              </w:rPr>
            </w:pPr>
          </w:p>
          <w:p w:rsidR="007B1283" w:rsidRPr="00E85515" w:rsidRDefault="007B1283" w:rsidP="007B1283">
            <w:pPr>
              <w:rPr>
                <w:sz w:val="26"/>
                <w:szCs w:val="26"/>
              </w:rPr>
            </w:pPr>
          </w:p>
        </w:tc>
      </w:tr>
    </w:tbl>
    <w:p w:rsidR="00A915C6" w:rsidRPr="00E85515" w:rsidRDefault="00A915C6" w:rsidP="00A915C6">
      <w:pPr>
        <w:spacing w:line="480" w:lineRule="auto"/>
        <w:rPr>
          <w:b/>
          <w:sz w:val="26"/>
          <w:szCs w:val="26"/>
        </w:rPr>
      </w:pPr>
    </w:p>
    <w:p w:rsidR="00AA669A" w:rsidRPr="00E85515" w:rsidRDefault="00AA669A" w:rsidP="00AA669A">
      <w:pPr>
        <w:spacing w:after="200" w:line="276" w:lineRule="auto"/>
        <w:rPr>
          <w:sz w:val="26"/>
          <w:szCs w:val="26"/>
        </w:rPr>
        <w:sectPr w:rsidR="00AA669A" w:rsidRPr="00E85515" w:rsidSect="00375A59">
          <w:footerReference w:type="default" r:id="rId10"/>
          <w:pgSz w:w="12240" w:h="15840"/>
          <w:pgMar w:top="1440" w:right="1440" w:bottom="1440" w:left="1440" w:header="720" w:footer="720" w:gutter="0"/>
          <w:cols w:space="720"/>
          <w:docGrid w:linePitch="360"/>
        </w:sectPr>
      </w:pPr>
    </w:p>
    <w:p w:rsidR="00AA669A" w:rsidRPr="00E85515" w:rsidRDefault="00AA669A" w:rsidP="00AA669A">
      <w:pPr>
        <w:spacing w:line="480" w:lineRule="auto"/>
        <w:jc w:val="center"/>
        <w:rPr>
          <w:b/>
          <w:sz w:val="26"/>
          <w:szCs w:val="26"/>
        </w:rPr>
      </w:pPr>
      <w:r w:rsidRPr="00E85515">
        <w:rPr>
          <w:b/>
          <w:sz w:val="26"/>
          <w:szCs w:val="26"/>
        </w:rPr>
        <w:lastRenderedPageBreak/>
        <w:t>TABLE OF CONTENTS</w:t>
      </w:r>
    </w:p>
    <w:p w:rsidR="00BC7253" w:rsidRDefault="00972087" w:rsidP="00972087">
      <w:pPr>
        <w:pStyle w:val="TOC1"/>
        <w:rPr>
          <w:noProof/>
        </w:rPr>
      </w:pPr>
      <w:r w:rsidRPr="00E85515">
        <w:rPr>
          <w:szCs w:val="26"/>
        </w:rPr>
        <w:t>Page(s)</w:t>
      </w:r>
      <w:r w:rsidR="00F65A76" w:rsidRPr="00E85515">
        <w:rPr>
          <w:szCs w:val="26"/>
        </w:rPr>
        <w:fldChar w:fldCharType="begin"/>
      </w:r>
      <w:r w:rsidR="00B02650" w:rsidRPr="00E85515">
        <w:rPr>
          <w:szCs w:val="26"/>
        </w:rPr>
        <w:instrText xml:space="preserve"> TOC \o "1-5" \u </w:instrText>
      </w:r>
      <w:r w:rsidR="00F65A76" w:rsidRPr="00E85515">
        <w:rPr>
          <w:szCs w:val="26"/>
        </w:rPr>
        <w:fldChar w:fldCharType="separate"/>
      </w:r>
    </w:p>
    <w:p w:rsidR="00BC7253" w:rsidRDefault="00BC7253">
      <w:pPr>
        <w:pStyle w:val="TOC1"/>
        <w:rPr>
          <w:rFonts w:asciiTheme="minorHAnsi" w:eastAsiaTheme="minorEastAsia" w:hAnsiTheme="minorHAnsi" w:cstheme="minorBidi"/>
          <w:noProof/>
          <w:sz w:val="22"/>
          <w:szCs w:val="22"/>
        </w:rPr>
      </w:pPr>
      <w:r>
        <w:rPr>
          <w:noProof/>
        </w:rPr>
        <w:t>INTRODUCTION</w:t>
      </w:r>
      <w:r>
        <w:rPr>
          <w:noProof/>
        </w:rPr>
        <w:tab/>
      </w:r>
      <w:r>
        <w:rPr>
          <w:noProof/>
        </w:rPr>
        <w:fldChar w:fldCharType="begin"/>
      </w:r>
      <w:r>
        <w:rPr>
          <w:noProof/>
        </w:rPr>
        <w:instrText xml:space="preserve"> PAGEREF _Toc445811294 \h </w:instrText>
      </w:r>
      <w:r>
        <w:rPr>
          <w:noProof/>
        </w:rPr>
      </w:r>
      <w:r>
        <w:rPr>
          <w:noProof/>
        </w:rPr>
        <w:fldChar w:fldCharType="separate"/>
      </w:r>
      <w:r w:rsidR="00057A6E">
        <w:rPr>
          <w:noProof/>
        </w:rPr>
        <w:t>1</w:t>
      </w:r>
      <w:r>
        <w:rPr>
          <w:noProof/>
        </w:rPr>
        <w:fldChar w:fldCharType="end"/>
      </w:r>
    </w:p>
    <w:p w:rsidR="00BC7253" w:rsidRDefault="00BC7253">
      <w:pPr>
        <w:pStyle w:val="TOC1"/>
        <w:rPr>
          <w:rFonts w:asciiTheme="minorHAnsi" w:eastAsiaTheme="minorEastAsia" w:hAnsiTheme="minorHAnsi" w:cstheme="minorBidi"/>
          <w:noProof/>
          <w:sz w:val="22"/>
          <w:szCs w:val="22"/>
        </w:rPr>
      </w:pPr>
      <w:r>
        <w:rPr>
          <w:noProof/>
        </w:rPr>
        <w:t>DISCUSSION</w:t>
      </w:r>
      <w:r>
        <w:rPr>
          <w:noProof/>
        </w:rPr>
        <w:tab/>
      </w:r>
      <w:r>
        <w:rPr>
          <w:noProof/>
        </w:rPr>
        <w:fldChar w:fldCharType="begin"/>
      </w:r>
      <w:r>
        <w:rPr>
          <w:noProof/>
        </w:rPr>
        <w:instrText xml:space="preserve"> PAGEREF _Toc445811295 \h </w:instrText>
      </w:r>
      <w:r>
        <w:rPr>
          <w:noProof/>
        </w:rPr>
      </w:r>
      <w:r>
        <w:rPr>
          <w:noProof/>
        </w:rPr>
        <w:fldChar w:fldCharType="separate"/>
      </w:r>
      <w:r w:rsidR="00057A6E">
        <w:rPr>
          <w:noProof/>
        </w:rPr>
        <w:t>3</w:t>
      </w:r>
      <w:r>
        <w:rPr>
          <w:noProof/>
        </w:rPr>
        <w:fldChar w:fldCharType="end"/>
      </w:r>
    </w:p>
    <w:p w:rsidR="00BC7253" w:rsidRDefault="00BC7253">
      <w:pPr>
        <w:pStyle w:val="TOC2"/>
        <w:tabs>
          <w:tab w:val="left" w:pos="1440"/>
        </w:tabs>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The Stipulation meets the Three-Part Test for reasonableness.</w:t>
      </w:r>
      <w:r>
        <w:rPr>
          <w:noProof/>
        </w:rPr>
        <w:tab/>
      </w:r>
      <w:r>
        <w:rPr>
          <w:noProof/>
        </w:rPr>
        <w:fldChar w:fldCharType="begin"/>
      </w:r>
      <w:r>
        <w:rPr>
          <w:noProof/>
        </w:rPr>
        <w:instrText xml:space="preserve"> PAGEREF _Toc445811296 \h </w:instrText>
      </w:r>
      <w:r>
        <w:rPr>
          <w:noProof/>
        </w:rPr>
      </w:r>
      <w:r>
        <w:rPr>
          <w:noProof/>
        </w:rPr>
        <w:fldChar w:fldCharType="separate"/>
      </w:r>
      <w:r w:rsidR="00057A6E">
        <w:rPr>
          <w:noProof/>
        </w:rPr>
        <w:t>3</w:t>
      </w:r>
      <w:r>
        <w:rPr>
          <w:noProof/>
        </w:rPr>
        <w:fldChar w:fldCharType="end"/>
      </w:r>
    </w:p>
    <w:p w:rsidR="00BC7253" w:rsidRDefault="00BC7253" w:rsidP="002B48AB">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Serious Bargaining</w:t>
      </w:r>
      <w:r>
        <w:rPr>
          <w:noProof/>
        </w:rPr>
        <w:tab/>
      </w:r>
      <w:r>
        <w:rPr>
          <w:noProof/>
        </w:rPr>
        <w:fldChar w:fldCharType="begin"/>
      </w:r>
      <w:r>
        <w:rPr>
          <w:noProof/>
        </w:rPr>
        <w:instrText xml:space="preserve"> PAGEREF _Toc445811297 \h </w:instrText>
      </w:r>
      <w:r>
        <w:rPr>
          <w:noProof/>
        </w:rPr>
      </w:r>
      <w:r>
        <w:rPr>
          <w:noProof/>
        </w:rPr>
        <w:fldChar w:fldCharType="separate"/>
      </w:r>
      <w:r w:rsidR="00057A6E">
        <w:rPr>
          <w:noProof/>
        </w:rPr>
        <w:t>4</w:t>
      </w:r>
      <w:r>
        <w:rPr>
          <w:noProof/>
        </w:rPr>
        <w:fldChar w:fldCharType="end"/>
      </w:r>
    </w:p>
    <w:p w:rsidR="00BC7253" w:rsidRDefault="00BC7253" w:rsidP="002B48AB">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Public Interest</w:t>
      </w:r>
      <w:r>
        <w:rPr>
          <w:noProof/>
        </w:rPr>
        <w:tab/>
      </w:r>
      <w:r>
        <w:rPr>
          <w:noProof/>
        </w:rPr>
        <w:fldChar w:fldCharType="begin"/>
      </w:r>
      <w:r>
        <w:rPr>
          <w:noProof/>
        </w:rPr>
        <w:instrText xml:space="preserve"> PAGEREF _Toc445811298 \h </w:instrText>
      </w:r>
      <w:r>
        <w:rPr>
          <w:noProof/>
        </w:rPr>
      </w:r>
      <w:r>
        <w:rPr>
          <w:noProof/>
        </w:rPr>
        <w:fldChar w:fldCharType="separate"/>
      </w:r>
      <w:r w:rsidR="00057A6E">
        <w:rPr>
          <w:noProof/>
        </w:rPr>
        <w:t>5</w:t>
      </w:r>
      <w:r>
        <w:rPr>
          <w:noProof/>
        </w:rPr>
        <w:fldChar w:fldCharType="end"/>
      </w:r>
    </w:p>
    <w:p w:rsidR="00BC7253" w:rsidRDefault="00BC7253" w:rsidP="002B48AB">
      <w:pPr>
        <w:pStyle w:val="TOC3"/>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The Stipulation does not violate any important regulatory principle or practice, rather it promotes public policy.</w:t>
      </w:r>
      <w:r>
        <w:rPr>
          <w:noProof/>
        </w:rPr>
        <w:tab/>
      </w:r>
      <w:r>
        <w:rPr>
          <w:noProof/>
        </w:rPr>
        <w:fldChar w:fldCharType="begin"/>
      </w:r>
      <w:r>
        <w:rPr>
          <w:noProof/>
        </w:rPr>
        <w:instrText xml:space="preserve"> PAGEREF _Toc445811299 \h </w:instrText>
      </w:r>
      <w:r>
        <w:rPr>
          <w:noProof/>
        </w:rPr>
      </w:r>
      <w:r>
        <w:rPr>
          <w:noProof/>
        </w:rPr>
        <w:fldChar w:fldCharType="separate"/>
      </w:r>
      <w:r w:rsidR="00057A6E">
        <w:rPr>
          <w:noProof/>
        </w:rPr>
        <w:t>7</w:t>
      </w:r>
      <w:r>
        <w:rPr>
          <w:noProof/>
        </w:rPr>
        <w:fldChar w:fldCharType="end"/>
      </w:r>
    </w:p>
    <w:p w:rsidR="00BC7253" w:rsidRDefault="00BC7253">
      <w:pPr>
        <w:pStyle w:val="TOC2"/>
        <w:tabs>
          <w:tab w:val="left" w:pos="144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OCC Objections</w:t>
      </w:r>
      <w:r>
        <w:rPr>
          <w:noProof/>
        </w:rPr>
        <w:tab/>
      </w:r>
      <w:r>
        <w:rPr>
          <w:noProof/>
        </w:rPr>
        <w:fldChar w:fldCharType="begin"/>
      </w:r>
      <w:r>
        <w:rPr>
          <w:noProof/>
        </w:rPr>
        <w:instrText xml:space="preserve"> PAGEREF _Toc445811300 \h </w:instrText>
      </w:r>
      <w:r>
        <w:rPr>
          <w:noProof/>
        </w:rPr>
      </w:r>
      <w:r>
        <w:rPr>
          <w:noProof/>
        </w:rPr>
        <w:fldChar w:fldCharType="separate"/>
      </w:r>
      <w:r w:rsidR="00057A6E">
        <w:rPr>
          <w:noProof/>
        </w:rPr>
        <w:t>7</w:t>
      </w:r>
      <w:r>
        <w:rPr>
          <w:noProof/>
        </w:rPr>
        <w:fldChar w:fldCharType="end"/>
      </w:r>
    </w:p>
    <w:p w:rsidR="00BC7253" w:rsidRDefault="00BC7253" w:rsidP="002B48AB">
      <w:pPr>
        <w:pStyle w:val="TOC3"/>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25-year target for the program is reasonable</w:t>
      </w:r>
      <w:r>
        <w:rPr>
          <w:noProof/>
        </w:rPr>
        <w:tab/>
      </w:r>
      <w:r>
        <w:rPr>
          <w:noProof/>
        </w:rPr>
        <w:fldChar w:fldCharType="begin"/>
      </w:r>
      <w:r>
        <w:rPr>
          <w:noProof/>
        </w:rPr>
        <w:instrText xml:space="preserve"> PAGEREF _Toc445811301 \h </w:instrText>
      </w:r>
      <w:r>
        <w:rPr>
          <w:noProof/>
        </w:rPr>
      </w:r>
      <w:r>
        <w:rPr>
          <w:noProof/>
        </w:rPr>
        <w:fldChar w:fldCharType="separate"/>
      </w:r>
      <w:r w:rsidR="00057A6E">
        <w:rPr>
          <w:noProof/>
        </w:rPr>
        <w:t>7</w:t>
      </w:r>
      <w:r>
        <w:rPr>
          <w:noProof/>
        </w:rPr>
        <w:fldChar w:fldCharType="end"/>
      </w:r>
    </w:p>
    <w:p w:rsidR="00BC7253" w:rsidRDefault="00BC7253" w:rsidP="002B48AB">
      <w:pPr>
        <w:pStyle w:val="TOC3"/>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The proposed PIR Program cost increases and rate cap increases are reasonable.</w:t>
      </w:r>
      <w:r>
        <w:rPr>
          <w:noProof/>
        </w:rPr>
        <w:tab/>
      </w:r>
      <w:r>
        <w:rPr>
          <w:noProof/>
        </w:rPr>
        <w:fldChar w:fldCharType="begin"/>
      </w:r>
      <w:r>
        <w:rPr>
          <w:noProof/>
        </w:rPr>
        <w:instrText xml:space="preserve"> PAGEREF _Toc445811302 \h </w:instrText>
      </w:r>
      <w:r>
        <w:rPr>
          <w:noProof/>
        </w:rPr>
      </w:r>
      <w:r>
        <w:rPr>
          <w:noProof/>
        </w:rPr>
        <w:fldChar w:fldCharType="separate"/>
      </w:r>
      <w:r w:rsidR="00057A6E">
        <w:rPr>
          <w:noProof/>
        </w:rPr>
        <w:t>8</w:t>
      </w:r>
      <w:r>
        <w:rPr>
          <w:noProof/>
        </w:rPr>
        <w:fldChar w:fldCharType="end"/>
      </w:r>
    </w:p>
    <w:p w:rsidR="00BC7253" w:rsidRDefault="00BC7253">
      <w:pPr>
        <w:pStyle w:val="TOC4"/>
        <w:tabs>
          <w:tab w:val="left" w:pos="288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Switch from urban to rural replacements</w:t>
      </w:r>
      <w:r>
        <w:rPr>
          <w:noProof/>
        </w:rPr>
        <w:tab/>
      </w:r>
      <w:r>
        <w:rPr>
          <w:noProof/>
        </w:rPr>
        <w:fldChar w:fldCharType="begin"/>
      </w:r>
      <w:r>
        <w:rPr>
          <w:noProof/>
        </w:rPr>
        <w:instrText xml:space="preserve"> PAGEREF _Toc445811303 \h </w:instrText>
      </w:r>
      <w:r>
        <w:rPr>
          <w:noProof/>
        </w:rPr>
      </w:r>
      <w:r>
        <w:rPr>
          <w:noProof/>
        </w:rPr>
        <w:fldChar w:fldCharType="separate"/>
      </w:r>
      <w:r w:rsidR="00057A6E">
        <w:rPr>
          <w:noProof/>
        </w:rPr>
        <w:t>9</w:t>
      </w:r>
      <w:r>
        <w:rPr>
          <w:noProof/>
        </w:rPr>
        <w:fldChar w:fldCharType="end"/>
      </w:r>
    </w:p>
    <w:p w:rsidR="00BC7253" w:rsidRDefault="00BC7253">
      <w:pPr>
        <w:pStyle w:val="TOC4"/>
        <w:tabs>
          <w:tab w:val="left" w:pos="288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Environmental compliance costs</w:t>
      </w:r>
      <w:r>
        <w:rPr>
          <w:noProof/>
        </w:rPr>
        <w:tab/>
      </w:r>
      <w:r>
        <w:rPr>
          <w:noProof/>
        </w:rPr>
        <w:fldChar w:fldCharType="begin"/>
      </w:r>
      <w:r>
        <w:rPr>
          <w:noProof/>
        </w:rPr>
        <w:instrText xml:space="preserve"> PAGEREF _Toc445811304 \h </w:instrText>
      </w:r>
      <w:r>
        <w:rPr>
          <w:noProof/>
        </w:rPr>
      </w:r>
      <w:r>
        <w:rPr>
          <w:noProof/>
        </w:rPr>
        <w:fldChar w:fldCharType="separate"/>
      </w:r>
      <w:r w:rsidR="00057A6E">
        <w:rPr>
          <w:noProof/>
        </w:rPr>
        <w:t>10</w:t>
      </w:r>
      <w:r>
        <w:rPr>
          <w:noProof/>
        </w:rPr>
        <w:fldChar w:fldCharType="end"/>
      </w:r>
    </w:p>
    <w:p w:rsidR="00BC7253" w:rsidRDefault="00BC7253">
      <w:pPr>
        <w:pStyle w:val="TOC4"/>
        <w:tabs>
          <w:tab w:val="left" w:pos="288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inflation</w:t>
      </w:r>
      <w:r>
        <w:rPr>
          <w:noProof/>
        </w:rPr>
        <w:tab/>
      </w:r>
      <w:r>
        <w:rPr>
          <w:noProof/>
        </w:rPr>
        <w:fldChar w:fldCharType="begin"/>
      </w:r>
      <w:r>
        <w:rPr>
          <w:noProof/>
        </w:rPr>
        <w:instrText xml:space="preserve"> PAGEREF _Toc445811305 \h </w:instrText>
      </w:r>
      <w:r>
        <w:rPr>
          <w:noProof/>
        </w:rPr>
      </w:r>
      <w:r>
        <w:rPr>
          <w:noProof/>
        </w:rPr>
        <w:fldChar w:fldCharType="separate"/>
      </w:r>
      <w:r w:rsidR="00057A6E">
        <w:rPr>
          <w:noProof/>
        </w:rPr>
        <w:t>10</w:t>
      </w:r>
      <w:r>
        <w:rPr>
          <w:noProof/>
        </w:rPr>
        <w:fldChar w:fldCharType="end"/>
      </w:r>
    </w:p>
    <w:p w:rsidR="00BC7253" w:rsidRDefault="00BC7253">
      <w:pPr>
        <w:pStyle w:val="TOC4"/>
        <w:tabs>
          <w:tab w:val="left" w:pos="288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Increased contract costs</w:t>
      </w:r>
      <w:r>
        <w:rPr>
          <w:noProof/>
        </w:rPr>
        <w:tab/>
      </w:r>
      <w:r>
        <w:rPr>
          <w:noProof/>
        </w:rPr>
        <w:fldChar w:fldCharType="begin"/>
      </w:r>
      <w:r>
        <w:rPr>
          <w:noProof/>
        </w:rPr>
        <w:instrText xml:space="preserve"> PAGEREF _Toc445811306 \h </w:instrText>
      </w:r>
      <w:r>
        <w:rPr>
          <w:noProof/>
        </w:rPr>
      </w:r>
      <w:r>
        <w:rPr>
          <w:noProof/>
        </w:rPr>
        <w:fldChar w:fldCharType="separate"/>
      </w:r>
      <w:r w:rsidR="00057A6E">
        <w:rPr>
          <w:noProof/>
        </w:rPr>
        <w:t>11</w:t>
      </w:r>
      <w:r>
        <w:rPr>
          <w:noProof/>
        </w:rPr>
        <w:fldChar w:fldCharType="end"/>
      </w:r>
    </w:p>
    <w:p w:rsidR="00BC7253" w:rsidRDefault="00BC7253">
      <w:pPr>
        <w:pStyle w:val="TOC4"/>
        <w:tabs>
          <w:tab w:val="left" w:pos="288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Summary</w:t>
      </w:r>
      <w:r>
        <w:rPr>
          <w:noProof/>
        </w:rPr>
        <w:tab/>
      </w:r>
      <w:r>
        <w:rPr>
          <w:noProof/>
        </w:rPr>
        <w:fldChar w:fldCharType="begin"/>
      </w:r>
      <w:r>
        <w:rPr>
          <w:noProof/>
        </w:rPr>
        <w:instrText xml:space="preserve"> PAGEREF _Toc445811307 \h </w:instrText>
      </w:r>
      <w:r>
        <w:rPr>
          <w:noProof/>
        </w:rPr>
      </w:r>
      <w:r>
        <w:rPr>
          <w:noProof/>
        </w:rPr>
        <w:fldChar w:fldCharType="separate"/>
      </w:r>
      <w:r w:rsidR="00057A6E">
        <w:rPr>
          <w:noProof/>
        </w:rPr>
        <w:t>12</w:t>
      </w:r>
      <w:r>
        <w:rPr>
          <w:noProof/>
        </w:rPr>
        <w:fldChar w:fldCharType="end"/>
      </w:r>
    </w:p>
    <w:p w:rsidR="00BC7253" w:rsidRDefault="00BC7253">
      <w:pPr>
        <w:pStyle w:val="TOC1"/>
        <w:rPr>
          <w:rFonts w:asciiTheme="minorHAnsi" w:eastAsiaTheme="minorEastAsia" w:hAnsiTheme="minorHAnsi" w:cstheme="minorBidi"/>
          <w:noProof/>
          <w:sz w:val="22"/>
          <w:szCs w:val="22"/>
        </w:rPr>
      </w:pPr>
      <w:r>
        <w:rPr>
          <w:noProof/>
        </w:rPr>
        <w:t>CONCLUSION</w:t>
      </w:r>
      <w:r>
        <w:rPr>
          <w:noProof/>
        </w:rPr>
        <w:tab/>
      </w:r>
      <w:r>
        <w:rPr>
          <w:noProof/>
        </w:rPr>
        <w:fldChar w:fldCharType="begin"/>
      </w:r>
      <w:r>
        <w:rPr>
          <w:noProof/>
        </w:rPr>
        <w:instrText xml:space="preserve"> PAGEREF _Toc445811308 \h </w:instrText>
      </w:r>
      <w:r>
        <w:rPr>
          <w:noProof/>
        </w:rPr>
      </w:r>
      <w:r>
        <w:rPr>
          <w:noProof/>
        </w:rPr>
        <w:fldChar w:fldCharType="separate"/>
      </w:r>
      <w:r w:rsidR="00057A6E">
        <w:rPr>
          <w:noProof/>
        </w:rPr>
        <w:t>13</w:t>
      </w:r>
      <w:r>
        <w:rPr>
          <w:noProof/>
        </w:rPr>
        <w:fldChar w:fldCharType="end"/>
      </w:r>
    </w:p>
    <w:p w:rsidR="00BC7253" w:rsidRDefault="00BC7253">
      <w:pPr>
        <w:pStyle w:val="TOC1"/>
        <w:rPr>
          <w:rFonts w:asciiTheme="minorHAnsi" w:eastAsiaTheme="minorEastAsia" w:hAnsiTheme="minorHAnsi" w:cstheme="minorBidi"/>
          <w:noProof/>
          <w:sz w:val="22"/>
          <w:szCs w:val="22"/>
        </w:rPr>
      </w:pPr>
      <w:r>
        <w:rPr>
          <w:noProof/>
        </w:rPr>
        <w:t>PROOF OF SERVICE</w:t>
      </w:r>
      <w:r>
        <w:rPr>
          <w:noProof/>
        </w:rPr>
        <w:tab/>
      </w:r>
      <w:r>
        <w:rPr>
          <w:noProof/>
        </w:rPr>
        <w:fldChar w:fldCharType="begin"/>
      </w:r>
      <w:r>
        <w:rPr>
          <w:noProof/>
        </w:rPr>
        <w:instrText xml:space="preserve"> PAGEREF _Toc445811309 \h </w:instrText>
      </w:r>
      <w:r>
        <w:rPr>
          <w:noProof/>
        </w:rPr>
      </w:r>
      <w:r>
        <w:rPr>
          <w:noProof/>
        </w:rPr>
        <w:fldChar w:fldCharType="separate"/>
      </w:r>
      <w:r w:rsidR="00057A6E">
        <w:rPr>
          <w:noProof/>
        </w:rPr>
        <w:t>14</w:t>
      </w:r>
      <w:r>
        <w:rPr>
          <w:noProof/>
        </w:rPr>
        <w:fldChar w:fldCharType="end"/>
      </w:r>
    </w:p>
    <w:p w:rsidR="00AA669A" w:rsidRPr="00E85515" w:rsidRDefault="00F65A76" w:rsidP="0069770D">
      <w:pPr>
        <w:spacing w:line="480" w:lineRule="auto"/>
        <w:rPr>
          <w:sz w:val="26"/>
          <w:szCs w:val="26"/>
        </w:rPr>
      </w:pPr>
      <w:r w:rsidRPr="00E85515">
        <w:rPr>
          <w:sz w:val="26"/>
          <w:szCs w:val="26"/>
        </w:rPr>
        <w:fldChar w:fldCharType="end"/>
      </w:r>
    </w:p>
    <w:p w:rsidR="00AA669A" w:rsidRPr="00E85515" w:rsidRDefault="00AA669A" w:rsidP="00AA669A">
      <w:pPr>
        <w:rPr>
          <w:sz w:val="26"/>
          <w:szCs w:val="26"/>
        </w:rPr>
        <w:sectPr w:rsidR="00AA669A" w:rsidRPr="00E85515" w:rsidSect="00CF29FB">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p>
    <w:p w:rsidR="002436AF" w:rsidRPr="00921AC0" w:rsidRDefault="002436AF" w:rsidP="002436AF">
      <w:pPr>
        <w:suppressLineNumbers/>
        <w:jc w:val="center"/>
        <w:rPr>
          <w:b/>
          <w:sz w:val="26"/>
          <w:szCs w:val="26"/>
        </w:rPr>
      </w:pPr>
      <w:r w:rsidRPr="00921AC0">
        <w:rPr>
          <w:b/>
          <w:sz w:val="26"/>
          <w:szCs w:val="26"/>
        </w:rPr>
        <w:lastRenderedPageBreak/>
        <w:t>BEFORE</w:t>
      </w:r>
    </w:p>
    <w:p w:rsidR="002436AF" w:rsidRPr="00921AC0" w:rsidRDefault="002436AF" w:rsidP="002436AF">
      <w:pPr>
        <w:suppressLineNumbers/>
        <w:jc w:val="center"/>
        <w:rPr>
          <w:b/>
          <w:sz w:val="26"/>
          <w:szCs w:val="26"/>
        </w:rPr>
      </w:pPr>
      <w:r w:rsidRPr="00921AC0">
        <w:rPr>
          <w:b/>
          <w:sz w:val="26"/>
          <w:szCs w:val="26"/>
        </w:rPr>
        <w:t xml:space="preserve">THE </w:t>
      </w:r>
      <w:r>
        <w:rPr>
          <w:b/>
          <w:sz w:val="26"/>
          <w:szCs w:val="26"/>
        </w:rPr>
        <w:t>PUBLIC UTILITIES COMMISSION OF OHIO</w:t>
      </w:r>
    </w:p>
    <w:p w:rsidR="002436AF" w:rsidRPr="00921AC0" w:rsidRDefault="002436AF" w:rsidP="002436AF">
      <w:pPr>
        <w:suppressLineNumbers/>
        <w:jc w:val="center"/>
        <w:rPr>
          <w:b/>
          <w:sz w:val="26"/>
          <w:szCs w:val="26"/>
        </w:rPr>
      </w:pPr>
    </w:p>
    <w:tbl>
      <w:tblPr>
        <w:tblW w:w="0" w:type="auto"/>
        <w:tblLook w:val="01E0" w:firstRow="1" w:lastRow="1" w:firstColumn="1" w:lastColumn="1" w:noHBand="0" w:noVBand="0"/>
      </w:tblPr>
      <w:tblGrid>
        <w:gridCol w:w="4590"/>
        <w:gridCol w:w="1151"/>
        <w:gridCol w:w="3619"/>
      </w:tblGrid>
      <w:tr w:rsidR="002436AF" w:rsidRPr="00921AC0" w:rsidTr="00963273">
        <w:trPr>
          <w:trHeight w:val="1863"/>
        </w:trPr>
        <w:tc>
          <w:tcPr>
            <w:tcW w:w="4590" w:type="dxa"/>
          </w:tcPr>
          <w:p w:rsidR="002436AF" w:rsidRPr="00201EE8" w:rsidRDefault="002436AF" w:rsidP="00963273">
            <w:pPr>
              <w:suppressLineNumbers/>
              <w:jc w:val="both"/>
              <w:rPr>
                <w:sz w:val="26"/>
                <w:szCs w:val="26"/>
              </w:rPr>
            </w:pPr>
            <w:r w:rsidRPr="00201EE8">
              <w:rPr>
                <w:sz w:val="26"/>
                <w:szCs w:val="26"/>
              </w:rPr>
              <w:t xml:space="preserve">In the Matter of the Application of </w:t>
            </w:r>
          </w:p>
          <w:p w:rsidR="002436AF" w:rsidRPr="00201EE8" w:rsidRDefault="002436AF" w:rsidP="00963273">
            <w:pPr>
              <w:suppressLineNumbers/>
              <w:jc w:val="both"/>
              <w:rPr>
                <w:sz w:val="26"/>
                <w:szCs w:val="26"/>
              </w:rPr>
            </w:pPr>
            <w:r w:rsidRPr="00201EE8">
              <w:rPr>
                <w:sz w:val="26"/>
                <w:szCs w:val="26"/>
              </w:rPr>
              <w:t xml:space="preserve">The East Ohio Gas Company d/b/a </w:t>
            </w:r>
          </w:p>
          <w:p w:rsidR="002436AF" w:rsidRDefault="002436AF" w:rsidP="00963273">
            <w:pPr>
              <w:suppressLineNumbers/>
              <w:jc w:val="both"/>
              <w:rPr>
                <w:sz w:val="26"/>
                <w:szCs w:val="26"/>
              </w:rPr>
            </w:pPr>
            <w:r w:rsidRPr="00201EE8">
              <w:rPr>
                <w:sz w:val="26"/>
                <w:szCs w:val="26"/>
              </w:rPr>
              <w:t xml:space="preserve">Dominion East Ohio for Approval </w:t>
            </w:r>
          </w:p>
          <w:p w:rsidR="002436AF" w:rsidRPr="00921AC0" w:rsidRDefault="002436AF" w:rsidP="00963273">
            <w:pPr>
              <w:suppressLineNumbers/>
              <w:jc w:val="both"/>
              <w:rPr>
                <w:color w:val="FF0000"/>
                <w:sz w:val="26"/>
                <w:szCs w:val="26"/>
              </w:rPr>
            </w:pPr>
            <w:r w:rsidRPr="00201EE8">
              <w:rPr>
                <w:sz w:val="26"/>
                <w:szCs w:val="26"/>
              </w:rPr>
              <w:t>of an Alternative Form of Regulation</w:t>
            </w:r>
          </w:p>
        </w:tc>
        <w:tc>
          <w:tcPr>
            <w:tcW w:w="1151" w:type="dxa"/>
          </w:tcPr>
          <w:p w:rsidR="002436AF" w:rsidRPr="00921AC0" w:rsidRDefault="002436AF" w:rsidP="00963273">
            <w:pPr>
              <w:suppressLineNumbers/>
              <w:rPr>
                <w:sz w:val="26"/>
                <w:szCs w:val="26"/>
              </w:rPr>
            </w:pPr>
            <w:r w:rsidRPr="00921AC0">
              <w:rPr>
                <w:sz w:val="26"/>
                <w:szCs w:val="26"/>
              </w:rPr>
              <w:t>:</w:t>
            </w:r>
          </w:p>
          <w:p w:rsidR="002436AF" w:rsidRPr="00921AC0" w:rsidRDefault="002436AF" w:rsidP="00963273">
            <w:pPr>
              <w:suppressLineNumbers/>
              <w:rPr>
                <w:sz w:val="26"/>
                <w:szCs w:val="26"/>
              </w:rPr>
            </w:pPr>
            <w:r w:rsidRPr="00921AC0">
              <w:rPr>
                <w:sz w:val="26"/>
                <w:szCs w:val="26"/>
              </w:rPr>
              <w:t>:</w:t>
            </w:r>
          </w:p>
          <w:p w:rsidR="002436AF" w:rsidRPr="00921AC0" w:rsidRDefault="002436AF" w:rsidP="00963273">
            <w:pPr>
              <w:suppressLineNumbers/>
              <w:rPr>
                <w:sz w:val="26"/>
                <w:szCs w:val="26"/>
              </w:rPr>
            </w:pPr>
            <w:r w:rsidRPr="00921AC0">
              <w:rPr>
                <w:sz w:val="26"/>
                <w:szCs w:val="26"/>
              </w:rPr>
              <w:t>:</w:t>
            </w:r>
          </w:p>
          <w:p w:rsidR="002436AF" w:rsidRPr="00921AC0" w:rsidRDefault="002436AF" w:rsidP="00963273">
            <w:pPr>
              <w:suppressLineNumbers/>
              <w:rPr>
                <w:sz w:val="26"/>
                <w:szCs w:val="26"/>
              </w:rPr>
            </w:pPr>
            <w:r w:rsidRPr="00921AC0">
              <w:rPr>
                <w:sz w:val="26"/>
                <w:szCs w:val="26"/>
              </w:rPr>
              <w:t>:</w:t>
            </w:r>
          </w:p>
          <w:p w:rsidR="002436AF" w:rsidRPr="00921AC0" w:rsidRDefault="002436AF" w:rsidP="00963273">
            <w:pPr>
              <w:suppressLineNumbers/>
              <w:rPr>
                <w:sz w:val="26"/>
                <w:szCs w:val="26"/>
              </w:rPr>
            </w:pPr>
          </w:p>
          <w:p w:rsidR="002436AF" w:rsidRPr="00921AC0" w:rsidRDefault="002436AF" w:rsidP="00963273">
            <w:pPr>
              <w:suppressLineNumbers/>
              <w:rPr>
                <w:sz w:val="26"/>
                <w:szCs w:val="26"/>
              </w:rPr>
            </w:pPr>
          </w:p>
        </w:tc>
        <w:tc>
          <w:tcPr>
            <w:tcW w:w="3619" w:type="dxa"/>
          </w:tcPr>
          <w:p w:rsidR="002436AF" w:rsidRPr="00921AC0" w:rsidRDefault="002436AF" w:rsidP="00963273">
            <w:pPr>
              <w:suppressLineNumbers/>
              <w:rPr>
                <w:sz w:val="26"/>
                <w:szCs w:val="26"/>
              </w:rPr>
            </w:pPr>
          </w:p>
          <w:p w:rsidR="002436AF" w:rsidRPr="00921AC0" w:rsidRDefault="002436AF" w:rsidP="00963273">
            <w:pPr>
              <w:suppressLineNumbers/>
              <w:rPr>
                <w:sz w:val="26"/>
                <w:szCs w:val="26"/>
              </w:rPr>
            </w:pPr>
            <w:r w:rsidRPr="00921AC0">
              <w:rPr>
                <w:sz w:val="26"/>
                <w:szCs w:val="26"/>
              </w:rPr>
              <w:t>Case No</w:t>
            </w:r>
            <w:r>
              <w:rPr>
                <w:sz w:val="26"/>
                <w:szCs w:val="26"/>
              </w:rPr>
              <w:t>. 15-0362-GA-ALT</w:t>
            </w:r>
          </w:p>
        </w:tc>
      </w:tr>
    </w:tbl>
    <w:p w:rsidR="007B1283" w:rsidRPr="00E85515" w:rsidRDefault="007B1283" w:rsidP="00AE2E08">
      <w:pPr>
        <w:rPr>
          <w:b/>
          <w:sz w:val="26"/>
          <w:szCs w:val="26"/>
        </w:rPr>
      </w:pPr>
    </w:p>
    <w:p w:rsidR="007B1283" w:rsidRPr="00E85515" w:rsidRDefault="007B1283" w:rsidP="007B1283">
      <w:pPr>
        <w:tabs>
          <w:tab w:val="left" w:pos="9360"/>
        </w:tabs>
        <w:spacing w:after="240"/>
        <w:rPr>
          <w:sz w:val="26"/>
          <w:szCs w:val="26"/>
          <w:u w:val="single"/>
        </w:rPr>
      </w:pPr>
      <w:r w:rsidRPr="00E85515">
        <w:rPr>
          <w:sz w:val="26"/>
          <w:szCs w:val="26"/>
          <w:u w:val="single"/>
        </w:rPr>
        <w:tab/>
      </w:r>
    </w:p>
    <w:p w:rsidR="007B1283" w:rsidRPr="00E85515" w:rsidRDefault="007B1283" w:rsidP="007B1283">
      <w:pPr>
        <w:tabs>
          <w:tab w:val="left" w:pos="9360"/>
        </w:tabs>
        <w:jc w:val="center"/>
        <w:rPr>
          <w:b/>
          <w:sz w:val="26"/>
          <w:szCs w:val="26"/>
        </w:rPr>
      </w:pPr>
      <w:r w:rsidRPr="00E85515">
        <w:rPr>
          <w:b/>
          <w:sz w:val="26"/>
          <w:szCs w:val="26"/>
        </w:rPr>
        <w:t>POST-HEARING BRIEF</w:t>
      </w:r>
      <w:r w:rsidRPr="00E85515">
        <w:rPr>
          <w:b/>
          <w:sz w:val="26"/>
          <w:szCs w:val="26"/>
        </w:rPr>
        <w:br/>
        <w:t>SUBMITTED ON BEHALF OF THE STAFF</w:t>
      </w:r>
    </w:p>
    <w:p w:rsidR="007B1283" w:rsidRPr="00E85515" w:rsidRDefault="007B1283" w:rsidP="007B1283">
      <w:pPr>
        <w:tabs>
          <w:tab w:val="left" w:pos="9360"/>
        </w:tabs>
        <w:jc w:val="center"/>
        <w:rPr>
          <w:b/>
          <w:sz w:val="26"/>
          <w:szCs w:val="26"/>
        </w:rPr>
      </w:pPr>
      <w:r w:rsidRPr="00E85515">
        <w:rPr>
          <w:b/>
          <w:sz w:val="26"/>
          <w:szCs w:val="26"/>
        </w:rPr>
        <w:t>OF</w:t>
      </w:r>
    </w:p>
    <w:p w:rsidR="007B1283" w:rsidRPr="00E85515" w:rsidRDefault="007B1283" w:rsidP="007B1283">
      <w:pPr>
        <w:tabs>
          <w:tab w:val="left" w:pos="9360"/>
        </w:tabs>
        <w:jc w:val="center"/>
        <w:rPr>
          <w:sz w:val="26"/>
          <w:szCs w:val="26"/>
        </w:rPr>
      </w:pPr>
      <w:r w:rsidRPr="00E85515">
        <w:rPr>
          <w:b/>
          <w:sz w:val="26"/>
          <w:szCs w:val="26"/>
        </w:rPr>
        <w:t>THE PUBLIC UTILITIES COMMISSION OF OHIO</w:t>
      </w:r>
      <w:r w:rsidRPr="00E85515">
        <w:rPr>
          <w:b/>
          <w:sz w:val="26"/>
          <w:szCs w:val="26"/>
        </w:rPr>
        <w:br/>
      </w:r>
      <w:r w:rsidRPr="00E85515">
        <w:rPr>
          <w:sz w:val="26"/>
          <w:szCs w:val="26"/>
          <w:u w:val="single"/>
        </w:rPr>
        <w:tab/>
      </w:r>
    </w:p>
    <w:p w:rsidR="00B46CB7" w:rsidRPr="00E85515" w:rsidRDefault="00B46CB7" w:rsidP="008B28B6">
      <w:pPr>
        <w:pStyle w:val="Heading1"/>
      </w:pPr>
      <w:bookmarkStart w:id="1" w:name="_Toc445811294"/>
      <w:r w:rsidRPr="00E85515">
        <w:t>INTRODUCTION</w:t>
      </w:r>
      <w:bookmarkEnd w:id="1"/>
    </w:p>
    <w:p w:rsidR="00E46180" w:rsidRDefault="000561B6" w:rsidP="00E46180">
      <w:pPr>
        <w:pStyle w:val="BodyTextFirstIndent"/>
        <w:rPr>
          <w:szCs w:val="26"/>
        </w:rPr>
      </w:pPr>
      <w:r w:rsidRPr="00E85515">
        <w:rPr>
          <w:szCs w:val="26"/>
        </w:rPr>
        <w:t>The</w:t>
      </w:r>
      <w:r w:rsidR="0084452A" w:rsidRPr="00E85515">
        <w:rPr>
          <w:szCs w:val="26"/>
        </w:rPr>
        <w:t xml:space="preserve"> S</w:t>
      </w:r>
      <w:r w:rsidRPr="00E85515">
        <w:rPr>
          <w:szCs w:val="26"/>
        </w:rPr>
        <w:t>tipulation</w:t>
      </w:r>
      <w:r w:rsidR="00F976B3" w:rsidRPr="00E85515">
        <w:rPr>
          <w:szCs w:val="26"/>
        </w:rPr>
        <w:t xml:space="preserve"> presented in this case</w:t>
      </w:r>
      <w:r w:rsidRPr="00E85515">
        <w:rPr>
          <w:szCs w:val="26"/>
        </w:rPr>
        <w:t xml:space="preserve"> enhance</w:t>
      </w:r>
      <w:r w:rsidR="00F976B3" w:rsidRPr="00E85515">
        <w:rPr>
          <w:szCs w:val="26"/>
        </w:rPr>
        <w:t>s</w:t>
      </w:r>
      <w:r w:rsidRPr="00E85515">
        <w:rPr>
          <w:szCs w:val="26"/>
        </w:rPr>
        <w:t xml:space="preserve"> the benef</w:t>
      </w:r>
      <w:r w:rsidR="00F976B3" w:rsidRPr="00E85515">
        <w:rPr>
          <w:szCs w:val="26"/>
        </w:rPr>
        <w:t>its to rate payers identi</w:t>
      </w:r>
      <w:r w:rsidR="00F04B1B">
        <w:rPr>
          <w:szCs w:val="26"/>
        </w:rPr>
        <w:softHyphen/>
      </w:r>
      <w:r w:rsidR="00F976B3" w:rsidRPr="00E85515">
        <w:rPr>
          <w:szCs w:val="26"/>
        </w:rPr>
        <w:t>fied</w:t>
      </w:r>
      <w:r w:rsidRPr="00E85515">
        <w:rPr>
          <w:szCs w:val="26"/>
        </w:rPr>
        <w:t xml:space="preserve"> in the</w:t>
      </w:r>
      <w:r w:rsidR="00F976B3" w:rsidRPr="00E85515">
        <w:rPr>
          <w:szCs w:val="26"/>
        </w:rPr>
        <w:t xml:space="preserve"> </w:t>
      </w:r>
      <w:r w:rsidR="006D07B9">
        <w:rPr>
          <w:szCs w:val="26"/>
        </w:rPr>
        <w:t>East Ohio Gas Company d/b/a Dominion East Ohio’s (DEO</w:t>
      </w:r>
      <w:r w:rsidR="00F976B3" w:rsidRPr="00E85515">
        <w:rPr>
          <w:szCs w:val="26"/>
        </w:rPr>
        <w:t xml:space="preserve"> or </w:t>
      </w:r>
      <w:r w:rsidR="006D07B9">
        <w:rPr>
          <w:szCs w:val="26"/>
        </w:rPr>
        <w:t xml:space="preserve">the </w:t>
      </w:r>
      <w:r w:rsidR="00F976B3" w:rsidRPr="00E85515">
        <w:rPr>
          <w:szCs w:val="26"/>
        </w:rPr>
        <w:t>Company)</w:t>
      </w:r>
      <w:r w:rsidRPr="00E85515">
        <w:rPr>
          <w:szCs w:val="26"/>
        </w:rPr>
        <w:t xml:space="preserve"> Application and </w:t>
      </w:r>
      <w:r w:rsidRPr="00E85515">
        <w:rPr>
          <w:szCs w:val="26"/>
        </w:rPr>
        <w:lastRenderedPageBreak/>
        <w:t>address</w:t>
      </w:r>
      <w:r w:rsidR="00F976B3" w:rsidRPr="00E85515">
        <w:rPr>
          <w:szCs w:val="26"/>
        </w:rPr>
        <w:t>es</w:t>
      </w:r>
      <w:r w:rsidRPr="00E85515">
        <w:rPr>
          <w:szCs w:val="26"/>
        </w:rPr>
        <w:t xml:space="preserve"> </w:t>
      </w:r>
      <w:r w:rsidR="00F976B3" w:rsidRPr="00E85515">
        <w:rPr>
          <w:szCs w:val="26"/>
        </w:rPr>
        <w:t xml:space="preserve">the </w:t>
      </w:r>
      <w:r w:rsidRPr="00E85515">
        <w:rPr>
          <w:szCs w:val="26"/>
        </w:rPr>
        <w:t>concern</w:t>
      </w:r>
      <w:r w:rsidR="00F976B3" w:rsidRPr="00E85515">
        <w:rPr>
          <w:szCs w:val="26"/>
        </w:rPr>
        <w:t>s raised by the Staff of the Public Utilities Com</w:t>
      </w:r>
      <w:r w:rsidR="00F04B1B">
        <w:rPr>
          <w:szCs w:val="26"/>
        </w:rPr>
        <w:softHyphen/>
      </w:r>
      <w:r w:rsidR="00F976B3" w:rsidRPr="00E85515">
        <w:rPr>
          <w:szCs w:val="26"/>
        </w:rPr>
        <w:t>mission of Ohio (Staff)</w:t>
      </w:r>
      <w:r w:rsidRPr="00E85515">
        <w:rPr>
          <w:szCs w:val="26"/>
        </w:rPr>
        <w:t xml:space="preserve"> in this proce</w:t>
      </w:r>
      <w:r w:rsidR="00F976B3" w:rsidRPr="00E85515">
        <w:rPr>
          <w:szCs w:val="26"/>
        </w:rPr>
        <w:t>eding.</w:t>
      </w:r>
      <w:r w:rsidR="00E46180">
        <w:rPr>
          <w:szCs w:val="26"/>
        </w:rPr>
        <w:t xml:space="preserve">  </w:t>
      </w:r>
      <w:r w:rsidR="00E46180" w:rsidRPr="00E46180">
        <w:rPr>
          <w:szCs w:val="26"/>
        </w:rPr>
        <w:t>The</w:t>
      </w:r>
      <w:r w:rsidR="00E46180">
        <w:rPr>
          <w:szCs w:val="26"/>
        </w:rPr>
        <w:t xml:space="preserve"> Pipeline Infrastructure Replacement</w:t>
      </w:r>
      <w:r w:rsidR="00E46180" w:rsidRPr="00E46180">
        <w:rPr>
          <w:szCs w:val="26"/>
        </w:rPr>
        <w:t xml:space="preserve"> </w:t>
      </w:r>
      <w:r w:rsidR="00E46180">
        <w:rPr>
          <w:szCs w:val="26"/>
        </w:rPr>
        <w:t>(</w:t>
      </w:r>
      <w:r w:rsidR="00E46180" w:rsidRPr="00E46180">
        <w:rPr>
          <w:szCs w:val="26"/>
        </w:rPr>
        <w:t>PIR</w:t>
      </w:r>
      <w:r w:rsidR="00E46180">
        <w:rPr>
          <w:szCs w:val="26"/>
        </w:rPr>
        <w:t>)</w:t>
      </w:r>
      <w:r w:rsidR="00E46180" w:rsidRPr="00E46180">
        <w:rPr>
          <w:szCs w:val="26"/>
        </w:rPr>
        <w:t xml:space="preserve"> Program was last authorized by the</w:t>
      </w:r>
      <w:r w:rsidR="00E46180">
        <w:rPr>
          <w:szCs w:val="26"/>
        </w:rPr>
        <w:t xml:space="preserve"> Public Utilities Commission of Ohio</w:t>
      </w:r>
      <w:r w:rsidR="00E46180" w:rsidRPr="00E46180">
        <w:rPr>
          <w:szCs w:val="26"/>
        </w:rPr>
        <w:t xml:space="preserve"> </w:t>
      </w:r>
      <w:r w:rsidR="00E46180">
        <w:rPr>
          <w:szCs w:val="26"/>
        </w:rPr>
        <w:t>(</w:t>
      </w:r>
      <w:r w:rsidR="00E46180" w:rsidRPr="00E46180">
        <w:rPr>
          <w:szCs w:val="26"/>
        </w:rPr>
        <w:t>Commis</w:t>
      </w:r>
      <w:r w:rsidR="00F04B1B">
        <w:rPr>
          <w:szCs w:val="26"/>
        </w:rPr>
        <w:softHyphen/>
      </w:r>
      <w:r w:rsidR="00E46180">
        <w:rPr>
          <w:szCs w:val="26"/>
        </w:rPr>
        <w:t xml:space="preserve">sion) in Case No. 11-2401-GA-ALT </w:t>
      </w:r>
      <w:r w:rsidR="00E46180" w:rsidRPr="00E46180">
        <w:rPr>
          <w:szCs w:val="26"/>
        </w:rPr>
        <w:t>for an additional five-year term.</w:t>
      </w:r>
      <w:r w:rsidR="008A5799">
        <w:rPr>
          <w:rStyle w:val="FootnoteReference"/>
          <w:szCs w:val="26"/>
        </w:rPr>
        <w:footnoteReference w:id="1"/>
      </w:r>
      <w:r w:rsidR="00E46180" w:rsidRPr="00E46180">
        <w:rPr>
          <w:szCs w:val="26"/>
        </w:rPr>
        <w:t xml:space="preserve"> </w:t>
      </w:r>
      <w:r w:rsidR="00E46180">
        <w:rPr>
          <w:szCs w:val="26"/>
        </w:rPr>
        <w:t xml:space="preserve"> </w:t>
      </w:r>
      <w:r w:rsidR="00E46180" w:rsidRPr="00E46180">
        <w:rPr>
          <w:szCs w:val="26"/>
        </w:rPr>
        <w:t>In this application, DEO proposed continuing the PIR</w:t>
      </w:r>
      <w:r w:rsidR="00E46180">
        <w:rPr>
          <w:szCs w:val="26"/>
        </w:rPr>
        <w:t xml:space="preserve"> </w:t>
      </w:r>
      <w:r w:rsidR="00E46180" w:rsidRPr="00E46180">
        <w:rPr>
          <w:szCs w:val="26"/>
        </w:rPr>
        <w:t>Program under the existing terms and conditions for all investments made through the</w:t>
      </w:r>
      <w:r w:rsidR="00E46180">
        <w:rPr>
          <w:szCs w:val="26"/>
        </w:rPr>
        <w:t xml:space="preserve"> </w:t>
      </w:r>
      <w:r w:rsidR="00E46180" w:rsidRPr="00E46180">
        <w:rPr>
          <w:szCs w:val="26"/>
        </w:rPr>
        <w:t>end of 2016, including the annual rate increase cap of $1.40 per customer per month for</w:t>
      </w:r>
      <w:r w:rsidR="00E46180">
        <w:rPr>
          <w:szCs w:val="26"/>
        </w:rPr>
        <w:t xml:space="preserve"> </w:t>
      </w:r>
      <w:r w:rsidR="00E46180" w:rsidRPr="00E46180">
        <w:rPr>
          <w:szCs w:val="26"/>
        </w:rPr>
        <w:t xml:space="preserve">the GSS/ECTS customer </w:t>
      </w:r>
      <w:r w:rsidR="00E46180" w:rsidRPr="00E46180">
        <w:rPr>
          <w:szCs w:val="26"/>
        </w:rPr>
        <w:lastRenderedPageBreak/>
        <w:t>class.</w:t>
      </w:r>
      <w:r w:rsidR="008A5799">
        <w:rPr>
          <w:rStyle w:val="FootnoteReference"/>
          <w:szCs w:val="26"/>
        </w:rPr>
        <w:footnoteReference w:id="2"/>
      </w:r>
      <w:r w:rsidR="00E46180" w:rsidRPr="00E46180">
        <w:rPr>
          <w:szCs w:val="26"/>
        </w:rPr>
        <w:t xml:space="preserve"> </w:t>
      </w:r>
      <w:r w:rsidR="00E46180">
        <w:rPr>
          <w:szCs w:val="26"/>
        </w:rPr>
        <w:t xml:space="preserve"> </w:t>
      </w:r>
      <w:r w:rsidR="00E46180" w:rsidRPr="00E46180">
        <w:rPr>
          <w:szCs w:val="26"/>
        </w:rPr>
        <w:t>DEO proposed that a new five-year authorization period</w:t>
      </w:r>
      <w:r w:rsidR="00E46180">
        <w:rPr>
          <w:szCs w:val="26"/>
        </w:rPr>
        <w:t xml:space="preserve"> </w:t>
      </w:r>
      <w:r w:rsidR="00E46180" w:rsidRPr="00E46180">
        <w:rPr>
          <w:szCs w:val="26"/>
        </w:rPr>
        <w:t>should begin with 2017 investment.</w:t>
      </w:r>
      <w:r w:rsidR="008A5799">
        <w:rPr>
          <w:rStyle w:val="FootnoteReference"/>
          <w:szCs w:val="26"/>
        </w:rPr>
        <w:footnoteReference w:id="3"/>
      </w:r>
      <w:r w:rsidR="00E46180" w:rsidRPr="00E46180">
        <w:rPr>
          <w:szCs w:val="26"/>
        </w:rPr>
        <w:t xml:space="preserve"> </w:t>
      </w:r>
      <w:r w:rsidR="00655FB7">
        <w:rPr>
          <w:szCs w:val="26"/>
        </w:rPr>
        <w:t xml:space="preserve"> </w:t>
      </w:r>
      <w:r w:rsidR="00E46180" w:rsidRPr="00E46180">
        <w:rPr>
          <w:szCs w:val="26"/>
        </w:rPr>
        <w:t>The only change proposed was to increase the annual</w:t>
      </w:r>
      <w:r w:rsidR="00E46180">
        <w:rPr>
          <w:szCs w:val="26"/>
        </w:rPr>
        <w:t xml:space="preserve"> </w:t>
      </w:r>
      <w:r w:rsidR="00E46180" w:rsidRPr="00E46180">
        <w:rPr>
          <w:szCs w:val="26"/>
        </w:rPr>
        <w:t>amount of capital investment under the PIR Program and to adjust the annual rate</w:t>
      </w:r>
      <w:r w:rsidR="00E46180">
        <w:rPr>
          <w:szCs w:val="26"/>
        </w:rPr>
        <w:t xml:space="preserve"> </w:t>
      </w:r>
      <w:r w:rsidR="00E46180" w:rsidRPr="00E46180">
        <w:rPr>
          <w:szCs w:val="26"/>
        </w:rPr>
        <w:t>increase caps accordingly.</w:t>
      </w:r>
      <w:r w:rsidR="008A5799">
        <w:rPr>
          <w:rStyle w:val="FootnoteReference"/>
          <w:szCs w:val="26"/>
        </w:rPr>
        <w:footnoteReference w:id="4"/>
      </w:r>
      <w:r w:rsidRPr="00E85515">
        <w:rPr>
          <w:szCs w:val="26"/>
        </w:rPr>
        <w:t xml:space="preserve"> </w:t>
      </w:r>
      <w:r w:rsidR="00F976B3" w:rsidRPr="00E85515">
        <w:rPr>
          <w:szCs w:val="26"/>
        </w:rPr>
        <w:t xml:space="preserve"> </w:t>
      </w:r>
    </w:p>
    <w:p w:rsidR="00E46180" w:rsidRDefault="00E46180" w:rsidP="00E46180">
      <w:pPr>
        <w:pStyle w:val="BodyTextFirstIndent"/>
        <w:rPr>
          <w:szCs w:val="26"/>
        </w:rPr>
      </w:pPr>
      <w:r w:rsidRPr="00E46180">
        <w:rPr>
          <w:szCs w:val="26"/>
        </w:rPr>
        <w:t>The Staff reviewed the applicat</w:t>
      </w:r>
      <w:r>
        <w:rPr>
          <w:szCs w:val="26"/>
        </w:rPr>
        <w:t>ion, conducted an extensive and</w:t>
      </w:r>
      <w:r w:rsidRPr="00E46180">
        <w:rPr>
          <w:szCs w:val="26"/>
        </w:rPr>
        <w:t xml:space="preserve"> thorough review of DEO’s administration of the PIR Program, and filed a Staff Report on</w:t>
      </w:r>
      <w:r>
        <w:rPr>
          <w:szCs w:val="26"/>
        </w:rPr>
        <w:t xml:space="preserve"> </w:t>
      </w:r>
      <w:r w:rsidRPr="00E46180">
        <w:rPr>
          <w:szCs w:val="26"/>
        </w:rPr>
        <w:t>August 26, 2015.</w:t>
      </w:r>
      <w:r w:rsidR="008A5799">
        <w:rPr>
          <w:rStyle w:val="FootnoteReference"/>
          <w:szCs w:val="26"/>
        </w:rPr>
        <w:footnoteReference w:id="5"/>
      </w:r>
      <w:r w:rsidRPr="00E46180">
        <w:rPr>
          <w:szCs w:val="26"/>
        </w:rPr>
        <w:t xml:space="preserve"> </w:t>
      </w:r>
      <w:r>
        <w:rPr>
          <w:szCs w:val="26"/>
        </w:rPr>
        <w:t xml:space="preserve"> </w:t>
      </w:r>
      <w:r w:rsidRPr="00E46180">
        <w:rPr>
          <w:szCs w:val="26"/>
        </w:rPr>
        <w:t>Staff recom</w:t>
      </w:r>
      <w:r w:rsidRPr="00E46180">
        <w:rPr>
          <w:szCs w:val="26"/>
        </w:rPr>
        <w:lastRenderedPageBreak/>
        <w:t>mended approving DEO’s application with one specified</w:t>
      </w:r>
      <w:r>
        <w:rPr>
          <w:szCs w:val="26"/>
        </w:rPr>
        <w:t xml:space="preserve"> </w:t>
      </w:r>
      <w:r w:rsidRPr="00E46180">
        <w:rPr>
          <w:szCs w:val="26"/>
        </w:rPr>
        <w:t>modification</w:t>
      </w:r>
      <w:r>
        <w:rPr>
          <w:szCs w:val="26"/>
        </w:rPr>
        <w:t xml:space="preserve"> – a flow through to </w:t>
      </w:r>
      <w:r w:rsidRPr="00E46180">
        <w:rPr>
          <w:szCs w:val="26"/>
        </w:rPr>
        <w:t>customers all operation and maintenance (O&amp;M) expen</w:t>
      </w:r>
      <w:r>
        <w:rPr>
          <w:szCs w:val="26"/>
        </w:rPr>
        <w:t xml:space="preserve">se savings realized in the four </w:t>
      </w:r>
      <w:r w:rsidRPr="00E46180">
        <w:rPr>
          <w:szCs w:val="26"/>
        </w:rPr>
        <w:t>cost categories established by the Commission in a prio</w:t>
      </w:r>
      <w:r>
        <w:rPr>
          <w:szCs w:val="26"/>
        </w:rPr>
        <w:t>r PIR case, Case No. 09-458-GA-</w:t>
      </w:r>
      <w:r w:rsidRPr="00E46180">
        <w:rPr>
          <w:szCs w:val="26"/>
        </w:rPr>
        <w:t>ALT, effective with the start of the reauthorization period as of January 1, 2017.</w:t>
      </w:r>
      <w:r w:rsidR="008A5799">
        <w:rPr>
          <w:rStyle w:val="FootnoteReference"/>
          <w:szCs w:val="26"/>
        </w:rPr>
        <w:footnoteReference w:id="6"/>
      </w:r>
      <w:r w:rsidR="00FE275B">
        <w:rPr>
          <w:szCs w:val="26"/>
        </w:rPr>
        <w:t xml:space="preserve"> </w:t>
      </w:r>
      <w:r w:rsidRPr="00E46180">
        <w:rPr>
          <w:szCs w:val="26"/>
        </w:rPr>
        <w:t xml:space="preserve"> The Stipulation effectively adopts the conclusions reached in the Staff</w:t>
      </w:r>
      <w:r>
        <w:rPr>
          <w:szCs w:val="26"/>
        </w:rPr>
        <w:t xml:space="preserve"> </w:t>
      </w:r>
      <w:r w:rsidRPr="00E46180">
        <w:rPr>
          <w:szCs w:val="26"/>
        </w:rPr>
        <w:t>Report.</w:t>
      </w:r>
      <w:r w:rsidR="001A7EB0">
        <w:rPr>
          <w:rStyle w:val="FootnoteReference"/>
          <w:szCs w:val="26"/>
        </w:rPr>
        <w:footnoteReference w:id="7"/>
      </w:r>
      <w:r w:rsidR="00356FB9">
        <w:rPr>
          <w:szCs w:val="26"/>
        </w:rPr>
        <w:t xml:space="preserve">  The Ohio Consumers’ Counsel (OCC) </w:t>
      </w:r>
      <w:r w:rsidR="00356FB9">
        <w:t>agrees that the O&amp;M sharing mechanism be discontinued and that all O&amp;M cost savings should be passed along to customer</w:t>
      </w:r>
      <w:r w:rsidR="008A5799">
        <w:t>s via an adjustment to the PIR</w:t>
      </w:r>
      <w:r w:rsidR="00356FB9">
        <w:t xml:space="preserve"> revenue requirement.</w:t>
      </w:r>
      <w:r w:rsidR="001A7EB0">
        <w:rPr>
          <w:rStyle w:val="FootnoteReference"/>
        </w:rPr>
        <w:footnoteReference w:id="8"/>
      </w:r>
      <w:r w:rsidR="00356FB9">
        <w:t xml:space="preserve"> </w:t>
      </w:r>
      <w:r w:rsidRPr="00E46180">
        <w:rPr>
          <w:szCs w:val="26"/>
        </w:rPr>
        <w:t xml:space="preserve"> </w:t>
      </w:r>
      <w:r>
        <w:rPr>
          <w:szCs w:val="26"/>
        </w:rPr>
        <w:t xml:space="preserve"> </w:t>
      </w:r>
    </w:p>
    <w:p w:rsidR="002436AF" w:rsidRPr="00E85515" w:rsidRDefault="00E46180" w:rsidP="00E46180">
      <w:pPr>
        <w:pStyle w:val="BodyTextFirstIndent"/>
        <w:rPr>
          <w:szCs w:val="26"/>
        </w:rPr>
      </w:pPr>
      <w:r w:rsidRPr="00E85515">
        <w:rPr>
          <w:szCs w:val="26"/>
        </w:rPr>
        <w:lastRenderedPageBreak/>
        <w:t>The</w:t>
      </w:r>
      <w:r w:rsidR="00FE275B">
        <w:rPr>
          <w:szCs w:val="26"/>
        </w:rPr>
        <w:t xml:space="preserve"> Stipulation</w:t>
      </w:r>
      <w:r w:rsidRPr="00E85515">
        <w:rPr>
          <w:szCs w:val="26"/>
        </w:rPr>
        <w:t xml:space="preserve"> represents compromises by</w:t>
      </w:r>
      <w:r>
        <w:rPr>
          <w:szCs w:val="26"/>
        </w:rPr>
        <w:t xml:space="preserve"> DEO</w:t>
      </w:r>
      <w:r w:rsidRPr="00E85515">
        <w:rPr>
          <w:szCs w:val="26"/>
        </w:rPr>
        <w:t xml:space="preserve"> and the</w:t>
      </w:r>
      <w:r>
        <w:rPr>
          <w:szCs w:val="26"/>
        </w:rPr>
        <w:t xml:space="preserve"> Staff</w:t>
      </w:r>
      <w:r w:rsidRPr="00E85515">
        <w:rPr>
          <w:szCs w:val="26"/>
        </w:rPr>
        <w:t xml:space="preserve"> and provides for a balanced outcome</w:t>
      </w:r>
      <w:r>
        <w:rPr>
          <w:szCs w:val="26"/>
        </w:rPr>
        <w:t xml:space="preserve"> for DEO customers.  </w:t>
      </w:r>
      <w:r w:rsidRPr="00E46180">
        <w:rPr>
          <w:szCs w:val="26"/>
        </w:rPr>
        <w:t>The signa</w:t>
      </w:r>
      <w:r>
        <w:rPr>
          <w:szCs w:val="26"/>
        </w:rPr>
        <w:t xml:space="preserve">tory parties recommend that the </w:t>
      </w:r>
      <w:r w:rsidRPr="00E46180">
        <w:rPr>
          <w:szCs w:val="26"/>
        </w:rPr>
        <w:t>Com</w:t>
      </w:r>
      <w:r w:rsidR="00F04B1B">
        <w:rPr>
          <w:szCs w:val="26"/>
        </w:rPr>
        <w:softHyphen/>
      </w:r>
      <w:r w:rsidRPr="00E46180">
        <w:rPr>
          <w:szCs w:val="26"/>
        </w:rPr>
        <w:t>mission approve</w:t>
      </w:r>
      <w:r>
        <w:rPr>
          <w:szCs w:val="26"/>
        </w:rPr>
        <w:t xml:space="preserve"> the Stipulation</w:t>
      </w:r>
      <w:r w:rsidRPr="00E46180">
        <w:rPr>
          <w:szCs w:val="26"/>
        </w:rPr>
        <w:t>.</w:t>
      </w:r>
    </w:p>
    <w:p w:rsidR="00302797" w:rsidRPr="00493D5F" w:rsidRDefault="00302797" w:rsidP="008B28B6">
      <w:pPr>
        <w:pStyle w:val="Heading1"/>
      </w:pPr>
      <w:bookmarkStart w:id="2" w:name="_Toc445811295"/>
      <w:r w:rsidRPr="00493D5F">
        <w:t>DISCUSSION</w:t>
      </w:r>
      <w:bookmarkEnd w:id="2"/>
    </w:p>
    <w:p w:rsidR="006303A9" w:rsidRPr="00E85515" w:rsidRDefault="006303A9" w:rsidP="00493D5F">
      <w:pPr>
        <w:pStyle w:val="Heading2"/>
        <w:numPr>
          <w:ilvl w:val="0"/>
          <w:numId w:val="0"/>
        </w:numPr>
      </w:pPr>
      <w:bookmarkStart w:id="3" w:name="_Toc445811296"/>
      <w:r w:rsidRPr="00E85515">
        <w:t>I.</w:t>
      </w:r>
      <w:r w:rsidRPr="00E85515">
        <w:tab/>
      </w:r>
      <w:r w:rsidR="004F554E">
        <w:t>The Stipulation meets t</w:t>
      </w:r>
      <w:r w:rsidRPr="00E85515">
        <w:t>he Three-Part Test</w:t>
      </w:r>
      <w:r w:rsidR="004F554E">
        <w:t xml:space="preserve"> for reasonableness.</w:t>
      </w:r>
      <w:bookmarkEnd w:id="3"/>
    </w:p>
    <w:p w:rsidR="004A52E1" w:rsidRPr="00E85515" w:rsidRDefault="004A52E1" w:rsidP="004A52E1">
      <w:pPr>
        <w:autoSpaceDE w:val="0"/>
        <w:autoSpaceDN w:val="0"/>
        <w:adjustRightInd w:val="0"/>
        <w:spacing w:line="480" w:lineRule="auto"/>
        <w:ind w:firstLine="720"/>
        <w:rPr>
          <w:sz w:val="26"/>
          <w:szCs w:val="26"/>
        </w:rPr>
      </w:pPr>
      <w:r w:rsidRPr="00E85515">
        <w:rPr>
          <w:sz w:val="26"/>
          <w:szCs w:val="26"/>
        </w:rPr>
        <w:t xml:space="preserve">Rule 4901-1-30, O.A.C, authorizes parties to Commission proceedings to enter into stipulations. Although not binding upon the </w:t>
      </w:r>
      <w:r w:rsidR="005D109A">
        <w:rPr>
          <w:sz w:val="26"/>
          <w:szCs w:val="26"/>
        </w:rPr>
        <w:t>Commission, the terms of such</w:t>
      </w:r>
      <w:r w:rsidRPr="00E85515">
        <w:rPr>
          <w:sz w:val="26"/>
          <w:szCs w:val="26"/>
        </w:rPr>
        <w:t xml:space="preserve"> agree</w:t>
      </w:r>
      <w:r w:rsidR="00F04B1B">
        <w:rPr>
          <w:sz w:val="26"/>
          <w:szCs w:val="26"/>
        </w:rPr>
        <w:softHyphen/>
      </w:r>
      <w:r w:rsidRPr="00E85515">
        <w:rPr>
          <w:sz w:val="26"/>
          <w:szCs w:val="26"/>
        </w:rPr>
        <w:t>ment</w:t>
      </w:r>
      <w:r w:rsidR="00847959" w:rsidRPr="00E85515">
        <w:rPr>
          <w:sz w:val="26"/>
          <w:szCs w:val="26"/>
        </w:rPr>
        <w:t>s</w:t>
      </w:r>
      <w:r w:rsidRPr="00E85515">
        <w:rPr>
          <w:sz w:val="26"/>
          <w:szCs w:val="26"/>
        </w:rPr>
        <w:t xml:space="preserve"> are</w:t>
      </w:r>
      <w:r w:rsidR="00847959" w:rsidRPr="00E85515">
        <w:rPr>
          <w:sz w:val="26"/>
          <w:szCs w:val="26"/>
        </w:rPr>
        <w:t xml:space="preserve"> to be </w:t>
      </w:r>
      <w:r w:rsidRPr="00E85515">
        <w:rPr>
          <w:sz w:val="26"/>
          <w:szCs w:val="26"/>
        </w:rPr>
        <w:t>accorded substantial weight.</w:t>
      </w:r>
      <w:r w:rsidR="00C51C56" w:rsidRPr="00E85515">
        <w:rPr>
          <w:rStyle w:val="FootnoteReference"/>
          <w:sz w:val="26"/>
          <w:szCs w:val="26"/>
        </w:rPr>
        <w:footnoteReference w:id="9"/>
      </w:r>
      <w:r w:rsidRPr="00E85515">
        <w:rPr>
          <w:sz w:val="26"/>
          <w:szCs w:val="26"/>
        </w:rPr>
        <w:t xml:space="preserve"> </w:t>
      </w:r>
      <w:r w:rsidR="00F976B3" w:rsidRPr="00E85515">
        <w:rPr>
          <w:sz w:val="26"/>
          <w:szCs w:val="26"/>
        </w:rPr>
        <w:t xml:space="preserve"> </w:t>
      </w:r>
      <w:r w:rsidR="00847959" w:rsidRPr="00E85515">
        <w:rPr>
          <w:sz w:val="26"/>
          <w:szCs w:val="26"/>
        </w:rPr>
        <w:t xml:space="preserve">The ultimate issue for the Commission’s consideration is whether the agreement, which embodies considerable time and effort by the signatory parties, is reasonable and should be adopted. </w:t>
      </w:r>
      <w:r w:rsidR="00F976B3" w:rsidRPr="00E85515">
        <w:rPr>
          <w:sz w:val="26"/>
          <w:szCs w:val="26"/>
        </w:rPr>
        <w:t xml:space="preserve"> </w:t>
      </w:r>
      <w:r w:rsidRPr="00E85515">
        <w:rPr>
          <w:sz w:val="26"/>
          <w:szCs w:val="26"/>
        </w:rPr>
        <w:t>The standard of review for considering the reasonableness of a stipulation has been discussed in a number of prior Commission proceedings.</w:t>
      </w:r>
      <w:r w:rsidR="00C51C56" w:rsidRPr="00E85515">
        <w:rPr>
          <w:rStyle w:val="FootnoteReference"/>
          <w:sz w:val="26"/>
          <w:szCs w:val="26"/>
        </w:rPr>
        <w:footnoteReference w:id="10"/>
      </w:r>
      <w:r w:rsidRPr="00E85515">
        <w:rPr>
          <w:sz w:val="26"/>
          <w:szCs w:val="26"/>
        </w:rPr>
        <w:t xml:space="preserve"> </w:t>
      </w:r>
      <w:r w:rsidR="00F976B3" w:rsidRPr="00E85515">
        <w:rPr>
          <w:sz w:val="26"/>
          <w:szCs w:val="26"/>
        </w:rPr>
        <w:t xml:space="preserve"> </w:t>
      </w:r>
      <w:r w:rsidRPr="00E85515">
        <w:rPr>
          <w:sz w:val="26"/>
          <w:szCs w:val="26"/>
        </w:rPr>
        <w:t>In considering the reasonableness of a stipulation, the Com</w:t>
      </w:r>
      <w:r w:rsidR="00F04B1B">
        <w:rPr>
          <w:sz w:val="26"/>
          <w:szCs w:val="26"/>
        </w:rPr>
        <w:softHyphen/>
      </w:r>
      <w:r w:rsidRPr="00E85515">
        <w:rPr>
          <w:sz w:val="26"/>
          <w:szCs w:val="26"/>
        </w:rPr>
        <w:t>mission has used the following criteria;</w:t>
      </w:r>
    </w:p>
    <w:p w:rsidR="004A52E1" w:rsidRPr="00E85515" w:rsidRDefault="004A52E1" w:rsidP="00655FB7">
      <w:pPr>
        <w:pStyle w:val="ListParagraph"/>
        <w:numPr>
          <w:ilvl w:val="0"/>
          <w:numId w:val="2"/>
        </w:numPr>
        <w:autoSpaceDE w:val="0"/>
        <w:autoSpaceDN w:val="0"/>
        <w:adjustRightInd w:val="0"/>
        <w:spacing w:after="0" w:line="240" w:lineRule="auto"/>
        <w:ind w:left="1440" w:hanging="720"/>
        <w:rPr>
          <w:rFonts w:ascii="Times New Roman" w:hAnsi="Times New Roman" w:cs="Times New Roman"/>
          <w:sz w:val="26"/>
          <w:szCs w:val="26"/>
        </w:rPr>
      </w:pPr>
      <w:r w:rsidRPr="00E85515">
        <w:rPr>
          <w:rFonts w:ascii="Times New Roman" w:hAnsi="Times New Roman" w:cs="Times New Roman"/>
          <w:sz w:val="26"/>
          <w:szCs w:val="26"/>
        </w:rPr>
        <w:lastRenderedPageBreak/>
        <w:t>Is the settlement a product of serious bargaining among capable, knowledge</w:t>
      </w:r>
      <w:r w:rsidR="00F04B1B">
        <w:rPr>
          <w:rFonts w:ascii="Times New Roman" w:hAnsi="Times New Roman" w:cs="Times New Roman"/>
          <w:sz w:val="26"/>
          <w:szCs w:val="26"/>
        </w:rPr>
        <w:softHyphen/>
      </w:r>
      <w:r w:rsidRPr="00E85515">
        <w:rPr>
          <w:rFonts w:ascii="Times New Roman" w:hAnsi="Times New Roman" w:cs="Times New Roman"/>
          <w:sz w:val="26"/>
          <w:szCs w:val="26"/>
        </w:rPr>
        <w:t>able parties?</w:t>
      </w:r>
    </w:p>
    <w:p w:rsidR="000F2150" w:rsidRPr="00E85515" w:rsidRDefault="000F2150" w:rsidP="00655FB7">
      <w:pPr>
        <w:pStyle w:val="ListParagraph"/>
        <w:autoSpaceDE w:val="0"/>
        <w:autoSpaceDN w:val="0"/>
        <w:adjustRightInd w:val="0"/>
        <w:spacing w:after="0" w:line="240" w:lineRule="auto"/>
        <w:ind w:left="1440" w:hanging="720"/>
        <w:rPr>
          <w:rFonts w:ascii="Times New Roman" w:hAnsi="Times New Roman" w:cs="Times New Roman"/>
          <w:sz w:val="26"/>
          <w:szCs w:val="26"/>
        </w:rPr>
      </w:pPr>
    </w:p>
    <w:p w:rsidR="004A52E1" w:rsidRDefault="004A52E1" w:rsidP="00655FB7">
      <w:pPr>
        <w:pStyle w:val="ListParagraph"/>
        <w:numPr>
          <w:ilvl w:val="0"/>
          <w:numId w:val="2"/>
        </w:numPr>
        <w:autoSpaceDE w:val="0"/>
        <w:autoSpaceDN w:val="0"/>
        <w:adjustRightInd w:val="0"/>
        <w:spacing w:after="0" w:line="240" w:lineRule="auto"/>
        <w:ind w:left="1440" w:hanging="720"/>
        <w:rPr>
          <w:rFonts w:ascii="Times New Roman" w:hAnsi="Times New Roman" w:cs="Times New Roman"/>
          <w:sz w:val="26"/>
          <w:szCs w:val="26"/>
        </w:rPr>
      </w:pPr>
      <w:r w:rsidRPr="00E85515">
        <w:rPr>
          <w:rFonts w:ascii="Times New Roman" w:hAnsi="Times New Roman" w:cs="Times New Roman"/>
          <w:sz w:val="26"/>
          <w:szCs w:val="26"/>
        </w:rPr>
        <w:t>Does the settlement, as a package, benefit ratepayers and the public inter</w:t>
      </w:r>
      <w:r w:rsidR="00164B6F">
        <w:rPr>
          <w:rFonts w:ascii="Times New Roman" w:hAnsi="Times New Roman" w:cs="Times New Roman"/>
          <w:sz w:val="26"/>
          <w:szCs w:val="26"/>
        </w:rPr>
        <w:softHyphen/>
      </w:r>
      <w:r w:rsidRPr="00E85515">
        <w:rPr>
          <w:rFonts w:ascii="Times New Roman" w:hAnsi="Times New Roman" w:cs="Times New Roman"/>
          <w:sz w:val="26"/>
          <w:szCs w:val="26"/>
        </w:rPr>
        <w:t>est?</w:t>
      </w:r>
    </w:p>
    <w:p w:rsidR="00655FB7" w:rsidRPr="00E85515" w:rsidRDefault="00655FB7" w:rsidP="00655FB7">
      <w:pPr>
        <w:pStyle w:val="ListParagraph"/>
        <w:numPr>
          <w:ilvl w:val="0"/>
          <w:numId w:val="2"/>
        </w:numPr>
        <w:autoSpaceDE w:val="0"/>
        <w:autoSpaceDN w:val="0"/>
        <w:adjustRightInd w:val="0"/>
        <w:spacing w:after="0" w:line="240" w:lineRule="auto"/>
        <w:ind w:left="1440" w:hanging="720"/>
        <w:rPr>
          <w:rFonts w:ascii="Times New Roman" w:hAnsi="Times New Roman" w:cs="Times New Roman"/>
          <w:sz w:val="26"/>
          <w:szCs w:val="26"/>
        </w:rPr>
      </w:pPr>
    </w:p>
    <w:p w:rsidR="004A52E1" w:rsidRPr="00E85515" w:rsidRDefault="004A52E1" w:rsidP="00655FB7">
      <w:pPr>
        <w:pStyle w:val="ListParagraph"/>
        <w:numPr>
          <w:ilvl w:val="0"/>
          <w:numId w:val="2"/>
        </w:numPr>
        <w:autoSpaceDE w:val="0"/>
        <w:autoSpaceDN w:val="0"/>
        <w:adjustRightInd w:val="0"/>
        <w:spacing w:after="0" w:line="240" w:lineRule="auto"/>
        <w:ind w:left="1440" w:hanging="720"/>
        <w:rPr>
          <w:rFonts w:ascii="Times New Roman" w:hAnsi="Times New Roman" w:cs="Times New Roman"/>
          <w:sz w:val="26"/>
          <w:szCs w:val="26"/>
        </w:rPr>
      </w:pPr>
      <w:r w:rsidRPr="00E85515">
        <w:rPr>
          <w:rFonts w:ascii="Times New Roman" w:hAnsi="Times New Roman" w:cs="Times New Roman"/>
          <w:sz w:val="26"/>
          <w:szCs w:val="26"/>
        </w:rPr>
        <w:t>Does the settlement package violate any important regulatory principle or prac</w:t>
      </w:r>
      <w:r w:rsidR="00F04B1B">
        <w:rPr>
          <w:rFonts w:ascii="Times New Roman" w:hAnsi="Times New Roman" w:cs="Times New Roman"/>
          <w:sz w:val="26"/>
          <w:szCs w:val="26"/>
        </w:rPr>
        <w:softHyphen/>
      </w:r>
      <w:r w:rsidRPr="00E85515">
        <w:rPr>
          <w:rFonts w:ascii="Times New Roman" w:hAnsi="Times New Roman" w:cs="Times New Roman"/>
          <w:sz w:val="26"/>
          <w:szCs w:val="26"/>
        </w:rPr>
        <w:t>tice?</w:t>
      </w:r>
    </w:p>
    <w:p w:rsidR="000F2150" w:rsidRPr="00E85515" w:rsidRDefault="000F2150" w:rsidP="00655FB7">
      <w:pPr>
        <w:pStyle w:val="ListParagraph"/>
        <w:autoSpaceDE w:val="0"/>
        <w:autoSpaceDN w:val="0"/>
        <w:adjustRightInd w:val="0"/>
        <w:spacing w:after="0" w:line="240" w:lineRule="auto"/>
        <w:ind w:left="1440" w:hanging="720"/>
        <w:rPr>
          <w:rFonts w:ascii="Times New Roman" w:hAnsi="Times New Roman" w:cs="Times New Roman"/>
          <w:sz w:val="26"/>
          <w:szCs w:val="26"/>
        </w:rPr>
      </w:pPr>
    </w:p>
    <w:p w:rsidR="004A52E1" w:rsidRPr="00E85515" w:rsidRDefault="004A52E1" w:rsidP="004A52E1">
      <w:pPr>
        <w:autoSpaceDE w:val="0"/>
        <w:autoSpaceDN w:val="0"/>
        <w:adjustRightInd w:val="0"/>
        <w:spacing w:line="480" w:lineRule="auto"/>
        <w:ind w:firstLine="720"/>
        <w:rPr>
          <w:bCs/>
          <w:sz w:val="26"/>
          <w:szCs w:val="26"/>
        </w:rPr>
      </w:pPr>
      <w:r w:rsidRPr="00E85515">
        <w:rPr>
          <w:sz w:val="26"/>
          <w:szCs w:val="26"/>
        </w:rPr>
        <w:t>The Ohio Supreme Court has endorsed the Commission's analysis using these cri</w:t>
      </w:r>
      <w:r w:rsidR="00F04B1B">
        <w:rPr>
          <w:sz w:val="26"/>
          <w:szCs w:val="26"/>
        </w:rPr>
        <w:softHyphen/>
      </w:r>
      <w:r w:rsidRPr="00E85515">
        <w:rPr>
          <w:sz w:val="26"/>
          <w:szCs w:val="26"/>
        </w:rPr>
        <w:t>teria to resolve cases.</w:t>
      </w:r>
      <w:r w:rsidR="00C51C56" w:rsidRPr="00E85515">
        <w:rPr>
          <w:rStyle w:val="FootnoteReference"/>
          <w:sz w:val="26"/>
          <w:szCs w:val="26"/>
        </w:rPr>
        <w:footnoteReference w:id="11"/>
      </w:r>
      <w:r w:rsidRPr="00E85515">
        <w:rPr>
          <w:sz w:val="26"/>
          <w:szCs w:val="26"/>
        </w:rPr>
        <w:t xml:space="preserve"> </w:t>
      </w:r>
      <w:r w:rsidR="00F976B3" w:rsidRPr="00E85515">
        <w:rPr>
          <w:sz w:val="26"/>
          <w:szCs w:val="26"/>
        </w:rPr>
        <w:t xml:space="preserve"> </w:t>
      </w:r>
      <w:r w:rsidR="00847959" w:rsidRPr="00E85515">
        <w:rPr>
          <w:sz w:val="26"/>
          <w:szCs w:val="26"/>
        </w:rPr>
        <w:t>When the C</w:t>
      </w:r>
      <w:r w:rsidRPr="00E85515">
        <w:rPr>
          <w:sz w:val="26"/>
          <w:szCs w:val="26"/>
        </w:rPr>
        <w:t xml:space="preserve">ommission reviews a contested stipulation, as is the case here, the Court has also been clear that the requirement of evidentiary support remains operative. </w:t>
      </w:r>
      <w:r w:rsidR="00F976B3" w:rsidRPr="00E85515">
        <w:rPr>
          <w:sz w:val="26"/>
          <w:szCs w:val="26"/>
        </w:rPr>
        <w:t xml:space="preserve"> </w:t>
      </w:r>
      <w:r w:rsidRPr="00E85515">
        <w:rPr>
          <w:sz w:val="26"/>
          <w:szCs w:val="26"/>
        </w:rPr>
        <w:t xml:space="preserve">While </w:t>
      </w:r>
      <w:r w:rsidRPr="00E85515">
        <w:rPr>
          <w:sz w:val="26"/>
          <w:szCs w:val="26"/>
        </w:rPr>
        <w:lastRenderedPageBreak/>
        <w:t xml:space="preserve">the </w:t>
      </w:r>
      <w:r w:rsidR="00847959" w:rsidRPr="00E85515">
        <w:rPr>
          <w:sz w:val="26"/>
          <w:szCs w:val="26"/>
        </w:rPr>
        <w:t>C</w:t>
      </w:r>
      <w:r w:rsidRPr="00E85515">
        <w:rPr>
          <w:sz w:val="26"/>
          <w:szCs w:val="26"/>
        </w:rPr>
        <w:t xml:space="preserve">ommission “may place substantial weight on the terms of a stipulation,” it “must determine, </w:t>
      </w:r>
      <w:r w:rsidRPr="00E85515">
        <w:rPr>
          <w:iCs/>
          <w:sz w:val="26"/>
          <w:szCs w:val="26"/>
        </w:rPr>
        <w:t>from the evidence</w:t>
      </w:r>
      <w:r w:rsidRPr="00E85515">
        <w:rPr>
          <w:sz w:val="26"/>
          <w:szCs w:val="26"/>
        </w:rPr>
        <w:t>, what is just and reasonable.”</w:t>
      </w:r>
      <w:r w:rsidR="00C51C56" w:rsidRPr="00E85515">
        <w:rPr>
          <w:rStyle w:val="FootnoteReference"/>
          <w:sz w:val="26"/>
          <w:szCs w:val="26"/>
        </w:rPr>
        <w:footnoteReference w:id="12"/>
      </w:r>
      <w:r w:rsidRPr="00E85515">
        <w:rPr>
          <w:sz w:val="26"/>
          <w:szCs w:val="26"/>
        </w:rPr>
        <w:t xml:space="preserve"> </w:t>
      </w:r>
      <w:r w:rsidR="00F976B3" w:rsidRPr="00E85515">
        <w:rPr>
          <w:sz w:val="26"/>
          <w:szCs w:val="26"/>
        </w:rPr>
        <w:t xml:space="preserve"> </w:t>
      </w:r>
      <w:r w:rsidRPr="00E85515">
        <w:rPr>
          <w:sz w:val="26"/>
          <w:szCs w:val="26"/>
        </w:rPr>
        <w:t xml:space="preserve">The agreement of </w:t>
      </w:r>
      <w:r w:rsidRPr="00E85515">
        <w:rPr>
          <w:iCs/>
          <w:sz w:val="26"/>
          <w:szCs w:val="26"/>
        </w:rPr>
        <w:t>some</w:t>
      </w:r>
      <w:r w:rsidRPr="00E85515">
        <w:rPr>
          <w:i/>
          <w:iCs/>
          <w:sz w:val="26"/>
          <w:szCs w:val="26"/>
        </w:rPr>
        <w:t xml:space="preserve"> </w:t>
      </w:r>
      <w:r w:rsidRPr="00E85515">
        <w:rPr>
          <w:sz w:val="26"/>
          <w:szCs w:val="26"/>
        </w:rPr>
        <w:t>parties is no substitute for the procedural protections reinforced by the evidentiary support requirement.</w:t>
      </w:r>
      <w:r w:rsidR="00C51C56" w:rsidRPr="00E85515">
        <w:rPr>
          <w:rStyle w:val="FootnoteReference"/>
          <w:sz w:val="26"/>
          <w:szCs w:val="26"/>
        </w:rPr>
        <w:footnoteReference w:id="13"/>
      </w:r>
      <w:r w:rsidRPr="00E85515">
        <w:rPr>
          <w:sz w:val="26"/>
          <w:szCs w:val="26"/>
        </w:rPr>
        <w:t xml:space="preserve"> </w:t>
      </w:r>
    </w:p>
    <w:p w:rsidR="00847959" w:rsidRPr="00E85515" w:rsidRDefault="006D07B9" w:rsidP="004A52E1">
      <w:pPr>
        <w:autoSpaceDE w:val="0"/>
        <w:autoSpaceDN w:val="0"/>
        <w:adjustRightInd w:val="0"/>
        <w:spacing w:line="480" w:lineRule="auto"/>
        <w:ind w:firstLine="720"/>
        <w:rPr>
          <w:bCs/>
          <w:sz w:val="26"/>
          <w:szCs w:val="26"/>
        </w:rPr>
      </w:pPr>
      <w:r>
        <w:rPr>
          <w:bCs/>
          <w:sz w:val="26"/>
          <w:szCs w:val="26"/>
        </w:rPr>
        <w:t>DEO and the Staff</w:t>
      </w:r>
      <w:r w:rsidR="003B019C">
        <w:rPr>
          <w:bCs/>
          <w:sz w:val="26"/>
          <w:szCs w:val="26"/>
        </w:rPr>
        <w:t xml:space="preserve"> respectfully submit that the S</w:t>
      </w:r>
      <w:r w:rsidR="00847959" w:rsidRPr="00E85515">
        <w:rPr>
          <w:bCs/>
          <w:sz w:val="26"/>
          <w:szCs w:val="26"/>
        </w:rPr>
        <w:t>tipulation here satisfies the rea</w:t>
      </w:r>
      <w:r w:rsidR="00F04B1B">
        <w:rPr>
          <w:bCs/>
          <w:sz w:val="26"/>
          <w:szCs w:val="26"/>
        </w:rPr>
        <w:softHyphen/>
      </w:r>
      <w:r w:rsidR="00847959" w:rsidRPr="00E85515">
        <w:rPr>
          <w:bCs/>
          <w:sz w:val="26"/>
          <w:szCs w:val="26"/>
        </w:rPr>
        <w:t xml:space="preserve">sonableness criteria, and that the evidence of record supports and justifies a finding that its terms are just and reasonable. </w:t>
      </w:r>
    </w:p>
    <w:p w:rsidR="00F7507C" w:rsidRPr="005C4ECF" w:rsidRDefault="00837315" w:rsidP="005C4ECF">
      <w:pPr>
        <w:pStyle w:val="Heading3"/>
      </w:pPr>
      <w:bookmarkStart w:id="4" w:name="_Toc445811297"/>
      <w:r w:rsidRPr="005C4ECF">
        <w:lastRenderedPageBreak/>
        <w:t>A.</w:t>
      </w:r>
      <w:r w:rsidRPr="005C4ECF">
        <w:tab/>
      </w:r>
      <w:r w:rsidR="00302797" w:rsidRPr="005C4ECF">
        <w:t>Serious Bargaining</w:t>
      </w:r>
      <w:bookmarkEnd w:id="4"/>
    </w:p>
    <w:p w:rsidR="0023549E" w:rsidRDefault="00827316" w:rsidP="0023549E">
      <w:pPr>
        <w:pStyle w:val="BodyTextFirstIndent"/>
        <w:rPr>
          <w:szCs w:val="26"/>
        </w:rPr>
      </w:pPr>
      <w:r>
        <w:rPr>
          <w:szCs w:val="26"/>
        </w:rPr>
        <w:t>The S</w:t>
      </w:r>
      <w:r w:rsidR="000F2150" w:rsidRPr="00E85515">
        <w:rPr>
          <w:szCs w:val="26"/>
        </w:rPr>
        <w:t xml:space="preserve">tipulation is the product of serious negotiations </w:t>
      </w:r>
      <w:r w:rsidR="0023549E" w:rsidRPr="00E85515">
        <w:rPr>
          <w:szCs w:val="26"/>
        </w:rPr>
        <w:t>among knowledgeable par</w:t>
      </w:r>
      <w:r w:rsidR="00F04B1B">
        <w:rPr>
          <w:szCs w:val="26"/>
        </w:rPr>
        <w:softHyphen/>
      </w:r>
      <w:r w:rsidR="0023549E" w:rsidRPr="00E85515">
        <w:rPr>
          <w:szCs w:val="26"/>
        </w:rPr>
        <w:t>ties</w:t>
      </w:r>
      <w:r w:rsidR="0023549E" w:rsidRPr="0023549E">
        <w:rPr>
          <w:szCs w:val="26"/>
        </w:rPr>
        <w:t xml:space="preserve"> and</w:t>
      </w:r>
      <w:r w:rsidR="0023549E">
        <w:rPr>
          <w:szCs w:val="26"/>
        </w:rPr>
        <w:t xml:space="preserve"> an</w:t>
      </w:r>
      <w:r w:rsidR="0023549E" w:rsidRPr="0023549E">
        <w:rPr>
          <w:szCs w:val="26"/>
        </w:rPr>
        <w:t xml:space="preserve"> open review process</w:t>
      </w:r>
      <w:r w:rsidR="0023549E">
        <w:rPr>
          <w:szCs w:val="26"/>
        </w:rPr>
        <w:t xml:space="preserve">, in which all </w:t>
      </w:r>
      <w:r w:rsidR="0023549E" w:rsidRPr="0023549E">
        <w:rPr>
          <w:szCs w:val="26"/>
        </w:rPr>
        <w:t>parties were represented by able, experi</w:t>
      </w:r>
      <w:r w:rsidR="00F04B1B">
        <w:rPr>
          <w:szCs w:val="26"/>
        </w:rPr>
        <w:softHyphen/>
      </w:r>
      <w:r w:rsidR="0023549E" w:rsidRPr="0023549E">
        <w:rPr>
          <w:szCs w:val="26"/>
        </w:rPr>
        <w:t>enced counsel and had access to technical experts.</w:t>
      </w:r>
      <w:r w:rsidR="00356FB9">
        <w:rPr>
          <w:rStyle w:val="FootnoteReference"/>
          <w:szCs w:val="26"/>
        </w:rPr>
        <w:footnoteReference w:id="14"/>
      </w:r>
      <w:r w:rsidR="0023549E">
        <w:rPr>
          <w:szCs w:val="26"/>
        </w:rPr>
        <w:t xml:space="preserve">  </w:t>
      </w:r>
      <w:r w:rsidR="0023549E" w:rsidRPr="00E85515">
        <w:rPr>
          <w:szCs w:val="26"/>
        </w:rPr>
        <w:t>The meeting process that led to the Stipulation was open</w:t>
      </w:r>
      <w:r w:rsidR="0023549E">
        <w:rPr>
          <w:szCs w:val="26"/>
        </w:rPr>
        <w:t xml:space="preserve"> and available to all parties.  </w:t>
      </w:r>
      <w:r w:rsidR="0023549E" w:rsidRPr="0023549E">
        <w:rPr>
          <w:szCs w:val="26"/>
        </w:rPr>
        <w:t>No party was excluded from negotia</w:t>
      </w:r>
      <w:r w:rsidR="00F04B1B">
        <w:rPr>
          <w:szCs w:val="26"/>
        </w:rPr>
        <w:softHyphen/>
      </w:r>
      <w:r w:rsidR="0023549E" w:rsidRPr="0023549E">
        <w:rPr>
          <w:szCs w:val="26"/>
        </w:rPr>
        <w:t>tions and all parties had opportunity to review</w:t>
      </w:r>
      <w:r w:rsidR="0023549E">
        <w:rPr>
          <w:szCs w:val="26"/>
        </w:rPr>
        <w:t xml:space="preserve"> </w:t>
      </w:r>
      <w:r w:rsidR="0023549E" w:rsidRPr="0023549E">
        <w:rPr>
          <w:szCs w:val="26"/>
        </w:rPr>
        <w:t>settlement proposals and participate in dis</w:t>
      </w:r>
      <w:r w:rsidR="00F04B1B">
        <w:rPr>
          <w:szCs w:val="26"/>
        </w:rPr>
        <w:softHyphen/>
      </w:r>
      <w:r w:rsidR="0023549E" w:rsidRPr="0023549E">
        <w:rPr>
          <w:szCs w:val="26"/>
        </w:rPr>
        <w:t xml:space="preserve">cussions. </w:t>
      </w:r>
      <w:r w:rsidR="00356FB9">
        <w:rPr>
          <w:szCs w:val="26"/>
        </w:rPr>
        <w:t xml:space="preserve"> </w:t>
      </w:r>
      <w:r w:rsidR="0023549E" w:rsidRPr="00E85515">
        <w:rPr>
          <w:szCs w:val="26"/>
        </w:rPr>
        <w:t xml:space="preserve">The parties involved in these negotiations were capable and knowledgeable about the issues raised in this case. </w:t>
      </w:r>
      <w:r w:rsidR="0023549E">
        <w:rPr>
          <w:szCs w:val="26"/>
        </w:rPr>
        <w:t xml:space="preserve"> </w:t>
      </w:r>
      <w:r w:rsidR="0023549E" w:rsidRPr="0023549E">
        <w:rPr>
          <w:szCs w:val="26"/>
        </w:rPr>
        <w:t>The Stipulation is the outcome of a</w:t>
      </w:r>
      <w:r w:rsidR="0023549E">
        <w:rPr>
          <w:szCs w:val="26"/>
        </w:rPr>
        <w:t xml:space="preserve"> </w:t>
      </w:r>
      <w:r w:rsidR="0023549E" w:rsidRPr="0023549E">
        <w:rPr>
          <w:szCs w:val="26"/>
        </w:rPr>
        <w:t xml:space="preserve">lengthy process of investigation, discovery, discussion, and negotiation. </w:t>
      </w:r>
      <w:r w:rsidR="0023549E">
        <w:rPr>
          <w:szCs w:val="26"/>
        </w:rPr>
        <w:t xml:space="preserve"> In </w:t>
      </w:r>
      <w:r w:rsidR="0023549E">
        <w:rPr>
          <w:szCs w:val="26"/>
        </w:rPr>
        <w:lastRenderedPageBreak/>
        <w:t>sum</w:t>
      </w:r>
      <w:r w:rsidR="0023549E" w:rsidRPr="0023549E">
        <w:rPr>
          <w:szCs w:val="26"/>
        </w:rPr>
        <w:t>,</w:t>
      </w:r>
      <w:r w:rsidR="0023549E">
        <w:rPr>
          <w:szCs w:val="26"/>
        </w:rPr>
        <w:t xml:space="preserve"> </w:t>
      </w:r>
      <w:r w:rsidR="0023549E" w:rsidRPr="0023549E">
        <w:rPr>
          <w:szCs w:val="26"/>
        </w:rPr>
        <w:t>the Stipulation repre</w:t>
      </w:r>
      <w:r w:rsidR="00F04B1B">
        <w:rPr>
          <w:szCs w:val="26"/>
        </w:rPr>
        <w:softHyphen/>
      </w:r>
      <w:r w:rsidR="0023549E" w:rsidRPr="0023549E">
        <w:rPr>
          <w:szCs w:val="26"/>
        </w:rPr>
        <w:t>sen</w:t>
      </w:r>
      <w:r w:rsidR="0023549E">
        <w:rPr>
          <w:szCs w:val="26"/>
        </w:rPr>
        <w:t>ts a comprehensive, reasonable</w:t>
      </w:r>
      <w:r w:rsidR="0023549E" w:rsidRPr="0023549E">
        <w:rPr>
          <w:szCs w:val="26"/>
        </w:rPr>
        <w:t xml:space="preserve"> r</w:t>
      </w:r>
      <w:r w:rsidR="0023549E">
        <w:rPr>
          <w:szCs w:val="26"/>
        </w:rPr>
        <w:t xml:space="preserve">esolution of the issues in this </w:t>
      </w:r>
      <w:r w:rsidR="0023549E" w:rsidRPr="0023549E">
        <w:rPr>
          <w:szCs w:val="26"/>
        </w:rPr>
        <w:t>case by informed parties with diverse interests.</w:t>
      </w:r>
    </w:p>
    <w:p w:rsidR="008D5798" w:rsidRPr="00E85515" w:rsidRDefault="00837315" w:rsidP="005C4ECF">
      <w:pPr>
        <w:pStyle w:val="Heading3"/>
      </w:pPr>
      <w:bookmarkStart w:id="5" w:name="_Toc445811298"/>
      <w:r>
        <w:t>B.</w:t>
      </w:r>
      <w:r>
        <w:tab/>
      </w:r>
      <w:r w:rsidR="00302797" w:rsidRPr="00E85515">
        <w:t>Public Interest</w:t>
      </w:r>
      <w:bookmarkEnd w:id="5"/>
    </w:p>
    <w:p w:rsidR="00356FB9" w:rsidRDefault="008D5798" w:rsidP="002320C6">
      <w:pPr>
        <w:pStyle w:val="BodyTextFirstIndent"/>
        <w:rPr>
          <w:szCs w:val="26"/>
        </w:rPr>
      </w:pPr>
      <w:r w:rsidRPr="00E85515">
        <w:rPr>
          <w:szCs w:val="26"/>
        </w:rPr>
        <w:t xml:space="preserve">The benefits of the </w:t>
      </w:r>
      <w:r w:rsidR="00F00428" w:rsidRPr="00E85515">
        <w:rPr>
          <w:szCs w:val="26"/>
        </w:rPr>
        <w:t>proposed S</w:t>
      </w:r>
      <w:r w:rsidRPr="00E85515">
        <w:rPr>
          <w:szCs w:val="26"/>
        </w:rPr>
        <w:t>tipulation to the</w:t>
      </w:r>
      <w:r w:rsidR="000F2150" w:rsidRPr="00E85515">
        <w:rPr>
          <w:szCs w:val="26"/>
        </w:rPr>
        <w:t xml:space="preserve"> public are large and broad.  The Stipulation</w:t>
      </w:r>
      <w:r w:rsidRPr="00E85515">
        <w:rPr>
          <w:szCs w:val="26"/>
        </w:rPr>
        <w:t xml:space="preserve"> pro</w:t>
      </w:r>
      <w:r w:rsidR="000D66CD" w:rsidRPr="00E85515">
        <w:rPr>
          <w:szCs w:val="26"/>
        </w:rPr>
        <w:softHyphen/>
      </w:r>
      <w:r w:rsidRPr="00E85515">
        <w:rPr>
          <w:szCs w:val="26"/>
        </w:rPr>
        <w:t>vides</w:t>
      </w:r>
      <w:r w:rsidR="00356FB9" w:rsidRPr="00356FB9">
        <w:rPr>
          <w:szCs w:val="26"/>
        </w:rPr>
        <w:t xml:space="preserve"> cost recovery for D</w:t>
      </w:r>
      <w:r w:rsidR="00356FB9">
        <w:rPr>
          <w:szCs w:val="26"/>
        </w:rPr>
        <w:t xml:space="preserve">EO’s accelerated replacement of </w:t>
      </w:r>
      <w:r w:rsidR="00356FB9" w:rsidRPr="00356FB9">
        <w:rPr>
          <w:szCs w:val="26"/>
        </w:rPr>
        <w:t>bare-steel mains and services, among other target infrastructure, which provides customers and the public with significant benefits in terms of safety and reliability.</w:t>
      </w:r>
      <w:r w:rsidR="00006C98">
        <w:rPr>
          <w:rStyle w:val="FootnoteReference"/>
          <w:szCs w:val="26"/>
        </w:rPr>
        <w:footnoteReference w:id="15"/>
      </w:r>
      <w:r w:rsidR="00356FB9" w:rsidRPr="00356FB9">
        <w:rPr>
          <w:szCs w:val="26"/>
        </w:rPr>
        <w:t xml:space="preserve"> </w:t>
      </w:r>
      <w:r w:rsidR="00356FB9">
        <w:rPr>
          <w:szCs w:val="26"/>
        </w:rPr>
        <w:t xml:space="preserve"> </w:t>
      </w:r>
      <w:r w:rsidR="00356FB9" w:rsidRPr="00356FB9">
        <w:rPr>
          <w:szCs w:val="26"/>
        </w:rPr>
        <w:t xml:space="preserve">In approving past stipulations instituting and extending </w:t>
      </w:r>
      <w:r w:rsidR="00356FB9" w:rsidRPr="00356FB9">
        <w:rPr>
          <w:szCs w:val="26"/>
        </w:rPr>
        <w:lastRenderedPageBreak/>
        <w:t>the PIR Program, the Commission has already ruled that the program promotes the public interest; this Stipulation continues the</w:t>
      </w:r>
      <w:r w:rsidR="002320C6">
        <w:rPr>
          <w:szCs w:val="26"/>
        </w:rPr>
        <w:t xml:space="preserve"> PIR</w:t>
      </w:r>
      <w:r w:rsidR="00356FB9" w:rsidRPr="00356FB9">
        <w:rPr>
          <w:szCs w:val="26"/>
        </w:rPr>
        <w:t xml:space="preserve"> Program and will help it stay on track to be completed in the originally approved timeframe.</w:t>
      </w:r>
      <w:r w:rsidR="00006C98">
        <w:rPr>
          <w:rStyle w:val="FootnoteReference"/>
          <w:szCs w:val="26"/>
        </w:rPr>
        <w:footnoteReference w:id="16"/>
      </w:r>
    </w:p>
    <w:p w:rsidR="001F362C" w:rsidRDefault="001F362C" w:rsidP="001F362C">
      <w:pPr>
        <w:pStyle w:val="BodyTextFirstIndent"/>
      </w:pPr>
      <w:r w:rsidRPr="001F362C">
        <w:t xml:space="preserve">Under the current terms of the program, approved </w:t>
      </w:r>
      <w:r>
        <w:t xml:space="preserve">in Case No. 11-2401-GA-ALT, O&amp;M </w:t>
      </w:r>
      <w:r w:rsidRPr="001F362C">
        <w:t>expense savings are credited against the costs recovered through the PIR Cost Recovery</w:t>
      </w:r>
      <w:r>
        <w:t xml:space="preserve"> </w:t>
      </w:r>
      <w:r w:rsidRPr="001F362C">
        <w:t>Charge as follows: each year, a minimum credit of $1 million is reflected as a reduction</w:t>
      </w:r>
      <w:r>
        <w:t xml:space="preserve"> </w:t>
      </w:r>
      <w:r w:rsidRPr="001F362C">
        <w:t>of the calculated revenue requirement; no additional credit is reflected for sav</w:t>
      </w:r>
      <w:r w:rsidR="00F04B1B">
        <w:softHyphen/>
      </w:r>
      <w:r w:rsidRPr="001F362C">
        <w:t>ings</w:t>
      </w:r>
      <w:r>
        <w:t xml:space="preserve"> </w:t>
      </w:r>
      <w:r w:rsidRPr="001F362C">
        <w:t>between $1 million and $1.5 million; and 50% of any savings in excess of $1.5 mil</w:t>
      </w:r>
      <w:r w:rsidR="00F04B1B">
        <w:softHyphen/>
      </w:r>
      <w:r w:rsidRPr="001F362C">
        <w:t>lion</w:t>
      </w:r>
      <w:r>
        <w:t xml:space="preserve"> </w:t>
      </w:r>
      <w:r w:rsidRPr="001F362C">
        <w:t>are reflected as a credit.</w:t>
      </w:r>
      <w:r>
        <w:rPr>
          <w:rStyle w:val="FootnoteReference"/>
        </w:rPr>
        <w:footnoteReference w:id="17"/>
      </w:r>
      <w:r w:rsidRPr="001F362C">
        <w:t xml:space="preserve"> </w:t>
      </w:r>
      <w:r>
        <w:t xml:space="preserve"> </w:t>
      </w:r>
      <w:r w:rsidRPr="001F362C">
        <w:t xml:space="preserve">This </w:t>
      </w:r>
      <w:r w:rsidRPr="001F362C">
        <w:lastRenderedPageBreak/>
        <w:t>O&amp;M-expense-savings sharing mechanism is elimi</w:t>
      </w:r>
      <w:r w:rsidR="00F04B1B">
        <w:softHyphen/>
      </w:r>
      <w:r w:rsidRPr="001F362C">
        <w:t>nated</w:t>
      </w:r>
      <w:r>
        <w:t xml:space="preserve"> </w:t>
      </w:r>
      <w:r w:rsidRPr="001F362C">
        <w:t>under the Stipulation, meaning that customers will receive as</w:t>
      </w:r>
      <w:r>
        <w:t xml:space="preserve"> a credit the full bene</w:t>
      </w:r>
      <w:r w:rsidR="00F04B1B">
        <w:softHyphen/>
      </w:r>
      <w:r>
        <w:t xml:space="preserve">fit of </w:t>
      </w:r>
      <w:r w:rsidRPr="001F362C">
        <w:t>whatever O&amp;M expense savings DEO realizes in a given year.</w:t>
      </w:r>
      <w:r>
        <w:rPr>
          <w:rStyle w:val="FootnoteReference"/>
        </w:rPr>
        <w:footnoteReference w:id="18"/>
      </w:r>
      <w:r>
        <w:t xml:space="preserve">  </w:t>
      </w:r>
      <w:r w:rsidRPr="001F362C">
        <w:t>The effect of this modification is that, all other things being equal and in</w:t>
      </w:r>
      <w:r>
        <w:t xml:space="preserve"> </w:t>
      </w:r>
      <w:r w:rsidRPr="001F362C">
        <w:t>comparison with prior practice, customers will enjoy a greater benefit from O&amp;M</w:t>
      </w:r>
      <w:r>
        <w:t xml:space="preserve"> </w:t>
      </w:r>
      <w:r w:rsidRPr="001F362C">
        <w:t>expense savings whenever those sav</w:t>
      </w:r>
      <w:r w:rsidR="00F04B1B">
        <w:softHyphen/>
      </w:r>
      <w:r w:rsidRPr="001F362C">
        <w:t>ings exceed $1 million.</w:t>
      </w:r>
      <w:r>
        <w:rPr>
          <w:rStyle w:val="FootnoteReference"/>
        </w:rPr>
        <w:footnoteReference w:id="19"/>
      </w:r>
    </w:p>
    <w:p w:rsidR="00006C98" w:rsidRPr="002320C6" w:rsidRDefault="001F362C" w:rsidP="00006C98">
      <w:pPr>
        <w:pStyle w:val="BodyTextFirstIndent"/>
        <w:ind w:firstLine="0"/>
        <w:rPr>
          <w:szCs w:val="26"/>
        </w:rPr>
      </w:pPr>
      <w:r>
        <w:lastRenderedPageBreak/>
        <w:tab/>
      </w:r>
      <w:r w:rsidR="00006C98">
        <w:t>DEO’s PIR Program has matured since Case No. 11-2401-GA-ALT was approved and the PIR Program is delivering O&amp;M savings comparable to, and in come cases exceeding, the savings reported by the other local distribution companies in Ohio.</w:t>
      </w:r>
      <w:r w:rsidR="00006C98">
        <w:rPr>
          <w:rStyle w:val="FootnoteReference"/>
        </w:rPr>
        <w:footnoteReference w:id="20"/>
      </w:r>
      <w:r w:rsidR="00006C98">
        <w:t xml:space="preserve">  With the elimination of the O&amp;M sharing mechanism, customers will get the full benefit of avoided costs as a result of PIR Program implementation because they are paying for new pipeline infrastructure via the PIR Rider while continuing to pay for the expenses that are no longer incurred since base rates are not adjusted downward to reflect the avoided costs.</w:t>
      </w:r>
      <w:r>
        <w:rPr>
          <w:rStyle w:val="FootnoteReference"/>
        </w:rPr>
        <w:footnoteReference w:id="21"/>
      </w:r>
    </w:p>
    <w:p w:rsidR="00B76AAE" w:rsidRPr="002320C6" w:rsidRDefault="001F799B" w:rsidP="002320C6">
      <w:pPr>
        <w:spacing w:line="480" w:lineRule="auto"/>
        <w:ind w:firstLine="720"/>
        <w:rPr>
          <w:sz w:val="26"/>
          <w:szCs w:val="26"/>
        </w:rPr>
      </w:pPr>
      <w:r w:rsidRPr="002320C6">
        <w:rPr>
          <w:sz w:val="26"/>
          <w:szCs w:val="26"/>
        </w:rPr>
        <w:lastRenderedPageBreak/>
        <w:t xml:space="preserve">Staff </w:t>
      </w:r>
      <w:r w:rsidR="00D607BE" w:rsidRPr="002320C6">
        <w:rPr>
          <w:sz w:val="26"/>
          <w:szCs w:val="26"/>
        </w:rPr>
        <w:t>ask</w:t>
      </w:r>
      <w:r w:rsidRPr="002320C6">
        <w:rPr>
          <w:sz w:val="26"/>
          <w:szCs w:val="26"/>
        </w:rPr>
        <w:t>s</w:t>
      </w:r>
      <w:r w:rsidR="00D607BE" w:rsidRPr="002320C6">
        <w:rPr>
          <w:sz w:val="26"/>
          <w:szCs w:val="26"/>
        </w:rPr>
        <w:t xml:space="preserve"> that the Commission exercise i</w:t>
      </w:r>
      <w:r w:rsidR="001648EF">
        <w:rPr>
          <w:sz w:val="26"/>
          <w:szCs w:val="26"/>
        </w:rPr>
        <w:t>ts discretion to find that the S</w:t>
      </w:r>
      <w:r w:rsidR="00D607BE" w:rsidRPr="002320C6">
        <w:rPr>
          <w:sz w:val="26"/>
          <w:szCs w:val="26"/>
        </w:rPr>
        <w:t>tipulation, as a whole, benefits the public interest.</w:t>
      </w:r>
      <w:r w:rsidR="002320C6" w:rsidRPr="002320C6">
        <w:rPr>
          <w:sz w:val="26"/>
          <w:szCs w:val="26"/>
        </w:rPr>
        <w:t xml:space="preserve">  The opposing intervenors</w:t>
      </w:r>
      <w:r w:rsidR="002D248F" w:rsidRPr="002320C6">
        <w:rPr>
          <w:sz w:val="26"/>
          <w:szCs w:val="26"/>
        </w:rPr>
        <w:t xml:space="preserve"> were part of the settle</w:t>
      </w:r>
      <w:r w:rsidR="00F04B1B">
        <w:rPr>
          <w:sz w:val="26"/>
          <w:szCs w:val="26"/>
        </w:rPr>
        <w:softHyphen/>
      </w:r>
      <w:r w:rsidR="002D248F" w:rsidRPr="002320C6">
        <w:rPr>
          <w:sz w:val="26"/>
          <w:szCs w:val="26"/>
        </w:rPr>
        <w:t xml:space="preserve">ment discussions and now have an opportunity to challenge them in this case through the hearing process.  </w:t>
      </w:r>
      <w:r w:rsidR="00D13413" w:rsidRPr="002320C6">
        <w:rPr>
          <w:sz w:val="26"/>
          <w:szCs w:val="26"/>
        </w:rPr>
        <w:t>Again, t</w:t>
      </w:r>
      <w:r w:rsidR="00266037" w:rsidRPr="002320C6">
        <w:rPr>
          <w:sz w:val="26"/>
          <w:szCs w:val="26"/>
        </w:rPr>
        <w:t>he</w:t>
      </w:r>
      <w:r w:rsidR="00E057F7" w:rsidRPr="002320C6">
        <w:rPr>
          <w:sz w:val="26"/>
          <w:szCs w:val="26"/>
        </w:rPr>
        <w:t xml:space="preserve"> Stipulation</w:t>
      </w:r>
      <w:r w:rsidR="00266037" w:rsidRPr="002320C6">
        <w:rPr>
          <w:sz w:val="26"/>
          <w:szCs w:val="26"/>
        </w:rPr>
        <w:t xml:space="preserve"> is </w:t>
      </w:r>
      <w:r w:rsidR="00E057F7" w:rsidRPr="002320C6">
        <w:rPr>
          <w:sz w:val="26"/>
          <w:szCs w:val="26"/>
        </w:rPr>
        <w:t>to be evaluated as a package.</w:t>
      </w:r>
      <w:r w:rsidR="00D13413" w:rsidRPr="002320C6">
        <w:rPr>
          <w:sz w:val="26"/>
          <w:szCs w:val="26"/>
        </w:rPr>
        <w:t xml:space="preserve">  The package</w:t>
      </w:r>
      <w:r w:rsidR="000F2150" w:rsidRPr="002320C6">
        <w:rPr>
          <w:sz w:val="26"/>
          <w:szCs w:val="26"/>
        </w:rPr>
        <w:t>, in this case,</w:t>
      </w:r>
      <w:r w:rsidR="00D13413" w:rsidRPr="002320C6">
        <w:rPr>
          <w:sz w:val="26"/>
          <w:szCs w:val="26"/>
        </w:rPr>
        <w:t xml:space="preserve"> provides significant benefits to customers as mentioned above.  </w:t>
      </w:r>
    </w:p>
    <w:p w:rsidR="00A171ED" w:rsidRPr="00E85515" w:rsidRDefault="00837315" w:rsidP="005C4ECF">
      <w:pPr>
        <w:pStyle w:val="Heading3"/>
      </w:pPr>
      <w:bookmarkStart w:id="6" w:name="_Toc445811299"/>
      <w:r>
        <w:t>C.</w:t>
      </w:r>
      <w:r>
        <w:tab/>
      </w:r>
      <w:r w:rsidR="004F554E">
        <w:t>The S</w:t>
      </w:r>
      <w:r w:rsidR="00A171ED" w:rsidRPr="00E85515">
        <w:t>tipulation does not violate any important regulatory prin</w:t>
      </w:r>
      <w:r w:rsidR="00F04B1B">
        <w:softHyphen/>
      </w:r>
      <w:r w:rsidR="00A171ED" w:rsidRPr="00E85515">
        <w:t>ciple or practice, rather it promotes public policy.</w:t>
      </w:r>
      <w:bookmarkEnd w:id="6"/>
    </w:p>
    <w:p w:rsidR="00A171ED" w:rsidRPr="00E85515" w:rsidRDefault="00A171ED" w:rsidP="001F362C">
      <w:pPr>
        <w:pStyle w:val="BodyTextFirstIndent"/>
        <w:rPr>
          <w:szCs w:val="26"/>
        </w:rPr>
      </w:pPr>
      <w:r w:rsidRPr="00E85515">
        <w:rPr>
          <w:szCs w:val="26"/>
        </w:rPr>
        <w:t>The final prong of the Commission’s three-part test is passed</w:t>
      </w:r>
      <w:r w:rsidR="00581612" w:rsidRPr="00E85515">
        <w:rPr>
          <w:szCs w:val="26"/>
        </w:rPr>
        <w:t>, as the S</w:t>
      </w:r>
      <w:r w:rsidRPr="00E85515">
        <w:rPr>
          <w:szCs w:val="26"/>
        </w:rPr>
        <w:t>tipulation does not violate any important regulatory principle or practice.</w:t>
      </w:r>
      <w:r w:rsidR="009658ED" w:rsidRPr="00E85515">
        <w:rPr>
          <w:szCs w:val="26"/>
        </w:rPr>
        <w:t xml:space="preserve"> </w:t>
      </w:r>
      <w:r w:rsidR="00AD0FE6">
        <w:rPr>
          <w:szCs w:val="26"/>
        </w:rPr>
        <w:t xml:space="preserve"> </w:t>
      </w:r>
      <w:r w:rsidR="009658ED" w:rsidRPr="00E85515">
        <w:rPr>
          <w:szCs w:val="26"/>
        </w:rPr>
        <w:t>The terms of the Stipula</w:t>
      </w:r>
      <w:r w:rsidR="00F04B1B">
        <w:rPr>
          <w:szCs w:val="26"/>
        </w:rPr>
        <w:softHyphen/>
      </w:r>
      <w:r w:rsidR="009658ED" w:rsidRPr="00E85515">
        <w:rPr>
          <w:szCs w:val="26"/>
        </w:rPr>
        <w:t xml:space="preserve">tion represent a compromise of the Signatory Parties. </w:t>
      </w:r>
      <w:r w:rsidR="00501D36" w:rsidRPr="00E85515">
        <w:rPr>
          <w:szCs w:val="26"/>
        </w:rPr>
        <w:t xml:space="preserve"> </w:t>
      </w:r>
      <w:r w:rsidR="009658ED" w:rsidRPr="00E85515">
        <w:rPr>
          <w:szCs w:val="26"/>
        </w:rPr>
        <w:t xml:space="preserve">None of the individual provisions of the Stipulation is inconsistent with or violates any important Commission principle or practice. </w:t>
      </w:r>
      <w:r w:rsidR="00AD0FE6">
        <w:rPr>
          <w:szCs w:val="26"/>
        </w:rPr>
        <w:t xml:space="preserve"> </w:t>
      </w:r>
    </w:p>
    <w:p w:rsidR="002436AF" w:rsidRDefault="002436AF" w:rsidP="002436AF">
      <w:pPr>
        <w:pStyle w:val="Heading2"/>
        <w:numPr>
          <w:ilvl w:val="0"/>
          <w:numId w:val="0"/>
        </w:numPr>
      </w:pPr>
      <w:bookmarkStart w:id="7" w:name="_Toc440956659"/>
      <w:bookmarkStart w:id="8" w:name="_Toc445811300"/>
      <w:r>
        <w:lastRenderedPageBreak/>
        <w:t>II.</w:t>
      </w:r>
      <w:r>
        <w:tab/>
      </w:r>
      <w:r w:rsidR="004B3903">
        <w:t xml:space="preserve">OCC </w:t>
      </w:r>
      <w:r>
        <w:t>Objections</w:t>
      </w:r>
      <w:bookmarkEnd w:id="7"/>
      <w:bookmarkEnd w:id="8"/>
      <w:r>
        <w:tab/>
      </w:r>
    </w:p>
    <w:p w:rsidR="002436AF" w:rsidRDefault="006B5755" w:rsidP="002436AF">
      <w:pPr>
        <w:spacing w:after="200" w:line="480" w:lineRule="auto"/>
        <w:ind w:firstLine="720"/>
        <w:contextualSpacing/>
        <w:rPr>
          <w:sz w:val="26"/>
          <w:szCs w:val="26"/>
        </w:rPr>
      </w:pPr>
      <w:r>
        <w:rPr>
          <w:sz w:val="26"/>
          <w:szCs w:val="26"/>
        </w:rPr>
        <w:t>The Ohio Consumers’ Counsel (OCC) has</w:t>
      </w:r>
      <w:r w:rsidR="002436AF">
        <w:rPr>
          <w:sz w:val="26"/>
          <w:szCs w:val="26"/>
        </w:rPr>
        <w:t xml:space="preserve"> submitted testimony challenging aspects of the Stipulation. </w:t>
      </w:r>
      <w:r w:rsidR="00655FB7">
        <w:rPr>
          <w:sz w:val="26"/>
          <w:szCs w:val="26"/>
        </w:rPr>
        <w:t xml:space="preserve"> </w:t>
      </w:r>
      <w:r w:rsidR="002436AF">
        <w:rPr>
          <w:sz w:val="26"/>
          <w:szCs w:val="26"/>
        </w:rPr>
        <w:t xml:space="preserve">As will be shown, these objections have no merit. </w:t>
      </w:r>
      <w:r w:rsidR="00B71DD2">
        <w:rPr>
          <w:sz w:val="26"/>
          <w:szCs w:val="26"/>
        </w:rPr>
        <w:t xml:space="preserve"> </w:t>
      </w:r>
      <w:r w:rsidR="002436AF">
        <w:rPr>
          <w:sz w:val="26"/>
          <w:szCs w:val="26"/>
        </w:rPr>
        <w:t>They will be considered in the following sections, divided by issue.</w:t>
      </w:r>
    </w:p>
    <w:p w:rsidR="002436AF" w:rsidRPr="005C4ECF" w:rsidRDefault="005C4ECF" w:rsidP="005C4ECF">
      <w:pPr>
        <w:pStyle w:val="Heading3"/>
      </w:pPr>
      <w:bookmarkStart w:id="9" w:name="_Toc445811301"/>
      <w:r w:rsidRPr="005C4ECF">
        <w:t>A.</w:t>
      </w:r>
      <w:r w:rsidRPr="005C4ECF">
        <w:tab/>
      </w:r>
      <w:r w:rsidR="006B5755" w:rsidRPr="005C4ECF">
        <w:t>The 25-year target for the program is reasonable</w:t>
      </w:r>
      <w:bookmarkEnd w:id="9"/>
      <w:r w:rsidR="002436AF" w:rsidRPr="005C4ECF">
        <w:t xml:space="preserve"> </w:t>
      </w:r>
    </w:p>
    <w:p w:rsidR="002436AF" w:rsidRDefault="000755C5" w:rsidP="000755C5">
      <w:pPr>
        <w:pStyle w:val="BodyTextFirstIndent"/>
        <w:rPr>
          <w:szCs w:val="26"/>
        </w:rPr>
      </w:pPr>
      <w:r>
        <w:t xml:space="preserve">DEO recommends keeping the original 25-year Program completion target, and Staff agrees.  </w:t>
      </w:r>
      <w:r>
        <w:rPr>
          <w:szCs w:val="26"/>
        </w:rPr>
        <w:t>OCC argues that the 25-year target for the PIR Program is arbitrary, how</w:t>
      </w:r>
      <w:r w:rsidR="00F04B1B">
        <w:rPr>
          <w:szCs w:val="26"/>
        </w:rPr>
        <w:softHyphen/>
      </w:r>
      <w:r>
        <w:rPr>
          <w:szCs w:val="26"/>
        </w:rPr>
        <w:t xml:space="preserve">ever, </w:t>
      </w:r>
      <w:r>
        <w:t xml:space="preserve">Staff is </w:t>
      </w:r>
      <w:r>
        <w:lastRenderedPageBreak/>
        <w:t>not aware of any differences or changes to the factors and information that the Commission relied on when it originally approved the PIR in the 2007 Rate Case</w:t>
      </w:r>
      <w:r>
        <w:rPr>
          <w:rStyle w:val="FootnoteReference"/>
        </w:rPr>
        <w:footnoteReference w:id="22"/>
      </w:r>
      <w:r>
        <w:t xml:space="preserve"> </w:t>
      </w:r>
      <w:r w:rsidR="00D647E2">
        <w:t>and subsequently reauthorized the PIR in 2011 in Case No. 11-2401-GA-ALT.</w:t>
      </w:r>
      <w:r>
        <w:t xml:space="preserve"> </w:t>
      </w:r>
      <w:r w:rsidR="00655FB7">
        <w:t xml:space="preserve"> </w:t>
      </w:r>
      <w:r>
        <w:t>There</w:t>
      </w:r>
      <w:r w:rsidR="00164B6F">
        <w:softHyphen/>
      </w:r>
      <w:r>
        <w:t xml:space="preserve">fore, </w:t>
      </w:r>
      <w:r w:rsidR="00F41C03">
        <w:t xml:space="preserve">the Stipulation recommends that </w:t>
      </w:r>
      <w:r>
        <w:t>the Commission keep the 25-year time period it orig</w:t>
      </w:r>
      <w:r w:rsidR="00F04B1B">
        <w:softHyphen/>
      </w:r>
      <w:r>
        <w:t>inally adopted for completing the PIR</w:t>
      </w:r>
      <w:r w:rsidR="00F41C03">
        <w:t xml:space="preserve"> Program</w:t>
      </w:r>
      <w:r>
        <w:t xml:space="preserve"> and direct DEO to continue to use its best efforts to replace all target pipe under the Program by the end of 2033.</w:t>
      </w:r>
      <w:r w:rsidR="00B71DD2">
        <w:rPr>
          <w:rStyle w:val="FootnoteReference"/>
        </w:rPr>
        <w:footnoteReference w:id="23"/>
      </w:r>
      <w:r>
        <w:t xml:space="preserve"> </w:t>
      </w:r>
    </w:p>
    <w:p w:rsidR="002436AF" w:rsidRPr="00655FB7" w:rsidRDefault="002436AF" w:rsidP="00655FB7">
      <w:pPr>
        <w:pStyle w:val="Heading3"/>
      </w:pPr>
      <w:bookmarkStart w:id="10" w:name="_Toc440956661"/>
      <w:bookmarkStart w:id="11" w:name="_Toc445811302"/>
      <w:r>
        <w:lastRenderedPageBreak/>
        <w:t>B.</w:t>
      </w:r>
      <w:r w:rsidRPr="00655FB7">
        <w:tab/>
      </w:r>
      <w:bookmarkEnd w:id="10"/>
      <w:r w:rsidR="00F41C03" w:rsidRPr="00655FB7">
        <w:t>The proposed PIR Program cost increases and rate cap increases are reasonable.</w:t>
      </w:r>
      <w:bookmarkEnd w:id="11"/>
    </w:p>
    <w:p w:rsidR="00662943" w:rsidRDefault="00F41C03" w:rsidP="002436AF">
      <w:pPr>
        <w:autoSpaceDE w:val="0"/>
        <w:autoSpaceDN w:val="0"/>
        <w:adjustRightInd w:val="0"/>
        <w:spacing w:line="480" w:lineRule="auto"/>
        <w:ind w:firstLine="720"/>
        <w:rPr>
          <w:sz w:val="26"/>
          <w:szCs w:val="26"/>
        </w:rPr>
      </w:pPr>
      <w:r>
        <w:rPr>
          <w:sz w:val="26"/>
          <w:szCs w:val="26"/>
        </w:rPr>
        <w:t xml:space="preserve">In its application, </w:t>
      </w:r>
      <w:r w:rsidRPr="00F41C03">
        <w:rPr>
          <w:sz w:val="26"/>
          <w:szCs w:val="26"/>
        </w:rPr>
        <w:t>DEO cites several reasons why PIR Program costs have contin</w:t>
      </w:r>
      <w:r w:rsidR="00F04B1B">
        <w:rPr>
          <w:sz w:val="26"/>
          <w:szCs w:val="26"/>
        </w:rPr>
        <w:softHyphen/>
      </w:r>
      <w:r w:rsidRPr="00F41C03">
        <w:rPr>
          <w:sz w:val="26"/>
          <w:szCs w:val="26"/>
        </w:rPr>
        <w:t>ued to rise since inception of the Program in 2008.</w:t>
      </w:r>
      <w:r w:rsidR="00B71DD2">
        <w:rPr>
          <w:rStyle w:val="FootnoteReference"/>
          <w:sz w:val="26"/>
          <w:szCs w:val="26"/>
        </w:rPr>
        <w:footnoteReference w:id="24"/>
      </w:r>
      <w:r w:rsidR="00823301">
        <w:rPr>
          <w:sz w:val="26"/>
          <w:szCs w:val="26"/>
        </w:rPr>
        <w:t xml:space="preserve">  </w:t>
      </w:r>
      <w:r w:rsidR="002B1A28">
        <w:rPr>
          <w:sz w:val="26"/>
          <w:szCs w:val="26"/>
        </w:rPr>
        <w:t xml:space="preserve">OCC disagrees.  </w:t>
      </w:r>
      <w:r>
        <w:rPr>
          <w:sz w:val="26"/>
          <w:szCs w:val="26"/>
        </w:rPr>
        <w:t>DEO</w:t>
      </w:r>
      <w:r w:rsidRPr="00F41C03">
        <w:rPr>
          <w:sz w:val="26"/>
          <w:szCs w:val="26"/>
        </w:rPr>
        <w:t xml:space="preserve"> maintains that this upward trend in costs is likely to continue, thus making it impossible for it to complete the Program within the original 25-year schedule with current investment lev</w:t>
      </w:r>
      <w:r w:rsidR="00F04B1B">
        <w:rPr>
          <w:sz w:val="26"/>
          <w:szCs w:val="26"/>
        </w:rPr>
        <w:softHyphen/>
      </w:r>
      <w:r w:rsidRPr="00F41C03">
        <w:rPr>
          <w:sz w:val="26"/>
          <w:szCs w:val="26"/>
        </w:rPr>
        <w:t>els.</w:t>
      </w:r>
      <w:r w:rsidR="00B71DD2">
        <w:rPr>
          <w:rStyle w:val="FootnoteReference"/>
          <w:sz w:val="26"/>
          <w:szCs w:val="26"/>
        </w:rPr>
        <w:footnoteReference w:id="25"/>
      </w:r>
      <w:r w:rsidRPr="00F41C03">
        <w:rPr>
          <w:sz w:val="26"/>
          <w:szCs w:val="26"/>
        </w:rPr>
        <w:t xml:space="preserve"> </w:t>
      </w:r>
      <w:r w:rsidR="00B71DD2">
        <w:rPr>
          <w:sz w:val="26"/>
          <w:szCs w:val="26"/>
        </w:rPr>
        <w:t xml:space="preserve"> </w:t>
      </w:r>
      <w:r w:rsidRPr="00F41C03">
        <w:rPr>
          <w:sz w:val="26"/>
          <w:szCs w:val="26"/>
        </w:rPr>
        <w:t>The Company</w:t>
      </w:r>
      <w:r w:rsidR="00662943">
        <w:rPr>
          <w:sz w:val="26"/>
          <w:szCs w:val="26"/>
        </w:rPr>
        <w:t xml:space="preserve"> also maintains</w:t>
      </w:r>
      <w:r w:rsidRPr="00F41C03">
        <w:rPr>
          <w:sz w:val="26"/>
          <w:szCs w:val="26"/>
        </w:rPr>
        <w:t xml:space="preserve"> that increases to the residential rate cap on PIR Rider increases are necessary to enable it to get back on and stay on schedule to complete the program as originally planned.</w:t>
      </w:r>
      <w:r w:rsidR="00662943">
        <w:rPr>
          <w:rStyle w:val="FootnoteReference"/>
          <w:sz w:val="26"/>
          <w:szCs w:val="26"/>
        </w:rPr>
        <w:footnoteReference w:id="26"/>
      </w:r>
      <w:r w:rsidRPr="00F41C03">
        <w:rPr>
          <w:sz w:val="26"/>
          <w:szCs w:val="26"/>
        </w:rPr>
        <w:t xml:space="preserve"> </w:t>
      </w:r>
      <w:r w:rsidR="00823301">
        <w:rPr>
          <w:sz w:val="26"/>
          <w:szCs w:val="26"/>
        </w:rPr>
        <w:t xml:space="preserve"> </w:t>
      </w:r>
    </w:p>
    <w:p w:rsidR="00662943" w:rsidRPr="005C4ECF" w:rsidRDefault="00F41C03" w:rsidP="005C4ECF">
      <w:pPr>
        <w:spacing w:line="480" w:lineRule="auto"/>
        <w:ind w:firstLine="720"/>
        <w:rPr>
          <w:sz w:val="26"/>
          <w:szCs w:val="26"/>
        </w:rPr>
      </w:pPr>
      <w:r w:rsidRPr="005C4ECF">
        <w:rPr>
          <w:sz w:val="26"/>
          <w:szCs w:val="26"/>
        </w:rPr>
        <w:lastRenderedPageBreak/>
        <w:t>DEO</w:t>
      </w:r>
      <w:r w:rsidR="002B1A28" w:rsidRPr="005C4ECF">
        <w:rPr>
          <w:sz w:val="26"/>
          <w:szCs w:val="26"/>
        </w:rPr>
        <w:t xml:space="preserve"> cites</w:t>
      </w:r>
      <w:r w:rsidRPr="005C4ECF">
        <w:rPr>
          <w:sz w:val="26"/>
          <w:szCs w:val="26"/>
        </w:rPr>
        <w:t xml:space="preserve"> the</w:t>
      </w:r>
      <w:r w:rsidR="002B1A28" w:rsidRPr="005C4ECF">
        <w:rPr>
          <w:sz w:val="26"/>
          <w:szCs w:val="26"/>
        </w:rPr>
        <w:t xml:space="preserve"> following</w:t>
      </w:r>
      <w:r w:rsidRPr="005C4ECF">
        <w:rPr>
          <w:sz w:val="26"/>
          <w:szCs w:val="26"/>
        </w:rPr>
        <w:t xml:space="preserve"> cost drivers behind the Program cost increases</w:t>
      </w:r>
      <w:r w:rsidR="00662943" w:rsidRPr="005C4ECF">
        <w:rPr>
          <w:sz w:val="26"/>
          <w:szCs w:val="26"/>
        </w:rPr>
        <w:t>:</w:t>
      </w:r>
      <w:r w:rsidRPr="005C4ECF">
        <w:rPr>
          <w:sz w:val="26"/>
          <w:szCs w:val="26"/>
        </w:rPr>
        <w:t xml:space="preserve"> (1) a switch from pipeline replacements primarily in rural areas in the Program's early years to more urban replacements in recent years, (2) increased environmental compliance costs and the need to add additional resources in response to increased environmental require</w:t>
      </w:r>
      <w:r w:rsidR="00F04B1B">
        <w:rPr>
          <w:sz w:val="26"/>
          <w:szCs w:val="26"/>
        </w:rPr>
        <w:softHyphen/>
      </w:r>
      <w:r w:rsidRPr="005C4ECF">
        <w:rPr>
          <w:sz w:val="26"/>
          <w:szCs w:val="26"/>
        </w:rPr>
        <w:t>ments, (3) general inflation, and (4) increased costs for contractors that actually perform PIR pipeline replacements.</w:t>
      </w:r>
      <w:r w:rsidR="00A7681D">
        <w:rPr>
          <w:rStyle w:val="FootnoteReference"/>
          <w:sz w:val="26"/>
          <w:szCs w:val="26"/>
        </w:rPr>
        <w:footnoteReference w:id="27"/>
      </w:r>
      <w:r w:rsidRPr="005C4ECF">
        <w:rPr>
          <w:sz w:val="26"/>
          <w:szCs w:val="26"/>
        </w:rPr>
        <w:t xml:space="preserve"> </w:t>
      </w:r>
      <w:r w:rsidR="00662943" w:rsidRPr="005C4ECF">
        <w:rPr>
          <w:sz w:val="26"/>
          <w:szCs w:val="26"/>
        </w:rPr>
        <w:t xml:space="preserve"> </w:t>
      </w:r>
      <w:r w:rsidR="002B1A28" w:rsidRPr="005C4ECF">
        <w:rPr>
          <w:sz w:val="26"/>
          <w:szCs w:val="26"/>
        </w:rPr>
        <w:t xml:space="preserve">In its report, </w:t>
      </w:r>
      <w:r w:rsidRPr="005C4ECF">
        <w:rPr>
          <w:sz w:val="26"/>
          <w:szCs w:val="26"/>
        </w:rPr>
        <w:t xml:space="preserve">Staff investigated each of these cost drivers to confirm their existence and determine if DEO is effectively managing Program costs. </w:t>
      </w:r>
      <w:r w:rsidR="00662943" w:rsidRPr="005C4ECF">
        <w:rPr>
          <w:sz w:val="26"/>
          <w:szCs w:val="26"/>
        </w:rPr>
        <w:t xml:space="preserve"> </w:t>
      </w:r>
    </w:p>
    <w:p w:rsidR="00662943" w:rsidRPr="005C4ECF" w:rsidRDefault="00662943" w:rsidP="005C4ECF">
      <w:pPr>
        <w:pStyle w:val="Heading4"/>
      </w:pPr>
      <w:bookmarkStart w:id="12" w:name="_Toc445811303"/>
      <w:r w:rsidRPr="005C4ECF">
        <w:t>1.</w:t>
      </w:r>
      <w:r w:rsidRPr="005C4ECF">
        <w:tab/>
      </w:r>
      <w:r w:rsidR="00F41C03" w:rsidRPr="005C4ECF">
        <w:t>Switch fr</w:t>
      </w:r>
      <w:r w:rsidRPr="005C4ECF">
        <w:t>om urban to rural replacements</w:t>
      </w:r>
      <w:bookmarkEnd w:id="12"/>
      <w:r w:rsidRPr="005C4ECF">
        <w:t xml:space="preserve"> </w:t>
      </w:r>
      <w:r w:rsidR="00F41C03" w:rsidRPr="005C4ECF">
        <w:t xml:space="preserve"> </w:t>
      </w:r>
    </w:p>
    <w:p w:rsidR="00662943" w:rsidRDefault="00F41C03" w:rsidP="00662943">
      <w:pPr>
        <w:autoSpaceDE w:val="0"/>
        <w:autoSpaceDN w:val="0"/>
        <w:adjustRightInd w:val="0"/>
        <w:spacing w:line="480" w:lineRule="auto"/>
        <w:ind w:firstLine="720"/>
        <w:rPr>
          <w:sz w:val="26"/>
          <w:szCs w:val="26"/>
        </w:rPr>
      </w:pPr>
      <w:r w:rsidRPr="00F41C03">
        <w:rPr>
          <w:sz w:val="26"/>
          <w:szCs w:val="26"/>
        </w:rPr>
        <w:lastRenderedPageBreak/>
        <w:t>Staff confirmed that DEO has indeed switched from replacing pipelines in rural areas in the early years of the PIR Program to more urban replacements in recent years.</w:t>
      </w:r>
      <w:r w:rsidR="003B019C">
        <w:rPr>
          <w:rStyle w:val="FootnoteReference"/>
          <w:sz w:val="26"/>
          <w:szCs w:val="26"/>
        </w:rPr>
        <w:footnoteReference w:id="28"/>
      </w:r>
      <w:r w:rsidRPr="00F41C03">
        <w:rPr>
          <w:sz w:val="26"/>
          <w:szCs w:val="26"/>
        </w:rPr>
        <w:t xml:space="preserve"> Staff verified that in fiscal year 2008-2009 (the first year of the Program), approximately 81% of project costs and 92% of pipeline footage installed was in rural areas while urban replacements constituted only 8% of the footage replaced and 19% of the costs.</w:t>
      </w:r>
      <w:r w:rsidR="00662943">
        <w:rPr>
          <w:rStyle w:val="FootnoteReference"/>
          <w:sz w:val="26"/>
          <w:szCs w:val="26"/>
        </w:rPr>
        <w:footnoteReference w:id="29"/>
      </w:r>
      <w:r w:rsidRPr="00F41C03">
        <w:rPr>
          <w:sz w:val="26"/>
          <w:szCs w:val="26"/>
        </w:rPr>
        <w:t xml:space="preserve"> </w:t>
      </w:r>
      <w:r w:rsidR="00662943">
        <w:rPr>
          <w:sz w:val="26"/>
          <w:szCs w:val="26"/>
        </w:rPr>
        <w:t xml:space="preserve"> </w:t>
      </w:r>
      <w:r w:rsidRPr="00F41C03">
        <w:rPr>
          <w:sz w:val="26"/>
          <w:szCs w:val="26"/>
        </w:rPr>
        <w:t>By 2014 the situation had reversed and 88% of all project footage replaced and 90% of pro</w:t>
      </w:r>
      <w:r w:rsidR="00F04B1B">
        <w:rPr>
          <w:sz w:val="26"/>
          <w:szCs w:val="26"/>
        </w:rPr>
        <w:softHyphen/>
      </w:r>
      <w:r w:rsidRPr="00F41C03">
        <w:rPr>
          <w:sz w:val="26"/>
          <w:szCs w:val="26"/>
        </w:rPr>
        <w:t>ject costs was urban while only 12% of the footage and 10% of the costs was for rural projects.</w:t>
      </w:r>
      <w:r w:rsidR="00662943">
        <w:rPr>
          <w:rStyle w:val="FootnoteReference"/>
          <w:sz w:val="26"/>
          <w:szCs w:val="26"/>
        </w:rPr>
        <w:footnoteReference w:id="30"/>
      </w:r>
      <w:r w:rsidRPr="00F41C03">
        <w:rPr>
          <w:sz w:val="26"/>
          <w:szCs w:val="26"/>
        </w:rPr>
        <w:t xml:space="preserve"> </w:t>
      </w:r>
      <w:r w:rsidR="00662943">
        <w:rPr>
          <w:sz w:val="26"/>
          <w:szCs w:val="26"/>
        </w:rPr>
        <w:t xml:space="preserve"> </w:t>
      </w:r>
      <w:r w:rsidRPr="00F41C03">
        <w:rPr>
          <w:sz w:val="26"/>
          <w:szCs w:val="26"/>
        </w:rPr>
        <w:t xml:space="preserve">DEO maintains that replacement costs </w:t>
      </w:r>
      <w:r w:rsidRPr="00F41C03">
        <w:rPr>
          <w:sz w:val="26"/>
          <w:szCs w:val="26"/>
        </w:rPr>
        <w:lastRenderedPageBreak/>
        <w:t>per foot are generally much greater for urban projects due to added costs for digging into and replacing hard surfaces such as concrete sidewalks, congested work spaces in close proximity to other municipal and util</w:t>
      </w:r>
      <w:r w:rsidR="00F04B1B">
        <w:rPr>
          <w:sz w:val="26"/>
          <w:szCs w:val="26"/>
        </w:rPr>
        <w:softHyphen/>
      </w:r>
      <w:r w:rsidRPr="00F41C03">
        <w:rPr>
          <w:sz w:val="26"/>
          <w:szCs w:val="26"/>
        </w:rPr>
        <w:t>ity infrastructure requiring slow careful digging, and restricted work hours (</w:t>
      </w:r>
      <w:r w:rsidRPr="00655FB7">
        <w:rPr>
          <w:i/>
          <w:sz w:val="26"/>
          <w:szCs w:val="26"/>
        </w:rPr>
        <w:t>e.g</w:t>
      </w:r>
      <w:r w:rsidRPr="00F41C03">
        <w:rPr>
          <w:sz w:val="26"/>
          <w:szCs w:val="26"/>
        </w:rPr>
        <w:t>., before or after rush hours, etc.).</w:t>
      </w:r>
      <w:r w:rsidR="00662943">
        <w:rPr>
          <w:rStyle w:val="FootnoteReference"/>
          <w:sz w:val="26"/>
          <w:szCs w:val="26"/>
        </w:rPr>
        <w:footnoteReference w:id="31"/>
      </w:r>
      <w:r w:rsidRPr="00F41C03">
        <w:rPr>
          <w:sz w:val="26"/>
          <w:szCs w:val="26"/>
        </w:rPr>
        <w:t xml:space="preserve"> </w:t>
      </w:r>
      <w:r w:rsidR="00662943">
        <w:rPr>
          <w:sz w:val="26"/>
          <w:szCs w:val="26"/>
        </w:rPr>
        <w:t xml:space="preserve"> </w:t>
      </w:r>
      <w:r w:rsidRPr="00F41C03">
        <w:rPr>
          <w:sz w:val="26"/>
          <w:szCs w:val="26"/>
        </w:rPr>
        <w:t xml:space="preserve">Staff agrees that replacement costs in urban areas </w:t>
      </w:r>
      <w:r w:rsidRPr="00F41C03">
        <w:rPr>
          <w:sz w:val="26"/>
          <w:szCs w:val="26"/>
        </w:rPr>
        <w:lastRenderedPageBreak/>
        <w:t>are generally more expensive that replacements in rural areas.</w:t>
      </w:r>
      <w:r w:rsidR="00662943">
        <w:rPr>
          <w:rStyle w:val="FootnoteReference"/>
          <w:sz w:val="26"/>
          <w:szCs w:val="26"/>
        </w:rPr>
        <w:footnoteReference w:id="32"/>
      </w:r>
      <w:r w:rsidRPr="00F41C03">
        <w:rPr>
          <w:sz w:val="26"/>
          <w:szCs w:val="26"/>
        </w:rPr>
        <w:t xml:space="preserve"> </w:t>
      </w:r>
      <w:r w:rsidR="00662943">
        <w:rPr>
          <w:sz w:val="26"/>
          <w:szCs w:val="26"/>
        </w:rPr>
        <w:t xml:space="preserve"> </w:t>
      </w:r>
      <w:r w:rsidRPr="00F41C03">
        <w:rPr>
          <w:sz w:val="26"/>
          <w:szCs w:val="26"/>
        </w:rPr>
        <w:t>Staff has seen similar cost increases when other Oh</w:t>
      </w:r>
      <w:r w:rsidR="00662943">
        <w:rPr>
          <w:sz w:val="26"/>
          <w:szCs w:val="26"/>
        </w:rPr>
        <w:t>io gas companies switched from ru</w:t>
      </w:r>
      <w:r w:rsidRPr="00F41C03">
        <w:rPr>
          <w:sz w:val="26"/>
          <w:szCs w:val="26"/>
        </w:rPr>
        <w:t>ral to urban replacements.</w:t>
      </w:r>
      <w:r w:rsidR="00662943">
        <w:rPr>
          <w:rStyle w:val="FootnoteReference"/>
          <w:sz w:val="26"/>
          <w:szCs w:val="26"/>
        </w:rPr>
        <w:footnoteReference w:id="33"/>
      </w:r>
      <w:r w:rsidRPr="00F41C03">
        <w:rPr>
          <w:sz w:val="26"/>
          <w:szCs w:val="26"/>
        </w:rPr>
        <w:t xml:space="preserve"> </w:t>
      </w:r>
      <w:r w:rsidR="00662943">
        <w:rPr>
          <w:sz w:val="26"/>
          <w:szCs w:val="26"/>
        </w:rPr>
        <w:t xml:space="preserve"> </w:t>
      </w:r>
      <w:r w:rsidRPr="00F41C03">
        <w:rPr>
          <w:sz w:val="26"/>
          <w:szCs w:val="26"/>
        </w:rPr>
        <w:t>In addi</w:t>
      </w:r>
      <w:r w:rsidR="00F04B1B">
        <w:rPr>
          <w:sz w:val="26"/>
          <w:szCs w:val="26"/>
        </w:rPr>
        <w:softHyphen/>
      </w:r>
      <w:r w:rsidRPr="00F41C03">
        <w:rPr>
          <w:sz w:val="26"/>
          <w:szCs w:val="26"/>
        </w:rPr>
        <w:t>tio</w:t>
      </w:r>
      <w:r w:rsidR="00662943">
        <w:rPr>
          <w:sz w:val="26"/>
          <w:szCs w:val="26"/>
        </w:rPr>
        <w:t>n, Staff also verified that DEO’</w:t>
      </w:r>
      <w:r w:rsidRPr="00F41C03">
        <w:rPr>
          <w:sz w:val="26"/>
          <w:szCs w:val="26"/>
        </w:rPr>
        <w:t>s trend of increased emphasis on urban replacement projects will continue into the proposed renewal period.</w:t>
      </w:r>
      <w:r w:rsidR="001648EF">
        <w:rPr>
          <w:rStyle w:val="FootnoteReference"/>
          <w:sz w:val="26"/>
          <w:szCs w:val="26"/>
        </w:rPr>
        <w:footnoteReference w:id="34"/>
      </w:r>
      <w:r w:rsidRPr="00F41C03">
        <w:rPr>
          <w:sz w:val="26"/>
          <w:szCs w:val="26"/>
        </w:rPr>
        <w:t xml:space="preserve"> </w:t>
      </w:r>
      <w:r w:rsidR="00662943">
        <w:rPr>
          <w:sz w:val="26"/>
          <w:szCs w:val="26"/>
        </w:rPr>
        <w:t xml:space="preserve"> </w:t>
      </w:r>
    </w:p>
    <w:p w:rsidR="00662943" w:rsidRPr="00662943" w:rsidRDefault="00662943" w:rsidP="005C4ECF">
      <w:pPr>
        <w:pStyle w:val="Heading4"/>
      </w:pPr>
      <w:bookmarkStart w:id="13" w:name="_Toc445811304"/>
      <w:r>
        <w:t>2.</w:t>
      </w:r>
      <w:r>
        <w:tab/>
      </w:r>
      <w:r w:rsidRPr="00662943">
        <w:t>Environmental compliance costs</w:t>
      </w:r>
      <w:bookmarkEnd w:id="13"/>
      <w:r w:rsidRPr="00662943">
        <w:t xml:space="preserve"> </w:t>
      </w:r>
      <w:r w:rsidR="00F41C03" w:rsidRPr="00662943">
        <w:t xml:space="preserve"> </w:t>
      </w:r>
    </w:p>
    <w:p w:rsidR="001648EF" w:rsidRDefault="001648EF" w:rsidP="00662943">
      <w:pPr>
        <w:autoSpaceDE w:val="0"/>
        <w:autoSpaceDN w:val="0"/>
        <w:adjustRightInd w:val="0"/>
        <w:spacing w:line="480" w:lineRule="auto"/>
        <w:ind w:firstLine="720"/>
        <w:rPr>
          <w:sz w:val="26"/>
          <w:szCs w:val="26"/>
        </w:rPr>
      </w:pPr>
      <w:r>
        <w:rPr>
          <w:sz w:val="26"/>
          <w:szCs w:val="26"/>
        </w:rPr>
        <w:lastRenderedPageBreak/>
        <w:t>Staff verified that DEO’</w:t>
      </w:r>
      <w:r w:rsidR="00F41C03" w:rsidRPr="00F41C03">
        <w:rPr>
          <w:sz w:val="26"/>
          <w:szCs w:val="26"/>
        </w:rPr>
        <w:t xml:space="preserve">s direct costs for environmental consultants has increased significantly and that it has been required to implement an increasing number of </w:t>
      </w:r>
      <w:r>
        <w:rPr>
          <w:sz w:val="26"/>
          <w:szCs w:val="26"/>
        </w:rPr>
        <w:t>Storm Water Pollution Prevention Plans (</w:t>
      </w:r>
      <w:r w:rsidR="00F41C03" w:rsidRPr="00F41C03">
        <w:rPr>
          <w:sz w:val="26"/>
          <w:szCs w:val="26"/>
        </w:rPr>
        <w:t>SWPPS</w:t>
      </w:r>
      <w:r>
        <w:rPr>
          <w:sz w:val="26"/>
          <w:szCs w:val="26"/>
        </w:rPr>
        <w:t>)</w:t>
      </w:r>
      <w:r w:rsidR="00F41C03" w:rsidRPr="00F41C03">
        <w:rPr>
          <w:sz w:val="26"/>
          <w:szCs w:val="26"/>
        </w:rPr>
        <w:t>.</w:t>
      </w:r>
      <w:r>
        <w:rPr>
          <w:rStyle w:val="FootnoteReference"/>
          <w:sz w:val="26"/>
          <w:szCs w:val="26"/>
        </w:rPr>
        <w:footnoteReference w:id="35"/>
      </w:r>
      <w:r w:rsidR="00F41C03" w:rsidRPr="00F41C03">
        <w:rPr>
          <w:sz w:val="26"/>
          <w:szCs w:val="26"/>
        </w:rPr>
        <w:t xml:space="preserve"> </w:t>
      </w:r>
      <w:r w:rsidR="00662943">
        <w:rPr>
          <w:sz w:val="26"/>
          <w:szCs w:val="26"/>
        </w:rPr>
        <w:t xml:space="preserve"> </w:t>
      </w:r>
      <w:r w:rsidR="00F41C03" w:rsidRPr="00F41C03">
        <w:rPr>
          <w:sz w:val="26"/>
          <w:szCs w:val="26"/>
        </w:rPr>
        <w:t>Staff agrees that these environmental costs contribute to the overall trend of increasing PIR Program costs and are largely beyond DEO's control.</w:t>
      </w:r>
      <w:r>
        <w:rPr>
          <w:rStyle w:val="FootnoteReference"/>
          <w:sz w:val="26"/>
          <w:szCs w:val="26"/>
        </w:rPr>
        <w:footnoteReference w:id="36"/>
      </w:r>
      <w:r w:rsidR="00F41C03" w:rsidRPr="00F41C03">
        <w:rPr>
          <w:sz w:val="26"/>
          <w:szCs w:val="26"/>
        </w:rPr>
        <w:t xml:space="preserve"> </w:t>
      </w:r>
      <w:r w:rsidR="00662943">
        <w:rPr>
          <w:sz w:val="26"/>
          <w:szCs w:val="26"/>
        </w:rPr>
        <w:t xml:space="preserve"> </w:t>
      </w:r>
    </w:p>
    <w:p w:rsidR="001648EF" w:rsidRPr="001648EF" w:rsidRDefault="001648EF" w:rsidP="005C4ECF">
      <w:pPr>
        <w:pStyle w:val="Heading4"/>
      </w:pPr>
      <w:bookmarkStart w:id="14" w:name="_Toc445811305"/>
      <w:r>
        <w:t>3.</w:t>
      </w:r>
      <w:r>
        <w:tab/>
      </w:r>
      <w:r w:rsidRPr="001648EF">
        <w:t>General inflation</w:t>
      </w:r>
      <w:bookmarkEnd w:id="14"/>
      <w:r w:rsidRPr="001648EF">
        <w:t xml:space="preserve"> </w:t>
      </w:r>
      <w:r w:rsidR="00F41C03" w:rsidRPr="001648EF">
        <w:t xml:space="preserve"> </w:t>
      </w:r>
    </w:p>
    <w:p w:rsidR="001648EF" w:rsidRDefault="00F41C03" w:rsidP="001648EF">
      <w:pPr>
        <w:autoSpaceDE w:val="0"/>
        <w:autoSpaceDN w:val="0"/>
        <w:adjustRightInd w:val="0"/>
        <w:spacing w:line="480" w:lineRule="auto"/>
        <w:ind w:firstLine="720"/>
        <w:rPr>
          <w:sz w:val="26"/>
          <w:szCs w:val="26"/>
        </w:rPr>
      </w:pPr>
      <w:r w:rsidRPr="00F41C03">
        <w:rPr>
          <w:sz w:val="26"/>
          <w:szCs w:val="26"/>
        </w:rPr>
        <w:t xml:space="preserve">DEO maintains that the current residential rate caps on PIR Rider increases do not account for inflation and that an inflation adjustment (as described above) is necessary for it to stay on </w:t>
      </w:r>
      <w:r w:rsidRPr="00F41C03">
        <w:rPr>
          <w:sz w:val="26"/>
          <w:szCs w:val="26"/>
        </w:rPr>
        <w:lastRenderedPageBreak/>
        <w:t xml:space="preserve">schedule to complete the PIR </w:t>
      </w:r>
      <w:r w:rsidR="001648EF">
        <w:rPr>
          <w:sz w:val="26"/>
          <w:szCs w:val="26"/>
        </w:rPr>
        <w:t>Program within the original 25-</w:t>
      </w:r>
      <w:r w:rsidRPr="00F41C03">
        <w:rPr>
          <w:sz w:val="26"/>
          <w:szCs w:val="26"/>
        </w:rPr>
        <w:t>year time frame.</w:t>
      </w:r>
      <w:r w:rsidR="001648EF">
        <w:rPr>
          <w:rStyle w:val="FootnoteReference"/>
          <w:sz w:val="26"/>
          <w:szCs w:val="26"/>
        </w:rPr>
        <w:footnoteReference w:id="37"/>
      </w:r>
      <w:r w:rsidRPr="00F41C03">
        <w:rPr>
          <w:sz w:val="26"/>
          <w:szCs w:val="26"/>
        </w:rPr>
        <w:t xml:space="preserve"> </w:t>
      </w:r>
      <w:r w:rsidR="001648EF">
        <w:rPr>
          <w:sz w:val="26"/>
          <w:szCs w:val="26"/>
        </w:rPr>
        <w:t xml:space="preserve"> </w:t>
      </w:r>
      <w:r w:rsidRPr="00F41C03">
        <w:rPr>
          <w:sz w:val="26"/>
          <w:szCs w:val="26"/>
        </w:rPr>
        <w:t>Staff believes that it is important for D</w:t>
      </w:r>
      <w:r w:rsidR="001648EF">
        <w:rPr>
          <w:sz w:val="26"/>
          <w:szCs w:val="26"/>
        </w:rPr>
        <w:t>EO to maintain the original 25-</w:t>
      </w:r>
      <w:r w:rsidRPr="00F41C03">
        <w:rPr>
          <w:sz w:val="26"/>
          <w:szCs w:val="26"/>
        </w:rPr>
        <w:t>year schedule for implementing the PIR Program.</w:t>
      </w:r>
      <w:r w:rsidR="001648EF">
        <w:rPr>
          <w:rStyle w:val="FootnoteReference"/>
          <w:sz w:val="26"/>
          <w:szCs w:val="26"/>
        </w:rPr>
        <w:footnoteReference w:id="38"/>
      </w:r>
      <w:r w:rsidRPr="00F41C03">
        <w:rPr>
          <w:sz w:val="26"/>
          <w:szCs w:val="26"/>
        </w:rPr>
        <w:t xml:space="preserve"> </w:t>
      </w:r>
      <w:r w:rsidR="001648EF">
        <w:rPr>
          <w:sz w:val="26"/>
          <w:szCs w:val="26"/>
        </w:rPr>
        <w:t xml:space="preserve"> </w:t>
      </w:r>
      <w:r w:rsidRPr="00F41C03">
        <w:rPr>
          <w:sz w:val="26"/>
          <w:szCs w:val="26"/>
        </w:rPr>
        <w:t>Therefore, Staff agrees to the inflation adjustment that DEO recommends for t</w:t>
      </w:r>
      <w:r w:rsidR="001648EF">
        <w:rPr>
          <w:sz w:val="26"/>
          <w:szCs w:val="26"/>
        </w:rPr>
        <w:t>he proposed renewal period only and</w:t>
      </w:r>
      <w:r w:rsidRPr="00F41C03">
        <w:rPr>
          <w:sz w:val="26"/>
          <w:szCs w:val="26"/>
        </w:rPr>
        <w:t xml:space="preserve"> will revisit this topic in any future applications to renew the PIR Program.</w:t>
      </w:r>
      <w:r w:rsidR="001648EF">
        <w:rPr>
          <w:rStyle w:val="FootnoteReference"/>
          <w:sz w:val="26"/>
          <w:szCs w:val="26"/>
        </w:rPr>
        <w:footnoteReference w:id="39"/>
      </w:r>
      <w:r w:rsidRPr="00F41C03">
        <w:rPr>
          <w:sz w:val="26"/>
          <w:szCs w:val="26"/>
        </w:rPr>
        <w:t xml:space="preserve"> </w:t>
      </w:r>
      <w:r w:rsidR="001648EF">
        <w:rPr>
          <w:sz w:val="26"/>
          <w:szCs w:val="26"/>
        </w:rPr>
        <w:t xml:space="preserve"> </w:t>
      </w:r>
    </w:p>
    <w:p w:rsidR="001648EF" w:rsidRPr="001648EF" w:rsidRDefault="001648EF" w:rsidP="005C4ECF">
      <w:pPr>
        <w:pStyle w:val="Heading4"/>
      </w:pPr>
      <w:bookmarkStart w:id="15" w:name="_Toc445811306"/>
      <w:r>
        <w:t>4.</w:t>
      </w:r>
      <w:r>
        <w:tab/>
      </w:r>
      <w:r w:rsidRPr="001648EF">
        <w:t>Increased contract costs</w:t>
      </w:r>
      <w:bookmarkEnd w:id="15"/>
      <w:r w:rsidRPr="001648EF">
        <w:t xml:space="preserve"> </w:t>
      </w:r>
      <w:r w:rsidR="00F41C03" w:rsidRPr="001648EF">
        <w:t xml:space="preserve"> </w:t>
      </w:r>
    </w:p>
    <w:p w:rsidR="00F553C0" w:rsidRDefault="00F41C03" w:rsidP="001648EF">
      <w:pPr>
        <w:autoSpaceDE w:val="0"/>
        <w:autoSpaceDN w:val="0"/>
        <w:adjustRightInd w:val="0"/>
        <w:spacing w:line="480" w:lineRule="auto"/>
        <w:ind w:firstLine="720"/>
        <w:rPr>
          <w:sz w:val="26"/>
          <w:szCs w:val="26"/>
        </w:rPr>
      </w:pPr>
      <w:r w:rsidRPr="00F41C03">
        <w:rPr>
          <w:sz w:val="26"/>
          <w:szCs w:val="26"/>
        </w:rPr>
        <w:lastRenderedPageBreak/>
        <w:t>Staff was able to verify that DEO has experienced a steady increase over time in contr</w:t>
      </w:r>
      <w:r w:rsidR="001648EF">
        <w:rPr>
          <w:sz w:val="26"/>
          <w:szCs w:val="26"/>
        </w:rPr>
        <w:t>actor costs for both its large “</w:t>
      </w:r>
      <w:r w:rsidRPr="00F41C03">
        <w:rPr>
          <w:sz w:val="26"/>
          <w:szCs w:val="26"/>
        </w:rPr>
        <w:t>as bid</w:t>
      </w:r>
      <w:r w:rsidR="001648EF">
        <w:rPr>
          <w:sz w:val="26"/>
          <w:szCs w:val="26"/>
        </w:rPr>
        <w:t>” contracts and smaller “blanket”</w:t>
      </w:r>
      <w:r w:rsidRPr="00F41C03">
        <w:rPr>
          <w:sz w:val="26"/>
          <w:szCs w:val="26"/>
        </w:rPr>
        <w:t xml:space="preserve"> projects (</w:t>
      </w:r>
      <w:r w:rsidRPr="00655FB7">
        <w:rPr>
          <w:i/>
          <w:sz w:val="26"/>
          <w:szCs w:val="26"/>
        </w:rPr>
        <w:t>i.e.</w:t>
      </w:r>
      <w:r w:rsidRPr="00F41C03">
        <w:rPr>
          <w:sz w:val="26"/>
          <w:szCs w:val="26"/>
        </w:rPr>
        <w:t>, where contractors bid on a per unit basis such as number of service lines to install via directional boring, a specified amount of mainline to replace, etc.).</w:t>
      </w:r>
      <w:r w:rsidR="00F553C0">
        <w:rPr>
          <w:rStyle w:val="FootnoteReference"/>
          <w:sz w:val="26"/>
          <w:szCs w:val="26"/>
        </w:rPr>
        <w:footnoteReference w:id="40"/>
      </w:r>
      <w:r w:rsidRPr="00F41C03">
        <w:rPr>
          <w:sz w:val="26"/>
          <w:szCs w:val="26"/>
        </w:rPr>
        <w:t xml:space="preserve"> </w:t>
      </w:r>
      <w:r w:rsidR="001648EF">
        <w:rPr>
          <w:sz w:val="26"/>
          <w:szCs w:val="26"/>
        </w:rPr>
        <w:t xml:space="preserve"> </w:t>
      </w:r>
      <w:r w:rsidRPr="00F41C03">
        <w:rPr>
          <w:sz w:val="26"/>
          <w:szCs w:val="26"/>
        </w:rPr>
        <w:t>DEO also provided evidence in its application that the upward trend in contractor costs is likely to continue for the foreseeable future.</w:t>
      </w:r>
      <w:r w:rsidR="00F553C0">
        <w:rPr>
          <w:rStyle w:val="FootnoteReference"/>
          <w:sz w:val="26"/>
          <w:szCs w:val="26"/>
        </w:rPr>
        <w:footnoteReference w:id="41"/>
      </w:r>
      <w:r w:rsidRPr="00F41C03">
        <w:rPr>
          <w:sz w:val="26"/>
          <w:szCs w:val="26"/>
        </w:rPr>
        <w:t xml:space="preserve"> </w:t>
      </w:r>
      <w:r w:rsidR="001648EF">
        <w:rPr>
          <w:sz w:val="26"/>
          <w:szCs w:val="26"/>
        </w:rPr>
        <w:t xml:space="preserve"> </w:t>
      </w:r>
      <w:r w:rsidRPr="00F41C03">
        <w:rPr>
          <w:sz w:val="26"/>
          <w:szCs w:val="26"/>
        </w:rPr>
        <w:t>One of the most significant hedges or guards against con</w:t>
      </w:r>
      <w:r w:rsidR="00F04B1B">
        <w:rPr>
          <w:sz w:val="26"/>
          <w:szCs w:val="26"/>
        </w:rPr>
        <w:softHyphen/>
      </w:r>
      <w:r w:rsidRPr="00F41C03">
        <w:rPr>
          <w:sz w:val="26"/>
          <w:szCs w:val="26"/>
        </w:rPr>
        <w:t>tractor inflation is a robust competitiv</w:t>
      </w:r>
      <w:r w:rsidR="00F553C0">
        <w:rPr>
          <w:sz w:val="26"/>
          <w:szCs w:val="26"/>
        </w:rPr>
        <w:t xml:space="preserve">e bidding and selection process and </w:t>
      </w:r>
      <w:r w:rsidRPr="00F41C03">
        <w:rPr>
          <w:sz w:val="26"/>
          <w:szCs w:val="26"/>
        </w:rPr>
        <w:t>Staff investi</w:t>
      </w:r>
      <w:r w:rsidR="00F04B1B">
        <w:rPr>
          <w:sz w:val="26"/>
          <w:szCs w:val="26"/>
        </w:rPr>
        <w:softHyphen/>
      </w:r>
      <w:r w:rsidRPr="00F41C03">
        <w:rPr>
          <w:sz w:val="26"/>
          <w:szCs w:val="26"/>
        </w:rPr>
        <w:t xml:space="preserve">gated DEO's contractor bidding and selection processes to ensure that the Company is not establishing unreasonable qualification standards on contractors </w:t>
      </w:r>
      <w:r w:rsidRPr="00F41C03">
        <w:rPr>
          <w:sz w:val="26"/>
          <w:szCs w:val="26"/>
        </w:rPr>
        <w:lastRenderedPageBreak/>
        <w:t>or erecting any other sort of barriers that would prevent contra</w:t>
      </w:r>
      <w:r w:rsidR="00F553C0">
        <w:rPr>
          <w:sz w:val="26"/>
          <w:szCs w:val="26"/>
        </w:rPr>
        <w:t>ctors from participating in DEO’</w:t>
      </w:r>
      <w:r w:rsidRPr="00F41C03">
        <w:rPr>
          <w:sz w:val="26"/>
          <w:szCs w:val="26"/>
        </w:rPr>
        <w:t>s Program or sub</w:t>
      </w:r>
      <w:r w:rsidR="00F04B1B">
        <w:rPr>
          <w:sz w:val="26"/>
          <w:szCs w:val="26"/>
        </w:rPr>
        <w:softHyphen/>
      </w:r>
      <w:r w:rsidRPr="00F41C03">
        <w:rPr>
          <w:sz w:val="26"/>
          <w:szCs w:val="26"/>
        </w:rPr>
        <w:t>mitting project bids.</w:t>
      </w:r>
      <w:r w:rsidR="00F553C0">
        <w:rPr>
          <w:rStyle w:val="FootnoteReference"/>
          <w:sz w:val="26"/>
          <w:szCs w:val="26"/>
        </w:rPr>
        <w:footnoteReference w:id="42"/>
      </w:r>
      <w:r w:rsidRPr="00F41C03">
        <w:rPr>
          <w:sz w:val="26"/>
          <w:szCs w:val="26"/>
        </w:rPr>
        <w:t xml:space="preserve"> </w:t>
      </w:r>
      <w:r w:rsidR="00F553C0">
        <w:rPr>
          <w:sz w:val="26"/>
          <w:szCs w:val="26"/>
        </w:rPr>
        <w:t xml:space="preserve"> </w:t>
      </w:r>
      <w:r w:rsidRPr="00F41C03">
        <w:rPr>
          <w:sz w:val="26"/>
          <w:szCs w:val="26"/>
        </w:rPr>
        <w:t xml:space="preserve">Staff did </w:t>
      </w:r>
      <w:r w:rsidR="00F553C0">
        <w:rPr>
          <w:sz w:val="26"/>
          <w:szCs w:val="26"/>
        </w:rPr>
        <w:t>not find such barriers.</w:t>
      </w:r>
      <w:r w:rsidR="00F553C0">
        <w:rPr>
          <w:rStyle w:val="FootnoteReference"/>
          <w:sz w:val="26"/>
          <w:szCs w:val="26"/>
        </w:rPr>
        <w:footnoteReference w:id="43"/>
      </w:r>
      <w:r w:rsidR="00F553C0">
        <w:rPr>
          <w:sz w:val="26"/>
          <w:szCs w:val="26"/>
        </w:rPr>
        <w:t xml:space="preserve">  In fact,</w:t>
      </w:r>
      <w:r w:rsidRPr="00F41C03">
        <w:rPr>
          <w:sz w:val="26"/>
          <w:szCs w:val="26"/>
        </w:rPr>
        <w:t xml:space="preserve"> Staff found that DEO has a large number of eligible contractors in its bid solicitation pool and, on average, more contractors are submitting bids on projects now than in the past.</w:t>
      </w:r>
      <w:r w:rsidR="00F553C0">
        <w:rPr>
          <w:rStyle w:val="FootnoteReference"/>
          <w:sz w:val="26"/>
          <w:szCs w:val="26"/>
        </w:rPr>
        <w:footnoteReference w:id="44"/>
      </w:r>
      <w:r w:rsidRPr="00F41C03">
        <w:rPr>
          <w:sz w:val="26"/>
          <w:szCs w:val="26"/>
        </w:rPr>
        <w:t xml:space="preserve"> </w:t>
      </w:r>
      <w:r w:rsidR="00F553C0">
        <w:rPr>
          <w:sz w:val="26"/>
          <w:szCs w:val="26"/>
        </w:rPr>
        <w:t xml:space="preserve"> </w:t>
      </w:r>
      <w:r w:rsidRPr="00F41C03">
        <w:rPr>
          <w:sz w:val="26"/>
          <w:szCs w:val="26"/>
        </w:rPr>
        <w:t>In Staff</w:t>
      </w:r>
      <w:r w:rsidR="00F553C0">
        <w:rPr>
          <w:sz w:val="26"/>
          <w:szCs w:val="26"/>
        </w:rPr>
        <w:t>’</w:t>
      </w:r>
      <w:r w:rsidRPr="00F41C03">
        <w:rPr>
          <w:sz w:val="26"/>
          <w:szCs w:val="26"/>
        </w:rPr>
        <w:t>s opin</w:t>
      </w:r>
      <w:r w:rsidR="00F04B1B">
        <w:rPr>
          <w:sz w:val="26"/>
          <w:szCs w:val="26"/>
        </w:rPr>
        <w:softHyphen/>
      </w:r>
      <w:r w:rsidRPr="00F41C03">
        <w:rPr>
          <w:sz w:val="26"/>
          <w:szCs w:val="26"/>
        </w:rPr>
        <w:t>ion, DEO has a robust competitive contractor bidding and selection process and an effective program for recruiting contractors and assisting them to become qualified to submit bids on PIR projects.</w:t>
      </w:r>
      <w:r w:rsidR="00F553C0">
        <w:rPr>
          <w:rStyle w:val="FootnoteReference"/>
          <w:sz w:val="26"/>
          <w:szCs w:val="26"/>
        </w:rPr>
        <w:footnoteReference w:id="45"/>
      </w:r>
      <w:r w:rsidRPr="00F41C03">
        <w:rPr>
          <w:sz w:val="26"/>
          <w:szCs w:val="26"/>
        </w:rPr>
        <w:t xml:space="preserve"> </w:t>
      </w:r>
      <w:r w:rsidR="00F553C0">
        <w:rPr>
          <w:sz w:val="26"/>
          <w:szCs w:val="26"/>
        </w:rPr>
        <w:t xml:space="preserve"> </w:t>
      </w:r>
    </w:p>
    <w:p w:rsidR="00F553C0" w:rsidRPr="00F553C0" w:rsidRDefault="00F553C0" w:rsidP="005C4ECF">
      <w:pPr>
        <w:pStyle w:val="Heading4"/>
      </w:pPr>
      <w:bookmarkStart w:id="16" w:name="_Toc445811307"/>
      <w:r>
        <w:lastRenderedPageBreak/>
        <w:t>5.</w:t>
      </w:r>
      <w:r>
        <w:tab/>
      </w:r>
      <w:r w:rsidR="003B019C">
        <w:t>Summary</w:t>
      </w:r>
      <w:bookmarkEnd w:id="16"/>
    </w:p>
    <w:p w:rsidR="00F41C03" w:rsidRDefault="00F41C03" w:rsidP="001648EF">
      <w:pPr>
        <w:autoSpaceDE w:val="0"/>
        <w:autoSpaceDN w:val="0"/>
        <w:adjustRightInd w:val="0"/>
        <w:spacing w:line="480" w:lineRule="auto"/>
        <w:ind w:firstLine="720"/>
        <w:rPr>
          <w:sz w:val="26"/>
          <w:szCs w:val="26"/>
        </w:rPr>
      </w:pPr>
      <w:r w:rsidRPr="00F41C03">
        <w:rPr>
          <w:sz w:val="26"/>
          <w:szCs w:val="26"/>
        </w:rPr>
        <w:t>DEO and Staff agree that the Company should stay on track to complete the PIR Program within the 25-year period originally approved in the 2007 Rate Case.</w:t>
      </w:r>
      <w:r w:rsidR="003B019C">
        <w:rPr>
          <w:rStyle w:val="FootnoteReference"/>
          <w:sz w:val="26"/>
          <w:szCs w:val="26"/>
        </w:rPr>
        <w:footnoteReference w:id="46"/>
      </w:r>
      <w:r w:rsidRPr="00F41C03">
        <w:rPr>
          <w:sz w:val="26"/>
          <w:szCs w:val="26"/>
        </w:rPr>
        <w:t xml:space="preserve"> </w:t>
      </w:r>
      <w:r w:rsidR="00F553C0">
        <w:rPr>
          <w:sz w:val="26"/>
          <w:szCs w:val="26"/>
        </w:rPr>
        <w:t xml:space="preserve"> </w:t>
      </w:r>
      <w:r w:rsidRPr="00F41C03">
        <w:rPr>
          <w:sz w:val="26"/>
          <w:szCs w:val="26"/>
        </w:rPr>
        <w:t>Staff was able to verify that the Company is indeed experiencing cost increases that are likely to continue into the proposed reauthorization period.</w:t>
      </w:r>
      <w:r w:rsidR="003B019C">
        <w:rPr>
          <w:rStyle w:val="FootnoteReference"/>
          <w:sz w:val="26"/>
          <w:szCs w:val="26"/>
        </w:rPr>
        <w:footnoteReference w:id="47"/>
      </w:r>
      <w:r w:rsidRPr="00F41C03">
        <w:rPr>
          <w:sz w:val="26"/>
          <w:szCs w:val="26"/>
        </w:rPr>
        <w:t xml:space="preserve"> </w:t>
      </w:r>
      <w:r w:rsidR="00F553C0">
        <w:rPr>
          <w:sz w:val="26"/>
          <w:szCs w:val="26"/>
        </w:rPr>
        <w:t xml:space="preserve"> </w:t>
      </w:r>
      <w:r w:rsidRPr="00F41C03">
        <w:rPr>
          <w:sz w:val="26"/>
          <w:szCs w:val="26"/>
        </w:rPr>
        <w:t>The cost increases will adversely affect the Company's ability to stay on schedule to complete the Pr</w:t>
      </w:r>
      <w:r w:rsidR="00F553C0">
        <w:rPr>
          <w:sz w:val="26"/>
          <w:szCs w:val="26"/>
        </w:rPr>
        <w:t>ogram as scheduled.</w:t>
      </w:r>
      <w:r w:rsidR="003B019C">
        <w:rPr>
          <w:rStyle w:val="FootnoteReference"/>
          <w:sz w:val="26"/>
          <w:szCs w:val="26"/>
        </w:rPr>
        <w:footnoteReference w:id="48"/>
      </w:r>
      <w:r w:rsidR="00F553C0">
        <w:rPr>
          <w:sz w:val="26"/>
          <w:szCs w:val="26"/>
        </w:rPr>
        <w:t xml:space="preserve">  As a result,</w:t>
      </w:r>
      <w:r w:rsidRPr="00F41C03">
        <w:rPr>
          <w:sz w:val="26"/>
          <w:szCs w:val="26"/>
        </w:rPr>
        <w:t xml:space="preserve"> Staff recommends that </w:t>
      </w:r>
      <w:r w:rsidRPr="00F41C03">
        <w:rPr>
          <w:sz w:val="26"/>
          <w:szCs w:val="26"/>
        </w:rPr>
        <w:lastRenderedPageBreak/>
        <w:t>the Commission approve DEO's proposals to increase PIR Program investments and raise the residential rate caps as the Company recom</w:t>
      </w:r>
      <w:r w:rsidR="00F04B1B">
        <w:rPr>
          <w:sz w:val="26"/>
          <w:szCs w:val="26"/>
        </w:rPr>
        <w:softHyphen/>
      </w:r>
      <w:r w:rsidRPr="00F41C03">
        <w:rPr>
          <w:sz w:val="26"/>
          <w:szCs w:val="26"/>
        </w:rPr>
        <w:t>mends.</w:t>
      </w:r>
      <w:r w:rsidR="003B019C">
        <w:rPr>
          <w:rStyle w:val="FootnoteReference"/>
          <w:sz w:val="26"/>
          <w:szCs w:val="26"/>
        </w:rPr>
        <w:footnoteReference w:id="49"/>
      </w:r>
    </w:p>
    <w:p w:rsidR="004F6459" w:rsidRPr="00E85515" w:rsidRDefault="004F6459" w:rsidP="008B28B6">
      <w:pPr>
        <w:pStyle w:val="Heading1"/>
      </w:pPr>
      <w:bookmarkStart w:id="17" w:name="_Toc445811308"/>
      <w:r w:rsidRPr="00E85515">
        <w:t>CONCLUSION</w:t>
      </w:r>
      <w:bookmarkEnd w:id="17"/>
    </w:p>
    <w:p w:rsidR="009331F6" w:rsidRPr="00E85515" w:rsidRDefault="009752B0" w:rsidP="004B006B">
      <w:pPr>
        <w:pStyle w:val="BodyTextFirstIndent"/>
        <w:rPr>
          <w:szCs w:val="26"/>
        </w:rPr>
      </w:pPr>
      <w:r>
        <w:rPr>
          <w:szCs w:val="26"/>
        </w:rPr>
        <w:t>The S</w:t>
      </w:r>
      <w:r w:rsidR="009331F6" w:rsidRPr="00E85515">
        <w:rPr>
          <w:szCs w:val="26"/>
        </w:rPr>
        <w:t>tipulation meets all prongs of the three</w:t>
      </w:r>
      <w:r w:rsidR="006B1F65" w:rsidRPr="00E85515">
        <w:rPr>
          <w:szCs w:val="26"/>
        </w:rPr>
        <w:t>-</w:t>
      </w:r>
      <w:r w:rsidR="009331F6" w:rsidRPr="00E85515">
        <w:rPr>
          <w:szCs w:val="26"/>
        </w:rPr>
        <w:t>part test</w:t>
      </w:r>
      <w:r w:rsidR="00823301">
        <w:rPr>
          <w:szCs w:val="26"/>
        </w:rPr>
        <w:t xml:space="preserve"> for determining the reason</w:t>
      </w:r>
      <w:r w:rsidR="00164B6F">
        <w:rPr>
          <w:szCs w:val="26"/>
        </w:rPr>
        <w:softHyphen/>
      </w:r>
      <w:r w:rsidR="00823301">
        <w:rPr>
          <w:szCs w:val="26"/>
        </w:rPr>
        <w:t>ableness of the Stipulation</w:t>
      </w:r>
      <w:r w:rsidR="009331F6" w:rsidRPr="00E85515">
        <w:rPr>
          <w:szCs w:val="26"/>
        </w:rPr>
        <w:t xml:space="preserve">.  </w:t>
      </w:r>
      <w:r w:rsidR="00D700CE" w:rsidRPr="00E85515">
        <w:rPr>
          <w:szCs w:val="26"/>
        </w:rPr>
        <w:t>T</w:t>
      </w:r>
      <w:r>
        <w:rPr>
          <w:szCs w:val="26"/>
        </w:rPr>
        <w:t>he Commission should adopt the S</w:t>
      </w:r>
      <w:r w:rsidR="009331F6" w:rsidRPr="00E85515">
        <w:rPr>
          <w:szCs w:val="26"/>
        </w:rPr>
        <w:t>tipulation as its order in this case.</w:t>
      </w:r>
    </w:p>
    <w:tbl>
      <w:tblPr>
        <w:tblW w:w="0" w:type="auto"/>
        <w:tblLook w:val="04A0" w:firstRow="1" w:lastRow="0" w:firstColumn="1" w:lastColumn="0" w:noHBand="0" w:noVBand="1"/>
      </w:tblPr>
      <w:tblGrid>
        <w:gridCol w:w="4623"/>
        <w:gridCol w:w="4737"/>
      </w:tblGrid>
      <w:tr w:rsidR="00846B31" w:rsidRPr="00E85515" w:rsidTr="006B1F65">
        <w:trPr>
          <w:trHeight w:val="5112"/>
        </w:trPr>
        <w:tc>
          <w:tcPr>
            <w:tcW w:w="4787" w:type="dxa"/>
            <w:shd w:val="clear" w:color="auto" w:fill="auto"/>
          </w:tcPr>
          <w:p w:rsidR="00846B31" w:rsidRPr="00E85515" w:rsidRDefault="00846B31" w:rsidP="003F5592">
            <w:pPr>
              <w:rPr>
                <w:sz w:val="26"/>
                <w:szCs w:val="26"/>
              </w:rPr>
            </w:pPr>
          </w:p>
        </w:tc>
        <w:tc>
          <w:tcPr>
            <w:tcW w:w="4789" w:type="dxa"/>
            <w:shd w:val="clear" w:color="auto" w:fill="auto"/>
          </w:tcPr>
          <w:p w:rsidR="00846B31" w:rsidRPr="00E85515" w:rsidRDefault="00550AB3" w:rsidP="00550AB3">
            <w:pPr>
              <w:rPr>
                <w:b/>
                <w:sz w:val="26"/>
                <w:szCs w:val="26"/>
              </w:rPr>
            </w:pPr>
            <w:r w:rsidRPr="00E85515">
              <w:rPr>
                <w:b/>
                <w:sz w:val="26"/>
                <w:szCs w:val="26"/>
              </w:rPr>
              <w:t>Mike DeWine</w:t>
            </w:r>
          </w:p>
          <w:p w:rsidR="00846B31" w:rsidRPr="00E85515" w:rsidRDefault="00846B31" w:rsidP="00550AB3">
            <w:pPr>
              <w:rPr>
                <w:sz w:val="26"/>
                <w:szCs w:val="26"/>
              </w:rPr>
            </w:pPr>
            <w:r w:rsidRPr="00E85515">
              <w:rPr>
                <w:sz w:val="26"/>
                <w:szCs w:val="26"/>
              </w:rPr>
              <w:t>Ohio Attorney General</w:t>
            </w:r>
          </w:p>
          <w:p w:rsidR="00846B31" w:rsidRPr="00E85515" w:rsidRDefault="00846B31" w:rsidP="003F5592">
            <w:pPr>
              <w:rPr>
                <w:sz w:val="26"/>
                <w:szCs w:val="26"/>
              </w:rPr>
            </w:pPr>
          </w:p>
          <w:p w:rsidR="00846B31" w:rsidRPr="00E85515" w:rsidRDefault="00550AB3" w:rsidP="003F5592">
            <w:pPr>
              <w:rPr>
                <w:b/>
                <w:sz w:val="26"/>
                <w:szCs w:val="26"/>
              </w:rPr>
            </w:pPr>
            <w:r w:rsidRPr="00E85515">
              <w:rPr>
                <w:b/>
                <w:sz w:val="26"/>
                <w:szCs w:val="26"/>
              </w:rPr>
              <w:t>William</w:t>
            </w:r>
            <w:r w:rsidR="00846B31" w:rsidRPr="00E85515">
              <w:rPr>
                <w:b/>
                <w:sz w:val="26"/>
                <w:szCs w:val="26"/>
              </w:rPr>
              <w:t xml:space="preserve"> </w:t>
            </w:r>
            <w:r w:rsidRPr="00E85515">
              <w:rPr>
                <w:b/>
                <w:sz w:val="26"/>
                <w:szCs w:val="26"/>
              </w:rPr>
              <w:t>L</w:t>
            </w:r>
            <w:r w:rsidR="00846B31" w:rsidRPr="00E85515">
              <w:rPr>
                <w:b/>
                <w:sz w:val="26"/>
                <w:szCs w:val="26"/>
              </w:rPr>
              <w:t xml:space="preserve">. </w:t>
            </w:r>
            <w:r w:rsidRPr="00E85515">
              <w:rPr>
                <w:b/>
                <w:sz w:val="26"/>
                <w:szCs w:val="26"/>
              </w:rPr>
              <w:t>Wright</w:t>
            </w:r>
          </w:p>
          <w:p w:rsidR="00846B31" w:rsidRPr="00E85515" w:rsidRDefault="00846B31" w:rsidP="003F5592">
            <w:pPr>
              <w:rPr>
                <w:sz w:val="26"/>
                <w:szCs w:val="26"/>
              </w:rPr>
            </w:pPr>
            <w:r w:rsidRPr="00E85515">
              <w:rPr>
                <w:sz w:val="26"/>
                <w:szCs w:val="26"/>
              </w:rPr>
              <w:t>Section Chief</w:t>
            </w:r>
          </w:p>
          <w:p w:rsidR="00846B31" w:rsidRPr="00E85515" w:rsidRDefault="00846B31" w:rsidP="003F5592">
            <w:pPr>
              <w:rPr>
                <w:sz w:val="26"/>
                <w:szCs w:val="26"/>
              </w:rPr>
            </w:pPr>
          </w:p>
          <w:p w:rsidR="00846B31" w:rsidRPr="00E85515" w:rsidRDefault="00152DBA" w:rsidP="00152DBA">
            <w:pPr>
              <w:suppressLineNumbers/>
              <w:tabs>
                <w:tab w:val="left" w:pos="4008"/>
                <w:tab w:val="left" w:pos="4572"/>
              </w:tabs>
              <w:rPr>
                <w:rFonts w:ascii="French Script MT" w:hAnsi="French Script MT"/>
                <w:sz w:val="26"/>
                <w:szCs w:val="26"/>
                <w:u w:val="single"/>
              </w:rPr>
            </w:pPr>
            <w:r w:rsidRPr="00E85515">
              <w:rPr>
                <w:rFonts w:ascii="AR BERKLEY" w:hAnsi="AR BERKLEY"/>
                <w:sz w:val="26"/>
                <w:szCs w:val="26"/>
                <w:u w:val="single"/>
              </w:rPr>
              <w:t>/s/ Steven L. Beeler</w:t>
            </w:r>
            <w:r>
              <w:rPr>
                <w:rFonts w:ascii="AR BERKLEY" w:hAnsi="AR BERKLEY"/>
                <w:sz w:val="26"/>
                <w:szCs w:val="26"/>
                <w:u w:val="single"/>
              </w:rPr>
              <w:tab/>
            </w:r>
          </w:p>
          <w:p w:rsidR="00DD445F" w:rsidRPr="00E85515" w:rsidRDefault="00DD445F" w:rsidP="003F5592">
            <w:pPr>
              <w:rPr>
                <w:b/>
                <w:sz w:val="26"/>
                <w:szCs w:val="26"/>
              </w:rPr>
            </w:pPr>
            <w:r w:rsidRPr="00E85515">
              <w:rPr>
                <w:b/>
                <w:sz w:val="26"/>
                <w:szCs w:val="26"/>
              </w:rPr>
              <w:t xml:space="preserve">Steven L. Beeler </w:t>
            </w:r>
          </w:p>
          <w:p w:rsidR="00846B31" w:rsidRPr="00E85515" w:rsidRDefault="006B5755" w:rsidP="003F5592">
            <w:pPr>
              <w:rPr>
                <w:b/>
                <w:sz w:val="26"/>
                <w:szCs w:val="26"/>
              </w:rPr>
            </w:pPr>
            <w:r>
              <w:rPr>
                <w:b/>
                <w:sz w:val="26"/>
                <w:szCs w:val="26"/>
              </w:rPr>
              <w:t>John H. Jones</w:t>
            </w:r>
            <w:r w:rsidR="00846B31" w:rsidRPr="00E85515">
              <w:rPr>
                <w:sz w:val="26"/>
                <w:szCs w:val="26"/>
              </w:rPr>
              <w:br/>
              <w:t>Assistant Attorney</w:t>
            </w:r>
            <w:r w:rsidR="00DE6838" w:rsidRPr="00E85515">
              <w:rPr>
                <w:sz w:val="26"/>
                <w:szCs w:val="26"/>
              </w:rPr>
              <w:t>s</w:t>
            </w:r>
            <w:r w:rsidR="00846B31" w:rsidRPr="00E85515">
              <w:rPr>
                <w:sz w:val="26"/>
                <w:szCs w:val="26"/>
              </w:rPr>
              <w:t xml:space="preserve"> General</w:t>
            </w:r>
          </w:p>
          <w:p w:rsidR="00846B31" w:rsidRPr="00E85515" w:rsidRDefault="00846B31" w:rsidP="003F5592">
            <w:pPr>
              <w:rPr>
                <w:sz w:val="26"/>
                <w:szCs w:val="26"/>
              </w:rPr>
            </w:pPr>
            <w:r w:rsidRPr="00E85515">
              <w:rPr>
                <w:sz w:val="26"/>
                <w:szCs w:val="26"/>
              </w:rPr>
              <w:t>Public Utilities Section</w:t>
            </w:r>
          </w:p>
          <w:p w:rsidR="00846B31" w:rsidRPr="00E85515" w:rsidRDefault="00846B31" w:rsidP="003F5592">
            <w:pPr>
              <w:rPr>
                <w:sz w:val="26"/>
                <w:szCs w:val="26"/>
              </w:rPr>
            </w:pPr>
            <w:r w:rsidRPr="00E85515">
              <w:rPr>
                <w:sz w:val="26"/>
                <w:szCs w:val="26"/>
              </w:rPr>
              <w:t>180 East Broad Street, 6</w:t>
            </w:r>
            <w:r w:rsidRPr="00E85515">
              <w:rPr>
                <w:sz w:val="26"/>
                <w:szCs w:val="26"/>
                <w:vertAlign w:val="superscript"/>
              </w:rPr>
              <w:t>th</w:t>
            </w:r>
            <w:r w:rsidRPr="00E85515">
              <w:rPr>
                <w:sz w:val="26"/>
                <w:szCs w:val="26"/>
              </w:rPr>
              <w:t xml:space="preserve"> Fl</w:t>
            </w:r>
            <w:r w:rsidR="008E1E54">
              <w:rPr>
                <w:sz w:val="26"/>
                <w:szCs w:val="26"/>
              </w:rPr>
              <w:t>.</w:t>
            </w:r>
          </w:p>
          <w:p w:rsidR="00846B31" w:rsidRPr="00E85515" w:rsidRDefault="00846B31" w:rsidP="003F5592">
            <w:pPr>
              <w:rPr>
                <w:sz w:val="26"/>
                <w:szCs w:val="26"/>
              </w:rPr>
            </w:pPr>
            <w:r w:rsidRPr="00E85515">
              <w:rPr>
                <w:sz w:val="26"/>
                <w:szCs w:val="26"/>
              </w:rPr>
              <w:t>Columbus, OH  43215-3793</w:t>
            </w:r>
          </w:p>
          <w:p w:rsidR="00846B31" w:rsidRPr="00E85515" w:rsidRDefault="00846B31" w:rsidP="003F5592">
            <w:pPr>
              <w:rPr>
                <w:sz w:val="26"/>
                <w:szCs w:val="26"/>
              </w:rPr>
            </w:pPr>
            <w:r w:rsidRPr="00E85515">
              <w:rPr>
                <w:sz w:val="26"/>
                <w:szCs w:val="26"/>
              </w:rPr>
              <w:t>614.466.4397 (telephone)</w:t>
            </w:r>
          </w:p>
          <w:p w:rsidR="00846B31" w:rsidRPr="00E85515" w:rsidRDefault="00846B31" w:rsidP="003F5592">
            <w:pPr>
              <w:rPr>
                <w:sz w:val="26"/>
                <w:szCs w:val="26"/>
              </w:rPr>
            </w:pPr>
            <w:r w:rsidRPr="00E85515">
              <w:rPr>
                <w:sz w:val="26"/>
                <w:szCs w:val="26"/>
              </w:rPr>
              <w:t>614.644.8764 (fax)</w:t>
            </w:r>
          </w:p>
          <w:p w:rsidR="003E3FAC" w:rsidRPr="00E85515" w:rsidRDefault="00057A6E" w:rsidP="003E3FAC">
            <w:pPr>
              <w:rPr>
                <w:sz w:val="26"/>
                <w:szCs w:val="26"/>
              </w:rPr>
            </w:pPr>
            <w:hyperlink r:id="rId14" w:history="1">
              <w:r w:rsidR="003E3FAC" w:rsidRPr="00E85515">
                <w:rPr>
                  <w:rStyle w:val="Hyperlink"/>
                  <w:sz w:val="26"/>
                  <w:szCs w:val="26"/>
                </w:rPr>
                <w:t>steven.beeler@puc.state.oh.us</w:t>
              </w:r>
            </w:hyperlink>
          </w:p>
          <w:p w:rsidR="00846B31" w:rsidRPr="00E85515" w:rsidRDefault="00057A6E" w:rsidP="008B28B6">
            <w:pPr>
              <w:rPr>
                <w:sz w:val="26"/>
                <w:szCs w:val="26"/>
              </w:rPr>
            </w:pPr>
            <w:hyperlink r:id="rId15" w:history="1">
              <w:r w:rsidR="006B5755" w:rsidRPr="0002299F">
                <w:rPr>
                  <w:rStyle w:val="Hyperlink"/>
                  <w:sz w:val="26"/>
                  <w:szCs w:val="26"/>
                </w:rPr>
                <w:t>john.jones@puc.state.oh.us</w:t>
              </w:r>
            </w:hyperlink>
          </w:p>
        </w:tc>
      </w:tr>
    </w:tbl>
    <w:p w:rsidR="00000695" w:rsidRDefault="00000695" w:rsidP="008B28B6">
      <w:pPr>
        <w:pStyle w:val="Heading1"/>
      </w:pPr>
      <w:r>
        <w:br w:type="page"/>
      </w:r>
    </w:p>
    <w:p w:rsidR="00846B31" w:rsidRPr="00E85515" w:rsidRDefault="007B1283" w:rsidP="008B28B6">
      <w:pPr>
        <w:pStyle w:val="Heading1"/>
      </w:pPr>
      <w:bookmarkStart w:id="18" w:name="_Toc445811309"/>
      <w:r w:rsidRPr="00E85515">
        <w:t>PROOF</w:t>
      </w:r>
      <w:r w:rsidR="00846B31" w:rsidRPr="00E85515">
        <w:t xml:space="preserve"> OF SERVICE</w:t>
      </w:r>
      <w:bookmarkEnd w:id="18"/>
    </w:p>
    <w:p w:rsidR="00846B31" w:rsidRPr="00E85515" w:rsidRDefault="007C5A1F" w:rsidP="004B006B">
      <w:pPr>
        <w:pStyle w:val="BodyTextFirstIndent"/>
        <w:rPr>
          <w:szCs w:val="26"/>
        </w:rPr>
      </w:pPr>
      <w:r w:rsidRPr="00E85515">
        <w:rPr>
          <w:szCs w:val="26"/>
        </w:rPr>
        <w:t>I hereby certify that a true copy of the foregoing Post-Hearing Brief submitted on behalf of the Staff of the Public Utilities Commis</w:t>
      </w:r>
      <w:r w:rsidRPr="00E85515">
        <w:rPr>
          <w:szCs w:val="26"/>
        </w:rPr>
        <w:softHyphen/>
        <w:t>sion of Ohio, was served by regular</w:t>
      </w:r>
      <w:r w:rsidR="006D07B9">
        <w:rPr>
          <w:szCs w:val="26"/>
        </w:rPr>
        <w:t xml:space="preserve"> U.S. mail, postage pre</w:t>
      </w:r>
      <w:r w:rsidR="006D07B9">
        <w:rPr>
          <w:szCs w:val="26"/>
        </w:rPr>
        <w:softHyphen/>
        <w:t>paid,</w:t>
      </w:r>
      <w:r w:rsidRPr="00E85515">
        <w:rPr>
          <w:szCs w:val="26"/>
        </w:rPr>
        <w:t xml:space="preserve"> hand-delivered,</w:t>
      </w:r>
      <w:r w:rsidR="006D07B9">
        <w:rPr>
          <w:szCs w:val="26"/>
        </w:rPr>
        <w:t xml:space="preserve"> and/or electronic mail</w:t>
      </w:r>
      <w:r w:rsidRPr="00E85515">
        <w:rPr>
          <w:szCs w:val="26"/>
        </w:rPr>
        <w:t xml:space="preserve"> upon the fol</w:t>
      </w:r>
      <w:r w:rsidRPr="00E85515">
        <w:rPr>
          <w:szCs w:val="26"/>
        </w:rPr>
        <w:softHyphen/>
        <w:t>lowing parties of record, this</w:t>
      </w:r>
      <w:r w:rsidR="00B71DD2">
        <w:rPr>
          <w:szCs w:val="26"/>
        </w:rPr>
        <w:t xml:space="preserve"> 15</w:t>
      </w:r>
      <w:r w:rsidR="00B71DD2" w:rsidRPr="00B71DD2">
        <w:rPr>
          <w:szCs w:val="26"/>
          <w:vertAlign w:val="superscript"/>
        </w:rPr>
        <w:t>th</w:t>
      </w:r>
      <w:r w:rsidR="006D07B9">
        <w:rPr>
          <w:szCs w:val="26"/>
        </w:rPr>
        <w:t xml:space="preserve"> </w:t>
      </w:r>
      <w:r w:rsidRPr="00E85515">
        <w:rPr>
          <w:szCs w:val="26"/>
        </w:rPr>
        <w:t>day of</w:t>
      </w:r>
      <w:r w:rsidR="006D07B9">
        <w:rPr>
          <w:szCs w:val="26"/>
        </w:rPr>
        <w:t xml:space="preserve"> March</w:t>
      </w:r>
      <w:r w:rsidRPr="00E85515">
        <w:rPr>
          <w:szCs w:val="26"/>
        </w:rPr>
        <w:t>, 201</w:t>
      </w:r>
      <w:r w:rsidR="00DD445F" w:rsidRPr="00E85515">
        <w:rPr>
          <w:szCs w:val="26"/>
        </w:rPr>
        <w:t>6</w:t>
      </w:r>
      <w:r w:rsidRPr="00E85515">
        <w:rPr>
          <w:szCs w:val="26"/>
        </w:rPr>
        <w:t>.</w:t>
      </w:r>
    </w:p>
    <w:p w:rsidR="00DD445F" w:rsidRPr="00E85515" w:rsidRDefault="00DD445F" w:rsidP="00DD445F">
      <w:pPr>
        <w:tabs>
          <w:tab w:val="left" w:pos="4320"/>
          <w:tab w:val="left" w:pos="9360"/>
        </w:tabs>
        <w:rPr>
          <w:rFonts w:ascii="AR BERKLEY" w:hAnsi="AR BERKLEY"/>
          <w:sz w:val="26"/>
          <w:szCs w:val="26"/>
          <w:u w:val="single"/>
        </w:rPr>
      </w:pPr>
      <w:r w:rsidRPr="00E85515">
        <w:rPr>
          <w:rFonts w:ascii="AR BERKLEY" w:hAnsi="AR BERKLEY"/>
          <w:sz w:val="26"/>
          <w:szCs w:val="26"/>
        </w:rPr>
        <w:tab/>
      </w:r>
      <w:r w:rsidRPr="00E85515">
        <w:rPr>
          <w:rFonts w:ascii="AR BERKLEY" w:hAnsi="AR BERKLEY"/>
          <w:sz w:val="26"/>
          <w:szCs w:val="26"/>
          <w:u w:val="single"/>
        </w:rPr>
        <w:t>/s/ Steven L. Beeler</w:t>
      </w:r>
      <w:r w:rsidRPr="00E85515">
        <w:rPr>
          <w:rFonts w:ascii="AR BERKLEY" w:hAnsi="AR BERKLEY"/>
          <w:sz w:val="26"/>
          <w:szCs w:val="26"/>
          <w:u w:val="single"/>
        </w:rPr>
        <w:tab/>
      </w:r>
    </w:p>
    <w:p w:rsidR="00DD445F" w:rsidRPr="00E85515" w:rsidRDefault="00DD445F" w:rsidP="00DD445F">
      <w:pPr>
        <w:ind w:left="4332"/>
        <w:jc w:val="both"/>
        <w:rPr>
          <w:b/>
          <w:sz w:val="26"/>
          <w:szCs w:val="26"/>
        </w:rPr>
      </w:pPr>
      <w:r w:rsidRPr="00E85515">
        <w:rPr>
          <w:b/>
          <w:sz w:val="26"/>
          <w:szCs w:val="26"/>
        </w:rPr>
        <w:t>Steven L. Beeler</w:t>
      </w:r>
    </w:p>
    <w:p w:rsidR="00DD445F" w:rsidRPr="00E85515" w:rsidRDefault="00DD445F" w:rsidP="00DD445F">
      <w:pPr>
        <w:ind w:left="4332"/>
        <w:jc w:val="both"/>
        <w:rPr>
          <w:sz w:val="26"/>
          <w:szCs w:val="26"/>
        </w:rPr>
      </w:pPr>
      <w:r w:rsidRPr="00E85515">
        <w:rPr>
          <w:sz w:val="26"/>
          <w:szCs w:val="26"/>
        </w:rPr>
        <w:t>Assistant Attorney General</w:t>
      </w:r>
    </w:p>
    <w:p w:rsidR="00DD445F" w:rsidRPr="00E85515" w:rsidRDefault="00DD445F" w:rsidP="00DD445F">
      <w:pPr>
        <w:ind w:left="4332"/>
        <w:jc w:val="both"/>
        <w:rPr>
          <w:sz w:val="26"/>
          <w:szCs w:val="26"/>
        </w:rPr>
      </w:pPr>
    </w:p>
    <w:p w:rsidR="00DD445F" w:rsidRPr="00E85515" w:rsidRDefault="00DD445F" w:rsidP="00DD445F">
      <w:pPr>
        <w:rPr>
          <w:b/>
          <w:sz w:val="26"/>
          <w:szCs w:val="26"/>
        </w:rPr>
      </w:pPr>
      <w:r w:rsidRPr="00E85515">
        <w:rPr>
          <w:b/>
          <w:sz w:val="26"/>
          <w:szCs w:val="26"/>
        </w:rPr>
        <w:t>Parties of Record:</w:t>
      </w:r>
    </w:p>
    <w:p w:rsidR="00DD445F" w:rsidRPr="00E85515" w:rsidRDefault="00DD445F" w:rsidP="00DD445F">
      <w:pPr>
        <w:rPr>
          <w:b/>
          <w:sz w:val="26"/>
          <w:szCs w:val="26"/>
        </w:rPr>
      </w:pPr>
    </w:p>
    <w:p w:rsidR="00DD445F" w:rsidRPr="00E85515" w:rsidRDefault="00DD445F" w:rsidP="00DD445F">
      <w:pPr>
        <w:kinsoku w:val="0"/>
        <w:overflowPunct w:val="0"/>
        <w:autoSpaceDE w:val="0"/>
        <w:autoSpaceDN w:val="0"/>
        <w:adjustRightInd w:val="0"/>
        <w:spacing w:before="2"/>
        <w:rPr>
          <w:sz w:val="26"/>
          <w:szCs w:val="26"/>
        </w:rPr>
        <w:sectPr w:rsidR="00DD445F" w:rsidRPr="00E85515" w:rsidSect="00000695">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006D07B9" w:rsidRPr="006D07B9" w:rsidRDefault="00057A6E" w:rsidP="006D07B9">
      <w:pPr>
        <w:suppressLineNumbers/>
        <w:tabs>
          <w:tab w:val="left" w:pos="720"/>
          <w:tab w:val="left" w:pos="5760"/>
        </w:tabs>
        <w:rPr>
          <w:sz w:val="26"/>
          <w:szCs w:val="26"/>
        </w:rPr>
      </w:pPr>
      <w:hyperlink r:id="rId20" w:history="1">
        <w:r w:rsidR="006D07B9" w:rsidRPr="006D07B9">
          <w:rPr>
            <w:color w:val="0000FF"/>
            <w:sz w:val="26"/>
            <w:szCs w:val="26"/>
            <w:u w:val="single"/>
          </w:rPr>
          <w:t>jodi.bair@occ.ohio.gov</w:t>
        </w:r>
      </w:hyperlink>
    </w:p>
    <w:p w:rsidR="00192F72" w:rsidRPr="006D07B9" w:rsidRDefault="00057A6E" w:rsidP="00192F72">
      <w:pPr>
        <w:suppressLineNumbers/>
        <w:tabs>
          <w:tab w:val="left" w:pos="720"/>
          <w:tab w:val="left" w:pos="5760"/>
        </w:tabs>
        <w:rPr>
          <w:sz w:val="26"/>
          <w:szCs w:val="26"/>
        </w:rPr>
      </w:pPr>
      <w:hyperlink r:id="rId21" w:history="1">
        <w:r w:rsidR="00192F72" w:rsidRPr="006D07B9">
          <w:rPr>
            <w:color w:val="0000FF"/>
            <w:sz w:val="26"/>
            <w:szCs w:val="26"/>
            <w:u w:val="single"/>
          </w:rPr>
          <w:t>ajay.kumar@occ.ohio.gov</w:t>
        </w:r>
      </w:hyperlink>
    </w:p>
    <w:p w:rsidR="006D07B9" w:rsidRPr="006D07B9" w:rsidRDefault="00057A6E" w:rsidP="006D07B9">
      <w:pPr>
        <w:suppressLineNumbers/>
        <w:tabs>
          <w:tab w:val="left" w:pos="720"/>
          <w:tab w:val="left" w:pos="5760"/>
        </w:tabs>
        <w:rPr>
          <w:sz w:val="26"/>
          <w:szCs w:val="26"/>
        </w:rPr>
      </w:pPr>
      <w:hyperlink r:id="rId22" w:history="1">
        <w:r w:rsidR="006D07B9" w:rsidRPr="006D07B9">
          <w:rPr>
            <w:color w:val="0000FF"/>
            <w:sz w:val="26"/>
            <w:szCs w:val="26"/>
            <w:u w:val="single"/>
          </w:rPr>
          <w:t>cmooney@ohiopartners.org</w:t>
        </w:r>
      </w:hyperlink>
    </w:p>
    <w:p w:rsidR="006D07B9" w:rsidRPr="006D07B9" w:rsidRDefault="00057A6E" w:rsidP="006D07B9">
      <w:pPr>
        <w:suppressLineNumbers/>
        <w:tabs>
          <w:tab w:val="left" w:pos="720"/>
          <w:tab w:val="left" w:pos="5760"/>
        </w:tabs>
        <w:rPr>
          <w:sz w:val="26"/>
          <w:szCs w:val="26"/>
        </w:rPr>
      </w:pPr>
      <w:hyperlink r:id="rId23" w:history="1">
        <w:r w:rsidR="006D07B9" w:rsidRPr="006D07B9">
          <w:rPr>
            <w:color w:val="0000FF"/>
            <w:sz w:val="26"/>
            <w:szCs w:val="26"/>
            <w:u w:val="single"/>
          </w:rPr>
          <w:t>mpritchard@mwncmh.com</w:t>
        </w:r>
      </w:hyperlink>
    </w:p>
    <w:p w:rsidR="006D07B9" w:rsidRPr="006D07B9" w:rsidRDefault="00057A6E" w:rsidP="006D07B9">
      <w:pPr>
        <w:suppressLineNumbers/>
        <w:tabs>
          <w:tab w:val="left" w:pos="720"/>
          <w:tab w:val="left" w:pos="5760"/>
        </w:tabs>
        <w:rPr>
          <w:sz w:val="26"/>
          <w:szCs w:val="26"/>
        </w:rPr>
      </w:pPr>
      <w:hyperlink r:id="rId24" w:history="1">
        <w:r w:rsidR="006D07B9" w:rsidRPr="006D07B9">
          <w:rPr>
            <w:color w:val="0000FF"/>
            <w:sz w:val="26"/>
            <w:szCs w:val="26"/>
            <w:u w:val="single"/>
          </w:rPr>
          <w:t>fdarr@mwncmh.com</w:t>
        </w:r>
      </w:hyperlink>
    </w:p>
    <w:p w:rsidR="00DD445F" w:rsidRPr="00E85515" w:rsidRDefault="00DD445F" w:rsidP="00752329">
      <w:pPr>
        <w:pStyle w:val="BodyTextFirstIndent"/>
        <w:ind w:firstLine="0"/>
        <w:rPr>
          <w:szCs w:val="26"/>
        </w:rPr>
      </w:pPr>
    </w:p>
    <w:sectPr w:rsidR="00DD445F" w:rsidRPr="00E85515" w:rsidSect="006D07B9">
      <w:headerReference w:type="default" r:id="rId25"/>
      <w:footerReference w:type="default" r:id="rId26"/>
      <w:headerReference w:type="first" r:id="rId27"/>
      <w:footerReference w:type="first" r:id="rId2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99B" w:rsidRDefault="001F799B" w:rsidP="003F4E03">
      <w:r>
        <w:separator/>
      </w:r>
    </w:p>
  </w:endnote>
  <w:endnote w:type="continuationSeparator" w:id="0">
    <w:p w:rsidR="001F799B" w:rsidRDefault="001F799B" w:rsidP="003F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panose1 w:val="02000000000000000000"/>
    <w:charset w:val="00"/>
    <w:family w:val="auto"/>
    <w:pitch w:val="variable"/>
    <w:sig w:usb0="8000002F" w:usb1="0000000A" w:usb2="00000000" w:usb3="00000000" w:csb0="00000001" w:csb1="00000000"/>
  </w:font>
  <w:font w:name="French Script MT">
    <w:altName w:val="Arabic Typesetting"/>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Default="001F799B">
    <w:pPr>
      <w:pStyle w:val="Footer"/>
      <w:jc w:val="center"/>
    </w:pPr>
  </w:p>
  <w:p w:rsidR="001F799B" w:rsidRDefault="001F7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Default="001F799B">
    <w:pPr>
      <w:pStyle w:val="Footer"/>
      <w:jc w:val="center"/>
    </w:pPr>
    <w:r>
      <w:fldChar w:fldCharType="begin"/>
    </w:r>
    <w:r>
      <w:instrText xml:space="preserve"> PAGE   \* MERGEFORMAT </w:instrText>
    </w:r>
    <w:r>
      <w:fldChar w:fldCharType="separate"/>
    </w:r>
    <w:r>
      <w:rPr>
        <w:noProof/>
      </w:rPr>
      <w:t>ii</w:t>
    </w:r>
    <w:r>
      <w:rPr>
        <w:noProof/>
      </w:rPr>
      <w:fldChar w:fldCharType="end"/>
    </w:r>
  </w:p>
  <w:p w:rsidR="001F799B" w:rsidRDefault="001F7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Default="001F799B" w:rsidP="00CF29FB">
    <w:pPr>
      <w:pStyle w:val="Footer"/>
      <w:jc w:val="center"/>
    </w:pPr>
    <w:r>
      <w:fldChar w:fldCharType="begin"/>
    </w:r>
    <w:r>
      <w:instrText xml:space="preserve"> PAGE   \* MERGEFORMAT </w:instrText>
    </w:r>
    <w:r>
      <w:fldChar w:fldCharType="separate"/>
    </w:r>
    <w:r w:rsidR="00057A6E">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7F5520" w:rsidRDefault="001F799B" w:rsidP="00E4268C">
    <w:pPr>
      <w:pStyle w:val="Footer"/>
      <w:jc w:val="center"/>
    </w:pPr>
    <w:r w:rsidRPr="007F5520">
      <w:rPr>
        <w:rStyle w:val="PageNumber"/>
      </w:rPr>
      <w:fldChar w:fldCharType="begin"/>
    </w:r>
    <w:r w:rsidRPr="007F5520">
      <w:rPr>
        <w:rStyle w:val="PageNumber"/>
      </w:rPr>
      <w:instrText xml:space="preserve"> PAGE </w:instrText>
    </w:r>
    <w:r w:rsidRPr="007F5520">
      <w:rPr>
        <w:rStyle w:val="PageNumber"/>
      </w:rPr>
      <w:fldChar w:fldCharType="separate"/>
    </w:r>
    <w:r w:rsidR="00057A6E">
      <w:rPr>
        <w:rStyle w:val="PageNumber"/>
        <w:noProof/>
      </w:rPr>
      <w:t>14</w:t>
    </w:r>
    <w:r w:rsidRPr="007F5520">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000695" w:rsidRDefault="001F799B" w:rsidP="000006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Default="001F799B" w:rsidP="00CF29FB">
    <w:pPr>
      <w:pStyle w:val="Footer"/>
      <w:jc w:val="center"/>
    </w:pPr>
    <w:r>
      <w:fldChar w:fldCharType="begin"/>
    </w:r>
    <w:r>
      <w:instrText xml:space="preserve"> PAGE   \* MERGEFORMAT </w:instrText>
    </w:r>
    <w:r>
      <w:fldChar w:fldCharType="separate"/>
    </w:r>
    <w:r w:rsidR="002436AF">
      <w:rPr>
        <w:noProof/>
      </w:rPr>
      <w:t>2</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CF29FB" w:rsidRDefault="001F799B" w:rsidP="00CF29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99B" w:rsidRDefault="001F799B" w:rsidP="003F4E03">
      <w:r>
        <w:separator/>
      </w:r>
    </w:p>
  </w:footnote>
  <w:footnote w:type="continuationSeparator" w:id="0">
    <w:p w:rsidR="001F799B" w:rsidRDefault="001F799B" w:rsidP="003F4E03">
      <w:r>
        <w:continuationSeparator/>
      </w:r>
    </w:p>
  </w:footnote>
  <w:footnote w:id="1">
    <w:p w:rsidR="008A5799" w:rsidRPr="00A7681D" w:rsidRDefault="008A5799">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sz w:val="24"/>
          <w:szCs w:val="24"/>
        </w:rPr>
        <w:t xml:space="preserve">DEO Ex. 6.0, </w:t>
      </w:r>
      <w:r w:rsidR="00655FB7">
        <w:rPr>
          <w:sz w:val="24"/>
          <w:szCs w:val="24"/>
        </w:rPr>
        <w:t>(</w:t>
      </w:r>
      <w:r w:rsidRPr="00A7681D">
        <w:rPr>
          <w:i/>
          <w:sz w:val="24"/>
          <w:szCs w:val="24"/>
        </w:rPr>
        <w:t>In the Matter of the Application of The East Ohio Gas Company d/b/a Dominion East Ohio for Approval of an Alternative Form of Regulation</w:t>
      </w:r>
      <w:r w:rsidRPr="00A7681D">
        <w:rPr>
          <w:sz w:val="24"/>
          <w:szCs w:val="24"/>
        </w:rPr>
        <w:t xml:space="preserve">, Case No. </w:t>
      </w:r>
      <w:r w:rsidR="00164B6F">
        <w:rPr>
          <w:sz w:val="24"/>
          <w:szCs w:val="24"/>
        </w:rPr>
        <w:t>15-0362-GA-ALT</w:t>
      </w:r>
      <w:r w:rsidR="00F04B1B">
        <w:rPr>
          <w:sz w:val="24"/>
          <w:szCs w:val="24"/>
        </w:rPr>
        <w:t xml:space="preserve"> (2015 PIR Case)</w:t>
      </w:r>
      <w:r w:rsidRPr="00A7681D">
        <w:rPr>
          <w:sz w:val="24"/>
          <w:szCs w:val="24"/>
        </w:rPr>
        <w:t xml:space="preserve"> (Second Supplemental Direct Testimony of Vicki H. Friscic at 1) (Feb</w:t>
      </w:r>
      <w:r w:rsidR="00655FB7">
        <w:rPr>
          <w:sz w:val="24"/>
          <w:szCs w:val="24"/>
        </w:rPr>
        <w:t>.</w:t>
      </w:r>
      <w:r w:rsidRPr="00A7681D">
        <w:rPr>
          <w:sz w:val="24"/>
          <w:szCs w:val="24"/>
        </w:rPr>
        <w:t xml:space="preserve"> 11, 2016)</w:t>
      </w:r>
      <w:r w:rsidR="00655FB7">
        <w:rPr>
          <w:sz w:val="24"/>
          <w:szCs w:val="24"/>
        </w:rPr>
        <w:t>)</w:t>
      </w:r>
      <w:r w:rsidRPr="00A7681D">
        <w:rPr>
          <w:sz w:val="24"/>
          <w:szCs w:val="24"/>
        </w:rPr>
        <w:t>.</w:t>
      </w:r>
      <w:r w:rsidR="007153B6" w:rsidRPr="00A7681D">
        <w:rPr>
          <w:sz w:val="24"/>
          <w:szCs w:val="24"/>
        </w:rPr>
        <w:t xml:space="preserve"> </w:t>
      </w:r>
    </w:p>
  </w:footnote>
  <w:footnote w:id="2">
    <w:p w:rsidR="008A5799" w:rsidRPr="00A7681D" w:rsidRDefault="008A5799">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655FB7" w:rsidRPr="00A7681D">
        <w:rPr>
          <w:sz w:val="24"/>
          <w:szCs w:val="24"/>
        </w:rPr>
        <w:t>DEO Ex. 6.0</w:t>
      </w:r>
      <w:r w:rsidR="00655FB7">
        <w:rPr>
          <w:sz w:val="24"/>
          <w:szCs w:val="24"/>
        </w:rPr>
        <w:t xml:space="preserve"> (</w:t>
      </w:r>
      <w:r w:rsidR="00655FB7" w:rsidRPr="00A7681D">
        <w:rPr>
          <w:sz w:val="24"/>
          <w:szCs w:val="24"/>
        </w:rPr>
        <w:t>Second Supplemental Direct Testimony of Vicki H. Friscic at 1) (Feb</w:t>
      </w:r>
      <w:r w:rsidR="00655FB7">
        <w:rPr>
          <w:sz w:val="24"/>
          <w:szCs w:val="24"/>
        </w:rPr>
        <w:t>.</w:t>
      </w:r>
      <w:r w:rsidR="00655FB7" w:rsidRPr="00A7681D">
        <w:rPr>
          <w:sz w:val="24"/>
          <w:szCs w:val="24"/>
        </w:rPr>
        <w:t xml:space="preserve"> 11, 2016)</w:t>
      </w:r>
      <w:r w:rsidR="00655FB7">
        <w:rPr>
          <w:sz w:val="24"/>
          <w:szCs w:val="24"/>
        </w:rPr>
        <w:t>)</w:t>
      </w:r>
      <w:r w:rsidRPr="00A7681D">
        <w:rPr>
          <w:i/>
          <w:sz w:val="24"/>
          <w:szCs w:val="24"/>
        </w:rPr>
        <w:t>.</w:t>
      </w:r>
    </w:p>
  </w:footnote>
  <w:footnote w:id="3">
    <w:p w:rsidR="008A5799" w:rsidRPr="00A7681D" w:rsidRDefault="008A5799">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
    <w:p w:rsidR="008A5799" w:rsidRPr="00A7681D" w:rsidRDefault="008A5799">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5">
    <w:p w:rsidR="008A5799" w:rsidRPr="00A7681D" w:rsidRDefault="008A5799">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 xml:space="preserve">Id. </w:t>
      </w:r>
      <w:r w:rsidRPr="00A7681D">
        <w:rPr>
          <w:sz w:val="24"/>
          <w:szCs w:val="24"/>
        </w:rPr>
        <w:t>at 2.</w:t>
      </w:r>
    </w:p>
  </w:footnote>
  <w:footnote w:id="6">
    <w:p w:rsidR="008A5799" w:rsidRPr="00A7681D" w:rsidRDefault="008A5799">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sz w:val="24"/>
          <w:szCs w:val="24"/>
        </w:rPr>
        <w:t>Staff E</w:t>
      </w:r>
      <w:r w:rsidR="00D223AE" w:rsidRPr="00A7681D">
        <w:rPr>
          <w:sz w:val="24"/>
          <w:szCs w:val="24"/>
        </w:rPr>
        <w:t>x. 2</w:t>
      </w:r>
      <w:r w:rsidRPr="00A7681D">
        <w:rPr>
          <w:sz w:val="24"/>
          <w:szCs w:val="24"/>
        </w:rPr>
        <w:t xml:space="preserve"> (Staff Report at 6).</w:t>
      </w:r>
    </w:p>
  </w:footnote>
  <w:footnote w:id="7">
    <w:p w:rsidR="001A7EB0" w:rsidRPr="00A7681D" w:rsidRDefault="001A7EB0">
      <w:pPr>
        <w:pStyle w:val="FootnoteText"/>
        <w:rPr>
          <w:sz w:val="24"/>
          <w:szCs w:val="24"/>
        </w:rPr>
      </w:pPr>
      <w:r w:rsidRPr="00A7681D">
        <w:rPr>
          <w:rStyle w:val="FootnoteReference"/>
          <w:sz w:val="24"/>
          <w:szCs w:val="24"/>
        </w:rPr>
        <w:footnoteRef/>
      </w:r>
      <w:r w:rsidR="00D223AE" w:rsidRPr="00A7681D">
        <w:rPr>
          <w:sz w:val="24"/>
          <w:szCs w:val="24"/>
        </w:rPr>
        <w:t xml:space="preserve"> </w:t>
      </w:r>
      <w:r w:rsidR="00D223AE" w:rsidRPr="00A7681D">
        <w:rPr>
          <w:sz w:val="24"/>
          <w:szCs w:val="24"/>
        </w:rPr>
        <w:tab/>
      </w:r>
      <w:r w:rsidR="00655FB7">
        <w:rPr>
          <w:sz w:val="24"/>
          <w:szCs w:val="24"/>
        </w:rPr>
        <w:tab/>
      </w:r>
      <w:r w:rsidR="00D223AE" w:rsidRPr="00A7681D">
        <w:rPr>
          <w:sz w:val="24"/>
          <w:szCs w:val="24"/>
        </w:rPr>
        <w:t>Joint Ex. 1</w:t>
      </w:r>
      <w:r w:rsidRPr="00A7681D">
        <w:rPr>
          <w:sz w:val="24"/>
          <w:szCs w:val="24"/>
        </w:rPr>
        <w:t xml:space="preserve"> (Stipulation and Recommendation at 2).</w:t>
      </w:r>
    </w:p>
  </w:footnote>
  <w:footnote w:id="8">
    <w:p w:rsidR="001A7EB0" w:rsidRPr="00A7681D" w:rsidRDefault="001A7EB0">
      <w:pPr>
        <w:pStyle w:val="FootnoteText"/>
        <w:rPr>
          <w:sz w:val="24"/>
          <w:szCs w:val="24"/>
        </w:rPr>
      </w:pPr>
      <w:r w:rsidRPr="00A7681D">
        <w:rPr>
          <w:rStyle w:val="FootnoteReference"/>
          <w:sz w:val="24"/>
          <w:szCs w:val="24"/>
        </w:rPr>
        <w:footnoteRef/>
      </w:r>
      <w:r w:rsidR="00D223AE" w:rsidRPr="00A7681D">
        <w:rPr>
          <w:sz w:val="24"/>
          <w:szCs w:val="24"/>
        </w:rPr>
        <w:t xml:space="preserve"> </w:t>
      </w:r>
      <w:r w:rsidR="00D223AE" w:rsidRPr="00A7681D">
        <w:rPr>
          <w:sz w:val="24"/>
          <w:szCs w:val="24"/>
        </w:rPr>
        <w:tab/>
      </w:r>
      <w:r w:rsidR="00655FB7">
        <w:rPr>
          <w:sz w:val="24"/>
          <w:szCs w:val="24"/>
        </w:rPr>
        <w:tab/>
      </w:r>
      <w:r w:rsidR="00D223AE" w:rsidRPr="00A7681D">
        <w:rPr>
          <w:sz w:val="24"/>
          <w:szCs w:val="24"/>
        </w:rPr>
        <w:t>OCC Ex. 3</w:t>
      </w:r>
      <w:r w:rsidRPr="00A7681D">
        <w:rPr>
          <w:sz w:val="24"/>
          <w:szCs w:val="24"/>
        </w:rPr>
        <w:t xml:space="preserve"> (O’Neill Supplemental Direct at 4).</w:t>
      </w:r>
    </w:p>
  </w:footnote>
  <w:footnote w:id="9">
    <w:p w:rsidR="001F799B" w:rsidRPr="00A7681D" w:rsidRDefault="001F799B" w:rsidP="00B00859">
      <w:pPr>
        <w:pStyle w:val="FootnoteText"/>
        <w:rPr>
          <w:sz w:val="24"/>
          <w:szCs w:val="24"/>
        </w:rPr>
      </w:pPr>
      <w:r w:rsidRPr="00A7681D">
        <w:rPr>
          <w:rStyle w:val="FootnoteReference"/>
          <w:sz w:val="24"/>
          <w:szCs w:val="24"/>
        </w:rPr>
        <w:footnoteRef/>
      </w:r>
      <w:r w:rsidRPr="00A7681D">
        <w:rPr>
          <w:sz w:val="24"/>
          <w:szCs w:val="24"/>
        </w:rPr>
        <w:t xml:space="preserve"> </w:t>
      </w:r>
      <w:r w:rsidRPr="00A7681D">
        <w:rPr>
          <w:bCs/>
          <w:sz w:val="24"/>
          <w:szCs w:val="24"/>
        </w:rPr>
        <w:tab/>
      </w:r>
      <w:r w:rsidR="00655FB7">
        <w:rPr>
          <w:bCs/>
          <w:sz w:val="24"/>
          <w:szCs w:val="24"/>
        </w:rPr>
        <w:tab/>
      </w:r>
      <w:r w:rsidRPr="00A7681D">
        <w:rPr>
          <w:i/>
          <w:sz w:val="24"/>
          <w:szCs w:val="24"/>
        </w:rPr>
        <w:t>Consumers' Counsel v. Pub. Util. Comm</w:t>
      </w:r>
      <w:r w:rsidRPr="00A7681D">
        <w:rPr>
          <w:sz w:val="24"/>
          <w:szCs w:val="24"/>
        </w:rPr>
        <w:t>. (1992), 64 Ohio St</w:t>
      </w:r>
      <w:r w:rsidR="00C645AE">
        <w:rPr>
          <w:sz w:val="24"/>
          <w:szCs w:val="24"/>
        </w:rPr>
        <w:t>.</w:t>
      </w:r>
      <w:r w:rsidRPr="00A7681D">
        <w:rPr>
          <w:sz w:val="24"/>
          <w:szCs w:val="24"/>
        </w:rPr>
        <w:t xml:space="preserve">3d 123, at 125, citing </w:t>
      </w:r>
      <w:r w:rsidRPr="00A7681D">
        <w:rPr>
          <w:i/>
          <w:sz w:val="24"/>
          <w:szCs w:val="24"/>
        </w:rPr>
        <w:t>Akron v. Pub. Util. Comm</w:t>
      </w:r>
      <w:r w:rsidRPr="00A7681D">
        <w:rPr>
          <w:sz w:val="24"/>
          <w:szCs w:val="24"/>
        </w:rPr>
        <w:t>. (1978), 55 Ohio St</w:t>
      </w:r>
      <w:r w:rsidR="00C645AE">
        <w:rPr>
          <w:sz w:val="24"/>
          <w:szCs w:val="24"/>
        </w:rPr>
        <w:t>.</w:t>
      </w:r>
      <w:r w:rsidRPr="00A7681D">
        <w:rPr>
          <w:sz w:val="24"/>
          <w:szCs w:val="24"/>
        </w:rPr>
        <w:t>2d 155.</w:t>
      </w:r>
    </w:p>
  </w:footnote>
  <w:footnote w:id="10">
    <w:p w:rsidR="001F799B" w:rsidRPr="00A7681D" w:rsidRDefault="001F799B" w:rsidP="00B00859">
      <w:pPr>
        <w:pStyle w:val="FootnoteText"/>
        <w:rPr>
          <w:sz w:val="24"/>
          <w:szCs w:val="24"/>
        </w:rPr>
      </w:pPr>
      <w:r w:rsidRPr="00A7681D">
        <w:rPr>
          <w:rStyle w:val="FootnoteReference"/>
          <w:sz w:val="24"/>
          <w:szCs w:val="24"/>
        </w:rPr>
        <w:footnoteRef/>
      </w:r>
      <w:r w:rsidRPr="00A7681D">
        <w:rPr>
          <w:sz w:val="24"/>
          <w:szCs w:val="24"/>
        </w:rPr>
        <w:t xml:space="preserve"> </w:t>
      </w:r>
      <w:r w:rsidRPr="00A7681D">
        <w:rPr>
          <w:bCs/>
          <w:sz w:val="24"/>
          <w:szCs w:val="24"/>
        </w:rPr>
        <w:tab/>
      </w:r>
      <w:r w:rsidR="00655FB7">
        <w:rPr>
          <w:bCs/>
          <w:sz w:val="24"/>
          <w:szCs w:val="24"/>
        </w:rPr>
        <w:tab/>
      </w:r>
      <w:r w:rsidRPr="00A7681D">
        <w:rPr>
          <w:sz w:val="24"/>
          <w:szCs w:val="24"/>
        </w:rPr>
        <w:t xml:space="preserve">See, e.g., </w:t>
      </w:r>
      <w:r w:rsidRPr="00A7681D">
        <w:rPr>
          <w:i/>
          <w:sz w:val="24"/>
          <w:szCs w:val="24"/>
        </w:rPr>
        <w:t>Cincinnati Gas &amp; Electric Co.</w:t>
      </w:r>
      <w:r w:rsidRPr="00A7681D">
        <w:rPr>
          <w:sz w:val="24"/>
          <w:szCs w:val="24"/>
        </w:rPr>
        <w:t>, Case No. 91-410-EL-AIR (Apr</w:t>
      </w:r>
      <w:r w:rsidR="00655FB7">
        <w:rPr>
          <w:sz w:val="24"/>
          <w:szCs w:val="24"/>
        </w:rPr>
        <w:t>.</w:t>
      </w:r>
      <w:r w:rsidRPr="00A7681D">
        <w:rPr>
          <w:sz w:val="24"/>
          <w:szCs w:val="24"/>
        </w:rPr>
        <w:t xml:space="preserve"> 14, 1994); </w:t>
      </w:r>
      <w:r w:rsidRPr="00A7681D">
        <w:rPr>
          <w:i/>
          <w:sz w:val="24"/>
          <w:szCs w:val="24"/>
        </w:rPr>
        <w:t>Ohio Edison Co</w:t>
      </w:r>
      <w:r w:rsidRPr="00A7681D">
        <w:rPr>
          <w:sz w:val="24"/>
          <w:szCs w:val="24"/>
        </w:rPr>
        <w:t xml:space="preserve">., Case No. 92-1463-GA-AIR, </w:t>
      </w:r>
      <w:r w:rsidRPr="00655FB7">
        <w:rPr>
          <w:i/>
          <w:sz w:val="24"/>
          <w:szCs w:val="24"/>
        </w:rPr>
        <w:t>et al</w:t>
      </w:r>
      <w:r w:rsidRPr="00A7681D">
        <w:rPr>
          <w:sz w:val="24"/>
          <w:szCs w:val="24"/>
        </w:rPr>
        <w:t>. (Aug</w:t>
      </w:r>
      <w:r w:rsidR="00655FB7">
        <w:rPr>
          <w:sz w:val="24"/>
          <w:szCs w:val="24"/>
        </w:rPr>
        <w:t xml:space="preserve">. </w:t>
      </w:r>
      <w:r w:rsidRPr="00A7681D">
        <w:rPr>
          <w:sz w:val="24"/>
          <w:szCs w:val="24"/>
        </w:rPr>
        <w:t xml:space="preserve">26, 1993); </w:t>
      </w:r>
      <w:r w:rsidRPr="00A7681D">
        <w:rPr>
          <w:i/>
          <w:sz w:val="24"/>
          <w:szCs w:val="24"/>
        </w:rPr>
        <w:t>Ohio Edison Co</w:t>
      </w:r>
      <w:r w:rsidRPr="00A7681D">
        <w:rPr>
          <w:sz w:val="24"/>
          <w:szCs w:val="24"/>
        </w:rPr>
        <w:t>., Case No. 89-1001-EL-AIR (Aug</w:t>
      </w:r>
      <w:r w:rsidR="00655FB7">
        <w:rPr>
          <w:sz w:val="24"/>
          <w:szCs w:val="24"/>
        </w:rPr>
        <w:t>.</w:t>
      </w:r>
      <w:r w:rsidRPr="00A7681D">
        <w:rPr>
          <w:sz w:val="24"/>
          <w:szCs w:val="24"/>
        </w:rPr>
        <w:t xml:space="preserve"> 19, 1993); </w:t>
      </w:r>
      <w:r w:rsidRPr="00A7681D">
        <w:rPr>
          <w:i/>
          <w:sz w:val="24"/>
          <w:szCs w:val="24"/>
        </w:rPr>
        <w:t>The Cleveland Electric Illumination Co.</w:t>
      </w:r>
      <w:r w:rsidRPr="00A7681D">
        <w:rPr>
          <w:sz w:val="24"/>
          <w:szCs w:val="24"/>
        </w:rPr>
        <w:t>, Case No. 88-170-EL-AIR (Jan</w:t>
      </w:r>
      <w:r w:rsidR="00655FB7">
        <w:rPr>
          <w:sz w:val="24"/>
          <w:szCs w:val="24"/>
        </w:rPr>
        <w:t>.</w:t>
      </w:r>
      <w:r w:rsidRPr="00A7681D">
        <w:rPr>
          <w:sz w:val="24"/>
          <w:szCs w:val="24"/>
        </w:rPr>
        <w:t xml:space="preserve"> 31, 1989); and </w:t>
      </w:r>
      <w:r w:rsidRPr="00A7681D">
        <w:rPr>
          <w:i/>
          <w:sz w:val="24"/>
          <w:szCs w:val="24"/>
        </w:rPr>
        <w:t>Restatement of Accounts and Records (Zimmer Plant)</w:t>
      </w:r>
      <w:r w:rsidRPr="00A7681D">
        <w:rPr>
          <w:sz w:val="24"/>
          <w:szCs w:val="24"/>
        </w:rPr>
        <w:t>; Case No, 84-1187-EL-UNC (Nov</w:t>
      </w:r>
      <w:r w:rsidR="00655FB7">
        <w:rPr>
          <w:sz w:val="24"/>
          <w:szCs w:val="24"/>
        </w:rPr>
        <w:t>.</w:t>
      </w:r>
      <w:r w:rsidRPr="00A7681D">
        <w:rPr>
          <w:sz w:val="24"/>
          <w:szCs w:val="24"/>
        </w:rPr>
        <w:t xml:space="preserve"> 26, 1985).</w:t>
      </w:r>
    </w:p>
  </w:footnote>
  <w:footnote w:id="11">
    <w:p w:rsidR="001F799B" w:rsidRPr="00A7681D" w:rsidRDefault="001F799B" w:rsidP="00B00859">
      <w:pPr>
        <w:pStyle w:val="FootnoteText"/>
        <w:rPr>
          <w:sz w:val="24"/>
          <w:szCs w:val="24"/>
        </w:rPr>
      </w:pPr>
      <w:r w:rsidRPr="00A7681D">
        <w:rPr>
          <w:rStyle w:val="FootnoteReference"/>
          <w:sz w:val="24"/>
          <w:szCs w:val="24"/>
        </w:rPr>
        <w:footnoteRef/>
      </w:r>
      <w:r w:rsidRPr="00A7681D">
        <w:rPr>
          <w:sz w:val="24"/>
          <w:szCs w:val="24"/>
        </w:rPr>
        <w:t xml:space="preserve"> </w:t>
      </w:r>
      <w:r w:rsidRPr="00A7681D">
        <w:rPr>
          <w:bCs/>
          <w:sz w:val="24"/>
          <w:szCs w:val="24"/>
        </w:rPr>
        <w:tab/>
      </w:r>
      <w:r w:rsidR="00655FB7">
        <w:rPr>
          <w:bCs/>
          <w:sz w:val="24"/>
          <w:szCs w:val="24"/>
        </w:rPr>
        <w:tab/>
      </w:r>
      <w:r w:rsidRPr="00A7681D">
        <w:rPr>
          <w:i/>
          <w:sz w:val="24"/>
          <w:szCs w:val="24"/>
        </w:rPr>
        <w:t>Indus. Energy Consumers of Ohio Power Co. v. Pub. Util. Comm.</w:t>
      </w:r>
      <w:r w:rsidR="00C645AE">
        <w:rPr>
          <w:sz w:val="24"/>
          <w:szCs w:val="24"/>
        </w:rPr>
        <w:t xml:space="preserve"> (1994), 68 Ohio St.</w:t>
      </w:r>
      <w:r w:rsidRPr="00A7681D">
        <w:rPr>
          <w:sz w:val="24"/>
          <w:szCs w:val="24"/>
        </w:rPr>
        <w:t xml:space="preserve">3d 559, citing, </w:t>
      </w:r>
      <w:r w:rsidRPr="00655FB7">
        <w:rPr>
          <w:i/>
          <w:sz w:val="24"/>
          <w:szCs w:val="24"/>
        </w:rPr>
        <w:t>Consumers' Counsel, supra</w:t>
      </w:r>
      <w:r w:rsidRPr="00A7681D">
        <w:rPr>
          <w:sz w:val="24"/>
          <w:szCs w:val="24"/>
        </w:rPr>
        <w:t>, at 126.</w:t>
      </w:r>
    </w:p>
  </w:footnote>
  <w:footnote w:id="12">
    <w:p w:rsidR="001F799B" w:rsidRPr="00A7681D" w:rsidRDefault="001F799B" w:rsidP="00B00859">
      <w:pPr>
        <w:pStyle w:val="FootnoteText"/>
        <w:rPr>
          <w:sz w:val="24"/>
          <w:szCs w:val="24"/>
        </w:rPr>
      </w:pPr>
      <w:r w:rsidRPr="00A7681D">
        <w:rPr>
          <w:rStyle w:val="FootnoteReference"/>
          <w:sz w:val="24"/>
          <w:szCs w:val="24"/>
        </w:rPr>
        <w:footnoteRef/>
      </w:r>
      <w:r w:rsidRPr="00A7681D">
        <w:rPr>
          <w:sz w:val="24"/>
          <w:szCs w:val="24"/>
        </w:rPr>
        <w:t xml:space="preserve"> </w:t>
      </w:r>
      <w:r w:rsidRPr="00A7681D">
        <w:rPr>
          <w:bCs/>
          <w:sz w:val="24"/>
          <w:szCs w:val="24"/>
        </w:rPr>
        <w:tab/>
      </w:r>
      <w:r w:rsidR="00655FB7">
        <w:rPr>
          <w:bCs/>
          <w:sz w:val="24"/>
          <w:szCs w:val="24"/>
        </w:rPr>
        <w:tab/>
      </w:r>
      <w:r w:rsidRPr="00A7681D">
        <w:rPr>
          <w:i/>
          <w:iCs/>
          <w:sz w:val="24"/>
          <w:szCs w:val="24"/>
        </w:rPr>
        <w:t xml:space="preserve">Consumers’ Counsel v. Pub. Util. Comm. </w:t>
      </w:r>
      <w:r w:rsidRPr="00A7681D">
        <w:rPr>
          <w:sz w:val="24"/>
          <w:szCs w:val="24"/>
        </w:rPr>
        <w:t>(1992), 64 Ohio St.3d 123, 126, 592 N.E.2d 1370.</w:t>
      </w:r>
    </w:p>
  </w:footnote>
  <w:footnote w:id="13">
    <w:p w:rsidR="001F799B" w:rsidRPr="00A7681D" w:rsidRDefault="001F799B" w:rsidP="00B00859">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In re Application of Columbus S. Power Co.</w:t>
      </w:r>
      <w:r w:rsidRPr="00A7681D">
        <w:rPr>
          <w:sz w:val="24"/>
          <w:szCs w:val="24"/>
        </w:rPr>
        <w:t xml:space="preserve"> (2011), 129 Ohio St.3d 46.</w:t>
      </w:r>
    </w:p>
  </w:footnote>
  <w:footnote w:id="14">
    <w:p w:rsidR="00356FB9" w:rsidRPr="00A7681D" w:rsidRDefault="00356FB9" w:rsidP="00356FB9">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4D162E" w:rsidRPr="00A7681D">
        <w:rPr>
          <w:sz w:val="24"/>
          <w:szCs w:val="24"/>
        </w:rPr>
        <w:t>DEO Ex. 6</w:t>
      </w:r>
      <w:r w:rsidR="001A7EB0" w:rsidRPr="00A7681D">
        <w:rPr>
          <w:sz w:val="24"/>
          <w:szCs w:val="24"/>
        </w:rPr>
        <w:t xml:space="preserve"> (Friscic </w:t>
      </w:r>
      <w:r w:rsidRPr="00A7681D">
        <w:rPr>
          <w:sz w:val="24"/>
          <w:szCs w:val="24"/>
        </w:rPr>
        <w:t>Second S</w:t>
      </w:r>
      <w:r w:rsidR="001A7EB0" w:rsidRPr="00A7681D">
        <w:rPr>
          <w:sz w:val="24"/>
          <w:szCs w:val="24"/>
        </w:rPr>
        <w:t>upplemental Direct at 3).</w:t>
      </w:r>
    </w:p>
  </w:footnote>
  <w:footnote w:id="15">
    <w:p w:rsidR="00006C98" w:rsidRPr="00A7681D" w:rsidRDefault="00006C98">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DEO Ex. 6 (Friscic Second S</w:t>
      </w:r>
      <w:r w:rsidR="00000695">
        <w:rPr>
          <w:sz w:val="24"/>
          <w:szCs w:val="24"/>
        </w:rPr>
        <w:t>upplemental Direct at 4</w:t>
      </w:r>
      <w:r w:rsidR="00000695" w:rsidRPr="00A7681D">
        <w:rPr>
          <w:sz w:val="24"/>
          <w:szCs w:val="24"/>
        </w:rPr>
        <w:t>).</w:t>
      </w:r>
    </w:p>
  </w:footnote>
  <w:footnote w:id="16">
    <w:p w:rsidR="00006C98" w:rsidRPr="00A7681D" w:rsidRDefault="00006C98">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Pr>
          <w:i/>
          <w:sz w:val="24"/>
          <w:szCs w:val="24"/>
        </w:rPr>
        <w:t>Id</w:t>
      </w:r>
      <w:r w:rsidRPr="00A7681D">
        <w:rPr>
          <w:i/>
          <w:sz w:val="24"/>
          <w:szCs w:val="24"/>
        </w:rPr>
        <w:t>.</w:t>
      </w:r>
    </w:p>
  </w:footnote>
  <w:footnote w:id="17">
    <w:p w:rsidR="001F362C" w:rsidRPr="00A7681D" w:rsidRDefault="001F362C">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DEO Ex. 6 (Friscic Second S</w:t>
      </w:r>
      <w:r w:rsidR="00000695">
        <w:rPr>
          <w:sz w:val="24"/>
          <w:szCs w:val="24"/>
        </w:rPr>
        <w:t>upplemental Direct at 2</w:t>
      </w:r>
      <w:r w:rsidR="00000695" w:rsidRPr="00A7681D">
        <w:rPr>
          <w:sz w:val="24"/>
          <w:szCs w:val="24"/>
        </w:rPr>
        <w:t>).</w:t>
      </w:r>
    </w:p>
  </w:footnote>
  <w:footnote w:id="18">
    <w:p w:rsidR="001F362C" w:rsidRPr="00A7681D" w:rsidRDefault="001F362C">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 xml:space="preserve">Id. </w:t>
      </w:r>
      <w:r w:rsidRPr="00A7681D">
        <w:rPr>
          <w:sz w:val="24"/>
          <w:szCs w:val="24"/>
        </w:rPr>
        <w:t>at 2-3.</w:t>
      </w:r>
    </w:p>
  </w:footnote>
  <w:footnote w:id="19">
    <w:p w:rsidR="001F362C" w:rsidRPr="00A7681D" w:rsidRDefault="001F362C">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 xml:space="preserve">Id. </w:t>
      </w:r>
      <w:r w:rsidRPr="00A7681D">
        <w:rPr>
          <w:sz w:val="24"/>
          <w:szCs w:val="24"/>
        </w:rPr>
        <w:t>at 3.</w:t>
      </w:r>
    </w:p>
  </w:footnote>
  <w:footnote w:id="20">
    <w:p w:rsidR="00006C98" w:rsidRPr="00A7681D" w:rsidRDefault="00006C98">
      <w:pPr>
        <w:pStyle w:val="FootnoteText"/>
        <w:rPr>
          <w:sz w:val="24"/>
          <w:szCs w:val="24"/>
        </w:rPr>
      </w:pPr>
      <w:r w:rsidRPr="00A7681D">
        <w:rPr>
          <w:rStyle w:val="FootnoteReference"/>
          <w:sz w:val="24"/>
          <w:szCs w:val="24"/>
        </w:rPr>
        <w:footnoteRef/>
      </w:r>
      <w:r w:rsidR="00D223AE" w:rsidRPr="00A7681D">
        <w:rPr>
          <w:sz w:val="24"/>
          <w:szCs w:val="24"/>
        </w:rPr>
        <w:t xml:space="preserve"> </w:t>
      </w:r>
      <w:r w:rsidR="00D223AE" w:rsidRPr="00A7681D">
        <w:rPr>
          <w:sz w:val="24"/>
          <w:szCs w:val="24"/>
        </w:rPr>
        <w:tab/>
      </w:r>
      <w:r w:rsidR="00655FB7">
        <w:rPr>
          <w:sz w:val="24"/>
          <w:szCs w:val="24"/>
        </w:rPr>
        <w:tab/>
      </w:r>
      <w:r w:rsidR="00D223AE" w:rsidRPr="00A7681D">
        <w:rPr>
          <w:sz w:val="24"/>
          <w:szCs w:val="24"/>
        </w:rPr>
        <w:t>Staff Ex. 2</w:t>
      </w:r>
      <w:r w:rsidRPr="00A7681D">
        <w:rPr>
          <w:sz w:val="24"/>
          <w:szCs w:val="24"/>
        </w:rPr>
        <w:t xml:space="preserve"> (Staff Report at 6).</w:t>
      </w:r>
    </w:p>
  </w:footnote>
  <w:footnote w:id="21">
    <w:p w:rsidR="001F362C" w:rsidRPr="00A7681D" w:rsidRDefault="001F362C">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i/>
          <w:sz w:val="24"/>
          <w:szCs w:val="24"/>
        </w:rPr>
        <w:tab/>
      </w:r>
      <w:r w:rsidR="00000695">
        <w:rPr>
          <w:i/>
          <w:sz w:val="24"/>
          <w:szCs w:val="24"/>
        </w:rPr>
        <w:t>Id</w:t>
      </w:r>
      <w:r w:rsidRPr="00A7681D">
        <w:rPr>
          <w:i/>
          <w:sz w:val="24"/>
          <w:szCs w:val="24"/>
        </w:rPr>
        <w:t>.</w:t>
      </w:r>
    </w:p>
  </w:footnote>
  <w:footnote w:id="22">
    <w:p w:rsidR="000755C5" w:rsidRPr="00A7681D" w:rsidRDefault="000755C5">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i/>
          <w:sz w:val="24"/>
          <w:szCs w:val="24"/>
        </w:rPr>
        <w:tab/>
      </w:r>
      <w:r w:rsidR="00655FB7" w:rsidRPr="00A7681D">
        <w:rPr>
          <w:sz w:val="24"/>
          <w:szCs w:val="24"/>
        </w:rPr>
        <w:t>Staff Ex. 2 (Staff Report at 6)</w:t>
      </w:r>
      <w:r w:rsidRPr="00A7681D">
        <w:rPr>
          <w:i/>
          <w:sz w:val="24"/>
          <w:szCs w:val="24"/>
        </w:rPr>
        <w:t>.</w:t>
      </w:r>
    </w:p>
  </w:footnote>
  <w:footnote w:id="23">
    <w:p w:rsidR="00B71DD2" w:rsidRPr="00A7681D" w:rsidRDefault="00B71DD2">
      <w:pPr>
        <w:pStyle w:val="FootnoteText"/>
        <w:rPr>
          <w:sz w:val="24"/>
          <w:szCs w:val="24"/>
        </w:rPr>
      </w:pPr>
      <w:r w:rsidRPr="00A7681D">
        <w:rPr>
          <w:rStyle w:val="FootnoteReference"/>
          <w:sz w:val="24"/>
          <w:szCs w:val="24"/>
        </w:rPr>
        <w:footnoteRef/>
      </w:r>
      <w:r w:rsidR="00D223AE" w:rsidRPr="00A7681D">
        <w:rPr>
          <w:sz w:val="24"/>
          <w:szCs w:val="24"/>
        </w:rPr>
        <w:t xml:space="preserve"> </w:t>
      </w:r>
      <w:r w:rsidR="00D223AE" w:rsidRPr="00A7681D">
        <w:rPr>
          <w:sz w:val="24"/>
          <w:szCs w:val="24"/>
        </w:rPr>
        <w:tab/>
      </w:r>
      <w:r w:rsidR="00655FB7">
        <w:rPr>
          <w:sz w:val="24"/>
          <w:szCs w:val="24"/>
        </w:rPr>
        <w:tab/>
      </w:r>
      <w:r w:rsidR="00D223AE" w:rsidRPr="00A7681D">
        <w:rPr>
          <w:sz w:val="24"/>
          <w:szCs w:val="24"/>
        </w:rPr>
        <w:t>Joint Ex. 1</w:t>
      </w:r>
      <w:r w:rsidRPr="00A7681D">
        <w:rPr>
          <w:sz w:val="24"/>
          <w:szCs w:val="24"/>
        </w:rPr>
        <w:t xml:space="preserve"> (Stipulation and Recommendation at 2).</w:t>
      </w:r>
    </w:p>
  </w:footnote>
  <w:footnote w:id="24">
    <w:p w:rsidR="00B71DD2" w:rsidRPr="00A7681D" w:rsidRDefault="00B71DD2">
      <w:pPr>
        <w:pStyle w:val="FootnoteText"/>
        <w:rPr>
          <w:sz w:val="24"/>
          <w:szCs w:val="24"/>
        </w:rPr>
      </w:pPr>
      <w:r w:rsidRPr="00A7681D">
        <w:rPr>
          <w:rStyle w:val="FootnoteReference"/>
          <w:sz w:val="24"/>
          <w:szCs w:val="24"/>
        </w:rPr>
        <w:footnoteRef/>
      </w:r>
      <w:r w:rsidR="00D223AE" w:rsidRPr="00A7681D">
        <w:rPr>
          <w:sz w:val="24"/>
          <w:szCs w:val="24"/>
        </w:rPr>
        <w:t xml:space="preserve"> </w:t>
      </w:r>
      <w:r w:rsidR="00D223AE" w:rsidRPr="00A7681D">
        <w:rPr>
          <w:sz w:val="24"/>
          <w:szCs w:val="24"/>
        </w:rPr>
        <w:tab/>
      </w:r>
      <w:r w:rsidR="00655FB7">
        <w:rPr>
          <w:sz w:val="24"/>
          <w:szCs w:val="24"/>
        </w:rPr>
        <w:tab/>
      </w:r>
      <w:r w:rsidR="00D223AE" w:rsidRPr="00A7681D">
        <w:rPr>
          <w:sz w:val="24"/>
          <w:szCs w:val="24"/>
        </w:rPr>
        <w:t>Staff Ex. 2</w:t>
      </w:r>
      <w:r w:rsidRPr="00A7681D">
        <w:rPr>
          <w:sz w:val="24"/>
          <w:szCs w:val="24"/>
        </w:rPr>
        <w:t xml:space="preserve"> (Staff Report at 7).</w:t>
      </w:r>
    </w:p>
  </w:footnote>
  <w:footnote w:id="25">
    <w:p w:rsidR="00B71DD2" w:rsidRPr="00A7681D" w:rsidRDefault="00B71DD2">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i/>
          <w:sz w:val="24"/>
          <w:szCs w:val="24"/>
        </w:rPr>
        <w:tab/>
      </w:r>
      <w:r w:rsidR="00000695">
        <w:rPr>
          <w:i/>
          <w:sz w:val="24"/>
          <w:szCs w:val="24"/>
        </w:rPr>
        <w:t>Id</w:t>
      </w:r>
      <w:r w:rsidRPr="00A7681D">
        <w:rPr>
          <w:i/>
          <w:sz w:val="24"/>
          <w:szCs w:val="24"/>
        </w:rPr>
        <w:t>.</w:t>
      </w:r>
    </w:p>
  </w:footnote>
  <w:footnote w:id="26">
    <w:p w:rsidR="00662943" w:rsidRPr="00A7681D" w:rsidRDefault="00662943">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27">
    <w:p w:rsidR="00A7681D" w:rsidRPr="00A7681D" w:rsidRDefault="00A7681D">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Staff Ex. 2 (Staff Report at 7)</w:t>
      </w:r>
      <w:r w:rsidRPr="00A7681D">
        <w:rPr>
          <w:i/>
          <w:sz w:val="24"/>
          <w:szCs w:val="24"/>
        </w:rPr>
        <w:t>.</w:t>
      </w:r>
    </w:p>
  </w:footnote>
  <w:footnote w:id="28">
    <w:p w:rsidR="003B019C" w:rsidRPr="00A7681D" w:rsidRDefault="003B019C">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29">
    <w:p w:rsidR="00662943" w:rsidRPr="00A7681D" w:rsidRDefault="00662943">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Pr>
          <w:i/>
          <w:sz w:val="24"/>
          <w:szCs w:val="24"/>
        </w:rPr>
        <w:t>Id</w:t>
      </w:r>
      <w:r w:rsidRPr="00A7681D">
        <w:rPr>
          <w:i/>
          <w:sz w:val="24"/>
          <w:szCs w:val="24"/>
        </w:rPr>
        <w:t>.</w:t>
      </w:r>
    </w:p>
  </w:footnote>
  <w:footnote w:id="30">
    <w:p w:rsidR="00662943" w:rsidRPr="00A7681D" w:rsidRDefault="00662943">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31">
    <w:p w:rsidR="00662943" w:rsidRPr="00A7681D" w:rsidRDefault="00662943">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Staff Ex. 2 (Staff Report at 7)</w:t>
      </w:r>
      <w:r w:rsidRPr="00A7681D">
        <w:rPr>
          <w:i/>
          <w:sz w:val="24"/>
          <w:szCs w:val="24"/>
        </w:rPr>
        <w:t>.</w:t>
      </w:r>
    </w:p>
  </w:footnote>
  <w:footnote w:id="32">
    <w:p w:rsidR="00662943" w:rsidRPr="00A7681D" w:rsidRDefault="00662943">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33">
    <w:p w:rsidR="00662943" w:rsidRPr="00A7681D" w:rsidRDefault="00662943">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 xml:space="preserve">Id. </w:t>
      </w:r>
      <w:r w:rsidRPr="00A7681D">
        <w:rPr>
          <w:sz w:val="24"/>
          <w:szCs w:val="24"/>
        </w:rPr>
        <w:t>at 7-8.</w:t>
      </w:r>
    </w:p>
  </w:footnote>
  <w:footnote w:id="34">
    <w:p w:rsidR="001648EF" w:rsidRPr="00A7681D" w:rsidRDefault="001648EF">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 xml:space="preserve">Id. </w:t>
      </w:r>
      <w:r w:rsidRPr="00A7681D">
        <w:rPr>
          <w:sz w:val="24"/>
          <w:szCs w:val="24"/>
        </w:rPr>
        <w:t>at 8.</w:t>
      </w:r>
    </w:p>
  </w:footnote>
  <w:footnote w:id="35">
    <w:p w:rsidR="001648EF" w:rsidRPr="00A7681D" w:rsidRDefault="001648EF">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Pr>
          <w:i/>
          <w:sz w:val="24"/>
          <w:szCs w:val="24"/>
        </w:rPr>
        <w:t>Id</w:t>
      </w:r>
      <w:r w:rsidR="00000695">
        <w:rPr>
          <w:sz w:val="24"/>
          <w:szCs w:val="24"/>
        </w:rPr>
        <w:t>. at 7</w:t>
      </w:r>
      <w:r w:rsidRPr="00A7681D">
        <w:rPr>
          <w:i/>
          <w:sz w:val="24"/>
          <w:szCs w:val="24"/>
        </w:rPr>
        <w:t xml:space="preserve">. </w:t>
      </w:r>
    </w:p>
  </w:footnote>
  <w:footnote w:id="36">
    <w:p w:rsidR="001648EF" w:rsidRPr="00A7681D" w:rsidRDefault="001648EF">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37">
    <w:p w:rsidR="001648EF" w:rsidRPr="00A7681D" w:rsidRDefault="001648EF">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Staff Ex. 2 (Staff Report at 7)</w:t>
      </w:r>
      <w:r w:rsidR="00000695">
        <w:rPr>
          <w:sz w:val="24"/>
          <w:szCs w:val="24"/>
        </w:rPr>
        <w:t>.</w:t>
      </w:r>
    </w:p>
  </w:footnote>
  <w:footnote w:id="38">
    <w:p w:rsidR="001648EF" w:rsidRPr="00A7681D" w:rsidRDefault="001648EF">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39">
    <w:p w:rsidR="001648EF" w:rsidRPr="00A7681D" w:rsidRDefault="001648EF">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0">
    <w:p w:rsidR="00F553C0" w:rsidRPr="00A7681D" w:rsidRDefault="00F553C0">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1">
    <w:p w:rsidR="00F553C0" w:rsidRPr="00000695" w:rsidRDefault="00F553C0">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Pr>
          <w:i/>
          <w:sz w:val="24"/>
          <w:szCs w:val="24"/>
        </w:rPr>
        <w:t>Id</w:t>
      </w:r>
      <w:r w:rsidR="00000695">
        <w:rPr>
          <w:sz w:val="24"/>
          <w:szCs w:val="24"/>
        </w:rPr>
        <w:t>.</w:t>
      </w:r>
    </w:p>
  </w:footnote>
  <w:footnote w:id="42">
    <w:p w:rsidR="00F553C0" w:rsidRPr="00A7681D" w:rsidRDefault="00F553C0">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Staff Ex. 2 (Staff Report at 7)</w:t>
      </w:r>
      <w:r w:rsidR="00000695">
        <w:rPr>
          <w:sz w:val="24"/>
          <w:szCs w:val="24"/>
        </w:rPr>
        <w:t>.</w:t>
      </w:r>
    </w:p>
  </w:footnote>
  <w:footnote w:id="43">
    <w:p w:rsidR="00F553C0" w:rsidRPr="00A7681D" w:rsidRDefault="00F553C0">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4">
    <w:p w:rsidR="00F553C0" w:rsidRPr="00A7681D" w:rsidRDefault="00F553C0">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5">
    <w:p w:rsidR="00F553C0" w:rsidRPr="00A7681D" w:rsidRDefault="00F553C0">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6">
    <w:p w:rsidR="003B019C" w:rsidRPr="00A7681D" w:rsidRDefault="003B019C">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7">
    <w:p w:rsidR="003B019C" w:rsidRPr="00000695" w:rsidRDefault="003B019C">
      <w:pPr>
        <w:pStyle w:val="FootnoteText"/>
        <w:rPr>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Pr>
          <w:i/>
          <w:sz w:val="24"/>
          <w:szCs w:val="24"/>
        </w:rPr>
        <w:t>Id</w:t>
      </w:r>
      <w:r w:rsidR="00000695">
        <w:rPr>
          <w:sz w:val="24"/>
          <w:szCs w:val="24"/>
        </w:rPr>
        <w:t>.</w:t>
      </w:r>
    </w:p>
  </w:footnote>
  <w:footnote w:id="48">
    <w:p w:rsidR="003B019C" w:rsidRPr="00A7681D" w:rsidRDefault="003B019C">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Pr="00A7681D">
        <w:rPr>
          <w:i/>
          <w:sz w:val="24"/>
          <w:szCs w:val="24"/>
        </w:rPr>
        <w:t>Id.</w:t>
      </w:r>
    </w:p>
  </w:footnote>
  <w:footnote w:id="49">
    <w:p w:rsidR="003B019C" w:rsidRPr="00A7681D" w:rsidRDefault="003B019C">
      <w:pPr>
        <w:pStyle w:val="FootnoteText"/>
        <w:rPr>
          <w:i/>
          <w:sz w:val="24"/>
          <w:szCs w:val="24"/>
        </w:rPr>
      </w:pPr>
      <w:r w:rsidRPr="00A7681D">
        <w:rPr>
          <w:rStyle w:val="FootnoteReference"/>
          <w:sz w:val="24"/>
          <w:szCs w:val="24"/>
        </w:rPr>
        <w:footnoteRef/>
      </w:r>
      <w:r w:rsidRPr="00A7681D">
        <w:rPr>
          <w:sz w:val="24"/>
          <w:szCs w:val="24"/>
        </w:rPr>
        <w:t xml:space="preserve"> </w:t>
      </w:r>
      <w:r w:rsidRPr="00A7681D">
        <w:rPr>
          <w:sz w:val="24"/>
          <w:szCs w:val="24"/>
        </w:rPr>
        <w:tab/>
      </w:r>
      <w:r w:rsidR="00655FB7">
        <w:rPr>
          <w:sz w:val="24"/>
          <w:szCs w:val="24"/>
        </w:rPr>
        <w:tab/>
      </w:r>
      <w:r w:rsidR="00000695" w:rsidRPr="00A7681D">
        <w:rPr>
          <w:sz w:val="24"/>
          <w:szCs w:val="24"/>
        </w:rPr>
        <w:t>Staff Ex. 2 (Staff Report at 7)</w:t>
      </w:r>
      <w:r w:rsidR="00000695">
        <w:rPr>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735898" w:rsidRDefault="001F799B" w:rsidP="00735898">
    <w:pPr>
      <w:pStyle w:val="Header"/>
      <w:rPr>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EE7EFA" w:rsidRDefault="001F799B" w:rsidP="00EE7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0D039F" w:rsidRDefault="001F799B" w:rsidP="00E4268C">
    <w:pPr>
      <w:pStyle w:val="Header"/>
      <w:jc w:val="center"/>
      <w:rPr>
        <w:b/>
        <w:color w:val="FF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735898" w:rsidRDefault="001F799B" w:rsidP="00735898">
    <w:pPr>
      <w:pStyle w:val="Header"/>
      <w:rPr>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9B" w:rsidRPr="00735898" w:rsidRDefault="001F799B" w:rsidP="00735898">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A53E0"/>
    <w:multiLevelType w:val="hybridMultilevel"/>
    <w:tmpl w:val="E40AEED2"/>
    <w:lvl w:ilvl="0" w:tplc="ABFA18AE">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 w15:restartNumberingAfterBreak="0">
    <w:nsid w:val="4BBC381F"/>
    <w:multiLevelType w:val="hybridMultilevel"/>
    <w:tmpl w:val="F138B318"/>
    <w:lvl w:ilvl="0" w:tplc="B5E8260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7F00352"/>
    <w:multiLevelType w:val="multilevel"/>
    <w:tmpl w:val="CF429AD4"/>
    <w:styleLink w:val="Style1"/>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E4E4DD3"/>
    <w:multiLevelType w:val="hybridMultilevel"/>
    <w:tmpl w:val="DFBE2616"/>
    <w:lvl w:ilvl="0" w:tplc="E9725BC0">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B7"/>
    <w:rsid w:val="00000174"/>
    <w:rsid w:val="00000695"/>
    <w:rsid w:val="00002EC0"/>
    <w:rsid w:val="00004779"/>
    <w:rsid w:val="00006C98"/>
    <w:rsid w:val="00011787"/>
    <w:rsid w:val="00012458"/>
    <w:rsid w:val="00013BE7"/>
    <w:rsid w:val="00015C90"/>
    <w:rsid w:val="00017EB4"/>
    <w:rsid w:val="000237BA"/>
    <w:rsid w:val="00025AF5"/>
    <w:rsid w:val="00033B48"/>
    <w:rsid w:val="00034FDD"/>
    <w:rsid w:val="00035C44"/>
    <w:rsid w:val="00040988"/>
    <w:rsid w:val="00044B1C"/>
    <w:rsid w:val="0004791F"/>
    <w:rsid w:val="000513BF"/>
    <w:rsid w:val="00052041"/>
    <w:rsid w:val="0005414D"/>
    <w:rsid w:val="000561B6"/>
    <w:rsid w:val="00057A6E"/>
    <w:rsid w:val="00061FA7"/>
    <w:rsid w:val="000665DB"/>
    <w:rsid w:val="000714E4"/>
    <w:rsid w:val="00074893"/>
    <w:rsid w:val="000755C5"/>
    <w:rsid w:val="000805B6"/>
    <w:rsid w:val="00081D5A"/>
    <w:rsid w:val="00086587"/>
    <w:rsid w:val="000914E7"/>
    <w:rsid w:val="000928DF"/>
    <w:rsid w:val="000974D3"/>
    <w:rsid w:val="000A0259"/>
    <w:rsid w:val="000A48AC"/>
    <w:rsid w:val="000A5B9E"/>
    <w:rsid w:val="000A6B16"/>
    <w:rsid w:val="000B394E"/>
    <w:rsid w:val="000C036C"/>
    <w:rsid w:val="000C2565"/>
    <w:rsid w:val="000D01D4"/>
    <w:rsid w:val="000D0CFD"/>
    <w:rsid w:val="000D66CD"/>
    <w:rsid w:val="000F03F3"/>
    <w:rsid w:val="000F2150"/>
    <w:rsid w:val="000F76FA"/>
    <w:rsid w:val="001044DC"/>
    <w:rsid w:val="00112665"/>
    <w:rsid w:val="001249BE"/>
    <w:rsid w:val="00124F7D"/>
    <w:rsid w:val="001261F3"/>
    <w:rsid w:val="0012701E"/>
    <w:rsid w:val="00133F6E"/>
    <w:rsid w:val="001367F3"/>
    <w:rsid w:val="00144D5F"/>
    <w:rsid w:val="00150A34"/>
    <w:rsid w:val="00152DBA"/>
    <w:rsid w:val="00153560"/>
    <w:rsid w:val="00156329"/>
    <w:rsid w:val="00156C52"/>
    <w:rsid w:val="00161B5B"/>
    <w:rsid w:val="001648EF"/>
    <w:rsid w:val="00164B6F"/>
    <w:rsid w:val="00166A42"/>
    <w:rsid w:val="00170465"/>
    <w:rsid w:val="00171DFF"/>
    <w:rsid w:val="00173A9F"/>
    <w:rsid w:val="001763C6"/>
    <w:rsid w:val="001764E1"/>
    <w:rsid w:val="001771C1"/>
    <w:rsid w:val="001778B4"/>
    <w:rsid w:val="00192417"/>
    <w:rsid w:val="00192F72"/>
    <w:rsid w:val="00195925"/>
    <w:rsid w:val="00197A46"/>
    <w:rsid w:val="001A0F5E"/>
    <w:rsid w:val="001A3204"/>
    <w:rsid w:val="001A5695"/>
    <w:rsid w:val="001A7D6E"/>
    <w:rsid w:val="001A7EB0"/>
    <w:rsid w:val="001B269E"/>
    <w:rsid w:val="001D41F4"/>
    <w:rsid w:val="001D5CD7"/>
    <w:rsid w:val="001D61DD"/>
    <w:rsid w:val="001E2755"/>
    <w:rsid w:val="001E579F"/>
    <w:rsid w:val="001F26A7"/>
    <w:rsid w:val="001F362C"/>
    <w:rsid w:val="001F5711"/>
    <w:rsid w:val="001F799B"/>
    <w:rsid w:val="00200C83"/>
    <w:rsid w:val="00205F32"/>
    <w:rsid w:val="00207443"/>
    <w:rsid w:val="00217026"/>
    <w:rsid w:val="002211E2"/>
    <w:rsid w:val="00224322"/>
    <w:rsid w:val="002260E9"/>
    <w:rsid w:val="002320C6"/>
    <w:rsid w:val="0023549E"/>
    <w:rsid w:val="00241A96"/>
    <w:rsid w:val="002436AF"/>
    <w:rsid w:val="00251153"/>
    <w:rsid w:val="0025652E"/>
    <w:rsid w:val="00256ADB"/>
    <w:rsid w:val="00257600"/>
    <w:rsid w:val="00266037"/>
    <w:rsid w:val="00270617"/>
    <w:rsid w:val="002832AB"/>
    <w:rsid w:val="00287AE0"/>
    <w:rsid w:val="002907E0"/>
    <w:rsid w:val="002956E8"/>
    <w:rsid w:val="00295A49"/>
    <w:rsid w:val="002975D1"/>
    <w:rsid w:val="002A162B"/>
    <w:rsid w:val="002A3E1C"/>
    <w:rsid w:val="002A3ED3"/>
    <w:rsid w:val="002B1A28"/>
    <w:rsid w:val="002B48AB"/>
    <w:rsid w:val="002D08AD"/>
    <w:rsid w:val="002D248F"/>
    <w:rsid w:val="002E0A3E"/>
    <w:rsid w:val="002E4120"/>
    <w:rsid w:val="002E75E9"/>
    <w:rsid w:val="002F311E"/>
    <w:rsid w:val="003009FA"/>
    <w:rsid w:val="00302797"/>
    <w:rsid w:val="00302B05"/>
    <w:rsid w:val="00303125"/>
    <w:rsid w:val="0030668F"/>
    <w:rsid w:val="00307561"/>
    <w:rsid w:val="00330C9C"/>
    <w:rsid w:val="00340655"/>
    <w:rsid w:val="003543EE"/>
    <w:rsid w:val="00356FB9"/>
    <w:rsid w:val="00375A59"/>
    <w:rsid w:val="003809FA"/>
    <w:rsid w:val="003B019C"/>
    <w:rsid w:val="003C46D5"/>
    <w:rsid w:val="003C58C2"/>
    <w:rsid w:val="003D1F19"/>
    <w:rsid w:val="003D3611"/>
    <w:rsid w:val="003D41AE"/>
    <w:rsid w:val="003E06DB"/>
    <w:rsid w:val="003E3FAC"/>
    <w:rsid w:val="003E67A0"/>
    <w:rsid w:val="003F4E03"/>
    <w:rsid w:val="003F5592"/>
    <w:rsid w:val="003F68BB"/>
    <w:rsid w:val="0040339B"/>
    <w:rsid w:val="004053F9"/>
    <w:rsid w:val="0041278D"/>
    <w:rsid w:val="00415094"/>
    <w:rsid w:val="00425531"/>
    <w:rsid w:val="004426E0"/>
    <w:rsid w:val="0044466A"/>
    <w:rsid w:val="00444B23"/>
    <w:rsid w:val="00450C3B"/>
    <w:rsid w:val="00453C6D"/>
    <w:rsid w:val="00454988"/>
    <w:rsid w:val="00454C79"/>
    <w:rsid w:val="004614B7"/>
    <w:rsid w:val="00461616"/>
    <w:rsid w:val="00463120"/>
    <w:rsid w:val="00466FA5"/>
    <w:rsid w:val="00470326"/>
    <w:rsid w:val="004706BD"/>
    <w:rsid w:val="00482B6E"/>
    <w:rsid w:val="00490909"/>
    <w:rsid w:val="00491C60"/>
    <w:rsid w:val="00493D5F"/>
    <w:rsid w:val="00496853"/>
    <w:rsid w:val="004A52E1"/>
    <w:rsid w:val="004A6807"/>
    <w:rsid w:val="004B006B"/>
    <w:rsid w:val="004B14FD"/>
    <w:rsid w:val="004B3903"/>
    <w:rsid w:val="004B3EAF"/>
    <w:rsid w:val="004B54F9"/>
    <w:rsid w:val="004C28CE"/>
    <w:rsid w:val="004C56EA"/>
    <w:rsid w:val="004D1228"/>
    <w:rsid w:val="004D162E"/>
    <w:rsid w:val="004D1CC3"/>
    <w:rsid w:val="004D7E90"/>
    <w:rsid w:val="004E6D1E"/>
    <w:rsid w:val="004F0B71"/>
    <w:rsid w:val="004F3317"/>
    <w:rsid w:val="004F4A7D"/>
    <w:rsid w:val="004F554E"/>
    <w:rsid w:val="004F6459"/>
    <w:rsid w:val="00501D36"/>
    <w:rsid w:val="00507A19"/>
    <w:rsid w:val="0052098C"/>
    <w:rsid w:val="00522583"/>
    <w:rsid w:val="00524881"/>
    <w:rsid w:val="00534897"/>
    <w:rsid w:val="00536C90"/>
    <w:rsid w:val="00540CFC"/>
    <w:rsid w:val="00542A44"/>
    <w:rsid w:val="0054746E"/>
    <w:rsid w:val="0055071F"/>
    <w:rsid w:val="00550AB3"/>
    <w:rsid w:val="00550EAF"/>
    <w:rsid w:val="005539F4"/>
    <w:rsid w:val="00557AED"/>
    <w:rsid w:val="005626C5"/>
    <w:rsid w:val="0056494C"/>
    <w:rsid w:val="00566835"/>
    <w:rsid w:val="00573515"/>
    <w:rsid w:val="00574AC7"/>
    <w:rsid w:val="005774DB"/>
    <w:rsid w:val="00581612"/>
    <w:rsid w:val="00581EA9"/>
    <w:rsid w:val="0059367E"/>
    <w:rsid w:val="005A3F3E"/>
    <w:rsid w:val="005B0C1D"/>
    <w:rsid w:val="005B2E28"/>
    <w:rsid w:val="005B7287"/>
    <w:rsid w:val="005C3B90"/>
    <w:rsid w:val="005C3D46"/>
    <w:rsid w:val="005C4ECF"/>
    <w:rsid w:val="005D109A"/>
    <w:rsid w:val="005E0334"/>
    <w:rsid w:val="005E76A6"/>
    <w:rsid w:val="005F789A"/>
    <w:rsid w:val="00607177"/>
    <w:rsid w:val="0061183D"/>
    <w:rsid w:val="00613665"/>
    <w:rsid w:val="006168FF"/>
    <w:rsid w:val="00620BF9"/>
    <w:rsid w:val="00624019"/>
    <w:rsid w:val="00625D09"/>
    <w:rsid w:val="006303A9"/>
    <w:rsid w:val="00643AC1"/>
    <w:rsid w:val="00650D1C"/>
    <w:rsid w:val="00655FB7"/>
    <w:rsid w:val="00662943"/>
    <w:rsid w:val="00674281"/>
    <w:rsid w:val="00675366"/>
    <w:rsid w:val="0067579B"/>
    <w:rsid w:val="00682790"/>
    <w:rsid w:val="0068623C"/>
    <w:rsid w:val="006900D4"/>
    <w:rsid w:val="006902B6"/>
    <w:rsid w:val="0069117F"/>
    <w:rsid w:val="0069151D"/>
    <w:rsid w:val="00691EB6"/>
    <w:rsid w:val="0069770D"/>
    <w:rsid w:val="006A2058"/>
    <w:rsid w:val="006A6E87"/>
    <w:rsid w:val="006B13B6"/>
    <w:rsid w:val="006B1F65"/>
    <w:rsid w:val="006B5755"/>
    <w:rsid w:val="006B6AFC"/>
    <w:rsid w:val="006C4A4E"/>
    <w:rsid w:val="006C4D4E"/>
    <w:rsid w:val="006C6A63"/>
    <w:rsid w:val="006D07B9"/>
    <w:rsid w:val="006D57AC"/>
    <w:rsid w:val="006D7F20"/>
    <w:rsid w:val="006F4976"/>
    <w:rsid w:val="00700C2C"/>
    <w:rsid w:val="00701EFE"/>
    <w:rsid w:val="007153B6"/>
    <w:rsid w:val="00717F18"/>
    <w:rsid w:val="00720F2D"/>
    <w:rsid w:val="0073257E"/>
    <w:rsid w:val="00735898"/>
    <w:rsid w:val="00752329"/>
    <w:rsid w:val="007524A9"/>
    <w:rsid w:val="007541F7"/>
    <w:rsid w:val="0075518E"/>
    <w:rsid w:val="007572AB"/>
    <w:rsid w:val="00762BCA"/>
    <w:rsid w:val="00766E34"/>
    <w:rsid w:val="00773A34"/>
    <w:rsid w:val="00782D56"/>
    <w:rsid w:val="00785005"/>
    <w:rsid w:val="0078511E"/>
    <w:rsid w:val="00793A01"/>
    <w:rsid w:val="00797196"/>
    <w:rsid w:val="007A79F9"/>
    <w:rsid w:val="007B0918"/>
    <w:rsid w:val="007B1283"/>
    <w:rsid w:val="007C5743"/>
    <w:rsid w:val="007C5A1F"/>
    <w:rsid w:val="007C63ED"/>
    <w:rsid w:val="007D41DD"/>
    <w:rsid w:val="007E4D85"/>
    <w:rsid w:val="007E63D5"/>
    <w:rsid w:val="007F286C"/>
    <w:rsid w:val="007F32AE"/>
    <w:rsid w:val="007F4305"/>
    <w:rsid w:val="008054F6"/>
    <w:rsid w:val="00817B66"/>
    <w:rsid w:val="00823301"/>
    <w:rsid w:val="008240B9"/>
    <w:rsid w:val="00827316"/>
    <w:rsid w:val="00827C88"/>
    <w:rsid w:val="00831266"/>
    <w:rsid w:val="00837315"/>
    <w:rsid w:val="00842624"/>
    <w:rsid w:val="00843468"/>
    <w:rsid w:val="008435F0"/>
    <w:rsid w:val="00843BE6"/>
    <w:rsid w:val="0084452A"/>
    <w:rsid w:val="00846B31"/>
    <w:rsid w:val="00847959"/>
    <w:rsid w:val="008549DA"/>
    <w:rsid w:val="00854B1C"/>
    <w:rsid w:val="00855E8F"/>
    <w:rsid w:val="008567EE"/>
    <w:rsid w:val="00861AE2"/>
    <w:rsid w:val="00865A91"/>
    <w:rsid w:val="0087228C"/>
    <w:rsid w:val="00873A94"/>
    <w:rsid w:val="00883237"/>
    <w:rsid w:val="00887794"/>
    <w:rsid w:val="00890F61"/>
    <w:rsid w:val="008A5799"/>
    <w:rsid w:val="008A712D"/>
    <w:rsid w:val="008B28B6"/>
    <w:rsid w:val="008C682D"/>
    <w:rsid w:val="008D125D"/>
    <w:rsid w:val="008D17C7"/>
    <w:rsid w:val="008D2C65"/>
    <w:rsid w:val="008D5798"/>
    <w:rsid w:val="008E1E54"/>
    <w:rsid w:val="008E6A27"/>
    <w:rsid w:val="008F3BDD"/>
    <w:rsid w:val="008F6DFD"/>
    <w:rsid w:val="008F7C4C"/>
    <w:rsid w:val="00905202"/>
    <w:rsid w:val="009158CA"/>
    <w:rsid w:val="009158D3"/>
    <w:rsid w:val="009174A7"/>
    <w:rsid w:val="00921CCC"/>
    <w:rsid w:val="009331F6"/>
    <w:rsid w:val="00935B21"/>
    <w:rsid w:val="00943667"/>
    <w:rsid w:val="009503EA"/>
    <w:rsid w:val="00954078"/>
    <w:rsid w:val="00954AA4"/>
    <w:rsid w:val="0095724A"/>
    <w:rsid w:val="00963072"/>
    <w:rsid w:val="00963369"/>
    <w:rsid w:val="009658ED"/>
    <w:rsid w:val="00972087"/>
    <w:rsid w:val="009752B0"/>
    <w:rsid w:val="00983A0B"/>
    <w:rsid w:val="0098516F"/>
    <w:rsid w:val="009A2DB9"/>
    <w:rsid w:val="009A7FEE"/>
    <w:rsid w:val="009B08E2"/>
    <w:rsid w:val="009B2290"/>
    <w:rsid w:val="009B2631"/>
    <w:rsid w:val="009B2EEA"/>
    <w:rsid w:val="009C4ED8"/>
    <w:rsid w:val="009E3B0A"/>
    <w:rsid w:val="009E6F8C"/>
    <w:rsid w:val="009F193B"/>
    <w:rsid w:val="00A0362C"/>
    <w:rsid w:val="00A03B9F"/>
    <w:rsid w:val="00A0513E"/>
    <w:rsid w:val="00A0553E"/>
    <w:rsid w:val="00A07CC2"/>
    <w:rsid w:val="00A11D7A"/>
    <w:rsid w:val="00A15FF2"/>
    <w:rsid w:val="00A171ED"/>
    <w:rsid w:val="00A2273B"/>
    <w:rsid w:val="00A2673D"/>
    <w:rsid w:val="00A31729"/>
    <w:rsid w:val="00A31746"/>
    <w:rsid w:val="00A47C2F"/>
    <w:rsid w:val="00A509DB"/>
    <w:rsid w:val="00A520B9"/>
    <w:rsid w:val="00A54A53"/>
    <w:rsid w:val="00A54F5B"/>
    <w:rsid w:val="00A57F03"/>
    <w:rsid w:val="00A742BA"/>
    <w:rsid w:val="00A76521"/>
    <w:rsid w:val="00A7681D"/>
    <w:rsid w:val="00A76A03"/>
    <w:rsid w:val="00A81FDF"/>
    <w:rsid w:val="00A84347"/>
    <w:rsid w:val="00A86AE5"/>
    <w:rsid w:val="00A90E80"/>
    <w:rsid w:val="00A915C6"/>
    <w:rsid w:val="00A92B5C"/>
    <w:rsid w:val="00AA16F1"/>
    <w:rsid w:val="00AA3816"/>
    <w:rsid w:val="00AA669A"/>
    <w:rsid w:val="00AB23A6"/>
    <w:rsid w:val="00AB589E"/>
    <w:rsid w:val="00AB71CE"/>
    <w:rsid w:val="00AC267F"/>
    <w:rsid w:val="00AD0FE6"/>
    <w:rsid w:val="00AD1D41"/>
    <w:rsid w:val="00AD323A"/>
    <w:rsid w:val="00AE2E08"/>
    <w:rsid w:val="00AE4FE1"/>
    <w:rsid w:val="00AF038D"/>
    <w:rsid w:val="00AF3FE3"/>
    <w:rsid w:val="00AF4983"/>
    <w:rsid w:val="00B00859"/>
    <w:rsid w:val="00B02650"/>
    <w:rsid w:val="00B041ED"/>
    <w:rsid w:val="00B06ED8"/>
    <w:rsid w:val="00B106A9"/>
    <w:rsid w:val="00B130F4"/>
    <w:rsid w:val="00B16E00"/>
    <w:rsid w:val="00B22F74"/>
    <w:rsid w:val="00B2669D"/>
    <w:rsid w:val="00B3453E"/>
    <w:rsid w:val="00B359C4"/>
    <w:rsid w:val="00B46CB7"/>
    <w:rsid w:val="00B47B3F"/>
    <w:rsid w:val="00B5703F"/>
    <w:rsid w:val="00B57D74"/>
    <w:rsid w:val="00B71DD2"/>
    <w:rsid w:val="00B74E28"/>
    <w:rsid w:val="00B76AAE"/>
    <w:rsid w:val="00B778B6"/>
    <w:rsid w:val="00B80B55"/>
    <w:rsid w:val="00B83995"/>
    <w:rsid w:val="00B84CE6"/>
    <w:rsid w:val="00B85DF9"/>
    <w:rsid w:val="00B863CB"/>
    <w:rsid w:val="00B910AA"/>
    <w:rsid w:val="00B96AD8"/>
    <w:rsid w:val="00BA13E5"/>
    <w:rsid w:val="00BB5DA6"/>
    <w:rsid w:val="00BC7253"/>
    <w:rsid w:val="00BC7336"/>
    <w:rsid w:val="00BE1DD8"/>
    <w:rsid w:val="00BE6968"/>
    <w:rsid w:val="00C0175E"/>
    <w:rsid w:val="00C051D3"/>
    <w:rsid w:val="00C1308D"/>
    <w:rsid w:val="00C13311"/>
    <w:rsid w:val="00C247ED"/>
    <w:rsid w:val="00C25F1E"/>
    <w:rsid w:val="00C34AEE"/>
    <w:rsid w:val="00C351B5"/>
    <w:rsid w:val="00C37351"/>
    <w:rsid w:val="00C40B39"/>
    <w:rsid w:val="00C443C0"/>
    <w:rsid w:val="00C5111C"/>
    <w:rsid w:val="00C511A0"/>
    <w:rsid w:val="00C51C56"/>
    <w:rsid w:val="00C51D1D"/>
    <w:rsid w:val="00C537DF"/>
    <w:rsid w:val="00C54867"/>
    <w:rsid w:val="00C55C9F"/>
    <w:rsid w:val="00C63304"/>
    <w:rsid w:val="00C645AE"/>
    <w:rsid w:val="00C80834"/>
    <w:rsid w:val="00C82513"/>
    <w:rsid w:val="00C82519"/>
    <w:rsid w:val="00C827A2"/>
    <w:rsid w:val="00C94AE9"/>
    <w:rsid w:val="00CA17F1"/>
    <w:rsid w:val="00CB117C"/>
    <w:rsid w:val="00CB20B7"/>
    <w:rsid w:val="00CB325A"/>
    <w:rsid w:val="00CB3871"/>
    <w:rsid w:val="00CC0DCA"/>
    <w:rsid w:val="00CC278A"/>
    <w:rsid w:val="00CD55D9"/>
    <w:rsid w:val="00CE1BED"/>
    <w:rsid w:val="00CE53C8"/>
    <w:rsid w:val="00CE6614"/>
    <w:rsid w:val="00CF29FB"/>
    <w:rsid w:val="00D01426"/>
    <w:rsid w:val="00D03936"/>
    <w:rsid w:val="00D04457"/>
    <w:rsid w:val="00D061BB"/>
    <w:rsid w:val="00D0757A"/>
    <w:rsid w:val="00D07C19"/>
    <w:rsid w:val="00D12ECE"/>
    <w:rsid w:val="00D13413"/>
    <w:rsid w:val="00D15270"/>
    <w:rsid w:val="00D15977"/>
    <w:rsid w:val="00D223AE"/>
    <w:rsid w:val="00D27E17"/>
    <w:rsid w:val="00D31D32"/>
    <w:rsid w:val="00D44678"/>
    <w:rsid w:val="00D56DE4"/>
    <w:rsid w:val="00D607BE"/>
    <w:rsid w:val="00D647E2"/>
    <w:rsid w:val="00D700CE"/>
    <w:rsid w:val="00D80183"/>
    <w:rsid w:val="00D80F3D"/>
    <w:rsid w:val="00D81DAB"/>
    <w:rsid w:val="00D87DE1"/>
    <w:rsid w:val="00D96921"/>
    <w:rsid w:val="00DA2170"/>
    <w:rsid w:val="00DB2130"/>
    <w:rsid w:val="00DB5B88"/>
    <w:rsid w:val="00DB7D40"/>
    <w:rsid w:val="00DC193C"/>
    <w:rsid w:val="00DC3282"/>
    <w:rsid w:val="00DD445F"/>
    <w:rsid w:val="00DD7C63"/>
    <w:rsid w:val="00DE2B3B"/>
    <w:rsid w:val="00DE6838"/>
    <w:rsid w:val="00DF199B"/>
    <w:rsid w:val="00DF1C75"/>
    <w:rsid w:val="00DF1DE4"/>
    <w:rsid w:val="00DF4450"/>
    <w:rsid w:val="00DF5D87"/>
    <w:rsid w:val="00DF7734"/>
    <w:rsid w:val="00E01749"/>
    <w:rsid w:val="00E03D72"/>
    <w:rsid w:val="00E057F7"/>
    <w:rsid w:val="00E14C0B"/>
    <w:rsid w:val="00E20642"/>
    <w:rsid w:val="00E21CE1"/>
    <w:rsid w:val="00E230B9"/>
    <w:rsid w:val="00E23AFE"/>
    <w:rsid w:val="00E24478"/>
    <w:rsid w:val="00E4218A"/>
    <w:rsid w:val="00E4268C"/>
    <w:rsid w:val="00E46180"/>
    <w:rsid w:val="00E51FDE"/>
    <w:rsid w:val="00E631C6"/>
    <w:rsid w:val="00E65F08"/>
    <w:rsid w:val="00E7519B"/>
    <w:rsid w:val="00E7519F"/>
    <w:rsid w:val="00E756AB"/>
    <w:rsid w:val="00E758F8"/>
    <w:rsid w:val="00E85515"/>
    <w:rsid w:val="00E87628"/>
    <w:rsid w:val="00E959EA"/>
    <w:rsid w:val="00EA09F0"/>
    <w:rsid w:val="00EA3B09"/>
    <w:rsid w:val="00EA3EE0"/>
    <w:rsid w:val="00EB1BD5"/>
    <w:rsid w:val="00EB7964"/>
    <w:rsid w:val="00EC30EE"/>
    <w:rsid w:val="00EC50F6"/>
    <w:rsid w:val="00EC55DE"/>
    <w:rsid w:val="00ED22A3"/>
    <w:rsid w:val="00ED2CC4"/>
    <w:rsid w:val="00ED6E39"/>
    <w:rsid w:val="00EE014F"/>
    <w:rsid w:val="00EE02AA"/>
    <w:rsid w:val="00EE1BA3"/>
    <w:rsid w:val="00EE6E22"/>
    <w:rsid w:val="00EE7EFA"/>
    <w:rsid w:val="00EF7A8D"/>
    <w:rsid w:val="00F003CF"/>
    <w:rsid w:val="00F00428"/>
    <w:rsid w:val="00F008BD"/>
    <w:rsid w:val="00F04B1B"/>
    <w:rsid w:val="00F06020"/>
    <w:rsid w:val="00F1490E"/>
    <w:rsid w:val="00F1609A"/>
    <w:rsid w:val="00F17A84"/>
    <w:rsid w:val="00F17B41"/>
    <w:rsid w:val="00F22394"/>
    <w:rsid w:val="00F23724"/>
    <w:rsid w:val="00F3232A"/>
    <w:rsid w:val="00F3315D"/>
    <w:rsid w:val="00F34FE5"/>
    <w:rsid w:val="00F37533"/>
    <w:rsid w:val="00F41C03"/>
    <w:rsid w:val="00F44C06"/>
    <w:rsid w:val="00F45FD1"/>
    <w:rsid w:val="00F5137E"/>
    <w:rsid w:val="00F553C0"/>
    <w:rsid w:val="00F573FD"/>
    <w:rsid w:val="00F65A76"/>
    <w:rsid w:val="00F65CA1"/>
    <w:rsid w:val="00F66D17"/>
    <w:rsid w:val="00F7507C"/>
    <w:rsid w:val="00F77274"/>
    <w:rsid w:val="00F84EC6"/>
    <w:rsid w:val="00F87A35"/>
    <w:rsid w:val="00F9185D"/>
    <w:rsid w:val="00F93401"/>
    <w:rsid w:val="00F976B3"/>
    <w:rsid w:val="00FA19BE"/>
    <w:rsid w:val="00FB4DA8"/>
    <w:rsid w:val="00FE221D"/>
    <w:rsid w:val="00FE275B"/>
    <w:rsid w:val="00FE2C76"/>
    <w:rsid w:val="00FF4D62"/>
    <w:rsid w:val="00FF6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C30B7-3FD6-4A5B-B776-D7C1DE98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69A"/>
    <w:rPr>
      <w:rFonts w:ascii="Times New Roman" w:hAnsi="Times New Roman"/>
      <w:sz w:val="24"/>
      <w:szCs w:val="24"/>
    </w:rPr>
  </w:style>
  <w:style w:type="paragraph" w:styleId="Heading1">
    <w:name w:val="heading 1"/>
    <w:basedOn w:val="Normal"/>
    <w:next w:val="Normal"/>
    <w:link w:val="Heading1Char"/>
    <w:autoRedefine/>
    <w:uiPriority w:val="9"/>
    <w:qFormat/>
    <w:rsid w:val="008B28B6"/>
    <w:pPr>
      <w:keepNext/>
      <w:keepLines/>
      <w:spacing w:before="360" w:after="240"/>
      <w:jc w:val="center"/>
      <w:outlineLvl w:val="0"/>
    </w:pPr>
    <w:rPr>
      <w:b/>
      <w:bCs/>
      <w:color w:val="000000"/>
      <w:sz w:val="26"/>
      <w:szCs w:val="26"/>
    </w:rPr>
  </w:style>
  <w:style w:type="paragraph" w:styleId="Heading2">
    <w:name w:val="heading 2"/>
    <w:basedOn w:val="Normal"/>
    <w:next w:val="Normal"/>
    <w:link w:val="Heading2Char"/>
    <w:autoRedefine/>
    <w:uiPriority w:val="9"/>
    <w:unhideWhenUsed/>
    <w:qFormat/>
    <w:rsid w:val="001778B4"/>
    <w:pPr>
      <w:keepNext/>
      <w:keepLines/>
      <w:numPr>
        <w:numId w:val="3"/>
      </w:numPr>
      <w:spacing w:before="360" w:after="240"/>
      <w:ind w:left="1440" w:hanging="720"/>
      <w:outlineLvl w:val="1"/>
    </w:pPr>
    <w:rPr>
      <w:b/>
      <w:color w:val="000000"/>
      <w:sz w:val="26"/>
      <w:szCs w:val="26"/>
    </w:rPr>
  </w:style>
  <w:style w:type="paragraph" w:styleId="Heading3">
    <w:name w:val="heading 3"/>
    <w:basedOn w:val="Normal"/>
    <w:next w:val="Normal"/>
    <w:link w:val="Heading3Char"/>
    <w:autoRedefine/>
    <w:uiPriority w:val="9"/>
    <w:unhideWhenUsed/>
    <w:qFormat/>
    <w:rsid w:val="00655FB7"/>
    <w:pPr>
      <w:keepNext/>
      <w:keepLines/>
      <w:tabs>
        <w:tab w:val="left" w:pos="720"/>
        <w:tab w:val="left" w:pos="1440"/>
      </w:tabs>
      <w:spacing w:before="360" w:after="240"/>
      <w:ind w:left="1440" w:right="720" w:hanging="720"/>
      <w:outlineLvl w:val="2"/>
    </w:pPr>
    <w:rPr>
      <w:b/>
      <w:color w:val="000000"/>
      <w:sz w:val="26"/>
    </w:rPr>
  </w:style>
  <w:style w:type="paragraph" w:styleId="Heading4">
    <w:name w:val="heading 4"/>
    <w:basedOn w:val="Normal"/>
    <w:next w:val="Normal"/>
    <w:link w:val="Heading4Char"/>
    <w:autoRedefine/>
    <w:uiPriority w:val="9"/>
    <w:unhideWhenUsed/>
    <w:qFormat/>
    <w:rsid w:val="005C4ECF"/>
    <w:pPr>
      <w:autoSpaceDE w:val="0"/>
      <w:autoSpaceDN w:val="0"/>
      <w:adjustRightInd w:val="0"/>
      <w:spacing w:line="480" w:lineRule="auto"/>
      <w:ind w:left="720" w:firstLine="720"/>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6CB7"/>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nhideWhenUsed/>
    <w:rsid w:val="00B46CB7"/>
    <w:rPr>
      <w:color w:val="0000FF"/>
      <w:u w:val="single"/>
    </w:rPr>
  </w:style>
  <w:style w:type="paragraph" w:styleId="Footer">
    <w:name w:val="footer"/>
    <w:basedOn w:val="Normal"/>
    <w:link w:val="FooterChar"/>
    <w:uiPriority w:val="99"/>
    <w:unhideWhenUsed/>
    <w:rsid w:val="00B46CB7"/>
    <w:pPr>
      <w:tabs>
        <w:tab w:val="center" w:pos="4680"/>
        <w:tab w:val="right" w:pos="9360"/>
      </w:tabs>
    </w:pPr>
  </w:style>
  <w:style w:type="character" w:customStyle="1" w:styleId="FooterChar">
    <w:name w:val="Footer Char"/>
    <w:basedOn w:val="DefaultParagraphFont"/>
    <w:link w:val="Footer"/>
    <w:uiPriority w:val="99"/>
    <w:rsid w:val="00B46CB7"/>
    <w:rPr>
      <w:rFonts w:ascii="Times New Roman" w:eastAsia="Times New Roman" w:hAnsi="Times New Roman" w:cs="Times New Roman"/>
      <w:sz w:val="24"/>
      <w:szCs w:val="24"/>
    </w:rPr>
  </w:style>
  <w:style w:type="paragraph" w:styleId="FootnoteText">
    <w:name w:val="footnote text"/>
    <w:basedOn w:val="Normal"/>
    <w:link w:val="FootnoteTextChar"/>
    <w:autoRedefine/>
    <w:uiPriority w:val="99"/>
    <w:unhideWhenUsed/>
    <w:rsid w:val="00B00859"/>
    <w:pPr>
      <w:tabs>
        <w:tab w:val="left" w:pos="720"/>
        <w:tab w:val="left" w:pos="1440"/>
      </w:tabs>
      <w:spacing w:before="240" w:after="240"/>
      <w:ind w:left="720" w:hanging="720"/>
    </w:pPr>
    <w:rPr>
      <w:sz w:val="20"/>
      <w:szCs w:val="20"/>
    </w:rPr>
  </w:style>
  <w:style w:type="character" w:customStyle="1" w:styleId="FootnoteTextChar">
    <w:name w:val="Footnote Text Char"/>
    <w:basedOn w:val="DefaultParagraphFont"/>
    <w:link w:val="FootnoteText"/>
    <w:uiPriority w:val="99"/>
    <w:rsid w:val="00B00859"/>
    <w:rPr>
      <w:rFonts w:ascii="Times New Roman" w:hAnsi="Times New Roman"/>
    </w:rPr>
  </w:style>
  <w:style w:type="character" w:styleId="FootnoteReference">
    <w:name w:val="footnote reference"/>
    <w:basedOn w:val="DefaultParagraphFont"/>
    <w:uiPriority w:val="99"/>
    <w:unhideWhenUsed/>
    <w:rsid w:val="003F4E03"/>
    <w:rPr>
      <w:vertAlign w:val="superscript"/>
    </w:rPr>
  </w:style>
  <w:style w:type="paragraph" w:customStyle="1" w:styleId="FERCparanumber">
    <w:name w:val="FERC paranumber"/>
    <w:basedOn w:val="Normal"/>
    <w:rsid w:val="009B2290"/>
    <w:pPr>
      <w:numPr>
        <w:numId w:val="1"/>
      </w:numPr>
      <w:autoSpaceDE w:val="0"/>
      <w:autoSpaceDN w:val="0"/>
      <w:adjustRightInd w:val="0"/>
      <w:spacing w:after="240"/>
    </w:pPr>
    <w:rPr>
      <w:sz w:val="26"/>
    </w:rPr>
  </w:style>
  <w:style w:type="paragraph" w:customStyle="1" w:styleId="question">
    <w:name w:val="question"/>
    <w:basedOn w:val="Normal"/>
    <w:autoRedefine/>
    <w:rsid w:val="00846B31"/>
    <w:pPr>
      <w:tabs>
        <w:tab w:val="left" w:pos="720"/>
      </w:tabs>
      <w:spacing w:line="480" w:lineRule="auto"/>
      <w:ind w:left="1440" w:hanging="1440"/>
      <w:jc w:val="center"/>
    </w:pPr>
    <w:rPr>
      <w:b/>
      <w:sz w:val="26"/>
      <w:szCs w:val="26"/>
    </w:rPr>
  </w:style>
  <w:style w:type="paragraph" w:styleId="Header">
    <w:name w:val="header"/>
    <w:basedOn w:val="Normal"/>
    <w:link w:val="HeaderChar"/>
    <w:uiPriority w:val="99"/>
    <w:unhideWhenUsed/>
    <w:rsid w:val="00AA669A"/>
    <w:pPr>
      <w:tabs>
        <w:tab w:val="center" w:pos="4680"/>
        <w:tab w:val="right" w:pos="9360"/>
      </w:tabs>
    </w:pPr>
  </w:style>
  <w:style w:type="character" w:customStyle="1" w:styleId="HeaderChar">
    <w:name w:val="Header Char"/>
    <w:basedOn w:val="DefaultParagraphFont"/>
    <w:link w:val="Header"/>
    <w:uiPriority w:val="99"/>
    <w:rsid w:val="00AA669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B28B6"/>
    <w:rPr>
      <w:rFonts w:ascii="Times New Roman" w:hAnsi="Times New Roman"/>
      <w:b/>
      <w:bCs/>
      <w:color w:val="000000"/>
      <w:sz w:val="26"/>
      <w:szCs w:val="26"/>
    </w:rPr>
  </w:style>
  <w:style w:type="paragraph" w:styleId="Subtitle">
    <w:name w:val="Subtitle"/>
    <w:basedOn w:val="Normal"/>
    <w:next w:val="Normal"/>
    <w:link w:val="SubtitleChar"/>
    <w:uiPriority w:val="11"/>
    <w:qFormat/>
    <w:rsid w:val="00AA669A"/>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AA669A"/>
    <w:rPr>
      <w:rFonts w:ascii="Cambria" w:eastAsia="Times New Roman" w:hAnsi="Cambria" w:cs="Times New Roman"/>
      <w:i/>
      <w:iCs/>
      <w:color w:val="4F81BD"/>
      <w:spacing w:val="15"/>
      <w:sz w:val="24"/>
      <w:szCs w:val="24"/>
    </w:rPr>
  </w:style>
  <w:style w:type="paragraph" w:styleId="BodyText">
    <w:name w:val="Body Text"/>
    <w:basedOn w:val="Normal"/>
    <w:link w:val="BodyTextChar"/>
    <w:uiPriority w:val="99"/>
    <w:semiHidden/>
    <w:unhideWhenUsed/>
    <w:rsid w:val="009158CA"/>
    <w:pPr>
      <w:spacing w:after="120"/>
      <w:jc w:val="both"/>
    </w:pPr>
    <w:rPr>
      <w:sz w:val="26"/>
    </w:rPr>
  </w:style>
  <w:style w:type="character" w:customStyle="1" w:styleId="BodyTextChar">
    <w:name w:val="Body Text Char"/>
    <w:basedOn w:val="DefaultParagraphFont"/>
    <w:link w:val="BodyText"/>
    <w:uiPriority w:val="99"/>
    <w:semiHidden/>
    <w:rsid w:val="009158CA"/>
    <w:rPr>
      <w:rFonts w:ascii="Times New Roman" w:eastAsia="Times New Roman" w:hAnsi="Times New Roman" w:cs="Times New Roman"/>
      <w:sz w:val="26"/>
      <w:szCs w:val="24"/>
    </w:rPr>
  </w:style>
  <w:style w:type="paragraph" w:styleId="BodyTextFirstIndent">
    <w:name w:val="Body Text First Indent"/>
    <w:basedOn w:val="BodyText"/>
    <w:link w:val="BodyTextFirstIndentChar"/>
    <w:autoRedefine/>
    <w:uiPriority w:val="99"/>
    <w:unhideWhenUsed/>
    <w:rsid w:val="004B006B"/>
    <w:pPr>
      <w:tabs>
        <w:tab w:val="left" w:pos="630"/>
      </w:tabs>
      <w:spacing w:after="0" w:line="480" w:lineRule="auto"/>
      <w:ind w:firstLine="720"/>
      <w:jc w:val="left"/>
    </w:pPr>
  </w:style>
  <w:style w:type="character" w:customStyle="1" w:styleId="BodyTextFirstIndentChar">
    <w:name w:val="Body Text First Indent Char"/>
    <w:basedOn w:val="BodyTextChar"/>
    <w:link w:val="BodyTextFirstIndent"/>
    <w:uiPriority w:val="99"/>
    <w:rsid w:val="004B006B"/>
    <w:rPr>
      <w:rFonts w:ascii="Times New Roman" w:eastAsia="Times New Roman" w:hAnsi="Times New Roman" w:cs="Times New Roman"/>
      <w:sz w:val="26"/>
      <w:szCs w:val="24"/>
    </w:rPr>
  </w:style>
  <w:style w:type="character" w:customStyle="1" w:styleId="Heading2Char">
    <w:name w:val="Heading 2 Char"/>
    <w:basedOn w:val="DefaultParagraphFont"/>
    <w:link w:val="Heading2"/>
    <w:uiPriority w:val="9"/>
    <w:rsid w:val="001778B4"/>
    <w:rPr>
      <w:rFonts w:ascii="Times New Roman" w:hAnsi="Times New Roman"/>
      <w:b/>
      <w:color w:val="000000"/>
      <w:sz w:val="26"/>
      <w:szCs w:val="26"/>
    </w:rPr>
  </w:style>
  <w:style w:type="paragraph" w:styleId="BlockText">
    <w:name w:val="Block Text"/>
    <w:basedOn w:val="Normal"/>
    <w:uiPriority w:val="99"/>
    <w:semiHidden/>
    <w:unhideWhenUsed/>
    <w:rsid w:val="009158CA"/>
    <w:pPr>
      <w:pBdr>
        <w:top w:val="single" w:sz="2" w:space="10" w:color="4F81BD" w:shadow="1"/>
        <w:left w:val="single" w:sz="2" w:space="10" w:color="4F81BD" w:shadow="1"/>
        <w:bottom w:val="single" w:sz="2" w:space="10" w:color="4F81BD" w:shadow="1"/>
        <w:right w:val="single" w:sz="2" w:space="10" w:color="4F81BD" w:shadow="1"/>
      </w:pBdr>
      <w:ind w:left="1152" w:right="1152"/>
      <w:jc w:val="both"/>
    </w:pPr>
    <w:rPr>
      <w:iCs/>
      <w:sz w:val="26"/>
    </w:rPr>
  </w:style>
  <w:style w:type="character" w:customStyle="1" w:styleId="Heading3Char">
    <w:name w:val="Heading 3 Char"/>
    <w:basedOn w:val="DefaultParagraphFont"/>
    <w:link w:val="Heading3"/>
    <w:uiPriority w:val="9"/>
    <w:rsid w:val="00655FB7"/>
    <w:rPr>
      <w:rFonts w:ascii="Times New Roman" w:hAnsi="Times New Roman"/>
      <w:b/>
      <w:color w:val="000000"/>
      <w:sz w:val="26"/>
      <w:szCs w:val="24"/>
    </w:rPr>
  </w:style>
  <w:style w:type="paragraph" w:styleId="TOC1">
    <w:name w:val="toc 1"/>
    <w:basedOn w:val="Normal"/>
    <w:next w:val="Normal"/>
    <w:autoRedefine/>
    <w:uiPriority w:val="39"/>
    <w:unhideWhenUsed/>
    <w:rsid w:val="00972087"/>
    <w:pPr>
      <w:tabs>
        <w:tab w:val="left" w:pos="660"/>
        <w:tab w:val="right" w:leader="dot" w:pos="9350"/>
      </w:tabs>
      <w:spacing w:before="240" w:after="240"/>
      <w:ind w:left="720" w:hanging="720"/>
      <w:jc w:val="right"/>
    </w:pPr>
    <w:rPr>
      <w:sz w:val="26"/>
    </w:rPr>
  </w:style>
  <w:style w:type="paragraph" w:styleId="TOC2">
    <w:name w:val="toc 2"/>
    <w:basedOn w:val="Normal"/>
    <w:next w:val="Normal"/>
    <w:autoRedefine/>
    <w:uiPriority w:val="39"/>
    <w:unhideWhenUsed/>
    <w:rsid w:val="007B1283"/>
    <w:pPr>
      <w:tabs>
        <w:tab w:val="right" w:leader="dot" w:pos="9350"/>
      </w:tabs>
      <w:spacing w:before="240" w:after="240"/>
      <w:ind w:left="1440" w:right="1440" w:hanging="720"/>
    </w:pPr>
    <w:rPr>
      <w:sz w:val="26"/>
    </w:rPr>
  </w:style>
  <w:style w:type="paragraph" w:styleId="TOC3">
    <w:name w:val="toc 3"/>
    <w:basedOn w:val="Normal"/>
    <w:next w:val="Normal"/>
    <w:autoRedefine/>
    <w:uiPriority w:val="39"/>
    <w:unhideWhenUsed/>
    <w:rsid w:val="002B48AB"/>
    <w:pPr>
      <w:tabs>
        <w:tab w:val="left" w:pos="1440"/>
        <w:tab w:val="right" w:leader="dot" w:pos="9350"/>
      </w:tabs>
      <w:spacing w:before="240" w:after="240"/>
      <w:ind w:left="2160" w:right="1440" w:hanging="720"/>
    </w:pPr>
    <w:rPr>
      <w:sz w:val="26"/>
    </w:rPr>
  </w:style>
  <w:style w:type="paragraph" w:styleId="DocumentMap">
    <w:name w:val="Document Map"/>
    <w:basedOn w:val="Normal"/>
    <w:link w:val="DocumentMapChar"/>
    <w:uiPriority w:val="99"/>
    <w:semiHidden/>
    <w:unhideWhenUsed/>
    <w:rsid w:val="007B1283"/>
    <w:rPr>
      <w:rFonts w:ascii="Tahoma" w:hAnsi="Tahoma" w:cs="Tahoma"/>
      <w:sz w:val="16"/>
      <w:szCs w:val="16"/>
    </w:rPr>
  </w:style>
  <w:style w:type="character" w:customStyle="1" w:styleId="DocumentMapChar">
    <w:name w:val="Document Map Char"/>
    <w:basedOn w:val="DefaultParagraphFont"/>
    <w:link w:val="DocumentMap"/>
    <w:uiPriority w:val="99"/>
    <w:semiHidden/>
    <w:rsid w:val="007B1283"/>
    <w:rPr>
      <w:rFonts w:ascii="Tahoma" w:hAnsi="Tahoma" w:cs="Tahoma"/>
      <w:sz w:val="16"/>
      <w:szCs w:val="16"/>
    </w:rPr>
  </w:style>
  <w:style w:type="paragraph" w:customStyle="1" w:styleId="Heaidng1">
    <w:name w:val="Heaidng 1"/>
    <w:basedOn w:val="BodyTextFirstIndent"/>
    <w:rsid w:val="00302797"/>
  </w:style>
  <w:style w:type="paragraph" w:styleId="BalloonText">
    <w:name w:val="Balloon Text"/>
    <w:basedOn w:val="Normal"/>
    <w:link w:val="BalloonTextChar"/>
    <w:uiPriority w:val="99"/>
    <w:semiHidden/>
    <w:unhideWhenUsed/>
    <w:rsid w:val="00302797"/>
    <w:rPr>
      <w:rFonts w:ascii="Tahoma" w:hAnsi="Tahoma" w:cs="Tahoma"/>
      <w:sz w:val="16"/>
      <w:szCs w:val="16"/>
    </w:rPr>
  </w:style>
  <w:style w:type="character" w:customStyle="1" w:styleId="BalloonTextChar">
    <w:name w:val="Balloon Text Char"/>
    <w:basedOn w:val="DefaultParagraphFont"/>
    <w:link w:val="BalloonText"/>
    <w:uiPriority w:val="99"/>
    <w:semiHidden/>
    <w:rsid w:val="00302797"/>
    <w:rPr>
      <w:rFonts w:ascii="Tahoma" w:hAnsi="Tahoma" w:cs="Tahoma"/>
      <w:sz w:val="16"/>
      <w:szCs w:val="16"/>
    </w:rPr>
  </w:style>
  <w:style w:type="character" w:customStyle="1" w:styleId="Heading4Char">
    <w:name w:val="Heading 4 Char"/>
    <w:basedOn w:val="DefaultParagraphFont"/>
    <w:link w:val="Heading4"/>
    <w:uiPriority w:val="9"/>
    <w:rsid w:val="005C4ECF"/>
    <w:rPr>
      <w:rFonts w:ascii="Times New Roman" w:hAnsi="Times New Roman"/>
      <w:b/>
      <w:sz w:val="26"/>
      <w:szCs w:val="26"/>
    </w:rPr>
  </w:style>
  <w:style w:type="paragraph" w:customStyle="1" w:styleId="Blockquote">
    <w:name w:val="Block quote"/>
    <w:basedOn w:val="Normal"/>
    <w:autoRedefine/>
    <w:rsid w:val="007C5A1F"/>
    <w:pPr>
      <w:spacing w:after="240"/>
      <w:ind w:left="1440" w:right="1440"/>
    </w:pPr>
    <w:rPr>
      <w:sz w:val="26"/>
      <w:szCs w:val="26"/>
    </w:rPr>
  </w:style>
  <w:style w:type="paragraph" w:customStyle="1" w:styleId="T">
    <w:name w:val="T"/>
    <w:basedOn w:val="Normal"/>
    <w:rsid w:val="007C5A1F"/>
    <w:pPr>
      <w:suppressLineNumbers/>
      <w:autoSpaceDE w:val="0"/>
      <w:autoSpaceDN w:val="0"/>
      <w:adjustRightInd w:val="0"/>
      <w:spacing w:line="480" w:lineRule="auto"/>
    </w:pPr>
  </w:style>
  <w:style w:type="paragraph" w:styleId="TOC4">
    <w:name w:val="toc 4"/>
    <w:basedOn w:val="Normal"/>
    <w:next w:val="Normal"/>
    <w:autoRedefine/>
    <w:uiPriority w:val="39"/>
    <w:unhideWhenUsed/>
    <w:rsid w:val="00B02650"/>
    <w:pPr>
      <w:tabs>
        <w:tab w:val="left" w:pos="1440"/>
        <w:tab w:val="right" w:leader="dot" w:pos="9350"/>
      </w:tabs>
      <w:spacing w:before="240" w:after="240"/>
      <w:ind w:left="2880" w:right="1440" w:hanging="720"/>
    </w:pPr>
    <w:rPr>
      <w:sz w:val="26"/>
    </w:rPr>
  </w:style>
  <w:style w:type="paragraph" w:styleId="ListParagraph">
    <w:name w:val="List Paragraph"/>
    <w:basedOn w:val="Normal"/>
    <w:uiPriority w:val="34"/>
    <w:qFormat/>
    <w:rsid w:val="00A171ED"/>
    <w:pPr>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rsid w:val="00DD445F"/>
    <w:rPr>
      <w:rFonts w:cs="Times New Roman"/>
    </w:rPr>
  </w:style>
  <w:style w:type="paragraph" w:styleId="NormalWeb">
    <w:name w:val="Normal (Web)"/>
    <w:basedOn w:val="Normal"/>
    <w:uiPriority w:val="99"/>
    <w:unhideWhenUsed/>
    <w:rsid w:val="00270617"/>
    <w:pPr>
      <w:spacing w:before="100" w:beforeAutospacing="1" w:after="100" w:afterAutospacing="1"/>
    </w:pPr>
  </w:style>
  <w:style w:type="numbering" w:customStyle="1" w:styleId="Style1">
    <w:name w:val="Style1"/>
    <w:uiPriority w:val="99"/>
    <w:rsid w:val="0083731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4555">
      <w:bodyDiv w:val="1"/>
      <w:marLeft w:val="0"/>
      <w:marRight w:val="0"/>
      <w:marTop w:val="0"/>
      <w:marBottom w:val="0"/>
      <w:divBdr>
        <w:top w:val="none" w:sz="0" w:space="0" w:color="auto"/>
        <w:left w:val="none" w:sz="0" w:space="0" w:color="auto"/>
        <w:bottom w:val="none" w:sz="0" w:space="0" w:color="auto"/>
        <w:right w:val="none" w:sz="0" w:space="0" w:color="auto"/>
      </w:divBdr>
    </w:div>
    <w:div w:id="857542416">
      <w:bodyDiv w:val="1"/>
      <w:marLeft w:val="0"/>
      <w:marRight w:val="0"/>
      <w:marTop w:val="0"/>
      <w:marBottom w:val="0"/>
      <w:divBdr>
        <w:top w:val="none" w:sz="0" w:space="0" w:color="auto"/>
        <w:left w:val="none" w:sz="0" w:space="0" w:color="auto"/>
        <w:bottom w:val="none" w:sz="0" w:space="0" w:color="auto"/>
        <w:right w:val="none" w:sz="0" w:space="0" w:color="auto"/>
      </w:divBdr>
    </w:div>
    <w:div w:id="1340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beeler@puc.state.oh.us"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ajay.kumar@occ.ohio.go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jodi.bair@occ.ohio.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darr@mwncmh.com" TargetMode="External"/><Relationship Id="rId5" Type="http://schemas.openxmlformats.org/officeDocument/2006/relationships/webSettings" Target="webSettings.xml"/><Relationship Id="rId15" Type="http://schemas.openxmlformats.org/officeDocument/2006/relationships/hyperlink" Target="mailto:john.jones@puc.state.oh.us" TargetMode="External"/><Relationship Id="rId23" Type="http://schemas.openxmlformats.org/officeDocument/2006/relationships/hyperlink" Target="mailto:mpritchard@mwncmh.com" TargetMode="Externa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ohn.jones@puc.state.oh.us" TargetMode="External"/><Relationship Id="rId14" Type="http://schemas.openxmlformats.org/officeDocument/2006/relationships/hyperlink" Target="mailto:steven.beeler@puc.state.oh.us" TargetMode="External"/><Relationship Id="rId22" Type="http://schemas.openxmlformats.org/officeDocument/2006/relationships/hyperlink" Target="mailto:cmooney@ohiopartners.org"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5D58-C225-4EAE-9C4D-7F84E0E7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17861</CharactersWithSpaces>
  <SharedDoc>false</SharedDoc>
  <HLinks>
    <vt:vector size="12" baseType="variant">
      <vt:variant>
        <vt:i4>3538974</vt:i4>
      </vt:variant>
      <vt:variant>
        <vt:i4>60</vt:i4>
      </vt:variant>
      <vt:variant>
        <vt:i4>0</vt:i4>
      </vt:variant>
      <vt:variant>
        <vt:i4>5</vt:i4>
      </vt:variant>
      <vt:variant>
        <vt:lpwstr>http://web2.westlaw.com/find/default.wl?rs=WLW7.09&amp;serialnum=1988082113&amp;fn=_top&amp;sv=Split&amp;tc=-1&amp;findtype=Y&amp;tf=-1&amp;db=708&amp;vr=2.0&amp;rp=%2ffind%2fdefault.wl&amp;mt=Ohio</vt:lpwstr>
      </vt:variant>
      <vt:variant>
        <vt:lpwstr/>
      </vt:variant>
      <vt:variant>
        <vt:i4>3211292</vt:i4>
      </vt:variant>
      <vt:variant>
        <vt:i4>57</vt:i4>
      </vt:variant>
      <vt:variant>
        <vt:i4>0</vt:i4>
      </vt:variant>
      <vt:variant>
        <vt:i4>5</vt:i4>
      </vt:variant>
      <vt:variant>
        <vt:lpwstr>http://web2.westlaw.com/find/default.wl?rs=WLW7.09&amp;serialnum=1986131045&amp;fn=_top&amp;sv=Split&amp;tc=-1&amp;findtype=Y&amp;tf=-1&amp;db=708&amp;vr=2.0&amp;rp=%2ffind%2fdefault.wl&amp;mt=Ohio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mcnamee</dc:creator>
  <cp:lastModifiedBy>Keeton, Kim</cp:lastModifiedBy>
  <cp:revision>10</cp:revision>
  <cp:lastPrinted>2016-03-15T17:21:00Z</cp:lastPrinted>
  <dcterms:created xsi:type="dcterms:W3CDTF">2016-03-15T17:04:00Z</dcterms:created>
  <dcterms:modified xsi:type="dcterms:W3CDTF">2016-03-15T17:22:00Z</dcterms:modified>
</cp:coreProperties>
</file>