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1D" w:rsidRDefault="004013E2" w:rsidP="009F271D">
      <w:pPr>
        <w:jc w:val="center"/>
        <w:rPr>
          <w:rFonts w:eastAsia="Times New Roman" w:cs="Arial"/>
          <w:b/>
          <w:smallCaps/>
          <w:sz w:val="32"/>
          <w:szCs w:val="32"/>
        </w:rPr>
      </w:pPr>
      <w:bookmarkStart w:id="0" w:name="OLE_LINK2"/>
      <w:bookmarkStart w:id="1" w:name="OLE_LINK1"/>
      <w:bookmarkStart w:id="2" w:name="_Hlk5364486"/>
      <w:r>
        <w:rPr>
          <w:rFonts w:eastAsia="Times New Roman" w:cs="Arial"/>
          <w:b/>
          <w:smallCaps/>
          <w:sz w:val="32"/>
          <w:szCs w:val="32"/>
        </w:rPr>
        <w:t>Before</w:t>
      </w:r>
    </w:p>
    <w:p w:rsidR="009F271D" w:rsidRDefault="004013E2" w:rsidP="009F271D">
      <w:pPr>
        <w:jc w:val="center"/>
        <w:rPr>
          <w:rFonts w:eastAsia="Times New Roman" w:cs="Arial"/>
          <w:b/>
          <w:smallCaps/>
          <w:sz w:val="32"/>
          <w:szCs w:val="32"/>
        </w:rPr>
      </w:pPr>
      <w:r>
        <w:rPr>
          <w:rFonts w:eastAsia="Times New Roman" w:cs="Arial"/>
          <w:b/>
          <w:smallCaps/>
          <w:sz w:val="32"/>
          <w:szCs w:val="32"/>
        </w:rPr>
        <w:t>The Public Utilities Commission of Ohio</w:t>
      </w:r>
    </w:p>
    <w:p w:rsidR="009F271D" w:rsidRDefault="00F96B62" w:rsidP="009F271D">
      <w:pPr>
        <w:autoSpaceDE w:val="0"/>
        <w:autoSpaceDN w:val="0"/>
        <w:adjustRightInd w:val="0"/>
        <w:rPr>
          <w:rFonts w:eastAsia="Calibri" w:cs="Arial"/>
        </w:rPr>
      </w:pPr>
    </w:p>
    <w:p w:rsidR="004A7606" w:rsidRDefault="004A7606" w:rsidP="009F271D">
      <w:pPr>
        <w:autoSpaceDE w:val="0"/>
        <w:autoSpaceDN w:val="0"/>
        <w:adjustRightInd w:val="0"/>
        <w:rPr>
          <w:rFonts w:eastAsia="Calibri" w:cs="Arial"/>
        </w:rPr>
      </w:pPr>
    </w:p>
    <w:tbl>
      <w:tblPr>
        <w:tblW w:w="0" w:type="auto"/>
        <w:tblLook w:val="04A0" w:firstRow="1" w:lastRow="0" w:firstColumn="1" w:lastColumn="0" w:noHBand="0" w:noVBand="1"/>
      </w:tblPr>
      <w:tblGrid>
        <w:gridCol w:w="4410"/>
        <w:gridCol w:w="374"/>
        <w:gridCol w:w="4576"/>
      </w:tblGrid>
      <w:tr w:rsidR="00A7021A" w:rsidTr="000A478B">
        <w:tc>
          <w:tcPr>
            <w:tcW w:w="4410" w:type="dxa"/>
            <w:hideMark/>
          </w:tcPr>
          <w:p w:rsidR="009F271D" w:rsidRDefault="004013E2">
            <w:pPr>
              <w:rPr>
                <w:rFonts w:eastAsia="Calibri" w:cs="Times New Roman"/>
              </w:rPr>
            </w:pPr>
            <w:r>
              <w:rPr>
                <w:rFonts w:eastAsia="Calibri" w:cs="Times New Roman"/>
              </w:rPr>
              <w:t xml:space="preserve">In the Matter of the Application of Ohio Gas Company for a Waiver of Orders Related to the Tax Cuts and Jobs Act of 2017. </w:t>
            </w:r>
          </w:p>
        </w:tc>
        <w:tc>
          <w:tcPr>
            <w:tcW w:w="374" w:type="dxa"/>
            <w:hideMark/>
          </w:tcPr>
          <w:p w:rsidR="009F271D" w:rsidRDefault="004013E2">
            <w:pPr>
              <w:rPr>
                <w:rFonts w:eastAsia="Calibri" w:cs="Times New Roman"/>
              </w:rPr>
            </w:pPr>
            <w:r>
              <w:rPr>
                <w:rFonts w:eastAsia="Calibri" w:cs="Times New Roman"/>
              </w:rPr>
              <w:t>)</w:t>
            </w:r>
          </w:p>
          <w:p w:rsidR="009F271D" w:rsidRDefault="004013E2">
            <w:pPr>
              <w:rPr>
                <w:rFonts w:eastAsia="Calibri" w:cs="Times New Roman"/>
              </w:rPr>
            </w:pPr>
            <w:r>
              <w:rPr>
                <w:rFonts w:eastAsia="Calibri" w:cs="Times New Roman"/>
              </w:rPr>
              <w:t>)</w:t>
            </w:r>
          </w:p>
          <w:p w:rsidR="009F271D" w:rsidRDefault="004013E2">
            <w:pPr>
              <w:rPr>
                <w:rFonts w:eastAsia="Calibri" w:cs="Times New Roman"/>
              </w:rPr>
            </w:pPr>
            <w:r>
              <w:rPr>
                <w:rFonts w:eastAsia="Calibri" w:cs="Times New Roman"/>
              </w:rPr>
              <w:t>)</w:t>
            </w:r>
          </w:p>
          <w:p w:rsidR="009F271D" w:rsidRDefault="004013E2">
            <w:pPr>
              <w:rPr>
                <w:rFonts w:eastAsia="Calibri" w:cs="Times New Roman"/>
              </w:rPr>
            </w:pPr>
            <w:r>
              <w:rPr>
                <w:rFonts w:eastAsia="Calibri" w:cs="Times New Roman"/>
              </w:rPr>
              <w:t>)</w:t>
            </w:r>
          </w:p>
        </w:tc>
        <w:tc>
          <w:tcPr>
            <w:tcW w:w="4576" w:type="dxa"/>
          </w:tcPr>
          <w:p w:rsidR="009F271D" w:rsidRDefault="00F96B62">
            <w:pPr>
              <w:rPr>
                <w:rFonts w:eastAsia="Calibri" w:cs="Times New Roman"/>
              </w:rPr>
            </w:pPr>
          </w:p>
          <w:p w:rsidR="009F271D" w:rsidRDefault="004013E2">
            <w:pPr>
              <w:rPr>
                <w:rFonts w:eastAsia="Calibri" w:cs="Times New Roman"/>
              </w:rPr>
            </w:pPr>
            <w:r>
              <w:rPr>
                <w:rFonts w:eastAsia="Calibri" w:cs="Times New Roman"/>
              </w:rPr>
              <w:t>Case No. 18-1903-GA-WVR</w:t>
            </w:r>
          </w:p>
        </w:tc>
      </w:tr>
    </w:tbl>
    <w:p w:rsidR="009F271D" w:rsidRDefault="00F96B62" w:rsidP="009F271D">
      <w:pPr>
        <w:tabs>
          <w:tab w:val="left" w:pos="5040"/>
        </w:tabs>
        <w:jc w:val="both"/>
        <w:rPr>
          <w:rFonts w:eastAsia="Times New Roman" w:cs="Arial"/>
        </w:rPr>
      </w:pPr>
    </w:p>
    <w:p w:rsidR="009F271D" w:rsidRDefault="00F96B62" w:rsidP="009F271D">
      <w:pPr>
        <w:keepNext/>
        <w:pBdr>
          <w:top w:val="single" w:sz="12" w:space="1" w:color="auto"/>
        </w:pBdr>
        <w:tabs>
          <w:tab w:val="left" w:pos="7320"/>
        </w:tabs>
        <w:jc w:val="center"/>
        <w:outlineLvl w:val="0"/>
        <w:rPr>
          <w:rFonts w:ascii="Arial Bold" w:eastAsia="Times New Roman" w:hAnsi="Arial Bold" w:cs="Arial"/>
          <w:b/>
          <w:smallCaps/>
          <w:szCs w:val="28"/>
        </w:rPr>
      </w:pPr>
    </w:p>
    <w:bookmarkEnd w:id="0"/>
    <w:bookmarkEnd w:id="1"/>
    <w:p w:rsidR="000A478B" w:rsidRPr="004A7606" w:rsidRDefault="004013E2" w:rsidP="000A478B">
      <w:pPr>
        <w:jc w:val="center"/>
        <w:rPr>
          <w:rFonts w:ascii="Arial Bold" w:hAnsi="Arial Bold"/>
          <w:b/>
          <w:smallCaps/>
          <w:sz w:val="32"/>
          <w:szCs w:val="32"/>
        </w:rPr>
      </w:pPr>
      <w:r w:rsidRPr="004A7606">
        <w:rPr>
          <w:rFonts w:ascii="Arial Bold" w:hAnsi="Arial Bold"/>
          <w:b/>
          <w:smallCaps/>
          <w:sz w:val="32"/>
          <w:szCs w:val="32"/>
        </w:rPr>
        <w:t>Stipulation and Recommendation</w:t>
      </w:r>
    </w:p>
    <w:p w:rsidR="009F271D" w:rsidRDefault="00F96B62" w:rsidP="009F271D">
      <w:pPr>
        <w:jc w:val="center"/>
        <w:rPr>
          <w:rFonts w:eastAsia="Times New Roman" w:cs="Arial"/>
          <w:smallCaps/>
          <w:sz w:val="22"/>
          <w:szCs w:val="28"/>
          <w:u w:val="single"/>
        </w:rPr>
      </w:pPr>
    </w:p>
    <w:p w:rsidR="009F271D" w:rsidRDefault="00F96B62" w:rsidP="009F271D">
      <w:pPr>
        <w:keepNext/>
        <w:pBdr>
          <w:top w:val="single" w:sz="12" w:space="1" w:color="auto"/>
        </w:pBdr>
        <w:tabs>
          <w:tab w:val="left" w:pos="7320"/>
        </w:tabs>
        <w:jc w:val="center"/>
        <w:outlineLvl w:val="0"/>
        <w:rPr>
          <w:rFonts w:ascii="Arial Bold" w:eastAsia="Times New Roman" w:hAnsi="Arial Bold" w:cs="Arial"/>
          <w:b/>
          <w:smallCaps/>
          <w:sz w:val="28"/>
          <w:szCs w:val="28"/>
        </w:rPr>
      </w:pPr>
    </w:p>
    <w:p w:rsidR="009F271D" w:rsidRDefault="00F96B62" w:rsidP="009F271D">
      <w:pPr>
        <w:jc w:val="center"/>
        <w:rPr>
          <w:rFonts w:eastAsia="Times New Roman" w:cs="Arial"/>
          <w:b/>
          <w:smallCaps/>
          <w:sz w:val="28"/>
          <w:szCs w:val="28"/>
          <w:u w:val="single"/>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0A478B"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ind w:left="4320"/>
        <w:rPr>
          <w:rFonts w:eastAsia="Calibri" w:cs="Arial"/>
        </w:rPr>
      </w:pPr>
    </w:p>
    <w:p w:rsidR="009F271D" w:rsidRDefault="00F96B62" w:rsidP="009F271D">
      <w:pPr>
        <w:tabs>
          <w:tab w:val="left" w:pos="720"/>
          <w:tab w:val="left" w:pos="4320"/>
          <w:tab w:val="right" w:pos="8640"/>
        </w:tabs>
        <w:rPr>
          <w:rFonts w:eastAsia="Calibri" w:cs="Arial"/>
        </w:rPr>
      </w:pPr>
    </w:p>
    <w:p w:rsidR="000A478B" w:rsidRDefault="00B96829" w:rsidP="000A478B">
      <w:pPr>
        <w:tabs>
          <w:tab w:val="left" w:pos="5040"/>
        </w:tabs>
        <w:rPr>
          <w:rFonts w:eastAsia="Calibri" w:cs="Arial"/>
          <w:b/>
          <w:smallCaps/>
        </w:rPr>
        <w:sectPr w:rsidR="000A478B" w:rsidSect="00C0405A">
          <w:footerReference w:type="default" r:id="rId7"/>
          <w:footerReference w:type="first" r:id="rId8"/>
          <w:pgSz w:w="12240" w:h="15840" w:code="1"/>
          <w:pgMar w:top="1440" w:right="1440" w:bottom="1440" w:left="1440" w:header="720" w:footer="720" w:gutter="0"/>
          <w:cols w:space="720"/>
          <w:titlePg/>
          <w:docGrid w:linePitch="360"/>
        </w:sectPr>
      </w:pPr>
      <w:r>
        <w:rPr>
          <w:rFonts w:eastAsia="Calibri" w:cs="Arial"/>
          <w:b/>
          <w:smallCaps/>
        </w:rPr>
        <w:t xml:space="preserve">April </w:t>
      </w:r>
      <w:r w:rsidR="003F221B">
        <w:rPr>
          <w:rFonts w:eastAsia="Calibri" w:cs="Arial"/>
          <w:b/>
          <w:smallCaps/>
        </w:rPr>
        <w:t>25</w:t>
      </w:r>
      <w:r w:rsidR="004013E2">
        <w:rPr>
          <w:rFonts w:eastAsia="Calibri" w:cs="Arial"/>
          <w:b/>
          <w:smallCaps/>
        </w:rPr>
        <w:t>, 2019</w:t>
      </w:r>
      <w:r w:rsidR="004013E2">
        <w:rPr>
          <w:rFonts w:eastAsia="Calibri" w:cs="Arial"/>
          <w:b/>
          <w:smallCaps/>
        </w:rPr>
        <w:tab/>
      </w:r>
    </w:p>
    <w:p w:rsidR="000A478B" w:rsidRDefault="004013E2" w:rsidP="000A478B">
      <w:pPr>
        <w:jc w:val="center"/>
        <w:rPr>
          <w:rFonts w:eastAsia="Times New Roman" w:cs="Arial"/>
          <w:b/>
          <w:smallCaps/>
          <w:sz w:val="32"/>
          <w:szCs w:val="32"/>
        </w:rPr>
      </w:pPr>
      <w:r>
        <w:rPr>
          <w:rFonts w:eastAsia="Times New Roman" w:cs="Arial"/>
          <w:b/>
          <w:smallCaps/>
          <w:sz w:val="32"/>
          <w:szCs w:val="32"/>
        </w:rPr>
        <w:lastRenderedPageBreak/>
        <w:t>Before</w:t>
      </w:r>
    </w:p>
    <w:p w:rsidR="000A478B" w:rsidRDefault="004013E2" w:rsidP="000A478B">
      <w:pPr>
        <w:jc w:val="center"/>
        <w:rPr>
          <w:rFonts w:eastAsia="Times New Roman" w:cs="Arial"/>
          <w:b/>
          <w:smallCaps/>
          <w:sz w:val="32"/>
          <w:szCs w:val="32"/>
        </w:rPr>
      </w:pPr>
      <w:r>
        <w:rPr>
          <w:rFonts w:eastAsia="Times New Roman" w:cs="Arial"/>
          <w:b/>
          <w:smallCaps/>
          <w:sz w:val="32"/>
          <w:szCs w:val="32"/>
        </w:rPr>
        <w:t>The Public Utilities Commission of Ohio</w:t>
      </w:r>
    </w:p>
    <w:p w:rsidR="000A478B" w:rsidRDefault="00F96B62" w:rsidP="000A478B">
      <w:pPr>
        <w:autoSpaceDE w:val="0"/>
        <w:autoSpaceDN w:val="0"/>
        <w:adjustRightInd w:val="0"/>
        <w:rPr>
          <w:rFonts w:eastAsia="Calibri" w:cs="Arial"/>
        </w:rPr>
      </w:pPr>
    </w:p>
    <w:p w:rsidR="004A7606" w:rsidRDefault="004A7606" w:rsidP="000A478B">
      <w:pPr>
        <w:autoSpaceDE w:val="0"/>
        <w:autoSpaceDN w:val="0"/>
        <w:adjustRightInd w:val="0"/>
        <w:rPr>
          <w:rFonts w:eastAsia="Calibri" w:cs="Arial"/>
        </w:rPr>
      </w:pPr>
    </w:p>
    <w:tbl>
      <w:tblPr>
        <w:tblW w:w="0" w:type="auto"/>
        <w:tblLook w:val="04A0" w:firstRow="1" w:lastRow="0" w:firstColumn="1" w:lastColumn="0" w:noHBand="0" w:noVBand="1"/>
      </w:tblPr>
      <w:tblGrid>
        <w:gridCol w:w="4410"/>
        <w:gridCol w:w="374"/>
        <w:gridCol w:w="4576"/>
      </w:tblGrid>
      <w:tr w:rsidR="00A7021A" w:rsidTr="00A9589C">
        <w:tc>
          <w:tcPr>
            <w:tcW w:w="4410" w:type="dxa"/>
            <w:hideMark/>
          </w:tcPr>
          <w:p w:rsidR="000A478B" w:rsidRDefault="004013E2" w:rsidP="00A9589C">
            <w:pPr>
              <w:rPr>
                <w:rFonts w:eastAsia="Calibri" w:cs="Times New Roman"/>
              </w:rPr>
            </w:pPr>
            <w:r>
              <w:rPr>
                <w:rFonts w:eastAsia="Calibri" w:cs="Times New Roman"/>
              </w:rPr>
              <w:t xml:space="preserve">In the Matter of the Application of Ohio Gas Company for a Waiver of Orders Related to the Tax Cuts and Jobs Act of 2017. </w:t>
            </w:r>
          </w:p>
        </w:tc>
        <w:tc>
          <w:tcPr>
            <w:tcW w:w="374" w:type="dxa"/>
            <w:hideMark/>
          </w:tcPr>
          <w:p w:rsidR="000A478B" w:rsidRDefault="004013E2" w:rsidP="00A9589C">
            <w:pPr>
              <w:rPr>
                <w:rFonts w:eastAsia="Calibri" w:cs="Times New Roman"/>
              </w:rPr>
            </w:pPr>
            <w:r>
              <w:rPr>
                <w:rFonts w:eastAsia="Calibri" w:cs="Times New Roman"/>
              </w:rPr>
              <w:t>)</w:t>
            </w:r>
          </w:p>
          <w:p w:rsidR="000A478B" w:rsidRDefault="004013E2" w:rsidP="00A9589C">
            <w:pPr>
              <w:rPr>
                <w:rFonts w:eastAsia="Calibri" w:cs="Times New Roman"/>
              </w:rPr>
            </w:pPr>
            <w:r>
              <w:rPr>
                <w:rFonts w:eastAsia="Calibri" w:cs="Times New Roman"/>
              </w:rPr>
              <w:t>)</w:t>
            </w:r>
          </w:p>
          <w:p w:rsidR="000A478B" w:rsidRDefault="004013E2" w:rsidP="00A9589C">
            <w:pPr>
              <w:rPr>
                <w:rFonts w:eastAsia="Calibri" w:cs="Times New Roman"/>
              </w:rPr>
            </w:pPr>
            <w:r>
              <w:rPr>
                <w:rFonts w:eastAsia="Calibri" w:cs="Times New Roman"/>
              </w:rPr>
              <w:t>)</w:t>
            </w:r>
          </w:p>
          <w:p w:rsidR="000A478B" w:rsidRDefault="004013E2" w:rsidP="00A9589C">
            <w:pPr>
              <w:rPr>
                <w:rFonts w:eastAsia="Calibri" w:cs="Times New Roman"/>
              </w:rPr>
            </w:pPr>
            <w:r>
              <w:rPr>
                <w:rFonts w:eastAsia="Calibri" w:cs="Times New Roman"/>
              </w:rPr>
              <w:t>)</w:t>
            </w:r>
          </w:p>
        </w:tc>
        <w:tc>
          <w:tcPr>
            <w:tcW w:w="4576" w:type="dxa"/>
          </w:tcPr>
          <w:p w:rsidR="000A478B" w:rsidRDefault="00F96B62" w:rsidP="00A9589C">
            <w:pPr>
              <w:rPr>
                <w:rFonts w:eastAsia="Calibri" w:cs="Times New Roman"/>
              </w:rPr>
            </w:pPr>
          </w:p>
          <w:p w:rsidR="000A478B" w:rsidRDefault="004013E2" w:rsidP="00A9589C">
            <w:pPr>
              <w:rPr>
                <w:rFonts w:eastAsia="Calibri" w:cs="Times New Roman"/>
              </w:rPr>
            </w:pPr>
            <w:r>
              <w:rPr>
                <w:rFonts w:eastAsia="Calibri" w:cs="Times New Roman"/>
              </w:rPr>
              <w:t>Case No. 18-1903-GA-WVR</w:t>
            </w:r>
          </w:p>
        </w:tc>
      </w:tr>
    </w:tbl>
    <w:p w:rsidR="000A478B" w:rsidRDefault="00F96B62" w:rsidP="000A478B">
      <w:pPr>
        <w:tabs>
          <w:tab w:val="left" w:pos="5040"/>
        </w:tabs>
        <w:jc w:val="both"/>
        <w:rPr>
          <w:rFonts w:eastAsia="Times New Roman" w:cs="Arial"/>
        </w:rPr>
      </w:pPr>
    </w:p>
    <w:p w:rsidR="000A478B" w:rsidRDefault="00F96B62" w:rsidP="000A478B">
      <w:pPr>
        <w:keepNext/>
        <w:pBdr>
          <w:top w:val="single" w:sz="12" w:space="1" w:color="auto"/>
        </w:pBdr>
        <w:tabs>
          <w:tab w:val="left" w:pos="7320"/>
        </w:tabs>
        <w:jc w:val="center"/>
        <w:outlineLvl w:val="0"/>
        <w:rPr>
          <w:rFonts w:ascii="Arial Bold" w:eastAsia="Times New Roman" w:hAnsi="Arial Bold" w:cs="Arial"/>
          <w:b/>
          <w:smallCaps/>
          <w:szCs w:val="28"/>
        </w:rPr>
      </w:pPr>
    </w:p>
    <w:p w:rsidR="000A478B" w:rsidRPr="000A478B" w:rsidRDefault="004013E2" w:rsidP="000A478B">
      <w:pPr>
        <w:jc w:val="center"/>
        <w:rPr>
          <w:rFonts w:ascii="Arial Bold" w:hAnsi="Arial Bold"/>
          <w:b/>
          <w:smallCaps/>
          <w:sz w:val="28"/>
        </w:rPr>
      </w:pPr>
      <w:r w:rsidRPr="000A478B">
        <w:rPr>
          <w:rFonts w:ascii="Arial Bold" w:hAnsi="Arial Bold"/>
          <w:b/>
          <w:smallCaps/>
          <w:sz w:val="28"/>
        </w:rPr>
        <w:t>Stipulation and Recommendation</w:t>
      </w:r>
    </w:p>
    <w:p w:rsidR="000A478B" w:rsidRDefault="00F96B62" w:rsidP="000A478B">
      <w:pPr>
        <w:jc w:val="center"/>
        <w:rPr>
          <w:rFonts w:eastAsia="Times New Roman" w:cs="Arial"/>
          <w:smallCaps/>
          <w:sz w:val="22"/>
          <w:szCs w:val="28"/>
          <w:u w:val="single"/>
        </w:rPr>
      </w:pPr>
    </w:p>
    <w:p w:rsidR="000A478B" w:rsidRDefault="00F96B62" w:rsidP="000A478B">
      <w:pPr>
        <w:keepNext/>
        <w:pBdr>
          <w:top w:val="single" w:sz="12" w:space="1" w:color="auto"/>
        </w:pBdr>
        <w:tabs>
          <w:tab w:val="left" w:pos="7320"/>
        </w:tabs>
        <w:jc w:val="center"/>
        <w:outlineLvl w:val="0"/>
        <w:rPr>
          <w:rFonts w:ascii="Arial Bold" w:eastAsia="Times New Roman" w:hAnsi="Arial Bold" w:cs="Arial"/>
          <w:b/>
          <w:smallCaps/>
          <w:sz w:val="28"/>
          <w:szCs w:val="28"/>
        </w:rPr>
      </w:pPr>
    </w:p>
    <w:p w:rsidR="00AA52D8" w:rsidRPr="00851873" w:rsidRDefault="004013E2" w:rsidP="009C194D">
      <w:pPr>
        <w:pStyle w:val="ListParagraph"/>
        <w:numPr>
          <w:ilvl w:val="0"/>
          <w:numId w:val="1"/>
        </w:numPr>
        <w:ind w:left="720"/>
        <w:jc w:val="both"/>
        <w:rPr>
          <w:b/>
        </w:rPr>
      </w:pPr>
      <w:r w:rsidRPr="00851873">
        <w:rPr>
          <w:b/>
        </w:rPr>
        <w:t>BACKGROUND</w:t>
      </w:r>
    </w:p>
    <w:p w:rsidR="00AA52D8" w:rsidRDefault="00F96B62" w:rsidP="003004CA">
      <w:pPr>
        <w:jc w:val="both"/>
      </w:pPr>
    </w:p>
    <w:p w:rsidR="00851873" w:rsidRPr="00BD3A9C" w:rsidRDefault="004013E2" w:rsidP="00BD3A9C">
      <w:pPr>
        <w:pStyle w:val="ListParagraph"/>
        <w:numPr>
          <w:ilvl w:val="0"/>
          <w:numId w:val="9"/>
        </w:numPr>
        <w:spacing w:line="480" w:lineRule="auto"/>
        <w:ind w:left="0" w:firstLine="720"/>
        <w:jc w:val="both"/>
        <w:rPr>
          <w:b/>
          <w:smallCaps/>
        </w:rPr>
      </w:pPr>
      <w:r>
        <w:t>Rule 4901-1-30, Ohio Administrative Code (“OAC”), provides that any two or more parties to a proceeding may enter into a written or oral stipulation concerning the issues presented in such proceeding.  Pursuant to Rule 4901-1-10 (C), OAC, the Staff of the Public Utilities Commission of Ohio (“Commission Staff”) is considered a party for the purpose of entering into a stipulation under Rule 4901-1-30 OAC.</w:t>
      </w:r>
    </w:p>
    <w:p w:rsidR="00851873" w:rsidRPr="00AB1407" w:rsidRDefault="004013E2" w:rsidP="00BD3A9C">
      <w:pPr>
        <w:pStyle w:val="ListParagraph"/>
        <w:numPr>
          <w:ilvl w:val="0"/>
          <w:numId w:val="9"/>
        </w:numPr>
        <w:spacing w:line="480" w:lineRule="auto"/>
        <w:ind w:left="0" w:firstLine="720"/>
        <w:jc w:val="both"/>
      </w:pPr>
      <w:r>
        <w:t>The purpose of this document is to set forth the understanding of the Signatory Parties</w:t>
      </w:r>
      <w:r w:rsidR="00096B03">
        <w:t xml:space="preserve"> (as defined below),</w:t>
      </w:r>
      <w:r>
        <w:t xml:space="preserve"> to resolve all issues raised in this proceeding</w:t>
      </w:r>
      <w:r w:rsidR="00096B03">
        <w:t>,</w:t>
      </w:r>
      <w:r>
        <w:t xml:space="preserve"> and to resolve the directives issued by the Public Utilities Commission of Ohio (“Commission”) in Case No. 18-47-AU-COI (“</w:t>
      </w:r>
      <w:r>
        <w:rPr>
          <w:i/>
        </w:rPr>
        <w:t>Tax Investigation Case</w:t>
      </w:r>
      <w:r>
        <w:t>”).</w:t>
      </w:r>
      <w:r w:rsidR="00BC488C">
        <w:t xml:space="preserve">  The tax cut benefits for base rates were addressed in the rate case (Case No. </w:t>
      </w:r>
      <w:r w:rsidR="00003F18">
        <w:t>17-1139</w:t>
      </w:r>
      <w:r w:rsidR="00BC488C">
        <w:t xml:space="preserve">-GA-AIR) and are currently being passed back to consumers.  However, as is explained </w:t>
      </w:r>
      <w:r w:rsidR="00876C4E">
        <w:t xml:space="preserve">in more detail </w:t>
      </w:r>
      <w:r w:rsidR="00BC488C">
        <w:t xml:space="preserve">below, one aspect of the tax cut benefit attributable to the excess deferred income tax (“EDIT”) is an adjustment that would be </w:t>
      </w:r>
      <w:r w:rsidR="00876C4E">
        <w:t>beneficial</w:t>
      </w:r>
      <w:r w:rsidR="00BC488C">
        <w:t xml:space="preserve"> for consumers in the early years (</w:t>
      </w:r>
      <w:r w:rsidR="00184EE1">
        <w:t>y</w:t>
      </w:r>
      <w:r w:rsidR="00BC488C">
        <w:t>ears 1-11), but an increased charge to consumers in the latter years (years 12- 2</w:t>
      </w:r>
      <w:r w:rsidR="00003F18">
        <w:t>7</w:t>
      </w:r>
      <w:r w:rsidR="00BC488C">
        <w:t xml:space="preserve">).  Any further changes to implement the effects of the TCJA in rates, beyond what was implemented through the </w:t>
      </w:r>
      <w:r w:rsidR="00BC488C">
        <w:lastRenderedPageBreak/>
        <w:t xml:space="preserve">Stipulation in the </w:t>
      </w:r>
      <w:r w:rsidR="00BC488C" w:rsidRPr="00391283">
        <w:rPr>
          <w:i/>
        </w:rPr>
        <w:t>Rate Case</w:t>
      </w:r>
      <w:r w:rsidR="00BC488C">
        <w:t>, would result in a</w:t>
      </w:r>
      <w:r w:rsidR="00876C4E">
        <w:t>n overall</w:t>
      </w:r>
      <w:r w:rsidR="00BC488C">
        <w:t xml:space="preserve"> revenue increase to customers; and therefore, the parties have agreed to not implement further the </w:t>
      </w:r>
      <w:r w:rsidR="00876C4E">
        <w:t>rate changes necessary to further modify the EDIT.</w:t>
      </w:r>
      <w:r w:rsidR="00BC488C">
        <w:t xml:space="preserve"> </w:t>
      </w:r>
    </w:p>
    <w:p w:rsidR="00AA52D8" w:rsidRPr="00851873" w:rsidRDefault="004013E2" w:rsidP="004A7606">
      <w:pPr>
        <w:pStyle w:val="ListParagraph"/>
        <w:numPr>
          <w:ilvl w:val="0"/>
          <w:numId w:val="1"/>
        </w:numPr>
        <w:spacing w:before="240" w:after="240"/>
        <w:ind w:left="720"/>
        <w:contextualSpacing w:val="0"/>
        <w:jc w:val="both"/>
        <w:rPr>
          <w:b/>
        </w:rPr>
      </w:pPr>
      <w:r w:rsidRPr="00851873">
        <w:rPr>
          <w:b/>
        </w:rPr>
        <w:t>PARTIES</w:t>
      </w:r>
    </w:p>
    <w:p w:rsidR="00AA52D8" w:rsidRDefault="004013E2" w:rsidP="00BD3A9C">
      <w:pPr>
        <w:pStyle w:val="ListParagraph"/>
        <w:numPr>
          <w:ilvl w:val="0"/>
          <w:numId w:val="10"/>
        </w:numPr>
        <w:spacing w:line="480" w:lineRule="auto"/>
        <w:ind w:left="0" w:firstLine="720"/>
        <w:jc w:val="both"/>
      </w:pPr>
      <w:r>
        <w:t xml:space="preserve">This Stipulation and Recommendation (“Stipulation”) is </w:t>
      </w:r>
      <w:proofErr w:type="gramStart"/>
      <w:r>
        <w:t>entered into</w:t>
      </w:r>
      <w:proofErr w:type="gramEnd"/>
      <w:r>
        <w:t xml:space="preserve"> by and among Ohio Gas Company (“Company”), Commission Staff, and the Office of the Ohio Consumers</w:t>
      </w:r>
      <w:r w:rsidR="00096B03">
        <w:t>’</w:t>
      </w:r>
      <w:r>
        <w:t xml:space="preserve"> Counsel (“OCC”) (collectively, “Signatory Parties”).</w:t>
      </w:r>
    </w:p>
    <w:p w:rsidR="00BD3A9C" w:rsidRPr="00BD3A9C" w:rsidRDefault="004013E2" w:rsidP="004A7606">
      <w:pPr>
        <w:pStyle w:val="ListParagraph"/>
        <w:numPr>
          <w:ilvl w:val="0"/>
          <w:numId w:val="1"/>
        </w:numPr>
        <w:spacing w:before="240" w:after="240"/>
        <w:ind w:left="720"/>
        <w:contextualSpacing w:val="0"/>
        <w:jc w:val="both"/>
        <w:rPr>
          <w:b/>
        </w:rPr>
      </w:pPr>
      <w:r w:rsidRPr="00BD3A9C">
        <w:rPr>
          <w:b/>
        </w:rPr>
        <w:t>GENERAL MATTERS</w:t>
      </w:r>
    </w:p>
    <w:p w:rsidR="00BD3A9C" w:rsidRPr="00AB1407" w:rsidRDefault="004013E2" w:rsidP="00BD3A9C">
      <w:pPr>
        <w:pStyle w:val="ListParagraph"/>
        <w:numPr>
          <w:ilvl w:val="0"/>
          <w:numId w:val="11"/>
        </w:numPr>
        <w:spacing w:line="480" w:lineRule="auto"/>
        <w:ind w:left="0" w:firstLine="720"/>
        <w:jc w:val="both"/>
      </w:pPr>
      <w:r>
        <w:t xml:space="preserve">It is understood by the Signatory Parties that this Stipulation is not binding upon the Commission.  However, the agreement contained herein is supported by information provided herewith, or referenced herein, is based upon the Signatory Parties’ desire to arrive at a reasoned and reasonable result considering the law, facts, and circumstances and, accordingly, should be given careful consideration by the Commission. </w:t>
      </w:r>
    </w:p>
    <w:p w:rsidR="00BD3A9C" w:rsidRPr="00AB1407" w:rsidRDefault="004013E2" w:rsidP="00BD3A9C">
      <w:pPr>
        <w:pStyle w:val="ListParagraph"/>
        <w:numPr>
          <w:ilvl w:val="0"/>
          <w:numId w:val="11"/>
        </w:numPr>
        <w:spacing w:line="480" w:lineRule="auto"/>
        <w:ind w:left="0" w:firstLine="720"/>
        <w:jc w:val="both"/>
      </w:pPr>
      <w:r>
        <w:t xml:space="preserve">This Stipulation is submitted for purposes stated in paragraph I.B above and should not be understood to necessarily reflect the positions which the Signatory Parties would have taken if all the issues in the proceedings would have been litigated.  Like most stipulations and recommendations reviewed by the Commission, the willingness of the Signatory Parties to jointly sponsor this document is predicated on the reasonableness of the Stipulation taken as a whole.  The fact that this document is being offered by the Signatory Parties should not be construed as necessarily indicating agreement on theory or concepts. </w:t>
      </w:r>
    </w:p>
    <w:p w:rsidR="00BD3A9C" w:rsidRDefault="004013E2" w:rsidP="00BD3A9C">
      <w:pPr>
        <w:pStyle w:val="ListParagraph"/>
        <w:numPr>
          <w:ilvl w:val="0"/>
          <w:numId w:val="11"/>
        </w:numPr>
        <w:spacing w:line="480" w:lineRule="auto"/>
        <w:ind w:left="0" w:firstLine="720"/>
        <w:jc w:val="both"/>
      </w:pPr>
      <w:r>
        <w:lastRenderedPageBreak/>
        <w:t>The Signatory Parties believe that this Stipulation represents a reasonable compromise of varying interests.  This Stipulation is expressly conditioned upon adoption in its entirety by the Commission without material modification.  Each party has a right in its sole discretion to determine whether the Commission’s approval of this Stipulation constitutes a “material modification” thereof.  Should the Commission reject or materially modify all or any part of this Stipulation, the Signatory Parties shall have the right, within thirty (30) days of issuance of the Commission’s order, to file an application for rehearing or to withdraw from the Stipulation by filing a notice with the Commission in this proceeding and serving all the Parties.  The Parties agree that they will not oppose or argue against any other Signatory Party’s application for rehearing that seeks to uphold the original unmodified Stipulation.  Upon the Commission’s issuance of any entry on rehearing that does not adopt the Stipulation without material modification, any party may withdraw from the Stipulation by filing a notice with the Commission within thirty (30) days of the Commission’s entry on rehearing.  Upon notice of withdrawal by any party, pursuant to the above provisions, the Stipulation shall immediately become null and void.  In such event, this proceeding shall go forward at the procedural point at which this Stipulation was filed.</w:t>
      </w:r>
    </w:p>
    <w:p w:rsidR="00BD3A9C" w:rsidRPr="00AB1407" w:rsidRDefault="004013E2" w:rsidP="00BD3A9C">
      <w:pPr>
        <w:pStyle w:val="ListParagraph"/>
        <w:numPr>
          <w:ilvl w:val="0"/>
          <w:numId w:val="11"/>
        </w:numPr>
        <w:spacing w:line="480" w:lineRule="auto"/>
        <w:ind w:left="0" w:firstLine="720"/>
        <w:jc w:val="both"/>
      </w:pPr>
      <w:r>
        <w:t xml:space="preserve">Except for enforcement purposes, neither this Stipulation nor the information and data contained herein, nor the Commission Order approving the Stipulation shall be cited as precedent in any future proceedings for or against any Signatory Party, or the Commission itself. </w:t>
      </w:r>
    </w:p>
    <w:p w:rsidR="00391283" w:rsidRDefault="004013E2" w:rsidP="00BD3A9C">
      <w:pPr>
        <w:pStyle w:val="ListParagraph"/>
        <w:numPr>
          <w:ilvl w:val="0"/>
          <w:numId w:val="11"/>
        </w:numPr>
        <w:spacing w:line="480" w:lineRule="auto"/>
        <w:ind w:left="0" w:firstLine="720"/>
        <w:jc w:val="both"/>
      </w:pPr>
      <w:r>
        <w:t xml:space="preserve">The </w:t>
      </w:r>
      <w:r w:rsidR="00096B03">
        <w:t xml:space="preserve">Signatory </w:t>
      </w:r>
      <w:r>
        <w:t xml:space="preserve">Parties request that the Commission approve this Stipulation without further hearing.  In support of the request to waive hearing and in support of this </w:t>
      </w:r>
      <w:r>
        <w:lastRenderedPageBreak/>
        <w:t xml:space="preserve">Stipulation, the </w:t>
      </w:r>
      <w:r w:rsidR="00096B03">
        <w:t xml:space="preserve">Signatory </w:t>
      </w:r>
      <w:r>
        <w:t xml:space="preserve">Parties stipulate to the following statements of fact that shall be controlling for this </w:t>
      </w:r>
      <w:r w:rsidR="00096B03">
        <w:t>p</w:t>
      </w:r>
      <w:r>
        <w:t>roceeding and any enforcement of the Stipulation in this or any future proceeding:</w:t>
      </w:r>
    </w:p>
    <w:p w:rsidR="00391283" w:rsidRDefault="004013E2" w:rsidP="00D86F15">
      <w:pPr>
        <w:pStyle w:val="ListParagraph"/>
        <w:numPr>
          <w:ilvl w:val="0"/>
          <w:numId w:val="12"/>
        </w:numPr>
        <w:spacing w:line="480" w:lineRule="auto"/>
        <w:ind w:left="720" w:firstLine="720"/>
        <w:jc w:val="both"/>
      </w:pPr>
      <w:r>
        <w:t xml:space="preserve">On January 10, 2018, the Commission issued an Entry in the </w:t>
      </w:r>
      <w:r w:rsidRPr="00391283">
        <w:rPr>
          <w:i/>
        </w:rPr>
        <w:t>Tax Investigation Case</w:t>
      </w:r>
      <w:r>
        <w:t xml:space="preserve"> that </w:t>
      </w:r>
      <w:r w:rsidRPr="00A35B74">
        <w:t xml:space="preserve">directed rate regulated utilities </w:t>
      </w:r>
      <w:r>
        <w:t xml:space="preserve">to record on their books a deferred liability for the estimated reduction in federal income tax expense resulting from </w:t>
      </w:r>
      <w:r w:rsidRPr="00A35B74">
        <w:t>the Tax Cuts and Jobs Act of 2017 (“TCJA”)</w:t>
      </w:r>
      <w:r>
        <w:t>.</w:t>
      </w:r>
    </w:p>
    <w:p w:rsidR="00391283" w:rsidRDefault="004013E2" w:rsidP="00D86F15">
      <w:pPr>
        <w:pStyle w:val="ListParagraph"/>
        <w:numPr>
          <w:ilvl w:val="0"/>
          <w:numId w:val="12"/>
        </w:numPr>
        <w:spacing w:line="480" w:lineRule="auto"/>
        <w:ind w:left="720" w:firstLine="720"/>
        <w:jc w:val="both"/>
      </w:pPr>
      <w:r>
        <w:t xml:space="preserve">On October 24, 2018, the Commission issued a Finding and Order in the </w:t>
      </w:r>
      <w:r w:rsidRPr="00391283">
        <w:rPr>
          <w:i/>
        </w:rPr>
        <w:t>Tax Investigation Case</w:t>
      </w:r>
      <w:r>
        <w:t xml:space="preserve"> that </w:t>
      </w:r>
      <w:r w:rsidRPr="00A35B74">
        <w:t xml:space="preserve">further ordered rate regulated utilities, with some exceptions, to file applications not for an increase </w:t>
      </w:r>
      <w:r>
        <w:t>“</w:t>
      </w:r>
      <w:r w:rsidRPr="00A35B74">
        <w:t>to pass along to consumers the tax savings resulting from the TCJA.”</w:t>
      </w:r>
      <w:r>
        <w:t xml:space="preserve">  In that Finding and Order, the Commission </w:t>
      </w:r>
      <w:r w:rsidRPr="00A35B74">
        <w:t>also stated that “the Commission is open to any alternative proposals by utilities, provided such proposals pass all tax savings on to customers, have the full agreement of Staff and provide for input from other interested stakeholders.”</w:t>
      </w:r>
    </w:p>
    <w:p w:rsidR="00391283" w:rsidRPr="00E66D7F" w:rsidRDefault="004013E2" w:rsidP="00D86F15">
      <w:pPr>
        <w:pStyle w:val="ListParagraph"/>
        <w:numPr>
          <w:ilvl w:val="0"/>
          <w:numId w:val="12"/>
        </w:numPr>
        <w:spacing w:line="480" w:lineRule="auto"/>
        <w:ind w:left="720" w:firstLine="720"/>
        <w:jc w:val="both"/>
      </w:pPr>
      <w:r>
        <w:t xml:space="preserve">The Company previously </w:t>
      </w:r>
      <w:r w:rsidRPr="00A35B74">
        <w:t xml:space="preserve">agreed to reduce its revenue requirement </w:t>
      </w:r>
      <w:r>
        <w:t xml:space="preserve">in its base distribution rate case, Case Nos. 17-1139-GA-AIR, </w:t>
      </w:r>
      <w:r w:rsidRPr="00391283">
        <w:rPr>
          <w:i/>
        </w:rPr>
        <w:t>et al.</w:t>
      </w:r>
      <w:r>
        <w:t xml:space="preserve"> (“</w:t>
      </w:r>
      <w:r w:rsidRPr="00391283">
        <w:rPr>
          <w:i/>
        </w:rPr>
        <w:t>Rate Case</w:t>
      </w:r>
      <w:r>
        <w:t xml:space="preserve">”), </w:t>
      </w:r>
      <w:r w:rsidRPr="00A35B74">
        <w:t xml:space="preserve">to incorporate the effect of a reduction in the federal income tax rate under </w:t>
      </w:r>
      <w:r>
        <w:t xml:space="preserve">the </w:t>
      </w:r>
      <w:r w:rsidRPr="00A35B74">
        <w:t>TCJA</w:t>
      </w:r>
      <w:r>
        <w:t xml:space="preserve">.  In the </w:t>
      </w:r>
      <w:r w:rsidR="00096B03">
        <w:t>s</w:t>
      </w:r>
      <w:r>
        <w:t xml:space="preserve">tipulation in the </w:t>
      </w:r>
      <w:r w:rsidRPr="00391283">
        <w:rPr>
          <w:i/>
        </w:rPr>
        <w:t>Rate Case</w:t>
      </w:r>
      <w:r>
        <w:t xml:space="preserve">, the Company also </w:t>
      </w:r>
      <w:r w:rsidRPr="00A35B74">
        <w:t>agreed that it would not implement an increase in rates for any unaddressed changes resulting from the TCJA</w:t>
      </w:r>
      <w:r>
        <w:t xml:space="preserve">.  The Commission approved the </w:t>
      </w:r>
      <w:r w:rsidR="00096B03">
        <w:t>s</w:t>
      </w:r>
      <w:r>
        <w:t xml:space="preserve">tipulation from the </w:t>
      </w:r>
      <w:r w:rsidRPr="00391283">
        <w:rPr>
          <w:i/>
        </w:rPr>
        <w:t>Rate Case</w:t>
      </w:r>
      <w:r>
        <w:t xml:space="preserve"> without modification.</w:t>
      </w:r>
    </w:p>
    <w:p w:rsidR="00391283" w:rsidRDefault="004013E2" w:rsidP="00D86F15">
      <w:pPr>
        <w:pStyle w:val="ListParagraph"/>
        <w:numPr>
          <w:ilvl w:val="0"/>
          <w:numId w:val="12"/>
        </w:numPr>
        <w:spacing w:line="480" w:lineRule="auto"/>
        <w:ind w:left="720" w:firstLine="720"/>
        <w:jc w:val="both"/>
      </w:pPr>
      <w:r>
        <w:t xml:space="preserve">The Company filed an application in this matter on December 27, 2018 in response to the Commission’s decisions from the </w:t>
      </w:r>
      <w:r w:rsidRPr="00391283">
        <w:rPr>
          <w:i/>
        </w:rPr>
        <w:t>Tax Investigation Case</w:t>
      </w:r>
      <w:r>
        <w:t>.</w:t>
      </w:r>
    </w:p>
    <w:p w:rsidR="00391283" w:rsidRDefault="004013E2" w:rsidP="00D86F15">
      <w:pPr>
        <w:pStyle w:val="ListParagraph"/>
        <w:numPr>
          <w:ilvl w:val="0"/>
          <w:numId w:val="12"/>
        </w:numPr>
        <w:spacing w:line="480" w:lineRule="auto"/>
        <w:ind w:left="720" w:firstLine="720"/>
        <w:jc w:val="both"/>
      </w:pPr>
      <w:r>
        <w:lastRenderedPageBreak/>
        <w:t>The Company collected revenue based on rates that included tax expense set at the prior tax rate from January to March 2018 (“2018 Tax Savings”) of $463,257.</w:t>
      </w:r>
    </w:p>
    <w:p w:rsidR="00391283" w:rsidRDefault="008203E0" w:rsidP="00D86F15">
      <w:pPr>
        <w:pStyle w:val="ListParagraph"/>
        <w:numPr>
          <w:ilvl w:val="0"/>
          <w:numId w:val="12"/>
        </w:numPr>
        <w:spacing w:line="480" w:lineRule="auto"/>
        <w:ind w:left="720" w:firstLine="720"/>
        <w:jc w:val="both"/>
      </w:pPr>
      <w:r>
        <w:t>Unlike many utilities, which, as a result of the TCJA, owe a credit to customers for EDIT, t</w:t>
      </w:r>
      <w:r w:rsidR="004013E2">
        <w:t>he Company has Non-Normalized EDIT of ($478,722)</w:t>
      </w:r>
      <w:r>
        <w:t>, which would result in a rate increase of $478,722</w:t>
      </w:r>
      <w:r w:rsidR="004013E2">
        <w:t>.</w:t>
      </w:r>
    </w:p>
    <w:p w:rsidR="00FB185B" w:rsidRDefault="004013E2" w:rsidP="00D86F15">
      <w:pPr>
        <w:pStyle w:val="ListParagraph"/>
        <w:numPr>
          <w:ilvl w:val="0"/>
          <w:numId w:val="12"/>
        </w:numPr>
        <w:spacing w:line="480" w:lineRule="auto"/>
        <w:ind w:left="720" w:firstLine="720"/>
        <w:jc w:val="both"/>
      </w:pPr>
      <w:r>
        <w:t>Offsetting the 2018 Tax Savings</w:t>
      </w:r>
      <w:r w:rsidR="008203E0">
        <w:t xml:space="preserve"> </w:t>
      </w:r>
      <w:r>
        <w:t>against the Non-Normalized EDIT would result in an increase in the revenue requirement</w:t>
      </w:r>
      <w:r w:rsidR="00662BA4">
        <w:t xml:space="preserve"> (</w:t>
      </w:r>
      <w:r w:rsidR="00096B03" w:rsidRPr="00FD4C01">
        <w:rPr>
          <w:i/>
        </w:rPr>
        <w:t>i.e.</w:t>
      </w:r>
      <w:r w:rsidR="00096B03">
        <w:t xml:space="preserve">, a </w:t>
      </w:r>
      <w:r w:rsidR="00662BA4">
        <w:t xml:space="preserve">benefit for </w:t>
      </w:r>
      <w:r w:rsidR="00096B03">
        <w:t>the Company</w:t>
      </w:r>
      <w:r w:rsidR="00662BA4">
        <w:t>) for the first year</w:t>
      </w:r>
      <w:r>
        <w:t>.</w:t>
      </w:r>
    </w:p>
    <w:p w:rsidR="00391283" w:rsidRDefault="004013E2" w:rsidP="00D86F15">
      <w:pPr>
        <w:pStyle w:val="ListParagraph"/>
        <w:numPr>
          <w:ilvl w:val="0"/>
          <w:numId w:val="12"/>
        </w:numPr>
        <w:spacing w:line="480" w:lineRule="auto"/>
        <w:ind w:left="720" w:firstLine="720"/>
        <w:jc w:val="both"/>
      </w:pPr>
      <w:r>
        <w:t>The Company has Normalized EDIT of $2,630,467.</w:t>
      </w:r>
    </w:p>
    <w:p w:rsidR="003E0FA3" w:rsidRDefault="004013E2" w:rsidP="00D86F15">
      <w:pPr>
        <w:pStyle w:val="ListParagraph"/>
        <w:numPr>
          <w:ilvl w:val="0"/>
          <w:numId w:val="12"/>
        </w:numPr>
        <w:spacing w:line="480" w:lineRule="auto"/>
        <w:ind w:left="720" w:firstLine="720"/>
        <w:jc w:val="both"/>
      </w:pPr>
      <w:r>
        <w:t>A</w:t>
      </w:r>
      <w:r w:rsidRPr="0030035F">
        <w:t xml:space="preserve">mortization of the </w:t>
      </w:r>
      <w:r>
        <w:t xml:space="preserve">Normalized EDIT </w:t>
      </w:r>
      <w:r w:rsidRPr="0030035F">
        <w:t xml:space="preserve">in </w:t>
      </w:r>
      <w:r>
        <w:t>accordance with</w:t>
      </w:r>
      <w:r w:rsidRPr="0030035F">
        <w:t xml:space="preserve"> federal income tax law requirements would result in a decrease in the revenue requirement </w:t>
      </w:r>
      <w:r w:rsidR="00662BA4">
        <w:t>(</w:t>
      </w:r>
      <w:r w:rsidR="00096B03" w:rsidRPr="00FD4C01">
        <w:rPr>
          <w:i/>
        </w:rPr>
        <w:t>i.e.</w:t>
      </w:r>
      <w:r w:rsidR="00096B03">
        <w:t xml:space="preserve">, a </w:t>
      </w:r>
      <w:r w:rsidR="00662BA4">
        <w:t xml:space="preserve">benefit for consumers) </w:t>
      </w:r>
      <w:r>
        <w:t xml:space="preserve">approved in the </w:t>
      </w:r>
      <w:r w:rsidRPr="005532BD">
        <w:t xml:space="preserve">Rate Case </w:t>
      </w:r>
      <w:r>
        <w:t xml:space="preserve">for </w:t>
      </w:r>
      <w:r w:rsidRPr="0030035F">
        <w:t xml:space="preserve">approximately </w:t>
      </w:r>
      <w:r>
        <w:t xml:space="preserve">the first </w:t>
      </w:r>
      <w:r w:rsidRPr="0030035F">
        <w:t>eleven years</w:t>
      </w:r>
      <w:r>
        <w:t xml:space="preserve"> of the amortization period</w:t>
      </w:r>
      <w:r w:rsidR="00662BA4">
        <w:t xml:space="preserve"> (2019 through 2029)</w:t>
      </w:r>
      <w:r>
        <w:t xml:space="preserve">, but would result in an </w:t>
      </w:r>
      <w:r w:rsidR="00096B03">
        <w:t xml:space="preserve"> </w:t>
      </w:r>
      <w:r w:rsidRPr="0030035F">
        <w:t xml:space="preserve">increase in the revenue requirement </w:t>
      </w:r>
      <w:r w:rsidR="00662BA4">
        <w:t>(</w:t>
      </w:r>
      <w:r w:rsidR="007733FC" w:rsidRPr="00FD4C01">
        <w:rPr>
          <w:i/>
        </w:rPr>
        <w:t>i.e.</w:t>
      </w:r>
      <w:r w:rsidR="007733FC">
        <w:t xml:space="preserve">, </w:t>
      </w:r>
      <w:r w:rsidR="00662BA4">
        <w:t xml:space="preserve">benefit for </w:t>
      </w:r>
      <w:r w:rsidR="008673E0">
        <w:t>Company</w:t>
      </w:r>
      <w:r w:rsidR="00662BA4">
        <w:t xml:space="preserve">) </w:t>
      </w:r>
      <w:r w:rsidR="00096B03">
        <w:t>for the remaining 16 years (</w:t>
      </w:r>
      <w:r w:rsidR="003056DC">
        <w:t>2030 through 2045). Over the entire 2</w:t>
      </w:r>
      <w:r w:rsidR="00003F18">
        <w:t>7</w:t>
      </w:r>
      <w:r w:rsidR="003056DC">
        <w:t xml:space="preserve">-year amortization period, there would be a revenue increase </w:t>
      </w:r>
      <w:r>
        <w:t xml:space="preserve">of approximately </w:t>
      </w:r>
      <w:r w:rsidRPr="0030035F">
        <w:t>$983,712</w:t>
      </w:r>
      <w:r w:rsidR="003056DC">
        <w:t>,</w:t>
      </w:r>
      <w:r w:rsidRPr="0030035F">
        <w:t xml:space="preserve"> as set out in Schedule D of the Application</w:t>
      </w:r>
      <w:r>
        <w:t>.</w:t>
      </w:r>
    </w:p>
    <w:p w:rsidR="007518CE" w:rsidRDefault="009E25CE" w:rsidP="00D86F15">
      <w:pPr>
        <w:pStyle w:val="ListParagraph"/>
        <w:numPr>
          <w:ilvl w:val="0"/>
          <w:numId w:val="12"/>
        </w:numPr>
        <w:spacing w:line="480" w:lineRule="auto"/>
        <w:ind w:left="720" w:firstLine="720"/>
        <w:jc w:val="both"/>
      </w:pPr>
      <w:r>
        <w:t>Thus, a</w:t>
      </w:r>
      <w:r w:rsidR="004013E2">
        <w:t xml:space="preserve">ny further changes to implement the effects of the TCJA in rates, beyond what was implemented through the Stipulation in the </w:t>
      </w:r>
      <w:r w:rsidR="004013E2" w:rsidRPr="00391283">
        <w:rPr>
          <w:i/>
        </w:rPr>
        <w:t>Rate Case</w:t>
      </w:r>
      <w:r w:rsidR="004013E2">
        <w:t>, would result in a revenue increase.</w:t>
      </w:r>
    </w:p>
    <w:p w:rsidR="004A7606" w:rsidRDefault="004A7606">
      <w:pPr>
        <w:rPr>
          <w:b/>
        </w:rPr>
      </w:pPr>
      <w:r>
        <w:rPr>
          <w:b/>
        </w:rPr>
        <w:br w:type="page"/>
      </w:r>
    </w:p>
    <w:p w:rsidR="00AA52D8" w:rsidRPr="00851873" w:rsidRDefault="004013E2" w:rsidP="004A7606">
      <w:pPr>
        <w:pStyle w:val="ListParagraph"/>
        <w:numPr>
          <w:ilvl w:val="0"/>
          <w:numId w:val="1"/>
        </w:numPr>
        <w:spacing w:before="240" w:after="240"/>
        <w:ind w:left="720"/>
        <w:contextualSpacing w:val="0"/>
        <w:jc w:val="both"/>
        <w:rPr>
          <w:b/>
        </w:rPr>
      </w:pPr>
      <w:r w:rsidRPr="00851873">
        <w:rPr>
          <w:b/>
        </w:rPr>
        <w:lastRenderedPageBreak/>
        <w:t>TERMS AND CONDITIONS</w:t>
      </w:r>
    </w:p>
    <w:p w:rsidR="00AA52D8" w:rsidRDefault="004013E2" w:rsidP="00531C2D">
      <w:pPr>
        <w:ind w:firstLine="720"/>
        <w:jc w:val="both"/>
      </w:pPr>
      <w:r>
        <w:t>The Signatory Parties agree and stipulate as follows:</w:t>
      </w:r>
    </w:p>
    <w:p w:rsidR="005532BD" w:rsidRDefault="00F96B62" w:rsidP="003004CA">
      <w:pPr>
        <w:jc w:val="both"/>
      </w:pPr>
    </w:p>
    <w:p w:rsidR="0039183D" w:rsidRPr="003004CA" w:rsidRDefault="004013E2" w:rsidP="005532BD">
      <w:pPr>
        <w:pStyle w:val="ListParagraph"/>
        <w:numPr>
          <w:ilvl w:val="0"/>
          <w:numId w:val="5"/>
        </w:numPr>
        <w:spacing w:line="480" w:lineRule="auto"/>
        <w:ind w:left="0" w:firstLine="720"/>
        <w:jc w:val="both"/>
      </w:pPr>
      <w:r>
        <w:t>Based on the foregoing stipulation of facts, t</w:t>
      </w:r>
      <w:r w:rsidRPr="003004CA">
        <w:t xml:space="preserve">he </w:t>
      </w:r>
      <w:r>
        <w:t xml:space="preserve">Signatory Parties recommend the Commission approve a waiver of the requirement from the October 14, 2018 Finding and Order in the </w:t>
      </w:r>
      <w:r w:rsidRPr="00531C2D">
        <w:rPr>
          <w:i/>
        </w:rPr>
        <w:t>Tax Investigation Case</w:t>
      </w:r>
      <w:r>
        <w:t xml:space="preserve"> that the Company file an application to address the remaining effects of the TCJA on the Company as such an application would result in an increase in rates contrary to the requirement in that Finding and Order and the Stipulation in the </w:t>
      </w:r>
      <w:r w:rsidRPr="00504945">
        <w:rPr>
          <w:i/>
        </w:rPr>
        <w:t>Rate Case</w:t>
      </w:r>
      <w:r w:rsidRPr="005532BD">
        <w:t>.</w:t>
      </w:r>
      <w:r>
        <w:t xml:space="preserve">  </w:t>
      </w:r>
    </w:p>
    <w:p w:rsidR="003D0E9E" w:rsidRPr="000F6BBC" w:rsidRDefault="004013E2" w:rsidP="003D0E9E">
      <w:pPr>
        <w:pStyle w:val="ListParagraph"/>
        <w:numPr>
          <w:ilvl w:val="0"/>
          <w:numId w:val="5"/>
        </w:numPr>
        <w:spacing w:line="480" w:lineRule="auto"/>
        <w:ind w:left="0" w:firstLine="720"/>
        <w:jc w:val="both"/>
        <w:rPr>
          <w:color w:val="1F497D"/>
        </w:rPr>
      </w:pPr>
      <w:r>
        <w:t>The Signatory Parties</w:t>
      </w:r>
      <w:r w:rsidRPr="0030035F">
        <w:t xml:space="preserve"> agree </w:t>
      </w:r>
      <w:r w:rsidR="00F30B1D">
        <w:t xml:space="preserve">and recommend that </w:t>
      </w:r>
      <w:r w:rsidR="0033163D">
        <w:t xml:space="preserve">customers shall be protected such that the </w:t>
      </w:r>
      <w:r w:rsidR="004645AB">
        <w:t>Normalized EDIT</w:t>
      </w:r>
      <w:r w:rsidR="00F30B1D">
        <w:t xml:space="preserve"> resulting from the </w:t>
      </w:r>
      <w:r>
        <w:t>TCJA</w:t>
      </w:r>
      <w:r w:rsidR="004E76CF">
        <w:t xml:space="preserve"> including the subsequent amortization thereof,</w:t>
      </w:r>
      <w:r>
        <w:t xml:space="preserve"> shall not be used as the basis to increase the revenue requirement calculation in this proceeding or any future proceeding under R.C. 4909.15, R.C. 4909.18, R.C. 4905.26, or under any provision of Chapter 4929 of the Ohio Revised Code, or any successor to the foregoing statutory provisions.</w:t>
      </w:r>
      <w:r w:rsidR="00F30B1D">
        <w:t xml:space="preserve"> </w:t>
      </w:r>
      <w:r w:rsidR="0016123B">
        <w:t xml:space="preserve"> Exhibit 1 provides examples of the Signatory Parties</w:t>
      </w:r>
      <w:r w:rsidR="00FF1BC6">
        <w:t>’</w:t>
      </w:r>
      <w:r w:rsidR="0016123B">
        <w:t xml:space="preserve"> </w:t>
      </w:r>
      <w:r w:rsidR="00FF1BC6">
        <w:t xml:space="preserve">understanding </w:t>
      </w:r>
      <w:r w:rsidR="00CE2877">
        <w:t>of</w:t>
      </w:r>
      <w:r w:rsidR="0016123B">
        <w:t xml:space="preserve"> the operation of this paragraph in any future rate case.</w:t>
      </w:r>
    </w:p>
    <w:p w:rsidR="003D0E9E" w:rsidRPr="000F6BBC" w:rsidRDefault="003D0E9E" w:rsidP="000F6BBC">
      <w:pPr>
        <w:pStyle w:val="ListParagraph"/>
        <w:numPr>
          <w:ilvl w:val="0"/>
          <w:numId w:val="5"/>
        </w:numPr>
        <w:spacing w:line="480" w:lineRule="auto"/>
        <w:ind w:left="0" w:firstLine="720"/>
        <w:jc w:val="both"/>
      </w:pPr>
      <w:r w:rsidRPr="000F6BBC">
        <w:t xml:space="preserve">For purposes of the next base rate case, </w:t>
      </w:r>
      <w:r w:rsidR="00B96829" w:rsidRPr="000F6BBC">
        <w:t>Company</w:t>
      </w:r>
      <w:r w:rsidRPr="000F6BBC">
        <w:t xml:space="preserve"> will maintain records of the actual annual amortization and accumulated amortization of the balance of the Normalized EDIT of $2,630,467 indicated in Section III, E.8 of the stipulation.</w:t>
      </w:r>
    </w:p>
    <w:p w:rsidR="004A7606" w:rsidRDefault="004A7606">
      <w:pPr>
        <w:rPr>
          <w:b/>
        </w:rPr>
      </w:pPr>
      <w:r>
        <w:rPr>
          <w:b/>
        </w:rPr>
        <w:br w:type="page"/>
      </w:r>
    </w:p>
    <w:p w:rsidR="00B8452D" w:rsidRPr="00935769" w:rsidRDefault="004013E2" w:rsidP="00531C2D">
      <w:pPr>
        <w:pStyle w:val="ListParagraph"/>
        <w:numPr>
          <w:ilvl w:val="0"/>
          <w:numId w:val="1"/>
        </w:numPr>
        <w:spacing w:line="480" w:lineRule="auto"/>
        <w:ind w:left="720"/>
        <w:jc w:val="both"/>
        <w:rPr>
          <w:b/>
        </w:rPr>
      </w:pPr>
      <w:r w:rsidRPr="00935769">
        <w:rPr>
          <w:b/>
        </w:rPr>
        <w:lastRenderedPageBreak/>
        <w:t>CONCLUSION</w:t>
      </w:r>
    </w:p>
    <w:p w:rsidR="00B8452D" w:rsidRDefault="004013E2" w:rsidP="00B8452D">
      <w:pPr>
        <w:spacing w:line="480" w:lineRule="auto"/>
        <w:jc w:val="both"/>
      </w:pPr>
      <w:r>
        <w:rPr>
          <w:color w:val="1F497D"/>
        </w:rPr>
        <w:tab/>
      </w:r>
      <w:r w:rsidRPr="00B8452D">
        <w:t>The undersigned hereby stipulat</w:t>
      </w:r>
      <w:r>
        <w:t>e</w:t>
      </w:r>
      <w:r w:rsidRPr="00B8452D">
        <w:t xml:space="preserve"> and agree that it </w:t>
      </w:r>
      <w:r>
        <w:t>is</w:t>
      </w:r>
      <w:r w:rsidRPr="00B8452D">
        <w:t xml:space="preserve"> authorized to </w:t>
      </w:r>
      <w:proofErr w:type="gramStart"/>
      <w:r w:rsidRPr="00B8452D">
        <w:t xml:space="preserve">enter </w:t>
      </w:r>
      <w:r>
        <w:t>into</w:t>
      </w:r>
      <w:proofErr w:type="gramEnd"/>
      <w:r>
        <w:t xml:space="preserve"> this Stipulation on this </w:t>
      </w:r>
      <w:r w:rsidR="00F84626">
        <w:t>25</w:t>
      </w:r>
      <w:r w:rsidR="00F84626" w:rsidRPr="00F84626">
        <w:rPr>
          <w:vertAlign w:val="superscript"/>
        </w:rPr>
        <w:t>th</w:t>
      </w:r>
      <w:r w:rsidR="00F84626">
        <w:t xml:space="preserve"> </w:t>
      </w:r>
      <w:r>
        <w:t xml:space="preserve">day of </w:t>
      </w:r>
      <w:r w:rsidR="00B96829">
        <w:t>April</w:t>
      </w:r>
      <w:r w:rsidR="009E25CE">
        <w:t xml:space="preserve"> </w:t>
      </w:r>
      <w:r>
        <w:t>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7021A" w:rsidTr="00D67CB4">
        <w:trPr>
          <w:trHeight w:val="276"/>
        </w:trPr>
        <w:tc>
          <w:tcPr>
            <w:tcW w:w="2500" w:type="pct"/>
          </w:tcPr>
          <w:p w:rsidR="00BE5EBC" w:rsidRPr="00BE5EBC" w:rsidRDefault="004013E2" w:rsidP="00BE5EBC">
            <w:pPr>
              <w:pStyle w:val="ListParagraph"/>
              <w:ind w:left="0"/>
              <w:jc w:val="both"/>
              <w:rPr>
                <w:rFonts w:ascii="Arial Bold" w:hAnsi="Arial Bold"/>
                <w:b/>
                <w:smallCaps/>
              </w:rPr>
            </w:pPr>
            <w:r w:rsidRPr="00BE5EBC">
              <w:rPr>
                <w:rFonts w:ascii="Arial Bold" w:hAnsi="Arial Bold"/>
                <w:b/>
                <w:smallCaps/>
              </w:rPr>
              <w:t>Ohio Gas Company</w:t>
            </w:r>
          </w:p>
          <w:p w:rsidR="00BE5EBC" w:rsidRDefault="00F96B62" w:rsidP="00BE5EBC">
            <w:pPr>
              <w:pStyle w:val="ListParagraph"/>
              <w:ind w:left="0"/>
              <w:jc w:val="both"/>
              <w:rPr>
                <w:u w:val="single"/>
              </w:rPr>
            </w:pPr>
          </w:p>
          <w:p w:rsidR="00BE5EBC" w:rsidRDefault="00F96B62" w:rsidP="00BE5EBC">
            <w:pPr>
              <w:pStyle w:val="ListParagraph"/>
              <w:ind w:left="0"/>
              <w:jc w:val="both"/>
              <w:rPr>
                <w:u w:val="single"/>
              </w:rPr>
            </w:pPr>
          </w:p>
          <w:p w:rsidR="00BE5EBC" w:rsidRPr="00BE5EBC" w:rsidRDefault="004013E2" w:rsidP="004A7606">
            <w:pPr>
              <w:pStyle w:val="ListParagraph"/>
              <w:tabs>
                <w:tab w:val="right" w:pos="4125"/>
              </w:tabs>
              <w:ind w:left="0"/>
              <w:jc w:val="both"/>
              <w:rPr>
                <w:u w:val="single"/>
              </w:rPr>
            </w:pPr>
            <w:r w:rsidRPr="00BE5EBC">
              <w:t xml:space="preserve">By:  </w:t>
            </w:r>
            <w:r w:rsidR="003F221B">
              <w:rPr>
                <w:u w:val="single"/>
              </w:rPr>
              <w:t>/s/ Frank P. Darr</w:t>
            </w:r>
            <w:r w:rsidRPr="00BE5EBC">
              <w:rPr>
                <w:u w:val="single"/>
              </w:rPr>
              <w:tab/>
            </w:r>
          </w:p>
          <w:p w:rsidR="00BE5EBC" w:rsidRDefault="004013E2" w:rsidP="00BE5EBC">
            <w:pPr>
              <w:pStyle w:val="ListParagraph"/>
              <w:ind w:left="0"/>
              <w:jc w:val="both"/>
              <w:rPr>
                <w:rFonts w:ascii="Arial Bold" w:hAnsi="Arial Bold"/>
                <w:b/>
              </w:rPr>
            </w:pPr>
            <w:r>
              <w:rPr>
                <w:rFonts w:cs="Arial"/>
              </w:rPr>
              <w:t>          </w:t>
            </w:r>
            <w:r w:rsidRPr="002A03FA">
              <w:rPr>
                <w:rFonts w:cs="Arial"/>
              </w:rPr>
              <w:t xml:space="preserve">Frank P. Darr </w:t>
            </w:r>
          </w:p>
          <w:p w:rsidR="00BE5EBC" w:rsidRPr="00BE5EBC" w:rsidRDefault="00F96B62" w:rsidP="00BE5EBC">
            <w:pPr>
              <w:pStyle w:val="ListParagraph"/>
              <w:ind w:left="0"/>
              <w:jc w:val="both"/>
              <w:rPr>
                <w:rFonts w:ascii="Arial Bold" w:hAnsi="Arial Bold"/>
                <w:b/>
                <w:smallCaps/>
              </w:rPr>
            </w:pPr>
          </w:p>
        </w:tc>
        <w:tc>
          <w:tcPr>
            <w:tcW w:w="2500" w:type="pct"/>
          </w:tcPr>
          <w:p w:rsidR="00D67CB4" w:rsidRPr="00D67CB4" w:rsidRDefault="004013E2" w:rsidP="00D67CB4">
            <w:pPr>
              <w:pStyle w:val="ListParagraph"/>
              <w:ind w:left="0"/>
              <w:rPr>
                <w:rFonts w:ascii="Arial Bold" w:hAnsi="Arial Bold"/>
                <w:b/>
                <w:smallCaps/>
              </w:rPr>
            </w:pPr>
            <w:r w:rsidRPr="00D67CB4">
              <w:rPr>
                <w:rFonts w:ascii="Arial Bold" w:hAnsi="Arial Bold"/>
                <w:b/>
                <w:smallCaps/>
              </w:rPr>
              <w:t>Staff of the Public Utilities Commission of Ohio</w:t>
            </w:r>
          </w:p>
          <w:p w:rsidR="00D67CB4" w:rsidRDefault="00F96B62" w:rsidP="003004CA">
            <w:pPr>
              <w:pStyle w:val="ListParagraph"/>
              <w:ind w:left="0"/>
              <w:jc w:val="both"/>
            </w:pPr>
          </w:p>
          <w:p w:rsidR="00D67CB4" w:rsidRPr="00BE5EBC" w:rsidRDefault="004013E2" w:rsidP="004A7606">
            <w:pPr>
              <w:pStyle w:val="ListParagraph"/>
              <w:tabs>
                <w:tab w:val="right" w:pos="4305"/>
              </w:tabs>
              <w:ind w:left="0"/>
              <w:jc w:val="both"/>
              <w:rPr>
                <w:u w:val="single"/>
              </w:rPr>
            </w:pPr>
            <w:r w:rsidRPr="00BE5EBC">
              <w:t xml:space="preserve">By:  </w:t>
            </w:r>
            <w:r w:rsidR="003F221B" w:rsidRPr="003F221B">
              <w:rPr>
                <w:u w:val="single"/>
              </w:rPr>
              <w:t>/s/ Jodi Bair (per approval)</w:t>
            </w:r>
            <w:r w:rsidRPr="00BE5EBC">
              <w:rPr>
                <w:u w:val="single"/>
              </w:rPr>
              <w:tab/>
            </w:r>
          </w:p>
          <w:p w:rsidR="00D67CB4" w:rsidRDefault="004013E2" w:rsidP="00D67CB4">
            <w:pPr>
              <w:pStyle w:val="ListParagraph"/>
              <w:ind w:left="0"/>
              <w:jc w:val="both"/>
              <w:rPr>
                <w:rFonts w:cs="Arial"/>
              </w:rPr>
            </w:pPr>
            <w:r>
              <w:rPr>
                <w:rFonts w:cs="Arial"/>
              </w:rPr>
              <w:t>   </w:t>
            </w:r>
            <w:r w:rsidR="000F6BBC">
              <w:rPr>
                <w:rFonts w:cs="Arial"/>
              </w:rPr>
              <w:t>Jodi Bair, Assistant Attorney General</w:t>
            </w:r>
          </w:p>
          <w:p w:rsidR="000F6BBC" w:rsidRDefault="000F6BBC" w:rsidP="00D67CB4">
            <w:pPr>
              <w:pStyle w:val="ListParagraph"/>
              <w:ind w:left="0"/>
              <w:jc w:val="both"/>
            </w:pPr>
          </w:p>
          <w:p w:rsidR="00D67CB4" w:rsidRDefault="00F96B62" w:rsidP="003004CA">
            <w:pPr>
              <w:pStyle w:val="ListParagraph"/>
              <w:ind w:left="0"/>
              <w:jc w:val="both"/>
            </w:pPr>
          </w:p>
          <w:p w:rsidR="00D67CB4" w:rsidRDefault="00F96B62" w:rsidP="003004CA">
            <w:pPr>
              <w:pStyle w:val="ListParagraph"/>
              <w:ind w:left="0"/>
              <w:jc w:val="both"/>
            </w:pPr>
          </w:p>
        </w:tc>
      </w:tr>
      <w:tr w:rsidR="00A7021A" w:rsidTr="00D67CB4">
        <w:trPr>
          <w:trHeight w:val="276"/>
        </w:trPr>
        <w:tc>
          <w:tcPr>
            <w:tcW w:w="2500" w:type="pct"/>
          </w:tcPr>
          <w:p w:rsidR="002A03FA" w:rsidRDefault="004013E2" w:rsidP="00D67CB4">
            <w:pPr>
              <w:pStyle w:val="ListParagraph"/>
              <w:ind w:left="0"/>
            </w:pPr>
            <w:r w:rsidRPr="002A03FA">
              <w:rPr>
                <w:rFonts w:ascii="Arial Bold" w:hAnsi="Arial Bold"/>
                <w:b/>
                <w:smallCaps/>
              </w:rPr>
              <w:t>the Office of the Ohio Consumers’ Counsel</w:t>
            </w:r>
            <w:r>
              <w:t xml:space="preserve"> </w:t>
            </w:r>
          </w:p>
          <w:p w:rsidR="00D67CB4" w:rsidRDefault="00F96B62" w:rsidP="00D67CB4">
            <w:pPr>
              <w:pStyle w:val="ListParagraph"/>
              <w:ind w:left="0"/>
            </w:pPr>
          </w:p>
          <w:p w:rsidR="00D67CB4" w:rsidRDefault="00F96B62" w:rsidP="00D67CB4">
            <w:pPr>
              <w:pStyle w:val="ListParagraph"/>
              <w:ind w:left="0"/>
            </w:pPr>
          </w:p>
          <w:p w:rsidR="00D67CB4" w:rsidRPr="00BE5EBC" w:rsidRDefault="004013E2" w:rsidP="004A7606">
            <w:pPr>
              <w:pStyle w:val="ListParagraph"/>
              <w:tabs>
                <w:tab w:val="right" w:pos="4110"/>
              </w:tabs>
              <w:ind w:left="0"/>
              <w:jc w:val="both"/>
              <w:rPr>
                <w:u w:val="single"/>
              </w:rPr>
            </w:pPr>
            <w:r w:rsidRPr="00BE5EBC">
              <w:t xml:space="preserve">By:  </w:t>
            </w:r>
            <w:r w:rsidR="003F221B" w:rsidRPr="003F221B">
              <w:rPr>
                <w:u w:val="single"/>
              </w:rPr>
              <w:t>/s/ Christopher Healey</w:t>
            </w:r>
            <w:r w:rsidRPr="003F221B">
              <w:rPr>
                <w:u w:val="single"/>
              </w:rPr>
              <w:tab/>
            </w:r>
          </w:p>
          <w:p w:rsidR="002A03FA" w:rsidRDefault="004013E2" w:rsidP="002A03FA">
            <w:pPr>
              <w:pStyle w:val="ListParagraph"/>
              <w:ind w:left="0"/>
              <w:jc w:val="both"/>
            </w:pPr>
            <w:r>
              <w:t>Christopher Healey</w:t>
            </w:r>
            <w:r w:rsidR="000F6BBC">
              <w:t>, Assistant Consumers’ Counsel</w:t>
            </w:r>
            <w:r>
              <w:t xml:space="preserve"> </w:t>
            </w:r>
          </w:p>
          <w:p w:rsidR="002A03FA" w:rsidRDefault="00F96B62" w:rsidP="002A03FA">
            <w:pPr>
              <w:pStyle w:val="ListParagraph"/>
              <w:ind w:left="0"/>
              <w:jc w:val="both"/>
            </w:pPr>
          </w:p>
          <w:p w:rsidR="00F429C7" w:rsidRDefault="00F96B62" w:rsidP="00BE5EBC">
            <w:pPr>
              <w:pStyle w:val="ListParagraph"/>
              <w:ind w:left="0"/>
            </w:pPr>
          </w:p>
        </w:tc>
        <w:tc>
          <w:tcPr>
            <w:tcW w:w="2500" w:type="pct"/>
          </w:tcPr>
          <w:p w:rsidR="00F429C7" w:rsidRDefault="00F96B62" w:rsidP="003004CA">
            <w:pPr>
              <w:pStyle w:val="ListParagraph"/>
              <w:ind w:left="0"/>
              <w:jc w:val="both"/>
            </w:pPr>
          </w:p>
        </w:tc>
      </w:tr>
    </w:tbl>
    <w:p w:rsidR="00505C34" w:rsidRDefault="00505C34" w:rsidP="003004CA">
      <w:pPr>
        <w:pStyle w:val="ListParagraph"/>
        <w:jc w:val="both"/>
      </w:pPr>
    </w:p>
    <w:p w:rsidR="00505C34" w:rsidRDefault="00505C34">
      <w:r>
        <w:br w:type="page"/>
      </w:r>
    </w:p>
    <w:p w:rsidR="00D257B4" w:rsidRDefault="00CE2877" w:rsidP="004A7606">
      <w:pPr>
        <w:pStyle w:val="ListParagraph"/>
        <w:ind w:left="0"/>
        <w:jc w:val="center"/>
        <w:rPr>
          <w:b/>
          <w:u w:val="single"/>
        </w:rPr>
      </w:pPr>
      <w:r w:rsidRPr="000F6BBC">
        <w:rPr>
          <w:b/>
          <w:u w:val="single"/>
        </w:rPr>
        <w:lastRenderedPageBreak/>
        <w:t>Exhibit 1</w:t>
      </w:r>
    </w:p>
    <w:p w:rsidR="00CE2877" w:rsidRDefault="00CE2877" w:rsidP="004A7606">
      <w:pPr>
        <w:pStyle w:val="ListParagraph"/>
        <w:ind w:left="0"/>
        <w:jc w:val="center"/>
        <w:rPr>
          <w:b/>
          <w:u w:val="single"/>
        </w:rPr>
      </w:pPr>
    </w:p>
    <w:p w:rsidR="00CE2877" w:rsidRDefault="00CE2877" w:rsidP="004A7606">
      <w:pPr>
        <w:pStyle w:val="ListParagraph"/>
        <w:ind w:left="0"/>
        <w:jc w:val="center"/>
        <w:rPr>
          <w:b/>
          <w:u w:val="single"/>
        </w:rPr>
      </w:pPr>
    </w:p>
    <w:p w:rsidR="00CE2877" w:rsidRDefault="00CE2877" w:rsidP="004A7606">
      <w:pPr>
        <w:pStyle w:val="ListParagraph"/>
        <w:ind w:left="0"/>
        <w:jc w:val="center"/>
        <w:rPr>
          <w:b/>
          <w:u w:val="single"/>
        </w:rPr>
      </w:pPr>
    </w:p>
    <w:p w:rsidR="00CE2877" w:rsidRDefault="00CE2877" w:rsidP="004A7606">
      <w:pPr>
        <w:pStyle w:val="ListParagraph"/>
        <w:ind w:left="0"/>
        <w:jc w:val="center"/>
        <w:rPr>
          <w:b/>
          <w:u w:val="single"/>
        </w:rPr>
      </w:pPr>
    </w:p>
    <w:p w:rsidR="00CE2877" w:rsidRPr="000F6BBC" w:rsidRDefault="00CE2877" w:rsidP="004A7606">
      <w:pPr>
        <w:pStyle w:val="ListParagraph"/>
        <w:ind w:left="0"/>
        <w:jc w:val="center"/>
        <w:rPr>
          <w:b/>
          <w:u w:val="single"/>
        </w:rPr>
      </w:pPr>
      <w:r w:rsidRPr="00CE2877">
        <w:rPr>
          <w:noProof/>
        </w:rPr>
        <w:drawing>
          <wp:inline distT="0" distB="0" distL="0" distR="0" wp14:anchorId="012E7703" wp14:editId="5B1E6CF4">
            <wp:extent cx="5943600" cy="4558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58868"/>
                    </a:xfrm>
                    <a:prstGeom prst="rect">
                      <a:avLst/>
                    </a:prstGeom>
                    <a:noFill/>
                    <a:ln>
                      <a:noFill/>
                    </a:ln>
                  </pic:spPr>
                </pic:pic>
              </a:graphicData>
            </a:graphic>
          </wp:inline>
        </w:drawing>
      </w:r>
      <w:bookmarkStart w:id="3" w:name="_GoBack"/>
      <w:bookmarkEnd w:id="2"/>
      <w:bookmarkEnd w:id="3"/>
    </w:p>
    <w:sectPr w:rsidR="00CE2877" w:rsidRPr="000F6BBC" w:rsidSect="009C194D">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42" w:rsidRDefault="007E3C42">
      <w:r>
        <w:separator/>
      </w:r>
    </w:p>
  </w:endnote>
  <w:endnote w:type="continuationSeparator" w:id="0">
    <w:p w:rsidR="007E3C42" w:rsidRDefault="007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4D" w:rsidRPr="00FF6F38" w:rsidRDefault="00FF6F38" w:rsidP="00FF6F38">
    <w:pPr>
      <w:pStyle w:val="Footer"/>
    </w:pPr>
    <w:r>
      <w:rPr>
        <w:noProof/>
        <w:sz w:val="16"/>
      </w:rPr>
      <w:t>{A6886367:1}</w:t>
    </w:r>
    <w:r>
      <w:rPr>
        <w:noProof/>
        <w:sz w:val="16"/>
      </w:rPr>
      <w:tab/>
    </w:r>
    <w:r w:rsidR="004013E2" w:rsidRPr="00FF6F38">
      <w:rPr>
        <w:noProof/>
        <w:sz w:val="16"/>
      </w:rPr>
      <w:t>C0126206:6</w:t>
    </w:r>
    <w:r w:rsidR="004013E2" w:rsidRPr="00FF6F38">
      <w:tab/>
    </w:r>
    <w:sdt>
      <w:sdtPr>
        <w:id w:val="2137604695"/>
        <w:docPartObj>
          <w:docPartGallery w:val="Page Numbers (Bottom of Page)"/>
          <w:docPartUnique/>
        </w:docPartObj>
      </w:sdtPr>
      <w:sdtEndPr>
        <w:rPr>
          <w:noProof/>
        </w:rPr>
      </w:sdtEndPr>
      <w:sdtContent>
        <w:r w:rsidR="004013E2" w:rsidRPr="00FF6F38">
          <w:fldChar w:fldCharType="begin"/>
        </w:r>
        <w:r w:rsidR="004013E2" w:rsidRPr="00FF6F38">
          <w:instrText xml:space="preserve"> PAGE   \* MERGEFORMAT </w:instrText>
        </w:r>
        <w:r w:rsidR="004013E2" w:rsidRPr="00FF6F38">
          <w:fldChar w:fldCharType="separate"/>
        </w:r>
        <w:r w:rsidR="004013E2" w:rsidRPr="00FF6F38">
          <w:rPr>
            <w:noProof/>
          </w:rPr>
          <w:t>2</w:t>
        </w:r>
        <w:r w:rsidR="004013E2" w:rsidRPr="00FF6F3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53" w:rsidRPr="00FF6F38" w:rsidRDefault="00FF6F38" w:rsidP="00FF6F38">
    <w:pPr>
      <w:pStyle w:val="Footer"/>
    </w:pPr>
    <w:r>
      <w:rPr>
        <w:noProof/>
        <w:sz w:val="16"/>
      </w:rPr>
      <w:t>{A6886367:1}</w:t>
    </w:r>
    <w:r>
      <w:rPr>
        <w:noProof/>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4D" w:rsidRPr="00FF6F38" w:rsidRDefault="00FF6F38" w:rsidP="00FF6F38">
    <w:pPr>
      <w:pStyle w:val="Footer"/>
    </w:pPr>
    <w:r>
      <w:rPr>
        <w:noProof/>
        <w:sz w:val="16"/>
      </w:rPr>
      <w:t>{A6886367:1}</w:t>
    </w:r>
    <w:r>
      <w:rPr>
        <w:noProof/>
        <w:sz w:val="16"/>
      </w:rPr>
      <w:tab/>
    </w:r>
    <w:sdt>
      <w:sdtPr>
        <w:id w:val="-104816548"/>
        <w:docPartObj>
          <w:docPartGallery w:val="Page Numbers (Bottom of Page)"/>
          <w:docPartUnique/>
        </w:docPartObj>
      </w:sdtPr>
      <w:sdtEndPr>
        <w:rPr>
          <w:noProof/>
        </w:rPr>
      </w:sdtEndPr>
      <w:sdtContent>
        <w:r w:rsidR="004013E2" w:rsidRPr="00FF6F38">
          <w:fldChar w:fldCharType="begin"/>
        </w:r>
        <w:r w:rsidR="004013E2" w:rsidRPr="00FF6F38">
          <w:instrText xml:space="preserve"> PAGE   \* MERGEFORMAT </w:instrText>
        </w:r>
        <w:r w:rsidR="004013E2" w:rsidRPr="00FF6F38">
          <w:fldChar w:fldCharType="separate"/>
        </w:r>
        <w:r w:rsidR="004209C0" w:rsidRPr="00FF6F38">
          <w:rPr>
            <w:noProof/>
          </w:rPr>
          <w:t>7</w:t>
        </w:r>
        <w:r w:rsidR="004013E2" w:rsidRPr="00FF6F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42" w:rsidRDefault="007E3C42">
      <w:r>
        <w:separator/>
      </w:r>
    </w:p>
  </w:footnote>
  <w:footnote w:type="continuationSeparator" w:id="0">
    <w:p w:rsidR="007E3C42" w:rsidRDefault="007E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3CE4"/>
    <w:multiLevelType w:val="hybridMultilevel"/>
    <w:tmpl w:val="9EBC17EE"/>
    <w:lvl w:ilvl="0" w:tplc="B472164C">
      <w:start w:val="1"/>
      <w:numFmt w:val="upperLetter"/>
      <w:lvlText w:val="%1."/>
      <w:lvlJc w:val="left"/>
      <w:pPr>
        <w:ind w:left="720" w:hanging="360"/>
      </w:pPr>
      <w:rPr>
        <w:rFonts w:hint="default"/>
        <w:b w:val="0"/>
        <w:i w:val="0"/>
      </w:rPr>
    </w:lvl>
    <w:lvl w:ilvl="1" w:tplc="C92AD75C" w:tentative="1">
      <w:start w:val="1"/>
      <w:numFmt w:val="lowerLetter"/>
      <w:lvlText w:val="%2."/>
      <w:lvlJc w:val="left"/>
      <w:pPr>
        <w:ind w:left="1440" w:hanging="360"/>
      </w:pPr>
    </w:lvl>
    <w:lvl w:ilvl="2" w:tplc="9670D94A" w:tentative="1">
      <w:start w:val="1"/>
      <w:numFmt w:val="lowerRoman"/>
      <w:lvlText w:val="%3."/>
      <w:lvlJc w:val="right"/>
      <w:pPr>
        <w:ind w:left="2160" w:hanging="180"/>
      </w:pPr>
    </w:lvl>
    <w:lvl w:ilvl="3" w:tplc="A03EEC6A" w:tentative="1">
      <w:start w:val="1"/>
      <w:numFmt w:val="decimal"/>
      <w:lvlText w:val="%4."/>
      <w:lvlJc w:val="left"/>
      <w:pPr>
        <w:ind w:left="2880" w:hanging="360"/>
      </w:pPr>
    </w:lvl>
    <w:lvl w:ilvl="4" w:tplc="58CC20C4" w:tentative="1">
      <w:start w:val="1"/>
      <w:numFmt w:val="lowerLetter"/>
      <w:lvlText w:val="%5."/>
      <w:lvlJc w:val="left"/>
      <w:pPr>
        <w:ind w:left="3600" w:hanging="360"/>
      </w:pPr>
    </w:lvl>
    <w:lvl w:ilvl="5" w:tplc="6CF8D860" w:tentative="1">
      <w:start w:val="1"/>
      <w:numFmt w:val="lowerRoman"/>
      <w:lvlText w:val="%6."/>
      <w:lvlJc w:val="right"/>
      <w:pPr>
        <w:ind w:left="4320" w:hanging="180"/>
      </w:pPr>
    </w:lvl>
    <w:lvl w:ilvl="6" w:tplc="6A8866B4" w:tentative="1">
      <w:start w:val="1"/>
      <w:numFmt w:val="decimal"/>
      <w:lvlText w:val="%7."/>
      <w:lvlJc w:val="left"/>
      <w:pPr>
        <w:ind w:left="5040" w:hanging="360"/>
      </w:pPr>
    </w:lvl>
    <w:lvl w:ilvl="7" w:tplc="9702D3EA" w:tentative="1">
      <w:start w:val="1"/>
      <w:numFmt w:val="lowerLetter"/>
      <w:lvlText w:val="%8."/>
      <w:lvlJc w:val="left"/>
      <w:pPr>
        <w:ind w:left="5760" w:hanging="360"/>
      </w:pPr>
    </w:lvl>
    <w:lvl w:ilvl="8" w:tplc="6AEE9354" w:tentative="1">
      <w:start w:val="1"/>
      <w:numFmt w:val="lowerRoman"/>
      <w:lvlText w:val="%9."/>
      <w:lvlJc w:val="right"/>
      <w:pPr>
        <w:ind w:left="6480" w:hanging="180"/>
      </w:pPr>
    </w:lvl>
  </w:abstractNum>
  <w:abstractNum w:abstractNumId="1" w15:restartNumberingAfterBreak="0">
    <w:nsid w:val="19575259"/>
    <w:multiLevelType w:val="hybridMultilevel"/>
    <w:tmpl w:val="AF5E3B2A"/>
    <w:lvl w:ilvl="0" w:tplc="A796BA3C">
      <w:start w:val="1"/>
      <w:numFmt w:val="upperLetter"/>
      <w:lvlText w:val="%1."/>
      <w:lvlJc w:val="left"/>
      <w:pPr>
        <w:ind w:left="720" w:hanging="360"/>
      </w:pPr>
    </w:lvl>
    <w:lvl w:ilvl="1" w:tplc="22044320" w:tentative="1">
      <w:start w:val="1"/>
      <w:numFmt w:val="lowerLetter"/>
      <w:lvlText w:val="%2."/>
      <w:lvlJc w:val="left"/>
      <w:pPr>
        <w:ind w:left="1440" w:hanging="360"/>
      </w:pPr>
    </w:lvl>
    <w:lvl w:ilvl="2" w:tplc="A1BE7BBA" w:tentative="1">
      <w:start w:val="1"/>
      <w:numFmt w:val="lowerRoman"/>
      <w:lvlText w:val="%3."/>
      <w:lvlJc w:val="right"/>
      <w:pPr>
        <w:ind w:left="2160" w:hanging="180"/>
      </w:pPr>
    </w:lvl>
    <w:lvl w:ilvl="3" w:tplc="EE781B40" w:tentative="1">
      <w:start w:val="1"/>
      <w:numFmt w:val="decimal"/>
      <w:lvlText w:val="%4."/>
      <w:lvlJc w:val="left"/>
      <w:pPr>
        <w:ind w:left="2880" w:hanging="360"/>
      </w:pPr>
    </w:lvl>
    <w:lvl w:ilvl="4" w:tplc="C792BDBE" w:tentative="1">
      <w:start w:val="1"/>
      <w:numFmt w:val="lowerLetter"/>
      <w:lvlText w:val="%5."/>
      <w:lvlJc w:val="left"/>
      <w:pPr>
        <w:ind w:left="3600" w:hanging="360"/>
      </w:pPr>
    </w:lvl>
    <w:lvl w:ilvl="5" w:tplc="D29082C2" w:tentative="1">
      <w:start w:val="1"/>
      <w:numFmt w:val="lowerRoman"/>
      <w:lvlText w:val="%6."/>
      <w:lvlJc w:val="right"/>
      <w:pPr>
        <w:ind w:left="4320" w:hanging="180"/>
      </w:pPr>
    </w:lvl>
    <w:lvl w:ilvl="6" w:tplc="E8C2DBDC" w:tentative="1">
      <w:start w:val="1"/>
      <w:numFmt w:val="decimal"/>
      <w:lvlText w:val="%7."/>
      <w:lvlJc w:val="left"/>
      <w:pPr>
        <w:ind w:left="5040" w:hanging="360"/>
      </w:pPr>
    </w:lvl>
    <w:lvl w:ilvl="7" w:tplc="26A044E8" w:tentative="1">
      <w:start w:val="1"/>
      <w:numFmt w:val="lowerLetter"/>
      <w:lvlText w:val="%8."/>
      <w:lvlJc w:val="left"/>
      <w:pPr>
        <w:ind w:left="5760" w:hanging="360"/>
      </w:pPr>
    </w:lvl>
    <w:lvl w:ilvl="8" w:tplc="0DDAB7E0" w:tentative="1">
      <w:start w:val="1"/>
      <w:numFmt w:val="lowerRoman"/>
      <w:lvlText w:val="%9."/>
      <w:lvlJc w:val="right"/>
      <w:pPr>
        <w:ind w:left="6480" w:hanging="180"/>
      </w:pPr>
    </w:lvl>
  </w:abstractNum>
  <w:abstractNum w:abstractNumId="2" w15:restartNumberingAfterBreak="0">
    <w:nsid w:val="199801B8"/>
    <w:multiLevelType w:val="hybridMultilevel"/>
    <w:tmpl w:val="9EBC17EE"/>
    <w:lvl w:ilvl="0" w:tplc="0966E236">
      <w:start w:val="1"/>
      <w:numFmt w:val="upperLetter"/>
      <w:lvlText w:val="%1."/>
      <w:lvlJc w:val="left"/>
      <w:pPr>
        <w:ind w:left="720" w:hanging="360"/>
      </w:pPr>
      <w:rPr>
        <w:rFonts w:hint="default"/>
        <w:b w:val="0"/>
        <w:i w:val="0"/>
      </w:rPr>
    </w:lvl>
    <w:lvl w:ilvl="1" w:tplc="CEC4D5FE" w:tentative="1">
      <w:start w:val="1"/>
      <w:numFmt w:val="lowerLetter"/>
      <w:lvlText w:val="%2."/>
      <w:lvlJc w:val="left"/>
      <w:pPr>
        <w:ind w:left="1440" w:hanging="360"/>
      </w:pPr>
    </w:lvl>
    <w:lvl w:ilvl="2" w:tplc="F10856F6" w:tentative="1">
      <w:start w:val="1"/>
      <w:numFmt w:val="lowerRoman"/>
      <w:lvlText w:val="%3."/>
      <w:lvlJc w:val="right"/>
      <w:pPr>
        <w:ind w:left="2160" w:hanging="180"/>
      </w:pPr>
    </w:lvl>
    <w:lvl w:ilvl="3" w:tplc="947AB5C8" w:tentative="1">
      <w:start w:val="1"/>
      <w:numFmt w:val="decimal"/>
      <w:lvlText w:val="%4."/>
      <w:lvlJc w:val="left"/>
      <w:pPr>
        <w:ind w:left="2880" w:hanging="360"/>
      </w:pPr>
    </w:lvl>
    <w:lvl w:ilvl="4" w:tplc="6ECAB16A" w:tentative="1">
      <w:start w:val="1"/>
      <w:numFmt w:val="lowerLetter"/>
      <w:lvlText w:val="%5."/>
      <w:lvlJc w:val="left"/>
      <w:pPr>
        <w:ind w:left="3600" w:hanging="360"/>
      </w:pPr>
    </w:lvl>
    <w:lvl w:ilvl="5" w:tplc="9E70CF66" w:tentative="1">
      <w:start w:val="1"/>
      <w:numFmt w:val="lowerRoman"/>
      <w:lvlText w:val="%6."/>
      <w:lvlJc w:val="right"/>
      <w:pPr>
        <w:ind w:left="4320" w:hanging="180"/>
      </w:pPr>
    </w:lvl>
    <w:lvl w:ilvl="6" w:tplc="17C68B44" w:tentative="1">
      <w:start w:val="1"/>
      <w:numFmt w:val="decimal"/>
      <w:lvlText w:val="%7."/>
      <w:lvlJc w:val="left"/>
      <w:pPr>
        <w:ind w:left="5040" w:hanging="360"/>
      </w:pPr>
    </w:lvl>
    <w:lvl w:ilvl="7" w:tplc="1270CB46" w:tentative="1">
      <w:start w:val="1"/>
      <w:numFmt w:val="lowerLetter"/>
      <w:lvlText w:val="%8."/>
      <w:lvlJc w:val="left"/>
      <w:pPr>
        <w:ind w:left="5760" w:hanging="360"/>
      </w:pPr>
    </w:lvl>
    <w:lvl w:ilvl="8" w:tplc="BFB4CE74" w:tentative="1">
      <w:start w:val="1"/>
      <w:numFmt w:val="lowerRoman"/>
      <w:lvlText w:val="%9."/>
      <w:lvlJc w:val="right"/>
      <w:pPr>
        <w:ind w:left="6480" w:hanging="180"/>
      </w:pPr>
    </w:lvl>
  </w:abstractNum>
  <w:abstractNum w:abstractNumId="3" w15:restartNumberingAfterBreak="0">
    <w:nsid w:val="2F2C6464"/>
    <w:multiLevelType w:val="hybridMultilevel"/>
    <w:tmpl w:val="9EBC17EE"/>
    <w:lvl w:ilvl="0" w:tplc="BDB6672A">
      <w:start w:val="1"/>
      <w:numFmt w:val="upperLetter"/>
      <w:lvlText w:val="%1."/>
      <w:lvlJc w:val="left"/>
      <w:pPr>
        <w:ind w:left="720" w:hanging="360"/>
      </w:pPr>
      <w:rPr>
        <w:rFonts w:hint="default"/>
        <w:b w:val="0"/>
        <w:i w:val="0"/>
      </w:rPr>
    </w:lvl>
    <w:lvl w:ilvl="1" w:tplc="430A52A8" w:tentative="1">
      <w:start w:val="1"/>
      <w:numFmt w:val="lowerLetter"/>
      <w:lvlText w:val="%2."/>
      <w:lvlJc w:val="left"/>
      <w:pPr>
        <w:ind w:left="1440" w:hanging="360"/>
      </w:pPr>
    </w:lvl>
    <w:lvl w:ilvl="2" w:tplc="5CD60112" w:tentative="1">
      <w:start w:val="1"/>
      <w:numFmt w:val="lowerRoman"/>
      <w:lvlText w:val="%3."/>
      <w:lvlJc w:val="right"/>
      <w:pPr>
        <w:ind w:left="2160" w:hanging="180"/>
      </w:pPr>
    </w:lvl>
    <w:lvl w:ilvl="3" w:tplc="54D84CE6" w:tentative="1">
      <w:start w:val="1"/>
      <w:numFmt w:val="decimal"/>
      <w:lvlText w:val="%4."/>
      <w:lvlJc w:val="left"/>
      <w:pPr>
        <w:ind w:left="2880" w:hanging="360"/>
      </w:pPr>
    </w:lvl>
    <w:lvl w:ilvl="4" w:tplc="7B6C8350" w:tentative="1">
      <w:start w:val="1"/>
      <w:numFmt w:val="lowerLetter"/>
      <w:lvlText w:val="%5."/>
      <w:lvlJc w:val="left"/>
      <w:pPr>
        <w:ind w:left="3600" w:hanging="360"/>
      </w:pPr>
    </w:lvl>
    <w:lvl w:ilvl="5" w:tplc="F7529C62" w:tentative="1">
      <w:start w:val="1"/>
      <w:numFmt w:val="lowerRoman"/>
      <w:lvlText w:val="%6."/>
      <w:lvlJc w:val="right"/>
      <w:pPr>
        <w:ind w:left="4320" w:hanging="180"/>
      </w:pPr>
    </w:lvl>
    <w:lvl w:ilvl="6" w:tplc="E19EF668" w:tentative="1">
      <w:start w:val="1"/>
      <w:numFmt w:val="decimal"/>
      <w:lvlText w:val="%7."/>
      <w:lvlJc w:val="left"/>
      <w:pPr>
        <w:ind w:left="5040" w:hanging="360"/>
      </w:pPr>
    </w:lvl>
    <w:lvl w:ilvl="7" w:tplc="749E5530" w:tentative="1">
      <w:start w:val="1"/>
      <w:numFmt w:val="lowerLetter"/>
      <w:lvlText w:val="%8."/>
      <w:lvlJc w:val="left"/>
      <w:pPr>
        <w:ind w:left="5760" w:hanging="360"/>
      </w:pPr>
    </w:lvl>
    <w:lvl w:ilvl="8" w:tplc="94D07A04" w:tentative="1">
      <w:start w:val="1"/>
      <w:numFmt w:val="lowerRoman"/>
      <w:lvlText w:val="%9."/>
      <w:lvlJc w:val="right"/>
      <w:pPr>
        <w:ind w:left="6480" w:hanging="180"/>
      </w:pPr>
    </w:lvl>
  </w:abstractNum>
  <w:abstractNum w:abstractNumId="4" w15:restartNumberingAfterBreak="0">
    <w:nsid w:val="3B6B41FD"/>
    <w:multiLevelType w:val="hybridMultilevel"/>
    <w:tmpl w:val="014CFE8C"/>
    <w:lvl w:ilvl="0" w:tplc="4D52C508">
      <w:start w:val="1"/>
      <w:numFmt w:val="decimal"/>
      <w:lvlText w:val="%1."/>
      <w:lvlJc w:val="left"/>
      <w:pPr>
        <w:ind w:left="1080" w:hanging="360"/>
      </w:pPr>
      <w:rPr>
        <w:rFonts w:hint="default"/>
      </w:rPr>
    </w:lvl>
    <w:lvl w:ilvl="1" w:tplc="3F364456" w:tentative="1">
      <w:start w:val="1"/>
      <w:numFmt w:val="lowerLetter"/>
      <w:lvlText w:val="%2."/>
      <w:lvlJc w:val="left"/>
      <w:pPr>
        <w:ind w:left="1800" w:hanging="360"/>
      </w:pPr>
    </w:lvl>
    <w:lvl w:ilvl="2" w:tplc="0182585E" w:tentative="1">
      <w:start w:val="1"/>
      <w:numFmt w:val="lowerRoman"/>
      <w:lvlText w:val="%3."/>
      <w:lvlJc w:val="right"/>
      <w:pPr>
        <w:ind w:left="2520" w:hanging="180"/>
      </w:pPr>
    </w:lvl>
    <w:lvl w:ilvl="3" w:tplc="726614AA" w:tentative="1">
      <w:start w:val="1"/>
      <w:numFmt w:val="decimal"/>
      <w:lvlText w:val="%4."/>
      <w:lvlJc w:val="left"/>
      <w:pPr>
        <w:ind w:left="3240" w:hanging="360"/>
      </w:pPr>
    </w:lvl>
    <w:lvl w:ilvl="4" w:tplc="FB8014EA" w:tentative="1">
      <w:start w:val="1"/>
      <w:numFmt w:val="lowerLetter"/>
      <w:lvlText w:val="%5."/>
      <w:lvlJc w:val="left"/>
      <w:pPr>
        <w:ind w:left="3960" w:hanging="360"/>
      </w:pPr>
    </w:lvl>
    <w:lvl w:ilvl="5" w:tplc="C8E692EC" w:tentative="1">
      <w:start w:val="1"/>
      <w:numFmt w:val="lowerRoman"/>
      <w:lvlText w:val="%6."/>
      <w:lvlJc w:val="right"/>
      <w:pPr>
        <w:ind w:left="4680" w:hanging="180"/>
      </w:pPr>
    </w:lvl>
    <w:lvl w:ilvl="6" w:tplc="F144822A" w:tentative="1">
      <w:start w:val="1"/>
      <w:numFmt w:val="decimal"/>
      <w:lvlText w:val="%7."/>
      <w:lvlJc w:val="left"/>
      <w:pPr>
        <w:ind w:left="5400" w:hanging="360"/>
      </w:pPr>
    </w:lvl>
    <w:lvl w:ilvl="7" w:tplc="0890F89A" w:tentative="1">
      <w:start w:val="1"/>
      <w:numFmt w:val="lowerLetter"/>
      <w:lvlText w:val="%8."/>
      <w:lvlJc w:val="left"/>
      <w:pPr>
        <w:ind w:left="6120" w:hanging="360"/>
      </w:pPr>
    </w:lvl>
    <w:lvl w:ilvl="8" w:tplc="E826C010" w:tentative="1">
      <w:start w:val="1"/>
      <w:numFmt w:val="lowerRoman"/>
      <w:lvlText w:val="%9."/>
      <w:lvlJc w:val="right"/>
      <w:pPr>
        <w:ind w:left="6840" w:hanging="180"/>
      </w:pPr>
    </w:lvl>
  </w:abstractNum>
  <w:abstractNum w:abstractNumId="5" w15:restartNumberingAfterBreak="0">
    <w:nsid w:val="3DF80735"/>
    <w:multiLevelType w:val="hybridMultilevel"/>
    <w:tmpl w:val="9EBC17EE"/>
    <w:lvl w:ilvl="0" w:tplc="D0422958">
      <w:start w:val="1"/>
      <w:numFmt w:val="upperLetter"/>
      <w:lvlText w:val="%1."/>
      <w:lvlJc w:val="left"/>
      <w:pPr>
        <w:ind w:left="720" w:hanging="360"/>
      </w:pPr>
      <w:rPr>
        <w:rFonts w:hint="default"/>
        <w:b w:val="0"/>
        <w:i w:val="0"/>
      </w:rPr>
    </w:lvl>
    <w:lvl w:ilvl="1" w:tplc="91722D86" w:tentative="1">
      <w:start w:val="1"/>
      <w:numFmt w:val="lowerLetter"/>
      <w:lvlText w:val="%2."/>
      <w:lvlJc w:val="left"/>
      <w:pPr>
        <w:ind w:left="1440" w:hanging="360"/>
      </w:pPr>
    </w:lvl>
    <w:lvl w:ilvl="2" w:tplc="E92CC386" w:tentative="1">
      <w:start w:val="1"/>
      <w:numFmt w:val="lowerRoman"/>
      <w:lvlText w:val="%3."/>
      <w:lvlJc w:val="right"/>
      <w:pPr>
        <w:ind w:left="2160" w:hanging="180"/>
      </w:pPr>
    </w:lvl>
    <w:lvl w:ilvl="3" w:tplc="95D8F162" w:tentative="1">
      <w:start w:val="1"/>
      <w:numFmt w:val="decimal"/>
      <w:lvlText w:val="%4."/>
      <w:lvlJc w:val="left"/>
      <w:pPr>
        <w:ind w:left="2880" w:hanging="360"/>
      </w:pPr>
    </w:lvl>
    <w:lvl w:ilvl="4" w:tplc="DCA2C000" w:tentative="1">
      <w:start w:val="1"/>
      <w:numFmt w:val="lowerLetter"/>
      <w:lvlText w:val="%5."/>
      <w:lvlJc w:val="left"/>
      <w:pPr>
        <w:ind w:left="3600" w:hanging="360"/>
      </w:pPr>
    </w:lvl>
    <w:lvl w:ilvl="5" w:tplc="4D22637E" w:tentative="1">
      <w:start w:val="1"/>
      <w:numFmt w:val="lowerRoman"/>
      <w:lvlText w:val="%6."/>
      <w:lvlJc w:val="right"/>
      <w:pPr>
        <w:ind w:left="4320" w:hanging="180"/>
      </w:pPr>
    </w:lvl>
    <w:lvl w:ilvl="6" w:tplc="404C1576" w:tentative="1">
      <w:start w:val="1"/>
      <w:numFmt w:val="decimal"/>
      <w:lvlText w:val="%7."/>
      <w:lvlJc w:val="left"/>
      <w:pPr>
        <w:ind w:left="5040" w:hanging="360"/>
      </w:pPr>
    </w:lvl>
    <w:lvl w:ilvl="7" w:tplc="B5B676E2" w:tentative="1">
      <w:start w:val="1"/>
      <w:numFmt w:val="lowerLetter"/>
      <w:lvlText w:val="%8."/>
      <w:lvlJc w:val="left"/>
      <w:pPr>
        <w:ind w:left="5760" w:hanging="360"/>
      </w:pPr>
    </w:lvl>
    <w:lvl w:ilvl="8" w:tplc="1932F2A0" w:tentative="1">
      <w:start w:val="1"/>
      <w:numFmt w:val="lowerRoman"/>
      <w:lvlText w:val="%9."/>
      <w:lvlJc w:val="right"/>
      <w:pPr>
        <w:ind w:left="6480" w:hanging="180"/>
      </w:pPr>
    </w:lvl>
  </w:abstractNum>
  <w:abstractNum w:abstractNumId="6" w15:restartNumberingAfterBreak="0">
    <w:nsid w:val="40B76EEB"/>
    <w:multiLevelType w:val="hybridMultilevel"/>
    <w:tmpl w:val="11DC668E"/>
    <w:lvl w:ilvl="0" w:tplc="42005162">
      <w:start w:val="1"/>
      <w:numFmt w:val="upperRoman"/>
      <w:lvlText w:val="%1."/>
      <w:lvlJc w:val="left"/>
      <w:pPr>
        <w:ind w:left="1080" w:hanging="720"/>
      </w:pPr>
      <w:rPr>
        <w:rFonts w:hint="default"/>
      </w:rPr>
    </w:lvl>
    <w:lvl w:ilvl="1" w:tplc="8842DBAE" w:tentative="1">
      <w:start w:val="1"/>
      <w:numFmt w:val="lowerLetter"/>
      <w:lvlText w:val="%2."/>
      <w:lvlJc w:val="left"/>
      <w:pPr>
        <w:ind w:left="1440" w:hanging="360"/>
      </w:pPr>
    </w:lvl>
    <w:lvl w:ilvl="2" w:tplc="26E4612A" w:tentative="1">
      <w:start w:val="1"/>
      <w:numFmt w:val="lowerRoman"/>
      <w:lvlText w:val="%3."/>
      <w:lvlJc w:val="right"/>
      <w:pPr>
        <w:ind w:left="2160" w:hanging="180"/>
      </w:pPr>
    </w:lvl>
    <w:lvl w:ilvl="3" w:tplc="21DAEF8A" w:tentative="1">
      <w:start w:val="1"/>
      <w:numFmt w:val="decimal"/>
      <w:lvlText w:val="%4."/>
      <w:lvlJc w:val="left"/>
      <w:pPr>
        <w:ind w:left="2880" w:hanging="360"/>
      </w:pPr>
    </w:lvl>
    <w:lvl w:ilvl="4" w:tplc="1AEE93A6" w:tentative="1">
      <w:start w:val="1"/>
      <w:numFmt w:val="lowerLetter"/>
      <w:lvlText w:val="%5."/>
      <w:lvlJc w:val="left"/>
      <w:pPr>
        <w:ind w:left="3600" w:hanging="360"/>
      </w:pPr>
    </w:lvl>
    <w:lvl w:ilvl="5" w:tplc="D198335A" w:tentative="1">
      <w:start w:val="1"/>
      <w:numFmt w:val="lowerRoman"/>
      <w:lvlText w:val="%6."/>
      <w:lvlJc w:val="right"/>
      <w:pPr>
        <w:ind w:left="4320" w:hanging="180"/>
      </w:pPr>
    </w:lvl>
    <w:lvl w:ilvl="6" w:tplc="74D219CC" w:tentative="1">
      <w:start w:val="1"/>
      <w:numFmt w:val="decimal"/>
      <w:lvlText w:val="%7."/>
      <w:lvlJc w:val="left"/>
      <w:pPr>
        <w:ind w:left="5040" w:hanging="360"/>
      </w:pPr>
    </w:lvl>
    <w:lvl w:ilvl="7" w:tplc="28EC33CE" w:tentative="1">
      <w:start w:val="1"/>
      <w:numFmt w:val="lowerLetter"/>
      <w:lvlText w:val="%8."/>
      <w:lvlJc w:val="left"/>
      <w:pPr>
        <w:ind w:left="5760" w:hanging="360"/>
      </w:pPr>
    </w:lvl>
    <w:lvl w:ilvl="8" w:tplc="EEA24B18" w:tentative="1">
      <w:start w:val="1"/>
      <w:numFmt w:val="lowerRoman"/>
      <w:lvlText w:val="%9."/>
      <w:lvlJc w:val="right"/>
      <w:pPr>
        <w:ind w:left="6480" w:hanging="180"/>
      </w:pPr>
    </w:lvl>
  </w:abstractNum>
  <w:abstractNum w:abstractNumId="7" w15:restartNumberingAfterBreak="0">
    <w:nsid w:val="449B1E89"/>
    <w:multiLevelType w:val="hybridMultilevel"/>
    <w:tmpl w:val="3BDCC6A2"/>
    <w:lvl w:ilvl="0" w:tplc="1D605208">
      <w:start w:val="1"/>
      <w:numFmt w:val="upperLetter"/>
      <w:lvlText w:val="%1."/>
      <w:lvlJc w:val="left"/>
      <w:pPr>
        <w:ind w:left="720" w:hanging="360"/>
      </w:pPr>
    </w:lvl>
    <w:lvl w:ilvl="1" w:tplc="6958DB1A" w:tentative="1">
      <w:start w:val="1"/>
      <w:numFmt w:val="lowerLetter"/>
      <w:lvlText w:val="%2."/>
      <w:lvlJc w:val="left"/>
      <w:pPr>
        <w:ind w:left="1440" w:hanging="360"/>
      </w:pPr>
    </w:lvl>
    <w:lvl w:ilvl="2" w:tplc="15301196" w:tentative="1">
      <w:start w:val="1"/>
      <w:numFmt w:val="lowerRoman"/>
      <w:lvlText w:val="%3."/>
      <w:lvlJc w:val="right"/>
      <w:pPr>
        <w:ind w:left="2160" w:hanging="180"/>
      </w:pPr>
    </w:lvl>
    <w:lvl w:ilvl="3" w:tplc="ECD8A270" w:tentative="1">
      <w:start w:val="1"/>
      <w:numFmt w:val="decimal"/>
      <w:lvlText w:val="%4."/>
      <w:lvlJc w:val="left"/>
      <w:pPr>
        <w:ind w:left="2880" w:hanging="360"/>
      </w:pPr>
    </w:lvl>
    <w:lvl w:ilvl="4" w:tplc="12942FB4" w:tentative="1">
      <w:start w:val="1"/>
      <w:numFmt w:val="lowerLetter"/>
      <w:lvlText w:val="%5."/>
      <w:lvlJc w:val="left"/>
      <w:pPr>
        <w:ind w:left="3600" w:hanging="360"/>
      </w:pPr>
    </w:lvl>
    <w:lvl w:ilvl="5" w:tplc="77C40FBE" w:tentative="1">
      <w:start w:val="1"/>
      <w:numFmt w:val="lowerRoman"/>
      <w:lvlText w:val="%6."/>
      <w:lvlJc w:val="right"/>
      <w:pPr>
        <w:ind w:left="4320" w:hanging="180"/>
      </w:pPr>
    </w:lvl>
    <w:lvl w:ilvl="6" w:tplc="2B9EA46E" w:tentative="1">
      <w:start w:val="1"/>
      <w:numFmt w:val="decimal"/>
      <w:lvlText w:val="%7."/>
      <w:lvlJc w:val="left"/>
      <w:pPr>
        <w:ind w:left="5040" w:hanging="360"/>
      </w:pPr>
    </w:lvl>
    <w:lvl w:ilvl="7" w:tplc="93F219A4" w:tentative="1">
      <w:start w:val="1"/>
      <w:numFmt w:val="lowerLetter"/>
      <w:lvlText w:val="%8."/>
      <w:lvlJc w:val="left"/>
      <w:pPr>
        <w:ind w:left="5760" w:hanging="360"/>
      </w:pPr>
    </w:lvl>
    <w:lvl w:ilvl="8" w:tplc="23166DA2" w:tentative="1">
      <w:start w:val="1"/>
      <w:numFmt w:val="lowerRoman"/>
      <w:lvlText w:val="%9."/>
      <w:lvlJc w:val="right"/>
      <w:pPr>
        <w:ind w:left="6480" w:hanging="180"/>
      </w:pPr>
    </w:lvl>
  </w:abstractNum>
  <w:abstractNum w:abstractNumId="8" w15:restartNumberingAfterBreak="0">
    <w:nsid w:val="46A56038"/>
    <w:multiLevelType w:val="hybridMultilevel"/>
    <w:tmpl w:val="54E68C36"/>
    <w:lvl w:ilvl="0" w:tplc="12386A2E">
      <w:start w:val="1"/>
      <w:numFmt w:val="upperLetter"/>
      <w:lvlText w:val="%1."/>
      <w:lvlJc w:val="left"/>
      <w:pPr>
        <w:ind w:left="720" w:hanging="360"/>
      </w:pPr>
      <w:rPr>
        <w:rFonts w:hint="default"/>
        <w:color w:val="auto"/>
      </w:rPr>
    </w:lvl>
    <w:lvl w:ilvl="1" w:tplc="08E48804" w:tentative="1">
      <w:start w:val="1"/>
      <w:numFmt w:val="lowerLetter"/>
      <w:lvlText w:val="%2."/>
      <w:lvlJc w:val="left"/>
      <w:pPr>
        <w:ind w:left="1440" w:hanging="360"/>
      </w:pPr>
    </w:lvl>
    <w:lvl w:ilvl="2" w:tplc="72F8EFB6" w:tentative="1">
      <w:start w:val="1"/>
      <w:numFmt w:val="lowerRoman"/>
      <w:lvlText w:val="%3."/>
      <w:lvlJc w:val="right"/>
      <w:pPr>
        <w:ind w:left="2160" w:hanging="180"/>
      </w:pPr>
    </w:lvl>
    <w:lvl w:ilvl="3" w:tplc="B4D2835E" w:tentative="1">
      <w:start w:val="1"/>
      <w:numFmt w:val="decimal"/>
      <w:lvlText w:val="%4."/>
      <w:lvlJc w:val="left"/>
      <w:pPr>
        <w:ind w:left="2880" w:hanging="360"/>
      </w:pPr>
    </w:lvl>
    <w:lvl w:ilvl="4" w:tplc="302A05A4" w:tentative="1">
      <w:start w:val="1"/>
      <w:numFmt w:val="lowerLetter"/>
      <w:lvlText w:val="%5."/>
      <w:lvlJc w:val="left"/>
      <w:pPr>
        <w:ind w:left="3600" w:hanging="360"/>
      </w:pPr>
    </w:lvl>
    <w:lvl w:ilvl="5" w:tplc="B61E2474" w:tentative="1">
      <w:start w:val="1"/>
      <w:numFmt w:val="lowerRoman"/>
      <w:lvlText w:val="%6."/>
      <w:lvlJc w:val="right"/>
      <w:pPr>
        <w:ind w:left="4320" w:hanging="180"/>
      </w:pPr>
    </w:lvl>
    <w:lvl w:ilvl="6" w:tplc="CF86D870" w:tentative="1">
      <w:start w:val="1"/>
      <w:numFmt w:val="decimal"/>
      <w:lvlText w:val="%7."/>
      <w:lvlJc w:val="left"/>
      <w:pPr>
        <w:ind w:left="5040" w:hanging="360"/>
      </w:pPr>
    </w:lvl>
    <w:lvl w:ilvl="7" w:tplc="FB64D8BC" w:tentative="1">
      <w:start w:val="1"/>
      <w:numFmt w:val="lowerLetter"/>
      <w:lvlText w:val="%8."/>
      <w:lvlJc w:val="left"/>
      <w:pPr>
        <w:ind w:left="5760" w:hanging="360"/>
      </w:pPr>
    </w:lvl>
    <w:lvl w:ilvl="8" w:tplc="2F9CF826" w:tentative="1">
      <w:start w:val="1"/>
      <w:numFmt w:val="lowerRoman"/>
      <w:lvlText w:val="%9."/>
      <w:lvlJc w:val="right"/>
      <w:pPr>
        <w:ind w:left="6480" w:hanging="180"/>
      </w:pPr>
    </w:lvl>
  </w:abstractNum>
  <w:abstractNum w:abstractNumId="9" w15:restartNumberingAfterBreak="0">
    <w:nsid w:val="534F39F8"/>
    <w:multiLevelType w:val="hybridMultilevel"/>
    <w:tmpl w:val="2A649D36"/>
    <w:lvl w:ilvl="0" w:tplc="9E72EEA6">
      <w:start w:val="1"/>
      <w:numFmt w:val="upperLetter"/>
      <w:lvlText w:val="%1."/>
      <w:lvlJc w:val="left"/>
      <w:pPr>
        <w:ind w:left="720" w:hanging="360"/>
      </w:pPr>
    </w:lvl>
    <w:lvl w:ilvl="1" w:tplc="E43A05E2">
      <w:start w:val="1"/>
      <w:numFmt w:val="lowerLetter"/>
      <w:lvlText w:val="%2."/>
      <w:lvlJc w:val="left"/>
      <w:pPr>
        <w:ind w:left="1440" w:hanging="360"/>
      </w:pPr>
    </w:lvl>
    <w:lvl w:ilvl="2" w:tplc="29C6E3FA" w:tentative="1">
      <w:start w:val="1"/>
      <w:numFmt w:val="lowerRoman"/>
      <w:lvlText w:val="%3."/>
      <w:lvlJc w:val="right"/>
      <w:pPr>
        <w:ind w:left="2160" w:hanging="180"/>
      </w:pPr>
    </w:lvl>
    <w:lvl w:ilvl="3" w:tplc="8F62068E" w:tentative="1">
      <w:start w:val="1"/>
      <w:numFmt w:val="decimal"/>
      <w:lvlText w:val="%4."/>
      <w:lvlJc w:val="left"/>
      <w:pPr>
        <w:ind w:left="2880" w:hanging="360"/>
      </w:pPr>
    </w:lvl>
    <w:lvl w:ilvl="4" w:tplc="C9AA0718" w:tentative="1">
      <w:start w:val="1"/>
      <w:numFmt w:val="lowerLetter"/>
      <w:lvlText w:val="%5."/>
      <w:lvlJc w:val="left"/>
      <w:pPr>
        <w:ind w:left="3600" w:hanging="360"/>
      </w:pPr>
    </w:lvl>
    <w:lvl w:ilvl="5" w:tplc="92E2852E" w:tentative="1">
      <w:start w:val="1"/>
      <w:numFmt w:val="lowerRoman"/>
      <w:lvlText w:val="%6."/>
      <w:lvlJc w:val="right"/>
      <w:pPr>
        <w:ind w:left="4320" w:hanging="180"/>
      </w:pPr>
    </w:lvl>
    <w:lvl w:ilvl="6" w:tplc="9BE054CC" w:tentative="1">
      <w:start w:val="1"/>
      <w:numFmt w:val="decimal"/>
      <w:lvlText w:val="%7."/>
      <w:lvlJc w:val="left"/>
      <w:pPr>
        <w:ind w:left="5040" w:hanging="360"/>
      </w:pPr>
    </w:lvl>
    <w:lvl w:ilvl="7" w:tplc="7D22E736" w:tentative="1">
      <w:start w:val="1"/>
      <w:numFmt w:val="lowerLetter"/>
      <w:lvlText w:val="%8."/>
      <w:lvlJc w:val="left"/>
      <w:pPr>
        <w:ind w:left="5760" w:hanging="360"/>
      </w:pPr>
    </w:lvl>
    <w:lvl w:ilvl="8" w:tplc="C714F56E" w:tentative="1">
      <w:start w:val="1"/>
      <w:numFmt w:val="lowerRoman"/>
      <w:lvlText w:val="%9."/>
      <w:lvlJc w:val="right"/>
      <w:pPr>
        <w:ind w:left="6480" w:hanging="180"/>
      </w:pPr>
    </w:lvl>
  </w:abstractNum>
  <w:abstractNum w:abstractNumId="10" w15:restartNumberingAfterBreak="0">
    <w:nsid w:val="6C3F0081"/>
    <w:multiLevelType w:val="hybridMultilevel"/>
    <w:tmpl w:val="9EBC17EE"/>
    <w:lvl w:ilvl="0" w:tplc="0CEE5990">
      <w:start w:val="1"/>
      <w:numFmt w:val="upperLetter"/>
      <w:lvlText w:val="%1."/>
      <w:lvlJc w:val="left"/>
      <w:pPr>
        <w:ind w:left="720" w:hanging="360"/>
      </w:pPr>
      <w:rPr>
        <w:rFonts w:hint="default"/>
        <w:b w:val="0"/>
        <w:i w:val="0"/>
      </w:rPr>
    </w:lvl>
    <w:lvl w:ilvl="1" w:tplc="499670A0" w:tentative="1">
      <w:start w:val="1"/>
      <w:numFmt w:val="lowerLetter"/>
      <w:lvlText w:val="%2."/>
      <w:lvlJc w:val="left"/>
      <w:pPr>
        <w:ind w:left="1440" w:hanging="360"/>
      </w:pPr>
    </w:lvl>
    <w:lvl w:ilvl="2" w:tplc="2BF4B56C" w:tentative="1">
      <w:start w:val="1"/>
      <w:numFmt w:val="lowerRoman"/>
      <w:lvlText w:val="%3."/>
      <w:lvlJc w:val="right"/>
      <w:pPr>
        <w:ind w:left="2160" w:hanging="180"/>
      </w:pPr>
    </w:lvl>
    <w:lvl w:ilvl="3" w:tplc="7C787726" w:tentative="1">
      <w:start w:val="1"/>
      <w:numFmt w:val="decimal"/>
      <w:lvlText w:val="%4."/>
      <w:lvlJc w:val="left"/>
      <w:pPr>
        <w:ind w:left="2880" w:hanging="360"/>
      </w:pPr>
    </w:lvl>
    <w:lvl w:ilvl="4" w:tplc="8A3ECE3E" w:tentative="1">
      <w:start w:val="1"/>
      <w:numFmt w:val="lowerLetter"/>
      <w:lvlText w:val="%5."/>
      <w:lvlJc w:val="left"/>
      <w:pPr>
        <w:ind w:left="3600" w:hanging="360"/>
      </w:pPr>
    </w:lvl>
    <w:lvl w:ilvl="5" w:tplc="DE24A766" w:tentative="1">
      <w:start w:val="1"/>
      <w:numFmt w:val="lowerRoman"/>
      <w:lvlText w:val="%6."/>
      <w:lvlJc w:val="right"/>
      <w:pPr>
        <w:ind w:left="4320" w:hanging="180"/>
      </w:pPr>
    </w:lvl>
    <w:lvl w:ilvl="6" w:tplc="69568C86" w:tentative="1">
      <w:start w:val="1"/>
      <w:numFmt w:val="decimal"/>
      <w:lvlText w:val="%7."/>
      <w:lvlJc w:val="left"/>
      <w:pPr>
        <w:ind w:left="5040" w:hanging="360"/>
      </w:pPr>
    </w:lvl>
    <w:lvl w:ilvl="7" w:tplc="71F65AE2" w:tentative="1">
      <w:start w:val="1"/>
      <w:numFmt w:val="lowerLetter"/>
      <w:lvlText w:val="%8."/>
      <w:lvlJc w:val="left"/>
      <w:pPr>
        <w:ind w:left="5760" w:hanging="360"/>
      </w:pPr>
    </w:lvl>
    <w:lvl w:ilvl="8" w:tplc="16700986" w:tentative="1">
      <w:start w:val="1"/>
      <w:numFmt w:val="lowerRoman"/>
      <w:lvlText w:val="%9."/>
      <w:lvlJc w:val="right"/>
      <w:pPr>
        <w:ind w:left="6480" w:hanging="180"/>
      </w:pPr>
    </w:lvl>
  </w:abstractNum>
  <w:abstractNum w:abstractNumId="11" w15:restartNumberingAfterBreak="0">
    <w:nsid w:val="6ECD71BE"/>
    <w:multiLevelType w:val="hybridMultilevel"/>
    <w:tmpl w:val="B9BCE9E0"/>
    <w:lvl w:ilvl="0" w:tplc="56F6882C">
      <w:start w:val="1"/>
      <w:numFmt w:val="upperLetter"/>
      <w:lvlText w:val="%1."/>
      <w:lvlJc w:val="left"/>
      <w:pPr>
        <w:ind w:left="720" w:hanging="360"/>
      </w:pPr>
    </w:lvl>
    <w:lvl w:ilvl="1" w:tplc="7272EC0A">
      <w:start w:val="1"/>
      <w:numFmt w:val="upperLetter"/>
      <w:lvlText w:val="%2."/>
      <w:lvlJc w:val="left"/>
      <w:pPr>
        <w:ind w:left="1440" w:hanging="360"/>
      </w:pPr>
    </w:lvl>
    <w:lvl w:ilvl="2" w:tplc="D9064CCC" w:tentative="1">
      <w:start w:val="1"/>
      <w:numFmt w:val="lowerRoman"/>
      <w:lvlText w:val="%3."/>
      <w:lvlJc w:val="right"/>
      <w:pPr>
        <w:ind w:left="2160" w:hanging="180"/>
      </w:pPr>
    </w:lvl>
    <w:lvl w:ilvl="3" w:tplc="AAD06DC0" w:tentative="1">
      <w:start w:val="1"/>
      <w:numFmt w:val="decimal"/>
      <w:lvlText w:val="%4."/>
      <w:lvlJc w:val="left"/>
      <w:pPr>
        <w:ind w:left="2880" w:hanging="360"/>
      </w:pPr>
    </w:lvl>
    <w:lvl w:ilvl="4" w:tplc="D81888EA" w:tentative="1">
      <w:start w:val="1"/>
      <w:numFmt w:val="lowerLetter"/>
      <w:lvlText w:val="%5."/>
      <w:lvlJc w:val="left"/>
      <w:pPr>
        <w:ind w:left="3600" w:hanging="360"/>
      </w:pPr>
    </w:lvl>
    <w:lvl w:ilvl="5" w:tplc="FA9E0B60" w:tentative="1">
      <w:start w:val="1"/>
      <w:numFmt w:val="lowerRoman"/>
      <w:lvlText w:val="%6."/>
      <w:lvlJc w:val="right"/>
      <w:pPr>
        <w:ind w:left="4320" w:hanging="180"/>
      </w:pPr>
    </w:lvl>
    <w:lvl w:ilvl="6" w:tplc="DFCC3CEC" w:tentative="1">
      <w:start w:val="1"/>
      <w:numFmt w:val="decimal"/>
      <w:lvlText w:val="%7."/>
      <w:lvlJc w:val="left"/>
      <w:pPr>
        <w:ind w:left="5040" w:hanging="360"/>
      </w:pPr>
    </w:lvl>
    <w:lvl w:ilvl="7" w:tplc="84A65AD6" w:tentative="1">
      <w:start w:val="1"/>
      <w:numFmt w:val="lowerLetter"/>
      <w:lvlText w:val="%8."/>
      <w:lvlJc w:val="left"/>
      <w:pPr>
        <w:ind w:left="5760" w:hanging="360"/>
      </w:pPr>
    </w:lvl>
    <w:lvl w:ilvl="8" w:tplc="3FEEECF0" w:tentative="1">
      <w:start w:val="1"/>
      <w:numFmt w:val="lowerRoman"/>
      <w:lvlText w:val="%9."/>
      <w:lvlJc w:val="right"/>
      <w:pPr>
        <w:ind w:left="6480" w:hanging="180"/>
      </w:pPr>
    </w:lvl>
  </w:abstractNum>
  <w:abstractNum w:abstractNumId="12" w15:restartNumberingAfterBreak="0">
    <w:nsid w:val="73792C13"/>
    <w:multiLevelType w:val="hybridMultilevel"/>
    <w:tmpl w:val="9104CC2C"/>
    <w:lvl w:ilvl="0" w:tplc="F43EA316">
      <w:start w:val="1"/>
      <w:numFmt w:val="upperLetter"/>
      <w:lvlText w:val="%1."/>
      <w:lvlJc w:val="left"/>
      <w:pPr>
        <w:ind w:left="1080" w:hanging="360"/>
      </w:pPr>
      <w:rPr>
        <w:rFonts w:hint="default"/>
      </w:rPr>
    </w:lvl>
    <w:lvl w:ilvl="1" w:tplc="02023FA4" w:tentative="1">
      <w:start w:val="1"/>
      <w:numFmt w:val="lowerLetter"/>
      <w:lvlText w:val="%2."/>
      <w:lvlJc w:val="left"/>
      <w:pPr>
        <w:ind w:left="1800" w:hanging="360"/>
      </w:pPr>
    </w:lvl>
    <w:lvl w:ilvl="2" w:tplc="FFEEE3F8" w:tentative="1">
      <w:start w:val="1"/>
      <w:numFmt w:val="lowerRoman"/>
      <w:lvlText w:val="%3."/>
      <w:lvlJc w:val="right"/>
      <w:pPr>
        <w:ind w:left="2520" w:hanging="180"/>
      </w:pPr>
    </w:lvl>
    <w:lvl w:ilvl="3" w:tplc="399EC304" w:tentative="1">
      <w:start w:val="1"/>
      <w:numFmt w:val="decimal"/>
      <w:lvlText w:val="%4."/>
      <w:lvlJc w:val="left"/>
      <w:pPr>
        <w:ind w:left="3240" w:hanging="360"/>
      </w:pPr>
    </w:lvl>
    <w:lvl w:ilvl="4" w:tplc="E5488482" w:tentative="1">
      <w:start w:val="1"/>
      <w:numFmt w:val="lowerLetter"/>
      <w:lvlText w:val="%5."/>
      <w:lvlJc w:val="left"/>
      <w:pPr>
        <w:ind w:left="3960" w:hanging="360"/>
      </w:pPr>
    </w:lvl>
    <w:lvl w:ilvl="5" w:tplc="F99C5956" w:tentative="1">
      <w:start w:val="1"/>
      <w:numFmt w:val="lowerRoman"/>
      <w:lvlText w:val="%6."/>
      <w:lvlJc w:val="right"/>
      <w:pPr>
        <w:ind w:left="4680" w:hanging="180"/>
      </w:pPr>
    </w:lvl>
    <w:lvl w:ilvl="6" w:tplc="AE0EDB62" w:tentative="1">
      <w:start w:val="1"/>
      <w:numFmt w:val="decimal"/>
      <w:lvlText w:val="%7."/>
      <w:lvlJc w:val="left"/>
      <w:pPr>
        <w:ind w:left="5400" w:hanging="360"/>
      </w:pPr>
    </w:lvl>
    <w:lvl w:ilvl="7" w:tplc="F5BAAAA8" w:tentative="1">
      <w:start w:val="1"/>
      <w:numFmt w:val="lowerLetter"/>
      <w:lvlText w:val="%8."/>
      <w:lvlJc w:val="left"/>
      <w:pPr>
        <w:ind w:left="6120" w:hanging="360"/>
      </w:pPr>
    </w:lvl>
    <w:lvl w:ilvl="8" w:tplc="5C7A4F4A"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2"/>
  </w:num>
  <w:num w:numId="5">
    <w:abstractNumId w:val="8"/>
  </w:num>
  <w:num w:numId="6">
    <w:abstractNumId w:val="10"/>
  </w:num>
  <w:num w:numId="7">
    <w:abstractNumId w:val="9"/>
  </w:num>
  <w:num w:numId="8">
    <w:abstractNumId w:val="11"/>
  </w:num>
  <w:num w:numId="9">
    <w:abstractNumId w:val="5"/>
  </w:num>
  <w:num w:numId="10">
    <w:abstractNumId w:val="3"/>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1A"/>
    <w:rsid w:val="00003F18"/>
    <w:rsid w:val="00096B03"/>
    <w:rsid w:val="000F6BBC"/>
    <w:rsid w:val="0014161A"/>
    <w:rsid w:val="0016123B"/>
    <w:rsid w:val="00184EE1"/>
    <w:rsid w:val="00193147"/>
    <w:rsid w:val="002A6661"/>
    <w:rsid w:val="002C1655"/>
    <w:rsid w:val="003056DC"/>
    <w:rsid w:val="003249B1"/>
    <w:rsid w:val="0033163D"/>
    <w:rsid w:val="003C06BA"/>
    <w:rsid w:val="003D0E9E"/>
    <w:rsid w:val="003F221B"/>
    <w:rsid w:val="004013E2"/>
    <w:rsid w:val="004209C0"/>
    <w:rsid w:val="004645AB"/>
    <w:rsid w:val="004A7606"/>
    <w:rsid w:val="004E76CF"/>
    <w:rsid w:val="00505C34"/>
    <w:rsid w:val="005E60F0"/>
    <w:rsid w:val="005E781E"/>
    <w:rsid w:val="00662BA4"/>
    <w:rsid w:val="00694A3E"/>
    <w:rsid w:val="006C763C"/>
    <w:rsid w:val="007468E2"/>
    <w:rsid w:val="007733FC"/>
    <w:rsid w:val="00776A0C"/>
    <w:rsid w:val="007E3C42"/>
    <w:rsid w:val="00800132"/>
    <w:rsid w:val="008203E0"/>
    <w:rsid w:val="008673E0"/>
    <w:rsid w:val="00876C4E"/>
    <w:rsid w:val="0088495C"/>
    <w:rsid w:val="00892BBC"/>
    <w:rsid w:val="008F2966"/>
    <w:rsid w:val="009E25CE"/>
    <w:rsid w:val="009E5BFC"/>
    <w:rsid w:val="00A7021A"/>
    <w:rsid w:val="00AD4A94"/>
    <w:rsid w:val="00B71EAD"/>
    <w:rsid w:val="00B96829"/>
    <w:rsid w:val="00BC488C"/>
    <w:rsid w:val="00BE5CC2"/>
    <w:rsid w:val="00CB5ACA"/>
    <w:rsid w:val="00CE2877"/>
    <w:rsid w:val="00F136A6"/>
    <w:rsid w:val="00F30B1D"/>
    <w:rsid w:val="00F84626"/>
    <w:rsid w:val="00F8562E"/>
    <w:rsid w:val="00F96B62"/>
    <w:rsid w:val="00FD4C01"/>
    <w:rsid w:val="00FF1BC6"/>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E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53"/>
    <w:pPr>
      <w:tabs>
        <w:tab w:val="center" w:pos="4680"/>
        <w:tab w:val="right" w:pos="9360"/>
      </w:tabs>
    </w:pPr>
  </w:style>
  <w:style w:type="character" w:customStyle="1" w:styleId="HeaderChar">
    <w:name w:val="Header Char"/>
    <w:basedOn w:val="DefaultParagraphFont"/>
    <w:link w:val="Header"/>
    <w:uiPriority w:val="99"/>
    <w:rsid w:val="003A2853"/>
  </w:style>
  <w:style w:type="paragraph" w:styleId="Footer">
    <w:name w:val="footer"/>
    <w:basedOn w:val="Normal"/>
    <w:link w:val="FooterChar"/>
    <w:uiPriority w:val="99"/>
    <w:unhideWhenUsed/>
    <w:rsid w:val="003A2853"/>
    <w:pPr>
      <w:tabs>
        <w:tab w:val="center" w:pos="4680"/>
        <w:tab w:val="right" w:pos="9360"/>
      </w:tabs>
    </w:pPr>
  </w:style>
  <w:style w:type="character" w:customStyle="1" w:styleId="FooterChar">
    <w:name w:val="Footer Char"/>
    <w:basedOn w:val="DefaultParagraphFont"/>
    <w:link w:val="Footer"/>
    <w:uiPriority w:val="99"/>
    <w:rsid w:val="003A2853"/>
  </w:style>
  <w:style w:type="paragraph" w:styleId="ListParagraph">
    <w:name w:val="List Paragraph"/>
    <w:basedOn w:val="Normal"/>
    <w:uiPriority w:val="34"/>
    <w:qFormat/>
    <w:rsid w:val="005D4E76"/>
    <w:pPr>
      <w:ind w:left="720"/>
      <w:contextualSpacing/>
    </w:pPr>
  </w:style>
  <w:style w:type="character" w:customStyle="1" w:styleId="Heading1Char">
    <w:name w:val="Heading 1 Char"/>
    <w:basedOn w:val="DefaultParagraphFont"/>
    <w:link w:val="Heading1"/>
    <w:uiPriority w:val="9"/>
    <w:rsid w:val="005D4E7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67E47"/>
    <w:rPr>
      <w:sz w:val="16"/>
      <w:szCs w:val="16"/>
    </w:rPr>
  </w:style>
  <w:style w:type="paragraph" w:styleId="CommentText">
    <w:name w:val="annotation text"/>
    <w:basedOn w:val="Normal"/>
    <w:link w:val="CommentTextChar"/>
    <w:uiPriority w:val="99"/>
    <w:semiHidden/>
    <w:unhideWhenUsed/>
    <w:rsid w:val="00567E47"/>
    <w:rPr>
      <w:sz w:val="20"/>
      <w:szCs w:val="20"/>
    </w:rPr>
  </w:style>
  <w:style w:type="character" w:customStyle="1" w:styleId="CommentTextChar">
    <w:name w:val="Comment Text Char"/>
    <w:basedOn w:val="DefaultParagraphFont"/>
    <w:link w:val="CommentText"/>
    <w:uiPriority w:val="99"/>
    <w:semiHidden/>
    <w:rsid w:val="00567E47"/>
    <w:rPr>
      <w:sz w:val="20"/>
      <w:szCs w:val="20"/>
    </w:rPr>
  </w:style>
  <w:style w:type="paragraph" w:styleId="CommentSubject">
    <w:name w:val="annotation subject"/>
    <w:basedOn w:val="CommentText"/>
    <w:next w:val="CommentText"/>
    <w:link w:val="CommentSubjectChar"/>
    <w:uiPriority w:val="99"/>
    <w:semiHidden/>
    <w:unhideWhenUsed/>
    <w:rsid w:val="00567E47"/>
    <w:rPr>
      <w:b/>
      <w:bCs/>
    </w:rPr>
  </w:style>
  <w:style w:type="character" w:customStyle="1" w:styleId="CommentSubjectChar">
    <w:name w:val="Comment Subject Char"/>
    <w:basedOn w:val="CommentTextChar"/>
    <w:link w:val="CommentSubject"/>
    <w:uiPriority w:val="99"/>
    <w:semiHidden/>
    <w:rsid w:val="00567E47"/>
    <w:rPr>
      <w:b/>
      <w:bCs/>
      <w:sz w:val="20"/>
      <w:szCs w:val="20"/>
    </w:rPr>
  </w:style>
  <w:style w:type="paragraph" w:styleId="BalloonText">
    <w:name w:val="Balloon Text"/>
    <w:basedOn w:val="Normal"/>
    <w:link w:val="BalloonTextChar"/>
    <w:uiPriority w:val="99"/>
    <w:semiHidden/>
    <w:unhideWhenUsed/>
    <w:rsid w:val="00567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7"/>
    <w:rPr>
      <w:rFonts w:ascii="Segoe UI" w:hAnsi="Segoe UI" w:cs="Segoe UI"/>
      <w:sz w:val="18"/>
      <w:szCs w:val="18"/>
    </w:rPr>
  </w:style>
  <w:style w:type="table" w:styleId="TableGrid">
    <w:name w:val="Table Grid"/>
    <w:basedOn w:val="TableNormal"/>
    <w:uiPriority w:val="59"/>
    <w:rsid w:val="00F4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1590</Words>
  <Characters>8388</Characters>
  <Application>Microsoft Office Word</Application>
  <DocSecurity>0</DocSecurity>
  <PresentationFormat>15|.DOCX</PresentationFormat>
  <Lines>234</Lines>
  <Paragraphs>57</Paragraphs>
  <ScaleCrop>false</ScaleCrop>
  <HeadingPairs>
    <vt:vector size="2" baseType="variant">
      <vt:variant>
        <vt:lpstr>Title</vt:lpstr>
      </vt:variant>
      <vt:variant>
        <vt:i4>1</vt:i4>
      </vt:variant>
    </vt:vector>
  </HeadingPairs>
  <TitlesOfParts>
    <vt:vector size="1" baseType="lpstr">
      <vt:lpstr>Stipulation in Tax Case (18-1903) (4-5-19) (C0126206-7) Staff Edit (A6886367).DOCX</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Stipulation in Tax Case (18-1903) (4-5-19) (C0126206-7) Staff Edit (A6886367).DOCX</dc:title>
  <dc:subject/>
  <dc:creator/>
  <cp:lastModifiedBy/>
  <cp:revision>1</cp:revision>
  <dcterms:created xsi:type="dcterms:W3CDTF">2019-04-25T16:12:00Z</dcterms:created>
  <dcterms:modified xsi:type="dcterms:W3CDTF">2019-04-25T16:12:00Z</dcterms:modified>
</cp:coreProperties>
</file>