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733" w:rsidRDefault="00861733">
      <w:pPr>
        <w:jc w:val="center"/>
        <w:rPr>
          <w:b/>
          <w:bCs/>
        </w:rPr>
      </w:pPr>
      <w:bookmarkStart w:id="0" w:name="_GoBack"/>
      <w:bookmarkEnd w:id="0"/>
      <w:r>
        <w:rPr>
          <w:b/>
          <w:bCs/>
        </w:rPr>
        <w:t>PIPELINE INFRASTRUCTURE REPLACEMENT (PIR)</w:t>
      </w:r>
    </w:p>
    <w:p w:rsidR="00861733" w:rsidRDefault="00861733">
      <w:pPr>
        <w:jc w:val="center"/>
      </w:pPr>
      <w:r>
        <w:rPr>
          <w:b/>
          <w:bCs/>
        </w:rPr>
        <w:t>COST RECOVERY CHARGE</w:t>
      </w:r>
    </w:p>
    <w:p w:rsidR="00861733" w:rsidRDefault="00861733">
      <w:r>
        <w:t xml:space="preserve"> </w:t>
      </w:r>
    </w:p>
    <w:p w:rsidR="00861733" w:rsidRDefault="00861733">
      <w:pPr>
        <w:pStyle w:val="Heading1"/>
      </w:pPr>
      <w:r>
        <w:t>APPLICABILITY</w:t>
      </w:r>
    </w:p>
    <w:p w:rsidR="00861733" w:rsidRDefault="00861733">
      <w:pPr>
        <w:ind w:left="360"/>
      </w:pPr>
      <w:r>
        <w:t>Applicable to all customers receiving service under East Ohio’s sales and transportation rate schedules.</w:t>
      </w:r>
    </w:p>
    <w:p w:rsidR="00861733" w:rsidRDefault="00861733">
      <w:pPr>
        <w:pStyle w:val="Header"/>
        <w:tabs>
          <w:tab w:val="clear" w:pos="4320"/>
          <w:tab w:val="clear" w:pos="8640"/>
        </w:tabs>
      </w:pPr>
    </w:p>
    <w:p w:rsidR="00861733" w:rsidRDefault="00861733">
      <w:pPr>
        <w:pStyle w:val="Heading1"/>
      </w:pPr>
      <w:r>
        <w:t>PIR COST RECOVERY CHARGE</w:t>
      </w:r>
    </w:p>
    <w:p w:rsidR="00861733" w:rsidRDefault="00861733" w:rsidP="000B455E">
      <w:pPr>
        <w:pStyle w:val="BodyTextIndent"/>
        <w:spacing w:after="120"/>
      </w:pPr>
      <w:r>
        <w:t xml:space="preserve">All customers receiving service under the following rate schedules shall be assessed a monthly charge, regardless of gas consumed, in addition to the otherwise applicable monthly service charge to recover the revenue requirement associated with East Ohio’s pipeline infrastructure replacement program:  </w:t>
      </w:r>
    </w:p>
    <w:p w:rsidR="00861733" w:rsidRDefault="00861733">
      <w:pPr>
        <w:ind w:left="360" w:firstLine="360"/>
      </w:pPr>
      <w:r>
        <w:t>General Sales Service</w:t>
      </w:r>
      <w:r w:rsidR="00BB2114">
        <w:t xml:space="preserve"> – Residential</w:t>
      </w:r>
      <w:r>
        <w:t xml:space="preserve"> (“GSS</w:t>
      </w:r>
      <w:r w:rsidR="00BB2114">
        <w:t>-R</w:t>
      </w:r>
      <w:r>
        <w:t>”)</w:t>
      </w:r>
    </w:p>
    <w:p w:rsidR="00BB2114" w:rsidRDefault="00BB2114">
      <w:pPr>
        <w:ind w:left="360" w:firstLine="360"/>
      </w:pPr>
      <w:r>
        <w:t>General Sales Service – Nonresidential (“GSS-NR”)</w:t>
      </w:r>
    </w:p>
    <w:p w:rsidR="00861733" w:rsidRDefault="00861733">
      <w:pPr>
        <w:ind w:left="360" w:firstLine="360"/>
      </w:pPr>
      <w:r>
        <w:t>Energy Choice Transportation Service</w:t>
      </w:r>
      <w:r w:rsidR="00BB2114">
        <w:t xml:space="preserve"> – Residential</w:t>
      </w:r>
      <w:r>
        <w:t xml:space="preserve"> (“ECTS</w:t>
      </w:r>
      <w:r w:rsidR="00BB2114">
        <w:t>-R</w:t>
      </w:r>
      <w:r>
        <w:t>”)</w:t>
      </w:r>
    </w:p>
    <w:p w:rsidR="00BB2114" w:rsidRDefault="00BB2114">
      <w:pPr>
        <w:ind w:left="360" w:firstLine="360"/>
      </w:pPr>
      <w:r>
        <w:t>Energy Choice Transportation Service – Nonresidential (“ECTS-NR”)</w:t>
      </w:r>
    </w:p>
    <w:p w:rsidR="00861733" w:rsidRDefault="00861733">
      <w:pPr>
        <w:ind w:left="360" w:firstLine="360"/>
      </w:pPr>
      <w:r>
        <w:t>Large Volume General Sales Service (“LVGSS”)</w:t>
      </w:r>
    </w:p>
    <w:p w:rsidR="00861733" w:rsidRDefault="00861733">
      <w:pPr>
        <w:ind w:left="360" w:firstLine="360"/>
      </w:pPr>
      <w:r>
        <w:t>Large Volumes Energy Choice Transportation Service (“LVECTS”)</w:t>
      </w:r>
    </w:p>
    <w:p w:rsidR="00861733" w:rsidRDefault="00861733">
      <w:pPr>
        <w:ind w:left="360" w:firstLine="360"/>
      </w:pPr>
      <w:r>
        <w:t>General Transportation Service (“GTS”)</w:t>
      </w:r>
    </w:p>
    <w:p w:rsidR="00861733" w:rsidRDefault="00861733" w:rsidP="000B455E">
      <w:pPr>
        <w:spacing w:after="200"/>
        <w:ind w:left="360" w:firstLine="360"/>
      </w:pPr>
      <w:r>
        <w:t>Transportation Service for Schools (“TSS”)</w:t>
      </w:r>
    </w:p>
    <w:p w:rsidR="00861733" w:rsidRDefault="00861733" w:rsidP="000B455E">
      <w:pPr>
        <w:spacing w:after="200"/>
        <w:ind w:left="360"/>
      </w:pPr>
      <w:r>
        <w:t>Customers receiving service under the Daily Transportation Service (“DTS”) rate schedule shall be assessed a volumetric charge in addition to their volumetric delivery charge for that purpose.  The maximum monthly PIR Cost Recovery Charge for any DTS customer shall be $1,000.00 per account.</w:t>
      </w:r>
    </w:p>
    <w:p w:rsidR="00F208F1" w:rsidRPr="008B32D6" w:rsidRDefault="00F208F1" w:rsidP="000B455E">
      <w:pPr>
        <w:spacing w:after="200"/>
        <w:ind w:left="360"/>
        <w:rPr>
          <w:color w:val="000000"/>
        </w:rPr>
      </w:pPr>
      <w:r w:rsidRPr="008B32D6">
        <w:rPr>
          <w:color w:val="000000"/>
        </w:rPr>
        <w:t xml:space="preserve">The PIR Cost Recovery Charge shall be updated annually to reflect pipeline infrastructure replacement expenditures during the most recent calendar year.  East Ohio shall submit a prefiling notice by November 30 each year, and an updated filing with actual data by February 28, with the revised PIR </w:t>
      </w:r>
      <w:r w:rsidR="00D11C18">
        <w:rPr>
          <w:color w:val="000000"/>
        </w:rPr>
        <w:t>Cost Recovery C</w:t>
      </w:r>
      <w:r w:rsidRPr="008B32D6">
        <w:rPr>
          <w:color w:val="000000"/>
        </w:rPr>
        <w:t>harge becoming effective as of the first billing cycle in May. </w:t>
      </w:r>
    </w:p>
    <w:p w:rsidR="00861733" w:rsidRDefault="00861733" w:rsidP="000B455E">
      <w:pPr>
        <w:spacing w:after="120"/>
        <w:ind w:left="360"/>
      </w:pPr>
      <w:r>
        <w:t>The charges for the respective gas service schedules are:</w:t>
      </w:r>
    </w:p>
    <w:p w:rsidR="00861733" w:rsidRDefault="00861733">
      <w:pPr>
        <w:ind w:firstLine="720"/>
      </w:pPr>
      <w:r>
        <w:t>Rate Schedules GSS</w:t>
      </w:r>
      <w:r w:rsidR="004641CE">
        <w:t xml:space="preserve">-R and </w:t>
      </w:r>
      <w:r w:rsidR="00BB2114">
        <w:t>GSS-NR</w:t>
      </w:r>
      <w:r w:rsidR="004641CE">
        <w:tab/>
      </w:r>
      <w:r>
        <w:t xml:space="preserve"> </w:t>
      </w:r>
      <w:r>
        <w:tab/>
      </w:r>
      <w:r w:rsidR="001B0A77">
        <w:t>$</w:t>
      </w:r>
      <w:r w:rsidR="008F0473">
        <w:t>11.74</w:t>
      </w:r>
      <w:r>
        <w:t>/month</w:t>
      </w:r>
    </w:p>
    <w:p w:rsidR="004641CE" w:rsidRDefault="004641CE">
      <w:pPr>
        <w:ind w:firstLine="720"/>
      </w:pPr>
      <w:r>
        <w:t>Rate Schedules ECTS-R and ECTS-NR</w:t>
      </w:r>
      <w:r>
        <w:tab/>
      </w:r>
      <w:r w:rsidR="001B0A77">
        <w:t>$</w:t>
      </w:r>
      <w:r w:rsidR="008F0473">
        <w:t>11.74</w:t>
      </w:r>
      <w:r>
        <w:t>/month</w:t>
      </w:r>
    </w:p>
    <w:p w:rsidR="00861733" w:rsidRDefault="00861733">
      <w:pPr>
        <w:ind w:firstLine="720"/>
      </w:pPr>
      <w:r>
        <w:t>Rate Schedules LVGSS and LVECTS</w:t>
      </w:r>
      <w:r>
        <w:tab/>
      </w:r>
      <w:r w:rsidR="001B0A77">
        <w:t>$</w:t>
      </w:r>
      <w:r w:rsidR="008F0473">
        <w:t>65.01</w:t>
      </w:r>
      <w:r>
        <w:t>/month</w:t>
      </w:r>
    </w:p>
    <w:p w:rsidR="00861733" w:rsidRDefault="00861733" w:rsidP="000B455E">
      <w:pPr>
        <w:spacing w:after="120"/>
        <w:ind w:firstLine="720"/>
        <w:contextualSpacing/>
      </w:pPr>
      <w:r>
        <w:t>Rate Schedules GTS and TSS</w:t>
      </w:r>
      <w:r>
        <w:tab/>
      </w:r>
      <w:r>
        <w:tab/>
      </w:r>
      <w:r>
        <w:tab/>
      </w:r>
      <w:r w:rsidR="001B0A77">
        <w:t>$</w:t>
      </w:r>
      <w:r w:rsidR="008F0473">
        <w:t>469.38</w:t>
      </w:r>
      <w:r>
        <w:t>/month</w:t>
      </w:r>
    </w:p>
    <w:p w:rsidR="00861733" w:rsidRDefault="00861733" w:rsidP="000B455E">
      <w:pPr>
        <w:spacing w:after="200"/>
        <w:ind w:firstLine="720"/>
        <w:contextualSpacing/>
      </w:pPr>
      <w:r>
        <w:t>Rate Schedule DTS</w:t>
      </w:r>
      <w:r>
        <w:tab/>
      </w:r>
      <w:r>
        <w:tab/>
      </w:r>
      <w:r>
        <w:tab/>
      </w:r>
      <w:r>
        <w:tab/>
      </w:r>
      <w:r w:rsidR="001B0A77">
        <w:t>$0.0</w:t>
      </w:r>
      <w:r w:rsidR="008F0473">
        <w:t>573</w:t>
      </w:r>
      <w:r>
        <w:t>/</w:t>
      </w:r>
      <w:proofErr w:type="spellStart"/>
      <w:r>
        <w:t>Mcf</w:t>
      </w:r>
      <w:proofErr w:type="spellEnd"/>
    </w:p>
    <w:p w:rsidR="002D35CF" w:rsidRDefault="002D35CF" w:rsidP="000B455E">
      <w:pPr>
        <w:spacing w:after="200"/>
        <w:ind w:firstLine="720"/>
        <w:contextualSpacing/>
      </w:pPr>
    </w:p>
    <w:p w:rsidR="000B455E" w:rsidRDefault="00B156ED" w:rsidP="00B156ED">
      <w:r w:rsidRPr="004175FD">
        <w:t>This Rider is subject to reconciliation or adjustment, including, but not limited to, increases or refunds. Such reconciliation or adjustment shall be limited to: (1) the twelve-month period of expenditures upon which the rates were calculated, if determined to be unlawful, unreasonable, or imprudent by the Commission in the docket in which those rates were approved or by the Supreme Court of Ohio; and (2) those implementing the Commission’s orders in Case No. 18-47-AU-COI or in any other case ordered by the Commission to address the impacts of federal income tax reform</w:t>
      </w:r>
      <w:r>
        <w:t>.</w:t>
      </w:r>
    </w:p>
    <w:sectPr w:rsidR="000B455E" w:rsidSect="004B37BB">
      <w:headerReference w:type="default" r:id="rId8"/>
      <w:footerReference w:type="default" r:id="rId9"/>
      <w:pgSz w:w="12240" w:h="15840"/>
      <w:pgMar w:top="1440"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46A" w:rsidRDefault="00CD746A">
      <w:r>
        <w:separator/>
      </w:r>
    </w:p>
  </w:endnote>
  <w:endnote w:type="continuationSeparator" w:id="0">
    <w:p w:rsidR="00CD746A" w:rsidRDefault="00CD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15" w:type="dxa"/>
        <w:right w:w="115" w:type="dxa"/>
      </w:tblCellMar>
      <w:tblLook w:val="0000" w:firstRow="0" w:lastRow="0" w:firstColumn="0" w:lastColumn="0" w:noHBand="0" w:noVBand="0"/>
    </w:tblPr>
    <w:tblGrid>
      <w:gridCol w:w="2808"/>
      <w:gridCol w:w="6768"/>
    </w:tblGrid>
    <w:tr w:rsidR="00861733">
      <w:tc>
        <w:tcPr>
          <w:tcW w:w="2808" w:type="dxa"/>
        </w:tcPr>
        <w:p w:rsidR="00861733" w:rsidRDefault="00861733">
          <w:pPr>
            <w:pStyle w:val="Footer"/>
            <w:rPr>
              <w:sz w:val="20"/>
            </w:rPr>
          </w:pPr>
          <w:r>
            <w:rPr>
              <w:sz w:val="20"/>
            </w:rPr>
            <w:t xml:space="preserve">Issued:  </w:t>
          </w:r>
          <w:r w:rsidR="00120B62">
            <w:rPr>
              <w:sz w:val="20"/>
            </w:rPr>
            <w:t xml:space="preserve"> </w:t>
          </w:r>
          <w:r w:rsidR="001F6960">
            <w:rPr>
              <w:sz w:val="20"/>
            </w:rPr>
            <w:t xml:space="preserve">May </w:t>
          </w:r>
          <w:r w:rsidR="007D1522">
            <w:rPr>
              <w:sz w:val="20"/>
            </w:rPr>
            <w:t>6</w:t>
          </w:r>
          <w:r w:rsidR="00825B02">
            <w:rPr>
              <w:sz w:val="20"/>
            </w:rPr>
            <w:t>, 2019</w:t>
          </w:r>
        </w:p>
      </w:tc>
      <w:tc>
        <w:tcPr>
          <w:tcW w:w="6768" w:type="dxa"/>
        </w:tcPr>
        <w:p w:rsidR="00861733" w:rsidRDefault="00861733">
          <w:pPr>
            <w:pStyle w:val="Footer"/>
            <w:jc w:val="right"/>
            <w:rPr>
              <w:sz w:val="20"/>
            </w:rPr>
          </w:pPr>
          <w:r>
            <w:rPr>
              <w:sz w:val="20"/>
            </w:rPr>
            <w:t>Effective: With bills rendered on or after</w:t>
          </w:r>
          <w:r w:rsidR="009E1AD1">
            <w:rPr>
              <w:sz w:val="20"/>
            </w:rPr>
            <w:t xml:space="preserve"> </w:t>
          </w:r>
          <w:r w:rsidR="00120B62">
            <w:rPr>
              <w:sz w:val="20"/>
            </w:rPr>
            <w:t xml:space="preserve"> </w:t>
          </w:r>
          <w:r w:rsidR="00825B02">
            <w:rPr>
              <w:sz w:val="20"/>
            </w:rPr>
            <w:t>May 8, 2019</w:t>
          </w:r>
        </w:p>
      </w:tc>
    </w:tr>
    <w:tr w:rsidR="00861733">
      <w:tc>
        <w:tcPr>
          <w:tcW w:w="9576" w:type="dxa"/>
          <w:gridSpan w:val="2"/>
        </w:tcPr>
        <w:p w:rsidR="00861733" w:rsidRDefault="00861733">
          <w:pPr>
            <w:pStyle w:val="Footer"/>
            <w:jc w:val="center"/>
            <w:rPr>
              <w:sz w:val="20"/>
            </w:rPr>
          </w:pPr>
          <w:r>
            <w:rPr>
              <w:sz w:val="20"/>
            </w:rPr>
            <w:t xml:space="preserve">Filed under authority of The Public Utilities Commission of Ohio in Case No. </w:t>
          </w:r>
          <w:r w:rsidR="009E370B">
            <w:rPr>
              <w:sz w:val="20"/>
            </w:rPr>
            <w:t>1</w:t>
          </w:r>
          <w:r w:rsidR="008F0473">
            <w:rPr>
              <w:sz w:val="20"/>
            </w:rPr>
            <w:t>8</w:t>
          </w:r>
          <w:r w:rsidR="009E370B">
            <w:rPr>
              <w:sz w:val="20"/>
            </w:rPr>
            <w:t>-</w:t>
          </w:r>
          <w:r w:rsidR="008F0473">
            <w:rPr>
              <w:sz w:val="20"/>
            </w:rPr>
            <w:t>1587</w:t>
          </w:r>
          <w:r w:rsidR="004A5E3E">
            <w:rPr>
              <w:sz w:val="20"/>
            </w:rPr>
            <w:t>-GA-RDR</w:t>
          </w:r>
        </w:p>
        <w:p w:rsidR="00861733" w:rsidRDefault="008F0473" w:rsidP="00D9777E">
          <w:pPr>
            <w:pStyle w:val="Footer"/>
            <w:jc w:val="center"/>
            <w:rPr>
              <w:sz w:val="20"/>
            </w:rPr>
          </w:pPr>
          <w:r>
            <w:rPr>
              <w:sz w:val="20"/>
            </w:rPr>
            <w:t>James E. Eck</w:t>
          </w:r>
          <w:r w:rsidR="00861733">
            <w:rPr>
              <w:sz w:val="20"/>
            </w:rPr>
            <w:t xml:space="preserve">, </w:t>
          </w:r>
          <w:r w:rsidR="00D9777E">
            <w:rPr>
              <w:sz w:val="20"/>
            </w:rPr>
            <w:t>Vice President</w:t>
          </w:r>
          <w:r>
            <w:rPr>
              <w:sz w:val="20"/>
            </w:rPr>
            <w:t xml:space="preserve"> and General Manager</w:t>
          </w:r>
        </w:p>
      </w:tc>
    </w:tr>
  </w:tbl>
  <w:p w:rsidR="00861733" w:rsidRDefault="00861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46A" w:rsidRDefault="00CD746A">
      <w:r>
        <w:separator/>
      </w:r>
    </w:p>
  </w:footnote>
  <w:footnote w:type="continuationSeparator" w:id="0">
    <w:p w:rsidR="00CD746A" w:rsidRDefault="00CD7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3528"/>
      <w:gridCol w:w="6048"/>
    </w:tblGrid>
    <w:tr w:rsidR="00861733">
      <w:tc>
        <w:tcPr>
          <w:tcW w:w="3528" w:type="dxa"/>
        </w:tcPr>
        <w:p w:rsidR="00861733" w:rsidRDefault="00861733">
          <w:pPr>
            <w:pStyle w:val="Header"/>
            <w:rPr>
              <w:sz w:val="20"/>
            </w:rPr>
          </w:pPr>
          <w:r>
            <w:rPr>
              <w:sz w:val="20"/>
            </w:rPr>
            <w:t>THE EAST OHIO GAS COMPANY</w:t>
          </w:r>
        </w:p>
      </w:tc>
      <w:tc>
        <w:tcPr>
          <w:tcW w:w="6048" w:type="dxa"/>
        </w:tcPr>
        <w:p w:rsidR="00861733" w:rsidRDefault="008F0473" w:rsidP="000A5385">
          <w:pPr>
            <w:pStyle w:val="Header"/>
            <w:jc w:val="right"/>
            <w:rPr>
              <w:sz w:val="20"/>
            </w:rPr>
          </w:pPr>
          <w:r>
            <w:rPr>
              <w:sz w:val="20"/>
            </w:rPr>
            <w:t>Twelfth</w:t>
          </w:r>
          <w:r w:rsidR="009E370B">
            <w:rPr>
              <w:sz w:val="20"/>
            </w:rPr>
            <w:t xml:space="preserve"> </w:t>
          </w:r>
          <w:r w:rsidR="00FA1A20">
            <w:rPr>
              <w:sz w:val="20"/>
            </w:rPr>
            <w:t>Revised</w:t>
          </w:r>
          <w:r w:rsidR="00861733">
            <w:rPr>
              <w:sz w:val="20"/>
            </w:rPr>
            <w:t xml:space="preserve"> Sheet No. PIR </w:t>
          </w:r>
          <w:r w:rsidR="0090521E">
            <w:rPr>
              <w:rStyle w:val="PageNumber"/>
              <w:sz w:val="20"/>
            </w:rPr>
            <w:fldChar w:fldCharType="begin"/>
          </w:r>
          <w:r w:rsidR="00861733">
            <w:rPr>
              <w:rStyle w:val="PageNumber"/>
              <w:sz w:val="20"/>
            </w:rPr>
            <w:instrText xml:space="preserve"> PAGE </w:instrText>
          </w:r>
          <w:r w:rsidR="0090521E">
            <w:rPr>
              <w:rStyle w:val="PageNumber"/>
              <w:sz w:val="20"/>
            </w:rPr>
            <w:fldChar w:fldCharType="separate"/>
          </w:r>
          <w:r w:rsidR="007D1522">
            <w:rPr>
              <w:rStyle w:val="PageNumber"/>
              <w:noProof/>
              <w:sz w:val="20"/>
            </w:rPr>
            <w:t>1</w:t>
          </w:r>
          <w:r w:rsidR="0090521E">
            <w:rPr>
              <w:rStyle w:val="PageNumber"/>
              <w:sz w:val="20"/>
            </w:rPr>
            <w:fldChar w:fldCharType="end"/>
          </w:r>
        </w:p>
      </w:tc>
    </w:tr>
    <w:tr w:rsidR="00861733">
      <w:tc>
        <w:tcPr>
          <w:tcW w:w="3528" w:type="dxa"/>
        </w:tcPr>
        <w:p w:rsidR="00861733" w:rsidRDefault="00861733">
          <w:pPr>
            <w:pStyle w:val="Header"/>
            <w:rPr>
              <w:sz w:val="20"/>
            </w:rPr>
          </w:pPr>
        </w:p>
      </w:tc>
      <w:tc>
        <w:tcPr>
          <w:tcW w:w="6048" w:type="dxa"/>
        </w:tcPr>
        <w:p w:rsidR="00861733" w:rsidRDefault="00FA1A20" w:rsidP="000A5385">
          <w:pPr>
            <w:pStyle w:val="Header"/>
            <w:jc w:val="right"/>
            <w:rPr>
              <w:sz w:val="20"/>
            </w:rPr>
          </w:pPr>
          <w:r>
            <w:rPr>
              <w:sz w:val="20"/>
            </w:rPr>
            <w:t xml:space="preserve">Superseding </w:t>
          </w:r>
          <w:r w:rsidR="008F0473">
            <w:rPr>
              <w:sz w:val="20"/>
            </w:rPr>
            <w:t>Eleventh</w:t>
          </w:r>
          <w:r w:rsidR="00464654">
            <w:rPr>
              <w:sz w:val="20"/>
            </w:rPr>
            <w:t xml:space="preserve"> </w:t>
          </w:r>
          <w:r w:rsidR="00296BA3">
            <w:rPr>
              <w:sz w:val="20"/>
            </w:rPr>
            <w:t>Revised</w:t>
          </w:r>
          <w:r>
            <w:rPr>
              <w:sz w:val="20"/>
            </w:rPr>
            <w:t xml:space="preserve"> Sheet No. PIR </w:t>
          </w:r>
          <w:r w:rsidR="0090521E">
            <w:rPr>
              <w:rStyle w:val="PageNumber"/>
              <w:sz w:val="20"/>
            </w:rPr>
            <w:fldChar w:fldCharType="begin"/>
          </w:r>
          <w:r>
            <w:rPr>
              <w:rStyle w:val="PageNumber"/>
              <w:sz w:val="20"/>
            </w:rPr>
            <w:instrText xml:space="preserve"> PAGE </w:instrText>
          </w:r>
          <w:r w:rsidR="0090521E">
            <w:rPr>
              <w:rStyle w:val="PageNumber"/>
              <w:sz w:val="20"/>
            </w:rPr>
            <w:fldChar w:fldCharType="separate"/>
          </w:r>
          <w:r w:rsidR="007D1522">
            <w:rPr>
              <w:rStyle w:val="PageNumber"/>
              <w:noProof/>
              <w:sz w:val="20"/>
            </w:rPr>
            <w:t>1</w:t>
          </w:r>
          <w:r w:rsidR="0090521E">
            <w:rPr>
              <w:rStyle w:val="PageNumber"/>
              <w:sz w:val="20"/>
            </w:rPr>
            <w:fldChar w:fldCharType="end"/>
          </w:r>
        </w:p>
      </w:tc>
    </w:tr>
  </w:tbl>
  <w:p w:rsidR="00861733" w:rsidRDefault="008617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64"/>
    <w:rsid w:val="00001328"/>
    <w:rsid w:val="00020374"/>
    <w:rsid w:val="000240D1"/>
    <w:rsid w:val="00030FD7"/>
    <w:rsid w:val="00041A52"/>
    <w:rsid w:val="00067568"/>
    <w:rsid w:val="0007552B"/>
    <w:rsid w:val="00095732"/>
    <w:rsid w:val="000A5385"/>
    <w:rsid w:val="000B455E"/>
    <w:rsid w:val="000B5C8A"/>
    <w:rsid w:val="000B7B2F"/>
    <w:rsid w:val="000C7555"/>
    <w:rsid w:val="000D0F7B"/>
    <w:rsid w:val="000D381C"/>
    <w:rsid w:val="000F291C"/>
    <w:rsid w:val="001107B3"/>
    <w:rsid w:val="00116D0D"/>
    <w:rsid w:val="00120B62"/>
    <w:rsid w:val="0013331A"/>
    <w:rsid w:val="00174D4A"/>
    <w:rsid w:val="0019165E"/>
    <w:rsid w:val="001A1928"/>
    <w:rsid w:val="001A2754"/>
    <w:rsid w:val="001B0A77"/>
    <w:rsid w:val="001D4723"/>
    <w:rsid w:val="001F6960"/>
    <w:rsid w:val="002178B7"/>
    <w:rsid w:val="00271B79"/>
    <w:rsid w:val="00276533"/>
    <w:rsid w:val="00296BA3"/>
    <w:rsid w:val="002A16D5"/>
    <w:rsid w:val="002D35CF"/>
    <w:rsid w:val="002E6799"/>
    <w:rsid w:val="00302A11"/>
    <w:rsid w:val="00324DAC"/>
    <w:rsid w:val="003562D0"/>
    <w:rsid w:val="003A003E"/>
    <w:rsid w:val="003C0A17"/>
    <w:rsid w:val="003F3CFC"/>
    <w:rsid w:val="003F3F1D"/>
    <w:rsid w:val="00443A57"/>
    <w:rsid w:val="0046277E"/>
    <w:rsid w:val="004641CE"/>
    <w:rsid w:val="00464654"/>
    <w:rsid w:val="004679BD"/>
    <w:rsid w:val="00471120"/>
    <w:rsid w:val="00471CD9"/>
    <w:rsid w:val="004A5E3E"/>
    <w:rsid w:val="004B37BB"/>
    <w:rsid w:val="004B40C9"/>
    <w:rsid w:val="004C4718"/>
    <w:rsid w:val="005375D1"/>
    <w:rsid w:val="005458F6"/>
    <w:rsid w:val="00557C99"/>
    <w:rsid w:val="0056615A"/>
    <w:rsid w:val="00586F9F"/>
    <w:rsid w:val="00591669"/>
    <w:rsid w:val="00595326"/>
    <w:rsid w:val="005A786C"/>
    <w:rsid w:val="005C111E"/>
    <w:rsid w:val="00616D40"/>
    <w:rsid w:val="00617F62"/>
    <w:rsid w:val="00653A48"/>
    <w:rsid w:val="006657AD"/>
    <w:rsid w:val="00680683"/>
    <w:rsid w:val="00683C9E"/>
    <w:rsid w:val="00690C2F"/>
    <w:rsid w:val="0069134A"/>
    <w:rsid w:val="006D4194"/>
    <w:rsid w:val="006E1598"/>
    <w:rsid w:val="006F4F71"/>
    <w:rsid w:val="00702167"/>
    <w:rsid w:val="00724BF8"/>
    <w:rsid w:val="00733B2B"/>
    <w:rsid w:val="0078626E"/>
    <w:rsid w:val="00794EB8"/>
    <w:rsid w:val="007A4AB9"/>
    <w:rsid w:val="007B2168"/>
    <w:rsid w:val="007D1522"/>
    <w:rsid w:val="00825B02"/>
    <w:rsid w:val="00850193"/>
    <w:rsid w:val="00861733"/>
    <w:rsid w:val="00884F5C"/>
    <w:rsid w:val="008975C9"/>
    <w:rsid w:val="008A30D2"/>
    <w:rsid w:val="008B32D6"/>
    <w:rsid w:val="008C77F7"/>
    <w:rsid w:val="008D7531"/>
    <w:rsid w:val="008F0473"/>
    <w:rsid w:val="008F3030"/>
    <w:rsid w:val="0090521E"/>
    <w:rsid w:val="00914D0F"/>
    <w:rsid w:val="00936F29"/>
    <w:rsid w:val="00981A88"/>
    <w:rsid w:val="009A2A45"/>
    <w:rsid w:val="009B784B"/>
    <w:rsid w:val="009D25F3"/>
    <w:rsid w:val="009D5B73"/>
    <w:rsid w:val="009E1AD1"/>
    <w:rsid w:val="009E370B"/>
    <w:rsid w:val="009E4367"/>
    <w:rsid w:val="009E4AE9"/>
    <w:rsid w:val="00A11901"/>
    <w:rsid w:val="00A147F2"/>
    <w:rsid w:val="00A2113D"/>
    <w:rsid w:val="00A27ED6"/>
    <w:rsid w:val="00A306DF"/>
    <w:rsid w:val="00A50E9F"/>
    <w:rsid w:val="00B004ED"/>
    <w:rsid w:val="00B03EC3"/>
    <w:rsid w:val="00B156ED"/>
    <w:rsid w:val="00B15DFA"/>
    <w:rsid w:val="00B22217"/>
    <w:rsid w:val="00B366CD"/>
    <w:rsid w:val="00B41964"/>
    <w:rsid w:val="00B43F49"/>
    <w:rsid w:val="00B6513C"/>
    <w:rsid w:val="00B70DAE"/>
    <w:rsid w:val="00BB2114"/>
    <w:rsid w:val="00C00CA3"/>
    <w:rsid w:val="00C06F57"/>
    <w:rsid w:val="00C11ABA"/>
    <w:rsid w:val="00C20384"/>
    <w:rsid w:val="00C24C62"/>
    <w:rsid w:val="00C32022"/>
    <w:rsid w:val="00C60CD4"/>
    <w:rsid w:val="00C94C69"/>
    <w:rsid w:val="00CB3473"/>
    <w:rsid w:val="00CD1352"/>
    <w:rsid w:val="00CD746A"/>
    <w:rsid w:val="00D015EC"/>
    <w:rsid w:val="00D02589"/>
    <w:rsid w:val="00D11C18"/>
    <w:rsid w:val="00D30B2C"/>
    <w:rsid w:val="00D51B14"/>
    <w:rsid w:val="00D862A2"/>
    <w:rsid w:val="00D9777E"/>
    <w:rsid w:val="00DF03F6"/>
    <w:rsid w:val="00DF0B48"/>
    <w:rsid w:val="00DF3146"/>
    <w:rsid w:val="00DF328F"/>
    <w:rsid w:val="00E0664B"/>
    <w:rsid w:val="00E23723"/>
    <w:rsid w:val="00E44043"/>
    <w:rsid w:val="00E61AD1"/>
    <w:rsid w:val="00E718B8"/>
    <w:rsid w:val="00EC3011"/>
    <w:rsid w:val="00EC4598"/>
    <w:rsid w:val="00EF6C88"/>
    <w:rsid w:val="00F208F1"/>
    <w:rsid w:val="00F47D7F"/>
    <w:rsid w:val="00F55221"/>
    <w:rsid w:val="00F77F57"/>
    <w:rsid w:val="00F80848"/>
    <w:rsid w:val="00F82A8B"/>
    <w:rsid w:val="00F92626"/>
    <w:rsid w:val="00F94AC3"/>
    <w:rsid w:val="00FA1A20"/>
    <w:rsid w:val="00FC4F0D"/>
    <w:rsid w:val="00FE21D5"/>
    <w:rsid w:val="00FE54B1"/>
    <w:rsid w:val="00FE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01"/>
    <w:rPr>
      <w:sz w:val="24"/>
      <w:szCs w:val="24"/>
    </w:rPr>
  </w:style>
  <w:style w:type="paragraph" w:styleId="Heading1">
    <w:name w:val="heading 1"/>
    <w:basedOn w:val="Normal"/>
    <w:next w:val="Normal"/>
    <w:qFormat/>
    <w:rsid w:val="00A1190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1901"/>
    <w:pPr>
      <w:tabs>
        <w:tab w:val="center" w:pos="4320"/>
        <w:tab w:val="right" w:pos="8640"/>
      </w:tabs>
    </w:pPr>
  </w:style>
  <w:style w:type="paragraph" w:styleId="Footer">
    <w:name w:val="footer"/>
    <w:basedOn w:val="Normal"/>
    <w:semiHidden/>
    <w:rsid w:val="00A11901"/>
    <w:pPr>
      <w:tabs>
        <w:tab w:val="center" w:pos="4320"/>
        <w:tab w:val="right" w:pos="8640"/>
      </w:tabs>
    </w:pPr>
  </w:style>
  <w:style w:type="character" w:styleId="PageNumber">
    <w:name w:val="page number"/>
    <w:basedOn w:val="DefaultParagraphFont"/>
    <w:semiHidden/>
    <w:rsid w:val="00A11901"/>
  </w:style>
  <w:style w:type="paragraph" w:styleId="BodyTextIndent">
    <w:name w:val="Body Text Indent"/>
    <w:basedOn w:val="Normal"/>
    <w:semiHidden/>
    <w:rsid w:val="00A11901"/>
    <w:pPr>
      <w:ind w:left="360"/>
    </w:pPr>
  </w:style>
  <w:style w:type="character" w:customStyle="1" w:styleId="HeaderChar">
    <w:name w:val="Header Char"/>
    <w:basedOn w:val="DefaultParagraphFont"/>
    <w:link w:val="Header"/>
    <w:rsid w:val="00FA1A20"/>
    <w:rPr>
      <w:sz w:val="24"/>
      <w:szCs w:val="24"/>
    </w:rPr>
  </w:style>
  <w:style w:type="paragraph" w:styleId="BalloonText">
    <w:name w:val="Balloon Text"/>
    <w:basedOn w:val="Normal"/>
    <w:link w:val="BalloonTextChar"/>
    <w:uiPriority w:val="99"/>
    <w:semiHidden/>
    <w:unhideWhenUsed/>
    <w:rsid w:val="00296BA3"/>
    <w:rPr>
      <w:rFonts w:ascii="Tahoma" w:hAnsi="Tahoma" w:cs="Tahoma"/>
      <w:sz w:val="16"/>
      <w:szCs w:val="16"/>
    </w:rPr>
  </w:style>
  <w:style w:type="character" w:customStyle="1" w:styleId="BalloonTextChar">
    <w:name w:val="Balloon Text Char"/>
    <w:basedOn w:val="DefaultParagraphFont"/>
    <w:link w:val="BalloonText"/>
    <w:uiPriority w:val="99"/>
    <w:semiHidden/>
    <w:rsid w:val="00296B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01"/>
    <w:rPr>
      <w:sz w:val="24"/>
      <w:szCs w:val="24"/>
    </w:rPr>
  </w:style>
  <w:style w:type="paragraph" w:styleId="Heading1">
    <w:name w:val="heading 1"/>
    <w:basedOn w:val="Normal"/>
    <w:next w:val="Normal"/>
    <w:qFormat/>
    <w:rsid w:val="00A1190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1901"/>
    <w:pPr>
      <w:tabs>
        <w:tab w:val="center" w:pos="4320"/>
        <w:tab w:val="right" w:pos="8640"/>
      </w:tabs>
    </w:pPr>
  </w:style>
  <w:style w:type="paragraph" w:styleId="Footer">
    <w:name w:val="footer"/>
    <w:basedOn w:val="Normal"/>
    <w:semiHidden/>
    <w:rsid w:val="00A11901"/>
    <w:pPr>
      <w:tabs>
        <w:tab w:val="center" w:pos="4320"/>
        <w:tab w:val="right" w:pos="8640"/>
      </w:tabs>
    </w:pPr>
  </w:style>
  <w:style w:type="character" w:styleId="PageNumber">
    <w:name w:val="page number"/>
    <w:basedOn w:val="DefaultParagraphFont"/>
    <w:semiHidden/>
    <w:rsid w:val="00A11901"/>
  </w:style>
  <w:style w:type="paragraph" w:styleId="BodyTextIndent">
    <w:name w:val="Body Text Indent"/>
    <w:basedOn w:val="Normal"/>
    <w:semiHidden/>
    <w:rsid w:val="00A11901"/>
    <w:pPr>
      <w:ind w:left="360"/>
    </w:pPr>
  </w:style>
  <w:style w:type="character" w:customStyle="1" w:styleId="HeaderChar">
    <w:name w:val="Header Char"/>
    <w:basedOn w:val="DefaultParagraphFont"/>
    <w:link w:val="Header"/>
    <w:rsid w:val="00FA1A20"/>
    <w:rPr>
      <w:sz w:val="24"/>
      <w:szCs w:val="24"/>
    </w:rPr>
  </w:style>
  <w:style w:type="paragraph" w:styleId="BalloonText">
    <w:name w:val="Balloon Text"/>
    <w:basedOn w:val="Normal"/>
    <w:link w:val="BalloonTextChar"/>
    <w:uiPriority w:val="99"/>
    <w:semiHidden/>
    <w:unhideWhenUsed/>
    <w:rsid w:val="00296BA3"/>
    <w:rPr>
      <w:rFonts w:ascii="Tahoma" w:hAnsi="Tahoma" w:cs="Tahoma"/>
      <w:sz w:val="16"/>
      <w:szCs w:val="16"/>
    </w:rPr>
  </w:style>
  <w:style w:type="character" w:customStyle="1" w:styleId="BalloonTextChar">
    <w:name w:val="Balloon Text Char"/>
    <w:basedOn w:val="DefaultParagraphFont"/>
    <w:link w:val="BalloonText"/>
    <w:uiPriority w:val="99"/>
    <w:semiHidden/>
    <w:rsid w:val="00296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350435">
      <w:bodyDiv w:val="1"/>
      <w:marLeft w:val="0"/>
      <w:marRight w:val="0"/>
      <w:marTop w:val="0"/>
      <w:marBottom w:val="0"/>
      <w:divBdr>
        <w:top w:val="none" w:sz="0" w:space="0" w:color="auto"/>
        <w:left w:val="none" w:sz="0" w:space="0" w:color="auto"/>
        <w:bottom w:val="none" w:sz="0" w:space="0" w:color="auto"/>
        <w:right w:val="none" w:sz="0" w:space="0" w:color="auto"/>
      </w:divBdr>
    </w:div>
    <w:div w:id="16927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02FCF-2414-46D5-A83F-5DC3BB9E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PIPELINE INFRASTRUCTURE REPLACEMENT (PIR)</vt:lpstr>
    </vt:vector>
  </TitlesOfParts>
  <Company>Dominion</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PIPELINE INFRASTRUCTURE REPLACEMENT (PIR)</dc:title>
  <dc:creator>Dominion</dc:creator>
  <cp:lastModifiedBy>jona237</cp:lastModifiedBy>
  <cp:revision>3</cp:revision>
  <cp:lastPrinted>2016-04-22T14:16:00Z</cp:lastPrinted>
  <dcterms:created xsi:type="dcterms:W3CDTF">2019-05-06T11:36:00Z</dcterms:created>
  <dcterms:modified xsi:type="dcterms:W3CDTF">2019-05-06T11:36:00Z</dcterms:modified>
</cp:coreProperties>
</file>