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A098E" w:rsidRPr="00EE0DDA" w:rsidP="00EA098E" w14:paraId="7DAA07EC" w14:textId="77777777">
      <w:pPr>
        <w:pStyle w:val="HTMLPreformatted"/>
        <w:jc w:val="center"/>
        <w:rPr>
          <w:rFonts w:ascii="Times New Roman" w:hAnsi="Times New Roman" w:cs="Times New Roman"/>
          <w:b/>
          <w:bCs/>
          <w:sz w:val="24"/>
          <w:szCs w:val="24"/>
        </w:rPr>
      </w:pPr>
      <w:r w:rsidRPr="00EE0DDA">
        <w:rPr>
          <w:rFonts w:ascii="Times New Roman" w:hAnsi="Times New Roman" w:cs="Times New Roman"/>
          <w:b/>
          <w:bCs/>
          <w:sz w:val="24"/>
          <w:szCs w:val="24"/>
        </w:rPr>
        <w:t>BEFORE</w:t>
      </w:r>
    </w:p>
    <w:p w:rsidR="00EA098E" w:rsidRPr="00EE0DDA" w:rsidP="00EA098E" w14:paraId="7EFEDB4C" w14:textId="77777777">
      <w:pPr>
        <w:pStyle w:val="HTMLPreformatted"/>
        <w:jc w:val="center"/>
        <w:rPr>
          <w:rFonts w:ascii="Times New Roman" w:hAnsi="Times New Roman" w:cs="Times New Roman"/>
          <w:b/>
          <w:bCs/>
          <w:sz w:val="24"/>
          <w:szCs w:val="24"/>
        </w:rPr>
      </w:pPr>
      <w:r w:rsidRPr="00EE0DDA">
        <w:rPr>
          <w:rFonts w:ascii="Times New Roman" w:hAnsi="Times New Roman" w:cs="Times New Roman"/>
          <w:b/>
          <w:bCs/>
          <w:sz w:val="24"/>
          <w:szCs w:val="24"/>
        </w:rPr>
        <w:t>THE PUBLIC UTILITIES COMMISSION OF OHIO</w:t>
      </w:r>
    </w:p>
    <w:p w:rsidR="00EA098E" w:rsidRPr="00EE0DDA" w:rsidP="00EA098E" w14:paraId="122FE87A" w14:textId="77777777">
      <w:pPr>
        <w:pStyle w:val="HTMLPreformatted"/>
        <w:rPr>
          <w:rFonts w:ascii="Times New Roman" w:hAnsi="Times New Roman" w:cs="Times New Roman"/>
          <w:sz w:val="24"/>
          <w:szCs w:val="24"/>
        </w:rPr>
      </w:pPr>
    </w:p>
    <w:tbl>
      <w:tblPr>
        <w:tblW w:w="9092" w:type="dxa"/>
        <w:tblLook w:val="01E0"/>
      </w:tblPr>
      <w:tblGrid>
        <w:gridCol w:w="4476"/>
        <w:gridCol w:w="296"/>
        <w:gridCol w:w="4320"/>
      </w:tblGrid>
      <w:tr w14:paraId="3A17FB26" w14:textId="77777777" w:rsidTr="00E07CF4">
        <w:tblPrEx>
          <w:tblW w:w="9092" w:type="dxa"/>
          <w:tblLook w:val="01E0"/>
        </w:tblPrEx>
        <w:trPr>
          <w:trHeight w:val="807"/>
        </w:trPr>
        <w:tc>
          <w:tcPr>
            <w:tcW w:w="4478" w:type="dxa"/>
            <w:shd w:val="clear" w:color="auto" w:fill="auto"/>
          </w:tcPr>
          <w:p w:rsidR="00EA098E" w:rsidRPr="00EE0DDA" w:rsidP="00392E05" w14:paraId="52F63928" w14:textId="17AF29B4">
            <w:pPr>
              <w:pStyle w:val="HTMLPreformatted"/>
              <w:rPr>
                <w:rFonts w:ascii="Times New Roman" w:hAnsi="Times New Roman" w:cs="Times New Roman"/>
                <w:sz w:val="24"/>
                <w:szCs w:val="24"/>
              </w:rPr>
            </w:pPr>
            <w:r w:rsidRPr="00EE0DDA">
              <w:rPr>
                <w:rFonts w:ascii="Times New Roman" w:hAnsi="Times New Roman" w:cs="Times New Roman"/>
                <w:sz w:val="24"/>
                <w:szCs w:val="24"/>
              </w:rPr>
              <w:t xml:space="preserve">In the Matter of the Review of the Political and Charitable Spending by Ohio Edison Company, The Cleveland Electric Illuminating Company, and </w:t>
            </w:r>
            <w:r w:rsidR="00F84F69">
              <w:rPr>
                <w:rFonts w:ascii="Times New Roman" w:hAnsi="Times New Roman" w:cs="Times New Roman"/>
                <w:sz w:val="24"/>
                <w:szCs w:val="24"/>
              </w:rPr>
              <w:t>T</w:t>
            </w:r>
            <w:r w:rsidRPr="00EE0DDA">
              <w:rPr>
                <w:rFonts w:ascii="Times New Roman" w:hAnsi="Times New Roman" w:cs="Times New Roman"/>
                <w:sz w:val="24"/>
                <w:szCs w:val="24"/>
              </w:rPr>
              <w:t>he Toledo Edison Company.</w:t>
            </w:r>
          </w:p>
        </w:tc>
        <w:tc>
          <w:tcPr>
            <w:tcW w:w="292" w:type="dxa"/>
            <w:shd w:val="clear" w:color="auto" w:fill="auto"/>
          </w:tcPr>
          <w:p w:rsidR="00EA098E" w:rsidRPr="00EE0DDA" w:rsidP="00392E05" w14:paraId="4AFB8D25"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p w:rsidR="00EA098E" w:rsidRPr="00EE0DDA" w:rsidP="00392E05" w14:paraId="2F62A793"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p w:rsidR="00EA098E" w:rsidRPr="00EE0DDA" w:rsidP="00392E05" w14:paraId="76C371CA"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p w:rsidR="00EA098E" w:rsidRPr="00EE0DDA" w:rsidP="00392E05" w14:paraId="42F145D9"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p w:rsidR="00EA098E" w:rsidRPr="00EE0DDA" w:rsidP="00392E05" w14:paraId="3D116C3A"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tc>
        <w:tc>
          <w:tcPr>
            <w:tcW w:w="4322" w:type="dxa"/>
            <w:shd w:val="clear" w:color="auto" w:fill="auto"/>
          </w:tcPr>
          <w:p w:rsidR="00EA098E" w:rsidRPr="00EE0DDA" w:rsidP="00392E05" w14:paraId="6071B11B" w14:textId="77777777">
            <w:pPr>
              <w:pStyle w:val="HTMLPreformatted"/>
              <w:rPr>
                <w:rFonts w:ascii="Times New Roman" w:hAnsi="Times New Roman" w:cs="Times New Roman"/>
                <w:sz w:val="24"/>
                <w:szCs w:val="24"/>
              </w:rPr>
            </w:pPr>
          </w:p>
          <w:p w:rsidR="00EA098E" w:rsidRPr="00EE0DDA" w:rsidP="00392E05" w14:paraId="04A42FF4"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Case No. 20-1502-EL-UNC</w:t>
            </w:r>
          </w:p>
          <w:p w:rsidR="00EA098E" w:rsidRPr="00EE0DDA" w:rsidP="00392E05" w14:paraId="29D060A2" w14:textId="77777777">
            <w:pPr>
              <w:pStyle w:val="HTMLPreformatted"/>
              <w:rPr>
                <w:rFonts w:ascii="Times New Roman" w:hAnsi="Times New Roman" w:cs="Times New Roman"/>
                <w:sz w:val="24"/>
                <w:szCs w:val="24"/>
              </w:rPr>
            </w:pPr>
          </w:p>
        </w:tc>
      </w:tr>
    </w:tbl>
    <w:p w:rsidR="00EA098E" w:rsidRPr="00EE0DDA" w:rsidP="00EA098E" w14:paraId="450AA18B" w14:textId="77777777">
      <w:pPr>
        <w:pBdr>
          <w:bottom w:val="single" w:sz="12" w:space="1" w:color="auto"/>
        </w:pBdr>
        <w:spacing w:before="4"/>
        <w:rPr>
          <w:szCs w:val="24"/>
        </w:rPr>
      </w:pPr>
    </w:p>
    <w:p w:rsidR="00704AEA" w:rsidP="00AA1CBA" w14:paraId="098934AB" w14:textId="77777777">
      <w:pPr>
        <w:tabs>
          <w:tab w:val="left" w:pos="-720"/>
        </w:tabs>
        <w:suppressAutoHyphens/>
        <w:rPr>
          <w:b/>
          <w:spacing w:val="-3"/>
          <w:szCs w:val="24"/>
        </w:rPr>
      </w:pPr>
    </w:p>
    <w:p w:rsidR="00006330" w:rsidP="00EA098E" w14:paraId="1042F444" w14:textId="3791AA98">
      <w:pPr>
        <w:tabs>
          <w:tab w:val="left" w:pos="-720"/>
        </w:tabs>
        <w:suppressAutoHyphens/>
        <w:jc w:val="center"/>
        <w:rPr>
          <w:b/>
          <w:spacing w:val="-3"/>
          <w:szCs w:val="24"/>
        </w:rPr>
      </w:pPr>
      <w:r>
        <w:rPr>
          <w:b/>
          <w:spacing w:val="-3"/>
          <w:szCs w:val="24"/>
        </w:rPr>
        <w:t xml:space="preserve">JOINT MOTION </w:t>
      </w:r>
      <w:r w:rsidR="00FB7486">
        <w:rPr>
          <w:b/>
          <w:spacing w:val="-3"/>
          <w:szCs w:val="24"/>
        </w:rPr>
        <w:t xml:space="preserve">TO INDEFINITELY STAY THE COMMENT SCHEDULE OR, IN THE ALTERNATIVE, TO </w:t>
      </w:r>
      <w:r w:rsidR="00EB675F">
        <w:rPr>
          <w:b/>
          <w:spacing w:val="-3"/>
          <w:szCs w:val="24"/>
        </w:rPr>
        <w:t>EXTEN</w:t>
      </w:r>
      <w:r w:rsidR="00FB7486">
        <w:rPr>
          <w:b/>
          <w:spacing w:val="-3"/>
          <w:szCs w:val="24"/>
        </w:rPr>
        <w:t xml:space="preserve">D THE COMMENT SCHEDULE FOR </w:t>
      </w:r>
      <w:r w:rsidR="00800C94">
        <w:rPr>
          <w:b/>
          <w:spacing w:val="-3"/>
          <w:szCs w:val="24"/>
        </w:rPr>
        <w:t>120</w:t>
      </w:r>
      <w:r w:rsidR="00FB7486">
        <w:rPr>
          <w:b/>
          <w:spacing w:val="-3"/>
          <w:szCs w:val="24"/>
        </w:rPr>
        <w:t xml:space="preserve"> DAYS</w:t>
      </w:r>
    </w:p>
    <w:p w:rsidR="00006330" w:rsidP="00EA098E" w14:paraId="59711A93" w14:textId="77777777">
      <w:pPr>
        <w:tabs>
          <w:tab w:val="left" w:pos="-720"/>
        </w:tabs>
        <w:suppressAutoHyphens/>
        <w:jc w:val="center"/>
        <w:rPr>
          <w:b/>
          <w:spacing w:val="-3"/>
          <w:szCs w:val="24"/>
        </w:rPr>
      </w:pPr>
      <w:r>
        <w:rPr>
          <w:b/>
          <w:spacing w:val="-3"/>
          <w:szCs w:val="24"/>
        </w:rPr>
        <w:t xml:space="preserve">AND </w:t>
      </w:r>
    </w:p>
    <w:p w:rsidR="00704AEA" w:rsidP="00EA098E" w14:paraId="36BD8324" w14:textId="1C51B958">
      <w:pPr>
        <w:tabs>
          <w:tab w:val="left" w:pos="-720"/>
        </w:tabs>
        <w:suppressAutoHyphens/>
        <w:jc w:val="center"/>
        <w:rPr>
          <w:b/>
          <w:spacing w:val="-3"/>
          <w:szCs w:val="24"/>
        </w:rPr>
      </w:pPr>
      <w:r>
        <w:rPr>
          <w:b/>
          <w:spacing w:val="-3"/>
          <w:szCs w:val="24"/>
        </w:rPr>
        <w:t xml:space="preserve">REQUEST FOR EXPEDITED RULING </w:t>
      </w:r>
    </w:p>
    <w:p w:rsidR="00F62B39" w:rsidRPr="00EE0DDA" w:rsidP="00EA098E" w14:paraId="2CB05E1A" w14:textId="56FCAE74">
      <w:pPr>
        <w:tabs>
          <w:tab w:val="left" w:pos="-720"/>
        </w:tabs>
        <w:suppressAutoHyphens/>
        <w:jc w:val="center"/>
        <w:rPr>
          <w:b/>
          <w:spacing w:val="-3"/>
          <w:szCs w:val="24"/>
        </w:rPr>
      </w:pPr>
      <w:r w:rsidRPr="00EE0DDA">
        <w:rPr>
          <w:b/>
          <w:spacing w:val="-3"/>
          <w:szCs w:val="24"/>
        </w:rPr>
        <w:t>BY</w:t>
      </w:r>
    </w:p>
    <w:p w:rsidR="00EA098E" w:rsidP="00EA098E" w14:paraId="0516DE9F" w14:textId="33F91861">
      <w:pPr>
        <w:tabs>
          <w:tab w:val="left" w:pos="-720"/>
        </w:tabs>
        <w:suppressAutoHyphens/>
        <w:jc w:val="center"/>
        <w:rPr>
          <w:b/>
          <w:spacing w:val="-3"/>
          <w:szCs w:val="24"/>
        </w:rPr>
      </w:pPr>
      <w:r w:rsidRPr="00EE0DDA">
        <w:rPr>
          <w:b/>
          <w:spacing w:val="-3"/>
          <w:szCs w:val="24"/>
        </w:rPr>
        <w:t xml:space="preserve">OFFICE OF THE OHIO CONSUMERS’ COUNSEL </w:t>
      </w:r>
    </w:p>
    <w:p w:rsidR="00704AEA" w:rsidP="00704AEA" w14:paraId="1E7448CF" w14:textId="77777777">
      <w:pPr>
        <w:pBdr>
          <w:bottom w:val="single" w:sz="12" w:space="1" w:color="auto"/>
        </w:pBdr>
        <w:jc w:val="center"/>
        <w:rPr>
          <w:b/>
          <w:bCs/>
          <w:szCs w:val="24"/>
        </w:rPr>
      </w:pPr>
      <w:r>
        <w:rPr>
          <w:b/>
          <w:szCs w:val="24"/>
        </w:rPr>
        <w:t xml:space="preserve">AND </w:t>
      </w:r>
    </w:p>
    <w:p w:rsidR="00704AEA" w:rsidP="00704AEA" w14:paraId="6E19DE46" w14:textId="1548804F">
      <w:pPr>
        <w:pBdr>
          <w:bottom w:val="single" w:sz="12" w:space="1" w:color="auto"/>
        </w:pBdr>
        <w:jc w:val="center"/>
        <w:rPr>
          <w:b/>
          <w:szCs w:val="24"/>
        </w:rPr>
      </w:pPr>
      <w:r>
        <w:rPr>
          <w:b/>
          <w:szCs w:val="24"/>
        </w:rPr>
        <w:t>THE OHIO MANUFACTURERS’ ASSOCIATION ENERGY GROUP</w:t>
      </w:r>
    </w:p>
    <w:p w:rsidR="00EA098E" w:rsidRPr="00EE0DDA" w:rsidP="00EA098E" w14:paraId="59671EB3" w14:textId="77777777">
      <w:pPr>
        <w:pBdr>
          <w:bottom w:val="single" w:sz="12" w:space="1" w:color="auto"/>
        </w:pBdr>
        <w:tabs>
          <w:tab w:val="left" w:pos="-720"/>
        </w:tabs>
        <w:suppressAutoHyphens/>
        <w:jc w:val="center"/>
        <w:rPr>
          <w:b/>
          <w:spacing w:val="-3"/>
          <w:szCs w:val="24"/>
        </w:rPr>
      </w:pPr>
    </w:p>
    <w:p w:rsidR="00EA098E" w:rsidRPr="00EE0DDA" w:rsidP="00EA098E" w14:paraId="6411A7EB" w14:textId="77777777">
      <w:pPr>
        <w:rPr>
          <w:rFonts w:eastAsiaTheme="minorHAnsi"/>
          <w:szCs w:val="24"/>
        </w:rPr>
      </w:pPr>
    </w:p>
    <w:p w:rsidR="0009129C" w:rsidP="00EB04D7" w14:paraId="58773E9D" w14:textId="434079A5">
      <w:pPr>
        <w:spacing w:line="480" w:lineRule="auto"/>
        <w:ind w:firstLine="720"/>
        <w:rPr>
          <w:color w:val="252525"/>
          <w:szCs w:val="24"/>
        </w:rPr>
      </w:pPr>
      <w:r>
        <w:rPr>
          <w:color w:val="252525"/>
          <w:szCs w:val="24"/>
        </w:rPr>
        <w:t>This week will be the one-year anniversary of the announcement, by the U.S. Attorney’s Office, of the House Bill 6 scandal that reportedly involves one or more FirstEnergy entities</w:t>
      </w:r>
      <w:r w:rsidR="00550A2C">
        <w:rPr>
          <w:color w:val="252525"/>
          <w:szCs w:val="24"/>
        </w:rPr>
        <w:t xml:space="preserve">, which leads </w:t>
      </w:r>
      <w:r>
        <w:rPr>
          <w:color w:val="252525"/>
          <w:szCs w:val="24"/>
        </w:rPr>
        <w:t xml:space="preserve">us to some background for this case </w:t>
      </w:r>
      <w:r w:rsidR="00550A2C">
        <w:rPr>
          <w:color w:val="252525"/>
          <w:szCs w:val="24"/>
        </w:rPr>
        <w:t xml:space="preserve">and </w:t>
      </w:r>
      <w:r>
        <w:rPr>
          <w:color w:val="252525"/>
          <w:szCs w:val="24"/>
        </w:rPr>
        <w:t xml:space="preserve">a review of a related facet of the tainted legislative process. </w:t>
      </w:r>
    </w:p>
    <w:p w:rsidR="00061771" w:rsidP="00EB04D7" w14:paraId="1796E993" w14:textId="0992B4D6">
      <w:pPr>
        <w:spacing w:line="480" w:lineRule="auto"/>
        <w:ind w:firstLine="720"/>
        <w:rPr>
          <w:color w:val="252525"/>
          <w:szCs w:val="24"/>
        </w:rPr>
      </w:pPr>
      <w:r w:rsidRPr="00EE0DDA">
        <w:rPr>
          <w:color w:val="252525"/>
          <w:szCs w:val="24"/>
        </w:rPr>
        <w:t>O</w:t>
      </w:r>
      <w:r w:rsidR="00B3338A">
        <w:rPr>
          <w:color w:val="252525"/>
          <w:szCs w:val="24"/>
        </w:rPr>
        <w:t xml:space="preserve">n May 13, </w:t>
      </w:r>
      <w:r w:rsidRPr="00EE0DDA">
        <w:rPr>
          <w:color w:val="252525"/>
          <w:szCs w:val="24"/>
        </w:rPr>
        <w:t xml:space="preserve">2021, the </w:t>
      </w:r>
      <w:r w:rsidR="00C55574">
        <w:rPr>
          <w:color w:val="252525"/>
          <w:szCs w:val="24"/>
        </w:rPr>
        <w:t xml:space="preserve">PUCO </w:t>
      </w:r>
      <w:r w:rsidRPr="00EE0DDA">
        <w:rPr>
          <w:color w:val="252525"/>
          <w:szCs w:val="24"/>
        </w:rPr>
        <w:t>Attorney Examiner issued an Entry</w:t>
      </w:r>
      <w:r w:rsidR="002C5310">
        <w:rPr>
          <w:color w:val="252525"/>
          <w:szCs w:val="24"/>
        </w:rPr>
        <w:t xml:space="preserve"> in </w:t>
      </w:r>
      <w:r w:rsidR="002B654B">
        <w:rPr>
          <w:color w:val="252525"/>
          <w:szCs w:val="24"/>
        </w:rPr>
        <w:t>this</w:t>
      </w:r>
      <w:r w:rsidR="002C5310">
        <w:rPr>
          <w:color w:val="252525"/>
          <w:szCs w:val="24"/>
        </w:rPr>
        <w:t xml:space="preserve"> proceedi</w:t>
      </w:r>
      <w:r w:rsidR="00B3338A">
        <w:rPr>
          <w:color w:val="252525"/>
          <w:szCs w:val="24"/>
        </w:rPr>
        <w:t xml:space="preserve">ng, </w:t>
      </w:r>
      <w:r w:rsidR="002B654B">
        <w:rPr>
          <w:color w:val="252525"/>
          <w:szCs w:val="24"/>
        </w:rPr>
        <w:t>ruling that the number of discovery requests and the number of outstanding discovery requests “demonstrate the need to extend the time for the filing of comments and reply comments.”</w:t>
      </w:r>
      <w:r>
        <w:rPr>
          <w:rStyle w:val="FootnoteReference"/>
          <w:color w:val="252525"/>
          <w:szCs w:val="24"/>
        </w:rPr>
        <w:footnoteReference w:id="2"/>
      </w:r>
      <w:r w:rsidR="002B654B">
        <w:rPr>
          <w:color w:val="252525"/>
          <w:szCs w:val="24"/>
        </w:rPr>
        <w:t xml:space="preserve"> The</w:t>
      </w:r>
      <w:r w:rsidR="0004525C">
        <w:rPr>
          <w:color w:val="252525"/>
          <w:szCs w:val="24"/>
        </w:rPr>
        <w:t xml:space="preserve"> Attorney Examiner</w:t>
      </w:r>
      <w:r w:rsidR="002B654B">
        <w:rPr>
          <w:color w:val="252525"/>
          <w:szCs w:val="24"/>
        </w:rPr>
        <w:t xml:space="preserve"> also </w:t>
      </w:r>
      <w:r>
        <w:rPr>
          <w:color w:val="252525"/>
          <w:szCs w:val="24"/>
        </w:rPr>
        <w:t xml:space="preserve">gave </w:t>
      </w:r>
      <w:r w:rsidR="00D61C1C">
        <w:rPr>
          <w:color w:val="252525"/>
          <w:szCs w:val="24"/>
        </w:rPr>
        <w:t>Ohio Edison Company, The Cleveland Electric Illuminating Company, and The Toledo Edison Company (collectively, “</w:t>
      </w:r>
      <w:r>
        <w:rPr>
          <w:color w:val="252525"/>
          <w:szCs w:val="24"/>
        </w:rPr>
        <w:t>FirstEnergy</w:t>
      </w:r>
      <w:r w:rsidR="00D61C1C">
        <w:rPr>
          <w:color w:val="252525"/>
          <w:szCs w:val="24"/>
        </w:rPr>
        <w:t>”)</w:t>
      </w:r>
      <w:r>
        <w:rPr>
          <w:color w:val="252525"/>
          <w:szCs w:val="24"/>
        </w:rPr>
        <w:t xml:space="preserve"> </w:t>
      </w:r>
      <w:r w:rsidR="000768DE">
        <w:rPr>
          <w:color w:val="252525"/>
          <w:szCs w:val="24"/>
        </w:rPr>
        <w:t xml:space="preserve">an </w:t>
      </w:r>
      <w:r>
        <w:rPr>
          <w:color w:val="252525"/>
          <w:szCs w:val="24"/>
        </w:rPr>
        <w:t xml:space="preserve">additional </w:t>
      </w:r>
      <w:r w:rsidR="00C55574">
        <w:rPr>
          <w:color w:val="252525"/>
          <w:szCs w:val="24"/>
        </w:rPr>
        <w:t xml:space="preserve">30 </w:t>
      </w:r>
      <w:r>
        <w:rPr>
          <w:color w:val="252525"/>
          <w:szCs w:val="24"/>
        </w:rPr>
        <w:t xml:space="preserve">days to respond to </w:t>
      </w:r>
      <w:r w:rsidR="00D61C1C">
        <w:rPr>
          <w:color w:val="252525"/>
          <w:szCs w:val="24"/>
        </w:rPr>
        <w:t xml:space="preserve">the Office of the Ohio Consumers’ Counsel’s (“OCC”) </w:t>
      </w:r>
      <w:r>
        <w:rPr>
          <w:color w:val="252525"/>
          <w:szCs w:val="24"/>
        </w:rPr>
        <w:t>outstanding discovery requests</w:t>
      </w:r>
      <w:r w:rsidR="00C55574">
        <w:rPr>
          <w:color w:val="252525"/>
          <w:szCs w:val="24"/>
        </w:rPr>
        <w:t xml:space="preserve">. </w:t>
      </w:r>
      <w:r>
        <w:rPr>
          <w:color w:val="252525"/>
          <w:szCs w:val="24"/>
        </w:rPr>
        <w:t xml:space="preserve"> </w:t>
      </w:r>
      <w:r w:rsidR="00C55574">
        <w:rPr>
          <w:color w:val="252525"/>
          <w:szCs w:val="24"/>
        </w:rPr>
        <w:t>A</w:t>
      </w:r>
      <w:r>
        <w:rPr>
          <w:color w:val="252525"/>
          <w:szCs w:val="24"/>
        </w:rPr>
        <w:t>nd</w:t>
      </w:r>
      <w:r w:rsidR="00C55574">
        <w:rPr>
          <w:color w:val="252525"/>
          <w:szCs w:val="24"/>
        </w:rPr>
        <w:t xml:space="preserve"> the </w:t>
      </w:r>
      <w:r w:rsidRPr="00AD3416" w:rsidR="00A5723F">
        <w:rPr>
          <w:color w:val="252525"/>
          <w:szCs w:val="24"/>
        </w:rPr>
        <w:t>Attorney Examiner</w:t>
      </w:r>
      <w:r>
        <w:rPr>
          <w:color w:val="252525"/>
          <w:szCs w:val="24"/>
        </w:rPr>
        <w:t xml:space="preserve"> </w:t>
      </w:r>
      <w:r w:rsidR="00A5723F">
        <w:rPr>
          <w:color w:val="252525"/>
          <w:szCs w:val="24"/>
        </w:rPr>
        <w:t xml:space="preserve">ordered </w:t>
      </w:r>
      <w:r>
        <w:rPr>
          <w:color w:val="252525"/>
          <w:szCs w:val="24"/>
        </w:rPr>
        <w:t xml:space="preserve">a </w:t>
      </w:r>
      <w:r w:rsidR="00560761">
        <w:rPr>
          <w:color w:val="252525"/>
          <w:szCs w:val="24"/>
        </w:rPr>
        <w:t>60</w:t>
      </w:r>
      <w:r w:rsidR="00A5723F">
        <w:rPr>
          <w:color w:val="252525"/>
          <w:szCs w:val="24"/>
        </w:rPr>
        <w:t>-</w:t>
      </w:r>
      <w:r>
        <w:rPr>
          <w:color w:val="252525"/>
          <w:szCs w:val="24"/>
        </w:rPr>
        <w:t xml:space="preserve">day </w:t>
      </w:r>
      <w:r w:rsidR="00A5723F">
        <w:rPr>
          <w:color w:val="252525"/>
          <w:szCs w:val="24"/>
        </w:rPr>
        <w:t xml:space="preserve">suspension of </w:t>
      </w:r>
      <w:r>
        <w:rPr>
          <w:color w:val="252525"/>
          <w:szCs w:val="24"/>
        </w:rPr>
        <w:t>discovery</w:t>
      </w:r>
      <w:r w:rsidR="00560761">
        <w:rPr>
          <w:color w:val="252525"/>
          <w:szCs w:val="24"/>
        </w:rPr>
        <w:t xml:space="preserve"> information </w:t>
      </w:r>
      <w:r w:rsidR="00560761">
        <w:rPr>
          <w:color w:val="252525"/>
          <w:szCs w:val="24"/>
        </w:rPr>
        <w:t>requests (until July 12, 2021)</w:t>
      </w:r>
      <w:r>
        <w:rPr>
          <w:color w:val="252525"/>
          <w:szCs w:val="24"/>
        </w:rPr>
        <w:t xml:space="preserve">. </w:t>
      </w:r>
      <w:r w:rsidR="008A5D64">
        <w:rPr>
          <w:color w:val="252525"/>
          <w:szCs w:val="24"/>
        </w:rPr>
        <w:t xml:space="preserve">The Attorney Examiner further indicated that to the extent feasible, </w:t>
      </w:r>
      <w:r w:rsidR="004C5F4E">
        <w:rPr>
          <w:color w:val="252525"/>
          <w:szCs w:val="24"/>
        </w:rPr>
        <w:t>he</w:t>
      </w:r>
      <w:r w:rsidR="008A5D64">
        <w:rPr>
          <w:color w:val="252525"/>
          <w:szCs w:val="24"/>
        </w:rPr>
        <w:t xml:space="preserve"> expected to rule on all outstanding motions filed during the 60-day period.  </w:t>
      </w:r>
      <w:r w:rsidR="0004525C">
        <w:rPr>
          <w:color w:val="252525"/>
          <w:szCs w:val="24"/>
        </w:rPr>
        <w:t>The new deadline</w:t>
      </w:r>
      <w:r w:rsidR="00D1538D">
        <w:rPr>
          <w:color w:val="252525"/>
          <w:szCs w:val="24"/>
        </w:rPr>
        <w:t>s</w:t>
      </w:r>
      <w:r w:rsidR="0004525C">
        <w:rPr>
          <w:color w:val="252525"/>
          <w:szCs w:val="24"/>
        </w:rPr>
        <w:t xml:space="preserve"> for comments</w:t>
      </w:r>
      <w:r w:rsidR="00560761">
        <w:rPr>
          <w:color w:val="252525"/>
          <w:szCs w:val="24"/>
        </w:rPr>
        <w:t xml:space="preserve"> and reply comments were set at</w:t>
      </w:r>
      <w:r w:rsidR="0004525C">
        <w:rPr>
          <w:color w:val="252525"/>
          <w:szCs w:val="24"/>
        </w:rPr>
        <w:t xml:space="preserve"> July 20, 2021</w:t>
      </w:r>
      <w:r w:rsidR="00B43651">
        <w:rPr>
          <w:color w:val="252525"/>
          <w:szCs w:val="24"/>
        </w:rPr>
        <w:t xml:space="preserve"> </w:t>
      </w:r>
      <w:r w:rsidR="0004525C">
        <w:rPr>
          <w:color w:val="252525"/>
          <w:szCs w:val="24"/>
        </w:rPr>
        <w:t>and Aug</w:t>
      </w:r>
      <w:r w:rsidR="00560761">
        <w:rPr>
          <w:color w:val="252525"/>
          <w:szCs w:val="24"/>
        </w:rPr>
        <w:t>ust</w:t>
      </w:r>
      <w:r w:rsidR="0004525C">
        <w:rPr>
          <w:color w:val="252525"/>
          <w:szCs w:val="24"/>
        </w:rPr>
        <w:t xml:space="preserve"> 3, 2021</w:t>
      </w:r>
      <w:r w:rsidR="00560761">
        <w:rPr>
          <w:color w:val="252525"/>
          <w:szCs w:val="24"/>
        </w:rPr>
        <w:t>, respectively</w:t>
      </w:r>
      <w:r w:rsidR="0004525C">
        <w:rPr>
          <w:color w:val="252525"/>
          <w:szCs w:val="24"/>
        </w:rPr>
        <w:t xml:space="preserve">. </w:t>
      </w:r>
    </w:p>
    <w:p w:rsidR="00B0748C" w:rsidP="002C5310" w14:paraId="3780120D" w14:textId="32EC7921">
      <w:pPr>
        <w:spacing w:line="480" w:lineRule="auto"/>
        <w:ind w:firstLine="720"/>
        <w:rPr>
          <w:color w:val="252525"/>
          <w:szCs w:val="24"/>
        </w:rPr>
      </w:pPr>
      <w:r>
        <w:rPr>
          <w:color w:val="252525"/>
          <w:szCs w:val="24"/>
        </w:rPr>
        <w:t xml:space="preserve">During the </w:t>
      </w:r>
      <w:r w:rsidR="00D43CA3">
        <w:rPr>
          <w:color w:val="252525"/>
          <w:szCs w:val="24"/>
        </w:rPr>
        <w:t>60</w:t>
      </w:r>
      <w:r w:rsidR="00E56976">
        <w:rPr>
          <w:color w:val="252525"/>
          <w:szCs w:val="24"/>
        </w:rPr>
        <w:t>-</w:t>
      </w:r>
      <w:r>
        <w:rPr>
          <w:color w:val="252525"/>
          <w:szCs w:val="24"/>
        </w:rPr>
        <w:t xml:space="preserve">day </w:t>
      </w:r>
      <w:r w:rsidR="008A5D64">
        <w:rPr>
          <w:color w:val="252525"/>
          <w:szCs w:val="24"/>
        </w:rPr>
        <w:t xml:space="preserve">period </w:t>
      </w:r>
      <w:r>
        <w:rPr>
          <w:color w:val="252525"/>
          <w:szCs w:val="24"/>
        </w:rPr>
        <w:t>stay</w:t>
      </w:r>
      <w:r w:rsidR="008A5D64">
        <w:rPr>
          <w:color w:val="252525"/>
          <w:szCs w:val="24"/>
        </w:rPr>
        <w:t xml:space="preserve">ing </w:t>
      </w:r>
      <w:r>
        <w:rPr>
          <w:color w:val="252525"/>
          <w:szCs w:val="24"/>
        </w:rPr>
        <w:t>discovery, OCC</w:t>
      </w:r>
      <w:r w:rsidR="004C5F4E">
        <w:rPr>
          <w:color w:val="252525"/>
          <w:szCs w:val="24"/>
        </w:rPr>
        <w:t xml:space="preserve"> and </w:t>
      </w:r>
      <w:r w:rsidR="00D61C1C">
        <w:rPr>
          <w:color w:val="252525"/>
          <w:szCs w:val="24"/>
        </w:rPr>
        <w:t xml:space="preserve">the Ohio Manufacturers’ Association Energy Group (OMAEG) </w:t>
      </w:r>
      <w:r w:rsidR="004C5F4E">
        <w:rPr>
          <w:color w:val="252525"/>
          <w:szCs w:val="24"/>
        </w:rPr>
        <w:t>resolved some discovery issues and</w:t>
      </w:r>
      <w:r>
        <w:rPr>
          <w:color w:val="252525"/>
          <w:szCs w:val="24"/>
        </w:rPr>
        <w:t xml:space="preserve"> attempted to resolve </w:t>
      </w:r>
      <w:r w:rsidR="004C5F4E">
        <w:rPr>
          <w:color w:val="252525"/>
          <w:szCs w:val="24"/>
        </w:rPr>
        <w:t xml:space="preserve">other </w:t>
      </w:r>
      <w:r>
        <w:rPr>
          <w:color w:val="252525"/>
          <w:szCs w:val="24"/>
        </w:rPr>
        <w:t>discove</w:t>
      </w:r>
      <w:r w:rsidR="00B43651">
        <w:rPr>
          <w:color w:val="252525"/>
          <w:szCs w:val="24"/>
        </w:rPr>
        <w:t>ry</w:t>
      </w:r>
      <w:r>
        <w:rPr>
          <w:color w:val="252525"/>
          <w:szCs w:val="24"/>
        </w:rPr>
        <w:t xml:space="preserve"> issues </w:t>
      </w:r>
      <w:r w:rsidR="004C5F4E">
        <w:rPr>
          <w:color w:val="252525"/>
          <w:szCs w:val="24"/>
        </w:rPr>
        <w:t xml:space="preserve">with </w:t>
      </w:r>
      <w:r>
        <w:rPr>
          <w:color w:val="252525"/>
          <w:szCs w:val="24"/>
        </w:rPr>
        <w:t>the FirstEnergy</w:t>
      </w:r>
      <w:r w:rsidR="00AD3416">
        <w:rPr>
          <w:color w:val="252525"/>
          <w:szCs w:val="24"/>
        </w:rPr>
        <w:t>.</w:t>
      </w:r>
      <w:r>
        <w:rPr>
          <w:color w:val="252525"/>
          <w:szCs w:val="24"/>
        </w:rPr>
        <w:t xml:space="preserve">  However, </w:t>
      </w:r>
      <w:r w:rsidR="004C5F4E">
        <w:rPr>
          <w:color w:val="252525"/>
          <w:szCs w:val="24"/>
        </w:rPr>
        <w:t>for the most part, OCC’s</w:t>
      </w:r>
      <w:r>
        <w:rPr>
          <w:color w:val="252525"/>
          <w:szCs w:val="24"/>
        </w:rPr>
        <w:t xml:space="preserve"> efforts </w:t>
      </w:r>
      <w:r w:rsidR="008F014B">
        <w:rPr>
          <w:color w:val="252525"/>
          <w:szCs w:val="24"/>
        </w:rPr>
        <w:t xml:space="preserve">once again </w:t>
      </w:r>
      <w:r>
        <w:rPr>
          <w:color w:val="252525"/>
          <w:szCs w:val="24"/>
        </w:rPr>
        <w:t xml:space="preserve">proved fruitless. </w:t>
      </w:r>
      <w:r w:rsidR="004C5F4E">
        <w:rPr>
          <w:color w:val="252525"/>
          <w:szCs w:val="24"/>
        </w:rPr>
        <w:t>Thus, o</w:t>
      </w:r>
      <w:r>
        <w:rPr>
          <w:color w:val="252525"/>
          <w:szCs w:val="24"/>
        </w:rPr>
        <w:t xml:space="preserve">n June 29, 2021, </w:t>
      </w:r>
      <w:r w:rsidR="008A5D64">
        <w:rPr>
          <w:color w:val="252525"/>
          <w:szCs w:val="24"/>
        </w:rPr>
        <w:t xml:space="preserve">two weeks prior to the </w:t>
      </w:r>
      <w:r w:rsidR="00D1538D">
        <w:rPr>
          <w:color w:val="252525"/>
          <w:szCs w:val="24"/>
        </w:rPr>
        <w:t xml:space="preserve">end of the </w:t>
      </w:r>
      <w:r w:rsidR="008A5D64">
        <w:rPr>
          <w:color w:val="252525"/>
          <w:szCs w:val="24"/>
        </w:rPr>
        <w:t>sixty</w:t>
      </w:r>
      <w:r w:rsidR="00B43651">
        <w:rPr>
          <w:color w:val="252525"/>
          <w:szCs w:val="24"/>
        </w:rPr>
        <w:t>-</w:t>
      </w:r>
      <w:r w:rsidR="008A5D64">
        <w:rPr>
          <w:color w:val="252525"/>
          <w:szCs w:val="24"/>
        </w:rPr>
        <w:t xml:space="preserve">day stay </w:t>
      </w:r>
      <w:r w:rsidR="00072504">
        <w:rPr>
          <w:color w:val="252525"/>
          <w:szCs w:val="24"/>
        </w:rPr>
        <w:t xml:space="preserve">on </w:t>
      </w:r>
      <w:r w:rsidR="00D1538D">
        <w:rPr>
          <w:color w:val="252525"/>
          <w:szCs w:val="24"/>
        </w:rPr>
        <w:t>discovery</w:t>
      </w:r>
      <w:r w:rsidR="008A5D64">
        <w:rPr>
          <w:color w:val="252525"/>
          <w:szCs w:val="24"/>
        </w:rPr>
        <w:t xml:space="preserve">, </w:t>
      </w:r>
      <w:r>
        <w:rPr>
          <w:color w:val="252525"/>
          <w:szCs w:val="24"/>
        </w:rPr>
        <w:t>OCC filed additional motions to compel</w:t>
      </w:r>
      <w:r w:rsidR="00D1538D">
        <w:rPr>
          <w:color w:val="252525"/>
          <w:szCs w:val="24"/>
        </w:rPr>
        <w:t xml:space="preserve"> FirstEnergy’s responses to OCC’s </w:t>
      </w:r>
      <w:r>
        <w:rPr>
          <w:color w:val="252525"/>
          <w:szCs w:val="24"/>
        </w:rPr>
        <w:t>5</w:t>
      </w:r>
      <w:r w:rsidRPr="0004525C">
        <w:rPr>
          <w:color w:val="252525"/>
          <w:szCs w:val="24"/>
          <w:vertAlign w:val="superscript"/>
        </w:rPr>
        <w:t>th</w:t>
      </w:r>
      <w:r>
        <w:rPr>
          <w:color w:val="252525"/>
          <w:szCs w:val="24"/>
        </w:rPr>
        <w:t>, 6</w:t>
      </w:r>
      <w:r w:rsidRPr="0004525C">
        <w:rPr>
          <w:color w:val="252525"/>
          <w:szCs w:val="24"/>
          <w:vertAlign w:val="superscript"/>
        </w:rPr>
        <w:t>th</w:t>
      </w:r>
      <w:r>
        <w:rPr>
          <w:color w:val="252525"/>
          <w:szCs w:val="24"/>
        </w:rPr>
        <w:t>, and 7</w:t>
      </w:r>
      <w:r w:rsidRPr="0004525C">
        <w:rPr>
          <w:color w:val="252525"/>
          <w:szCs w:val="24"/>
          <w:vertAlign w:val="superscript"/>
        </w:rPr>
        <w:t>th</w:t>
      </w:r>
      <w:r>
        <w:rPr>
          <w:color w:val="252525"/>
          <w:szCs w:val="24"/>
        </w:rPr>
        <w:t xml:space="preserve"> set of discovery. </w:t>
      </w:r>
      <w:r w:rsidR="008A5D64">
        <w:rPr>
          <w:color w:val="252525"/>
          <w:szCs w:val="24"/>
        </w:rPr>
        <w:t xml:space="preserve">OCC’s motions </w:t>
      </w:r>
      <w:r w:rsidR="00D1538D">
        <w:rPr>
          <w:color w:val="252525"/>
          <w:szCs w:val="24"/>
        </w:rPr>
        <w:t>are pending</w:t>
      </w:r>
      <w:r w:rsidR="008A5D64">
        <w:rPr>
          <w:color w:val="252525"/>
          <w:szCs w:val="24"/>
        </w:rPr>
        <w:t xml:space="preserve"> rul</w:t>
      </w:r>
      <w:r w:rsidR="00D1538D">
        <w:rPr>
          <w:color w:val="252525"/>
          <w:szCs w:val="24"/>
        </w:rPr>
        <w:t>ings</w:t>
      </w:r>
      <w:r w:rsidR="00CE0A61">
        <w:rPr>
          <w:color w:val="252525"/>
          <w:szCs w:val="24"/>
        </w:rPr>
        <w:t xml:space="preserve"> by the PUCO</w:t>
      </w:r>
      <w:r w:rsidR="008A5D64">
        <w:rPr>
          <w:color w:val="252525"/>
          <w:szCs w:val="24"/>
        </w:rPr>
        <w:t xml:space="preserve">. </w:t>
      </w:r>
      <w:r w:rsidR="00072504">
        <w:rPr>
          <w:color w:val="252525"/>
          <w:szCs w:val="24"/>
        </w:rPr>
        <w:t xml:space="preserve"> </w:t>
      </w:r>
      <w:r w:rsidR="008F014B">
        <w:rPr>
          <w:color w:val="252525"/>
          <w:szCs w:val="24"/>
        </w:rPr>
        <w:t>OCC is also in the process of trying to resolve discovery disputes related to OCC’s 8</w:t>
      </w:r>
      <w:r w:rsidRPr="008F014B" w:rsidR="008F014B">
        <w:rPr>
          <w:color w:val="252525"/>
          <w:szCs w:val="24"/>
          <w:vertAlign w:val="superscript"/>
        </w:rPr>
        <w:t>th</w:t>
      </w:r>
      <w:r w:rsidR="008F014B">
        <w:rPr>
          <w:color w:val="252525"/>
          <w:szCs w:val="24"/>
        </w:rPr>
        <w:t xml:space="preserve"> set of discovery.</w:t>
      </w:r>
    </w:p>
    <w:p w:rsidR="000F3D51" w:rsidP="00D1538D" w14:paraId="43213931" w14:textId="7B3065BA">
      <w:pPr>
        <w:spacing w:line="480" w:lineRule="auto"/>
        <w:ind w:firstLine="720"/>
        <w:rPr>
          <w:color w:val="252525"/>
          <w:szCs w:val="24"/>
        </w:rPr>
      </w:pPr>
      <w:r>
        <w:rPr>
          <w:color w:val="252525"/>
          <w:szCs w:val="24"/>
        </w:rPr>
        <w:t xml:space="preserve"> </w:t>
      </w:r>
      <w:r w:rsidR="00B0748C">
        <w:rPr>
          <w:color w:val="252525"/>
          <w:szCs w:val="24"/>
        </w:rPr>
        <w:t xml:space="preserve">Over the past seven months </w:t>
      </w:r>
      <w:r w:rsidR="00D61C1C">
        <w:rPr>
          <w:color w:val="252525"/>
          <w:szCs w:val="24"/>
        </w:rPr>
        <w:t>the parties have</w:t>
      </w:r>
      <w:r w:rsidR="00B0748C">
        <w:rPr>
          <w:color w:val="252525"/>
          <w:szCs w:val="24"/>
        </w:rPr>
        <w:t xml:space="preserve"> been attempting to obtain information from FirstEnergy about its House Bill 6 activities and the extent to which it may have spent customer-funded money to get that legislation passed.  But FirstEnergy’s tactics of delay have continued despite rulings from the PUCO </w:t>
      </w:r>
      <w:r w:rsidR="008C3439">
        <w:rPr>
          <w:color w:val="252525"/>
          <w:szCs w:val="24"/>
        </w:rPr>
        <w:t xml:space="preserve">that </w:t>
      </w:r>
      <w:r w:rsidR="00B0748C">
        <w:rPr>
          <w:color w:val="252525"/>
          <w:szCs w:val="24"/>
        </w:rPr>
        <w:t>largely grant</w:t>
      </w:r>
      <w:r w:rsidR="008C3439">
        <w:rPr>
          <w:color w:val="252525"/>
          <w:szCs w:val="24"/>
        </w:rPr>
        <w:t>ed</w:t>
      </w:r>
      <w:r w:rsidR="00B0748C">
        <w:rPr>
          <w:color w:val="252525"/>
          <w:szCs w:val="24"/>
        </w:rPr>
        <w:t xml:space="preserve"> OCC’s motion</w:t>
      </w:r>
      <w:r w:rsidR="00D43CA3">
        <w:rPr>
          <w:color w:val="252525"/>
          <w:szCs w:val="24"/>
        </w:rPr>
        <w:t xml:space="preserve">s </w:t>
      </w:r>
      <w:r w:rsidR="00B0748C">
        <w:rPr>
          <w:color w:val="252525"/>
          <w:szCs w:val="24"/>
        </w:rPr>
        <w:t xml:space="preserve">to compel.  </w:t>
      </w:r>
    </w:p>
    <w:p w:rsidR="003D6C63" w:rsidP="0022361E" w14:paraId="3FE74A4D" w14:textId="3187102F">
      <w:pPr>
        <w:autoSpaceDE w:val="0"/>
        <w:autoSpaceDN w:val="0"/>
        <w:adjustRightInd w:val="0"/>
        <w:spacing w:line="480" w:lineRule="auto"/>
        <w:ind w:firstLine="720"/>
        <w:rPr>
          <w:bCs/>
          <w:szCs w:val="24"/>
        </w:rPr>
      </w:pPr>
      <w:r>
        <w:rPr>
          <w:bCs/>
          <w:szCs w:val="24"/>
        </w:rPr>
        <w:t xml:space="preserve">In addition to OMAEG’s own discovery requests, which have been subject to dispute, </w:t>
      </w:r>
      <w:r w:rsidR="001F4CAE">
        <w:rPr>
          <w:bCs/>
          <w:szCs w:val="24"/>
        </w:rPr>
        <w:t xml:space="preserve">OMAEG formally requested that FirstEnergy provide </w:t>
      </w:r>
      <w:r w:rsidR="00072504">
        <w:rPr>
          <w:bCs/>
          <w:szCs w:val="24"/>
        </w:rPr>
        <w:t xml:space="preserve">OMAEG </w:t>
      </w:r>
      <w:r w:rsidR="001F4CAE">
        <w:rPr>
          <w:bCs/>
          <w:szCs w:val="24"/>
        </w:rPr>
        <w:t>copies</w:t>
      </w:r>
      <w:r w:rsidR="00072504">
        <w:rPr>
          <w:bCs/>
          <w:szCs w:val="24"/>
        </w:rPr>
        <w:t xml:space="preserve"> </w:t>
      </w:r>
      <w:r w:rsidR="001F4CAE">
        <w:rPr>
          <w:bCs/>
          <w:szCs w:val="24"/>
        </w:rPr>
        <w:t xml:space="preserve">of </w:t>
      </w:r>
      <w:r>
        <w:rPr>
          <w:bCs/>
          <w:szCs w:val="24"/>
        </w:rPr>
        <w:t>FirstEnergy’s</w:t>
      </w:r>
      <w:r w:rsidR="001F4CAE">
        <w:rPr>
          <w:bCs/>
          <w:szCs w:val="24"/>
        </w:rPr>
        <w:t xml:space="preserve"> discovery responses to </w:t>
      </w:r>
      <w:r>
        <w:rPr>
          <w:bCs/>
          <w:szCs w:val="24"/>
        </w:rPr>
        <w:t xml:space="preserve">the </w:t>
      </w:r>
      <w:r w:rsidR="001F4CAE">
        <w:rPr>
          <w:bCs/>
          <w:szCs w:val="24"/>
        </w:rPr>
        <w:t xml:space="preserve">other parties.  In light of that request, OMAEG has made efforts to avoid duplication of OCC’s discovery requests and has acted with the expectation that FirstEnergy would provide substantive responses to OCC, when appropriate.  However, that expectation has not </w:t>
      </w:r>
      <w:r w:rsidR="00D1538D">
        <w:rPr>
          <w:bCs/>
          <w:szCs w:val="24"/>
        </w:rPr>
        <w:t xml:space="preserve">always </w:t>
      </w:r>
      <w:r w:rsidR="001F4CAE">
        <w:rPr>
          <w:bCs/>
          <w:szCs w:val="24"/>
        </w:rPr>
        <w:t>been met</w:t>
      </w:r>
      <w:r>
        <w:rPr>
          <w:bCs/>
          <w:szCs w:val="24"/>
        </w:rPr>
        <w:t xml:space="preserve"> and, therefore, OMAEG has also not received the discovery responses that it anticipated</w:t>
      </w:r>
      <w:r w:rsidR="001F4CAE">
        <w:rPr>
          <w:bCs/>
          <w:szCs w:val="24"/>
        </w:rPr>
        <w:t>.</w:t>
      </w:r>
    </w:p>
    <w:p w:rsidR="003D6C63" w:rsidP="003D6C63" w14:paraId="271A4870" w14:textId="5958E411">
      <w:pPr>
        <w:spacing w:line="480" w:lineRule="auto"/>
        <w:ind w:firstLine="720"/>
        <w:rPr>
          <w:color w:val="252525"/>
          <w:szCs w:val="24"/>
        </w:rPr>
      </w:pPr>
      <w:r>
        <w:rPr>
          <w:color w:val="252525"/>
          <w:szCs w:val="24"/>
        </w:rPr>
        <w:t xml:space="preserve">FirstEnergy’s so-called “responses” to </w:t>
      </w:r>
      <w:r w:rsidR="00CE0A61">
        <w:rPr>
          <w:color w:val="252525"/>
          <w:szCs w:val="24"/>
        </w:rPr>
        <w:t xml:space="preserve">the various sets of discovery, including </w:t>
      </w:r>
      <w:r>
        <w:rPr>
          <w:color w:val="252525"/>
          <w:szCs w:val="24"/>
        </w:rPr>
        <w:t>OCC’s 5</w:t>
      </w:r>
      <w:r w:rsidRPr="008F014B">
        <w:rPr>
          <w:color w:val="252525"/>
          <w:szCs w:val="24"/>
          <w:vertAlign w:val="superscript"/>
        </w:rPr>
        <w:t>th</w:t>
      </w:r>
      <w:r>
        <w:rPr>
          <w:color w:val="252525"/>
          <w:szCs w:val="24"/>
        </w:rPr>
        <w:t>, 6</w:t>
      </w:r>
      <w:r w:rsidRPr="008F014B">
        <w:rPr>
          <w:color w:val="252525"/>
          <w:szCs w:val="24"/>
          <w:vertAlign w:val="superscript"/>
        </w:rPr>
        <w:t>th</w:t>
      </w:r>
      <w:r>
        <w:rPr>
          <w:color w:val="252525"/>
          <w:szCs w:val="24"/>
        </w:rPr>
        <w:t>, 7</w:t>
      </w:r>
      <w:r w:rsidRPr="008F014B">
        <w:rPr>
          <w:color w:val="252525"/>
          <w:szCs w:val="24"/>
          <w:vertAlign w:val="superscript"/>
        </w:rPr>
        <w:t>t</w:t>
      </w:r>
      <w:r w:rsidR="00E56976">
        <w:rPr>
          <w:color w:val="252525"/>
          <w:szCs w:val="24"/>
          <w:vertAlign w:val="superscript"/>
        </w:rPr>
        <w:t xml:space="preserve">h </w:t>
      </w:r>
      <w:r>
        <w:rPr>
          <w:color w:val="252525"/>
          <w:szCs w:val="24"/>
          <w:vertAlign w:val="superscript"/>
        </w:rPr>
        <w:t xml:space="preserve"> </w:t>
      </w:r>
      <w:r>
        <w:rPr>
          <w:color w:val="252525"/>
          <w:szCs w:val="24"/>
        </w:rPr>
        <w:t>and 8</w:t>
      </w:r>
      <w:r w:rsidRPr="001C6643">
        <w:rPr>
          <w:color w:val="252525"/>
          <w:szCs w:val="24"/>
          <w:vertAlign w:val="superscript"/>
        </w:rPr>
        <w:t>th</w:t>
      </w:r>
      <w:r>
        <w:rPr>
          <w:color w:val="252525"/>
          <w:szCs w:val="24"/>
        </w:rPr>
        <w:t xml:space="preserve"> sets of discovery </w:t>
      </w:r>
      <w:r w:rsidR="00CE0A61">
        <w:rPr>
          <w:color w:val="252525"/>
          <w:szCs w:val="24"/>
        </w:rPr>
        <w:t xml:space="preserve">that are still subject to dispute, </w:t>
      </w:r>
      <w:r>
        <w:rPr>
          <w:color w:val="252525"/>
          <w:szCs w:val="24"/>
        </w:rPr>
        <w:t xml:space="preserve">are deficient and have impeded OCC and OMAEG’s ability to file comments.  </w:t>
      </w:r>
      <w:r w:rsidR="00CE0A61">
        <w:rPr>
          <w:color w:val="252525"/>
          <w:szCs w:val="24"/>
        </w:rPr>
        <w:t xml:space="preserve">Moreover, </w:t>
      </w:r>
      <w:r>
        <w:rPr>
          <w:color w:val="252525"/>
          <w:szCs w:val="24"/>
        </w:rPr>
        <w:t>the PUCO’s two-month suspension of discovery is a</w:t>
      </w:r>
      <w:r w:rsidR="00555535">
        <w:rPr>
          <w:color w:val="252525"/>
          <w:szCs w:val="24"/>
        </w:rPr>
        <w:t>n additional</w:t>
      </w:r>
      <w:r>
        <w:rPr>
          <w:color w:val="252525"/>
          <w:szCs w:val="24"/>
        </w:rPr>
        <w:t xml:space="preserve"> basis for </w:t>
      </w:r>
      <w:r w:rsidR="00072504">
        <w:rPr>
          <w:color w:val="252525"/>
          <w:szCs w:val="24"/>
        </w:rPr>
        <w:t xml:space="preserve">extending </w:t>
      </w:r>
      <w:r>
        <w:rPr>
          <w:color w:val="252525"/>
          <w:szCs w:val="24"/>
        </w:rPr>
        <w:t>the comment period.</w:t>
      </w:r>
      <w:r w:rsidR="00D61C1C">
        <w:rPr>
          <w:color w:val="252525"/>
          <w:szCs w:val="24"/>
        </w:rPr>
        <w:t xml:space="preserve">  The pending discovery disputes have prevented the parties from receiving the information that they need to file adequately</w:t>
      </w:r>
      <w:r w:rsidR="00AD3416">
        <w:rPr>
          <w:color w:val="252525"/>
          <w:szCs w:val="24"/>
        </w:rPr>
        <w:t xml:space="preserve"> </w:t>
      </w:r>
      <w:r w:rsidR="00D61C1C">
        <w:rPr>
          <w:color w:val="252525"/>
          <w:szCs w:val="24"/>
        </w:rPr>
        <w:t>informed comments by the Ju</w:t>
      </w:r>
      <w:r w:rsidR="00072504">
        <w:rPr>
          <w:color w:val="252525"/>
          <w:szCs w:val="24"/>
        </w:rPr>
        <w:t>ly</w:t>
      </w:r>
      <w:r w:rsidR="00D61C1C">
        <w:rPr>
          <w:color w:val="252525"/>
          <w:szCs w:val="24"/>
        </w:rPr>
        <w:t xml:space="preserve"> 20, 2021 deadline.</w:t>
      </w:r>
      <w:r w:rsidR="00C83419">
        <w:rPr>
          <w:color w:val="252525"/>
          <w:szCs w:val="24"/>
        </w:rPr>
        <w:t xml:space="preserve">  Furthermore, the PUCO recently restricted parties’ access to certain information about FirstEnergy’s political and charitable spending in support of H.B. 6 “unless OCC can produce a letter from the U.S. Attorney indicating they can have these emails.”</w:t>
      </w:r>
      <w:r>
        <w:rPr>
          <w:rStyle w:val="FootnoteReference"/>
          <w:color w:val="252525"/>
          <w:szCs w:val="24"/>
        </w:rPr>
        <w:footnoteReference w:id="3"/>
      </w:r>
      <w:r w:rsidR="00C83419">
        <w:rPr>
          <w:color w:val="252525"/>
          <w:szCs w:val="24"/>
        </w:rPr>
        <w:t xml:space="preserve">  </w:t>
      </w:r>
      <w:r w:rsidR="00CE35CC">
        <w:rPr>
          <w:color w:val="252525"/>
          <w:szCs w:val="24"/>
        </w:rPr>
        <w:t xml:space="preserve">It is not clear such a letter could even be obtained. </w:t>
      </w:r>
    </w:p>
    <w:p w:rsidR="00CE35CC" w:rsidP="00F62B39" w14:paraId="5C367CD4" w14:textId="7D342C88">
      <w:pPr>
        <w:spacing w:line="480" w:lineRule="auto"/>
        <w:ind w:firstLine="720"/>
        <w:rPr>
          <w:color w:val="252525"/>
          <w:szCs w:val="24"/>
        </w:rPr>
      </w:pPr>
      <w:r>
        <w:rPr>
          <w:color w:val="252525"/>
          <w:szCs w:val="24"/>
        </w:rPr>
        <w:t>Accordingly</w:t>
      </w:r>
      <w:r w:rsidR="007A3AB5">
        <w:rPr>
          <w:color w:val="252525"/>
          <w:szCs w:val="24"/>
        </w:rPr>
        <w:t>,</w:t>
      </w:r>
      <w:r w:rsidR="00AA1CBA">
        <w:rPr>
          <w:color w:val="252525"/>
          <w:szCs w:val="24"/>
        </w:rPr>
        <w:t xml:space="preserve"> </w:t>
      </w:r>
      <w:r w:rsidR="00BE4D94">
        <w:rPr>
          <w:color w:val="252525"/>
          <w:szCs w:val="24"/>
        </w:rPr>
        <w:t xml:space="preserve">OCC and OMAEG move, </w:t>
      </w:r>
      <w:r w:rsidR="00AA1CBA">
        <w:rPr>
          <w:color w:val="252525"/>
          <w:szCs w:val="24"/>
        </w:rPr>
        <w:t>under O.A.C. 4901-1-13</w:t>
      </w:r>
      <w:r w:rsidR="00BE4D94">
        <w:rPr>
          <w:color w:val="252525"/>
          <w:szCs w:val="24"/>
        </w:rPr>
        <w:t xml:space="preserve">, for an indefinite </w:t>
      </w:r>
      <w:r w:rsidR="004121D9">
        <w:rPr>
          <w:color w:val="252525"/>
          <w:szCs w:val="24"/>
        </w:rPr>
        <w:t>stay</w:t>
      </w:r>
      <w:r w:rsidR="00BE4D94">
        <w:rPr>
          <w:color w:val="252525"/>
          <w:szCs w:val="24"/>
        </w:rPr>
        <w:t xml:space="preserve"> of the comment period</w:t>
      </w:r>
      <w:r w:rsidR="00B80810">
        <w:rPr>
          <w:color w:val="252525"/>
          <w:szCs w:val="24"/>
        </w:rPr>
        <w:t xml:space="preserve">. </w:t>
      </w:r>
      <w:r>
        <w:rPr>
          <w:color w:val="252525"/>
          <w:szCs w:val="24"/>
        </w:rPr>
        <w:t xml:space="preserve">OCC and OMAEG desire </w:t>
      </w:r>
      <w:r w:rsidR="00F500A8">
        <w:rPr>
          <w:color w:val="252525"/>
          <w:szCs w:val="24"/>
        </w:rPr>
        <w:t>a fair process for</w:t>
      </w:r>
      <w:r w:rsidR="00D21F36">
        <w:rPr>
          <w:color w:val="252525"/>
          <w:szCs w:val="24"/>
        </w:rPr>
        <w:t xml:space="preserve"> th</w:t>
      </w:r>
      <w:r w:rsidR="00B80810">
        <w:rPr>
          <w:color w:val="252525"/>
          <w:szCs w:val="24"/>
        </w:rPr>
        <w:t xml:space="preserve">e </w:t>
      </w:r>
      <w:r w:rsidR="00D21F36">
        <w:rPr>
          <w:color w:val="252525"/>
          <w:szCs w:val="24"/>
        </w:rPr>
        <w:t>residential consumer interests and business interests</w:t>
      </w:r>
      <w:r>
        <w:rPr>
          <w:color w:val="252525"/>
          <w:szCs w:val="24"/>
        </w:rPr>
        <w:t>.</w:t>
      </w:r>
      <w:r w:rsidR="00AA1CBA">
        <w:rPr>
          <w:color w:val="252525"/>
          <w:szCs w:val="24"/>
        </w:rPr>
        <w:t xml:space="preserve"> </w:t>
      </w:r>
      <w:r w:rsidR="007A3AB5">
        <w:rPr>
          <w:color w:val="252525"/>
          <w:szCs w:val="24"/>
        </w:rPr>
        <w:t xml:space="preserve"> </w:t>
      </w:r>
    </w:p>
    <w:p w:rsidR="00CE35CC" w:rsidP="00F62B39" w14:paraId="3E4FC38D" w14:textId="5C00DE8B">
      <w:pPr>
        <w:spacing w:line="480" w:lineRule="auto"/>
        <w:ind w:firstLine="720"/>
        <w:rPr>
          <w:color w:val="252525"/>
          <w:szCs w:val="24"/>
        </w:rPr>
      </w:pPr>
      <w:r>
        <w:rPr>
          <w:color w:val="252525"/>
          <w:szCs w:val="24"/>
        </w:rPr>
        <w:t xml:space="preserve">The current schedule for filing comments and reply comments does not provide such fair process.  </w:t>
      </w:r>
      <w:r w:rsidR="00535AAD">
        <w:rPr>
          <w:color w:val="252525"/>
          <w:szCs w:val="24"/>
        </w:rPr>
        <w:t xml:space="preserve">An </w:t>
      </w:r>
      <w:r w:rsidR="00550A2C">
        <w:rPr>
          <w:color w:val="252525"/>
          <w:szCs w:val="24"/>
        </w:rPr>
        <w:t xml:space="preserve">indefinite stay is necessary to complete </w:t>
      </w:r>
      <w:r w:rsidR="00535AAD">
        <w:rPr>
          <w:color w:val="252525"/>
          <w:szCs w:val="24"/>
        </w:rPr>
        <w:t>parties’</w:t>
      </w:r>
      <w:r w:rsidR="00550A2C">
        <w:rPr>
          <w:color w:val="252525"/>
          <w:szCs w:val="24"/>
        </w:rPr>
        <w:t xml:space="preserve"> review and adequately and completely draft comments for the PUCO’s consideration.  </w:t>
      </w:r>
    </w:p>
    <w:p w:rsidR="00072504" w:rsidP="00D61C1C" w14:paraId="1D108FCF" w14:textId="77777777">
      <w:pPr>
        <w:spacing w:line="480" w:lineRule="auto"/>
        <w:ind w:firstLine="720"/>
        <w:rPr>
          <w:color w:val="252525"/>
          <w:szCs w:val="24"/>
        </w:rPr>
      </w:pPr>
      <w:r>
        <w:rPr>
          <w:color w:val="252525"/>
          <w:szCs w:val="24"/>
        </w:rPr>
        <w:t>To that end, t</w:t>
      </w:r>
      <w:r w:rsidRPr="00EE0DDA" w:rsidR="00D13B78">
        <w:rPr>
          <w:color w:val="252525"/>
          <w:szCs w:val="24"/>
        </w:rPr>
        <w:t xml:space="preserve">he parties </w:t>
      </w:r>
      <w:r>
        <w:rPr>
          <w:color w:val="252525"/>
          <w:szCs w:val="24"/>
        </w:rPr>
        <w:t xml:space="preserve">request a stay of the comments with a </w:t>
      </w:r>
      <w:r w:rsidR="00D13B78">
        <w:rPr>
          <w:color w:val="252525"/>
          <w:szCs w:val="24"/>
        </w:rPr>
        <w:t>status</w:t>
      </w:r>
      <w:r>
        <w:rPr>
          <w:color w:val="252525"/>
          <w:szCs w:val="24"/>
        </w:rPr>
        <w:t xml:space="preserve"> report filed</w:t>
      </w:r>
      <w:r w:rsidR="00D13B78">
        <w:rPr>
          <w:color w:val="252525"/>
          <w:szCs w:val="24"/>
        </w:rPr>
        <w:t xml:space="preserve"> after 90 days</w:t>
      </w:r>
      <w:r w:rsidRPr="00EE0DDA" w:rsidR="00D13B78">
        <w:rPr>
          <w:color w:val="252525"/>
          <w:szCs w:val="24"/>
        </w:rPr>
        <w:t>.</w:t>
      </w:r>
      <w:r w:rsidR="00D13B78">
        <w:rPr>
          <w:color w:val="252525"/>
          <w:szCs w:val="24"/>
        </w:rPr>
        <w:t xml:space="preserve"> The status update could then become a basis for the PUCO to set the comment period. Also, an </w:t>
      </w:r>
      <w:r w:rsidRPr="00D43CA3" w:rsidR="00D13B78">
        <w:rPr>
          <w:i/>
          <w:iCs/>
          <w:color w:val="252525"/>
          <w:szCs w:val="24"/>
        </w:rPr>
        <w:t>indefinite</w:t>
      </w:r>
      <w:r w:rsidR="00D13B78">
        <w:rPr>
          <w:color w:val="252525"/>
          <w:szCs w:val="24"/>
        </w:rPr>
        <w:t xml:space="preserve"> </w:t>
      </w:r>
      <w:r w:rsidR="004121D9">
        <w:rPr>
          <w:color w:val="252525"/>
          <w:szCs w:val="24"/>
        </w:rPr>
        <w:t>stay</w:t>
      </w:r>
      <w:r w:rsidR="00D13B78">
        <w:rPr>
          <w:color w:val="252525"/>
          <w:szCs w:val="24"/>
        </w:rPr>
        <w:t xml:space="preserve"> is needed for serving justice (rather than a specific deadline), as a specific deadline will just be informational to FirstEnergy for how much delay they need to interpose.</w:t>
      </w:r>
      <w:r w:rsidRPr="00EE0DDA" w:rsidR="00D13B78">
        <w:rPr>
          <w:color w:val="252525"/>
          <w:szCs w:val="24"/>
        </w:rPr>
        <w:t xml:space="preserve">  </w:t>
      </w:r>
    </w:p>
    <w:p w:rsidR="00D61C1C" w:rsidP="00D61C1C" w14:paraId="6198B29D" w14:textId="423241BC">
      <w:pPr>
        <w:spacing w:line="480" w:lineRule="auto"/>
        <w:ind w:firstLine="720"/>
      </w:pPr>
      <w:r>
        <w:rPr>
          <w:color w:val="252525"/>
          <w:szCs w:val="24"/>
        </w:rPr>
        <w:t>As a</w:t>
      </w:r>
      <w:r w:rsidR="00550A2C">
        <w:rPr>
          <w:color w:val="252525"/>
          <w:szCs w:val="24"/>
        </w:rPr>
        <w:t>n</w:t>
      </w:r>
      <w:r>
        <w:rPr>
          <w:color w:val="252525"/>
          <w:szCs w:val="24"/>
        </w:rPr>
        <w:t xml:space="preserve"> alternative to staying the comment deadlines, </w:t>
      </w:r>
      <w:r w:rsidR="0093654D">
        <w:rPr>
          <w:color w:val="252525"/>
          <w:szCs w:val="24"/>
        </w:rPr>
        <w:t xml:space="preserve">OCC and OMAEG </w:t>
      </w:r>
      <w:r w:rsidR="00016C9B">
        <w:rPr>
          <w:color w:val="252525"/>
          <w:szCs w:val="24"/>
        </w:rPr>
        <w:t>move</w:t>
      </w:r>
      <w:r w:rsidR="0093654D">
        <w:rPr>
          <w:color w:val="252525"/>
          <w:szCs w:val="24"/>
        </w:rPr>
        <w:t xml:space="preserve"> to extend </w:t>
      </w:r>
      <w:r>
        <w:rPr>
          <w:color w:val="252525"/>
          <w:szCs w:val="24"/>
        </w:rPr>
        <w:t>the deadlines for 120 days</w:t>
      </w:r>
      <w:r w:rsidR="00CE35CC">
        <w:rPr>
          <w:color w:val="252525"/>
          <w:szCs w:val="24"/>
        </w:rPr>
        <w:t>,</w:t>
      </w:r>
      <w:r w:rsidR="00550A2C">
        <w:rPr>
          <w:color w:val="252525"/>
          <w:szCs w:val="24"/>
        </w:rPr>
        <w:t xml:space="preserve"> respectively</w:t>
      </w:r>
      <w:r>
        <w:rPr>
          <w:color w:val="252525"/>
          <w:szCs w:val="24"/>
        </w:rPr>
        <w:t>.</w:t>
      </w:r>
      <w:r w:rsidR="00101F88">
        <w:rPr>
          <w:color w:val="252525"/>
          <w:szCs w:val="24"/>
        </w:rPr>
        <w:t xml:space="preserve"> </w:t>
      </w:r>
      <w:r>
        <w:t xml:space="preserve">As explained further in the attached memorandum in support, OCC and OMAEG’s request is consistent with prior PUCO rulings </w:t>
      </w:r>
      <w:r w:rsidR="00FC7A7F">
        <w:t>that extended the deadlines for filing comments due to the existence of numerous outstanding discovery requests</w:t>
      </w:r>
      <w:r>
        <w:t xml:space="preserve">.  </w:t>
      </w:r>
      <w:r w:rsidR="00FC7A7F">
        <w:t>Given that there are still numerous discovery requests outstanding, a further extension of the comment deadlines is warranted</w:t>
      </w:r>
      <w:r w:rsidR="00CE35CC">
        <w:t xml:space="preserve"> for that reason and the other reasons we state</w:t>
      </w:r>
      <w:r w:rsidR="00FC7A7F">
        <w:t>.</w:t>
      </w:r>
    </w:p>
    <w:p w:rsidR="005A3E35" w:rsidP="00D61C1C" w14:paraId="71BD77D2" w14:textId="0091949E">
      <w:pPr>
        <w:spacing w:line="480" w:lineRule="auto"/>
        <w:ind w:firstLine="720"/>
        <w:rPr>
          <w:color w:val="252525"/>
          <w:szCs w:val="24"/>
        </w:rPr>
      </w:pPr>
      <w:r>
        <w:t>OCC</w:t>
      </w:r>
      <w:r w:rsidR="00933DFB">
        <w:t xml:space="preserve"> and OMAEG</w:t>
      </w:r>
      <w:r>
        <w:t xml:space="preserve"> further request that the Commission grant </w:t>
      </w:r>
      <w:r w:rsidR="00072504">
        <w:t xml:space="preserve">their </w:t>
      </w:r>
      <w:r>
        <w:t xml:space="preserve">motion on an expedited basis </w:t>
      </w:r>
      <w:r w:rsidR="00E56976">
        <w:t xml:space="preserve">consistent with </w:t>
      </w:r>
      <w:r>
        <w:t>Ohio Adm. Code 4901-1-12(C)</w:t>
      </w:r>
      <w:r w:rsidR="00D43CA3">
        <w:t xml:space="preserve">.  </w:t>
      </w:r>
      <w:r w:rsidR="00550A2C">
        <w:t xml:space="preserve">Neither </w:t>
      </w:r>
      <w:r w:rsidR="00D43CA3">
        <w:t>OCC</w:t>
      </w:r>
      <w:r w:rsidR="00550A2C">
        <w:t xml:space="preserve"> nor OMAEG</w:t>
      </w:r>
      <w:r w:rsidR="00D43CA3">
        <w:t xml:space="preserve"> can certify that no party objects to the issuance of an expedited ruling on this joint motion, without the filing of a memorandum. </w:t>
      </w:r>
    </w:p>
    <w:p w:rsidR="00D13B78" w:rsidP="00F62B39" w14:paraId="19D2C28C" w14:textId="76C56322">
      <w:pPr>
        <w:spacing w:line="480" w:lineRule="auto"/>
        <w:ind w:firstLine="720"/>
        <w:rPr>
          <w:color w:val="252525"/>
          <w:szCs w:val="24"/>
        </w:rPr>
      </w:pPr>
      <w:r>
        <w:rPr>
          <w:color w:val="252525"/>
          <w:szCs w:val="24"/>
        </w:rPr>
        <w:t>G</w:t>
      </w:r>
      <w:r w:rsidR="001F4CAE">
        <w:rPr>
          <w:color w:val="252525"/>
          <w:szCs w:val="24"/>
        </w:rPr>
        <w:t xml:space="preserve">ood cause </w:t>
      </w:r>
      <w:r>
        <w:rPr>
          <w:color w:val="252525"/>
          <w:szCs w:val="24"/>
        </w:rPr>
        <w:t>exists for granting this motion</w:t>
      </w:r>
      <w:r w:rsidR="001F4CAE">
        <w:rPr>
          <w:color w:val="252525"/>
          <w:szCs w:val="24"/>
        </w:rPr>
        <w:t xml:space="preserve"> </w:t>
      </w:r>
      <w:r>
        <w:rPr>
          <w:color w:val="252525"/>
          <w:szCs w:val="24"/>
        </w:rPr>
        <w:t>as</w:t>
      </w:r>
      <w:r w:rsidR="001F4CAE">
        <w:rPr>
          <w:color w:val="252525"/>
          <w:szCs w:val="24"/>
        </w:rPr>
        <w:t xml:space="preserve"> further explained in the attached memorandum.</w:t>
      </w:r>
    </w:p>
    <w:p w:rsidR="00E847EE" w:rsidRPr="00EE0DDA" w:rsidP="00D43CA3" w14:paraId="60D94B97" w14:textId="77777777">
      <w:pPr>
        <w:spacing w:line="480" w:lineRule="auto"/>
        <w:ind w:left="3600" w:firstLine="720"/>
        <w:rPr>
          <w:szCs w:val="24"/>
        </w:rPr>
      </w:pPr>
      <w:r w:rsidRPr="00EE0DDA">
        <w:rPr>
          <w:szCs w:val="24"/>
        </w:rPr>
        <w:t>Respectfully submitted,</w:t>
      </w:r>
    </w:p>
    <w:p w:rsidR="00E847EE" w:rsidRPr="00EE0DDA" w:rsidP="00E847EE" w14:paraId="29329B8B" w14:textId="77777777">
      <w:pPr>
        <w:ind w:left="3600" w:firstLine="720"/>
        <w:rPr>
          <w:szCs w:val="24"/>
        </w:rPr>
      </w:pPr>
      <w:r w:rsidRPr="00EE0DDA">
        <w:rPr>
          <w:szCs w:val="24"/>
        </w:rPr>
        <w:t>Bruce Weston (0016973)</w:t>
      </w:r>
    </w:p>
    <w:p w:rsidR="00E847EE" w:rsidRPr="00EE0DDA" w:rsidP="00E847EE" w14:paraId="1585DF84" w14:textId="77777777">
      <w:pPr>
        <w:ind w:firstLine="4320"/>
        <w:rPr>
          <w:szCs w:val="24"/>
        </w:rPr>
      </w:pPr>
      <w:r w:rsidRPr="00EE0DDA">
        <w:rPr>
          <w:szCs w:val="24"/>
        </w:rPr>
        <w:t>Ohio Consumers’ Counsel</w:t>
      </w:r>
    </w:p>
    <w:p w:rsidR="00E847EE" w:rsidRPr="00EE0DDA" w:rsidP="00E847EE" w14:paraId="4BDC9163" w14:textId="77777777">
      <w:pPr>
        <w:ind w:firstLine="4320"/>
        <w:rPr>
          <w:szCs w:val="24"/>
        </w:rPr>
      </w:pPr>
      <w:r w:rsidRPr="00EE0DDA">
        <w:rPr>
          <w:szCs w:val="24"/>
        </w:rPr>
        <w:t xml:space="preserve">  </w:t>
      </w:r>
    </w:p>
    <w:p w:rsidR="00E847EE" w:rsidRPr="00EE0DDA" w:rsidP="00E847EE" w14:paraId="67C252E9" w14:textId="77777777">
      <w:pPr>
        <w:suppressLineNumbers/>
        <w:ind w:left="4320"/>
        <w:rPr>
          <w:szCs w:val="24"/>
        </w:rPr>
      </w:pPr>
      <w:r w:rsidRPr="00EE0DDA">
        <w:rPr>
          <w:i/>
          <w:iCs/>
          <w:szCs w:val="24"/>
          <w:u w:val="single"/>
        </w:rPr>
        <w:t>/s/ Maureen R. Willis</w:t>
      </w:r>
    </w:p>
    <w:p w:rsidR="00E847EE" w:rsidRPr="00EE0DDA" w:rsidP="00E847EE" w14:paraId="24F3AD95" w14:textId="77777777">
      <w:pPr>
        <w:suppressLineNumbers/>
        <w:ind w:left="4320"/>
        <w:rPr>
          <w:szCs w:val="24"/>
        </w:rPr>
      </w:pPr>
      <w:r w:rsidRPr="00EE0DDA">
        <w:rPr>
          <w:szCs w:val="24"/>
        </w:rPr>
        <w:t>Maureen R. Willis, Senior Counsel</w:t>
      </w:r>
    </w:p>
    <w:p w:rsidR="00E847EE" w:rsidRPr="00EE0DDA" w:rsidP="00E847EE" w14:paraId="3356E70D" w14:textId="77777777">
      <w:pPr>
        <w:suppressLineNumbers/>
        <w:ind w:left="4320"/>
        <w:rPr>
          <w:szCs w:val="24"/>
        </w:rPr>
      </w:pPr>
      <w:r w:rsidRPr="00EE0DDA">
        <w:rPr>
          <w:szCs w:val="24"/>
        </w:rPr>
        <w:t xml:space="preserve">Counsel of Record (# 0020847)                      </w:t>
      </w:r>
    </w:p>
    <w:p w:rsidR="00E847EE" w:rsidRPr="00EE0DDA" w:rsidP="00E847EE" w14:paraId="27EAA0DC" w14:textId="77777777">
      <w:pPr>
        <w:suppressLineNumbers/>
        <w:ind w:left="4320"/>
        <w:rPr>
          <w:szCs w:val="24"/>
        </w:rPr>
      </w:pPr>
      <w:r w:rsidRPr="00EE0DDA">
        <w:rPr>
          <w:szCs w:val="24"/>
        </w:rPr>
        <w:t>John Finnigan (#0018689)</w:t>
      </w:r>
      <w:r w:rsidRPr="00EE0DDA">
        <w:rPr>
          <w:szCs w:val="24"/>
        </w:rPr>
        <w:tab/>
      </w:r>
    </w:p>
    <w:p w:rsidR="00E847EE" w:rsidP="00E847EE" w14:paraId="6F29E82B" w14:textId="24ABA5EF">
      <w:pPr>
        <w:suppressLineNumbers/>
        <w:ind w:left="4320"/>
        <w:rPr>
          <w:szCs w:val="24"/>
        </w:rPr>
      </w:pPr>
      <w:r w:rsidRPr="00EE0DDA">
        <w:rPr>
          <w:szCs w:val="24"/>
        </w:rPr>
        <w:t>Assistant Consumers’ Counsel</w:t>
      </w:r>
    </w:p>
    <w:p w:rsidR="00E07CF4" w:rsidRPr="00EE0DDA" w:rsidP="00E847EE" w14:paraId="68099538" w14:textId="77777777">
      <w:pPr>
        <w:suppressLineNumbers/>
        <w:ind w:left="4320"/>
        <w:rPr>
          <w:szCs w:val="24"/>
        </w:rPr>
      </w:pPr>
    </w:p>
    <w:p w:rsidR="00E847EE" w:rsidRPr="00EE0DDA" w:rsidP="00E847EE" w14:paraId="21886420" w14:textId="77777777">
      <w:pPr>
        <w:suppressLineNumbers/>
        <w:ind w:left="4320"/>
        <w:rPr>
          <w:b/>
          <w:bCs/>
          <w:szCs w:val="24"/>
        </w:rPr>
      </w:pPr>
      <w:r w:rsidRPr="00EE0DDA">
        <w:rPr>
          <w:b/>
          <w:bCs/>
          <w:szCs w:val="24"/>
        </w:rPr>
        <w:t>Office of the Ohio Consumers’ Counsel</w:t>
      </w:r>
    </w:p>
    <w:p w:rsidR="00E847EE" w:rsidRPr="00EE0DDA" w:rsidP="00E847EE" w14:paraId="0875F233" w14:textId="77777777">
      <w:pPr>
        <w:suppressLineNumbers/>
        <w:ind w:left="4320"/>
        <w:rPr>
          <w:bCs/>
          <w:szCs w:val="24"/>
        </w:rPr>
      </w:pPr>
      <w:r w:rsidRPr="00EE0DDA">
        <w:rPr>
          <w:bCs/>
          <w:szCs w:val="24"/>
        </w:rPr>
        <w:t>65 East State Street, 7</w:t>
      </w:r>
      <w:r w:rsidRPr="00EE0DDA">
        <w:rPr>
          <w:bCs/>
          <w:szCs w:val="24"/>
          <w:vertAlign w:val="superscript"/>
        </w:rPr>
        <w:t>th</w:t>
      </w:r>
      <w:r w:rsidRPr="00EE0DDA">
        <w:rPr>
          <w:bCs/>
          <w:szCs w:val="24"/>
        </w:rPr>
        <w:t xml:space="preserve"> Floor</w:t>
      </w:r>
    </w:p>
    <w:p w:rsidR="00E847EE" w:rsidRPr="00EE0DDA" w:rsidP="00E847EE" w14:paraId="2FD94873" w14:textId="77777777">
      <w:pPr>
        <w:suppressLineNumbers/>
        <w:ind w:left="4320"/>
        <w:rPr>
          <w:bCs/>
          <w:szCs w:val="24"/>
        </w:rPr>
      </w:pPr>
      <w:r w:rsidRPr="00EE0DDA">
        <w:rPr>
          <w:bCs/>
          <w:szCs w:val="24"/>
        </w:rPr>
        <w:t>Columbus, Ohio 43215</w:t>
      </w:r>
    </w:p>
    <w:p w:rsidR="00E847EE" w:rsidRPr="00EE0DDA" w:rsidP="00E847EE" w14:paraId="3DBD26EA" w14:textId="77777777">
      <w:pPr>
        <w:suppressLineNumbers/>
        <w:ind w:left="4320"/>
        <w:rPr>
          <w:szCs w:val="24"/>
        </w:rPr>
      </w:pPr>
      <w:r w:rsidRPr="00EE0DDA">
        <w:rPr>
          <w:szCs w:val="24"/>
        </w:rPr>
        <w:t>Telephone [Willis]: (614) 466-9567</w:t>
      </w:r>
    </w:p>
    <w:p w:rsidR="00E847EE" w:rsidRPr="00EE0DDA" w:rsidP="00E847EE" w14:paraId="1C8AAF42" w14:textId="77777777">
      <w:pPr>
        <w:suppressLineNumbers/>
        <w:ind w:left="4320"/>
        <w:rPr>
          <w:szCs w:val="24"/>
        </w:rPr>
      </w:pPr>
      <w:r w:rsidRPr="00EE0DDA">
        <w:rPr>
          <w:szCs w:val="24"/>
        </w:rPr>
        <w:t>Telephone [Finnigan]: (614) 466-9585</w:t>
      </w:r>
    </w:p>
    <w:p w:rsidR="00E847EE" w:rsidRPr="00EE0DDA" w:rsidP="00E847EE" w14:paraId="0F723F10" w14:textId="77777777">
      <w:pPr>
        <w:suppressLineNumbers/>
        <w:ind w:left="4320"/>
        <w:rPr>
          <w:szCs w:val="24"/>
        </w:rPr>
      </w:pPr>
      <w:hyperlink r:id="rId6" w:history="1">
        <w:r w:rsidRPr="00EE0DDA" w:rsidR="001F4CAE">
          <w:rPr>
            <w:rStyle w:val="Hyperlink"/>
            <w:rFonts w:eastAsia="Courier New"/>
            <w:szCs w:val="24"/>
          </w:rPr>
          <w:t>Maureen.willis@occ.ohio.gov</w:t>
        </w:r>
      </w:hyperlink>
    </w:p>
    <w:p w:rsidR="00E847EE" w:rsidRPr="00EE0DDA" w:rsidP="00E847EE" w14:paraId="2CE9F240" w14:textId="77777777">
      <w:pPr>
        <w:suppressLineNumbers/>
        <w:ind w:left="4320"/>
        <w:rPr>
          <w:szCs w:val="24"/>
        </w:rPr>
      </w:pPr>
      <w:hyperlink r:id="rId7" w:history="1">
        <w:r w:rsidRPr="00EE0DDA" w:rsidR="001F4CAE">
          <w:rPr>
            <w:rStyle w:val="Hyperlink"/>
            <w:rFonts w:eastAsia="Courier New"/>
            <w:szCs w:val="24"/>
          </w:rPr>
          <w:t>John.finnigan@occ.ohio.gov</w:t>
        </w:r>
      </w:hyperlink>
    </w:p>
    <w:p w:rsidR="00E847EE" w:rsidP="00E847EE" w14:paraId="25FF45E3" w14:textId="3A8BBD6A">
      <w:pPr>
        <w:suppressLineNumbers/>
        <w:ind w:left="4320"/>
        <w:rPr>
          <w:szCs w:val="24"/>
        </w:rPr>
      </w:pPr>
      <w:r w:rsidRPr="00EE0DDA">
        <w:rPr>
          <w:szCs w:val="24"/>
        </w:rPr>
        <w:t>(</w:t>
      </w:r>
      <w:r w:rsidR="00E07CF4">
        <w:rPr>
          <w:szCs w:val="24"/>
        </w:rPr>
        <w:t>w</w:t>
      </w:r>
      <w:r w:rsidRPr="00EE0DDA">
        <w:rPr>
          <w:szCs w:val="24"/>
        </w:rPr>
        <w:t>illing to accept service by e-mail)</w:t>
      </w:r>
    </w:p>
    <w:p w:rsidR="00E07CF4" w14:paraId="14A080C6" w14:textId="52AE658D">
      <w:pPr>
        <w:spacing w:after="200" w:line="276" w:lineRule="auto"/>
        <w:rPr>
          <w:szCs w:val="24"/>
        </w:rPr>
      </w:pPr>
      <w:r>
        <w:rPr>
          <w:szCs w:val="24"/>
        </w:rPr>
        <w:br w:type="page"/>
      </w:r>
    </w:p>
    <w:p w:rsidR="00F84F69" w:rsidRPr="00255E79" w:rsidP="00AA1CBA" w14:paraId="10153202" w14:textId="77777777">
      <w:pPr>
        <w:ind w:left="3600" w:firstLine="720"/>
        <w:jc w:val="both"/>
        <w:rPr>
          <w:i/>
          <w:szCs w:val="24"/>
        </w:rPr>
      </w:pPr>
      <w:r w:rsidRPr="00255E79">
        <w:rPr>
          <w:i/>
          <w:szCs w:val="24"/>
          <w:u w:val="single"/>
        </w:rPr>
        <w:t>/s/ Kimberly W. Bojko</w:t>
      </w:r>
    </w:p>
    <w:p w:rsidR="00F84F69" w:rsidRPr="00255E79" w:rsidP="00F84F69" w14:paraId="182C3B24" w14:textId="77777777">
      <w:pPr>
        <w:jc w:val="both"/>
        <w:rPr>
          <w:szCs w:val="24"/>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t>Kimberly W. Bojko (0069402) (Counsel of Record)</w:t>
      </w:r>
    </w:p>
    <w:p w:rsidR="00F84F69" w:rsidRPr="00255E79" w:rsidP="00F84F69" w14:paraId="73E58155" w14:textId="77777777">
      <w:pPr>
        <w:jc w:val="both"/>
        <w:rPr>
          <w:szCs w:val="24"/>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t xml:space="preserve">Thomas V. Donadio (0100027) </w:t>
      </w:r>
    </w:p>
    <w:p w:rsidR="00F84F69" w:rsidRPr="00255E79" w:rsidP="00F84F69" w14:paraId="469F8EFE" w14:textId="77777777">
      <w:pPr>
        <w:jc w:val="both"/>
        <w:rPr>
          <w:szCs w:val="24"/>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t>Carpenter Lipps &amp; Leland LLP</w:t>
      </w:r>
    </w:p>
    <w:p w:rsidR="00F84F69" w:rsidRPr="00255E79" w:rsidP="00F84F69" w14:paraId="723D7C83" w14:textId="77777777">
      <w:pPr>
        <w:ind w:left="4320"/>
        <w:jc w:val="both"/>
        <w:rPr>
          <w:szCs w:val="24"/>
        </w:rPr>
      </w:pPr>
      <w:r w:rsidRPr="00255E79">
        <w:rPr>
          <w:szCs w:val="24"/>
        </w:rPr>
        <w:t>280 North High Street, Suite 1300</w:t>
      </w:r>
    </w:p>
    <w:p w:rsidR="00F84F69" w:rsidRPr="00255E79" w:rsidP="00F84F69" w14:paraId="3BDEB06A" w14:textId="77777777">
      <w:pPr>
        <w:ind w:left="4320"/>
        <w:jc w:val="both"/>
        <w:rPr>
          <w:szCs w:val="24"/>
        </w:rPr>
      </w:pPr>
      <w:r w:rsidRPr="00255E79">
        <w:rPr>
          <w:szCs w:val="24"/>
        </w:rPr>
        <w:t>Columbus, Ohio 43215</w:t>
      </w:r>
    </w:p>
    <w:p w:rsidR="00F84F69" w:rsidRPr="00255E79" w:rsidP="00F84F69" w14:paraId="6922B20A" w14:textId="77777777">
      <w:pPr>
        <w:ind w:left="4320"/>
        <w:jc w:val="both"/>
        <w:rPr>
          <w:szCs w:val="24"/>
        </w:rPr>
      </w:pPr>
      <w:r w:rsidRPr="00255E79">
        <w:rPr>
          <w:szCs w:val="24"/>
        </w:rPr>
        <w:t xml:space="preserve">Telephone:  (614) 365-4100 </w:t>
      </w:r>
    </w:p>
    <w:p w:rsidR="00F84F69" w:rsidRPr="00255E79" w:rsidP="00F84F69" w14:paraId="73151A2C" w14:textId="77777777">
      <w:pPr>
        <w:jc w:val="both"/>
        <w:rPr>
          <w:color w:val="0000FF" w:themeColor="hyperlink"/>
          <w:szCs w:val="24"/>
          <w:u w:val="single"/>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r>
      <w:hyperlink r:id="rId8" w:history="1">
        <w:r w:rsidRPr="00255E79">
          <w:rPr>
            <w:rStyle w:val="Hyperlink"/>
            <w:szCs w:val="24"/>
          </w:rPr>
          <w:t>Bojko@carpenterlipps.com</w:t>
        </w:r>
      </w:hyperlink>
      <w:r w:rsidRPr="00255E79">
        <w:rPr>
          <w:color w:val="0000FF" w:themeColor="hyperlink"/>
          <w:szCs w:val="24"/>
          <w:u w:val="single"/>
        </w:rPr>
        <w:t xml:space="preserve"> </w:t>
      </w:r>
    </w:p>
    <w:p w:rsidR="00F84F69" w:rsidRPr="00255E79" w:rsidP="00F84F69" w14:paraId="0B9A0372" w14:textId="77777777">
      <w:pPr>
        <w:ind w:left="3600" w:firstLine="720"/>
        <w:jc w:val="both"/>
        <w:rPr>
          <w:color w:val="0000FF" w:themeColor="hyperlink"/>
          <w:szCs w:val="24"/>
          <w:u w:val="single"/>
        </w:rPr>
      </w:pPr>
      <w:hyperlink r:id="rId9" w:history="1">
        <w:r w:rsidRPr="00255E79" w:rsidR="001F4CAE">
          <w:rPr>
            <w:rStyle w:val="Hyperlink"/>
            <w:szCs w:val="24"/>
          </w:rPr>
          <w:t>Donadio@carpenterlipps.com</w:t>
        </w:r>
      </w:hyperlink>
      <w:r w:rsidRPr="00255E79" w:rsidR="001F4CAE">
        <w:rPr>
          <w:color w:val="0000FF" w:themeColor="hyperlink"/>
          <w:szCs w:val="24"/>
          <w:u w:val="single"/>
        </w:rPr>
        <w:t xml:space="preserve"> </w:t>
      </w:r>
    </w:p>
    <w:p w:rsidR="00F84F69" w:rsidRPr="00255E79" w:rsidP="00AA1CBA" w14:paraId="705DA245" w14:textId="486C8477">
      <w:pPr>
        <w:spacing w:after="60"/>
        <w:jc w:val="both"/>
        <w:rPr>
          <w:i/>
          <w:szCs w:val="24"/>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t xml:space="preserve">(willing to accept service by email) </w:t>
      </w:r>
    </w:p>
    <w:p w:rsidR="00F84F69" w:rsidRPr="00255E79" w:rsidP="00F84F69" w14:paraId="5327262E" w14:textId="77777777">
      <w:pPr>
        <w:ind w:left="4320"/>
        <w:contextualSpacing/>
        <w:jc w:val="both"/>
        <w:rPr>
          <w:i/>
          <w:szCs w:val="24"/>
        </w:rPr>
      </w:pPr>
      <w:r w:rsidRPr="00255E79">
        <w:rPr>
          <w:i/>
          <w:szCs w:val="24"/>
        </w:rPr>
        <w:t xml:space="preserve">Counsel for the Ohio Manufacturers’ Association Energy Group </w:t>
      </w:r>
    </w:p>
    <w:p w:rsidR="00F84F69" w:rsidP="00F84F69" w14:paraId="1FF088F5" w14:textId="77777777"/>
    <w:p w:rsidR="00704AEA" w:rsidP="00E847EE" w14:paraId="68E31082" w14:textId="6818500D">
      <w:pPr>
        <w:spacing w:line="480" w:lineRule="auto"/>
        <w:rPr>
          <w:color w:val="252525"/>
          <w:szCs w:val="24"/>
        </w:rPr>
      </w:pPr>
      <w:r w:rsidRPr="00704AEA">
        <w:rPr>
          <w:szCs w:val="24"/>
          <w:highlight w:val="yellow"/>
        </w:rPr>
        <w:t xml:space="preserve"> </w:t>
      </w:r>
    </w:p>
    <w:p w:rsidR="00704AEA" w:rsidP="00F62B39" w14:paraId="30052907" w14:textId="77777777">
      <w:pPr>
        <w:spacing w:line="480" w:lineRule="auto"/>
        <w:ind w:firstLine="720"/>
        <w:rPr>
          <w:color w:val="252525"/>
          <w:szCs w:val="24"/>
        </w:rPr>
      </w:pPr>
    </w:p>
    <w:p w:rsidR="00704AEA" w:rsidP="00F62B39" w14:paraId="1A81560F" w14:textId="77777777">
      <w:pPr>
        <w:spacing w:line="480" w:lineRule="auto"/>
        <w:ind w:firstLine="720"/>
        <w:rPr>
          <w:color w:val="252525"/>
          <w:szCs w:val="24"/>
        </w:rPr>
      </w:pPr>
    </w:p>
    <w:p w:rsidR="00330512" w:rsidRPr="00EE0DDA" w14:paraId="5E02076A" w14:textId="77777777">
      <w:pPr>
        <w:spacing w:after="200" w:line="276" w:lineRule="auto"/>
        <w:rPr>
          <w:rFonts w:eastAsiaTheme="minorHAnsi"/>
          <w:color w:val="000000"/>
          <w:szCs w:val="24"/>
        </w:rPr>
        <w:sectPr w:rsidSect="00AA1CBA">
          <w:footerReference w:type="default" r:id="rId10"/>
          <w:pgSz w:w="12240" w:h="15840"/>
          <w:pgMar w:top="1440" w:right="1440" w:bottom="1440" w:left="1440" w:header="720" w:footer="720" w:gutter="0"/>
          <w:cols w:space="720"/>
          <w:titlePg/>
          <w:docGrid w:linePitch="360"/>
        </w:sectPr>
      </w:pPr>
      <w:r w:rsidRPr="00EE0DDA">
        <w:rPr>
          <w:rFonts w:eastAsiaTheme="minorHAnsi"/>
          <w:color w:val="000000"/>
          <w:szCs w:val="24"/>
        </w:rPr>
        <w:br w:type="page"/>
      </w:r>
    </w:p>
    <w:p w:rsidR="009E5670" w:rsidRPr="00EE0DDA" w:rsidP="009E5670" w14:paraId="2B58F086" w14:textId="77777777">
      <w:pPr>
        <w:pStyle w:val="HTMLPreformatted"/>
        <w:jc w:val="center"/>
        <w:rPr>
          <w:rFonts w:ascii="Times New Roman" w:hAnsi="Times New Roman" w:cs="Times New Roman"/>
          <w:b/>
          <w:bCs/>
          <w:sz w:val="24"/>
          <w:szCs w:val="24"/>
        </w:rPr>
      </w:pPr>
      <w:r w:rsidRPr="00EE0DDA">
        <w:rPr>
          <w:rFonts w:ascii="Times New Roman" w:hAnsi="Times New Roman" w:cs="Times New Roman"/>
          <w:b/>
          <w:bCs/>
          <w:sz w:val="24"/>
          <w:szCs w:val="24"/>
        </w:rPr>
        <w:t>BEFORE</w:t>
      </w:r>
    </w:p>
    <w:p w:rsidR="009E5670" w:rsidRPr="00EE0DDA" w:rsidP="009E5670" w14:paraId="0E101515" w14:textId="77777777">
      <w:pPr>
        <w:pStyle w:val="HTMLPreformatted"/>
        <w:jc w:val="center"/>
        <w:rPr>
          <w:rFonts w:ascii="Times New Roman" w:hAnsi="Times New Roman" w:cs="Times New Roman"/>
          <w:b/>
          <w:bCs/>
          <w:sz w:val="24"/>
          <w:szCs w:val="24"/>
        </w:rPr>
      </w:pPr>
      <w:r w:rsidRPr="00EE0DDA">
        <w:rPr>
          <w:rFonts w:ascii="Times New Roman" w:hAnsi="Times New Roman" w:cs="Times New Roman"/>
          <w:b/>
          <w:bCs/>
          <w:sz w:val="24"/>
          <w:szCs w:val="24"/>
        </w:rPr>
        <w:t>THE PUBLIC UTILITIES COMMISSION OF OHIO</w:t>
      </w:r>
    </w:p>
    <w:p w:rsidR="009E5670" w:rsidRPr="00EE0DDA" w:rsidP="009E5670" w14:paraId="1A057649" w14:textId="77777777">
      <w:pPr>
        <w:pStyle w:val="HTMLPreformatted"/>
        <w:rPr>
          <w:rFonts w:ascii="Times New Roman" w:hAnsi="Times New Roman" w:cs="Times New Roman"/>
          <w:sz w:val="24"/>
          <w:szCs w:val="24"/>
        </w:rPr>
      </w:pPr>
    </w:p>
    <w:tbl>
      <w:tblPr>
        <w:tblW w:w="9092" w:type="dxa"/>
        <w:tblLook w:val="01E0"/>
      </w:tblPr>
      <w:tblGrid>
        <w:gridCol w:w="4567"/>
        <w:gridCol w:w="296"/>
        <w:gridCol w:w="4229"/>
      </w:tblGrid>
      <w:tr w14:paraId="34AC05C1" w14:textId="77777777" w:rsidTr="00E07CF4">
        <w:tblPrEx>
          <w:tblW w:w="9092" w:type="dxa"/>
          <w:tblLook w:val="01E0"/>
        </w:tblPrEx>
        <w:trPr>
          <w:trHeight w:val="807"/>
        </w:trPr>
        <w:tc>
          <w:tcPr>
            <w:tcW w:w="4569" w:type="dxa"/>
            <w:shd w:val="clear" w:color="auto" w:fill="auto"/>
          </w:tcPr>
          <w:p w:rsidR="009E5670" w:rsidRPr="00EE0DDA" w:rsidP="00A32653" w14:paraId="5E979613"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In the Matter of the Review of the Political and Charitable Spending by Ohio Edison Company, The Cleveland Electric Illuminating Company, and the Toledo Edison Company.</w:t>
            </w:r>
          </w:p>
        </w:tc>
        <w:tc>
          <w:tcPr>
            <w:tcW w:w="291" w:type="dxa"/>
            <w:shd w:val="clear" w:color="auto" w:fill="auto"/>
          </w:tcPr>
          <w:p w:rsidR="009E5670" w:rsidRPr="00EE0DDA" w:rsidP="00A32653" w14:paraId="786542A5"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p w:rsidR="009E5670" w:rsidRPr="00EE0DDA" w:rsidP="00A32653" w14:paraId="5FBABBC9"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p w:rsidR="009E5670" w:rsidRPr="00EE0DDA" w:rsidP="00A32653" w14:paraId="19C2F400"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p w:rsidR="009E5670" w:rsidRPr="00EE0DDA" w:rsidP="00A32653" w14:paraId="67175FA4"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p w:rsidR="009E5670" w:rsidRPr="00EE0DDA" w:rsidP="00A32653" w14:paraId="06BD06E6"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w:t>
            </w:r>
          </w:p>
        </w:tc>
        <w:tc>
          <w:tcPr>
            <w:tcW w:w="4232" w:type="dxa"/>
            <w:shd w:val="clear" w:color="auto" w:fill="auto"/>
          </w:tcPr>
          <w:p w:rsidR="009E5670" w:rsidRPr="00EE0DDA" w:rsidP="00A32653" w14:paraId="1CBE63BF" w14:textId="77777777">
            <w:pPr>
              <w:pStyle w:val="HTMLPreformatted"/>
              <w:rPr>
                <w:rFonts w:ascii="Times New Roman" w:hAnsi="Times New Roman" w:cs="Times New Roman"/>
                <w:sz w:val="24"/>
                <w:szCs w:val="24"/>
              </w:rPr>
            </w:pPr>
          </w:p>
          <w:p w:rsidR="009E5670" w:rsidRPr="00EE0DDA" w:rsidP="00A32653" w14:paraId="4F056715" w14:textId="77777777">
            <w:pPr>
              <w:pStyle w:val="HTMLPreformatted"/>
              <w:rPr>
                <w:rFonts w:ascii="Times New Roman" w:hAnsi="Times New Roman" w:cs="Times New Roman"/>
                <w:sz w:val="24"/>
                <w:szCs w:val="24"/>
              </w:rPr>
            </w:pPr>
            <w:r w:rsidRPr="00EE0DDA">
              <w:rPr>
                <w:rFonts w:ascii="Times New Roman" w:hAnsi="Times New Roman" w:cs="Times New Roman"/>
                <w:sz w:val="24"/>
                <w:szCs w:val="24"/>
              </w:rPr>
              <w:t>Case No. 20-1502-EL-UNC</w:t>
            </w:r>
          </w:p>
          <w:p w:rsidR="009E5670" w:rsidRPr="00EE0DDA" w:rsidP="00A32653" w14:paraId="1D508286" w14:textId="77777777">
            <w:pPr>
              <w:pStyle w:val="HTMLPreformatted"/>
              <w:rPr>
                <w:rFonts w:ascii="Times New Roman" w:hAnsi="Times New Roman" w:cs="Times New Roman"/>
                <w:sz w:val="24"/>
                <w:szCs w:val="24"/>
              </w:rPr>
            </w:pPr>
          </w:p>
        </w:tc>
      </w:tr>
    </w:tbl>
    <w:p w:rsidR="009E5670" w:rsidRPr="00EE0DDA" w:rsidP="009E5670" w14:paraId="1F6CC89D" w14:textId="505BCB86">
      <w:pPr>
        <w:pBdr>
          <w:bottom w:val="single" w:sz="12" w:space="1" w:color="auto"/>
        </w:pBdr>
        <w:tabs>
          <w:tab w:val="left" w:pos="720"/>
          <w:tab w:val="left" w:pos="1440"/>
        </w:tabs>
        <w:spacing w:line="480" w:lineRule="auto"/>
        <w:rPr>
          <w:b/>
          <w:color w:val="252525"/>
          <w:szCs w:val="24"/>
          <w:u w:val="single"/>
        </w:rPr>
      </w:pPr>
    </w:p>
    <w:p w:rsidR="009E5670" w:rsidRPr="00EE0DDA" w:rsidP="009E5670" w14:paraId="5F4AB703" w14:textId="77777777">
      <w:pPr>
        <w:tabs>
          <w:tab w:val="left" w:pos="720"/>
          <w:tab w:val="left" w:pos="1440"/>
        </w:tabs>
        <w:rPr>
          <w:b/>
          <w:color w:val="252525"/>
          <w:szCs w:val="24"/>
          <w:u w:val="single"/>
        </w:rPr>
      </w:pPr>
    </w:p>
    <w:p w:rsidR="003E6826" w:rsidRPr="00EE0DDA" w:rsidP="003E6826" w14:paraId="711F12EB" w14:textId="6C9BC0EC">
      <w:pPr>
        <w:pBdr>
          <w:bottom w:val="single" w:sz="12" w:space="1" w:color="auto"/>
        </w:pBdr>
        <w:tabs>
          <w:tab w:val="left" w:pos="720"/>
          <w:tab w:val="left" w:pos="1440"/>
        </w:tabs>
        <w:spacing w:line="480" w:lineRule="auto"/>
        <w:jc w:val="center"/>
        <w:rPr>
          <w:b/>
          <w:color w:val="252525"/>
          <w:szCs w:val="24"/>
        </w:rPr>
      </w:pPr>
      <w:r w:rsidRPr="00EE0DDA">
        <w:rPr>
          <w:b/>
          <w:color w:val="252525"/>
          <w:szCs w:val="24"/>
        </w:rPr>
        <w:t>MEMORANDUM IN SUPPORT</w:t>
      </w:r>
    </w:p>
    <w:p w:rsidR="009E5670" w:rsidRPr="00EE0DDA" w:rsidP="009E5670" w14:paraId="568712B0" w14:textId="2294F4B8">
      <w:pPr>
        <w:tabs>
          <w:tab w:val="left" w:pos="720"/>
          <w:tab w:val="left" w:pos="1440"/>
        </w:tabs>
        <w:rPr>
          <w:color w:val="252525"/>
          <w:szCs w:val="24"/>
        </w:rPr>
      </w:pPr>
    </w:p>
    <w:p w:rsidR="00547056" w:rsidP="00E07CF4" w14:paraId="29F9FAB5" w14:textId="67D390EE">
      <w:pPr>
        <w:pStyle w:val="Heading1"/>
      </w:pPr>
      <w:r>
        <w:t>INTRODUCTION</w:t>
      </w:r>
    </w:p>
    <w:p w:rsidR="000E6D48" w:rsidP="0001693C" w14:paraId="1FA2C8C8" w14:textId="16721D7C">
      <w:pPr>
        <w:spacing w:line="480" w:lineRule="auto"/>
        <w:ind w:firstLine="720"/>
        <w:rPr>
          <w:color w:val="252525"/>
          <w:szCs w:val="24"/>
        </w:rPr>
      </w:pPr>
      <w:r>
        <w:rPr>
          <w:color w:val="252525"/>
          <w:szCs w:val="24"/>
        </w:rPr>
        <w:t xml:space="preserve">After </w:t>
      </w:r>
      <w:r w:rsidR="001F4CAE">
        <w:rPr>
          <w:color w:val="252525"/>
          <w:szCs w:val="24"/>
        </w:rPr>
        <w:t>the announcement, by the U.S. Attorney’s Office, of the House Bill 6 scandal that reportedly involves one or more FirstEnergy entities</w:t>
      </w:r>
      <w:r w:rsidR="00FC7A7F">
        <w:rPr>
          <w:color w:val="252525"/>
          <w:szCs w:val="24"/>
        </w:rPr>
        <w:t xml:space="preserve"> and </w:t>
      </w:r>
      <w:r w:rsidR="00CE35CC">
        <w:rPr>
          <w:color w:val="252525"/>
          <w:szCs w:val="24"/>
        </w:rPr>
        <w:t xml:space="preserve">OCC’s </w:t>
      </w:r>
      <w:r w:rsidRPr="00EE0DDA" w:rsidR="00FC7A7F">
        <w:rPr>
          <w:bCs/>
          <w:szCs w:val="24"/>
        </w:rPr>
        <w:t xml:space="preserve">motions </w:t>
      </w:r>
      <w:r w:rsidR="00FC7A7F">
        <w:rPr>
          <w:bCs/>
          <w:szCs w:val="24"/>
        </w:rPr>
        <w:t xml:space="preserve">were filed </w:t>
      </w:r>
      <w:r w:rsidRPr="00EE0DDA" w:rsidR="00FC7A7F">
        <w:rPr>
          <w:bCs/>
          <w:szCs w:val="24"/>
        </w:rPr>
        <w:t xml:space="preserve">on September 8, 2020, “to review the political and charitable spending by FirstEnergy in support of Am. Sub. H.B.6 and the </w:t>
      </w:r>
      <w:r w:rsidR="00FC7A7F">
        <w:rPr>
          <w:bCs/>
          <w:szCs w:val="24"/>
        </w:rPr>
        <w:t>subsequent referendum effort,</w:t>
      </w:r>
      <w:r w:rsidRPr="00EE0DDA" w:rsidR="00FC7A7F">
        <w:rPr>
          <w:bCs/>
          <w:szCs w:val="24"/>
        </w:rPr>
        <w:t>”</w:t>
      </w:r>
      <w:r>
        <w:rPr>
          <w:rStyle w:val="FootnoteReference"/>
          <w:bCs/>
          <w:szCs w:val="24"/>
        </w:rPr>
        <w:footnoteReference w:id="4"/>
      </w:r>
      <w:r w:rsidR="00FC7A7F">
        <w:rPr>
          <w:bCs/>
          <w:szCs w:val="24"/>
        </w:rPr>
        <w:t xml:space="preserve"> t</w:t>
      </w:r>
      <w:r w:rsidRPr="00EE0DDA" w:rsidR="00FC7A7F">
        <w:rPr>
          <w:bCs/>
          <w:szCs w:val="24"/>
        </w:rPr>
        <w:t>he PUCO opened this proceeding on September 15, 2020</w:t>
      </w:r>
      <w:r w:rsidR="001F4CAE">
        <w:rPr>
          <w:color w:val="252525"/>
          <w:szCs w:val="24"/>
        </w:rPr>
        <w:t xml:space="preserve">. </w:t>
      </w:r>
      <w:r w:rsidR="00FC7A7F">
        <w:rPr>
          <w:color w:val="252525"/>
          <w:szCs w:val="24"/>
        </w:rPr>
        <w:t xml:space="preserve"> </w:t>
      </w:r>
      <w:r w:rsidRPr="00EE0DDA" w:rsidR="00FC7A7F">
        <w:rPr>
          <w:bCs/>
          <w:szCs w:val="24"/>
        </w:rPr>
        <w:t xml:space="preserve">Over the past </w:t>
      </w:r>
      <w:r w:rsidR="00FC7A7F">
        <w:rPr>
          <w:bCs/>
          <w:szCs w:val="24"/>
        </w:rPr>
        <w:t>nine</w:t>
      </w:r>
      <w:r w:rsidRPr="00EE0DDA" w:rsidR="00FC7A7F">
        <w:rPr>
          <w:bCs/>
          <w:szCs w:val="24"/>
        </w:rPr>
        <w:t xml:space="preserve"> months, as allowed under Ohio law and the PUCO rules, OCC</w:t>
      </w:r>
      <w:r w:rsidR="00FC7A7F">
        <w:rPr>
          <w:bCs/>
          <w:szCs w:val="24"/>
        </w:rPr>
        <w:t>, OMAEG, and others have</w:t>
      </w:r>
      <w:r w:rsidRPr="00EE0DDA" w:rsidR="00FC7A7F">
        <w:rPr>
          <w:bCs/>
          <w:szCs w:val="24"/>
        </w:rPr>
        <w:t xml:space="preserve"> sought answers from FirstEnergy through written discovery and </w:t>
      </w:r>
      <w:r w:rsidR="00FC7A7F">
        <w:rPr>
          <w:bCs/>
          <w:szCs w:val="24"/>
        </w:rPr>
        <w:t>a</w:t>
      </w:r>
      <w:r w:rsidRPr="00EE0DDA" w:rsidR="00FC7A7F">
        <w:rPr>
          <w:bCs/>
          <w:szCs w:val="24"/>
        </w:rPr>
        <w:t xml:space="preserve"> deposition</w:t>
      </w:r>
      <w:r w:rsidR="00FC7A7F">
        <w:rPr>
          <w:bCs/>
          <w:szCs w:val="24"/>
        </w:rPr>
        <w:t>.</w:t>
      </w:r>
      <w:r w:rsidRPr="00EE0DDA" w:rsidR="00FC7A7F">
        <w:rPr>
          <w:bCs/>
          <w:szCs w:val="24"/>
        </w:rPr>
        <w:t xml:space="preserve"> </w:t>
      </w:r>
    </w:p>
    <w:p w:rsidR="00016EF6" w:rsidP="0001693C" w14:paraId="61B9AB27" w14:textId="6BFF21E0">
      <w:pPr>
        <w:spacing w:line="480" w:lineRule="auto"/>
        <w:ind w:firstLine="720"/>
        <w:rPr>
          <w:color w:val="252525"/>
          <w:szCs w:val="24"/>
        </w:rPr>
      </w:pPr>
      <w:r>
        <w:rPr>
          <w:color w:val="252525"/>
          <w:szCs w:val="24"/>
        </w:rPr>
        <w:t>After discovery disputes arose and discovery went unanswered, t</w:t>
      </w:r>
      <w:r w:rsidRPr="00EE0DDA" w:rsidR="00E42244">
        <w:rPr>
          <w:color w:val="252525"/>
          <w:szCs w:val="24"/>
        </w:rPr>
        <w:t>he Attorney Examiner</w:t>
      </w:r>
      <w:r w:rsidR="00E42244">
        <w:rPr>
          <w:color w:val="252525"/>
          <w:szCs w:val="24"/>
        </w:rPr>
        <w:t>’s</w:t>
      </w:r>
      <w:r w:rsidRPr="00EE0DDA" w:rsidR="00E42244">
        <w:rPr>
          <w:color w:val="252525"/>
          <w:szCs w:val="24"/>
        </w:rPr>
        <w:t xml:space="preserve"> </w:t>
      </w:r>
      <w:r w:rsidR="008F014B">
        <w:rPr>
          <w:color w:val="252525"/>
          <w:szCs w:val="24"/>
        </w:rPr>
        <w:t xml:space="preserve">May 13, </w:t>
      </w:r>
      <w:r w:rsidR="00C00A88">
        <w:rPr>
          <w:color w:val="252525"/>
          <w:szCs w:val="24"/>
        </w:rPr>
        <w:t xml:space="preserve">2021 </w:t>
      </w:r>
      <w:r w:rsidRPr="00EE0DDA" w:rsidR="00E42244">
        <w:rPr>
          <w:color w:val="252525"/>
          <w:szCs w:val="24"/>
        </w:rPr>
        <w:t xml:space="preserve">Entry </w:t>
      </w:r>
      <w:r w:rsidR="008F014B">
        <w:rPr>
          <w:color w:val="252525"/>
          <w:szCs w:val="24"/>
        </w:rPr>
        <w:t xml:space="preserve">extended the </w:t>
      </w:r>
      <w:r w:rsidR="00E42244">
        <w:rPr>
          <w:color w:val="252525"/>
          <w:szCs w:val="24"/>
        </w:rPr>
        <w:t>comment</w:t>
      </w:r>
      <w:r w:rsidR="00C00A88">
        <w:rPr>
          <w:color w:val="252525"/>
          <w:szCs w:val="24"/>
        </w:rPr>
        <w:t xml:space="preserve"> and reply comment deadlines </w:t>
      </w:r>
      <w:r w:rsidR="008F014B">
        <w:rPr>
          <w:color w:val="252525"/>
          <w:szCs w:val="24"/>
        </w:rPr>
        <w:t>until June 20, 2021</w:t>
      </w:r>
      <w:r w:rsidR="008A5D64">
        <w:rPr>
          <w:color w:val="252525"/>
          <w:szCs w:val="24"/>
        </w:rPr>
        <w:t>,</w:t>
      </w:r>
      <w:r w:rsidR="008F014B">
        <w:rPr>
          <w:color w:val="252525"/>
          <w:szCs w:val="24"/>
        </w:rPr>
        <w:t xml:space="preserve"> and Aug</w:t>
      </w:r>
      <w:r w:rsidR="000D7FA6">
        <w:rPr>
          <w:color w:val="252525"/>
          <w:szCs w:val="24"/>
        </w:rPr>
        <w:t>ust</w:t>
      </w:r>
      <w:r w:rsidR="008F014B">
        <w:rPr>
          <w:color w:val="252525"/>
          <w:szCs w:val="24"/>
        </w:rPr>
        <w:t xml:space="preserve"> 3, 2021, respectively</w:t>
      </w:r>
      <w:r w:rsidR="001F4CAE">
        <w:rPr>
          <w:color w:val="252525"/>
          <w:szCs w:val="24"/>
        </w:rPr>
        <w:t xml:space="preserve">.  </w:t>
      </w:r>
      <w:r w:rsidR="00C00A88">
        <w:rPr>
          <w:color w:val="252525"/>
          <w:szCs w:val="24"/>
        </w:rPr>
        <w:t>However, t</w:t>
      </w:r>
      <w:r w:rsidR="00E42244">
        <w:rPr>
          <w:color w:val="252525"/>
          <w:szCs w:val="24"/>
        </w:rPr>
        <w:t>he Entry</w:t>
      </w:r>
      <w:r w:rsidR="00444AF0">
        <w:rPr>
          <w:color w:val="252525"/>
          <w:szCs w:val="24"/>
        </w:rPr>
        <w:t xml:space="preserve"> </w:t>
      </w:r>
      <w:r w:rsidR="001F4CAE">
        <w:rPr>
          <w:color w:val="252525"/>
          <w:szCs w:val="24"/>
        </w:rPr>
        <w:t xml:space="preserve">also precluded OCC </w:t>
      </w:r>
      <w:r w:rsidR="00710560">
        <w:rPr>
          <w:color w:val="252525"/>
          <w:szCs w:val="24"/>
        </w:rPr>
        <w:t xml:space="preserve">(and other parties) </w:t>
      </w:r>
      <w:r w:rsidR="001F4CAE">
        <w:rPr>
          <w:color w:val="252525"/>
          <w:szCs w:val="24"/>
        </w:rPr>
        <w:t xml:space="preserve">from serving any further discovery for </w:t>
      </w:r>
      <w:r w:rsidR="00D43CA3">
        <w:rPr>
          <w:color w:val="252525"/>
          <w:szCs w:val="24"/>
        </w:rPr>
        <w:t xml:space="preserve">60 </w:t>
      </w:r>
      <w:r w:rsidR="001F4CAE">
        <w:rPr>
          <w:color w:val="252525"/>
          <w:szCs w:val="24"/>
        </w:rPr>
        <w:t xml:space="preserve">days and extended the deadline for FirstEnergy to respond to </w:t>
      </w:r>
      <w:r w:rsidR="00710560">
        <w:rPr>
          <w:color w:val="252525"/>
          <w:szCs w:val="24"/>
        </w:rPr>
        <w:t xml:space="preserve">parties’ </w:t>
      </w:r>
      <w:r w:rsidR="001F4CAE">
        <w:rPr>
          <w:color w:val="252525"/>
          <w:szCs w:val="24"/>
        </w:rPr>
        <w:t xml:space="preserve">outstanding discovery by 30 days.  The </w:t>
      </w:r>
      <w:r w:rsidR="000C387D">
        <w:rPr>
          <w:color w:val="252525"/>
          <w:szCs w:val="24"/>
        </w:rPr>
        <w:t>Entry</w:t>
      </w:r>
      <w:r w:rsidR="001F4CAE">
        <w:rPr>
          <w:color w:val="252525"/>
          <w:szCs w:val="24"/>
        </w:rPr>
        <w:t xml:space="preserve"> indicated that “to the extent feasible, the attorney examiners will rule on all outstanding motions to compel during this 60-day period, including any filed during the 60-day period.”</w:t>
      </w:r>
      <w:r>
        <w:rPr>
          <w:rStyle w:val="FootnoteReference"/>
          <w:color w:val="252525"/>
          <w:szCs w:val="24"/>
        </w:rPr>
        <w:footnoteReference w:id="5"/>
      </w:r>
      <w:r w:rsidR="001F4CAE">
        <w:rPr>
          <w:color w:val="252525"/>
          <w:szCs w:val="24"/>
        </w:rPr>
        <w:t xml:space="preserve"> </w:t>
      </w:r>
    </w:p>
    <w:p w:rsidR="00E07CF4" w:rsidP="00D43CA3" w14:paraId="5832BEA9" w14:textId="77777777">
      <w:pPr>
        <w:spacing w:line="480" w:lineRule="auto"/>
        <w:ind w:firstLine="720"/>
        <w:rPr>
          <w:color w:val="252525"/>
          <w:szCs w:val="24"/>
        </w:rPr>
      </w:pPr>
      <w:r>
        <w:rPr>
          <w:color w:val="252525"/>
          <w:szCs w:val="24"/>
        </w:rPr>
        <w:t>Consistent with the May 13, 2021 Entry,</w:t>
      </w:r>
      <w:r>
        <w:rPr>
          <w:rStyle w:val="FootnoteReference"/>
          <w:color w:val="252525"/>
          <w:szCs w:val="24"/>
        </w:rPr>
        <w:footnoteReference w:id="6"/>
      </w:r>
      <w:r>
        <w:rPr>
          <w:color w:val="252525"/>
          <w:szCs w:val="24"/>
        </w:rPr>
        <w:t xml:space="preserve"> o</w:t>
      </w:r>
      <w:r w:rsidR="001F4CAE">
        <w:rPr>
          <w:color w:val="252525"/>
          <w:szCs w:val="24"/>
        </w:rPr>
        <w:t xml:space="preserve">n June 29, 2021, two weeks before the </w:t>
      </w:r>
      <w:r w:rsidR="00D43CA3">
        <w:rPr>
          <w:color w:val="252525"/>
          <w:szCs w:val="24"/>
        </w:rPr>
        <w:t>60</w:t>
      </w:r>
      <w:r w:rsidR="00E56976">
        <w:rPr>
          <w:color w:val="252525"/>
          <w:szCs w:val="24"/>
        </w:rPr>
        <w:t>-</w:t>
      </w:r>
      <w:r w:rsidR="001F4CAE">
        <w:rPr>
          <w:color w:val="252525"/>
          <w:szCs w:val="24"/>
        </w:rPr>
        <w:t>day stay period ended</w:t>
      </w:r>
      <w:r w:rsidR="000951E3">
        <w:rPr>
          <w:color w:val="252525"/>
          <w:szCs w:val="24"/>
        </w:rPr>
        <w:t>,</w:t>
      </w:r>
      <w:r w:rsidR="001F4CAE">
        <w:rPr>
          <w:color w:val="252525"/>
          <w:szCs w:val="24"/>
        </w:rPr>
        <w:t xml:space="preserve"> OCC filed motions to compel related to its 5</w:t>
      </w:r>
      <w:r w:rsidRPr="00016EF6" w:rsidR="001F4CAE">
        <w:rPr>
          <w:color w:val="252525"/>
          <w:szCs w:val="24"/>
          <w:vertAlign w:val="superscript"/>
        </w:rPr>
        <w:t>th</w:t>
      </w:r>
      <w:r w:rsidR="001F4CAE">
        <w:rPr>
          <w:color w:val="252525"/>
          <w:szCs w:val="24"/>
        </w:rPr>
        <w:t>, 6</w:t>
      </w:r>
      <w:r w:rsidRPr="00016EF6" w:rsidR="001F4CAE">
        <w:rPr>
          <w:color w:val="252525"/>
          <w:szCs w:val="24"/>
          <w:vertAlign w:val="superscript"/>
        </w:rPr>
        <w:t>th</w:t>
      </w:r>
      <w:r w:rsidR="001F4CAE">
        <w:rPr>
          <w:color w:val="252525"/>
          <w:szCs w:val="24"/>
        </w:rPr>
        <w:t>, and 7</w:t>
      </w:r>
      <w:r w:rsidRPr="00016EF6" w:rsidR="001F4CAE">
        <w:rPr>
          <w:color w:val="252525"/>
          <w:szCs w:val="24"/>
          <w:vertAlign w:val="superscript"/>
        </w:rPr>
        <w:t>th</w:t>
      </w:r>
      <w:r w:rsidR="001F4CAE">
        <w:rPr>
          <w:color w:val="252525"/>
          <w:szCs w:val="24"/>
        </w:rPr>
        <w:t xml:space="preserve"> set of discovery.  </w:t>
      </w:r>
      <w:r w:rsidR="001C6643">
        <w:rPr>
          <w:color w:val="252525"/>
          <w:szCs w:val="24"/>
        </w:rPr>
        <w:t>OCC’s recent motions to compel</w:t>
      </w:r>
      <w:r w:rsidR="00555535">
        <w:rPr>
          <w:color w:val="252525"/>
          <w:szCs w:val="24"/>
        </w:rPr>
        <w:t xml:space="preserve"> are pending</w:t>
      </w:r>
      <w:r w:rsidR="001C6643">
        <w:rPr>
          <w:color w:val="252525"/>
          <w:szCs w:val="24"/>
        </w:rPr>
        <w:t xml:space="preserve">. </w:t>
      </w:r>
      <w:r w:rsidR="001F4CAE">
        <w:rPr>
          <w:color w:val="252525"/>
          <w:szCs w:val="24"/>
        </w:rPr>
        <w:t xml:space="preserve">OCC also anticipates that there may </w:t>
      </w:r>
      <w:r>
        <w:rPr>
          <w:color w:val="252525"/>
          <w:szCs w:val="24"/>
        </w:rPr>
        <w:t xml:space="preserve">be need for </w:t>
      </w:r>
      <w:r w:rsidR="001F4CAE">
        <w:rPr>
          <w:color w:val="252525"/>
          <w:szCs w:val="24"/>
        </w:rPr>
        <w:t>a</w:t>
      </w:r>
      <w:r>
        <w:rPr>
          <w:color w:val="252525"/>
          <w:szCs w:val="24"/>
        </w:rPr>
        <w:t>nother</w:t>
      </w:r>
      <w:r w:rsidR="001F4CAE">
        <w:rPr>
          <w:color w:val="252525"/>
          <w:szCs w:val="24"/>
        </w:rPr>
        <w:t xml:space="preserve"> motion to compel related to the FirstEnergy responses to OCC’s 8</w:t>
      </w:r>
      <w:r w:rsidRPr="00016EF6" w:rsidR="001F4CAE">
        <w:rPr>
          <w:color w:val="252525"/>
          <w:szCs w:val="24"/>
          <w:vertAlign w:val="superscript"/>
        </w:rPr>
        <w:t>th</w:t>
      </w:r>
      <w:r w:rsidR="001F4CAE">
        <w:rPr>
          <w:color w:val="252525"/>
          <w:szCs w:val="24"/>
        </w:rPr>
        <w:t xml:space="preserve"> set of discovery. </w:t>
      </w:r>
    </w:p>
    <w:p w:rsidR="00514280" w:rsidP="00E07CF4" w14:paraId="0B14122C" w14:textId="3FA280C4">
      <w:pPr>
        <w:ind w:firstLine="720"/>
        <w:rPr>
          <w:bCs/>
          <w:szCs w:val="24"/>
        </w:rPr>
      </w:pPr>
      <w:r>
        <w:rPr>
          <w:color w:val="252525"/>
          <w:szCs w:val="24"/>
        </w:rPr>
        <w:t xml:space="preserve"> </w:t>
      </w:r>
    </w:p>
    <w:p w:rsidR="00630AFF" w:rsidRPr="00482DFB" w:rsidP="00E07CF4" w14:paraId="79368187" w14:textId="51DA16BF">
      <w:pPr>
        <w:pStyle w:val="ListParagraph"/>
        <w:numPr>
          <w:ilvl w:val="0"/>
          <w:numId w:val="3"/>
        </w:numPr>
        <w:autoSpaceDE w:val="0"/>
        <w:autoSpaceDN w:val="0"/>
        <w:adjustRightInd w:val="0"/>
        <w:ind w:left="720"/>
        <w:rPr>
          <w:rStyle w:val="Heading2Char"/>
          <w:rFonts w:ascii="Times New Roman" w:hAnsi="Times New Roman" w:cs="Times New Roman"/>
          <w:szCs w:val="24"/>
        </w:rPr>
      </w:pPr>
      <w:r w:rsidRPr="00482DFB">
        <w:rPr>
          <w:rStyle w:val="Heading2Char"/>
          <w:rFonts w:ascii="Times New Roman" w:hAnsi="Times New Roman" w:cs="Times New Roman"/>
          <w:szCs w:val="24"/>
        </w:rPr>
        <w:t xml:space="preserve">THE PUCO SHOULD INDEFINITELY </w:t>
      </w:r>
      <w:r w:rsidR="004121D9">
        <w:rPr>
          <w:rStyle w:val="Heading2Char"/>
          <w:rFonts w:ascii="Times New Roman" w:hAnsi="Times New Roman" w:cs="Times New Roman"/>
          <w:szCs w:val="24"/>
        </w:rPr>
        <w:t>STAY</w:t>
      </w:r>
      <w:r w:rsidRPr="00482DFB">
        <w:rPr>
          <w:rStyle w:val="Heading2Char"/>
          <w:rFonts w:ascii="Times New Roman" w:hAnsi="Times New Roman" w:cs="Times New Roman"/>
          <w:szCs w:val="24"/>
        </w:rPr>
        <w:t xml:space="preserve"> THE DEADLINE FOR FILING COMMENTS AND REPLY COMMENTS IN THIS CASE. ALTERNATIVELY, THE PUCO SHOULD EXTEND THE COMMENT PERIOD DEADLINES FOR 120 DAYS.</w:t>
      </w:r>
    </w:p>
    <w:p w:rsidR="007F100C" w:rsidRPr="007F100C" w:rsidP="007F100C" w14:paraId="0240A4C7" w14:textId="77777777">
      <w:pPr>
        <w:pStyle w:val="ListParagraph"/>
        <w:keepNext/>
        <w:keepLines/>
        <w:autoSpaceDE w:val="0"/>
        <w:autoSpaceDN w:val="0"/>
        <w:adjustRightInd w:val="0"/>
        <w:ind w:left="1440"/>
        <w:rPr>
          <w:rStyle w:val="Heading2Char"/>
          <w:rFonts w:ascii="Times New Roman" w:hAnsi="Times New Roman" w:cs="Times New Roman"/>
          <w:szCs w:val="24"/>
        </w:rPr>
      </w:pPr>
    </w:p>
    <w:p w:rsidR="00A0324C" w:rsidP="0022361E" w14:paraId="1372A60B" w14:textId="0E70DA34">
      <w:pPr>
        <w:spacing w:line="480" w:lineRule="auto"/>
        <w:ind w:firstLine="720"/>
        <w:rPr>
          <w:color w:val="252525"/>
          <w:szCs w:val="24"/>
        </w:rPr>
      </w:pPr>
      <w:r>
        <w:rPr>
          <w:color w:val="252525"/>
          <w:szCs w:val="24"/>
        </w:rPr>
        <w:t>G</w:t>
      </w:r>
      <w:r w:rsidR="001F4CAE">
        <w:rPr>
          <w:color w:val="252525"/>
          <w:szCs w:val="24"/>
        </w:rPr>
        <w:t xml:space="preserve">ood cause </w:t>
      </w:r>
      <w:r>
        <w:rPr>
          <w:color w:val="252525"/>
          <w:szCs w:val="24"/>
        </w:rPr>
        <w:t xml:space="preserve">exists </w:t>
      </w:r>
      <w:r w:rsidR="001F4CAE">
        <w:rPr>
          <w:color w:val="252525"/>
          <w:szCs w:val="24"/>
        </w:rPr>
        <w:t xml:space="preserve">under O.A.C. 4901-1-13 to grant an </w:t>
      </w:r>
      <w:r w:rsidR="004121D9">
        <w:rPr>
          <w:color w:val="252525"/>
          <w:szCs w:val="24"/>
        </w:rPr>
        <w:t>indefinite stay</w:t>
      </w:r>
      <w:r w:rsidR="001F4CAE">
        <w:rPr>
          <w:color w:val="252525"/>
          <w:szCs w:val="24"/>
        </w:rPr>
        <w:t xml:space="preserve"> </w:t>
      </w:r>
      <w:r w:rsidR="00EB1031">
        <w:rPr>
          <w:color w:val="252525"/>
          <w:szCs w:val="24"/>
        </w:rPr>
        <w:t>for</w:t>
      </w:r>
      <w:r w:rsidR="001F4CAE">
        <w:rPr>
          <w:color w:val="252525"/>
          <w:szCs w:val="24"/>
        </w:rPr>
        <w:t xml:space="preserve"> the</w:t>
      </w:r>
      <w:r w:rsidR="00EB1031">
        <w:rPr>
          <w:color w:val="252525"/>
          <w:szCs w:val="24"/>
        </w:rPr>
        <w:t xml:space="preserve"> parties’</w:t>
      </w:r>
      <w:r w:rsidR="001F4CAE">
        <w:rPr>
          <w:color w:val="252525"/>
          <w:szCs w:val="24"/>
        </w:rPr>
        <w:t xml:space="preserve"> filing of comments and reply comments.   </w:t>
      </w:r>
      <w:r w:rsidR="0022361E">
        <w:rPr>
          <w:color w:val="252525"/>
          <w:szCs w:val="24"/>
        </w:rPr>
        <w:t>FirstEnergy</w:t>
      </w:r>
      <w:r w:rsidR="001F4CAE">
        <w:rPr>
          <w:color w:val="252525"/>
          <w:szCs w:val="24"/>
        </w:rPr>
        <w:t xml:space="preserve"> ha</w:t>
      </w:r>
      <w:r>
        <w:rPr>
          <w:color w:val="252525"/>
          <w:szCs w:val="24"/>
        </w:rPr>
        <w:t>s</w:t>
      </w:r>
      <w:r w:rsidR="001F4CAE">
        <w:rPr>
          <w:color w:val="252525"/>
          <w:szCs w:val="24"/>
        </w:rPr>
        <w:t xml:space="preserve"> delayed</w:t>
      </w:r>
      <w:r w:rsidR="0022361E">
        <w:rPr>
          <w:color w:val="252525"/>
          <w:szCs w:val="24"/>
        </w:rPr>
        <w:t xml:space="preserve"> </w:t>
      </w:r>
      <w:r w:rsidR="00EB1031">
        <w:rPr>
          <w:color w:val="252525"/>
          <w:szCs w:val="24"/>
        </w:rPr>
        <w:t xml:space="preserve">providing </w:t>
      </w:r>
      <w:r>
        <w:rPr>
          <w:color w:val="252525"/>
          <w:szCs w:val="24"/>
        </w:rPr>
        <w:t>the parties</w:t>
      </w:r>
      <w:r w:rsidR="00D03DC0">
        <w:rPr>
          <w:color w:val="252525"/>
          <w:szCs w:val="24"/>
        </w:rPr>
        <w:t xml:space="preserve"> with </w:t>
      </w:r>
      <w:r>
        <w:rPr>
          <w:color w:val="252525"/>
          <w:szCs w:val="24"/>
        </w:rPr>
        <w:t>complete and sufficient</w:t>
      </w:r>
      <w:r w:rsidR="00D03DC0">
        <w:rPr>
          <w:color w:val="252525"/>
          <w:szCs w:val="24"/>
        </w:rPr>
        <w:t xml:space="preserve"> responses </w:t>
      </w:r>
      <w:r w:rsidR="0022361E">
        <w:rPr>
          <w:color w:val="252525"/>
          <w:szCs w:val="24"/>
        </w:rPr>
        <w:t>requested in discovery</w:t>
      </w:r>
      <w:r w:rsidR="00EB1031">
        <w:rPr>
          <w:color w:val="252525"/>
          <w:szCs w:val="24"/>
        </w:rPr>
        <w:t>.</w:t>
      </w:r>
      <w:r w:rsidR="0022361E">
        <w:rPr>
          <w:color w:val="252525"/>
          <w:szCs w:val="24"/>
        </w:rPr>
        <w:t xml:space="preserve"> </w:t>
      </w:r>
      <w:r w:rsidR="002F7DE6">
        <w:rPr>
          <w:color w:val="252525"/>
          <w:szCs w:val="24"/>
        </w:rPr>
        <w:t xml:space="preserve">OCC </w:t>
      </w:r>
      <w:r w:rsidR="001F4CAE">
        <w:rPr>
          <w:color w:val="252525"/>
          <w:szCs w:val="24"/>
        </w:rPr>
        <w:t xml:space="preserve">has pending </w:t>
      </w:r>
      <w:r w:rsidR="0022361E">
        <w:rPr>
          <w:color w:val="252525"/>
          <w:szCs w:val="24"/>
        </w:rPr>
        <w:t>motions to compel related to OCC’s 5</w:t>
      </w:r>
      <w:r w:rsidRPr="0022361E" w:rsidR="0022361E">
        <w:rPr>
          <w:color w:val="252525"/>
          <w:szCs w:val="24"/>
          <w:vertAlign w:val="superscript"/>
        </w:rPr>
        <w:t>th</w:t>
      </w:r>
      <w:r w:rsidR="0022361E">
        <w:rPr>
          <w:color w:val="252525"/>
          <w:szCs w:val="24"/>
        </w:rPr>
        <w:t>, 6</w:t>
      </w:r>
      <w:r w:rsidRPr="0022361E" w:rsidR="0022361E">
        <w:rPr>
          <w:color w:val="252525"/>
          <w:szCs w:val="24"/>
          <w:vertAlign w:val="superscript"/>
        </w:rPr>
        <w:t>th</w:t>
      </w:r>
      <w:r w:rsidR="0022361E">
        <w:rPr>
          <w:color w:val="252525"/>
          <w:szCs w:val="24"/>
        </w:rPr>
        <w:t xml:space="preserve"> and 7</w:t>
      </w:r>
      <w:r w:rsidRPr="0022361E" w:rsidR="0022361E">
        <w:rPr>
          <w:color w:val="252525"/>
          <w:szCs w:val="24"/>
          <w:vertAlign w:val="superscript"/>
        </w:rPr>
        <w:t>th</w:t>
      </w:r>
      <w:r w:rsidR="0022361E">
        <w:rPr>
          <w:color w:val="252525"/>
          <w:szCs w:val="24"/>
        </w:rPr>
        <w:t xml:space="preserve"> sets of discovery</w:t>
      </w:r>
      <w:r w:rsidR="002F7DE6">
        <w:rPr>
          <w:color w:val="252525"/>
          <w:szCs w:val="24"/>
        </w:rPr>
        <w:t>. There is the obfuscation of FirstEnergy</w:t>
      </w:r>
      <w:r w:rsidR="00A75FDF">
        <w:rPr>
          <w:color w:val="252525"/>
          <w:szCs w:val="24"/>
        </w:rPr>
        <w:t xml:space="preserve"> </w:t>
      </w:r>
      <w:r w:rsidR="00F51789">
        <w:rPr>
          <w:color w:val="252525"/>
          <w:szCs w:val="24"/>
        </w:rPr>
        <w:t>Service Company</w:t>
      </w:r>
      <w:r w:rsidR="00E56976">
        <w:rPr>
          <w:color w:val="252525"/>
          <w:szCs w:val="24"/>
        </w:rPr>
        <w:t xml:space="preserve"> </w:t>
      </w:r>
      <w:r w:rsidR="00D43CA3">
        <w:rPr>
          <w:color w:val="252525"/>
          <w:szCs w:val="24"/>
        </w:rPr>
        <w:t xml:space="preserve">Director of Rates </w:t>
      </w:r>
      <w:r w:rsidR="00E56976">
        <w:rPr>
          <w:color w:val="252525"/>
          <w:szCs w:val="24"/>
        </w:rPr>
        <w:t xml:space="preserve">and Regulatory Affairs </w:t>
      </w:r>
      <w:r w:rsidR="00D43CA3">
        <w:rPr>
          <w:color w:val="252525"/>
          <w:szCs w:val="24"/>
        </w:rPr>
        <w:t>Santino</w:t>
      </w:r>
      <w:r w:rsidR="00A75FDF">
        <w:rPr>
          <w:color w:val="252525"/>
          <w:szCs w:val="24"/>
        </w:rPr>
        <w:t xml:space="preserve"> Fanelli who revealed during the deposition (that FirstEnergy</w:t>
      </w:r>
      <w:r w:rsidR="00C83419">
        <w:rPr>
          <w:color w:val="252525"/>
          <w:szCs w:val="24"/>
        </w:rPr>
        <w:t xml:space="preserve"> </w:t>
      </w:r>
      <w:r w:rsidR="00A75FDF">
        <w:rPr>
          <w:color w:val="252525"/>
          <w:szCs w:val="24"/>
        </w:rPr>
        <w:t xml:space="preserve">tried to prevent OCC from ever taking) that his </w:t>
      </w:r>
      <w:r w:rsidR="00D43CA3">
        <w:rPr>
          <w:color w:val="252525"/>
          <w:szCs w:val="24"/>
        </w:rPr>
        <w:t xml:space="preserve">review of records </w:t>
      </w:r>
      <w:r w:rsidR="00E56976">
        <w:rPr>
          <w:color w:val="252525"/>
          <w:szCs w:val="24"/>
        </w:rPr>
        <w:t xml:space="preserve">(described in his filed </w:t>
      </w:r>
      <w:r w:rsidR="00A75FDF">
        <w:rPr>
          <w:color w:val="252525"/>
          <w:szCs w:val="24"/>
        </w:rPr>
        <w:t>affidavit</w:t>
      </w:r>
      <w:r w:rsidR="00E56976">
        <w:rPr>
          <w:color w:val="252525"/>
          <w:szCs w:val="24"/>
        </w:rPr>
        <w:t>)</w:t>
      </w:r>
      <w:r w:rsidR="00A75FDF">
        <w:rPr>
          <w:color w:val="252525"/>
          <w:szCs w:val="24"/>
        </w:rPr>
        <w:t xml:space="preserve"> </w:t>
      </w:r>
      <w:r w:rsidR="00D43CA3">
        <w:rPr>
          <w:color w:val="252525"/>
          <w:szCs w:val="24"/>
        </w:rPr>
        <w:t xml:space="preserve">was </w:t>
      </w:r>
      <w:r w:rsidR="00A75FDF">
        <w:rPr>
          <w:color w:val="252525"/>
          <w:szCs w:val="24"/>
        </w:rPr>
        <w:t>merely “conceptual.”</w:t>
      </w:r>
      <w:r w:rsidRPr="004E5347" w:rsidR="004E5347">
        <w:rPr>
          <w:color w:val="252525"/>
          <w:szCs w:val="24"/>
        </w:rPr>
        <w:t xml:space="preserve"> </w:t>
      </w:r>
      <w:r w:rsidR="004E5347">
        <w:rPr>
          <w:color w:val="252525"/>
          <w:szCs w:val="24"/>
        </w:rPr>
        <w:t>Furthermore, OCC is likely to file additional</w:t>
      </w:r>
      <w:r w:rsidRPr="00EE0DDA" w:rsidR="004E5347">
        <w:rPr>
          <w:color w:val="252525"/>
          <w:szCs w:val="24"/>
        </w:rPr>
        <w:t xml:space="preserve"> motions to compel</w:t>
      </w:r>
      <w:r w:rsidR="007A1DE3">
        <w:rPr>
          <w:color w:val="252525"/>
          <w:szCs w:val="24"/>
        </w:rPr>
        <w:t xml:space="preserve"> FirstEnergy</w:t>
      </w:r>
      <w:r w:rsidR="00C83419">
        <w:rPr>
          <w:color w:val="252525"/>
          <w:szCs w:val="24"/>
        </w:rPr>
        <w:t>’s</w:t>
      </w:r>
      <w:r w:rsidR="007A1DE3">
        <w:rPr>
          <w:color w:val="252525"/>
          <w:szCs w:val="24"/>
        </w:rPr>
        <w:t xml:space="preserve"> responses to</w:t>
      </w:r>
      <w:r w:rsidR="004E5347">
        <w:rPr>
          <w:color w:val="252525"/>
          <w:szCs w:val="24"/>
        </w:rPr>
        <w:t xml:space="preserve"> </w:t>
      </w:r>
      <w:r w:rsidR="007A1DE3">
        <w:rPr>
          <w:color w:val="252525"/>
          <w:szCs w:val="24"/>
        </w:rPr>
        <w:t>OCC’s discovery (</w:t>
      </w:r>
      <w:r w:rsidR="004E5347">
        <w:rPr>
          <w:color w:val="252525"/>
          <w:szCs w:val="24"/>
        </w:rPr>
        <w:t>8</w:t>
      </w:r>
      <w:r w:rsidRPr="0022361E" w:rsidR="004E5347">
        <w:rPr>
          <w:color w:val="252525"/>
          <w:szCs w:val="24"/>
          <w:vertAlign w:val="superscript"/>
        </w:rPr>
        <w:t>th</w:t>
      </w:r>
      <w:r w:rsidR="004E5347">
        <w:rPr>
          <w:color w:val="252525"/>
          <w:szCs w:val="24"/>
        </w:rPr>
        <w:t xml:space="preserve"> set) soon.</w:t>
      </w:r>
      <w:r w:rsidRPr="00EE0DDA" w:rsidR="004E5347">
        <w:rPr>
          <w:color w:val="252525"/>
          <w:szCs w:val="24"/>
        </w:rPr>
        <w:t xml:space="preserve"> </w:t>
      </w:r>
      <w:r w:rsidRPr="00A0324C" w:rsidR="001F4CAE">
        <w:rPr>
          <w:color w:val="252525"/>
          <w:szCs w:val="24"/>
        </w:rPr>
        <w:t xml:space="preserve"> </w:t>
      </w:r>
      <w:r w:rsidR="001F4CAE">
        <w:rPr>
          <w:color w:val="252525"/>
          <w:szCs w:val="24"/>
        </w:rPr>
        <w:t>Additionally,</w:t>
      </w:r>
      <w:r w:rsidR="00C83419">
        <w:rPr>
          <w:color w:val="252525"/>
          <w:szCs w:val="24"/>
        </w:rPr>
        <w:t xml:space="preserve"> as explained previously,</w:t>
      </w:r>
      <w:r w:rsidR="001F4CAE">
        <w:rPr>
          <w:color w:val="252525"/>
          <w:szCs w:val="24"/>
        </w:rPr>
        <w:t xml:space="preserve"> the PUCO restricted parties’ access to certain information about FirstEnergy’</w:t>
      </w:r>
      <w:r w:rsidR="00C83419">
        <w:rPr>
          <w:color w:val="252525"/>
          <w:szCs w:val="24"/>
        </w:rPr>
        <w:t>s</w:t>
      </w:r>
      <w:r w:rsidR="001F4CAE">
        <w:rPr>
          <w:color w:val="252525"/>
          <w:szCs w:val="24"/>
        </w:rPr>
        <w:t xml:space="preserve"> political and charitable spending in support of H.B. 6</w:t>
      </w:r>
      <w:r w:rsidR="00F51789">
        <w:rPr>
          <w:color w:val="252525"/>
          <w:szCs w:val="24"/>
        </w:rPr>
        <w:t xml:space="preserve"> </w:t>
      </w:r>
      <w:r w:rsidR="001F5BAD">
        <w:rPr>
          <w:color w:val="252525"/>
          <w:szCs w:val="24"/>
        </w:rPr>
        <w:t>“</w:t>
      </w:r>
      <w:r w:rsidR="001F4CAE">
        <w:rPr>
          <w:color w:val="252525"/>
          <w:szCs w:val="24"/>
        </w:rPr>
        <w:t xml:space="preserve">unless </w:t>
      </w:r>
      <w:r w:rsidR="00F51789">
        <w:rPr>
          <w:color w:val="252525"/>
          <w:szCs w:val="24"/>
        </w:rPr>
        <w:t>OCC can produce a letter from the U.S. Attorney indicating they can have these emails.”</w:t>
      </w:r>
      <w:r>
        <w:rPr>
          <w:rStyle w:val="FootnoteReference"/>
          <w:color w:val="252525"/>
          <w:szCs w:val="24"/>
        </w:rPr>
        <w:footnoteReference w:id="7"/>
      </w:r>
      <w:r w:rsidR="001F4CAE">
        <w:rPr>
          <w:color w:val="252525"/>
          <w:szCs w:val="24"/>
        </w:rPr>
        <w:t xml:space="preserve">  </w:t>
      </w:r>
      <w:r w:rsidR="00C83419">
        <w:rPr>
          <w:color w:val="252525"/>
          <w:szCs w:val="24"/>
        </w:rPr>
        <w:t xml:space="preserve"> </w:t>
      </w:r>
    </w:p>
    <w:p w:rsidR="00AD3416" w:rsidP="00AD3416" w14:paraId="115838F1" w14:textId="2CEE49D1">
      <w:pPr>
        <w:spacing w:line="480" w:lineRule="auto"/>
        <w:ind w:firstLine="720"/>
        <w:rPr>
          <w:color w:val="252525"/>
          <w:szCs w:val="24"/>
        </w:rPr>
      </w:pPr>
      <w:r>
        <w:rPr>
          <w:color w:val="252525"/>
          <w:szCs w:val="24"/>
        </w:rPr>
        <w:t>Accordingly, under O.A.C. 4901-1-13 there is good cause to extend the comment filing deadlines</w:t>
      </w:r>
      <w:r w:rsidR="00CE35CC">
        <w:rPr>
          <w:color w:val="252525"/>
          <w:szCs w:val="24"/>
        </w:rPr>
        <w:t xml:space="preserve"> for reasons that we have described including the need </w:t>
      </w:r>
      <w:r w:rsidR="00C83419">
        <w:rPr>
          <w:color w:val="252525"/>
          <w:szCs w:val="24"/>
        </w:rPr>
        <w:t>to resolve outstanding discovery disputes, obtain rulings on outstanding motions to compel, and obtain required documentation f</w:t>
      </w:r>
      <w:r w:rsidR="00CE35CC">
        <w:rPr>
          <w:color w:val="252525"/>
          <w:szCs w:val="24"/>
        </w:rPr>
        <w:t>ro</w:t>
      </w:r>
      <w:r w:rsidR="00C83419">
        <w:rPr>
          <w:color w:val="252525"/>
          <w:szCs w:val="24"/>
        </w:rPr>
        <w:t xml:space="preserve">m </w:t>
      </w:r>
      <w:r w:rsidR="00CE35CC">
        <w:rPr>
          <w:color w:val="252525"/>
          <w:szCs w:val="24"/>
        </w:rPr>
        <w:t xml:space="preserve">the </w:t>
      </w:r>
      <w:r w:rsidR="00C83419">
        <w:rPr>
          <w:color w:val="252525"/>
          <w:szCs w:val="24"/>
        </w:rPr>
        <w:t>U.S. Attorney</w:t>
      </w:r>
      <w:r w:rsidR="00CE35CC">
        <w:rPr>
          <w:color w:val="252525"/>
          <w:szCs w:val="24"/>
        </w:rPr>
        <w:t xml:space="preserve"> (if that is even feasible)</w:t>
      </w:r>
      <w:r w:rsidR="00C83419">
        <w:rPr>
          <w:color w:val="252525"/>
          <w:szCs w:val="24"/>
        </w:rPr>
        <w:t>.  All of these items need to be completed prior to receiving responses to the outstanding discovery requests.  After the discovery responses and information is obtained from FirstEnergy, additional time will be needed to adequately prepare comments</w:t>
      </w:r>
      <w:r>
        <w:rPr>
          <w:color w:val="252525"/>
          <w:szCs w:val="24"/>
        </w:rPr>
        <w:t xml:space="preserve">. </w:t>
      </w:r>
      <w:r w:rsidR="00C83419">
        <w:rPr>
          <w:color w:val="252525"/>
          <w:szCs w:val="24"/>
        </w:rPr>
        <w:t>C</w:t>
      </w:r>
      <w:r w:rsidR="00072504">
        <w:rPr>
          <w:color w:val="252525"/>
          <w:szCs w:val="24"/>
        </w:rPr>
        <w:t>onsumers</w:t>
      </w:r>
      <w:r w:rsidR="00C83419">
        <w:rPr>
          <w:color w:val="252525"/>
          <w:szCs w:val="24"/>
        </w:rPr>
        <w:t xml:space="preserve"> seek a</w:t>
      </w:r>
      <w:r w:rsidR="000B3F46">
        <w:rPr>
          <w:color w:val="252525"/>
          <w:szCs w:val="24"/>
        </w:rPr>
        <w:t xml:space="preserve"> fair</w:t>
      </w:r>
      <w:r w:rsidR="00C83419">
        <w:rPr>
          <w:color w:val="252525"/>
          <w:szCs w:val="24"/>
        </w:rPr>
        <w:t xml:space="preserve"> and adequate</w:t>
      </w:r>
      <w:r w:rsidR="000B3F46">
        <w:rPr>
          <w:color w:val="252525"/>
          <w:szCs w:val="24"/>
        </w:rPr>
        <w:t xml:space="preserve"> process</w:t>
      </w:r>
      <w:r w:rsidR="00C83419">
        <w:rPr>
          <w:color w:val="252525"/>
          <w:szCs w:val="24"/>
        </w:rPr>
        <w:t xml:space="preserve"> </w:t>
      </w:r>
      <w:r w:rsidRPr="00EE0DDA" w:rsidR="00C83419">
        <w:rPr>
          <w:bCs/>
          <w:szCs w:val="24"/>
        </w:rPr>
        <w:t xml:space="preserve">“to review the political and charitable spending by </w:t>
      </w:r>
      <w:r w:rsidR="00C83419">
        <w:rPr>
          <w:bCs/>
          <w:szCs w:val="24"/>
        </w:rPr>
        <w:t>[</w:t>
      </w:r>
      <w:r w:rsidRPr="00EE0DDA" w:rsidR="00C83419">
        <w:rPr>
          <w:bCs/>
          <w:szCs w:val="24"/>
        </w:rPr>
        <w:t>FirstEnergy</w:t>
      </w:r>
      <w:r w:rsidR="00C83419">
        <w:rPr>
          <w:bCs/>
          <w:szCs w:val="24"/>
        </w:rPr>
        <w:t xml:space="preserve">] </w:t>
      </w:r>
      <w:r w:rsidRPr="00EE0DDA" w:rsidR="00C83419">
        <w:rPr>
          <w:bCs/>
          <w:szCs w:val="24"/>
        </w:rPr>
        <w:t>in support of Am. Sub. H.B.6 and the subsequent referendum effort.”</w:t>
      </w:r>
      <w:r>
        <w:rPr>
          <w:rStyle w:val="FootnoteReference"/>
          <w:bCs/>
          <w:szCs w:val="24"/>
        </w:rPr>
        <w:footnoteReference w:id="8"/>
      </w:r>
      <w:r w:rsidRPr="00EE0DDA" w:rsidR="00C83419">
        <w:rPr>
          <w:bCs/>
          <w:szCs w:val="24"/>
        </w:rPr>
        <w:t xml:space="preserve"> </w:t>
      </w:r>
    </w:p>
    <w:p w:rsidR="00CE35CC" w:rsidRPr="00AD3416" w:rsidP="00AD3416" w14:paraId="47AE0D35" w14:textId="31678AA0">
      <w:pPr>
        <w:spacing w:line="480" w:lineRule="auto"/>
        <w:ind w:firstLine="720"/>
        <w:rPr>
          <w:color w:val="252525"/>
          <w:szCs w:val="24"/>
        </w:rPr>
      </w:pPr>
      <w:r>
        <w:t xml:space="preserve">This request is consistent with prior PUCO </w:t>
      </w:r>
      <w:r w:rsidR="00FB3D27">
        <w:t>statements</w:t>
      </w:r>
      <w:r>
        <w:t xml:space="preserve"> in this case that either</w:t>
      </w:r>
      <w:r w:rsidR="00AD3416">
        <w:t xml:space="preserve"> </w:t>
      </w:r>
      <w:r>
        <w:t>contemplated the need to give sufficient time for the parties to draft comments after discovery disputes were resolved and discovery responses and documents were received</w:t>
      </w:r>
      <w:r w:rsidR="00535AAD">
        <w:t xml:space="preserve">.  And it is consistent with the PUCO extending </w:t>
      </w:r>
      <w:r>
        <w:t>the deadlines for filing comments due to the existence of numerous outstanding discovery requests.  First, in January at the first prehearing conference, the Attorney Examiner stated: “We owe OCC rulings on two interlocutory appeals and those will be made by subsequent entry. That should come out fairly soon. And we indicated earlier that we would set new dates for th</w:t>
      </w:r>
      <w:r w:rsidR="00AD3416">
        <w:t xml:space="preserve">e </w:t>
      </w:r>
      <w:r>
        <w:t>comments and replies, but we will not do that until we have issued our ruling on the motions to compel. We don't want the clock to run out on Intervenors while we are dealing with the motion to compel."</w:t>
      </w:r>
      <w:r>
        <w:rPr>
          <w:rStyle w:val="FootnoteReference"/>
        </w:rPr>
        <w:footnoteReference w:id="9"/>
      </w:r>
      <w:r>
        <w:t xml:space="preserve"> </w:t>
      </w:r>
      <w:r w:rsidR="00FB3D27">
        <w:t xml:space="preserve"> </w:t>
      </w:r>
    </w:p>
    <w:p w:rsidR="00BB3484" w:rsidP="00CE35CC" w14:paraId="7C48692E" w14:textId="6C3DFBA8">
      <w:pPr>
        <w:spacing w:line="480" w:lineRule="auto"/>
        <w:ind w:firstLine="720"/>
      </w:pPr>
      <w:r>
        <w:t>Additionally</w:t>
      </w:r>
      <w:r w:rsidR="00FB3D27">
        <w:t>, i</w:t>
      </w:r>
      <w:r>
        <w:t xml:space="preserve">n the May 13, 2021 Entry, “the attorney examiner [found] that the number of discovery requests filed by the parties and the number of outstanding discovery requests demonstrate the need to extend the time for the filing of comments and reply comments and the need to establish an orderly schedule for the response to outstanding discovery requests.” </w:t>
      </w:r>
      <w:r w:rsidR="00FB3D27">
        <w:t xml:space="preserve"> Consistent with theses prior statements and g</w:t>
      </w:r>
      <w:r>
        <w:t>iven that there are still numerous discovery requests outstanding, a further extension of the comment deadlines is warranted.</w:t>
      </w:r>
    </w:p>
    <w:p w:rsidR="005A3E35" w:rsidP="00391A74" w14:paraId="37434272" w14:textId="2DC942F8">
      <w:pPr>
        <w:autoSpaceDE w:val="0"/>
        <w:autoSpaceDN w:val="0"/>
        <w:adjustRightInd w:val="0"/>
        <w:spacing w:line="480" w:lineRule="auto"/>
        <w:ind w:firstLine="720"/>
        <w:rPr>
          <w:color w:val="252525"/>
          <w:szCs w:val="24"/>
        </w:rPr>
      </w:pPr>
      <w:r>
        <w:rPr>
          <w:color w:val="252525"/>
          <w:szCs w:val="24"/>
        </w:rPr>
        <w:t>After the discovery disputes are resolved, t</w:t>
      </w:r>
      <w:r w:rsidRPr="00EE0DDA" w:rsidR="001F4CAE">
        <w:rPr>
          <w:color w:val="252525"/>
          <w:szCs w:val="24"/>
        </w:rPr>
        <w:t xml:space="preserve">he parties </w:t>
      </w:r>
      <w:r w:rsidR="001F4CAE">
        <w:rPr>
          <w:color w:val="252525"/>
          <w:szCs w:val="24"/>
        </w:rPr>
        <w:t>can</w:t>
      </w:r>
      <w:r w:rsidRPr="00EE0DDA" w:rsidR="001F4CAE">
        <w:rPr>
          <w:color w:val="252525"/>
          <w:szCs w:val="24"/>
        </w:rPr>
        <w:t xml:space="preserve"> report to the PUCO on the </w:t>
      </w:r>
      <w:r w:rsidR="001F4CAE">
        <w:rPr>
          <w:color w:val="252525"/>
          <w:szCs w:val="24"/>
        </w:rPr>
        <w:t>status</w:t>
      </w:r>
      <w:r>
        <w:rPr>
          <w:color w:val="252525"/>
          <w:szCs w:val="24"/>
        </w:rPr>
        <w:t xml:space="preserve"> of obtaining the requested discovery responses and documents</w:t>
      </w:r>
      <w:r w:rsidR="001F4CAE">
        <w:rPr>
          <w:color w:val="252525"/>
          <w:szCs w:val="24"/>
        </w:rPr>
        <w:t>, after 90 days</w:t>
      </w:r>
      <w:r w:rsidRPr="00EE0DDA" w:rsidR="001F4CAE">
        <w:rPr>
          <w:color w:val="252525"/>
          <w:szCs w:val="24"/>
        </w:rPr>
        <w:t>.</w:t>
      </w:r>
      <w:r w:rsidR="001F4CAE">
        <w:rPr>
          <w:color w:val="252525"/>
          <w:szCs w:val="24"/>
        </w:rPr>
        <w:t xml:space="preserve"> The status update could then become a basis for the PUCO to set the comment period. Also, an </w:t>
      </w:r>
      <w:r w:rsidRPr="00295BCD" w:rsidR="001F4CAE">
        <w:rPr>
          <w:i/>
          <w:iCs/>
          <w:color w:val="252525"/>
          <w:szCs w:val="24"/>
        </w:rPr>
        <w:t>indefinite</w:t>
      </w:r>
      <w:r w:rsidR="001F4CAE">
        <w:rPr>
          <w:color w:val="252525"/>
          <w:szCs w:val="24"/>
        </w:rPr>
        <w:t xml:space="preserve"> </w:t>
      </w:r>
      <w:r w:rsidR="004121D9">
        <w:rPr>
          <w:color w:val="252525"/>
          <w:szCs w:val="24"/>
        </w:rPr>
        <w:t>stay</w:t>
      </w:r>
      <w:r w:rsidR="001F4CAE">
        <w:rPr>
          <w:color w:val="252525"/>
          <w:szCs w:val="24"/>
        </w:rPr>
        <w:t xml:space="preserve"> is needed for serving justice (rather than a specific deadline), as a specific deadline will just be informational to the FirstEnergy for how much delay </w:t>
      </w:r>
      <w:r w:rsidR="00E07CF4">
        <w:rPr>
          <w:color w:val="252525"/>
          <w:szCs w:val="24"/>
        </w:rPr>
        <w:t>it needs</w:t>
      </w:r>
      <w:r w:rsidR="001F4CAE">
        <w:rPr>
          <w:color w:val="252525"/>
          <w:szCs w:val="24"/>
        </w:rPr>
        <w:t xml:space="preserve"> to interpose.</w:t>
      </w:r>
      <w:r w:rsidRPr="00EE0DDA" w:rsidR="001F4CAE">
        <w:rPr>
          <w:color w:val="252525"/>
          <w:szCs w:val="24"/>
        </w:rPr>
        <w:t xml:space="preserve">  </w:t>
      </w:r>
      <w:r w:rsidR="001F4CAE">
        <w:rPr>
          <w:color w:val="252525"/>
          <w:szCs w:val="24"/>
        </w:rPr>
        <w:t>As a</w:t>
      </w:r>
      <w:r w:rsidR="005D44AB">
        <w:rPr>
          <w:color w:val="252525"/>
          <w:szCs w:val="24"/>
        </w:rPr>
        <w:t>n</w:t>
      </w:r>
      <w:r w:rsidR="001F4CAE">
        <w:rPr>
          <w:color w:val="252525"/>
          <w:szCs w:val="24"/>
        </w:rPr>
        <w:t xml:space="preserve"> alternative</w:t>
      </w:r>
      <w:r w:rsidR="005D44AB">
        <w:rPr>
          <w:color w:val="252525"/>
          <w:szCs w:val="24"/>
        </w:rPr>
        <w:t>,</w:t>
      </w:r>
      <w:r w:rsidR="001F4CAE">
        <w:rPr>
          <w:color w:val="252525"/>
          <w:szCs w:val="24"/>
        </w:rPr>
        <w:t xml:space="preserve"> the comment deadlines should be extended for 120 days.</w:t>
      </w:r>
    </w:p>
    <w:p w:rsidR="00E07CF4" w:rsidP="00E07CF4" w14:paraId="1D1AFB50" w14:textId="77777777">
      <w:pPr>
        <w:autoSpaceDE w:val="0"/>
        <w:autoSpaceDN w:val="0"/>
        <w:adjustRightInd w:val="0"/>
        <w:ind w:firstLine="720"/>
        <w:rPr>
          <w:color w:val="252525"/>
          <w:szCs w:val="24"/>
        </w:rPr>
      </w:pPr>
    </w:p>
    <w:p w:rsidR="00F51789" w:rsidRPr="00F51789" w:rsidP="00E07CF4" w14:paraId="4465D471" w14:textId="618777AB">
      <w:pPr>
        <w:pStyle w:val="ListParagraph"/>
        <w:numPr>
          <w:ilvl w:val="0"/>
          <w:numId w:val="3"/>
        </w:numPr>
        <w:autoSpaceDE w:val="0"/>
        <w:autoSpaceDN w:val="0"/>
        <w:adjustRightInd w:val="0"/>
        <w:spacing w:line="480" w:lineRule="auto"/>
        <w:ind w:left="720"/>
        <w:rPr>
          <w:b/>
          <w:bCs/>
          <w:caps/>
          <w:color w:val="252525"/>
          <w:szCs w:val="24"/>
        </w:rPr>
      </w:pPr>
      <w:r>
        <w:t xml:space="preserve"> </w:t>
      </w:r>
      <w:r w:rsidRPr="00F51789">
        <w:rPr>
          <w:b/>
          <w:bCs/>
          <w:caps/>
        </w:rPr>
        <w:t>An expedited ruling is needed</w:t>
      </w:r>
    </w:p>
    <w:p w:rsidR="0004525C" w:rsidP="00E56976" w14:paraId="01174D9D" w14:textId="3819F0E4">
      <w:pPr>
        <w:autoSpaceDE w:val="0"/>
        <w:autoSpaceDN w:val="0"/>
        <w:adjustRightInd w:val="0"/>
        <w:spacing w:line="480" w:lineRule="auto"/>
        <w:ind w:firstLine="720"/>
      </w:pPr>
      <w:r>
        <w:t>Ohio Adm. Code 4901-1-12(C) allows</w:t>
      </w:r>
      <w:r w:rsidR="00F51789">
        <w:t xml:space="preserve"> parties to request an expedited ruling on motions filed at the PUCO.  I</w:t>
      </w:r>
      <w:r>
        <w:t xml:space="preserve">nasmuch as the </w:t>
      </w:r>
      <w:r w:rsidR="00F51789">
        <w:t xml:space="preserve">motion seeks an extension of the </w:t>
      </w:r>
      <w:r>
        <w:t>current</w:t>
      </w:r>
      <w:r w:rsidR="00F51789">
        <w:t xml:space="preserve"> comment</w:t>
      </w:r>
      <w:r>
        <w:t xml:space="preserve"> deadline </w:t>
      </w:r>
      <w:r w:rsidR="00F51789">
        <w:t xml:space="preserve">(which </w:t>
      </w:r>
      <w:r>
        <w:t xml:space="preserve">is in </w:t>
      </w:r>
      <w:r w:rsidR="00F51789">
        <w:t>one day),</w:t>
      </w:r>
      <w:r>
        <w:t xml:space="preserve"> OCC and OMAEG respectfully request an expedited ruling </w:t>
      </w:r>
      <w:r w:rsidR="00F51789">
        <w:t xml:space="preserve">on this joint motion.  There is good cause for the expedited ruling because of </w:t>
      </w:r>
      <w:r w:rsidR="00E56976">
        <w:t>tomorrow’s</w:t>
      </w:r>
      <w:r w:rsidR="00F51789">
        <w:t xml:space="preserve"> impending comment</w:t>
      </w:r>
      <w:r w:rsidR="00E56976">
        <w:t xml:space="preserve"> deadline. </w:t>
      </w:r>
      <w:r w:rsidR="005D44AB">
        <w:t xml:space="preserve">Neither </w:t>
      </w:r>
      <w:r w:rsidR="00E56976">
        <w:t xml:space="preserve">OCC </w:t>
      </w:r>
      <w:r w:rsidR="005D44AB">
        <w:t xml:space="preserve">nor OMAEG </w:t>
      </w:r>
      <w:r w:rsidR="00E56976">
        <w:t xml:space="preserve">can certify that no party objects to the issuance of a ruling without the filing of memoranda.   </w:t>
      </w:r>
      <w:r w:rsidR="00F51789">
        <w:t xml:space="preserve"> </w:t>
      </w:r>
    </w:p>
    <w:p w:rsidR="001F5BAD" w:rsidRPr="00E56976" w:rsidP="00E56976" w14:paraId="21DC2D6E" w14:textId="7DD760D5">
      <w:pPr>
        <w:autoSpaceDE w:val="0"/>
        <w:autoSpaceDN w:val="0"/>
        <w:adjustRightInd w:val="0"/>
        <w:spacing w:line="480" w:lineRule="auto"/>
        <w:ind w:firstLine="720"/>
        <w:rPr>
          <w:color w:val="252525"/>
          <w:szCs w:val="24"/>
        </w:rPr>
      </w:pPr>
      <w:r>
        <w:t xml:space="preserve">The Attorney Examiners may also issue an expedited ruling without the filing of memoranda where the issuance of such a ruling will not adversely affect a substantial right of any party, under Ohio Adm. Code 4901-1-12(F).  The substantial right of any party will not be affected by an expedited ruling here where parties should be aided by having additional time to prepare comments and reply comments.  </w:t>
      </w:r>
    </w:p>
    <w:p w:rsidR="005D2370" w:rsidRPr="00EE0DDA" w:rsidP="0054763B" w14:paraId="5869B8D8" w14:textId="3FE12D5A">
      <w:pPr>
        <w:keepNext/>
        <w:keepLines/>
        <w:autoSpaceDE w:val="0"/>
        <w:autoSpaceDN w:val="0"/>
        <w:adjustRightInd w:val="0"/>
        <w:spacing w:after="240"/>
        <w:rPr>
          <w:rStyle w:val="Heading1Char"/>
          <w:rFonts w:cs="Times New Roman"/>
          <w:szCs w:val="24"/>
        </w:rPr>
      </w:pPr>
      <w:r>
        <w:rPr>
          <w:b/>
          <w:bCs/>
          <w:szCs w:val="24"/>
        </w:rPr>
        <w:t>I</w:t>
      </w:r>
      <w:r w:rsidRPr="00EE0DDA" w:rsidR="000B7E28">
        <w:rPr>
          <w:b/>
          <w:bCs/>
          <w:szCs w:val="24"/>
        </w:rPr>
        <w:t>V.</w:t>
      </w:r>
      <w:r w:rsidRPr="00EE0DDA" w:rsidR="000B7E28">
        <w:rPr>
          <w:b/>
          <w:bCs/>
          <w:szCs w:val="24"/>
        </w:rPr>
        <w:tab/>
      </w:r>
      <w:r w:rsidRPr="00EE0DDA" w:rsidR="000B7E28">
        <w:rPr>
          <w:rStyle w:val="Heading1Char"/>
          <w:rFonts w:cs="Times New Roman"/>
          <w:szCs w:val="24"/>
        </w:rPr>
        <w:t>CONCLUSION</w:t>
      </w:r>
    </w:p>
    <w:p w:rsidR="00370275" w:rsidRPr="00EE0DDA" w:rsidP="00AA1CBA" w14:paraId="2D3942D9" w14:textId="20EC4C93">
      <w:pPr>
        <w:autoSpaceDE w:val="0"/>
        <w:autoSpaceDN w:val="0"/>
        <w:adjustRightInd w:val="0"/>
        <w:spacing w:line="480" w:lineRule="auto"/>
        <w:ind w:firstLine="720"/>
        <w:rPr>
          <w:szCs w:val="24"/>
        </w:rPr>
      </w:pPr>
      <w:r w:rsidRPr="00EE0DDA">
        <w:rPr>
          <w:bCs/>
          <w:szCs w:val="24"/>
        </w:rPr>
        <w:t xml:space="preserve">For </w:t>
      </w:r>
      <w:r w:rsidR="00E01D40">
        <w:rPr>
          <w:bCs/>
          <w:szCs w:val="24"/>
        </w:rPr>
        <w:t xml:space="preserve">good cause, </w:t>
      </w:r>
      <w:r w:rsidRPr="00EE0DDA">
        <w:rPr>
          <w:bCs/>
          <w:szCs w:val="24"/>
        </w:rPr>
        <w:t xml:space="preserve">the PUCO should </w:t>
      </w:r>
      <w:r w:rsidR="00DE5C4C">
        <w:rPr>
          <w:bCs/>
          <w:szCs w:val="24"/>
        </w:rPr>
        <w:t xml:space="preserve">indefinitely </w:t>
      </w:r>
      <w:r w:rsidR="003A579E">
        <w:rPr>
          <w:bCs/>
          <w:szCs w:val="24"/>
        </w:rPr>
        <w:t xml:space="preserve">extend </w:t>
      </w:r>
      <w:r w:rsidR="00DE5C4C">
        <w:rPr>
          <w:bCs/>
          <w:szCs w:val="24"/>
        </w:rPr>
        <w:t xml:space="preserve">the </w:t>
      </w:r>
      <w:r w:rsidR="003A579E">
        <w:rPr>
          <w:bCs/>
          <w:szCs w:val="24"/>
        </w:rPr>
        <w:t>comment and reply comment deadlines</w:t>
      </w:r>
      <w:r w:rsidR="002443D0">
        <w:rPr>
          <w:bCs/>
          <w:szCs w:val="24"/>
        </w:rPr>
        <w:t>,</w:t>
      </w:r>
      <w:r w:rsidR="00DF5812">
        <w:rPr>
          <w:bCs/>
          <w:szCs w:val="24"/>
        </w:rPr>
        <w:t xml:space="preserve"> </w:t>
      </w:r>
      <w:r w:rsidR="002443D0">
        <w:rPr>
          <w:bCs/>
          <w:szCs w:val="24"/>
        </w:rPr>
        <w:t xml:space="preserve">in the interest </w:t>
      </w:r>
      <w:r w:rsidR="00DF5812">
        <w:rPr>
          <w:bCs/>
          <w:szCs w:val="24"/>
        </w:rPr>
        <w:t>of a fair process for consumers of FirstEnergy</w:t>
      </w:r>
      <w:r w:rsidR="00DE5C4C">
        <w:rPr>
          <w:bCs/>
          <w:szCs w:val="24"/>
        </w:rPr>
        <w:t>.</w:t>
      </w:r>
      <w:r w:rsidR="003A579E">
        <w:rPr>
          <w:bCs/>
          <w:szCs w:val="24"/>
        </w:rPr>
        <w:t xml:space="preserve"> </w:t>
      </w:r>
      <w:r w:rsidR="00DE5C4C">
        <w:rPr>
          <w:bCs/>
          <w:szCs w:val="24"/>
        </w:rPr>
        <w:t>Alternatively, the deadlines should be extended for 120 days.</w:t>
      </w:r>
      <w:r w:rsidR="001F5BAD">
        <w:rPr>
          <w:bCs/>
          <w:szCs w:val="24"/>
        </w:rPr>
        <w:t xml:space="preserve"> The PUCO should issue an expedited ruling on this joint motion.</w:t>
      </w:r>
    </w:p>
    <w:p w:rsidR="00A17AF3" w:rsidRPr="00EE0DDA" w:rsidP="00A17AF3" w14:paraId="79906289" w14:textId="7849406B">
      <w:pPr>
        <w:widowControl w:val="0"/>
        <w:ind w:left="3600" w:firstLine="720"/>
        <w:rPr>
          <w:szCs w:val="24"/>
        </w:rPr>
      </w:pPr>
      <w:r w:rsidRPr="00EE0DDA">
        <w:rPr>
          <w:szCs w:val="24"/>
        </w:rPr>
        <w:t>Respectfully submitted,</w:t>
      </w:r>
    </w:p>
    <w:p w:rsidR="00A17AF3" w:rsidRPr="00EE0DDA" w:rsidP="00A17AF3" w14:paraId="33212B0A" w14:textId="77777777">
      <w:pPr>
        <w:widowControl w:val="0"/>
        <w:ind w:left="3600" w:right="-672" w:firstLine="720"/>
        <w:rPr>
          <w:szCs w:val="24"/>
        </w:rPr>
      </w:pPr>
    </w:p>
    <w:p w:rsidR="00A17AF3" w:rsidRPr="00EE0DDA" w:rsidP="00A17AF3" w14:paraId="1A7CEF7C" w14:textId="77777777">
      <w:pPr>
        <w:ind w:left="3600" w:firstLine="720"/>
        <w:rPr>
          <w:szCs w:val="24"/>
        </w:rPr>
      </w:pPr>
      <w:r w:rsidRPr="00EE0DDA">
        <w:rPr>
          <w:szCs w:val="24"/>
        </w:rPr>
        <w:t>Bruce Weston (0016973)</w:t>
      </w:r>
    </w:p>
    <w:p w:rsidR="00A17AF3" w:rsidRPr="00EE0DDA" w:rsidP="00A17AF3" w14:paraId="45FC1B26" w14:textId="77777777">
      <w:pPr>
        <w:ind w:firstLine="4320"/>
        <w:rPr>
          <w:szCs w:val="24"/>
        </w:rPr>
      </w:pPr>
      <w:r w:rsidRPr="00EE0DDA">
        <w:rPr>
          <w:szCs w:val="24"/>
        </w:rPr>
        <w:t>Ohio Consumers’ Counsel</w:t>
      </w:r>
    </w:p>
    <w:p w:rsidR="00A17AF3" w:rsidRPr="00EE0DDA" w:rsidP="00A17AF3" w14:paraId="73AA55FF" w14:textId="77777777">
      <w:pPr>
        <w:ind w:firstLine="4320"/>
        <w:rPr>
          <w:szCs w:val="24"/>
        </w:rPr>
      </w:pPr>
      <w:r w:rsidRPr="00EE0DDA">
        <w:rPr>
          <w:szCs w:val="24"/>
        </w:rPr>
        <w:t xml:space="preserve">  </w:t>
      </w:r>
    </w:p>
    <w:p w:rsidR="00A17AF3" w:rsidRPr="00EE0DDA" w:rsidP="00A17AF3" w14:paraId="68B205A1" w14:textId="77777777">
      <w:pPr>
        <w:suppressLineNumbers/>
        <w:ind w:left="4320"/>
        <w:rPr>
          <w:szCs w:val="24"/>
        </w:rPr>
      </w:pPr>
      <w:r w:rsidRPr="00EE0DDA">
        <w:rPr>
          <w:i/>
          <w:iCs/>
          <w:szCs w:val="24"/>
          <w:u w:val="single"/>
        </w:rPr>
        <w:t>/s/ Maureen R. Willis</w:t>
      </w:r>
    </w:p>
    <w:p w:rsidR="00A17AF3" w:rsidRPr="00EE0DDA" w:rsidP="00A17AF3" w14:paraId="108EE435" w14:textId="77777777">
      <w:pPr>
        <w:suppressLineNumbers/>
        <w:ind w:left="4320"/>
        <w:rPr>
          <w:szCs w:val="24"/>
        </w:rPr>
      </w:pPr>
      <w:r w:rsidRPr="00EE0DDA">
        <w:rPr>
          <w:szCs w:val="24"/>
        </w:rPr>
        <w:t>Maureen R. Willis, Senior Counsel</w:t>
      </w:r>
    </w:p>
    <w:p w:rsidR="00A17AF3" w:rsidRPr="00EE0DDA" w:rsidP="00A17AF3" w14:paraId="54D57C40" w14:textId="77777777">
      <w:pPr>
        <w:suppressLineNumbers/>
        <w:ind w:left="4320"/>
        <w:rPr>
          <w:szCs w:val="24"/>
        </w:rPr>
      </w:pPr>
      <w:r w:rsidRPr="00EE0DDA">
        <w:rPr>
          <w:szCs w:val="24"/>
        </w:rPr>
        <w:t xml:space="preserve">Counsel of Record (# 0020847)                      </w:t>
      </w:r>
    </w:p>
    <w:p w:rsidR="00A17AF3" w:rsidRPr="00EE0DDA" w:rsidP="00A17AF3" w14:paraId="1D0C8988" w14:textId="77777777">
      <w:pPr>
        <w:suppressLineNumbers/>
        <w:ind w:left="4320"/>
        <w:rPr>
          <w:szCs w:val="24"/>
        </w:rPr>
      </w:pPr>
      <w:r w:rsidRPr="00EE0DDA">
        <w:rPr>
          <w:szCs w:val="24"/>
        </w:rPr>
        <w:t>John Finnigan (#0018689)</w:t>
      </w:r>
      <w:r w:rsidRPr="00EE0DDA">
        <w:rPr>
          <w:szCs w:val="24"/>
        </w:rPr>
        <w:tab/>
      </w:r>
    </w:p>
    <w:p w:rsidR="00A17AF3" w:rsidRPr="00EE0DDA" w:rsidP="00A17AF3" w14:paraId="0504D790" w14:textId="77777777">
      <w:pPr>
        <w:suppressLineNumbers/>
        <w:ind w:left="4320"/>
        <w:rPr>
          <w:szCs w:val="24"/>
        </w:rPr>
      </w:pPr>
      <w:r w:rsidRPr="00EE0DDA">
        <w:rPr>
          <w:szCs w:val="24"/>
        </w:rPr>
        <w:t>Assistant Consumers’ Counsel</w:t>
      </w:r>
    </w:p>
    <w:p w:rsidR="00A17AF3" w:rsidRPr="00EE0DDA" w:rsidP="00A17AF3" w14:paraId="25CE68C9" w14:textId="77777777">
      <w:pPr>
        <w:suppressLineNumbers/>
        <w:ind w:left="4320"/>
        <w:rPr>
          <w:szCs w:val="24"/>
        </w:rPr>
      </w:pPr>
      <w:r w:rsidRPr="00EE0DDA">
        <w:rPr>
          <w:szCs w:val="24"/>
        </w:rPr>
        <w:tab/>
      </w:r>
    </w:p>
    <w:p w:rsidR="00A17AF3" w:rsidRPr="00EE0DDA" w:rsidP="00A17AF3" w14:paraId="7A96A6B5" w14:textId="77777777">
      <w:pPr>
        <w:suppressLineNumbers/>
        <w:ind w:left="4320"/>
        <w:rPr>
          <w:b/>
          <w:bCs/>
          <w:szCs w:val="24"/>
        </w:rPr>
      </w:pPr>
      <w:r w:rsidRPr="00EE0DDA">
        <w:rPr>
          <w:b/>
          <w:bCs/>
          <w:szCs w:val="24"/>
        </w:rPr>
        <w:t>Office of the Ohio Consumers’ Counsel</w:t>
      </w:r>
    </w:p>
    <w:p w:rsidR="00A17AF3" w:rsidRPr="00EE0DDA" w:rsidP="00A17AF3" w14:paraId="008656BC" w14:textId="77777777">
      <w:pPr>
        <w:suppressLineNumbers/>
        <w:ind w:left="4320"/>
        <w:rPr>
          <w:bCs/>
          <w:szCs w:val="24"/>
        </w:rPr>
      </w:pPr>
      <w:r w:rsidRPr="00EE0DDA">
        <w:rPr>
          <w:bCs/>
          <w:szCs w:val="24"/>
        </w:rPr>
        <w:t>65 East State Street, 7</w:t>
      </w:r>
      <w:r w:rsidRPr="00EE0DDA">
        <w:rPr>
          <w:bCs/>
          <w:szCs w:val="24"/>
          <w:vertAlign w:val="superscript"/>
        </w:rPr>
        <w:t>th</w:t>
      </w:r>
      <w:r w:rsidRPr="00EE0DDA">
        <w:rPr>
          <w:bCs/>
          <w:szCs w:val="24"/>
        </w:rPr>
        <w:t xml:space="preserve"> Floor</w:t>
      </w:r>
    </w:p>
    <w:p w:rsidR="00A17AF3" w:rsidRPr="00EE0DDA" w:rsidP="00A17AF3" w14:paraId="3CBA09D8" w14:textId="77777777">
      <w:pPr>
        <w:suppressLineNumbers/>
        <w:ind w:left="4320"/>
        <w:rPr>
          <w:bCs/>
          <w:szCs w:val="24"/>
        </w:rPr>
      </w:pPr>
      <w:r w:rsidRPr="00EE0DDA">
        <w:rPr>
          <w:bCs/>
          <w:szCs w:val="24"/>
        </w:rPr>
        <w:t>Columbus, Ohio 43215</w:t>
      </w:r>
    </w:p>
    <w:p w:rsidR="00A17AF3" w:rsidRPr="00EE0DDA" w:rsidP="00A17AF3" w14:paraId="48186901" w14:textId="77777777">
      <w:pPr>
        <w:suppressLineNumbers/>
        <w:ind w:left="4320"/>
        <w:rPr>
          <w:szCs w:val="24"/>
        </w:rPr>
      </w:pPr>
      <w:r w:rsidRPr="00EE0DDA">
        <w:rPr>
          <w:szCs w:val="24"/>
        </w:rPr>
        <w:t>Telephone [Willis]: (614) 466-9567</w:t>
      </w:r>
    </w:p>
    <w:p w:rsidR="00A17AF3" w:rsidRPr="00EE0DDA" w:rsidP="00A17AF3" w14:paraId="6B811FE1" w14:textId="77777777">
      <w:pPr>
        <w:suppressLineNumbers/>
        <w:ind w:left="4320"/>
        <w:rPr>
          <w:szCs w:val="24"/>
        </w:rPr>
      </w:pPr>
      <w:r w:rsidRPr="00EE0DDA">
        <w:rPr>
          <w:szCs w:val="24"/>
        </w:rPr>
        <w:t>Telephone [Finnigan]: (614) 466-9585</w:t>
      </w:r>
    </w:p>
    <w:p w:rsidR="00A17AF3" w:rsidRPr="00EE0DDA" w:rsidP="00A17AF3" w14:paraId="53B0F6BE" w14:textId="77777777">
      <w:pPr>
        <w:suppressLineNumbers/>
        <w:ind w:left="4320"/>
        <w:rPr>
          <w:szCs w:val="24"/>
        </w:rPr>
      </w:pPr>
      <w:hyperlink r:id="rId6" w:history="1">
        <w:r w:rsidRPr="00EE0DDA" w:rsidR="000B7E28">
          <w:rPr>
            <w:rStyle w:val="Hyperlink"/>
            <w:rFonts w:eastAsia="Courier New"/>
            <w:szCs w:val="24"/>
          </w:rPr>
          <w:t>Maureen.willis@occ.ohio.gov</w:t>
        </w:r>
      </w:hyperlink>
    </w:p>
    <w:p w:rsidR="00A17AF3" w:rsidRPr="00EE0DDA" w:rsidP="00A17AF3" w14:paraId="46F6C88A" w14:textId="77777777">
      <w:pPr>
        <w:suppressLineNumbers/>
        <w:ind w:left="4320"/>
        <w:rPr>
          <w:szCs w:val="24"/>
        </w:rPr>
      </w:pPr>
      <w:hyperlink r:id="rId7" w:history="1">
        <w:r w:rsidRPr="00EE0DDA" w:rsidR="000B7E28">
          <w:rPr>
            <w:rStyle w:val="Hyperlink"/>
            <w:rFonts w:eastAsia="Courier New"/>
            <w:szCs w:val="24"/>
          </w:rPr>
          <w:t>John.finnigan@occ.ohio.gov</w:t>
        </w:r>
      </w:hyperlink>
    </w:p>
    <w:p w:rsidR="00FE4C8A" w:rsidP="003B41C3" w14:paraId="38E76BD7" w14:textId="22DC8C9D">
      <w:pPr>
        <w:suppressLineNumbers/>
        <w:ind w:left="4320"/>
        <w:rPr>
          <w:szCs w:val="24"/>
        </w:rPr>
      </w:pPr>
      <w:r w:rsidRPr="00EE0DDA">
        <w:rPr>
          <w:szCs w:val="24"/>
        </w:rPr>
        <w:t>(</w:t>
      </w:r>
      <w:r w:rsidR="00E07CF4">
        <w:rPr>
          <w:szCs w:val="24"/>
        </w:rPr>
        <w:t>w</w:t>
      </w:r>
      <w:r w:rsidRPr="00EE0DDA">
        <w:rPr>
          <w:szCs w:val="24"/>
        </w:rPr>
        <w:t>illing to accept service by e-mail)</w:t>
      </w:r>
    </w:p>
    <w:p w:rsidR="00E07CF4" w:rsidP="003B41C3" w14:paraId="691FE089" w14:textId="77777777">
      <w:pPr>
        <w:suppressLineNumbers/>
        <w:ind w:left="4320"/>
        <w:rPr>
          <w:szCs w:val="24"/>
        </w:rPr>
      </w:pPr>
    </w:p>
    <w:p w:rsidR="000D2110" w:rsidRPr="00255E79" w:rsidP="000D2110" w14:paraId="17578D0B" w14:textId="77777777">
      <w:pPr>
        <w:ind w:left="3600" w:firstLine="720"/>
        <w:jc w:val="both"/>
        <w:rPr>
          <w:i/>
          <w:szCs w:val="24"/>
        </w:rPr>
      </w:pPr>
      <w:r w:rsidRPr="00255E79">
        <w:rPr>
          <w:i/>
          <w:szCs w:val="24"/>
          <w:u w:val="single"/>
        </w:rPr>
        <w:t>/s/ Kimberly W. Bojko</w:t>
      </w:r>
    </w:p>
    <w:p w:rsidR="000D2110" w:rsidRPr="00255E79" w:rsidP="000D2110" w14:paraId="14CA8BBB" w14:textId="77777777">
      <w:pPr>
        <w:jc w:val="both"/>
        <w:rPr>
          <w:szCs w:val="24"/>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t>Kimberly W. Bojko (0069402) (Counsel of Record)</w:t>
      </w:r>
    </w:p>
    <w:p w:rsidR="000D2110" w:rsidRPr="00255E79" w:rsidP="000D2110" w14:paraId="395F4945" w14:textId="77777777">
      <w:pPr>
        <w:jc w:val="both"/>
        <w:rPr>
          <w:szCs w:val="24"/>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t xml:space="preserve">Thomas V. Donadio (0100027) </w:t>
      </w:r>
    </w:p>
    <w:p w:rsidR="000D2110" w:rsidRPr="00255E79" w:rsidP="000D2110" w14:paraId="178AA8B9" w14:textId="77777777">
      <w:pPr>
        <w:jc w:val="both"/>
        <w:rPr>
          <w:szCs w:val="24"/>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t>Carpenter Lipps &amp; Leland LLP</w:t>
      </w:r>
    </w:p>
    <w:p w:rsidR="000D2110" w:rsidRPr="00255E79" w:rsidP="000D2110" w14:paraId="3D776DB7" w14:textId="77777777">
      <w:pPr>
        <w:ind w:left="4320"/>
        <w:jc w:val="both"/>
        <w:rPr>
          <w:szCs w:val="24"/>
        </w:rPr>
      </w:pPr>
      <w:r w:rsidRPr="00255E79">
        <w:rPr>
          <w:szCs w:val="24"/>
        </w:rPr>
        <w:t>280 North High Street, Suite 1300</w:t>
      </w:r>
    </w:p>
    <w:p w:rsidR="000D2110" w:rsidRPr="00255E79" w:rsidP="000D2110" w14:paraId="29B8DB46" w14:textId="77777777">
      <w:pPr>
        <w:ind w:left="4320"/>
        <w:jc w:val="both"/>
        <w:rPr>
          <w:szCs w:val="24"/>
        </w:rPr>
      </w:pPr>
      <w:r w:rsidRPr="00255E79">
        <w:rPr>
          <w:szCs w:val="24"/>
        </w:rPr>
        <w:t>Columbus, Ohio 43215</w:t>
      </w:r>
    </w:p>
    <w:p w:rsidR="000D2110" w:rsidRPr="00255E79" w:rsidP="000D2110" w14:paraId="33C0E572" w14:textId="77777777">
      <w:pPr>
        <w:ind w:left="4320"/>
        <w:jc w:val="both"/>
        <w:rPr>
          <w:szCs w:val="24"/>
        </w:rPr>
      </w:pPr>
      <w:r w:rsidRPr="00255E79">
        <w:rPr>
          <w:szCs w:val="24"/>
        </w:rPr>
        <w:t xml:space="preserve">Telephone:  (614) 365-4100 </w:t>
      </w:r>
    </w:p>
    <w:p w:rsidR="000D2110" w:rsidRPr="00255E79" w:rsidP="000D2110" w14:paraId="0A2F182A" w14:textId="77777777">
      <w:pPr>
        <w:jc w:val="both"/>
        <w:rPr>
          <w:color w:val="0000FF" w:themeColor="hyperlink"/>
          <w:szCs w:val="24"/>
          <w:u w:val="single"/>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r>
      <w:hyperlink r:id="rId8" w:history="1">
        <w:r w:rsidRPr="00255E79">
          <w:rPr>
            <w:rStyle w:val="Hyperlink"/>
            <w:szCs w:val="24"/>
          </w:rPr>
          <w:t>Bojko@carpenterlipps.com</w:t>
        </w:r>
      </w:hyperlink>
      <w:r w:rsidRPr="00255E79">
        <w:rPr>
          <w:color w:val="0000FF" w:themeColor="hyperlink"/>
          <w:szCs w:val="24"/>
          <w:u w:val="single"/>
        </w:rPr>
        <w:t xml:space="preserve"> </w:t>
      </w:r>
    </w:p>
    <w:p w:rsidR="000D2110" w:rsidRPr="00255E79" w:rsidP="000D2110" w14:paraId="4BBEBD40" w14:textId="77777777">
      <w:pPr>
        <w:ind w:left="3600" w:firstLine="720"/>
        <w:jc w:val="both"/>
        <w:rPr>
          <w:color w:val="0000FF" w:themeColor="hyperlink"/>
          <w:szCs w:val="24"/>
          <w:u w:val="single"/>
        </w:rPr>
      </w:pPr>
      <w:hyperlink r:id="rId9" w:history="1">
        <w:r w:rsidRPr="00255E79" w:rsidR="001F4CAE">
          <w:rPr>
            <w:rStyle w:val="Hyperlink"/>
            <w:szCs w:val="24"/>
          </w:rPr>
          <w:t>Donadio@carpenterlipps.com</w:t>
        </w:r>
      </w:hyperlink>
      <w:r w:rsidRPr="00255E79" w:rsidR="001F4CAE">
        <w:rPr>
          <w:color w:val="0000FF" w:themeColor="hyperlink"/>
          <w:szCs w:val="24"/>
          <w:u w:val="single"/>
        </w:rPr>
        <w:t xml:space="preserve"> </w:t>
      </w:r>
    </w:p>
    <w:p w:rsidR="000D2110" w:rsidRPr="00255E79" w:rsidP="000D2110" w14:paraId="6F6F30B7" w14:textId="020B2BF2">
      <w:pPr>
        <w:spacing w:after="60"/>
        <w:jc w:val="both"/>
        <w:rPr>
          <w:i/>
          <w:szCs w:val="24"/>
        </w:rPr>
      </w:pPr>
      <w:r w:rsidRPr="00255E79">
        <w:rPr>
          <w:szCs w:val="24"/>
        </w:rPr>
        <w:tab/>
      </w:r>
      <w:r w:rsidRPr="00255E79">
        <w:rPr>
          <w:szCs w:val="24"/>
        </w:rPr>
        <w:tab/>
      </w:r>
      <w:r w:rsidRPr="00255E79">
        <w:rPr>
          <w:szCs w:val="24"/>
        </w:rPr>
        <w:tab/>
      </w:r>
      <w:r w:rsidRPr="00255E79">
        <w:rPr>
          <w:szCs w:val="24"/>
        </w:rPr>
        <w:tab/>
      </w:r>
      <w:r w:rsidRPr="00255E79">
        <w:rPr>
          <w:szCs w:val="24"/>
        </w:rPr>
        <w:tab/>
      </w:r>
      <w:r w:rsidRPr="00255E79">
        <w:rPr>
          <w:szCs w:val="24"/>
        </w:rPr>
        <w:tab/>
        <w:t>(willing to accept service by e</w:t>
      </w:r>
      <w:r w:rsidR="00E07CF4">
        <w:rPr>
          <w:szCs w:val="24"/>
        </w:rPr>
        <w:t>-</w:t>
      </w:r>
      <w:r w:rsidRPr="00255E79">
        <w:rPr>
          <w:szCs w:val="24"/>
        </w:rPr>
        <w:t xml:space="preserve">mail) </w:t>
      </w:r>
    </w:p>
    <w:p w:rsidR="000D2110" w:rsidRPr="00255E79" w:rsidP="000D2110" w14:paraId="17ACCEF9" w14:textId="77777777">
      <w:pPr>
        <w:ind w:left="4320"/>
        <w:contextualSpacing/>
        <w:jc w:val="both"/>
        <w:rPr>
          <w:i/>
          <w:szCs w:val="24"/>
        </w:rPr>
      </w:pPr>
      <w:r w:rsidRPr="00255E79">
        <w:rPr>
          <w:i/>
          <w:szCs w:val="24"/>
        </w:rPr>
        <w:t xml:space="preserve">Counsel for the Ohio Manufacturers’ Association Energy Group </w:t>
      </w:r>
    </w:p>
    <w:p w:rsidR="001E25C1" w:rsidRPr="00EE0DDA" w:rsidP="001E25C1" w14:paraId="6FB81805" w14:textId="6587EC2B">
      <w:pPr>
        <w:suppressLineNumbers/>
        <w:ind w:left="4320"/>
        <w:rPr>
          <w:szCs w:val="24"/>
        </w:rPr>
      </w:pPr>
      <w:r w:rsidRPr="00FE4C8A">
        <w:rPr>
          <w:szCs w:val="24"/>
          <w:highlight w:val="yellow"/>
        </w:rPr>
        <w:t xml:space="preserve"> </w:t>
      </w:r>
    </w:p>
    <w:p w:rsidR="00050188" w:rsidRPr="00EE0DDA" w:rsidP="00A17AF3" w14:paraId="21DEAF60" w14:textId="24D3C272">
      <w:pPr>
        <w:spacing w:after="200" w:line="276" w:lineRule="auto"/>
        <w:jc w:val="center"/>
        <w:rPr>
          <w:b/>
          <w:szCs w:val="24"/>
          <w:u w:val="single"/>
        </w:rPr>
      </w:pPr>
      <w:r w:rsidRPr="00EE0DDA">
        <w:rPr>
          <w:rFonts w:eastAsiaTheme="minorHAnsi"/>
          <w:color w:val="000000"/>
          <w:szCs w:val="24"/>
        </w:rPr>
        <w:br w:type="page"/>
      </w:r>
      <w:r w:rsidRPr="00EE0DDA">
        <w:rPr>
          <w:b/>
          <w:szCs w:val="24"/>
          <w:u w:val="single"/>
        </w:rPr>
        <w:t>CERTIFICATE OF SERVICE</w:t>
      </w:r>
    </w:p>
    <w:p w:rsidR="00050188" w:rsidRPr="00EE0DDA" w:rsidP="00050188" w14:paraId="76FABFAD" w14:textId="77777777">
      <w:pPr>
        <w:suppressLineNumbers/>
        <w:ind w:left="810"/>
        <w:rPr>
          <w:szCs w:val="24"/>
          <w:u w:val="single"/>
        </w:rPr>
      </w:pPr>
    </w:p>
    <w:p w:rsidR="00050188" w:rsidRPr="00EE0DDA" w:rsidP="00050188" w14:paraId="0C984CD5" w14:textId="2A4A8CBB">
      <w:pPr>
        <w:suppressLineNumbers/>
        <w:spacing w:line="480" w:lineRule="auto"/>
        <w:rPr>
          <w:szCs w:val="24"/>
        </w:rPr>
      </w:pPr>
      <w:r w:rsidRPr="00EE0DDA">
        <w:rPr>
          <w:szCs w:val="24"/>
        </w:rPr>
        <w:tab/>
        <w:t xml:space="preserve">I hereby certify that a copy of this </w:t>
      </w:r>
      <w:r w:rsidR="00E07CF4">
        <w:rPr>
          <w:szCs w:val="24"/>
        </w:rPr>
        <w:t xml:space="preserve">Joint </w:t>
      </w:r>
      <w:r w:rsidR="00FE4C8A">
        <w:rPr>
          <w:szCs w:val="24"/>
        </w:rPr>
        <w:t>Motion</w:t>
      </w:r>
      <w:r w:rsidRPr="00EE0DDA">
        <w:rPr>
          <w:szCs w:val="24"/>
        </w:rPr>
        <w:t xml:space="preserve"> was provided electronically to the persons listed below this </w:t>
      </w:r>
      <w:r w:rsidR="00D257C7">
        <w:rPr>
          <w:szCs w:val="24"/>
        </w:rPr>
        <w:t>19</w:t>
      </w:r>
      <w:r w:rsidRPr="00D257C7" w:rsidR="00D257C7">
        <w:rPr>
          <w:szCs w:val="24"/>
          <w:vertAlign w:val="superscript"/>
        </w:rPr>
        <w:t>th</w:t>
      </w:r>
      <w:r w:rsidR="00D257C7">
        <w:rPr>
          <w:szCs w:val="24"/>
        </w:rPr>
        <w:t xml:space="preserve"> </w:t>
      </w:r>
      <w:r w:rsidRPr="00EE0DDA">
        <w:rPr>
          <w:szCs w:val="24"/>
        </w:rPr>
        <w:t xml:space="preserve">day of </w:t>
      </w:r>
      <w:r w:rsidR="00D257C7">
        <w:rPr>
          <w:szCs w:val="24"/>
        </w:rPr>
        <w:t xml:space="preserve">July </w:t>
      </w:r>
      <w:r w:rsidRPr="00EE0DDA" w:rsidR="00EE77E8">
        <w:rPr>
          <w:szCs w:val="24"/>
        </w:rPr>
        <w:t>2021.</w:t>
      </w:r>
    </w:p>
    <w:p w:rsidR="00050188" w:rsidRPr="00EE0DDA" w:rsidP="00050188" w14:paraId="49C839F5" w14:textId="77777777">
      <w:pPr>
        <w:suppressLineNumbers/>
        <w:ind w:left="4320"/>
        <w:rPr>
          <w:i/>
          <w:szCs w:val="24"/>
          <w:u w:val="single"/>
        </w:rPr>
      </w:pPr>
      <w:r w:rsidRPr="00EE0DDA">
        <w:rPr>
          <w:i/>
          <w:szCs w:val="24"/>
          <w:u w:val="single"/>
        </w:rPr>
        <w:t>/s/Maureen R. Willis</w:t>
      </w:r>
      <w:r w:rsidRPr="00EE0DDA" w:rsidR="00D93095">
        <w:rPr>
          <w:i/>
          <w:szCs w:val="24"/>
          <w:u w:val="single"/>
        </w:rPr>
        <w:tab/>
      </w:r>
      <w:r w:rsidRPr="00EE0DDA" w:rsidR="00D93095">
        <w:rPr>
          <w:i/>
          <w:szCs w:val="24"/>
          <w:u w:val="single"/>
        </w:rPr>
        <w:tab/>
      </w:r>
      <w:r w:rsidRPr="00EE0DDA" w:rsidR="00D93095">
        <w:rPr>
          <w:i/>
          <w:szCs w:val="24"/>
          <w:u w:val="single"/>
        </w:rPr>
        <w:tab/>
      </w:r>
    </w:p>
    <w:p w:rsidR="00E07CF4" w:rsidP="00050188" w14:paraId="3433D967" w14:textId="74E4A055">
      <w:pPr>
        <w:suppressLineNumbers/>
        <w:ind w:left="4320"/>
        <w:rPr>
          <w:iCs/>
          <w:szCs w:val="24"/>
        </w:rPr>
      </w:pPr>
      <w:r>
        <w:rPr>
          <w:iCs/>
          <w:szCs w:val="24"/>
        </w:rPr>
        <w:t>Maureen R. Willis</w:t>
      </w:r>
    </w:p>
    <w:p w:rsidR="00050188" w:rsidRPr="00EE0DDA" w:rsidP="00050188" w14:paraId="216436C9" w14:textId="31D42FA0">
      <w:pPr>
        <w:suppressLineNumbers/>
        <w:ind w:left="4320"/>
        <w:rPr>
          <w:iCs/>
          <w:szCs w:val="24"/>
        </w:rPr>
      </w:pPr>
      <w:r w:rsidRPr="00EE0DDA">
        <w:rPr>
          <w:iCs/>
          <w:szCs w:val="24"/>
        </w:rPr>
        <w:t>Senior Counsel</w:t>
      </w:r>
    </w:p>
    <w:p w:rsidR="00050188" w:rsidRPr="00EE0DDA" w:rsidP="00050188" w14:paraId="1C967B23" w14:textId="77777777">
      <w:pPr>
        <w:suppressLineNumbers/>
        <w:ind w:left="4320"/>
        <w:rPr>
          <w:szCs w:val="24"/>
        </w:rPr>
      </w:pPr>
      <w:r w:rsidRPr="00EE0DDA">
        <w:rPr>
          <w:szCs w:val="24"/>
        </w:rPr>
        <w:t>Assistant Consumers’ Counsel</w:t>
      </w:r>
    </w:p>
    <w:p w:rsidR="00050188" w:rsidRPr="00EE0DDA" w:rsidP="00050188" w14:paraId="53FEB772" w14:textId="77777777">
      <w:pPr>
        <w:suppressLineNumbers/>
        <w:ind w:left="810"/>
        <w:rPr>
          <w:szCs w:val="24"/>
          <w:u w:val="single"/>
        </w:rPr>
      </w:pPr>
    </w:p>
    <w:p w:rsidR="00050188" w:rsidRPr="00EE0DDA" w:rsidP="00050188" w14:paraId="6DD0600F" w14:textId="77777777">
      <w:pPr>
        <w:suppressLineNumbers/>
        <w:rPr>
          <w:szCs w:val="24"/>
        </w:rPr>
      </w:pPr>
      <w:r w:rsidRPr="00EE0DDA">
        <w:rPr>
          <w:szCs w:val="24"/>
        </w:rPr>
        <w:t>The PUCO’s e-filing system will electronically serve notice of the filing of this document on the following parties:</w:t>
      </w:r>
    </w:p>
    <w:p w:rsidR="00050188" w:rsidRPr="00EE0DDA" w:rsidP="00050188" w14:paraId="6E0222DF" w14:textId="77777777">
      <w:pPr>
        <w:pStyle w:val="CommentText"/>
        <w:suppressLineNumbers/>
        <w:ind w:left="810"/>
        <w:rPr>
          <w:sz w:val="24"/>
          <w:szCs w:val="24"/>
        </w:rPr>
      </w:pPr>
    </w:p>
    <w:p w:rsidR="00050188" w:rsidRPr="00EE0DDA" w:rsidP="00050188" w14:paraId="6300B5ED" w14:textId="0FC55483">
      <w:pPr>
        <w:suppressLineNumbers/>
        <w:tabs>
          <w:tab w:val="left" w:pos="4320"/>
        </w:tabs>
        <w:ind w:left="810"/>
        <w:rPr>
          <w:szCs w:val="24"/>
        </w:rPr>
      </w:pPr>
    </w:p>
    <w:p w:rsidR="00A17AF3" w:rsidRPr="00EE0DDA" w:rsidP="00A17AF3" w14:paraId="59BF8440" w14:textId="73D2448D">
      <w:pPr>
        <w:pStyle w:val="CommentText"/>
        <w:suppressLineNumbers/>
        <w:ind w:left="810"/>
        <w:jc w:val="center"/>
        <w:rPr>
          <w:b/>
          <w:sz w:val="24"/>
          <w:szCs w:val="24"/>
          <w:u w:val="single"/>
        </w:rPr>
      </w:pPr>
      <w:r w:rsidRPr="00EE0DDA">
        <w:rPr>
          <w:b/>
          <w:sz w:val="24"/>
          <w:szCs w:val="24"/>
          <w:u w:val="single"/>
        </w:rPr>
        <w:t>SERVICE LIST</w:t>
      </w:r>
      <w:r w:rsidR="00FE4C8A">
        <w:rPr>
          <w:b/>
          <w:sz w:val="24"/>
          <w:szCs w:val="24"/>
          <w:u w:val="single"/>
        </w:rPr>
        <w:t xml:space="preserve"> </w:t>
      </w:r>
    </w:p>
    <w:p w:rsidR="00A17AF3" w:rsidRPr="00EE0DDA" w:rsidP="00A17AF3" w14:paraId="23417653" w14:textId="77777777">
      <w:pPr>
        <w:pStyle w:val="CommentText"/>
        <w:suppressLineNumbers/>
        <w:ind w:left="810"/>
        <w:jc w:val="center"/>
        <w:rPr>
          <w:b/>
          <w:sz w:val="24"/>
          <w:szCs w:val="24"/>
          <w:u w:val="single"/>
        </w:rPr>
      </w:pPr>
    </w:p>
    <w:tbl>
      <w:tblPr>
        <w:tblW w:w="0" w:type="auto"/>
        <w:tblLook w:val="04A0"/>
      </w:tblPr>
      <w:tblGrid>
        <w:gridCol w:w="4428"/>
        <w:gridCol w:w="4428"/>
      </w:tblGrid>
      <w:tr w14:paraId="56C86F41" w14:textId="77777777" w:rsidTr="0051561F">
        <w:tblPrEx>
          <w:tblW w:w="0" w:type="auto"/>
          <w:tblLook w:val="04A0"/>
        </w:tblPrEx>
        <w:tc>
          <w:tcPr>
            <w:tcW w:w="4428" w:type="dxa"/>
            <w:shd w:val="clear" w:color="auto" w:fill="auto"/>
          </w:tcPr>
          <w:p w:rsidR="00A17AF3" w:rsidRPr="00EE0DDA" w:rsidP="0051561F" w14:paraId="21651749" w14:textId="2078B3C8">
            <w:pPr>
              <w:pStyle w:val="BodyText"/>
              <w:suppressLineNumbers/>
              <w:spacing w:after="0"/>
              <w:rPr>
                <w:rStyle w:val="Hyperlink"/>
                <w:rFonts w:eastAsia="Courier New"/>
                <w:szCs w:val="24"/>
              </w:rPr>
            </w:pPr>
            <w:hyperlink r:id="rId11" w:history="1">
              <w:r w:rsidRPr="00005DAD" w:rsidR="00DA0E86">
                <w:rPr>
                  <w:rStyle w:val="Hyperlink"/>
                  <w:rFonts w:eastAsia="Courier New"/>
                  <w:szCs w:val="24"/>
                </w:rPr>
                <w:t>werner.margard@ohioA</w:t>
              </w:r>
              <w:r w:rsidRPr="00005DAD" w:rsidR="00DA0E86">
                <w:rPr>
                  <w:rStyle w:val="Hyperlink"/>
                  <w:rFonts w:eastAsia="Courier New"/>
                </w:rPr>
                <w:t>GO</w:t>
              </w:r>
              <w:r w:rsidRPr="00005DAD" w:rsidR="00DA0E86">
                <w:rPr>
                  <w:rStyle w:val="Hyperlink"/>
                  <w:rFonts w:eastAsia="Courier New"/>
                  <w:szCs w:val="24"/>
                </w:rPr>
                <w:t>.gov</w:t>
              </w:r>
            </w:hyperlink>
          </w:p>
          <w:p w:rsidR="00A17AF3" w:rsidRPr="00EE0DDA" w:rsidP="0051561F" w14:paraId="3E3B09C9" w14:textId="15387075">
            <w:pPr>
              <w:pStyle w:val="BodyText"/>
              <w:suppressLineNumbers/>
              <w:spacing w:after="0"/>
              <w:rPr>
                <w:rStyle w:val="Hyperlink"/>
                <w:rFonts w:eastAsia="Courier New"/>
                <w:szCs w:val="24"/>
              </w:rPr>
            </w:pPr>
            <w:hyperlink r:id="rId12" w:history="1">
              <w:r w:rsidRPr="00EE0DDA" w:rsidR="000B7E28">
                <w:rPr>
                  <w:rStyle w:val="Hyperlink"/>
                  <w:rFonts w:eastAsia="Courier New"/>
                  <w:szCs w:val="24"/>
                </w:rPr>
                <w:t>ccox@elpc.org</w:t>
              </w:r>
            </w:hyperlink>
          </w:p>
          <w:p w:rsidR="00EE0DDA" w:rsidRPr="00EE0DDA" w:rsidP="0051561F" w14:paraId="313EE71C" w14:textId="00B49EF7">
            <w:pPr>
              <w:pStyle w:val="BodyText"/>
              <w:suppressLineNumbers/>
              <w:spacing w:after="0"/>
              <w:rPr>
                <w:rFonts w:eastAsiaTheme="minorHAnsi"/>
                <w:color w:val="0000FF"/>
                <w:szCs w:val="24"/>
              </w:rPr>
            </w:pPr>
            <w:hyperlink r:id="rId13" w:history="1">
              <w:r w:rsidRPr="00EE0DDA" w:rsidR="000B7E28">
                <w:rPr>
                  <w:rStyle w:val="Hyperlink"/>
                  <w:rFonts w:eastAsiaTheme="minorHAnsi"/>
                  <w:szCs w:val="24"/>
                </w:rPr>
                <w:t>rlazer@elpc.org</w:t>
              </w:r>
            </w:hyperlink>
          </w:p>
          <w:p w:rsidR="00A17AF3" w:rsidRPr="00EE0DDA" w:rsidP="0051561F" w14:paraId="79F33BAF" w14:textId="77777777">
            <w:pPr>
              <w:pStyle w:val="BodyText"/>
              <w:suppressLineNumbers/>
              <w:spacing w:after="0"/>
              <w:rPr>
                <w:rStyle w:val="Hyperlink"/>
                <w:rFonts w:eastAsia="Courier New"/>
                <w:szCs w:val="24"/>
              </w:rPr>
            </w:pPr>
            <w:hyperlink r:id="rId14" w:history="1">
              <w:r w:rsidRPr="00EE0DDA" w:rsidR="000B7E28">
                <w:rPr>
                  <w:rStyle w:val="Hyperlink"/>
                  <w:rFonts w:eastAsia="Courier New"/>
                  <w:szCs w:val="24"/>
                </w:rPr>
                <w:t>rkelter@elpc.org</w:t>
              </w:r>
            </w:hyperlink>
          </w:p>
          <w:p w:rsidR="00A17AF3" w:rsidRPr="00EE0DDA" w:rsidP="0051561F" w14:paraId="03459659" w14:textId="77777777">
            <w:pPr>
              <w:pStyle w:val="BodyText"/>
              <w:suppressLineNumbers/>
              <w:spacing w:after="0"/>
              <w:rPr>
                <w:rFonts w:eastAsia="Calibri"/>
                <w:szCs w:val="24"/>
              </w:rPr>
            </w:pPr>
            <w:hyperlink r:id="rId15" w:history="1">
              <w:r w:rsidRPr="00EE0DDA" w:rsidR="000B7E28">
                <w:rPr>
                  <w:rStyle w:val="Hyperlink"/>
                  <w:rFonts w:eastAsia="Calibri"/>
                  <w:szCs w:val="24"/>
                </w:rPr>
                <w:t>trhayslaw@gmail.com</w:t>
              </w:r>
            </w:hyperlink>
          </w:p>
          <w:p w:rsidR="00A17AF3" w:rsidRPr="00EE0DDA" w:rsidP="0051561F" w14:paraId="1FA58BDB" w14:textId="77777777">
            <w:pPr>
              <w:pStyle w:val="BodyText"/>
              <w:suppressLineNumbers/>
              <w:spacing w:after="0"/>
              <w:rPr>
                <w:rFonts w:eastAsia="Calibri"/>
                <w:szCs w:val="24"/>
              </w:rPr>
            </w:pPr>
            <w:hyperlink r:id="rId16" w:history="1">
              <w:r w:rsidRPr="00EE0DDA" w:rsidR="000B7E28">
                <w:rPr>
                  <w:rStyle w:val="Hyperlink"/>
                  <w:rFonts w:eastAsia="Calibri"/>
                  <w:szCs w:val="24"/>
                </w:rPr>
                <w:t>leslie.kovacik@toledo.oh.gov</w:t>
              </w:r>
            </w:hyperlink>
          </w:p>
          <w:p w:rsidR="00A17AF3" w:rsidRPr="00EE0DDA" w:rsidP="0051561F" w14:paraId="055B6E81" w14:textId="77777777">
            <w:pPr>
              <w:autoSpaceDE w:val="0"/>
              <w:autoSpaceDN w:val="0"/>
              <w:adjustRightInd w:val="0"/>
              <w:rPr>
                <w:rStyle w:val="Hyperlink"/>
                <w:rFonts w:eastAsia="Calibri"/>
                <w:szCs w:val="24"/>
              </w:rPr>
            </w:pPr>
            <w:hyperlink r:id="rId17" w:history="1">
              <w:r w:rsidRPr="00EE0DDA" w:rsidR="000B7E28">
                <w:rPr>
                  <w:rStyle w:val="Hyperlink"/>
                  <w:rFonts w:eastAsia="Calibri"/>
                  <w:szCs w:val="24"/>
                </w:rPr>
                <w:t>bethany.allen@igs.com</w:t>
              </w:r>
            </w:hyperlink>
          </w:p>
          <w:p w:rsidR="00A17AF3" w:rsidRPr="00EE0DDA" w:rsidP="0051561F" w14:paraId="1FAAFDE4" w14:textId="77777777">
            <w:pPr>
              <w:autoSpaceDE w:val="0"/>
              <w:autoSpaceDN w:val="0"/>
              <w:adjustRightInd w:val="0"/>
              <w:rPr>
                <w:rStyle w:val="Hyperlink"/>
                <w:rFonts w:eastAsia="Calibri"/>
                <w:szCs w:val="24"/>
              </w:rPr>
            </w:pPr>
            <w:hyperlink r:id="rId18" w:history="1">
              <w:r w:rsidRPr="00EE0DDA" w:rsidR="000B7E28">
                <w:rPr>
                  <w:rStyle w:val="Hyperlink"/>
                  <w:rFonts w:eastAsia="Calibri"/>
                  <w:szCs w:val="24"/>
                </w:rPr>
                <w:t>evan.betterton@igs.com</w:t>
              </w:r>
            </w:hyperlink>
          </w:p>
          <w:p w:rsidR="00A17AF3" w:rsidRPr="00EE0DDA" w:rsidP="0051561F" w14:paraId="7DDAE20D" w14:textId="77777777">
            <w:pPr>
              <w:autoSpaceDE w:val="0"/>
              <w:autoSpaceDN w:val="0"/>
              <w:adjustRightInd w:val="0"/>
              <w:rPr>
                <w:rFonts w:eastAsia="Calibri"/>
                <w:color w:val="0000FF"/>
                <w:szCs w:val="24"/>
              </w:rPr>
            </w:pPr>
            <w:hyperlink r:id="rId19" w:history="1">
              <w:r w:rsidRPr="00EE0DDA" w:rsidR="000B7E28">
                <w:rPr>
                  <w:rStyle w:val="Hyperlink"/>
                  <w:rFonts w:eastAsia="Calibri"/>
                  <w:szCs w:val="24"/>
                </w:rPr>
                <w:t>joe.oliker@igs.com</w:t>
              </w:r>
            </w:hyperlink>
          </w:p>
          <w:p w:rsidR="00A17AF3" w:rsidRPr="00EE0DDA" w:rsidP="0051561F" w14:paraId="511EFED6" w14:textId="77777777">
            <w:pPr>
              <w:autoSpaceDE w:val="0"/>
              <w:autoSpaceDN w:val="0"/>
              <w:adjustRightInd w:val="0"/>
              <w:rPr>
                <w:rFonts w:eastAsia="Calibri"/>
                <w:color w:val="0000FF"/>
                <w:szCs w:val="24"/>
              </w:rPr>
            </w:pPr>
            <w:hyperlink r:id="rId20" w:history="1">
              <w:r w:rsidRPr="00EE0DDA" w:rsidR="000B7E28">
                <w:rPr>
                  <w:rStyle w:val="Hyperlink"/>
                  <w:rFonts w:eastAsia="Calibri"/>
                  <w:szCs w:val="24"/>
                </w:rPr>
                <w:t>michael.nugent@igs.com</w:t>
              </w:r>
            </w:hyperlink>
          </w:p>
          <w:p w:rsidR="00A17AF3" w:rsidRPr="00EE0DDA" w:rsidP="0051561F" w14:paraId="2D234A29" w14:textId="77777777">
            <w:pPr>
              <w:autoSpaceDE w:val="0"/>
              <w:autoSpaceDN w:val="0"/>
              <w:adjustRightInd w:val="0"/>
              <w:rPr>
                <w:rFonts w:eastAsia="Calibri"/>
                <w:color w:val="0000FF"/>
                <w:szCs w:val="24"/>
              </w:rPr>
            </w:pPr>
            <w:hyperlink r:id="rId21" w:history="1">
              <w:r w:rsidRPr="00EE0DDA" w:rsidR="000B7E28">
                <w:rPr>
                  <w:rStyle w:val="Hyperlink"/>
                  <w:rFonts w:eastAsia="Calibri"/>
                  <w:szCs w:val="24"/>
                </w:rPr>
                <w:t>mkurtz@BKLlawfirm.com</w:t>
              </w:r>
            </w:hyperlink>
          </w:p>
          <w:p w:rsidR="00A17AF3" w:rsidRPr="00EE0DDA" w:rsidP="0051561F" w14:paraId="3DE0C862" w14:textId="77777777">
            <w:pPr>
              <w:autoSpaceDE w:val="0"/>
              <w:autoSpaceDN w:val="0"/>
              <w:adjustRightInd w:val="0"/>
              <w:rPr>
                <w:rStyle w:val="Hyperlink"/>
                <w:rFonts w:eastAsia="Calibri"/>
                <w:szCs w:val="24"/>
              </w:rPr>
            </w:pPr>
            <w:hyperlink r:id="rId22" w:history="1">
              <w:r w:rsidRPr="00EE0DDA" w:rsidR="000B7E28">
                <w:rPr>
                  <w:rStyle w:val="Hyperlink"/>
                  <w:rFonts w:eastAsia="Calibri"/>
                  <w:szCs w:val="24"/>
                </w:rPr>
                <w:t>kboehm@BKLlawfirm.com</w:t>
              </w:r>
            </w:hyperlink>
          </w:p>
          <w:p w:rsidR="00A17AF3" w:rsidRPr="00EE0DDA" w:rsidP="0051561F" w14:paraId="737427FF" w14:textId="77777777">
            <w:pPr>
              <w:autoSpaceDE w:val="0"/>
              <w:autoSpaceDN w:val="0"/>
              <w:adjustRightInd w:val="0"/>
              <w:rPr>
                <w:rStyle w:val="Hyperlink"/>
                <w:rFonts w:eastAsia="Calibri"/>
                <w:szCs w:val="24"/>
              </w:rPr>
            </w:pPr>
            <w:hyperlink r:id="rId23" w:history="1">
              <w:r w:rsidRPr="00EE0DDA" w:rsidR="000B7E28">
                <w:rPr>
                  <w:rStyle w:val="Hyperlink"/>
                  <w:rFonts w:eastAsia="Calibri"/>
                  <w:szCs w:val="24"/>
                </w:rPr>
                <w:t>jkylercohn@BKLlawfirm.com</w:t>
              </w:r>
            </w:hyperlink>
          </w:p>
          <w:p w:rsidR="00A17AF3" w:rsidRPr="00EE0DDA" w:rsidP="0051561F" w14:paraId="1636AD60" w14:textId="7123663A">
            <w:pPr>
              <w:autoSpaceDE w:val="0"/>
              <w:autoSpaceDN w:val="0"/>
              <w:adjustRightInd w:val="0"/>
              <w:rPr>
                <w:color w:val="0000FF"/>
                <w:szCs w:val="24"/>
              </w:rPr>
            </w:pPr>
          </w:p>
          <w:p w:rsidR="00A17AF3" w:rsidRPr="00EE0DDA" w:rsidP="0051561F" w14:paraId="4AA60142" w14:textId="77777777">
            <w:pPr>
              <w:autoSpaceDE w:val="0"/>
              <w:autoSpaceDN w:val="0"/>
              <w:adjustRightInd w:val="0"/>
              <w:rPr>
                <w:rStyle w:val="Hyperlink"/>
                <w:rFonts w:eastAsia="Calibri"/>
                <w:szCs w:val="24"/>
              </w:rPr>
            </w:pPr>
          </w:p>
          <w:p w:rsidR="00A17AF3" w:rsidRPr="00EE0DDA" w:rsidP="0051561F" w14:paraId="5D8B2275" w14:textId="77777777">
            <w:pPr>
              <w:autoSpaceDE w:val="0"/>
              <w:autoSpaceDN w:val="0"/>
              <w:adjustRightInd w:val="0"/>
              <w:rPr>
                <w:rStyle w:val="Hyperlink"/>
                <w:rFonts w:eastAsia="Calibri"/>
                <w:szCs w:val="24"/>
              </w:rPr>
            </w:pPr>
          </w:p>
          <w:p w:rsidR="00A17AF3" w:rsidRPr="00EE0DDA" w:rsidP="0051561F" w14:paraId="3DB5C868" w14:textId="77777777">
            <w:pPr>
              <w:pStyle w:val="BodyText"/>
              <w:suppressLineNumbers/>
              <w:spacing w:after="0"/>
              <w:rPr>
                <w:szCs w:val="24"/>
              </w:rPr>
            </w:pPr>
            <w:r w:rsidRPr="00EE0DDA">
              <w:rPr>
                <w:szCs w:val="24"/>
              </w:rPr>
              <w:t>Attorney Examiner:</w:t>
            </w:r>
          </w:p>
          <w:p w:rsidR="00A17AF3" w:rsidRPr="00EE0DDA" w:rsidP="0051561F" w14:paraId="01D618D3" w14:textId="77777777">
            <w:pPr>
              <w:pStyle w:val="BodyText"/>
              <w:suppressLineNumbers/>
              <w:spacing w:after="0"/>
              <w:rPr>
                <w:rStyle w:val="Hyperlink"/>
                <w:rFonts w:eastAsia="Courier New"/>
                <w:szCs w:val="24"/>
              </w:rPr>
            </w:pPr>
            <w:hyperlink r:id="rId24" w:history="1">
              <w:r w:rsidRPr="00EE0DDA" w:rsidR="000B7E28">
                <w:rPr>
                  <w:rStyle w:val="Hyperlink"/>
                  <w:rFonts w:eastAsia="Courier New"/>
                  <w:szCs w:val="24"/>
                </w:rPr>
                <w:t>Gregory.price@puco.ohio.gov</w:t>
              </w:r>
            </w:hyperlink>
          </w:p>
          <w:p w:rsidR="00A17AF3" w:rsidRPr="00EE0DDA" w:rsidP="0051561F" w14:paraId="0D82FE5E" w14:textId="77777777">
            <w:pPr>
              <w:pStyle w:val="BodyText"/>
              <w:suppressLineNumbers/>
              <w:spacing w:after="0"/>
              <w:rPr>
                <w:rStyle w:val="Hyperlink"/>
                <w:rFonts w:eastAsia="Courier New"/>
                <w:szCs w:val="24"/>
              </w:rPr>
            </w:pPr>
            <w:hyperlink r:id="rId25" w:history="1">
              <w:r w:rsidRPr="00EE0DDA" w:rsidR="000B7E28">
                <w:rPr>
                  <w:rStyle w:val="Hyperlink"/>
                  <w:rFonts w:eastAsia="Courier New"/>
                  <w:szCs w:val="24"/>
                </w:rPr>
                <w:t>Megan.addison@puco.ohio.gov</w:t>
              </w:r>
            </w:hyperlink>
          </w:p>
          <w:p w:rsidR="00A17AF3" w:rsidRPr="00EE0DDA" w:rsidP="0051561F" w14:paraId="756519F7" w14:textId="77777777">
            <w:pPr>
              <w:autoSpaceDE w:val="0"/>
              <w:autoSpaceDN w:val="0"/>
              <w:adjustRightInd w:val="0"/>
              <w:rPr>
                <w:rFonts w:eastAsia="Calibri"/>
                <w:color w:val="0000FF"/>
                <w:szCs w:val="24"/>
              </w:rPr>
            </w:pPr>
            <w:hyperlink r:id="rId26" w:history="1">
              <w:r w:rsidRPr="00EE0DDA" w:rsidR="000B7E28">
                <w:rPr>
                  <w:rStyle w:val="Hyperlink"/>
                  <w:rFonts w:eastAsia="Courier New"/>
                  <w:szCs w:val="24"/>
                </w:rPr>
                <w:t>Jacqueline.st.john@puco.ohio.gov</w:t>
              </w:r>
            </w:hyperlink>
          </w:p>
          <w:p w:rsidR="00A17AF3" w:rsidRPr="00EE0DDA" w:rsidP="0051561F" w14:paraId="42A203F4" w14:textId="77777777">
            <w:pPr>
              <w:pStyle w:val="BodyText"/>
              <w:suppressLineNumbers/>
              <w:spacing w:after="0"/>
              <w:rPr>
                <w:szCs w:val="24"/>
              </w:rPr>
            </w:pPr>
          </w:p>
        </w:tc>
        <w:tc>
          <w:tcPr>
            <w:tcW w:w="4428" w:type="dxa"/>
            <w:shd w:val="clear" w:color="auto" w:fill="auto"/>
          </w:tcPr>
          <w:p w:rsidR="00A17AF3" w:rsidRPr="00EE0DDA" w:rsidP="0051561F" w14:paraId="5C7E7EC8" w14:textId="77777777">
            <w:pPr>
              <w:autoSpaceDE w:val="0"/>
              <w:autoSpaceDN w:val="0"/>
              <w:adjustRightInd w:val="0"/>
              <w:ind w:left="816"/>
              <w:rPr>
                <w:rStyle w:val="Hyperlink"/>
                <w:rFonts w:eastAsia="Calibri"/>
                <w:szCs w:val="24"/>
              </w:rPr>
            </w:pPr>
            <w:hyperlink r:id="rId27" w:history="1">
              <w:r w:rsidRPr="00EE0DDA" w:rsidR="000B7E28">
                <w:rPr>
                  <w:rStyle w:val="Hyperlink"/>
                  <w:rFonts w:eastAsia="Calibri"/>
                  <w:szCs w:val="24"/>
                </w:rPr>
                <w:t>bknipe@firstenergycorp.com</w:t>
              </w:r>
            </w:hyperlink>
          </w:p>
          <w:p w:rsidR="00A17AF3" w:rsidRPr="00EE0DDA" w:rsidP="0051561F" w14:paraId="7BD2A202" w14:textId="77777777">
            <w:pPr>
              <w:autoSpaceDE w:val="0"/>
              <w:autoSpaceDN w:val="0"/>
              <w:adjustRightInd w:val="0"/>
              <w:ind w:left="816"/>
              <w:rPr>
                <w:rFonts w:eastAsia="Calibri"/>
                <w:szCs w:val="24"/>
              </w:rPr>
            </w:pPr>
            <w:hyperlink r:id="rId28" w:history="1">
              <w:r w:rsidRPr="00EE0DDA" w:rsidR="000B7E28">
                <w:rPr>
                  <w:rStyle w:val="Hyperlink"/>
                  <w:rFonts w:eastAsia="Calibri"/>
                  <w:szCs w:val="24"/>
                </w:rPr>
                <w:t>mrgladman@jonesday.com</w:t>
              </w:r>
            </w:hyperlink>
          </w:p>
          <w:p w:rsidR="00A17AF3" w:rsidRPr="00EE0DDA" w:rsidP="0051561F" w14:paraId="5A9E2162" w14:textId="77777777">
            <w:pPr>
              <w:autoSpaceDE w:val="0"/>
              <w:autoSpaceDN w:val="0"/>
              <w:adjustRightInd w:val="0"/>
              <w:ind w:left="816"/>
              <w:rPr>
                <w:rFonts w:eastAsia="Calibri"/>
                <w:szCs w:val="24"/>
              </w:rPr>
            </w:pPr>
            <w:hyperlink r:id="rId29" w:history="1">
              <w:r w:rsidRPr="00EE0DDA" w:rsidR="000B7E28">
                <w:rPr>
                  <w:rStyle w:val="Hyperlink"/>
                  <w:rFonts w:eastAsia="Calibri"/>
                  <w:szCs w:val="24"/>
                </w:rPr>
                <w:t>mdengler@jonesday.com</w:t>
              </w:r>
            </w:hyperlink>
          </w:p>
          <w:p w:rsidR="00A17AF3" w:rsidRPr="00EE0DDA" w:rsidP="0051561F" w14:paraId="7F7393C6" w14:textId="77777777">
            <w:pPr>
              <w:autoSpaceDE w:val="0"/>
              <w:autoSpaceDN w:val="0"/>
              <w:adjustRightInd w:val="0"/>
              <w:ind w:left="816"/>
              <w:rPr>
                <w:rFonts w:eastAsia="Calibri"/>
                <w:szCs w:val="24"/>
              </w:rPr>
            </w:pPr>
            <w:hyperlink r:id="rId30" w:history="1">
              <w:r w:rsidRPr="00EE0DDA" w:rsidR="000B7E28">
                <w:rPr>
                  <w:rStyle w:val="Hyperlink"/>
                  <w:rFonts w:eastAsia="Calibri"/>
                  <w:szCs w:val="24"/>
                </w:rPr>
                <w:t>radoringo@jonesday.com</w:t>
              </w:r>
            </w:hyperlink>
          </w:p>
          <w:p w:rsidR="00A17AF3" w:rsidRPr="00EE0DDA" w:rsidP="0051561F" w14:paraId="0FF917B5" w14:textId="77777777">
            <w:pPr>
              <w:autoSpaceDE w:val="0"/>
              <w:autoSpaceDN w:val="0"/>
              <w:adjustRightInd w:val="0"/>
              <w:ind w:left="816"/>
              <w:rPr>
                <w:rFonts w:eastAsia="Calibri"/>
                <w:color w:val="0000FF"/>
                <w:szCs w:val="24"/>
              </w:rPr>
            </w:pPr>
            <w:hyperlink r:id="rId31" w:history="1">
              <w:r w:rsidRPr="00EE0DDA" w:rsidR="000B7E28">
                <w:rPr>
                  <w:rStyle w:val="Hyperlink"/>
                  <w:rFonts w:eastAsia="Calibri"/>
                  <w:szCs w:val="24"/>
                </w:rPr>
                <w:t>dborchers@bricker.com</w:t>
              </w:r>
            </w:hyperlink>
          </w:p>
          <w:p w:rsidR="00A17AF3" w:rsidRPr="00EE0DDA" w:rsidP="0051561F" w14:paraId="620F2922" w14:textId="77777777">
            <w:pPr>
              <w:autoSpaceDE w:val="0"/>
              <w:autoSpaceDN w:val="0"/>
              <w:adjustRightInd w:val="0"/>
              <w:ind w:left="816"/>
              <w:rPr>
                <w:rFonts w:eastAsia="Calibri"/>
                <w:color w:val="0000FF"/>
                <w:szCs w:val="24"/>
              </w:rPr>
            </w:pPr>
            <w:hyperlink r:id="rId32" w:history="1">
              <w:r w:rsidRPr="00EE0DDA" w:rsidR="000B7E28">
                <w:rPr>
                  <w:rStyle w:val="Hyperlink"/>
                  <w:rFonts w:eastAsia="Calibri"/>
                  <w:szCs w:val="24"/>
                </w:rPr>
                <w:t>dparram@bricker.com</w:t>
              </w:r>
            </w:hyperlink>
          </w:p>
          <w:p w:rsidR="00A17AF3" w:rsidRPr="00EE0DDA" w:rsidP="0051561F" w14:paraId="7AA9E7E5" w14:textId="77777777">
            <w:pPr>
              <w:autoSpaceDE w:val="0"/>
              <w:autoSpaceDN w:val="0"/>
              <w:adjustRightInd w:val="0"/>
              <w:ind w:left="816"/>
              <w:rPr>
                <w:rFonts w:eastAsia="Calibri"/>
                <w:color w:val="3C79D9"/>
                <w:szCs w:val="24"/>
              </w:rPr>
            </w:pPr>
            <w:hyperlink r:id="rId33" w:history="1">
              <w:r w:rsidRPr="00EE0DDA" w:rsidR="000B7E28">
                <w:rPr>
                  <w:rStyle w:val="Hyperlink"/>
                  <w:rFonts w:eastAsia="Calibri"/>
                  <w:szCs w:val="24"/>
                </w:rPr>
                <w:t>mleppla@theOEC.org</w:t>
              </w:r>
            </w:hyperlink>
          </w:p>
          <w:p w:rsidR="00A17AF3" w:rsidRPr="00EE0DDA" w:rsidP="0051561F" w14:paraId="633247A2" w14:textId="77777777">
            <w:pPr>
              <w:autoSpaceDE w:val="0"/>
              <w:autoSpaceDN w:val="0"/>
              <w:adjustRightInd w:val="0"/>
              <w:ind w:left="816"/>
              <w:rPr>
                <w:rFonts w:eastAsia="Calibri"/>
                <w:color w:val="1155CD"/>
                <w:szCs w:val="24"/>
              </w:rPr>
            </w:pPr>
            <w:hyperlink r:id="rId34" w:history="1">
              <w:r w:rsidRPr="00EE0DDA" w:rsidR="000B7E28">
                <w:rPr>
                  <w:rStyle w:val="Hyperlink"/>
                  <w:rFonts w:eastAsia="Calibri"/>
                  <w:szCs w:val="24"/>
                </w:rPr>
                <w:t>tdougherty@theOEC.org</w:t>
              </w:r>
            </w:hyperlink>
          </w:p>
          <w:p w:rsidR="00A17AF3" w:rsidRPr="00EE0DDA" w:rsidP="0051561F" w14:paraId="1AF2ED0B" w14:textId="77777777">
            <w:pPr>
              <w:pStyle w:val="BodyText"/>
              <w:suppressLineNumbers/>
              <w:spacing w:after="0"/>
              <w:ind w:left="816"/>
              <w:rPr>
                <w:rFonts w:eastAsia="Calibri"/>
                <w:color w:val="1155CD"/>
                <w:szCs w:val="24"/>
              </w:rPr>
            </w:pPr>
            <w:hyperlink r:id="rId35" w:history="1">
              <w:r w:rsidRPr="00EE0DDA" w:rsidR="000B7E28">
                <w:rPr>
                  <w:rStyle w:val="Hyperlink"/>
                  <w:rFonts w:eastAsia="Calibri"/>
                  <w:szCs w:val="24"/>
                </w:rPr>
                <w:t>ctavenor@theOEC.org</w:t>
              </w:r>
            </w:hyperlink>
          </w:p>
          <w:p w:rsidR="00A17AF3" w:rsidRPr="00EE0DDA" w:rsidP="0051561F" w14:paraId="747C74A4" w14:textId="77777777">
            <w:pPr>
              <w:pStyle w:val="BodyText"/>
              <w:suppressLineNumbers/>
              <w:spacing w:after="0"/>
              <w:ind w:left="816"/>
              <w:rPr>
                <w:rStyle w:val="Hyperlink"/>
                <w:rFonts w:eastAsia="Calibri"/>
                <w:szCs w:val="24"/>
              </w:rPr>
            </w:pPr>
            <w:hyperlink r:id="rId36" w:history="1">
              <w:r w:rsidRPr="00EE0DDA" w:rsidR="000B7E28">
                <w:rPr>
                  <w:rStyle w:val="Hyperlink"/>
                  <w:rFonts w:eastAsia="Calibri"/>
                  <w:szCs w:val="24"/>
                </w:rPr>
                <w:t>rdove@keglerbrown.com</w:t>
              </w:r>
            </w:hyperlink>
          </w:p>
          <w:p w:rsidR="00A17AF3" w:rsidRPr="00EE0DDA" w:rsidP="0051561F" w14:paraId="6593B9E0" w14:textId="77777777">
            <w:pPr>
              <w:autoSpaceDE w:val="0"/>
              <w:autoSpaceDN w:val="0"/>
              <w:adjustRightInd w:val="0"/>
              <w:ind w:left="816"/>
              <w:rPr>
                <w:rStyle w:val="Hyperlink"/>
                <w:rFonts w:eastAsia="Courier New"/>
                <w:szCs w:val="24"/>
              </w:rPr>
            </w:pPr>
            <w:hyperlink r:id="rId37" w:history="1">
              <w:r w:rsidRPr="00EE0DDA" w:rsidR="000B7E28">
                <w:rPr>
                  <w:rStyle w:val="Hyperlink"/>
                  <w:rFonts w:eastAsia="Courier New"/>
                  <w:szCs w:val="24"/>
                </w:rPr>
                <w:t>mpritchard@mcneeslaw.com</w:t>
              </w:r>
            </w:hyperlink>
          </w:p>
          <w:p w:rsidR="00A17AF3" w:rsidRPr="00EE0DDA" w:rsidP="0051561F" w14:paraId="6F4EC1C8" w14:textId="7615B621">
            <w:pPr>
              <w:autoSpaceDE w:val="0"/>
              <w:autoSpaceDN w:val="0"/>
              <w:adjustRightInd w:val="0"/>
              <w:ind w:left="816"/>
              <w:rPr>
                <w:rStyle w:val="Hyperlink"/>
                <w:rFonts w:eastAsia="Courier New"/>
                <w:szCs w:val="24"/>
              </w:rPr>
            </w:pPr>
            <w:hyperlink r:id="rId38" w:history="1">
              <w:r w:rsidRPr="00EE0DDA" w:rsidR="000B7E28">
                <w:rPr>
                  <w:rStyle w:val="Hyperlink"/>
                  <w:rFonts w:eastAsia="Courier New"/>
                  <w:szCs w:val="24"/>
                </w:rPr>
                <w:t>rglover@mcneeslaw.com</w:t>
              </w:r>
            </w:hyperlink>
          </w:p>
          <w:p w:rsidR="00EE0DDA" w:rsidRPr="00EE0DDA" w:rsidP="00EE0DDA" w14:paraId="20CCD21F" w14:textId="5016E7B9">
            <w:pPr>
              <w:autoSpaceDE w:val="0"/>
              <w:autoSpaceDN w:val="0"/>
              <w:adjustRightInd w:val="0"/>
              <w:ind w:left="774"/>
              <w:rPr>
                <w:color w:val="0000FF"/>
                <w:szCs w:val="24"/>
              </w:rPr>
            </w:pPr>
            <w:r w:rsidRPr="00EE0DDA">
              <w:rPr>
                <w:szCs w:val="24"/>
              </w:rPr>
              <w:t xml:space="preserve"> </w:t>
            </w:r>
            <w:hyperlink r:id="rId39" w:history="1">
              <w:r w:rsidRPr="00EE0DDA">
                <w:rPr>
                  <w:rStyle w:val="Hyperlink"/>
                  <w:rFonts w:eastAsia="Courier New"/>
                  <w:szCs w:val="24"/>
                </w:rPr>
                <w:t>mfleisher@dickinsonwright.com</w:t>
              </w:r>
            </w:hyperlink>
          </w:p>
          <w:p w:rsidR="00EE0DDA" w:rsidRPr="00EE0DDA" w:rsidP="00EE0DDA" w14:paraId="39F901F4" w14:textId="6CA5B8FD">
            <w:pPr>
              <w:autoSpaceDE w:val="0"/>
              <w:autoSpaceDN w:val="0"/>
              <w:adjustRightInd w:val="0"/>
              <w:ind w:left="816"/>
              <w:rPr>
                <w:rStyle w:val="Hyperlink"/>
                <w:rFonts w:eastAsia="Courier New"/>
                <w:szCs w:val="24"/>
              </w:rPr>
            </w:pPr>
            <w:hyperlink r:id="rId40" w:history="1">
              <w:r w:rsidRPr="00EE0DDA" w:rsidR="000B7E28">
                <w:rPr>
                  <w:rStyle w:val="Hyperlink"/>
                  <w:rFonts w:eastAsia="Courier New"/>
                  <w:szCs w:val="24"/>
                </w:rPr>
                <w:t>mwise@mcdonaldhopkins.com</w:t>
              </w:r>
            </w:hyperlink>
          </w:p>
          <w:p w:rsidR="00A17AF3" w:rsidRPr="00EE0DDA" w:rsidP="0051561F" w14:paraId="3B6CF5B7" w14:textId="77777777">
            <w:pPr>
              <w:pStyle w:val="BodyText"/>
              <w:suppressLineNumbers/>
              <w:spacing w:after="0"/>
              <w:ind w:left="1332"/>
              <w:rPr>
                <w:rFonts w:eastAsia="Calibri"/>
                <w:color w:val="1155CD"/>
                <w:szCs w:val="24"/>
              </w:rPr>
            </w:pPr>
          </w:p>
          <w:p w:rsidR="00A17AF3" w:rsidRPr="00EE0DDA" w:rsidP="0051561F" w14:paraId="5E1B4239" w14:textId="77777777">
            <w:pPr>
              <w:pStyle w:val="BodyText"/>
              <w:suppressLineNumbers/>
              <w:spacing w:after="0"/>
              <w:rPr>
                <w:b/>
                <w:bCs/>
                <w:szCs w:val="24"/>
              </w:rPr>
            </w:pPr>
          </w:p>
        </w:tc>
      </w:tr>
    </w:tbl>
    <w:p w:rsidR="003A7EF0" w:rsidRPr="00EE0DDA" w:rsidP="00A17AF3" w14:paraId="76135066" w14:textId="77777777">
      <w:pPr>
        <w:pStyle w:val="CommentText"/>
        <w:suppressLineNumbers/>
        <w:ind w:left="810"/>
        <w:jc w:val="center"/>
        <w:rPr>
          <w:sz w:val="24"/>
          <w:szCs w:val="24"/>
        </w:rPr>
      </w:pPr>
    </w:p>
    <w:sectPr w:rsidSect="00330512">
      <w:headerReference w:type="default" r:id="rId41"/>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5067780"/>
      <w:docPartObj>
        <w:docPartGallery w:val="Page Numbers (Bottom of Page)"/>
        <w:docPartUnique/>
      </w:docPartObj>
    </w:sdtPr>
    <w:sdtEndPr>
      <w:rPr>
        <w:noProof/>
      </w:rPr>
    </w:sdtEndPr>
    <w:sdtContent>
      <w:p w:rsidR="00BB3484" w14:paraId="35E0CC9E" w14:textId="64F631C1">
        <w:pPr>
          <w:pStyle w:val="Footer"/>
          <w:jc w:val="center"/>
        </w:pPr>
        <w:r>
          <w:fldChar w:fldCharType="begin"/>
        </w:r>
        <w:r>
          <w:instrText xml:space="preserve"> PAGE   \* MERGEFORMAT </w:instrText>
        </w:r>
        <w:r>
          <w:fldChar w:fldCharType="separate"/>
        </w:r>
        <w:r w:rsidR="00FB3D27">
          <w:rPr>
            <w:noProof/>
          </w:rPr>
          <w:t>6</w:t>
        </w:r>
        <w:r>
          <w:rPr>
            <w:noProof/>
          </w:rPr>
          <w:fldChar w:fldCharType="end"/>
        </w:r>
      </w:p>
    </w:sdtContent>
  </w:sdt>
  <w:p w:rsidR="00BB3484" w14:paraId="0C168D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25A5" w:rsidP="00EA3247" w14:paraId="6C004AE0" w14:textId="77777777">
      <w:r>
        <w:separator/>
      </w:r>
    </w:p>
  </w:footnote>
  <w:footnote w:type="continuationSeparator" w:id="1">
    <w:p w:rsidR="001A25A5" w:rsidP="00EA3247" w14:paraId="1C5EB2BA" w14:textId="77777777">
      <w:r>
        <w:continuationSeparator/>
      </w:r>
    </w:p>
  </w:footnote>
  <w:footnote w:id="2">
    <w:p w:rsidR="00BB3484" w:rsidP="00E07CF4" w14:paraId="39ED4180" w14:textId="329DFB7D">
      <w:pPr>
        <w:pStyle w:val="FootnoteText"/>
        <w:spacing w:after="120"/>
      </w:pPr>
      <w:r>
        <w:rPr>
          <w:rStyle w:val="FootnoteReference"/>
        </w:rPr>
        <w:footnoteRef/>
      </w:r>
      <w:r>
        <w:t xml:space="preserve"> </w:t>
      </w:r>
      <w:r w:rsidRPr="0004525C">
        <w:rPr>
          <w:i/>
          <w:iCs/>
        </w:rPr>
        <w:t xml:space="preserve">In the Matter of the Review of the Political and Charitable Spending by Ohio Edison Company, </w:t>
      </w:r>
      <w:r>
        <w:rPr>
          <w:i/>
          <w:iCs/>
        </w:rPr>
        <w:t xml:space="preserve">The </w:t>
      </w:r>
      <w:r w:rsidRPr="0004525C">
        <w:rPr>
          <w:i/>
          <w:iCs/>
        </w:rPr>
        <w:t>Cleveland Electric Illuminating Company and the Toledo Edison Company</w:t>
      </w:r>
      <w:r>
        <w:t xml:space="preserve">, Case No. 20-1502-EL-UNC, Entry at ¶24 (May 13, 2021). </w:t>
      </w:r>
    </w:p>
  </w:footnote>
  <w:footnote w:id="3">
    <w:p w:rsidR="00BB3484" w:rsidP="00E07CF4" w14:paraId="39D53D1A" w14:textId="77777777">
      <w:pPr>
        <w:pStyle w:val="FootnoteText"/>
        <w:spacing w:after="120"/>
      </w:pPr>
      <w:r>
        <w:rPr>
          <w:rStyle w:val="FootnoteReference"/>
        </w:rPr>
        <w:footnoteRef/>
      </w:r>
      <w:r>
        <w:t xml:space="preserve"> </w:t>
      </w:r>
      <w:r w:rsidRPr="00E07CF4">
        <w:rPr>
          <w:i/>
          <w:iCs/>
        </w:rPr>
        <w:t>See</w:t>
      </w:r>
      <w:r>
        <w:t xml:space="preserve"> Tr. at 27 (June 30, 2021).</w:t>
      </w:r>
    </w:p>
  </w:footnote>
  <w:footnote w:id="4">
    <w:p w:rsidR="00BB3484" w:rsidP="00E07CF4" w14:paraId="7FC3982F" w14:textId="77777777">
      <w:pPr>
        <w:pStyle w:val="FootnoteText"/>
        <w:spacing w:after="120"/>
      </w:pPr>
      <w:r>
        <w:rPr>
          <w:rStyle w:val="FootnoteReference"/>
        </w:rPr>
        <w:footnoteRef/>
      </w:r>
      <w:r>
        <w:t xml:space="preserve"> </w:t>
      </w:r>
      <w:r w:rsidRPr="00042CED">
        <w:rPr>
          <w:i/>
          <w:iCs/>
        </w:rPr>
        <w:t>See</w:t>
      </w:r>
      <w:r>
        <w:t xml:space="preserve"> Entry at ¶5 (Sept. 15, 2020). </w:t>
      </w:r>
    </w:p>
  </w:footnote>
  <w:footnote w:id="5">
    <w:p w:rsidR="00BB3484" w:rsidP="00E07CF4" w14:paraId="1345B0C3" w14:textId="1C70A344">
      <w:pPr>
        <w:pStyle w:val="FootnoteText"/>
        <w:spacing w:after="120"/>
      </w:pPr>
      <w:r>
        <w:rPr>
          <w:rStyle w:val="FootnoteReference"/>
        </w:rPr>
        <w:footnoteRef/>
      </w:r>
      <w:r>
        <w:t xml:space="preserve"> Entry at ¶24 (May 13, 2021). </w:t>
      </w:r>
    </w:p>
  </w:footnote>
  <w:footnote w:id="6">
    <w:p w:rsidR="00BB3484" w:rsidP="00E07CF4" w14:paraId="030D8851" w14:textId="41E4E0E3">
      <w:pPr>
        <w:pStyle w:val="FootnoteText"/>
        <w:spacing w:after="120"/>
      </w:pPr>
      <w:r>
        <w:rPr>
          <w:rStyle w:val="FootnoteReference"/>
        </w:rPr>
        <w:footnoteRef/>
      </w:r>
      <w:r>
        <w:t xml:space="preserve"> </w:t>
      </w:r>
      <w:r w:rsidRPr="00E07CF4">
        <w:rPr>
          <w:i/>
          <w:iCs/>
        </w:rPr>
        <w:t>Id</w:t>
      </w:r>
      <w:r>
        <w:t>.</w:t>
      </w:r>
    </w:p>
  </w:footnote>
  <w:footnote w:id="7">
    <w:p w:rsidR="00BB3484" w:rsidP="00E07CF4" w14:paraId="6E51667D" w14:textId="12233651">
      <w:pPr>
        <w:pStyle w:val="FootnoteText"/>
        <w:spacing w:after="120"/>
      </w:pPr>
      <w:r>
        <w:rPr>
          <w:rStyle w:val="FootnoteReference"/>
        </w:rPr>
        <w:footnoteRef/>
      </w:r>
      <w:r>
        <w:t xml:space="preserve"> </w:t>
      </w:r>
      <w:r w:rsidRPr="00E07CF4">
        <w:rPr>
          <w:i/>
          <w:iCs/>
        </w:rPr>
        <w:t>See</w:t>
      </w:r>
      <w:r>
        <w:t xml:space="preserve"> Tr. at 27 (June 30, 2021).</w:t>
      </w:r>
    </w:p>
  </w:footnote>
  <w:footnote w:id="8">
    <w:p w:rsidR="00BB3484" w:rsidP="00E07CF4" w14:paraId="3EDECA48" w14:textId="77777777">
      <w:pPr>
        <w:pStyle w:val="FootnoteText"/>
        <w:spacing w:after="120"/>
      </w:pPr>
      <w:r>
        <w:rPr>
          <w:rStyle w:val="FootnoteReference"/>
        </w:rPr>
        <w:footnoteRef/>
      </w:r>
      <w:r>
        <w:t xml:space="preserve"> </w:t>
      </w:r>
      <w:r w:rsidRPr="00042CED">
        <w:rPr>
          <w:i/>
          <w:iCs/>
        </w:rPr>
        <w:t>See</w:t>
      </w:r>
      <w:r>
        <w:t xml:space="preserve"> Entry at ¶5 (Sept. 15, 2020). </w:t>
      </w:r>
    </w:p>
  </w:footnote>
  <w:footnote w:id="9">
    <w:p w:rsidR="00BB3484" w:rsidP="00E07CF4" w14:paraId="06CF8389" w14:textId="4D650C02">
      <w:pPr>
        <w:pStyle w:val="FootnoteText"/>
        <w:spacing w:after="120"/>
      </w:pPr>
      <w:r>
        <w:rPr>
          <w:rStyle w:val="FootnoteReference"/>
        </w:rPr>
        <w:footnoteRef/>
      </w:r>
      <w:r>
        <w:t xml:space="preserve"> Tr. at 12 (Jan</w:t>
      </w:r>
      <w:r w:rsidR="00D24C27">
        <w:t>.</w:t>
      </w:r>
      <w:r>
        <w:t xml:space="preserve"> 19,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484" w14:paraId="583BC7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BB2ABE"/>
    <w:multiLevelType w:val="hybridMultilevel"/>
    <w:tmpl w:val="9160BDE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F2029D"/>
    <w:multiLevelType w:val="hybridMultilevel"/>
    <w:tmpl w:val="B11AC1CC"/>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B5593A"/>
    <w:multiLevelType w:val="hybridMultilevel"/>
    <w:tmpl w:val="5C20B06C"/>
    <w:lvl w:ilvl="0">
      <w:start w:val="1"/>
      <w:numFmt w:val="upperLetter"/>
      <w:lvlText w:val="%1."/>
      <w:lvlJc w:val="left"/>
      <w:pPr>
        <w:ind w:left="1440" w:hanging="72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A6B57FA"/>
    <w:multiLevelType w:val="hybridMultilevel"/>
    <w:tmpl w:val="4430571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421380"/>
    <w:multiLevelType w:val="hybridMultilevel"/>
    <w:tmpl w:val="B76AD8EA"/>
    <w:lvl w:ilvl="0">
      <w:start w:val="2"/>
      <w:numFmt w:val="upperRoman"/>
      <w:lvlText w:val="%1&gt;"/>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6AD1287"/>
    <w:multiLevelType w:val="hybridMultilevel"/>
    <w:tmpl w:val="9C9A5F12"/>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8E"/>
    <w:rsid w:val="000019A4"/>
    <w:rsid w:val="00001EA5"/>
    <w:rsid w:val="00005DAD"/>
    <w:rsid w:val="00006330"/>
    <w:rsid w:val="000166D7"/>
    <w:rsid w:val="0001693C"/>
    <w:rsid w:val="00016C9B"/>
    <w:rsid w:val="00016EF6"/>
    <w:rsid w:val="000349F1"/>
    <w:rsid w:val="00042CED"/>
    <w:rsid w:val="0004525C"/>
    <w:rsid w:val="0005017B"/>
    <w:rsid w:val="00050188"/>
    <w:rsid w:val="00061771"/>
    <w:rsid w:val="0006513C"/>
    <w:rsid w:val="00072504"/>
    <w:rsid w:val="000768DE"/>
    <w:rsid w:val="000831F0"/>
    <w:rsid w:val="0009129C"/>
    <w:rsid w:val="000951E3"/>
    <w:rsid w:val="000966BC"/>
    <w:rsid w:val="000A2D9A"/>
    <w:rsid w:val="000A3A7D"/>
    <w:rsid w:val="000B1F41"/>
    <w:rsid w:val="000B3F46"/>
    <w:rsid w:val="000B7E28"/>
    <w:rsid w:val="000C387D"/>
    <w:rsid w:val="000C39A7"/>
    <w:rsid w:val="000C5680"/>
    <w:rsid w:val="000D2110"/>
    <w:rsid w:val="000D7FA6"/>
    <w:rsid w:val="000E4C51"/>
    <w:rsid w:val="000E6D48"/>
    <w:rsid w:val="000F3D51"/>
    <w:rsid w:val="000F4DA6"/>
    <w:rsid w:val="00101F88"/>
    <w:rsid w:val="00123F78"/>
    <w:rsid w:val="0013125C"/>
    <w:rsid w:val="001A25A5"/>
    <w:rsid w:val="001B5B61"/>
    <w:rsid w:val="001C6643"/>
    <w:rsid w:val="001D011D"/>
    <w:rsid w:val="001D1E6E"/>
    <w:rsid w:val="001E25C1"/>
    <w:rsid w:val="001F4CAE"/>
    <w:rsid w:val="001F5BAD"/>
    <w:rsid w:val="00222B39"/>
    <w:rsid w:val="0022361E"/>
    <w:rsid w:val="00230914"/>
    <w:rsid w:val="002368C8"/>
    <w:rsid w:val="002443D0"/>
    <w:rsid w:val="002458ED"/>
    <w:rsid w:val="00251300"/>
    <w:rsid w:val="00255E79"/>
    <w:rsid w:val="00284581"/>
    <w:rsid w:val="00295BCD"/>
    <w:rsid w:val="002A634A"/>
    <w:rsid w:val="002B654B"/>
    <w:rsid w:val="002C2579"/>
    <w:rsid w:val="002C5310"/>
    <w:rsid w:val="002D2A70"/>
    <w:rsid w:val="002E051F"/>
    <w:rsid w:val="002F6C92"/>
    <w:rsid w:val="002F7DE6"/>
    <w:rsid w:val="003010D0"/>
    <w:rsid w:val="003034F5"/>
    <w:rsid w:val="00303C6F"/>
    <w:rsid w:val="00330512"/>
    <w:rsid w:val="0033196B"/>
    <w:rsid w:val="00332630"/>
    <w:rsid w:val="00340ECC"/>
    <w:rsid w:val="003512CC"/>
    <w:rsid w:val="00361067"/>
    <w:rsid w:val="0036750A"/>
    <w:rsid w:val="00370275"/>
    <w:rsid w:val="003842E3"/>
    <w:rsid w:val="003842F5"/>
    <w:rsid w:val="00391A74"/>
    <w:rsid w:val="00392E05"/>
    <w:rsid w:val="003A579E"/>
    <w:rsid w:val="003A7EF0"/>
    <w:rsid w:val="003B41C3"/>
    <w:rsid w:val="003D6C63"/>
    <w:rsid w:val="003E6826"/>
    <w:rsid w:val="003F0161"/>
    <w:rsid w:val="0040450F"/>
    <w:rsid w:val="00406AFA"/>
    <w:rsid w:val="004121D9"/>
    <w:rsid w:val="0042003E"/>
    <w:rsid w:val="0042376C"/>
    <w:rsid w:val="00424B86"/>
    <w:rsid w:val="0043695B"/>
    <w:rsid w:val="00437C51"/>
    <w:rsid w:val="00441008"/>
    <w:rsid w:val="00444AF0"/>
    <w:rsid w:val="0044663B"/>
    <w:rsid w:val="0045550B"/>
    <w:rsid w:val="00461000"/>
    <w:rsid w:val="00482DFB"/>
    <w:rsid w:val="00492573"/>
    <w:rsid w:val="004A03C6"/>
    <w:rsid w:val="004A209D"/>
    <w:rsid w:val="004C5F4E"/>
    <w:rsid w:val="004C63FE"/>
    <w:rsid w:val="004E3AE4"/>
    <w:rsid w:val="004E5347"/>
    <w:rsid w:val="00507A9C"/>
    <w:rsid w:val="00514280"/>
    <w:rsid w:val="0051561F"/>
    <w:rsid w:val="00526062"/>
    <w:rsid w:val="0052608E"/>
    <w:rsid w:val="0052621D"/>
    <w:rsid w:val="00535AAD"/>
    <w:rsid w:val="00536935"/>
    <w:rsid w:val="00547056"/>
    <w:rsid w:val="0054763B"/>
    <w:rsid w:val="00550A2C"/>
    <w:rsid w:val="00555535"/>
    <w:rsid w:val="00560761"/>
    <w:rsid w:val="0056543D"/>
    <w:rsid w:val="005704A1"/>
    <w:rsid w:val="00570C39"/>
    <w:rsid w:val="00582EB2"/>
    <w:rsid w:val="00585956"/>
    <w:rsid w:val="00596C20"/>
    <w:rsid w:val="005976B3"/>
    <w:rsid w:val="005A0972"/>
    <w:rsid w:val="005A3E35"/>
    <w:rsid w:val="005B364A"/>
    <w:rsid w:val="005C7282"/>
    <w:rsid w:val="005D2210"/>
    <w:rsid w:val="005D2370"/>
    <w:rsid w:val="005D29EF"/>
    <w:rsid w:val="005D44AB"/>
    <w:rsid w:val="006133EA"/>
    <w:rsid w:val="00630AFF"/>
    <w:rsid w:val="00654800"/>
    <w:rsid w:val="0066274E"/>
    <w:rsid w:val="00675929"/>
    <w:rsid w:val="006A6ADF"/>
    <w:rsid w:val="006F2712"/>
    <w:rsid w:val="00704AEA"/>
    <w:rsid w:val="00710560"/>
    <w:rsid w:val="00732BB1"/>
    <w:rsid w:val="00744BFF"/>
    <w:rsid w:val="00747EFF"/>
    <w:rsid w:val="00766605"/>
    <w:rsid w:val="00791432"/>
    <w:rsid w:val="007A0A72"/>
    <w:rsid w:val="007A1DE3"/>
    <w:rsid w:val="007A3AB5"/>
    <w:rsid w:val="007B29B9"/>
    <w:rsid w:val="007C07FF"/>
    <w:rsid w:val="007C4527"/>
    <w:rsid w:val="007C4A03"/>
    <w:rsid w:val="007D119C"/>
    <w:rsid w:val="007F100C"/>
    <w:rsid w:val="00800C94"/>
    <w:rsid w:val="008046AC"/>
    <w:rsid w:val="00812492"/>
    <w:rsid w:val="008221E1"/>
    <w:rsid w:val="0084464F"/>
    <w:rsid w:val="00851E93"/>
    <w:rsid w:val="00882EC3"/>
    <w:rsid w:val="00886761"/>
    <w:rsid w:val="008A5D64"/>
    <w:rsid w:val="008B46B8"/>
    <w:rsid w:val="008C3439"/>
    <w:rsid w:val="008C6E44"/>
    <w:rsid w:val="008D69C1"/>
    <w:rsid w:val="008F014B"/>
    <w:rsid w:val="00901054"/>
    <w:rsid w:val="00910DA4"/>
    <w:rsid w:val="00912EDB"/>
    <w:rsid w:val="00933DFB"/>
    <w:rsid w:val="0093654D"/>
    <w:rsid w:val="009565B1"/>
    <w:rsid w:val="00966D0E"/>
    <w:rsid w:val="009714B6"/>
    <w:rsid w:val="00976FF3"/>
    <w:rsid w:val="00987A8C"/>
    <w:rsid w:val="009B4951"/>
    <w:rsid w:val="009E0D72"/>
    <w:rsid w:val="009E5517"/>
    <w:rsid w:val="009E5670"/>
    <w:rsid w:val="009E6657"/>
    <w:rsid w:val="009F1592"/>
    <w:rsid w:val="00A0291D"/>
    <w:rsid w:val="00A0324C"/>
    <w:rsid w:val="00A05434"/>
    <w:rsid w:val="00A17AF3"/>
    <w:rsid w:val="00A32653"/>
    <w:rsid w:val="00A44C07"/>
    <w:rsid w:val="00A4537F"/>
    <w:rsid w:val="00A5723F"/>
    <w:rsid w:val="00A74631"/>
    <w:rsid w:val="00A75FDF"/>
    <w:rsid w:val="00A94120"/>
    <w:rsid w:val="00A95B3A"/>
    <w:rsid w:val="00AA1CBA"/>
    <w:rsid w:val="00AA567A"/>
    <w:rsid w:val="00AB76C2"/>
    <w:rsid w:val="00AC2217"/>
    <w:rsid w:val="00AC2722"/>
    <w:rsid w:val="00AC51CB"/>
    <w:rsid w:val="00AD3416"/>
    <w:rsid w:val="00AD3B01"/>
    <w:rsid w:val="00AE4BD7"/>
    <w:rsid w:val="00AF2DDF"/>
    <w:rsid w:val="00AF7D93"/>
    <w:rsid w:val="00B00789"/>
    <w:rsid w:val="00B04BD0"/>
    <w:rsid w:val="00B0748C"/>
    <w:rsid w:val="00B1717E"/>
    <w:rsid w:val="00B1799E"/>
    <w:rsid w:val="00B23791"/>
    <w:rsid w:val="00B24481"/>
    <w:rsid w:val="00B3338A"/>
    <w:rsid w:val="00B43651"/>
    <w:rsid w:val="00B45784"/>
    <w:rsid w:val="00B607E3"/>
    <w:rsid w:val="00B80810"/>
    <w:rsid w:val="00B95D52"/>
    <w:rsid w:val="00BA0BC8"/>
    <w:rsid w:val="00BB3484"/>
    <w:rsid w:val="00BC01CD"/>
    <w:rsid w:val="00BE3D6E"/>
    <w:rsid w:val="00BE4D94"/>
    <w:rsid w:val="00C00A88"/>
    <w:rsid w:val="00C038CE"/>
    <w:rsid w:val="00C44624"/>
    <w:rsid w:val="00C53AF6"/>
    <w:rsid w:val="00C55574"/>
    <w:rsid w:val="00C6371F"/>
    <w:rsid w:val="00C70F99"/>
    <w:rsid w:val="00C74590"/>
    <w:rsid w:val="00C83419"/>
    <w:rsid w:val="00C92C57"/>
    <w:rsid w:val="00CB207B"/>
    <w:rsid w:val="00CB40FD"/>
    <w:rsid w:val="00CB666C"/>
    <w:rsid w:val="00CC7FBC"/>
    <w:rsid w:val="00CE0A61"/>
    <w:rsid w:val="00CE35CC"/>
    <w:rsid w:val="00D01817"/>
    <w:rsid w:val="00D03237"/>
    <w:rsid w:val="00D0356F"/>
    <w:rsid w:val="00D03DC0"/>
    <w:rsid w:val="00D13B78"/>
    <w:rsid w:val="00D1538D"/>
    <w:rsid w:val="00D2081E"/>
    <w:rsid w:val="00D21F36"/>
    <w:rsid w:val="00D24C27"/>
    <w:rsid w:val="00D257C7"/>
    <w:rsid w:val="00D30DB7"/>
    <w:rsid w:val="00D43CA3"/>
    <w:rsid w:val="00D47F2B"/>
    <w:rsid w:val="00D61C1C"/>
    <w:rsid w:val="00D64487"/>
    <w:rsid w:val="00D72BB2"/>
    <w:rsid w:val="00D92E4B"/>
    <w:rsid w:val="00D93095"/>
    <w:rsid w:val="00D9737E"/>
    <w:rsid w:val="00DA0E86"/>
    <w:rsid w:val="00DA49E3"/>
    <w:rsid w:val="00DA5E9A"/>
    <w:rsid w:val="00DE1961"/>
    <w:rsid w:val="00DE5C4C"/>
    <w:rsid w:val="00DF3701"/>
    <w:rsid w:val="00DF5812"/>
    <w:rsid w:val="00E00837"/>
    <w:rsid w:val="00E01D40"/>
    <w:rsid w:val="00E07CF4"/>
    <w:rsid w:val="00E23E9A"/>
    <w:rsid w:val="00E2672D"/>
    <w:rsid w:val="00E31D25"/>
    <w:rsid w:val="00E357D9"/>
    <w:rsid w:val="00E42244"/>
    <w:rsid w:val="00E52958"/>
    <w:rsid w:val="00E56976"/>
    <w:rsid w:val="00E611DD"/>
    <w:rsid w:val="00E619D4"/>
    <w:rsid w:val="00E64A94"/>
    <w:rsid w:val="00E65379"/>
    <w:rsid w:val="00E74D44"/>
    <w:rsid w:val="00E847EE"/>
    <w:rsid w:val="00EA098E"/>
    <w:rsid w:val="00EA3247"/>
    <w:rsid w:val="00EA36FA"/>
    <w:rsid w:val="00EA5AAB"/>
    <w:rsid w:val="00EB04D7"/>
    <w:rsid w:val="00EB1031"/>
    <w:rsid w:val="00EB1DBE"/>
    <w:rsid w:val="00EB675F"/>
    <w:rsid w:val="00ED24FF"/>
    <w:rsid w:val="00ED4308"/>
    <w:rsid w:val="00ED67DC"/>
    <w:rsid w:val="00EE0DDA"/>
    <w:rsid w:val="00EE26DD"/>
    <w:rsid w:val="00EE77E8"/>
    <w:rsid w:val="00F04BCF"/>
    <w:rsid w:val="00F05CF9"/>
    <w:rsid w:val="00F06122"/>
    <w:rsid w:val="00F10115"/>
    <w:rsid w:val="00F159D0"/>
    <w:rsid w:val="00F24B51"/>
    <w:rsid w:val="00F500A8"/>
    <w:rsid w:val="00F50AB8"/>
    <w:rsid w:val="00F51789"/>
    <w:rsid w:val="00F57CBB"/>
    <w:rsid w:val="00F62B39"/>
    <w:rsid w:val="00F74DFD"/>
    <w:rsid w:val="00F844FA"/>
    <w:rsid w:val="00F846F3"/>
    <w:rsid w:val="00F84F69"/>
    <w:rsid w:val="00F950BF"/>
    <w:rsid w:val="00FA6266"/>
    <w:rsid w:val="00FA7A1E"/>
    <w:rsid w:val="00FB3D27"/>
    <w:rsid w:val="00FB4102"/>
    <w:rsid w:val="00FB7486"/>
    <w:rsid w:val="00FC0C4F"/>
    <w:rsid w:val="00FC4B5F"/>
    <w:rsid w:val="00FC62ED"/>
    <w:rsid w:val="00FC6F8E"/>
    <w:rsid w:val="00FC7A7F"/>
    <w:rsid w:val="00FD10B4"/>
    <w:rsid w:val="00FD6668"/>
    <w:rsid w:val="00FE4C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47"/>
    <w:pPr>
      <w:spacing w:after="0" w:line="240" w:lineRule="auto"/>
    </w:pPr>
    <w:rPr>
      <w:rFonts w:eastAsia="Times New Roman"/>
      <w:szCs w:val="20"/>
    </w:rPr>
  </w:style>
  <w:style w:type="paragraph" w:styleId="Heading1">
    <w:name w:val="heading 1"/>
    <w:basedOn w:val="Normal"/>
    <w:next w:val="Normal"/>
    <w:link w:val="Heading1Char"/>
    <w:autoRedefine/>
    <w:uiPriority w:val="9"/>
    <w:qFormat/>
    <w:rsid w:val="00E07CF4"/>
    <w:pPr>
      <w:keepNext/>
      <w:keepLines/>
      <w:numPr>
        <w:numId w:val="3"/>
      </w:numPr>
      <w:spacing w:after="240"/>
      <w:ind w:left="720"/>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042CED"/>
    <w:pPr>
      <w:keepNext/>
      <w:keepLines/>
      <w:spacing w:after="240"/>
      <w:ind w:left="1440" w:hanging="720"/>
      <w:outlineLvl w:val="1"/>
    </w:pPr>
    <w:rPr>
      <w:rFonts w:ascii="Times New Roman Bold" w:hAnsi="Times New Roman Bold"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aliases w:val=" Char,Char"/>
    <w:basedOn w:val="Normal"/>
    <w:link w:val="HTMLPreformattedChar"/>
    <w:rsid w:val="00EA0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aliases w:val=" Char Char,Char Char"/>
    <w:basedOn w:val="DefaultParagraphFont"/>
    <w:link w:val="HTMLPreformatted"/>
    <w:rsid w:val="00EA098E"/>
    <w:rPr>
      <w:rFonts w:ascii="Courier New" w:eastAsia="Courier New" w:hAnsi="Courier New" w:cs="Courier New"/>
      <w:sz w:val="20"/>
      <w:szCs w:val="20"/>
    </w:rPr>
  </w:style>
  <w:style w:type="character" w:styleId="Hyperlink">
    <w:name w:val="Hyperlink"/>
    <w:uiPriority w:val="99"/>
    <w:rsid w:val="003E6826"/>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EA3247"/>
    <w:rPr>
      <w:sz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EA3247"/>
    <w:rPr>
      <w:rFonts w:eastAsia="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rsid w:val="00EA3247"/>
    <w:rPr>
      <w:vertAlign w:val="superscript"/>
    </w:rPr>
  </w:style>
  <w:style w:type="paragraph" w:styleId="CommentText">
    <w:name w:val="annotation text"/>
    <w:basedOn w:val="Normal"/>
    <w:link w:val="CommentTextChar"/>
    <w:unhideWhenUsed/>
    <w:rsid w:val="00050188"/>
    <w:rPr>
      <w:sz w:val="20"/>
    </w:rPr>
  </w:style>
  <w:style w:type="character" w:customStyle="1" w:styleId="CommentTextChar">
    <w:name w:val="Comment Text Char"/>
    <w:basedOn w:val="DefaultParagraphFont"/>
    <w:link w:val="CommentText"/>
    <w:rsid w:val="00050188"/>
    <w:rPr>
      <w:rFonts w:eastAsia="Times New Roman"/>
      <w:sz w:val="20"/>
      <w:szCs w:val="20"/>
    </w:rPr>
  </w:style>
  <w:style w:type="paragraph" w:styleId="BodyText">
    <w:name w:val="Body Text"/>
    <w:basedOn w:val="Normal"/>
    <w:link w:val="BodyTextChar"/>
    <w:uiPriority w:val="99"/>
    <w:semiHidden/>
    <w:unhideWhenUsed/>
    <w:rsid w:val="00050188"/>
    <w:pPr>
      <w:spacing w:after="120"/>
    </w:pPr>
  </w:style>
  <w:style w:type="character" w:customStyle="1" w:styleId="BodyTextChar">
    <w:name w:val="Body Text Char"/>
    <w:basedOn w:val="DefaultParagraphFont"/>
    <w:link w:val="BodyText"/>
    <w:uiPriority w:val="99"/>
    <w:semiHidden/>
    <w:rsid w:val="00050188"/>
    <w:rPr>
      <w:rFonts w:eastAsia="Times New Roman"/>
      <w:szCs w:val="20"/>
    </w:rPr>
  </w:style>
  <w:style w:type="paragraph" w:styleId="Header">
    <w:name w:val="header"/>
    <w:basedOn w:val="Normal"/>
    <w:link w:val="HeaderChar"/>
    <w:uiPriority w:val="99"/>
    <w:unhideWhenUsed/>
    <w:rsid w:val="002C2579"/>
    <w:pPr>
      <w:tabs>
        <w:tab w:val="center" w:pos="4680"/>
        <w:tab w:val="right" w:pos="9360"/>
      </w:tabs>
    </w:pPr>
  </w:style>
  <w:style w:type="character" w:customStyle="1" w:styleId="HeaderChar">
    <w:name w:val="Header Char"/>
    <w:basedOn w:val="DefaultParagraphFont"/>
    <w:link w:val="Header"/>
    <w:uiPriority w:val="99"/>
    <w:rsid w:val="002C2579"/>
    <w:rPr>
      <w:rFonts w:eastAsia="Times New Roman"/>
      <w:szCs w:val="20"/>
    </w:rPr>
  </w:style>
  <w:style w:type="paragraph" w:styleId="Footer">
    <w:name w:val="footer"/>
    <w:basedOn w:val="Normal"/>
    <w:link w:val="FooterChar"/>
    <w:uiPriority w:val="99"/>
    <w:unhideWhenUsed/>
    <w:rsid w:val="002C2579"/>
    <w:pPr>
      <w:tabs>
        <w:tab w:val="center" w:pos="4680"/>
        <w:tab w:val="right" w:pos="9360"/>
      </w:tabs>
    </w:pPr>
  </w:style>
  <w:style w:type="character" w:customStyle="1" w:styleId="FooterChar">
    <w:name w:val="Footer Char"/>
    <w:basedOn w:val="DefaultParagraphFont"/>
    <w:link w:val="Footer"/>
    <w:uiPriority w:val="99"/>
    <w:rsid w:val="002C2579"/>
    <w:rPr>
      <w:rFonts w:eastAsia="Times New Roman"/>
      <w:szCs w:val="20"/>
    </w:rPr>
  </w:style>
  <w:style w:type="paragraph" w:styleId="EndnoteText">
    <w:name w:val="endnote text"/>
    <w:basedOn w:val="Normal"/>
    <w:link w:val="EndnoteTextChar"/>
    <w:uiPriority w:val="99"/>
    <w:semiHidden/>
    <w:unhideWhenUsed/>
    <w:rsid w:val="00F04BCF"/>
    <w:rPr>
      <w:sz w:val="20"/>
    </w:rPr>
  </w:style>
  <w:style w:type="character" w:customStyle="1" w:styleId="EndnoteTextChar">
    <w:name w:val="Endnote Text Char"/>
    <w:basedOn w:val="DefaultParagraphFont"/>
    <w:link w:val="EndnoteText"/>
    <w:uiPriority w:val="99"/>
    <w:semiHidden/>
    <w:rsid w:val="00F04BCF"/>
    <w:rPr>
      <w:rFonts w:eastAsia="Times New Roman"/>
      <w:sz w:val="20"/>
      <w:szCs w:val="20"/>
    </w:rPr>
  </w:style>
  <w:style w:type="character" w:styleId="EndnoteReference">
    <w:name w:val="endnote reference"/>
    <w:basedOn w:val="DefaultParagraphFont"/>
    <w:uiPriority w:val="99"/>
    <w:semiHidden/>
    <w:unhideWhenUsed/>
    <w:rsid w:val="00F04BCF"/>
    <w:rPr>
      <w:vertAlign w:val="superscript"/>
    </w:rPr>
  </w:style>
  <w:style w:type="paragraph" w:styleId="BalloonText">
    <w:name w:val="Balloon Text"/>
    <w:basedOn w:val="Normal"/>
    <w:link w:val="BalloonTextChar"/>
    <w:uiPriority w:val="99"/>
    <w:semiHidden/>
    <w:unhideWhenUsed/>
    <w:rsid w:val="00B17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7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7C51"/>
    <w:rPr>
      <w:sz w:val="16"/>
      <w:szCs w:val="16"/>
    </w:rPr>
  </w:style>
  <w:style w:type="paragraph" w:styleId="CommentSubject">
    <w:name w:val="annotation subject"/>
    <w:basedOn w:val="CommentText"/>
    <w:next w:val="CommentText"/>
    <w:link w:val="CommentSubjectChar"/>
    <w:uiPriority w:val="99"/>
    <w:semiHidden/>
    <w:unhideWhenUsed/>
    <w:rsid w:val="00437C51"/>
    <w:rPr>
      <w:b/>
      <w:bCs/>
    </w:rPr>
  </w:style>
  <w:style w:type="character" w:customStyle="1" w:styleId="CommentSubjectChar">
    <w:name w:val="Comment Subject Char"/>
    <w:basedOn w:val="CommentTextChar"/>
    <w:link w:val="CommentSubject"/>
    <w:uiPriority w:val="99"/>
    <w:semiHidden/>
    <w:rsid w:val="00437C51"/>
    <w:rPr>
      <w:rFonts w:eastAsia="Times New Roman"/>
      <w:b/>
      <w:bCs/>
      <w:sz w:val="20"/>
      <w:szCs w:val="20"/>
    </w:rPr>
  </w:style>
  <w:style w:type="character" w:customStyle="1" w:styleId="Heading1Char">
    <w:name w:val="Heading 1 Char"/>
    <w:basedOn w:val="DefaultParagraphFont"/>
    <w:link w:val="Heading1"/>
    <w:uiPriority w:val="9"/>
    <w:rsid w:val="00E07CF4"/>
    <w:rPr>
      <w:rFonts w:eastAsiaTheme="majorEastAsia" w:cstheme="majorBidi"/>
      <w:b/>
      <w:caps/>
      <w:szCs w:val="32"/>
    </w:rPr>
  </w:style>
  <w:style w:type="character" w:customStyle="1" w:styleId="Heading2Char">
    <w:name w:val="Heading 2 Char"/>
    <w:basedOn w:val="DefaultParagraphFont"/>
    <w:link w:val="Heading2"/>
    <w:uiPriority w:val="9"/>
    <w:rsid w:val="00042CED"/>
    <w:rPr>
      <w:rFonts w:ascii="Times New Roman Bold" w:hAnsi="Times New Roman Bold" w:eastAsiaTheme="majorEastAsia" w:cstheme="majorBidi"/>
      <w:b/>
      <w:szCs w:val="26"/>
    </w:rPr>
  </w:style>
  <w:style w:type="paragraph" w:styleId="ListParagraph">
    <w:name w:val="List Paragraph"/>
    <w:basedOn w:val="Normal"/>
    <w:uiPriority w:val="34"/>
    <w:qFormat/>
    <w:rsid w:val="00E64A94"/>
    <w:pPr>
      <w:ind w:left="720"/>
      <w:contextualSpacing/>
    </w:pPr>
  </w:style>
  <w:style w:type="paragraph" w:styleId="Revision">
    <w:name w:val="Revision"/>
    <w:hidden/>
    <w:uiPriority w:val="99"/>
    <w:semiHidden/>
    <w:rsid w:val="00D2081E"/>
    <w:pPr>
      <w:spacing w:after="0" w:line="240" w:lineRule="auto"/>
    </w:pPr>
    <w:rPr>
      <w:rFonts w:eastAsia="Times New Roman"/>
      <w:szCs w:val="20"/>
    </w:rPr>
  </w:style>
  <w:style w:type="character" w:customStyle="1" w:styleId="UnresolvedMention1">
    <w:name w:val="Unresolved Mention1"/>
    <w:basedOn w:val="DefaultParagraphFont"/>
    <w:uiPriority w:val="99"/>
    <w:semiHidden/>
    <w:unhideWhenUsed/>
    <w:rsid w:val="00EE0DDA"/>
    <w:rPr>
      <w:color w:val="605E5C"/>
      <w:shd w:val="clear" w:color="auto" w:fill="E1DFDD"/>
    </w:rPr>
  </w:style>
  <w:style w:type="character" w:customStyle="1" w:styleId="UnresolvedMention">
    <w:name w:val="Unresolved Mention"/>
    <w:basedOn w:val="DefaultParagraphFont"/>
    <w:uiPriority w:val="99"/>
    <w:rsid w:val="00DA0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mailto:werner.margard@ohioAGO.gov" TargetMode="External" /><Relationship Id="rId12" Type="http://schemas.openxmlformats.org/officeDocument/2006/relationships/hyperlink" Target="mailto:ccox@elpc.org" TargetMode="External" /><Relationship Id="rId13" Type="http://schemas.openxmlformats.org/officeDocument/2006/relationships/hyperlink" Target="mailto:rlazer@elpc.org" TargetMode="External" /><Relationship Id="rId14" Type="http://schemas.openxmlformats.org/officeDocument/2006/relationships/hyperlink" Target="mailto:rkelter@elpc.org" TargetMode="External" /><Relationship Id="rId15" Type="http://schemas.openxmlformats.org/officeDocument/2006/relationships/hyperlink" Target="mailto:trhayslaw@gmail.com" TargetMode="External" /><Relationship Id="rId16" Type="http://schemas.openxmlformats.org/officeDocument/2006/relationships/hyperlink" Target="mailto:leslie.kovacik@toledo.oh.gov" TargetMode="External" /><Relationship Id="rId17" Type="http://schemas.openxmlformats.org/officeDocument/2006/relationships/hyperlink" Target="mailto:bethany.allen@igs.com" TargetMode="External" /><Relationship Id="rId18" Type="http://schemas.openxmlformats.org/officeDocument/2006/relationships/hyperlink" Target="mailto:evan.betterton@igs.com" TargetMode="External" /><Relationship Id="rId19" Type="http://schemas.openxmlformats.org/officeDocument/2006/relationships/hyperlink" Target="mailto:joe.oliker@igs.com" TargetMode="External" /><Relationship Id="rId2" Type="http://schemas.openxmlformats.org/officeDocument/2006/relationships/settings" Target="settings.xml" /><Relationship Id="rId20" Type="http://schemas.openxmlformats.org/officeDocument/2006/relationships/hyperlink" Target="mailto:michael.nugent@igs.com" TargetMode="External" /><Relationship Id="rId21" Type="http://schemas.openxmlformats.org/officeDocument/2006/relationships/hyperlink" Target="mailto:mkurtz@BKLlawfirm.com" TargetMode="External" /><Relationship Id="rId22" Type="http://schemas.openxmlformats.org/officeDocument/2006/relationships/hyperlink" Target="mailto:kboehm@BKLlawfirm.com" TargetMode="External" /><Relationship Id="rId23" Type="http://schemas.openxmlformats.org/officeDocument/2006/relationships/hyperlink" Target="mailto:jkylercohn@BKLlawfirm.com" TargetMode="External" /><Relationship Id="rId24" Type="http://schemas.openxmlformats.org/officeDocument/2006/relationships/hyperlink" Target="mailto:Gregory.price@puco.ohio.gov" TargetMode="External" /><Relationship Id="rId25" Type="http://schemas.openxmlformats.org/officeDocument/2006/relationships/hyperlink" Target="mailto:Megan.addison@puco.ohio.gov" TargetMode="External" /><Relationship Id="rId26" Type="http://schemas.openxmlformats.org/officeDocument/2006/relationships/hyperlink" Target="mailto:Jacky.stjohn@puco.ohio.gov" TargetMode="External" /><Relationship Id="rId27" Type="http://schemas.openxmlformats.org/officeDocument/2006/relationships/hyperlink" Target="mailto:bknipe@firstenergycorp.com" TargetMode="External" /><Relationship Id="rId28" Type="http://schemas.openxmlformats.org/officeDocument/2006/relationships/hyperlink" Target="mailto:mrgladman@jonesday.com" TargetMode="External" /><Relationship Id="rId29" Type="http://schemas.openxmlformats.org/officeDocument/2006/relationships/hyperlink" Target="mailto:mdengler@jonesday.com" TargetMode="External" /><Relationship Id="rId3" Type="http://schemas.openxmlformats.org/officeDocument/2006/relationships/webSettings" Target="webSettings.xml" /><Relationship Id="rId30" Type="http://schemas.openxmlformats.org/officeDocument/2006/relationships/hyperlink" Target="mailto:radoringo@jonesday.com" TargetMode="External" /><Relationship Id="rId31" Type="http://schemas.openxmlformats.org/officeDocument/2006/relationships/hyperlink" Target="mailto:dborchers@bricker.com" TargetMode="External" /><Relationship Id="rId32" Type="http://schemas.openxmlformats.org/officeDocument/2006/relationships/hyperlink" Target="mailto:dparram@bricker.com" TargetMode="External" /><Relationship Id="rId33" Type="http://schemas.openxmlformats.org/officeDocument/2006/relationships/hyperlink" Target="mailto:mleppla@theOEC.org" TargetMode="External" /><Relationship Id="rId34" Type="http://schemas.openxmlformats.org/officeDocument/2006/relationships/hyperlink" Target="mailto:tdougherty@theOEC.org" TargetMode="External" /><Relationship Id="rId35" Type="http://schemas.openxmlformats.org/officeDocument/2006/relationships/hyperlink" Target="mailto:ctavenor@theOEC.org" TargetMode="External" /><Relationship Id="rId36" Type="http://schemas.openxmlformats.org/officeDocument/2006/relationships/hyperlink" Target="mailto:rdove@keglerbrown.com" TargetMode="External" /><Relationship Id="rId37" Type="http://schemas.openxmlformats.org/officeDocument/2006/relationships/hyperlink" Target="mailto:mpritchard@mcneeslaw.com" TargetMode="External" /><Relationship Id="rId38" Type="http://schemas.openxmlformats.org/officeDocument/2006/relationships/hyperlink" Target="mailto:rglover@mcneeslaw.com" TargetMode="External" /><Relationship Id="rId39" Type="http://schemas.openxmlformats.org/officeDocument/2006/relationships/hyperlink" Target="mailto:mfleisher@dickinsonwright.com" TargetMode="External" /><Relationship Id="rId4" Type="http://schemas.openxmlformats.org/officeDocument/2006/relationships/fontTable" Target="fontTable.xml" /><Relationship Id="rId40" Type="http://schemas.openxmlformats.org/officeDocument/2006/relationships/hyperlink" Target="mailto:mwise@mcdonaldhopkins.com" TargetMode="External" /><Relationship Id="rId41" Type="http://schemas.openxmlformats.org/officeDocument/2006/relationships/header" Target="header1.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Bojko@carpenterlipps.com" TargetMode="External" /><Relationship Id="rId9" Type="http://schemas.openxmlformats.org/officeDocument/2006/relationships/hyperlink" Target="mailto:Donadio@carpenterlipp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EC209-016A-40B9-A9B3-3EC00110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20-1502 Motion for Extension of Comments (kwb rev) (833968).DOCX</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2021-07-19T17:11:38Z</dcterms:created>
  <dcterms:modified xsi:type="dcterms:W3CDTF">2021-07-19T17:11:38Z</dcterms:modified>
</cp:coreProperties>
</file>