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C254C2" w:rsidRPr="007A5FF2" w:rsidP="00C254C2" w14:paraId="242CAE03" w14:textId="0059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bookmarkStart w:id="0" w:name="_GoBack"/>
      <w:bookmarkEnd w:id="0"/>
      <w:r w:rsidRPr="007A5FF2">
        <w:rPr>
          <w:rFonts w:ascii="Times New Roman" w:eastAsia="Calibri" w:hAnsi="Times New Roman" w:cs="Times New Roman"/>
          <w:b/>
          <w:bCs/>
          <w:sz w:val="24"/>
          <w:szCs w:val="24"/>
        </w:rPr>
        <w:t>BEFORE</w:t>
      </w:r>
    </w:p>
    <w:p w:rsidR="00C254C2" w:rsidRPr="007A5FF2" w:rsidP="00C254C2" w14:paraId="611C709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7A5FF2">
        <w:rPr>
          <w:rFonts w:ascii="Times New Roman" w:eastAsia="Calibri" w:hAnsi="Times New Roman" w:cs="Times New Roman"/>
          <w:b/>
          <w:bCs/>
          <w:sz w:val="24"/>
          <w:szCs w:val="24"/>
        </w:rPr>
        <w:t>THE PUBLIC UTILITIES COMMISSION OF OHIO</w:t>
      </w:r>
    </w:p>
    <w:p w:rsidR="00C254C2" w:rsidRPr="007A5FF2" w:rsidP="00C254C2" w14:paraId="1B1775D2" w14:textId="77777777">
      <w:pPr>
        <w:spacing w:after="0" w:line="240" w:lineRule="auto"/>
        <w:jc w:val="center"/>
        <w:rPr>
          <w:rFonts w:ascii="Times New Roman" w:hAnsi="Times New Roman" w:cs="Times New Roman"/>
          <w:sz w:val="24"/>
          <w:szCs w:val="24"/>
        </w:rPr>
      </w:pPr>
    </w:p>
    <w:p w:rsidR="00C254C2" w:rsidRPr="007A5FF2" w:rsidP="00C254C2" w14:paraId="6E0FB887" w14:textId="77777777">
      <w:pPr>
        <w:spacing w:after="0" w:line="240" w:lineRule="auto"/>
        <w:rPr>
          <w:rFonts w:ascii="Times New Roman" w:hAnsi="Times New Roman" w:cs="Times New Roman"/>
          <w:sz w:val="24"/>
          <w:szCs w:val="24"/>
        </w:rPr>
      </w:pPr>
      <w:r w:rsidRPr="007A5FF2">
        <w:rPr>
          <w:rFonts w:ascii="Times New Roman" w:hAnsi="Times New Roman" w:cs="Times New Roman"/>
          <w:sz w:val="24"/>
          <w:szCs w:val="24"/>
        </w:rPr>
        <w:t>In the Matter of the Commission’s Review</w:t>
      </w:r>
      <w:r w:rsidRPr="007A5FF2">
        <w:rPr>
          <w:rFonts w:ascii="Times New Roman" w:hAnsi="Times New Roman" w:cs="Times New Roman"/>
          <w:sz w:val="24"/>
          <w:szCs w:val="24"/>
        </w:rPr>
        <w:tab/>
        <w:t>)</w:t>
      </w:r>
    </w:p>
    <w:p w:rsidR="00C254C2" w:rsidRPr="007A5FF2" w:rsidP="00C254C2" w14:paraId="6C26F892" w14:textId="77777777">
      <w:pPr>
        <w:spacing w:after="0" w:line="240" w:lineRule="auto"/>
        <w:rPr>
          <w:rFonts w:ascii="Times New Roman" w:hAnsi="Times New Roman" w:cs="Times New Roman"/>
          <w:sz w:val="24"/>
          <w:szCs w:val="24"/>
        </w:rPr>
      </w:pPr>
      <w:r w:rsidRPr="007A5FF2">
        <w:rPr>
          <w:rFonts w:ascii="Times New Roman" w:hAnsi="Times New Roman" w:cs="Times New Roman"/>
          <w:sz w:val="24"/>
          <w:szCs w:val="24"/>
        </w:rPr>
        <w:t>of Chapter 4901:1-35 of the Ohio</w:t>
      </w:r>
      <w:r w:rsidRPr="007A5FF2">
        <w:rPr>
          <w:rFonts w:ascii="Times New Roman" w:hAnsi="Times New Roman" w:cs="Times New Roman"/>
          <w:sz w:val="24"/>
          <w:szCs w:val="24"/>
        </w:rPr>
        <w:tab/>
      </w:r>
      <w:r w:rsidRPr="007A5FF2">
        <w:rPr>
          <w:rFonts w:ascii="Times New Roman" w:hAnsi="Times New Roman" w:cs="Times New Roman"/>
          <w:sz w:val="24"/>
          <w:szCs w:val="24"/>
        </w:rPr>
        <w:tab/>
        <w:t xml:space="preserve">) </w:t>
      </w:r>
      <w:r w:rsidRPr="007A5FF2">
        <w:rPr>
          <w:rFonts w:ascii="Times New Roman" w:hAnsi="Times New Roman" w:cs="Times New Roman"/>
          <w:sz w:val="24"/>
          <w:szCs w:val="24"/>
        </w:rPr>
        <w:tab/>
        <w:t>Case No. 18-1188-EL-ORD</w:t>
      </w:r>
    </w:p>
    <w:p w:rsidR="00C254C2" w:rsidRPr="007A5FF2" w:rsidP="00C254C2" w14:paraId="2E1AD7AD" w14:textId="77777777">
      <w:pPr>
        <w:spacing w:after="0" w:line="240" w:lineRule="auto"/>
        <w:rPr>
          <w:rFonts w:ascii="Times New Roman" w:hAnsi="Times New Roman" w:cs="Times New Roman"/>
          <w:sz w:val="24"/>
          <w:szCs w:val="24"/>
        </w:rPr>
      </w:pPr>
      <w:r w:rsidRPr="007A5FF2">
        <w:rPr>
          <w:rFonts w:ascii="Times New Roman" w:hAnsi="Times New Roman" w:cs="Times New Roman"/>
          <w:sz w:val="24"/>
          <w:szCs w:val="24"/>
        </w:rPr>
        <w:t>Administrative Code.</w:t>
      </w:r>
      <w:r w:rsidRPr="007A5FF2">
        <w:rPr>
          <w:rFonts w:ascii="Times New Roman" w:hAnsi="Times New Roman" w:cs="Times New Roman"/>
          <w:sz w:val="24"/>
          <w:szCs w:val="24"/>
        </w:rPr>
        <w:tab/>
      </w:r>
      <w:r w:rsidRPr="007A5FF2">
        <w:rPr>
          <w:rFonts w:ascii="Times New Roman" w:hAnsi="Times New Roman" w:cs="Times New Roman"/>
          <w:sz w:val="24"/>
          <w:szCs w:val="24"/>
        </w:rPr>
        <w:tab/>
      </w:r>
      <w:r w:rsidRPr="007A5FF2">
        <w:rPr>
          <w:rFonts w:ascii="Times New Roman" w:hAnsi="Times New Roman" w:cs="Times New Roman"/>
          <w:sz w:val="24"/>
          <w:szCs w:val="24"/>
        </w:rPr>
        <w:tab/>
      </w:r>
      <w:r w:rsidRPr="007A5FF2">
        <w:rPr>
          <w:rFonts w:ascii="Times New Roman" w:hAnsi="Times New Roman" w:cs="Times New Roman"/>
          <w:sz w:val="24"/>
          <w:szCs w:val="24"/>
        </w:rPr>
        <w:tab/>
        <w:t>)</w:t>
      </w:r>
    </w:p>
    <w:p w:rsidR="00C254C2" w:rsidRPr="007A5FF2" w:rsidP="00C254C2" w14:paraId="56D0CB35" w14:textId="77777777">
      <w:pPr>
        <w:pBdr>
          <w:bottom w:val="single" w:sz="12" w:space="1" w:color="auto"/>
        </w:pBdr>
        <w:autoSpaceDE w:val="0"/>
        <w:autoSpaceDN w:val="0"/>
        <w:adjustRightInd w:val="0"/>
        <w:spacing w:after="0" w:line="240" w:lineRule="auto"/>
        <w:rPr>
          <w:rFonts w:ascii="Times New Roman" w:eastAsia="Calibri" w:hAnsi="Times New Roman" w:cs="Times New Roman"/>
          <w:sz w:val="24"/>
          <w:szCs w:val="24"/>
        </w:rPr>
      </w:pPr>
    </w:p>
    <w:p w:rsidR="00C254C2" w:rsidRPr="007A5FF2" w:rsidP="00C254C2" w14:paraId="23109569" w14:textId="77777777">
      <w:pPr>
        <w:autoSpaceDE w:val="0"/>
        <w:autoSpaceDN w:val="0"/>
        <w:adjustRightInd w:val="0"/>
        <w:spacing w:after="0" w:line="240" w:lineRule="auto"/>
        <w:rPr>
          <w:rFonts w:ascii="Times New Roman" w:eastAsia="Calibri" w:hAnsi="Times New Roman" w:cs="Times New Roman"/>
          <w:sz w:val="24"/>
          <w:szCs w:val="24"/>
        </w:rPr>
      </w:pPr>
    </w:p>
    <w:p w:rsidR="00C254C2" w:rsidRPr="007A5FF2" w:rsidP="00C254C2" w14:paraId="4E4098DD" w14:textId="77777777">
      <w:pPr>
        <w:widowControl w:val="0"/>
        <w:spacing w:after="0" w:line="240" w:lineRule="auto"/>
        <w:jc w:val="center"/>
        <w:rPr>
          <w:rFonts w:ascii="Times New Roman" w:hAnsi="Times New Roman" w:cs="Times New Roman"/>
          <w:b/>
          <w:sz w:val="24"/>
          <w:szCs w:val="24"/>
        </w:rPr>
      </w:pPr>
      <w:r w:rsidRPr="007A5FF2">
        <w:rPr>
          <w:rFonts w:ascii="Times New Roman" w:hAnsi="Times New Roman" w:cs="Times New Roman"/>
          <w:b/>
          <w:sz w:val="24"/>
          <w:szCs w:val="24"/>
        </w:rPr>
        <w:t xml:space="preserve">APPLICATION FOR REHEARING REGARDING RULES FOR ELECTRIC SECURITY PLAN APPLICATIONS </w:t>
      </w:r>
    </w:p>
    <w:p w:rsidR="00C254C2" w:rsidRPr="007A5FF2" w:rsidP="00C254C2" w14:paraId="1F352736" w14:textId="77777777">
      <w:pPr>
        <w:widowControl w:val="0"/>
        <w:spacing w:after="0" w:line="240" w:lineRule="auto"/>
        <w:jc w:val="center"/>
        <w:rPr>
          <w:rFonts w:ascii="Times New Roman" w:hAnsi="Times New Roman" w:cs="Times New Roman"/>
          <w:b/>
          <w:sz w:val="24"/>
          <w:szCs w:val="24"/>
        </w:rPr>
      </w:pPr>
      <w:r w:rsidRPr="007A5FF2">
        <w:rPr>
          <w:rFonts w:ascii="Times New Roman" w:hAnsi="Times New Roman" w:cs="Times New Roman"/>
          <w:b/>
          <w:sz w:val="24"/>
          <w:szCs w:val="24"/>
        </w:rPr>
        <w:t>BY</w:t>
      </w:r>
    </w:p>
    <w:p w:rsidR="00C254C2" w:rsidRPr="007A5FF2" w:rsidP="00C254C2" w14:paraId="552DFCB0" w14:textId="77777777">
      <w:pPr>
        <w:widowControl w:val="0"/>
        <w:spacing w:after="0" w:line="240" w:lineRule="auto"/>
        <w:jc w:val="center"/>
        <w:rPr>
          <w:rFonts w:ascii="Times New Roman" w:hAnsi="Times New Roman" w:cs="Times New Roman"/>
          <w:b/>
          <w:bCs/>
          <w:sz w:val="24"/>
          <w:szCs w:val="24"/>
        </w:rPr>
      </w:pPr>
      <w:r w:rsidRPr="007A5FF2">
        <w:rPr>
          <w:rFonts w:ascii="Times New Roman" w:hAnsi="Times New Roman" w:cs="Times New Roman"/>
          <w:b/>
          <w:sz w:val="24"/>
          <w:szCs w:val="24"/>
        </w:rPr>
        <w:t>THE OFFICE OF THE OHIO CONSUMERS’ COUNSEL</w:t>
      </w:r>
    </w:p>
    <w:p w:rsidR="00C254C2" w:rsidRPr="007A5FF2" w:rsidP="00C254C2" w14:paraId="6043BD02" w14:textId="77777777">
      <w:pPr>
        <w:pBdr>
          <w:bottom w:val="single" w:sz="12" w:space="1" w:color="auto"/>
        </w:pBdr>
        <w:autoSpaceDE w:val="0"/>
        <w:autoSpaceDN w:val="0"/>
        <w:adjustRightInd w:val="0"/>
        <w:spacing w:after="0" w:line="240" w:lineRule="auto"/>
        <w:jc w:val="center"/>
        <w:rPr>
          <w:rFonts w:ascii="Times New Roman" w:eastAsia="Calibri" w:hAnsi="Times New Roman" w:cs="Times New Roman"/>
          <w:b/>
          <w:bCs/>
          <w:sz w:val="24"/>
          <w:szCs w:val="24"/>
        </w:rPr>
      </w:pPr>
    </w:p>
    <w:p w:rsidR="00C254C2" w:rsidRPr="007A5FF2" w:rsidP="00C254C2" w14:paraId="21B6E419" w14:textId="77777777">
      <w:pPr>
        <w:pStyle w:val="Heading1"/>
        <w:numPr>
          <w:ilvl w:val="0"/>
          <w:numId w:val="0"/>
        </w:numPr>
        <w:rPr>
          <w:rFonts w:eastAsia="Times New Roman"/>
        </w:rPr>
      </w:pPr>
    </w:p>
    <w:p w:rsidR="00C254C2" w14:paraId="46040B27" w14:textId="77777777">
      <w:pPr>
        <w:rPr>
          <w:rFonts w:ascii="Times New Roman" w:eastAsia="Calibri" w:hAnsi="Times New Roman" w:cs="Times New Roman"/>
          <w:b/>
          <w:bCs/>
          <w:sz w:val="24"/>
          <w:szCs w:val="24"/>
        </w:rPr>
      </w:pPr>
    </w:p>
    <w:p w:rsidR="00C254C2" w:rsidP="00C254C2" w14:paraId="7C9251A3" w14:textId="77777777">
      <w:pPr>
        <w:spacing w:after="0" w:line="240" w:lineRule="auto"/>
        <w:ind w:left="3600" w:firstLine="720"/>
        <w:rPr>
          <w:rFonts w:ascii="Times New Roman" w:eastAsia="Times New Roman" w:hAnsi="Times New Roman" w:cs="Times New Roman"/>
          <w:sz w:val="24"/>
          <w:szCs w:val="24"/>
        </w:rPr>
      </w:pPr>
    </w:p>
    <w:p w:rsidR="00C254C2" w:rsidP="00C254C2" w14:paraId="466D30D4" w14:textId="77777777">
      <w:pPr>
        <w:spacing w:after="0" w:line="240" w:lineRule="auto"/>
        <w:ind w:left="3600" w:firstLine="720"/>
        <w:rPr>
          <w:rFonts w:ascii="Times New Roman" w:eastAsia="Times New Roman" w:hAnsi="Times New Roman" w:cs="Times New Roman"/>
          <w:sz w:val="24"/>
          <w:szCs w:val="24"/>
        </w:rPr>
      </w:pPr>
    </w:p>
    <w:p w:rsidR="00C254C2" w:rsidP="00C254C2" w14:paraId="536EC8CE" w14:textId="77777777">
      <w:pPr>
        <w:spacing w:after="0" w:line="240" w:lineRule="auto"/>
        <w:ind w:left="3600" w:firstLine="720"/>
        <w:rPr>
          <w:rFonts w:ascii="Times New Roman" w:eastAsia="Times New Roman" w:hAnsi="Times New Roman" w:cs="Times New Roman"/>
          <w:sz w:val="24"/>
          <w:szCs w:val="24"/>
        </w:rPr>
      </w:pPr>
    </w:p>
    <w:p w:rsidR="00C254C2" w:rsidP="00C254C2" w14:paraId="7CF867A0" w14:textId="77777777">
      <w:pPr>
        <w:spacing w:after="0" w:line="240" w:lineRule="auto"/>
        <w:ind w:left="3600" w:firstLine="720"/>
        <w:rPr>
          <w:rFonts w:ascii="Times New Roman" w:eastAsia="Times New Roman" w:hAnsi="Times New Roman" w:cs="Times New Roman"/>
          <w:sz w:val="24"/>
          <w:szCs w:val="24"/>
        </w:rPr>
      </w:pPr>
    </w:p>
    <w:p w:rsidR="00C254C2" w:rsidP="00C254C2" w14:paraId="5092BB05" w14:textId="77777777">
      <w:pPr>
        <w:spacing w:after="0" w:line="240" w:lineRule="auto"/>
        <w:ind w:left="3600" w:firstLine="720"/>
        <w:rPr>
          <w:rFonts w:ascii="Times New Roman" w:eastAsia="Times New Roman" w:hAnsi="Times New Roman" w:cs="Times New Roman"/>
          <w:sz w:val="24"/>
          <w:szCs w:val="24"/>
        </w:rPr>
      </w:pPr>
    </w:p>
    <w:p w:rsidR="00C254C2" w:rsidRPr="007A5FF2" w:rsidP="00C254C2" w14:paraId="1AEE56B1" w14:textId="60AC645A">
      <w:pPr>
        <w:spacing w:after="0" w:line="240" w:lineRule="auto"/>
        <w:ind w:left="3600" w:firstLine="720"/>
        <w:rPr>
          <w:rFonts w:ascii="Times New Roman" w:eastAsia="Times New Roman" w:hAnsi="Times New Roman" w:cs="Times New Roman"/>
          <w:sz w:val="24"/>
          <w:szCs w:val="24"/>
        </w:rPr>
      </w:pPr>
      <w:r w:rsidRPr="007A5FF2">
        <w:rPr>
          <w:rFonts w:ascii="Times New Roman" w:eastAsia="Times New Roman" w:hAnsi="Times New Roman" w:cs="Times New Roman"/>
          <w:sz w:val="24"/>
          <w:szCs w:val="24"/>
        </w:rPr>
        <w:t>Bruce Weston (0016973)</w:t>
      </w:r>
    </w:p>
    <w:p w:rsidR="00C254C2" w:rsidRPr="007A5FF2" w:rsidP="00C254C2" w14:paraId="4480736E" w14:textId="77777777">
      <w:pPr>
        <w:tabs>
          <w:tab w:val="left" w:pos="4320"/>
        </w:tabs>
        <w:spacing w:after="0" w:line="240" w:lineRule="auto"/>
        <w:rPr>
          <w:rFonts w:ascii="Times New Roman" w:eastAsia="Times New Roman" w:hAnsi="Times New Roman" w:cs="Times New Roman"/>
          <w:sz w:val="24"/>
          <w:szCs w:val="24"/>
        </w:rPr>
      </w:pPr>
      <w:r w:rsidRPr="007A5FF2">
        <w:rPr>
          <w:rFonts w:ascii="Times New Roman" w:eastAsia="Times New Roman" w:hAnsi="Times New Roman" w:cs="Times New Roman"/>
          <w:sz w:val="24"/>
          <w:szCs w:val="24"/>
        </w:rPr>
        <w:tab/>
        <w:t xml:space="preserve">Ohio Consumers’ Counsel </w:t>
      </w:r>
    </w:p>
    <w:p w:rsidR="00C254C2" w:rsidRPr="007A5FF2" w:rsidP="00C254C2" w14:paraId="0ED92678" w14:textId="77777777">
      <w:pPr>
        <w:tabs>
          <w:tab w:val="left" w:pos="4320"/>
        </w:tabs>
        <w:spacing w:after="0" w:line="240" w:lineRule="auto"/>
        <w:rPr>
          <w:rFonts w:ascii="Times New Roman" w:eastAsia="Times New Roman" w:hAnsi="Times New Roman" w:cs="Times New Roman"/>
          <w:sz w:val="24"/>
          <w:szCs w:val="24"/>
        </w:rPr>
      </w:pPr>
    </w:p>
    <w:p w:rsidR="00C254C2" w:rsidRPr="007A5FF2" w:rsidP="00C254C2" w14:paraId="57FDDEBA" w14:textId="77777777">
      <w:pPr>
        <w:tabs>
          <w:tab w:val="left" w:pos="4320"/>
        </w:tabs>
        <w:spacing w:after="0" w:line="240" w:lineRule="auto"/>
        <w:ind w:left="4320"/>
        <w:rPr>
          <w:rFonts w:ascii="Times New Roman" w:eastAsia="Times New Roman" w:hAnsi="Times New Roman" w:cs="Times New Roman"/>
          <w:sz w:val="24"/>
          <w:szCs w:val="24"/>
        </w:rPr>
      </w:pPr>
      <w:r w:rsidRPr="007A5FF2">
        <w:rPr>
          <w:rFonts w:ascii="Times New Roman" w:eastAsia="Times New Roman" w:hAnsi="Times New Roman" w:cs="Times New Roman"/>
          <w:sz w:val="24"/>
          <w:szCs w:val="24"/>
        </w:rPr>
        <w:t>William J. Michael (0070921)</w:t>
      </w:r>
    </w:p>
    <w:p w:rsidR="00C254C2" w:rsidRPr="007A5FF2" w:rsidP="00C254C2" w14:paraId="41565DC3" w14:textId="77777777">
      <w:pPr>
        <w:tabs>
          <w:tab w:val="left" w:pos="4320"/>
        </w:tabs>
        <w:spacing w:after="0" w:line="240" w:lineRule="auto"/>
        <w:ind w:left="4320"/>
        <w:rPr>
          <w:rFonts w:ascii="Times New Roman" w:eastAsia="Times New Roman" w:hAnsi="Times New Roman" w:cs="Times New Roman"/>
          <w:sz w:val="24"/>
          <w:szCs w:val="24"/>
        </w:rPr>
      </w:pPr>
      <w:r w:rsidRPr="007A5FF2">
        <w:rPr>
          <w:rFonts w:ascii="Times New Roman" w:eastAsia="Times New Roman" w:hAnsi="Times New Roman" w:cs="Times New Roman"/>
          <w:sz w:val="24"/>
          <w:szCs w:val="24"/>
        </w:rPr>
        <w:t>Counsel of Record</w:t>
      </w:r>
    </w:p>
    <w:p w:rsidR="00C254C2" w:rsidRPr="007A5FF2" w:rsidP="00C254C2" w14:paraId="2957D3AA" w14:textId="77777777">
      <w:pPr>
        <w:tabs>
          <w:tab w:val="left" w:pos="4320"/>
        </w:tabs>
        <w:spacing w:after="0" w:line="240" w:lineRule="auto"/>
        <w:ind w:left="4320"/>
        <w:rPr>
          <w:rFonts w:ascii="Times New Roman" w:eastAsia="Times New Roman" w:hAnsi="Times New Roman" w:cs="Times New Roman"/>
          <w:sz w:val="24"/>
          <w:szCs w:val="24"/>
        </w:rPr>
      </w:pPr>
      <w:r w:rsidRPr="007A5FF2">
        <w:rPr>
          <w:rFonts w:ascii="Times New Roman" w:eastAsia="Times New Roman" w:hAnsi="Times New Roman" w:cs="Times New Roman"/>
          <w:sz w:val="24"/>
          <w:szCs w:val="24"/>
        </w:rPr>
        <w:t>Assistant Consumers’ Counsel</w:t>
      </w:r>
    </w:p>
    <w:p w:rsidR="00C254C2" w:rsidRPr="007A5FF2" w:rsidP="00C254C2" w14:paraId="295FE1B9" w14:textId="77777777">
      <w:pPr>
        <w:tabs>
          <w:tab w:val="left" w:pos="4320"/>
        </w:tabs>
        <w:spacing w:after="0" w:line="240" w:lineRule="auto"/>
        <w:ind w:left="4320"/>
        <w:rPr>
          <w:rFonts w:ascii="Times New Roman" w:eastAsia="Times New Roman" w:hAnsi="Times New Roman" w:cs="Times New Roman"/>
          <w:sz w:val="24"/>
          <w:szCs w:val="24"/>
        </w:rPr>
      </w:pPr>
      <w:r w:rsidRPr="007A5FF2">
        <w:rPr>
          <w:rFonts w:ascii="Times New Roman" w:eastAsia="Times New Roman" w:hAnsi="Times New Roman" w:cs="Times New Roman"/>
          <w:sz w:val="24"/>
          <w:szCs w:val="24"/>
        </w:rPr>
        <w:tab/>
      </w:r>
    </w:p>
    <w:p w:rsidR="00C254C2" w:rsidRPr="007A5FF2" w:rsidP="00C254C2" w14:paraId="5E633C30" w14:textId="77777777">
      <w:pPr>
        <w:spacing w:after="0" w:line="240" w:lineRule="auto"/>
        <w:ind w:left="4320"/>
        <w:rPr>
          <w:rFonts w:ascii="Times New Roman" w:eastAsia="Times New Roman" w:hAnsi="Times New Roman" w:cs="Times New Roman"/>
          <w:b/>
          <w:sz w:val="24"/>
          <w:szCs w:val="24"/>
        </w:rPr>
      </w:pPr>
      <w:r w:rsidRPr="007A5FF2">
        <w:rPr>
          <w:rFonts w:ascii="Times New Roman" w:eastAsia="Times New Roman" w:hAnsi="Times New Roman" w:cs="Times New Roman"/>
          <w:b/>
          <w:sz w:val="24"/>
          <w:szCs w:val="24"/>
        </w:rPr>
        <w:t>Office of the Ohio Consumers’ Counsel</w:t>
      </w:r>
    </w:p>
    <w:p w:rsidR="00C254C2" w:rsidRPr="007A5FF2" w:rsidP="00C254C2" w14:paraId="2008F04E" w14:textId="77777777">
      <w:pPr>
        <w:spacing w:after="0" w:line="240" w:lineRule="auto"/>
        <w:ind w:left="4320"/>
        <w:rPr>
          <w:rFonts w:ascii="Times New Roman" w:eastAsia="Times New Roman" w:hAnsi="Times New Roman" w:cs="Times New Roman"/>
          <w:sz w:val="24"/>
          <w:szCs w:val="24"/>
        </w:rPr>
      </w:pPr>
      <w:r w:rsidRPr="007A5FF2">
        <w:rPr>
          <w:rFonts w:ascii="Times New Roman" w:eastAsia="Times New Roman" w:hAnsi="Times New Roman" w:cs="Times New Roman"/>
          <w:sz w:val="24"/>
          <w:szCs w:val="24"/>
        </w:rPr>
        <w:t>65 East State Street, 7th Floor</w:t>
      </w:r>
    </w:p>
    <w:p w:rsidR="00C254C2" w:rsidRPr="007A5FF2" w:rsidP="00C254C2" w14:paraId="11F7A546" w14:textId="77777777">
      <w:pPr>
        <w:spacing w:after="0" w:line="240" w:lineRule="auto"/>
        <w:ind w:left="4320"/>
        <w:rPr>
          <w:rFonts w:ascii="Times New Roman" w:eastAsia="Times New Roman" w:hAnsi="Times New Roman" w:cs="Times New Roman"/>
          <w:b/>
          <w:sz w:val="24"/>
          <w:szCs w:val="24"/>
        </w:rPr>
      </w:pPr>
      <w:r w:rsidRPr="007A5FF2">
        <w:rPr>
          <w:rFonts w:ascii="Times New Roman" w:eastAsia="Times New Roman" w:hAnsi="Times New Roman" w:cs="Times New Roman"/>
          <w:sz w:val="24"/>
          <w:szCs w:val="24"/>
        </w:rPr>
        <w:t>Columbus, Ohio 43215</w:t>
      </w:r>
    </w:p>
    <w:p w:rsidR="00C254C2" w:rsidRPr="007A5FF2" w:rsidP="00C254C2" w14:paraId="648C2619" w14:textId="77777777">
      <w:pPr>
        <w:spacing w:after="0" w:line="240" w:lineRule="auto"/>
        <w:ind w:left="4320"/>
        <w:rPr>
          <w:rFonts w:ascii="Times New Roman" w:eastAsia="Times New Roman" w:hAnsi="Times New Roman" w:cs="Times New Roman"/>
          <w:sz w:val="24"/>
          <w:szCs w:val="24"/>
        </w:rPr>
      </w:pPr>
      <w:r w:rsidRPr="007A5FF2">
        <w:rPr>
          <w:rFonts w:ascii="Times New Roman" w:eastAsia="Times New Roman" w:hAnsi="Times New Roman" w:cs="Times New Roman"/>
          <w:sz w:val="24"/>
          <w:szCs w:val="24"/>
        </w:rPr>
        <w:t>Telephone: [Michael] (614) 466-1291</w:t>
      </w:r>
    </w:p>
    <w:p w:rsidR="00C254C2" w:rsidRPr="007A5FF2" w:rsidP="00C254C2" w14:paraId="6F9E8BB5" w14:textId="77777777">
      <w:pPr>
        <w:spacing w:after="0" w:line="240" w:lineRule="auto"/>
        <w:ind w:left="4320"/>
        <w:rPr>
          <w:rFonts w:ascii="Times New Roman" w:eastAsia="Times New Roman" w:hAnsi="Times New Roman" w:cs="Times New Roman"/>
          <w:color w:val="0000FF" w:themeColor="hyperlink"/>
          <w:sz w:val="24"/>
          <w:szCs w:val="24"/>
          <w:u w:val="single"/>
        </w:rPr>
      </w:pPr>
      <w:hyperlink r:id="rId6" w:history="1">
        <w:r w:rsidRPr="007A5FF2" w:rsidR="00C72ACA">
          <w:rPr>
            <w:rFonts w:ascii="Times New Roman" w:eastAsia="Times New Roman" w:hAnsi="Times New Roman" w:cs="Times New Roman"/>
            <w:color w:val="0000FF"/>
            <w:sz w:val="24"/>
            <w:szCs w:val="24"/>
            <w:u w:val="single"/>
          </w:rPr>
          <w:t>william.michael@occ.ohio.gov</w:t>
        </w:r>
      </w:hyperlink>
    </w:p>
    <w:p w:rsidR="00C254C2" w:rsidP="00C254C2" w14:paraId="7DFFC64F" w14:textId="77777777">
      <w:pPr>
        <w:spacing w:after="0" w:line="240" w:lineRule="auto"/>
        <w:rPr>
          <w:rFonts w:ascii="Times New Roman" w:eastAsia="Times New Roman" w:hAnsi="Times New Roman" w:cs="Times New Roman"/>
          <w:sz w:val="24"/>
          <w:szCs w:val="24"/>
        </w:rPr>
      </w:pPr>
      <w:r w:rsidRPr="00C254C2">
        <w:rPr>
          <w:rFonts w:ascii="Times New Roman" w:eastAsia="Times New Roman" w:hAnsi="Times New Roman" w:cs="Times New Roman"/>
          <w:sz w:val="24"/>
          <w:szCs w:val="24"/>
        </w:rPr>
        <w:t>July 6, 2020</w:t>
      </w:r>
      <w:r>
        <w:rPr>
          <w:rFonts w:ascii="Times New Roman" w:eastAsia="Times New Roman" w:hAnsi="Times New Roman" w:cs="Times New Roman"/>
          <w:color w:val="0000FF" w:themeColor="hyperlink"/>
          <w:sz w:val="24"/>
          <w:szCs w:val="24"/>
        </w:rPr>
        <w:tab/>
      </w:r>
      <w:r>
        <w:rPr>
          <w:rFonts w:ascii="Times New Roman" w:eastAsia="Times New Roman" w:hAnsi="Times New Roman" w:cs="Times New Roman"/>
          <w:color w:val="0000FF" w:themeColor="hyperlink"/>
          <w:sz w:val="24"/>
          <w:szCs w:val="24"/>
        </w:rPr>
        <w:tab/>
      </w:r>
      <w:r>
        <w:rPr>
          <w:rFonts w:ascii="Times New Roman" w:eastAsia="Times New Roman" w:hAnsi="Times New Roman" w:cs="Times New Roman"/>
          <w:color w:val="0000FF" w:themeColor="hyperlink"/>
          <w:sz w:val="24"/>
          <w:szCs w:val="24"/>
        </w:rPr>
        <w:tab/>
      </w:r>
      <w:r>
        <w:rPr>
          <w:rFonts w:ascii="Times New Roman" w:eastAsia="Times New Roman" w:hAnsi="Times New Roman" w:cs="Times New Roman"/>
          <w:color w:val="0000FF" w:themeColor="hyperlink"/>
          <w:sz w:val="24"/>
          <w:szCs w:val="24"/>
        </w:rPr>
        <w:tab/>
      </w:r>
      <w:r>
        <w:rPr>
          <w:rFonts w:ascii="Times New Roman" w:eastAsia="Times New Roman" w:hAnsi="Times New Roman" w:cs="Times New Roman"/>
          <w:color w:val="0000FF" w:themeColor="hyperlink"/>
          <w:sz w:val="24"/>
          <w:szCs w:val="24"/>
        </w:rPr>
        <w:tab/>
      </w:r>
      <w:r w:rsidRPr="007A5FF2">
        <w:rPr>
          <w:rFonts w:ascii="Times New Roman" w:eastAsia="Times New Roman" w:hAnsi="Times New Roman" w:cs="Times New Roman"/>
          <w:sz w:val="24"/>
          <w:szCs w:val="24"/>
        </w:rPr>
        <w:t>(willing to accept service by e-mail)</w:t>
      </w:r>
    </w:p>
    <w:p w:rsidR="00C254C2" w:rsidP="00C254C2" w14:paraId="1E3EF795" w14:textId="77777777">
      <w:pPr>
        <w:spacing w:after="0" w:line="240" w:lineRule="auto"/>
        <w:rPr>
          <w:rFonts w:ascii="Times New Roman" w:eastAsia="Times New Roman" w:hAnsi="Times New Roman" w:cs="Times New Roman"/>
          <w:sz w:val="24"/>
          <w:szCs w:val="24"/>
        </w:rPr>
      </w:pPr>
    </w:p>
    <w:p w:rsidR="00C254C2" w:rsidP="00C254C2" w14:paraId="32CBB6C7" w14:textId="77777777">
      <w:pPr>
        <w:spacing w:after="0" w:line="240" w:lineRule="auto"/>
        <w:rPr>
          <w:rFonts w:ascii="Times New Roman" w:eastAsia="Times New Roman" w:hAnsi="Times New Roman" w:cs="Times New Roman"/>
          <w:sz w:val="24"/>
          <w:szCs w:val="24"/>
        </w:rPr>
        <w:sectPr w:rsidSect="000C1B23">
          <w:footerReference w:type="default" r:id="rId7"/>
          <w:pgSz w:w="12240" w:h="15840"/>
          <w:pgMar w:top="1440" w:right="1800" w:bottom="1440" w:left="1800" w:header="720" w:footer="720" w:gutter="0"/>
          <w:cols w:space="720"/>
          <w:docGrid w:linePitch="360"/>
        </w:sectPr>
      </w:pPr>
    </w:p>
    <w:p w:rsidR="00152A74" w:rsidRPr="007A5FF2" w:rsidP="00152A74" w14:paraId="10AF7151" w14:textId="7F27E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7A5FF2">
        <w:rPr>
          <w:rFonts w:ascii="Times New Roman" w:eastAsia="Calibri" w:hAnsi="Times New Roman" w:cs="Times New Roman"/>
          <w:b/>
          <w:bCs/>
          <w:sz w:val="24"/>
          <w:szCs w:val="24"/>
        </w:rPr>
        <w:t>BEFORE</w:t>
      </w:r>
    </w:p>
    <w:p w:rsidR="00152A74" w:rsidRPr="007A5FF2" w:rsidP="00152A74" w14:paraId="359AE028" w14:textId="4C0CC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7A5FF2">
        <w:rPr>
          <w:rFonts w:ascii="Times New Roman" w:eastAsia="Calibri" w:hAnsi="Times New Roman" w:cs="Times New Roman"/>
          <w:b/>
          <w:bCs/>
          <w:sz w:val="24"/>
          <w:szCs w:val="24"/>
        </w:rPr>
        <w:t>THE PUBLIC UTILITIES COMMISSION OF OHIO</w:t>
      </w:r>
    </w:p>
    <w:p w:rsidR="00CB07F3" w:rsidRPr="007A5FF2" w:rsidP="00CB07F3" w14:paraId="1D2CD207" w14:textId="77777777">
      <w:pPr>
        <w:spacing w:after="0" w:line="240" w:lineRule="auto"/>
        <w:jc w:val="center"/>
        <w:rPr>
          <w:rFonts w:ascii="Times New Roman" w:hAnsi="Times New Roman" w:cs="Times New Roman"/>
          <w:sz w:val="24"/>
          <w:szCs w:val="24"/>
        </w:rPr>
      </w:pPr>
    </w:p>
    <w:p w:rsidR="00CB07F3" w:rsidRPr="007A5FF2" w:rsidP="00CB07F3" w14:paraId="5B821242" w14:textId="77777777">
      <w:pPr>
        <w:spacing w:after="0" w:line="240" w:lineRule="auto"/>
        <w:rPr>
          <w:rFonts w:ascii="Times New Roman" w:hAnsi="Times New Roman" w:cs="Times New Roman"/>
          <w:sz w:val="24"/>
          <w:szCs w:val="24"/>
        </w:rPr>
      </w:pPr>
      <w:r w:rsidRPr="007A5FF2">
        <w:rPr>
          <w:rFonts w:ascii="Times New Roman" w:hAnsi="Times New Roman" w:cs="Times New Roman"/>
          <w:sz w:val="24"/>
          <w:szCs w:val="24"/>
        </w:rPr>
        <w:t>In the Matter of the Commission’s Review</w:t>
      </w:r>
      <w:r w:rsidRPr="007A5FF2">
        <w:rPr>
          <w:rFonts w:ascii="Times New Roman" w:hAnsi="Times New Roman" w:cs="Times New Roman"/>
          <w:sz w:val="24"/>
          <w:szCs w:val="24"/>
        </w:rPr>
        <w:tab/>
        <w:t>)</w:t>
      </w:r>
    </w:p>
    <w:p w:rsidR="00CB07F3" w:rsidRPr="007A5FF2" w:rsidP="00CB07F3" w14:paraId="28036544" w14:textId="77777777">
      <w:pPr>
        <w:spacing w:after="0" w:line="240" w:lineRule="auto"/>
        <w:rPr>
          <w:rFonts w:ascii="Times New Roman" w:hAnsi="Times New Roman" w:cs="Times New Roman"/>
          <w:sz w:val="24"/>
          <w:szCs w:val="24"/>
        </w:rPr>
      </w:pPr>
      <w:r w:rsidRPr="007A5FF2">
        <w:rPr>
          <w:rFonts w:ascii="Times New Roman" w:hAnsi="Times New Roman" w:cs="Times New Roman"/>
          <w:sz w:val="24"/>
          <w:szCs w:val="24"/>
        </w:rPr>
        <w:t>of Chapter 4901:1-35 of the Ohio</w:t>
      </w:r>
      <w:r w:rsidRPr="007A5FF2">
        <w:rPr>
          <w:rFonts w:ascii="Times New Roman" w:hAnsi="Times New Roman" w:cs="Times New Roman"/>
          <w:sz w:val="24"/>
          <w:szCs w:val="24"/>
        </w:rPr>
        <w:tab/>
      </w:r>
      <w:r w:rsidRPr="007A5FF2">
        <w:rPr>
          <w:rFonts w:ascii="Times New Roman" w:hAnsi="Times New Roman" w:cs="Times New Roman"/>
          <w:sz w:val="24"/>
          <w:szCs w:val="24"/>
        </w:rPr>
        <w:tab/>
        <w:t xml:space="preserve">) </w:t>
      </w:r>
      <w:r w:rsidRPr="007A5FF2">
        <w:rPr>
          <w:rFonts w:ascii="Times New Roman" w:hAnsi="Times New Roman" w:cs="Times New Roman"/>
          <w:sz w:val="24"/>
          <w:szCs w:val="24"/>
        </w:rPr>
        <w:tab/>
        <w:t>Case No. 18-1188-EL-ORD</w:t>
      </w:r>
    </w:p>
    <w:p w:rsidR="00CB07F3" w:rsidRPr="007A5FF2" w:rsidP="00CB07F3" w14:paraId="25509BC6" w14:textId="77777777">
      <w:pPr>
        <w:spacing w:after="0" w:line="240" w:lineRule="auto"/>
        <w:rPr>
          <w:rFonts w:ascii="Times New Roman" w:hAnsi="Times New Roman" w:cs="Times New Roman"/>
          <w:sz w:val="24"/>
          <w:szCs w:val="24"/>
        </w:rPr>
      </w:pPr>
      <w:r w:rsidRPr="007A5FF2">
        <w:rPr>
          <w:rFonts w:ascii="Times New Roman" w:hAnsi="Times New Roman" w:cs="Times New Roman"/>
          <w:sz w:val="24"/>
          <w:szCs w:val="24"/>
        </w:rPr>
        <w:t>Administrative Code.</w:t>
      </w:r>
      <w:r w:rsidRPr="007A5FF2">
        <w:rPr>
          <w:rFonts w:ascii="Times New Roman" w:hAnsi="Times New Roman" w:cs="Times New Roman"/>
          <w:sz w:val="24"/>
          <w:szCs w:val="24"/>
        </w:rPr>
        <w:tab/>
      </w:r>
      <w:r w:rsidRPr="007A5FF2">
        <w:rPr>
          <w:rFonts w:ascii="Times New Roman" w:hAnsi="Times New Roman" w:cs="Times New Roman"/>
          <w:sz w:val="24"/>
          <w:szCs w:val="24"/>
        </w:rPr>
        <w:tab/>
      </w:r>
      <w:r w:rsidRPr="007A5FF2">
        <w:rPr>
          <w:rFonts w:ascii="Times New Roman" w:hAnsi="Times New Roman" w:cs="Times New Roman"/>
          <w:sz w:val="24"/>
          <w:szCs w:val="24"/>
        </w:rPr>
        <w:tab/>
      </w:r>
      <w:r w:rsidRPr="007A5FF2">
        <w:rPr>
          <w:rFonts w:ascii="Times New Roman" w:hAnsi="Times New Roman" w:cs="Times New Roman"/>
          <w:sz w:val="24"/>
          <w:szCs w:val="24"/>
        </w:rPr>
        <w:tab/>
        <w:t>)</w:t>
      </w:r>
    </w:p>
    <w:p w:rsidR="00152A74" w:rsidRPr="007A5FF2" w:rsidP="00152A74" w14:paraId="6724AE52" w14:textId="77777777">
      <w:pPr>
        <w:pBdr>
          <w:bottom w:val="single" w:sz="12" w:space="1" w:color="auto"/>
        </w:pBdr>
        <w:autoSpaceDE w:val="0"/>
        <w:autoSpaceDN w:val="0"/>
        <w:adjustRightInd w:val="0"/>
        <w:spacing w:after="0" w:line="240" w:lineRule="auto"/>
        <w:rPr>
          <w:rFonts w:ascii="Times New Roman" w:eastAsia="Calibri" w:hAnsi="Times New Roman" w:cs="Times New Roman"/>
          <w:sz w:val="24"/>
          <w:szCs w:val="24"/>
        </w:rPr>
      </w:pPr>
    </w:p>
    <w:p w:rsidR="00152A74" w:rsidRPr="007A5FF2" w:rsidP="00152A74" w14:paraId="05405E47" w14:textId="77777777">
      <w:pPr>
        <w:autoSpaceDE w:val="0"/>
        <w:autoSpaceDN w:val="0"/>
        <w:adjustRightInd w:val="0"/>
        <w:spacing w:after="0" w:line="240" w:lineRule="auto"/>
        <w:rPr>
          <w:rFonts w:ascii="Times New Roman" w:eastAsia="Calibri" w:hAnsi="Times New Roman" w:cs="Times New Roman"/>
          <w:sz w:val="24"/>
          <w:szCs w:val="24"/>
        </w:rPr>
      </w:pPr>
    </w:p>
    <w:p w:rsidR="0070006F" w:rsidRPr="007A5FF2" w:rsidP="0070006F" w14:paraId="02695DE3" w14:textId="69679BA2">
      <w:pPr>
        <w:widowControl w:val="0"/>
        <w:spacing w:after="0" w:line="240" w:lineRule="auto"/>
        <w:jc w:val="center"/>
        <w:rPr>
          <w:rFonts w:ascii="Times New Roman" w:hAnsi="Times New Roman" w:cs="Times New Roman"/>
          <w:b/>
          <w:sz w:val="24"/>
          <w:szCs w:val="24"/>
        </w:rPr>
      </w:pPr>
      <w:r w:rsidRPr="007A5FF2">
        <w:rPr>
          <w:rFonts w:ascii="Times New Roman" w:hAnsi="Times New Roman" w:cs="Times New Roman"/>
          <w:b/>
          <w:sz w:val="24"/>
          <w:szCs w:val="24"/>
        </w:rPr>
        <w:t xml:space="preserve">APPLICATION FOR REHEARING REGARDING </w:t>
      </w:r>
      <w:r w:rsidRPr="007A5FF2" w:rsidR="00DC1B9E">
        <w:rPr>
          <w:rFonts w:ascii="Times New Roman" w:hAnsi="Times New Roman" w:cs="Times New Roman"/>
          <w:b/>
          <w:sz w:val="24"/>
          <w:szCs w:val="24"/>
        </w:rPr>
        <w:t xml:space="preserve">RULES </w:t>
      </w:r>
      <w:r w:rsidRPr="007A5FF2" w:rsidR="00C53E81">
        <w:rPr>
          <w:rFonts w:ascii="Times New Roman" w:hAnsi="Times New Roman" w:cs="Times New Roman"/>
          <w:b/>
          <w:sz w:val="24"/>
          <w:szCs w:val="24"/>
        </w:rPr>
        <w:t>FOR</w:t>
      </w:r>
      <w:r w:rsidRPr="007A5FF2" w:rsidR="00DC1B9E">
        <w:rPr>
          <w:rFonts w:ascii="Times New Roman" w:hAnsi="Times New Roman" w:cs="Times New Roman"/>
          <w:b/>
          <w:sz w:val="24"/>
          <w:szCs w:val="24"/>
        </w:rPr>
        <w:t xml:space="preserve"> ELECTRIC SECURITY PLAN</w:t>
      </w:r>
      <w:r w:rsidRPr="007A5FF2" w:rsidR="00C9790B">
        <w:rPr>
          <w:rFonts w:ascii="Times New Roman" w:hAnsi="Times New Roman" w:cs="Times New Roman"/>
          <w:b/>
          <w:sz w:val="24"/>
          <w:szCs w:val="24"/>
        </w:rPr>
        <w:t xml:space="preserve"> APPLICATIONS</w:t>
      </w:r>
      <w:r w:rsidRPr="007A5FF2" w:rsidR="00DC1B9E">
        <w:rPr>
          <w:rFonts w:ascii="Times New Roman" w:hAnsi="Times New Roman" w:cs="Times New Roman"/>
          <w:b/>
          <w:sz w:val="24"/>
          <w:szCs w:val="24"/>
        </w:rPr>
        <w:t xml:space="preserve"> </w:t>
      </w:r>
    </w:p>
    <w:p w:rsidR="0070006F" w:rsidRPr="007A5FF2" w:rsidP="0070006F" w14:paraId="1F436D3D" w14:textId="77777777">
      <w:pPr>
        <w:widowControl w:val="0"/>
        <w:spacing w:after="0" w:line="240" w:lineRule="auto"/>
        <w:jc w:val="center"/>
        <w:rPr>
          <w:rFonts w:ascii="Times New Roman" w:hAnsi="Times New Roman" w:cs="Times New Roman"/>
          <w:b/>
          <w:sz w:val="24"/>
          <w:szCs w:val="24"/>
        </w:rPr>
      </w:pPr>
      <w:r w:rsidRPr="007A5FF2">
        <w:rPr>
          <w:rFonts w:ascii="Times New Roman" w:hAnsi="Times New Roman" w:cs="Times New Roman"/>
          <w:b/>
          <w:sz w:val="24"/>
          <w:szCs w:val="24"/>
        </w:rPr>
        <w:t>BY</w:t>
      </w:r>
    </w:p>
    <w:p w:rsidR="0070006F" w:rsidRPr="007A5FF2" w:rsidP="0070006F" w14:paraId="78C2713C" w14:textId="77777777">
      <w:pPr>
        <w:widowControl w:val="0"/>
        <w:spacing w:after="0" w:line="240" w:lineRule="auto"/>
        <w:jc w:val="center"/>
        <w:rPr>
          <w:rFonts w:ascii="Times New Roman" w:hAnsi="Times New Roman" w:cs="Times New Roman"/>
          <w:b/>
          <w:bCs/>
          <w:sz w:val="24"/>
          <w:szCs w:val="24"/>
        </w:rPr>
      </w:pPr>
      <w:r w:rsidRPr="007A5FF2">
        <w:rPr>
          <w:rFonts w:ascii="Times New Roman" w:hAnsi="Times New Roman" w:cs="Times New Roman"/>
          <w:b/>
          <w:sz w:val="24"/>
          <w:szCs w:val="24"/>
        </w:rPr>
        <w:t>THE OFFICE OF THE OHIO CONSUMERS’ COUNSEL</w:t>
      </w:r>
    </w:p>
    <w:p w:rsidR="00152A74" w:rsidRPr="007A5FF2" w:rsidP="00152A74" w14:paraId="6EA33050" w14:textId="77777777">
      <w:pPr>
        <w:pBdr>
          <w:bottom w:val="single" w:sz="12" w:space="1" w:color="auto"/>
        </w:pBdr>
        <w:autoSpaceDE w:val="0"/>
        <w:autoSpaceDN w:val="0"/>
        <w:adjustRightInd w:val="0"/>
        <w:spacing w:after="0" w:line="240" w:lineRule="auto"/>
        <w:jc w:val="center"/>
        <w:rPr>
          <w:rFonts w:ascii="Times New Roman" w:eastAsia="Calibri" w:hAnsi="Times New Roman" w:cs="Times New Roman"/>
          <w:b/>
          <w:bCs/>
          <w:sz w:val="24"/>
          <w:szCs w:val="24"/>
        </w:rPr>
      </w:pPr>
    </w:p>
    <w:p w:rsidR="00391F0E" w:rsidRPr="007A5FF2" w:rsidP="0053578E" w14:paraId="05816B05" w14:textId="77777777">
      <w:pPr>
        <w:pStyle w:val="Heading1"/>
        <w:numPr>
          <w:ilvl w:val="0"/>
          <w:numId w:val="0"/>
        </w:numPr>
        <w:rPr>
          <w:rFonts w:eastAsia="Times New Roman"/>
        </w:rPr>
      </w:pPr>
      <w:bookmarkStart w:id="1" w:name="_Toc534639762"/>
    </w:p>
    <w:bookmarkEnd w:id="1"/>
    <w:p w:rsidR="00C53E81" w:rsidRPr="007A5FF2" w:rsidP="00DC1B9E" w14:paraId="6DB6C3F8" w14:textId="0BCF10DA">
      <w:pPr>
        <w:spacing w:after="0" w:line="480" w:lineRule="auto"/>
        <w:ind w:firstLine="720"/>
        <w:rPr>
          <w:rFonts w:ascii="Times New Roman" w:hAnsi="Times New Roman" w:cs="Times New Roman"/>
          <w:sz w:val="24"/>
          <w:szCs w:val="24"/>
        </w:rPr>
      </w:pPr>
      <w:r w:rsidRPr="007A5FF2">
        <w:rPr>
          <w:rFonts w:ascii="Times New Roman" w:hAnsi="Times New Roman" w:cs="Times New Roman"/>
          <w:sz w:val="24"/>
          <w:szCs w:val="24"/>
        </w:rPr>
        <w:t xml:space="preserve">The 2008 energy law that enabled electric utilities to file electric security plans has created a regulatory </w:t>
      </w:r>
      <w:r w:rsidRPr="007A5FF2" w:rsidR="00E03942">
        <w:rPr>
          <w:rFonts w:ascii="Times New Roman" w:hAnsi="Times New Roman" w:cs="Times New Roman"/>
          <w:sz w:val="24"/>
          <w:szCs w:val="24"/>
        </w:rPr>
        <w:t>environment that favors utilities over consumers.</w:t>
      </w:r>
      <w:r w:rsidRPr="007A5FF2" w:rsidR="00596F4F">
        <w:rPr>
          <w:rFonts w:ascii="Times New Roman" w:hAnsi="Times New Roman" w:cs="Times New Roman"/>
          <w:sz w:val="24"/>
          <w:szCs w:val="24"/>
        </w:rPr>
        <w:t xml:space="preserve">  The</w:t>
      </w:r>
      <w:r w:rsidRPr="007A5FF2" w:rsidR="00764299">
        <w:rPr>
          <w:rFonts w:ascii="Times New Roman" w:hAnsi="Times New Roman" w:cs="Times New Roman"/>
          <w:sz w:val="24"/>
          <w:szCs w:val="24"/>
        </w:rPr>
        <w:t xml:space="preserve"> principal</w:t>
      </w:r>
      <w:r w:rsidRPr="007A5FF2" w:rsidR="00596F4F">
        <w:rPr>
          <w:rFonts w:ascii="Times New Roman" w:hAnsi="Times New Roman" w:cs="Times New Roman"/>
          <w:sz w:val="24"/>
          <w:szCs w:val="24"/>
        </w:rPr>
        <w:t xml:space="preserve"> </w:t>
      </w:r>
      <w:r w:rsidRPr="007A5FF2" w:rsidR="00764299">
        <w:rPr>
          <w:rFonts w:ascii="Times New Roman" w:hAnsi="Times New Roman" w:cs="Times New Roman"/>
          <w:sz w:val="24"/>
          <w:szCs w:val="24"/>
        </w:rPr>
        <w:t>“</w:t>
      </w:r>
      <w:r w:rsidRPr="007A5FF2" w:rsidR="00596F4F">
        <w:rPr>
          <w:rFonts w:ascii="Times New Roman" w:hAnsi="Times New Roman" w:cs="Times New Roman"/>
          <w:sz w:val="24"/>
          <w:szCs w:val="24"/>
        </w:rPr>
        <w:t>security</w:t>
      </w:r>
      <w:r w:rsidRPr="007A5FF2" w:rsidR="00764299">
        <w:rPr>
          <w:rFonts w:ascii="Times New Roman" w:hAnsi="Times New Roman" w:cs="Times New Roman"/>
          <w:sz w:val="24"/>
          <w:szCs w:val="24"/>
        </w:rPr>
        <w:t>”</w:t>
      </w:r>
      <w:r w:rsidRPr="007A5FF2" w:rsidR="009A168C">
        <w:rPr>
          <w:rFonts w:ascii="Times New Roman" w:hAnsi="Times New Roman" w:cs="Times New Roman"/>
          <w:sz w:val="24"/>
          <w:szCs w:val="24"/>
        </w:rPr>
        <w:t xml:space="preserve"> that</w:t>
      </w:r>
      <w:r w:rsidRPr="007A5FF2" w:rsidR="00596F4F">
        <w:rPr>
          <w:rFonts w:ascii="Times New Roman" w:hAnsi="Times New Roman" w:cs="Times New Roman"/>
          <w:sz w:val="24"/>
          <w:szCs w:val="24"/>
        </w:rPr>
        <w:t xml:space="preserve"> such plan</w:t>
      </w:r>
      <w:r w:rsidRPr="007A5FF2" w:rsidR="00700564">
        <w:rPr>
          <w:rFonts w:ascii="Times New Roman" w:hAnsi="Times New Roman" w:cs="Times New Roman"/>
          <w:sz w:val="24"/>
          <w:szCs w:val="24"/>
        </w:rPr>
        <w:t>s</w:t>
      </w:r>
      <w:r w:rsidRPr="007A5FF2" w:rsidR="00596F4F">
        <w:rPr>
          <w:rFonts w:ascii="Times New Roman" w:hAnsi="Times New Roman" w:cs="Times New Roman"/>
          <w:sz w:val="24"/>
          <w:szCs w:val="24"/>
        </w:rPr>
        <w:t xml:space="preserve"> provide is for the electric utilities.</w:t>
      </w:r>
      <w:r w:rsidRPr="007A5FF2" w:rsidR="00E03942">
        <w:rPr>
          <w:rFonts w:ascii="Times New Roman" w:hAnsi="Times New Roman" w:cs="Times New Roman"/>
          <w:sz w:val="24"/>
          <w:szCs w:val="24"/>
        </w:rPr>
        <w:t xml:space="preserve">  </w:t>
      </w:r>
      <w:r w:rsidRPr="007A5FF2" w:rsidR="00747035">
        <w:rPr>
          <w:rFonts w:ascii="Times New Roman" w:hAnsi="Times New Roman" w:cs="Times New Roman"/>
          <w:sz w:val="24"/>
          <w:szCs w:val="24"/>
        </w:rPr>
        <w:t>T</w:t>
      </w:r>
      <w:r w:rsidRPr="007A5FF2" w:rsidR="00CF351A">
        <w:rPr>
          <w:rFonts w:ascii="Times New Roman" w:hAnsi="Times New Roman" w:cs="Times New Roman"/>
          <w:sz w:val="24"/>
          <w:szCs w:val="24"/>
        </w:rPr>
        <w:t>he PUCO</w:t>
      </w:r>
      <w:r w:rsidRPr="007A5FF2" w:rsidR="001D57D5">
        <w:rPr>
          <w:rFonts w:ascii="Times New Roman" w:hAnsi="Times New Roman" w:cs="Times New Roman"/>
          <w:sz w:val="24"/>
          <w:szCs w:val="24"/>
        </w:rPr>
        <w:t xml:space="preserve">’s </w:t>
      </w:r>
      <w:r w:rsidRPr="007A5FF2" w:rsidR="00DC1B9E">
        <w:rPr>
          <w:rFonts w:ascii="Times New Roman" w:hAnsi="Times New Roman" w:cs="Times New Roman"/>
          <w:sz w:val="24"/>
          <w:szCs w:val="24"/>
        </w:rPr>
        <w:t>June 3, 2020</w:t>
      </w:r>
      <w:r w:rsidRPr="007A5FF2" w:rsidR="001D57D5">
        <w:rPr>
          <w:rFonts w:ascii="Times New Roman" w:hAnsi="Times New Roman" w:cs="Times New Roman"/>
          <w:sz w:val="24"/>
          <w:szCs w:val="24"/>
        </w:rPr>
        <w:t xml:space="preserve"> </w:t>
      </w:r>
      <w:r w:rsidRPr="007A5FF2" w:rsidR="00DC1B9E">
        <w:rPr>
          <w:rFonts w:ascii="Times New Roman" w:hAnsi="Times New Roman" w:cs="Times New Roman"/>
          <w:sz w:val="24"/>
          <w:szCs w:val="24"/>
        </w:rPr>
        <w:t>Entry</w:t>
      </w:r>
      <w:r w:rsidRPr="007A5FF2" w:rsidR="001D57D5">
        <w:rPr>
          <w:rFonts w:ascii="Times New Roman" w:hAnsi="Times New Roman" w:cs="Times New Roman"/>
          <w:sz w:val="24"/>
          <w:szCs w:val="24"/>
        </w:rPr>
        <w:t xml:space="preserve"> did </w:t>
      </w:r>
      <w:r w:rsidR="00186520">
        <w:rPr>
          <w:rFonts w:ascii="Times New Roman" w:hAnsi="Times New Roman" w:cs="Times New Roman"/>
          <w:sz w:val="24"/>
          <w:szCs w:val="24"/>
        </w:rPr>
        <w:t xml:space="preserve">accomplish </w:t>
      </w:r>
      <w:r w:rsidR="00F0084F">
        <w:rPr>
          <w:rFonts w:ascii="Times New Roman" w:hAnsi="Times New Roman" w:cs="Times New Roman"/>
          <w:sz w:val="24"/>
          <w:szCs w:val="24"/>
        </w:rPr>
        <w:t>various</w:t>
      </w:r>
      <w:r w:rsidRPr="007A5FF2" w:rsidR="001D57D5">
        <w:rPr>
          <w:rFonts w:ascii="Times New Roman" w:hAnsi="Times New Roman" w:cs="Times New Roman"/>
          <w:sz w:val="24"/>
          <w:szCs w:val="24"/>
        </w:rPr>
        <w:t xml:space="preserve"> things to protect consumers</w:t>
      </w:r>
      <w:r w:rsidRPr="007A5FF2" w:rsidR="00DC1B9E">
        <w:rPr>
          <w:rFonts w:ascii="Times New Roman" w:hAnsi="Times New Roman" w:cs="Times New Roman"/>
          <w:sz w:val="24"/>
          <w:szCs w:val="24"/>
        </w:rPr>
        <w:t xml:space="preserve"> when electric utilities file electric security plans</w:t>
      </w:r>
      <w:r w:rsidRPr="007A5FF2" w:rsidR="001D57D5">
        <w:rPr>
          <w:rFonts w:ascii="Times New Roman" w:hAnsi="Times New Roman" w:cs="Times New Roman"/>
          <w:sz w:val="24"/>
          <w:szCs w:val="24"/>
        </w:rPr>
        <w:t xml:space="preserve">, including </w:t>
      </w:r>
      <w:r w:rsidRPr="007A5FF2" w:rsidR="00DC1B9E">
        <w:rPr>
          <w:rFonts w:ascii="Times New Roman" w:hAnsi="Times New Roman" w:cs="Times New Roman"/>
          <w:sz w:val="24"/>
          <w:szCs w:val="24"/>
        </w:rPr>
        <w:t xml:space="preserve">requiring </w:t>
      </w:r>
      <w:r w:rsidRPr="007A5FF2" w:rsidR="00764299">
        <w:rPr>
          <w:rFonts w:ascii="Times New Roman" w:hAnsi="Times New Roman" w:cs="Times New Roman"/>
          <w:sz w:val="24"/>
          <w:szCs w:val="24"/>
        </w:rPr>
        <w:t xml:space="preserve">utilities </w:t>
      </w:r>
      <w:r w:rsidRPr="007A5FF2" w:rsidR="00DC1B9E">
        <w:rPr>
          <w:rFonts w:ascii="Times New Roman" w:hAnsi="Times New Roman" w:cs="Times New Roman"/>
          <w:sz w:val="24"/>
          <w:szCs w:val="24"/>
        </w:rPr>
        <w:t xml:space="preserve">to include a cost-benefit analysis of distribution infrastructure modernization proposals and quantitative impacts of reliability improvements.  But </w:t>
      </w:r>
      <w:r w:rsidRPr="007A5FF2" w:rsidR="001D57D5">
        <w:rPr>
          <w:rFonts w:ascii="Times New Roman" w:hAnsi="Times New Roman" w:cs="Times New Roman"/>
          <w:sz w:val="24"/>
          <w:szCs w:val="24"/>
        </w:rPr>
        <w:t>the PUCO should have done more to protect consumers</w:t>
      </w:r>
      <w:r w:rsidRPr="007A5FF2" w:rsidR="00E03942">
        <w:rPr>
          <w:rFonts w:ascii="Times New Roman" w:hAnsi="Times New Roman" w:cs="Times New Roman"/>
          <w:sz w:val="24"/>
          <w:szCs w:val="24"/>
        </w:rPr>
        <w:t xml:space="preserve"> who are paying charges proposed</w:t>
      </w:r>
      <w:r w:rsidRPr="007A5FF2" w:rsidR="0087739A">
        <w:rPr>
          <w:rFonts w:ascii="Times New Roman" w:hAnsi="Times New Roman" w:cs="Times New Roman"/>
          <w:sz w:val="24"/>
          <w:szCs w:val="24"/>
        </w:rPr>
        <w:t xml:space="preserve"> and adopted</w:t>
      </w:r>
      <w:r w:rsidRPr="007A5FF2" w:rsidR="00E03942">
        <w:rPr>
          <w:rFonts w:ascii="Times New Roman" w:hAnsi="Times New Roman" w:cs="Times New Roman"/>
          <w:sz w:val="24"/>
          <w:szCs w:val="24"/>
        </w:rPr>
        <w:t xml:space="preserve"> in ESP cases</w:t>
      </w:r>
      <w:r w:rsidRPr="007A5FF2" w:rsidR="001D57D5">
        <w:rPr>
          <w:rFonts w:ascii="Times New Roman" w:hAnsi="Times New Roman" w:cs="Times New Roman"/>
          <w:sz w:val="24"/>
          <w:szCs w:val="24"/>
        </w:rPr>
        <w:t>.</w:t>
      </w:r>
      <w:r w:rsidRPr="007A5FF2" w:rsidR="007327BD">
        <w:rPr>
          <w:rFonts w:ascii="Times New Roman" w:hAnsi="Times New Roman" w:cs="Times New Roman"/>
          <w:sz w:val="24"/>
          <w:szCs w:val="24"/>
        </w:rPr>
        <w:t xml:space="preserve"> </w:t>
      </w:r>
    </w:p>
    <w:p w:rsidR="00333420" w:rsidRPr="007A5FF2" w:rsidP="00DC1B9E" w14:paraId="6B0D4231" w14:textId="77777777">
      <w:pPr>
        <w:spacing w:after="0" w:line="480" w:lineRule="auto"/>
        <w:ind w:firstLine="720"/>
        <w:rPr>
          <w:rFonts w:ascii="Times New Roman" w:hAnsi="Times New Roman" w:cs="Times New Roman"/>
          <w:sz w:val="24"/>
          <w:szCs w:val="24"/>
        </w:rPr>
        <w:sectPr w:rsidSect="002A003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2"/>
          <w:cols w:space="720"/>
          <w:docGrid w:linePitch="360"/>
        </w:sectPr>
      </w:pPr>
      <w:r w:rsidRPr="007A5FF2">
        <w:rPr>
          <w:rFonts w:ascii="Times New Roman" w:hAnsi="Times New Roman" w:cs="Times New Roman"/>
          <w:sz w:val="24"/>
          <w:szCs w:val="24"/>
        </w:rPr>
        <w:t xml:space="preserve">The PUCO </w:t>
      </w:r>
      <w:r w:rsidRPr="007A5FF2" w:rsidR="001D57D5">
        <w:rPr>
          <w:rFonts w:ascii="Times New Roman" w:hAnsi="Times New Roman" w:cs="Times New Roman"/>
          <w:sz w:val="24"/>
          <w:szCs w:val="24"/>
        </w:rPr>
        <w:t xml:space="preserve">should have adopted OCC’s recommendation to </w:t>
      </w:r>
      <w:r w:rsidRPr="007A5FF2" w:rsidR="00DC1B9E">
        <w:rPr>
          <w:rFonts w:ascii="Times New Roman" w:hAnsi="Times New Roman" w:cs="Times New Roman"/>
          <w:sz w:val="24"/>
          <w:szCs w:val="24"/>
        </w:rPr>
        <w:t xml:space="preserve">require electric utilities </w:t>
      </w:r>
      <w:r w:rsidRPr="007A5FF2">
        <w:rPr>
          <w:rFonts w:ascii="Times New Roman" w:hAnsi="Times New Roman" w:cs="Times New Roman"/>
          <w:sz w:val="24"/>
          <w:szCs w:val="24"/>
        </w:rPr>
        <w:t xml:space="preserve">to give consumers </w:t>
      </w:r>
      <w:r w:rsidRPr="007A5FF2" w:rsidR="00606FAF">
        <w:rPr>
          <w:rFonts w:ascii="Times New Roman" w:hAnsi="Times New Roman" w:cs="Times New Roman"/>
          <w:sz w:val="24"/>
          <w:szCs w:val="24"/>
        </w:rPr>
        <w:t xml:space="preserve">the </w:t>
      </w:r>
      <w:r w:rsidRPr="007A5FF2" w:rsidR="00196313">
        <w:rPr>
          <w:rFonts w:ascii="Times New Roman" w:hAnsi="Times New Roman" w:cs="Times New Roman"/>
          <w:sz w:val="24"/>
          <w:szCs w:val="24"/>
        </w:rPr>
        <w:t xml:space="preserve">operational savings </w:t>
      </w:r>
      <w:r w:rsidRPr="007A5FF2" w:rsidR="00606FAF">
        <w:rPr>
          <w:rFonts w:ascii="Times New Roman" w:hAnsi="Times New Roman" w:cs="Times New Roman"/>
          <w:sz w:val="24"/>
          <w:szCs w:val="24"/>
        </w:rPr>
        <w:t xml:space="preserve">that </w:t>
      </w:r>
      <w:r w:rsidRPr="007A5FF2" w:rsidR="00E26E85">
        <w:rPr>
          <w:rFonts w:ascii="Times New Roman" w:hAnsi="Times New Roman" w:cs="Times New Roman"/>
          <w:sz w:val="24"/>
          <w:szCs w:val="24"/>
        </w:rPr>
        <w:t xml:space="preserve">result from distribution modernization projects </w:t>
      </w:r>
      <w:r w:rsidRPr="007A5FF2" w:rsidR="00EF40FF">
        <w:rPr>
          <w:rFonts w:ascii="Times New Roman" w:hAnsi="Times New Roman" w:cs="Times New Roman"/>
          <w:sz w:val="24"/>
          <w:szCs w:val="24"/>
        </w:rPr>
        <w:t>consumers</w:t>
      </w:r>
      <w:r w:rsidRPr="007A5FF2" w:rsidR="00E26E85">
        <w:rPr>
          <w:rFonts w:ascii="Times New Roman" w:hAnsi="Times New Roman" w:cs="Times New Roman"/>
          <w:sz w:val="24"/>
          <w:szCs w:val="24"/>
        </w:rPr>
        <w:t xml:space="preserve"> are requi</w:t>
      </w:r>
      <w:r w:rsidRPr="007A5FF2" w:rsidR="00093838">
        <w:rPr>
          <w:rFonts w:ascii="Times New Roman" w:hAnsi="Times New Roman" w:cs="Times New Roman"/>
          <w:sz w:val="24"/>
          <w:szCs w:val="24"/>
        </w:rPr>
        <w:t>r</w:t>
      </w:r>
      <w:r w:rsidRPr="007A5FF2" w:rsidR="00E26E85">
        <w:rPr>
          <w:rFonts w:ascii="Times New Roman" w:hAnsi="Times New Roman" w:cs="Times New Roman"/>
          <w:sz w:val="24"/>
          <w:szCs w:val="24"/>
        </w:rPr>
        <w:t xml:space="preserve">ed to fund. </w:t>
      </w:r>
      <w:r w:rsidRPr="007A5FF2" w:rsidR="00606FAF">
        <w:rPr>
          <w:rFonts w:ascii="Times New Roman" w:hAnsi="Times New Roman" w:cs="Times New Roman"/>
          <w:sz w:val="24"/>
          <w:szCs w:val="24"/>
        </w:rPr>
        <w:t xml:space="preserve"> </w:t>
      </w:r>
      <w:r w:rsidRPr="007A5FF2" w:rsidR="00196313">
        <w:rPr>
          <w:rFonts w:ascii="Times New Roman" w:hAnsi="Times New Roman" w:cs="Times New Roman"/>
          <w:sz w:val="24"/>
          <w:szCs w:val="24"/>
        </w:rPr>
        <w:t>Further,</w:t>
      </w:r>
      <w:r w:rsidRPr="007A5FF2" w:rsidR="00093838">
        <w:rPr>
          <w:rFonts w:ascii="Times New Roman" w:hAnsi="Times New Roman" w:cs="Times New Roman"/>
          <w:sz w:val="24"/>
          <w:szCs w:val="24"/>
        </w:rPr>
        <w:t xml:space="preserve"> </w:t>
      </w:r>
      <w:r w:rsidRPr="007A5FF2" w:rsidR="00E26E85">
        <w:rPr>
          <w:rFonts w:ascii="Times New Roman" w:hAnsi="Times New Roman" w:cs="Times New Roman"/>
          <w:sz w:val="24"/>
          <w:szCs w:val="24"/>
        </w:rPr>
        <w:t xml:space="preserve">the PUCO </w:t>
      </w:r>
      <w:r w:rsidRPr="007A5FF2" w:rsidR="00196313">
        <w:rPr>
          <w:rFonts w:ascii="Times New Roman" w:hAnsi="Times New Roman" w:cs="Times New Roman"/>
          <w:sz w:val="24"/>
          <w:szCs w:val="24"/>
        </w:rPr>
        <w:t>should have require</w:t>
      </w:r>
      <w:r w:rsidRPr="007A5FF2" w:rsidR="00E26E85">
        <w:rPr>
          <w:rFonts w:ascii="Times New Roman" w:hAnsi="Times New Roman" w:cs="Times New Roman"/>
          <w:sz w:val="24"/>
          <w:szCs w:val="24"/>
        </w:rPr>
        <w:t>d</w:t>
      </w:r>
      <w:r w:rsidRPr="007A5FF2" w:rsidR="00196313">
        <w:rPr>
          <w:rFonts w:ascii="Times New Roman" w:hAnsi="Times New Roman" w:cs="Times New Roman"/>
          <w:sz w:val="24"/>
          <w:szCs w:val="24"/>
        </w:rPr>
        <w:t xml:space="preserve"> electric utilities to include cost projections for all proposed “placeholder” riders.  Without such a requirement, the PUCO cannot </w:t>
      </w:r>
      <w:r w:rsidRPr="007A5FF2" w:rsidR="00E26E85">
        <w:rPr>
          <w:rFonts w:ascii="Times New Roman" w:hAnsi="Times New Roman" w:cs="Times New Roman"/>
          <w:sz w:val="24"/>
          <w:szCs w:val="24"/>
        </w:rPr>
        <w:t>fu</w:t>
      </w:r>
      <w:r w:rsidRPr="007A5FF2" w:rsidR="00093838">
        <w:rPr>
          <w:rFonts w:ascii="Times New Roman" w:hAnsi="Times New Roman" w:cs="Times New Roman"/>
          <w:sz w:val="24"/>
          <w:szCs w:val="24"/>
        </w:rPr>
        <w:t>l</w:t>
      </w:r>
      <w:r w:rsidRPr="007A5FF2" w:rsidR="00E26E85">
        <w:rPr>
          <w:rFonts w:ascii="Times New Roman" w:hAnsi="Times New Roman" w:cs="Times New Roman"/>
          <w:sz w:val="24"/>
          <w:szCs w:val="24"/>
        </w:rPr>
        <w:t xml:space="preserve">fill its statutory duty to </w:t>
      </w:r>
      <w:r w:rsidRPr="007A5FF2" w:rsidR="00196313">
        <w:rPr>
          <w:rFonts w:ascii="Times New Roman" w:hAnsi="Times New Roman" w:cs="Times New Roman"/>
          <w:sz w:val="24"/>
          <w:szCs w:val="24"/>
        </w:rPr>
        <w:t xml:space="preserve"> protect consumers </w:t>
      </w:r>
      <w:r w:rsidRPr="007A5FF2">
        <w:rPr>
          <w:rFonts w:ascii="Times New Roman" w:hAnsi="Times New Roman" w:cs="Times New Roman"/>
          <w:sz w:val="24"/>
          <w:szCs w:val="24"/>
        </w:rPr>
        <w:t xml:space="preserve">from paying more under an electric security plan than under a market offer </w:t>
      </w:r>
    </w:p>
    <w:p w:rsidR="00196313" w:rsidRPr="007A5FF2" w:rsidP="00333420" w14:paraId="5EB26E15" w14:textId="62EAF6DC">
      <w:pPr>
        <w:spacing w:after="0" w:line="480" w:lineRule="auto"/>
        <w:rPr>
          <w:rFonts w:ascii="Times New Roman" w:hAnsi="Times New Roman" w:cs="Times New Roman"/>
          <w:sz w:val="24"/>
          <w:szCs w:val="24"/>
        </w:rPr>
      </w:pPr>
      <w:r w:rsidRPr="007A5FF2">
        <w:rPr>
          <w:rFonts w:ascii="Times New Roman" w:hAnsi="Times New Roman" w:cs="Times New Roman"/>
          <w:sz w:val="24"/>
          <w:szCs w:val="24"/>
        </w:rPr>
        <w:t>(the MRO v. ESP test)</w:t>
      </w:r>
      <w:r w:rsidRPr="007A5FF2" w:rsidR="00F906C6">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sidRPr="007A5FF2">
        <w:rPr>
          <w:rFonts w:ascii="Times New Roman" w:hAnsi="Times New Roman" w:cs="Times New Roman"/>
          <w:sz w:val="24"/>
          <w:szCs w:val="24"/>
        </w:rPr>
        <w:t xml:space="preserve">  </w:t>
      </w:r>
      <w:r w:rsidRPr="007A5FF2" w:rsidR="003560EA">
        <w:rPr>
          <w:rFonts w:ascii="Times New Roman" w:hAnsi="Times New Roman" w:cs="Times New Roman"/>
          <w:sz w:val="24"/>
          <w:szCs w:val="24"/>
        </w:rPr>
        <w:t>And the PUCO should require that electric utility charges in electric security plans be made subject to refund, to protect consumers in the event of Ohio Supreme Court reversals and other changes.</w:t>
      </w:r>
    </w:p>
    <w:p w:rsidR="00152A74" w:rsidRPr="007A5FF2" w:rsidP="00DC1B9E" w14:paraId="50F35F54" w14:textId="49727A79">
      <w:pPr>
        <w:spacing w:after="0" w:line="480" w:lineRule="auto"/>
        <w:ind w:firstLine="720"/>
        <w:rPr>
          <w:rFonts w:ascii="Times New Roman" w:hAnsi="Times New Roman" w:cs="Times New Roman"/>
          <w:sz w:val="24"/>
          <w:szCs w:val="24"/>
        </w:rPr>
      </w:pPr>
      <w:r w:rsidRPr="007A5FF2">
        <w:rPr>
          <w:rFonts w:ascii="Times New Roman" w:hAnsi="Times New Roman" w:cs="Times New Roman"/>
          <w:sz w:val="24"/>
          <w:szCs w:val="24"/>
        </w:rPr>
        <w:t xml:space="preserve">The PUCO’s </w:t>
      </w:r>
      <w:r w:rsidRPr="007A5FF2" w:rsidR="00FD6F39">
        <w:rPr>
          <w:rFonts w:ascii="Times New Roman" w:hAnsi="Times New Roman" w:cs="Times New Roman"/>
          <w:sz w:val="24"/>
          <w:szCs w:val="24"/>
        </w:rPr>
        <w:t>Entry</w:t>
      </w:r>
      <w:r w:rsidRPr="007A5FF2">
        <w:rPr>
          <w:rFonts w:ascii="Times New Roman" w:hAnsi="Times New Roman" w:cs="Times New Roman"/>
          <w:sz w:val="24"/>
          <w:szCs w:val="24"/>
        </w:rPr>
        <w:t xml:space="preserve"> was unreasonable </w:t>
      </w:r>
      <w:r w:rsidRPr="007A5FF2" w:rsidR="00196313">
        <w:rPr>
          <w:rFonts w:ascii="Times New Roman" w:hAnsi="Times New Roman" w:cs="Times New Roman"/>
          <w:sz w:val="24"/>
          <w:szCs w:val="24"/>
        </w:rPr>
        <w:t xml:space="preserve">and unlawful </w:t>
      </w:r>
      <w:r w:rsidRPr="007A5FF2">
        <w:rPr>
          <w:rFonts w:ascii="Times New Roman" w:hAnsi="Times New Roman" w:cs="Times New Roman"/>
          <w:sz w:val="24"/>
          <w:szCs w:val="24"/>
        </w:rPr>
        <w:t xml:space="preserve">in the following </w:t>
      </w:r>
      <w:r w:rsidRPr="007A5FF2" w:rsidR="00196313">
        <w:rPr>
          <w:rFonts w:ascii="Times New Roman" w:hAnsi="Times New Roman" w:cs="Times New Roman"/>
          <w:sz w:val="24"/>
          <w:szCs w:val="24"/>
        </w:rPr>
        <w:t>respects</w:t>
      </w:r>
      <w:r w:rsidRPr="007A5FF2">
        <w:rPr>
          <w:rFonts w:ascii="Times New Roman" w:hAnsi="Times New Roman" w:cs="Times New Roman"/>
          <w:sz w:val="24"/>
          <w:szCs w:val="24"/>
        </w:rPr>
        <w:t xml:space="preserve">:  </w:t>
      </w:r>
      <w:r w:rsidRPr="007A5FF2" w:rsidR="007327BD">
        <w:rPr>
          <w:rFonts w:ascii="Times New Roman" w:hAnsi="Times New Roman" w:cs="Times New Roman"/>
          <w:sz w:val="24"/>
          <w:szCs w:val="24"/>
        </w:rPr>
        <w:t xml:space="preserve"> </w:t>
      </w:r>
    </w:p>
    <w:p w:rsidR="006D19FD" w:rsidRPr="007A5FF2" w:rsidP="006D19FD" w14:paraId="239D026B" w14:textId="6011F148">
      <w:pPr>
        <w:spacing w:after="0" w:line="240" w:lineRule="auto"/>
        <w:ind w:left="720"/>
        <w:rPr>
          <w:rFonts w:ascii="Times New Roman" w:hAnsi="Times New Roman" w:cs="Times New Roman"/>
          <w:sz w:val="24"/>
          <w:szCs w:val="24"/>
        </w:rPr>
      </w:pPr>
      <w:r w:rsidRPr="007A5FF2">
        <w:rPr>
          <w:rFonts w:ascii="Times New Roman" w:hAnsi="Times New Roman" w:cs="Times New Roman"/>
          <w:sz w:val="24"/>
          <w:szCs w:val="24"/>
        </w:rPr>
        <w:t>ASSIGNMENT OF ERROR NO. 1:</w:t>
      </w:r>
      <w:r w:rsidRPr="007A5FF2" w:rsidR="007327BD">
        <w:rPr>
          <w:rFonts w:ascii="Times New Roman" w:hAnsi="Times New Roman" w:cs="Times New Roman"/>
          <w:sz w:val="24"/>
          <w:szCs w:val="24"/>
        </w:rPr>
        <w:t xml:space="preserve"> </w:t>
      </w:r>
      <w:r w:rsidRPr="007A5FF2">
        <w:rPr>
          <w:rFonts w:ascii="Times New Roman" w:hAnsi="Times New Roman" w:cs="Times New Roman"/>
          <w:sz w:val="24"/>
          <w:szCs w:val="24"/>
        </w:rPr>
        <w:t xml:space="preserve">The PUCO </w:t>
      </w:r>
      <w:r w:rsidRPr="007A5FF2" w:rsidR="00E03942">
        <w:rPr>
          <w:rFonts w:ascii="Times New Roman" w:hAnsi="Times New Roman" w:cs="Times New Roman"/>
          <w:sz w:val="24"/>
          <w:szCs w:val="24"/>
        </w:rPr>
        <w:t xml:space="preserve">erred by </w:t>
      </w:r>
      <w:r w:rsidRPr="007A5FF2" w:rsidR="0000224D">
        <w:rPr>
          <w:rFonts w:ascii="Times New Roman" w:hAnsi="Times New Roman" w:cs="Times New Roman"/>
          <w:sz w:val="24"/>
          <w:szCs w:val="24"/>
        </w:rPr>
        <w:t>fail</w:t>
      </w:r>
      <w:r w:rsidRPr="007A5FF2" w:rsidR="00E03942">
        <w:rPr>
          <w:rFonts w:ascii="Times New Roman" w:hAnsi="Times New Roman" w:cs="Times New Roman"/>
          <w:sz w:val="24"/>
          <w:szCs w:val="24"/>
        </w:rPr>
        <w:t>ing</w:t>
      </w:r>
      <w:r w:rsidRPr="007A5FF2" w:rsidR="00196313">
        <w:rPr>
          <w:rFonts w:ascii="Times New Roman" w:hAnsi="Times New Roman" w:cs="Times New Roman"/>
          <w:sz w:val="24"/>
          <w:szCs w:val="24"/>
        </w:rPr>
        <w:t xml:space="preserve"> to require electric utilities </w:t>
      </w:r>
      <w:r w:rsidRPr="007A5FF2" w:rsidR="00F906C6">
        <w:rPr>
          <w:rFonts w:ascii="Times New Roman" w:hAnsi="Times New Roman" w:cs="Times New Roman"/>
          <w:sz w:val="24"/>
          <w:szCs w:val="24"/>
        </w:rPr>
        <w:t xml:space="preserve">that </w:t>
      </w:r>
      <w:r w:rsidRPr="007A5FF2" w:rsidR="00394BBD">
        <w:rPr>
          <w:rFonts w:ascii="Times New Roman" w:hAnsi="Times New Roman" w:cs="Times New Roman"/>
          <w:sz w:val="24"/>
          <w:szCs w:val="24"/>
        </w:rPr>
        <w:t xml:space="preserve">propose </w:t>
      </w:r>
      <w:r w:rsidRPr="007A5FF2" w:rsidR="00F906C6">
        <w:rPr>
          <w:rFonts w:ascii="Times New Roman" w:hAnsi="Times New Roman" w:cs="Times New Roman"/>
          <w:sz w:val="24"/>
          <w:szCs w:val="24"/>
        </w:rPr>
        <w:t>charge</w:t>
      </w:r>
      <w:r w:rsidRPr="007A5FF2" w:rsidR="00394BBD">
        <w:rPr>
          <w:rFonts w:ascii="Times New Roman" w:hAnsi="Times New Roman" w:cs="Times New Roman"/>
          <w:sz w:val="24"/>
          <w:szCs w:val="24"/>
        </w:rPr>
        <w:t>s to</w:t>
      </w:r>
      <w:r w:rsidRPr="007A5FF2" w:rsidR="00F906C6">
        <w:rPr>
          <w:rFonts w:ascii="Times New Roman" w:hAnsi="Times New Roman" w:cs="Times New Roman"/>
          <w:sz w:val="24"/>
          <w:szCs w:val="24"/>
        </w:rPr>
        <w:t xml:space="preserve"> customers for</w:t>
      </w:r>
      <w:r w:rsidRPr="007A5FF2" w:rsidR="00196313">
        <w:rPr>
          <w:rFonts w:ascii="Times New Roman" w:hAnsi="Times New Roman" w:cs="Times New Roman"/>
          <w:sz w:val="24"/>
          <w:szCs w:val="24"/>
        </w:rPr>
        <w:t xml:space="preserve"> distribution infrastructure modernization to also </w:t>
      </w:r>
      <w:r w:rsidRPr="007A5FF2" w:rsidR="00394BBD">
        <w:rPr>
          <w:rFonts w:ascii="Times New Roman" w:hAnsi="Times New Roman" w:cs="Times New Roman"/>
          <w:sz w:val="24"/>
          <w:szCs w:val="24"/>
        </w:rPr>
        <w:t xml:space="preserve">propose </w:t>
      </w:r>
      <w:r w:rsidRPr="007A5FF2" w:rsidR="00E03942">
        <w:rPr>
          <w:rFonts w:ascii="Times New Roman" w:hAnsi="Times New Roman" w:cs="Times New Roman"/>
          <w:sz w:val="24"/>
          <w:szCs w:val="24"/>
        </w:rPr>
        <w:t>reduc</w:t>
      </w:r>
      <w:r w:rsidRPr="007A5FF2" w:rsidR="00394BBD">
        <w:rPr>
          <w:rFonts w:ascii="Times New Roman" w:hAnsi="Times New Roman" w:cs="Times New Roman"/>
          <w:sz w:val="24"/>
          <w:szCs w:val="24"/>
        </w:rPr>
        <w:t>ing</w:t>
      </w:r>
      <w:r w:rsidRPr="007A5FF2" w:rsidR="00E03942">
        <w:rPr>
          <w:rFonts w:ascii="Times New Roman" w:hAnsi="Times New Roman" w:cs="Times New Roman"/>
          <w:sz w:val="24"/>
          <w:szCs w:val="24"/>
        </w:rPr>
        <w:t xml:space="preserve"> </w:t>
      </w:r>
      <w:r w:rsidRPr="007A5FF2" w:rsidR="00F906C6">
        <w:rPr>
          <w:rFonts w:ascii="Times New Roman" w:hAnsi="Times New Roman" w:cs="Times New Roman"/>
          <w:sz w:val="24"/>
          <w:szCs w:val="24"/>
        </w:rPr>
        <w:t>such</w:t>
      </w:r>
      <w:r w:rsidRPr="007A5FF2" w:rsidR="00E03942">
        <w:rPr>
          <w:rFonts w:ascii="Times New Roman" w:hAnsi="Times New Roman" w:cs="Times New Roman"/>
          <w:sz w:val="24"/>
          <w:szCs w:val="24"/>
        </w:rPr>
        <w:t xml:space="preserve"> charges </w:t>
      </w:r>
      <w:r w:rsidRPr="007A5FF2" w:rsidR="00F906C6">
        <w:rPr>
          <w:rFonts w:ascii="Times New Roman" w:hAnsi="Times New Roman" w:cs="Times New Roman"/>
          <w:sz w:val="24"/>
          <w:szCs w:val="24"/>
        </w:rPr>
        <w:t>to account for</w:t>
      </w:r>
      <w:r w:rsidRPr="007A5FF2" w:rsidR="00196313">
        <w:rPr>
          <w:rFonts w:ascii="Times New Roman" w:hAnsi="Times New Roman" w:cs="Times New Roman"/>
          <w:sz w:val="24"/>
          <w:szCs w:val="24"/>
        </w:rPr>
        <w:t xml:space="preserve"> operational savings </w:t>
      </w:r>
      <w:r w:rsidRPr="007A5FF2" w:rsidR="00E03942">
        <w:rPr>
          <w:rFonts w:ascii="Times New Roman" w:hAnsi="Times New Roman" w:cs="Times New Roman"/>
          <w:sz w:val="24"/>
          <w:szCs w:val="24"/>
        </w:rPr>
        <w:t xml:space="preserve">attributable to </w:t>
      </w:r>
      <w:r w:rsidRPr="007A5FF2" w:rsidR="00196313">
        <w:rPr>
          <w:rFonts w:ascii="Times New Roman" w:hAnsi="Times New Roman" w:cs="Times New Roman"/>
          <w:sz w:val="24"/>
          <w:szCs w:val="24"/>
        </w:rPr>
        <w:t>the distribution infrastructure modernization</w:t>
      </w:r>
      <w:r w:rsidRPr="007A5FF2" w:rsidR="00E376CF">
        <w:rPr>
          <w:rFonts w:ascii="Times New Roman" w:hAnsi="Times New Roman" w:cs="Times New Roman"/>
          <w:sz w:val="24"/>
          <w:szCs w:val="24"/>
        </w:rPr>
        <w:t>.</w:t>
      </w:r>
    </w:p>
    <w:p w:rsidR="004E1FEB" w:rsidRPr="007A5FF2" w:rsidP="004E1FEB" w14:paraId="1EDE5587" w14:textId="5283EC84">
      <w:pPr>
        <w:spacing w:after="0" w:line="240" w:lineRule="auto"/>
        <w:rPr>
          <w:rFonts w:ascii="Times New Roman" w:hAnsi="Times New Roman" w:cs="Times New Roman"/>
          <w:sz w:val="24"/>
          <w:szCs w:val="24"/>
        </w:rPr>
      </w:pPr>
    </w:p>
    <w:p w:rsidR="00F25F2E" w:rsidRPr="007A5FF2" w:rsidP="00196313" w14:paraId="304EEAE1" w14:textId="4911B13B">
      <w:pPr>
        <w:widowControl w:val="0"/>
        <w:ind w:left="720"/>
        <w:rPr>
          <w:rFonts w:ascii="Times New Roman" w:hAnsi="Times New Roman" w:cs="Times New Roman"/>
          <w:sz w:val="24"/>
          <w:szCs w:val="24"/>
        </w:rPr>
      </w:pPr>
      <w:r w:rsidRPr="007A5FF2">
        <w:rPr>
          <w:rFonts w:ascii="Times New Roman" w:hAnsi="Times New Roman" w:cs="Times New Roman"/>
          <w:sz w:val="24"/>
          <w:szCs w:val="24"/>
        </w:rPr>
        <w:t xml:space="preserve">ASSIGNMENT OF ERROR NO. 2:  The PUCO </w:t>
      </w:r>
      <w:r w:rsidRPr="007A5FF2" w:rsidR="00E03942">
        <w:rPr>
          <w:rFonts w:ascii="Times New Roman" w:hAnsi="Times New Roman" w:cs="Times New Roman"/>
          <w:sz w:val="24"/>
          <w:szCs w:val="24"/>
        </w:rPr>
        <w:t xml:space="preserve">erred by </w:t>
      </w:r>
      <w:r w:rsidRPr="007A5FF2" w:rsidR="00196313">
        <w:rPr>
          <w:rFonts w:ascii="Times New Roman" w:hAnsi="Times New Roman" w:cs="Times New Roman"/>
          <w:sz w:val="24"/>
          <w:szCs w:val="24"/>
        </w:rPr>
        <w:t>fail</w:t>
      </w:r>
      <w:r w:rsidRPr="007A5FF2" w:rsidR="00E03942">
        <w:rPr>
          <w:rFonts w:ascii="Times New Roman" w:hAnsi="Times New Roman" w:cs="Times New Roman"/>
          <w:sz w:val="24"/>
          <w:szCs w:val="24"/>
        </w:rPr>
        <w:t>ing</w:t>
      </w:r>
      <w:r w:rsidRPr="007A5FF2" w:rsidR="00196313">
        <w:rPr>
          <w:rFonts w:ascii="Times New Roman" w:hAnsi="Times New Roman" w:cs="Times New Roman"/>
          <w:sz w:val="24"/>
          <w:szCs w:val="24"/>
        </w:rPr>
        <w:t xml:space="preserve"> to requir</w:t>
      </w:r>
      <w:r w:rsidRPr="007A5FF2" w:rsidR="00F906C6">
        <w:rPr>
          <w:rFonts w:ascii="Times New Roman" w:hAnsi="Times New Roman" w:cs="Times New Roman"/>
          <w:sz w:val="24"/>
          <w:szCs w:val="24"/>
        </w:rPr>
        <w:t>e</w:t>
      </w:r>
      <w:r w:rsidRPr="007A5FF2" w:rsidR="00E26E85">
        <w:rPr>
          <w:rFonts w:ascii="Times New Roman" w:hAnsi="Times New Roman" w:cs="Times New Roman"/>
          <w:sz w:val="24"/>
          <w:szCs w:val="24"/>
        </w:rPr>
        <w:t xml:space="preserve"> </w:t>
      </w:r>
      <w:r w:rsidRPr="007A5FF2" w:rsidR="00196313">
        <w:rPr>
          <w:rFonts w:ascii="Times New Roman" w:hAnsi="Times New Roman" w:cs="Times New Roman"/>
          <w:sz w:val="24"/>
          <w:szCs w:val="24"/>
        </w:rPr>
        <w:t>electric utilities to include</w:t>
      </w:r>
      <w:r w:rsidRPr="007A5FF2" w:rsidR="00596F4F">
        <w:rPr>
          <w:rFonts w:ascii="Times New Roman" w:hAnsi="Times New Roman" w:cs="Times New Roman"/>
          <w:sz w:val="24"/>
          <w:szCs w:val="24"/>
        </w:rPr>
        <w:t>,</w:t>
      </w:r>
      <w:r w:rsidRPr="007A5FF2" w:rsidR="00196313">
        <w:rPr>
          <w:rFonts w:ascii="Times New Roman" w:hAnsi="Times New Roman" w:cs="Times New Roman"/>
          <w:sz w:val="24"/>
          <w:szCs w:val="24"/>
        </w:rPr>
        <w:t xml:space="preserve"> </w:t>
      </w:r>
      <w:r w:rsidRPr="007A5FF2" w:rsidR="00596F4F">
        <w:rPr>
          <w:rFonts w:ascii="Times New Roman" w:hAnsi="Times New Roman" w:cs="Times New Roman"/>
          <w:sz w:val="24"/>
          <w:szCs w:val="24"/>
        </w:rPr>
        <w:t xml:space="preserve">as part of the </w:t>
      </w:r>
      <w:r w:rsidRPr="007A5FF2" w:rsidR="00394BBD">
        <w:rPr>
          <w:rFonts w:ascii="Times New Roman" w:hAnsi="Times New Roman" w:cs="Times New Roman"/>
          <w:sz w:val="24"/>
          <w:szCs w:val="24"/>
        </w:rPr>
        <w:t xml:space="preserve">proposed </w:t>
      </w:r>
      <w:r w:rsidRPr="007A5FF2" w:rsidR="00596F4F">
        <w:rPr>
          <w:rFonts w:ascii="Times New Roman" w:hAnsi="Times New Roman" w:cs="Times New Roman"/>
          <w:sz w:val="24"/>
          <w:szCs w:val="24"/>
        </w:rPr>
        <w:t>terms and conditions of the electric security plan</w:t>
      </w:r>
      <w:r w:rsidRPr="007A5FF2" w:rsidR="00F906C6">
        <w:rPr>
          <w:rFonts w:ascii="Times New Roman" w:hAnsi="Times New Roman" w:cs="Times New Roman"/>
          <w:sz w:val="24"/>
          <w:szCs w:val="24"/>
        </w:rPr>
        <w:t>s they</w:t>
      </w:r>
      <w:r w:rsidRPr="007A5FF2" w:rsidR="00596F4F">
        <w:rPr>
          <w:rFonts w:ascii="Times New Roman" w:hAnsi="Times New Roman" w:cs="Times New Roman"/>
          <w:sz w:val="24"/>
          <w:szCs w:val="24"/>
        </w:rPr>
        <w:t xml:space="preserve"> file, </w:t>
      </w:r>
      <w:r w:rsidRPr="007A5FF2" w:rsidR="00196313">
        <w:rPr>
          <w:rFonts w:ascii="Times New Roman" w:hAnsi="Times New Roman" w:cs="Times New Roman"/>
          <w:sz w:val="24"/>
          <w:szCs w:val="24"/>
        </w:rPr>
        <w:t>projections</w:t>
      </w:r>
      <w:r w:rsidRPr="007A5FF2" w:rsidR="00394BBD">
        <w:rPr>
          <w:rFonts w:ascii="Times New Roman" w:hAnsi="Times New Roman" w:cs="Times New Roman"/>
          <w:sz w:val="24"/>
          <w:szCs w:val="24"/>
        </w:rPr>
        <w:t xml:space="preserve"> (with underlying calculations</w:t>
      </w:r>
      <w:r w:rsidRPr="007A5FF2" w:rsidR="00020C86">
        <w:rPr>
          <w:rFonts w:ascii="Times New Roman" w:hAnsi="Times New Roman" w:cs="Times New Roman"/>
          <w:sz w:val="24"/>
          <w:szCs w:val="24"/>
        </w:rPr>
        <w:t xml:space="preserve"> and sources</w:t>
      </w:r>
      <w:r w:rsidRPr="007A5FF2" w:rsidR="00394BBD">
        <w:rPr>
          <w:rFonts w:ascii="Times New Roman" w:hAnsi="Times New Roman" w:cs="Times New Roman"/>
          <w:sz w:val="24"/>
          <w:szCs w:val="24"/>
        </w:rPr>
        <w:t>)</w:t>
      </w:r>
      <w:r w:rsidRPr="007A5FF2" w:rsidR="00F906C6">
        <w:rPr>
          <w:rFonts w:ascii="Times New Roman" w:hAnsi="Times New Roman" w:cs="Times New Roman"/>
          <w:sz w:val="24"/>
          <w:szCs w:val="24"/>
        </w:rPr>
        <w:t xml:space="preserve"> of the costs to consumers</w:t>
      </w:r>
      <w:r w:rsidRPr="007A5FF2" w:rsidR="00196313">
        <w:rPr>
          <w:rFonts w:ascii="Times New Roman" w:hAnsi="Times New Roman" w:cs="Times New Roman"/>
          <w:sz w:val="24"/>
          <w:szCs w:val="24"/>
        </w:rPr>
        <w:t xml:space="preserve"> for</w:t>
      </w:r>
      <w:r w:rsidRPr="007A5FF2" w:rsidR="00E26E85">
        <w:rPr>
          <w:rFonts w:ascii="Times New Roman" w:hAnsi="Times New Roman" w:cs="Times New Roman"/>
          <w:sz w:val="24"/>
          <w:szCs w:val="24"/>
        </w:rPr>
        <w:t xml:space="preserve"> </w:t>
      </w:r>
      <w:r w:rsidRPr="007A5FF2" w:rsidR="00596F4F">
        <w:rPr>
          <w:rFonts w:ascii="Times New Roman" w:hAnsi="Times New Roman" w:cs="Times New Roman"/>
          <w:sz w:val="24"/>
          <w:szCs w:val="24"/>
        </w:rPr>
        <w:t>all</w:t>
      </w:r>
      <w:r w:rsidRPr="007A5FF2" w:rsidR="00196313">
        <w:rPr>
          <w:rFonts w:ascii="Times New Roman" w:hAnsi="Times New Roman" w:cs="Times New Roman"/>
          <w:sz w:val="24"/>
          <w:szCs w:val="24"/>
        </w:rPr>
        <w:t xml:space="preserve"> riders</w:t>
      </w:r>
      <w:r w:rsidRPr="007A5FF2" w:rsidR="00F906C6">
        <w:rPr>
          <w:rFonts w:ascii="Times New Roman" w:hAnsi="Times New Roman" w:cs="Times New Roman"/>
          <w:sz w:val="24"/>
          <w:szCs w:val="24"/>
        </w:rPr>
        <w:t xml:space="preserve"> that they</w:t>
      </w:r>
      <w:r w:rsidRPr="007A5FF2" w:rsidR="00394BBD">
        <w:rPr>
          <w:rFonts w:ascii="Times New Roman" w:hAnsi="Times New Roman" w:cs="Times New Roman"/>
          <w:sz w:val="24"/>
          <w:szCs w:val="24"/>
        </w:rPr>
        <w:t xml:space="preserve"> are </w:t>
      </w:r>
      <w:r w:rsidRPr="007A5FF2" w:rsidR="00F906C6">
        <w:rPr>
          <w:rFonts w:ascii="Times New Roman" w:hAnsi="Times New Roman" w:cs="Times New Roman"/>
          <w:sz w:val="24"/>
          <w:szCs w:val="24"/>
        </w:rPr>
        <w:t>propos</w:t>
      </w:r>
      <w:r w:rsidRPr="007A5FF2" w:rsidR="00394BBD">
        <w:rPr>
          <w:rFonts w:ascii="Times New Roman" w:hAnsi="Times New Roman" w:cs="Times New Roman"/>
          <w:sz w:val="24"/>
          <w:szCs w:val="24"/>
        </w:rPr>
        <w:t>ing</w:t>
      </w:r>
      <w:r w:rsidRPr="007A5FF2" w:rsidR="00F906C6">
        <w:rPr>
          <w:rFonts w:ascii="Times New Roman" w:hAnsi="Times New Roman" w:cs="Times New Roman"/>
          <w:sz w:val="24"/>
          <w:szCs w:val="24"/>
        </w:rPr>
        <w:t xml:space="preserve"> in the case</w:t>
      </w:r>
      <w:r w:rsidRPr="007A5FF2" w:rsidR="00446C71">
        <w:rPr>
          <w:rFonts w:ascii="Times New Roman" w:hAnsi="Times New Roman" w:cs="Times New Roman"/>
          <w:sz w:val="24"/>
          <w:szCs w:val="24"/>
        </w:rPr>
        <w:t xml:space="preserve">, </w:t>
      </w:r>
      <w:r w:rsidRPr="007A5FF2" w:rsidR="00596F4F">
        <w:rPr>
          <w:rFonts w:ascii="Times New Roman" w:hAnsi="Times New Roman" w:cs="Times New Roman"/>
          <w:sz w:val="24"/>
          <w:szCs w:val="24"/>
        </w:rPr>
        <w:t xml:space="preserve">in </w:t>
      </w:r>
      <w:r w:rsidRPr="007A5FF2" w:rsidR="00446C71">
        <w:rPr>
          <w:rFonts w:ascii="Times New Roman" w:hAnsi="Times New Roman" w:cs="Times New Roman"/>
          <w:sz w:val="24"/>
          <w:szCs w:val="24"/>
        </w:rPr>
        <w:t>violat</w:t>
      </w:r>
      <w:r w:rsidRPr="007A5FF2" w:rsidR="00596F4F">
        <w:rPr>
          <w:rFonts w:ascii="Times New Roman" w:hAnsi="Times New Roman" w:cs="Times New Roman"/>
          <w:sz w:val="24"/>
          <w:szCs w:val="24"/>
        </w:rPr>
        <w:t>ion of</w:t>
      </w:r>
      <w:r w:rsidRPr="007A5FF2" w:rsidR="00446C71">
        <w:rPr>
          <w:rFonts w:ascii="Times New Roman" w:hAnsi="Times New Roman" w:cs="Times New Roman"/>
          <w:sz w:val="24"/>
          <w:szCs w:val="24"/>
        </w:rPr>
        <w:t xml:space="preserve"> R.C. 4928.143(C)(1)</w:t>
      </w:r>
      <w:r w:rsidRPr="007A5FF2">
        <w:rPr>
          <w:rFonts w:ascii="Times New Roman" w:hAnsi="Times New Roman" w:cs="Times New Roman"/>
          <w:sz w:val="24"/>
          <w:szCs w:val="24"/>
        </w:rPr>
        <w:t>.</w:t>
      </w:r>
    </w:p>
    <w:p w:rsidR="004E1FEB" w:rsidRPr="007A5FF2" w:rsidP="00196313" w14:paraId="585F2B2B" w14:textId="421198DA">
      <w:pPr>
        <w:widowControl w:val="0"/>
        <w:ind w:left="720"/>
        <w:rPr>
          <w:rFonts w:ascii="Times New Roman" w:hAnsi="Times New Roman" w:cs="Times New Roman"/>
          <w:sz w:val="24"/>
          <w:szCs w:val="24"/>
        </w:rPr>
      </w:pPr>
      <w:r w:rsidRPr="007A5FF2">
        <w:rPr>
          <w:rFonts w:ascii="Times New Roman" w:hAnsi="Times New Roman" w:cs="Times New Roman"/>
          <w:sz w:val="24"/>
          <w:szCs w:val="24"/>
        </w:rPr>
        <w:t>ASSIGNMENT OF ERROR NO. 3:  The PUCO erred by failing to require</w:t>
      </w:r>
      <w:r w:rsidRPr="007A5FF2" w:rsidR="00CC34D4">
        <w:rPr>
          <w:rFonts w:ascii="Times New Roman" w:hAnsi="Times New Roman" w:cs="Times New Roman"/>
          <w:sz w:val="24"/>
          <w:szCs w:val="24"/>
        </w:rPr>
        <w:t xml:space="preserve"> in tariffs</w:t>
      </w:r>
      <w:r w:rsidRPr="007A5FF2">
        <w:rPr>
          <w:rFonts w:ascii="Times New Roman" w:hAnsi="Times New Roman" w:cs="Times New Roman"/>
          <w:sz w:val="24"/>
          <w:szCs w:val="24"/>
        </w:rPr>
        <w:t xml:space="preserve"> </w:t>
      </w:r>
      <w:r w:rsidRPr="007A5FF2" w:rsidR="00CC34D4">
        <w:rPr>
          <w:rFonts w:ascii="Times New Roman" w:hAnsi="Times New Roman" w:cs="Times New Roman"/>
          <w:sz w:val="24"/>
          <w:szCs w:val="24"/>
        </w:rPr>
        <w:t>that charges in</w:t>
      </w:r>
      <w:r w:rsidRPr="007A5FF2">
        <w:rPr>
          <w:rFonts w:ascii="Times New Roman" w:hAnsi="Times New Roman" w:cs="Times New Roman"/>
          <w:sz w:val="24"/>
          <w:szCs w:val="24"/>
        </w:rPr>
        <w:t xml:space="preserve"> </w:t>
      </w:r>
      <w:r w:rsidRPr="007A5FF2" w:rsidR="00E7512C">
        <w:rPr>
          <w:rFonts w:ascii="Times New Roman" w:hAnsi="Times New Roman" w:cs="Times New Roman"/>
          <w:sz w:val="24"/>
          <w:szCs w:val="24"/>
        </w:rPr>
        <w:t>electric security plan</w:t>
      </w:r>
      <w:r w:rsidRPr="007A5FF2" w:rsidR="00CC34D4">
        <w:rPr>
          <w:rFonts w:ascii="Times New Roman" w:hAnsi="Times New Roman" w:cs="Times New Roman"/>
          <w:sz w:val="24"/>
          <w:szCs w:val="24"/>
        </w:rPr>
        <w:t>s</w:t>
      </w:r>
      <w:r w:rsidRPr="007A5FF2" w:rsidR="00E7512C">
        <w:rPr>
          <w:rFonts w:ascii="Times New Roman" w:hAnsi="Times New Roman" w:cs="Times New Roman"/>
          <w:sz w:val="24"/>
          <w:szCs w:val="24"/>
        </w:rPr>
        <w:t xml:space="preserve"> </w:t>
      </w:r>
      <w:r w:rsidRPr="007A5FF2" w:rsidR="00CC34D4">
        <w:rPr>
          <w:rFonts w:ascii="Times New Roman" w:hAnsi="Times New Roman" w:cs="Times New Roman"/>
          <w:sz w:val="24"/>
          <w:szCs w:val="24"/>
        </w:rPr>
        <w:t xml:space="preserve">be </w:t>
      </w:r>
      <w:r w:rsidRPr="007A5FF2">
        <w:rPr>
          <w:rFonts w:ascii="Times New Roman" w:hAnsi="Times New Roman" w:cs="Times New Roman"/>
          <w:sz w:val="24"/>
          <w:szCs w:val="24"/>
        </w:rPr>
        <w:t>subject to refund</w:t>
      </w:r>
      <w:r w:rsidRPr="007A5FF2" w:rsidR="00E7512C">
        <w:rPr>
          <w:rFonts w:ascii="Times New Roman" w:hAnsi="Times New Roman" w:cs="Times New Roman"/>
          <w:sz w:val="24"/>
          <w:szCs w:val="24"/>
        </w:rPr>
        <w:t xml:space="preserve"> to consumers, in the event of Ohio Supreme Court reversals or other changes</w:t>
      </w:r>
      <w:r w:rsidRPr="007A5FF2">
        <w:rPr>
          <w:rFonts w:ascii="Times New Roman" w:hAnsi="Times New Roman" w:cs="Times New Roman"/>
          <w:sz w:val="24"/>
          <w:szCs w:val="24"/>
        </w:rPr>
        <w:t>.</w:t>
      </w:r>
    </w:p>
    <w:p w:rsidR="004E1FEB" w:rsidRPr="007A5FF2" w:rsidP="004E1FEB" w14:paraId="560801E9" w14:textId="0231985B">
      <w:pPr>
        <w:widowControl w:val="0"/>
        <w:spacing w:after="0" w:line="480" w:lineRule="auto"/>
        <w:ind w:firstLine="720"/>
        <w:contextualSpacing/>
        <w:rPr>
          <w:rFonts w:ascii="Times New Roman" w:hAnsi="Times New Roman" w:cs="Times New Roman"/>
          <w:sz w:val="24"/>
          <w:szCs w:val="24"/>
        </w:rPr>
      </w:pPr>
      <w:r w:rsidRPr="007A5FF2">
        <w:rPr>
          <w:rFonts w:ascii="Times New Roman" w:hAnsi="Times New Roman" w:cs="Times New Roman"/>
          <w:sz w:val="24"/>
          <w:szCs w:val="24"/>
        </w:rPr>
        <w:t xml:space="preserve">The reasons in support of this application for rehearing are set forth in the accompanying Memorandum in Support.  The PUCO should grant rehearing and abrogate or modify its </w:t>
      </w:r>
      <w:r w:rsidRPr="007A5FF2" w:rsidR="00196313">
        <w:rPr>
          <w:rFonts w:ascii="Times New Roman" w:hAnsi="Times New Roman" w:cs="Times New Roman"/>
          <w:sz w:val="24"/>
          <w:szCs w:val="24"/>
        </w:rPr>
        <w:t>Entry</w:t>
      </w:r>
      <w:r w:rsidRPr="007A5FF2">
        <w:rPr>
          <w:rFonts w:ascii="Times New Roman" w:hAnsi="Times New Roman" w:cs="Times New Roman"/>
          <w:sz w:val="24"/>
          <w:szCs w:val="24"/>
        </w:rPr>
        <w:t xml:space="preserve"> as proposed by OCC.</w:t>
      </w:r>
    </w:p>
    <w:p w:rsidR="00333420" w:rsidRPr="007A5FF2" w:rsidP="001D1442" w14:paraId="7C6A0349" w14:textId="77777777">
      <w:pPr>
        <w:spacing w:after="0" w:line="480" w:lineRule="auto"/>
        <w:ind w:left="3600" w:firstLine="720"/>
        <w:rPr>
          <w:rFonts w:ascii="Times New Roman" w:eastAsia="Times New Roman" w:hAnsi="Times New Roman" w:cs="Times New Roman"/>
          <w:sz w:val="24"/>
          <w:szCs w:val="24"/>
        </w:rPr>
        <w:sectPr w:rsidSect="002A003E">
          <w:footerReference w:type="default" r:id="rId14"/>
          <w:pgSz w:w="12240" w:h="15840"/>
          <w:pgMar w:top="1440" w:right="1800" w:bottom="1440" w:left="1800" w:header="720" w:footer="720" w:gutter="0"/>
          <w:pgNumType w:start="2"/>
          <w:cols w:space="720"/>
          <w:docGrid w:linePitch="360"/>
        </w:sectPr>
      </w:pPr>
    </w:p>
    <w:p w:rsidR="00CB07F3" w:rsidRPr="007A5FF2" w:rsidP="001D1442" w14:paraId="24CA5705" w14:textId="389D0F8A">
      <w:pPr>
        <w:spacing w:after="0" w:line="480" w:lineRule="auto"/>
        <w:ind w:left="3600" w:firstLine="720"/>
        <w:rPr>
          <w:rFonts w:ascii="Times New Roman" w:eastAsia="Times New Roman" w:hAnsi="Times New Roman" w:cs="Times New Roman"/>
          <w:sz w:val="24"/>
          <w:szCs w:val="24"/>
        </w:rPr>
      </w:pPr>
      <w:r w:rsidRPr="007A5FF2">
        <w:rPr>
          <w:rFonts w:ascii="Times New Roman" w:eastAsia="Times New Roman" w:hAnsi="Times New Roman" w:cs="Times New Roman"/>
          <w:sz w:val="24"/>
          <w:szCs w:val="24"/>
        </w:rPr>
        <w:t>Respectfully submitted,</w:t>
      </w:r>
    </w:p>
    <w:p w:rsidR="00CB07F3" w:rsidRPr="007A5FF2" w:rsidP="00CB07F3" w14:paraId="017925AD" w14:textId="77777777">
      <w:pPr>
        <w:spacing w:after="0" w:line="240" w:lineRule="auto"/>
        <w:ind w:left="3600" w:firstLine="720"/>
        <w:rPr>
          <w:rFonts w:ascii="Times New Roman" w:eastAsia="Times New Roman" w:hAnsi="Times New Roman" w:cs="Times New Roman"/>
          <w:sz w:val="24"/>
          <w:szCs w:val="24"/>
        </w:rPr>
      </w:pPr>
      <w:r w:rsidRPr="007A5FF2">
        <w:rPr>
          <w:rFonts w:ascii="Times New Roman" w:eastAsia="Times New Roman" w:hAnsi="Times New Roman" w:cs="Times New Roman"/>
          <w:sz w:val="24"/>
          <w:szCs w:val="24"/>
        </w:rPr>
        <w:t>Bruce Weston (0016973)</w:t>
      </w:r>
    </w:p>
    <w:p w:rsidR="00CB07F3" w:rsidRPr="007A5FF2" w:rsidP="00CB07F3" w14:paraId="1FA6FC92" w14:textId="77777777">
      <w:pPr>
        <w:tabs>
          <w:tab w:val="left" w:pos="4320"/>
        </w:tabs>
        <w:spacing w:after="0" w:line="240" w:lineRule="auto"/>
        <w:rPr>
          <w:rFonts w:ascii="Times New Roman" w:eastAsia="Times New Roman" w:hAnsi="Times New Roman" w:cs="Times New Roman"/>
          <w:sz w:val="24"/>
          <w:szCs w:val="24"/>
        </w:rPr>
      </w:pPr>
      <w:r w:rsidRPr="007A5FF2">
        <w:rPr>
          <w:rFonts w:ascii="Times New Roman" w:eastAsia="Times New Roman" w:hAnsi="Times New Roman" w:cs="Times New Roman"/>
          <w:sz w:val="24"/>
          <w:szCs w:val="24"/>
        </w:rPr>
        <w:tab/>
        <w:t xml:space="preserve">Ohio Consumers’ Counsel </w:t>
      </w:r>
    </w:p>
    <w:p w:rsidR="00CB07F3" w:rsidRPr="007A5FF2" w:rsidP="00CB07F3" w14:paraId="643432A6" w14:textId="77777777">
      <w:pPr>
        <w:tabs>
          <w:tab w:val="left" w:pos="4320"/>
        </w:tabs>
        <w:spacing w:after="0" w:line="240" w:lineRule="auto"/>
        <w:rPr>
          <w:rFonts w:ascii="Times New Roman" w:eastAsia="Times New Roman" w:hAnsi="Times New Roman" w:cs="Times New Roman"/>
          <w:sz w:val="24"/>
          <w:szCs w:val="24"/>
        </w:rPr>
      </w:pPr>
    </w:p>
    <w:p w:rsidR="00CB07F3" w:rsidRPr="007A5FF2" w:rsidP="00CB07F3" w14:paraId="4187E5D4" w14:textId="77777777">
      <w:pPr>
        <w:tabs>
          <w:tab w:val="left" w:pos="4320"/>
        </w:tabs>
        <w:spacing w:after="0" w:line="240" w:lineRule="auto"/>
        <w:ind w:left="4320"/>
        <w:rPr>
          <w:rFonts w:ascii="Times New Roman" w:eastAsia="Times New Roman" w:hAnsi="Times New Roman" w:cs="Times New Roman"/>
          <w:i/>
          <w:iCs/>
          <w:sz w:val="24"/>
          <w:szCs w:val="24"/>
          <w:u w:val="single"/>
        </w:rPr>
      </w:pPr>
      <w:r w:rsidRPr="007A5FF2">
        <w:rPr>
          <w:rFonts w:ascii="Times New Roman" w:eastAsia="Times New Roman" w:hAnsi="Times New Roman" w:cs="Times New Roman"/>
          <w:i/>
          <w:iCs/>
          <w:sz w:val="24"/>
          <w:szCs w:val="24"/>
          <w:u w:val="single"/>
        </w:rPr>
        <w:t>/s/ William J. Michael</w:t>
      </w:r>
      <w:r w:rsidRPr="007A5FF2">
        <w:rPr>
          <w:rFonts w:ascii="Times New Roman" w:eastAsia="Times New Roman" w:hAnsi="Times New Roman" w:cs="Times New Roman"/>
          <w:i/>
          <w:iCs/>
          <w:sz w:val="24"/>
          <w:szCs w:val="24"/>
          <w:u w:val="single"/>
        </w:rPr>
        <w:tab/>
      </w:r>
      <w:r w:rsidRPr="007A5FF2">
        <w:rPr>
          <w:rFonts w:ascii="Times New Roman" w:eastAsia="Times New Roman" w:hAnsi="Times New Roman" w:cs="Times New Roman"/>
          <w:i/>
          <w:iCs/>
          <w:sz w:val="24"/>
          <w:szCs w:val="24"/>
          <w:u w:val="single"/>
        </w:rPr>
        <w:tab/>
      </w:r>
    </w:p>
    <w:p w:rsidR="00CB07F3" w:rsidRPr="007A5FF2" w:rsidP="00CB07F3" w14:paraId="1588DE2B" w14:textId="77777777">
      <w:pPr>
        <w:tabs>
          <w:tab w:val="left" w:pos="4320"/>
        </w:tabs>
        <w:spacing w:after="0" w:line="240" w:lineRule="auto"/>
        <w:ind w:left="4320"/>
        <w:rPr>
          <w:rFonts w:ascii="Times New Roman" w:eastAsia="Times New Roman" w:hAnsi="Times New Roman" w:cs="Times New Roman"/>
          <w:sz w:val="24"/>
          <w:szCs w:val="24"/>
        </w:rPr>
      </w:pPr>
      <w:r w:rsidRPr="007A5FF2">
        <w:rPr>
          <w:rFonts w:ascii="Times New Roman" w:eastAsia="Times New Roman" w:hAnsi="Times New Roman" w:cs="Times New Roman"/>
          <w:sz w:val="24"/>
          <w:szCs w:val="24"/>
        </w:rPr>
        <w:t>William J. Michael (0070921)</w:t>
      </w:r>
    </w:p>
    <w:p w:rsidR="00CB07F3" w:rsidRPr="007A5FF2" w:rsidP="00CB07F3" w14:paraId="3EBFDD88" w14:textId="77777777">
      <w:pPr>
        <w:tabs>
          <w:tab w:val="left" w:pos="4320"/>
        </w:tabs>
        <w:spacing w:after="0" w:line="240" w:lineRule="auto"/>
        <w:ind w:left="4320"/>
        <w:rPr>
          <w:rFonts w:ascii="Times New Roman" w:eastAsia="Times New Roman" w:hAnsi="Times New Roman" w:cs="Times New Roman"/>
          <w:sz w:val="24"/>
          <w:szCs w:val="24"/>
        </w:rPr>
      </w:pPr>
      <w:r w:rsidRPr="007A5FF2">
        <w:rPr>
          <w:rFonts w:ascii="Times New Roman" w:eastAsia="Times New Roman" w:hAnsi="Times New Roman" w:cs="Times New Roman"/>
          <w:sz w:val="24"/>
          <w:szCs w:val="24"/>
        </w:rPr>
        <w:t>Counsel of Record</w:t>
      </w:r>
    </w:p>
    <w:p w:rsidR="00CB07F3" w:rsidRPr="007A5FF2" w:rsidP="00CB07F3" w14:paraId="61A26FF0" w14:textId="77777777">
      <w:pPr>
        <w:tabs>
          <w:tab w:val="left" w:pos="4320"/>
        </w:tabs>
        <w:spacing w:after="0" w:line="240" w:lineRule="auto"/>
        <w:ind w:left="4320"/>
        <w:rPr>
          <w:rFonts w:ascii="Times New Roman" w:eastAsia="Times New Roman" w:hAnsi="Times New Roman" w:cs="Times New Roman"/>
          <w:sz w:val="24"/>
          <w:szCs w:val="24"/>
        </w:rPr>
      </w:pPr>
      <w:r w:rsidRPr="007A5FF2">
        <w:rPr>
          <w:rFonts w:ascii="Times New Roman" w:eastAsia="Times New Roman" w:hAnsi="Times New Roman" w:cs="Times New Roman"/>
          <w:sz w:val="24"/>
          <w:szCs w:val="24"/>
        </w:rPr>
        <w:t>Assistant Consumers’ Counsel</w:t>
      </w:r>
    </w:p>
    <w:p w:rsidR="00CB07F3" w:rsidRPr="007A5FF2" w:rsidP="00CB07F3" w14:paraId="2FAD399B" w14:textId="77777777">
      <w:pPr>
        <w:tabs>
          <w:tab w:val="left" w:pos="4320"/>
        </w:tabs>
        <w:spacing w:after="0" w:line="240" w:lineRule="auto"/>
        <w:ind w:left="4320"/>
        <w:rPr>
          <w:rFonts w:ascii="Times New Roman" w:eastAsia="Times New Roman" w:hAnsi="Times New Roman" w:cs="Times New Roman"/>
          <w:sz w:val="24"/>
          <w:szCs w:val="24"/>
        </w:rPr>
      </w:pPr>
      <w:r w:rsidRPr="007A5FF2">
        <w:rPr>
          <w:rFonts w:ascii="Times New Roman" w:eastAsia="Times New Roman" w:hAnsi="Times New Roman" w:cs="Times New Roman"/>
          <w:sz w:val="24"/>
          <w:szCs w:val="24"/>
        </w:rPr>
        <w:tab/>
      </w:r>
    </w:p>
    <w:p w:rsidR="00CB07F3" w:rsidRPr="007A5FF2" w:rsidP="00CB07F3" w14:paraId="2387CCF9" w14:textId="77777777">
      <w:pPr>
        <w:spacing w:after="0" w:line="240" w:lineRule="auto"/>
        <w:ind w:left="4320"/>
        <w:rPr>
          <w:rFonts w:ascii="Times New Roman" w:eastAsia="Times New Roman" w:hAnsi="Times New Roman" w:cs="Times New Roman"/>
          <w:b/>
          <w:sz w:val="24"/>
          <w:szCs w:val="24"/>
        </w:rPr>
      </w:pPr>
      <w:r w:rsidRPr="007A5FF2">
        <w:rPr>
          <w:rFonts w:ascii="Times New Roman" w:eastAsia="Times New Roman" w:hAnsi="Times New Roman" w:cs="Times New Roman"/>
          <w:b/>
          <w:sz w:val="24"/>
          <w:szCs w:val="24"/>
        </w:rPr>
        <w:t>Office of the Ohio Consumers’ Counsel</w:t>
      </w:r>
    </w:p>
    <w:p w:rsidR="00CB07F3" w:rsidRPr="007A5FF2" w:rsidP="00CB07F3" w14:paraId="2BCF21E2" w14:textId="77777777">
      <w:pPr>
        <w:spacing w:after="0" w:line="240" w:lineRule="auto"/>
        <w:ind w:left="4320"/>
        <w:rPr>
          <w:rFonts w:ascii="Times New Roman" w:eastAsia="Times New Roman" w:hAnsi="Times New Roman" w:cs="Times New Roman"/>
          <w:sz w:val="24"/>
          <w:szCs w:val="24"/>
        </w:rPr>
      </w:pPr>
      <w:r w:rsidRPr="007A5FF2">
        <w:rPr>
          <w:rFonts w:ascii="Times New Roman" w:eastAsia="Times New Roman" w:hAnsi="Times New Roman" w:cs="Times New Roman"/>
          <w:sz w:val="24"/>
          <w:szCs w:val="24"/>
        </w:rPr>
        <w:t>65 East State Street, 7th Floor</w:t>
      </w:r>
    </w:p>
    <w:p w:rsidR="00CB07F3" w:rsidRPr="007A5FF2" w:rsidP="00CB07F3" w14:paraId="4453A222" w14:textId="77777777">
      <w:pPr>
        <w:spacing w:after="0" w:line="240" w:lineRule="auto"/>
        <w:ind w:left="4320"/>
        <w:rPr>
          <w:rFonts w:ascii="Times New Roman" w:eastAsia="Times New Roman" w:hAnsi="Times New Roman" w:cs="Times New Roman"/>
          <w:b/>
          <w:sz w:val="24"/>
          <w:szCs w:val="24"/>
        </w:rPr>
      </w:pPr>
      <w:r w:rsidRPr="007A5FF2">
        <w:rPr>
          <w:rFonts w:ascii="Times New Roman" w:eastAsia="Times New Roman" w:hAnsi="Times New Roman" w:cs="Times New Roman"/>
          <w:sz w:val="24"/>
          <w:szCs w:val="24"/>
        </w:rPr>
        <w:t>Columbus, Ohio 43215</w:t>
      </w:r>
    </w:p>
    <w:p w:rsidR="00CB07F3" w:rsidRPr="007A5FF2" w:rsidP="00CB07F3" w14:paraId="577FD3AF" w14:textId="77777777">
      <w:pPr>
        <w:spacing w:after="0" w:line="240" w:lineRule="auto"/>
        <w:ind w:left="4320"/>
        <w:rPr>
          <w:rFonts w:ascii="Times New Roman" w:eastAsia="Times New Roman" w:hAnsi="Times New Roman" w:cs="Times New Roman"/>
          <w:sz w:val="24"/>
          <w:szCs w:val="24"/>
        </w:rPr>
      </w:pPr>
      <w:r w:rsidRPr="007A5FF2">
        <w:rPr>
          <w:rFonts w:ascii="Times New Roman" w:eastAsia="Times New Roman" w:hAnsi="Times New Roman" w:cs="Times New Roman"/>
          <w:sz w:val="24"/>
          <w:szCs w:val="24"/>
        </w:rPr>
        <w:t>Telephone: [Michael] (614) 466-1291</w:t>
      </w:r>
    </w:p>
    <w:p w:rsidR="00CB07F3" w:rsidRPr="007A5FF2" w:rsidP="00CB07F3" w14:paraId="5DE8B88A" w14:textId="77777777">
      <w:pPr>
        <w:spacing w:after="0" w:line="240" w:lineRule="auto"/>
        <w:ind w:left="4320"/>
        <w:rPr>
          <w:rFonts w:ascii="Times New Roman" w:eastAsia="Times New Roman" w:hAnsi="Times New Roman" w:cs="Times New Roman"/>
          <w:color w:val="0000FF" w:themeColor="hyperlink"/>
          <w:sz w:val="24"/>
          <w:szCs w:val="24"/>
          <w:u w:val="single"/>
        </w:rPr>
      </w:pPr>
      <w:hyperlink r:id="rId6" w:history="1">
        <w:r w:rsidRPr="007A5FF2" w:rsidR="00C72ACA">
          <w:rPr>
            <w:rFonts w:ascii="Times New Roman" w:eastAsia="Times New Roman" w:hAnsi="Times New Roman" w:cs="Times New Roman"/>
            <w:color w:val="0000FF"/>
            <w:sz w:val="24"/>
            <w:szCs w:val="24"/>
            <w:u w:val="single"/>
          </w:rPr>
          <w:t>william.michael@occ.ohio.gov</w:t>
        </w:r>
      </w:hyperlink>
    </w:p>
    <w:p w:rsidR="00CB07F3" w:rsidP="00CB07F3" w14:paraId="7147ADDE" w14:textId="40EFAB0D">
      <w:pPr>
        <w:spacing w:after="0" w:line="240" w:lineRule="auto"/>
        <w:rPr>
          <w:rFonts w:ascii="Times New Roman" w:eastAsia="Times New Roman" w:hAnsi="Times New Roman" w:cs="Times New Roman"/>
          <w:sz w:val="24"/>
          <w:szCs w:val="24"/>
        </w:rPr>
      </w:pPr>
      <w:r w:rsidRPr="007A5FF2">
        <w:rPr>
          <w:rFonts w:ascii="Times New Roman" w:eastAsia="Times New Roman" w:hAnsi="Times New Roman" w:cs="Times New Roman"/>
          <w:color w:val="0000FF" w:themeColor="hyperlink"/>
          <w:sz w:val="24"/>
          <w:szCs w:val="24"/>
        </w:rPr>
        <w:tab/>
      </w:r>
      <w:r w:rsidRPr="007A5FF2">
        <w:rPr>
          <w:rFonts w:ascii="Times New Roman" w:eastAsia="Times New Roman" w:hAnsi="Times New Roman" w:cs="Times New Roman"/>
          <w:color w:val="0000FF" w:themeColor="hyperlink"/>
          <w:sz w:val="24"/>
          <w:szCs w:val="24"/>
        </w:rPr>
        <w:tab/>
      </w:r>
      <w:r w:rsidRPr="007A5FF2">
        <w:rPr>
          <w:rFonts w:ascii="Times New Roman" w:eastAsia="Times New Roman" w:hAnsi="Times New Roman" w:cs="Times New Roman"/>
          <w:color w:val="0000FF" w:themeColor="hyperlink"/>
          <w:sz w:val="24"/>
          <w:szCs w:val="24"/>
        </w:rPr>
        <w:tab/>
      </w:r>
      <w:r w:rsidRPr="007A5FF2">
        <w:rPr>
          <w:rFonts w:ascii="Times New Roman" w:eastAsia="Times New Roman" w:hAnsi="Times New Roman" w:cs="Times New Roman"/>
          <w:color w:val="0000FF" w:themeColor="hyperlink"/>
          <w:sz w:val="24"/>
          <w:szCs w:val="24"/>
        </w:rPr>
        <w:tab/>
      </w:r>
      <w:r w:rsidRPr="007A5FF2">
        <w:rPr>
          <w:rFonts w:ascii="Times New Roman" w:eastAsia="Times New Roman" w:hAnsi="Times New Roman" w:cs="Times New Roman"/>
          <w:color w:val="0000FF" w:themeColor="hyperlink"/>
          <w:sz w:val="24"/>
          <w:szCs w:val="24"/>
        </w:rPr>
        <w:tab/>
      </w:r>
      <w:r w:rsidRPr="007A5FF2">
        <w:rPr>
          <w:rFonts w:ascii="Times New Roman" w:eastAsia="Times New Roman" w:hAnsi="Times New Roman" w:cs="Times New Roman"/>
          <w:color w:val="0000FF" w:themeColor="hyperlink"/>
          <w:sz w:val="24"/>
          <w:szCs w:val="24"/>
        </w:rPr>
        <w:tab/>
      </w:r>
      <w:r w:rsidRPr="007A5FF2">
        <w:rPr>
          <w:rFonts w:ascii="Times New Roman" w:eastAsia="Times New Roman" w:hAnsi="Times New Roman" w:cs="Times New Roman"/>
          <w:sz w:val="24"/>
          <w:szCs w:val="24"/>
        </w:rPr>
        <w:t>(willing to accept service by e-mail)</w:t>
      </w:r>
    </w:p>
    <w:p w:rsidR="004A64D1" w:rsidP="00CB07F3" w14:paraId="4581F3F4" w14:textId="2578B680">
      <w:pPr>
        <w:spacing w:after="0" w:line="240" w:lineRule="auto"/>
        <w:rPr>
          <w:rFonts w:ascii="Times New Roman" w:eastAsia="Times New Roman" w:hAnsi="Times New Roman" w:cs="Times New Roman"/>
          <w:sz w:val="24"/>
          <w:szCs w:val="24"/>
        </w:rPr>
      </w:pPr>
    </w:p>
    <w:p w:rsidR="004A64D1" w:rsidP="00CB07F3" w14:paraId="22FE24B1" w14:textId="0AD26C20">
      <w:pPr>
        <w:spacing w:after="0" w:line="240" w:lineRule="auto"/>
        <w:rPr>
          <w:rFonts w:ascii="Times New Roman" w:eastAsia="Times New Roman" w:hAnsi="Times New Roman" w:cs="Times New Roman"/>
          <w:sz w:val="24"/>
          <w:szCs w:val="24"/>
        </w:rPr>
      </w:pPr>
    </w:p>
    <w:p w:rsidR="004A64D1" w:rsidP="00CB07F3" w14:paraId="458AC896" w14:textId="783E0ED6">
      <w:pPr>
        <w:spacing w:after="0" w:line="240" w:lineRule="auto"/>
        <w:rPr>
          <w:rFonts w:ascii="Times New Roman" w:eastAsia="Times New Roman" w:hAnsi="Times New Roman" w:cs="Times New Roman"/>
          <w:sz w:val="24"/>
          <w:szCs w:val="24"/>
        </w:rPr>
      </w:pPr>
    </w:p>
    <w:p w:rsidR="004A64D1" w:rsidP="00CB07F3" w14:paraId="171043AF" w14:textId="77777777">
      <w:pPr>
        <w:spacing w:after="0" w:line="240" w:lineRule="auto"/>
        <w:rPr>
          <w:rFonts w:ascii="Times New Roman" w:eastAsia="Times New Roman" w:hAnsi="Times New Roman" w:cs="Times New Roman"/>
          <w:sz w:val="24"/>
          <w:szCs w:val="24"/>
        </w:rPr>
        <w:sectPr w:rsidSect="006D53EA">
          <w:headerReference w:type="default" r:id="rId15"/>
          <w:footerReference w:type="default" r:id="rId16"/>
          <w:pgSz w:w="12240" w:h="15840"/>
          <w:pgMar w:top="1440" w:right="1800" w:bottom="1440" w:left="1800" w:header="720" w:footer="720" w:gutter="0"/>
          <w:cols w:space="720"/>
          <w:docGrid w:linePitch="360"/>
        </w:sectPr>
      </w:pPr>
    </w:p>
    <w:p w:rsidR="004A64D1" w:rsidP="004A64D1" w14:paraId="5EF60CE7" w14:textId="77777777">
      <w:pPr>
        <w:spacing w:after="0" w:line="240" w:lineRule="auto"/>
        <w:jc w:val="center"/>
        <w:rPr>
          <w:rFonts w:ascii="Times New Roman" w:eastAsia="Times New Roman" w:hAnsi="Times New Roman" w:cs="Times New Roman"/>
          <w:b/>
          <w:bCs/>
          <w:sz w:val="24"/>
          <w:szCs w:val="24"/>
          <w:u w:val="single"/>
        </w:rPr>
      </w:pPr>
      <w:r w:rsidRPr="00C254C2">
        <w:rPr>
          <w:rFonts w:ascii="Times New Roman" w:eastAsia="Times New Roman" w:hAnsi="Times New Roman" w:cs="Times New Roman"/>
          <w:b/>
          <w:bCs/>
          <w:sz w:val="24"/>
          <w:szCs w:val="24"/>
          <w:u w:val="single"/>
        </w:rPr>
        <w:t>TABLE OF CONTENTS</w:t>
      </w:r>
    </w:p>
    <w:p w:rsidR="004A64D1" w:rsidP="004A64D1" w14:paraId="2059F314" w14:textId="77777777">
      <w:pPr>
        <w:spacing w:after="0" w:line="240" w:lineRule="auto"/>
        <w:jc w:val="center"/>
        <w:rPr>
          <w:rFonts w:ascii="Times New Roman" w:eastAsia="Times New Roman" w:hAnsi="Times New Roman" w:cs="Times New Roman"/>
          <w:b/>
          <w:bCs/>
          <w:sz w:val="24"/>
          <w:szCs w:val="24"/>
          <w:u w:val="single"/>
        </w:rPr>
      </w:pPr>
    </w:p>
    <w:p w:rsidR="004A64D1" w:rsidP="004A64D1" w14:paraId="35CF1517" w14:textId="7777777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C254C2">
        <w:rPr>
          <w:rFonts w:ascii="Times New Roman" w:eastAsia="Times New Roman" w:hAnsi="Times New Roman" w:cs="Times New Roman"/>
          <w:b/>
          <w:bCs/>
          <w:sz w:val="24"/>
          <w:szCs w:val="24"/>
        </w:rPr>
        <w:t>PAGE</w:t>
      </w:r>
    </w:p>
    <w:p w:rsidR="004A64D1" w:rsidP="004A64D1" w14:paraId="6468F07D" w14:textId="77777777">
      <w:pPr>
        <w:spacing w:after="0" w:line="240" w:lineRule="auto"/>
        <w:jc w:val="center"/>
        <w:rPr>
          <w:rFonts w:ascii="Times New Roman" w:eastAsia="Times New Roman" w:hAnsi="Times New Roman" w:cs="Times New Roman"/>
          <w:b/>
          <w:bCs/>
          <w:sz w:val="24"/>
          <w:szCs w:val="24"/>
        </w:rPr>
      </w:pPr>
    </w:p>
    <w:p w:rsidR="00CA023A" w14:paraId="2448C1EE" w14:textId="29F6F38A">
      <w:pPr>
        <w:pStyle w:val="TOC1"/>
        <w:rPr>
          <w:rFonts w:asciiTheme="minorHAnsi" w:eastAsiaTheme="minorEastAsia" w:hAnsiTheme="minorHAnsi"/>
          <w:noProof/>
          <w:sz w:val="22"/>
        </w:rPr>
      </w:pPr>
      <w:r>
        <w:rPr>
          <w:rFonts w:eastAsia="Times New Roman" w:cs="Times New Roman"/>
          <w:b/>
          <w:bCs/>
          <w:szCs w:val="24"/>
        </w:rPr>
        <w:fldChar w:fldCharType="begin"/>
      </w:r>
      <w:r>
        <w:rPr>
          <w:rFonts w:eastAsia="Times New Roman" w:cs="Times New Roman"/>
          <w:b/>
          <w:bCs/>
          <w:szCs w:val="24"/>
        </w:rPr>
        <w:instrText xml:space="preserve"> TOC \o "1-3" \h \z \u </w:instrText>
      </w:r>
      <w:r>
        <w:rPr>
          <w:rFonts w:eastAsia="Times New Roman" w:cs="Times New Roman"/>
          <w:b/>
          <w:bCs/>
          <w:szCs w:val="24"/>
        </w:rPr>
        <w:fldChar w:fldCharType="separate"/>
      </w:r>
      <w:hyperlink w:anchor="_Toc44947232" w:history="1">
        <w:r w:rsidRPr="00B846D4">
          <w:rPr>
            <w:rStyle w:val="Hyperlink"/>
            <w:noProof/>
          </w:rPr>
          <w:t>I.</w:t>
        </w:r>
        <w:r>
          <w:rPr>
            <w:rFonts w:asciiTheme="minorHAnsi" w:eastAsiaTheme="minorEastAsia" w:hAnsiTheme="minorHAnsi"/>
            <w:noProof/>
            <w:sz w:val="22"/>
          </w:rPr>
          <w:tab/>
        </w:r>
        <w:r w:rsidRPr="00B846D4">
          <w:rPr>
            <w:rStyle w:val="Hyperlink"/>
            <w:noProof/>
          </w:rPr>
          <w:t>INTRODUCTION</w:t>
        </w:r>
        <w:r>
          <w:rPr>
            <w:noProof/>
            <w:webHidden/>
          </w:rPr>
          <w:tab/>
        </w:r>
        <w:r>
          <w:rPr>
            <w:noProof/>
            <w:webHidden/>
          </w:rPr>
          <w:fldChar w:fldCharType="begin"/>
        </w:r>
        <w:r>
          <w:rPr>
            <w:noProof/>
            <w:webHidden/>
          </w:rPr>
          <w:instrText xml:space="preserve"> PAGEREF _Toc44947232 \h </w:instrText>
        </w:r>
        <w:r>
          <w:rPr>
            <w:noProof/>
            <w:webHidden/>
          </w:rPr>
          <w:fldChar w:fldCharType="separate"/>
        </w:r>
        <w:r>
          <w:rPr>
            <w:noProof/>
            <w:webHidden/>
          </w:rPr>
          <w:t>1</w:t>
        </w:r>
        <w:r>
          <w:rPr>
            <w:noProof/>
            <w:webHidden/>
          </w:rPr>
          <w:fldChar w:fldCharType="end"/>
        </w:r>
      </w:hyperlink>
    </w:p>
    <w:p w:rsidR="00CA023A" w14:paraId="164494F1" w14:textId="3B1BA90B">
      <w:pPr>
        <w:pStyle w:val="TOC1"/>
        <w:rPr>
          <w:rFonts w:asciiTheme="minorHAnsi" w:eastAsiaTheme="minorEastAsia" w:hAnsiTheme="minorHAnsi"/>
          <w:noProof/>
          <w:sz w:val="22"/>
        </w:rPr>
      </w:pPr>
      <w:hyperlink w:anchor="_Toc44947233" w:history="1">
        <w:r w:rsidRPr="00B846D4" w:rsidR="00C72ACA">
          <w:rPr>
            <w:rStyle w:val="Hyperlink"/>
            <w:noProof/>
          </w:rPr>
          <w:t>II.</w:t>
        </w:r>
        <w:r w:rsidR="00C72ACA">
          <w:rPr>
            <w:rFonts w:asciiTheme="minorHAnsi" w:eastAsiaTheme="minorEastAsia" w:hAnsiTheme="minorHAnsi"/>
            <w:noProof/>
            <w:sz w:val="22"/>
          </w:rPr>
          <w:tab/>
        </w:r>
        <w:r w:rsidRPr="00B846D4" w:rsidR="00C72ACA">
          <w:rPr>
            <w:rStyle w:val="Hyperlink"/>
            <w:noProof/>
          </w:rPr>
          <w:t>STANDARD OF REVIEW</w:t>
        </w:r>
        <w:r w:rsidR="00C72ACA">
          <w:rPr>
            <w:noProof/>
            <w:webHidden/>
          </w:rPr>
          <w:tab/>
        </w:r>
        <w:r w:rsidR="00C72ACA">
          <w:rPr>
            <w:noProof/>
            <w:webHidden/>
          </w:rPr>
          <w:fldChar w:fldCharType="begin"/>
        </w:r>
        <w:r w:rsidR="00C72ACA">
          <w:rPr>
            <w:noProof/>
            <w:webHidden/>
          </w:rPr>
          <w:instrText xml:space="preserve"> PAGEREF _Toc44947233 \h </w:instrText>
        </w:r>
        <w:r w:rsidR="00C72ACA">
          <w:rPr>
            <w:noProof/>
            <w:webHidden/>
          </w:rPr>
          <w:fldChar w:fldCharType="separate"/>
        </w:r>
        <w:r w:rsidR="00C72ACA">
          <w:rPr>
            <w:noProof/>
            <w:webHidden/>
          </w:rPr>
          <w:t>2</w:t>
        </w:r>
        <w:r w:rsidR="00C72ACA">
          <w:rPr>
            <w:noProof/>
            <w:webHidden/>
          </w:rPr>
          <w:fldChar w:fldCharType="end"/>
        </w:r>
      </w:hyperlink>
    </w:p>
    <w:p w:rsidR="00CA023A" w14:paraId="60128DFB" w14:textId="22868AC5">
      <w:pPr>
        <w:pStyle w:val="TOC1"/>
        <w:rPr>
          <w:rFonts w:asciiTheme="minorHAnsi" w:eastAsiaTheme="minorEastAsia" w:hAnsiTheme="minorHAnsi"/>
          <w:noProof/>
          <w:sz w:val="22"/>
        </w:rPr>
      </w:pPr>
      <w:hyperlink w:anchor="_Toc44947234" w:history="1">
        <w:r w:rsidRPr="00B846D4" w:rsidR="00C72ACA">
          <w:rPr>
            <w:rStyle w:val="Hyperlink"/>
            <w:noProof/>
          </w:rPr>
          <w:t>III.</w:t>
        </w:r>
        <w:r w:rsidR="00C72ACA">
          <w:rPr>
            <w:rFonts w:asciiTheme="minorHAnsi" w:eastAsiaTheme="minorEastAsia" w:hAnsiTheme="minorHAnsi"/>
            <w:noProof/>
            <w:sz w:val="22"/>
          </w:rPr>
          <w:tab/>
        </w:r>
        <w:r w:rsidRPr="00B846D4" w:rsidR="00C72ACA">
          <w:rPr>
            <w:rStyle w:val="Hyperlink"/>
            <w:bCs/>
            <w:noProof/>
          </w:rPr>
          <w:t>MATTERS FOR RECONSIDERATION</w:t>
        </w:r>
        <w:r w:rsidR="00C72ACA">
          <w:rPr>
            <w:noProof/>
            <w:webHidden/>
          </w:rPr>
          <w:tab/>
        </w:r>
        <w:r w:rsidR="00C72ACA">
          <w:rPr>
            <w:noProof/>
            <w:webHidden/>
          </w:rPr>
          <w:fldChar w:fldCharType="begin"/>
        </w:r>
        <w:r w:rsidR="00C72ACA">
          <w:rPr>
            <w:noProof/>
            <w:webHidden/>
          </w:rPr>
          <w:instrText xml:space="preserve"> PAGEREF _Toc44947234 \h </w:instrText>
        </w:r>
        <w:r w:rsidR="00C72ACA">
          <w:rPr>
            <w:noProof/>
            <w:webHidden/>
          </w:rPr>
          <w:fldChar w:fldCharType="separate"/>
        </w:r>
        <w:r w:rsidR="00C72ACA">
          <w:rPr>
            <w:noProof/>
            <w:webHidden/>
          </w:rPr>
          <w:t>3</w:t>
        </w:r>
        <w:r w:rsidR="00C72ACA">
          <w:rPr>
            <w:noProof/>
            <w:webHidden/>
          </w:rPr>
          <w:fldChar w:fldCharType="end"/>
        </w:r>
      </w:hyperlink>
    </w:p>
    <w:p w:rsidR="00CA023A" w14:paraId="42DDCB5F" w14:textId="232FD464">
      <w:pPr>
        <w:pStyle w:val="TOC2"/>
        <w:rPr>
          <w:rFonts w:asciiTheme="minorHAnsi" w:eastAsiaTheme="minorEastAsia" w:hAnsiTheme="minorHAnsi"/>
          <w:noProof/>
          <w:sz w:val="22"/>
        </w:rPr>
      </w:pPr>
      <w:hyperlink w:anchor="_Toc44947235" w:history="1">
        <w:r w:rsidRPr="00B846D4" w:rsidR="00C72ACA">
          <w:rPr>
            <w:rStyle w:val="Hyperlink"/>
            <w:noProof/>
          </w:rPr>
          <w:t>ASSIGNMENT OF ERROR NO. 1: The PUCO erred by failing to require electric utilities that propose charges to customers for distribution infrastructure modernization to also propose reducing such charges to account for operational savings attributable to the distribution infrastructure modernization.</w:t>
        </w:r>
        <w:r w:rsidR="00C72ACA">
          <w:rPr>
            <w:noProof/>
            <w:webHidden/>
          </w:rPr>
          <w:tab/>
        </w:r>
        <w:r w:rsidR="00C72ACA">
          <w:rPr>
            <w:noProof/>
            <w:webHidden/>
          </w:rPr>
          <w:fldChar w:fldCharType="begin"/>
        </w:r>
        <w:r w:rsidR="00C72ACA">
          <w:rPr>
            <w:noProof/>
            <w:webHidden/>
          </w:rPr>
          <w:instrText xml:space="preserve"> PAGEREF _Toc44947235 \h </w:instrText>
        </w:r>
        <w:r w:rsidR="00C72ACA">
          <w:rPr>
            <w:noProof/>
            <w:webHidden/>
          </w:rPr>
          <w:fldChar w:fldCharType="separate"/>
        </w:r>
        <w:r w:rsidR="00C72ACA">
          <w:rPr>
            <w:noProof/>
            <w:webHidden/>
          </w:rPr>
          <w:t>3</w:t>
        </w:r>
        <w:r w:rsidR="00C72ACA">
          <w:rPr>
            <w:noProof/>
            <w:webHidden/>
          </w:rPr>
          <w:fldChar w:fldCharType="end"/>
        </w:r>
      </w:hyperlink>
    </w:p>
    <w:p w:rsidR="00CA023A" w14:paraId="51CFD8A6" w14:textId="31C63824">
      <w:pPr>
        <w:pStyle w:val="TOC2"/>
        <w:rPr>
          <w:rFonts w:asciiTheme="minorHAnsi" w:eastAsiaTheme="minorEastAsia" w:hAnsiTheme="minorHAnsi"/>
          <w:noProof/>
          <w:sz w:val="22"/>
        </w:rPr>
      </w:pPr>
      <w:hyperlink w:anchor="_Toc44947236" w:history="1">
        <w:r w:rsidRPr="00B846D4" w:rsidR="00C72ACA">
          <w:rPr>
            <w:rStyle w:val="Hyperlink"/>
            <w:noProof/>
          </w:rPr>
          <w:t>ASSIGNMENT OF ERROR NO. 2:  The PUCO erred by failing to require electric utilities to include, as part of the proposed terms and conditions of the electric security plans they file, projections (with underlying calculations and sources) of the costs to consumers for all riders that they are proposing in the case, in violation of R.C. 4928.143(C)(1).</w:t>
        </w:r>
        <w:r w:rsidR="00C72ACA">
          <w:rPr>
            <w:noProof/>
            <w:webHidden/>
          </w:rPr>
          <w:tab/>
        </w:r>
        <w:r w:rsidR="00C72ACA">
          <w:rPr>
            <w:noProof/>
            <w:webHidden/>
          </w:rPr>
          <w:fldChar w:fldCharType="begin"/>
        </w:r>
        <w:r w:rsidR="00C72ACA">
          <w:rPr>
            <w:noProof/>
            <w:webHidden/>
          </w:rPr>
          <w:instrText xml:space="preserve"> PAGEREF _Toc44947236 \h </w:instrText>
        </w:r>
        <w:r w:rsidR="00C72ACA">
          <w:rPr>
            <w:noProof/>
            <w:webHidden/>
          </w:rPr>
          <w:fldChar w:fldCharType="separate"/>
        </w:r>
        <w:r w:rsidR="00C72ACA">
          <w:rPr>
            <w:noProof/>
            <w:webHidden/>
          </w:rPr>
          <w:t>5</w:t>
        </w:r>
        <w:r w:rsidR="00C72ACA">
          <w:rPr>
            <w:noProof/>
            <w:webHidden/>
          </w:rPr>
          <w:fldChar w:fldCharType="end"/>
        </w:r>
      </w:hyperlink>
    </w:p>
    <w:p w:rsidR="00CA023A" w14:paraId="2DB729AE" w14:textId="564431FA">
      <w:pPr>
        <w:pStyle w:val="TOC3"/>
        <w:tabs>
          <w:tab w:val="left" w:pos="1440"/>
        </w:tabs>
        <w:rPr>
          <w:rFonts w:asciiTheme="minorHAnsi" w:eastAsiaTheme="minorEastAsia" w:hAnsiTheme="minorHAnsi"/>
          <w:noProof/>
          <w:sz w:val="22"/>
        </w:rPr>
      </w:pPr>
      <w:hyperlink w:anchor="_Toc44947237" w:history="1">
        <w:r w:rsidRPr="00B846D4" w:rsidR="00C72ACA">
          <w:rPr>
            <w:rStyle w:val="Hyperlink"/>
            <w:noProof/>
          </w:rPr>
          <w:t>A.</w:t>
        </w:r>
        <w:r w:rsidR="00C72ACA">
          <w:rPr>
            <w:rFonts w:asciiTheme="minorHAnsi" w:eastAsiaTheme="minorEastAsia" w:hAnsiTheme="minorHAnsi"/>
            <w:noProof/>
            <w:sz w:val="22"/>
          </w:rPr>
          <w:tab/>
        </w:r>
        <w:r w:rsidRPr="00B846D4" w:rsidR="00C72ACA">
          <w:rPr>
            <w:rStyle w:val="Hyperlink"/>
            <w:noProof/>
          </w:rPr>
          <w:t>The MRO v. ESP test in R.C. 4928.143(C)(1) is an important consumer protection that should be better implemented by the PUCO.</w:t>
        </w:r>
        <w:r w:rsidR="00C72ACA">
          <w:rPr>
            <w:noProof/>
            <w:webHidden/>
          </w:rPr>
          <w:tab/>
        </w:r>
        <w:r w:rsidR="00C72ACA">
          <w:rPr>
            <w:noProof/>
            <w:webHidden/>
          </w:rPr>
          <w:fldChar w:fldCharType="begin"/>
        </w:r>
        <w:r w:rsidR="00C72ACA">
          <w:rPr>
            <w:noProof/>
            <w:webHidden/>
          </w:rPr>
          <w:instrText xml:space="preserve"> PAGEREF _Toc44947237 \h </w:instrText>
        </w:r>
        <w:r w:rsidR="00C72ACA">
          <w:rPr>
            <w:noProof/>
            <w:webHidden/>
          </w:rPr>
          <w:fldChar w:fldCharType="separate"/>
        </w:r>
        <w:r w:rsidR="00C72ACA">
          <w:rPr>
            <w:noProof/>
            <w:webHidden/>
          </w:rPr>
          <w:t>5</w:t>
        </w:r>
        <w:r w:rsidR="00C72ACA">
          <w:rPr>
            <w:noProof/>
            <w:webHidden/>
          </w:rPr>
          <w:fldChar w:fldCharType="end"/>
        </w:r>
      </w:hyperlink>
    </w:p>
    <w:p w:rsidR="00CA023A" w14:paraId="66C6B5BA" w14:textId="1AC4C2E0">
      <w:pPr>
        <w:pStyle w:val="TOC3"/>
        <w:tabs>
          <w:tab w:val="left" w:pos="1440"/>
        </w:tabs>
        <w:rPr>
          <w:rFonts w:asciiTheme="minorHAnsi" w:eastAsiaTheme="minorEastAsia" w:hAnsiTheme="minorHAnsi"/>
          <w:noProof/>
          <w:sz w:val="22"/>
        </w:rPr>
      </w:pPr>
      <w:hyperlink w:anchor="_Toc44947238" w:history="1">
        <w:r w:rsidRPr="00B846D4" w:rsidR="00C72ACA">
          <w:rPr>
            <w:rStyle w:val="Hyperlink"/>
            <w:noProof/>
          </w:rPr>
          <w:t>B.</w:t>
        </w:r>
        <w:r w:rsidR="00C72ACA">
          <w:rPr>
            <w:rFonts w:asciiTheme="minorHAnsi" w:eastAsiaTheme="minorEastAsia" w:hAnsiTheme="minorHAnsi"/>
            <w:noProof/>
            <w:sz w:val="22"/>
          </w:rPr>
          <w:tab/>
        </w:r>
        <w:r w:rsidRPr="00B846D4" w:rsidR="00C72ACA">
          <w:rPr>
            <w:rStyle w:val="Hyperlink"/>
            <w:noProof/>
          </w:rPr>
          <w:t>The PUCO’s decision to not require electric utilities to include cost projections for placeholder riders is unlawful and unreasonable.</w:t>
        </w:r>
        <w:r w:rsidR="00C72ACA">
          <w:rPr>
            <w:noProof/>
            <w:webHidden/>
          </w:rPr>
          <w:tab/>
        </w:r>
        <w:r w:rsidR="00C72ACA">
          <w:rPr>
            <w:noProof/>
            <w:webHidden/>
          </w:rPr>
          <w:fldChar w:fldCharType="begin"/>
        </w:r>
        <w:r w:rsidR="00C72ACA">
          <w:rPr>
            <w:noProof/>
            <w:webHidden/>
          </w:rPr>
          <w:instrText xml:space="preserve"> PAGEREF _Toc44947238 \h </w:instrText>
        </w:r>
        <w:r w:rsidR="00C72ACA">
          <w:rPr>
            <w:noProof/>
            <w:webHidden/>
          </w:rPr>
          <w:fldChar w:fldCharType="separate"/>
        </w:r>
        <w:r w:rsidR="00C72ACA">
          <w:rPr>
            <w:noProof/>
            <w:webHidden/>
          </w:rPr>
          <w:t>7</w:t>
        </w:r>
        <w:r w:rsidR="00C72ACA">
          <w:rPr>
            <w:noProof/>
            <w:webHidden/>
          </w:rPr>
          <w:fldChar w:fldCharType="end"/>
        </w:r>
      </w:hyperlink>
    </w:p>
    <w:p w:rsidR="00CA023A" w14:paraId="70367F47" w14:textId="5F6B7BA0">
      <w:pPr>
        <w:pStyle w:val="TOC2"/>
        <w:rPr>
          <w:rFonts w:asciiTheme="minorHAnsi" w:eastAsiaTheme="minorEastAsia" w:hAnsiTheme="minorHAnsi"/>
          <w:noProof/>
          <w:sz w:val="22"/>
        </w:rPr>
      </w:pPr>
      <w:hyperlink w:anchor="_Toc44947239" w:history="1">
        <w:r w:rsidRPr="00B846D4" w:rsidR="00C72ACA">
          <w:rPr>
            <w:rStyle w:val="Hyperlink"/>
            <w:noProof/>
          </w:rPr>
          <w:t>ASSIGNMENT OF ERROR NO. 3:  The PUCO erred by failing to require in tariffs that charges in electric security plans be subject to refund to consumers, in the event of Ohio Supreme Court reversals or other changes.</w:t>
        </w:r>
        <w:r w:rsidR="00C72ACA">
          <w:rPr>
            <w:noProof/>
            <w:webHidden/>
          </w:rPr>
          <w:tab/>
        </w:r>
        <w:r w:rsidR="00C72ACA">
          <w:rPr>
            <w:noProof/>
            <w:webHidden/>
          </w:rPr>
          <w:fldChar w:fldCharType="begin"/>
        </w:r>
        <w:r w:rsidR="00C72ACA">
          <w:rPr>
            <w:noProof/>
            <w:webHidden/>
          </w:rPr>
          <w:instrText xml:space="preserve"> PAGEREF _Toc44947239 \h </w:instrText>
        </w:r>
        <w:r w:rsidR="00C72ACA">
          <w:rPr>
            <w:noProof/>
            <w:webHidden/>
          </w:rPr>
          <w:fldChar w:fldCharType="separate"/>
        </w:r>
        <w:r w:rsidR="00C72ACA">
          <w:rPr>
            <w:noProof/>
            <w:webHidden/>
          </w:rPr>
          <w:t>8</w:t>
        </w:r>
        <w:r w:rsidR="00C72ACA">
          <w:rPr>
            <w:noProof/>
            <w:webHidden/>
          </w:rPr>
          <w:fldChar w:fldCharType="end"/>
        </w:r>
      </w:hyperlink>
    </w:p>
    <w:p w:rsidR="00CA023A" w14:paraId="75BDB768" w14:textId="78EED136">
      <w:pPr>
        <w:pStyle w:val="TOC1"/>
        <w:rPr>
          <w:rFonts w:asciiTheme="minorHAnsi" w:eastAsiaTheme="minorEastAsia" w:hAnsiTheme="minorHAnsi"/>
          <w:noProof/>
          <w:sz w:val="22"/>
        </w:rPr>
      </w:pPr>
      <w:hyperlink w:anchor="_Toc44947240" w:history="1">
        <w:r w:rsidRPr="00B846D4" w:rsidR="00C72ACA">
          <w:rPr>
            <w:rStyle w:val="Hyperlink"/>
            <w:noProof/>
          </w:rPr>
          <w:t>IV.</w:t>
        </w:r>
        <w:r w:rsidR="00C72ACA">
          <w:rPr>
            <w:rFonts w:asciiTheme="minorHAnsi" w:eastAsiaTheme="minorEastAsia" w:hAnsiTheme="minorHAnsi"/>
            <w:noProof/>
            <w:sz w:val="22"/>
          </w:rPr>
          <w:tab/>
        </w:r>
        <w:r w:rsidRPr="00B846D4" w:rsidR="00C72ACA">
          <w:rPr>
            <w:rStyle w:val="Hyperlink"/>
            <w:noProof/>
          </w:rPr>
          <w:t>CONCLUSION</w:t>
        </w:r>
        <w:r w:rsidR="00C72ACA">
          <w:rPr>
            <w:noProof/>
            <w:webHidden/>
          </w:rPr>
          <w:tab/>
        </w:r>
        <w:r w:rsidR="00C72ACA">
          <w:rPr>
            <w:noProof/>
            <w:webHidden/>
          </w:rPr>
          <w:fldChar w:fldCharType="begin"/>
        </w:r>
        <w:r w:rsidR="00C72ACA">
          <w:rPr>
            <w:noProof/>
            <w:webHidden/>
          </w:rPr>
          <w:instrText xml:space="preserve"> PAGEREF _Toc44947240 \h </w:instrText>
        </w:r>
        <w:r w:rsidR="00C72ACA">
          <w:rPr>
            <w:noProof/>
            <w:webHidden/>
          </w:rPr>
          <w:fldChar w:fldCharType="separate"/>
        </w:r>
        <w:r w:rsidR="00C72ACA">
          <w:rPr>
            <w:noProof/>
            <w:webHidden/>
          </w:rPr>
          <w:t>9</w:t>
        </w:r>
        <w:r w:rsidR="00C72ACA">
          <w:rPr>
            <w:noProof/>
            <w:webHidden/>
          </w:rPr>
          <w:fldChar w:fldCharType="end"/>
        </w:r>
      </w:hyperlink>
    </w:p>
    <w:p w:rsidR="004A64D1" w:rsidP="004A64D1" w14:paraId="7559367B" w14:textId="4DBB44B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fldChar w:fldCharType="end"/>
      </w:r>
    </w:p>
    <w:p w:rsidR="004A64D1" w:rsidP="00CB07F3" w14:paraId="49F13250" w14:textId="77777777">
      <w:pPr>
        <w:spacing w:after="0" w:line="240" w:lineRule="auto"/>
        <w:rPr>
          <w:rFonts w:ascii="Times New Roman" w:eastAsia="Times New Roman" w:hAnsi="Times New Roman" w:cs="Times New Roman"/>
          <w:sz w:val="24"/>
          <w:szCs w:val="24"/>
        </w:rPr>
      </w:pPr>
    </w:p>
    <w:p w:rsidR="004A64D1" w:rsidP="00CB07F3" w14:paraId="12ECDC74" w14:textId="77777777">
      <w:pPr>
        <w:spacing w:after="0" w:line="240" w:lineRule="auto"/>
        <w:rPr>
          <w:rFonts w:ascii="Times New Roman" w:eastAsia="Times New Roman" w:hAnsi="Times New Roman" w:cs="Times New Roman"/>
          <w:sz w:val="24"/>
          <w:szCs w:val="24"/>
        </w:rPr>
      </w:pPr>
    </w:p>
    <w:p w:rsidR="004A64D1" w:rsidP="00CB07F3" w14:paraId="4B19161F" w14:textId="77777777">
      <w:pPr>
        <w:spacing w:after="0" w:line="240" w:lineRule="auto"/>
        <w:rPr>
          <w:rFonts w:ascii="Times New Roman" w:eastAsia="Times New Roman" w:hAnsi="Times New Roman" w:cs="Times New Roman"/>
          <w:sz w:val="24"/>
          <w:szCs w:val="24"/>
        </w:rPr>
      </w:pPr>
    </w:p>
    <w:p w:rsidR="004A64D1" w:rsidP="00CB07F3" w14:paraId="6F7B1D03" w14:textId="77777777">
      <w:pPr>
        <w:spacing w:after="0" w:line="240" w:lineRule="auto"/>
        <w:rPr>
          <w:rFonts w:ascii="Times New Roman" w:eastAsia="Times New Roman" w:hAnsi="Times New Roman" w:cs="Times New Roman"/>
          <w:sz w:val="24"/>
          <w:szCs w:val="24"/>
        </w:rPr>
        <w:sectPr w:rsidSect="004A64D1">
          <w:headerReference w:type="default" r:id="rId17"/>
          <w:pgSz w:w="12240" w:h="15840"/>
          <w:pgMar w:top="1440" w:right="1800" w:bottom="1440" w:left="1800" w:header="720" w:footer="720" w:gutter="0"/>
          <w:pgNumType w:fmt="lowerRoman" w:start="1"/>
          <w:cols w:space="720"/>
          <w:docGrid w:linePitch="360"/>
        </w:sectPr>
      </w:pPr>
    </w:p>
    <w:p w:rsidR="0099412E" w:rsidRPr="007A5FF2" w:rsidP="0099412E" w14:paraId="0847F65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7A5FF2">
        <w:rPr>
          <w:rFonts w:ascii="Times New Roman" w:eastAsia="Calibri" w:hAnsi="Times New Roman" w:cs="Times New Roman"/>
          <w:b/>
          <w:bCs/>
          <w:sz w:val="24"/>
          <w:szCs w:val="24"/>
        </w:rPr>
        <w:t>BEFORE</w:t>
      </w:r>
    </w:p>
    <w:p w:rsidR="0099412E" w:rsidRPr="007A5FF2" w:rsidP="0099412E" w14:paraId="4BC1933C" w14:textId="04810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7A5FF2">
        <w:rPr>
          <w:rFonts w:ascii="Times New Roman" w:eastAsia="Calibri" w:hAnsi="Times New Roman" w:cs="Times New Roman"/>
          <w:b/>
          <w:bCs/>
          <w:sz w:val="24"/>
          <w:szCs w:val="24"/>
        </w:rPr>
        <w:t>THE PUBLIC UTILITIES COMMISSION OF OHIO</w:t>
      </w:r>
    </w:p>
    <w:p w:rsidR="00CB07F3" w:rsidRPr="007A5FF2" w:rsidP="0099412E" w14:paraId="644AF911" w14:textId="2B41D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p>
    <w:p w:rsidR="00CB07F3" w:rsidRPr="007A5FF2" w:rsidP="00CB07F3" w14:paraId="2B9DC7F4" w14:textId="77777777">
      <w:pPr>
        <w:spacing w:after="0" w:line="240" w:lineRule="auto"/>
        <w:rPr>
          <w:rFonts w:ascii="Times New Roman" w:hAnsi="Times New Roman" w:cs="Times New Roman"/>
          <w:sz w:val="24"/>
          <w:szCs w:val="24"/>
        </w:rPr>
      </w:pPr>
      <w:r w:rsidRPr="007A5FF2">
        <w:rPr>
          <w:rFonts w:ascii="Times New Roman" w:hAnsi="Times New Roman" w:cs="Times New Roman"/>
          <w:sz w:val="24"/>
          <w:szCs w:val="24"/>
        </w:rPr>
        <w:t>In the Matter of the Commission’s Review</w:t>
      </w:r>
      <w:r w:rsidRPr="007A5FF2">
        <w:rPr>
          <w:rFonts w:ascii="Times New Roman" w:hAnsi="Times New Roman" w:cs="Times New Roman"/>
          <w:sz w:val="24"/>
          <w:szCs w:val="24"/>
        </w:rPr>
        <w:tab/>
        <w:t>)</w:t>
      </w:r>
    </w:p>
    <w:p w:rsidR="00CB07F3" w:rsidRPr="007A5FF2" w:rsidP="00CB07F3" w14:paraId="5F0C988E" w14:textId="77777777">
      <w:pPr>
        <w:spacing w:after="0" w:line="240" w:lineRule="auto"/>
        <w:rPr>
          <w:rFonts w:ascii="Times New Roman" w:hAnsi="Times New Roman" w:cs="Times New Roman"/>
          <w:sz w:val="24"/>
          <w:szCs w:val="24"/>
        </w:rPr>
      </w:pPr>
      <w:r w:rsidRPr="007A5FF2">
        <w:rPr>
          <w:rFonts w:ascii="Times New Roman" w:hAnsi="Times New Roman" w:cs="Times New Roman"/>
          <w:sz w:val="24"/>
          <w:szCs w:val="24"/>
        </w:rPr>
        <w:t>of Chapter 4901:1-35 of the Ohio</w:t>
      </w:r>
      <w:r w:rsidRPr="007A5FF2">
        <w:rPr>
          <w:rFonts w:ascii="Times New Roman" w:hAnsi="Times New Roman" w:cs="Times New Roman"/>
          <w:sz w:val="24"/>
          <w:szCs w:val="24"/>
        </w:rPr>
        <w:tab/>
      </w:r>
      <w:r w:rsidRPr="007A5FF2">
        <w:rPr>
          <w:rFonts w:ascii="Times New Roman" w:hAnsi="Times New Roman" w:cs="Times New Roman"/>
          <w:sz w:val="24"/>
          <w:szCs w:val="24"/>
        </w:rPr>
        <w:tab/>
        <w:t xml:space="preserve">) </w:t>
      </w:r>
      <w:r w:rsidRPr="007A5FF2">
        <w:rPr>
          <w:rFonts w:ascii="Times New Roman" w:hAnsi="Times New Roman" w:cs="Times New Roman"/>
          <w:sz w:val="24"/>
          <w:szCs w:val="24"/>
        </w:rPr>
        <w:tab/>
        <w:t>Case No. 18-1188-EL-ORD</w:t>
      </w:r>
    </w:p>
    <w:p w:rsidR="00CB07F3" w:rsidRPr="007A5FF2" w:rsidP="00CB07F3" w14:paraId="01457348" w14:textId="77777777">
      <w:pPr>
        <w:spacing w:after="0" w:line="240" w:lineRule="auto"/>
        <w:rPr>
          <w:rFonts w:ascii="Times New Roman" w:hAnsi="Times New Roman" w:cs="Times New Roman"/>
          <w:sz w:val="24"/>
          <w:szCs w:val="24"/>
        </w:rPr>
      </w:pPr>
      <w:r w:rsidRPr="007A5FF2">
        <w:rPr>
          <w:rFonts w:ascii="Times New Roman" w:hAnsi="Times New Roman" w:cs="Times New Roman"/>
          <w:sz w:val="24"/>
          <w:szCs w:val="24"/>
        </w:rPr>
        <w:t>Administrative Code.</w:t>
      </w:r>
      <w:r w:rsidRPr="007A5FF2">
        <w:rPr>
          <w:rFonts w:ascii="Times New Roman" w:hAnsi="Times New Roman" w:cs="Times New Roman"/>
          <w:sz w:val="24"/>
          <w:szCs w:val="24"/>
        </w:rPr>
        <w:tab/>
      </w:r>
      <w:r w:rsidRPr="007A5FF2">
        <w:rPr>
          <w:rFonts w:ascii="Times New Roman" w:hAnsi="Times New Roman" w:cs="Times New Roman"/>
          <w:sz w:val="24"/>
          <w:szCs w:val="24"/>
        </w:rPr>
        <w:tab/>
      </w:r>
      <w:r w:rsidRPr="007A5FF2">
        <w:rPr>
          <w:rFonts w:ascii="Times New Roman" w:hAnsi="Times New Roman" w:cs="Times New Roman"/>
          <w:sz w:val="24"/>
          <w:szCs w:val="24"/>
        </w:rPr>
        <w:tab/>
      </w:r>
      <w:r w:rsidRPr="007A5FF2">
        <w:rPr>
          <w:rFonts w:ascii="Times New Roman" w:hAnsi="Times New Roman" w:cs="Times New Roman"/>
          <w:sz w:val="24"/>
          <w:szCs w:val="24"/>
        </w:rPr>
        <w:tab/>
        <w:t>)</w:t>
      </w:r>
    </w:p>
    <w:p w:rsidR="0099412E" w:rsidRPr="007A5FF2" w:rsidP="0099412E" w14:paraId="0E13689A" w14:textId="77777777">
      <w:pPr>
        <w:pBdr>
          <w:bottom w:val="single" w:sz="12" w:space="1" w:color="auto"/>
        </w:pBdr>
        <w:autoSpaceDE w:val="0"/>
        <w:autoSpaceDN w:val="0"/>
        <w:adjustRightInd w:val="0"/>
        <w:spacing w:after="0" w:line="240" w:lineRule="auto"/>
        <w:rPr>
          <w:rFonts w:ascii="Times New Roman" w:eastAsia="Calibri" w:hAnsi="Times New Roman" w:cs="Times New Roman"/>
          <w:sz w:val="24"/>
          <w:szCs w:val="24"/>
        </w:rPr>
      </w:pPr>
    </w:p>
    <w:p w:rsidR="0099412E" w:rsidRPr="007A5FF2" w:rsidP="0099412E" w14:paraId="19A08442" w14:textId="77777777">
      <w:pPr>
        <w:autoSpaceDE w:val="0"/>
        <w:autoSpaceDN w:val="0"/>
        <w:adjustRightInd w:val="0"/>
        <w:spacing w:after="0" w:line="240" w:lineRule="auto"/>
        <w:rPr>
          <w:rFonts w:ascii="Times New Roman" w:eastAsia="Calibri" w:hAnsi="Times New Roman" w:cs="Times New Roman"/>
          <w:sz w:val="24"/>
          <w:szCs w:val="24"/>
        </w:rPr>
      </w:pPr>
    </w:p>
    <w:p w:rsidR="00810B40" w:rsidRPr="007A5FF2" w:rsidP="00810B40" w14:paraId="633B0DD3" w14:textId="77777777">
      <w:pPr>
        <w:widowControl w:val="0"/>
        <w:spacing w:after="0" w:line="240" w:lineRule="auto"/>
        <w:jc w:val="center"/>
        <w:rPr>
          <w:rFonts w:ascii="Times New Roman" w:hAnsi="Times New Roman" w:cs="Times New Roman"/>
          <w:b/>
          <w:sz w:val="24"/>
          <w:szCs w:val="24"/>
        </w:rPr>
      </w:pPr>
      <w:r w:rsidRPr="007A5FF2">
        <w:rPr>
          <w:rFonts w:ascii="Times New Roman" w:hAnsi="Times New Roman" w:cs="Times New Roman"/>
          <w:b/>
          <w:sz w:val="24"/>
          <w:szCs w:val="24"/>
        </w:rPr>
        <w:t xml:space="preserve">MEMORANDUM IN SUPPORT OF APPLICATION FOR REHEARING </w:t>
      </w:r>
    </w:p>
    <w:p w:rsidR="00810B40" w:rsidRPr="007A5FF2" w:rsidP="00810B40" w14:paraId="4B7109AF" w14:textId="77777777">
      <w:pPr>
        <w:widowControl w:val="0"/>
        <w:spacing w:after="0" w:line="240" w:lineRule="auto"/>
        <w:jc w:val="center"/>
        <w:rPr>
          <w:rFonts w:ascii="Times New Roman" w:hAnsi="Times New Roman" w:cs="Times New Roman"/>
          <w:b/>
          <w:sz w:val="24"/>
          <w:szCs w:val="24"/>
        </w:rPr>
      </w:pPr>
      <w:r w:rsidRPr="007A5FF2">
        <w:rPr>
          <w:rFonts w:ascii="Times New Roman" w:hAnsi="Times New Roman" w:cs="Times New Roman"/>
          <w:b/>
          <w:sz w:val="24"/>
          <w:szCs w:val="24"/>
        </w:rPr>
        <w:t xml:space="preserve">REGARDING RULES FOR ELECTRIC SECURITY PLAN APPLICATIONS </w:t>
      </w:r>
    </w:p>
    <w:p w:rsidR="00810B40" w:rsidRPr="007A5FF2" w:rsidP="00810B40" w14:paraId="4A8D690C" w14:textId="77777777">
      <w:pPr>
        <w:widowControl w:val="0"/>
        <w:spacing w:after="0" w:line="240" w:lineRule="auto"/>
        <w:jc w:val="center"/>
        <w:rPr>
          <w:rFonts w:ascii="Times New Roman" w:hAnsi="Times New Roman" w:cs="Times New Roman"/>
          <w:b/>
          <w:sz w:val="24"/>
          <w:szCs w:val="24"/>
        </w:rPr>
      </w:pPr>
      <w:r w:rsidRPr="007A5FF2">
        <w:rPr>
          <w:rFonts w:ascii="Times New Roman" w:hAnsi="Times New Roman" w:cs="Times New Roman"/>
          <w:b/>
          <w:sz w:val="24"/>
          <w:szCs w:val="24"/>
        </w:rPr>
        <w:t>BY</w:t>
      </w:r>
    </w:p>
    <w:p w:rsidR="00810B40" w:rsidRPr="007A5FF2" w:rsidP="00810B40" w14:paraId="2E03CF79" w14:textId="77777777">
      <w:pPr>
        <w:widowControl w:val="0"/>
        <w:spacing w:after="0" w:line="240" w:lineRule="auto"/>
        <w:jc w:val="center"/>
        <w:rPr>
          <w:rFonts w:ascii="Times New Roman" w:hAnsi="Times New Roman" w:cs="Times New Roman"/>
          <w:b/>
          <w:bCs/>
          <w:sz w:val="24"/>
          <w:szCs w:val="24"/>
        </w:rPr>
      </w:pPr>
      <w:r w:rsidRPr="007A5FF2">
        <w:rPr>
          <w:rFonts w:ascii="Times New Roman" w:hAnsi="Times New Roman" w:cs="Times New Roman"/>
          <w:b/>
          <w:sz w:val="24"/>
          <w:szCs w:val="24"/>
        </w:rPr>
        <w:t>THE OFFICE OF THE OHIO CONSUMERS’ COUNSEL</w:t>
      </w:r>
    </w:p>
    <w:p w:rsidR="0099412E" w:rsidRPr="007A5FF2" w:rsidP="0099412E" w14:paraId="6D6042F6" w14:textId="77777777">
      <w:pPr>
        <w:pBdr>
          <w:bottom w:val="single" w:sz="12" w:space="1" w:color="auto"/>
        </w:pBdr>
        <w:autoSpaceDE w:val="0"/>
        <w:autoSpaceDN w:val="0"/>
        <w:adjustRightInd w:val="0"/>
        <w:spacing w:after="0" w:line="240" w:lineRule="auto"/>
        <w:jc w:val="center"/>
        <w:rPr>
          <w:rFonts w:ascii="Times New Roman" w:eastAsia="Calibri" w:hAnsi="Times New Roman" w:cs="Times New Roman"/>
          <w:b/>
          <w:bCs/>
          <w:sz w:val="24"/>
          <w:szCs w:val="24"/>
        </w:rPr>
      </w:pPr>
    </w:p>
    <w:p w:rsidR="0099412E" w:rsidRPr="007A5FF2" w:rsidP="00C04F4C" w14:paraId="20F5BA80" w14:textId="77777777">
      <w:pPr>
        <w:pStyle w:val="Heading1"/>
        <w:numPr>
          <w:ilvl w:val="0"/>
          <w:numId w:val="0"/>
        </w:numPr>
        <w:rPr>
          <w:rFonts w:eastAsia="Times New Roman"/>
        </w:rPr>
      </w:pPr>
    </w:p>
    <w:p w:rsidR="00141BD6" w:rsidRPr="007A5FF2" w:rsidP="0053578E" w14:paraId="0E007FF8" w14:textId="77777777">
      <w:pPr>
        <w:pStyle w:val="Heading1"/>
      </w:pPr>
      <w:bookmarkStart w:id="2" w:name="_Toc44947232"/>
      <w:r w:rsidRPr="007A5FF2">
        <w:t>INTRODUCTION</w:t>
      </w:r>
      <w:bookmarkEnd w:id="2"/>
      <w:r w:rsidRPr="007A5FF2">
        <w:t xml:space="preserve"> </w:t>
      </w:r>
    </w:p>
    <w:p w:rsidR="000F6CAE" w:rsidRPr="007A5FF2" w:rsidP="00C9790B" w14:paraId="188296FD" w14:textId="0F275291">
      <w:pPr>
        <w:spacing w:after="0" w:line="480" w:lineRule="auto"/>
        <w:ind w:firstLine="720"/>
        <w:rPr>
          <w:rFonts w:ascii="Times New Roman" w:hAnsi="Times New Roman" w:cs="Times New Roman"/>
          <w:sz w:val="24"/>
          <w:szCs w:val="24"/>
        </w:rPr>
      </w:pPr>
      <w:r w:rsidRPr="007A5FF2">
        <w:rPr>
          <w:rFonts w:ascii="Times New Roman" w:hAnsi="Times New Roman" w:cs="Times New Roman"/>
          <w:sz w:val="24"/>
          <w:szCs w:val="24"/>
        </w:rPr>
        <w:t>The electric security plan statute</w:t>
      </w:r>
      <w:r>
        <w:rPr>
          <w:rStyle w:val="FootnoteReference"/>
          <w:rFonts w:ascii="Times New Roman" w:hAnsi="Times New Roman" w:cs="Times New Roman"/>
          <w:sz w:val="24"/>
          <w:szCs w:val="24"/>
        </w:rPr>
        <w:footnoteReference w:id="3"/>
      </w:r>
      <w:r w:rsidRPr="007A5FF2">
        <w:rPr>
          <w:rFonts w:ascii="Times New Roman" w:hAnsi="Times New Roman" w:cs="Times New Roman"/>
          <w:sz w:val="24"/>
          <w:szCs w:val="24"/>
        </w:rPr>
        <w:t xml:space="preserve"> has proven a boon for electric utilities </w:t>
      </w:r>
      <w:r w:rsidRPr="007A5FF2" w:rsidR="00596F4F">
        <w:rPr>
          <w:rFonts w:ascii="Times New Roman" w:hAnsi="Times New Roman" w:cs="Times New Roman"/>
          <w:sz w:val="24"/>
          <w:szCs w:val="24"/>
        </w:rPr>
        <w:t xml:space="preserve">to the detriment </w:t>
      </w:r>
      <w:r w:rsidRPr="007A5FF2" w:rsidR="00BD7F86">
        <w:rPr>
          <w:rFonts w:ascii="Times New Roman" w:hAnsi="Times New Roman" w:cs="Times New Roman"/>
          <w:sz w:val="24"/>
          <w:szCs w:val="24"/>
        </w:rPr>
        <w:t>of</w:t>
      </w:r>
      <w:r w:rsidRPr="007A5FF2">
        <w:rPr>
          <w:rFonts w:ascii="Times New Roman" w:hAnsi="Times New Roman" w:cs="Times New Roman"/>
          <w:sz w:val="24"/>
          <w:szCs w:val="24"/>
        </w:rPr>
        <w:t xml:space="preserve"> consumers.  From </w:t>
      </w:r>
      <w:r w:rsidRPr="007A5FF2" w:rsidR="0074444A">
        <w:rPr>
          <w:rFonts w:ascii="Times New Roman" w:hAnsi="Times New Roman" w:cs="Times New Roman"/>
          <w:sz w:val="24"/>
          <w:szCs w:val="24"/>
        </w:rPr>
        <w:t xml:space="preserve">a </w:t>
      </w:r>
      <w:r w:rsidRPr="007A5FF2">
        <w:rPr>
          <w:rFonts w:ascii="Times New Roman" w:hAnsi="Times New Roman" w:cs="Times New Roman"/>
          <w:sz w:val="24"/>
          <w:szCs w:val="24"/>
        </w:rPr>
        <w:t>power purchase agreement rider,</w:t>
      </w:r>
      <w:r>
        <w:rPr>
          <w:rStyle w:val="FootnoteReference"/>
          <w:rFonts w:ascii="Times New Roman" w:hAnsi="Times New Roman" w:cs="Times New Roman"/>
          <w:sz w:val="24"/>
          <w:szCs w:val="24"/>
        </w:rPr>
        <w:footnoteReference w:id="4"/>
      </w:r>
      <w:r w:rsidRPr="007A5FF2">
        <w:rPr>
          <w:rFonts w:ascii="Times New Roman" w:hAnsi="Times New Roman" w:cs="Times New Roman"/>
          <w:sz w:val="24"/>
          <w:szCs w:val="24"/>
        </w:rPr>
        <w:t xml:space="preserve"> to </w:t>
      </w:r>
      <w:r w:rsidRPr="007A5FF2" w:rsidR="0074444A">
        <w:rPr>
          <w:rFonts w:ascii="Times New Roman" w:hAnsi="Times New Roman" w:cs="Times New Roman"/>
          <w:sz w:val="24"/>
          <w:szCs w:val="24"/>
        </w:rPr>
        <w:t xml:space="preserve">a </w:t>
      </w:r>
      <w:r w:rsidRPr="007A5FF2">
        <w:rPr>
          <w:rFonts w:ascii="Times New Roman" w:hAnsi="Times New Roman" w:cs="Times New Roman"/>
          <w:sz w:val="24"/>
          <w:szCs w:val="24"/>
        </w:rPr>
        <w:t>distribution modernization rider,</w:t>
      </w:r>
      <w:r>
        <w:rPr>
          <w:rStyle w:val="FootnoteReference"/>
          <w:rFonts w:ascii="Times New Roman" w:hAnsi="Times New Roman" w:cs="Times New Roman"/>
          <w:sz w:val="24"/>
          <w:szCs w:val="24"/>
        </w:rPr>
        <w:footnoteReference w:id="5"/>
      </w:r>
      <w:r w:rsidRPr="007A5FF2" w:rsidR="0074444A">
        <w:rPr>
          <w:rFonts w:ascii="Times New Roman" w:hAnsi="Times New Roman" w:cs="Times New Roman"/>
          <w:sz w:val="24"/>
          <w:szCs w:val="24"/>
        </w:rPr>
        <w:t xml:space="preserve"> to a stability charge, to a financial integrity rider, and others,</w:t>
      </w:r>
      <w:r w:rsidRPr="007A5FF2">
        <w:rPr>
          <w:rFonts w:ascii="Times New Roman" w:hAnsi="Times New Roman" w:cs="Times New Roman"/>
          <w:sz w:val="24"/>
          <w:szCs w:val="24"/>
        </w:rPr>
        <w:t xml:space="preserve"> electric utilities have charg</w:t>
      </w:r>
      <w:r w:rsidRPr="007A5FF2" w:rsidR="0074444A">
        <w:rPr>
          <w:rFonts w:ascii="Times New Roman" w:hAnsi="Times New Roman" w:cs="Times New Roman"/>
          <w:sz w:val="24"/>
          <w:szCs w:val="24"/>
        </w:rPr>
        <w:t>ed</w:t>
      </w:r>
      <w:r w:rsidRPr="007A5FF2" w:rsidR="00606FAF">
        <w:rPr>
          <w:rFonts w:ascii="Times New Roman" w:hAnsi="Times New Roman" w:cs="Times New Roman"/>
          <w:sz w:val="24"/>
          <w:szCs w:val="24"/>
        </w:rPr>
        <w:t xml:space="preserve"> </w:t>
      </w:r>
      <w:r w:rsidRPr="007A5FF2">
        <w:rPr>
          <w:rFonts w:ascii="Times New Roman" w:hAnsi="Times New Roman" w:cs="Times New Roman"/>
          <w:sz w:val="24"/>
          <w:szCs w:val="24"/>
        </w:rPr>
        <w:t xml:space="preserve">consumers hundreds of millions of dollars for </w:t>
      </w:r>
      <w:r w:rsidRPr="007A5FF2" w:rsidR="00887DC8">
        <w:rPr>
          <w:rFonts w:ascii="Times New Roman" w:hAnsi="Times New Roman" w:cs="Times New Roman"/>
          <w:sz w:val="24"/>
          <w:szCs w:val="24"/>
        </w:rPr>
        <w:t>utility-</w:t>
      </w:r>
      <w:r w:rsidRPr="007A5FF2" w:rsidR="003560EA">
        <w:rPr>
          <w:rFonts w:ascii="Times New Roman" w:hAnsi="Times New Roman" w:cs="Times New Roman"/>
          <w:sz w:val="24"/>
          <w:szCs w:val="24"/>
        </w:rPr>
        <w:t xml:space="preserve">favorable </w:t>
      </w:r>
      <w:r w:rsidRPr="007A5FF2" w:rsidR="0074444A">
        <w:rPr>
          <w:rFonts w:ascii="Times New Roman" w:hAnsi="Times New Roman" w:cs="Times New Roman"/>
          <w:sz w:val="24"/>
          <w:szCs w:val="24"/>
        </w:rPr>
        <w:t>riders</w:t>
      </w:r>
      <w:r w:rsidRPr="007A5FF2">
        <w:rPr>
          <w:rFonts w:ascii="Times New Roman" w:hAnsi="Times New Roman" w:cs="Times New Roman"/>
          <w:sz w:val="24"/>
          <w:szCs w:val="24"/>
        </w:rPr>
        <w:t xml:space="preserve"> in electric security plans.</w:t>
      </w:r>
      <w:r w:rsidRPr="007A5FF2" w:rsidR="00FD6F39">
        <w:rPr>
          <w:rFonts w:ascii="Times New Roman" w:hAnsi="Times New Roman" w:cs="Times New Roman"/>
          <w:sz w:val="24"/>
          <w:szCs w:val="24"/>
        </w:rPr>
        <w:t xml:space="preserve"> </w:t>
      </w:r>
      <w:r w:rsidRPr="007A5FF2" w:rsidR="00AF2A7A">
        <w:rPr>
          <w:rFonts w:ascii="Times New Roman" w:hAnsi="Times New Roman" w:cs="Times New Roman"/>
          <w:sz w:val="24"/>
          <w:szCs w:val="24"/>
        </w:rPr>
        <w:t xml:space="preserve"> Here the PUCO has an opportunity to protect consumers.  It should do so.</w:t>
      </w:r>
      <w:r w:rsidRPr="007A5FF2" w:rsidR="00FD6F39">
        <w:rPr>
          <w:rFonts w:ascii="Times New Roman" w:hAnsi="Times New Roman" w:cs="Times New Roman"/>
          <w:sz w:val="24"/>
          <w:szCs w:val="24"/>
        </w:rPr>
        <w:t xml:space="preserve"> </w:t>
      </w:r>
    </w:p>
    <w:p w:rsidR="004E1FEB" w:rsidRPr="007A5FF2" w:rsidP="00C9790B" w14:paraId="56C17441" w14:textId="338D7BA4">
      <w:pPr>
        <w:spacing w:after="0" w:line="480" w:lineRule="auto"/>
        <w:ind w:firstLine="720"/>
        <w:rPr>
          <w:rFonts w:ascii="Times New Roman" w:hAnsi="Times New Roman" w:cs="Times New Roman"/>
          <w:sz w:val="24"/>
          <w:szCs w:val="24"/>
        </w:rPr>
      </w:pPr>
      <w:r w:rsidRPr="007A5FF2">
        <w:rPr>
          <w:rFonts w:ascii="Times New Roman" w:hAnsi="Times New Roman" w:cs="Times New Roman"/>
          <w:sz w:val="24"/>
          <w:szCs w:val="24"/>
        </w:rPr>
        <w:t xml:space="preserve">As part of this rules review, the PUCO should adopt the consumer protections recommended by OCC.  First, the PUCO should require electric utilities proposing a distribution infrastructure modernization plan as part of their electric security plan application to also include a provision for </w:t>
      </w:r>
      <w:r w:rsidRPr="007A5FF2" w:rsidR="00E376CF">
        <w:rPr>
          <w:rFonts w:ascii="Times New Roman" w:hAnsi="Times New Roman" w:cs="Times New Roman"/>
          <w:sz w:val="24"/>
          <w:szCs w:val="24"/>
        </w:rPr>
        <w:t xml:space="preserve">giving consumers </w:t>
      </w:r>
      <w:r w:rsidRPr="007A5FF2">
        <w:rPr>
          <w:rFonts w:ascii="Times New Roman" w:hAnsi="Times New Roman" w:cs="Times New Roman"/>
          <w:sz w:val="24"/>
          <w:szCs w:val="24"/>
        </w:rPr>
        <w:t xml:space="preserve"> </w:t>
      </w:r>
      <w:r w:rsidRPr="007A5FF2" w:rsidR="00247638">
        <w:rPr>
          <w:rFonts w:ascii="Times New Roman" w:hAnsi="Times New Roman" w:cs="Times New Roman"/>
          <w:sz w:val="24"/>
          <w:szCs w:val="24"/>
        </w:rPr>
        <w:t xml:space="preserve">all </w:t>
      </w:r>
      <w:r w:rsidRPr="007A5FF2">
        <w:rPr>
          <w:rFonts w:ascii="Times New Roman" w:hAnsi="Times New Roman" w:cs="Times New Roman"/>
          <w:sz w:val="24"/>
          <w:szCs w:val="24"/>
        </w:rPr>
        <w:t>operation</w:t>
      </w:r>
      <w:r w:rsidRPr="007A5FF2" w:rsidR="00BE62C5">
        <w:rPr>
          <w:rFonts w:ascii="Times New Roman" w:hAnsi="Times New Roman" w:cs="Times New Roman"/>
          <w:sz w:val="24"/>
          <w:szCs w:val="24"/>
        </w:rPr>
        <w:t>al</w:t>
      </w:r>
      <w:r w:rsidRPr="007A5FF2">
        <w:rPr>
          <w:rFonts w:ascii="Times New Roman" w:hAnsi="Times New Roman" w:cs="Times New Roman"/>
          <w:sz w:val="24"/>
          <w:szCs w:val="24"/>
        </w:rPr>
        <w:t xml:space="preserve"> savings from the </w:t>
      </w:r>
      <w:r w:rsidRPr="007A5FF2" w:rsidR="00E376CF">
        <w:rPr>
          <w:rFonts w:ascii="Times New Roman" w:hAnsi="Times New Roman" w:cs="Times New Roman"/>
          <w:sz w:val="24"/>
          <w:szCs w:val="24"/>
        </w:rPr>
        <w:t>distribution investment that they fund</w:t>
      </w:r>
      <w:r w:rsidRPr="007A5FF2" w:rsidR="00AF2A7A">
        <w:rPr>
          <w:rFonts w:ascii="Times New Roman" w:hAnsi="Times New Roman" w:cs="Times New Roman"/>
          <w:sz w:val="24"/>
          <w:szCs w:val="24"/>
        </w:rPr>
        <w:t xml:space="preserve"> as soon as possible (rather than waiting for a rate case)</w:t>
      </w:r>
      <w:r w:rsidRPr="007A5FF2" w:rsidR="00E376CF">
        <w:rPr>
          <w:rFonts w:ascii="Times New Roman" w:hAnsi="Times New Roman" w:cs="Times New Roman"/>
          <w:sz w:val="24"/>
          <w:szCs w:val="24"/>
        </w:rPr>
        <w:t xml:space="preserve">.  </w:t>
      </w:r>
      <w:r w:rsidRPr="007A5FF2">
        <w:rPr>
          <w:rFonts w:ascii="Times New Roman" w:hAnsi="Times New Roman" w:cs="Times New Roman"/>
          <w:sz w:val="24"/>
          <w:szCs w:val="24"/>
        </w:rPr>
        <w:t xml:space="preserve"> Second, the PUCO should require that electric utilities proposing </w:t>
      </w:r>
      <w:r w:rsidRPr="007A5FF2" w:rsidR="000F6CAE">
        <w:rPr>
          <w:rFonts w:ascii="Times New Roman" w:hAnsi="Times New Roman" w:cs="Times New Roman"/>
          <w:sz w:val="24"/>
          <w:szCs w:val="24"/>
        </w:rPr>
        <w:t>to charge customers for “</w:t>
      </w:r>
      <w:r w:rsidRPr="007A5FF2">
        <w:rPr>
          <w:rFonts w:ascii="Times New Roman" w:hAnsi="Times New Roman" w:cs="Times New Roman"/>
          <w:sz w:val="24"/>
          <w:szCs w:val="24"/>
        </w:rPr>
        <w:t>placeholder riders</w:t>
      </w:r>
      <w:r w:rsidRPr="007A5FF2" w:rsidR="000F6CAE">
        <w:rPr>
          <w:rFonts w:ascii="Times New Roman" w:hAnsi="Times New Roman" w:cs="Times New Roman"/>
          <w:sz w:val="24"/>
          <w:szCs w:val="24"/>
        </w:rPr>
        <w:t>”</w:t>
      </w:r>
      <w:r w:rsidRPr="007A5FF2">
        <w:rPr>
          <w:rFonts w:ascii="Times New Roman" w:hAnsi="Times New Roman" w:cs="Times New Roman"/>
          <w:sz w:val="24"/>
          <w:szCs w:val="24"/>
        </w:rPr>
        <w:t xml:space="preserve"> include cost projections for the riders</w:t>
      </w:r>
      <w:r w:rsidRPr="007A5FF2" w:rsidR="000F6CAE">
        <w:rPr>
          <w:rFonts w:ascii="Times New Roman" w:hAnsi="Times New Roman" w:cs="Times New Roman"/>
          <w:sz w:val="24"/>
          <w:szCs w:val="24"/>
        </w:rPr>
        <w:t>; otherwise the riders should not be approved</w:t>
      </w:r>
      <w:r w:rsidRPr="007A5FF2">
        <w:rPr>
          <w:rFonts w:ascii="Times New Roman" w:hAnsi="Times New Roman" w:cs="Times New Roman"/>
          <w:sz w:val="24"/>
          <w:szCs w:val="24"/>
        </w:rPr>
        <w:t xml:space="preserve">. </w:t>
      </w:r>
      <w:r w:rsidRPr="007A5FF2" w:rsidR="000F6CAE">
        <w:rPr>
          <w:rFonts w:ascii="Times New Roman" w:hAnsi="Times New Roman" w:cs="Times New Roman"/>
          <w:sz w:val="24"/>
          <w:szCs w:val="24"/>
        </w:rPr>
        <w:t xml:space="preserve">Cost projections are necessary for the PUCO to fulfill its duty under the law to approve electric security plans only if </w:t>
      </w:r>
      <w:r w:rsidRPr="007A5FF2" w:rsidR="00E376CF">
        <w:rPr>
          <w:rFonts w:ascii="Times New Roman" w:hAnsi="Times New Roman" w:cs="Times New Roman"/>
          <w:sz w:val="24"/>
          <w:szCs w:val="24"/>
        </w:rPr>
        <w:t xml:space="preserve">customers </w:t>
      </w:r>
      <w:r w:rsidRPr="007A5FF2" w:rsidR="000F6CAE">
        <w:rPr>
          <w:rFonts w:ascii="Times New Roman" w:hAnsi="Times New Roman" w:cs="Times New Roman"/>
          <w:sz w:val="24"/>
          <w:szCs w:val="24"/>
        </w:rPr>
        <w:t xml:space="preserve">pay </w:t>
      </w:r>
      <w:r w:rsidRPr="007A5FF2" w:rsidR="00E376CF">
        <w:rPr>
          <w:rFonts w:ascii="Times New Roman" w:hAnsi="Times New Roman" w:cs="Times New Roman"/>
          <w:sz w:val="24"/>
          <w:szCs w:val="24"/>
        </w:rPr>
        <w:t xml:space="preserve">lower rates under the electric security plan than they would pay for a market plan, </w:t>
      </w:r>
      <w:r w:rsidRPr="007A5FF2" w:rsidR="00887DC8">
        <w:rPr>
          <w:rFonts w:ascii="Times New Roman" w:hAnsi="Times New Roman" w:cs="Times New Roman"/>
          <w:sz w:val="24"/>
          <w:szCs w:val="24"/>
        </w:rPr>
        <w:t>And the PUCO should require that utility charges in electric security plans be made subject to refund, to protect consumers in the event of Ohio Supreme Court reversals and other changes.</w:t>
      </w:r>
    </w:p>
    <w:p w:rsidR="00B05388" w:rsidRPr="007A5FF2" w:rsidP="00B05388" w14:paraId="7F575CAA" w14:textId="38A33FF6">
      <w:pPr>
        <w:spacing w:after="0" w:line="480" w:lineRule="auto"/>
        <w:ind w:firstLine="720"/>
        <w:rPr>
          <w:rFonts w:ascii="Times New Roman" w:hAnsi="Times New Roman" w:cs="Times New Roman"/>
          <w:sz w:val="24"/>
          <w:szCs w:val="24"/>
        </w:rPr>
      </w:pPr>
      <w:r w:rsidRPr="007A5FF2">
        <w:rPr>
          <w:rFonts w:ascii="Times New Roman" w:hAnsi="Times New Roman" w:cs="Times New Roman"/>
          <w:sz w:val="24"/>
          <w:szCs w:val="24"/>
        </w:rPr>
        <w:t>The PUCO’s failure to act to protect customers was unreasonable</w:t>
      </w:r>
      <w:r w:rsidRPr="007A5FF2" w:rsidR="004E1FEB">
        <w:rPr>
          <w:rFonts w:ascii="Times New Roman" w:hAnsi="Times New Roman" w:cs="Times New Roman"/>
          <w:sz w:val="24"/>
          <w:szCs w:val="24"/>
        </w:rPr>
        <w:t xml:space="preserve"> and unlawful</w:t>
      </w:r>
      <w:r w:rsidRPr="007A5FF2">
        <w:rPr>
          <w:rFonts w:ascii="Times New Roman" w:hAnsi="Times New Roman" w:cs="Times New Roman"/>
          <w:sz w:val="24"/>
          <w:szCs w:val="24"/>
        </w:rPr>
        <w:t xml:space="preserve">. </w:t>
      </w:r>
    </w:p>
    <w:p w:rsidR="0053578E" w:rsidRPr="007A5FF2" w:rsidP="0053578E" w14:paraId="1496F0FF" w14:textId="77777777">
      <w:pPr>
        <w:spacing w:after="0" w:line="240" w:lineRule="auto"/>
        <w:ind w:firstLine="720"/>
        <w:rPr>
          <w:rFonts w:ascii="Times New Roman" w:hAnsi="Times New Roman" w:cs="Times New Roman"/>
          <w:sz w:val="24"/>
          <w:szCs w:val="24"/>
        </w:rPr>
      </w:pPr>
    </w:p>
    <w:p w:rsidR="00141BD6" w:rsidRPr="007A5FF2" w:rsidP="0053578E" w14:paraId="558AEFED" w14:textId="77777777">
      <w:pPr>
        <w:pStyle w:val="Heading1"/>
      </w:pPr>
      <w:bookmarkStart w:id="3" w:name="_Toc44947233"/>
      <w:r w:rsidRPr="007A5FF2">
        <w:t>STANDARD OF REVIEW</w:t>
      </w:r>
      <w:bookmarkEnd w:id="3"/>
    </w:p>
    <w:p w:rsidR="00141BD6" w:rsidRPr="007A5FF2" w:rsidP="00141BD6" w14:paraId="4E232ED7" w14:textId="353BAF69">
      <w:pPr>
        <w:spacing w:after="0" w:line="480" w:lineRule="auto"/>
        <w:ind w:firstLine="720"/>
        <w:rPr>
          <w:rFonts w:ascii="Times New Roman" w:hAnsi="Times New Roman" w:cs="Times New Roman"/>
          <w:sz w:val="24"/>
          <w:szCs w:val="24"/>
        </w:rPr>
      </w:pPr>
      <w:r w:rsidRPr="007A5FF2">
        <w:rPr>
          <w:rFonts w:ascii="Times New Roman" w:hAnsi="Times New Roman" w:cs="Times New Roman"/>
          <w:sz w:val="24"/>
          <w:szCs w:val="24"/>
        </w:rPr>
        <w:t xml:space="preserve">Applications for rehearing are governed by R.C. 4903.10, which provides that within 30 days after issuance of a PUCO order, “any party who has entered an appearance in person or by counsel in the proceeding may apply for rehearing in respect to any matters determined in the proceeding.” OCC entered an appearance through its </w:t>
      </w:r>
      <w:r w:rsidRPr="007A5FF2" w:rsidR="00E376CF">
        <w:rPr>
          <w:rFonts w:ascii="Times New Roman" w:hAnsi="Times New Roman" w:cs="Times New Roman"/>
          <w:sz w:val="24"/>
          <w:szCs w:val="24"/>
        </w:rPr>
        <w:t>m</w:t>
      </w:r>
      <w:r w:rsidRPr="007A5FF2">
        <w:rPr>
          <w:rFonts w:ascii="Times New Roman" w:hAnsi="Times New Roman" w:cs="Times New Roman"/>
          <w:sz w:val="24"/>
          <w:szCs w:val="24"/>
        </w:rPr>
        <w:t xml:space="preserve">otion to </w:t>
      </w:r>
      <w:r w:rsidRPr="007A5FF2" w:rsidR="00E376CF">
        <w:rPr>
          <w:rFonts w:ascii="Times New Roman" w:hAnsi="Times New Roman" w:cs="Times New Roman"/>
          <w:sz w:val="24"/>
          <w:szCs w:val="24"/>
        </w:rPr>
        <w:t>i</w:t>
      </w:r>
      <w:r w:rsidRPr="007A5FF2">
        <w:rPr>
          <w:rFonts w:ascii="Times New Roman" w:hAnsi="Times New Roman" w:cs="Times New Roman"/>
          <w:sz w:val="24"/>
          <w:szCs w:val="24"/>
        </w:rPr>
        <w:t>ntervene in this case</w:t>
      </w:r>
      <w:r w:rsidRPr="007A5FF2" w:rsidR="00FD6F39">
        <w:rPr>
          <w:rFonts w:ascii="Times New Roman" w:hAnsi="Times New Roman" w:cs="Times New Roman"/>
          <w:sz w:val="24"/>
          <w:szCs w:val="24"/>
        </w:rPr>
        <w:t xml:space="preserve"> and filed comments</w:t>
      </w:r>
      <w:r w:rsidRPr="007A5FF2">
        <w:rPr>
          <w:rFonts w:ascii="Times New Roman" w:hAnsi="Times New Roman" w:cs="Times New Roman"/>
          <w:sz w:val="24"/>
          <w:szCs w:val="24"/>
        </w:rPr>
        <w:t>.</w:t>
      </w:r>
    </w:p>
    <w:p w:rsidR="00141BD6" w:rsidRPr="007A5FF2" w:rsidP="00141BD6" w14:paraId="36C8BC7B" w14:textId="5A5FA7AF">
      <w:pPr>
        <w:spacing w:after="0" w:line="480" w:lineRule="auto"/>
        <w:ind w:firstLine="720"/>
        <w:rPr>
          <w:rFonts w:ascii="Times New Roman" w:hAnsi="Times New Roman" w:cs="Times New Roman"/>
          <w:sz w:val="24"/>
          <w:szCs w:val="24"/>
        </w:rPr>
      </w:pPr>
      <w:r w:rsidRPr="007A5FF2">
        <w:rPr>
          <w:rFonts w:ascii="Times New Roman" w:hAnsi="Times New Roman" w:cs="Times New Roman"/>
          <w:sz w:val="24"/>
          <w:szCs w:val="24"/>
        </w:rPr>
        <w:t>R.C. 4903.10(B) also requires that an application for rehearing be “in writing and shall set forth specifically the ground or grounds on which the applicant considers the order to be unreasonable or unlawful.”</w:t>
      </w:r>
      <w:r w:rsidRPr="007A5FF2" w:rsidR="007327BD">
        <w:rPr>
          <w:rFonts w:ascii="Times New Roman" w:hAnsi="Times New Roman" w:cs="Times New Roman"/>
          <w:sz w:val="24"/>
          <w:szCs w:val="24"/>
        </w:rPr>
        <w:t xml:space="preserve"> </w:t>
      </w:r>
      <w:r w:rsidRPr="007A5FF2">
        <w:rPr>
          <w:rFonts w:ascii="Times New Roman" w:hAnsi="Times New Roman" w:cs="Times New Roman"/>
          <w:sz w:val="24"/>
          <w:szCs w:val="24"/>
        </w:rPr>
        <w:t>Further, Ohio Adm. Code 4901-1-35(A) states: “An application for rehearing must be accompanied by a memorandum in support, which shall be filed no later than the application for rehearing.”</w:t>
      </w:r>
      <w:r w:rsidRPr="007A5FF2" w:rsidR="007327BD">
        <w:rPr>
          <w:rFonts w:ascii="Times New Roman" w:hAnsi="Times New Roman" w:cs="Times New Roman"/>
          <w:sz w:val="24"/>
          <w:szCs w:val="24"/>
        </w:rPr>
        <w:t xml:space="preserve"> </w:t>
      </w:r>
      <w:r w:rsidRPr="007A5FF2">
        <w:rPr>
          <w:rFonts w:ascii="Times New Roman" w:hAnsi="Times New Roman" w:cs="Times New Roman"/>
          <w:sz w:val="24"/>
          <w:szCs w:val="24"/>
        </w:rPr>
        <w:t>In considering an application for rehearing, R.C. 4903.10(B) provides that “the commission may grant and hold such rehearing on the matter specified in such application, if in its judgment sufficient reason therefor is made to appear.” The statute also provides: “[i]f, after such rehearing, the commission is of the opinion that the original order or any part thereof is in any respect unjust or unwarranted, or should be changed, the commission may abrogate or modify the same; otherwise such order shall be affirmed.”</w:t>
      </w:r>
    </w:p>
    <w:p w:rsidR="00141BD6" w:rsidRPr="007A5FF2" w:rsidP="00CB3239" w14:paraId="4DF3945F" w14:textId="485C16A6">
      <w:pPr>
        <w:spacing w:after="0" w:line="480" w:lineRule="auto"/>
        <w:ind w:firstLine="720"/>
        <w:rPr>
          <w:rFonts w:ascii="Times New Roman" w:hAnsi="Times New Roman" w:cs="Times New Roman"/>
          <w:sz w:val="24"/>
          <w:szCs w:val="24"/>
        </w:rPr>
      </w:pPr>
      <w:r w:rsidRPr="007A5FF2">
        <w:rPr>
          <w:rFonts w:ascii="Times New Roman" w:hAnsi="Times New Roman" w:cs="Times New Roman"/>
          <w:sz w:val="24"/>
          <w:szCs w:val="24"/>
        </w:rPr>
        <w:t xml:space="preserve">The statutory standard for abrogating or modifying some portions of the </w:t>
      </w:r>
      <w:r w:rsidRPr="007A5FF2" w:rsidR="00FD6F39">
        <w:rPr>
          <w:rFonts w:ascii="Times New Roman" w:hAnsi="Times New Roman" w:cs="Times New Roman"/>
          <w:sz w:val="24"/>
          <w:szCs w:val="24"/>
        </w:rPr>
        <w:t xml:space="preserve">Entry </w:t>
      </w:r>
      <w:r w:rsidRPr="007A5FF2">
        <w:rPr>
          <w:rFonts w:ascii="Times New Roman" w:hAnsi="Times New Roman" w:cs="Times New Roman"/>
          <w:sz w:val="24"/>
          <w:szCs w:val="24"/>
        </w:rPr>
        <w:t>is met here.</w:t>
      </w:r>
      <w:r w:rsidRPr="007A5FF2" w:rsidR="007327BD">
        <w:rPr>
          <w:rFonts w:ascii="Times New Roman" w:hAnsi="Times New Roman" w:cs="Times New Roman"/>
          <w:sz w:val="24"/>
          <w:szCs w:val="24"/>
        </w:rPr>
        <w:t xml:space="preserve"> </w:t>
      </w:r>
      <w:r w:rsidRPr="007A5FF2">
        <w:rPr>
          <w:rFonts w:ascii="Times New Roman" w:hAnsi="Times New Roman" w:cs="Times New Roman"/>
          <w:sz w:val="24"/>
          <w:szCs w:val="24"/>
        </w:rPr>
        <w:t xml:space="preserve">The PUCO should grant and hold rehearing on the matters specified in this Application for Rehearing and abrogate or modify the </w:t>
      </w:r>
      <w:r w:rsidRPr="007A5FF2" w:rsidR="00FD6F39">
        <w:rPr>
          <w:rFonts w:ascii="Times New Roman" w:hAnsi="Times New Roman" w:cs="Times New Roman"/>
          <w:sz w:val="24"/>
          <w:szCs w:val="24"/>
        </w:rPr>
        <w:t>Entry</w:t>
      </w:r>
      <w:r w:rsidRPr="007A5FF2">
        <w:rPr>
          <w:rFonts w:ascii="Times New Roman" w:hAnsi="Times New Roman" w:cs="Times New Roman"/>
          <w:sz w:val="24"/>
          <w:szCs w:val="24"/>
        </w:rPr>
        <w:t xml:space="preserve"> consistent with OCC’s Recommendations herein.</w:t>
      </w:r>
      <w:bookmarkStart w:id="4" w:name="_Toc534639772"/>
    </w:p>
    <w:p w:rsidR="001D1442" w:rsidRPr="007A5FF2" w:rsidP="001D1442" w14:paraId="0FDDB992" w14:textId="77777777">
      <w:pPr>
        <w:spacing w:after="0" w:line="240" w:lineRule="auto"/>
        <w:ind w:firstLine="720"/>
        <w:rPr>
          <w:rFonts w:ascii="Times New Roman" w:hAnsi="Times New Roman" w:cs="Times New Roman"/>
          <w:sz w:val="24"/>
          <w:szCs w:val="24"/>
        </w:rPr>
      </w:pPr>
    </w:p>
    <w:p w:rsidR="00E95F3D" w:rsidRPr="007A5FF2" w14:paraId="67FDAEC9" w14:textId="6D9D4654">
      <w:pPr>
        <w:pStyle w:val="Heading1"/>
      </w:pPr>
      <w:bookmarkStart w:id="5" w:name="_Toc44947234"/>
      <w:bookmarkEnd w:id="4"/>
      <w:r w:rsidRPr="007A5FF2">
        <w:rPr>
          <w:bCs/>
          <w:caps w:val="0"/>
        </w:rPr>
        <w:t>MATTERS FOR RECONSIDERATION</w:t>
      </w:r>
      <w:bookmarkEnd w:id="5"/>
      <w:r w:rsidRPr="007A5FF2">
        <w:rPr>
          <w:bCs/>
          <w:caps w:val="0"/>
        </w:rPr>
        <w:t xml:space="preserve">  </w:t>
      </w:r>
    </w:p>
    <w:p w:rsidR="00F0084F" w:rsidP="00F0084F" w14:paraId="23101839" w14:textId="225E3000">
      <w:pPr>
        <w:pStyle w:val="Heading2"/>
        <w:numPr>
          <w:ilvl w:val="0"/>
          <w:numId w:val="0"/>
        </w:numPr>
        <w:ind w:left="720"/>
      </w:pPr>
      <w:bookmarkStart w:id="6" w:name="_Toc44947235"/>
      <w:r w:rsidRPr="007A5FF2">
        <w:t>ASSIGNMENT OF ERROR NO. 1: The PUCO erred by failing to require electric utilities that propose charges to customers for distribution infrastructure modernization to also propose reducing such charges to account for operational savings attributable to the distribution infrastructure modernization.</w:t>
      </w:r>
      <w:bookmarkEnd w:id="6"/>
    </w:p>
    <w:p w:rsidR="00E376CF" w:rsidRPr="007A5FF2" w:rsidP="00262F26" w14:paraId="04363BF4" w14:textId="04AB05EF">
      <w:pPr>
        <w:autoSpaceDE w:val="0"/>
        <w:autoSpaceDN w:val="0"/>
        <w:adjustRightInd w:val="0"/>
        <w:spacing w:after="0" w:line="480" w:lineRule="auto"/>
        <w:ind w:firstLine="720"/>
        <w:rPr>
          <w:rFonts w:ascii="Times New Roman" w:hAnsi="Times New Roman" w:cs="Times New Roman"/>
          <w:bCs/>
          <w:sz w:val="24"/>
          <w:szCs w:val="24"/>
        </w:rPr>
      </w:pPr>
      <w:r w:rsidRPr="007A5FF2">
        <w:rPr>
          <w:rFonts w:ascii="Times New Roman" w:hAnsi="Times New Roman" w:cs="Times New Roman"/>
          <w:bCs/>
          <w:sz w:val="24"/>
          <w:szCs w:val="24"/>
        </w:rPr>
        <w:t xml:space="preserve">OCC recommended in its comments that </w:t>
      </w:r>
      <w:r w:rsidRPr="007A5FF2" w:rsidR="00FD6F39">
        <w:rPr>
          <w:rFonts w:ascii="Times New Roman" w:hAnsi="Times New Roman" w:cs="Times New Roman"/>
          <w:bCs/>
          <w:sz w:val="24"/>
          <w:szCs w:val="24"/>
        </w:rPr>
        <w:t xml:space="preserve">electric utilities proposing distribution infrastructure modernization </w:t>
      </w:r>
      <w:r w:rsidRPr="007A5FF2" w:rsidR="009B02E4">
        <w:rPr>
          <w:rFonts w:ascii="Times New Roman" w:hAnsi="Times New Roman" w:cs="Times New Roman"/>
          <w:bCs/>
          <w:sz w:val="24"/>
          <w:szCs w:val="24"/>
        </w:rPr>
        <w:t xml:space="preserve">proposals </w:t>
      </w:r>
      <w:r w:rsidRPr="007A5FF2" w:rsidR="00FD6F39">
        <w:rPr>
          <w:rFonts w:ascii="Times New Roman" w:hAnsi="Times New Roman" w:cs="Times New Roman"/>
          <w:bCs/>
          <w:sz w:val="24"/>
          <w:szCs w:val="24"/>
        </w:rPr>
        <w:t xml:space="preserve">as part of their electric security </w:t>
      </w:r>
      <w:r w:rsidRPr="007A5FF2" w:rsidR="00BE62C5">
        <w:rPr>
          <w:rFonts w:ascii="Times New Roman" w:hAnsi="Times New Roman" w:cs="Times New Roman"/>
          <w:bCs/>
          <w:sz w:val="24"/>
          <w:szCs w:val="24"/>
        </w:rPr>
        <w:t xml:space="preserve">plan </w:t>
      </w:r>
      <w:r w:rsidRPr="007A5FF2" w:rsidR="00FD6F39">
        <w:rPr>
          <w:rFonts w:ascii="Times New Roman" w:hAnsi="Times New Roman" w:cs="Times New Roman"/>
          <w:bCs/>
          <w:sz w:val="24"/>
          <w:szCs w:val="24"/>
        </w:rPr>
        <w:t xml:space="preserve">applications should be required to </w:t>
      </w:r>
      <w:r w:rsidRPr="007A5FF2" w:rsidR="00BD7F86">
        <w:rPr>
          <w:rFonts w:ascii="Times New Roman" w:hAnsi="Times New Roman" w:cs="Times New Roman"/>
          <w:bCs/>
          <w:sz w:val="24"/>
          <w:szCs w:val="24"/>
        </w:rPr>
        <w:t>reduce charges to</w:t>
      </w:r>
      <w:r w:rsidRPr="007A5FF2">
        <w:rPr>
          <w:rFonts w:ascii="Times New Roman" w:hAnsi="Times New Roman" w:cs="Times New Roman"/>
          <w:bCs/>
          <w:sz w:val="24"/>
          <w:szCs w:val="24"/>
        </w:rPr>
        <w:t xml:space="preserve"> consumers</w:t>
      </w:r>
      <w:r w:rsidRPr="007A5FF2" w:rsidR="00700564">
        <w:rPr>
          <w:rFonts w:ascii="Times New Roman" w:hAnsi="Times New Roman" w:cs="Times New Roman"/>
          <w:bCs/>
          <w:sz w:val="24"/>
          <w:szCs w:val="24"/>
        </w:rPr>
        <w:t xml:space="preserve"> based upon</w:t>
      </w:r>
      <w:r w:rsidRPr="007A5FF2">
        <w:rPr>
          <w:rFonts w:ascii="Times New Roman" w:hAnsi="Times New Roman" w:cs="Times New Roman"/>
          <w:bCs/>
          <w:sz w:val="24"/>
          <w:szCs w:val="24"/>
        </w:rPr>
        <w:t xml:space="preserve"> the projected  </w:t>
      </w:r>
      <w:r w:rsidRPr="007A5FF2" w:rsidR="005E4FB3">
        <w:rPr>
          <w:rFonts w:ascii="Times New Roman" w:hAnsi="Times New Roman" w:cs="Times New Roman"/>
          <w:bCs/>
          <w:sz w:val="24"/>
          <w:szCs w:val="24"/>
        </w:rPr>
        <w:t xml:space="preserve">operational savings from the </w:t>
      </w:r>
      <w:r w:rsidRPr="007A5FF2" w:rsidR="00BD7F86">
        <w:rPr>
          <w:rFonts w:ascii="Times New Roman" w:hAnsi="Times New Roman" w:cs="Times New Roman"/>
          <w:bCs/>
          <w:sz w:val="24"/>
          <w:szCs w:val="24"/>
        </w:rPr>
        <w:t xml:space="preserve">significant </w:t>
      </w:r>
      <w:r w:rsidRPr="007A5FF2">
        <w:rPr>
          <w:rFonts w:ascii="Times New Roman" w:hAnsi="Times New Roman" w:cs="Times New Roman"/>
          <w:bCs/>
          <w:sz w:val="24"/>
          <w:szCs w:val="24"/>
        </w:rPr>
        <w:t>distribution investment</w:t>
      </w:r>
      <w:r w:rsidRPr="007A5FF2" w:rsidR="00BD7F86">
        <w:rPr>
          <w:rFonts w:ascii="Times New Roman" w:hAnsi="Times New Roman" w:cs="Times New Roman"/>
          <w:bCs/>
          <w:sz w:val="24"/>
          <w:szCs w:val="24"/>
        </w:rPr>
        <w:t>s</w:t>
      </w:r>
      <w:r w:rsidRPr="007A5FF2">
        <w:rPr>
          <w:rFonts w:ascii="Times New Roman" w:hAnsi="Times New Roman" w:cs="Times New Roman"/>
          <w:bCs/>
          <w:sz w:val="24"/>
          <w:szCs w:val="24"/>
        </w:rPr>
        <w:t xml:space="preserve"> that they fund. </w:t>
      </w:r>
      <w:r>
        <w:rPr>
          <w:rStyle w:val="FootnoteReference"/>
          <w:rFonts w:ascii="Times New Roman" w:hAnsi="Times New Roman" w:cs="Times New Roman"/>
          <w:bCs/>
          <w:sz w:val="24"/>
          <w:szCs w:val="24"/>
        </w:rPr>
        <w:footnoteReference w:id="6"/>
      </w:r>
      <w:r w:rsidRPr="007A5FF2" w:rsidR="005E4FB3">
        <w:rPr>
          <w:rFonts w:ascii="Times New Roman" w:hAnsi="Times New Roman" w:cs="Times New Roman"/>
          <w:bCs/>
          <w:sz w:val="24"/>
          <w:szCs w:val="24"/>
        </w:rPr>
        <w:t xml:space="preserve">  </w:t>
      </w:r>
      <w:r w:rsidRPr="007A5FF2" w:rsidR="00146099">
        <w:rPr>
          <w:rFonts w:ascii="Times New Roman" w:hAnsi="Times New Roman" w:cs="Times New Roman"/>
          <w:bCs/>
          <w:sz w:val="24"/>
          <w:szCs w:val="24"/>
        </w:rPr>
        <w:t>Otherwise, consumers will not realize the savings associated with the plan until (or unless) the e</w:t>
      </w:r>
      <w:r w:rsidRPr="007A5FF2" w:rsidR="0028727E">
        <w:rPr>
          <w:rFonts w:ascii="Times New Roman" w:hAnsi="Times New Roman" w:cs="Times New Roman"/>
          <w:bCs/>
          <w:sz w:val="24"/>
          <w:szCs w:val="24"/>
        </w:rPr>
        <w:t xml:space="preserve">lectric utilities </w:t>
      </w:r>
      <w:r w:rsidRPr="007A5FF2" w:rsidR="00146099">
        <w:rPr>
          <w:rFonts w:ascii="Times New Roman" w:hAnsi="Times New Roman" w:cs="Times New Roman"/>
          <w:bCs/>
          <w:sz w:val="24"/>
          <w:szCs w:val="24"/>
        </w:rPr>
        <w:t xml:space="preserve">file applications to update base distribution rates. </w:t>
      </w:r>
    </w:p>
    <w:p w:rsidR="00BD7F86" w:rsidRPr="007A5FF2" w:rsidP="00262F26" w14:paraId="1171A448" w14:textId="1936D55F">
      <w:pPr>
        <w:autoSpaceDE w:val="0"/>
        <w:autoSpaceDN w:val="0"/>
        <w:adjustRightInd w:val="0"/>
        <w:spacing w:after="0" w:line="480" w:lineRule="auto"/>
        <w:ind w:firstLine="720"/>
        <w:rPr>
          <w:rFonts w:ascii="Times New Roman" w:hAnsi="Times New Roman" w:cs="Times New Roman"/>
          <w:bCs/>
          <w:sz w:val="24"/>
          <w:szCs w:val="24"/>
        </w:rPr>
      </w:pPr>
      <w:r w:rsidRPr="007A5FF2">
        <w:rPr>
          <w:rFonts w:ascii="Times New Roman" w:hAnsi="Times New Roman" w:cs="Times New Roman"/>
          <w:bCs/>
          <w:sz w:val="24"/>
          <w:szCs w:val="24"/>
        </w:rPr>
        <w:t>The PUCO did not adopt this recommendation, saying that parties could make such a recommendation during the hearings on the electric security plan applications.</w:t>
      </w:r>
      <w:r>
        <w:rPr>
          <w:rStyle w:val="FootnoteReference"/>
          <w:rFonts w:ascii="Times New Roman" w:hAnsi="Times New Roman" w:cs="Times New Roman"/>
          <w:bCs/>
          <w:sz w:val="24"/>
          <w:szCs w:val="24"/>
        </w:rPr>
        <w:footnoteReference w:id="7"/>
      </w:r>
      <w:r w:rsidRPr="007A5FF2">
        <w:rPr>
          <w:rFonts w:ascii="Times New Roman" w:hAnsi="Times New Roman" w:cs="Times New Roman"/>
          <w:bCs/>
          <w:sz w:val="24"/>
          <w:szCs w:val="24"/>
        </w:rPr>
        <w:t xml:space="preserve">  </w:t>
      </w:r>
      <w:r w:rsidRPr="007A5FF2" w:rsidR="00E376CF">
        <w:rPr>
          <w:rFonts w:ascii="Times New Roman" w:hAnsi="Times New Roman" w:cs="Times New Roman"/>
          <w:bCs/>
          <w:sz w:val="24"/>
          <w:szCs w:val="24"/>
        </w:rPr>
        <w:t>The PUCO’s failure to address the issue now, in the rules review</w:t>
      </w:r>
      <w:r w:rsidRPr="007A5FF2" w:rsidR="00887DC8">
        <w:rPr>
          <w:rFonts w:ascii="Times New Roman" w:hAnsi="Times New Roman" w:cs="Times New Roman"/>
          <w:bCs/>
          <w:sz w:val="24"/>
          <w:szCs w:val="24"/>
        </w:rPr>
        <w:t>,</w:t>
      </w:r>
      <w:r w:rsidRPr="007A5FF2" w:rsidR="00E376CF">
        <w:rPr>
          <w:rFonts w:ascii="Times New Roman" w:hAnsi="Times New Roman" w:cs="Times New Roman"/>
          <w:bCs/>
          <w:sz w:val="24"/>
          <w:szCs w:val="24"/>
        </w:rPr>
        <w:t xml:space="preserve"> was </w:t>
      </w:r>
      <w:r w:rsidRPr="007A5FF2">
        <w:rPr>
          <w:rFonts w:ascii="Times New Roman" w:hAnsi="Times New Roman" w:cs="Times New Roman"/>
          <w:bCs/>
          <w:sz w:val="24"/>
          <w:szCs w:val="24"/>
        </w:rPr>
        <w:t>unreasonable</w:t>
      </w:r>
      <w:r w:rsidRPr="007A5FF2" w:rsidR="00887DC8">
        <w:rPr>
          <w:rFonts w:ascii="Times New Roman" w:hAnsi="Times New Roman" w:cs="Times New Roman"/>
          <w:bCs/>
          <w:sz w:val="24"/>
          <w:szCs w:val="24"/>
        </w:rPr>
        <w:t xml:space="preserve"> for consumers</w:t>
      </w:r>
      <w:r w:rsidRPr="007A5FF2" w:rsidR="00E376CF">
        <w:rPr>
          <w:rFonts w:ascii="Times New Roman" w:hAnsi="Times New Roman" w:cs="Times New Roman"/>
          <w:bCs/>
          <w:sz w:val="24"/>
          <w:szCs w:val="24"/>
        </w:rPr>
        <w:t xml:space="preserve">.  </w:t>
      </w:r>
      <w:r w:rsidRPr="007A5FF2" w:rsidR="00887DC8">
        <w:rPr>
          <w:rFonts w:ascii="Times New Roman" w:hAnsi="Times New Roman" w:cs="Times New Roman"/>
          <w:bCs/>
          <w:sz w:val="24"/>
          <w:szCs w:val="24"/>
        </w:rPr>
        <w:t>For fairness, the utilities’ compliance with this approach needs to be done leading up to and at the time they file their electric security plans. Leaving the matter open for utility resistance during the case process, such as through discovery, will not result in an efficient and fair airing of this consumer issue.</w:t>
      </w:r>
    </w:p>
    <w:p w:rsidR="005E4FB3" w:rsidRPr="007A5FF2" w:rsidP="000C0780" w14:paraId="2AACA7D2" w14:textId="5436EB71">
      <w:pPr>
        <w:autoSpaceDE w:val="0"/>
        <w:autoSpaceDN w:val="0"/>
        <w:adjustRightInd w:val="0"/>
        <w:spacing w:after="0" w:line="480" w:lineRule="auto"/>
        <w:ind w:firstLine="720"/>
        <w:rPr>
          <w:rFonts w:ascii="Times New Roman" w:hAnsi="Times New Roman" w:cs="Times New Roman"/>
          <w:bCs/>
          <w:sz w:val="24"/>
          <w:szCs w:val="24"/>
        </w:rPr>
      </w:pPr>
      <w:r w:rsidRPr="007A5FF2">
        <w:rPr>
          <w:rFonts w:ascii="Times New Roman" w:hAnsi="Times New Roman" w:cs="Times New Roman"/>
          <w:bCs/>
          <w:sz w:val="24"/>
          <w:szCs w:val="24"/>
        </w:rPr>
        <w:t xml:space="preserve">While </w:t>
      </w:r>
      <w:r w:rsidRPr="007A5FF2" w:rsidR="002C2806">
        <w:rPr>
          <w:rFonts w:ascii="Times New Roman" w:hAnsi="Times New Roman" w:cs="Times New Roman"/>
          <w:bCs/>
          <w:sz w:val="24"/>
          <w:szCs w:val="24"/>
        </w:rPr>
        <w:t xml:space="preserve">the </w:t>
      </w:r>
      <w:r w:rsidRPr="007A5FF2" w:rsidR="00425192">
        <w:rPr>
          <w:rFonts w:ascii="Times New Roman" w:hAnsi="Times New Roman" w:cs="Times New Roman"/>
          <w:bCs/>
          <w:sz w:val="24"/>
          <w:szCs w:val="24"/>
        </w:rPr>
        <w:t xml:space="preserve">specific </w:t>
      </w:r>
      <w:r w:rsidRPr="007A5FF2" w:rsidR="002C2806">
        <w:rPr>
          <w:rFonts w:ascii="Times New Roman" w:hAnsi="Times New Roman" w:cs="Times New Roman"/>
          <w:bCs/>
          <w:sz w:val="24"/>
          <w:szCs w:val="24"/>
        </w:rPr>
        <w:t>amount</w:t>
      </w:r>
      <w:r w:rsidRPr="007A5FF2" w:rsidR="00425192">
        <w:rPr>
          <w:rFonts w:ascii="Times New Roman" w:hAnsi="Times New Roman" w:cs="Times New Roman"/>
          <w:bCs/>
          <w:sz w:val="24"/>
          <w:szCs w:val="24"/>
        </w:rPr>
        <w:t>s</w:t>
      </w:r>
      <w:r w:rsidRPr="007A5FF2" w:rsidR="002C2806">
        <w:rPr>
          <w:rFonts w:ascii="Times New Roman" w:hAnsi="Times New Roman" w:cs="Times New Roman"/>
          <w:bCs/>
          <w:sz w:val="24"/>
          <w:szCs w:val="24"/>
        </w:rPr>
        <w:t xml:space="preserve"> of the operational savings may </w:t>
      </w:r>
      <w:r w:rsidRPr="007A5FF2">
        <w:rPr>
          <w:rFonts w:ascii="Times New Roman" w:hAnsi="Times New Roman" w:cs="Times New Roman"/>
          <w:bCs/>
          <w:sz w:val="24"/>
          <w:szCs w:val="24"/>
        </w:rPr>
        <w:t>vary by utility</w:t>
      </w:r>
      <w:r w:rsidRPr="007A5FF2" w:rsidR="002C2806">
        <w:rPr>
          <w:rFonts w:ascii="Times New Roman" w:hAnsi="Times New Roman" w:cs="Times New Roman"/>
          <w:bCs/>
          <w:sz w:val="24"/>
          <w:szCs w:val="24"/>
        </w:rPr>
        <w:t>, the</w:t>
      </w:r>
      <w:r w:rsidRPr="007A5FF2" w:rsidR="00425192">
        <w:rPr>
          <w:rFonts w:ascii="Times New Roman" w:hAnsi="Times New Roman" w:cs="Times New Roman"/>
          <w:bCs/>
          <w:sz w:val="24"/>
          <w:szCs w:val="24"/>
        </w:rPr>
        <w:t xml:space="preserve">re should be no question that electric utilities are required by the PUCO rules to </w:t>
      </w:r>
      <w:r w:rsidRPr="007A5FF2" w:rsidR="00352054">
        <w:rPr>
          <w:rFonts w:ascii="Times New Roman" w:hAnsi="Times New Roman" w:cs="Times New Roman"/>
          <w:bCs/>
          <w:sz w:val="24"/>
          <w:szCs w:val="24"/>
        </w:rPr>
        <w:t xml:space="preserve">timely </w:t>
      </w:r>
      <w:r w:rsidRPr="007A5FF2" w:rsidR="00425192">
        <w:rPr>
          <w:rFonts w:ascii="Times New Roman" w:hAnsi="Times New Roman" w:cs="Times New Roman"/>
          <w:bCs/>
          <w:sz w:val="24"/>
          <w:szCs w:val="24"/>
        </w:rPr>
        <w:t xml:space="preserve">pass along operational savings to consumers. </w:t>
      </w:r>
      <w:r w:rsidRPr="007A5FF2" w:rsidR="00BD7F86">
        <w:rPr>
          <w:rFonts w:ascii="Times New Roman" w:hAnsi="Times New Roman" w:cs="Times New Roman"/>
          <w:bCs/>
          <w:sz w:val="24"/>
          <w:szCs w:val="24"/>
        </w:rPr>
        <w:t xml:space="preserve">Otherwise, </w:t>
      </w:r>
      <w:r w:rsidRPr="007A5FF2" w:rsidR="00B87568">
        <w:rPr>
          <w:rFonts w:ascii="Times New Roman" w:hAnsi="Times New Roman" w:cs="Times New Roman"/>
          <w:bCs/>
          <w:sz w:val="24"/>
          <w:szCs w:val="24"/>
        </w:rPr>
        <w:t xml:space="preserve">utilities will continue to collect </w:t>
      </w:r>
      <w:r w:rsidRPr="007A5FF2" w:rsidR="003A196C">
        <w:rPr>
          <w:rFonts w:ascii="Times New Roman" w:hAnsi="Times New Roman" w:cs="Times New Roman"/>
          <w:bCs/>
          <w:sz w:val="24"/>
          <w:szCs w:val="24"/>
        </w:rPr>
        <w:t>costs from consumers without an offset for savings, meaning the utilities’ charges to consumers will cover their costs and also allow them to keep the related savings on top of cost recovery.</w:t>
      </w:r>
      <w:r w:rsidRPr="007A5FF2" w:rsidR="00BD7F86">
        <w:rPr>
          <w:rFonts w:ascii="Times New Roman" w:hAnsi="Times New Roman" w:cs="Times New Roman"/>
          <w:bCs/>
          <w:sz w:val="24"/>
          <w:szCs w:val="24"/>
        </w:rPr>
        <w:t xml:space="preserve"> </w:t>
      </w:r>
      <w:r w:rsidRPr="007A5FF2" w:rsidR="003A196C">
        <w:rPr>
          <w:rFonts w:ascii="Times New Roman" w:hAnsi="Times New Roman" w:cs="Times New Roman"/>
          <w:bCs/>
          <w:sz w:val="24"/>
          <w:szCs w:val="24"/>
        </w:rPr>
        <w:t>That is e</w:t>
      </w:r>
      <w:r w:rsidRPr="007A5FF2" w:rsidR="00BD7F86">
        <w:rPr>
          <w:rFonts w:ascii="Times New Roman" w:hAnsi="Times New Roman" w:cs="Times New Roman"/>
          <w:bCs/>
          <w:sz w:val="24"/>
          <w:szCs w:val="24"/>
        </w:rPr>
        <w:t>specially</w:t>
      </w:r>
      <w:r w:rsidRPr="007A5FF2" w:rsidR="003A196C">
        <w:rPr>
          <w:rFonts w:ascii="Times New Roman" w:hAnsi="Times New Roman" w:cs="Times New Roman"/>
          <w:bCs/>
          <w:sz w:val="24"/>
          <w:szCs w:val="24"/>
        </w:rPr>
        <w:t xml:space="preserve"> so</w:t>
      </w:r>
      <w:r w:rsidRPr="007A5FF2" w:rsidR="00BD7F86">
        <w:rPr>
          <w:rFonts w:ascii="Times New Roman" w:hAnsi="Times New Roman" w:cs="Times New Roman"/>
          <w:bCs/>
          <w:sz w:val="24"/>
          <w:szCs w:val="24"/>
        </w:rPr>
        <w:t xml:space="preserve"> in those circumstances where the operational savings are touted by the utility as a reason for </w:t>
      </w:r>
      <w:r w:rsidRPr="007A5FF2" w:rsidR="003A196C">
        <w:rPr>
          <w:rFonts w:ascii="Times New Roman" w:hAnsi="Times New Roman" w:cs="Times New Roman"/>
          <w:bCs/>
          <w:sz w:val="24"/>
          <w:szCs w:val="24"/>
        </w:rPr>
        <w:t xml:space="preserve">the PUCO to </w:t>
      </w:r>
      <w:r w:rsidRPr="007A5FF2" w:rsidR="00700564">
        <w:rPr>
          <w:rFonts w:ascii="Times New Roman" w:hAnsi="Times New Roman" w:cs="Times New Roman"/>
          <w:bCs/>
          <w:sz w:val="24"/>
          <w:szCs w:val="24"/>
        </w:rPr>
        <w:t>approv</w:t>
      </w:r>
      <w:r w:rsidRPr="007A5FF2" w:rsidR="003A196C">
        <w:rPr>
          <w:rFonts w:ascii="Times New Roman" w:hAnsi="Times New Roman" w:cs="Times New Roman"/>
          <w:bCs/>
          <w:sz w:val="24"/>
          <w:szCs w:val="24"/>
        </w:rPr>
        <w:t>e</w:t>
      </w:r>
      <w:r w:rsidRPr="007A5FF2" w:rsidR="00BD7F86">
        <w:rPr>
          <w:rFonts w:ascii="Times New Roman" w:hAnsi="Times New Roman" w:cs="Times New Roman"/>
          <w:bCs/>
          <w:sz w:val="24"/>
          <w:szCs w:val="24"/>
        </w:rPr>
        <w:t xml:space="preserve"> the </w:t>
      </w:r>
      <w:r w:rsidRPr="007A5FF2" w:rsidR="003A196C">
        <w:rPr>
          <w:rFonts w:ascii="Times New Roman" w:hAnsi="Times New Roman" w:cs="Times New Roman"/>
          <w:bCs/>
          <w:sz w:val="24"/>
          <w:szCs w:val="24"/>
        </w:rPr>
        <w:t xml:space="preserve">charges for </w:t>
      </w:r>
      <w:r w:rsidRPr="007A5FF2" w:rsidR="00BD7F86">
        <w:rPr>
          <w:rFonts w:ascii="Times New Roman" w:hAnsi="Times New Roman" w:cs="Times New Roman"/>
          <w:bCs/>
          <w:sz w:val="24"/>
          <w:szCs w:val="24"/>
        </w:rPr>
        <w:t>distribution investment.</w:t>
      </w:r>
      <w:r>
        <w:rPr>
          <w:rStyle w:val="FootnoteReference"/>
          <w:rFonts w:ascii="Times New Roman" w:hAnsi="Times New Roman" w:cs="Times New Roman"/>
          <w:bCs/>
          <w:sz w:val="24"/>
          <w:szCs w:val="24"/>
        </w:rPr>
        <w:footnoteReference w:id="8"/>
      </w:r>
      <w:r w:rsidRPr="007A5FF2" w:rsidR="00BD7F86">
        <w:rPr>
          <w:rFonts w:ascii="Times New Roman" w:hAnsi="Times New Roman" w:cs="Times New Roman"/>
          <w:bCs/>
          <w:sz w:val="24"/>
          <w:szCs w:val="24"/>
        </w:rPr>
        <w:t xml:space="preserve"> </w:t>
      </w:r>
    </w:p>
    <w:p w:rsidR="00072937" w:rsidRPr="007A5FF2" w:rsidP="00262F26" w14:paraId="3FB599CC" w14:textId="51CE264E">
      <w:pPr>
        <w:autoSpaceDE w:val="0"/>
        <w:autoSpaceDN w:val="0"/>
        <w:adjustRightInd w:val="0"/>
        <w:spacing w:after="0" w:line="480" w:lineRule="auto"/>
        <w:ind w:firstLine="720"/>
        <w:rPr>
          <w:rFonts w:ascii="Times New Roman" w:hAnsi="Times New Roman" w:cs="Times New Roman"/>
          <w:bCs/>
          <w:sz w:val="24"/>
          <w:szCs w:val="24"/>
        </w:rPr>
      </w:pPr>
      <w:r w:rsidRPr="007A5FF2">
        <w:rPr>
          <w:rFonts w:ascii="Times New Roman" w:hAnsi="Times New Roman" w:cs="Times New Roman"/>
          <w:bCs/>
          <w:sz w:val="24"/>
          <w:szCs w:val="24"/>
        </w:rPr>
        <w:t>The electric utilities have the burden of proof in an ESP case.</w:t>
      </w:r>
      <w:r>
        <w:rPr>
          <w:rStyle w:val="FootnoteReference"/>
          <w:rFonts w:ascii="Times New Roman" w:hAnsi="Times New Roman" w:cs="Times New Roman"/>
          <w:bCs/>
          <w:sz w:val="24"/>
          <w:szCs w:val="24"/>
        </w:rPr>
        <w:footnoteReference w:id="9"/>
      </w:r>
      <w:r w:rsidRPr="007A5FF2">
        <w:rPr>
          <w:rFonts w:ascii="Times New Roman" w:hAnsi="Times New Roman" w:cs="Times New Roman"/>
          <w:bCs/>
          <w:sz w:val="24"/>
          <w:szCs w:val="24"/>
        </w:rPr>
        <w:t xml:space="preserve">  </w:t>
      </w:r>
      <w:r w:rsidRPr="007A5FF2" w:rsidR="003A196C">
        <w:rPr>
          <w:rFonts w:ascii="Times New Roman" w:hAnsi="Times New Roman" w:cs="Times New Roman"/>
          <w:bCs/>
          <w:sz w:val="24"/>
          <w:szCs w:val="24"/>
        </w:rPr>
        <w:t>T</w:t>
      </w:r>
      <w:r w:rsidRPr="007A5FF2">
        <w:rPr>
          <w:rFonts w:ascii="Times New Roman" w:hAnsi="Times New Roman" w:cs="Times New Roman"/>
          <w:bCs/>
          <w:sz w:val="24"/>
          <w:szCs w:val="24"/>
        </w:rPr>
        <w:t>he utility</w:t>
      </w:r>
      <w:r w:rsidRPr="007A5FF2" w:rsidR="003A196C">
        <w:rPr>
          <w:rFonts w:ascii="Times New Roman" w:hAnsi="Times New Roman" w:cs="Times New Roman"/>
          <w:bCs/>
          <w:sz w:val="24"/>
          <w:szCs w:val="24"/>
        </w:rPr>
        <w:t xml:space="preserve"> should have</w:t>
      </w:r>
      <w:r w:rsidRPr="007A5FF2">
        <w:rPr>
          <w:rFonts w:ascii="Times New Roman" w:hAnsi="Times New Roman" w:cs="Times New Roman"/>
          <w:bCs/>
          <w:sz w:val="24"/>
          <w:szCs w:val="24"/>
        </w:rPr>
        <w:t xml:space="preserve"> to meet </w:t>
      </w:r>
      <w:r w:rsidRPr="007A5FF2" w:rsidR="003A196C">
        <w:rPr>
          <w:rFonts w:ascii="Times New Roman" w:hAnsi="Times New Roman" w:cs="Times New Roman"/>
          <w:bCs/>
          <w:sz w:val="24"/>
          <w:szCs w:val="24"/>
        </w:rPr>
        <w:t>its</w:t>
      </w:r>
      <w:r w:rsidRPr="007A5FF2">
        <w:rPr>
          <w:rFonts w:ascii="Times New Roman" w:hAnsi="Times New Roman" w:cs="Times New Roman"/>
          <w:bCs/>
          <w:sz w:val="24"/>
          <w:szCs w:val="24"/>
        </w:rPr>
        <w:t xml:space="preserve"> burden</w:t>
      </w:r>
      <w:r w:rsidRPr="007A5FF2" w:rsidR="003A196C">
        <w:rPr>
          <w:rFonts w:ascii="Times New Roman" w:hAnsi="Times New Roman" w:cs="Times New Roman"/>
          <w:bCs/>
          <w:sz w:val="24"/>
          <w:szCs w:val="24"/>
        </w:rPr>
        <w:t xml:space="preserve"> of proof</w:t>
      </w:r>
      <w:r w:rsidRPr="007A5FF2">
        <w:rPr>
          <w:rFonts w:ascii="Times New Roman" w:hAnsi="Times New Roman" w:cs="Times New Roman"/>
          <w:bCs/>
          <w:sz w:val="24"/>
          <w:szCs w:val="24"/>
        </w:rPr>
        <w:t xml:space="preserve"> on proposed investments of hundreds of millions of dollars (if not billions) with demonstrating customer benefits through lower charges from operational savings, </w:t>
      </w:r>
      <w:r w:rsidRPr="007A5FF2" w:rsidR="00D30339">
        <w:rPr>
          <w:rFonts w:ascii="Times New Roman" w:hAnsi="Times New Roman" w:cs="Times New Roman"/>
          <w:bCs/>
          <w:sz w:val="24"/>
          <w:szCs w:val="24"/>
        </w:rPr>
        <w:t xml:space="preserve">Such massive capital spending </w:t>
      </w:r>
      <w:r w:rsidRPr="007A5FF2">
        <w:rPr>
          <w:rFonts w:ascii="Times New Roman" w:hAnsi="Times New Roman" w:cs="Times New Roman"/>
          <w:bCs/>
          <w:sz w:val="24"/>
          <w:szCs w:val="24"/>
        </w:rPr>
        <w:t>sh</w:t>
      </w:r>
      <w:r w:rsidRPr="007A5FF2" w:rsidR="00D30339">
        <w:rPr>
          <w:rFonts w:ascii="Times New Roman" w:hAnsi="Times New Roman" w:cs="Times New Roman"/>
          <w:bCs/>
          <w:sz w:val="24"/>
          <w:szCs w:val="24"/>
        </w:rPr>
        <w:t xml:space="preserve">ould reduce utility costs associated with the maintenance and repair of equipment. </w:t>
      </w:r>
      <w:r w:rsidRPr="007A5FF2">
        <w:rPr>
          <w:rFonts w:ascii="Times New Roman" w:hAnsi="Times New Roman" w:cs="Times New Roman"/>
          <w:bCs/>
          <w:sz w:val="24"/>
          <w:szCs w:val="24"/>
        </w:rPr>
        <w:t xml:space="preserve">That reduced expense would </w:t>
      </w:r>
      <w:r w:rsidRPr="007A5FF2" w:rsidR="007C2EA1">
        <w:rPr>
          <w:rFonts w:ascii="Times New Roman" w:hAnsi="Times New Roman" w:cs="Times New Roman"/>
          <w:bCs/>
          <w:sz w:val="24"/>
          <w:szCs w:val="24"/>
        </w:rPr>
        <w:t xml:space="preserve">provide </w:t>
      </w:r>
      <w:r w:rsidRPr="007A5FF2">
        <w:rPr>
          <w:rFonts w:ascii="Times New Roman" w:hAnsi="Times New Roman" w:cs="Times New Roman"/>
          <w:bCs/>
          <w:sz w:val="24"/>
          <w:szCs w:val="24"/>
        </w:rPr>
        <w:t>a</w:t>
      </w:r>
      <w:r w:rsidRPr="007A5FF2" w:rsidR="007C2EA1">
        <w:rPr>
          <w:rFonts w:ascii="Times New Roman" w:hAnsi="Times New Roman" w:cs="Times New Roman"/>
          <w:bCs/>
          <w:sz w:val="24"/>
          <w:szCs w:val="24"/>
        </w:rPr>
        <w:t xml:space="preserve"> benefit to </w:t>
      </w:r>
      <w:r w:rsidRPr="007A5FF2">
        <w:rPr>
          <w:rFonts w:ascii="Times New Roman" w:hAnsi="Times New Roman" w:cs="Times New Roman"/>
          <w:bCs/>
          <w:sz w:val="24"/>
          <w:szCs w:val="24"/>
        </w:rPr>
        <w:t xml:space="preserve">consumers – who are being charged for the </w:t>
      </w:r>
      <w:r w:rsidRPr="007A5FF2" w:rsidR="00700564">
        <w:rPr>
          <w:rFonts w:ascii="Times New Roman" w:hAnsi="Times New Roman" w:cs="Times New Roman"/>
          <w:bCs/>
          <w:sz w:val="24"/>
          <w:szCs w:val="24"/>
        </w:rPr>
        <w:t xml:space="preserve">investment </w:t>
      </w:r>
      <w:r w:rsidRPr="007A5FF2">
        <w:rPr>
          <w:rFonts w:ascii="Times New Roman" w:hAnsi="Times New Roman" w:cs="Times New Roman"/>
          <w:bCs/>
          <w:sz w:val="24"/>
          <w:szCs w:val="24"/>
        </w:rPr>
        <w:t xml:space="preserve">proposals – by requiring </w:t>
      </w:r>
      <w:r w:rsidRPr="007A5FF2" w:rsidR="00346233">
        <w:rPr>
          <w:rFonts w:ascii="Times New Roman" w:hAnsi="Times New Roman" w:cs="Times New Roman"/>
          <w:bCs/>
          <w:sz w:val="24"/>
          <w:szCs w:val="24"/>
        </w:rPr>
        <w:t xml:space="preserve">that </w:t>
      </w:r>
      <w:r w:rsidRPr="007A5FF2">
        <w:rPr>
          <w:rFonts w:ascii="Times New Roman" w:hAnsi="Times New Roman" w:cs="Times New Roman"/>
          <w:bCs/>
          <w:sz w:val="24"/>
          <w:szCs w:val="24"/>
        </w:rPr>
        <w:t xml:space="preserve">all quantifiable operational savings be </w:t>
      </w:r>
      <w:r w:rsidRPr="007A5FF2" w:rsidR="00346233">
        <w:rPr>
          <w:rFonts w:ascii="Times New Roman" w:hAnsi="Times New Roman" w:cs="Times New Roman"/>
          <w:bCs/>
          <w:sz w:val="24"/>
          <w:szCs w:val="24"/>
        </w:rPr>
        <w:t xml:space="preserve">given </w:t>
      </w:r>
      <w:r w:rsidRPr="007A5FF2">
        <w:rPr>
          <w:rFonts w:ascii="Times New Roman" w:hAnsi="Times New Roman" w:cs="Times New Roman"/>
          <w:bCs/>
          <w:sz w:val="24"/>
          <w:szCs w:val="24"/>
        </w:rPr>
        <w:t xml:space="preserve">to consumers in a timely </w:t>
      </w:r>
      <w:r w:rsidRPr="007A5FF2" w:rsidR="00700564">
        <w:rPr>
          <w:rFonts w:ascii="Times New Roman" w:hAnsi="Times New Roman" w:cs="Times New Roman"/>
          <w:bCs/>
          <w:sz w:val="24"/>
          <w:szCs w:val="24"/>
        </w:rPr>
        <w:t>manner</w:t>
      </w:r>
      <w:r w:rsidRPr="007A5FF2" w:rsidR="00346233">
        <w:rPr>
          <w:rFonts w:ascii="Times New Roman" w:hAnsi="Times New Roman" w:cs="Times New Roman"/>
          <w:bCs/>
          <w:sz w:val="24"/>
          <w:szCs w:val="24"/>
        </w:rPr>
        <w:t xml:space="preserve"> (or advanced/accelerated for sharing with consumers based on projected savings).</w:t>
      </w:r>
      <w:r w:rsidRPr="007A5FF2">
        <w:rPr>
          <w:rFonts w:ascii="Times New Roman" w:hAnsi="Times New Roman" w:cs="Times New Roman"/>
          <w:bCs/>
          <w:sz w:val="24"/>
          <w:szCs w:val="24"/>
        </w:rPr>
        <w:t xml:space="preserve">  </w:t>
      </w:r>
      <w:r w:rsidRPr="007A5FF2" w:rsidR="00346233">
        <w:rPr>
          <w:rFonts w:ascii="Times New Roman" w:hAnsi="Times New Roman" w:cs="Times New Roman"/>
          <w:bCs/>
          <w:sz w:val="24"/>
          <w:szCs w:val="24"/>
        </w:rPr>
        <w:t>The PUCO should modify its ruling accordingly.</w:t>
      </w:r>
    </w:p>
    <w:p w:rsidR="00F0084F" w:rsidRPr="007A5FF2" w:rsidP="00F0084F" w14:paraId="54251B32" w14:textId="77777777">
      <w:pPr>
        <w:pStyle w:val="Heading2"/>
        <w:numPr>
          <w:ilvl w:val="0"/>
          <w:numId w:val="0"/>
        </w:numPr>
        <w:ind w:left="720"/>
      </w:pPr>
      <w:bookmarkStart w:id="7" w:name="_Toc44947236"/>
      <w:r w:rsidRPr="007A5FF2">
        <w:t>ASSIGNMENT OF ERROR NO. 2:  The PUCO erred by failing to require electric utilities to include, as part of the proposed terms and conditions of the electric security plans they file, projections (with underlying calculations and sources) of the costs to consumers for all riders that they are proposing in the case, in violation of R.C. 4928.143(C)(1).</w:t>
      </w:r>
      <w:bookmarkEnd w:id="7"/>
    </w:p>
    <w:p w:rsidR="002E2564" w:rsidRPr="007A5FF2" w:rsidP="00DC1B9E" w14:paraId="037156EA" w14:textId="3D39ACFA">
      <w:pPr>
        <w:widowControl w:val="0"/>
        <w:spacing w:after="0" w:line="480" w:lineRule="auto"/>
        <w:ind w:firstLine="720"/>
        <w:contextualSpacing/>
        <w:rPr>
          <w:rFonts w:ascii="Times New Roman" w:hAnsi="Times New Roman" w:cs="Times New Roman"/>
          <w:sz w:val="24"/>
          <w:szCs w:val="24"/>
        </w:rPr>
      </w:pPr>
      <w:r w:rsidRPr="007A5FF2">
        <w:rPr>
          <w:rFonts w:ascii="Times New Roman" w:hAnsi="Times New Roman" w:cs="Times New Roman"/>
          <w:sz w:val="24"/>
          <w:szCs w:val="24"/>
        </w:rPr>
        <w:t xml:space="preserve">In its comments, OCC recommended that the PUCO </w:t>
      </w:r>
      <w:r w:rsidRPr="007A5FF2" w:rsidR="00072937">
        <w:rPr>
          <w:rFonts w:ascii="Times New Roman" w:hAnsi="Times New Roman" w:cs="Times New Roman"/>
          <w:sz w:val="24"/>
          <w:szCs w:val="24"/>
        </w:rPr>
        <w:t xml:space="preserve">require electric utilities proposing placeholder riders in their electric security plans to include cost projections </w:t>
      </w:r>
      <w:r w:rsidRPr="007A5FF2" w:rsidR="007D5C49">
        <w:rPr>
          <w:rFonts w:ascii="Times New Roman" w:hAnsi="Times New Roman" w:cs="Times New Roman"/>
          <w:sz w:val="24"/>
          <w:szCs w:val="24"/>
        </w:rPr>
        <w:t>for</w:t>
      </w:r>
      <w:r w:rsidRPr="007A5FF2" w:rsidR="00072937">
        <w:rPr>
          <w:rFonts w:ascii="Times New Roman" w:hAnsi="Times New Roman" w:cs="Times New Roman"/>
          <w:sz w:val="24"/>
          <w:szCs w:val="24"/>
        </w:rPr>
        <w:t xml:space="preserve"> such riders.</w:t>
      </w:r>
      <w:r>
        <w:rPr>
          <w:rStyle w:val="FootnoteReference"/>
          <w:rFonts w:ascii="Times New Roman" w:hAnsi="Times New Roman" w:cs="Times New Roman"/>
          <w:sz w:val="24"/>
          <w:szCs w:val="24"/>
        </w:rPr>
        <w:footnoteReference w:id="10"/>
      </w:r>
      <w:r w:rsidRPr="007A5FF2" w:rsidR="007D5C49">
        <w:rPr>
          <w:rFonts w:ascii="Times New Roman" w:hAnsi="Times New Roman" w:cs="Times New Roman"/>
          <w:sz w:val="24"/>
          <w:szCs w:val="24"/>
        </w:rPr>
        <w:t xml:space="preserve">  The PUCO found that OCC’s recommendation was “unnecessary.”</w:t>
      </w:r>
      <w:r>
        <w:rPr>
          <w:rStyle w:val="FootnoteReference"/>
          <w:rFonts w:ascii="Times New Roman" w:hAnsi="Times New Roman" w:cs="Times New Roman"/>
          <w:sz w:val="24"/>
          <w:szCs w:val="24"/>
        </w:rPr>
        <w:footnoteReference w:id="11"/>
      </w:r>
      <w:r w:rsidRPr="007A5FF2" w:rsidR="007D5C49">
        <w:rPr>
          <w:rFonts w:ascii="Times New Roman" w:hAnsi="Times New Roman" w:cs="Times New Roman"/>
          <w:sz w:val="24"/>
          <w:szCs w:val="24"/>
        </w:rPr>
        <w:t xml:space="preserve">  That is unreasonable and unlawful.</w:t>
      </w:r>
    </w:p>
    <w:p w:rsidR="00074F68" w:rsidRPr="007A5FF2" w:rsidP="00C254C2" w14:paraId="62E39B59" w14:textId="5B19F02C">
      <w:pPr>
        <w:pStyle w:val="Heading3"/>
      </w:pPr>
      <w:bookmarkStart w:id="8" w:name="_Toc44947237"/>
      <w:r>
        <w:t>A.</w:t>
      </w:r>
      <w:r>
        <w:tab/>
      </w:r>
      <w:r w:rsidRPr="007A5FF2">
        <w:t xml:space="preserve">The MRO v. ESP test in R.C. 4928.143(C)(1) is an important consumer protection that should be </w:t>
      </w:r>
      <w:r w:rsidRPr="007A5FF2" w:rsidR="00AC25A8">
        <w:t xml:space="preserve">better implemented </w:t>
      </w:r>
      <w:r w:rsidRPr="007A5FF2">
        <w:t>by the PUCO.</w:t>
      </w:r>
      <w:bookmarkEnd w:id="8"/>
    </w:p>
    <w:p w:rsidR="007D5C49" w:rsidRPr="007A5FF2" w:rsidP="007D5C49" w14:paraId="3A185A1C" w14:textId="51DEA9B1">
      <w:pPr>
        <w:widowControl w:val="0"/>
        <w:spacing w:after="0" w:line="480" w:lineRule="auto"/>
        <w:contextualSpacing/>
        <w:rPr>
          <w:rFonts w:ascii="Times New Roman" w:hAnsi="Times New Roman" w:cs="Times New Roman"/>
          <w:sz w:val="24"/>
          <w:szCs w:val="24"/>
        </w:rPr>
      </w:pPr>
      <w:r w:rsidRPr="007A5FF2">
        <w:rPr>
          <w:rFonts w:ascii="Times New Roman" w:hAnsi="Times New Roman" w:cs="Times New Roman"/>
          <w:sz w:val="24"/>
          <w:szCs w:val="24"/>
        </w:rPr>
        <w:tab/>
        <w:t xml:space="preserve">An electric distribution utility is required to provide a "standard service offer" to all consumers in its certified territory. </w:t>
      </w:r>
      <w:r>
        <w:rPr>
          <w:rStyle w:val="FootnoteReference"/>
          <w:rFonts w:ascii="Times New Roman" w:hAnsi="Times New Roman" w:cs="Times New Roman"/>
          <w:sz w:val="24"/>
          <w:szCs w:val="24"/>
        </w:rPr>
        <w:footnoteReference w:id="12"/>
      </w:r>
      <w:r w:rsidRPr="007A5FF2">
        <w:rPr>
          <w:rFonts w:ascii="Times New Roman" w:hAnsi="Times New Roman" w:cs="Times New Roman"/>
          <w:sz w:val="24"/>
          <w:szCs w:val="24"/>
        </w:rPr>
        <w:t xml:space="preserve"> This requirement may</w:t>
      </w:r>
      <w:r w:rsidRPr="007A5FF2" w:rsidR="00AC25A8">
        <w:rPr>
          <w:rFonts w:ascii="Times New Roman" w:hAnsi="Times New Roman" w:cs="Times New Roman"/>
          <w:sz w:val="24"/>
          <w:szCs w:val="24"/>
        </w:rPr>
        <w:t xml:space="preserve"> </w:t>
      </w:r>
      <w:r w:rsidRPr="007A5FF2">
        <w:rPr>
          <w:rFonts w:ascii="Times New Roman" w:hAnsi="Times New Roman" w:cs="Times New Roman"/>
          <w:sz w:val="24"/>
          <w:szCs w:val="24"/>
        </w:rPr>
        <w:t xml:space="preserve">be met through either a </w:t>
      </w:r>
      <w:r w:rsidRPr="007A5FF2" w:rsidR="00446C71">
        <w:rPr>
          <w:rFonts w:ascii="Times New Roman" w:hAnsi="Times New Roman" w:cs="Times New Roman"/>
          <w:sz w:val="24"/>
          <w:szCs w:val="24"/>
        </w:rPr>
        <w:t>market rate offer</w:t>
      </w:r>
      <w:r w:rsidRPr="007A5FF2">
        <w:rPr>
          <w:rFonts w:ascii="Times New Roman" w:hAnsi="Times New Roman" w:cs="Times New Roman"/>
          <w:sz w:val="24"/>
          <w:szCs w:val="24"/>
        </w:rPr>
        <w:t xml:space="preserve"> or an </w:t>
      </w:r>
      <w:r w:rsidRPr="007A5FF2" w:rsidR="00446C71">
        <w:rPr>
          <w:rFonts w:ascii="Times New Roman" w:hAnsi="Times New Roman" w:cs="Times New Roman"/>
          <w:sz w:val="24"/>
          <w:szCs w:val="24"/>
        </w:rPr>
        <w:t>electric security plan</w:t>
      </w:r>
      <w:r w:rsidRPr="007A5FF2">
        <w:rPr>
          <w:rFonts w:ascii="Times New Roman" w:hAnsi="Times New Roman" w:cs="Times New Roman"/>
          <w:sz w:val="24"/>
          <w:szCs w:val="24"/>
        </w:rPr>
        <w:t>.</w:t>
      </w:r>
      <w:r>
        <w:rPr>
          <w:rStyle w:val="FootnoteReference"/>
          <w:rFonts w:ascii="Times New Roman" w:hAnsi="Times New Roman" w:cs="Times New Roman"/>
          <w:sz w:val="24"/>
          <w:szCs w:val="24"/>
        </w:rPr>
        <w:footnoteReference w:id="13"/>
      </w:r>
      <w:r w:rsidRPr="007A5FF2">
        <w:rPr>
          <w:rFonts w:ascii="Times New Roman" w:hAnsi="Times New Roman" w:cs="Times New Roman"/>
          <w:sz w:val="24"/>
          <w:szCs w:val="24"/>
        </w:rPr>
        <w:t xml:space="preserve"> Whereas a </w:t>
      </w:r>
      <w:r w:rsidRPr="007A5FF2" w:rsidR="00446C71">
        <w:rPr>
          <w:rFonts w:ascii="Times New Roman" w:hAnsi="Times New Roman" w:cs="Times New Roman"/>
          <w:sz w:val="24"/>
          <w:szCs w:val="24"/>
        </w:rPr>
        <w:t>market rate offer</w:t>
      </w:r>
      <w:r w:rsidRPr="007A5FF2">
        <w:rPr>
          <w:rFonts w:ascii="Times New Roman" w:hAnsi="Times New Roman" w:cs="Times New Roman"/>
          <w:sz w:val="24"/>
          <w:szCs w:val="24"/>
        </w:rPr>
        <w:t xml:space="preserve"> must be determined through a competitive-bidding process, "[a] utility has considerably more flexibility to fashion a rate plan as an </w:t>
      </w:r>
      <w:r w:rsidRPr="007A5FF2" w:rsidR="00446C71">
        <w:rPr>
          <w:rFonts w:ascii="Times New Roman" w:hAnsi="Times New Roman" w:cs="Times New Roman"/>
          <w:sz w:val="24"/>
          <w:szCs w:val="24"/>
        </w:rPr>
        <w:t>[electric security plan]</w:t>
      </w:r>
      <w:r w:rsidRPr="007A5FF2">
        <w:rPr>
          <w:rFonts w:ascii="Times New Roman" w:hAnsi="Times New Roman" w:cs="Times New Roman"/>
          <w:sz w:val="24"/>
          <w:szCs w:val="24"/>
        </w:rPr>
        <w:t>."</w:t>
      </w:r>
      <w:r>
        <w:rPr>
          <w:rStyle w:val="FootnoteReference"/>
          <w:rFonts w:ascii="Times New Roman" w:hAnsi="Times New Roman" w:cs="Times New Roman"/>
          <w:sz w:val="24"/>
          <w:szCs w:val="24"/>
        </w:rPr>
        <w:footnoteReference w:id="14"/>
      </w:r>
      <w:r w:rsidRPr="007A5FF2">
        <w:rPr>
          <w:rFonts w:ascii="Times New Roman" w:hAnsi="Times New Roman" w:cs="Times New Roman"/>
          <w:sz w:val="24"/>
          <w:szCs w:val="24"/>
        </w:rPr>
        <w:t xml:space="preserve"> </w:t>
      </w:r>
    </w:p>
    <w:p w:rsidR="00114BC7" w:rsidRPr="007A5FF2" w:rsidP="00446C71" w14:paraId="2045B69A" w14:textId="6620CF07">
      <w:pPr>
        <w:widowControl w:val="0"/>
        <w:spacing w:after="0" w:line="480" w:lineRule="auto"/>
        <w:ind w:firstLine="720"/>
        <w:contextualSpacing/>
        <w:rPr>
          <w:rFonts w:ascii="Times New Roman" w:hAnsi="Times New Roman" w:cs="Times New Roman"/>
          <w:sz w:val="24"/>
          <w:szCs w:val="24"/>
        </w:rPr>
      </w:pPr>
      <w:r w:rsidRPr="007A5FF2">
        <w:rPr>
          <w:rFonts w:ascii="Times New Roman" w:hAnsi="Times New Roman" w:cs="Times New Roman"/>
          <w:sz w:val="24"/>
          <w:szCs w:val="24"/>
        </w:rPr>
        <w:t xml:space="preserve">Due to a utility's "considerably more flexibility'' in an </w:t>
      </w:r>
      <w:r w:rsidRPr="007A5FF2" w:rsidR="00446C71">
        <w:rPr>
          <w:rFonts w:ascii="Times New Roman" w:hAnsi="Times New Roman" w:cs="Times New Roman"/>
          <w:sz w:val="24"/>
          <w:szCs w:val="24"/>
        </w:rPr>
        <w:t>electric security plan</w:t>
      </w:r>
      <w:r w:rsidRPr="007A5FF2">
        <w:rPr>
          <w:rFonts w:ascii="Times New Roman" w:hAnsi="Times New Roman" w:cs="Times New Roman"/>
          <w:sz w:val="24"/>
          <w:szCs w:val="24"/>
        </w:rPr>
        <w:t>, the importance of the</w:t>
      </w:r>
      <w:r w:rsidRPr="007A5FF2" w:rsidR="00446C71">
        <w:rPr>
          <w:rFonts w:ascii="Times New Roman" w:hAnsi="Times New Roman" w:cs="Times New Roman"/>
          <w:sz w:val="24"/>
          <w:szCs w:val="24"/>
        </w:rPr>
        <w:t xml:space="preserve"> </w:t>
      </w:r>
      <w:r w:rsidRPr="007A5FF2">
        <w:rPr>
          <w:rFonts w:ascii="Times New Roman" w:hAnsi="Times New Roman" w:cs="Times New Roman"/>
          <w:sz w:val="24"/>
          <w:szCs w:val="24"/>
        </w:rPr>
        <w:t>statutory test that must be met before the PUCO can approve, or modify and approve, an electric</w:t>
      </w:r>
      <w:r w:rsidRPr="007A5FF2" w:rsidR="00446C71">
        <w:rPr>
          <w:rFonts w:ascii="Times New Roman" w:hAnsi="Times New Roman" w:cs="Times New Roman"/>
          <w:sz w:val="24"/>
          <w:szCs w:val="24"/>
        </w:rPr>
        <w:t xml:space="preserve"> utility’s electric security plan</w:t>
      </w:r>
      <w:r w:rsidRPr="007A5FF2">
        <w:rPr>
          <w:rFonts w:ascii="Times New Roman" w:hAnsi="Times New Roman" w:cs="Times New Roman"/>
          <w:sz w:val="24"/>
          <w:szCs w:val="24"/>
        </w:rPr>
        <w:t xml:space="preserve"> cannot be overstated. Consumers should not have to pay more under an electric security plan than they would otherwise pay under a market offer.  To compare what consumers would pay under an electric security plan versus a market offer, the cost of the electric security plan must be known.  Otherwise, </w:t>
      </w:r>
      <w:r w:rsidRPr="007A5FF2" w:rsidR="00700564">
        <w:rPr>
          <w:rFonts w:ascii="Times New Roman" w:hAnsi="Times New Roman" w:cs="Times New Roman"/>
          <w:sz w:val="24"/>
          <w:szCs w:val="24"/>
        </w:rPr>
        <w:t>an accurate</w:t>
      </w:r>
      <w:r w:rsidRPr="007A5FF2">
        <w:rPr>
          <w:rFonts w:ascii="Times New Roman" w:hAnsi="Times New Roman" w:cs="Times New Roman"/>
          <w:sz w:val="24"/>
          <w:szCs w:val="24"/>
        </w:rPr>
        <w:t xml:space="preserve"> comparison cannot be made.</w:t>
      </w:r>
    </w:p>
    <w:p w:rsidR="004E1FEB" w:rsidRPr="007A5FF2" w:rsidP="00333420" w14:paraId="7C29B340" w14:textId="786E82CD">
      <w:pPr>
        <w:widowControl w:val="0"/>
        <w:spacing w:after="0" w:line="480" w:lineRule="auto"/>
        <w:ind w:firstLine="720"/>
        <w:contextualSpacing/>
        <w:rPr>
          <w:rFonts w:ascii="Times New Roman" w:hAnsi="Times New Roman" w:cs="Times New Roman"/>
          <w:sz w:val="24"/>
          <w:szCs w:val="24"/>
        </w:rPr>
      </w:pPr>
      <w:r w:rsidRPr="007A5FF2">
        <w:rPr>
          <w:rFonts w:ascii="Times New Roman" w:hAnsi="Times New Roman" w:cs="Times New Roman"/>
          <w:sz w:val="24"/>
          <w:szCs w:val="24"/>
        </w:rPr>
        <w:t>T</w:t>
      </w:r>
      <w:r w:rsidRPr="007A5FF2" w:rsidR="00114BC7">
        <w:rPr>
          <w:rFonts w:ascii="Times New Roman" w:hAnsi="Times New Roman" w:cs="Times New Roman"/>
          <w:sz w:val="24"/>
          <w:szCs w:val="24"/>
        </w:rPr>
        <w:t>he statutory</w:t>
      </w:r>
      <w:r w:rsidRPr="007A5FF2" w:rsidR="007D5C49">
        <w:rPr>
          <w:rFonts w:ascii="Times New Roman" w:hAnsi="Times New Roman" w:cs="Times New Roman"/>
          <w:sz w:val="24"/>
          <w:szCs w:val="24"/>
        </w:rPr>
        <w:t xml:space="preserve"> test, enshrined in R.C. </w:t>
      </w:r>
      <w:r w:rsidRPr="007A5FF2" w:rsidR="00810B40">
        <w:rPr>
          <w:rFonts w:ascii="Times New Roman" w:hAnsi="Times New Roman" w:cs="Times New Roman"/>
          <w:sz w:val="24"/>
          <w:szCs w:val="24"/>
        </w:rPr>
        <w:t>4</w:t>
      </w:r>
      <w:r w:rsidRPr="007A5FF2" w:rsidR="007D5C49">
        <w:rPr>
          <w:rFonts w:ascii="Times New Roman" w:hAnsi="Times New Roman" w:cs="Times New Roman"/>
          <w:sz w:val="24"/>
          <w:szCs w:val="24"/>
        </w:rPr>
        <w:t>928.143(C)(1),</w:t>
      </w:r>
      <w:r w:rsidRPr="007A5FF2" w:rsidR="00446C71">
        <w:rPr>
          <w:rFonts w:ascii="Times New Roman" w:hAnsi="Times New Roman" w:cs="Times New Roman"/>
          <w:sz w:val="24"/>
          <w:szCs w:val="24"/>
        </w:rPr>
        <w:t xml:space="preserve"> </w:t>
      </w:r>
      <w:r w:rsidRPr="007A5FF2" w:rsidR="007D5C49">
        <w:rPr>
          <w:rFonts w:ascii="Times New Roman" w:hAnsi="Times New Roman" w:cs="Times New Roman"/>
          <w:sz w:val="24"/>
          <w:szCs w:val="24"/>
        </w:rPr>
        <w:t xml:space="preserve">provides that the PUCO cannot approve, or modify and approve, an </w:t>
      </w:r>
      <w:r w:rsidRPr="007A5FF2" w:rsidR="00446C71">
        <w:rPr>
          <w:rFonts w:ascii="Times New Roman" w:hAnsi="Times New Roman" w:cs="Times New Roman"/>
          <w:sz w:val="24"/>
          <w:szCs w:val="24"/>
        </w:rPr>
        <w:t>electric security plan</w:t>
      </w:r>
      <w:r w:rsidRPr="007A5FF2" w:rsidR="007D5C49">
        <w:rPr>
          <w:rFonts w:ascii="Times New Roman" w:hAnsi="Times New Roman" w:cs="Times New Roman"/>
          <w:sz w:val="24"/>
          <w:szCs w:val="24"/>
        </w:rPr>
        <w:t xml:space="preserve"> unless the</w:t>
      </w:r>
      <w:r w:rsidRPr="007A5FF2" w:rsidR="00446C71">
        <w:rPr>
          <w:rFonts w:ascii="Times New Roman" w:hAnsi="Times New Roman" w:cs="Times New Roman"/>
          <w:sz w:val="24"/>
          <w:szCs w:val="24"/>
        </w:rPr>
        <w:t xml:space="preserve"> </w:t>
      </w:r>
      <w:r w:rsidRPr="007A5FF2" w:rsidR="007D5C49">
        <w:rPr>
          <w:rFonts w:ascii="Times New Roman" w:hAnsi="Times New Roman" w:cs="Times New Roman"/>
          <w:sz w:val="24"/>
          <w:szCs w:val="24"/>
        </w:rPr>
        <w:t xml:space="preserve">PUCO finds that the </w:t>
      </w:r>
      <w:r w:rsidRPr="007A5FF2" w:rsidR="00446C71">
        <w:rPr>
          <w:rFonts w:ascii="Times New Roman" w:hAnsi="Times New Roman" w:cs="Times New Roman"/>
          <w:sz w:val="24"/>
          <w:szCs w:val="24"/>
        </w:rPr>
        <w:t>electric security plan</w:t>
      </w:r>
      <w:r w:rsidRPr="007A5FF2" w:rsidR="007D5C49">
        <w:rPr>
          <w:rFonts w:ascii="Times New Roman" w:hAnsi="Times New Roman" w:cs="Times New Roman"/>
          <w:sz w:val="24"/>
          <w:szCs w:val="24"/>
        </w:rPr>
        <w:t xml:space="preserve"> "including its pricing and all other terms and conditions, including any</w:t>
      </w:r>
      <w:r w:rsidRPr="007A5FF2">
        <w:rPr>
          <w:rFonts w:ascii="Times New Roman" w:hAnsi="Times New Roman" w:cs="Times New Roman"/>
          <w:sz w:val="24"/>
          <w:szCs w:val="24"/>
        </w:rPr>
        <w:t xml:space="preserve"> </w:t>
      </w:r>
      <w:r w:rsidRPr="007A5FF2" w:rsidR="007D5C49">
        <w:rPr>
          <w:rFonts w:ascii="Times New Roman" w:hAnsi="Times New Roman" w:cs="Times New Roman"/>
          <w:sz w:val="24"/>
          <w:szCs w:val="24"/>
        </w:rPr>
        <w:t>deferrals and future recovery of deferrals, is more favorable in the aggregate as compared to the</w:t>
      </w:r>
      <w:r w:rsidRPr="007A5FF2" w:rsidR="00446C71">
        <w:rPr>
          <w:rFonts w:ascii="Times New Roman" w:hAnsi="Times New Roman" w:cs="Times New Roman"/>
          <w:sz w:val="24"/>
          <w:szCs w:val="24"/>
        </w:rPr>
        <w:t xml:space="preserve"> </w:t>
      </w:r>
      <w:r w:rsidRPr="007A5FF2" w:rsidR="007D5C49">
        <w:rPr>
          <w:rFonts w:ascii="Times New Roman" w:hAnsi="Times New Roman" w:cs="Times New Roman"/>
          <w:sz w:val="24"/>
          <w:szCs w:val="24"/>
        </w:rPr>
        <w:t>expected results that would otherwise apply under section 4928.142 of the Revised Code."</w:t>
      </w:r>
      <w:r>
        <w:rPr>
          <w:rStyle w:val="FootnoteReference"/>
          <w:rFonts w:ascii="Times New Roman" w:hAnsi="Times New Roman" w:cs="Times New Roman"/>
          <w:sz w:val="24"/>
          <w:szCs w:val="24"/>
        </w:rPr>
        <w:footnoteReference w:id="15"/>
      </w:r>
      <w:r w:rsidRPr="007A5FF2" w:rsidR="007D5C49">
        <w:rPr>
          <w:rFonts w:ascii="Times New Roman" w:hAnsi="Times New Roman" w:cs="Times New Roman"/>
          <w:sz w:val="24"/>
          <w:szCs w:val="24"/>
        </w:rPr>
        <w:t xml:space="preserve"> </w:t>
      </w:r>
      <w:r w:rsidRPr="007A5FF2" w:rsidR="00535C46">
        <w:rPr>
          <w:rFonts w:ascii="Times New Roman" w:hAnsi="Times New Roman" w:cs="Times New Roman"/>
          <w:sz w:val="24"/>
          <w:szCs w:val="24"/>
        </w:rPr>
        <w:t>The Supreme Court of Ohio</w:t>
      </w:r>
      <w:r w:rsidRPr="007A5FF2" w:rsidR="007D5C49">
        <w:rPr>
          <w:rFonts w:ascii="Times New Roman" w:hAnsi="Times New Roman" w:cs="Times New Roman"/>
          <w:sz w:val="24"/>
          <w:szCs w:val="24"/>
        </w:rPr>
        <w:t xml:space="preserve"> has described the statutory test as the "only</w:t>
      </w:r>
      <w:r w:rsidRPr="007A5FF2">
        <w:rPr>
          <w:rFonts w:ascii="Times New Roman" w:hAnsi="Times New Roman" w:cs="Times New Roman"/>
          <w:sz w:val="24"/>
          <w:szCs w:val="24"/>
        </w:rPr>
        <w:t xml:space="preserve"> </w:t>
      </w:r>
      <w:r w:rsidRPr="007A5FF2" w:rsidR="007D5C49">
        <w:rPr>
          <w:rFonts w:ascii="Times New Roman" w:hAnsi="Times New Roman" w:cs="Times New Roman"/>
          <w:sz w:val="24"/>
          <w:szCs w:val="24"/>
        </w:rPr>
        <w:t>substantive requirement" that a</w:t>
      </w:r>
      <w:r w:rsidRPr="007A5FF2" w:rsidR="00446C71">
        <w:rPr>
          <w:rFonts w:ascii="Times New Roman" w:hAnsi="Times New Roman" w:cs="Times New Roman"/>
          <w:sz w:val="24"/>
          <w:szCs w:val="24"/>
        </w:rPr>
        <w:t xml:space="preserve"> </w:t>
      </w:r>
      <w:r w:rsidRPr="007A5FF2" w:rsidR="007D5C49">
        <w:rPr>
          <w:rFonts w:ascii="Times New Roman" w:hAnsi="Times New Roman" w:cs="Times New Roman"/>
          <w:sz w:val="24"/>
          <w:szCs w:val="24"/>
        </w:rPr>
        <w:t xml:space="preserve">rate plan fashioned as an </w:t>
      </w:r>
      <w:r w:rsidRPr="007A5FF2" w:rsidR="00446C71">
        <w:rPr>
          <w:rFonts w:ascii="Times New Roman" w:hAnsi="Times New Roman" w:cs="Times New Roman"/>
          <w:sz w:val="24"/>
          <w:szCs w:val="24"/>
        </w:rPr>
        <w:t>electric security plan</w:t>
      </w:r>
      <w:r w:rsidRPr="007A5FF2" w:rsidR="007D5C49">
        <w:rPr>
          <w:rFonts w:ascii="Times New Roman" w:hAnsi="Times New Roman" w:cs="Times New Roman"/>
          <w:sz w:val="24"/>
          <w:szCs w:val="24"/>
        </w:rPr>
        <w:t xml:space="preserve"> must meet.</w:t>
      </w:r>
      <w:r>
        <w:rPr>
          <w:rStyle w:val="FootnoteReference"/>
          <w:rFonts w:ascii="Times New Roman" w:hAnsi="Times New Roman" w:cs="Times New Roman"/>
          <w:sz w:val="24"/>
          <w:szCs w:val="24"/>
        </w:rPr>
        <w:footnoteReference w:id="16"/>
      </w:r>
      <w:r w:rsidRPr="007A5FF2" w:rsidR="007D5C49">
        <w:rPr>
          <w:rFonts w:ascii="Times New Roman" w:hAnsi="Times New Roman" w:cs="Times New Roman"/>
          <w:sz w:val="24"/>
          <w:szCs w:val="24"/>
        </w:rPr>
        <w:t xml:space="preserve"> So unless the statutory test is properly </w:t>
      </w:r>
      <w:r w:rsidRPr="007A5FF2" w:rsidR="005A57E9">
        <w:rPr>
          <w:rFonts w:ascii="Times New Roman" w:hAnsi="Times New Roman" w:cs="Times New Roman"/>
          <w:sz w:val="24"/>
          <w:szCs w:val="24"/>
        </w:rPr>
        <w:t>conducted</w:t>
      </w:r>
      <w:r w:rsidRPr="007A5FF2" w:rsidR="007D5C49">
        <w:rPr>
          <w:rFonts w:ascii="Times New Roman" w:hAnsi="Times New Roman" w:cs="Times New Roman"/>
          <w:sz w:val="24"/>
          <w:szCs w:val="24"/>
        </w:rPr>
        <w:t>, there are</w:t>
      </w:r>
      <w:r w:rsidRPr="007A5FF2" w:rsidR="00446C71">
        <w:rPr>
          <w:rFonts w:ascii="Times New Roman" w:hAnsi="Times New Roman" w:cs="Times New Roman"/>
          <w:sz w:val="24"/>
          <w:szCs w:val="24"/>
        </w:rPr>
        <w:t xml:space="preserve"> </w:t>
      </w:r>
      <w:r w:rsidRPr="007A5FF2" w:rsidR="007D5C49">
        <w:rPr>
          <w:rFonts w:ascii="Times New Roman" w:hAnsi="Times New Roman" w:cs="Times New Roman"/>
          <w:sz w:val="24"/>
          <w:szCs w:val="24"/>
        </w:rPr>
        <w:t>no safeguards to ensure the availability to consumers of adequate, reliable, safe, efficient,</w:t>
      </w:r>
      <w:r w:rsidRPr="007A5FF2" w:rsidR="00446C71">
        <w:rPr>
          <w:rFonts w:ascii="Times New Roman" w:hAnsi="Times New Roman" w:cs="Times New Roman"/>
          <w:sz w:val="24"/>
          <w:szCs w:val="24"/>
        </w:rPr>
        <w:t xml:space="preserve"> reasonably priced, non-discriminatory electric service.</w:t>
      </w:r>
      <w:r w:rsidRPr="007A5FF2" w:rsidR="00493045">
        <w:rPr>
          <w:rFonts w:ascii="Times New Roman" w:hAnsi="Times New Roman" w:cs="Times New Roman"/>
          <w:sz w:val="24"/>
          <w:szCs w:val="24"/>
        </w:rPr>
        <w:t xml:space="preserve">  </w:t>
      </w:r>
    </w:p>
    <w:p w:rsidR="00C254C2" w:rsidP="00446C71" w14:paraId="7ACF7B44" w14:textId="77777777">
      <w:pPr>
        <w:widowControl w:val="0"/>
        <w:spacing w:after="0" w:line="480" w:lineRule="auto"/>
        <w:ind w:firstLine="720"/>
        <w:contextualSpacing/>
        <w:rPr>
          <w:rFonts w:ascii="Times New Roman" w:hAnsi="Times New Roman" w:cs="Times New Roman"/>
          <w:sz w:val="24"/>
          <w:szCs w:val="24"/>
        </w:rPr>
        <w:sectPr w:rsidSect="004A64D1">
          <w:headerReference w:type="default" r:id="rId18"/>
          <w:pgSz w:w="12240" w:h="15840"/>
          <w:pgMar w:top="1440" w:right="1800" w:bottom="1440" w:left="1800" w:header="720" w:footer="720" w:gutter="0"/>
          <w:pgNumType w:start="1"/>
          <w:cols w:space="720"/>
          <w:docGrid w:linePitch="360"/>
        </w:sectPr>
      </w:pPr>
      <w:r w:rsidRPr="007A5FF2">
        <w:rPr>
          <w:rFonts w:ascii="Times New Roman" w:hAnsi="Times New Roman" w:cs="Times New Roman"/>
          <w:sz w:val="24"/>
          <w:szCs w:val="24"/>
        </w:rPr>
        <w:t>According to the Supreme Court, t</w:t>
      </w:r>
      <w:r w:rsidRPr="007A5FF2" w:rsidR="00446C71">
        <w:rPr>
          <w:rFonts w:ascii="Times New Roman" w:hAnsi="Times New Roman" w:cs="Times New Roman"/>
          <w:sz w:val="24"/>
          <w:szCs w:val="24"/>
        </w:rPr>
        <w:t>he statutory test does not bind the PUCO to do a strict price comparison.</w:t>
      </w:r>
      <w:r>
        <w:rPr>
          <w:rStyle w:val="FootnoteReference"/>
          <w:rFonts w:ascii="Times New Roman" w:hAnsi="Times New Roman" w:cs="Times New Roman"/>
          <w:sz w:val="24"/>
          <w:szCs w:val="24"/>
        </w:rPr>
        <w:footnoteReference w:id="17"/>
      </w:r>
      <w:r w:rsidRPr="007A5FF2" w:rsidR="00446C71">
        <w:rPr>
          <w:rFonts w:ascii="Times New Roman" w:hAnsi="Times New Roman" w:cs="Times New Roman"/>
          <w:sz w:val="24"/>
          <w:szCs w:val="24"/>
        </w:rPr>
        <w:t xml:space="preserve"> </w:t>
      </w:r>
      <w:r w:rsidRPr="007A5FF2">
        <w:rPr>
          <w:rFonts w:ascii="Times New Roman" w:hAnsi="Times New Roman" w:cs="Times New Roman"/>
          <w:sz w:val="24"/>
          <w:szCs w:val="24"/>
        </w:rPr>
        <w:t xml:space="preserve">The Court </w:t>
      </w:r>
      <w:r w:rsidRPr="007A5FF2" w:rsidR="003E2189">
        <w:rPr>
          <w:rFonts w:ascii="Times New Roman" w:hAnsi="Times New Roman" w:cs="Times New Roman"/>
          <w:sz w:val="24"/>
          <w:szCs w:val="24"/>
        </w:rPr>
        <w:t xml:space="preserve">unfortunately allowed the </w:t>
      </w:r>
      <w:r w:rsidRPr="007A5FF2">
        <w:rPr>
          <w:rFonts w:ascii="Times New Roman" w:hAnsi="Times New Roman" w:cs="Times New Roman"/>
          <w:sz w:val="24"/>
          <w:szCs w:val="24"/>
        </w:rPr>
        <w:t>PUCO</w:t>
      </w:r>
      <w:r w:rsidRPr="007A5FF2" w:rsidR="003E2189">
        <w:rPr>
          <w:rFonts w:ascii="Times New Roman" w:hAnsi="Times New Roman" w:cs="Times New Roman"/>
          <w:sz w:val="24"/>
          <w:szCs w:val="24"/>
        </w:rPr>
        <w:t>’s approach to</w:t>
      </w:r>
      <w:r w:rsidRPr="007A5FF2" w:rsidR="00446C71">
        <w:rPr>
          <w:rFonts w:ascii="Times New Roman" w:hAnsi="Times New Roman" w:cs="Times New Roman"/>
          <w:sz w:val="24"/>
          <w:szCs w:val="24"/>
        </w:rPr>
        <w:t xml:space="preserve"> consider both quantitative and qualitative benefits of an electric security plan.</w:t>
      </w:r>
      <w:r>
        <w:rPr>
          <w:rStyle w:val="FootnoteReference"/>
          <w:rFonts w:ascii="Times New Roman" w:hAnsi="Times New Roman" w:cs="Times New Roman"/>
          <w:sz w:val="24"/>
          <w:szCs w:val="24"/>
        </w:rPr>
        <w:footnoteReference w:id="18"/>
      </w:r>
      <w:r w:rsidRPr="007A5FF2" w:rsidR="00446C71">
        <w:rPr>
          <w:rFonts w:ascii="Times New Roman" w:hAnsi="Times New Roman" w:cs="Times New Roman"/>
          <w:sz w:val="24"/>
          <w:szCs w:val="24"/>
        </w:rPr>
        <w:t xml:space="preserve"> But the statutory test does instruct the PUCO to consider pricing and all other terms and </w:t>
      </w:r>
    </w:p>
    <w:p w:rsidR="003E2189" w:rsidRPr="007A5FF2" w:rsidP="00C254C2" w14:paraId="02EE80D7" w14:textId="081DD05F">
      <w:pPr>
        <w:widowControl w:val="0"/>
        <w:spacing w:after="0" w:line="480" w:lineRule="auto"/>
        <w:contextualSpacing/>
        <w:rPr>
          <w:rFonts w:ascii="Times New Roman" w:hAnsi="Times New Roman" w:cs="Times New Roman"/>
          <w:sz w:val="24"/>
          <w:szCs w:val="24"/>
        </w:rPr>
      </w:pPr>
      <w:r w:rsidRPr="007A5FF2">
        <w:rPr>
          <w:rFonts w:ascii="Times New Roman" w:hAnsi="Times New Roman" w:cs="Times New Roman"/>
          <w:sz w:val="24"/>
          <w:szCs w:val="24"/>
        </w:rPr>
        <w:t>conditions in evaluating if an electric security plan is more favorable in the aggregate than an expected market rate offer.</w:t>
      </w:r>
      <w:r>
        <w:rPr>
          <w:rStyle w:val="FootnoteReference"/>
          <w:rFonts w:ascii="Times New Roman" w:hAnsi="Times New Roman" w:cs="Times New Roman"/>
          <w:sz w:val="24"/>
          <w:szCs w:val="24"/>
        </w:rPr>
        <w:footnoteReference w:id="19"/>
      </w:r>
      <w:r w:rsidRPr="007A5FF2">
        <w:rPr>
          <w:rFonts w:ascii="Times New Roman" w:hAnsi="Times New Roman" w:cs="Times New Roman"/>
          <w:sz w:val="24"/>
          <w:szCs w:val="24"/>
        </w:rPr>
        <w:t xml:space="preserve"> </w:t>
      </w:r>
    </w:p>
    <w:p w:rsidR="00446C71" w:rsidRPr="007A5FF2" w:rsidP="00446C71" w14:paraId="3D130597" w14:textId="5705D940">
      <w:pPr>
        <w:widowControl w:val="0"/>
        <w:spacing w:after="0" w:line="480" w:lineRule="auto"/>
        <w:ind w:firstLine="720"/>
        <w:contextualSpacing/>
        <w:rPr>
          <w:rFonts w:ascii="Times New Roman" w:hAnsi="Times New Roman" w:cs="Times New Roman"/>
          <w:sz w:val="24"/>
          <w:szCs w:val="24"/>
        </w:rPr>
      </w:pPr>
      <w:r w:rsidRPr="007A5FF2">
        <w:rPr>
          <w:rFonts w:ascii="Times New Roman" w:hAnsi="Times New Roman" w:cs="Times New Roman"/>
          <w:sz w:val="24"/>
          <w:szCs w:val="24"/>
        </w:rPr>
        <w:t>Without such consideration, the PUCO does not meet its obligations under R.C.  4928.143(C)(1).</w:t>
      </w:r>
      <w:r w:rsidRPr="007A5FF2" w:rsidR="003E2189">
        <w:rPr>
          <w:rFonts w:ascii="Times New Roman" w:hAnsi="Times New Roman" w:cs="Times New Roman"/>
          <w:sz w:val="24"/>
          <w:szCs w:val="24"/>
        </w:rPr>
        <w:t xml:space="preserve"> And</w:t>
      </w:r>
      <w:r w:rsidRPr="007A5FF2" w:rsidR="007C2EA1">
        <w:rPr>
          <w:rFonts w:ascii="Times New Roman" w:hAnsi="Times New Roman" w:cs="Times New Roman"/>
          <w:sz w:val="24"/>
          <w:szCs w:val="24"/>
        </w:rPr>
        <w:t xml:space="preserve"> customers are left without the protection of the statute.  </w:t>
      </w:r>
    </w:p>
    <w:p w:rsidR="00074F68" w:rsidRPr="007A5FF2" w:rsidP="004A64D1" w14:paraId="098BD48A" w14:textId="40605993">
      <w:pPr>
        <w:pStyle w:val="Heading3"/>
      </w:pPr>
      <w:bookmarkStart w:id="9" w:name="_Toc44947238"/>
      <w:r>
        <w:t>B.</w:t>
      </w:r>
      <w:r>
        <w:tab/>
      </w:r>
      <w:r w:rsidRPr="007A5FF2">
        <w:t>The PUCO’s decision to not require electric utilities to include cost projections for placeholder riders is unlawful and unreasonable.</w:t>
      </w:r>
      <w:bookmarkEnd w:id="9"/>
    </w:p>
    <w:p w:rsidR="003E2189" w:rsidRPr="007A5FF2" w:rsidP="00333420" w14:paraId="1B854B8B" w14:textId="14E523E8">
      <w:pPr>
        <w:widowControl w:val="0"/>
        <w:spacing w:after="0" w:line="480" w:lineRule="auto"/>
        <w:ind w:firstLine="720"/>
        <w:rPr>
          <w:rFonts w:ascii="Times New Roman" w:hAnsi="Times New Roman" w:cs="Times New Roman"/>
          <w:sz w:val="24"/>
          <w:szCs w:val="24"/>
        </w:rPr>
      </w:pPr>
      <w:r w:rsidRPr="007A5FF2">
        <w:rPr>
          <w:rFonts w:ascii="Times New Roman" w:hAnsi="Times New Roman" w:cs="Times New Roman"/>
          <w:sz w:val="24"/>
          <w:szCs w:val="24"/>
        </w:rPr>
        <w:t xml:space="preserve">To properly perform the ESP </w:t>
      </w:r>
      <w:r w:rsidRPr="007A5FF2" w:rsidR="00535C46">
        <w:rPr>
          <w:rFonts w:ascii="Times New Roman" w:hAnsi="Times New Roman" w:cs="Times New Roman"/>
          <w:sz w:val="24"/>
          <w:szCs w:val="24"/>
        </w:rPr>
        <w:t xml:space="preserve">v. MRO </w:t>
      </w:r>
      <w:r w:rsidRPr="007A5FF2">
        <w:rPr>
          <w:rFonts w:ascii="Times New Roman" w:hAnsi="Times New Roman" w:cs="Times New Roman"/>
          <w:sz w:val="24"/>
          <w:szCs w:val="24"/>
        </w:rPr>
        <w:t xml:space="preserve">test, the PUCO needs to know the </w:t>
      </w:r>
      <w:r w:rsidRPr="007A5FF2" w:rsidR="005A57E9">
        <w:rPr>
          <w:rFonts w:ascii="Times New Roman" w:hAnsi="Times New Roman" w:cs="Times New Roman"/>
          <w:sz w:val="24"/>
          <w:szCs w:val="24"/>
        </w:rPr>
        <w:t xml:space="preserve">total </w:t>
      </w:r>
      <w:r w:rsidRPr="007A5FF2">
        <w:rPr>
          <w:rFonts w:ascii="Times New Roman" w:hAnsi="Times New Roman" w:cs="Times New Roman"/>
          <w:sz w:val="24"/>
          <w:szCs w:val="24"/>
        </w:rPr>
        <w:t xml:space="preserve">cost </w:t>
      </w:r>
      <w:r w:rsidRPr="007A5FF2" w:rsidR="007C2EA1">
        <w:rPr>
          <w:rFonts w:ascii="Times New Roman" w:hAnsi="Times New Roman" w:cs="Times New Roman"/>
          <w:sz w:val="24"/>
          <w:szCs w:val="24"/>
        </w:rPr>
        <w:t xml:space="preserve">to customers </w:t>
      </w:r>
      <w:r w:rsidRPr="007A5FF2">
        <w:rPr>
          <w:rFonts w:ascii="Times New Roman" w:hAnsi="Times New Roman" w:cs="Times New Roman"/>
          <w:sz w:val="24"/>
          <w:szCs w:val="24"/>
        </w:rPr>
        <w:t xml:space="preserve">of the electric utilities’ electric security plans.  Otherwise, there is no way to </w:t>
      </w:r>
      <w:r w:rsidRPr="007A5FF2" w:rsidR="007C2EA1">
        <w:rPr>
          <w:rFonts w:ascii="Times New Roman" w:hAnsi="Times New Roman" w:cs="Times New Roman"/>
          <w:sz w:val="24"/>
          <w:szCs w:val="24"/>
        </w:rPr>
        <w:t xml:space="preserve">measure whether consumers are paying less under an electric security plan than they would </w:t>
      </w:r>
      <w:r w:rsidRPr="007A5FF2" w:rsidR="005A57E9">
        <w:rPr>
          <w:rFonts w:ascii="Times New Roman" w:hAnsi="Times New Roman" w:cs="Times New Roman"/>
          <w:sz w:val="24"/>
          <w:szCs w:val="24"/>
        </w:rPr>
        <w:t xml:space="preserve">otherwise </w:t>
      </w:r>
      <w:r w:rsidRPr="007A5FF2" w:rsidR="007C2EA1">
        <w:rPr>
          <w:rFonts w:ascii="Times New Roman" w:hAnsi="Times New Roman" w:cs="Times New Roman"/>
          <w:sz w:val="24"/>
          <w:szCs w:val="24"/>
        </w:rPr>
        <w:t xml:space="preserve">pay under a market option.  </w:t>
      </w:r>
      <w:r w:rsidRPr="007A5FF2">
        <w:rPr>
          <w:rFonts w:ascii="Times New Roman" w:hAnsi="Times New Roman" w:cs="Times New Roman"/>
          <w:sz w:val="24"/>
          <w:szCs w:val="24"/>
        </w:rPr>
        <w:t>The PUCO cannot possibly abide by R.C. 4928.143(C)(l)</w:t>
      </w:r>
      <w:r w:rsidRPr="007A5FF2" w:rsidR="00E26E85">
        <w:rPr>
          <w:rFonts w:ascii="Times New Roman" w:hAnsi="Times New Roman" w:cs="Times New Roman"/>
          <w:sz w:val="24"/>
          <w:szCs w:val="24"/>
        </w:rPr>
        <w:t xml:space="preserve"> that it consider whether “its pricing </w:t>
      </w:r>
      <w:r w:rsidRPr="007A5FF2">
        <w:rPr>
          <w:rFonts w:ascii="Times New Roman" w:hAnsi="Times New Roman" w:cs="Times New Roman"/>
          <w:sz w:val="24"/>
          <w:szCs w:val="24"/>
        </w:rPr>
        <w:t>and all other terms and conditions</w:t>
      </w:r>
      <w:r w:rsidRPr="007A5FF2" w:rsidR="00E26E85">
        <w:rPr>
          <w:rFonts w:ascii="Times New Roman" w:hAnsi="Times New Roman" w:cs="Times New Roman"/>
          <w:sz w:val="24"/>
          <w:szCs w:val="24"/>
        </w:rPr>
        <w:t xml:space="preserve">” </w:t>
      </w:r>
      <w:r w:rsidRPr="007A5FF2">
        <w:rPr>
          <w:rFonts w:ascii="Times New Roman" w:hAnsi="Times New Roman" w:cs="Times New Roman"/>
          <w:sz w:val="24"/>
          <w:szCs w:val="24"/>
        </w:rPr>
        <w:t xml:space="preserve"> i</w:t>
      </w:r>
      <w:r w:rsidRPr="007A5FF2" w:rsidR="00E26E85">
        <w:rPr>
          <w:rFonts w:ascii="Times New Roman" w:hAnsi="Times New Roman" w:cs="Times New Roman"/>
          <w:sz w:val="24"/>
          <w:szCs w:val="24"/>
        </w:rPr>
        <w:t>s “</w:t>
      </w:r>
      <w:r w:rsidRPr="007A5FF2">
        <w:rPr>
          <w:rFonts w:ascii="Times New Roman" w:hAnsi="Times New Roman" w:cs="Times New Roman"/>
          <w:sz w:val="24"/>
          <w:szCs w:val="24"/>
        </w:rPr>
        <w:t>more favorable in the aggregate</w:t>
      </w:r>
      <w:r w:rsidRPr="007A5FF2" w:rsidR="00E26E85">
        <w:rPr>
          <w:rFonts w:ascii="Times New Roman" w:hAnsi="Times New Roman" w:cs="Times New Roman"/>
          <w:sz w:val="24"/>
          <w:szCs w:val="24"/>
        </w:rPr>
        <w:t xml:space="preserve"> as compared to the expected results that would otherwise apply” to a market rate offer. </w:t>
      </w:r>
    </w:p>
    <w:p w:rsidR="003E2189" w:rsidRPr="007A5FF2" w:rsidP="00074F68" w14:paraId="675CC332" w14:textId="77777777">
      <w:pPr>
        <w:widowControl w:val="0"/>
        <w:spacing w:after="0" w:line="480" w:lineRule="auto"/>
        <w:ind w:firstLine="720"/>
        <w:rPr>
          <w:rFonts w:ascii="Times New Roman" w:hAnsi="Times New Roman" w:cs="Times New Roman"/>
          <w:sz w:val="24"/>
          <w:szCs w:val="24"/>
        </w:rPr>
      </w:pPr>
      <w:r w:rsidRPr="007A5FF2">
        <w:rPr>
          <w:rFonts w:ascii="Times New Roman" w:hAnsi="Times New Roman" w:cs="Times New Roman"/>
          <w:sz w:val="24"/>
          <w:szCs w:val="24"/>
        </w:rPr>
        <w:t xml:space="preserve">Placeholder riders favor the electric utilities, enabling them to “future-proof” their electric security plans without waiting until the next electric security plan to request the rider.  That situation gets even worse for consumers when the placeholder rider is assigned no cost for purposes of the statutory test. </w:t>
      </w:r>
    </w:p>
    <w:p w:rsidR="00074F68" w:rsidRPr="007A5FF2" w:rsidP="00074F68" w14:paraId="2665CB51" w14:textId="3B87C0AB">
      <w:pPr>
        <w:widowControl w:val="0"/>
        <w:spacing w:after="0" w:line="480" w:lineRule="auto"/>
        <w:ind w:firstLine="720"/>
        <w:rPr>
          <w:rFonts w:ascii="Times New Roman" w:hAnsi="Times New Roman" w:cs="Times New Roman"/>
          <w:sz w:val="24"/>
          <w:szCs w:val="24"/>
        </w:rPr>
      </w:pPr>
      <w:r w:rsidRPr="007A5FF2">
        <w:rPr>
          <w:rFonts w:ascii="Times New Roman" w:hAnsi="Times New Roman" w:cs="Times New Roman"/>
          <w:sz w:val="24"/>
          <w:szCs w:val="24"/>
        </w:rPr>
        <w:t xml:space="preserve">By failing to </w:t>
      </w:r>
      <w:r w:rsidRPr="007A5FF2" w:rsidR="00E26E85">
        <w:rPr>
          <w:rFonts w:ascii="Times New Roman" w:hAnsi="Times New Roman" w:cs="Times New Roman"/>
          <w:sz w:val="24"/>
          <w:szCs w:val="24"/>
        </w:rPr>
        <w:t xml:space="preserve">consider the pricing of electric </w:t>
      </w:r>
      <w:r w:rsidRPr="007A5FF2">
        <w:rPr>
          <w:rFonts w:ascii="Times New Roman" w:hAnsi="Times New Roman" w:cs="Times New Roman"/>
          <w:sz w:val="24"/>
          <w:szCs w:val="24"/>
        </w:rPr>
        <w:t xml:space="preserve">placeholder riders that are part of a proposed electric security plan, the PUCO is </w:t>
      </w:r>
      <w:r w:rsidRPr="007A5FF2" w:rsidR="00E26E85">
        <w:rPr>
          <w:rFonts w:ascii="Times New Roman" w:hAnsi="Times New Roman" w:cs="Times New Roman"/>
          <w:sz w:val="24"/>
          <w:szCs w:val="24"/>
        </w:rPr>
        <w:t xml:space="preserve">acting contrary to the statute.  </w:t>
      </w:r>
      <w:r w:rsidRPr="007A5FF2" w:rsidR="008B6286">
        <w:rPr>
          <w:rFonts w:ascii="Times New Roman" w:hAnsi="Times New Roman" w:cs="Times New Roman"/>
          <w:sz w:val="24"/>
          <w:szCs w:val="24"/>
        </w:rPr>
        <w:t xml:space="preserve">It is depriving consumers of </w:t>
      </w:r>
      <w:r w:rsidRPr="007A5FF2" w:rsidR="008B6286">
        <w:rPr>
          <w:rFonts w:ascii="Times New Roman" w:hAnsi="Times New Roman" w:cs="Times New Roman"/>
          <w:i/>
          <w:iCs/>
          <w:sz w:val="24"/>
          <w:szCs w:val="24"/>
        </w:rPr>
        <w:t xml:space="preserve">the </w:t>
      </w:r>
      <w:r w:rsidRPr="007A5FF2" w:rsidR="003E2189">
        <w:rPr>
          <w:rFonts w:ascii="Times New Roman" w:hAnsi="Times New Roman" w:cs="Times New Roman"/>
          <w:sz w:val="24"/>
          <w:szCs w:val="24"/>
        </w:rPr>
        <w:t>primary</w:t>
      </w:r>
      <w:r w:rsidRPr="007A5FF2" w:rsidR="003E2189">
        <w:rPr>
          <w:rFonts w:ascii="Times New Roman" w:hAnsi="Times New Roman" w:cs="Times New Roman"/>
          <w:i/>
          <w:iCs/>
          <w:sz w:val="24"/>
          <w:szCs w:val="24"/>
        </w:rPr>
        <w:t xml:space="preserve"> </w:t>
      </w:r>
      <w:r w:rsidRPr="007A5FF2" w:rsidR="008B6286">
        <w:rPr>
          <w:rFonts w:ascii="Times New Roman" w:hAnsi="Times New Roman" w:cs="Times New Roman"/>
          <w:sz w:val="24"/>
          <w:szCs w:val="24"/>
        </w:rPr>
        <w:t>consumer protection in the statute.  That is unreasonable and unlawful.</w:t>
      </w:r>
    </w:p>
    <w:p w:rsidR="00C254C2" w:rsidP="00BC0E08" w14:paraId="3FACC47B" w14:textId="77777777">
      <w:pPr>
        <w:widowControl w:val="0"/>
        <w:ind w:left="720"/>
        <w:rPr>
          <w:rFonts w:ascii="Times New Roman" w:hAnsi="Times New Roman" w:cs="Times New Roman"/>
          <w:sz w:val="24"/>
          <w:szCs w:val="24"/>
        </w:rPr>
        <w:sectPr w:rsidSect="000C1B23">
          <w:pgSz w:w="12240" w:h="15840"/>
          <w:pgMar w:top="1440" w:right="1800" w:bottom="1440" w:left="1800" w:header="720" w:footer="720" w:gutter="0"/>
          <w:cols w:space="720"/>
          <w:docGrid w:linePitch="360"/>
        </w:sectPr>
      </w:pPr>
    </w:p>
    <w:p w:rsidR="00F0084F" w:rsidRPr="007A5FF2" w:rsidP="00F0084F" w14:paraId="3F985D4B" w14:textId="77777777">
      <w:pPr>
        <w:pStyle w:val="Heading2"/>
        <w:numPr>
          <w:ilvl w:val="0"/>
          <w:numId w:val="0"/>
        </w:numPr>
        <w:ind w:left="720"/>
      </w:pPr>
      <w:bookmarkStart w:id="10" w:name="_Toc44947239"/>
      <w:r w:rsidRPr="007A5FF2">
        <w:t>ASSIGNMENT OF ERROR NO. 3:  The PUCO erred by failing to require in tariffs that charges in electric security plans be subject to refund to consumers, in the event of Ohio Supreme Court reversals or other changes.</w:t>
      </w:r>
      <w:bookmarkEnd w:id="10"/>
    </w:p>
    <w:p w:rsidR="00E437C3" w:rsidRPr="007A5FF2" w:rsidP="00333420" w14:paraId="75FF83A1" w14:textId="6749258C">
      <w:pPr>
        <w:widowControl w:val="0"/>
        <w:spacing w:after="0" w:line="480" w:lineRule="auto"/>
        <w:ind w:firstLine="720"/>
        <w:rPr>
          <w:rFonts w:ascii="Times New Roman" w:hAnsi="Times New Roman" w:cs="Times New Roman"/>
          <w:sz w:val="24"/>
          <w:szCs w:val="24"/>
        </w:rPr>
      </w:pPr>
      <w:r w:rsidRPr="007A5FF2">
        <w:rPr>
          <w:rFonts w:ascii="Times New Roman" w:hAnsi="Times New Roman" w:cs="Times New Roman"/>
          <w:sz w:val="24"/>
          <w:szCs w:val="24"/>
        </w:rPr>
        <w:t xml:space="preserve">An </w:t>
      </w:r>
      <w:r w:rsidRPr="007A5FF2" w:rsidR="00A54FF4">
        <w:rPr>
          <w:rFonts w:ascii="Times New Roman" w:hAnsi="Times New Roman" w:cs="Times New Roman"/>
          <w:sz w:val="24"/>
          <w:szCs w:val="24"/>
        </w:rPr>
        <w:t xml:space="preserve">example of how electric security plans have harmed consumers is that electric utility charges (riders) have not been made subject to refund.  This means that </w:t>
      </w:r>
      <w:r w:rsidRPr="007A5FF2">
        <w:rPr>
          <w:rFonts w:ascii="Times New Roman" w:hAnsi="Times New Roman" w:cs="Times New Roman"/>
          <w:sz w:val="24"/>
          <w:szCs w:val="24"/>
        </w:rPr>
        <w:t xml:space="preserve">when </w:t>
      </w:r>
      <w:r w:rsidRPr="007A5FF2" w:rsidR="00A54FF4">
        <w:rPr>
          <w:rFonts w:ascii="Times New Roman" w:hAnsi="Times New Roman" w:cs="Times New Roman"/>
          <w:sz w:val="24"/>
          <w:szCs w:val="24"/>
        </w:rPr>
        <w:t>the PUCO approves a charge</w:t>
      </w:r>
      <w:r w:rsidRPr="007A5FF2">
        <w:rPr>
          <w:rFonts w:ascii="Times New Roman" w:hAnsi="Times New Roman" w:cs="Times New Roman"/>
          <w:sz w:val="24"/>
          <w:szCs w:val="24"/>
        </w:rPr>
        <w:t xml:space="preserve"> and</w:t>
      </w:r>
      <w:r w:rsidRPr="007A5FF2" w:rsidR="00A54FF4">
        <w:rPr>
          <w:rFonts w:ascii="Times New Roman" w:hAnsi="Times New Roman" w:cs="Times New Roman"/>
          <w:sz w:val="24"/>
          <w:szCs w:val="24"/>
        </w:rPr>
        <w:t xml:space="preserve"> it is later declared unlawful by the Ohio Supreme Court</w:t>
      </w:r>
      <w:r w:rsidRPr="007A5FF2">
        <w:rPr>
          <w:rFonts w:ascii="Times New Roman" w:hAnsi="Times New Roman" w:cs="Times New Roman"/>
          <w:sz w:val="24"/>
          <w:szCs w:val="24"/>
        </w:rPr>
        <w:t>,</w:t>
      </w:r>
      <w:r w:rsidRPr="007A5FF2" w:rsidR="00A54FF4">
        <w:rPr>
          <w:rFonts w:ascii="Times New Roman" w:hAnsi="Times New Roman" w:cs="Times New Roman"/>
          <w:sz w:val="24"/>
          <w:szCs w:val="24"/>
        </w:rPr>
        <w:t xml:space="preserve"> </w:t>
      </w:r>
      <w:r w:rsidRPr="007A5FF2">
        <w:rPr>
          <w:rFonts w:ascii="Times New Roman" w:hAnsi="Times New Roman" w:cs="Times New Roman"/>
          <w:sz w:val="24"/>
          <w:szCs w:val="24"/>
        </w:rPr>
        <w:t xml:space="preserve">consumers do not receive a refund of the money they paid for the unlawful charge.  </w:t>
      </w:r>
    </w:p>
    <w:p w:rsidR="00A54FF4" w:rsidRPr="007A5FF2" w14:paraId="0100B14C" w14:textId="3431DC22">
      <w:pPr>
        <w:widowControl w:val="0"/>
        <w:spacing w:after="0" w:line="480" w:lineRule="auto"/>
        <w:ind w:firstLine="720"/>
        <w:rPr>
          <w:rFonts w:ascii="Times New Roman" w:hAnsi="Times New Roman" w:cs="Times New Roman"/>
          <w:sz w:val="24"/>
          <w:szCs w:val="24"/>
        </w:rPr>
      </w:pPr>
      <w:r w:rsidRPr="007A5FF2">
        <w:rPr>
          <w:rFonts w:ascii="Times New Roman" w:hAnsi="Times New Roman" w:cs="Times New Roman"/>
          <w:sz w:val="24"/>
          <w:szCs w:val="24"/>
        </w:rPr>
        <w:t>OCC (and others) ha</w:t>
      </w:r>
      <w:r w:rsidRPr="007A5FF2" w:rsidR="009752D7">
        <w:rPr>
          <w:rFonts w:ascii="Times New Roman" w:hAnsi="Times New Roman" w:cs="Times New Roman"/>
          <w:sz w:val="24"/>
          <w:szCs w:val="24"/>
        </w:rPr>
        <w:t>ve</w:t>
      </w:r>
      <w:r w:rsidRPr="007A5FF2">
        <w:rPr>
          <w:rFonts w:ascii="Times New Roman" w:hAnsi="Times New Roman" w:cs="Times New Roman"/>
          <w:sz w:val="24"/>
          <w:szCs w:val="24"/>
        </w:rPr>
        <w:t xml:space="preserve"> attempted to right this wrong many times</w:t>
      </w:r>
      <w:r w:rsidRPr="007A5FF2" w:rsidR="009752D7">
        <w:rPr>
          <w:rFonts w:ascii="Times New Roman" w:hAnsi="Times New Roman" w:cs="Times New Roman"/>
          <w:sz w:val="24"/>
          <w:szCs w:val="24"/>
        </w:rPr>
        <w:t>. For example,</w:t>
      </w:r>
      <w:r w:rsidRPr="007A5FF2">
        <w:rPr>
          <w:rFonts w:ascii="Times New Roman" w:hAnsi="Times New Roman" w:cs="Times New Roman"/>
          <w:sz w:val="24"/>
          <w:szCs w:val="24"/>
        </w:rPr>
        <w:t xml:space="preserve"> </w:t>
      </w:r>
      <w:r w:rsidRPr="007A5FF2" w:rsidR="009752D7">
        <w:rPr>
          <w:rFonts w:ascii="Times New Roman" w:hAnsi="Times New Roman" w:cs="Times New Roman"/>
          <w:sz w:val="24"/>
          <w:szCs w:val="24"/>
        </w:rPr>
        <w:t>OCC and OMA jointly</w:t>
      </w:r>
      <w:r w:rsidRPr="007A5FF2">
        <w:rPr>
          <w:rFonts w:ascii="Times New Roman" w:hAnsi="Times New Roman" w:cs="Times New Roman"/>
          <w:sz w:val="24"/>
          <w:szCs w:val="24"/>
        </w:rPr>
        <w:t xml:space="preserve"> ask</w:t>
      </w:r>
      <w:r w:rsidRPr="007A5FF2" w:rsidR="009752D7">
        <w:rPr>
          <w:rFonts w:ascii="Times New Roman" w:hAnsi="Times New Roman" w:cs="Times New Roman"/>
          <w:sz w:val="24"/>
          <w:szCs w:val="24"/>
        </w:rPr>
        <w:t>ed</w:t>
      </w:r>
      <w:r w:rsidRPr="007A5FF2">
        <w:rPr>
          <w:rFonts w:ascii="Times New Roman" w:hAnsi="Times New Roman" w:cs="Times New Roman"/>
          <w:sz w:val="24"/>
          <w:szCs w:val="24"/>
        </w:rPr>
        <w:t xml:space="preserve"> the PUCO to make FirstEnergy’s so-called “distribution modernization rider” subject to refund</w:t>
      </w:r>
      <w:r w:rsidRPr="007A5FF2" w:rsidR="009752D7">
        <w:rPr>
          <w:rFonts w:ascii="Times New Roman" w:hAnsi="Times New Roman" w:cs="Times New Roman"/>
          <w:sz w:val="24"/>
          <w:szCs w:val="24"/>
        </w:rPr>
        <w:t xml:space="preserve"> in 2016</w:t>
      </w:r>
      <w:r w:rsidRPr="007A5FF2">
        <w:rPr>
          <w:rFonts w:ascii="Times New Roman" w:hAnsi="Times New Roman" w:cs="Times New Roman"/>
          <w:sz w:val="24"/>
          <w:szCs w:val="24"/>
        </w:rPr>
        <w:t>.</w:t>
      </w:r>
      <w:r>
        <w:rPr>
          <w:rStyle w:val="FootnoteReference"/>
          <w:rFonts w:ascii="Times New Roman" w:hAnsi="Times New Roman" w:cs="Times New Roman"/>
          <w:sz w:val="24"/>
          <w:szCs w:val="24"/>
        </w:rPr>
        <w:footnoteReference w:id="20"/>
      </w:r>
      <w:r w:rsidRPr="007A5FF2">
        <w:rPr>
          <w:rFonts w:ascii="Times New Roman" w:hAnsi="Times New Roman" w:cs="Times New Roman"/>
          <w:sz w:val="24"/>
          <w:szCs w:val="24"/>
        </w:rPr>
        <w:t xml:space="preserve">  Unfortunately for consumers, the PUCO denied </w:t>
      </w:r>
      <w:r w:rsidRPr="007A5FF2" w:rsidR="009752D7">
        <w:rPr>
          <w:rFonts w:ascii="Times New Roman" w:hAnsi="Times New Roman" w:cs="Times New Roman"/>
          <w:sz w:val="24"/>
          <w:szCs w:val="24"/>
        </w:rPr>
        <w:t>the</w:t>
      </w:r>
      <w:r w:rsidRPr="007A5FF2">
        <w:rPr>
          <w:rFonts w:ascii="Times New Roman" w:hAnsi="Times New Roman" w:cs="Times New Roman"/>
          <w:sz w:val="24"/>
          <w:szCs w:val="24"/>
        </w:rPr>
        <w:t xml:space="preserve"> request.</w:t>
      </w:r>
      <w:r>
        <w:rPr>
          <w:rStyle w:val="FootnoteReference"/>
          <w:rFonts w:ascii="Times New Roman" w:hAnsi="Times New Roman" w:cs="Times New Roman"/>
          <w:sz w:val="24"/>
          <w:szCs w:val="24"/>
        </w:rPr>
        <w:footnoteReference w:id="21"/>
      </w:r>
      <w:r w:rsidRPr="007A5FF2">
        <w:rPr>
          <w:rFonts w:ascii="Times New Roman" w:hAnsi="Times New Roman" w:cs="Times New Roman"/>
          <w:sz w:val="24"/>
          <w:szCs w:val="24"/>
        </w:rPr>
        <w:t xml:space="preserve">  After consumers spent nearly half a billion dollars for the charge, the Ohio Supreme Court later held that it was unlawful.</w:t>
      </w:r>
      <w:r>
        <w:rPr>
          <w:rStyle w:val="FootnoteReference"/>
          <w:rFonts w:ascii="Times New Roman" w:hAnsi="Times New Roman" w:cs="Times New Roman"/>
          <w:sz w:val="24"/>
          <w:szCs w:val="24"/>
        </w:rPr>
        <w:footnoteReference w:id="22"/>
      </w:r>
      <w:r w:rsidRPr="007A5FF2">
        <w:rPr>
          <w:rFonts w:ascii="Times New Roman" w:hAnsi="Times New Roman" w:cs="Times New Roman"/>
          <w:sz w:val="24"/>
          <w:szCs w:val="24"/>
        </w:rPr>
        <w:t xml:space="preserve">  </w:t>
      </w:r>
      <w:r w:rsidRPr="007A5FF2" w:rsidR="009752D7">
        <w:rPr>
          <w:rFonts w:ascii="Times New Roman" w:hAnsi="Times New Roman" w:cs="Times New Roman"/>
          <w:sz w:val="24"/>
          <w:szCs w:val="24"/>
        </w:rPr>
        <w:t>But the</w:t>
      </w:r>
      <w:r w:rsidRPr="007A5FF2" w:rsidR="001428BD">
        <w:rPr>
          <w:rFonts w:ascii="Times New Roman" w:hAnsi="Times New Roman" w:cs="Times New Roman"/>
          <w:sz w:val="24"/>
          <w:szCs w:val="24"/>
        </w:rPr>
        <w:t xml:space="preserve"> Court explained that, because the PUCO did not make FirstEnergy’s charge subject to refund, FirstEnergy did not have to make refunds to its customers.</w:t>
      </w:r>
      <w:r>
        <w:rPr>
          <w:rStyle w:val="FootnoteReference"/>
          <w:rFonts w:ascii="Times New Roman" w:hAnsi="Times New Roman" w:cs="Times New Roman"/>
          <w:sz w:val="24"/>
          <w:szCs w:val="24"/>
        </w:rPr>
        <w:footnoteReference w:id="23"/>
      </w:r>
      <w:r w:rsidRPr="007A5FF2" w:rsidR="001428BD">
        <w:rPr>
          <w:rFonts w:ascii="Times New Roman" w:hAnsi="Times New Roman" w:cs="Times New Roman"/>
          <w:sz w:val="24"/>
          <w:szCs w:val="24"/>
        </w:rPr>
        <w:t xml:space="preserve">  So c</w:t>
      </w:r>
      <w:r w:rsidRPr="007A5FF2">
        <w:rPr>
          <w:rFonts w:ascii="Times New Roman" w:hAnsi="Times New Roman" w:cs="Times New Roman"/>
          <w:sz w:val="24"/>
          <w:szCs w:val="24"/>
        </w:rPr>
        <w:t xml:space="preserve">onsumers were </w:t>
      </w:r>
      <w:r w:rsidRPr="007A5FF2" w:rsidR="009752D7">
        <w:rPr>
          <w:rFonts w:ascii="Times New Roman" w:hAnsi="Times New Roman" w:cs="Times New Roman"/>
          <w:sz w:val="24"/>
          <w:szCs w:val="24"/>
        </w:rPr>
        <w:t>denied a refund of</w:t>
      </w:r>
      <w:r w:rsidRPr="007A5FF2">
        <w:rPr>
          <w:rFonts w:ascii="Times New Roman" w:hAnsi="Times New Roman" w:cs="Times New Roman"/>
          <w:sz w:val="24"/>
          <w:szCs w:val="24"/>
        </w:rPr>
        <w:t xml:space="preserve"> </w:t>
      </w:r>
      <w:r w:rsidRPr="007A5FF2" w:rsidR="001428BD">
        <w:rPr>
          <w:rFonts w:ascii="Times New Roman" w:hAnsi="Times New Roman" w:cs="Times New Roman"/>
          <w:sz w:val="24"/>
          <w:szCs w:val="24"/>
        </w:rPr>
        <w:t xml:space="preserve">nearly a </w:t>
      </w:r>
      <w:r w:rsidRPr="007A5FF2" w:rsidR="009752D7">
        <w:rPr>
          <w:rFonts w:ascii="Times New Roman" w:hAnsi="Times New Roman" w:cs="Times New Roman"/>
          <w:sz w:val="24"/>
          <w:szCs w:val="24"/>
        </w:rPr>
        <w:t>half-</w:t>
      </w:r>
      <w:r w:rsidRPr="007A5FF2" w:rsidR="001428BD">
        <w:rPr>
          <w:rFonts w:ascii="Times New Roman" w:hAnsi="Times New Roman" w:cs="Times New Roman"/>
          <w:sz w:val="24"/>
          <w:szCs w:val="24"/>
        </w:rPr>
        <w:t>billion dollars</w:t>
      </w:r>
      <w:r w:rsidRPr="007A5FF2">
        <w:rPr>
          <w:rFonts w:ascii="Times New Roman" w:hAnsi="Times New Roman" w:cs="Times New Roman"/>
          <w:sz w:val="24"/>
          <w:szCs w:val="24"/>
        </w:rPr>
        <w:t xml:space="preserve"> that they paid for an unlawful charge.</w:t>
      </w:r>
      <w:r w:rsidRPr="007A5FF2" w:rsidR="0029631D">
        <w:rPr>
          <w:rFonts w:ascii="Times New Roman" w:hAnsi="Times New Roman" w:cs="Times New Roman"/>
          <w:sz w:val="24"/>
          <w:szCs w:val="24"/>
        </w:rPr>
        <w:t xml:space="preserve"> Since 2009, </w:t>
      </w:r>
      <w:r w:rsidRPr="007A5FF2" w:rsidR="0067406B">
        <w:rPr>
          <w:rFonts w:ascii="Times New Roman" w:hAnsi="Times New Roman" w:cs="Times New Roman"/>
          <w:sz w:val="24"/>
          <w:szCs w:val="24"/>
        </w:rPr>
        <w:t xml:space="preserve">Ohio </w:t>
      </w:r>
      <w:r w:rsidRPr="007A5FF2" w:rsidR="0029631D">
        <w:rPr>
          <w:rFonts w:ascii="Times New Roman" w:hAnsi="Times New Roman" w:cs="Times New Roman"/>
          <w:sz w:val="24"/>
          <w:szCs w:val="24"/>
        </w:rPr>
        <w:t xml:space="preserve">electric consumers have been denied </w:t>
      </w:r>
      <w:r w:rsidRPr="007A5FF2" w:rsidR="0067406B">
        <w:rPr>
          <w:rFonts w:ascii="Times New Roman" w:hAnsi="Times New Roman" w:cs="Times New Roman"/>
          <w:sz w:val="24"/>
          <w:szCs w:val="24"/>
        </w:rPr>
        <w:t>more than a billion dollars in refunds.</w:t>
      </w:r>
    </w:p>
    <w:p w:rsidR="00C254C2" w:rsidP="00333420" w14:paraId="684DE5DF" w14:textId="77777777">
      <w:pPr>
        <w:widowControl w:val="0"/>
        <w:spacing w:after="0" w:line="480" w:lineRule="auto"/>
        <w:ind w:firstLine="720"/>
        <w:rPr>
          <w:rStyle w:val="ssleftalign"/>
          <w:rFonts w:ascii="Times New Roman" w:hAnsi="Times New Roman" w:cs="Times New Roman"/>
          <w:sz w:val="24"/>
          <w:szCs w:val="24"/>
        </w:rPr>
        <w:sectPr w:rsidSect="000C1B23">
          <w:pgSz w:w="12240" w:h="15840"/>
          <w:pgMar w:top="1440" w:right="1800" w:bottom="1440" w:left="1800" w:header="720" w:footer="720" w:gutter="0"/>
          <w:cols w:space="720"/>
          <w:docGrid w:linePitch="360"/>
        </w:sectPr>
      </w:pPr>
      <w:r w:rsidRPr="007A5FF2">
        <w:rPr>
          <w:rFonts w:ascii="Times New Roman" w:hAnsi="Times New Roman" w:cs="Times New Roman"/>
          <w:sz w:val="24"/>
          <w:szCs w:val="24"/>
        </w:rPr>
        <w:t>Former Supreme Court Justice Pfeifer wrote about the unfairness of the denial of refunds. He stated “</w:t>
      </w:r>
      <w:r w:rsidRPr="007A5FF2" w:rsidR="00603687">
        <w:rPr>
          <w:rFonts w:ascii="Times New Roman" w:hAnsi="Times New Roman" w:cs="Times New Roman"/>
          <w:sz w:val="24"/>
          <w:szCs w:val="24"/>
        </w:rPr>
        <w:t>[a]</w:t>
      </w:r>
      <w:r w:rsidRPr="007A5FF2" w:rsidR="00603687">
        <w:rPr>
          <w:rStyle w:val="ssleftalign"/>
          <w:rFonts w:ascii="Times New Roman" w:hAnsi="Times New Roman" w:cs="Times New Roman"/>
          <w:sz w:val="24"/>
          <w:szCs w:val="24"/>
        </w:rPr>
        <w:t xml:space="preserve">llowing AEP to retain the $368 million that it collected based on charges that were not justified is </w:t>
      </w:r>
      <w:r w:rsidRPr="007A5FF2" w:rsidR="00603687">
        <w:rPr>
          <w:rStyle w:val="sssh"/>
          <w:rFonts w:ascii="Times New Roman" w:hAnsi="Times New Roman" w:cs="Times New Roman"/>
          <w:sz w:val="24"/>
          <w:szCs w:val="24"/>
        </w:rPr>
        <w:t>unconscionable</w:t>
      </w:r>
      <w:r w:rsidRPr="007A5FF2" w:rsidR="00603687">
        <w:rPr>
          <w:rStyle w:val="ssleftalign"/>
          <w:rFonts w:ascii="Times New Roman" w:hAnsi="Times New Roman" w:cs="Times New Roman"/>
          <w:sz w:val="24"/>
          <w:szCs w:val="24"/>
        </w:rPr>
        <w:t xml:space="preserve">. Doing so because of a 50-year-old case </w:t>
      </w:r>
    </w:p>
    <w:p w:rsidR="000C0780" w:rsidRPr="007A5FF2" w:rsidP="00C254C2" w14:paraId="239F4408" w14:textId="5361C19F">
      <w:pPr>
        <w:widowControl w:val="0"/>
        <w:spacing w:after="0" w:line="480" w:lineRule="auto"/>
        <w:rPr>
          <w:rFonts w:ascii="Times New Roman" w:hAnsi="Times New Roman" w:cs="Times New Roman"/>
          <w:sz w:val="24"/>
          <w:szCs w:val="24"/>
        </w:rPr>
      </w:pPr>
      <w:r w:rsidRPr="007A5FF2">
        <w:rPr>
          <w:rStyle w:val="ssleftalign"/>
          <w:rFonts w:ascii="Times New Roman" w:hAnsi="Times New Roman" w:cs="Times New Roman"/>
          <w:sz w:val="24"/>
          <w:szCs w:val="24"/>
        </w:rPr>
        <w:t>that is not supported by the statute on which it is based is ridiculous. The ratepayers of Ohio deserve better.”</w:t>
      </w:r>
      <w:r>
        <w:rPr>
          <w:rStyle w:val="FootnoteReference"/>
          <w:rFonts w:ascii="Times New Roman" w:hAnsi="Times New Roman" w:cs="Times New Roman"/>
          <w:sz w:val="24"/>
          <w:szCs w:val="24"/>
        </w:rPr>
        <w:footnoteReference w:id="24"/>
      </w:r>
    </w:p>
    <w:p w:rsidR="00E437C3" w:rsidRPr="007A5FF2" w:rsidP="00333420" w14:paraId="45F25F39" w14:textId="1284FB5D">
      <w:pPr>
        <w:widowControl w:val="0"/>
        <w:spacing w:after="0" w:line="480" w:lineRule="auto"/>
        <w:ind w:firstLine="720"/>
        <w:rPr>
          <w:rFonts w:ascii="Times New Roman" w:hAnsi="Times New Roman" w:cs="Times New Roman"/>
          <w:sz w:val="24"/>
          <w:szCs w:val="24"/>
        </w:rPr>
      </w:pPr>
      <w:r w:rsidRPr="007A5FF2">
        <w:rPr>
          <w:rFonts w:ascii="Times New Roman" w:hAnsi="Times New Roman" w:cs="Times New Roman"/>
          <w:sz w:val="24"/>
          <w:szCs w:val="24"/>
        </w:rPr>
        <w:t>The PUCO has an opportunity here to correct this</w:t>
      </w:r>
      <w:r w:rsidRPr="007A5FF2" w:rsidR="009752D7">
        <w:rPr>
          <w:rFonts w:ascii="Times New Roman" w:hAnsi="Times New Roman" w:cs="Times New Roman"/>
          <w:sz w:val="24"/>
          <w:szCs w:val="24"/>
        </w:rPr>
        <w:t xml:space="preserve"> injustice to consumers</w:t>
      </w:r>
      <w:r w:rsidRPr="007A5FF2">
        <w:rPr>
          <w:rFonts w:ascii="Times New Roman" w:hAnsi="Times New Roman" w:cs="Times New Roman"/>
          <w:sz w:val="24"/>
          <w:szCs w:val="24"/>
        </w:rPr>
        <w:t>.  It should adopt a rule that all charges (riders) adopted as part of an electric security plan are collected subject to refund.</w:t>
      </w:r>
      <w:r>
        <w:rPr>
          <w:rStyle w:val="FootnoteReference"/>
          <w:rFonts w:ascii="Times New Roman" w:hAnsi="Times New Roman" w:cs="Times New Roman"/>
          <w:sz w:val="24"/>
          <w:szCs w:val="24"/>
        </w:rPr>
        <w:footnoteReference w:id="25"/>
      </w:r>
    </w:p>
    <w:p w:rsidR="00074F68" w:rsidRPr="007A5FF2" w:rsidP="00074F68" w14:paraId="09A0F69C" w14:textId="77777777">
      <w:pPr>
        <w:widowControl w:val="0"/>
        <w:spacing w:after="0" w:line="240" w:lineRule="auto"/>
        <w:ind w:firstLine="720"/>
        <w:rPr>
          <w:rFonts w:ascii="Times New Roman" w:hAnsi="Times New Roman" w:cs="Times New Roman"/>
          <w:sz w:val="24"/>
          <w:szCs w:val="24"/>
        </w:rPr>
      </w:pPr>
    </w:p>
    <w:p w:rsidR="00141BD6" w:rsidRPr="007A5FF2" w:rsidP="0053578E" w14:paraId="1339FCF6" w14:textId="1E51F7D0">
      <w:pPr>
        <w:pStyle w:val="Heading1"/>
      </w:pPr>
      <w:bookmarkStart w:id="11" w:name="_Toc534639773"/>
      <w:bookmarkStart w:id="12" w:name="_Toc44947240"/>
      <w:r w:rsidRPr="007A5FF2">
        <w:t>CONCLUSION</w:t>
      </w:r>
      <w:bookmarkEnd w:id="11"/>
      <w:bookmarkEnd w:id="12"/>
      <w:r w:rsidRPr="007A5FF2" w:rsidR="007327BD">
        <w:t xml:space="preserve"> </w:t>
      </w:r>
    </w:p>
    <w:p w:rsidR="00CB07F3" w:rsidRPr="007A5FF2" w:rsidP="00CB07F3" w14:paraId="4BD6D0A2" w14:textId="67742611">
      <w:pPr>
        <w:spacing w:after="0" w:line="480" w:lineRule="auto"/>
        <w:ind w:firstLine="720"/>
        <w:rPr>
          <w:rFonts w:ascii="Times New Roman" w:hAnsi="Times New Roman" w:cs="Times New Roman"/>
          <w:sz w:val="24"/>
          <w:szCs w:val="24"/>
        </w:rPr>
      </w:pPr>
      <w:r w:rsidRPr="007A5FF2">
        <w:rPr>
          <w:rFonts w:ascii="Times New Roman" w:hAnsi="Times New Roman" w:cs="Times New Roman"/>
          <w:sz w:val="24"/>
          <w:szCs w:val="24"/>
        </w:rPr>
        <w:t xml:space="preserve">The PUCO has an opportunity to protect consumers in this electric security plan rulemaking.  It should do so by adopting OCC’s recommendations.  </w:t>
      </w:r>
      <w:r w:rsidRPr="007A5FF2" w:rsidR="0067406B">
        <w:rPr>
          <w:rFonts w:ascii="Times New Roman" w:hAnsi="Times New Roman" w:cs="Times New Roman"/>
          <w:sz w:val="24"/>
          <w:szCs w:val="24"/>
        </w:rPr>
        <w:t>It</w:t>
      </w:r>
      <w:r w:rsidRPr="007A5FF2">
        <w:rPr>
          <w:rFonts w:ascii="Times New Roman" w:hAnsi="Times New Roman" w:cs="Times New Roman"/>
          <w:sz w:val="24"/>
          <w:szCs w:val="24"/>
        </w:rPr>
        <w:t xml:space="preserve"> should grant rehearing. </w:t>
      </w:r>
    </w:p>
    <w:p w:rsidR="001D1442" w:rsidRPr="007A5FF2" w:rsidP="00CB07F3" w14:paraId="65BB2631" w14:textId="77777777">
      <w:pPr>
        <w:spacing w:after="0" w:line="240" w:lineRule="auto"/>
        <w:ind w:left="3600" w:firstLine="720"/>
        <w:rPr>
          <w:rFonts w:ascii="Times New Roman" w:eastAsia="Times New Roman" w:hAnsi="Times New Roman" w:cs="Times New Roman"/>
          <w:sz w:val="24"/>
          <w:szCs w:val="24"/>
        </w:rPr>
      </w:pPr>
    </w:p>
    <w:p w:rsidR="00CB07F3" w:rsidRPr="007A5FF2" w:rsidP="00CB07F3" w14:paraId="599AF880" w14:textId="027F3905">
      <w:pPr>
        <w:spacing w:after="0" w:line="240" w:lineRule="auto"/>
        <w:ind w:left="3600" w:firstLine="720"/>
        <w:rPr>
          <w:rFonts w:ascii="Times New Roman" w:eastAsia="Times New Roman" w:hAnsi="Times New Roman" w:cs="Times New Roman"/>
          <w:sz w:val="24"/>
          <w:szCs w:val="24"/>
        </w:rPr>
      </w:pPr>
      <w:r w:rsidRPr="007A5FF2">
        <w:rPr>
          <w:rFonts w:ascii="Times New Roman" w:eastAsia="Times New Roman" w:hAnsi="Times New Roman" w:cs="Times New Roman"/>
          <w:sz w:val="24"/>
          <w:szCs w:val="24"/>
        </w:rPr>
        <w:t>Respectfully submitted,</w:t>
      </w:r>
    </w:p>
    <w:p w:rsidR="00CB07F3" w:rsidRPr="007A5FF2" w:rsidP="00CB07F3" w14:paraId="15C1F2DF" w14:textId="77777777">
      <w:pPr>
        <w:spacing w:after="0" w:line="240" w:lineRule="auto"/>
        <w:ind w:left="3600" w:firstLine="720"/>
        <w:rPr>
          <w:rFonts w:ascii="Times New Roman" w:eastAsia="Times New Roman" w:hAnsi="Times New Roman" w:cs="Times New Roman"/>
          <w:sz w:val="24"/>
          <w:szCs w:val="24"/>
        </w:rPr>
      </w:pPr>
    </w:p>
    <w:p w:rsidR="00CB07F3" w:rsidRPr="007A5FF2" w:rsidP="00CB07F3" w14:paraId="0B0EA3F5" w14:textId="1651C262">
      <w:pPr>
        <w:spacing w:after="0" w:line="240" w:lineRule="auto"/>
        <w:ind w:left="3600" w:firstLine="720"/>
        <w:rPr>
          <w:rFonts w:ascii="Times New Roman" w:eastAsia="Times New Roman" w:hAnsi="Times New Roman" w:cs="Times New Roman"/>
          <w:sz w:val="24"/>
          <w:szCs w:val="24"/>
        </w:rPr>
      </w:pPr>
      <w:r w:rsidRPr="007A5FF2">
        <w:rPr>
          <w:rFonts w:ascii="Times New Roman" w:eastAsia="Times New Roman" w:hAnsi="Times New Roman" w:cs="Times New Roman"/>
          <w:sz w:val="24"/>
          <w:szCs w:val="24"/>
        </w:rPr>
        <w:t>Bruce Weston (0016973)</w:t>
      </w:r>
    </w:p>
    <w:p w:rsidR="00CB07F3" w:rsidRPr="007A5FF2" w:rsidP="00CB07F3" w14:paraId="4BB49DF5" w14:textId="77777777">
      <w:pPr>
        <w:tabs>
          <w:tab w:val="left" w:pos="4320"/>
        </w:tabs>
        <w:spacing w:after="0" w:line="240" w:lineRule="auto"/>
        <w:rPr>
          <w:rFonts w:ascii="Times New Roman" w:eastAsia="Times New Roman" w:hAnsi="Times New Roman" w:cs="Times New Roman"/>
          <w:sz w:val="24"/>
          <w:szCs w:val="24"/>
        </w:rPr>
      </w:pPr>
      <w:r w:rsidRPr="007A5FF2">
        <w:rPr>
          <w:rFonts w:ascii="Times New Roman" w:eastAsia="Times New Roman" w:hAnsi="Times New Roman" w:cs="Times New Roman"/>
          <w:sz w:val="24"/>
          <w:szCs w:val="24"/>
        </w:rPr>
        <w:tab/>
        <w:t xml:space="preserve">Ohio Consumers’ Counsel </w:t>
      </w:r>
    </w:p>
    <w:p w:rsidR="00CB07F3" w:rsidRPr="007A5FF2" w:rsidP="00CB07F3" w14:paraId="6B1CA36E" w14:textId="77777777">
      <w:pPr>
        <w:tabs>
          <w:tab w:val="left" w:pos="4320"/>
        </w:tabs>
        <w:spacing w:after="0" w:line="240" w:lineRule="auto"/>
        <w:rPr>
          <w:rFonts w:ascii="Times New Roman" w:eastAsia="Times New Roman" w:hAnsi="Times New Roman" w:cs="Times New Roman"/>
          <w:sz w:val="24"/>
          <w:szCs w:val="24"/>
        </w:rPr>
      </w:pPr>
    </w:p>
    <w:p w:rsidR="00CB07F3" w:rsidRPr="007A5FF2" w:rsidP="00CB07F3" w14:paraId="44B6B496" w14:textId="77777777">
      <w:pPr>
        <w:tabs>
          <w:tab w:val="left" w:pos="4320"/>
        </w:tabs>
        <w:spacing w:after="0" w:line="240" w:lineRule="auto"/>
        <w:ind w:left="4320"/>
        <w:rPr>
          <w:rFonts w:ascii="Times New Roman" w:eastAsia="Times New Roman" w:hAnsi="Times New Roman" w:cs="Times New Roman"/>
          <w:i/>
          <w:iCs/>
          <w:sz w:val="24"/>
          <w:szCs w:val="24"/>
          <w:u w:val="single"/>
        </w:rPr>
      </w:pPr>
      <w:r w:rsidRPr="007A5FF2">
        <w:rPr>
          <w:rFonts w:ascii="Times New Roman" w:eastAsia="Times New Roman" w:hAnsi="Times New Roman" w:cs="Times New Roman"/>
          <w:i/>
          <w:iCs/>
          <w:sz w:val="24"/>
          <w:szCs w:val="24"/>
          <w:u w:val="single"/>
        </w:rPr>
        <w:t>/s/ William J. Michael</w:t>
      </w:r>
      <w:r w:rsidRPr="007A5FF2">
        <w:rPr>
          <w:rFonts w:ascii="Times New Roman" w:eastAsia="Times New Roman" w:hAnsi="Times New Roman" w:cs="Times New Roman"/>
          <w:i/>
          <w:iCs/>
          <w:sz w:val="24"/>
          <w:szCs w:val="24"/>
          <w:u w:val="single"/>
        </w:rPr>
        <w:tab/>
      </w:r>
      <w:r w:rsidRPr="007A5FF2">
        <w:rPr>
          <w:rFonts w:ascii="Times New Roman" w:eastAsia="Times New Roman" w:hAnsi="Times New Roman" w:cs="Times New Roman"/>
          <w:i/>
          <w:iCs/>
          <w:sz w:val="24"/>
          <w:szCs w:val="24"/>
          <w:u w:val="single"/>
        </w:rPr>
        <w:tab/>
      </w:r>
    </w:p>
    <w:p w:rsidR="00CB07F3" w:rsidRPr="007A5FF2" w:rsidP="00CB07F3" w14:paraId="303AC1A0" w14:textId="77777777">
      <w:pPr>
        <w:tabs>
          <w:tab w:val="left" w:pos="4320"/>
        </w:tabs>
        <w:spacing w:after="0" w:line="240" w:lineRule="auto"/>
        <w:ind w:left="4320"/>
        <w:rPr>
          <w:rFonts w:ascii="Times New Roman" w:eastAsia="Times New Roman" w:hAnsi="Times New Roman" w:cs="Times New Roman"/>
          <w:sz w:val="24"/>
          <w:szCs w:val="24"/>
        </w:rPr>
      </w:pPr>
      <w:r w:rsidRPr="007A5FF2">
        <w:rPr>
          <w:rFonts w:ascii="Times New Roman" w:eastAsia="Times New Roman" w:hAnsi="Times New Roman" w:cs="Times New Roman"/>
          <w:sz w:val="24"/>
          <w:szCs w:val="24"/>
        </w:rPr>
        <w:t>William J. Michael (0070921)</w:t>
      </w:r>
    </w:p>
    <w:p w:rsidR="00CB07F3" w:rsidRPr="007A5FF2" w:rsidP="00CB07F3" w14:paraId="5922D683" w14:textId="77777777">
      <w:pPr>
        <w:tabs>
          <w:tab w:val="left" w:pos="4320"/>
        </w:tabs>
        <w:spacing w:after="0" w:line="240" w:lineRule="auto"/>
        <w:ind w:left="4320"/>
        <w:rPr>
          <w:rFonts w:ascii="Times New Roman" w:eastAsia="Times New Roman" w:hAnsi="Times New Roman" w:cs="Times New Roman"/>
          <w:sz w:val="24"/>
          <w:szCs w:val="24"/>
        </w:rPr>
      </w:pPr>
      <w:r w:rsidRPr="007A5FF2">
        <w:rPr>
          <w:rFonts w:ascii="Times New Roman" w:eastAsia="Times New Roman" w:hAnsi="Times New Roman" w:cs="Times New Roman"/>
          <w:sz w:val="24"/>
          <w:szCs w:val="24"/>
        </w:rPr>
        <w:t>Counsel of Record</w:t>
      </w:r>
    </w:p>
    <w:p w:rsidR="00CB07F3" w:rsidRPr="007A5FF2" w:rsidP="00CB07F3" w14:paraId="288C530E" w14:textId="77777777">
      <w:pPr>
        <w:tabs>
          <w:tab w:val="left" w:pos="4320"/>
        </w:tabs>
        <w:spacing w:after="0" w:line="240" w:lineRule="auto"/>
        <w:ind w:left="4320"/>
        <w:rPr>
          <w:rFonts w:ascii="Times New Roman" w:eastAsia="Times New Roman" w:hAnsi="Times New Roman" w:cs="Times New Roman"/>
          <w:sz w:val="24"/>
          <w:szCs w:val="24"/>
        </w:rPr>
      </w:pPr>
      <w:r w:rsidRPr="007A5FF2">
        <w:rPr>
          <w:rFonts w:ascii="Times New Roman" w:eastAsia="Times New Roman" w:hAnsi="Times New Roman" w:cs="Times New Roman"/>
          <w:sz w:val="24"/>
          <w:szCs w:val="24"/>
        </w:rPr>
        <w:t>Assistant Consumers’ Counsel</w:t>
      </w:r>
    </w:p>
    <w:p w:rsidR="00CB07F3" w:rsidRPr="007A5FF2" w:rsidP="00CB07F3" w14:paraId="2A5B1668" w14:textId="77777777">
      <w:pPr>
        <w:tabs>
          <w:tab w:val="left" w:pos="4320"/>
        </w:tabs>
        <w:spacing w:after="0" w:line="240" w:lineRule="auto"/>
        <w:ind w:left="4320"/>
        <w:rPr>
          <w:rFonts w:ascii="Times New Roman" w:eastAsia="Times New Roman" w:hAnsi="Times New Roman" w:cs="Times New Roman"/>
          <w:sz w:val="24"/>
          <w:szCs w:val="24"/>
        </w:rPr>
      </w:pPr>
      <w:r w:rsidRPr="007A5FF2">
        <w:rPr>
          <w:rFonts w:ascii="Times New Roman" w:eastAsia="Times New Roman" w:hAnsi="Times New Roman" w:cs="Times New Roman"/>
          <w:sz w:val="24"/>
          <w:szCs w:val="24"/>
        </w:rPr>
        <w:tab/>
      </w:r>
    </w:p>
    <w:p w:rsidR="00CB07F3" w:rsidRPr="007A5FF2" w:rsidP="00CB07F3" w14:paraId="037750DA" w14:textId="77777777">
      <w:pPr>
        <w:spacing w:after="0" w:line="240" w:lineRule="auto"/>
        <w:ind w:left="4320"/>
        <w:rPr>
          <w:rFonts w:ascii="Times New Roman" w:eastAsia="Times New Roman" w:hAnsi="Times New Roman" w:cs="Times New Roman"/>
          <w:b/>
          <w:sz w:val="24"/>
          <w:szCs w:val="24"/>
        </w:rPr>
      </w:pPr>
      <w:r w:rsidRPr="007A5FF2">
        <w:rPr>
          <w:rFonts w:ascii="Times New Roman" w:eastAsia="Times New Roman" w:hAnsi="Times New Roman" w:cs="Times New Roman"/>
          <w:b/>
          <w:sz w:val="24"/>
          <w:szCs w:val="24"/>
        </w:rPr>
        <w:t>Office of the Ohio Consumers’ Counsel</w:t>
      </w:r>
    </w:p>
    <w:p w:rsidR="00CB07F3" w:rsidRPr="007A5FF2" w:rsidP="00CB07F3" w14:paraId="13657019" w14:textId="77777777">
      <w:pPr>
        <w:spacing w:after="0" w:line="240" w:lineRule="auto"/>
        <w:ind w:left="4320"/>
        <w:rPr>
          <w:rFonts w:ascii="Times New Roman" w:eastAsia="Times New Roman" w:hAnsi="Times New Roman" w:cs="Times New Roman"/>
          <w:sz w:val="24"/>
          <w:szCs w:val="24"/>
        </w:rPr>
      </w:pPr>
      <w:r w:rsidRPr="007A5FF2">
        <w:rPr>
          <w:rFonts w:ascii="Times New Roman" w:eastAsia="Times New Roman" w:hAnsi="Times New Roman" w:cs="Times New Roman"/>
          <w:sz w:val="24"/>
          <w:szCs w:val="24"/>
        </w:rPr>
        <w:t>65 East State Street, 7th Floor</w:t>
      </w:r>
    </w:p>
    <w:p w:rsidR="00CB07F3" w:rsidRPr="007A5FF2" w:rsidP="00CB07F3" w14:paraId="358A2BB3" w14:textId="77777777">
      <w:pPr>
        <w:spacing w:after="0" w:line="240" w:lineRule="auto"/>
        <w:ind w:left="4320"/>
        <w:rPr>
          <w:rFonts w:ascii="Times New Roman" w:eastAsia="Times New Roman" w:hAnsi="Times New Roman" w:cs="Times New Roman"/>
          <w:b/>
          <w:sz w:val="24"/>
          <w:szCs w:val="24"/>
        </w:rPr>
      </w:pPr>
      <w:r w:rsidRPr="007A5FF2">
        <w:rPr>
          <w:rFonts w:ascii="Times New Roman" w:eastAsia="Times New Roman" w:hAnsi="Times New Roman" w:cs="Times New Roman"/>
          <w:sz w:val="24"/>
          <w:szCs w:val="24"/>
        </w:rPr>
        <w:t>Columbus, Ohio 43215</w:t>
      </w:r>
    </w:p>
    <w:p w:rsidR="00CB07F3" w:rsidRPr="007A5FF2" w:rsidP="00CB07F3" w14:paraId="10BB49D9" w14:textId="77777777">
      <w:pPr>
        <w:spacing w:after="0" w:line="240" w:lineRule="auto"/>
        <w:ind w:left="4320"/>
        <w:rPr>
          <w:rFonts w:ascii="Times New Roman" w:eastAsia="Times New Roman" w:hAnsi="Times New Roman" w:cs="Times New Roman"/>
          <w:sz w:val="24"/>
          <w:szCs w:val="24"/>
        </w:rPr>
      </w:pPr>
      <w:r w:rsidRPr="007A5FF2">
        <w:rPr>
          <w:rFonts w:ascii="Times New Roman" w:eastAsia="Times New Roman" w:hAnsi="Times New Roman" w:cs="Times New Roman"/>
          <w:sz w:val="24"/>
          <w:szCs w:val="24"/>
        </w:rPr>
        <w:t>Telephone: [Michael] (614) 466-1291</w:t>
      </w:r>
    </w:p>
    <w:p w:rsidR="00CB07F3" w:rsidRPr="007A5FF2" w:rsidP="00CB07F3" w14:paraId="7C0CB8CF" w14:textId="77777777">
      <w:pPr>
        <w:spacing w:after="0" w:line="240" w:lineRule="auto"/>
        <w:ind w:left="4320"/>
        <w:rPr>
          <w:rFonts w:ascii="Times New Roman" w:eastAsia="Times New Roman" w:hAnsi="Times New Roman" w:cs="Times New Roman"/>
          <w:color w:val="0000FF" w:themeColor="hyperlink"/>
          <w:sz w:val="24"/>
          <w:szCs w:val="24"/>
          <w:u w:val="single"/>
        </w:rPr>
      </w:pPr>
      <w:hyperlink r:id="rId6" w:history="1">
        <w:r w:rsidRPr="007A5FF2" w:rsidR="00C72ACA">
          <w:rPr>
            <w:rFonts w:ascii="Times New Roman" w:eastAsia="Times New Roman" w:hAnsi="Times New Roman" w:cs="Times New Roman"/>
            <w:color w:val="0000FF"/>
            <w:sz w:val="24"/>
            <w:szCs w:val="24"/>
            <w:u w:val="single"/>
          </w:rPr>
          <w:t>william.michael@occ.ohio.gov</w:t>
        </w:r>
      </w:hyperlink>
    </w:p>
    <w:p w:rsidR="00CB07F3" w:rsidRPr="007A5FF2" w:rsidP="00CB07F3" w14:paraId="0F1AD922" w14:textId="77777777">
      <w:pPr>
        <w:spacing w:after="0" w:line="240" w:lineRule="auto"/>
        <w:rPr>
          <w:rFonts w:ascii="Times New Roman" w:eastAsia="Times New Roman" w:hAnsi="Times New Roman" w:cs="Times New Roman"/>
          <w:sz w:val="24"/>
          <w:szCs w:val="24"/>
        </w:rPr>
        <w:sectPr w:rsidSect="000C1B23">
          <w:pgSz w:w="12240" w:h="15840"/>
          <w:pgMar w:top="1440" w:right="1800" w:bottom="1440" w:left="1800" w:header="720" w:footer="720" w:gutter="0"/>
          <w:cols w:space="720"/>
          <w:docGrid w:linePitch="360"/>
        </w:sectPr>
      </w:pPr>
      <w:r w:rsidRPr="007A5FF2">
        <w:rPr>
          <w:rFonts w:ascii="Times New Roman" w:eastAsia="Times New Roman" w:hAnsi="Times New Roman" w:cs="Times New Roman"/>
          <w:color w:val="0000FF" w:themeColor="hyperlink"/>
          <w:sz w:val="24"/>
          <w:szCs w:val="24"/>
        </w:rPr>
        <w:tab/>
      </w:r>
      <w:r w:rsidRPr="007A5FF2">
        <w:rPr>
          <w:rFonts w:ascii="Times New Roman" w:eastAsia="Times New Roman" w:hAnsi="Times New Roman" w:cs="Times New Roman"/>
          <w:color w:val="0000FF" w:themeColor="hyperlink"/>
          <w:sz w:val="24"/>
          <w:szCs w:val="24"/>
        </w:rPr>
        <w:tab/>
      </w:r>
      <w:r w:rsidRPr="007A5FF2">
        <w:rPr>
          <w:rFonts w:ascii="Times New Roman" w:eastAsia="Times New Roman" w:hAnsi="Times New Roman" w:cs="Times New Roman"/>
          <w:color w:val="0000FF" w:themeColor="hyperlink"/>
          <w:sz w:val="24"/>
          <w:szCs w:val="24"/>
        </w:rPr>
        <w:tab/>
      </w:r>
      <w:r w:rsidRPr="007A5FF2">
        <w:rPr>
          <w:rFonts w:ascii="Times New Roman" w:eastAsia="Times New Roman" w:hAnsi="Times New Roman" w:cs="Times New Roman"/>
          <w:color w:val="0000FF" w:themeColor="hyperlink"/>
          <w:sz w:val="24"/>
          <w:szCs w:val="24"/>
        </w:rPr>
        <w:tab/>
      </w:r>
      <w:r w:rsidRPr="007A5FF2">
        <w:rPr>
          <w:rFonts w:ascii="Times New Roman" w:eastAsia="Times New Roman" w:hAnsi="Times New Roman" w:cs="Times New Roman"/>
          <w:color w:val="0000FF" w:themeColor="hyperlink"/>
          <w:sz w:val="24"/>
          <w:szCs w:val="24"/>
        </w:rPr>
        <w:tab/>
      </w:r>
      <w:r w:rsidRPr="007A5FF2">
        <w:rPr>
          <w:rFonts w:ascii="Times New Roman" w:eastAsia="Times New Roman" w:hAnsi="Times New Roman" w:cs="Times New Roman"/>
          <w:color w:val="0000FF" w:themeColor="hyperlink"/>
          <w:sz w:val="24"/>
          <w:szCs w:val="24"/>
        </w:rPr>
        <w:tab/>
      </w:r>
      <w:r w:rsidRPr="007A5FF2">
        <w:rPr>
          <w:rFonts w:ascii="Times New Roman" w:eastAsia="Times New Roman" w:hAnsi="Times New Roman" w:cs="Times New Roman"/>
          <w:sz w:val="24"/>
          <w:szCs w:val="24"/>
        </w:rPr>
        <w:t>(willing to accept service by e-mail)</w:t>
      </w:r>
    </w:p>
    <w:p w:rsidR="00CB07F3" w:rsidRPr="007A5FF2" w:rsidP="00CB07F3" w14:paraId="1408B19D" w14:textId="77777777">
      <w:pPr>
        <w:spacing w:after="0" w:line="240" w:lineRule="auto"/>
        <w:ind w:left="2160" w:firstLine="720"/>
        <w:rPr>
          <w:rFonts w:ascii="Times New Roman" w:eastAsia="Times New Roman" w:hAnsi="Times New Roman" w:cs="Times New Roman"/>
          <w:b/>
          <w:bCs/>
          <w:sz w:val="24"/>
          <w:szCs w:val="24"/>
          <w:u w:val="single"/>
        </w:rPr>
      </w:pPr>
      <w:r w:rsidRPr="007A5FF2">
        <w:rPr>
          <w:rFonts w:ascii="Times New Roman" w:eastAsia="Times New Roman" w:hAnsi="Times New Roman" w:cs="Times New Roman"/>
          <w:b/>
          <w:bCs/>
          <w:sz w:val="24"/>
          <w:szCs w:val="24"/>
          <w:u w:val="single"/>
        </w:rPr>
        <w:t>CERTIFICATE OF SERVICE</w:t>
      </w:r>
    </w:p>
    <w:p w:rsidR="00CB07F3" w:rsidRPr="007A5FF2" w:rsidP="00CB07F3" w14:paraId="2C9299B8" w14:textId="77777777">
      <w:pPr>
        <w:tabs>
          <w:tab w:val="left" w:pos="-720"/>
        </w:tabs>
        <w:suppressAutoHyphens/>
        <w:spacing w:after="0" w:line="240" w:lineRule="auto"/>
        <w:rPr>
          <w:rFonts w:ascii="Times New Roman" w:eastAsia="Times New Roman" w:hAnsi="Times New Roman" w:cs="Times New Roman"/>
          <w:snapToGrid w:val="0"/>
          <w:spacing w:val="-3"/>
          <w:sz w:val="24"/>
          <w:szCs w:val="24"/>
        </w:rPr>
      </w:pPr>
    </w:p>
    <w:p w:rsidR="00CB07F3" w:rsidRPr="007A5FF2" w:rsidP="00CB07F3" w14:paraId="0F1FFED7" w14:textId="2682B0DF">
      <w:pPr>
        <w:tabs>
          <w:tab w:val="left" w:pos="-720"/>
        </w:tabs>
        <w:suppressAutoHyphens/>
        <w:spacing w:after="0" w:line="480" w:lineRule="auto"/>
        <w:ind w:firstLine="720"/>
        <w:rPr>
          <w:rFonts w:ascii="Times New Roman" w:eastAsia="Times New Roman" w:hAnsi="Times New Roman" w:cs="Times New Roman"/>
          <w:sz w:val="24"/>
          <w:szCs w:val="24"/>
        </w:rPr>
      </w:pPr>
      <w:r w:rsidRPr="007A5FF2">
        <w:rPr>
          <w:rFonts w:ascii="Times New Roman" w:eastAsia="Times New Roman" w:hAnsi="Times New Roman" w:cs="Times New Roman"/>
          <w:sz w:val="24"/>
          <w:szCs w:val="24"/>
        </w:rPr>
        <w:t xml:space="preserve">It is hereby certified that a true copy of the foregoing </w:t>
      </w:r>
      <w:r w:rsidRPr="007A5FF2" w:rsidR="001D1442">
        <w:rPr>
          <w:rFonts w:ascii="Times New Roman" w:eastAsia="Times New Roman" w:hAnsi="Times New Roman" w:cs="Times New Roman"/>
          <w:sz w:val="24"/>
          <w:szCs w:val="24"/>
        </w:rPr>
        <w:t>Application for Rehearing was</w:t>
      </w:r>
      <w:r w:rsidRPr="007A5FF2">
        <w:rPr>
          <w:rFonts w:ascii="Times New Roman" w:eastAsia="Times New Roman" w:hAnsi="Times New Roman" w:cs="Times New Roman"/>
          <w:sz w:val="24"/>
          <w:szCs w:val="24"/>
        </w:rPr>
        <w:t xml:space="preserve"> served by electronic transmission upon the parties below this 6</w:t>
      </w:r>
      <w:r w:rsidRPr="007A5FF2">
        <w:rPr>
          <w:rFonts w:ascii="Times New Roman" w:eastAsia="Times New Roman" w:hAnsi="Times New Roman" w:cs="Times New Roman"/>
          <w:sz w:val="24"/>
          <w:szCs w:val="24"/>
          <w:vertAlign w:val="superscript"/>
        </w:rPr>
        <w:t>th</w:t>
      </w:r>
      <w:r w:rsidRPr="007A5FF2">
        <w:rPr>
          <w:rFonts w:ascii="Times New Roman" w:eastAsia="Times New Roman" w:hAnsi="Times New Roman" w:cs="Times New Roman"/>
          <w:sz w:val="24"/>
          <w:szCs w:val="24"/>
        </w:rPr>
        <w:t xml:space="preserve"> day of </w:t>
      </w:r>
      <w:r w:rsidRPr="007A5FF2" w:rsidR="001D1442">
        <w:rPr>
          <w:rFonts w:ascii="Times New Roman" w:eastAsia="Times New Roman" w:hAnsi="Times New Roman" w:cs="Times New Roman"/>
          <w:sz w:val="24"/>
          <w:szCs w:val="24"/>
        </w:rPr>
        <w:t>July 2020.</w:t>
      </w:r>
    </w:p>
    <w:p w:rsidR="00CB07F3" w:rsidRPr="007A5FF2" w:rsidP="00CB07F3" w14:paraId="59802D29" w14:textId="77777777">
      <w:pPr>
        <w:spacing w:after="0" w:line="240" w:lineRule="auto"/>
        <w:rPr>
          <w:rFonts w:ascii="Times New Roman" w:eastAsia="Times New Roman" w:hAnsi="Times New Roman" w:cs="Times New Roman"/>
          <w:sz w:val="24"/>
          <w:szCs w:val="24"/>
        </w:rPr>
      </w:pPr>
    </w:p>
    <w:p w:rsidR="00CB07F3" w:rsidRPr="007A5FF2" w:rsidP="00CB07F3" w14:paraId="25515A6F" w14:textId="77777777">
      <w:pPr>
        <w:spacing w:after="0" w:line="240" w:lineRule="auto"/>
        <w:rPr>
          <w:rFonts w:ascii="Times New Roman" w:eastAsia="Times New Roman" w:hAnsi="Times New Roman" w:cs="Times New Roman"/>
          <w:sz w:val="24"/>
          <w:szCs w:val="24"/>
        </w:rPr>
      </w:pPr>
      <w:r w:rsidRPr="007A5FF2">
        <w:rPr>
          <w:rFonts w:ascii="Times New Roman" w:eastAsia="Times New Roman" w:hAnsi="Times New Roman" w:cs="Times New Roman"/>
          <w:sz w:val="24"/>
          <w:szCs w:val="24"/>
        </w:rPr>
        <w:tab/>
      </w:r>
      <w:r w:rsidRPr="007A5FF2">
        <w:rPr>
          <w:rFonts w:ascii="Times New Roman" w:eastAsia="Times New Roman" w:hAnsi="Times New Roman" w:cs="Times New Roman"/>
          <w:sz w:val="24"/>
          <w:szCs w:val="24"/>
        </w:rPr>
        <w:tab/>
      </w:r>
      <w:r w:rsidRPr="007A5FF2">
        <w:rPr>
          <w:rFonts w:ascii="Times New Roman" w:eastAsia="Times New Roman" w:hAnsi="Times New Roman" w:cs="Times New Roman"/>
          <w:sz w:val="24"/>
          <w:szCs w:val="24"/>
        </w:rPr>
        <w:tab/>
      </w:r>
      <w:r w:rsidRPr="007A5FF2">
        <w:rPr>
          <w:rFonts w:ascii="Times New Roman" w:eastAsia="Times New Roman" w:hAnsi="Times New Roman" w:cs="Times New Roman"/>
          <w:sz w:val="24"/>
          <w:szCs w:val="24"/>
        </w:rPr>
        <w:tab/>
      </w:r>
      <w:r w:rsidRPr="007A5FF2">
        <w:rPr>
          <w:rFonts w:ascii="Times New Roman" w:eastAsia="Times New Roman" w:hAnsi="Times New Roman" w:cs="Times New Roman"/>
          <w:sz w:val="24"/>
          <w:szCs w:val="24"/>
        </w:rPr>
        <w:tab/>
      </w:r>
      <w:r w:rsidRPr="007A5FF2">
        <w:rPr>
          <w:rFonts w:ascii="Times New Roman" w:eastAsia="Times New Roman" w:hAnsi="Times New Roman" w:cs="Times New Roman"/>
          <w:sz w:val="24"/>
          <w:szCs w:val="24"/>
        </w:rPr>
        <w:tab/>
      </w:r>
      <w:r w:rsidRPr="007A5FF2">
        <w:rPr>
          <w:rFonts w:ascii="Times New Roman" w:eastAsia="Times New Roman" w:hAnsi="Times New Roman" w:cs="Times New Roman"/>
          <w:i/>
          <w:sz w:val="24"/>
          <w:szCs w:val="24"/>
          <w:u w:val="single"/>
        </w:rPr>
        <w:t>/s/ William J. Michael</w:t>
      </w:r>
      <w:r w:rsidRPr="007A5FF2">
        <w:rPr>
          <w:rFonts w:ascii="Times New Roman" w:eastAsia="Times New Roman" w:hAnsi="Times New Roman" w:cs="Times New Roman"/>
          <w:i/>
          <w:sz w:val="24"/>
          <w:szCs w:val="24"/>
          <w:u w:val="single"/>
        </w:rPr>
        <w:tab/>
      </w:r>
      <w:r w:rsidRPr="007A5FF2">
        <w:rPr>
          <w:rFonts w:ascii="Times New Roman" w:eastAsia="Times New Roman" w:hAnsi="Times New Roman" w:cs="Times New Roman"/>
          <w:i/>
          <w:sz w:val="24"/>
          <w:szCs w:val="24"/>
          <w:u w:val="single"/>
        </w:rPr>
        <w:tab/>
      </w:r>
    </w:p>
    <w:p w:rsidR="00CB07F3" w:rsidRPr="007A5FF2" w:rsidP="00CB07F3" w14:paraId="3D071450" w14:textId="77777777">
      <w:pPr>
        <w:spacing w:after="0" w:line="240" w:lineRule="auto"/>
        <w:rPr>
          <w:rFonts w:ascii="Times New Roman" w:eastAsia="Times New Roman" w:hAnsi="Times New Roman" w:cs="Times New Roman"/>
          <w:sz w:val="24"/>
          <w:szCs w:val="24"/>
        </w:rPr>
      </w:pPr>
      <w:r w:rsidRPr="007A5FF2">
        <w:rPr>
          <w:rFonts w:ascii="Times New Roman" w:eastAsia="Times New Roman" w:hAnsi="Times New Roman" w:cs="Times New Roman"/>
          <w:sz w:val="24"/>
          <w:szCs w:val="24"/>
        </w:rPr>
        <w:tab/>
      </w:r>
      <w:r w:rsidRPr="007A5FF2">
        <w:rPr>
          <w:rFonts w:ascii="Times New Roman" w:eastAsia="Times New Roman" w:hAnsi="Times New Roman" w:cs="Times New Roman"/>
          <w:sz w:val="24"/>
          <w:szCs w:val="24"/>
        </w:rPr>
        <w:tab/>
      </w:r>
      <w:r w:rsidRPr="007A5FF2">
        <w:rPr>
          <w:rFonts w:ascii="Times New Roman" w:eastAsia="Times New Roman" w:hAnsi="Times New Roman" w:cs="Times New Roman"/>
          <w:sz w:val="24"/>
          <w:szCs w:val="24"/>
        </w:rPr>
        <w:tab/>
      </w:r>
      <w:r w:rsidRPr="007A5FF2">
        <w:rPr>
          <w:rFonts w:ascii="Times New Roman" w:eastAsia="Times New Roman" w:hAnsi="Times New Roman" w:cs="Times New Roman"/>
          <w:sz w:val="24"/>
          <w:szCs w:val="24"/>
        </w:rPr>
        <w:tab/>
      </w:r>
      <w:r w:rsidRPr="007A5FF2">
        <w:rPr>
          <w:rFonts w:ascii="Times New Roman" w:eastAsia="Times New Roman" w:hAnsi="Times New Roman" w:cs="Times New Roman"/>
          <w:sz w:val="24"/>
          <w:szCs w:val="24"/>
        </w:rPr>
        <w:tab/>
      </w:r>
      <w:r w:rsidRPr="007A5FF2">
        <w:rPr>
          <w:rFonts w:ascii="Times New Roman" w:eastAsia="Times New Roman" w:hAnsi="Times New Roman" w:cs="Times New Roman"/>
          <w:sz w:val="24"/>
          <w:szCs w:val="24"/>
        </w:rPr>
        <w:tab/>
        <w:t>William J. Michael</w:t>
      </w:r>
    </w:p>
    <w:p w:rsidR="00CB07F3" w:rsidRPr="007A5FF2" w:rsidP="00CB07F3" w14:paraId="53A31F8C" w14:textId="77777777">
      <w:pPr>
        <w:spacing w:after="0" w:line="240" w:lineRule="auto"/>
        <w:rPr>
          <w:rFonts w:ascii="Times New Roman" w:eastAsia="Times New Roman" w:hAnsi="Times New Roman" w:cs="Times New Roman"/>
          <w:sz w:val="24"/>
          <w:szCs w:val="24"/>
        </w:rPr>
      </w:pPr>
      <w:r w:rsidRPr="007A5FF2">
        <w:rPr>
          <w:rFonts w:ascii="Times New Roman" w:eastAsia="Times New Roman" w:hAnsi="Times New Roman" w:cs="Times New Roman"/>
          <w:sz w:val="24"/>
          <w:szCs w:val="24"/>
        </w:rPr>
        <w:tab/>
      </w:r>
      <w:r w:rsidRPr="007A5FF2">
        <w:rPr>
          <w:rFonts w:ascii="Times New Roman" w:eastAsia="Times New Roman" w:hAnsi="Times New Roman" w:cs="Times New Roman"/>
          <w:sz w:val="24"/>
          <w:szCs w:val="24"/>
        </w:rPr>
        <w:tab/>
      </w:r>
      <w:r w:rsidRPr="007A5FF2">
        <w:rPr>
          <w:rFonts w:ascii="Times New Roman" w:eastAsia="Times New Roman" w:hAnsi="Times New Roman" w:cs="Times New Roman"/>
          <w:sz w:val="24"/>
          <w:szCs w:val="24"/>
        </w:rPr>
        <w:tab/>
      </w:r>
      <w:r w:rsidRPr="007A5FF2">
        <w:rPr>
          <w:rFonts w:ascii="Times New Roman" w:eastAsia="Times New Roman" w:hAnsi="Times New Roman" w:cs="Times New Roman"/>
          <w:sz w:val="24"/>
          <w:szCs w:val="24"/>
        </w:rPr>
        <w:tab/>
      </w:r>
      <w:r w:rsidRPr="007A5FF2">
        <w:rPr>
          <w:rFonts w:ascii="Times New Roman" w:eastAsia="Times New Roman" w:hAnsi="Times New Roman" w:cs="Times New Roman"/>
          <w:sz w:val="24"/>
          <w:szCs w:val="24"/>
        </w:rPr>
        <w:tab/>
      </w:r>
      <w:r w:rsidRPr="007A5FF2">
        <w:rPr>
          <w:rFonts w:ascii="Times New Roman" w:eastAsia="Times New Roman" w:hAnsi="Times New Roman" w:cs="Times New Roman"/>
          <w:sz w:val="24"/>
          <w:szCs w:val="24"/>
        </w:rPr>
        <w:tab/>
        <w:t>Assistant Consumers’ Counsel</w:t>
      </w:r>
    </w:p>
    <w:p w:rsidR="00CB07F3" w:rsidRPr="007A5FF2" w:rsidP="00CB07F3" w14:paraId="33FE1993" w14:textId="77777777">
      <w:pPr>
        <w:spacing w:after="0" w:line="240" w:lineRule="auto"/>
        <w:rPr>
          <w:rFonts w:ascii="Times New Roman" w:eastAsia="Times New Roman" w:hAnsi="Times New Roman" w:cs="Times New Roman"/>
          <w:sz w:val="24"/>
          <w:szCs w:val="24"/>
        </w:rPr>
      </w:pPr>
    </w:p>
    <w:p w:rsidR="00CB07F3" w:rsidRPr="007A5FF2" w:rsidP="00CB07F3" w14:paraId="3627DC78" w14:textId="77777777">
      <w:pPr>
        <w:pStyle w:val="CommentText"/>
        <w:rPr>
          <w:rFonts w:ascii="Times New Roman" w:hAnsi="Times New Roman" w:cs="Times New Roman"/>
          <w:bCs/>
          <w:sz w:val="24"/>
          <w:szCs w:val="24"/>
        </w:rPr>
      </w:pPr>
      <w:r w:rsidRPr="007A5FF2">
        <w:rPr>
          <w:rFonts w:ascii="Times New Roman" w:hAnsi="Times New Roman" w:cs="Times New Roman"/>
          <w:bCs/>
          <w:sz w:val="24"/>
          <w:szCs w:val="24"/>
        </w:rPr>
        <w:t>The PUCO’s e-filing system will electronically serve notice of the filing of this document on the following parties:</w:t>
      </w:r>
    </w:p>
    <w:p w:rsidR="00CB07F3" w:rsidRPr="007A5FF2" w:rsidP="00CB07F3" w14:paraId="3241A6AF" w14:textId="77777777">
      <w:pPr>
        <w:spacing w:after="0" w:line="240" w:lineRule="auto"/>
        <w:jc w:val="center"/>
        <w:rPr>
          <w:rFonts w:ascii="Times New Roman" w:eastAsia="Times New Roman" w:hAnsi="Times New Roman" w:cs="Times New Roman"/>
          <w:b/>
          <w:bCs/>
          <w:sz w:val="24"/>
          <w:szCs w:val="24"/>
        </w:rPr>
      </w:pPr>
    </w:p>
    <w:p w:rsidR="00CB07F3" w:rsidRPr="007A5FF2" w:rsidP="00CB07F3" w14:paraId="1BA45F2B" w14:textId="3F76918A">
      <w:pPr>
        <w:spacing w:after="0" w:line="240" w:lineRule="auto"/>
        <w:jc w:val="center"/>
        <w:rPr>
          <w:rFonts w:ascii="Times New Roman" w:eastAsia="Times New Roman" w:hAnsi="Times New Roman" w:cs="Times New Roman"/>
          <w:b/>
          <w:bCs/>
          <w:sz w:val="24"/>
          <w:szCs w:val="24"/>
          <w:u w:val="single"/>
        </w:rPr>
      </w:pPr>
      <w:r w:rsidRPr="007A5FF2">
        <w:rPr>
          <w:rFonts w:ascii="Times New Roman" w:eastAsia="Times New Roman" w:hAnsi="Times New Roman" w:cs="Times New Roman"/>
          <w:b/>
          <w:bCs/>
          <w:sz w:val="24"/>
          <w:szCs w:val="24"/>
          <w:u w:val="single"/>
        </w:rPr>
        <w:t>SERVICE LIST</w:t>
      </w:r>
    </w:p>
    <w:p w:rsidR="00FA1A21" w:rsidRPr="007A5FF2" w:rsidP="00CB07F3" w14:paraId="42BA3280" w14:textId="7C302A65">
      <w:pPr>
        <w:spacing w:after="0" w:line="240" w:lineRule="auto"/>
        <w:jc w:val="center"/>
        <w:rPr>
          <w:rFonts w:ascii="Times New Roman" w:eastAsia="Times New Roman" w:hAnsi="Times New Roman" w:cs="Times New Roman"/>
          <w:b/>
          <w:bCs/>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60B2086F" w14:textId="77777777" w:rsidTr="00FA1A2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FA1A21" w:rsidRPr="007A5FF2" w:rsidP="00FA1A21" w14:paraId="7AD69191" w14:textId="288D6D4B">
            <w:pPr>
              <w:rPr>
                <w:sz w:val="24"/>
                <w:szCs w:val="24"/>
              </w:rPr>
            </w:pPr>
            <w:hyperlink r:id="rId19" w:history="1">
              <w:r w:rsidRPr="007A5FF2" w:rsidR="00C72ACA">
                <w:rPr>
                  <w:rStyle w:val="Hyperlink"/>
                  <w:sz w:val="24"/>
                  <w:szCs w:val="24"/>
                </w:rPr>
                <w:t>John.jones@ohioattorneygeneral.gov</w:t>
              </w:r>
            </w:hyperlink>
          </w:p>
          <w:p w:rsidR="00FA1A21" w:rsidRPr="007A5FF2" w:rsidP="00FA1A21" w14:paraId="6109EA93" w14:textId="7B4AACDD">
            <w:pPr>
              <w:rPr>
                <w:color w:val="0000FF"/>
                <w:sz w:val="24"/>
                <w:szCs w:val="24"/>
                <w:u w:val="single"/>
              </w:rPr>
            </w:pPr>
            <w:hyperlink r:id="rId20" w:history="1">
              <w:r w:rsidRPr="007A5FF2" w:rsidR="00C72ACA">
                <w:rPr>
                  <w:rStyle w:val="Hyperlink"/>
                  <w:sz w:val="24"/>
                  <w:szCs w:val="24"/>
                </w:rPr>
                <w:t>Rocco.dascenzo@duke-energy.com</w:t>
              </w:r>
            </w:hyperlink>
          </w:p>
          <w:p w:rsidR="00FA1A21" w:rsidRPr="007A5FF2" w:rsidP="00FA1A21" w14:paraId="547902DC" w14:textId="77777777">
            <w:pPr>
              <w:rPr>
                <w:color w:val="0000FF"/>
                <w:sz w:val="24"/>
                <w:szCs w:val="24"/>
                <w:u w:val="single"/>
              </w:rPr>
            </w:pPr>
            <w:hyperlink r:id="rId21" w:history="1">
              <w:r w:rsidRPr="007A5FF2" w:rsidR="00C72ACA">
                <w:rPr>
                  <w:rStyle w:val="Hyperlink"/>
                  <w:sz w:val="24"/>
                  <w:szCs w:val="24"/>
                </w:rPr>
                <w:t>Jeanne.kingery@duke-energy.com</w:t>
              </w:r>
            </w:hyperlink>
          </w:p>
          <w:p w:rsidR="00FA1A21" w:rsidRPr="007A5FF2" w:rsidP="00FA1A21" w14:paraId="416F9C9F" w14:textId="0F68A5CA">
            <w:pPr>
              <w:rPr>
                <w:rStyle w:val="Hyperlink"/>
                <w:sz w:val="24"/>
                <w:szCs w:val="24"/>
              </w:rPr>
            </w:pPr>
            <w:hyperlink r:id="rId22" w:history="1">
              <w:r w:rsidRPr="007A5FF2" w:rsidR="00C72ACA">
                <w:rPr>
                  <w:rStyle w:val="Hyperlink"/>
                  <w:sz w:val="24"/>
                  <w:szCs w:val="24"/>
                </w:rPr>
                <w:t>Larisa.vaysman@duke-energy.com</w:t>
              </w:r>
            </w:hyperlink>
          </w:p>
          <w:p w:rsidR="00FA1A21" w:rsidRPr="007A5FF2" w:rsidP="00FA1A21" w14:paraId="3CACE5E4" w14:textId="4FFC2C73">
            <w:pPr>
              <w:rPr>
                <w:rStyle w:val="Hyperlink"/>
                <w:sz w:val="24"/>
                <w:szCs w:val="24"/>
              </w:rPr>
            </w:pPr>
          </w:p>
          <w:p w:rsidR="00FA1A21" w:rsidRPr="007A5FF2" w:rsidP="00FA1A21" w14:paraId="184222B4" w14:textId="42B49C49">
            <w:pPr>
              <w:rPr>
                <w:rStyle w:val="Hyperlink"/>
                <w:color w:val="auto"/>
                <w:sz w:val="24"/>
                <w:szCs w:val="24"/>
                <w:u w:val="none"/>
              </w:rPr>
            </w:pPr>
            <w:r w:rsidRPr="007A5FF2">
              <w:rPr>
                <w:rStyle w:val="Hyperlink"/>
                <w:color w:val="auto"/>
                <w:sz w:val="24"/>
                <w:szCs w:val="24"/>
                <w:u w:val="none"/>
              </w:rPr>
              <w:t>Attorney Examiner:</w:t>
            </w:r>
          </w:p>
          <w:p w:rsidR="00FA1A21" w:rsidRPr="007A5FF2" w:rsidP="00FA1A21" w14:paraId="6E040FDB" w14:textId="1B960EB3">
            <w:pPr>
              <w:rPr>
                <w:rStyle w:val="Hyperlink"/>
                <w:sz w:val="24"/>
                <w:szCs w:val="24"/>
              </w:rPr>
            </w:pPr>
            <w:hyperlink r:id="rId23" w:history="1">
              <w:r w:rsidRPr="007A5FF2" w:rsidR="00C72ACA">
                <w:rPr>
                  <w:rStyle w:val="Hyperlink"/>
                  <w:sz w:val="24"/>
                  <w:szCs w:val="24"/>
                </w:rPr>
                <w:t>James.lynn@puco.ohio.gov</w:t>
              </w:r>
            </w:hyperlink>
          </w:p>
          <w:p w:rsidR="00FA1A21" w:rsidRPr="007A5FF2" w:rsidP="00FA1A21" w14:paraId="49C37888" w14:textId="77777777">
            <w:pPr>
              <w:rPr>
                <w:rStyle w:val="Hyperlink"/>
                <w:sz w:val="24"/>
                <w:szCs w:val="24"/>
              </w:rPr>
            </w:pPr>
          </w:p>
          <w:p w:rsidR="00FA1A21" w:rsidRPr="007A5FF2" w:rsidP="00CB07F3" w14:paraId="34FF344D" w14:textId="77777777">
            <w:pPr>
              <w:jc w:val="center"/>
              <w:rPr>
                <w:b/>
                <w:bCs/>
                <w:sz w:val="24"/>
                <w:szCs w:val="24"/>
                <w:u w:val="single"/>
              </w:rPr>
            </w:pPr>
          </w:p>
        </w:tc>
        <w:tc>
          <w:tcPr>
            <w:tcW w:w="4315" w:type="dxa"/>
          </w:tcPr>
          <w:p w:rsidR="00FA1A21" w:rsidRPr="007A5FF2" w:rsidP="00FA1A21" w14:paraId="234D4F9F" w14:textId="77777777">
            <w:pPr>
              <w:rPr>
                <w:rStyle w:val="Hyperlink"/>
                <w:sz w:val="24"/>
                <w:szCs w:val="24"/>
              </w:rPr>
            </w:pPr>
            <w:hyperlink r:id="rId24" w:history="1">
              <w:r w:rsidRPr="007A5FF2" w:rsidR="00C72ACA">
                <w:rPr>
                  <w:rStyle w:val="Hyperlink"/>
                  <w:sz w:val="24"/>
                  <w:szCs w:val="24"/>
                </w:rPr>
                <w:t>stnourse@aep.com</w:t>
              </w:r>
            </w:hyperlink>
          </w:p>
          <w:p w:rsidR="00FA1A21" w:rsidRPr="007A5FF2" w:rsidP="00FA1A21" w14:paraId="67F450CA" w14:textId="77777777">
            <w:pPr>
              <w:rPr>
                <w:rStyle w:val="Hyperlink"/>
                <w:sz w:val="24"/>
                <w:szCs w:val="24"/>
              </w:rPr>
            </w:pPr>
            <w:hyperlink r:id="rId25" w:history="1">
              <w:r w:rsidRPr="007A5FF2" w:rsidR="00C72ACA">
                <w:rPr>
                  <w:rStyle w:val="Hyperlink"/>
                  <w:sz w:val="24"/>
                  <w:szCs w:val="24"/>
                </w:rPr>
                <w:t>rendris@firstenergycorp.com</w:t>
              </w:r>
            </w:hyperlink>
          </w:p>
          <w:p w:rsidR="00FA1A21" w:rsidRPr="007A5FF2" w:rsidP="00FA1A21" w14:paraId="22CC40E8" w14:textId="77777777">
            <w:pPr>
              <w:rPr>
                <w:sz w:val="24"/>
                <w:szCs w:val="24"/>
              </w:rPr>
            </w:pPr>
            <w:hyperlink r:id="rId26" w:history="1">
              <w:r w:rsidRPr="007A5FF2" w:rsidR="00C72ACA">
                <w:rPr>
                  <w:rStyle w:val="Hyperlink"/>
                  <w:sz w:val="24"/>
                  <w:szCs w:val="24"/>
                </w:rPr>
                <w:t>michael.schuler@aes.com</w:t>
              </w:r>
            </w:hyperlink>
          </w:p>
          <w:p w:rsidR="00FA1A21" w:rsidRPr="007A5FF2" w:rsidP="00FA1A21" w14:paraId="10E2D0DC" w14:textId="77777777">
            <w:pPr>
              <w:rPr>
                <w:color w:val="0000FF"/>
                <w:sz w:val="24"/>
                <w:szCs w:val="24"/>
              </w:rPr>
            </w:pPr>
            <w:hyperlink r:id="rId27" w:history="1">
              <w:r w:rsidRPr="007A5FF2" w:rsidR="00C72ACA">
                <w:rPr>
                  <w:rStyle w:val="Hyperlink"/>
                  <w:sz w:val="24"/>
                  <w:szCs w:val="24"/>
                </w:rPr>
                <w:t>trhayslaw@gmail.com</w:t>
              </w:r>
            </w:hyperlink>
          </w:p>
          <w:p w:rsidR="00FA1A21" w:rsidRPr="007A5FF2" w:rsidP="00FA1A21" w14:paraId="3D863528" w14:textId="6D2C7767">
            <w:pPr>
              <w:rPr>
                <w:b/>
                <w:bCs/>
                <w:sz w:val="24"/>
                <w:szCs w:val="24"/>
                <w:u w:val="single"/>
              </w:rPr>
            </w:pPr>
            <w:hyperlink r:id="rId28" w:history="1">
              <w:r w:rsidRPr="007A5FF2" w:rsidR="00C72ACA">
                <w:rPr>
                  <w:rStyle w:val="Hyperlink"/>
                  <w:sz w:val="24"/>
                  <w:szCs w:val="24"/>
                </w:rPr>
                <w:t>LeslieKovacik@toledo.oh.gov</w:t>
              </w:r>
            </w:hyperlink>
          </w:p>
        </w:tc>
      </w:tr>
    </w:tbl>
    <w:p w:rsidR="00FA1A21" w:rsidRPr="007A5FF2" w:rsidP="00CB07F3" w14:paraId="5ED752FC" w14:textId="77777777">
      <w:pPr>
        <w:spacing w:after="0" w:line="240" w:lineRule="auto"/>
        <w:jc w:val="center"/>
        <w:rPr>
          <w:rFonts w:ascii="Times New Roman" w:eastAsia="Times New Roman" w:hAnsi="Times New Roman" w:cs="Times New Roman"/>
          <w:b/>
          <w:bCs/>
          <w:sz w:val="24"/>
          <w:szCs w:val="24"/>
          <w:u w:val="single"/>
        </w:rPr>
      </w:pPr>
    </w:p>
    <w:p w:rsidR="00CB07F3" w:rsidRPr="007A5FF2" w:rsidP="00CB07F3" w14:paraId="0BE3B510" w14:textId="77777777">
      <w:pPr>
        <w:spacing w:after="0" w:line="240" w:lineRule="auto"/>
        <w:jc w:val="center"/>
        <w:rPr>
          <w:rFonts w:ascii="Times New Roman" w:eastAsia="Times New Roman" w:hAnsi="Times New Roman" w:cs="Times New Roman"/>
          <w:b/>
          <w:bCs/>
          <w:sz w:val="24"/>
          <w:szCs w:val="24"/>
          <w:u w:val="single"/>
        </w:rPr>
      </w:pPr>
    </w:p>
    <w:p w:rsidR="00FA1A21" w:rsidRPr="007A5FF2" w:rsidP="00CB07F3" w14:paraId="194C3F81" w14:textId="65706130">
      <w:pPr>
        <w:spacing w:after="0" w:line="240" w:lineRule="auto"/>
        <w:rPr>
          <w:rFonts w:ascii="Times New Roman" w:hAnsi="Times New Roman" w:cs="Times New Roman"/>
          <w:color w:val="0000FF"/>
          <w:sz w:val="24"/>
          <w:szCs w:val="24"/>
        </w:rPr>
      </w:pPr>
    </w:p>
    <w:sectPr w:rsidSect="001D1442">
      <w:headerReference w:type="default" r:id="rId29"/>
      <w:footerReference w:type="default" r:id="rId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64D1" w14:paraId="1299E04F" w14:textId="239F5AA2">
    <w:pPr>
      <w:pStyle w:val="Footer"/>
      <w:jc w:val="center"/>
    </w:pPr>
  </w:p>
  <w:p w:rsidR="004A64D1" w14:paraId="3E64636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53EA" w14:paraId="723A1F5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3420" w14:paraId="098FFD84" w14:textId="01C79C75">
    <w:pPr>
      <w:pStyle w:val="Footer"/>
      <w:jc w:val="center"/>
    </w:pPr>
  </w:p>
  <w:p w:rsidR="001D1442" w14:paraId="0C616F7F" w14:textId="7777777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53EA" w14:paraId="76DEF1C4"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67534969"/>
      <w:docPartObj>
        <w:docPartGallery w:val="Page Numbers (Bottom of Page)"/>
        <w:docPartUnique/>
      </w:docPartObj>
    </w:sdtPr>
    <w:sdtEndPr>
      <w:rPr>
        <w:rFonts w:ascii="Times New Roman" w:hAnsi="Times New Roman" w:cs="Times New Roman"/>
        <w:noProof/>
        <w:sz w:val="24"/>
        <w:szCs w:val="24"/>
      </w:rPr>
    </w:sdtEndPr>
    <w:sdtContent>
      <w:p w:rsidR="00333420" w:rsidRPr="00333420" w14:paraId="4C00A298" w14:textId="77777777">
        <w:pPr>
          <w:pStyle w:val="Footer"/>
          <w:jc w:val="center"/>
          <w:rPr>
            <w:rFonts w:ascii="Times New Roman" w:hAnsi="Times New Roman" w:cs="Times New Roman"/>
            <w:sz w:val="24"/>
            <w:szCs w:val="24"/>
          </w:rPr>
        </w:pPr>
        <w:r w:rsidRPr="00333420">
          <w:rPr>
            <w:rFonts w:ascii="Times New Roman" w:hAnsi="Times New Roman" w:cs="Times New Roman"/>
            <w:sz w:val="24"/>
            <w:szCs w:val="24"/>
          </w:rPr>
          <w:fldChar w:fldCharType="begin"/>
        </w:r>
        <w:r w:rsidRPr="00333420">
          <w:rPr>
            <w:rFonts w:ascii="Times New Roman" w:hAnsi="Times New Roman" w:cs="Times New Roman"/>
            <w:sz w:val="24"/>
            <w:szCs w:val="24"/>
          </w:rPr>
          <w:instrText xml:space="preserve"> PAGE   \* MERGEFORMAT </w:instrText>
        </w:r>
        <w:r w:rsidRPr="00333420">
          <w:rPr>
            <w:rFonts w:ascii="Times New Roman" w:hAnsi="Times New Roman" w:cs="Times New Roman"/>
            <w:sz w:val="24"/>
            <w:szCs w:val="24"/>
          </w:rPr>
          <w:fldChar w:fldCharType="separate"/>
        </w:r>
        <w:r w:rsidRPr="00333420">
          <w:rPr>
            <w:rFonts w:ascii="Times New Roman" w:hAnsi="Times New Roman" w:cs="Times New Roman"/>
            <w:noProof/>
            <w:sz w:val="24"/>
            <w:szCs w:val="24"/>
          </w:rPr>
          <w:t>2</w:t>
        </w:r>
        <w:r w:rsidRPr="00333420">
          <w:rPr>
            <w:rFonts w:ascii="Times New Roman" w:hAnsi="Times New Roman" w:cs="Times New Roman"/>
            <w:noProof/>
            <w:sz w:val="24"/>
            <w:szCs w:val="24"/>
          </w:rPr>
          <w:fldChar w:fldCharType="end"/>
        </w:r>
      </w:p>
    </w:sdtContent>
  </w:sdt>
  <w:p w:rsidR="00333420" w14:paraId="4F6A7B35" w14:textId="77777777">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3169565"/>
      <w:docPartObj>
        <w:docPartGallery w:val="Page Numbers (Bottom of Page)"/>
        <w:docPartUnique/>
      </w:docPartObj>
    </w:sdtPr>
    <w:sdtEndPr>
      <w:rPr>
        <w:rFonts w:ascii="Times New Roman" w:hAnsi="Times New Roman" w:cs="Times New Roman"/>
        <w:noProof/>
        <w:sz w:val="24"/>
        <w:szCs w:val="24"/>
      </w:rPr>
    </w:sdtEndPr>
    <w:sdtContent>
      <w:p w:rsidR="006D53EA" w:rsidRPr="00333420" w14:paraId="6037D10C" w14:textId="77777777">
        <w:pPr>
          <w:pStyle w:val="Footer"/>
          <w:jc w:val="center"/>
          <w:rPr>
            <w:rFonts w:ascii="Times New Roman" w:hAnsi="Times New Roman" w:cs="Times New Roman"/>
            <w:sz w:val="24"/>
            <w:szCs w:val="24"/>
          </w:rPr>
        </w:pPr>
        <w:r w:rsidRPr="00333420">
          <w:rPr>
            <w:rFonts w:ascii="Times New Roman" w:hAnsi="Times New Roman" w:cs="Times New Roman"/>
            <w:sz w:val="24"/>
            <w:szCs w:val="24"/>
          </w:rPr>
          <w:fldChar w:fldCharType="begin"/>
        </w:r>
        <w:r w:rsidRPr="00333420">
          <w:rPr>
            <w:rFonts w:ascii="Times New Roman" w:hAnsi="Times New Roman" w:cs="Times New Roman"/>
            <w:sz w:val="24"/>
            <w:szCs w:val="24"/>
          </w:rPr>
          <w:instrText xml:space="preserve"> PAGE   \* MERGEFORMAT </w:instrText>
        </w:r>
        <w:r w:rsidRPr="00333420">
          <w:rPr>
            <w:rFonts w:ascii="Times New Roman" w:hAnsi="Times New Roman" w:cs="Times New Roman"/>
            <w:sz w:val="24"/>
            <w:szCs w:val="24"/>
          </w:rPr>
          <w:fldChar w:fldCharType="separate"/>
        </w:r>
        <w:r w:rsidRPr="00333420">
          <w:rPr>
            <w:rFonts w:ascii="Times New Roman" w:hAnsi="Times New Roman" w:cs="Times New Roman"/>
            <w:noProof/>
            <w:sz w:val="24"/>
            <w:szCs w:val="24"/>
          </w:rPr>
          <w:t>2</w:t>
        </w:r>
        <w:r w:rsidRPr="00333420">
          <w:rPr>
            <w:rFonts w:ascii="Times New Roman" w:hAnsi="Times New Roman" w:cs="Times New Roman"/>
            <w:noProof/>
            <w:sz w:val="24"/>
            <w:szCs w:val="24"/>
          </w:rPr>
          <w:fldChar w:fldCharType="end"/>
        </w:r>
      </w:p>
    </w:sdtContent>
  </w:sdt>
  <w:p w:rsidR="006D53EA" w14:paraId="585B984B" w14:textId="77777777">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26769336"/>
      <w:docPartObj>
        <w:docPartGallery w:val="Page Numbers (Bottom of Page)"/>
        <w:docPartUnique/>
      </w:docPartObj>
    </w:sdtPr>
    <w:sdtEndPr>
      <w:rPr>
        <w:rFonts w:ascii="Times New Roman" w:hAnsi="Times New Roman" w:cs="Times New Roman"/>
        <w:noProof/>
        <w:sz w:val="24"/>
        <w:szCs w:val="24"/>
      </w:rPr>
    </w:sdtEndPr>
    <w:sdtContent>
      <w:p w:rsidR="00033D2A" w:rsidRPr="00033D2A" w14:paraId="3C656485" w14:textId="38068617">
        <w:pPr>
          <w:pStyle w:val="Footer"/>
          <w:jc w:val="center"/>
          <w:rPr>
            <w:rFonts w:ascii="Times New Roman" w:hAnsi="Times New Roman" w:cs="Times New Roman"/>
            <w:sz w:val="24"/>
            <w:szCs w:val="24"/>
          </w:rPr>
        </w:pPr>
        <w:r w:rsidRPr="00033D2A">
          <w:rPr>
            <w:rFonts w:ascii="Times New Roman" w:hAnsi="Times New Roman" w:cs="Times New Roman"/>
            <w:sz w:val="24"/>
            <w:szCs w:val="24"/>
          </w:rPr>
          <w:fldChar w:fldCharType="begin"/>
        </w:r>
        <w:r w:rsidRPr="00033D2A">
          <w:rPr>
            <w:rFonts w:ascii="Times New Roman" w:hAnsi="Times New Roman" w:cs="Times New Roman"/>
            <w:sz w:val="24"/>
            <w:szCs w:val="24"/>
          </w:rPr>
          <w:instrText xml:space="preserve"> PAGE   \* MERGEFORMAT </w:instrText>
        </w:r>
        <w:r w:rsidRPr="00033D2A">
          <w:rPr>
            <w:rFonts w:ascii="Times New Roman" w:hAnsi="Times New Roman" w:cs="Times New Roman"/>
            <w:sz w:val="24"/>
            <w:szCs w:val="24"/>
          </w:rPr>
          <w:fldChar w:fldCharType="separate"/>
        </w:r>
        <w:r w:rsidR="006B13F5">
          <w:rPr>
            <w:rFonts w:ascii="Times New Roman" w:hAnsi="Times New Roman" w:cs="Times New Roman"/>
            <w:noProof/>
            <w:sz w:val="24"/>
            <w:szCs w:val="24"/>
          </w:rPr>
          <w:t>4</w:t>
        </w:r>
        <w:r w:rsidRPr="00033D2A">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D619F" w:rsidP="00152A74" w14:paraId="65158260" w14:textId="77777777">
      <w:pPr>
        <w:spacing w:after="0" w:line="240" w:lineRule="auto"/>
      </w:pPr>
      <w:r>
        <w:separator/>
      </w:r>
    </w:p>
  </w:footnote>
  <w:footnote w:type="continuationSeparator" w:id="1">
    <w:p w:rsidR="00BD619F" w:rsidP="00152A74" w14:paraId="3ECEB9C1" w14:textId="77777777">
      <w:pPr>
        <w:spacing w:after="0" w:line="240" w:lineRule="auto"/>
      </w:pPr>
      <w:r>
        <w:continuationSeparator/>
      </w:r>
    </w:p>
  </w:footnote>
  <w:footnote w:id="2">
    <w:p w:rsidR="00B7125C" w:rsidRPr="001D1442" w:rsidP="007A5FF2" w14:paraId="3C5B9947" w14:textId="69C747C0">
      <w:pPr>
        <w:pStyle w:val="FootnoteText"/>
        <w:spacing w:after="120"/>
        <w:rPr>
          <w:rFonts w:cs="Times New Roman"/>
        </w:rPr>
      </w:pPr>
      <w:r w:rsidRPr="001D1442">
        <w:rPr>
          <w:rStyle w:val="FootnoteReference"/>
          <w:rFonts w:cs="Times New Roman"/>
        </w:rPr>
        <w:footnoteRef/>
      </w:r>
      <w:r w:rsidRPr="001D1442">
        <w:rPr>
          <w:rFonts w:cs="Times New Roman"/>
        </w:rPr>
        <w:t xml:space="preserve"> R.C. 4928.143.</w:t>
      </w:r>
    </w:p>
  </w:footnote>
  <w:footnote w:id="3">
    <w:p w:rsidR="00FD6F39" w:rsidRPr="001D1442" w:rsidP="007A5FF2" w14:paraId="518617D5" w14:textId="01F6721B">
      <w:pPr>
        <w:pStyle w:val="FootnoteText"/>
        <w:spacing w:after="120"/>
        <w:rPr>
          <w:rFonts w:cs="Times New Roman"/>
        </w:rPr>
      </w:pPr>
      <w:r w:rsidRPr="001D1442">
        <w:rPr>
          <w:rStyle w:val="FootnoteReference"/>
          <w:rFonts w:cs="Times New Roman"/>
        </w:rPr>
        <w:footnoteRef/>
      </w:r>
      <w:r w:rsidRPr="001D1442">
        <w:rPr>
          <w:rFonts w:cs="Times New Roman"/>
        </w:rPr>
        <w:t xml:space="preserve"> R.C. 4928.143.</w:t>
      </w:r>
    </w:p>
  </w:footnote>
  <w:footnote w:id="4">
    <w:p w:rsidR="00D66514" w:rsidRPr="001D1442" w:rsidP="007A5FF2" w14:paraId="5E1C2E2F" w14:textId="71C5C092">
      <w:pPr>
        <w:pStyle w:val="FootnoteText"/>
        <w:spacing w:after="120"/>
        <w:rPr>
          <w:rFonts w:cs="Times New Roman"/>
        </w:rPr>
      </w:pPr>
      <w:r w:rsidRPr="001D1442">
        <w:rPr>
          <w:rStyle w:val="FootnoteReference"/>
          <w:rFonts w:cs="Times New Roman"/>
        </w:rPr>
        <w:footnoteRef/>
      </w:r>
      <w:r w:rsidRPr="001D1442">
        <w:rPr>
          <w:rFonts w:cs="Times New Roman"/>
        </w:rPr>
        <w:t xml:space="preserve"> </w:t>
      </w:r>
      <w:r w:rsidRPr="001D1442" w:rsidR="009F38AB">
        <w:rPr>
          <w:rFonts w:cs="Times New Roman"/>
        </w:rPr>
        <w:t>Through 2019, AEP has charged consumers over approximately $111 million for its power purchase agreement rider; Duke has charged consumers over approximately $21 million for so-called Price Stabilization Rider; and DP&amp;L has charged consumers over approximately $18 million for its Reconciliation Rider.</w:t>
      </w:r>
    </w:p>
  </w:footnote>
  <w:footnote w:id="5">
    <w:p w:rsidR="009F38AB" w:rsidRPr="001D1442" w:rsidP="007A5FF2" w14:paraId="2EC0D802" w14:textId="1BA35E10">
      <w:pPr>
        <w:pStyle w:val="FootnoteText"/>
        <w:spacing w:after="120"/>
        <w:rPr>
          <w:rFonts w:cs="Times New Roman"/>
        </w:rPr>
      </w:pPr>
      <w:r w:rsidRPr="001D1442">
        <w:rPr>
          <w:rStyle w:val="FootnoteReference"/>
          <w:rFonts w:cs="Times New Roman"/>
        </w:rPr>
        <w:footnoteRef/>
      </w:r>
      <w:r w:rsidRPr="001D1442">
        <w:rPr>
          <w:rFonts w:cs="Times New Roman"/>
        </w:rPr>
        <w:t xml:space="preserve"> For example, FirstEnergy collected from consumers approximately $456 million over a two and half-year period under its so-called Distribution Modernization Rider, approved as part of its electric security plan, before the rider was found unlawful by the Ohio Supreme Court and terminated by the PUCO.  Similarly, DP&amp;L collected from consumers approximately $218.75 million over 25 months under its so-called Distribution Modernization Rider before the rider was terminated by the PUCO.  DP&amp;L also collected from consumers approximately $330 million in financial stability charges that were later found to be improper by the Ohio Supreme Court and terminated by the PUCO.  </w:t>
      </w:r>
    </w:p>
  </w:footnote>
  <w:footnote w:id="6">
    <w:p w:rsidR="005E4FB3" w:rsidRPr="001D1442" w:rsidP="007A5FF2" w14:paraId="3AB2C496" w14:textId="683B5C98">
      <w:pPr>
        <w:pStyle w:val="FootnoteText"/>
        <w:spacing w:after="120"/>
        <w:rPr>
          <w:rFonts w:cs="Times New Roman"/>
        </w:rPr>
      </w:pPr>
      <w:r w:rsidRPr="001D1442">
        <w:rPr>
          <w:rStyle w:val="FootnoteReference"/>
          <w:rFonts w:cs="Times New Roman"/>
        </w:rPr>
        <w:footnoteRef/>
      </w:r>
      <w:r w:rsidRPr="001D1442">
        <w:rPr>
          <w:rFonts w:cs="Times New Roman"/>
        </w:rPr>
        <w:t xml:space="preserve"> </w:t>
      </w:r>
      <w:r w:rsidRPr="001D1442">
        <w:rPr>
          <w:rFonts w:cs="Times New Roman"/>
          <w:i/>
          <w:iCs/>
        </w:rPr>
        <w:t xml:space="preserve">See </w:t>
      </w:r>
      <w:r w:rsidRPr="001D1442">
        <w:rPr>
          <w:rFonts w:cs="Times New Roman"/>
        </w:rPr>
        <w:t>OCC’s Comments at 3-6</w:t>
      </w:r>
      <w:r w:rsidRPr="001D1442" w:rsidR="001D1442">
        <w:rPr>
          <w:rFonts w:cs="Times New Roman"/>
        </w:rPr>
        <w:t>.</w:t>
      </w:r>
    </w:p>
  </w:footnote>
  <w:footnote w:id="7">
    <w:p w:rsidR="005E4FB3" w:rsidRPr="001D1442" w:rsidP="007A5FF2" w14:paraId="7FABF180" w14:textId="3718ADAA">
      <w:pPr>
        <w:pStyle w:val="FootnoteText"/>
        <w:spacing w:after="120"/>
        <w:rPr>
          <w:rFonts w:cs="Times New Roman"/>
        </w:rPr>
      </w:pPr>
      <w:r w:rsidRPr="001D1442">
        <w:rPr>
          <w:rStyle w:val="FootnoteReference"/>
          <w:rFonts w:cs="Times New Roman"/>
        </w:rPr>
        <w:footnoteRef/>
      </w:r>
      <w:r w:rsidRPr="001D1442">
        <w:rPr>
          <w:rFonts w:cs="Times New Roman"/>
        </w:rPr>
        <w:t xml:space="preserve"> </w:t>
      </w:r>
      <w:r w:rsidRPr="001D1442">
        <w:rPr>
          <w:rFonts w:cs="Times New Roman"/>
          <w:i/>
          <w:iCs/>
        </w:rPr>
        <w:t xml:space="preserve">See </w:t>
      </w:r>
      <w:r w:rsidRPr="001D1442">
        <w:rPr>
          <w:rFonts w:cs="Times New Roman"/>
        </w:rPr>
        <w:t>Entry at 9.</w:t>
      </w:r>
    </w:p>
  </w:footnote>
  <w:footnote w:id="8">
    <w:p w:rsidR="00BD7F86" w:rsidRPr="001D1442" w:rsidP="007A5FF2" w14:paraId="4190337E" w14:textId="77777777">
      <w:pPr>
        <w:autoSpaceDE w:val="0"/>
        <w:autoSpaceDN w:val="0"/>
        <w:adjustRightInd w:val="0"/>
        <w:spacing w:after="120" w:line="240" w:lineRule="auto"/>
        <w:rPr>
          <w:rFonts w:ascii="Times New Roman" w:hAnsi="Times New Roman" w:cs="Times New Roman"/>
          <w:sz w:val="20"/>
          <w:szCs w:val="20"/>
        </w:rPr>
      </w:pPr>
      <w:r w:rsidRPr="001D1442">
        <w:rPr>
          <w:rStyle w:val="FootnoteReference"/>
          <w:rFonts w:ascii="Times New Roman" w:hAnsi="Times New Roman" w:cs="Times New Roman"/>
          <w:sz w:val="20"/>
          <w:szCs w:val="20"/>
        </w:rPr>
        <w:footnoteRef/>
      </w:r>
      <w:r w:rsidRPr="001D1442">
        <w:rPr>
          <w:rFonts w:ascii="Times New Roman" w:hAnsi="Times New Roman" w:cs="Times New Roman"/>
          <w:sz w:val="20"/>
          <w:szCs w:val="20"/>
        </w:rPr>
        <w:t xml:space="preserve"> </w:t>
      </w:r>
      <w:r w:rsidRPr="001D1442">
        <w:rPr>
          <w:rFonts w:ascii="Times New Roman" w:hAnsi="Times New Roman" w:cs="Times New Roman"/>
          <w:i/>
          <w:iCs/>
          <w:sz w:val="20"/>
          <w:szCs w:val="20"/>
        </w:rPr>
        <w:t xml:space="preserve">In the Matter of the Application of Duke Energy Ohio, Inc., for Approval of an Electric Security Plan, </w:t>
      </w:r>
      <w:r w:rsidRPr="001D1442">
        <w:rPr>
          <w:rFonts w:ascii="Times New Roman" w:hAnsi="Times New Roman" w:cs="Times New Roman"/>
          <w:sz w:val="20"/>
          <w:szCs w:val="20"/>
        </w:rPr>
        <w:t xml:space="preserve">Case No. 08-920-EL-SSO, Opinion and Order (December 17, 2009); </w:t>
      </w:r>
      <w:r w:rsidRPr="001D1442">
        <w:rPr>
          <w:rFonts w:ascii="Times New Roman" w:hAnsi="Times New Roman" w:cs="Times New Roman"/>
          <w:i/>
          <w:iCs/>
          <w:sz w:val="20"/>
          <w:szCs w:val="20"/>
        </w:rPr>
        <w:t>In the Matter of the Application of Ohio Power Company to Initiate Phase 2 of its gridSMART Project and to Establish the gridSMART Phase 2 Rider</w:t>
      </w:r>
      <w:r w:rsidRPr="001D1442">
        <w:rPr>
          <w:rFonts w:ascii="Times New Roman" w:hAnsi="Times New Roman" w:cs="Times New Roman"/>
          <w:sz w:val="20"/>
          <w:szCs w:val="20"/>
        </w:rPr>
        <w:t>. Case No. 13-1939-EL-RDR, (September 13, 2013).</w:t>
      </w:r>
    </w:p>
  </w:footnote>
  <w:footnote w:id="9">
    <w:p w:rsidR="00BB2B70" w:rsidP="007A5FF2" w14:paraId="55264337" w14:textId="79E170FE">
      <w:pPr>
        <w:pStyle w:val="FootnoteText"/>
        <w:spacing w:after="120"/>
      </w:pPr>
      <w:r>
        <w:rPr>
          <w:rStyle w:val="FootnoteReference"/>
        </w:rPr>
        <w:footnoteRef/>
      </w:r>
      <w:r>
        <w:t xml:space="preserve"> </w:t>
      </w:r>
      <w:r w:rsidRPr="000F088C">
        <w:rPr>
          <w:i/>
        </w:rPr>
        <w:t>In re Application of the Ottoville Mut. Tel. Co.</w:t>
      </w:r>
      <w:r w:rsidRPr="000F088C">
        <w:t>, Case No. 73-356-T, 1973 Ohio PUC LEXIS 3, at *4 (“the applicant must shoulder the burden of proof in every application proceeding before the Commission”).</w:t>
      </w:r>
    </w:p>
  </w:footnote>
  <w:footnote w:id="10">
    <w:p w:rsidR="00072937" w:rsidRPr="001D1442" w:rsidP="007A5FF2" w14:paraId="177A6096" w14:textId="6C4B4DF6">
      <w:pPr>
        <w:pStyle w:val="FootnoteText"/>
        <w:spacing w:after="120"/>
        <w:rPr>
          <w:rFonts w:cs="Times New Roman"/>
        </w:rPr>
      </w:pPr>
      <w:r w:rsidRPr="001D1442">
        <w:rPr>
          <w:rStyle w:val="FootnoteReference"/>
          <w:rFonts w:cs="Times New Roman"/>
        </w:rPr>
        <w:footnoteRef/>
      </w:r>
      <w:r w:rsidRPr="001D1442">
        <w:rPr>
          <w:rFonts w:cs="Times New Roman"/>
        </w:rPr>
        <w:t xml:space="preserve"> </w:t>
      </w:r>
      <w:r w:rsidRPr="001D1442">
        <w:rPr>
          <w:rFonts w:cs="Times New Roman"/>
          <w:i/>
          <w:iCs/>
        </w:rPr>
        <w:t xml:space="preserve">See </w:t>
      </w:r>
      <w:r w:rsidRPr="001D1442">
        <w:rPr>
          <w:rFonts w:cs="Times New Roman"/>
        </w:rPr>
        <w:t>OCC’s Comments at 6-7.</w:t>
      </w:r>
    </w:p>
  </w:footnote>
  <w:footnote w:id="11">
    <w:p w:rsidR="007D5C49" w:rsidRPr="001D1442" w:rsidP="007A5FF2" w14:paraId="3D21962E" w14:textId="08612BCA">
      <w:pPr>
        <w:pStyle w:val="FootnoteText"/>
        <w:spacing w:after="120"/>
        <w:rPr>
          <w:rFonts w:cs="Times New Roman"/>
        </w:rPr>
      </w:pPr>
      <w:r w:rsidRPr="001D1442">
        <w:rPr>
          <w:rStyle w:val="FootnoteReference"/>
          <w:rFonts w:cs="Times New Roman"/>
        </w:rPr>
        <w:footnoteRef/>
      </w:r>
      <w:r w:rsidRPr="001D1442">
        <w:rPr>
          <w:rFonts w:cs="Times New Roman"/>
        </w:rPr>
        <w:t xml:space="preserve"> </w:t>
      </w:r>
      <w:r w:rsidRPr="001D1442">
        <w:rPr>
          <w:rFonts w:cs="Times New Roman"/>
          <w:i/>
          <w:iCs/>
        </w:rPr>
        <w:t xml:space="preserve">See </w:t>
      </w:r>
      <w:r w:rsidRPr="001D1442">
        <w:rPr>
          <w:rFonts w:cs="Times New Roman"/>
        </w:rPr>
        <w:t>Entry at 10.</w:t>
      </w:r>
    </w:p>
  </w:footnote>
  <w:footnote w:id="12">
    <w:p w:rsidR="001D1442" w:rsidRPr="000C1B23" w:rsidP="007A5FF2" w14:paraId="249D88FB" w14:textId="63DFE52C">
      <w:pPr>
        <w:pStyle w:val="FootnoteText"/>
        <w:spacing w:after="120"/>
        <w:rPr>
          <w:rFonts w:cs="Times New Roman"/>
        </w:rPr>
      </w:pPr>
      <w:r w:rsidRPr="000C1B23">
        <w:rPr>
          <w:rStyle w:val="FootnoteReference"/>
          <w:rFonts w:cs="Times New Roman"/>
        </w:rPr>
        <w:footnoteRef/>
      </w:r>
      <w:r w:rsidRPr="000C1B23">
        <w:rPr>
          <w:rFonts w:cs="Times New Roman"/>
        </w:rPr>
        <w:t xml:space="preserve"> R.C. 4928.141(A).</w:t>
      </w:r>
    </w:p>
  </w:footnote>
  <w:footnote w:id="13">
    <w:p w:rsidR="001D1442" w:rsidRPr="000C1B23" w:rsidP="007A5FF2" w14:paraId="68EC2725" w14:textId="347E3B25">
      <w:pPr>
        <w:pStyle w:val="FootnoteText"/>
        <w:spacing w:after="120"/>
        <w:rPr>
          <w:rFonts w:cs="Times New Roman"/>
        </w:rPr>
      </w:pPr>
      <w:r w:rsidRPr="000C1B23">
        <w:rPr>
          <w:rStyle w:val="FootnoteReference"/>
          <w:rFonts w:cs="Times New Roman"/>
        </w:rPr>
        <w:footnoteRef/>
      </w:r>
      <w:r w:rsidRPr="000C1B23">
        <w:rPr>
          <w:rFonts w:cs="Times New Roman"/>
        </w:rPr>
        <w:t xml:space="preserve"> </w:t>
      </w:r>
      <w:r w:rsidRPr="000C1B23">
        <w:rPr>
          <w:rFonts w:cs="Times New Roman"/>
          <w:i/>
          <w:iCs/>
        </w:rPr>
        <w:t>1d.</w:t>
      </w:r>
    </w:p>
  </w:footnote>
  <w:footnote w:id="14">
    <w:p w:rsidR="001D1442" w:rsidRPr="001D1442" w:rsidP="007A5FF2" w14:paraId="21C502BF" w14:textId="77777777">
      <w:pPr>
        <w:widowControl w:val="0"/>
        <w:spacing w:after="120" w:line="240" w:lineRule="auto"/>
        <w:contextualSpacing/>
        <w:rPr>
          <w:rFonts w:ascii="Times New Roman" w:hAnsi="Times New Roman" w:cs="Times New Roman"/>
          <w:sz w:val="20"/>
          <w:szCs w:val="20"/>
        </w:rPr>
      </w:pPr>
      <w:r w:rsidRPr="000C1B23">
        <w:rPr>
          <w:rStyle w:val="FootnoteReference"/>
          <w:rFonts w:ascii="Times New Roman" w:hAnsi="Times New Roman" w:cs="Times New Roman"/>
          <w:sz w:val="20"/>
          <w:szCs w:val="20"/>
        </w:rPr>
        <w:footnoteRef/>
      </w:r>
      <w:r w:rsidRPr="000C1B23">
        <w:rPr>
          <w:rFonts w:ascii="Times New Roman" w:hAnsi="Times New Roman" w:cs="Times New Roman"/>
          <w:sz w:val="20"/>
          <w:szCs w:val="20"/>
        </w:rPr>
        <w:t xml:space="preserve"> </w:t>
      </w:r>
      <w:r w:rsidRPr="000C1B23">
        <w:rPr>
          <w:rFonts w:ascii="Times New Roman" w:hAnsi="Times New Roman" w:cs="Times New Roman"/>
          <w:i/>
          <w:iCs/>
          <w:sz w:val="20"/>
          <w:szCs w:val="20"/>
        </w:rPr>
        <w:t>In re Ohio Edison Co.</w:t>
      </w:r>
      <w:r w:rsidRPr="000C1B23">
        <w:rPr>
          <w:rFonts w:ascii="Times New Roman" w:hAnsi="Times New Roman" w:cs="Times New Roman"/>
          <w:sz w:val="20"/>
          <w:szCs w:val="20"/>
        </w:rPr>
        <w:t>,146 Ohio St. 3d 222,223 (2016).</w:t>
      </w:r>
    </w:p>
    <w:p w:rsidR="001D1442" w:rsidRPr="001D1442" w:rsidP="007A5FF2" w14:paraId="7D757493" w14:textId="6FC633FA">
      <w:pPr>
        <w:pStyle w:val="FootnoteText"/>
        <w:spacing w:after="120"/>
        <w:rPr>
          <w:rFonts w:cs="Times New Roman"/>
        </w:rPr>
      </w:pPr>
    </w:p>
  </w:footnote>
  <w:footnote w:id="15">
    <w:p w:rsidR="001D1442" w:rsidRPr="000C1B23" w:rsidP="007A5FF2" w14:paraId="44B11A69" w14:textId="5BC8FD84">
      <w:pPr>
        <w:pStyle w:val="FootnoteText"/>
        <w:spacing w:after="120"/>
        <w:rPr>
          <w:rFonts w:cs="Times New Roman"/>
        </w:rPr>
      </w:pPr>
      <w:r w:rsidRPr="000C1B23">
        <w:rPr>
          <w:rStyle w:val="FootnoteReference"/>
          <w:rFonts w:cs="Times New Roman"/>
        </w:rPr>
        <w:footnoteRef/>
      </w:r>
      <w:r w:rsidRPr="000C1B23">
        <w:rPr>
          <w:rFonts w:cs="Times New Roman"/>
        </w:rPr>
        <w:t xml:space="preserve"> R.C. 4928.143(C)(1).</w:t>
      </w:r>
    </w:p>
  </w:footnote>
  <w:footnote w:id="16">
    <w:p w:rsidR="001D1442" w:rsidRPr="000C1B23" w:rsidP="007A5FF2" w14:paraId="16CF4B6E" w14:textId="51EA350F">
      <w:pPr>
        <w:pStyle w:val="FootnoteText"/>
        <w:spacing w:after="120"/>
        <w:rPr>
          <w:rFonts w:cs="Times New Roman"/>
        </w:rPr>
      </w:pPr>
      <w:r w:rsidRPr="000C1B23">
        <w:rPr>
          <w:rStyle w:val="FootnoteReference"/>
          <w:rFonts w:cs="Times New Roman"/>
        </w:rPr>
        <w:footnoteRef/>
      </w:r>
      <w:r w:rsidRPr="000C1B23">
        <w:rPr>
          <w:rFonts w:cs="Times New Roman"/>
        </w:rPr>
        <w:t xml:space="preserve"> </w:t>
      </w:r>
      <w:r w:rsidRPr="000C1B23">
        <w:rPr>
          <w:rFonts w:cs="Times New Roman"/>
          <w:i/>
          <w:iCs/>
        </w:rPr>
        <w:t>In re Ohio Edison Co</w:t>
      </w:r>
      <w:r w:rsidRPr="000C1B23">
        <w:rPr>
          <w:rFonts w:cs="Times New Roman"/>
        </w:rPr>
        <w:t>., 146 Ohio St. 3d at 223.</w:t>
      </w:r>
    </w:p>
  </w:footnote>
  <w:footnote w:id="17">
    <w:p w:rsidR="001D1442" w:rsidRPr="000C1B23" w:rsidP="007A5FF2" w14:paraId="70A78E51" w14:textId="63344F05">
      <w:pPr>
        <w:pStyle w:val="FootnoteText"/>
        <w:spacing w:after="120"/>
        <w:rPr>
          <w:rFonts w:cs="Times New Roman"/>
        </w:rPr>
      </w:pPr>
      <w:r w:rsidRPr="000C1B23">
        <w:rPr>
          <w:rStyle w:val="FootnoteReference"/>
          <w:rFonts w:cs="Times New Roman"/>
        </w:rPr>
        <w:footnoteRef/>
      </w:r>
      <w:r w:rsidRPr="000C1B23">
        <w:rPr>
          <w:rFonts w:cs="Times New Roman"/>
        </w:rPr>
        <w:t xml:space="preserve"> </w:t>
      </w:r>
      <w:r w:rsidRPr="000C1B23">
        <w:rPr>
          <w:rFonts w:cs="Times New Roman"/>
          <w:i/>
          <w:iCs/>
        </w:rPr>
        <w:t>In re Ohio Edison Co.</w:t>
      </w:r>
      <w:r w:rsidRPr="000C1B23">
        <w:rPr>
          <w:rFonts w:cs="Times New Roman"/>
        </w:rPr>
        <w:t>,146 Ohio St. 3d at 226.</w:t>
      </w:r>
    </w:p>
  </w:footnote>
  <w:footnote w:id="18">
    <w:p w:rsidR="001D1442" w:rsidRPr="000C1B23" w:rsidP="007A5FF2" w14:paraId="5C879E04" w14:textId="1A9D5B7E">
      <w:pPr>
        <w:pStyle w:val="FootnoteText"/>
        <w:spacing w:after="120"/>
        <w:rPr>
          <w:rFonts w:cs="Times New Roman"/>
        </w:rPr>
      </w:pPr>
      <w:r w:rsidRPr="000C1B23">
        <w:rPr>
          <w:rStyle w:val="FootnoteReference"/>
          <w:rFonts w:cs="Times New Roman"/>
        </w:rPr>
        <w:footnoteRef/>
      </w:r>
      <w:r w:rsidRPr="000C1B23">
        <w:rPr>
          <w:rFonts w:cs="Times New Roman"/>
        </w:rPr>
        <w:t xml:space="preserve"> </w:t>
      </w:r>
      <w:r w:rsidRPr="000C1B23">
        <w:rPr>
          <w:rFonts w:cs="Times New Roman"/>
          <w:i/>
          <w:iCs/>
        </w:rPr>
        <w:t>See id</w:t>
      </w:r>
      <w:r w:rsidRPr="000C1B23">
        <w:rPr>
          <w:rFonts w:cs="Times New Roman"/>
        </w:rPr>
        <w:t>.</w:t>
      </w:r>
    </w:p>
  </w:footnote>
  <w:footnote w:id="19">
    <w:p w:rsidR="001D1442" w:rsidRPr="001D1442" w:rsidP="007A5FF2" w14:paraId="05511A7E" w14:textId="1C1ACAF7">
      <w:pPr>
        <w:pStyle w:val="FootnoteText"/>
        <w:spacing w:after="120"/>
        <w:rPr>
          <w:rFonts w:cs="Times New Roman"/>
        </w:rPr>
      </w:pPr>
      <w:r w:rsidRPr="000C1B23">
        <w:rPr>
          <w:rStyle w:val="FootnoteReference"/>
          <w:rFonts w:cs="Times New Roman"/>
        </w:rPr>
        <w:footnoteRef/>
      </w:r>
      <w:r w:rsidRPr="000C1B23">
        <w:rPr>
          <w:rFonts w:cs="Times New Roman"/>
        </w:rPr>
        <w:t xml:space="preserve"> </w:t>
      </w:r>
      <w:r w:rsidRPr="000C1B23">
        <w:rPr>
          <w:rFonts w:cs="Times New Roman"/>
          <w:i/>
          <w:iCs/>
        </w:rPr>
        <w:t>Id</w:t>
      </w:r>
      <w:r w:rsidRPr="000C1B23">
        <w:rPr>
          <w:rFonts w:cs="Times New Roman"/>
        </w:rPr>
        <w:t>.</w:t>
      </w:r>
    </w:p>
  </w:footnote>
  <w:footnote w:id="20">
    <w:p w:rsidR="001428BD" w:rsidRPr="00DF1257" w:rsidP="007A5FF2" w14:paraId="6AFC3A4F" w14:textId="764BC216">
      <w:pPr>
        <w:pStyle w:val="FootnoteText"/>
        <w:spacing w:after="120"/>
      </w:pPr>
      <w:r>
        <w:rPr>
          <w:rStyle w:val="FootnoteReference"/>
        </w:rPr>
        <w:footnoteRef/>
      </w:r>
      <w:r>
        <w:t xml:space="preserve"> </w:t>
      </w:r>
      <w:r>
        <w:rPr>
          <w:i/>
          <w:iCs/>
        </w:rPr>
        <w:t xml:space="preserve">See </w:t>
      </w:r>
      <w:r w:rsidRPr="00333420" w:rsidR="00C254C2">
        <w:t>Motion To Reject First</w:t>
      </w:r>
      <w:r w:rsidR="00C254C2">
        <w:t>E</w:t>
      </w:r>
      <w:r w:rsidRPr="00333420" w:rsidR="00C254C2">
        <w:t>nergy’s Distribution Modernization</w:t>
      </w:r>
      <w:r w:rsidR="00C254C2">
        <w:t xml:space="preserve"> </w:t>
      </w:r>
      <w:r w:rsidRPr="00333420" w:rsidR="00C254C2">
        <w:t>Rider Tariffs Or, In The Alternative, Motion To Stay First</w:t>
      </w:r>
      <w:r w:rsidR="00C254C2">
        <w:t>E</w:t>
      </w:r>
      <w:r w:rsidRPr="00333420" w:rsidR="00C254C2">
        <w:t>nergy’s Collection Of The Rider From Customers Or Motion For First</w:t>
      </w:r>
      <w:r w:rsidR="00C254C2">
        <w:t>E</w:t>
      </w:r>
      <w:r w:rsidRPr="00333420" w:rsidR="00C254C2">
        <w:t>nergy To Collect Distribution</w:t>
      </w:r>
      <w:r w:rsidR="00C254C2">
        <w:t xml:space="preserve"> </w:t>
      </w:r>
      <w:r w:rsidRPr="00333420" w:rsidR="00C254C2">
        <w:t>Modernization Rider Subject To Refund By The Office Of The Ohio Consumers’ Counsel And Ohio Manufacturers' Association Energy Group</w:t>
      </w:r>
      <w:r w:rsidR="00DF1257">
        <w:t>, Case No. 14-1297-EL-SSO (December 8, 2016).</w:t>
      </w:r>
    </w:p>
  </w:footnote>
  <w:footnote w:id="21">
    <w:p w:rsidR="00DF1257" w:rsidRPr="00DF1257" w:rsidP="007A5FF2" w14:paraId="62F9CDD1" w14:textId="34EFEDE3">
      <w:pPr>
        <w:pStyle w:val="FootnoteText"/>
        <w:spacing w:after="120"/>
      </w:pPr>
      <w:r>
        <w:rPr>
          <w:rStyle w:val="FootnoteReference"/>
        </w:rPr>
        <w:footnoteRef/>
      </w:r>
      <w:r>
        <w:t xml:space="preserve"> </w:t>
      </w:r>
      <w:r>
        <w:rPr>
          <w:i/>
          <w:iCs/>
        </w:rPr>
        <w:t xml:space="preserve">See id. </w:t>
      </w:r>
      <w:r>
        <w:t>at Finding and Order (December 21, 2016).</w:t>
      </w:r>
    </w:p>
  </w:footnote>
  <w:footnote w:id="22">
    <w:p w:rsidR="00E437C3" w:rsidP="007A5FF2" w14:paraId="63F61926" w14:textId="7FD2CF7F">
      <w:pPr>
        <w:pStyle w:val="FootnoteText"/>
        <w:spacing w:after="120"/>
      </w:pPr>
      <w:r>
        <w:rPr>
          <w:rStyle w:val="FootnoteReference"/>
        </w:rPr>
        <w:footnoteRef/>
      </w:r>
      <w:r>
        <w:t xml:space="preserve"> </w:t>
      </w:r>
      <w:r w:rsidRPr="00333420">
        <w:rPr>
          <w:i/>
          <w:iCs/>
        </w:rPr>
        <w:t>In re Application of Ohio Edison Co</w:t>
      </w:r>
      <w:r w:rsidRPr="00E437C3">
        <w:t>.,</w:t>
      </w:r>
      <w:r>
        <w:t xml:space="preserve"> </w:t>
      </w:r>
      <w:r w:rsidRPr="00E437C3">
        <w:t>157 Ohio St.3d 73</w:t>
      </w:r>
      <w:r>
        <w:t xml:space="preserve"> (2019).</w:t>
      </w:r>
    </w:p>
  </w:footnote>
  <w:footnote w:id="23">
    <w:p w:rsidR="001428BD" w:rsidRPr="00333420" w:rsidP="007A5FF2" w14:paraId="124EFDC9" w14:textId="178DC52D">
      <w:pPr>
        <w:pStyle w:val="FootnoteText"/>
        <w:spacing w:after="120"/>
        <w:rPr>
          <w:i/>
          <w:iCs/>
        </w:rPr>
      </w:pPr>
      <w:r>
        <w:rPr>
          <w:rStyle w:val="FootnoteReference"/>
        </w:rPr>
        <w:footnoteRef/>
      </w:r>
      <w:r>
        <w:t xml:space="preserve"> </w:t>
      </w:r>
      <w:r>
        <w:rPr>
          <w:i/>
          <w:iCs/>
        </w:rPr>
        <w:t>See id.</w:t>
      </w:r>
    </w:p>
  </w:footnote>
  <w:footnote w:id="24">
    <w:p w:rsidR="000C0780" w:rsidP="007A5FF2" w14:paraId="687281F9" w14:textId="04AEB3DD">
      <w:pPr>
        <w:pStyle w:val="FootnoteText"/>
        <w:spacing w:after="120"/>
      </w:pPr>
      <w:r>
        <w:rPr>
          <w:rStyle w:val="FootnoteReference"/>
        </w:rPr>
        <w:footnoteRef/>
      </w:r>
      <w:r>
        <w:t xml:space="preserve"> </w:t>
      </w:r>
      <w:r w:rsidRPr="00333420" w:rsidR="00603687">
        <w:rPr>
          <w:i/>
          <w:iCs/>
        </w:rPr>
        <w:t>In re: Columbus Southern Power Co</w:t>
      </w:r>
      <w:r w:rsidR="00603687">
        <w:t xml:space="preserve">., 138 Ohio St.3d 448, 2014-Ohio-462, </w:t>
      </w:r>
      <w:r w:rsidR="00603687">
        <w:rPr>
          <w:rFonts w:cs="Times New Roman"/>
        </w:rPr>
        <w:t>¶</w:t>
      </w:r>
      <w:r w:rsidR="00603687">
        <w:t xml:space="preserve">.67 (Pfeifer, dissent). </w:t>
      </w:r>
    </w:p>
  </w:footnote>
  <w:footnote w:id="25">
    <w:p w:rsidR="001428BD" w:rsidRPr="001428BD" w:rsidP="007A5FF2" w14:paraId="1B62B579" w14:textId="0F92B438">
      <w:pPr>
        <w:pStyle w:val="FootnoteText"/>
        <w:spacing w:after="120"/>
      </w:pPr>
      <w:r>
        <w:rPr>
          <w:rStyle w:val="FootnoteReference"/>
        </w:rPr>
        <w:footnoteRef/>
      </w:r>
      <w:r>
        <w:t xml:space="preserve"> The Northwest Ohio Aggregation Coalition made this recommendation in its Reply Comments.  </w:t>
      </w:r>
      <w:r>
        <w:rPr>
          <w:i/>
          <w:iCs/>
        </w:rPr>
        <w:t xml:space="preserve">See </w:t>
      </w:r>
      <w:r>
        <w:t>NOAC’s Reply Comments at 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53EA" w14:paraId="3FD1F8A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53EA" w14:paraId="2EC2E0F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53EA" w14:paraId="62D97B77"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53EA" w14:paraId="1A32961A"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64D1" w14:paraId="0541E0E2"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1B23" w14:paraId="5CB87BA1"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1442" w14:paraId="5059497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F46945"/>
    <w:multiLevelType w:val="hybridMultilevel"/>
    <w:tmpl w:val="908244B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3C85046"/>
    <w:multiLevelType w:val="hybridMultilevel"/>
    <w:tmpl w:val="7C845E5A"/>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
    <w:nsid w:val="162D6FCC"/>
    <w:multiLevelType w:val="hybridMultilevel"/>
    <w:tmpl w:val="44167AE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1B891088"/>
    <w:multiLevelType w:val="hybridMultilevel"/>
    <w:tmpl w:val="F946B56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0133298"/>
    <w:multiLevelType w:val="hybridMultilevel"/>
    <w:tmpl w:val="59E627D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1F90E3F"/>
    <w:multiLevelType w:val="hybridMultilevel"/>
    <w:tmpl w:val="C1486028"/>
    <w:lvl w:ilvl="0">
      <w:start w:val="1"/>
      <w:numFmt w:val="bullet"/>
      <w:lvlText w:val="-"/>
      <w:lvlJc w:val="left"/>
      <w:pPr>
        <w:ind w:left="1800" w:hanging="360"/>
      </w:pPr>
      <w:rPr>
        <w:rFonts w:ascii="Times New Roman" w:hAnsi="Times New Roman" w:eastAsiaTheme="minorHAnsi"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6">
    <w:nsid w:val="37A9197F"/>
    <w:multiLevelType w:val="hybridMultilevel"/>
    <w:tmpl w:val="30AEDC1C"/>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40442AAC"/>
    <w:multiLevelType w:val="hybridMultilevel"/>
    <w:tmpl w:val="5CD02BC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4318237C"/>
    <w:multiLevelType w:val="hybridMultilevel"/>
    <w:tmpl w:val="02EC9646"/>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58D948EC"/>
    <w:multiLevelType w:val="hybridMultilevel"/>
    <w:tmpl w:val="8834DCC0"/>
    <w:lvl w:ilvl="0">
      <w:start w:val="1"/>
      <w:numFmt w:val="upperLetter"/>
      <w:pStyle w:val="Heading2"/>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0">
    <w:nsid w:val="5CAB515C"/>
    <w:multiLevelType w:val="hybridMultilevel"/>
    <w:tmpl w:val="A88EE32E"/>
    <w:lvl w:ilvl="0">
      <w:start w:val="1"/>
      <w:numFmt w:val="upperRoman"/>
      <w:lvlText w:val="%1."/>
      <w:lvlJc w:val="left"/>
      <w:pPr>
        <w:ind w:left="351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E7030CF"/>
    <w:multiLevelType w:val="hybridMultilevel"/>
    <w:tmpl w:val="CA9421E6"/>
    <w:lvl w:ilvl="0">
      <w:start w:val="1"/>
      <w:numFmt w:val="upperRoman"/>
      <w:pStyle w:val="Heading1"/>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66604528"/>
    <w:multiLevelType w:val="hybridMultilevel"/>
    <w:tmpl w:val="3B0CA9C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9505F3C"/>
    <w:multiLevelType w:val="hybridMultilevel"/>
    <w:tmpl w:val="0814619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6B1F4A93"/>
    <w:multiLevelType w:val="hybridMultilevel"/>
    <w:tmpl w:val="5FD61D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70B05F91"/>
    <w:multiLevelType w:val="hybridMultilevel"/>
    <w:tmpl w:val="39B2CED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7A2F2D71"/>
    <w:multiLevelType w:val="hybridMultilevel"/>
    <w:tmpl w:val="47061B8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0"/>
  </w:num>
  <w:num w:numId="2">
    <w:abstractNumId w:val="9"/>
  </w:num>
  <w:num w:numId="3">
    <w:abstractNumId w:val="1"/>
  </w:num>
  <w:num w:numId="4">
    <w:abstractNumId w:val="1"/>
    <w:lvlOverride w:ilvl="0">
      <w:startOverride w:val="1"/>
    </w:lvlOverride>
  </w:num>
  <w:num w:numId="5">
    <w:abstractNumId w:val="1"/>
    <w:lvlOverride w:ilvl="0">
      <w:startOverride w:val="1"/>
    </w:lvlOverride>
  </w:num>
  <w:num w:numId="6">
    <w:abstractNumId w:val="16"/>
  </w:num>
  <w:num w:numId="7">
    <w:abstractNumId w:val="2"/>
  </w:num>
  <w:num w:numId="8">
    <w:abstractNumId w:val="4"/>
  </w:num>
  <w:num w:numId="9">
    <w:abstractNumId w:val="7"/>
  </w:num>
  <w:num w:numId="10">
    <w:abstractNumId w:val="14"/>
  </w:num>
  <w:num w:numId="11">
    <w:abstractNumId w:val="3"/>
  </w:num>
  <w:num w:numId="12">
    <w:abstractNumId w:val="10"/>
  </w:num>
  <w:num w:numId="13">
    <w:abstractNumId w:val="10"/>
  </w:num>
  <w:num w:numId="14">
    <w:abstractNumId w:val="11"/>
  </w:num>
  <w:num w:numId="15">
    <w:abstractNumId w:val="10"/>
  </w:num>
  <w:num w:numId="16">
    <w:abstractNumId w:val="10"/>
  </w:num>
  <w:num w:numId="17">
    <w:abstractNumId w:val="5"/>
  </w:num>
  <w:num w:numId="18">
    <w:abstractNumId w:val="13"/>
  </w:num>
  <w:num w:numId="19">
    <w:abstractNumId w:val="9"/>
  </w:num>
  <w:num w:numId="20">
    <w:abstractNumId w:val="9"/>
  </w:num>
  <w:num w:numId="21">
    <w:abstractNumId w:val="9"/>
  </w:num>
  <w:num w:numId="22">
    <w:abstractNumId w:val="9"/>
  </w:num>
  <w:num w:numId="23">
    <w:abstractNumId w:val="6"/>
  </w:num>
  <w:num w:numId="24">
    <w:abstractNumId w:val="10"/>
  </w:num>
  <w:num w:numId="25">
    <w:abstractNumId w:val="9"/>
  </w:num>
  <w:num w:numId="26">
    <w:abstractNumId w:val="8"/>
  </w:num>
  <w:num w:numId="27">
    <w:abstractNumId w:val="10"/>
  </w:num>
  <w:num w:numId="28">
    <w:abstractNumId w:val="10"/>
  </w:num>
  <w:num w:numId="29">
    <w:abstractNumId w:val="10"/>
  </w:num>
  <w:num w:numId="30">
    <w:abstractNumId w:val="12"/>
  </w:num>
  <w:num w:numId="31">
    <w:abstractNumId w:val="15"/>
  </w:num>
  <w:num w:numId="32">
    <w:abstractNumId w:val="1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C8F"/>
    <w:rsid w:val="0000224D"/>
    <w:rsid w:val="00003382"/>
    <w:rsid w:val="0000620B"/>
    <w:rsid w:val="000202A0"/>
    <w:rsid w:val="00020C86"/>
    <w:rsid w:val="00030205"/>
    <w:rsid w:val="00033D2A"/>
    <w:rsid w:val="000373BB"/>
    <w:rsid w:val="00072937"/>
    <w:rsid w:val="00073318"/>
    <w:rsid w:val="00074F68"/>
    <w:rsid w:val="00092CC5"/>
    <w:rsid w:val="00093838"/>
    <w:rsid w:val="000C0780"/>
    <w:rsid w:val="000C19A2"/>
    <w:rsid w:val="000C1B23"/>
    <w:rsid w:val="000D531E"/>
    <w:rsid w:val="000F088C"/>
    <w:rsid w:val="000F6CAE"/>
    <w:rsid w:val="0011147B"/>
    <w:rsid w:val="00112ADA"/>
    <w:rsid w:val="00114BC7"/>
    <w:rsid w:val="00120147"/>
    <w:rsid w:val="001258E8"/>
    <w:rsid w:val="00133EF9"/>
    <w:rsid w:val="00141BD6"/>
    <w:rsid w:val="001428BD"/>
    <w:rsid w:val="00144814"/>
    <w:rsid w:val="00146099"/>
    <w:rsid w:val="00152A74"/>
    <w:rsid w:val="00154D35"/>
    <w:rsid w:val="00154F25"/>
    <w:rsid w:val="00157C10"/>
    <w:rsid w:val="00177C12"/>
    <w:rsid w:val="00182457"/>
    <w:rsid w:val="00186520"/>
    <w:rsid w:val="00186CB5"/>
    <w:rsid w:val="00193A65"/>
    <w:rsid w:val="00195C32"/>
    <w:rsid w:val="00196313"/>
    <w:rsid w:val="001A5A4A"/>
    <w:rsid w:val="001D1442"/>
    <w:rsid w:val="001D57D5"/>
    <w:rsid w:val="001E1932"/>
    <w:rsid w:val="001F17C8"/>
    <w:rsid w:val="001F4B10"/>
    <w:rsid w:val="001F6016"/>
    <w:rsid w:val="00214E0C"/>
    <w:rsid w:val="00230867"/>
    <w:rsid w:val="00240846"/>
    <w:rsid w:val="00244C5E"/>
    <w:rsid w:val="00246318"/>
    <w:rsid w:val="00247638"/>
    <w:rsid w:val="00262F26"/>
    <w:rsid w:val="002677A9"/>
    <w:rsid w:val="00274D3B"/>
    <w:rsid w:val="0028727E"/>
    <w:rsid w:val="00290D6C"/>
    <w:rsid w:val="0029631D"/>
    <w:rsid w:val="002A01FC"/>
    <w:rsid w:val="002B11DE"/>
    <w:rsid w:val="002C1871"/>
    <w:rsid w:val="002C2806"/>
    <w:rsid w:val="002C4209"/>
    <w:rsid w:val="002C45BB"/>
    <w:rsid w:val="002C4B2E"/>
    <w:rsid w:val="002D4C63"/>
    <w:rsid w:val="002E2564"/>
    <w:rsid w:val="002E7088"/>
    <w:rsid w:val="002F5C81"/>
    <w:rsid w:val="00312ABA"/>
    <w:rsid w:val="00321E47"/>
    <w:rsid w:val="00327FF2"/>
    <w:rsid w:val="00333420"/>
    <w:rsid w:val="0033673E"/>
    <w:rsid w:val="00346233"/>
    <w:rsid w:val="003503CC"/>
    <w:rsid w:val="00352054"/>
    <w:rsid w:val="003524E1"/>
    <w:rsid w:val="003554C4"/>
    <w:rsid w:val="003560EA"/>
    <w:rsid w:val="00364CF1"/>
    <w:rsid w:val="00381B68"/>
    <w:rsid w:val="00391F0E"/>
    <w:rsid w:val="00394BBD"/>
    <w:rsid w:val="003A196C"/>
    <w:rsid w:val="003A5E01"/>
    <w:rsid w:val="003A7CEB"/>
    <w:rsid w:val="003B0D49"/>
    <w:rsid w:val="003B178A"/>
    <w:rsid w:val="003C44FC"/>
    <w:rsid w:val="003D3D8D"/>
    <w:rsid w:val="003E2189"/>
    <w:rsid w:val="003F14C3"/>
    <w:rsid w:val="00401E4F"/>
    <w:rsid w:val="0040593E"/>
    <w:rsid w:val="00407811"/>
    <w:rsid w:val="004133EE"/>
    <w:rsid w:val="00425192"/>
    <w:rsid w:val="004458F9"/>
    <w:rsid w:val="00446C71"/>
    <w:rsid w:val="00454401"/>
    <w:rsid w:val="00461696"/>
    <w:rsid w:val="0046199B"/>
    <w:rsid w:val="0047760E"/>
    <w:rsid w:val="00493045"/>
    <w:rsid w:val="004A3147"/>
    <w:rsid w:val="004A64D1"/>
    <w:rsid w:val="004B524B"/>
    <w:rsid w:val="004B7BE8"/>
    <w:rsid w:val="004B7DC4"/>
    <w:rsid w:val="004C30B9"/>
    <w:rsid w:val="004C40ED"/>
    <w:rsid w:val="004E09DF"/>
    <w:rsid w:val="004E1FEB"/>
    <w:rsid w:val="004F558E"/>
    <w:rsid w:val="004F5EC4"/>
    <w:rsid w:val="00516417"/>
    <w:rsid w:val="00532A68"/>
    <w:rsid w:val="00533E30"/>
    <w:rsid w:val="0053578E"/>
    <w:rsid w:val="00535C46"/>
    <w:rsid w:val="005500AE"/>
    <w:rsid w:val="00550275"/>
    <w:rsid w:val="00552277"/>
    <w:rsid w:val="00553E4D"/>
    <w:rsid w:val="00567EA9"/>
    <w:rsid w:val="00576B36"/>
    <w:rsid w:val="005859A7"/>
    <w:rsid w:val="00587834"/>
    <w:rsid w:val="00596B6D"/>
    <w:rsid w:val="00596F4F"/>
    <w:rsid w:val="005A0312"/>
    <w:rsid w:val="005A57E9"/>
    <w:rsid w:val="005C351C"/>
    <w:rsid w:val="005C6900"/>
    <w:rsid w:val="005D3D3C"/>
    <w:rsid w:val="005D5FBA"/>
    <w:rsid w:val="005E3D2C"/>
    <w:rsid w:val="005E4FB3"/>
    <w:rsid w:val="005F3639"/>
    <w:rsid w:val="00603687"/>
    <w:rsid w:val="00606FAF"/>
    <w:rsid w:val="00627945"/>
    <w:rsid w:val="00630CF5"/>
    <w:rsid w:val="00631FBC"/>
    <w:rsid w:val="006325CA"/>
    <w:rsid w:val="00652897"/>
    <w:rsid w:val="006550F3"/>
    <w:rsid w:val="00656725"/>
    <w:rsid w:val="00663CE9"/>
    <w:rsid w:val="0067406B"/>
    <w:rsid w:val="006774BE"/>
    <w:rsid w:val="00692D8F"/>
    <w:rsid w:val="006B0EF8"/>
    <w:rsid w:val="006B13F5"/>
    <w:rsid w:val="006B6256"/>
    <w:rsid w:val="006C516B"/>
    <w:rsid w:val="006D19FD"/>
    <w:rsid w:val="006D53EA"/>
    <w:rsid w:val="006E26C1"/>
    <w:rsid w:val="006F032E"/>
    <w:rsid w:val="006F6F08"/>
    <w:rsid w:val="0070006F"/>
    <w:rsid w:val="00700564"/>
    <w:rsid w:val="007327BD"/>
    <w:rsid w:val="00735876"/>
    <w:rsid w:val="007362CA"/>
    <w:rsid w:val="00740EAB"/>
    <w:rsid w:val="0074444A"/>
    <w:rsid w:val="00747035"/>
    <w:rsid w:val="00764299"/>
    <w:rsid w:val="00766364"/>
    <w:rsid w:val="00774C64"/>
    <w:rsid w:val="007775D1"/>
    <w:rsid w:val="007A4D3C"/>
    <w:rsid w:val="007A5FF2"/>
    <w:rsid w:val="007C2EA1"/>
    <w:rsid w:val="007D54D1"/>
    <w:rsid w:val="007D5C49"/>
    <w:rsid w:val="007E0816"/>
    <w:rsid w:val="007E3FF9"/>
    <w:rsid w:val="007F5D9A"/>
    <w:rsid w:val="00810B40"/>
    <w:rsid w:val="00814B71"/>
    <w:rsid w:val="008259C3"/>
    <w:rsid w:val="008473F8"/>
    <w:rsid w:val="008475D8"/>
    <w:rsid w:val="0086090C"/>
    <w:rsid w:val="00861D0B"/>
    <w:rsid w:val="0086242B"/>
    <w:rsid w:val="00873833"/>
    <w:rsid w:val="0087739A"/>
    <w:rsid w:val="00887DC8"/>
    <w:rsid w:val="00897FD6"/>
    <w:rsid w:val="008A040F"/>
    <w:rsid w:val="008A296C"/>
    <w:rsid w:val="008B4F01"/>
    <w:rsid w:val="008B6286"/>
    <w:rsid w:val="008C724F"/>
    <w:rsid w:val="008D5478"/>
    <w:rsid w:val="00905443"/>
    <w:rsid w:val="009712D3"/>
    <w:rsid w:val="009752D7"/>
    <w:rsid w:val="00980123"/>
    <w:rsid w:val="00985D4A"/>
    <w:rsid w:val="0099412E"/>
    <w:rsid w:val="009A168C"/>
    <w:rsid w:val="009A7647"/>
    <w:rsid w:val="009B02E4"/>
    <w:rsid w:val="009B2491"/>
    <w:rsid w:val="009C37A6"/>
    <w:rsid w:val="009D029C"/>
    <w:rsid w:val="009D54F0"/>
    <w:rsid w:val="009F38AB"/>
    <w:rsid w:val="009F50CE"/>
    <w:rsid w:val="00A019D6"/>
    <w:rsid w:val="00A04BD0"/>
    <w:rsid w:val="00A07DE5"/>
    <w:rsid w:val="00A109B5"/>
    <w:rsid w:val="00A15099"/>
    <w:rsid w:val="00A32A92"/>
    <w:rsid w:val="00A3424B"/>
    <w:rsid w:val="00A43E83"/>
    <w:rsid w:val="00A52588"/>
    <w:rsid w:val="00A53576"/>
    <w:rsid w:val="00A54FF4"/>
    <w:rsid w:val="00A55DFD"/>
    <w:rsid w:val="00A6165D"/>
    <w:rsid w:val="00A77C16"/>
    <w:rsid w:val="00A92215"/>
    <w:rsid w:val="00AA28C0"/>
    <w:rsid w:val="00AC25A8"/>
    <w:rsid w:val="00AC34B3"/>
    <w:rsid w:val="00AD18D2"/>
    <w:rsid w:val="00AD1D7F"/>
    <w:rsid w:val="00AD1F5C"/>
    <w:rsid w:val="00AD27C4"/>
    <w:rsid w:val="00AD4052"/>
    <w:rsid w:val="00AF2A7A"/>
    <w:rsid w:val="00B026B5"/>
    <w:rsid w:val="00B05388"/>
    <w:rsid w:val="00B1448E"/>
    <w:rsid w:val="00B23417"/>
    <w:rsid w:val="00B25CB8"/>
    <w:rsid w:val="00B42677"/>
    <w:rsid w:val="00B63C5A"/>
    <w:rsid w:val="00B7125C"/>
    <w:rsid w:val="00B846D4"/>
    <w:rsid w:val="00B87568"/>
    <w:rsid w:val="00B87FD5"/>
    <w:rsid w:val="00B90B9A"/>
    <w:rsid w:val="00B9551E"/>
    <w:rsid w:val="00B96C83"/>
    <w:rsid w:val="00BA6A05"/>
    <w:rsid w:val="00BA7EF9"/>
    <w:rsid w:val="00BB2B70"/>
    <w:rsid w:val="00BC0E08"/>
    <w:rsid w:val="00BC76C2"/>
    <w:rsid w:val="00BD619F"/>
    <w:rsid w:val="00BD7F86"/>
    <w:rsid w:val="00BE1310"/>
    <w:rsid w:val="00BE132E"/>
    <w:rsid w:val="00BE62C5"/>
    <w:rsid w:val="00BF4215"/>
    <w:rsid w:val="00C04F4C"/>
    <w:rsid w:val="00C254C2"/>
    <w:rsid w:val="00C53E81"/>
    <w:rsid w:val="00C72ACA"/>
    <w:rsid w:val="00C76AB9"/>
    <w:rsid w:val="00C8797A"/>
    <w:rsid w:val="00C96ACC"/>
    <w:rsid w:val="00C9790B"/>
    <w:rsid w:val="00CA023A"/>
    <w:rsid w:val="00CB07F3"/>
    <w:rsid w:val="00CB3239"/>
    <w:rsid w:val="00CC34D4"/>
    <w:rsid w:val="00CD772A"/>
    <w:rsid w:val="00CF351A"/>
    <w:rsid w:val="00CF51B3"/>
    <w:rsid w:val="00D00562"/>
    <w:rsid w:val="00D05459"/>
    <w:rsid w:val="00D05D67"/>
    <w:rsid w:val="00D2308A"/>
    <w:rsid w:val="00D2552C"/>
    <w:rsid w:val="00D30339"/>
    <w:rsid w:val="00D3104F"/>
    <w:rsid w:val="00D32FC9"/>
    <w:rsid w:val="00D43300"/>
    <w:rsid w:val="00D52EAF"/>
    <w:rsid w:val="00D54435"/>
    <w:rsid w:val="00D66514"/>
    <w:rsid w:val="00D72F3F"/>
    <w:rsid w:val="00D90BE5"/>
    <w:rsid w:val="00DA6A1B"/>
    <w:rsid w:val="00DB5879"/>
    <w:rsid w:val="00DC1B9E"/>
    <w:rsid w:val="00DD7D17"/>
    <w:rsid w:val="00DE3D19"/>
    <w:rsid w:val="00DF0263"/>
    <w:rsid w:val="00DF1257"/>
    <w:rsid w:val="00E03942"/>
    <w:rsid w:val="00E0594E"/>
    <w:rsid w:val="00E115F9"/>
    <w:rsid w:val="00E26E85"/>
    <w:rsid w:val="00E27339"/>
    <w:rsid w:val="00E3524E"/>
    <w:rsid w:val="00E376CF"/>
    <w:rsid w:val="00E4279E"/>
    <w:rsid w:val="00E42A6B"/>
    <w:rsid w:val="00E437C3"/>
    <w:rsid w:val="00E62CFE"/>
    <w:rsid w:val="00E7212D"/>
    <w:rsid w:val="00E7512C"/>
    <w:rsid w:val="00E77623"/>
    <w:rsid w:val="00E8202E"/>
    <w:rsid w:val="00E83C2C"/>
    <w:rsid w:val="00E95F3D"/>
    <w:rsid w:val="00EC2356"/>
    <w:rsid w:val="00ED2469"/>
    <w:rsid w:val="00EE2229"/>
    <w:rsid w:val="00EF1535"/>
    <w:rsid w:val="00EF40FF"/>
    <w:rsid w:val="00F0084F"/>
    <w:rsid w:val="00F14C8F"/>
    <w:rsid w:val="00F176BC"/>
    <w:rsid w:val="00F25F2E"/>
    <w:rsid w:val="00F269B1"/>
    <w:rsid w:val="00F5035E"/>
    <w:rsid w:val="00F5295D"/>
    <w:rsid w:val="00F73A2C"/>
    <w:rsid w:val="00F906C6"/>
    <w:rsid w:val="00FA1A21"/>
    <w:rsid w:val="00FA738C"/>
    <w:rsid w:val="00FD6F39"/>
    <w:rsid w:val="00FE1D6E"/>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53578E"/>
    <w:pPr>
      <w:keepNext/>
      <w:keepLines/>
      <w:numPr>
        <w:numId w:val="14"/>
      </w:numPr>
      <w:spacing w:after="240" w:line="240" w:lineRule="auto"/>
      <w:outlineLvl w:val="0"/>
    </w:pPr>
    <w:rPr>
      <w:rFonts w:ascii="Times New Roman" w:hAnsi="Times New Roman" w:eastAsiaTheme="majorEastAsia" w:cs="Times New Roman"/>
      <w:b/>
      <w:caps/>
      <w:sz w:val="24"/>
      <w:szCs w:val="24"/>
    </w:rPr>
  </w:style>
  <w:style w:type="paragraph" w:styleId="Heading2">
    <w:name w:val="heading 2"/>
    <w:basedOn w:val="Normal"/>
    <w:next w:val="Normal"/>
    <w:link w:val="Heading2Char"/>
    <w:autoRedefine/>
    <w:unhideWhenUsed/>
    <w:qFormat/>
    <w:rsid w:val="00C254C2"/>
    <w:pPr>
      <w:keepNext/>
      <w:keepLines/>
      <w:numPr>
        <w:numId w:val="2"/>
      </w:numPr>
      <w:spacing w:after="240" w:line="240" w:lineRule="auto"/>
      <w:ind w:left="720" w:firstLine="0"/>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autoRedefine/>
    <w:uiPriority w:val="9"/>
    <w:unhideWhenUsed/>
    <w:qFormat/>
    <w:rsid w:val="00C254C2"/>
    <w:pPr>
      <w:keepNext/>
      <w:keepLines/>
      <w:spacing w:after="240" w:line="240" w:lineRule="auto"/>
      <w:ind w:left="1440" w:right="720" w:hanging="720"/>
      <w:outlineLvl w:val="2"/>
    </w:pPr>
    <w:rPr>
      <w:rFonts w:ascii="Times New Roman" w:hAnsi="Times New Roman" w:eastAsiaTheme="majorEastAsia" w:cstheme="majorBidi"/>
      <w:b/>
      <w:sz w:val="24"/>
      <w:szCs w:val="24"/>
    </w:rPr>
  </w:style>
  <w:style w:type="paragraph" w:styleId="Heading4">
    <w:name w:val="heading 4"/>
    <w:basedOn w:val="Normal"/>
    <w:next w:val="Normal"/>
    <w:link w:val="Heading4Char"/>
    <w:autoRedefine/>
    <w:uiPriority w:val="9"/>
    <w:unhideWhenUsed/>
    <w:qFormat/>
    <w:rsid w:val="00313E6B"/>
    <w:pPr>
      <w:keepNext/>
      <w:keepLines/>
      <w:spacing w:after="240" w:line="240" w:lineRule="auto"/>
      <w:ind w:left="2880" w:right="720" w:hanging="720"/>
      <w:outlineLvl w:val="3"/>
    </w:pPr>
    <w:rPr>
      <w:rFonts w:ascii="Times New Roman" w:hAnsi="Times New Roman" w:eastAsiaTheme="majorEastAsia" w:cs="Times New Roman"/>
      <w:b/>
      <w:iCs/>
      <w:sz w:val="24"/>
    </w:rPr>
  </w:style>
  <w:style w:type="paragraph" w:styleId="Heading5">
    <w:name w:val="heading 5"/>
    <w:basedOn w:val="Normal"/>
    <w:next w:val="Normal"/>
    <w:link w:val="Heading5Char"/>
    <w:autoRedefine/>
    <w:uiPriority w:val="9"/>
    <w:unhideWhenUsed/>
    <w:qFormat/>
    <w:rsid w:val="00517C65"/>
    <w:pPr>
      <w:keepNext/>
      <w:keepLines/>
      <w:spacing w:after="240" w:line="240" w:lineRule="auto"/>
      <w:ind w:left="3600" w:right="720" w:hanging="720"/>
      <w:outlineLvl w:val="4"/>
    </w:pPr>
    <w:rPr>
      <w:rFonts w:ascii="Times New Roman" w:hAnsi="Times New Roman"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rsid w:val="007C6BDC"/>
    <w:pPr>
      <w:spacing w:after="0" w:line="240" w:lineRule="auto"/>
    </w:pPr>
    <w:rPr>
      <w:rFonts w:ascii="Times New Roman" w:hAnsi="Times New Roman"/>
      <w:sz w:val="20"/>
      <w:szCs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uiPriority w:val="99"/>
    <w:rsid w:val="007C6BDC"/>
    <w:rPr>
      <w:rFonts w:ascii="Times New Roman" w:hAnsi="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nhideWhenUsed/>
    <w:qFormat/>
    <w:rsid w:val="00D62829"/>
    <w:rPr>
      <w:vertAlign w:val="superscript"/>
    </w:rPr>
  </w:style>
  <w:style w:type="paragraph" w:styleId="Header">
    <w:name w:val="header"/>
    <w:basedOn w:val="Normal"/>
    <w:link w:val="HeaderChar"/>
    <w:uiPriority w:val="99"/>
    <w:unhideWhenUsed/>
    <w:rsid w:val="00BC5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06F"/>
  </w:style>
  <w:style w:type="paragraph" w:styleId="Footer">
    <w:name w:val="footer"/>
    <w:basedOn w:val="Normal"/>
    <w:link w:val="FooterChar"/>
    <w:uiPriority w:val="99"/>
    <w:unhideWhenUsed/>
    <w:rsid w:val="00BC5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06F"/>
  </w:style>
  <w:style w:type="character" w:styleId="Hyperlink">
    <w:name w:val="Hyperlink"/>
    <w:basedOn w:val="DefaultParagraphFont"/>
    <w:uiPriority w:val="99"/>
    <w:unhideWhenUsed/>
    <w:rsid w:val="00E7794B"/>
    <w:rPr>
      <w:color w:val="0077CC"/>
      <w:u w:val="single"/>
    </w:rPr>
  </w:style>
  <w:style w:type="character" w:customStyle="1" w:styleId="ssrfcpassagedeactivated">
    <w:name w:val="ss_rfcpassage_deactivated"/>
    <w:basedOn w:val="DefaultParagraphFont"/>
    <w:rsid w:val="00E7794B"/>
  </w:style>
  <w:style w:type="character" w:customStyle="1" w:styleId="ssit1">
    <w:name w:val="ss_it1"/>
    <w:basedOn w:val="DefaultParagraphFont"/>
    <w:rsid w:val="00E7794B"/>
    <w:rPr>
      <w:i/>
      <w:iCs/>
    </w:rPr>
  </w:style>
  <w:style w:type="character" w:customStyle="1" w:styleId="ssib1">
    <w:name w:val="ss_ib1"/>
    <w:basedOn w:val="DefaultParagraphFont"/>
    <w:rsid w:val="00E7794B"/>
    <w:rPr>
      <w:b/>
      <w:bCs/>
      <w:i/>
      <w:iCs/>
    </w:rPr>
  </w:style>
  <w:style w:type="paragraph" w:styleId="BalloonText">
    <w:name w:val="Balloon Text"/>
    <w:basedOn w:val="Normal"/>
    <w:link w:val="BalloonTextChar"/>
    <w:uiPriority w:val="99"/>
    <w:semiHidden/>
    <w:unhideWhenUsed/>
    <w:rsid w:val="00E77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94B"/>
    <w:rPr>
      <w:rFonts w:ascii="Tahoma" w:hAnsi="Tahoma" w:cs="Tahoma"/>
      <w:sz w:val="16"/>
      <w:szCs w:val="16"/>
    </w:rPr>
  </w:style>
  <w:style w:type="character" w:customStyle="1" w:styleId="Heading2Char">
    <w:name w:val="Heading 2 Char"/>
    <w:basedOn w:val="DefaultParagraphFont"/>
    <w:link w:val="Heading2"/>
    <w:rsid w:val="00C254C2"/>
    <w:rPr>
      <w:rFonts w:ascii="Times New Roman" w:eastAsia="Times New Roman" w:hAnsi="Times New Roman" w:cs="Times New Roman"/>
      <w:b/>
      <w:bCs/>
      <w:sz w:val="24"/>
      <w:szCs w:val="24"/>
    </w:rPr>
  </w:style>
  <w:style w:type="paragraph" w:styleId="ListParagraph">
    <w:name w:val="List Paragraph"/>
    <w:basedOn w:val="Normal"/>
    <w:uiPriority w:val="34"/>
    <w:qFormat/>
    <w:rsid w:val="009B2909"/>
    <w:pPr>
      <w:ind w:left="720"/>
      <w:contextualSpacing/>
    </w:pPr>
  </w:style>
  <w:style w:type="character" w:styleId="CommentReference">
    <w:name w:val="annotation reference"/>
    <w:basedOn w:val="DefaultParagraphFont"/>
    <w:uiPriority w:val="99"/>
    <w:semiHidden/>
    <w:unhideWhenUsed/>
    <w:rsid w:val="00775C0C"/>
    <w:rPr>
      <w:sz w:val="16"/>
      <w:szCs w:val="16"/>
    </w:rPr>
  </w:style>
  <w:style w:type="paragraph" w:styleId="CommentText">
    <w:name w:val="annotation text"/>
    <w:basedOn w:val="Normal"/>
    <w:link w:val="CommentTextChar"/>
    <w:unhideWhenUsed/>
    <w:rsid w:val="00775C0C"/>
    <w:pPr>
      <w:spacing w:line="240" w:lineRule="auto"/>
    </w:pPr>
    <w:rPr>
      <w:sz w:val="20"/>
      <w:szCs w:val="20"/>
    </w:rPr>
  </w:style>
  <w:style w:type="character" w:customStyle="1" w:styleId="CommentTextChar">
    <w:name w:val="Comment Text Char"/>
    <w:basedOn w:val="DefaultParagraphFont"/>
    <w:link w:val="CommentText"/>
    <w:rsid w:val="00775C0C"/>
    <w:rPr>
      <w:sz w:val="20"/>
      <w:szCs w:val="20"/>
    </w:rPr>
  </w:style>
  <w:style w:type="paragraph" w:styleId="CommentSubject">
    <w:name w:val="annotation subject"/>
    <w:basedOn w:val="CommentText"/>
    <w:next w:val="CommentText"/>
    <w:link w:val="CommentSubjectChar"/>
    <w:semiHidden/>
    <w:unhideWhenUsed/>
    <w:rsid w:val="00B81C2C"/>
    <w:rPr>
      <w:b/>
      <w:bCs/>
    </w:rPr>
  </w:style>
  <w:style w:type="character" w:customStyle="1" w:styleId="CommentSubjectChar">
    <w:name w:val="Comment Subject Char"/>
    <w:basedOn w:val="CommentTextChar"/>
    <w:link w:val="CommentSubject"/>
    <w:uiPriority w:val="99"/>
    <w:semiHidden/>
    <w:rsid w:val="00B81C2C"/>
    <w:rPr>
      <w:b/>
      <w:bCs/>
      <w:sz w:val="20"/>
      <w:szCs w:val="20"/>
    </w:rPr>
  </w:style>
  <w:style w:type="character" w:customStyle="1" w:styleId="ssleftalign">
    <w:name w:val="ss_leftalign"/>
    <w:basedOn w:val="DefaultParagraphFont"/>
    <w:rsid w:val="00F1475E"/>
  </w:style>
  <w:style w:type="character" w:customStyle="1" w:styleId="sssh">
    <w:name w:val="ss_sh"/>
    <w:basedOn w:val="DefaultParagraphFont"/>
    <w:rsid w:val="00F1475E"/>
  </w:style>
  <w:style w:type="character" w:customStyle="1" w:styleId="ssib">
    <w:name w:val="ss_ib"/>
    <w:basedOn w:val="DefaultParagraphFont"/>
    <w:rsid w:val="00F1475E"/>
  </w:style>
  <w:style w:type="character" w:customStyle="1" w:styleId="ssit">
    <w:name w:val="ss_it"/>
    <w:basedOn w:val="DefaultParagraphFont"/>
    <w:rsid w:val="00F1475E"/>
  </w:style>
  <w:style w:type="table" w:styleId="TableGrid">
    <w:name w:val="Table Grid"/>
    <w:basedOn w:val="TableNormal"/>
    <w:rsid w:val="00C864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3578E"/>
    <w:rPr>
      <w:rFonts w:ascii="Times New Roman" w:hAnsi="Times New Roman" w:eastAsiaTheme="majorEastAsia" w:cs="Times New Roman"/>
      <w:b/>
      <w:caps/>
      <w:sz w:val="24"/>
      <w:szCs w:val="24"/>
    </w:rPr>
  </w:style>
  <w:style w:type="character" w:customStyle="1" w:styleId="Heading3Char">
    <w:name w:val="Heading 3 Char"/>
    <w:basedOn w:val="DefaultParagraphFont"/>
    <w:link w:val="Heading3"/>
    <w:uiPriority w:val="9"/>
    <w:rsid w:val="00C254C2"/>
    <w:rPr>
      <w:rFonts w:ascii="Times New Roman" w:hAnsi="Times New Roman" w:eastAsiaTheme="majorEastAsia" w:cstheme="majorBidi"/>
      <w:b/>
      <w:sz w:val="24"/>
      <w:szCs w:val="24"/>
    </w:rPr>
  </w:style>
  <w:style w:type="character" w:customStyle="1" w:styleId="Heading4Char">
    <w:name w:val="Heading 4 Char"/>
    <w:basedOn w:val="DefaultParagraphFont"/>
    <w:link w:val="Heading4"/>
    <w:uiPriority w:val="9"/>
    <w:rsid w:val="00313E6B"/>
    <w:rPr>
      <w:rFonts w:ascii="Times New Roman" w:hAnsi="Times New Roman" w:eastAsiaTheme="majorEastAsia" w:cs="Times New Roman"/>
      <w:b/>
      <w:iCs/>
      <w:sz w:val="24"/>
    </w:rPr>
  </w:style>
  <w:style w:type="paragraph" w:styleId="TOC1">
    <w:name w:val="toc 1"/>
    <w:basedOn w:val="Normal"/>
    <w:next w:val="Normal"/>
    <w:autoRedefine/>
    <w:uiPriority w:val="39"/>
    <w:unhideWhenUsed/>
    <w:qFormat/>
    <w:rsid w:val="004A64D1"/>
    <w:pPr>
      <w:tabs>
        <w:tab w:val="decimal" w:leader="dot" w:pos="8640"/>
      </w:tabs>
      <w:spacing w:after="240" w:line="240" w:lineRule="auto"/>
      <w:ind w:left="720" w:hanging="720"/>
    </w:pPr>
    <w:rPr>
      <w:rFonts w:ascii="Times New Roman" w:hAnsi="Times New Roman"/>
      <w:sz w:val="24"/>
    </w:rPr>
  </w:style>
  <w:style w:type="paragraph" w:styleId="TOC2">
    <w:name w:val="toc 2"/>
    <w:basedOn w:val="Normal"/>
    <w:next w:val="Normal"/>
    <w:autoRedefine/>
    <w:uiPriority w:val="39"/>
    <w:unhideWhenUsed/>
    <w:qFormat/>
    <w:rsid w:val="004A64D1"/>
    <w:pPr>
      <w:tabs>
        <w:tab w:val="decimal" w:leader="dot" w:pos="8640"/>
      </w:tabs>
      <w:spacing w:after="240" w:line="240" w:lineRule="auto"/>
      <w:ind w:left="720"/>
    </w:pPr>
    <w:rPr>
      <w:rFonts w:ascii="Times New Roman" w:hAnsi="Times New Roman"/>
      <w:sz w:val="24"/>
    </w:rPr>
  </w:style>
  <w:style w:type="paragraph" w:styleId="TOC3">
    <w:name w:val="toc 3"/>
    <w:basedOn w:val="Normal"/>
    <w:next w:val="Normal"/>
    <w:autoRedefine/>
    <w:uiPriority w:val="39"/>
    <w:unhideWhenUsed/>
    <w:qFormat/>
    <w:rsid w:val="004A64D1"/>
    <w:pPr>
      <w:tabs>
        <w:tab w:val="decimal" w:leader="dot" w:pos="8640"/>
      </w:tabs>
      <w:spacing w:after="240" w:line="240" w:lineRule="auto"/>
      <w:ind w:left="1440" w:hanging="720"/>
    </w:pPr>
    <w:rPr>
      <w:rFonts w:ascii="Times New Roman" w:hAnsi="Times New Roman"/>
      <w:sz w:val="24"/>
    </w:rPr>
  </w:style>
  <w:style w:type="paragraph" w:styleId="TOC4">
    <w:name w:val="toc 4"/>
    <w:basedOn w:val="Normal"/>
    <w:next w:val="Normal"/>
    <w:autoRedefine/>
    <w:uiPriority w:val="39"/>
    <w:unhideWhenUsed/>
    <w:rsid w:val="00CD3492"/>
    <w:pPr>
      <w:spacing w:after="240" w:line="240" w:lineRule="auto"/>
      <w:ind w:left="2880" w:hanging="720"/>
    </w:pPr>
    <w:rPr>
      <w:rFonts w:ascii="Times New Roman" w:hAnsi="Times New Roman"/>
      <w:sz w:val="24"/>
    </w:rPr>
  </w:style>
  <w:style w:type="character" w:customStyle="1" w:styleId="Heading5Char">
    <w:name w:val="Heading 5 Char"/>
    <w:basedOn w:val="DefaultParagraphFont"/>
    <w:link w:val="Heading5"/>
    <w:uiPriority w:val="9"/>
    <w:rsid w:val="00517C65"/>
    <w:rPr>
      <w:rFonts w:ascii="Times New Roman" w:hAnsi="Times New Roman" w:eastAsiaTheme="majorEastAsia" w:cstheme="majorBidi"/>
      <w:b/>
      <w:sz w:val="24"/>
    </w:rPr>
  </w:style>
  <w:style w:type="character" w:customStyle="1" w:styleId="FootnoteTextChar3">
    <w:name w:val="Footnote Text Char3"/>
    <w:aliases w:val="ALTS FOOTNOTE Char1,Footnote Text Char Char Char Char Char1,Footnote Text Char1 Char Char1 Char Char Char Char1,Footnote Text Char1 Char Char1 Char1"/>
    <w:uiPriority w:val="99"/>
    <w:locked/>
    <w:rsid w:val="00C10DB0"/>
  </w:style>
  <w:style w:type="paragraph" w:styleId="HTMLPreformatted">
    <w:name w:val="HTML Preformatted"/>
    <w:basedOn w:val="Normal"/>
    <w:link w:val="HTMLPreformattedChar"/>
    <w:rsid w:val="00945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45974"/>
    <w:rPr>
      <w:rFonts w:ascii="Courier New" w:eastAsia="Courier New" w:hAnsi="Courier New" w:cs="Courier New"/>
      <w:sz w:val="20"/>
      <w:szCs w:val="20"/>
    </w:rPr>
  </w:style>
  <w:style w:type="character" w:customStyle="1" w:styleId="UnresolvedMention1">
    <w:name w:val="Unresolved Mention1"/>
    <w:basedOn w:val="DefaultParagraphFont"/>
    <w:uiPriority w:val="99"/>
    <w:semiHidden/>
    <w:unhideWhenUsed/>
    <w:rsid w:val="00945974"/>
    <w:rPr>
      <w:color w:val="605E5C"/>
      <w:shd w:val="clear" w:color="auto" w:fill="E1DFDD"/>
    </w:rPr>
  </w:style>
  <w:style w:type="paragraph" w:styleId="BodyTextIndent3">
    <w:name w:val="Body Text Indent 3"/>
    <w:basedOn w:val="Normal"/>
    <w:link w:val="BodyTextIndent3Char"/>
    <w:rsid w:val="00945974"/>
    <w:pPr>
      <w:spacing w:after="0" w:line="480" w:lineRule="atLeast"/>
      <w:ind w:firstLine="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945974"/>
    <w:rPr>
      <w:rFonts w:ascii="Times New Roman" w:eastAsia="Times New Roman" w:hAnsi="Times New Roman" w:cs="Times New Roman"/>
      <w:sz w:val="24"/>
      <w:szCs w:val="20"/>
    </w:rPr>
  </w:style>
  <w:style w:type="paragraph" w:styleId="EndnoteText">
    <w:name w:val="endnote text"/>
    <w:basedOn w:val="Normal"/>
    <w:link w:val="EndnoteTextChar"/>
    <w:uiPriority w:val="99"/>
    <w:unhideWhenUsed/>
    <w:rsid w:val="00C96ACC"/>
    <w:pPr>
      <w:spacing w:after="0" w:line="240" w:lineRule="auto"/>
    </w:pPr>
    <w:rPr>
      <w:sz w:val="20"/>
      <w:szCs w:val="20"/>
    </w:rPr>
  </w:style>
  <w:style w:type="character" w:customStyle="1" w:styleId="EndnoteTextChar">
    <w:name w:val="Endnote Text Char"/>
    <w:basedOn w:val="DefaultParagraphFont"/>
    <w:link w:val="EndnoteText"/>
    <w:uiPriority w:val="99"/>
    <w:rsid w:val="00C96ACC"/>
    <w:rPr>
      <w:sz w:val="20"/>
      <w:szCs w:val="20"/>
    </w:rPr>
  </w:style>
  <w:style w:type="character" w:styleId="EndnoteReference">
    <w:name w:val="endnote reference"/>
    <w:basedOn w:val="DefaultParagraphFont"/>
    <w:uiPriority w:val="99"/>
    <w:semiHidden/>
    <w:unhideWhenUsed/>
    <w:rsid w:val="00C96ACC"/>
    <w:rPr>
      <w:vertAlign w:val="superscript"/>
    </w:rPr>
  </w:style>
  <w:style w:type="character" w:customStyle="1" w:styleId="UnresolvedMention2">
    <w:name w:val="Unresolved Mention2"/>
    <w:basedOn w:val="DefaultParagraphFont"/>
    <w:uiPriority w:val="99"/>
    <w:rsid w:val="00AD4052"/>
    <w:rPr>
      <w:color w:val="605E5C"/>
      <w:shd w:val="clear" w:color="auto" w:fill="E1DFDD"/>
    </w:rPr>
  </w:style>
  <w:style w:type="character" w:customStyle="1" w:styleId="UnresolvedMention3">
    <w:name w:val="Unresolved Mention3"/>
    <w:basedOn w:val="DefaultParagraphFont"/>
    <w:uiPriority w:val="99"/>
    <w:semiHidden/>
    <w:unhideWhenUsed/>
    <w:rsid w:val="00FA1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header" Target="header3.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4.xml" /><Relationship Id="rId16" Type="http://schemas.openxmlformats.org/officeDocument/2006/relationships/footer" Target="footer6.xml" /><Relationship Id="rId17" Type="http://schemas.openxmlformats.org/officeDocument/2006/relationships/header" Target="header5.xml" /><Relationship Id="rId18" Type="http://schemas.openxmlformats.org/officeDocument/2006/relationships/header" Target="header6.xml" /><Relationship Id="rId19" Type="http://schemas.openxmlformats.org/officeDocument/2006/relationships/hyperlink" Target="mailto:John.jones@ohioattorneygeneral.gov" TargetMode="External" /><Relationship Id="rId2" Type="http://schemas.openxmlformats.org/officeDocument/2006/relationships/settings" Target="settings.xml" /><Relationship Id="rId20" Type="http://schemas.openxmlformats.org/officeDocument/2006/relationships/hyperlink" Target="mailto:Rocco.dascenzo@duke-energy.com" TargetMode="External" /><Relationship Id="rId21" Type="http://schemas.openxmlformats.org/officeDocument/2006/relationships/hyperlink" Target="mailto:Jeanne.kingery@duke-energy.com" TargetMode="External" /><Relationship Id="rId22" Type="http://schemas.openxmlformats.org/officeDocument/2006/relationships/hyperlink" Target="mailto:Larisa.vaysman@duke-energy.com" TargetMode="External" /><Relationship Id="rId23" Type="http://schemas.openxmlformats.org/officeDocument/2006/relationships/hyperlink" Target="mailto:James.lynn@puco.ohio.gov" TargetMode="External" /><Relationship Id="rId24" Type="http://schemas.openxmlformats.org/officeDocument/2006/relationships/hyperlink" Target="mailto:stnourse@aep.com" TargetMode="External" /><Relationship Id="rId25" Type="http://schemas.openxmlformats.org/officeDocument/2006/relationships/hyperlink" Target="mailto:rendris@firstenergycorp.com" TargetMode="External" /><Relationship Id="rId26" Type="http://schemas.openxmlformats.org/officeDocument/2006/relationships/hyperlink" Target="mailto:michael.schuler@aes.com" TargetMode="External" /><Relationship Id="rId27" Type="http://schemas.openxmlformats.org/officeDocument/2006/relationships/hyperlink" Target="mailto:trhayslaw@gmail.com" TargetMode="External" /><Relationship Id="rId28" Type="http://schemas.openxmlformats.org/officeDocument/2006/relationships/hyperlink" Target="mailto:LeslieKovacik@toledo.oh.gov" TargetMode="External" /><Relationship Id="rId29" Type="http://schemas.openxmlformats.org/officeDocument/2006/relationships/header" Target="header7.xml" /><Relationship Id="rId3" Type="http://schemas.openxmlformats.org/officeDocument/2006/relationships/webSettings" Target="webSettings.xml" /><Relationship Id="rId30" Type="http://schemas.openxmlformats.org/officeDocument/2006/relationships/footer" Target="footer7.xml" /><Relationship Id="rId31" Type="http://schemas.openxmlformats.org/officeDocument/2006/relationships/theme" Target="theme/theme1.xml" /><Relationship Id="rId32" Type="http://schemas.openxmlformats.org/officeDocument/2006/relationships/numbering" Target="numbering.xml" /><Relationship Id="rId33"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footer" Target="footer1.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68128-CBE9-4993-A534-0FD0FA7D5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3040</Words>
  <Characters>17332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2020-07-06T21:04:26Z</dcterms:created>
  <dcterms:modified xsi:type="dcterms:W3CDTF">2020-07-06T21:04:26Z</dcterms:modified>
</cp:coreProperties>
</file>