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rPr>
          <w:sz w:val="28"/>
          <w:szCs w:val="28"/>
        </w:rPr>
      </w:pPr>
      <w:bookmarkStart w:id="0" w:name="OLE_LINK1"/>
      <w:bookmarkStart w:id="1" w:name="OLE_LINK2"/>
      <w:r>
        <w:rPr>
          <w:sz w:val="28"/>
          <w:szCs w:val="28"/>
        </w:rPr>
        <w:t>Before</w:t>
      </w:r>
    </w:p>
    <w:p>
      <w:pPr>
        <w:jc w:val="center"/>
        <w:rPr>
          <w:b/>
          <w:smallCaps/>
          <w:sz w:val="28"/>
          <w:szCs w:val="28"/>
        </w:rPr>
      </w:pPr>
      <w:r>
        <w:rPr>
          <w:b/>
          <w:smallCaps/>
          <w:sz w:val="28"/>
          <w:szCs w:val="28"/>
        </w:rPr>
        <w:t>The Public Utilities Commission of Ohio</w:t>
      </w:r>
    </w:p>
    <w:p>
      <w:pPr>
        <w:pStyle w:val="BodyText"/>
        <w:tabs>
          <w:tab w:val="left" w:pos="5310"/>
        </w:tabs>
      </w:pPr>
      <w:r>
        <w:t>In the Matter of the Application of Ohio Edison</w:t>
      </w:r>
      <w:r>
        <w:tab/>
        <w:t>)</w:t>
      </w:r>
    </w:p>
    <w:p>
      <w:pPr>
        <w:pStyle w:val="BodyText"/>
        <w:tabs>
          <w:tab w:val="left" w:pos="5310"/>
          <w:tab w:val="left" w:pos="5760"/>
          <w:tab w:val="left" w:pos="7020"/>
        </w:tabs>
      </w:pPr>
      <w:r>
        <w:t>Company, The Cleveland Electric Illuminating</w:t>
      </w:r>
      <w:r>
        <w:tab/>
        <w:t>)</w:t>
      </w:r>
      <w:r>
        <w:tab/>
        <w:t>Case Nos.</w:t>
      </w:r>
      <w:r>
        <w:tab/>
        <w:t>09-1947-EL-POR</w:t>
      </w:r>
    </w:p>
    <w:p>
      <w:pPr>
        <w:pStyle w:val="BodyText"/>
        <w:tabs>
          <w:tab w:val="left" w:pos="5310"/>
          <w:tab w:val="left" w:pos="7020"/>
        </w:tabs>
      </w:pPr>
      <w:r>
        <w:t>Company and The Toledo Edison Company</w:t>
      </w:r>
      <w:r>
        <w:tab/>
        <w:t>)</w:t>
      </w:r>
      <w:r>
        <w:tab/>
        <w:t>09-1948-EL-POR</w:t>
      </w:r>
    </w:p>
    <w:p>
      <w:pPr>
        <w:pStyle w:val="BodyText"/>
        <w:tabs>
          <w:tab w:val="left" w:pos="5220"/>
          <w:tab w:val="left" w:pos="5310"/>
          <w:tab w:val="left" w:pos="7020"/>
        </w:tabs>
      </w:pPr>
      <w:r>
        <w:t>For Approval of Their Energy Efficiency and Peak</w:t>
      </w:r>
      <w:r>
        <w:tab/>
        <w:t>)</w:t>
      </w:r>
      <w:r>
        <w:tab/>
        <w:t>09-1949-EL-POR</w:t>
      </w:r>
    </w:p>
    <w:p>
      <w:pPr>
        <w:pStyle w:val="BodyText"/>
        <w:tabs>
          <w:tab w:val="left" w:pos="5310"/>
        </w:tabs>
      </w:pPr>
      <w:r>
        <w:t>Demand Reduction Program Portfolio Plans for</w:t>
      </w:r>
      <w:r>
        <w:tab/>
        <w:t>)</w:t>
      </w:r>
    </w:p>
    <w:p>
      <w:pPr>
        <w:pStyle w:val="BodyText"/>
        <w:tabs>
          <w:tab w:val="left" w:pos="5310"/>
        </w:tabs>
      </w:pPr>
      <w:r>
        <w:t>2010 and Associated Cost Recovery Mechanisms)</w:t>
      </w:r>
    </w:p>
    <w:p>
      <w:pPr>
        <w:pStyle w:val="BodyText"/>
        <w:tabs>
          <w:tab w:val="left" w:pos="5040"/>
          <w:tab w:val="left" w:pos="5310"/>
        </w:tabs>
      </w:pPr>
    </w:p>
    <w:p>
      <w:pPr>
        <w:pStyle w:val="BodyText"/>
        <w:tabs>
          <w:tab w:val="left" w:pos="5310"/>
          <w:tab w:val="left" w:pos="5760"/>
          <w:tab w:val="left" w:pos="7020"/>
        </w:tabs>
      </w:pPr>
      <w:r>
        <w:t>In the Matter of the Application of Ohio Edison</w:t>
      </w:r>
      <w:r>
        <w:tab/>
        <w:t>)</w:t>
      </w:r>
      <w:r>
        <w:tab/>
        <w:t>Case Nos.</w:t>
      </w:r>
      <w:r>
        <w:tab/>
        <w:t>09-1942-EL-EEC</w:t>
      </w:r>
    </w:p>
    <w:p>
      <w:pPr>
        <w:pStyle w:val="BodyText"/>
        <w:tabs>
          <w:tab w:val="left" w:pos="5310"/>
          <w:tab w:val="left" w:pos="7020"/>
        </w:tabs>
      </w:pPr>
      <w:r>
        <w:t>Company, The Cleveland Electric Illuminating</w:t>
      </w:r>
      <w:r>
        <w:tab/>
        <w:t>)</w:t>
      </w:r>
      <w:r>
        <w:tab/>
        <w:t>09-1943-EL-EEC</w:t>
      </w:r>
    </w:p>
    <w:p>
      <w:pPr>
        <w:pStyle w:val="BodyText"/>
        <w:tabs>
          <w:tab w:val="left" w:pos="5310"/>
          <w:tab w:val="left" w:pos="7020"/>
        </w:tabs>
      </w:pPr>
      <w:r>
        <w:t>Company and The Toledo Edison Company for</w:t>
      </w:r>
      <w:r>
        <w:tab/>
        <w:t>)</w:t>
      </w:r>
      <w:r>
        <w:tab/>
        <w:t>09-1944-EL-EEC</w:t>
      </w:r>
    </w:p>
    <w:p>
      <w:pPr>
        <w:pStyle w:val="BodyText"/>
        <w:tabs>
          <w:tab w:val="left" w:pos="5310"/>
        </w:tabs>
      </w:pPr>
      <w:r>
        <w:t>Approval of Their Initial Benchmark Reports.</w:t>
      </w:r>
      <w:r>
        <w:tab/>
        <w:t>)</w:t>
      </w:r>
    </w:p>
    <w:p>
      <w:pPr>
        <w:pStyle w:val="BodyText"/>
        <w:tabs>
          <w:tab w:val="left" w:pos="5040"/>
          <w:tab w:val="left" w:pos="5310"/>
        </w:tabs>
      </w:pPr>
    </w:p>
    <w:p>
      <w:pPr>
        <w:pStyle w:val="BodyText"/>
        <w:tabs>
          <w:tab w:val="left" w:pos="5310"/>
        </w:tabs>
      </w:pPr>
      <w:r>
        <w:t>In the Matter of the Energy Efficiency and Peak</w:t>
      </w:r>
      <w:r>
        <w:tab/>
        <w:t>)</w:t>
      </w:r>
    </w:p>
    <w:p>
      <w:pPr>
        <w:pStyle w:val="BodyText"/>
        <w:tabs>
          <w:tab w:val="left" w:pos="5310"/>
          <w:tab w:val="left" w:pos="5760"/>
          <w:tab w:val="left" w:pos="7020"/>
        </w:tabs>
      </w:pPr>
      <w:r>
        <w:t>Demand Reduction Program Portfolio of Ohio</w:t>
      </w:r>
      <w:r>
        <w:tab/>
        <w:t>)</w:t>
      </w:r>
      <w:r>
        <w:tab/>
        <w:t>Case Nos.</w:t>
      </w:r>
      <w:r>
        <w:tab/>
        <w:t>09-580-EL-EEC</w:t>
      </w:r>
    </w:p>
    <w:p>
      <w:pPr>
        <w:pStyle w:val="BodyText"/>
        <w:tabs>
          <w:tab w:val="left" w:pos="5310"/>
          <w:tab w:val="left" w:pos="7020"/>
        </w:tabs>
      </w:pPr>
      <w:r>
        <w:t>Edison Company, The Cleveland Electric</w:t>
      </w:r>
      <w:r>
        <w:tab/>
        <w:t>)</w:t>
      </w:r>
      <w:r>
        <w:tab/>
        <w:t>09-581-EL-EEC</w:t>
      </w:r>
    </w:p>
    <w:p>
      <w:pPr>
        <w:pStyle w:val="BodyText"/>
        <w:tabs>
          <w:tab w:val="left" w:pos="5310"/>
          <w:tab w:val="left" w:pos="7020"/>
        </w:tabs>
      </w:pPr>
      <w:r>
        <w:t>Illuminating Company, and The Toledo Edison</w:t>
      </w:r>
      <w:r>
        <w:tab/>
        <w:t>)</w:t>
      </w:r>
      <w:r>
        <w:tab/>
        <w:t>09-582-EL-EEC</w:t>
      </w:r>
    </w:p>
    <w:p>
      <w:pPr>
        <w:pStyle w:val="BodyText"/>
        <w:tabs>
          <w:tab w:val="left" w:pos="5310"/>
          <w:tab w:val="left" w:pos="7020"/>
        </w:tabs>
      </w:pPr>
      <w:r>
        <w:t>Company.</w:t>
      </w:r>
      <w:r>
        <w:tab/>
        <w:t>)</w:t>
      </w:r>
    </w:p>
    <w:p>
      <w:pPr>
        <w:pStyle w:val="BodyText"/>
        <w:tabs>
          <w:tab w:val="left" w:pos="5040"/>
          <w:tab w:val="left" w:pos="5310"/>
        </w:tabs>
      </w:pPr>
    </w:p>
    <w:p>
      <w:pPr>
        <w:pBdr>
          <w:top w:val="single" w:sz="12" w:space="0" w:color="auto"/>
        </w:pBdr>
        <w:tabs>
          <w:tab w:val="left" w:pos="7320"/>
        </w:tabs>
        <w:spacing w:after="0"/>
        <w:jc w:val="center"/>
        <w:rPr>
          <w:rFonts w:ascii="Arial Bold" w:hAnsi="Arial Bold"/>
          <w:caps/>
        </w:rPr>
      </w:pPr>
    </w:p>
    <w:p>
      <w:pPr>
        <w:pStyle w:val="Heading1"/>
        <w:tabs>
          <w:tab w:val="left" w:pos="7320"/>
        </w:tabs>
        <w:spacing w:before="0"/>
        <w:jc w:val="center"/>
        <w:rPr>
          <w:rFonts w:ascii="Arial Bold" w:hAnsi="Arial Bold" w:cs="Arial"/>
          <w:caps/>
          <w:color w:val="auto"/>
          <w:sz w:val="24"/>
          <w:szCs w:val="24"/>
        </w:rPr>
      </w:pPr>
      <w:r>
        <w:rPr>
          <w:rFonts w:ascii="Arial Bold" w:hAnsi="Arial Bold" w:cs="Arial"/>
          <w:caps/>
          <w:color w:val="auto"/>
          <w:sz w:val="24"/>
          <w:szCs w:val="24"/>
        </w:rPr>
        <w:t>REPLY BRIEF OF INDUSTRIAL ENERGY USERS-OHIO</w:t>
      </w:r>
    </w:p>
    <w:p>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bookmarkEnd w:id="0"/>
    <w:bookmarkEnd w:id="1"/>
    <w:p>
      <w:pPr>
        <w:pStyle w:val="Title"/>
        <w:rPr>
          <w:sz w:val="28"/>
          <w:u w:val="single"/>
        </w:rPr>
      </w:pPr>
    </w:p>
    <w:p>
      <w:pPr>
        <w:pStyle w:val="Title"/>
        <w:rPr>
          <w:sz w:val="28"/>
          <w:u w:val="single"/>
        </w:rPr>
      </w:pPr>
    </w:p>
    <w:p>
      <w:pPr>
        <w:pStyle w:val="Title"/>
        <w:rPr>
          <w:sz w:val="28"/>
          <w:u w:val="single"/>
        </w:rPr>
      </w:pPr>
    </w:p>
    <w:p>
      <w:pPr>
        <w:pStyle w:val="Title"/>
        <w:rPr>
          <w:sz w:val="28"/>
          <w:u w:val="single"/>
        </w:rPr>
      </w:pPr>
    </w:p>
    <w:p>
      <w:pPr>
        <w:pStyle w:val="Title"/>
        <w:rPr>
          <w:sz w:val="28"/>
          <w:u w:val="single"/>
        </w:rPr>
      </w:pPr>
    </w:p>
    <w:p>
      <w:pPr>
        <w:pStyle w:val="Title"/>
        <w:rPr>
          <w:sz w:val="28"/>
          <w:u w:val="single"/>
        </w:rPr>
      </w:pPr>
    </w:p>
    <w:p>
      <w:pPr>
        <w:pStyle w:val="Title"/>
        <w:rPr>
          <w:sz w:val="28"/>
          <w:u w:val="single"/>
        </w:rPr>
      </w:pPr>
    </w:p>
    <w:p>
      <w:pPr>
        <w:pStyle w:val="Title"/>
        <w:rPr>
          <w:sz w:val="28"/>
          <w:u w:val="single"/>
        </w:rPr>
      </w:pPr>
    </w:p>
    <w:p>
      <w:pPr>
        <w:tabs>
          <w:tab w:val="left" w:pos="4320"/>
          <w:tab w:val="right" w:pos="8640"/>
        </w:tabs>
        <w:spacing w:after="0"/>
        <w:jc w:val="both"/>
      </w:pPr>
      <w:r>
        <w:tab/>
        <w:t>Samuel C. Randazzo (Counsel of Record)</w:t>
      </w:r>
    </w:p>
    <w:p>
      <w:pPr>
        <w:pStyle w:val="BodyText3"/>
        <w:widowControl w:val="0"/>
        <w:tabs>
          <w:tab w:val="left" w:pos="4320"/>
        </w:tabs>
        <w:spacing w:after="0" w:line="240" w:lineRule="auto"/>
        <w:jc w:val="both"/>
        <w:rPr>
          <w:rFonts w:ascii="Arial" w:hAnsi="Arial" w:cs="Arial"/>
          <w:b/>
          <w:bCs/>
          <w:sz w:val="24"/>
          <w:szCs w:val="24"/>
        </w:rPr>
      </w:pPr>
      <w:r>
        <w:rPr>
          <w:rFonts w:ascii="Arial" w:hAnsi="Arial" w:cs="Arial"/>
          <w:bCs/>
          <w:sz w:val="24"/>
          <w:szCs w:val="24"/>
        </w:rPr>
        <w:tab/>
        <w:t>Lisa G. McAlister</w:t>
      </w:r>
    </w:p>
    <w:p>
      <w:pPr>
        <w:pStyle w:val="BodyText3"/>
        <w:widowControl w:val="0"/>
        <w:tabs>
          <w:tab w:val="left" w:pos="4320"/>
        </w:tabs>
        <w:spacing w:after="0" w:line="240" w:lineRule="auto"/>
        <w:jc w:val="both"/>
        <w:rPr>
          <w:rFonts w:ascii="Arial" w:hAnsi="Arial" w:cs="Arial"/>
          <w:b/>
          <w:bCs/>
          <w:sz w:val="24"/>
          <w:szCs w:val="24"/>
        </w:rPr>
      </w:pPr>
      <w:r>
        <w:rPr>
          <w:rFonts w:ascii="Arial" w:hAnsi="Arial" w:cs="Arial"/>
          <w:bCs/>
          <w:sz w:val="24"/>
          <w:szCs w:val="24"/>
        </w:rPr>
        <w:tab/>
        <w:t>Joseph M. Clark</w:t>
      </w:r>
    </w:p>
    <w:p>
      <w:pPr>
        <w:pStyle w:val="BodyText3"/>
        <w:widowControl w:val="0"/>
        <w:tabs>
          <w:tab w:val="left" w:pos="4320"/>
        </w:tabs>
        <w:spacing w:after="0" w:line="240" w:lineRule="auto"/>
        <w:jc w:val="both"/>
        <w:rPr>
          <w:rFonts w:ascii="Arial" w:hAnsi="Arial" w:cs="Arial"/>
          <w:b/>
          <w:bCs/>
          <w:smallCaps/>
          <w:sz w:val="24"/>
          <w:szCs w:val="24"/>
        </w:rPr>
      </w:pPr>
      <w:r>
        <w:rPr>
          <w:rFonts w:ascii="Arial" w:hAnsi="Arial" w:cs="Arial"/>
          <w:bCs/>
          <w:sz w:val="24"/>
          <w:szCs w:val="24"/>
        </w:rPr>
        <w:tab/>
      </w:r>
      <w:r>
        <w:rPr>
          <w:rFonts w:ascii="Arial" w:hAnsi="Arial" w:cs="Arial"/>
          <w:bCs/>
          <w:smallCaps/>
          <w:sz w:val="24"/>
          <w:szCs w:val="24"/>
        </w:rPr>
        <w:t>McNees Wallace &amp; Nurick LLC</w:t>
      </w:r>
    </w:p>
    <w:p>
      <w:pPr>
        <w:pStyle w:val="BodyText3"/>
        <w:widowControl w:val="0"/>
        <w:tabs>
          <w:tab w:val="left" w:pos="4320"/>
        </w:tabs>
        <w:spacing w:after="0" w:line="240" w:lineRule="auto"/>
        <w:jc w:val="both"/>
        <w:rPr>
          <w:rFonts w:ascii="Arial" w:hAnsi="Arial" w:cs="Arial"/>
          <w:b/>
          <w:bCs/>
          <w:sz w:val="24"/>
          <w:szCs w:val="24"/>
        </w:rPr>
      </w:pPr>
      <w:r>
        <w:rPr>
          <w:rFonts w:ascii="Arial" w:hAnsi="Arial" w:cs="Arial"/>
          <w:bCs/>
          <w:sz w:val="24"/>
          <w:szCs w:val="24"/>
        </w:rPr>
        <w:tab/>
        <w:t>21 East State Street, 17</w:t>
      </w:r>
      <w:r>
        <w:rPr>
          <w:rFonts w:ascii="Arial" w:hAnsi="Arial" w:cs="Arial"/>
          <w:bCs/>
          <w:sz w:val="24"/>
          <w:szCs w:val="24"/>
          <w:vertAlign w:val="superscript"/>
        </w:rPr>
        <w:t>TH</w:t>
      </w:r>
      <w:r>
        <w:rPr>
          <w:rFonts w:ascii="Arial" w:hAnsi="Arial" w:cs="Arial"/>
          <w:bCs/>
          <w:sz w:val="24"/>
          <w:szCs w:val="24"/>
        </w:rPr>
        <w:t xml:space="preserve"> Floor</w:t>
      </w:r>
    </w:p>
    <w:p>
      <w:pPr>
        <w:pStyle w:val="BodyText"/>
        <w:tabs>
          <w:tab w:val="left" w:pos="4320"/>
        </w:tabs>
      </w:pPr>
      <w:r>
        <w:tab/>
        <w:t>Columbus, OH  43215</w:t>
      </w:r>
    </w:p>
    <w:p>
      <w:pPr>
        <w:pStyle w:val="BodyText"/>
        <w:tabs>
          <w:tab w:val="left" w:pos="4320"/>
        </w:tabs>
      </w:pPr>
      <w:r>
        <w:tab/>
        <w:t>Telephone:  (614) 469-8000</w:t>
      </w:r>
    </w:p>
    <w:p>
      <w:pPr>
        <w:pStyle w:val="BodyText"/>
        <w:tabs>
          <w:tab w:val="left" w:pos="4320"/>
        </w:tabs>
      </w:pPr>
      <w:r>
        <w:tab/>
        <w:t>Telecopier:  (614) 469-4653</w:t>
      </w:r>
    </w:p>
    <w:p>
      <w:pPr>
        <w:pStyle w:val="BodyText"/>
      </w:pPr>
      <w:r>
        <w:tab/>
      </w:r>
      <w:r>
        <w:tab/>
      </w:r>
      <w:r>
        <w:tab/>
      </w:r>
      <w:r>
        <w:tab/>
      </w:r>
      <w:r>
        <w:tab/>
      </w:r>
      <w:r>
        <w:tab/>
        <w:t>sam@mwncmh.com</w:t>
      </w:r>
    </w:p>
    <w:p>
      <w:pPr>
        <w:pStyle w:val="BodyText"/>
      </w:pPr>
      <w:r>
        <w:tab/>
      </w:r>
      <w:r>
        <w:tab/>
      </w:r>
      <w:r>
        <w:tab/>
      </w:r>
      <w:r>
        <w:tab/>
      </w:r>
      <w:r>
        <w:tab/>
      </w:r>
      <w:r>
        <w:tab/>
        <w:t>lmcalister@mwncmh.com</w:t>
      </w:r>
    </w:p>
    <w:p>
      <w:pPr>
        <w:pStyle w:val="BodyText"/>
      </w:pPr>
      <w:r>
        <w:tab/>
      </w:r>
      <w:r>
        <w:tab/>
      </w:r>
      <w:r>
        <w:tab/>
      </w:r>
      <w:r>
        <w:tab/>
      </w:r>
      <w:r>
        <w:tab/>
      </w:r>
      <w:r>
        <w:tab/>
        <w:t>jclark@mwncmh.com</w:t>
      </w:r>
    </w:p>
    <w:p>
      <w:pPr>
        <w:pStyle w:val="BodyText"/>
      </w:pPr>
    </w:p>
    <w:p>
      <w:pPr>
        <w:pStyle w:val="Title"/>
        <w:jc w:val="left"/>
        <w:rPr>
          <w:smallCaps w:val="0"/>
          <w:sz w:val="24"/>
        </w:rPr>
      </w:pPr>
      <w:r>
        <w:rPr>
          <w:smallCaps w:val="0"/>
          <w:sz w:val="24"/>
        </w:rPr>
        <w:t>April 12, 2010</w:t>
      </w:r>
      <w:r>
        <w:rPr>
          <w:smallCaps w:val="0"/>
          <w:sz w:val="24"/>
        </w:rPr>
        <w:tab/>
      </w:r>
      <w:r>
        <w:rPr>
          <w:smallCaps w:val="0"/>
          <w:sz w:val="24"/>
        </w:rPr>
        <w:tab/>
      </w:r>
      <w:r>
        <w:rPr>
          <w:smallCaps w:val="0"/>
          <w:sz w:val="24"/>
        </w:rPr>
        <w:tab/>
      </w:r>
      <w:r>
        <w:rPr>
          <w:smallCaps w:val="0"/>
          <w:sz w:val="24"/>
        </w:rPr>
        <w:tab/>
        <w:t>Attorneys for Industrial Energy Users-Ohio</w:t>
      </w:r>
    </w:p>
    <w:p>
      <w:pPr>
        <w:pStyle w:val="Title"/>
        <w:rPr>
          <w:sz w:val="28"/>
        </w:rPr>
      </w:pPr>
    </w:p>
    <w:p>
      <w:pPr>
        <w:pStyle w:val="Title"/>
        <w:rPr>
          <w:sz w:val="28"/>
        </w:rPr>
        <w:sectPr>
          <w:footerReference w:type="even" r:id="rId8"/>
          <w:footerReference w:type="default" r:id="rId9"/>
          <w:footerReference w:type="first" r:id="rId10"/>
          <w:pgSz w:w="12240" w:h="15840" w:code="1"/>
          <w:pgMar w:top="1440" w:right="1440" w:bottom="1141" w:left="1440" w:header="720" w:footer="720" w:gutter="0"/>
          <w:pgNumType w:start="1"/>
          <w:cols w:space="720"/>
          <w:titlePg/>
          <w:docGrid w:linePitch="326"/>
        </w:sectPr>
      </w:pPr>
    </w:p>
    <w:p>
      <w:pPr>
        <w:pStyle w:val="Title"/>
        <w:rPr>
          <w:sz w:val="28"/>
        </w:rPr>
      </w:pPr>
      <w:r>
        <w:rPr>
          <w:sz w:val="28"/>
        </w:rPr>
        <w:lastRenderedPageBreak/>
        <w:t>Before</w:t>
      </w:r>
    </w:p>
    <w:p>
      <w:pPr>
        <w:jc w:val="center"/>
        <w:rPr>
          <w:b/>
          <w:smallCaps/>
          <w:sz w:val="28"/>
        </w:rPr>
      </w:pPr>
      <w:r>
        <w:rPr>
          <w:b/>
          <w:smallCaps/>
          <w:sz w:val="28"/>
        </w:rPr>
        <w:t>The Public Utilities Commission of Ohio</w:t>
      </w:r>
    </w:p>
    <w:p>
      <w:pPr>
        <w:pStyle w:val="BodyText"/>
        <w:tabs>
          <w:tab w:val="left" w:pos="5310"/>
        </w:tabs>
      </w:pPr>
      <w:r>
        <w:t>In the Matter of the Application of Ohio Edison</w:t>
      </w:r>
      <w:r>
        <w:tab/>
        <w:t>)</w:t>
      </w:r>
    </w:p>
    <w:p>
      <w:pPr>
        <w:pStyle w:val="BodyText"/>
        <w:tabs>
          <w:tab w:val="left" w:pos="5310"/>
          <w:tab w:val="left" w:pos="5760"/>
          <w:tab w:val="left" w:pos="7020"/>
        </w:tabs>
      </w:pPr>
      <w:r>
        <w:t>Company, The Cleveland Electric Illuminating</w:t>
      </w:r>
      <w:r>
        <w:tab/>
        <w:t>)</w:t>
      </w:r>
      <w:r>
        <w:tab/>
        <w:t>Case Nos.</w:t>
      </w:r>
      <w:r>
        <w:tab/>
        <w:t>09-1947-EL-POR</w:t>
      </w:r>
    </w:p>
    <w:p>
      <w:pPr>
        <w:pStyle w:val="BodyText"/>
        <w:tabs>
          <w:tab w:val="left" w:pos="5310"/>
          <w:tab w:val="left" w:pos="7020"/>
        </w:tabs>
      </w:pPr>
      <w:r>
        <w:t>Company and The Toledo Edison Company</w:t>
      </w:r>
      <w:r>
        <w:tab/>
        <w:t>)</w:t>
      </w:r>
      <w:r>
        <w:tab/>
        <w:t>09-1948-EL-POR</w:t>
      </w:r>
    </w:p>
    <w:p>
      <w:pPr>
        <w:pStyle w:val="BodyText"/>
        <w:tabs>
          <w:tab w:val="left" w:pos="5220"/>
          <w:tab w:val="left" w:pos="5310"/>
          <w:tab w:val="left" w:pos="7020"/>
        </w:tabs>
      </w:pPr>
      <w:r>
        <w:t>For Approval of Their Energy Efficiency and Peak</w:t>
      </w:r>
      <w:r>
        <w:tab/>
        <w:t>)</w:t>
      </w:r>
      <w:r>
        <w:tab/>
        <w:t>09-1949-EL-POR</w:t>
      </w:r>
    </w:p>
    <w:p>
      <w:pPr>
        <w:pStyle w:val="BodyText"/>
        <w:tabs>
          <w:tab w:val="left" w:pos="5310"/>
        </w:tabs>
      </w:pPr>
      <w:r>
        <w:t>Demand Reduction Program Portfolio Plans for</w:t>
      </w:r>
      <w:r>
        <w:tab/>
        <w:t>)</w:t>
      </w:r>
    </w:p>
    <w:p>
      <w:pPr>
        <w:pStyle w:val="BodyText"/>
        <w:tabs>
          <w:tab w:val="left" w:pos="5310"/>
        </w:tabs>
      </w:pPr>
      <w:r>
        <w:t>2010 and Associated Cost Recovery Mechanisms)</w:t>
      </w:r>
    </w:p>
    <w:p>
      <w:pPr>
        <w:pStyle w:val="BodyText"/>
        <w:tabs>
          <w:tab w:val="left" w:pos="5040"/>
          <w:tab w:val="left" w:pos="5310"/>
        </w:tabs>
      </w:pPr>
    </w:p>
    <w:p>
      <w:pPr>
        <w:pStyle w:val="BodyText"/>
        <w:tabs>
          <w:tab w:val="left" w:pos="5310"/>
          <w:tab w:val="left" w:pos="5760"/>
          <w:tab w:val="left" w:pos="7020"/>
        </w:tabs>
      </w:pPr>
      <w:r>
        <w:t>In the Matter of the Application of Ohio Edison</w:t>
      </w:r>
      <w:r>
        <w:tab/>
        <w:t>)</w:t>
      </w:r>
      <w:r>
        <w:tab/>
        <w:t>Case Nos.</w:t>
      </w:r>
      <w:r>
        <w:tab/>
        <w:t>09-1942-EL-EEC</w:t>
      </w:r>
    </w:p>
    <w:p>
      <w:pPr>
        <w:pStyle w:val="BodyText"/>
        <w:tabs>
          <w:tab w:val="left" w:pos="5310"/>
          <w:tab w:val="left" w:pos="7020"/>
        </w:tabs>
      </w:pPr>
      <w:r>
        <w:t>Company, The Cleveland Electric Illuminating</w:t>
      </w:r>
      <w:r>
        <w:tab/>
        <w:t>)</w:t>
      </w:r>
      <w:r>
        <w:tab/>
        <w:t>09-1943-EL-EEC</w:t>
      </w:r>
    </w:p>
    <w:p>
      <w:pPr>
        <w:pStyle w:val="BodyText"/>
        <w:tabs>
          <w:tab w:val="left" w:pos="5310"/>
          <w:tab w:val="left" w:pos="7020"/>
        </w:tabs>
      </w:pPr>
      <w:r>
        <w:t>Company and The Toledo Edison Company for</w:t>
      </w:r>
      <w:r>
        <w:tab/>
        <w:t>)</w:t>
      </w:r>
      <w:r>
        <w:tab/>
        <w:t>09-1944-EL-EEC</w:t>
      </w:r>
    </w:p>
    <w:p>
      <w:pPr>
        <w:pStyle w:val="BodyText"/>
        <w:tabs>
          <w:tab w:val="left" w:pos="5310"/>
        </w:tabs>
      </w:pPr>
      <w:r>
        <w:t>Approval of Their Initial Benchmark Reports.</w:t>
      </w:r>
      <w:r>
        <w:tab/>
        <w:t>)</w:t>
      </w:r>
    </w:p>
    <w:p>
      <w:pPr>
        <w:pStyle w:val="BodyText"/>
        <w:tabs>
          <w:tab w:val="left" w:pos="5040"/>
          <w:tab w:val="left" w:pos="5310"/>
        </w:tabs>
      </w:pPr>
    </w:p>
    <w:p>
      <w:pPr>
        <w:pStyle w:val="BodyText"/>
        <w:tabs>
          <w:tab w:val="left" w:pos="5310"/>
        </w:tabs>
      </w:pPr>
      <w:r>
        <w:t>In the Matter of the Energy Efficiency and Peak</w:t>
      </w:r>
      <w:r>
        <w:tab/>
        <w:t>)</w:t>
      </w:r>
    </w:p>
    <w:p>
      <w:pPr>
        <w:pStyle w:val="BodyText"/>
        <w:tabs>
          <w:tab w:val="left" w:pos="5310"/>
          <w:tab w:val="left" w:pos="5760"/>
          <w:tab w:val="left" w:pos="7020"/>
        </w:tabs>
      </w:pPr>
      <w:r>
        <w:t>Demand Reduction Program Portfolio of Ohio</w:t>
      </w:r>
      <w:r>
        <w:tab/>
        <w:t>)</w:t>
      </w:r>
      <w:r>
        <w:tab/>
        <w:t>Case Nos.</w:t>
      </w:r>
      <w:r>
        <w:tab/>
        <w:t>09-580-EL-EEC</w:t>
      </w:r>
    </w:p>
    <w:p>
      <w:pPr>
        <w:pStyle w:val="BodyText"/>
        <w:tabs>
          <w:tab w:val="left" w:pos="5310"/>
          <w:tab w:val="left" w:pos="7020"/>
        </w:tabs>
      </w:pPr>
      <w:r>
        <w:t>Edison Company, The Cleveland Electric</w:t>
      </w:r>
      <w:r>
        <w:tab/>
        <w:t>)</w:t>
      </w:r>
      <w:r>
        <w:tab/>
        <w:t>09-581-EL-EEC</w:t>
      </w:r>
    </w:p>
    <w:p>
      <w:pPr>
        <w:pStyle w:val="BodyText"/>
        <w:tabs>
          <w:tab w:val="left" w:pos="5310"/>
          <w:tab w:val="left" w:pos="7020"/>
        </w:tabs>
      </w:pPr>
      <w:r>
        <w:t>Illuminating Company, and The Toledo Edison</w:t>
      </w:r>
      <w:r>
        <w:tab/>
        <w:t>)</w:t>
      </w:r>
      <w:r>
        <w:tab/>
        <w:t>09-582-EL-EEC</w:t>
      </w:r>
    </w:p>
    <w:p>
      <w:pPr>
        <w:pStyle w:val="BodyText"/>
        <w:tabs>
          <w:tab w:val="left" w:pos="5310"/>
          <w:tab w:val="left" w:pos="7020"/>
        </w:tabs>
      </w:pPr>
      <w:r>
        <w:t>Company.</w:t>
      </w:r>
      <w:r>
        <w:tab/>
        <w:t>)</w:t>
      </w:r>
    </w:p>
    <w:p>
      <w:pPr>
        <w:pStyle w:val="BodyText"/>
        <w:tabs>
          <w:tab w:val="left" w:pos="5040"/>
          <w:tab w:val="left" w:pos="5310"/>
        </w:tabs>
      </w:pPr>
    </w:p>
    <w:p>
      <w:pPr>
        <w:pBdr>
          <w:top w:val="single" w:sz="12" w:space="0" w:color="auto"/>
        </w:pBdr>
        <w:tabs>
          <w:tab w:val="left" w:pos="7320"/>
        </w:tabs>
        <w:spacing w:after="0"/>
        <w:jc w:val="center"/>
        <w:rPr>
          <w:rFonts w:ascii="Arial Bold" w:hAnsi="Arial Bold"/>
          <w:caps/>
        </w:rPr>
      </w:pPr>
    </w:p>
    <w:p>
      <w:pPr>
        <w:pStyle w:val="Heading1"/>
        <w:tabs>
          <w:tab w:val="left" w:pos="7320"/>
        </w:tabs>
        <w:spacing w:before="0"/>
        <w:jc w:val="center"/>
        <w:rPr>
          <w:rFonts w:ascii="Arial Bold" w:hAnsi="Arial Bold" w:cs="Arial"/>
          <w:caps/>
          <w:color w:val="auto"/>
          <w:sz w:val="24"/>
          <w:szCs w:val="24"/>
        </w:rPr>
      </w:pPr>
      <w:r>
        <w:rPr>
          <w:rFonts w:ascii="Arial Bold" w:hAnsi="Arial Bold" w:cs="Arial"/>
          <w:caps/>
          <w:color w:val="auto"/>
          <w:sz w:val="24"/>
          <w:szCs w:val="24"/>
        </w:rPr>
        <w:t>REPLY BRIEF OF INDUSTRIAL ENERGY USERS-OHIO</w:t>
      </w:r>
    </w:p>
    <w:p>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pPr>
        <w:pStyle w:val="Title"/>
        <w:tabs>
          <w:tab w:val="left" w:pos="720"/>
          <w:tab w:val="left" w:pos="4320"/>
          <w:tab w:val="left" w:pos="5040"/>
        </w:tabs>
        <w:spacing w:line="480" w:lineRule="auto"/>
        <w:jc w:val="both"/>
        <w:rPr>
          <w:b w:val="0"/>
          <w:smallCaps w:val="0"/>
          <w:sz w:val="24"/>
        </w:rPr>
      </w:pPr>
    </w:p>
    <w:p>
      <w:pPr>
        <w:pStyle w:val="BodyTextIndent"/>
        <w:numPr>
          <w:ilvl w:val="0"/>
          <w:numId w:val="1"/>
        </w:numPr>
        <w:spacing w:after="0" w:line="480" w:lineRule="auto"/>
        <w:ind w:left="720"/>
        <w:jc w:val="both"/>
        <w:rPr>
          <w:b/>
        </w:rPr>
      </w:pPr>
      <w:r>
        <w:rPr>
          <w:b/>
        </w:rPr>
        <w:t>INTRODUCTION</w:t>
      </w:r>
    </w:p>
    <w:p>
      <w:pPr>
        <w:pStyle w:val="BodyText"/>
        <w:tabs>
          <w:tab w:val="left" w:pos="720"/>
          <w:tab w:val="left" w:pos="5040"/>
        </w:tabs>
        <w:spacing w:line="480" w:lineRule="auto"/>
        <w:ind w:firstLine="720"/>
      </w:pPr>
      <w:r>
        <w:t xml:space="preserve">On December 15, 2009, Ohio Edison Company, The Cleveland Electric Illuminating Company, and The Toledo Edison Company (collectively, “FirstEnergy” or “Companies”) filed an Application for approval of an initial three-year energy efficiency and peak demand reduction (“EE/PDR”) program portfolio plan as well as for approval of their respective initial benchmark compliance reports.  Several intervenors and FirstEnergy filed Initial Briefs on March 29, 2010; IEU-Ohio filed a Notice on March 26, 2010 that it would not file an Initial Brief but reserved the right to file a reply brief.  In accordance with the procedural schedule established by the Attorney Examiners in this </w:t>
      </w:r>
      <w:r>
        <w:lastRenderedPageBreak/>
        <w:t xml:space="preserve">case and its Notice filed on March 26, 2010, IEU-Ohio respectfully submits its Reply Brief in this proceeding for the Commission’s consideration.  </w:t>
      </w:r>
    </w:p>
    <w:p>
      <w:pPr>
        <w:pStyle w:val="ListParagraph"/>
        <w:numPr>
          <w:ilvl w:val="0"/>
          <w:numId w:val="1"/>
        </w:numPr>
        <w:spacing w:after="0"/>
        <w:ind w:left="720"/>
        <w:jc w:val="both"/>
        <w:rPr>
          <w:b/>
        </w:rPr>
      </w:pPr>
      <w:r>
        <w:rPr>
          <w:b/>
        </w:rPr>
        <w:t>ARGUMENT</w:t>
      </w:r>
    </w:p>
    <w:p>
      <w:pPr>
        <w:spacing w:after="0"/>
        <w:jc w:val="both"/>
      </w:pPr>
    </w:p>
    <w:p>
      <w:pPr>
        <w:spacing w:after="0"/>
        <w:ind w:left="1440" w:hanging="720"/>
        <w:jc w:val="both"/>
        <w:rPr>
          <w:b/>
        </w:rPr>
      </w:pPr>
      <w:r>
        <w:rPr>
          <w:b/>
        </w:rPr>
        <w:t>A.</w:t>
      </w:r>
      <w:r>
        <w:rPr>
          <w:b/>
        </w:rPr>
        <w:tab/>
        <w:t>FirstEnergy’s utilization of historical mercantile customer programs to meet its EE/PDR benchmarks is lawful and reasonable.</w:t>
      </w:r>
    </w:p>
    <w:p>
      <w:pPr>
        <w:spacing w:after="0"/>
        <w:jc w:val="both"/>
      </w:pPr>
    </w:p>
    <w:p>
      <w:pPr>
        <w:spacing w:after="0" w:line="480" w:lineRule="auto"/>
        <w:ind w:firstLine="720"/>
        <w:jc w:val="both"/>
      </w:pPr>
      <w:r>
        <w:t>Pursuant to Section 4928.66, Revised Code, FirstEnergy’s proposed EE/PDR portfolio plan utilizes historical mercantile customer self-directed programs to meet its EE/PDR benchmarks during the three-year term of its portfolio plan.  FirstEnergy indicates that, particularly for the first year of its EE/PDR portfolio plan while programs are ramping up, a significant percentage of historical mercantile customer self-directed programs are necessary to achieve compliance with the benchmarks:</w:t>
      </w:r>
      <w:r>
        <w:rPr>
          <w:rStyle w:val="FootnoteReference"/>
        </w:rPr>
        <w:footnoteReference w:id="1"/>
      </w:r>
    </w:p>
    <w:tbl>
      <w:tblPr>
        <w:tblStyle w:val="TableGrid"/>
        <w:tblW w:w="0" w:type="auto"/>
        <w:tblInd w:w="390" w:type="dxa"/>
        <w:tblLook w:val="04A0"/>
      </w:tblPr>
      <w:tblGrid>
        <w:gridCol w:w="2150"/>
        <w:gridCol w:w="2150"/>
        <w:gridCol w:w="2150"/>
        <w:gridCol w:w="2150"/>
      </w:tblGrid>
      <w:tr>
        <w:trPr>
          <w:trHeight w:val="540"/>
        </w:trPr>
        <w:tc>
          <w:tcPr>
            <w:tcW w:w="2150" w:type="dxa"/>
          </w:tcPr>
          <w:p>
            <w:pPr>
              <w:spacing w:line="480" w:lineRule="auto"/>
              <w:jc w:val="both"/>
            </w:pPr>
          </w:p>
        </w:tc>
        <w:tc>
          <w:tcPr>
            <w:tcW w:w="2150" w:type="dxa"/>
          </w:tcPr>
          <w:p>
            <w:pPr>
              <w:spacing w:line="480" w:lineRule="auto"/>
              <w:jc w:val="both"/>
            </w:pPr>
            <w:r>
              <w:t>2010</w:t>
            </w:r>
          </w:p>
        </w:tc>
        <w:tc>
          <w:tcPr>
            <w:tcW w:w="2150" w:type="dxa"/>
          </w:tcPr>
          <w:p>
            <w:pPr>
              <w:spacing w:line="480" w:lineRule="auto"/>
              <w:jc w:val="both"/>
            </w:pPr>
            <w:r>
              <w:t>2011</w:t>
            </w:r>
          </w:p>
        </w:tc>
        <w:tc>
          <w:tcPr>
            <w:tcW w:w="2150" w:type="dxa"/>
          </w:tcPr>
          <w:p>
            <w:pPr>
              <w:spacing w:line="480" w:lineRule="auto"/>
              <w:jc w:val="both"/>
            </w:pPr>
            <w:r>
              <w:t>2012</w:t>
            </w:r>
          </w:p>
        </w:tc>
      </w:tr>
      <w:tr>
        <w:trPr>
          <w:trHeight w:val="540"/>
        </w:trPr>
        <w:tc>
          <w:tcPr>
            <w:tcW w:w="2150" w:type="dxa"/>
          </w:tcPr>
          <w:p>
            <w:pPr>
              <w:spacing w:line="480" w:lineRule="auto"/>
              <w:jc w:val="both"/>
            </w:pPr>
            <w:r>
              <w:t>OE</w:t>
            </w:r>
          </w:p>
        </w:tc>
        <w:tc>
          <w:tcPr>
            <w:tcW w:w="2150" w:type="dxa"/>
          </w:tcPr>
          <w:p>
            <w:pPr>
              <w:spacing w:line="480" w:lineRule="auto"/>
              <w:jc w:val="both"/>
            </w:pPr>
            <w:r>
              <w:t>48.6%</w:t>
            </w:r>
          </w:p>
        </w:tc>
        <w:tc>
          <w:tcPr>
            <w:tcW w:w="2150" w:type="dxa"/>
          </w:tcPr>
          <w:p>
            <w:pPr>
              <w:spacing w:line="480" w:lineRule="auto"/>
              <w:jc w:val="both"/>
            </w:pPr>
            <w:r>
              <w:t>8.9%</w:t>
            </w:r>
          </w:p>
        </w:tc>
        <w:tc>
          <w:tcPr>
            <w:tcW w:w="2150" w:type="dxa"/>
          </w:tcPr>
          <w:p>
            <w:pPr>
              <w:spacing w:line="480" w:lineRule="auto"/>
              <w:jc w:val="both"/>
            </w:pPr>
            <w:r>
              <w:t>6.1%</w:t>
            </w:r>
          </w:p>
        </w:tc>
      </w:tr>
      <w:tr>
        <w:trPr>
          <w:trHeight w:val="540"/>
        </w:trPr>
        <w:tc>
          <w:tcPr>
            <w:tcW w:w="2150" w:type="dxa"/>
          </w:tcPr>
          <w:p>
            <w:pPr>
              <w:spacing w:line="480" w:lineRule="auto"/>
              <w:jc w:val="both"/>
            </w:pPr>
            <w:r>
              <w:t>CEI</w:t>
            </w:r>
          </w:p>
        </w:tc>
        <w:tc>
          <w:tcPr>
            <w:tcW w:w="2150" w:type="dxa"/>
          </w:tcPr>
          <w:p>
            <w:pPr>
              <w:spacing w:line="480" w:lineRule="auto"/>
              <w:jc w:val="both"/>
            </w:pPr>
            <w:r>
              <w:t>50.1%</w:t>
            </w:r>
          </w:p>
        </w:tc>
        <w:tc>
          <w:tcPr>
            <w:tcW w:w="2150" w:type="dxa"/>
          </w:tcPr>
          <w:p>
            <w:pPr>
              <w:spacing w:line="480" w:lineRule="auto"/>
              <w:jc w:val="both"/>
            </w:pPr>
            <w:r>
              <w:t>9.8%</w:t>
            </w:r>
          </w:p>
        </w:tc>
        <w:tc>
          <w:tcPr>
            <w:tcW w:w="2150" w:type="dxa"/>
          </w:tcPr>
          <w:p>
            <w:pPr>
              <w:spacing w:line="480" w:lineRule="auto"/>
              <w:jc w:val="both"/>
            </w:pPr>
            <w:r>
              <w:t>7.3%</w:t>
            </w:r>
          </w:p>
        </w:tc>
      </w:tr>
      <w:tr>
        <w:trPr>
          <w:trHeight w:val="540"/>
        </w:trPr>
        <w:tc>
          <w:tcPr>
            <w:tcW w:w="2150" w:type="dxa"/>
          </w:tcPr>
          <w:p>
            <w:pPr>
              <w:spacing w:line="480" w:lineRule="auto"/>
              <w:jc w:val="both"/>
            </w:pPr>
            <w:r>
              <w:t>TE</w:t>
            </w:r>
          </w:p>
        </w:tc>
        <w:tc>
          <w:tcPr>
            <w:tcW w:w="2150" w:type="dxa"/>
          </w:tcPr>
          <w:p>
            <w:pPr>
              <w:spacing w:line="480" w:lineRule="auto"/>
              <w:jc w:val="both"/>
            </w:pPr>
            <w:r>
              <w:t>52.9%</w:t>
            </w:r>
          </w:p>
        </w:tc>
        <w:tc>
          <w:tcPr>
            <w:tcW w:w="2150" w:type="dxa"/>
          </w:tcPr>
          <w:p>
            <w:pPr>
              <w:spacing w:line="480" w:lineRule="auto"/>
              <w:jc w:val="both"/>
            </w:pPr>
            <w:r>
              <w:t>12.4%</w:t>
            </w:r>
          </w:p>
        </w:tc>
        <w:tc>
          <w:tcPr>
            <w:tcW w:w="2150" w:type="dxa"/>
          </w:tcPr>
          <w:p>
            <w:pPr>
              <w:spacing w:line="480" w:lineRule="auto"/>
              <w:jc w:val="both"/>
            </w:pPr>
            <w:r>
              <w:t>6.0%</w:t>
            </w:r>
          </w:p>
        </w:tc>
      </w:tr>
    </w:tbl>
    <w:p>
      <w:pPr>
        <w:spacing w:after="0"/>
        <w:ind w:firstLine="720"/>
        <w:jc w:val="both"/>
      </w:pPr>
    </w:p>
    <w:p>
      <w:pPr>
        <w:spacing w:after="0" w:line="480" w:lineRule="auto"/>
        <w:ind w:firstLine="720"/>
        <w:jc w:val="both"/>
      </w:pPr>
      <w:r>
        <w:t xml:space="preserve">However, the Ohio Environmental Council (“OEC”) and the Environmental Law and Policy Center (“ELPC”) challenge FirstEnergy’s use of historical mercantile customer-sited EE/PDR programs to meet the benchmarks.  Specifically, OEC claims that Section 4928.66(A)(2)(c), Revised Code, was not intended to be a statutory compliance mechanism but rather a “tool for mercantile customers that made significant investments in energy efficiency technology prior to the passage of Amended Substitute Senate Bill 221 (“SB 221”) and were unlikely to find new cost-effective savings on-site </w:t>
      </w:r>
      <w:r>
        <w:lastRenderedPageBreak/>
        <w:t>because of the prior investments.”</w:t>
      </w:r>
      <w:r>
        <w:rPr>
          <w:rStyle w:val="FootnoteReference"/>
        </w:rPr>
        <w:footnoteReference w:id="2"/>
      </w:r>
      <w:r>
        <w:t xml:space="preserve">  OEC further criticizes the costs associated with the historical self-directed mercantile customer programs.</w:t>
      </w:r>
      <w:r>
        <w:rPr>
          <w:rStyle w:val="FootnoteReference"/>
        </w:rPr>
        <w:footnoteReference w:id="3"/>
      </w:r>
      <w:r>
        <w:t xml:space="preserve">  OEC and ELPC also argue that FirstEnergy has included self-directed mercantile customer programs that do not count under the Commission’s rules or that will be denied by the Commission.</w:t>
      </w:r>
      <w:r>
        <w:rPr>
          <w:rStyle w:val="FootnoteReference"/>
        </w:rPr>
        <w:footnoteReference w:id="4"/>
      </w:r>
      <w:r>
        <w:t xml:space="preserve">  Finally, OEC criticizes FirstEnergy’s portfolio plan because the portfolio plans of the other electric distribution utilities (“EDUs”) allegedly do not rely as much upon historical mercantile customer program for compliance with the EE/PDR benchmarks.</w:t>
      </w:r>
      <w:r>
        <w:rPr>
          <w:rStyle w:val="FootnoteReference"/>
        </w:rPr>
        <w:footnoteReference w:id="5"/>
      </w:r>
      <w:r>
        <w:t xml:space="preserve">  In other words, OEC urges the Commission to disadvantage FirstEnergy compliance efforts because FirstEnergy is spending too much time and money to improve the energy productivity of Ohio’s real economy.</w:t>
      </w:r>
    </w:p>
    <w:p>
      <w:pPr>
        <w:spacing w:after="0" w:line="480" w:lineRule="auto"/>
        <w:jc w:val="both"/>
      </w:pPr>
      <w:r>
        <w:tab/>
        <w:t>Rather than basing their arguments on the entirety of the relevant portions of SB 221, OEC and ELPC selectively cherry pick isolated phrases from Section 4928.66, Revised Code, to push an agenda at the Commission that the General Assembly expressly declined to adopt.  OEC’s and ELPC’s arguments should be rejected by the Commission.  The arguments rest on claims about the meaning of Section 4928.66, Revised Code, that are polluted with errors and, if adopted, work against Ohio’s efforts to improve its energy productivity.</w:t>
      </w:r>
      <w:r>
        <w:rPr>
          <w:rStyle w:val="FootnoteReference"/>
          <w:color w:val="000000" w:themeColor="text1"/>
        </w:rPr>
        <w:footnoteReference w:id="6"/>
      </w:r>
      <w:r>
        <w:t xml:space="preserve">  </w:t>
      </w:r>
    </w:p>
    <w:p>
      <w:pPr>
        <w:spacing w:after="0" w:line="480" w:lineRule="auto"/>
        <w:ind w:firstLine="720"/>
        <w:jc w:val="both"/>
      </w:pPr>
      <w:r>
        <w:lastRenderedPageBreak/>
        <w:t>First, OEC and ELPC ask the Commission to ignore the plain language of Section 4928.66(A)(2)(c), Revised Code.  When interpreting laws passed by the General Assembly, the Commission must first apply the text of a statute according to its express terms.  As this Commission previously recognized, “Plain and unambiguous statutory authority leaves no occasion to resort to other rules of construction.”</w:t>
      </w:r>
      <w:r>
        <w:rPr>
          <w:rStyle w:val="FootnoteReference"/>
        </w:rPr>
        <w:footnoteReference w:id="7"/>
      </w:r>
      <w:r>
        <w:t xml:space="preserve">  Indeed, “where </w:t>
      </w:r>
      <w:r>
        <w:rPr>
          <w:rFonts w:eastAsia="Times New Roman"/>
          <w:color w:val="000000"/>
        </w:rPr>
        <w:t>the language of an enactment is clear and construction according to its terms does not lead to absurd or impracticable consequences, the words employed are to be taken as the final expression of the meaning intended.  And in such cases legislative history may not be used to support a construction that adds to or takes from the significance of the words employed.”</w:t>
      </w:r>
      <w:r>
        <w:rPr>
          <w:rStyle w:val="FootnoteReference"/>
          <w:rFonts w:eastAsia="Times New Roman"/>
          <w:color w:val="000000"/>
        </w:rPr>
        <w:footnoteReference w:id="8"/>
      </w:r>
      <w:r>
        <w:rPr>
          <w:rFonts w:eastAsia="Times New Roman"/>
          <w:color w:val="000000"/>
        </w:rPr>
        <w:t xml:space="preserve">  </w:t>
      </w:r>
      <w:r>
        <w:t xml:space="preserve">The Commission need look no further than the plain language of Section 4928.66, Revised Code, to determine that mercantile customer-sited capabilities must count towards EE/PDR benchmark compliance.  </w:t>
      </w:r>
    </w:p>
    <w:p>
      <w:pPr>
        <w:spacing w:after="0" w:line="480" w:lineRule="auto"/>
        <w:ind w:firstLine="720"/>
        <w:jc w:val="both"/>
      </w:pPr>
      <w:r>
        <w:t>Specifically, Section 4928.66(A)(2)(c), Revised Code, states:</w:t>
      </w:r>
    </w:p>
    <w:p>
      <w:pPr>
        <w:ind w:left="720" w:right="720"/>
        <w:jc w:val="both"/>
      </w:pPr>
      <w:r>
        <w:t xml:space="preserve">(c) </w:t>
      </w:r>
      <w:r>
        <w:rPr>
          <w:b/>
          <w:u w:val="single"/>
        </w:rPr>
        <w:t>Compliance</w:t>
      </w:r>
      <w:r>
        <w:rPr>
          <w:u w:val="single"/>
        </w:rPr>
        <w:t xml:space="preserve"> with divisions (A)(1)(a) and (b)</w:t>
      </w:r>
      <w:r>
        <w:t xml:space="preserve"> of this section </w:t>
      </w:r>
      <w:r>
        <w:rPr>
          <w:b/>
          <w:u w:val="single"/>
        </w:rPr>
        <w:t>shall be measured by including</w:t>
      </w:r>
      <w:r>
        <w:t xml:space="preserve"> the effects of </w:t>
      </w:r>
      <w:r>
        <w:rPr>
          <w:u w:val="single"/>
        </w:rPr>
        <w:t>all</w:t>
      </w:r>
      <w:r>
        <w:t xml:space="preserve"> demand-response programs for mercantile customers of the subject electric distribution utility </w:t>
      </w:r>
      <w:r>
        <w:rPr>
          <w:b/>
          <w:i/>
          <w:u w:val="single"/>
        </w:rPr>
        <w:t>and</w:t>
      </w:r>
      <w:r>
        <w:t xml:space="preserve"> </w:t>
      </w:r>
      <w:r>
        <w:rPr>
          <w:b/>
          <w:u w:val="single"/>
        </w:rPr>
        <w:t>all such mercantile customer-sited energy efficiency and peak demand reduction programs</w:t>
      </w:r>
      <w:r>
        <w:t>, adjusted upward by the appropriate loss factors. Any mechanism designed to recover the cost of energy efficiency and peak demand reduction programs under divisions (A)(1)(a) and (b) of this section may exempt mercantile customers that commit their demand-response or other customer-sited capabilities, whether existing or new, for integration into the electric distribution utility’s demand-response, energy efficiency, or peak demand reduction programs, if the commission determines that that exemption reasonably encourages such customers to commit those capabilities to those programs…</w:t>
      </w:r>
    </w:p>
    <w:p>
      <w:pPr>
        <w:spacing w:after="0" w:line="480" w:lineRule="auto"/>
        <w:jc w:val="both"/>
      </w:pPr>
      <w:r>
        <w:lastRenderedPageBreak/>
        <w:t xml:space="preserve">As IEU-Ohio noted (multiple times) in the “Green Rules” proceeding (Case No. 08-888-EL-ORD) and the Commission’s measurement and verification docket (Case No. 09-512-EL-UNC), the Commission has no discretion in this regard -- a mercantile customer’s self-directed EE/PDR programs </w:t>
      </w:r>
      <w:r>
        <w:rPr>
          <w:b/>
          <w:u w:val="single"/>
        </w:rPr>
        <w:t>must</w:t>
      </w:r>
      <w:r>
        <w:t xml:space="preserve"> count towards an EDU’s EE/PDR benchmarks.</w:t>
      </w:r>
      <w:r>
        <w:rPr>
          <w:rStyle w:val="FootnoteReference"/>
        </w:rPr>
        <w:footnoteReference w:id="9"/>
      </w:r>
      <w:r>
        <w:t xml:space="preserve">  There are no provisions of Section 4928.66, Revised Code, or the Commission’s rules that limit the amounts of mercantile customer-sited EE/PDR programs that count towards the benchmarks.</w:t>
      </w:r>
      <w:r>
        <w:rPr>
          <w:rStyle w:val="FootnoteReference"/>
        </w:rPr>
        <w:footnoteReference w:id="10"/>
      </w:r>
      <w:r>
        <w:t xml:space="preserve">  As a creature of statute, the Commission may only exercise that jurisdiction conferred upon it by the Ohio Revised Code.</w:t>
      </w:r>
      <w:r>
        <w:rPr>
          <w:rStyle w:val="FootnoteReference"/>
          <w:rFonts w:eastAsia="Times New Roman"/>
        </w:rPr>
        <w:footnoteReference w:id="11"/>
      </w:r>
      <w:r>
        <w:t xml:space="preserve">  There is no lawful basis to support OEC’s and ELPC’s argument that FirstEnergy’s reliance upon historical mercantile customer projects must be limited.  </w:t>
      </w:r>
    </w:p>
    <w:p>
      <w:pPr>
        <w:spacing w:after="0" w:line="480" w:lineRule="auto"/>
        <w:jc w:val="both"/>
      </w:pPr>
      <w:r>
        <w:tab/>
        <w:t xml:space="preserve">Additionally, OEC’s and ELPC’s legislative intent arguments completely ignore the portions of Section 4928.66, Revised Code, that specifically demonstrate the General Assembly’s intent that mercantile customer-sited capabilities play a key role in EDUs’ benchmark compliance efforts.  Besides declaring that mercantile customer-sited capabilities must count towards benchmark compliance, the General Assembly also determined that an EDU’s baseline for setting the EE/PDR targets must be adjusted to account for the mercantile customer’s participation in helping an EDU meet its benchmarks.  Further, Section 4928.66(A)(2)(d), Revised Code, compels the </w:t>
      </w:r>
      <w:r>
        <w:lastRenderedPageBreak/>
        <w:t xml:space="preserve">Commission to </w:t>
      </w:r>
      <w:r>
        <w:rPr>
          <w:u w:val="single"/>
        </w:rPr>
        <w:t>facilitate</w:t>
      </w:r>
      <w:r>
        <w:t xml:space="preserve"> efforts by a mercantile customer or group of mercantile customers to offer customer-sited demand-response, energy efficiency, or peak demand reduction capabilities to an EDU as part of a reasonable arrangement submitted to the Commission under Section 4905.31, Revised Code.  In addition to the unambiguous language employed by the General Assembly in Section 4928.66, Revised Code, the other provisions of this statute reveal an unmistakable legislative desire that all mercantile customer-sited capabilities count towards an EDU’s compliance with the EE/PDR mandates.  </w:t>
      </w:r>
    </w:p>
    <w:p>
      <w:pPr>
        <w:spacing w:after="0" w:line="480" w:lineRule="auto"/>
        <w:ind w:firstLine="720"/>
        <w:jc w:val="both"/>
      </w:pPr>
      <w:r>
        <w:t>Moreover, OEC and ELPC mischaracterize or misunderstand FirstEnergy’s ability to rely on or block historical mercantile customer-sited projects from counting towards its portfolio obligations.  As noted above, mercantile customers have the option of committing customer-sited projects for integration into the EDU’s portfolio.  Ohio law – not the Commission or the consent of other stakeholders – gives mercantile customers the right to decide whether to commit their customer-sited capabilities to the EDU for integration into the EDU’s portfolio.    While mercantile customers and an EDU can and are in many cases working towards effective use of the capabilities of mercantile customers, Section 4928.66(A)(2)(d), Revised Code, provides mercantile customers the right to unilaterally make an application at the Commission to commit their customer-sited projects towards an EDU’s portfolio obligations.</w:t>
      </w:r>
      <w:r>
        <w:rPr>
          <w:rStyle w:val="FootnoteReference"/>
        </w:rPr>
        <w:footnoteReference w:id="12"/>
      </w:r>
      <w:r>
        <w:t xml:space="preserve">  Thus, the extent to which the capabilities of mercantile customers may be committed to FirstEnergy’s portfolio is not a matter within its sole control.</w:t>
      </w:r>
      <w:r>
        <w:rPr>
          <w:rStyle w:val="FootnoteReference"/>
        </w:rPr>
        <w:footnoteReference w:id="13"/>
      </w:r>
    </w:p>
    <w:p>
      <w:pPr>
        <w:spacing w:after="0" w:line="480" w:lineRule="auto"/>
        <w:jc w:val="both"/>
      </w:pPr>
      <w:r>
        <w:tab/>
        <w:t xml:space="preserve">Finally, it is ironic that OEC and ELPC argue against reliance upon historical mercantile customer projects while at the same time requesting the Commission reject FirstEnergy’s plan in its entirety inasmuch as, absent Commission approval of FirstEnergy’s plans for going forward programs, historical mercantile customer programs would represent FirstEnergy’s only option to achieve compliance with the statutory benchmarks.  As explained above, the only EE/PDR capabilities that the General Assembly mandated must count towards benchmark compliance are mercantile customer-sited capabilities.  Thus, if the Commission were to accept OEC’s and ELPC’s recommendation to reject the proposed EE/PDR portfolio plan in its entirety and leave FirstEnergy with no EE/PDR programs, FirstEnergy’s only option to comply with the EE/PDR mandates would be to rely even more on the very mercantile customer-sited capabilities that OEC and ELPC have so feverishly opposed in this proceeding and in other individual mercantile customer EE/PDR rider exemption proceedings.  </w:t>
      </w:r>
    </w:p>
    <w:p>
      <w:pPr>
        <w:spacing w:after="0" w:line="480" w:lineRule="auto"/>
        <w:jc w:val="both"/>
      </w:pPr>
      <w:r>
        <w:tab/>
        <w:t xml:space="preserve">Section 4928.66, Revised Code, requires counting of historic mercantile customer-sited EE/PDR measures towards FirstEnergy’s EE/PDR mandates.  The Commission should see OEC’s and ELPC’s arguments for what they are – another attempt to get the Commission to illegally rewrite SB 221.  The Commission must reject OEC’s and ELPC’s invitation to exclude the lawful and cost-effective use of historical mercantile customer-sited EE/PDR programs in favor of more expensive alternatives that are unlikely to achieve compliance within the required timeframe.  </w:t>
      </w:r>
    </w:p>
    <w:p>
      <w:pPr>
        <w:pStyle w:val="ListParagraph"/>
        <w:numPr>
          <w:ilvl w:val="0"/>
          <w:numId w:val="2"/>
        </w:numPr>
        <w:spacing w:after="0"/>
        <w:jc w:val="both"/>
        <w:rPr>
          <w:b/>
        </w:rPr>
      </w:pPr>
      <w:r>
        <w:rPr>
          <w:b/>
        </w:rPr>
        <w:t xml:space="preserve">The Commission should approve FirstEnergy’s proposal to annualize, rather than prorate, EE/PDR savings for projects completed during a calendar year during the term of FirstEnergy’s portfolio plan. </w:t>
      </w:r>
    </w:p>
    <w:p>
      <w:pPr>
        <w:pStyle w:val="ListParagraph"/>
        <w:spacing w:after="0"/>
        <w:jc w:val="both"/>
        <w:rPr>
          <w:b/>
        </w:rPr>
      </w:pPr>
    </w:p>
    <w:p>
      <w:pPr>
        <w:autoSpaceDE w:val="0"/>
        <w:autoSpaceDN w:val="0"/>
        <w:adjustRightInd w:val="0"/>
        <w:spacing w:after="0" w:line="480" w:lineRule="auto"/>
        <w:ind w:firstLine="720"/>
        <w:jc w:val="both"/>
      </w:pPr>
      <w:r>
        <w:t>Because the Commission has interpreted its rules to only permit an EDU to count partial year savings from its EE/PDR programs towards its benchmarks,</w:t>
      </w:r>
      <w:r>
        <w:rPr>
          <w:rStyle w:val="FootnoteReference"/>
        </w:rPr>
        <w:footnoteReference w:id="14"/>
      </w:r>
      <w:r>
        <w:t xml:space="preserve"> FirstEnergy requested an accelerated timeframe for approval of its EE/PDR portfolio plan to allow FirstEnergy to launch its portfolio plans by March 10, 2010 to meet the 2010 portfolio standards on a partial year basis.</w:t>
      </w:r>
      <w:r>
        <w:rPr>
          <w:rStyle w:val="FootnoteReference"/>
        </w:rPr>
        <w:footnoteReference w:id="15"/>
      </w:r>
      <w:r>
        <w:t xml:space="preserve">  Alternatively, in the event that the Commission is unable to issue an order within the FirstEnergy-proposed timeframe, FirstEnergy requested approval of several “fast track” programs by March 10, 2010.</w:t>
      </w:r>
      <w:r>
        <w:rPr>
          <w:rStyle w:val="FootnoteReference"/>
        </w:rPr>
        <w:footnoteReference w:id="16"/>
      </w:r>
      <w:r>
        <w:t xml:space="preserve">  If the Commission did not act on the EE/PDR portfolio plan or the “fast track” proposal within the proposed timeframes, FirstEnergy indicated that it will be unable to meet its 2010 portfolio obligations and, thus, FirstEnergy will request a waiver of its 2010 portfolio obligations.</w:t>
      </w:r>
      <w:r>
        <w:rPr>
          <w:rStyle w:val="FootnoteReference"/>
        </w:rPr>
        <w:footnoteReference w:id="17"/>
      </w:r>
    </w:p>
    <w:p>
      <w:pPr>
        <w:autoSpaceDE w:val="0"/>
        <w:autoSpaceDN w:val="0"/>
        <w:adjustRightInd w:val="0"/>
        <w:spacing w:after="0" w:line="480" w:lineRule="auto"/>
        <w:ind w:firstLine="720"/>
        <w:jc w:val="both"/>
      </w:pPr>
      <w:r>
        <w:t>FirstEnergy also explained that it was petitioning the Commission to modify its previous partial year findings to permit the use of full year savings in order to mitigate the significantly increased costs caused by the use of partial year savings.</w:t>
      </w:r>
      <w:r>
        <w:rPr>
          <w:rStyle w:val="FootnoteReference"/>
        </w:rPr>
        <w:footnoteReference w:id="18"/>
      </w:r>
      <w:r>
        <w:t xml:space="preserve">  FirstEnergy witness George L. Fitzpatrick testified that allowing FirstEnergy to annualize its savings would save customers approximately $51.2 million over the three-year portfolio plan period.</w:t>
      </w:r>
      <w:r>
        <w:rPr>
          <w:rStyle w:val="FootnoteReference"/>
        </w:rPr>
        <w:footnoteReference w:id="19"/>
      </w:r>
      <w:r>
        <w:t xml:space="preserve">  Additionally, FirstEnergy witness John E. Paganie stated that FirstEnergy could meet its EE/PDR benchmarks for 2010 if the Commission issues an order approving the portfolio plans in time for a July 2010 launch that also permits annualizing EE/PDR savings.</w:t>
      </w:r>
      <w:r>
        <w:rPr>
          <w:rStyle w:val="FootnoteReference"/>
        </w:rPr>
        <w:footnoteReference w:id="20"/>
      </w:r>
      <w:r>
        <w:t xml:space="preserve">  </w:t>
      </w:r>
    </w:p>
    <w:p>
      <w:pPr>
        <w:autoSpaceDE w:val="0"/>
        <w:autoSpaceDN w:val="0"/>
        <w:adjustRightInd w:val="0"/>
        <w:spacing w:after="0" w:line="480" w:lineRule="auto"/>
        <w:ind w:firstLine="720"/>
        <w:jc w:val="both"/>
      </w:pPr>
      <w:r>
        <w:t xml:space="preserve">In their Initial Briefs, no party specifically objected to FirstEnergy’s request to count energy savings on an annualized basis. </w:t>
      </w:r>
      <w:r>
        <w:rPr>
          <w:rStyle w:val="FootnoteReference"/>
        </w:rPr>
        <w:footnoteReference w:id="21"/>
      </w:r>
      <w:r>
        <w:t xml:space="preserve"> </w:t>
      </w:r>
    </w:p>
    <w:p>
      <w:pPr>
        <w:autoSpaceDE w:val="0"/>
        <w:autoSpaceDN w:val="0"/>
        <w:adjustRightInd w:val="0"/>
        <w:spacing w:after="0" w:line="480" w:lineRule="auto"/>
        <w:ind w:firstLine="720"/>
        <w:jc w:val="both"/>
      </w:pPr>
      <w:r>
        <w:t>As the Commission is aware, Ohio remains mired in the worst economic downturn since the great depression.</w:t>
      </w:r>
      <w:r>
        <w:rPr>
          <w:rStyle w:val="FootnoteReference"/>
        </w:rPr>
        <w:footnoteReference w:id="22"/>
      </w:r>
      <w:r>
        <w:t xml:space="preserve">  The public reaction to increases related to the compact fluorescent light (“CFL”) bulb program as well as the all-electric rates in FirstEnergy’s service territories demonstrates the sensitivity of FirstEnergy customers to even the potential for rate increases of any kind.  The Commission should not forgo the opportunity to save customers approximately $51.2 million during the three year duration of the portfolio plan proposed by FirstEnergy.  </w:t>
      </w:r>
    </w:p>
    <w:p>
      <w:pPr>
        <w:autoSpaceDE w:val="0"/>
        <w:autoSpaceDN w:val="0"/>
        <w:adjustRightInd w:val="0"/>
        <w:spacing w:after="0" w:line="480" w:lineRule="auto"/>
        <w:ind w:firstLine="720"/>
        <w:jc w:val="both"/>
      </w:pPr>
      <w:r>
        <w:t xml:space="preserve">Given the current landscape, the Commission should exercise its discretion in the implementation of Section 4928.66, Revised Code, to minimize the costs of its EE/PDR programs for purposes of compliance with the EE/PDR benchmarks.  The Commission can and should achieve this goal by permitting FirstEnergy to annualize the effects of its EE/PDR programs, resulting in a reduction of over $50 million in the overall EE/PDR portfolio plan cost.  Additionally, doing so would permit FirstEnergy to satisfy the portfolio obligations under Section 4928.66, Revised Code, and could potentially avoid the need for FirstEnergy to seek a waiver of its 2010 portfolio obligations. </w:t>
      </w:r>
    </w:p>
    <w:p>
      <w:pPr>
        <w:autoSpaceDE w:val="0"/>
        <w:autoSpaceDN w:val="0"/>
        <w:adjustRightInd w:val="0"/>
        <w:spacing w:after="0" w:line="480" w:lineRule="auto"/>
        <w:ind w:firstLine="720"/>
        <w:jc w:val="both"/>
      </w:pPr>
    </w:p>
    <w:p>
      <w:pPr>
        <w:pStyle w:val="BodyText2"/>
        <w:ind w:left="3600" w:firstLine="720"/>
        <w:jc w:val="both"/>
        <w:rPr>
          <w:rFonts w:ascii="Arial" w:hAnsi="Arial" w:cs="Arial"/>
          <w:sz w:val="24"/>
          <w:szCs w:val="24"/>
        </w:rPr>
      </w:pPr>
      <w:r>
        <w:rPr>
          <w:rFonts w:ascii="Arial" w:hAnsi="Arial" w:cs="Arial"/>
          <w:sz w:val="24"/>
          <w:szCs w:val="24"/>
        </w:rPr>
        <w:t>Respectfully submitted,</w:t>
      </w:r>
    </w:p>
    <w:p>
      <w:pPr>
        <w:tabs>
          <w:tab w:val="left" w:pos="-1440"/>
          <w:tab w:val="left" w:pos="-720"/>
          <w:tab w:val="left" w:pos="4320"/>
          <w:tab w:val="left" w:pos="4680"/>
          <w:tab w:val="left" w:pos="8640"/>
        </w:tabs>
        <w:spacing w:after="0"/>
        <w:jc w:val="both"/>
        <w:rPr>
          <w:u w:val="single"/>
        </w:rPr>
      </w:pPr>
      <w:r>
        <w:tab/>
      </w:r>
      <w:r>
        <w:rPr>
          <w:u w:val="single"/>
        </w:rPr>
        <w:t xml:space="preserve">/s/ </w:t>
      </w:r>
      <w:r>
        <w:rPr>
          <w:i/>
          <w:u w:val="single"/>
        </w:rPr>
        <w:t>Joseph M. Clark</w:t>
      </w:r>
      <w:r>
        <w:rPr>
          <w:u w:val="single"/>
        </w:rPr>
        <w:tab/>
      </w:r>
    </w:p>
    <w:p>
      <w:pPr>
        <w:tabs>
          <w:tab w:val="left" w:pos="-1440"/>
          <w:tab w:val="left" w:pos="-720"/>
          <w:tab w:val="left" w:pos="4320"/>
          <w:tab w:val="left" w:pos="5040"/>
        </w:tabs>
        <w:spacing w:after="0"/>
        <w:jc w:val="both"/>
      </w:pPr>
      <w:r>
        <w:tab/>
        <w:t>Samuel C. Randazzo (Counsel of Record)</w:t>
      </w:r>
    </w:p>
    <w:p>
      <w:pPr>
        <w:tabs>
          <w:tab w:val="left" w:pos="-1440"/>
          <w:tab w:val="left" w:pos="-720"/>
          <w:tab w:val="left" w:pos="4320"/>
          <w:tab w:val="left" w:pos="5040"/>
        </w:tabs>
        <w:spacing w:after="0"/>
        <w:jc w:val="both"/>
      </w:pPr>
      <w:r>
        <w:tab/>
        <w:t>Lisa G. McAlister</w:t>
      </w:r>
    </w:p>
    <w:p>
      <w:pPr>
        <w:tabs>
          <w:tab w:val="left" w:pos="-1440"/>
          <w:tab w:val="left" w:pos="-720"/>
          <w:tab w:val="left" w:pos="4320"/>
          <w:tab w:val="left" w:pos="5040"/>
        </w:tabs>
        <w:spacing w:after="0"/>
        <w:jc w:val="both"/>
      </w:pPr>
      <w:r>
        <w:tab/>
        <w:t>Joseph M. Clark</w:t>
      </w:r>
    </w:p>
    <w:p>
      <w:pPr>
        <w:tabs>
          <w:tab w:val="left" w:pos="-1440"/>
          <w:tab w:val="left" w:pos="-720"/>
          <w:tab w:val="left" w:pos="4320"/>
          <w:tab w:val="left" w:pos="5040"/>
        </w:tabs>
        <w:spacing w:after="0"/>
        <w:jc w:val="both"/>
      </w:pPr>
      <w:r>
        <w:tab/>
      </w:r>
      <w:r>
        <w:rPr>
          <w:smallCaps/>
        </w:rPr>
        <w:t>McNees Wallace &amp; Nurick LLC</w:t>
      </w:r>
    </w:p>
    <w:p>
      <w:pPr>
        <w:tabs>
          <w:tab w:val="left" w:pos="-1440"/>
          <w:tab w:val="left" w:pos="-720"/>
          <w:tab w:val="left" w:pos="4320"/>
          <w:tab w:val="left" w:pos="5040"/>
        </w:tabs>
        <w:spacing w:after="0"/>
        <w:jc w:val="both"/>
      </w:pPr>
      <w:r>
        <w:tab/>
        <w:t>Fifth Third Center</w:t>
      </w:r>
    </w:p>
    <w:p>
      <w:pPr>
        <w:tabs>
          <w:tab w:val="left" w:pos="-1440"/>
          <w:tab w:val="left" w:pos="-720"/>
          <w:tab w:val="left" w:pos="4320"/>
          <w:tab w:val="left" w:pos="5040"/>
        </w:tabs>
        <w:spacing w:after="0"/>
        <w:jc w:val="both"/>
      </w:pPr>
      <w:r>
        <w:tab/>
        <w:t>21 East State Street, 17</w:t>
      </w:r>
      <w:r>
        <w:rPr>
          <w:vertAlign w:val="superscript"/>
        </w:rPr>
        <w:t>th</w:t>
      </w:r>
      <w:r>
        <w:t xml:space="preserve"> Floor</w:t>
      </w:r>
    </w:p>
    <w:p>
      <w:pPr>
        <w:tabs>
          <w:tab w:val="left" w:pos="-1440"/>
          <w:tab w:val="left" w:pos="-720"/>
          <w:tab w:val="left" w:pos="4320"/>
          <w:tab w:val="left" w:pos="5040"/>
        </w:tabs>
        <w:spacing w:after="0"/>
        <w:jc w:val="both"/>
      </w:pPr>
      <w:r>
        <w:tab/>
        <w:t>Columbus, OH  43215-4228</w:t>
      </w:r>
    </w:p>
    <w:p>
      <w:pPr>
        <w:pStyle w:val="BodyText"/>
        <w:tabs>
          <w:tab w:val="left" w:pos="4320"/>
        </w:tabs>
      </w:pPr>
      <w:r>
        <w:tab/>
        <w:t>Telephone:  (614) 469-8000</w:t>
      </w:r>
    </w:p>
    <w:p>
      <w:pPr>
        <w:pStyle w:val="BodyText"/>
        <w:tabs>
          <w:tab w:val="left" w:pos="4320"/>
        </w:tabs>
      </w:pPr>
      <w:r>
        <w:tab/>
        <w:t>Telecopier:  (614) 469-4653</w:t>
      </w:r>
    </w:p>
    <w:p>
      <w:pPr>
        <w:pStyle w:val="BodyText"/>
        <w:tabs>
          <w:tab w:val="left" w:pos="4320"/>
        </w:tabs>
      </w:pPr>
      <w:r>
        <w:tab/>
        <w:t>sam@mwncmh.com</w:t>
      </w:r>
    </w:p>
    <w:p>
      <w:pPr>
        <w:pStyle w:val="BodyText"/>
        <w:tabs>
          <w:tab w:val="left" w:pos="4320"/>
        </w:tabs>
      </w:pPr>
      <w:r>
        <w:tab/>
        <w:t>lmcalister@mwncmh.com</w:t>
      </w:r>
    </w:p>
    <w:p>
      <w:pPr>
        <w:pStyle w:val="BodyText"/>
        <w:tabs>
          <w:tab w:val="left" w:pos="4320"/>
        </w:tabs>
      </w:pPr>
      <w:r>
        <w:tab/>
        <w:t>jclark@mwncmh.com</w:t>
      </w:r>
    </w:p>
    <w:p>
      <w:pPr>
        <w:tabs>
          <w:tab w:val="left" w:pos="4320"/>
          <w:tab w:val="right" w:pos="8640"/>
        </w:tabs>
        <w:jc w:val="both"/>
      </w:pPr>
    </w:p>
    <w:p>
      <w:pPr>
        <w:tabs>
          <w:tab w:val="left" w:pos="4320"/>
          <w:tab w:val="right" w:pos="8640"/>
        </w:tabs>
        <w:jc w:val="both"/>
        <w:rPr>
          <w:b/>
        </w:rPr>
      </w:pPr>
      <w:r>
        <w:tab/>
      </w:r>
      <w:r>
        <w:tab/>
      </w:r>
      <w:r>
        <w:rPr>
          <w:b/>
          <w:bCs/>
        </w:rPr>
        <w:t>Attorneys for</w:t>
      </w:r>
      <w:r>
        <w:t xml:space="preserve"> </w:t>
      </w:r>
      <w:r>
        <w:rPr>
          <w:b/>
        </w:rPr>
        <w:t>Industrial Energy Users-Ohio</w:t>
      </w:r>
    </w:p>
    <w:p>
      <w:pPr>
        <w:spacing w:line="276" w:lineRule="auto"/>
        <w:rPr>
          <w:rFonts w:eastAsiaTheme="majorEastAsia"/>
          <w:b/>
          <w:bCs/>
          <w:iCs/>
          <w:u w:val="single"/>
        </w:rPr>
      </w:pPr>
      <w:bookmarkStart w:id="2" w:name="_Toc381606702"/>
      <w:bookmarkStart w:id="3" w:name="_Toc385406742"/>
      <w:r>
        <w:rPr>
          <w:i/>
          <w:u w:val="single"/>
        </w:rPr>
        <w:br w:type="page"/>
      </w:r>
    </w:p>
    <w:p>
      <w:pPr>
        <w:pStyle w:val="Heading4"/>
        <w:jc w:val="center"/>
        <w:rPr>
          <w:rFonts w:ascii="Arial" w:hAnsi="Arial" w:cs="Arial"/>
          <w:i w:val="0"/>
          <w:color w:val="auto"/>
          <w:u w:val="single"/>
        </w:rPr>
      </w:pPr>
      <w:r>
        <w:rPr>
          <w:rFonts w:ascii="Arial" w:hAnsi="Arial" w:cs="Arial"/>
          <w:i w:val="0"/>
          <w:color w:val="auto"/>
          <w:u w:val="single"/>
        </w:rPr>
        <w:t>CERTIFICATE OF SERVICE</w:t>
      </w:r>
      <w:bookmarkEnd w:id="2"/>
      <w:bookmarkEnd w:id="3"/>
    </w:p>
    <w:p/>
    <w:p>
      <w:pPr>
        <w:pStyle w:val="BodyText"/>
        <w:spacing w:line="480" w:lineRule="auto"/>
        <w:ind w:firstLine="720"/>
      </w:pPr>
      <w:r>
        <w:t>I hereby certify that a copy of the foregoing</w:t>
      </w:r>
      <w:r>
        <w:rPr>
          <w:smallCaps/>
        </w:rPr>
        <w:t xml:space="preserve"> </w:t>
      </w:r>
      <w:r>
        <w:rPr>
          <w:i/>
          <w:iCs/>
        </w:rPr>
        <w:t xml:space="preserve">Reply Brief of Industrial Energy Users-Ohio </w:t>
      </w:r>
      <w:r>
        <w:t>was served upon the following parties of record this 12</w:t>
      </w:r>
      <w:r>
        <w:rPr>
          <w:vertAlign w:val="superscript"/>
        </w:rPr>
        <w:t>th</w:t>
      </w:r>
      <w:r>
        <w:t xml:space="preserve"> day of April 2010, via first class mail, postage prepaid.</w:t>
      </w:r>
    </w:p>
    <w:p>
      <w:pPr>
        <w:pStyle w:val="Title"/>
        <w:tabs>
          <w:tab w:val="left" w:pos="5040"/>
        </w:tabs>
        <w:ind w:left="5040"/>
        <w:jc w:val="left"/>
        <w:rPr>
          <w:b w:val="0"/>
          <w:smallCaps w:val="0"/>
          <w:sz w:val="24"/>
          <w:u w:val="single"/>
        </w:rPr>
      </w:pPr>
    </w:p>
    <w:p>
      <w:pPr>
        <w:pStyle w:val="Title"/>
        <w:tabs>
          <w:tab w:val="left" w:pos="5040"/>
        </w:tabs>
        <w:ind w:left="5040"/>
        <w:jc w:val="left"/>
        <w:rPr>
          <w:b w:val="0"/>
          <w:smallCaps w:val="0"/>
          <w:sz w:val="24"/>
          <w:u w:val="single"/>
        </w:rPr>
      </w:pPr>
      <w:r>
        <w:rPr>
          <w:b w:val="0"/>
          <w:smallCaps w:val="0"/>
          <w:sz w:val="24"/>
          <w:u w:val="single"/>
        </w:rPr>
        <w:t xml:space="preserve">/s/ </w:t>
      </w:r>
      <w:r>
        <w:rPr>
          <w:b w:val="0"/>
          <w:i/>
          <w:smallCaps w:val="0"/>
          <w:sz w:val="24"/>
          <w:u w:val="single"/>
        </w:rPr>
        <w:t>Joseph M. Clark</w:t>
      </w:r>
      <w:r>
        <w:rPr>
          <w:b w:val="0"/>
          <w:smallCaps w:val="0"/>
          <w:sz w:val="24"/>
          <w:u w:val="single"/>
        </w:rPr>
        <w:tab/>
      </w:r>
      <w:r>
        <w:rPr>
          <w:b w:val="0"/>
          <w:smallCaps w:val="0"/>
          <w:sz w:val="24"/>
          <w:u w:val="single"/>
        </w:rPr>
        <w:tab/>
      </w:r>
      <w:r>
        <w:rPr>
          <w:b w:val="0"/>
          <w:smallCaps w:val="0"/>
          <w:sz w:val="24"/>
          <w:u w:val="single"/>
        </w:rPr>
        <w:tab/>
      </w:r>
    </w:p>
    <w:p>
      <w:pPr>
        <w:pStyle w:val="Title"/>
        <w:tabs>
          <w:tab w:val="left" w:pos="5040"/>
        </w:tabs>
        <w:ind w:left="5040"/>
        <w:jc w:val="left"/>
        <w:rPr>
          <w:b w:val="0"/>
          <w:smallCaps w:val="0"/>
          <w:sz w:val="24"/>
        </w:rPr>
        <w:sectPr>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pPr>
      <w:r>
        <w:rPr>
          <w:b w:val="0"/>
          <w:smallCaps w:val="0"/>
          <w:sz w:val="24"/>
        </w:rPr>
        <w:t>Joseph M. Clark</w:t>
      </w:r>
    </w:p>
    <w:p>
      <w:pPr>
        <w:pStyle w:val="Title"/>
        <w:tabs>
          <w:tab w:val="left" w:pos="5040"/>
        </w:tabs>
        <w:ind w:left="5040"/>
        <w:jc w:val="left"/>
        <w:rPr>
          <w:b w:val="0"/>
          <w:smallCaps w:val="0"/>
          <w:sz w:val="24"/>
        </w:rPr>
      </w:pPr>
    </w:p>
    <w:p>
      <w:pPr>
        <w:pStyle w:val="Title"/>
        <w:tabs>
          <w:tab w:val="left" w:pos="5040"/>
        </w:tabs>
        <w:ind w:left="5040"/>
        <w:jc w:val="left"/>
        <w:rPr>
          <w:b w:val="0"/>
          <w:smallCaps w:val="0"/>
          <w:sz w:val="24"/>
        </w:rPr>
      </w:pPr>
    </w:p>
    <w:p>
      <w:pPr>
        <w:pStyle w:val="CommentText"/>
        <w:rPr>
          <w:rFonts w:ascii="Arial" w:hAnsi="Arial" w:cs="Arial"/>
          <w:sz w:val="24"/>
          <w:szCs w:val="24"/>
        </w:rPr>
      </w:pPr>
    </w:p>
    <w:p>
      <w:pPr>
        <w:pStyle w:val="CommentText"/>
        <w:rPr>
          <w:rFonts w:ascii="Arial" w:hAnsi="Arial" w:cs="Arial"/>
          <w:sz w:val="24"/>
          <w:szCs w:val="24"/>
        </w:rPr>
      </w:pPr>
      <w:r>
        <w:rPr>
          <w:rFonts w:ascii="Arial" w:hAnsi="Arial" w:cs="Arial"/>
          <w:sz w:val="24"/>
          <w:szCs w:val="24"/>
        </w:rPr>
        <w:t>Kathy J. Kolich</w:t>
      </w:r>
    </w:p>
    <w:p>
      <w:pPr>
        <w:pStyle w:val="CommentText"/>
        <w:rPr>
          <w:rFonts w:ascii="Arial" w:hAnsi="Arial" w:cs="Arial"/>
          <w:sz w:val="24"/>
          <w:szCs w:val="24"/>
        </w:rPr>
      </w:pPr>
      <w:r>
        <w:rPr>
          <w:rFonts w:ascii="Arial" w:hAnsi="Arial" w:cs="Arial"/>
          <w:sz w:val="24"/>
          <w:szCs w:val="24"/>
        </w:rPr>
        <w:t>Arthur Korkosz</w:t>
      </w:r>
    </w:p>
    <w:p>
      <w:pPr>
        <w:pStyle w:val="CommentText"/>
        <w:rPr>
          <w:rFonts w:ascii="Arial" w:hAnsi="Arial" w:cs="Arial"/>
          <w:sz w:val="24"/>
          <w:szCs w:val="24"/>
        </w:rPr>
      </w:pPr>
      <w:r>
        <w:rPr>
          <w:rFonts w:ascii="Arial" w:hAnsi="Arial" w:cs="Arial"/>
          <w:sz w:val="24"/>
          <w:szCs w:val="24"/>
        </w:rPr>
        <w:t>Ebony Miller</w:t>
      </w:r>
    </w:p>
    <w:p>
      <w:pPr>
        <w:pStyle w:val="CommentText"/>
        <w:rPr>
          <w:rFonts w:ascii="Arial" w:hAnsi="Arial" w:cs="Arial"/>
          <w:sz w:val="24"/>
          <w:szCs w:val="24"/>
        </w:rPr>
      </w:pPr>
      <w:r>
        <w:rPr>
          <w:rFonts w:ascii="Arial" w:hAnsi="Arial" w:cs="Arial"/>
          <w:sz w:val="24"/>
          <w:szCs w:val="24"/>
        </w:rPr>
        <w:t>FirstEnergy Service Company</w:t>
      </w:r>
    </w:p>
    <w:p>
      <w:pPr>
        <w:pStyle w:val="CommentText"/>
        <w:rPr>
          <w:rFonts w:ascii="Arial" w:hAnsi="Arial" w:cs="Arial"/>
          <w:sz w:val="24"/>
          <w:szCs w:val="24"/>
        </w:rPr>
      </w:pPr>
      <w:r>
        <w:rPr>
          <w:rFonts w:ascii="Arial" w:hAnsi="Arial" w:cs="Arial"/>
          <w:sz w:val="24"/>
          <w:szCs w:val="24"/>
        </w:rPr>
        <w:t>76 S. Main Street</w:t>
      </w:r>
    </w:p>
    <w:p>
      <w:pPr>
        <w:pStyle w:val="CommentText"/>
        <w:rPr>
          <w:rFonts w:ascii="Arial" w:hAnsi="Arial" w:cs="Arial"/>
          <w:sz w:val="24"/>
          <w:szCs w:val="24"/>
        </w:rPr>
      </w:pPr>
      <w:r>
        <w:rPr>
          <w:rFonts w:ascii="Arial" w:hAnsi="Arial" w:cs="Arial"/>
          <w:sz w:val="24"/>
          <w:szCs w:val="24"/>
        </w:rPr>
        <w:t>Akron, OH  44308</w:t>
      </w:r>
    </w:p>
    <w:p>
      <w:pPr>
        <w:pStyle w:val="CommentText"/>
        <w:rPr>
          <w:rFonts w:ascii="Arial" w:hAnsi="Arial" w:cs="Arial"/>
          <w:sz w:val="24"/>
          <w:szCs w:val="24"/>
        </w:rPr>
      </w:pPr>
      <w:r>
        <w:rPr>
          <w:rFonts w:ascii="Arial" w:hAnsi="Arial" w:cs="Arial"/>
          <w:sz w:val="24"/>
          <w:szCs w:val="24"/>
        </w:rPr>
        <w:t>kjkolich@firstenergycorp.com</w:t>
      </w:r>
    </w:p>
    <w:p>
      <w:pPr>
        <w:pStyle w:val="CommentText"/>
        <w:rPr>
          <w:rFonts w:ascii="Arial" w:hAnsi="Arial" w:cs="Arial"/>
          <w:sz w:val="24"/>
          <w:szCs w:val="24"/>
        </w:rPr>
      </w:pPr>
      <w:r>
        <w:rPr>
          <w:rFonts w:ascii="Arial" w:hAnsi="Arial" w:cs="Arial"/>
          <w:sz w:val="24"/>
          <w:szCs w:val="24"/>
        </w:rPr>
        <w:t>korkosza@firstenergycorp.com</w:t>
      </w:r>
    </w:p>
    <w:p>
      <w:pPr>
        <w:pStyle w:val="CommentText"/>
        <w:rPr>
          <w:rFonts w:ascii="Arial" w:hAnsi="Arial" w:cs="Arial"/>
          <w:sz w:val="24"/>
          <w:szCs w:val="24"/>
        </w:rPr>
      </w:pPr>
      <w:r>
        <w:rPr>
          <w:rFonts w:ascii="Arial" w:hAnsi="Arial" w:cs="Arial"/>
          <w:sz w:val="24"/>
          <w:szCs w:val="24"/>
        </w:rPr>
        <w:t>elmiller@firstenergycorp.com</w:t>
      </w:r>
    </w:p>
    <w:p>
      <w:pPr>
        <w:pStyle w:val="CommentText"/>
        <w:rPr>
          <w:rFonts w:ascii="Arial" w:hAnsi="Arial" w:cs="Arial"/>
          <w:sz w:val="24"/>
          <w:szCs w:val="24"/>
        </w:rPr>
      </w:pPr>
    </w:p>
    <w:p>
      <w:pPr>
        <w:pStyle w:val="CommentText"/>
        <w:rPr>
          <w:rFonts w:ascii="Arial" w:hAnsi="Arial" w:cs="Arial"/>
          <w:sz w:val="24"/>
          <w:szCs w:val="24"/>
        </w:rPr>
      </w:pPr>
      <w:r>
        <w:rPr>
          <w:rFonts w:ascii="Arial" w:hAnsi="Arial" w:cs="Arial"/>
          <w:sz w:val="24"/>
          <w:szCs w:val="24"/>
        </w:rPr>
        <w:t>James F. Lang</w:t>
      </w:r>
    </w:p>
    <w:p>
      <w:pPr>
        <w:pStyle w:val="CommentText"/>
        <w:rPr>
          <w:rFonts w:ascii="Arial" w:hAnsi="Arial" w:cs="Arial"/>
          <w:sz w:val="24"/>
          <w:szCs w:val="24"/>
        </w:rPr>
      </w:pPr>
      <w:r>
        <w:rPr>
          <w:rFonts w:ascii="Arial" w:hAnsi="Arial" w:cs="Arial"/>
          <w:sz w:val="24"/>
          <w:szCs w:val="24"/>
        </w:rPr>
        <w:t>Laura McBride</w:t>
      </w:r>
    </w:p>
    <w:p>
      <w:pPr>
        <w:pStyle w:val="CommentText"/>
        <w:rPr>
          <w:rFonts w:ascii="Arial" w:hAnsi="Arial" w:cs="Arial"/>
          <w:sz w:val="24"/>
          <w:szCs w:val="24"/>
        </w:rPr>
      </w:pPr>
      <w:r>
        <w:rPr>
          <w:rFonts w:ascii="Arial" w:hAnsi="Arial" w:cs="Arial"/>
          <w:sz w:val="24"/>
          <w:szCs w:val="24"/>
        </w:rPr>
        <w:t>N. Trevor Alexander</w:t>
      </w:r>
    </w:p>
    <w:p>
      <w:pPr>
        <w:pStyle w:val="CommentText"/>
        <w:rPr>
          <w:rFonts w:ascii="Arial" w:hAnsi="Arial" w:cs="Arial"/>
          <w:sz w:val="24"/>
          <w:szCs w:val="24"/>
        </w:rPr>
      </w:pPr>
      <w:r>
        <w:rPr>
          <w:rFonts w:ascii="Arial" w:hAnsi="Arial" w:cs="Arial"/>
          <w:sz w:val="24"/>
          <w:szCs w:val="24"/>
        </w:rPr>
        <w:t>Kevin P. Shannon</w:t>
      </w:r>
    </w:p>
    <w:p>
      <w:pPr>
        <w:pStyle w:val="CommentText"/>
        <w:rPr>
          <w:rFonts w:ascii="Arial" w:hAnsi="Arial" w:cs="Arial"/>
          <w:sz w:val="24"/>
          <w:szCs w:val="24"/>
        </w:rPr>
      </w:pPr>
      <w:r>
        <w:rPr>
          <w:rFonts w:ascii="Arial" w:hAnsi="Arial" w:cs="Arial"/>
          <w:sz w:val="24"/>
          <w:szCs w:val="24"/>
        </w:rPr>
        <w:t>Calfee, Halter &amp; Griswold</w:t>
      </w:r>
    </w:p>
    <w:p>
      <w:pPr>
        <w:pStyle w:val="CommentText"/>
        <w:rPr>
          <w:rFonts w:ascii="Arial" w:hAnsi="Arial" w:cs="Arial"/>
          <w:sz w:val="24"/>
          <w:szCs w:val="24"/>
        </w:rPr>
      </w:pPr>
      <w:r>
        <w:rPr>
          <w:rFonts w:ascii="Arial" w:hAnsi="Arial" w:cs="Arial"/>
          <w:sz w:val="24"/>
          <w:szCs w:val="24"/>
        </w:rPr>
        <w:t>1400 KeyBank Center</w:t>
      </w:r>
    </w:p>
    <w:p>
      <w:pPr>
        <w:pStyle w:val="CommentText"/>
        <w:rPr>
          <w:rFonts w:ascii="Arial" w:hAnsi="Arial" w:cs="Arial"/>
          <w:sz w:val="24"/>
          <w:szCs w:val="24"/>
        </w:rPr>
      </w:pPr>
      <w:r>
        <w:rPr>
          <w:rFonts w:ascii="Arial" w:hAnsi="Arial" w:cs="Arial"/>
          <w:sz w:val="24"/>
          <w:szCs w:val="24"/>
        </w:rPr>
        <w:t>800 Superior Ave.</w:t>
      </w:r>
    </w:p>
    <w:p>
      <w:pPr>
        <w:pStyle w:val="CommentText"/>
        <w:rPr>
          <w:rFonts w:ascii="Arial" w:hAnsi="Arial" w:cs="Arial"/>
          <w:sz w:val="24"/>
          <w:szCs w:val="24"/>
        </w:rPr>
      </w:pPr>
      <w:r>
        <w:rPr>
          <w:rFonts w:ascii="Arial" w:hAnsi="Arial" w:cs="Arial"/>
          <w:sz w:val="24"/>
          <w:szCs w:val="24"/>
        </w:rPr>
        <w:t>Cleveland, OH  44114</w:t>
      </w:r>
    </w:p>
    <w:p>
      <w:pPr>
        <w:pStyle w:val="CommentText"/>
        <w:rPr>
          <w:rFonts w:ascii="Arial" w:hAnsi="Arial" w:cs="Arial"/>
          <w:sz w:val="24"/>
          <w:szCs w:val="24"/>
        </w:rPr>
      </w:pPr>
      <w:r>
        <w:rPr>
          <w:rFonts w:ascii="Arial" w:hAnsi="Arial" w:cs="Arial"/>
          <w:sz w:val="24"/>
          <w:szCs w:val="24"/>
        </w:rPr>
        <w:t>jlang@calfee.com</w:t>
      </w:r>
    </w:p>
    <w:p>
      <w:pPr>
        <w:pStyle w:val="CommentText"/>
        <w:rPr>
          <w:rFonts w:ascii="Arial" w:hAnsi="Arial" w:cs="Arial"/>
          <w:sz w:val="24"/>
          <w:szCs w:val="24"/>
        </w:rPr>
      </w:pPr>
      <w:r>
        <w:rPr>
          <w:rFonts w:ascii="Arial" w:hAnsi="Arial" w:cs="Arial"/>
          <w:sz w:val="24"/>
          <w:szCs w:val="24"/>
        </w:rPr>
        <w:t>lmcbride@calfee.com</w:t>
      </w:r>
    </w:p>
    <w:p>
      <w:pPr>
        <w:pStyle w:val="CommentText"/>
        <w:rPr>
          <w:rFonts w:ascii="Arial" w:hAnsi="Arial" w:cs="Arial"/>
          <w:sz w:val="24"/>
          <w:szCs w:val="24"/>
        </w:rPr>
      </w:pPr>
      <w:r>
        <w:rPr>
          <w:rFonts w:ascii="Arial" w:hAnsi="Arial" w:cs="Arial"/>
          <w:sz w:val="24"/>
          <w:szCs w:val="24"/>
        </w:rPr>
        <w:t>talexander@calfee.com</w:t>
      </w:r>
    </w:p>
    <w:p>
      <w:pPr>
        <w:pStyle w:val="CommentText"/>
        <w:rPr>
          <w:rFonts w:ascii="Arial" w:hAnsi="Arial" w:cs="Arial"/>
          <w:sz w:val="24"/>
          <w:szCs w:val="24"/>
        </w:rPr>
      </w:pPr>
      <w:r>
        <w:rPr>
          <w:rFonts w:ascii="Arial" w:hAnsi="Arial" w:cs="Arial"/>
          <w:sz w:val="24"/>
          <w:szCs w:val="24"/>
        </w:rPr>
        <w:t>kshannon@calfee.com</w:t>
      </w:r>
    </w:p>
    <w:p>
      <w:pPr>
        <w:pStyle w:val="CommentText"/>
        <w:rPr>
          <w:rFonts w:ascii="Arial" w:hAnsi="Arial" w:cs="Arial"/>
          <w:b/>
          <w:smallCaps/>
          <w:sz w:val="24"/>
          <w:szCs w:val="24"/>
        </w:rPr>
      </w:pPr>
    </w:p>
    <w:p>
      <w:pPr>
        <w:pStyle w:val="CommentText"/>
        <w:rPr>
          <w:rFonts w:ascii="Arial" w:hAnsi="Arial" w:cs="Arial"/>
          <w:b/>
          <w:smallCaps/>
          <w:sz w:val="24"/>
          <w:szCs w:val="24"/>
        </w:rPr>
      </w:pPr>
      <w:r>
        <w:rPr>
          <w:rFonts w:ascii="Arial" w:hAnsi="Arial" w:cs="Arial"/>
          <w:b/>
          <w:smallCaps/>
          <w:sz w:val="24"/>
          <w:szCs w:val="24"/>
        </w:rPr>
        <w:t>On Behalf of Ohio Edison Company, The Cleveland Electric Illuminating Company, and the Toledo Edison Company</w:t>
      </w:r>
    </w:p>
    <w:p>
      <w:pPr>
        <w:pStyle w:val="CommentText"/>
        <w:rPr>
          <w:rFonts w:ascii="Arial" w:hAnsi="Arial" w:cs="Arial"/>
          <w:b/>
          <w:smallCaps/>
          <w:sz w:val="24"/>
          <w:szCs w:val="24"/>
        </w:rPr>
      </w:pPr>
    </w:p>
    <w:p>
      <w:pPr>
        <w:autoSpaceDE w:val="0"/>
        <w:autoSpaceDN w:val="0"/>
        <w:adjustRightInd w:val="0"/>
        <w:rPr>
          <w:bCs/>
        </w:rPr>
      </w:pPr>
    </w:p>
    <w:p>
      <w:pPr>
        <w:autoSpaceDE w:val="0"/>
        <w:autoSpaceDN w:val="0"/>
        <w:adjustRightInd w:val="0"/>
        <w:rPr>
          <w:bCs/>
        </w:rPr>
      </w:pPr>
    </w:p>
    <w:p>
      <w:pPr>
        <w:autoSpaceDE w:val="0"/>
        <w:autoSpaceDN w:val="0"/>
        <w:adjustRightInd w:val="0"/>
        <w:rPr>
          <w:bCs/>
        </w:rPr>
      </w:pPr>
    </w:p>
    <w:p>
      <w:pPr>
        <w:autoSpaceDE w:val="0"/>
        <w:autoSpaceDN w:val="0"/>
        <w:adjustRightInd w:val="0"/>
        <w:spacing w:after="0"/>
        <w:rPr>
          <w:bCs/>
        </w:rPr>
      </w:pPr>
    </w:p>
    <w:p>
      <w:pPr>
        <w:autoSpaceDE w:val="0"/>
        <w:autoSpaceDN w:val="0"/>
        <w:adjustRightInd w:val="0"/>
        <w:spacing w:after="0"/>
        <w:rPr>
          <w:bCs/>
        </w:rPr>
      </w:pPr>
      <w:r>
        <w:rPr>
          <w:bCs/>
        </w:rPr>
        <w:t>Janine Migden-Ostrander</w:t>
      </w:r>
    </w:p>
    <w:p>
      <w:pPr>
        <w:autoSpaceDE w:val="0"/>
        <w:autoSpaceDN w:val="0"/>
        <w:adjustRightInd w:val="0"/>
        <w:spacing w:after="0"/>
        <w:rPr>
          <w:bCs/>
        </w:rPr>
      </w:pPr>
      <w:r>
        <w:rPr>
          <w:bCs/>
        </w:rPr>
        <w:t>Ohio Consumers’ Counsel</w:t>
      </w:r>
    </w:p>
    <w:p>
      <w:pPr>
        <w:autoSpaceDE w:val="0"/>
        <w:autoSpaceDN w:val="0"/>
        <w:adjustRightInd w:val="0"/>
        <w:spacing w:after="0"/>
        <w:rPr>
          <w:bCs/>
        </w:rPr>
      </w:pPr>
      <w:r>
        <w:rPr>
          <w:bCs/>
        </w:rPr>
        <w:t>Gregory J. Poulos</w:t>
      </w:r>
    </w:p>
    <w:p>
      <w:pPr>
        <w:autoSpaceDE w:val="0"/>
        <w:autoSpaceDN w:val="0"/>
        <w:adjustRightInd w:val="0"/>
        <w:spacing w:after="0"/>
        <w:rPr>
          <w:bCs/>
        </w:rPr>
      </w:pPr>
      <w:r>
        <w:rPr>
          <w:bCs/>
        </w:rPr>
        <w:t>Christopher J. Allwein</w:t>
      </w:r>
    </w:p>
    <w:p>
      <w:pPr>
        <w:autoSpaceDE w:val="0"/>
        <w:autoSpaceDN w:val="0"/>
        <w:adjustRightInd w:val="0"/>
        <w:spacing w:after="0"/>
        <w:rPr>
          <w:bCs/>
        </w:rPr>
      </w:pPr>
      <w:r>
        <w:rPr>
          <w:bCs/>
        </w:rPr>
        <w:t>Jeffrey L. Small</w:t>
      </w:r>
    </w:p>
    <w:p>
      <w:pPr>
        <w:autoSpaceDE w:val="0"/>
        <w:autoSpaceDN w:val="0"/>
        <w:adjustRightInd w:val="0"/>
        <w:spacing w:after="0"/>
        <w:rPr>
          <w:bCs/>
        </w:rPr>
      </w:pPr>
      <w:r>
        <w:rPr>
          <w:bCs/>
        </w:rPr>
        <w:t>Richard Reese</w:t>
      </w:r>
    </w:p>
    <w:p>
      <w:pPr>
        <w:autoSpaceDE w:val="0"/>
        <w:autoSpaceDN w:val="0"/>
        <w:adjustRightInd w:val="0"/>
        <w:spacing w:after="0"/>
        <w:rPr>
          <w:bCs/>
        </w:rPr>
      </w:pPr>
      <w:r>
        <w:rPr>
          <w:bCs/>
        </w:rPr>
        <w:t>Assistant Consumers’ Counsel</w:t>
      </w:r>
    </w:p>
    <w:p>
      <w:pPr>
        <w:autoSpaceDE w:val="0"/>
        <w:autoSpaceDN w:val="0"/>
        <w:adjustRightInd w:val="0"/>
        <w:spacing w:after="0"/>
        <w:rPr>
          <w:bCs/>
        </w:rPr>
      </w:pPr>
      <w:r>
        <w:rPr>
          <w:bCs/>
        </w:rPr>
        <w:t>10 West Broad Street, Suite 1800</w:t>
      </w:r>
    </w:p>
    <w:p>
      <w:pPr>
        <w:autoSpaceDE w:val="0"/>
        <w:autoSpaceDN w:val="0"/>
        <w:adjustRightInd w:val="0"/>
        <w:spacing w:after="0"/>
        <w:rPr>
          <w:bCs/>
        </w:rPr>
      </w:pPr>
      <w:r>
        <w:rPr>
          <w:bCs/>
        </w:rPr>
        <w:t>Columbus, OH  43215-3485</w:t>
      </w:r>
    </w:p>
    <w:p>
      <w:pPr>
        <w:spacing w:after="0"/>
      </w:pPr>
      <w:r>
        <w:t>small@occ.state.oh.us</w:t>
      </w:r>
    </w:p>
    <w:p>
      <w:pPr>
        <w:autoSpaceDE w:val="0"/>
        <w:autoSpaceDN w:val="0"/>
        <w:adjustRightInd w:val="0"/>
        <w:spacing w:after="0"/>
      </w:pPr>
      <w:r>
        <w:t>poulos@occ.state.oh.us</w:t>
      </w:r>
    </w:p>
    <w:p>
      <w:pPr>
        <w:autoSpaceDE w:val="0"/>
        <w:autoSpaceDN w:val="0"/>
        <w:adjustRightInd w:val="0"/>
        <w:spacing w:after="0"/>
      </w:pPr>
      <w:r>
        <w:t>allwein@occ.state.oh.us</w:t>
      </w:r>
    </w:p>
    <w:p>
      <w:pPr>
        <w:autoSpaceDE w:val="0"/>
        <w:autoSpaceDN w:val="0"/>
        <w:adjustRightInd w:val="0"/>
        <w:spacing w:after="0"/>
      </w:pPr>
      <w:r>
        <w:t>reese@occ.state.oh.us</w:t>
      </w:r>
    </w:p>
    <w:p>
      <w:pPr>
        <w:pStyle w:val="CommentText"/>
        <w:rPr>
          <w:rFonts w:ascii="Arial" w:hAnsi="Arial" w:cs="Arial"/>
          <w:smallCaps/>
          <w:sz w:val="24"/>
          <w:szCs w:val="24"/>
        </w:rPr>
      </w:pPr>
    </w:p>
    <w:p>
      <w:pPr>
        <w:pStyle w:val="CommentText"/>
        <w:rPr>
          <w:rFonts w:ascii="Arial" w:hAnsi="Arial" w:cs="Arial"/>
          <w:smallCaps/>
          <w:sz w:val="24"/>
          <w:szCs w:val="24"/>
        </w:rPr>
      </w:pPr>
      <w:r>
        <w:rPr>
          <w:rFonts w:ascii="Arial" w:hAnsi="Arial" w:cs="Arial"/>
          <w:b/>
          <w:smallCaps/>
          <w:sz w:val="24"/>
          <w:szCs w:val="24"/>
        </w:rPr>
        <w:t>On Behalf of the Office of the Ohio Consumers’ Counsel</w:t>
      </w:r>
    </w:p>
    <w:p>
      <w:pPr>
        <w:pStyle w:val="CommentText"/>
        <w:rPr>
          <w:rFonts w:ascii="Arial" w:hAnsi="Arial" w:cs="Arial"/>
          <w:smallCaps/>
          <w:sz w:val="24"/>
          <w:szCs w:val="24"/>
        </w:rPr>
      </w:pPr>
    </w:p>
    <w:p>
      <w:pPr>
        <w:autoSpaceDE w:val="0"/>
        <w:autoSpaceDN w:val="0"/>
        <w:adjustRightInd w:val="0"/>
        <w:spacing w:after="0"/>
      </w:pPr>
      <w:r>
        <w:t>David C. Rinebolt</w:t>
      </w:r>
    </w:p>
    <w:p>
      <w:pPr>
        <w:autoSpaceDE w:val="0"/>
        <w:autoSpaceDN w:val="0"/>
        <w:adjustRightInd w:val="0"/>
        <w:spacing w:after="0"/>
      </w:pPr>
      <w:r>
        <w:t>Colleen L. Mooney</w:t>
      </w:r>
    </w:p>
    <w:p>
      <w:pPr>
        <w:autoSpaceDE w:val="0"/>
        <w:autoSpaceDN w:val="0"/>
        <w:adjustRightInd w:val="0"/>
        <w:spacing w:after="0"/>
      </w:pPr>
      <w:r>
        <w:t>Ohio Partners for Affordable Energy</w:t>
      </w:r>
    </w:p>
    <w:p>
      <w:pPr>
        <w:autoSpaceDE w:val="0"/>
        <w:autoSpaceDN w:val="0"/>
        <w:adjustRightInd w:val="0"/>
        <w:spacing w:after="0"/>
      </w:pPr>
      <w:r>
        <w:t>231 West Lima Street</w:t>
      </w:r>
    </w:p>
    <w:p>
      <w:pPr>
        <w:autoSpaceDE w:val="0"/>
        <w:autoSpaceDN w:val="0"/>
        <w:adjustRightInd w:val="0"/>
        <w:spacing w:after="0"/>
      </w:pPr>
      <w:r>
        <w:t>Findlay, OH 45839-1793</w:t>
      </w:r>
    </w:p>
    <w:p>
      <w:pPr>
        <w:autoSpaceDE w:val="0"/>
        <w:autoSpaceDN w:val="0"/>
        <w:adjustRightInd w:val="0"/>
        <w:spacing w:after="0"/>
      </w:pPr>
      <w:r>
        <w:t>cmooney2@columbus.rr.com</w:t>
      </w:r>
    </w:p>
    <w:p>
      <w:pPr>
        <w:spacing w:after="0"/>
      </w:pPr>
      <w:r>
        <w:t>drinebolt@ohiopartners.org</w:t>
      </w:r>
    </w:p>
    <w:p>
      <w:pPr>
        <w:pStyle w:val="CommentText"/>
        <w:rPr>
          <w:rFonts w:ascii="Arial" w:hAnsi="Arial" w:cs="Arial"/>
          <w:smallCaps/>
          <w:sz w:val="24"/>
          <w:szCs w:val="24"/>
        </w:rPr>
      </w:pPr>
    </w:p>
    <w:p>
      <w:pPr>
        <w:pStyle w:val="CommentText"/>
        <w:rPr>
          <w:rFonts w:ascii="Arial" w:hAnsi="Arial" w:cs="Arial"/>
          <w:smallCaps/>
          <w:sz w:val="24"/>
          <w:szCs w:val="24"/>
        </w:rPr>
      </w:pPr>
      <w:r>
        <w:rPr>
          <w:rFonts w:ascii="Arial" w:hAnsi="Arial" w:cs="Arial"/>
          <w:b/>
          <w:smallCaps/>
          <w:sz w:val="24"/>
          <w:szCs w:val="24"/>
        </w:rPr>
        <w:t>On Behalf of Ohio Partners for Affordable Energy</w:t>
      </w:r>
    </w:p>
    <w:p>
      <w:pPr>
        <w:pStyle w:val="CommentText"/>
        <w:rPr>
          <w:rFonts w:ascii="Arial" w:hAnsi="Arial" w:cs="Arial"/>
          <w:smallCaps/>
          <w:sz w:val="24"/>
          <w:szCs w:val="24"/>
        </w:rPr>
      </w:pPr>
    </w:p>
    <w:p>
      <w:pPr>
        <w:pStyle w:val="CommentText"/>
        <w:rPr>
          <w:rFonts w:ascii="Arial" w:hAnsi="Arial" w:cs="Arial"/>
          <w:sz w:val="24"/>
          <w:szCs w:val="24"/>
        </w:rPr>
      </w:pPr>
      <w:r>
        <w:rPr>
          <w:rFonts w:ascii="Arial" w:hAnsi="Arial" w:cs="Arial"/>
          <w:smallCaps/>
          <w:sz w:val="24"/>
          <w:szCs w:val="24"/>
        </w:rPr>
        <w:br w:type="column"/>
      </w:r>
      <w:r>
        <w:rPr>
          <w:rFonts w:ascii="Arial" w:hAnsi="Arial" w:cs="Arial"/>
          <w:sz w:val="24"/>
          <w:szCs w:val="24"/>
        </w:rPr>
        <w:t>Will Reisinger</w:t>
      </w:r>
    </w:p>
    <w:p>
      <w:pPr>
        <w:autoSpaceDE w:val="0"/>
        <w:autoSpaceDN w:val="0"/>
        <w:adjustRightInd w:val="0"/>
        <w:spacing w:after="0"/>
      </w:pPr>
      <w:r>
        <w:t>Trent Doughtery</w:t>
      </w:r>
    </w:p>
    <w:p>
      <w:pPr>
        <w:autoSpaceDE w:val="0"/>
        <w:autoSpaceDN w:val="0"/>
        <w:adjustRightInd w:val="0"/>
        <w:spacing w:after="0"/>
      </w:pPr>
      <w:r>
        <w:t>Nolan Moser</w:t>
      </w:r>
    </w:p>
    <w:p>
      <w:pPr>
        <w:autoSpaceDE w:val="0"/>
        <w:autoSpaceDN w:val="0"/>
        <w:adjustRightInd w:val="0"/>
        <w:spacing w:after="0"/>
      </w:pPr>
      <w:r>
        <w:t>Megan De Lisi</w:t>
      </w:r>
    </w:p>
    <w:p>
      <w:pPr>
        <w:autoSpaceDE w:val="0"/>
        <w:autoSpaceDN w:val="0"/>
        <w:adjustRightInd w:val="0"/>
        <w:spacing w:after="0"/>
      </w:pPr>
      <w:r>
        <w:t>1207 Grandview Avenue, Suite 201</w:t>
      </w:r>
    </w:p>
    <w:p>
      <w:pPr>
        <w:autoSpaceDE w:val="0"/>
        <w:autoSpaceDN w:val="0"/>
        <w:adjustRightInd w:val="0"/>
        <w:spacing w:after="0"/>
      </w:pPr>
      <w:r>
        <w:t>Columbus, OH 43212-3449</w:t>
      </w:r>
    </w:p>
    <w:p>
      <w:pPr>
        <w:spacing w:after="0"/>
        <w:rPr>
          <w:iCs/>
        </w:rPr>
      </w:pPr>
      <w:r>
        <w:rPr>
          <w:iCs/>
        </w:rPr>
        <w:t>will@theOEC.org</w:t>
      </w:r>
    </w:p>
    <w:p>
      <w:pPr>
        <w:spacing w:after="0"/>
        <w:rPr>
          <w:iCs/>
        </w:rPr>
      </w:pPr>
      <w:r>
        <w:rPr>
          <w:iCs/>
        </w:rPr>
        <w:t>trent@theOEC.org</w:t>
      </w:r>
    </w:p>
    <w:p>
      <w:pPr>
        <w:spacing w:after="0"/>
        <w:rPr>
          <w:iCs/>
        </w:rPr>
      </w:pPr>
      <w:r>
        <w:rPr>
          <w:iCs/>
        </w:rPr>
        <w:t>nolan@theOEC.org</w:t>
      </w:r>
    </w:p>
    <w:p>
      <w:pPr>
        <w:spacing w:after="0"/>
        <w:rPr>
          <w:iCs/>
        </w:rPr>
      </w:pPr>
      <w:r>
        <w:rPr>
          <w:iCs/>
        </w:rPr>
        <w:t>megdelisi@yahoo.com</w:t>
      </w:r>
    </w:p>
    <w:p>
      <w:pPr>
        <w:spacing w:after="0"/>
        <w:rPr>
          <w:iCs/>
        </w:rPr>
      </w:pPr>
    </w:p>
    <w:p>
      <w:pPr>
        <w:autoSpaceDE w:val="0"/>
        <w:autoSpaceDN w:val="0"/>
        <w:adjustRightInd w:val="0"/>
        <w:spacing w:after="0"/>
        <w:rPr>
          <w:b/>
          <w:smallCaps/>
        </w:rPr>
      </w:pPr>
      <w:r>
        <w:rPr>
          <w:b/>
          <w:smallCaps/>
        </w:rPr>
        <w:t>On Behalf of Ohio Environmental Council</w:t>
      </w:r>
    </w:p>
    <w:p>
      <w:pPr>
        <w:autoSpaceDE w:val="0"/>
        <w:autoSpaceDN w:val="0"/>
        <w:adjustRightInd w:val="0"/>
        <w:spacing w:after="0"/>
      </w:pPr>
    </w:p>
    <w:p>
      <w:pPr>
        <w:autoSpaceDE w:val="0"/>
        <w:autoSpaceDN w:val="0"/>
        <w:adjustRightInd w:val="0"/>
        <w:spacing w:after="0"/>
      </w:pPr>
      <w:r>
        <w:t>Michael Heintz</w:t>
      </w:r>
    </w:p>
    <w:p>
      <w:pPr>
        <w:pStyle w:val="CommentText"/>
        <w:rPr>
          <w:rFonts w:ascii="Arial" w:hAnsi="Arial" w:cs="Arial"/>
          <w:sz w:val="24"/>
          <w:szCs w:val="24"/>
        </w:rPr>
      </w:pPr>
      <w:r>
        <w:rPr>
          <w:rFonts w:ascii="Arial" w:hAnsi="Arial" w:cs="Arial"/>
          <w:smallCaps/>
          <w:sz w:val="24"/>
          <w:szCs w:val="24"/>
        </w:rPr>
        <w:t xml:space="preserve">1207 </w:t>
      </w:r>
      <w:r>
        <w:rPr>
          <w:rFonts w:ascii="Arial" w:hAnsi="Arial" w:cs="Arial"/>
          <w:sz w:val="24"/>
          <w:szCs w:val="24"/>
        </w:rPr>
        <w:t>Grandview Avenue, Suite 201</w:t>
      </w:r>
    </w:p>
    <w:p>
      <w:pPr>
        <w:pStyle w:val="CommentText"/>
        <w:rPr>
          <w:rFonts w:ascii="Arial" w:hAnsi="Arial" w:cs="Arial"/>
          <w:sz w:val="24"/>
          <w:szCs w:val="24"/>
        </w:rPr>
      </w:pPr>
      <w:r>
        <w:rPr>
          <w:rFonts w:ascii="Arial" w:hAnsi="Arial" w:cs="Arial"/>
          <w:sz w:val="24"/>
          <w:szCs w:val="24"/>
        </w:rPr>
        <w:t>Columbus, OH  43215</w:t>
      </w:r>
    </w:p>
    <w:p>
      <w:pPr>
        <w:pStyle w:val="CommentText"/>
        <w:rPr>
          <w:rFonts w:ascii="Arial" w:hAnsi="Arial" w:cs="Arial"/>
          <w:sz w:val="24"/>
          <w:szCs w:val="24"/>
        </w:rPr>
      </w:pPr>
      <w:r>
        <w:rPr>
          <w:rFonts w:ascii="Arial" w:hAnsi="Arial" w:cs="Arial"/>
          <w:sz w:val="24"/>
          <w:szCs w:val="24"/>
        </w:rPr>
        <w:t>mheintz@elpc.org</w:t>
      </w:r>
    </w:p>
    <w:p>
      <w:pPr>
        <w:pStyle w:val="CommentText"/>
        <w:rPr>
          <w:rFonts w:ascii="Arial" w:hAnsi="Arial" w:cs="Arial"/>
          <w:sz w:val="24"/>
          <w:szCs w:val="24"/>
        </w:rPr>
      </w:pPr>
    </w:p>
    <w:p>
      <w:pPr>
        <w:pStyle w:val="CommentText"/>
        <w:rPr>
          <w:rFonts w:ascii="Arial" w:hAnsi="Arial" w:cs="Arial"/>
          <w:b/>
          <w:smallCaps/>
          <w:sz w:val="24"/>
          <w:szCs w:val="24"/>
        </w:rPr>
      </w:pPr>
      <w:r>
        <w:rPr>
          <w:rFonts w:ascii="Arial" w:hAnsi="Arial" w:cs="Arial"/>
          <w:b/>
          <w:smallCaps/>
          <w:sz w:val="24"/>
          <w:szCs w:val="24"/>
        </w:rPr>
        <w:t>On Behalf of Environmental Law and Policy Center</w:t>
      </w:r>
    </w:p>
    <w:p>
      <w:pPr>
        <w:pStyle w:val="CommentText"/>
        <w:rPr>
          <w:rFonts w:ascii="Arial" w:hAnsi="Arial" w:cs="Arial"/>
          <w:b/>
          <w:smallCaps/>
          <w:sz w:val="24"/>
          <w:szCs w:val="24"/>
        </w:rPr>
      </w:pPr>
    </w:p>
    <w:p>
      <w:pPr>
        <w:pStyle w:val="CommentText"/>
        <w:rPr>
          <w:rFonts w:ascii="Arial" w:hAnsi="Arial" w:cs="Arial"/>
          <w:sz w:val="24"/>
          <w:szCs w:val="24"/>
        </w:rPr>
      </w:pPr>
      <w:r>
        <w:rPr>
          <w:rFonts w:ascii="Arial" w:hAnsi="Arial" w:cs="Arial"/>
          <w:sz w:val="24"/>
          <w:szCs w:val="24"/>
        </w:rPr>
        <w:t>Todd Jones</w:t>
      </w:r>
    </w:p>
    <w:p>
      <w:pPr>
        <w:autoSpaceDE w:val="0"/>
        <w:autoSpaceDN w:val="0"/>
        <w:adjustRightInd w:val="0"/>
        <w:spacing w:after="0"/>
      </w:pPr>
      <w:r>
        <w:t>Christopher Miller</w:t>
      </w:r>
    </w:p>
    <w:p>
      <w:pPr>
        <w:autoSpaceDE w:val="0"/>
        <w:autoSpaceDN w:val="0"/>
        <w:adjustRightInd w:val="0"/>
        <w:spacing w:after="0"/>
      </w:pPr>
      <w:r>
        <w:t>Andre Porter</w:t>
      </w:r>
    </w:p>
    <w:p>
      <w:pPr>
        <w:autoSpaceDE w:val="0"/>
        <w:autoSpaceDN w:val="0"/>
        <w:adjustRightInd w:val="0"/>
        <w:spacing w:after="0"/>
      </w:pPr>
      <w:r>
        <w:t>Gregory Dunn</w:t>
      </w:r>
    </w:p>
    <w:p>
      <w:pPr>
        <w:autoSpaceDE w:val="0"/>
        <w:autoSpaceDN w:val="0"/>
        <w:adjustRightInd w:val="0"/>
        <w:spacing w:after="0"/>
      </w:pPr>
      <w:r>
        <w:t>Schottenstein Zox &amp; Dunn Co., LPA</w:t>
      </w:r>
    </w:p>
    <w:p>
      <w:pPr>
        <w:autoSpaceDE w:val="0"/>
        <w:autoSpaceDN w:val="0"/>
        <w:adjustRightInd w:val="0"/>
        <w:spacing w:after="0"/>
      </w:pPr>
      <w:r>
        <w:t>250 West Street</w:t>
      </w:r>
    </w:p>
    <w:p>
      <w:pPr>
        <w:autoSpaceDE w:val="0"/>
        <w:autoSpaceDN w:val="0"/>
        <w:adjustRightInd w:val="0"/>
        <w:spacing w:after="0"/>
      </w:pPr>
      <w:r>
        <w:t>Columbus, OH 43215</w:t>
      </w:r>
    </w:p>
    <w:p>
      <w:pPr>
        <w:spacing w:after="0"/>
      </w:pPr>
      <w:r>
        <w:t>tjones@szd.com</w:t>
      </w:r>
    </w:p>
    <w:p>
      <w:pPr>
        <w:spacing w:after="0"/>
      </w:pPr>
      <w:r>
        <w:t>cmiller@szd.com</w:t>
      </w:r>
    </w:p>
    <w:p>
      <w:pPr>
        <w:spacing w:after="0"/>
      </w:pPr>
      <w:r>
        <w:t>aporter@szd.com</w:t>
      </w:r>
    </w:p>
    <w:p>
      <w:pPr>
        <w:spacing w:after="0"/>
      </w:pPr>
      <w:r>
        <w:t>gdunn@szd.com</w:t>
      </w:r>
    </w:p>
    <w:p>
      <w:pPr>
        <w:pStyle w:val="CommentText"/>
        <w:rPr>
          <w:rFonts w:ascii="Arial" w:hAnsi="Arial" w:cs="Arial"/>
          <w:sz w:val="24"/>
          <w:szCs w:val="24"/>
        </w:rPr>
      </w:pPr>
    </w:p>
    <w:p>
      <w:pPr>
        <w:pStyle w:val="CommentText"/>
        <w:rPr>
          <w:rFonts w:ascii="Arial" w:hAnsi="Arial" w:cs="Arial"/>
          <w:sz w:val="24"/>
          <w:szCs w:val="24"/>
        </w:rPr>
      </w:pPr>
      <w:r>
        <w:rPr>
          <w:rFonts w:ascii="Arial" w:hAnsi="Arial" w:cs="Arial"/>
          <w:b/>
          <w:smallCaps/>
          <w:sz w:val="24"/>
          <w:szCs w:val="24"/>
        </w:rPr>
        <w:t>On Behalf of AICUO</w:t>
      </w:r>
    </w:p>
    <w:p>
      <w:pPr>
        <w:pStyle w:val="CommentText"/>
        <w:rPr>
          <w:rFonts w:ascii="Arial" w:hAnsi="Arial" w:cs="Arial"/>
          <w:sz w:val="24"/>
          <w:szCs w:val="24"/>
        </w:rPr>
      </w:pPr>
    </w:p>
    <w:p>
      <w:pPr>
        <w:pStyle w:val="CommentText"/>
        <w:rPr>
          <w:rFonts w:ascii="Arial" w:hAnsi="Arial" w:cs="Arial"/>
          <w:sz w:val="24"/>
          <w:szCs w:val="24"/>
        </w:rPr>
      </w:pPr>
      <w:r>
        <w:rPr>
          <w:rFonts w:ascii="Arial" w:hAnsi="Arial" w:cs="Arial"/>
          <w:sz w:val="24"/>
          <w:szCs w:val="24"/>
        </w:rPr>
        <w:t>David F. Boehm</w:t>
      </w:r>
    </w:p>
    <w:p>
      <w:pPr>
        <w:autoSpaceDE w:val="0"/>
        <w:autoSpaceDN w:val="0"/>
        <w:adjustRightInd w:val="0"/>
        <w:spacing w:after="0"/>
      </w:pPr>
      <w:r>
        <w:t>Michael L. Kurtz, Esq.</w:t>
      </w:r>
    </w:p>
    <w:p>
      <w:pPr>
        <w:autoSpaceDE w:val="0"/>
        <w:autoSpaceDN w:val="0"/>
        <w:adjustRightInd w:val="0"/>
        <w:spacing w:after="0"/>
      </w:pPr>
      <w:r>
        <w:t>Boehm, Kurtz &amp; Lowry</w:t>
      </w:r>
    </w:p>
    <w:p>
      <w:pPr>
        <w:autoSpaceDE w:val="0"/>
        <w:autoSpaceDN w:val="0"/>
        <w:adjustRightInd w:val="0"/>
        <w:spacing w:after="0"/>
      </w:pPr>
      <w:r>
        <w:t>36 East Seventh St., Ste. 1510</w:t>
      </w:r>
    </w:p>
    <w:p>
      <w:pPr>
        <w:spacing w:after="0"/>
      </w:pPr>
      <w:r>
        <w:t>Cincinnati, OH 45202</w:t>
      </w:r>
    </w:p>
    <w:p>
      <w:pPr>
        <w:autoSpaceDE w:val="0"/>
        <w:autoSpaceDN w:val="0"/>
        <w:adjustRightInd w:val="0"/>
        <w:spacing w:after="0"/>
      </w:pPr>
      <w:r>
        <w:t>dboehm@BKLlawfirm.com</w:t>
      </w:r>
    </w:p>
    <w:p>
      <w:pPr>
        <w:spacing w:after="0"/>
      </w:pPr>
      <w:r>
        <w:t>mkurtz@BKLlawfirm.com</w:t>
      </w:r>
    </w:p>
    <w:p>
      <w:pPr>
        <w:pStyle w:val="CommentText"/>
        <w:rPr>
          <w:rFonts w:ascii="Arial" w:hAnsi="Arial" w:cs="Arial"/>
          <w:sz w:val="24"/>
          <w:szCs w:val="24"/>
        </w:rPr>
      </w:pPr>
    </w:p>
    <w:p>
      <w:pPr>
        <w:pStyle w:val="CommentText"/>
        <w:rPr>
          <w:rFonts w:ascii="Arial" w:hAnsi="Arial" w:cs="Arial"/>
          <w:b/>
          <w:smallCaps/>
          <w:sz w:val="24"/>
          <w:szCs w:val="24"/>
        </w:rPr>
      </w:pPr>
      <w:r>
        <w:rPr>
          <w:rFonts w:ascii="Arial" w:hAnsi="Arial" w:cs="Arial"/>
          <w:b/>
          <w:smallCaps/>
          <w:sz w:val="24"/>
          <w:szCs w:val="24"/>
        </w:rPr>
        <w:t>On Behalf of Ohio Energy Group</w:t>
      </w:r>
    </w:p>
    <w:p>
      <w:pPr>
        <w:pStyle w:val="CommentText"/>
        <w:rPr>
          <w:rFonts w:ascii="Arial" w:hAnsi="Arial" w:cs="Arial"/>
          <w:b/>
          <w:smallCaps/>
          <w:sz w:val="24"/>
          <w:szCs w:val="24"/>
        </w:rPr>
      </w:pPr>
    </w:p>
    <w:p>
      <w:pPr>
        <w:autoSpaceDE w:val="0"/>
        <w:autoSpaceDN w:val="0"/>
        <w:adjustRightInd w:val="0"/>
        <w:spacing w:after="0"/>
      </w:pPr>
      <w:r>
        <w:br w:type="column"/>
        <w:t>Joseph P. Meissner</w:t>
      </w:r>
    </w:p>
    <w:p>
      <w:pPr>
        <w:autoSpaceDE w:val="0"/>
        <w:autoSpaceDN w:val="0"/>
        <w:adjustRightInd w:val="0"/>
        <w:spacing w:after="0"/>
      </w:pPr>
      <w:r>
        <w:t>Matthew D. Vincel</w:t>
      </w:r>
    </w:p>
    <w:p>
      <w:pPr>
        <w:autoSpaceDE w:val="0"/>
        <w:autoSpaceDN w:val="0"/>
        <w:adjustRightInd w:val="0"/>
        <w:spacing w:after="0"/>
      </w:pPr>
      <w:r>
        <w:t>The Legal Aid Society of Cleveland</w:t>
      </w:r>
    </w:p>
    <w:p>
      <w:pPr>
        <w:autoSpaceDE w:val="0"/>
        <w:autoSpaceDN w:val="0"/>
        <w:adjustRightInd w:val="0"/>
        <w:spacing w:after="0"/>
      </w:pPr>
      <w:r>
        <w:t>1223 West 6</w:t>
      </w:r>
      <w:r>
        <w:rPr>
          <w:vertAlign w:val="superscript"/>
        </w:rPr>
        <w:t>th</w:t>
      </w:r>
      <w:r>
        <w:t xml:space="preserve"> St.</w:t>
      </w:r>
    </w:p>
    <w:p>
      <w:pPr>
        <w:autoSpaceDE w:val="0"/>
        <w:autoSpaceDN w:val="0"/>
        <w:adjustRightInd w:val="0"/>
        <w:spacing w:after="0"/>
      </w:pPr>
      <w:r>
        <w:t>Cleveland, OH 44113</w:t>
      </w:r>
    </w:p>
    <w:p>
      <w:pPr>
        <w:spacing w:after="0"/>
      </w:pPr>
      <w:r>
        <w:t>jpmessin@lasclev.org</w:t>
      </w:r>
    </w:p>
    <w:p>
      <w:pPr>
        <w:spacing w:after="0"/>
      </w:pPr>
      <w:r>
        <w:t>mvincel@lasclev.org</w:t>
      </w:r>
    </w:p>
    <w:p>
      <w:pPr>
        <w:pStyle w:val="CommentText"/>
        <w:rPr>
          <w:rFonts w:ascii="Arial" w:hAnsi="Arial" w:cs="Arial"/>
          <w:sz w:val="24"/>
          <w:szCs w:val="24"/>
        </w:rPr>
      </w:pPr>
    </w:p>
    <w:p>
      <w:pPr>
        <w:pStyle w:val="CommentText"/>
        <w:rPr>
          <w:rFonts w:ascii="Arial" w:hAnsi="Arial" w:cs="Arial"/>
          <w:b/>
          <w:smallCaps/>
          <w:sz w:val="24"/>
          <w:szCs w:val="24"/>
        </w:rPr>
      </w:pPr>
      <w:r>
        <w:rPr>
          <w:rFonts w:ascii="Arial" w:hAnsi="Arial" w:cs="Arial"/>
          <w:b/>
          <w:smallCaps/>
          <w:sz w:val="24"/>
          <w:szCs w:val="24"/>
        </w:rPr>
        <w:t>On Behalf of the Neighborhood Environmental Coalition, Consumers for Fair Utility Rates, The Empowerment Center of Greater Cleveland and Cleveland Housing Network</w:t>
      </w:r>
    </w:p>
    <w:p>
      <w:pPr>
        <w:pStyle w:val="CommentText"/>
        <w:rPr>
          <w:rFonts w:ascii="Arial" w:hAnsi="Arial" w:cs="Arial"/>
          <w:b/>
          <w:smallCaps/>
          <w:sz w:val="24"/>
          <w:szCs w:val="24"/>
        </w:rPr>
      </w:pPr>
    </w:p>
    <w:p>
      <w:pPr>
        <w:autoSpaceDE w:val="0"/>
        <w:autoSpaceDN w:val="0"/>
        <w:adjustRightInd w:val="0"/>
        <w:spacing w:after="0"/>
      </w:pPr>
      <w:r>
        <w:t>Theodore Robinson</w:t>
      </w:r>
    </w:p>
    <w:p>
      <w:pPr>
        <w:autoSpaceDE w:val="0"/>
        <w:autoSpaceDN w:val="0"/>
        <w:adjustRightInd w:val="0"/>
        <w:spacing w:after="0"/>
      </w:pPr>
      <w:r>
        <w:t>Staff Attorney and Counsel</w:t>
      </w:r>
    </w:p>
    <w:p>
      <w:pPr>
        <w:autoSpaceDE w:val="0"/>
        <w:autoSpaceDN w:val="0"/>
        <w:adjustRightInd w:val="0"/>
        <w:spacing w:after="0"/>
      </w:pPr>
      <w:r>
        <w:t>Citizen Power</w:t>
      </w:r>
    </w:p>
    <w:p>
      <w:pPr>
        <w:autoSpaceDE w:val="0"/>
        <w:autoSpaceDN w:val="0"/>
        <w:adjustRightInd w:val="0"/>
        <w:spacing w:after="0"/>
      </w:pPr>
      <w:r>
        <w:t>2121 Murray Ave.</w:t>
      </w:r>
    </w:p>
    <w:p>
      <w:pPr>
        <w:autoSpaceDE w:val="0"/>
        <w:autoSpaceDN w:val="0"/>
        <w:adjustRightInd w:val="0"/>
        <w:spacing w:after="0"/>
      </w:pPr>
      <w:r>
        <w:t>Pittsburgh, PA 15217</w:t>
      </w:r>
    </w:p>
    <w:p>
      <w:pPr>
        <w:spacing w:after="0"/>
      </w:pPr>
      <w:r>
        <w:t>robinson@citizenpower.com</w:t>
      </w:r>
    </w:p>
    <w:p>
      <w:pPr>
        <w:pStyle w:val="CommentText"/>
        <w:rPr>
          <w:rFonts w:ascii="Arial" w:hAnsi="Arial" w:cs="Arial"/>
          <w:b/>
          <w:smallCaps/>
          <w:sz w:val="24"/>
          <w:szCs w:val="24"/>
        </w:rPr>
      </w:pPr>
    </w:p>
    <w:p>
      <w:pPr>
        <w:pStyle w:val="CommentText"/>
        <w:rPr>
          <w:rFonts w:ascii="Arial" w:hAnsi="Arial" w:cs="Arial"/>
          <w:b/>
          <w:smallCaps/>
          <w:sz w:val="24"/>
          <w:szCs w:val="24"/>
        </w:rPr>
      </w:pPr>
      <w:r>
        <w:rPr>
          <w:rFonts w:ascii="Arial" w:hAnsi="Arial" w:cs="Arial"/>
          <w:b/>
          <w:smallCaps/>
          <w:sz w:val="24"/>
          <w:szCs w:val="24"/>
        </w:rPr>
        <w:t>On Behalf of Citizen Power</w:t>
      </w:r>
    </w:p>
    <w:p>
      <w:pPr>
        <w:pStyle w:val="CommentText"/>
        <w:rPr>
          <w:rFonts w:ascii="Arial" w:hAnsi="Arial" w:cs="Arial"/>
          <w:b/>
          <w:smallCaps/>
          <w:sz w:val="24"/>
          <w:szCs w:val="24"/>
        </w:rPr>
      </w:pPr>
    </w:p>
    <w:p>
      <w:pPr>
        <w:spacing w:after="0"/>
      </w:pPr>
      <w:r>
        <w:t>Thomas J. O’Brien</w:t>
      </w:r>
    </w:p>
    <w:p>
      <w:pPr>
        <w:spacing w:after="0"/>
      </w:pPr>
      <w:r>
        <w:t>Bricker &amp; Eckler LLP</w:t>
      </w:r>
    </w:p>
    <w:p>
      <w:pPr>
        <w:spacing w:after="0"/>
      </w:pPr>
      <w:r>
        <w:t>100 South Third Street</w:t>
      </w:r>
    </w:p>
    <w:p>
      <w:pPr>
        <w:pStyle w:val="CommentText"/>
        <w:rPr>
          <w:rFonts w:ascii="Arial" w:hAnsi="Arial" w:cs="Arial"/>
          <w:sz w:val="24"/>
          <w:szCs w:val="24"/>
        </w:rPr>
      </w:pPr>
      <w:r>
        <w:rPr>
          <w:rFonts w:ascii="Arial" w:hAnsi="Arial" w:cs="Arial"/>
          <w:sz w:val="24"/>
          <w:szCs w:val="24"/>
        </w:rPr>
        <w:t>Columbus, OH 43215</w:t>
      </w:r>
    </w:p>
    <w:p>
      <w:pPr>
        <w:pStyle w:val="CommentText"/>
        <w:rPr>
          <w:rFonts w:ascii="Arial" w:hAnsi="Arial" w:cs="Arial"/>
          <w:sz w:val="24"/>
          <w:szCs w:val="24"/>
        </w:rPr>
      </w:pPr>
      <w:r>
        <w:rPr>
          <w:rFonts w:ascii="Arial" w:hAnsi="Arial" w:cs="Arial"/>
          <w:sz w:val="24"/>
          <w:szCs w:val="24"/>
        </w:rPr>
        <w:t>tobrien@bricker.com</w:t>
      </w:r>
    </w:p>
    <w:p>
      <w:pPr>
        <w:pStyle w:val="CommentText"/>
        <w:rPr>
          <w:rFonts w:ascii="Arial" w:hAnsi="Arial" w:cs="Arial"/>
          <w:sz w:val="24"/>
          <w:szCs w:val="24"/>
        </w:rPr>
      </w:pPr>
    </w:p>
    <w:p>
      <w:pPr>
        <w:pStyle w:val="CommentText"/>
        <w:rPr>
          <w:rFonts w:ascii="Arial" w:hAnsi="Arial" w:cs="Arial"/>
          <w:b/>
          <w:smallCaps/>
          <w:sz w:val="24"/>
          <w:szCs w:val="24"/>
        </w:rPr>
      </w:pPr>
      <w:r>
        <w:rPr>
          <w:rFonts w:ascii="Arial" w:hAnsi="Arial" w:cs="Arial"/>
          <w:b/>
          <w:smallCaps/>
          <w:sz w:val="24"/>
          <w:szCs w:val="24"/>
        </w:rPr>
        <w:t>On Behalf of the Ohio Manufacturers’ Association and the Ohio Hospital Association</w:t>
      </w:r>
    </w:p>
    <w:p>
      <w:pPr>
        <w:autoSpaceDE w:val="0"/>
        <w:autoSpaceDN w:val="0"/>
        <w:adjustRightInd w:val="0"/>
        <w:spacing w:after="0"/>
      </w:pPr>
    </w:p>
    <w:p>
      <w:pPr>
        <w:autoSpaceDE w:val="0"/>
        <w:autoSpaceDN w:val="0"/>
        <w:adjustRightInd w:val="0"/>
        <w:spacing w:after="0"/>
      </w:pPr>
      <w:r>
        <w:t>Henry W. Eckhart</w:t>
      </w:r>
    </w:p>
    <w:p>
      <w:pPr>
        <w:autoSpaceDE w:val="0"/>
        <w:autoSpaceDN w:val="0"/>
        <w:adjustRightInd w:val="0"/>
        <w:spacing w:after="0"/>
      </w:pPr>
      <w:r>
        <w:t>Rebecca Riley</w:t>
      </w:r>
    </w:p>
    <w:p>
      <w:pPr>
        <w:autoSpaceDE w:val="0"/>
        <w:autoSpaceDN w:val="0"/>
        <w:adjustRightInd w:val="0"/>
        <w:spacing w:after="0"/>
      </w:pPr>
      <w:r>
        <w:t>50 West Broad Street, #2117</w:t>
      </w:r>
    </w:p>
    <w:p>
      <w:pPr>
        <w:spacing w:after="0"/>
      </w:pPr>
      <w:r>
        <w:t>Columbus, OH 43215</w:t>
      </w:r>
    </w:p>
    <w:p>
      <w:pPr>
        <w:pStyle w:val="CommentText"/>
        <w:rPr>
          <w:rFonts w:ascii="Arial" w:hAnsi="Arial" w:cs="Arial"/>
          <w:sz w:val="24"/>
          <w:szCs w:val="24"/>
        </w:rPr>
      </w:pPr>
      <w:r>
        <w:rPr>
          <w:rFonts w:ascii="Arial" w:hAnsi="Arial" w:cs="Arial"/>
          <w:sz w:val="24"/>
          <w:szCs w:val="24"/>
        </w:rPr>
        <w:t>henryeckhart@aol.com</w:t>
      </w:r>
    </w:p>
    <w:p>
      <w:pPr>
        <w:pStyle w:val="CommentText"/>
        <w:rPr>
          <w:rFonts w:ascii="Arial" w:hAnsi="Arial" w:cs="Arial"/>
          <w:sz w:val="24"/>
          <w:szCs w:val="24"/>
        </w:rPr>
      </w:pPr>
    </w:p>
    <w:p>
      <w:pPr>
        <w:pStyle w:val="CommentText"/>
        <w:rPr>
          <w:rFonts w:ascii="Arial" w:hAnsi="Arial" w:cs="Arial"/>
          <w:b/>
          <w:smallCaps/>
          <w:sz w:val="24"/>
          <w:szCs w:val="24"/>
        </w:rPr>
      </w:pPr>
      <w:r>
        <w:rPr>
          <w:rFonts w:ascii="Arial" w:hAnsi="Arial" w:cs="Arial"/>
          <w:b/>
          <w:smallCaps/>
          <w:sz w:val="24"/>
          <w:szCs w:val="24"/>
        </w:rPr>
        <w:t>On Behalf of the Natural Resources Defense Counsel</w:t>
      </w:r>
    </w:p>
    <w:p>
      <w:pPr>
        <w:spacing w:line="276" w:lineRule="auto"/>
        <w:rPr>
          <w:rFonts w:eastAsia="Times New Roman"/>
          <w:b/>
          <w:smallCaps/>
        </w:rPr>
      </w:pPr>
      <w:r>
        <w:rPr>
          <w:b/>
          <w:smallCaps/>
        </w:rPr>
        <w:br w:type="page"/>
      </w:r>
    </w:p>
    <w:p>
      <w:pPr>
        <w:pStyle w:val="CommentText"/>
        <w:rPr>
          <w:rFonts w:ascii="Arial" w:hAnsi="Arial" w:cs="Arial"/>
          <w:sz w:val="24"/>
          <w:szCs w:val="24"/>
        </w:rPr>
      </w:pPr>
      <w:r>
        <w:rPr>
          <w:rFonts w:ascii="Arial" w:hAnsi="Arial" w:cs="Arial"/>
          <w:sz w:val="24"/>
          <w:szCs w:val="24"/>
        </w:rPr>
        <w:t>Richard Sites</w:t>
      </w:r>
    </w:p>
    <w:p>
      <w:pPr>
        <w:pStyle w:val="CommentText"/>
        <w:rPr>
          <w:rFonts w:ascii="Arial" w:hAnsi="Arial" w:cs="Arial"/>
          <w:sz w:val="24"/>
          <w:szCs w:val="24"/>
        </w:rPr>
      </w:pPr>
      <w:r>
        <w:rPr>
          <w:rFonts w:ascii="Arial" w:hAnsi="Arial" w:cs="Arial"/>
          <w:sz w:val="24"/>
          <w:szCs w:val="24"/>
        </w:rPr>
        <w:t>Ohio Hospital Assoc.</w:t>
      </w:r>
    </w:p>
    <w:p>
      <w:pPr>
        <w:pStyle w:val="CommentText"/>
        <w:rPr>
          <w:rFonts w:ascii="Arial" w:hAnsi="Arial" w:cs="Arial"/>
          <w:sz w:val="24"/>
          <w:szCs w:val="24"/>
        </w:rPr>
      </w:pPr>
      <w:r>
        <w:rPr>
          <w:rFonts w:ascii="Arial" w:hAnsi="Arial" w:cs="Arial"/>
          <w:sz w:val="24"/>
          <w:szCs w:val="24"/>
        </w:rPr>
        <w:t>155 East Broad Street, ,15</w:t>
      </w:r>
      <w:r>
        <w:rPr>
          <w:rFonts w:ascii="Arial" w:hAnsi="Arial" w:cs="Arial"/>
          <w:sz w:val="24"/>
          <w:szCs w:val="24"/>
          <w:vertAlign w:val="superscript"/>
        </w:rPr>
        <w:t>th</w:t>
      </w:r>
      <w:r>
        <w:rPr>
          <w:rFonts w:ascii="Arial" w:hAnsi="Arial" w:cs="Arial"/>
          <w:sz w:val="24"/>
          <w:szCs w:val="24"/>
        </w:rPr>
        <w:t xml:space="preserve"> Floor</w:t>
      </w:r>
    </w:p>
    <w:p>
      <w:pPr>
        <w:pStyle w:val="CommentText"/>
        <w:rPr>
          <w:rFonts w:ascii="Arial" w:hAnsi="Arial" w:cs="Arial"/>
          <w:sz w:val="24"/>
          <w:szCs w:val="24"/>
        </w:rPr>
      </w:pPr>
      <w:r>
        <w:rPr>
          <w:rFonts w:ascii="Arial" w:hAnsi="Arial" w:cs="Arial"/>
          <w:sz w:val="24"/>
          <w:szCs w:val="24"/>
        </w:rPr>
        <w:t>Columbus, OH  43215</w:t>
      </w:r>
    </w:p>
    <w:p>
      <w:pPr>
        <w:pStyle w:val="CommentText"/>
        <w:rPr>
          <w:rFonts w:ascii="Arial" w:hAnsi="Arial" w:cs="Arial"/>
          <w:sz w:val="24"/>
          <w:szCs w:val="24"/>
        </w:rPr>
      </w:pPr>
      <w:r>
        <w:rPr>
          <w:rFonts w:ascii="Arial" w:hAnsi="Arial" w:cs="Arial"/>
          <w:sz w:val="24"/>
          <w:szCs w:val="24"/>
        </w:rPr>
        <w:t>ricks@ohanet.org</w:t>
      </w:r>
    </w:p>
    <w:p>
      <w:pPr>
        <w:pStyle w:val="CommentText"/>
        <w:rPr>
          <w:rFonts w:ascii="Arial" w:hAnsi="Arial" w:cs="Arial"/>
          <w:sz w:val="24"/>
          <w:szCs w:val="24"/>
        </w:rPr>
      </w:pPr>
    </w:p>
    <w:p>
      <w:pPr>
        <w:pStyle w:val="CommentText"/>
        <w:rPr>
          <w:rFonts w:ascii="Arial" w:hAnsi="Arial" w:cs="Arial"/>
          <w:b/>
          <w:smallCaps/>
          <w:sz w:val="24"/>
          <w:szCs w:val="24"/>
        </w:rPr>
      </w:pPr>
      <w:r>
        <w:rPr>
          <w:rFonts w:ascii="Arial" w:hAnsi="Arial" w:cs="Arial"/>
          <w:b/>
          <w:smallCaps/>
          <w:sz w:val="24"/>
          <w:szCs w:val="24"/>
        </w:rPr>
        <w:t>On Behalf of the Ohio Hospital Association</w:t>
      </w:r>
    </w:p>
    <w:p>
      <w:pPr>
        <w:pStyle w:val="CommentText"/>
        <w:rPr>
          <w:rFonts w:ascii="Arial" w:hAnsi="Arial" w:cs="Arial"/>
          <w:b/>
          <w:smallCaps/>
          <w:sz w:val="24"/>
          <w:szCs w:val="24"/>
        </w:rPr>
      </w:pPr>
    </w:p>
    <w:p>
      <w:pPr>
        <w:pStyle w:val="CommentText"/>
        <w:rPr>
          <w:rFonts w:ascii="Arial" w:hAnsi="Arial" w:cs="Arial"/>
          <w:sz w:val="24"/>
          <w:szCs w:val="24"/>
        </w:rPr>
      </w:pPr>
      <w:r>
        <w:rPr>
          <w:rFonts w:ascii="Arial" w:hAnsi="Arial" w:cs="Arial"/>
          <w:sz w:val="24"/>
          <w:szCs w:val="24"/>
        </w:rPr>
        <w:t>Jacqueline Lake Roberts</w:t>
      </w:r>
    </w:p>
    <w:p>
      <w:pPr>
        <w:pStyle w:val="CommentText"/>
        <w:rPr>
          <w:rFonts w:ascii="Arial" w:hAnsi="Arial" w:cs="Arial"/>
          <w:sz w:val="24"/>
          <w:szCs w:val="24"/>
        </w:rPr>
      </w:pPr>
      <w:r>
        <w:rPr>
          <w:rFonts w:ascii="Arial" w:hAnsi="Arial" w:cs="Arial"/>
          <w:sz w:val="24"/>
          <w:szCs w:val="24"/>
        </w:rPr>
        <w:t>101 Federal Street, Suite 1100</w:t>
      </w:r>
    </w:p>
    <w:p>
      <w:pPr>
        <w:pStyle w:val="CommentText"/>
        <w:rPr>
          <w:rFonts w:ascii="Arial" w:hAnsi="Arial" w:cs="Arial"/>
          <w:sz w:val="24"/>
          <w:szCs w:val="24"/>
        </w:rPr>
      </w:pPr>
      <w:r>
        <w:rPr>
          <w:rFonts w:ascii="Arial" w:hAnsi="Arial" w:cs="Arial"/>
          <w:sz w:val="24"/>
          <w:szCs w:val="24"/>
        </w:rPr>
        <w:t>Boston, MA  02110</w:t>
      </w:r>
    </w:p>
    <w:p>
      <w:pPr>
        <w:pStyle w:val="CommentText"/>
        <w:rPr>
          <w:rFonts w:ascii="Arial" w:hAnsi="Arial" w:cs="Arial"/>
          <w:sz w:val="24"/>
          <w:szCs w:val="24"/>
        </w:rPr>
      </w:pPr>
      <w:r>
        <w:rPr>
          <w:rFonts w:ascii="Arial" w:hAnsi="Arial" w:cs="Arial"/>
          <w:sz w:val="24"/>
          <w:szCs w:val="24"/>
        </w:rPr>
        <w:t>jroberts@enernoc.com</w:t>
      </w:r>
    </w:p>
    <w:p>
      <w:pPr>
        <w:pStyle w:val="CommentText"/>
        <w:rPr>
          <w:rFonts w:ascii="Arial" w:hAnsi="Arial" w:cs="Arial"/>
          <w:b/>
          <w:smallCaps/>
          <w:sz w:val="24"/>
          <w:szCs w:val="24"/>
        </w:rPr>
      </w:pPr>
    </w:p>
    <w:p>
      <w:pPr>
        <w:pStyle w:val="CommentText"/>
        <w:rPr>
          <w:rFonts w:ascii="Arial" w:hAnsi="Arial" w:cs="Arial"/>
          <w:b/>
          <w:smallCaps/>
          <w:sz w:val="24"/>
          <w:szCs w:val="24"/>
        </w:rPr>
      </w:pPr>
      <w:r>
        <w:rPr>
          <w:rFonts w:ascii="Arial" w:hAnsi="Arial" w:cs="Arial"/>
          <w:b/>
          <w:smallCaps/>
          <w:sz w:val="24"/>
          <w:szCs w:val="24"/>
        </w:rPr>
        <w:t>On Behalf of EnerNoc, Inc.</w:t>
      </w:r>
    </w:p>
    <w:p>
      <w:pPr>
        <w:pStyle w:val="CommentText"/>
        <w:rPr>
          <w:rFonts w:ascii="Arial" w:hAnsi="Arial" w:cs="Arial"/>
          <w:b/>
          <w:smallCaps/>
          <w:sz w:val="24"/>
          <w:szCs w:val="24"/>
        </w:rPr>
      </w:pPr>
    </w:p>
    <w:p>
      <w:pPr>
        <w:pStyle w:val="CommentText"/>
        <w:rPr>
          <w:rFonts w:ascii="Arial" w:hAnsi="Arial" w:cs="Arial"/>
          <w:sz w:val="24"/>
          <w:szCs w:val="24"/>
        </w:rPr>
      </w:pPr>
      <w:r>
        <w:rPr>
          <w:rFonts w:ascii="Arial" w:hAnsi="Arial" w:cs="Arial"/>
          <w:sz w:val="24"/>
          <w:szCs w:val="24"/>
        </w:rPr>
        <w:t>Matthew W. Warnock</w:t>
      </w:r>
    </w:p>
    <w:p>
      <w:pPr>
        <w:pStyle w:val="CommentText"/>
        <w:rPr>
          <w:rFonts w:ascii="Arial" w:hAnsi="Arial" w:cs="Arial"/>
          <w:sz w:val="24"/>
          <w:szCs w:val="24"/>
        </w:rPr>
      </w:pPr>
      <w:r>
        <w:rPr>
          <w:rFonts w:ascii="Arial" w:hAnsi="Arial" w:cs="Arial"/>
          <w:sz w:val="24"/>
          <w:szCs w:val="24"/>
        </w:rPr>
        <w:t>Bricker &amp; Eckler LLP</w:t>
      </w:r>
    </w:p>
    <w:p>
      <w:pPr>
        <w:pStyle w:val="CommentText"/>
        <w:rPr>
          <w:rFonts w:ascii="Arial" w:hAnsi="Arial" w:cs="Arial"/>
          <w:sz w:val="24"/>
          <w:szCs w:val="24"/>
        </w:rPr>
      </w:pPr>
      <w:r>
        <w:rPr>
          <w:rFonts w:ascii="Arial" w:hAnsi="Arial" w:cs="Arial"/>
          <w:sz w:val="24"/>
          <w:szCs w:val="24"/>
        </w:rPr>
        <w:t>100 South Third Street</w:t>
      </w:r>
    </w:p>
    <w:p>
      <w:pPr>
        <w:pStyle w:val="CommentText"/>
        <w:rPr>
          <w:rFonts w:ascii="Arial" w:hAnsi="Arial" w:cs="Arial"/>
          <w:sz w:val="24"/>
          <w:szCs w:val="24"/>
        </w:rPr>
      </w:pPr>
      <w:r>
        <w:rPr>
          <w:rFonts w:ascii="Arial" w:hAnsi="Arial" w:cs="Arial"/>
          <w:sz w:val="24"/>
          <w:szCs w:val="24"/>
        </w:rPr>
        <w:t>Columbus, OH  43215</w:t>
      </w:r>
    </w:p>
    <w:p>
      <w:pPr>
        <w:pStyle w:val="CommentText"/>
        <w:rPr>
          <w:rFonts w:ascii="Arial" w:hAnsi="Arial" w:cs="Arial"/>
          <w:sz w:val="24"/>
          <w:szCs w:val="24"/>
        </w:rPr>
      </w:pPr>
      <w:r>
        <w:rPr>
          <w:rFonts w:ascii="Arial" w:hAnsi="Arial" w:cs="Arial"/>
          <w:sz w:val="24"/>
          <w:szCs w:val="24"/>
        </w:rPr>
        <w:t>mwarnock@bricker.com</w:t>
      </w:r>
    </w:p>
    <w:p>
      <w:pPr>
        <w:pStyle w:val="CommentText"/>
        <w:rPr>
          <w:rFonts w:ascii="Arial" w:hAnsi="Arial" w:cs="Arial"/>
          <w:sz w:val="24"/>
          <w:szCs w:val="24"/>
        </w:rPr>
      </w:pPr>
    </w:p>
    <w:p>
      <w:pPr>
        <w:pStyle w:val="CommentText"/>
        <w:rPr>
          <w:rFonts w:ascii="Arial" w:hAnsi="Arial" w:cs="Arial"/>
          <w:sz w:val="24"/>
          <w:szCs w:val="24"/>
        </w:rPr>
      </w:pPr>
      <w:r>
        <w:rPr>
          <w:rFonts w:ascii="Arial" w:hAnsi="Arial" w:cs="Arial"/>
          <w:sz w:val="24"/>
          <w:szCs w:val="24"/>
        </w:rPr>
        <w:t>Glenn S. Krassen</w:t>
      </w:r>
    </w:p>
    <w:p>
      <w:pPr>
        <w:pStyle w:val="CommentText"/>
        <w:rPr>
          <w:rFonts w:ascii="Arial" w:hAnsi="Arial" w:cs="Arial"/>
          <w:sz w:val="24"/>
          <w:szCs w:val="24"/>
        </w:rPr>
      </w:pPr>
      <w:r>
        <w:rPr>
          <w:rFonts w:ascii="Arial" w:hAnsi="Arial" w:cs="Arial"/>
          <w:sz w:val="24"/>
          <w:szCs w:val="24"/>
        </w:rPr>
        <w:t>Bricker &amp; Eckler</w:t>
      </w:r>
    </w:p>
    <w:p>
      <w:pPr>
        <w:pStyle w:val="CommentText"/>
        <w:rPr>
          <w:rFonts w:ascii="Arial" w:hAnsi="Arial" w:cs="Arial"/>
          <w:sz w:val="24"/>
          <w:szCs w:val="24"/>
        </w:rPr>
      </w:pPr>
      <w:r>
        <w:rPr>
          <w:rFonts w:ascii="Arial" w:hAnsi="Arial" w:cs="Arial"/>
          <w:sz w:val="24"/>
          <w:szCs w:val="24"/>
        </w:rPr>
        <w:t>1375 East Ninth St, Suite 1500</w:t>
      </w:r>
    </w:p>
    <w:p>
      <w:pPr>
        <w:pStyle w:val="CommentText"/>
        <w:rPr>
          <w:rFonts w:ascii="Arial" w:hAnsi="Arial" w:cs="Arial"/>
          <w:sz w:val="24"/>
          <w:szCs w:val="24"/>
        </w:rPr>
      </w:pPr>
      <w:r>
        <w:rPr>
          <w:rFonts w:ascii="Arial" w:hAnsi="Arial" w:cs="Arial"/>
          <w:sz w:val="24"/>
          <w:szCs w:val="24"/>
        </w:rPr>
        <w:t>Cleveland, OH  44114</w:t>
      </w:r>
    </w:p>
    <w:p>
      <w:pPr>
        <w:pStyle w:val="CommentText"/>
        <w:rPr>
          <w:rFonts w:ascii="Arial" w:hAnsi="Arial" w:cs="Arial"/>
          <w:sz w:val="24"/>
          <w:szCs w:val="24"/>
        </w:rPr>
      </w:pPr>
      <w:r>
        <w:rPr>
          <w:rFonts w:ascii="Arial" w:hAnsi="Arial" w:cs="Arial"/>
          <w:sz w:val="24"/>
          <w:szCs w:val="24"/>
        </w:rPr>
        <w:t>Gkrassen@bricker.com</w:t>
      </w:r>
    </w:p>
    <w:p>
      <w:pPr>
        <w:pStyle w:val="CommentText"/>
        <w:rPr>
          <w:rFonts w:ascii="Arial" w:hAnsi="Arial" w:cs="Arial"/>
          <w:sz w:val="24"/>
          <w:szCs w:val="24"/>
        </w:rPr>
      </w:pPr>
    </w:p>
    <w:p>
      <w:pPr>
        <w:pStyle w:val="CommentText"/>
        <w:rPr>
          <w:rFonts w:ascii="Arial" w:hAnsi="Arial" w:cs="Arial"/>
          <w:sz w:val="24"/>
          <w:szCs w:val="24"/>
        </w:rPr>
      </w:pPr>
      <w:r>
        <w:rPr>
          <w:rFonts w:ascii="Arial" w:hAnsi="Arial" w:cs="Arial"/>
          <w:b/>
          <w:smallCaps/>
          <w:sz w:val="24"/>
          <w:szCs w:val="24"/>
        </w:rPr>
        <w:t>On Behalf of Ohio Schools Council</w:t>
      </w:r>
    </w:p>
    <w:p>
      <w:pPr>
        <w:pStyle w:val="CommentText"/>
        <w:rPr>
          <w:rFonts w:ascii="Arial" w:hAnsi="Arial" w:cs="Arial"/>
          <w:sz w:val="24"/>
          <w:szCs w:val="24"/>
        </w:rPr>
      </w:pPr>
    </w:p>
    <w:p>
      <w:pPr>
        <w:pStyle w:val="CommentText"/>
        <w:rPr>
          <w:rFonts w:ascii="Arial" w:hAnsi="Arial" w:cs="Arial"/>
          <w:sz w:val="24"/>
          <w:szCs w:val="24"/>
        </w:rPr>
      </w:pPr>
      <w:r>
        <w:rPr>
          <w:rFonts w:ascii="Arial" w:hAnsi="Arial" w:cs="Arial"/>
          <w:sz w:val="24"/>
          <w:szCs w:val="24"/>
        </w:rPr>
        <w:t>Robert J. Triozzi</w:t>
      </w:r>
    </w:p>
    <w:p>
      <w:pPr>
        <w:pStyle w:val="CommentText"/>
        <w:rPr>
          <w:rFonts w:ascii="Arial" w:hAnsi="Arial" w:cs="Arial"/>
          <w:sz w:val="24"/>
          <w:szCs w:val="24"/>
        </w:rPr>
      </w:pPr>
      <w:r>
        <w:rPr>
          <w:rFonts w:ascii="Arial" w:hAnsi="Arial" w:cs="Arial"/>
          <w:sz w:val="24"/>
          <w:szCs w:val="24"/>
        </w:rPr>
        <w:t>Steven L. Beeler</w:t>
      </w:r>
    </w:p>
    <w:p>
      <w:pPr>
        <w:pStyle w:val="CommentText"/>
        <w:rPr>
          <w:rFonts w:ascii="Arial" w:hAnsi="Arial" w:cs="Arial"/>
          <w:sz w:val="24"/>
          <w:szCs w:val="24"/>
        </w:rPr>
      </w:pPr>
      <w:r>
        <w:rPr>
          <w:rFonts w:ascii="Arial" w:hAnsi="Arial" w:cs="Arial"/>
          <w:sz w:val="24"/>
          <w:szCs w:val="24"/>
        </w:rPr>
        <w:t>City of Cleveland</w:t>
      </w:r>
    </w:p>
    <w:p>
      <w:pPr>
        <w:pStyle w:val="CommentText"/>
        <w:rPr>
          <w:rFonts w:ascii="Arial" w:hAnsi="Arial" w:cs="Arial"/>
          <w:sz w:val="24"/>
          <w:szCs w:val="24"/>
        </w:rPr>
      </w:pPr>
      <w:r>
        <w:rPr>
          <w:rFonts w:ascii="Arial" w:hAnsi="Arial" w:cs="Arial"/>
          <w:sz w:val="24"/>
          <w:szCs w:val="24"/>
        </w:rPr>
        <w:t>Cleveland City Hall</w:t>
      </w:r>
    </w:p>
    <w:p>
      <w:pPr>
        <w:pStyle w:val="CommentText"/>
        <w:rPr>
          <w:rFonts w:ascii="Arial" w:hAnsi="Arial" w:cs="Arial"/>
          <w:sz w:val="24"/>
          <w:szCs w:val="24"/>
        </w:rPr>
      </w:pPr>
      <w:r>
        <w:rPr>
          <w:rFonts w:ascii="Arial" w:hAnsi="Arial" w:cs="Arial"/>
          <w:sz w:val="24"/>
          <w:szCs w:val="24"/>
        </w:rPr>
        <w:t>601 Lakeside Avenue, Room 106</w:t>
      </w:r>
    </w:p>
    <w:p>
      <w:pPr>
        <w:pStyle w:val="CommentText"/>
        <w:rPr>
          <w:rFonts w:ascii="Arial" w:hAnsi="Arial" w:cs="Arial"/>
          <w:sz w:val="24"/>
          <w:szCs w:val="24"/>
        </w:rPr>
      </w:pPr>
      <w:r>
        <w:rPr>
          <w:rFonts w:ascii="Arial" w:hAnsi="Arial" w:cs="Arial"/>
          <w:sz w:val="24"/>
          <w:szCs w:val="24"/>
        </w:rPr>
        <w:t>Cleveland, OH  44114</w:t>
      </w:r>
    </w:p>
    <w:p>
      <w:pPr>
        <w:pStyle w:val="CommentText"/>
        <w:rPr>
          <w:rFonts w:ascii="Arial" w:hAnsi="Arial" w:cs="Arial"/>
          <w:sz w:val="24"/>
          <w:szCs w:val="24"/>
        </w:rPr>
      </w:pPr>
      <w:r>
        <w:rPr>
          <w:rFonts w:ascii="Arial" w:hAnsi="Arial" w:cs="Arial"/>
          <w:sz w:val="24"/>
          <w:szCs w:val="24"/>
        </w:rPr>
        <w:t>rtriozzi@city.cleveland.oh.us</w:t>
      </w:r>
    </w:p>
    <w:p>
      <w:pPr>
        <w:pStyle w:val="CommentText"/>
        <w:rPr>
          <w:rFonts w:ascii="Arial" w:hAnsi="Arial" w:cs="Arial"/>
          <w:sz w:val="24"/>
          <w:szCs w:val="24"/>
        </w:rPr>
      </w:pPr>
      <w:r>
        <w:rPr>
          <w:rFonts w:ascii="Arial" w:hAnsi="Arial" w:cs="Arial"/>
          <w:sz w:val="24"/>
          <w:szCs w:val="24"/>
        </w:rPr>
        <w:t>sbeeler@city.cleveland.oh.us</w:t>
      </w:r>
    </w:p>
    <w:p>
      <w:pPr>
        <w:pStyle w:val="CommentText"/>
        <w:rPr>
          <w:rFonts w:ascii="Arial" w:hAnsi="Arial" w:cs="Arial"/>
          <w:sz w:val="24"/>
          <w:szCs w:val="24"/>
        </w:rPr>
      </w:pPr>
    </w:p>
    <w:p>
      <w:pPr>
        <w:pStyle w:val="CommentText"/>
        <w:rPr>
          <w:rFonts w:ascii="Arial" w:hAnsi="Arial" w:cs="Arial"/>
          <w:sz w:val="24"/>
          <w:szCs w:val="24"/>
        </w:rPr>
      </w:pPr>
      <w:r>
        <w:rPr>
          <w:rFonts w:ascii="Arial" w:hAnsi="Arial" w:cs="Arial"/>
          <w:b/>
          <w:smallCaps/>
          <w:sz w:val="24"/>
          <w:szCs w:val="24"/>
        </w:rPr>
        <w:t>On Behalf of the City of Cleveland</w:t>
      </w:r>
    </w:p>
    <w:p>
      <w:pPr>
        <w:pStyle w:val="CommentText"/>
        <w:rPr>
          <w:rFonts w:ascii="Arial" w:hAnsi="Arial" w:cs="Arial"/>
          <w:sz w:val="24"/>
          <w:szCs w:val="24"/>
        </w:rPr>
      </w:pPr>
      <w:r>
        <w:rPr>
          <w:rFonts w:ascii="Arial" w:hAnsi="Arial" w:cs="Arial"/>
          <w:sz w:val="24"/>
          <w:szCs w:val="24"/>
        </w:rPr>
        <w:br w:type="column"/>
        <w:t>John W. Bentine</w:t>
      </w:r>
    </w:p>
    <w:p>
      <w:pPr>
        <w:pStyle w:val="CommentText"/>
        <w:rPr>
          <w:rFonts w:ascii="Arial" w:hAnsi="Arial" w:cs="Arial"/>
          <w:sz w:val="24"/>
          <w:szCs w:val="24"/>
        </w:rPr>
      </w:pPr>
      <w:r>
        <w:rPr>
          <w:rFonts w:ascii="Arial" w:hAnsi="Arial" w:cs="Arial"/>
          <w:sz w:val="24"/>
          <w:szCs w:val="24"/>
        </w:rPr>
        <w:t>Mark S. Yurick</w:t>
      </w:r>
    </w:p>
    <w:p>
      <w:pPr>
        <w:pStyle w:val="CommentText"/>
        <w:rPr>
          <w:rFonts w:ascii="Arial" w:hAnsi="Arial" w:cs="Arial"/>
          <w:sz w:val="24"/>
          <w:szCs w:val="24"/>
        </w:rPr>
      </w:pPr>
      <w:r>
        <w:rPr>
          <w:rFonts w:ascii="Arial" w:hAnsi="Arial" w:cs="Arial"/>
          <w:sz w:val="24"/>
          <w:szCs w:val="24"/>
        </w:rPr>
        <w:t>Chester, Willcox &amp; Saxbe LLP</w:t>
      </w:r>
    </w:p>
    <w:p>
      <w:pPr>
        <w:pStyle w:val="CommentText"/>
        <w:rPr>
          <w:rFonts w:ascii="Arial" w:hAnsi="Arial" w:cs="Arial"/>
          <w:sz w:val="24"/>
          <w:szCs w:val="24"/>
        </w:rPr>
      </w:pPr>
      <w:r>
        <w:rPr>
          <w:rFonts w:ascii="Arial" w:hAnsi="Arial" w:cs="Arial"/>
          <w:sz w:val="24"/>
          <w:szCs w:val="24"/>
        </w:rPr>
        <w:t>65 East State Street, Suite 1000</w:t>
      </w:r>
    </w:p>
    <w:p>
      <w:pPr>
        <w:pStyle w:val="CommentText"/>
        <w:rPr>
          <w:rFonts w:ascii="Arial" w:hAnsi="Arial" w:cs="Arial"/>
          <w:sz w:val="24"/>
          <w:szCs w:val="24"/>
        </w:rPr>
      </w:pPr>
      <w:r>
        <w:rPr>
          <w:rFonts w:ascii="Arial" w:hAnsi="Arial" w:cs="Arial"/>
          <w:sz w:val="24"/>
          <w:szCs w:val="24"/>
        </w:rPr>
        <w:t>Columbus, OH  43215</w:t>
      </w:r>
    </w:p>
    <w:p>
      <w:pPr>
        <w:pStyle w:val="CommentText"/>
        <w:rPr>
          <w:rFonts w:ascii="Arial" w:hAnsi="Arial" w:cs="Arial"/>
          <w:sz w:val="24"/>
          <w:szCs w:val="24"/>
        </w:rPr>
      </w:pPr>
      <w:r>
        <w:rPr>
          <w:rFonts w:ascii="Arial" w:hAnsi="Arial" w:cs="Arial"/>
          <w:sz w:val="24"/>
          <w:szCs w:val="24"/>
        </w:rPr>
        <w:t>jbentine@cwslaw.com</w:t>
      </w:r>
    </w:p>
    <w:p>
      <w:pPr>
        <w:pStyle w:val="CommentText"/>
        <w:rPr>
          <w:rFonts w:ascii="Arial" w:hAnsi="Arial" w:cs="Arial"/>
          <w:sz w:val="24"/>
          <w:szCs w:val="24"/>
        </w:rPr>
      </w:pPr>
      <w:r>
        <w:rPr>
          <w:rFonts w:ascii="Arial" w:hAnsi="Arial" w:cs="Arial"/>
          <w:sz w:val="24"/>
          <w:szCs w:val="24"/>
        </w:rPr>
        <w:t>myurick@cwslaw.com</w:t>
      </w:r>
    </w:p>
    <w:p>
      <w:pPr>
        <w:pStyle w:val="CommentText"/>
        <w:rPr>
          <w:rFonts w:ascii="Arial" w:hAnsi="Arial" w:cs="Arial"/>
          <w:sz w:val="24"/>
          <w:szCs w:val="24"/>
        </w:rPr>
      </w:pPr>
    </w:p>
    <w:p>
      <w:pPr>
        <w:pStyle w:val="CommentText"/>
        <w:rPr>
          <w:rFonts w:ascii="Arial" w:hAnsi="Arial" w:cs="Arial"/>
          <w:sz w:val="24"/>
          <w:szCs w:val="24"/>
        </w:rPr>
      </w:pPr>
      <w:r>
        <w:rPr>
          <w:rFonts w:ascii="Arial" w:hAnsi="Arial" w:cs="Arial"/>
          <w:sz w:val="24"/>
          <w:szCs w:val="24"/>
        </w:rPr>
        <w:t>Garrett A. Stone</w:t>
      </w:r>
    </w:p>
    <w:p>
      <w:pPr>
        <w:pStyle w:val="CommentText"/>
        <w:rPr>
          <w:rFonts w:ascii="Arial" w:hAnsi="Arial" w:cs="Arial"/>
          <w:sz w:val="24"/>
          <w:szCs w:val="24"/>
        </w:rPr>
      </w:pPr>
      <w:r>
        <w:rPr>
          <w:rFonts w:ascii="Arial" w:hAnsi="Arial" w:cs="Arial"/>
          <w:sz w:val="24"/>
          <w:szCs w:val="24"/>
        </w:rPr>
        <w:t>Michael K. Lavanga</w:t>
      </w:r>
    </w:p>
    <w:p>
      <w:pPr>
        <w:pStyle w:val="CommentText"/>
        <w:rPr>
          <w:rFonts w:ascii="Arial" w:hAnsi="Arial" w:cs="Arial"/>
          <w:sz w:val="24"/>
          <w:szCs w:val="24"/>
        </w:rPr>
      </w:pPr>
      <w:r>
        <w:rPr>
          <w:rFonts w:ascii="Arial" w:hAnsi="Arial" w:cs="Arial"/>
          <w:sz w:val="24"/>
          <w:szCs w:val="24"/>
        </w:rPr>
        <w:t>Brickfield, Burchette, Ritts &amp; Stone,</w:t>
      </w:r>
    </w:p>
    <w:p>
      <w:pPr>
        <w:pStyle w:val="CommentText"/>
        <w:rPr>
          <w:rFonts w:ascii="Arial" w:hAnsi="Arial" w:cs="Arial"/>
          <w:sz w:val="24"/>
          <w:szCs w:val="24"/>
        </w:rPr>
      </w:pPr>
      <w:r>
        <w:rPr>
          <w:rFonts w:ascii="Arial" w:hAnsi="Arial" w:cs="Arial"/>
          <w:sz w:val="24"/>
          <w:szCs w:val="24"/>
        </w:rPr>
        <w:t>1025 Thomas Jefferson Street, NW</w:t>
      </w:r>
    </w:p>
    <w:p>
      <w:pPr>
        <w:pStyle w:val="CommentText"/>
        <w:rPr>
          <w:rFonts w:ascii="Arial" w:hAnsi="Arial" w:cs="Arial"/>
          <w:sz w:val="24"/>
          <w:szCs w:val="24"/>
        </w:rPr>
      </w:pPr>
      <w:r>
        <w:rPr>
          <w:rFonts w:ascii="Arial" w:hAnsi="Arial" w:cs="Arial"/>
          <w:sz w:val="24"/>
          <w:szCs w:val="24"/>
        </w:rPr>
        <w:t>8th Floor, West Tower</w:t>
      </w:r>
    </w:p>
    <w:p>
      <w:pPr>
        <w:pStyle w:val="CommentText"/>
        <w:rPr>
          <w:rFonts w:ascii="Arial" w:hAnsi="Arial" w:cs="Arial"/>
          <w:sz w:val="24"/>
          <w:szCs w:val="24"/>
        </w:rPr>
      </w:pPr>
      <w:r>
        <w:rPr>
          <w:rFonts w:ascii="Arial" w:hAnsi="Arial" w:cs="Arial"/>
          <w:sz w:val="24"/>
          <w:szCs w:val="24"/>
        </w:rPr>
        <w:t>Washington, DC  2007</w:t>
      </w:r>
    </w:p>
    <w:p>
      <w:pPr>
        <w:autoSpaceDE w:val="0"/>
        <w:autoSpaceDN w:val="0"/>
        <w:adjustRightInd w:val="0"/>
        <w:spacing w:after="0"/>
      </w:pPr>
      <w:r>
        <w:t>gas@bbrslaw.com</w:t>
      </w:r>
    </w:p>
    <w:p>
      <w:pPr>
        <w:autoSpaceDE w:val="0"/>
        <w:autoSpaceDN w:val="0"/>
        <w:adjustRightInd w:val="0"/>
        <w:spacing w:after="0"/>
      </w:pPr>
      <w:r>
        <w:t>mkl@bbrslaw.com</w:t>
      </w:r>
    </w:p>
    <w:p>
      <w:pPr>
        <w:autoSpaceDE w:val="0"/>
        <w:autoSpaceDN w:val="0"/>
        <w:adjustRightInd w:val="0"/>
        <w:spacing w:after="0"/>
        <w:rPr>
          <w:b/>
          <w:smallCaps/>
        </w:rPr>
      </w:pPr>
    </w:p>
    <w:p>
      <w:pPr>
        <w:autoSpaceDE w:val="0"/>
        <w:autoSpaceDN w:val="0"/>
        <w:adjustRightInd w:val="0"/>
        <w:spacing w:after="0"/>
      </w:pPr>
      <w:r>
        <w:rPr>
          <w:b/>
          <w:smallCaps/>
        </w:rPr>
        <w:t>On Behalf of Nucor Steel Marion, Inc.</w:t>
      </w:r>
    </w:p>
    <w:p>
      <w:pPr>
        <w:pStyle w:val="CommentText"/>
        <w:rPr>
          <w:rFonts w:ascii="Arial" w:hAnsi="Arial" w:cs="Arial"/>
          <w:sz w:val="24"/>
          <w:szCs w:val="24"/>
        </w:rPr>
      </w:pPr>
    </w:p>
    <w:p>
      <w:pPr>
        <w:pStyle w:val="CommentText"/>
        <w:rPr>
          <w:rFonts w:ascii="Arial" w:hAnsi="Arial" w:cs="Arial"/>
          <w:sz w:val="24"/>
          <w:szCs w:val="24"/>
        </w:rPr>
      </w:pPr>
      <w:r>
        <w:rPr>
          <w:rFonts w:ascii="Arial" w:hAnsi="Arial" w:cs="Arial"/>
          <w:sz w:val="24"/>
          <w:szCs w:val="24"/>
        </w:rPr>
        <w:t>Craig L. Smith</w:t>
      </w:r>
    </w:p>
    <w:p>
      <w:pPr>
        <w:autoSpaceDE w:val="0"/>
        <w:autoSpaceDN w:val="0"/>
        <w:adjustRightInd w:val="0"/>
        <w:spacing w:after="0"/>
      </w:pPr>
      <w:r>
        <w:t>2824 Coventry Road</w:t>
      </w:r>
    </w:p>
    <w:p>
      <w:pPr>
        <w:autoSpaceDE w:val="0"/>
        <w:autoSpaceDN w:val="0"/>
        <w:adjustRightInd w:val="0"/>
        <w:spacing w:after="0"/>
      </w:pPr>
      <w:r>
        <w:t>Cleveland, Ohio 44120</w:t>
      </w:r>
    </w:p>
    <w:p>
      <w:pPr>
        <w:pStyle w:val="CommentText"/>
        <w:rPr>
          <w:rFonts w:ascii="Arial" w:hAnsi="Arial" w:cs="Arial"/>
          <w:sz w:val="24"/>
          <w:szCs w:val="24"/>
        </w:rPr>
      </w:pPr>
      <w:r>
        <w:rPr>
          <w:rFonts w:ascii="Arial" w:hAnsi="Arial" w:cs="Arial"/>
          <w:sz w:val="24"/>
          <w:szCs w:val="24"/>
        </w:rPr>
        <w:t>wis29@yahoo.com</w:t>
      </w:r>
    </w:p>
    <w:p>
      <w:pPr>
        <w:pStyle w:val="CommentText"/>
        <w:rPr>
          <w:rFonts w:ascii="Arial" w:hAnsi="Arial" w:cs="Arial"/>
          <w:sz w:val="24"/>
          <w:szCs w:val="24"/>
        </w:rPr>
      </w:pPr>
    </w:p>
    <w:p>
      <w:pPr>
        <w:pStyle w:val="CommentText"/>
        <w:rPr>
          <w:rFonts w:ascii="Arial" w:hAnsi="Arial" w:cs="Arial"/>
          <w:b/>
          <w:smallCaps/>
          <w:sz w:val="24"/>
          <w:szCs w:val="24"/>
        </w:rPr>
      </w:pPr>
      <w:r>
        <w:rPr>
          <w:rFonts w:ascii="Arial" w:hAnsi="Arial" w:cs="Arial"/>
          <w:b/>
          <w:smallCaps/>
          <w:sz w:val="24"/>
          <w:szCs w:val="24"/>
        </w:rPr>
        <w:t>On Behalf of Material Sciences</w:t>
      </w:r>
    </w:p>
    <w:p>
      <w:pPr>
        <w:pStyle w:val="CommentText"/>
        <w:rPr>
          <w:b/>
          <w:smallCaps/>
        </w:rPr>
      </w:pPr>
    </w:p>
    <w:p>
      <w:pPr>
        <w:autoSpaceDE w:val="0"/>
        <w:autoSpaceDN w:val="0"/>
        <w:adjustRightInd w:val="0"/>
        <w:spacing w:after="0"/>
      </w:pPr>
      <w:r>
        <w:t xml:space="preserve">Eric D. Weldele </w:t>
      </w:r>
    </w:p>
    <w:p>
      <w:pPr>
        <w:autoSpaceDE w:val="0"/>
        <w:autoSpaceDN w:val="0"/>
        <w:adjustRightInd w:val="0"/>
        <w:spacing w:after="0"/>
      </w:pPr>
      <w:r>
        <w:t>Tucker Ellis &amp; West LLP</w:t>
      </w:r>
    </w:p>
    <w:p>
      <w:pPr>
        <w:autoSpaceDE w:val="0"/>
        <w:autoSpaceDN w:val="0"/>
        <w:adjustRightInd w:val="0"/>
        <w:spacing w:after="0"/>
      </w:pPr>
      <w:r>
        <w:t>1225 Huntington Center</w:t>
      </w:r>
    </w:p>
    <w:p>
      <w:pPr>
        <w:autoSpaceDE w:val="0"/>
        <w:autoSpaceDN w:val="0"/>
        <w:adjustRightInd w:val="0"/>
        <w:spacing w:after="0"/>
      </w:pPr>
      <w:r>
        <w:t>41 South High Street</w:t>
      </w:r>
    </w:p>
    <w:p>
      <w:pPr>
        <w:pStyle w:val="CommentText"/>
        <w:rPr>
          <w:rFonts w:ascii="Arial" w:hAnsi="Arial" w:cs="Arial"/>
          <w:sz w:val="24"/>
          <w:szCs w:val="24"/>
        </w:rPr>
      </w:pPr>
      <w:r>
        <w:rPr>
          <w:rFonts w:ascii="Arial" w:hAnsi="Arial" w:cs="Arial"/>
          <w:sz w:val="24"/>
          <w:szCs w:val="24"/>
        </w:rPr>
        <w:t>Columbus, Ohio 43215-6197</w:t>
      </w:r>
    </w:p>
    <w:p>
      <w:pPr>
        <w:autoSpaceDE w:val="0"/>
        <w:autoSpaceDN w:val="0"/>
        <w:adjustRightInd w:val="0"/>
        <w:spacing w:after="0"/>
      </w:pPr>
      <w:r>
        <w:t>eric.weldele@tuckerellis.com</w:t>
      </w:r>
    </w:p>
    <w:p>
      <w:pPr>
        <w:pStyle w:val="CommentText"/>
        <w:rPr>
          <w:rFonts w:ascii="Arial" w:hAnsi="Arial" w:cs="Arial"/>
          <w:b/>
          <w:smallCaps/>
          <w:sz w:val="24"/>
          <w:szCs w:val="24"/>
        </w:rPr>
      </w:pPr>
    </w:p>
    <w:p>
      <w:pPr>
        <w:pStyle w:val="CommentText"/>
        <w:rPr>
          <w:rFonts w:ascii="Arial" w:hAnsi="Arial" w:cs="Arial"/>
          <w:b/>
          <w:smallCaps/>
          <w:sz w:val="24"/>
          <w:szCs w:val="24"/>
        </w:rPr>
      </w:pPr>
      <w:r>
        <w:rPr>
          <w:rFonts w:ascii="Arial" w:hAnsi="Arial" w:cs="Arial"/>
          <w:b/>
          <w:smallCaps/>
          <w:sz w:val="24"/>
          <w:szCs w:val="24"/>
        </w:rPr>
        <w:t>On Behalf of the Council of Smaller Enterprises</w:t>
      </w:r>
    </w:p>
    <w:p>
      <w:pPr>
        <w:pStyle w:val="CommentText"/>
        <w:rPr>
          <w:rFonts w:ascii="Arial" w:hAnsi="Arial" w:cs="Arial"/>
          <w:b/>
          <w:smallCaps/>
          <w:sz w:val="24"/>
          <w:szCs w:val="24"/>
        </w:rPr>
      </w:pPr>
    </w:p>
    <w:p>
      <w:pPr>
        <w:pStyle w:val="CommentText"/>
        <w:rPr>
          <w:rFonts w:ascii="Arial" w:hAnsi="Arial" w:cs="Arial"/>
          <w:sz w:val="24"/>
          <w:szCs w:val="24"/>
        </w:rPr>
      </w:pPr>
      <w:r>
        <w:rPr>
          <w:rFonts w:ascii="Arial" w:hAnsi="Arial" w:cs="Arial"/>
          <w:sz w:val="24"/>
          <w:szCs w:val="24"/>
        </w:rPr>
        <w:t>Duane Luckey</w:t>
      </w:r>
    </w:p>
    <w:p>
      <w:pPr>
        <w:pStyle w:val="CommentText"/>
        <w:rPr>
          <w:rFonts w:ascii="Arial" w:hAnsi="Arial" w:cs="Arial"/>
          <w:sz w:val="24"/>
          <w:szCs w:val="24"/>
        </w:rPr>
      </w:pPr>
      <w:r>
        <w:rPr>
          <w:rFonts w:ascii="Arial" w:hAnsi="Arial" w:cs="Arial"/>
          <w:sz w:val="24"/>
          <w:szCs w:val="24"/>
        </w:rPr>
        <w:t>Thomas Lindgren</w:t>
      </w:r>
    </w:p>
    <w:p>
      <w:pPr>
        <w:pStyle w:val="CommentText"/>
        <w:rPr>
          <w:rFonts w:ascii="Arial" w:hAnsi="Arial" w:cs="Arial"/>
          <w:sz w:val="24"/>
          <w:szCs w:val="24"/>
        </w:rPr>
      </w:pPr>
      <w:r>
        <w:rPr>
          <w:rFonts w:ascii="Arial" w:hAnsi="Arial" w:cs="Arial"/>
          <w:sz w:val="24"/>
          <w:szCs w:val="24"/>
        </w:rPr>
        <w:t>Attorney General’s Office</w:t>
      </w:r>
    </w:p>
    <w:p>
      <w:pPr>
        <w:pStyle w:val="CommentText"/>
        <w:rPr>
          <w:rFonts w:ascii="Arial" w:hAnsi="Arial" w:cs="Arial"/>
          <w:sz w:val="24"/>
          <w:szCs w:val="24"/>
        </w:rPr>
      </w:pPr>
      <w:r>
        <w:rPr>
          <w:rFonts w:ascii="Arial" w:hAnsi="Arial" w:cs="Arial"/>
          <w:sz w:val="24"/>
          <w:szCs w:val="24"/>
        </w:rPr>
        <w:t>180 East State Street, 6</w:t>
      </w:r>
      <w:r>
        <w:rPr>
          <w:rFonts w:ascii="Arial" w:hAnsi="Arial" w:cs="Arial"/>
          <w:sz w:val="24"/>
          <w:szCs w:val="24"/>
          <w:vertAlign w:val="superscript"/>
        </w:rPr>
        <w:t>th</w:t>
      </w:r>
      <w:r>
        <w:rPr>
          <w:rFonts w:ascii="Arial" w:hAnsi="Arial" w:cs="Arial"/>
          <w:sz w:val="24"/>
          <w:szCs w:val="24"/>
        </w:rPr>
        <w:t xml:space="preserve"> Fl.</w:t>
      </w:r>
    </w:p>
    <w:p>
      <w:pPr>
        <w:pStyle w:val="CommentText"/>
        <w:rPr>
          <w:rFonts w:ascii="Arial" w:hAnsi="Arial" w:cs="Arial"/>
          <w:sz w:val="24"/>
          <w:szCs w:val="24"/>
        </w:rPr>
      </w:pPr>
      <w:r>
        <w:rPr>
          <w:rFonts w:ascii="Arial" w:hAnsi="Arial" w:cs="Arial"/>
          <w:sz w:val="24"/>
          <w:szCs w:val="24"/>
        </w:rPr>
        <w:t>Columbus, OH  43216</w:t>
      </w:r>
    </w:p>
    <w:p>
      <w:pPr>
        <w:pStyle w:val="CommentText"/>
        <w:rPr>
          <w:rFonts w:ascii="Arial" w:hAnsi="Arial" w:cs="Arial"/>
          <w:sz w:val="24"/>
          <w:szCs w:val="24"/>
        </w:rPr>
      </w:pPr>
      <w:r>
        <w:rPr>
          <w:rFonts w:ascii="Arial" w:hAnsi="Arial" w:cs="Arial"/>
          <w:sz w:val="24"/>
          <w:szCs w:val="24"/>
        </w:rPr>
        <w:t>Duane.luckey@puc.state.oh.us</w:t>
      </w:r>
    </w:p>
    <w:p>
      <w:pPr>
        <w:pStyle w:val="CommentText"/>
        <w:rPr>
          <w:rFonts w:ascii="Arial" w:hAnsi="Arial" w:cs="Arial"/>
          <w:sz w:val="24"/>
          <w:szCs w:val="24"/>
        </w:rPr>
      </w:pPr>
      <w:r>
        <w:rPr>
          <w:rFonts w:ascii="Arial" w:hAnsi="Arial" w:cs="Arial"/>
          <w:sz w:val="24"/>
          <w:szCs w:val="24"/>
        </w:rPr>
        <w:t>Thomas.lindgren@puc.state.oh.us</w:t>
      </w:r>
    </w:p>
    <w:p>
      <w:pPr>
        <w:pStyle w:val="CommentText"/>
        <w:rPr>
          <w:rFonts w:ascii="Arial" w:hAnsi="Arial" w:cs="Arial"/>
          <w:sz w:val="24"/>
          <w:szCs w:val="24"/>
        </w:rPr>
      </w:pPr>
    </w:p>
    <w:p>
      <w:pPr>
        <w:pStyle w:val="CommentText"/>
        <w:rPr>
          <w:rFonts w:ascii="Arial" w:hAnsi="Arial" w:cs="Arial"/>
          <w:sz w:val="24"/>
          <w:szCs w:val="24"/>
        </w:rPr>
      </w:pPr>
      <w:r>
        <w:rPr>
          <w:rFonts w:ascii="Arial" w:hAnsi="Arial" w:cs="Arial"/>
          <w:b/>
          <w:smallCaps/>
          <w:sz w:val="24"/>
          <w:szCs w:val="24"/>
        </w:rPr>
        <w:t>On Behalf of the Staff of The Public Utilities Commission of Ohio</w:t>
      </w:r>
    </w:p>
    <w:sectPr>
      <w:headerReference w:type="default" r:id="rId17"/>
      <w:footerReference w:type="default" r:id="rId18"/>
      <w:headerReference w:type="first" r:id="rId19"/>
      <w:footerReference w:type="first" r:id="rId20"/>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Bold">
    <w:panose1 w:val="020B070402020202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noProof/>
        <w:sz w:val="16"/>
      </w:rPr>
      <w:t>{C30528:9 }{C30528:9 }{C30528:9 }{C30528:9 }{C30528:8 }{C30528:8 }{C30528:8 }{C30528:8 }{C30528:7 }{C30528:7 }{C30528:7 }{C30528:7 }{C30528:7 }{C30528:7 }{C30528:7 }{C30528:6 }{C30528:5 }{C30528:5 }{C30528:4 }{C30528:3 }{C30528:3 }{C30528:3 }{C30528:3 }{C30528:3 }{C30528:3 }{C30528:3 }{C30528:3 }{C30528:3 }{C30528:3 }{C30528:3 }{C30528:3 }{C30528:3 }{C30528: }{C30528: }{C30528: }{C30528: }{C30528: }{C30528: }{C30528: }{C30528: }{C30528: }{C30528: }{C30528: }{C30528: }{C30528: }{C30528: }{C30528: }{C30528: }{C30528: }{C30528: }{C30528: }{C30528: }{C30528: }{C30528: }{C30528: }{C30528: }{C30528: }{C30528: }{C30528: }{C30528: }{C30528: }{C30528: }{C30528: }{C30528: }{C30528: }{C30528: }{C30528: }{C30528: }{C30528: }{C30528: }{C30528: }{C30528: }{C30528: }{C30528: }{C30528: }{C30443:3 }</w:t>
    </w:r>
    <w:r>
      <w:rPr>
        <w:rStyle w:val="PageNumber"/>
        <w:noProof/>
      </w:rPr>
      <w:t>{C30250: }{C29600: }</w:t>
    </w: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page" w:x="1006" w:y="-68"/>
      <w:rPr>
        <w:rStyle w:val="PageNumber"/>
        <w:noProof/>
      </w:rPr>
    </w:pPr>
    <w:r>
      <w:rPr>
        <w:rStyle w:val="PageNumber"/>
        <w:noProof/>
        <w:sz w:val="16"/>
      </w:rPr>
      <w:t>{C30528:9 }{C30528:9 }{C30528:9 }{C30528:9 }{C30528:8 }{C30528:8 }{C30528:8 }{C30528:8 }{C30528:7 }{C30528:7 }{C30528:7 }{C30528:7 }{C30528:7 }{C30528:7 }{C30528:7 }{C30528:6 }{C30528:5 }{C30528:5 }{C30528:4 }{C30528:3 }{C30528:3 }{C30528:3 }{C30528:3 }{C30528:3 }{C30528:3 }{C30528:3 }{C30528:3 }{C30528:3 }{C30528:3 }{C30528:3 }{C30528:3 }{C30528:3 }{C30528: }{C30528: }{C30528: }{C30528: }{C30528: }{C30528: }{C30528: }{C30528: }{C30528: }{C30528: }{C30528: }{C30528: }{C30528: }{C30528: }{C30528: }{C30528: }{C30528: }{C30528: }{C30528: }{C30528: }{C30528: }{C30528: }{C30528: }{C30528: }{C30528: }{C30528: }{C30528: }{C30528: }{C30528: }{C30528: }{C30528: }{C30528: }{C30528: }{C30528: }{C30528: }{C30528: }{C30528: }{C30528: }{C30528: }{C30528: }{C30528: }{C30528: }{C30528: }</w:t>
    </w:r>
    <w:r>
      <w:rPr>
        <w:rStyle w:val="PageNumber"/>
        <w:noProof/>
      </w:rPr>
      <w:t>{C30250: }</w:t>
    </w:r>
  </w:p>
  <w:p>
    <w:pPr>
      <w:pStyle w:val="Footer"/>
      <w:framePr w:wrap="around" w:vAnchor="text" w:hAnchor="page" w:x="1006" w:y="-68"/>
      <w:jc w:val="center"/>
      <w:rPr>
        <w:rStyle w:val="PageNumber"/>
      </w:rPr>
    </w:pPr>
    <w:r>
      <w:rPr>
        <w:rStyle w:val="PageNumber"/>
        <w:noProof/>
      </w:rPr>
      <w:fldChar w:fldCharType="begin"/>
    </w:r>
    <w:r>
      <w:rPr>
        <w:rStyle w:val="PageNumber"/>
        <w:noProof/>
      </w:rPr>
      <w:instrText xml:space="preserve">PAGE  </w:instrText>
    </w:r>
    <w:r>
      <w:rPr>
        <w:rStyle w:val="PageNumber"/>
        <w:noProof/>
      </w:rPr>
      <w:fldChar w:fldCharType="separate"/>
    </w:r>
    <w:r>
      <w:rPr>
        <w:rStyle w:val="PageNumber"/>
        <w:noProof/>
      </w:rPr>
      <w:t>13</w:t>
    </w:r>
    <w:r>
      <w:rPr>
        <w:rStyle w:val="PageNumber"/>
        <w:noProof/>
      </w:rPr>
      <w:fldChar w:fldCharType="end"/>
    </w:r>
  </w:p>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{C30528:9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{C30528:9 }{C30528:9 }{C30528:9 }{C30528:9 }{C30528:8 }{C30528:8 }{C30528:8 }{C30528:8 }{C30528:7 }{C30528:7 }{C30528:7 }{C30528:7 }{C30528:7 }{C30528:7 }{C30528:7 }{C30528:6 }{C30528:5 }{C30528:5 }{C30528:4 }{C30528:3 }{C30528:3 }{C30528:3 }{C30528:3 }{C30528:3 }{C30528:3 }{C30528:3 }{C30528:3 }{C30528:3 }{C30528:3 }{C30528:3 }{C30528:3 }{C30528:3 }{C30528: }{C30528: }{C30528: }{C30528: }{C30528: }{C30528: }{C30528: }{C30528: }{C30528: }{C30528: }{C30528: }{C30528: }{C30528: }{C30528: }{C30528: }{C30528: }{C30528: }{C30528: }{C30528: }{C30528: }{C30528: }{C30528: }{C30528: }{C30528: }{C30528: }{C30528: }{C30528: }{C30528: }{C30528: }{C30528: }{C30528: }{C30528: }{C30528: }{C30528: }{C30528: }{C30528: }{C30528: }{C30528: }{C30528: }{C30528: }{C30528: }{C30528: }{C30528: }{C30250: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{C30528:9 }</w:t>
    </w:r>
    <w:sdt>
      <w:sdtPr>
        <w:id w:val="626285860"/>
        <w:docPartObj>
          <w:docPartGallery w:val="Page Numbers (Bottom of Page)"/>
          <w:docPartUnique/>
        </w:docPartObj>
      </w:sdtPr>
      <w:sdtContent>
        <w:r>
          <w:tab/>
        </w:r>
        <w:fldSimple w:instr=" PAGE   \* MERGEFORMAT ">
          <w:r>
            <w:rPr>
              <w:noProof/>
            </w:rPr>
            <w:t>2</w:t>
          </w:r>
        </w:fldSimple>
      </w:sdtContent>
    </w:sdt>
  </w:p>
  <w:p>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{C30528:9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{C30528:9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{C30528:9 }{C30528:9 }{C30528:9 }{C30528:9 }{C30528:8 }{C30528:8 }{C30528:8 }{C30528:8 }{C30528:7 }{C30528:7 }{C30528:7 }{C30528:7 }{C30528:7 }{C30528:7 }{C30528:7 }{C30528:6 }{C30528:5 }{C30528:5 }{C30528:4 }{C30528:3 }{C30528:3 }{C30528:3 }{C30528:3 }{C30528:3 }{C30528:3 }{C30528:3 }{C30528:3 }{C30528:3 }{C30528:3 }{C30528:3 }{C30528:3 }{C30528:3 }{C30528: }{C30528: }{C30528: }{C30528: }{C30528: }{C30528: }{C30528: }{C30528: }{C30528: }{C30528: }{C30528: }{C30528: }{C30528: }{C30528: }{C30528: }{C30528: }{C30528: }{C30528: }{C30528: }{C30528: }{C30528: }{C30528: }{C30528: }{C30528: }{C30528: }{C30528: }{C30528: }{C30528: }{C30528: }{C30528: }{C30528: }{C30528: }{C30528: }{C30528: }{C30528: }{C30528: }{C30528: }{C30528: }{C30528: }{C30528: }{C30528: }{C30528: }{C30528: }{C30250: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 w:id="1">
    <w:p>
      <w:pPr>
        <w:pStyle w:val="FootnoteText"/>
        <w:spacing w:after="120"/>
        <w:jc w:val="both"/>
      </w:pPr>
      <w:r>
        <w:rPr>
          <w:rStyle w:val="FootnoteReference"/>
        </w:rPr>
        <w:footnoteRef/>
      </w:r>
      <w:r>
        <w:t xml:space="preserve"> OEC Exhibit 1 at DR-5.  It is worth noting that the projected use of historical mercantile customer-sited projects dramatically drops off after the first year of the portfolio plan.  Thus, it appears that OEC’s and ELPC’s arguments are relevant only to the first year of the plan.</w:t>
      </w:r>
    </w:p>
  </w:footnote>
  <w:footnote w:id="2">
    <w:p>
      <w:pPr>
        <w:pStyle w:val="FootnoteText"/>
        <w:spacing w:after="120"/>
        <w:jc w:val="both"/>
      </w:pPr>
      <w:r>
        <w:rPr>
          <w:rStyle w:val="FootnoteReference"/>
        </w:rPr>
        <w:footnoteRef/>
      </w:r>
      <w:r>
        <w:t xml:space="preserve"> OEC Initial Brief at 8; </w:t>
      </w:r>
      <w:r>
        <w:rPr>
          <w:i/>
        </w:rPr>
        <w:t>see also</w:t>
      </w:r>
      <w:r>
        <w:t xml:space="preserve"> ELPC Initial Brief at 12.  </w:t>
      </w:r>
    </w:p>
  </w:footnote>
  <w:footnote w:id="3">
    <w:p>
      <w:pPr>
        <w:pStyle w:val="FootnoteText"/>
        <w:spacing w:after="120"/>
        <w:jc w:val="both"/>
      </w:pPr>
      <w:r>
        <w:rPr>
          <w:rStyle w:val="FootnoteReference"/>
        </w:rPr>
        <w:footnoteRef/>
      </w:r>
      <w:r>
        <w:t xml:space="preserve"> OEC Initial Brief at 9-11.</w:t>
      </w:r>
    </w:p>
  </w:footnote>
  <w:footnote w:id="4">
    <w:p>
      <w:pPr>
        <w:pStyle w:val="FootnoteText"/>
        <w:spacing w:after="120"/>
        <w:jc w:val="both"/>
      </w:pPr>
      <w:r>
        <w:rPr>
          <w:rStyle w:val="FootnoteReference"/>
        </w:rPr>
        <w:footnoteRef/>
      </w:r>
      <w:r>
        <w:t xml:space="preserve"> OEC Initial Brief at 9-12; ELPC Initial Brief at 13.  </w:t>
      </w:r>
    </w:p>
  </w:footnote>
  <w:footnote w:id="5">
    <w:p>
      <w:pPr>
        <w:pStyle w:val="FootnoteText"/>
        <w:spacing w:after="120"/>
        <w:jc w:val="both"/>
      </w:pPr>
      <w:r>
        <w:rPr>
          <w:rStyle w:val="FootnoteReference"/>
        </w:rPr>
        <w:footnoteRef/>
      </w:r>
      <w:r>
        <w:t xml:space="preserve"> OEC Initial Brief at 12-13.</w:t>
      </w:r>
    </w:p>
  </w:footnote>
  <w:footnote w:id="6">
    <w:p>
      <w:pPr>
        <w:pStyle w:val="FootnoteText"/>
      </w:pPr>
      <w:r>
        <w:rPr>
          <w:rStyle w:val="FootnoteReference"/>
        </w:rPr>
        <w:footnoteRef/>
      </w:r>
      <w:r>
        <w:t xml:space="preserve"> According to the McKinsey Global Institute’s report (at page 12) titled, </w:t>
      </w:r>
      <w:r>
        <w:rPr>
          <w:i/>
        </w:rPr>
        <w:t>The Case for Investing in Energy Productivity</w:t>
      </w:r>
      <w:r>
        <w:t>, issued in February 2008, “energy productivity”:</w:t>
      </w:r>
    </w:p>
    <w:p>
      <w:pPr>
        <w:pStyle w:val="FootnoteText"/>
      </w:pPr>
    </w:p>
    <w:p>
      <w:pPr>
        <w:pStyle w:val="FootnoteText"/>
        <w:spacing w:after="120"/>
        <w:ind w:left="720" w:right="720"/>
        <w:jc w:val="both"/>
      </w:pPr>
      <w:r>
        <w:t>…is a useful tool with which to analyze the public-policy aims of demand abatement and energy efficiency because it encapsulates both.  By looking merely in terms of shrinking demand, we are in danger of denying the opportunity to consumers … an increasingly dominant force in global energy demand growth.  Rather than seeking explicitly to reduce end-use demand, we should focus on using the benefits of energy in the most productive way.</w:t>
      </w:r>
    </w:p>
  </w:footnote>
  <w:footnote w:id="7">
    <w:p>
      <w:pPr>
        <w:pStyle w:val="FootnoteText"/>
        <w:spacing w:after="120"/>
      </w:pPr>
      <w:r>
        <w:rPr>
          <w:rStyle w:val="FootnoteReference"/>
        </w:rPr>
        <w:footnoteRef/>
      </w:r>
      <w:r>
        <w:t xml:space="preserve"> </w:t>
      </w:r>
      <w:r>
        <w:rPr>
          <w:i/>
        </w:rPr>
        <w:t>In the Matter of Agel Cox, dba Cox’s Auction House, Notice of Apparent Violation and Intent to Assess Forfeiture</w:t>
      </w:r>
      <w:r>
        <w:t xml:space="preserve">, Case No. 03-1138-TR-CVF, Finding and Order at 6 (November 6, 2003).  </w:t>
      </w:r>
    </w:p>
  </w:footnote>
  <w:footnote w:id="8">
    <w:p>
      <w:pPr>
        <w:jc w:val="both"/>
        <w:rPr>
          <w:sz w:val="20"/>
          <w:szCs w:val="20"/>
        </w:rPr>
      </w:pPr>
      <w:r>
        <w:rPr>
          <w:rStyle w:val="FootnoteReference"/>
          <w:sz w:val="20"/>
          <w:szCs w:val="20"/>
        </w:rPr>
        <w:footnoteRef/>
      </w:r>
      <w:r>
        <w:rPr>
          <w:sz w:val="20"/>
          <w:szCs w:val="20"/>
        </w:rPr>
        <w:t xml:space="preserve"> </w:t>
      </w:r>
      <w:r>
        <w:rPr>
          <w:rStyle w:val="groupheading5"/>
          <w:rFonts w:ascii="Arial" w:hAnsi="Arial"/>
          <w:b w:val="0"/>
          <w:bCs w:val="0"/>
          <w:i/>
          <w:color w:val="000000"/>
          <w:sz w:val="20"/>
          <w:szCs w:val="20"/>
        </w:rPr>
        <w:t>Cleveland Trust Co. v. Eaton</w:t>
      </w:r>
      <w:r>
        <w:rPr>
          <w:rStyle w:val="groupheading5"/>
          <w:rFonts w:ascii="Arial" w:hAnsi="Arial"/>
          <w:b w:val="0"/>
          <w:bCs w:val="0"/>
          <w:color w:val="000000"/>
          <w:sz w:val="20"/>
          <w:szCs w:val="20"/>
        </w:rPr>
        <w:t xml:space="preserve">, </w:t>
      </w:r>
      <w:r>
        <w:rPr>
          <w:rStyle w:val="informationalsmall4"/>
          <w:rFonts w:ascii="Arial" w:hAnsi="Arial"/>
          <w:bCs/>
          <w:color w:val="000000"/>
          <w:sz w:val="20"/>
          <w:szCs w:val="20"/>
        </w:rPr>
        <w:t xml:space="preserve">21 Ohio St.2d 129, 138, 256 N.E.2d 198 (1970), </w:t>
      </w:r>
      <w:r>
        <w:rPr>
          <w:rStyle w:val="informationalsmall4"/>
          <w:rFonts w:ascii="Arial" w:hAnsi="Arial"/>
          <w:bCs/>
          <w:i/>
          <w:color w:val="000000"/>
          <w:sz w:val="20"/>
          <w:szCs w:val="20"/>
        </w:rPr>
        <w:t>quoting</w:t>
      </w:r>
      <w:r>
        <w:rPr>
          <w:rStyle w:val="informationalsmall4"/>
          <w:rFonts w:ascii="Arial" w:hAnsi="Arial"/>
          <w:bCs/>
          <w:color w:val="000000"/>
          <w:sz w:val="20"/>
          <w:szCs w:val="20"/>
        </w:rPr>
        <w:t xml:space="preserve"> </w:t>
      </w:r>
      <w:r>
        <w:rPr>
          <w:rFonts w:eastAsia="Times New Roman"/>
          <w:i/>
          <w:sz w:val="20"/>
          <w:szCs w:val="20"/>
        </w:rPr>
        <w:t>United States v. Missouri Pacific R. Co.</w:t>
      </w:r>
      <w:r>
        <w:rPr>
          <w:rFonts w:eastAsia="Times New Roman"/>
          <w:sz w:val="20"/>
          <w:szCs w:val="20"/>
        </w:rPr>
        <w:t>, 278 U.S. 269, 278, 49 S.Ct. 133, 136, 73 L.Ed. 322</w:t>
      </w:r>
      <w:r>
        <w:rPr>
          <w:rStyle w:val="informationalsmall4"/>
          <w:rFonts w:ascii="Arial" w:hAnsi="Arial"/>
          <w:bCs/>
          <w:color w:val="000000"/>
          <w:sz w:val="20"/>
          <w:szCs w:val="20"/>
        </w:rPr>
        <w:t xml:space="preserve"> (1929).  </w:t>
      </w:r>
    </w:p>
  </w:footnote>
  <w:footnote w:id="9">
    <w:p>
      <w:pPr>
        <w:pStyle w:val="FootnoteText"/>
        <w:spacing w:after="120"/>
        <w:jc w:val="both"/>
      </w:pPr>
      <w:r>
        <w:rPr>
          <w:rStyle w:val="FootnoteReference"/>
        </w:rPr>
        <w:footnoteRef/>
      </w:r>
      <w:r>
        <w:t xml:space="preserve"> Section 4928.66, Revised Code. </w:t>
      </w:r>
      <w:r>
        <w:rPr>
          <w:i/>
        </w:rPr>
        <w:t>also In the Matter of the Adoption of Rules for Alternative and Renewable Energy Technology, Resources, and Climate Regulations, and Review of Chapters 4901:5-1, 4901:5-3, 4901:5-5, and 4901:5-7 of the Ohio Administrative Code, Pursuant to Amended Substitute Senate Bill 221</w:t>
      </w:r>
      <w:r>
        <w:t xml:space="preserve">, Case No. 08-888-EL-ORD, Application for Rehearing and Memorandum in Support of Industrial Energy Users-Ohio (November 16, 2009).  </w:t>
      </w:r>
      <w:r>
        <w:rPr>
          <w:i/>
        </w:rPr>
        <w:t xml:space="preserve">See also In the Matter of Protocols for the Measurement and Verification of Energy Efficiency and Peak Demand Reduction Measures, </w:t>
      </w:r>
      <w:r>
        <w:t>Case No. 09-512-EL-UNC, Application for Rehearing and Memorandum in Support of Industrial Energy Users-Ohio (November 16, 2009).</w:t>
      </w:r>
    </w:p>
  </w:footnote>
  <w:footnote w:id="10">
    <w:p>
      <w:pPr>
        <w:pStyle w:val="FootnoteText"/>
        <w:spacing w:after="120"/>
        <w:jc w:val="both"/>
      </w:pPr>
      <w:r>
        <w:rPr>
          <w:rStyle w:val="FootnoteReference"/>
        </w:rPr>
        <w:footnoteRef/>
      </w:r>
      <w:r>
        <w:t xml:space="preserve"> Tr. Vol II at 383.</w:t>
      </w:r>
    </w:p>
  </w:footnote>
  <w:footnote w:id="11">
    <w:p>
      <w:pPr>
        <w:pStyle w:val="FootnoteText"/>
        <w:spacing w:before="120" w:after="120"/>
        <w:jc w:val="both"/>
      </w:pPr>
      <w:r>
        <w:rPr>
          <w:rStyle w:val="FootnoteReference"/>
          <w:rFonts w:eastAsia="Times New Roman"/>
        </w:rPr>
        <w:footnoteRef/>
      </w:r>
      <w:r>
        <w:t xml:space="preserve"> </w:t>
      </w:r>
      <w:r>
        <w:rPr>
          <w:i/>
        </w:rPr>
        <w:t>Time Warner AxS v. Pub. Util. Comm</w:t>
      </w:r>
      <w:r>
        <w:t>., 75 Ohio St.3d 229, 234 (1999).</w:t>
      </w:r>
    </w:p>
  </w:footnote>
  <w:footnote w:id="12">
    <w:p>
      <w:pPr>
        <w:autoSpaceDE w:val="0"/>
        <w:autoSpaceDN w:val="0"/>
        <w:adjustRightInd w:val="0"/>
        <w:spacing w:after="120"/>
        <w:jc w:val="both"/>
        <w:rPr>
          <w:sz w:val="20"/>
          <w:szCs w:val="20"/>
        </w:rPr>
      </w:pPr>
      <w:r>
        <w:rPr>
          <w:rStyle w:val="FootnoteReference"/>
          <w:sz w:val="20"/>
          <w:szCs w:val="20"/>
        </w:rPr>
        <w:footnoteRef/>
      </w:r>
      <w:r>
        <w:rPr>
          <w:sz w:val="20"/>
          <w:szCs w:val="20"/>
        </w:rPr>
        <w:t xml:space="preserve"> </w:t>
      </w:r>
      <w:r>
        <w:rPr>
          <w:i/>
          <w:sz w:val="20"/>
          <w:szCs w:val="20"/>
        </w:rPr>
        <w:t xml:space="preserve">In the Matter of the Application for Establishment of a Reasonable Arrangement Between Eramet Marietta, Inc. and Columbus Southern Power Company, </w:t>
      </w:r>
      <w:r>
        <w:rPr>
          <w:sz w:val="20"/>
          <w:szCs w:val="20"/>
        </w:rPr>
        <w:t>Case No. 09-516-EL-AEC, Entry on Rehearing (March 24, 2010).  In this case, the Commission approved a mercantile customer’s request to commit its peak demand reduction capabilities to the EDU’s portfolio over the EDU’s objection.</w:t>
      </w:r>
    </w:p>
  </w:footnote>
  <w:footnote w:id="13">
    <w:p>
      <w:pPr>
        <w:pStyle w:val="FootnoteText"/>
        <w:spacing w:after="120"/>
        <w:jc w:val="both"/>
      </w:pPr>
      <w:r>
        <w:rPr>
          <w:rStyle w:val="FootnoteReference"/>
        </w:rPr>
        <w:footnoteRef/>
      </w:r>
      <w:r>
        <w:t xml:space="preserve"> IEU-Ohio recognizes that the Commission’s rules require an individual customer application be filed and approved by the Commission before a customer’s capabilities can be counted towards an EDU’s portfolio obligation. </w:t>
      </w:r>
    </w:p>
  </w:footnote>
  <w:footnote w:id="14">
    <w:p>
      <w:pPr>
        <w:pStyle w:val="FootnoteText"/>
        <w:spacing w:after="120"/>
        <w:jc w:val="both"/>
      </w:pPr>
      <w:r>
        <w:rPr>
          <w:rStyle w:val="FootnoteReference"/>
        </w:rPr>
        <w:footnoteRef/>
      </w:r>
      <w:r>
        <w:t xml:space="preserve"> Tr. Vol I at 144-145.  </w:t>
      </w:r>
      <w:r>
        <w:rPr>
          <w:i/>
        </w:rPr>
        <w:t>See also In the Matter of the Adoption of Rules for Alternative and Renewable Energy Technology, Resources, and Climate Regulations, and Review of Chapters 4901:5-1, 4901:5-3, 4901:5-5, and 4901:5-7 of the Ohio Administrative Code, Pursuant to Amended Substitute Senate Bill 221</w:t>
      </w:r>
      <w:r>
        <w:t xml:space="preserve">, Case No. 08-888-EL-ORD, Entry on Rehearing at 9 (June 17, 2009).  </w:t>
      </w:r>
    </w:p>
  </w:footnote>
  <w:footnote w:id="15">
    <w:p>
      <w:pPr>
        <w:pStyle w:val="FootnoteText"/>
        <w:spacing w:after="120"/>
        <w:jc w:val="both"/>
      </w:pPr>
      <w:r>
        <w:rPr>
          <w:rStyle w:val="FootnoteReference"/>
        </w:rPr>
        <w:footnoteRef/>
      </w:r>
      <w:r>
        <w:t xml:space="preserve"> Cos. Exhibit 1 at 14 (Direct testimony of John E. Paganie); Tr. Vol. I at 144.</w:t>
      </w:r>
    </w:p>
  </w:footnote>
  <w:footnote w:id="16">
    <w:p>
      <w:pPr>
        <w:pStyle w:val="FootnoteText"/>
        <w:spacing w:after="120"/>
        <w:jc w:val="both"/>
      </w:pPr>
      <w:r>
        <w:rPr>
          <w:rStyle w:val="FootnoteReference"/>
        </w:rPr>
        <w:footnoteRef/>
      </w:r>
      <w:r>
        <w:t xml:space="preserve"> </w:t>
      </w:r>
      <w:r>
        <w:rPr>
          <w:i/>
        </w:rPr>
        <w:t>Id</w:t>
      </w:r>
      <w:r>
        <w:t>. at 14.</w:t>
      </w:r>
    </w:p>
  </w:footnote>
  <w:footnote w:id="17">
    <w:p>
      <w:pPr>
        <w:pStyle w:val="FootnoteText"/>
        <w:spacing w:after="120"/>
        <w:jc w:val="both"/>
      </w:pPr>
      <w:r>
        <w:rPr>
          <w:rStyle w:val="FootnoteReference"/>
        </w:rPr>
        <w:footnoteRef/>
      </w:r>
      <w:r>
        <w:t xml:space="preserve"> </w:t>
      </w:r>
      <w:r>
        <w:rPr>
          <w:i/>
        </w:rPr>
        <w:t>Id</w:t>
      </w:r>
      <w:r>
        <w:t xml:space="preserve">. at 13; Cos. Exhibit 4 at 11 (George L. Fitzpatrick Direct Testimony); Tr. Vol I at 143.  </w:t>
      </w:r>
    </w:p>
  </w:footnote>
  <w:footnote w:id="18">
    <w:p>
      <w:pPr>
        <w:pStyle w:val="FootnoteText"/>
        <w:spacing w:after="120"/>
        <w:jc w:val="both"/>
      </w:pPr>
      <w:r>
        <w:rPr>
          <w:rStyle w:val="FootnoteReference"/>
        </w:rPr>
        <w:footnoteRef/>
      </w:r>
      <w:r>
        <w:t xml:space="preserve"> Cos. Exhibit 1 at 13; Cos. Exhibit 4 at 11-12. </w:t>
      </w:r>
    </w:p>
  </w:footnote>
  <w:footnote w:id="19">
    <w:p>
      <w:pPr>
        <w:pStyle w:val="FootnoteText"/>
        <w:spacing w:after="120"/>
        <w:jc w:val="both"/>
      </w:pPr>
      <w:r>
        <w:rPr>
          <w:rStyle w:val="FootnoteReference"/>
        </w:rPr>
        <w:footnoteRef/>
      </w:r>
      <w:r>
        <w:t xml:space="preserve"> Cos. Exhibit 4 at 11-12.  </w:t>
      </w:r>
    </w:p>
  </w:footnote>
  <w:footnote w:id="20">
    <w:p>
      <w:pPr>
        <w:pStyle w:val="FootnoteText"/>
        <w:spacing w:after="120"/>
        <w:jc w:val="both"/>
      </w:pPr>
      <w:r>
        <w:rPr>
          <w:rStyle w:val="FootnoteReference"/>
        </w:rPr>
        <w:footnoteRef/>
      </w:r>
      <w:r>
        <w:t xml:space="preserve"> Cos. Exhibit 1 at 14.  </w:t>
      </w:r>
    </w:p>
  </w:footnote>
  <w:footnote w:id="21">
    <w:p>
      <w:pPr>
        <w:pStyle w:val="FootnoteText"/>
        <w:spacing w:after="120"/>
        <w:jc w:val="both"/>
      </w:pPr>
      <w:r>
        <w:rPr>
          <w:rStyle w:val="FootnoteReference"/>
        </w:rPr>
        <w:footnoteRef/>
      </w:r>
      <w:r>
        <w:t xml:space="preserve">  Both OEC and ELPC urge the Commission to reject FirstEnergy’s proposed EE/PDR portfolio plan in its entirety. ELPC Initial Brief at 9-11; OEC Initial Brief at 4.</w:t>
      </w:r>
    </w:p>
  </w:footnote>
  <w:footnote w:id="22">
    <w:p>
      <w:pPr>
        <w:pStyle w:val="FootnoteText"/>
        <w:spacing w:after="120"/>
        <w:jc w:val="both"/>
      </w:pPr>
      <w:r>
        <w:rPr>
          <w:rStyle w:val="FootnoteReference"/>
        </w:rPr>
        <w:footnoteRef/>
      </w:r>
      <w:r>
        <w:t xml:space="preserve">  Ohio’s unemployment rate jumped again to 10.9% in February 2010; Ohio’s unemployment rate is 1.2% higher than the national average.  </w:t>
      </w:r>
      <w:r>
        <w:rPr>
          <w:i/>
        </w:rPr>
        <w:t xml:space="preserve">See, for example, </w:t>
      </w:r>
      <w:r>
        <w:t xml:space="preserve">http://jfs.ohio.gov/RELEASES/unemp/201003/UnempPressRelease.asp. (last visited April 5, 2010).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44D75"/>
    <w:multiLevelType w:val="hybridMultilevel"/>
    <w:tmpl w:val="C85E7BB2"/>
    <w:lvl w:ilvl="0" w:tplc="969208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A60CCC"/>
    <w:multiLevelType w:val="hybridMultilevel"/>
    <w:tmpl w:val="0464DC34"/>
    <w:lvl w:ilvl="0" w:tplc="2B6428F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rPr>
      <w:rFonts w:ascii="Arial" w:hAnsi="Arial" w:cs="Arial"/>
      <w:sz w:val="24"/>
      <w:szCs w:val="24"/>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nhideWhenUsed/>
    <w:pPr>
      <w:tabs>
        <w:tab w:val="center" w:pos="4680"/>
        <w:tab w:val="right" w:pos="9360"/>
      </w:tabs>
      <w:spacing w:after="0"/>
    </w:pPr>
  </w:style>
  <w:style w:type="character" w:customStyle="1" w:styleId="HeaderChar">
    <w:name w:val="Header Char"/>
    <w:basedOn w:val="DefaultParagraphFont"/>
    <w:link w:val="Header"/>
    <w:rPr>
      <w:rFonts w:ascii="Arial" w:hAnsi="Arial" w:cs="Arial"/>
      <w:sz w:val="24"/>
      <w:szCs w:val="24"/>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Arial" w:hAnsi="Arial" w:cs="Arial"/>
      <w:sz w:val="24"/>
      <w:szCs w:val="24"/>
    </w:rPr>
  </w:style>
  <w:style w:type="paragraph" w:styleId="BodyText">
    <w:name w:val="Body Text"/>
    <w:basedOn w:val="Normal"/>
    <w:link w:val="BodyTextChar"/>
    <w:pPr>
      <w:spacing w:after="0"/>
      <w:jc w:val="both"/>
    </w:pPr>
    <w:rPr>
      <w:rFonts w:eastAsia="Times New Roman"/>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3">
    <w:name w:val="Body Text 3"/>
    <w:basedOn w:val="Normal"/>
    <w:link w:val="BodyText3Char"/>
    <w:uiPriority w:val="99"/>
    <w:semiHidden/>
    <w:unhideWhenUsed/>
    <w:pPr>
      <w:spacing w:after="120" w:line="276" w:lineRule="auto"/>
    </w:pPr>
    <w:rPr>
      <w:rFonts w:asciiTheme="minorHAnsi" w:hAnsiTheme="minorHAnsi" w:cstheme="minorBidi"/>
      <w:sz w:val="16"/>
      <w:szCs w:val="16"/>
    </w:rPr>
  </w:style>
  <w:style w:type="character" w:customStyle="1" w:styleId="BodyText3Char">
    <w:name w:val="Body Text 3 Char"/>
    <w:basedOn w:val="DefaultParagraphFont"/>
    <w:link w:val="BodyText3"/>
    <w:uiPriority w:val="99"/>
    <w:semiHidden/>
    <w:rPr>
      <w:sz w:val="16"/>
      <w:szCs w:val="16"/>
    </w:rPr>
  </w:style>
  <w:style w:type="character" w:styleId="PageNumber">
    <w:name w:val="page number"/>
    <w:basedOn w:val="DefaultParagraphFont"/>
  </w:style>
  <w:style w:type="paragraph" w:styleId="Title">
    <w:name w:val="Title"/>
    <w:basedOn w:val="Normal"/>
    <w:link w:val="TitleChar"/>
    <w:qFormat/>
    <w:pPr>
      <w:spacing w:after="0"/>
      <w:jc w:val="center"/>
    </w:pPr>
    <w:rPr>
      <w:rFonts w:eastAsia="Times New Roman"/>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2">
    <w:name w:val="Body Text 2"/>
    <w:basedOn w:val="Normal"/>
    <w:link w:val="BodyText2Char"/>
    <w:uiPriority w:val="99"/>
    <w:semiHidden/>
    <w:unhideWhenUsed/>
    <w:pPr>
      <w:spacing w:after="120" w:line="480" w:lineRule="auto"/>
    </w:pPr>
    <w:rPr>
      <w:rFonts w:asciiTheme="minorHAnsi" w:hAnsiTheme="minorHAnsi" w:cstheme="minorBidi"/>
      <w:sz w:val="22"/>
      <w:szCs w:val="22"/>
    </w:rPr>
  </w:style>
  <w:style w:type="character" w:customStyle="1" w:styleId="BodyText2Char">
    <w:name w:val="Body Text 2 Char"/>
    <w:basedOn w:val="DefaultParagraphFont"/>
    <w:link w:val="BodyText2"/>
    <w:uiPriority w:val="99"/>
    <w:semiHidden/>
  </w:style>
  <w:style w:type="paragraph" w:styleId="CommentText">
    <w:name w:val="annotation text"/>
    <w:basedOn w:val="Normal"/>
    <w:link w:val="CommentTextChar"/>
    <w:semiHidden/>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Arial" w:hAnsi="Arial" w:cs="Arial"/>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0"/>
    </w:pPr>
    <w:rPr>
      <w:sz w:val="20"/>
      <w:szCs w:val="20"/>
    </w:rPr>
  </w:style>
  <w:style w:type="character" w:customStyle="1" w:styleId="FootnoteTextChar">
    <w:name w:val="Footnote Text Char"/>
    <w:basedOn w:val="DefaultParagraphFont"/>
    <w:link w:val="FootnoteText"/>
    <w:uiPriority w:val="99"/>
    <w:rPr>
      <w:rFonts w:ascii="Arial" w:hAnsi="Arial" w:cs="Arial"/>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pPr>
      <w:spacing w:after="200"/>
    </w:pPr>
    <w:rPr>
      <w:rFonts w:ascii="Arial" w:eastAsiaTheme="minorHAnsi" w:hAnsi="Arial" w:cs="Arial"/>
      <w:b/>
      <w:bCs/>
    </w:rPr>
  </w:style>
  <w:style w:type="character" w:customStyle="1" w:styleId="CommentSubjectChar">
    <w:name w:val="Comment Subject Char"/>
    <w:basedOn w:val="CommentTextChar"/>
    <w:link w:val="CommentSubject"/>
    <w:uiPriority w:val="99"/>
    <w:semiHidden/>
    <w:rPr>
      <w:rFonts w:ascii="Arial" w:hAnsi="Arial" w:cs="Arial"/>
      <w:b/>
      <w:bCs/>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s>
</file>

<file path=word/webSettings.xml><?xml version="1.0" encoding="utf-8"?>
<w:webSettings xmlns:r="http://schemas.openxmlformats.org/officeDocument/2006/relationships" xmlns:w="http://schemas.openxmlformats.org/wordprocessingml/2006/main">
  <w:divs>
    <w:div w:id="1643733926">
      <w:bodyDiv w:val="1"/>
      <w:marLeft w:val="0"/>
      <w:marRight w:val="0"/>
      <w:marTop w:val="0"/>
      <w:marBottom w:val="0"/>
      <w:divBdr>
        <w:top w:val="none" w:sz="0" w:space="0" w:color="auto"/>
        <w:left w:val="none" w:sz="0" w:space="0" w:color="auto"/>
        <w:bottom w:val="none" w:sz="0" w:space="0" w:color="auto"/>
        <w:right w:val="none" w:sz="0" w:space="0" w:color="auto"/>
      </w:divBdr>
    </w:div>
    <w:div w:id="201499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C5580-F657-4E32-AC48-BFBA27DB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2888</Words>
  <Characters>17339</Characters>
  <Application>Microsoft Office Word</Application>
  <DocSecurity>0</DocSecurity>
  <PresentationFormat/>
  <Lines>530</Lines>
  <Paragraphs>279</Paragraphs>
  <ScaleCrop>false</ScaleCrop>
  <HeadingPairs>
    <vt:vector size="2" baseType="variant">
      <vt:variant>
        <vt:lpstr>Title</vt:lpstr>
      </vt:variant>
      <vt:variant>
        <vt:i4>1</vt:i4>
      </vt:variant>
    </vt:vector>
  </HeadingPairs>
  <TitlesOfParts>
    <vt:vector size="1" baseType="lpstr">
      <vt:lpstr>09-1947 -- Reply Brief (C30528-8).DOCX</vt:lpstr>
    </vt:vector>
  </TitlesOfParts>
  <Company/>
  <LinksUpToDate>false</LinksUpToDate>
  <CharactersWithSpaces>20107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dc:creator>
  <cp:keywords/>
  <dc:description/>
  <cp:lastModifiedBy>rgannon</cp:lastModifiedBy>
  <cp:revision>2</cp:revision>
  <cp:lastPrinted>2010-04-12T14:15:00Z</cp:lastPrinted>
  <dcterms:created xsi:type="dcterms:W3CDTF">2010-04-12T14:41:00Z</dcterms:created>
  <dcterms:modified xsi:type="dcterms:W3CDTF">2010-04-12T14:41:00Z</dcterms:modified>
</cp:coreProperties>
</file>