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4B6" w:rsidRDefault="00052459" w:rsidP="00052459">
      <w:pPr>
        <w:spacing w:after="0" w:line="240" w:lineRule="auto"/>
        <w:jc w:val="center"/>
        <w:rPr>
          <w:rFonts w:ascii="Arial" w:hAnsi="Arial" w:cs="Arial"/>
          <w:b/>
          <w:sz w:val="24"/>
          <w:szCs w:val="24"/>
        </w:rPr>
      </w:pPr>
      <w:r>
        <w:rPr>
          <w:rFonts w:ascii="Arial" w:hAnsi="Arial" w:cs="Arial"/>
          <w:b/>
          <w:sz w:val="24"/>
          <w:szCs w:val="24"/>
        </w:rPr>
        <w:t>BEFORE</w:t>
      </w:r>
    </w:p>
    <w:p w:rsidR="00052459" w:rsidRDefault="00052459" w:rsidP="00052459">
      <w:pPr>
        <w:spacing w:after="0" w:line="240" w:lineRule="auto"/>
        <w:jc w:val="center"/>
        <w:rPr>
          <w:rFonts w:ascii="Arial" w:hAnsi="Arial" w:cs="Arial"/>
          <w:b/>
          <w:sz w:val="24"/>
          <w:szCs w:val="24"/>
        </w:rPr>
      </w:pPr>
    </w:p>
    <w:p w:rsidR="00052459" w:rsidRDefault="00052459" w:rsidP="00052459">
      <w:pPr>
        <w:spacing w:after="0" w:line="240" w:lineRule="auto"/>
        <w:jc w:val="center"/>
        <w:rPr>
          <w:rFonts w:ascii="Arial" w:hAnsi="Arial" w:cs="Arial"/>
          <w:b/>
          <w:sz w:val="24"/>
          <w:szCs w:val="24"/>
        </w:rPr>
      </w:pPr>
      <w:r>
        <w:rPr>
          <w:rFonts w:ascii="Arial" w:hAnsi="Arial" w:cs="Arial"/>
          <w:b/>
          <w:sz w:val="24"/>
          <w:szCs w:val="24"/>
        </w:rPr>
        <w:t>THE PUBLIC UTILITIES COMMISSION OF OHIO</w:t>
      </w:r>
    </w:p>
    <w:p w:rsidR="00052459" w:rsidRDefault="00052459" w:rsidP="00052459">
      <w:pPr>
        <w:spacing w:after="0" w:line="240" w:lineRule="auto"/>
        <w:jc w:val="center"/>
        <w:rPr>
          <w:rFonts w:ascii="Arial" w:hAnsi="Arial" w:cs="Arial"/>
          <w:b/>
          <w:sz w:val="24"/>
          <w:szCs w:val="24"/>
        </w:rPr>
      </w:pPr>
    </w:p>
    <w:p w:rsidR="00052459" w:rsidRDefault="00052459" w:rsidP="00052459">
      <w:pPr>
        <w:spacing w:after="0" w:line="240" w:lineRule="auto"/>
        <w:rPr>
          <w:rFonts w:ascii="Arial" w:hAnsi="Arial" w:cs="Arial"/>
          <w:sz w:val="24"/>
          <w:szCs w:val="24"/>
        </w:rPr>
      </w:pPr>
      <w:r>
        <w:rPr>
          <w:rFonts w:ascii="Arial" w:hAnsi="Arial" w:cs="Arial"/>
          <w:sz w:val="24"/>
          <w:szCs w:val="24"/>
        </w:rPr>
        <w:t xml:space="preserve">In the Matter of Protocols for the </w:t>
      </w:r>
      <w:r>
        <w:rPr>
          <w:rFonts w:ascii="Arial" w:hAnsi="Arial" w:cs="Arial"/>
          <w:sz w:val="24"/>
          <w:szCs w:val="24"/>
        </w:rPr>
        <w:tab/>
      </w:r>
      <w:r>
        <w:rPr>
          <w:rFonts w:ascii="Arial" w:hAnsi="Arial" w:cs="Arial"/>
          <w:sz w:val="24"/>
          <w:szCs w:val="24"/>
        </w:rPr>
        <w:tab/>
        <w:t>)</w:t>
      </w:r>
    </w:p>
    <w:p w:rsidR="00052459" w:rsidRDefault="00052459" w:rsidP="00052459">
      <w:pPr>
        <w:spacing w:after="0" w:line="240" w:lineRule="auto"/>
        <w:rPr>
          <w:rFonts w:ascii="Arial" w:hAnsi="Arial" w:cs="Arial"/>
          <w:sz w:val="24"/>
          <w:szCs w:val="24"/>
        </w:rPr>
      </w:pPr>
      <w:r>
        <w:rPr>
          <w:rFonts w:ascii="Arial" w:hAnsi="Arial" w:cs="Arial"/>
          <w:sz w:val="24"/>
          <w:szCs w:val="24"/>
        </w:rPr>
        <w:t>Measurement and Verification of Energy )</w:t>
      </w:r>
      <w:r>
        <w:rPr>
          <w:rFonts w:ascii="Arial" w:hAnsi="Arial" w:cs="Arial"/>
          <w:sz w:val="24"/>
          <w:szCs w:val="24"/>
        </w:rPr>
        <w:tab/>
        <w:t>Case No. 09-512-GE-UNC</w:t>
      </w:r>
    </w:p>
    <w:p w:rsidR="00052459" w:rsidRDefault="00052459" w:rsidP="00052459">
      <w:pPr>
        <w:spacing w:after="0" w:line="240" w:lineRule="auto"/>
        <w:rPr>
          <w:rFonts w:ascii="Arial" w:hAnsi="Arial" w:cs="Arial"/>
          <w:sz w:val="24"/>
          <w:szCs w:val="24"/>
        </w:rPr>
      </w:pPr>
      <w:r>
        <w:rPr>
          <w:rFonts w:ascii="Arial" w:hAnsi="Arial" w:cs="Arial"/>
          <w:sz w:val="24"/>
          <w:szCs w:val="24"/>
        </w:rPr>
        <w:t>Efficiency and Peak Demand Reduction  )</w:t>
      </w:r>
    </w:p>
    <w:p w:rsidR="00052459" w:rsidRDefault="00052459" w:rsidP="00052459">
      <w:pPr>
        <w:spacing w:after="0" w:line="240" w:lineRule="auto"/>
        <w:rPr>
          <w:rFonts w:ascii="Arial" w:hAnsi="Arial" w:cs="Arial"/>
          <w:sz w:val="24"/>
          <w:szCs w:val="24"/>
        </w:rPr>
      </w:pPr>
      <w:r>
        <w:rPr>
          <w:rFonts w:ascii="Arial" w:hAnsi="Arial" w:cs="Arial"/>
          <w:sz w:val="24"/>
          <w:szCs w:val="24"/>
        </w:rPr>
        <w:t>Measures.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052459" w:rsidRDefault="00052459" w:rsidP="00052459">
      <w:pPr>
        <w:pBdr>
          <w:bottom w:val="single" w:sz="12" w:space="1" w:color="auto"/>
        </w:pBdr>
        <w:spacing w:after="0" w:line="240" w:lineRule="auto"/>
        <w:rPr>
          <w:rFonts w:ascii="Arial" w:hAnsi="Arial" w:cs="Arial"/>
          <w:sz w:val="24"/>
          <w:szCs w:val="24"/>
        </w:rPr>
      </w:pPr>
    </w:p>
    <w:p w:rsidR="00052459" w:rsidRDefault="00052459" w:rsidP="00052459">
      <w:pPr>
        <w:spacing w:after="0" w:line="240" w:lineRule="auto"/>
        <w:rPr>
          <w:rFonts w:ascii="Arial" w:hAnsi="Arial" w:cs="Arial"/>
          <w:sz w:val="24"/>
          <w:szCs w:val="24"/>
        </w:rPr>
      </w:pPr>
    </w:p>
    <w:p w:rsidR="00052459" w:rsidRDefault="00052459" w:rsidP="00052459">
      <w:pPr>
        <w:spacing w:after="0" w:line="240" w:lineRule="auto"/>
        <w:jc w:val="center"/>
        <w:rPr>
          <w:rFonts w:ascii="Arial" w:hAnsi="Arial" w:cs="Arial"/>
          <w:b/>
          <w:sz w:val="24"/>
          <w:szCs w:val="24"/>
        </w:rPr>
      </w:pPr>
      <w:r>
        <w:rPr>
          <w:rFonts w:ascii="Arial" w:hAnsi="Arial" w:cs="Arial"/>
          <w:b/>
          <w:sz w:val="24"/>
          <w:szCs w:val="24"/>
        </w:rPr>
        <w:t xml:space="preserve">Comments of Ohio Partners for Affordable Energy </w:t>
      </w:r>
    </w:p>
    <w:p w:rsidR="00052459" w:rsidRDefault="00052459" w:rsidP="00052459">
      <w:pPr>
        <w:spacing w:after="0" w:line="240" w:lineRule="auto"/>
        <w:jc w:val="center"/>
        <w:rPr>
          <w:rFonts w:ascii="Arial" w:hAnsi="Arial" w:cs="Arial"/>
          <w:b/>
          <w:sz w:val="24"/>
          <w:szCs w:val="24"/>
        </w:rPr>
      </w:pPr>
      <w:r>
        <w:rPr>
          <w:rFonts w:ascii="Arial" w:hAnsi="Arial" w:cs="Arial"/>
          <w:b/>
          <w:sz w:val="24"/>
          <w:szCs w:val="24"/>
        </w:rPr>
        <w:t>Regarding Appendix A of the Entry of July 8, 2009.</w:t>
      </w:r>
    </w:p>
    <w:p w:rsidR="00052459" w:rsidRDefault="00052459" w:rsidP="00052459">
      <w:pPr>
        <w:pBdr>
          <w:bottom w:val="single" w:sz="12" w:space="1" w:color="auto"/>
        </w:pBdr>
        <w:spacing w:after="0" w:line="240" w:lineRule="auto"/>
        <w:jc w:val="center"/>
        <w:rPr>
          <w:rFonts w:ascii="Arial" w:hAnsi="Arial" w:cs="Arial"/>
          <w:b/>
          <w:sz w:val="24"/>
          <w:szCs w:val="24"/>
        </w:rPr>
      </w:pPr>
    </w:p>
    <w:p w:rsidR="00052459" w:rsidRDefault="00052459" w:rsidP="00052459">
      <w:pPr>
        <w:spacing w:after="0" w:line="240" w:lineRule="auto"/>
        <w:jc w:val="center"/>
        <w:rPr>
          <w:rFonts w:ascii="Arial" w:hAnsi="Arial" w:cs="Arial"/>
          <w:sz w:val="24"/>
          <w:szCs w:val="24"/>
        </w:rPr>
      </w:pPr>
    </w:p>
    <w:p w:rsidR="00052459" w:rsidRDefault="00052459" w:rsidP="00052459">
      <w:pPr>
        <w:spacing w:after="0" w:line="480" w:lineRule="auto"/>
        <w:rPr>
          <w:rFonts w:ascii="Arial" w:hAnsi="Arial" w:cs="Arial"/>
          <w:sz w:val="24"/>
          <w:szCs w:val="24"/>
        </w:rPr>
      </w:pPr>
      <w:r>
        <w:rPr>
          <w:rFonts w:ascii="Arial" w:hAnsi="Arial" w:cs="Arial"/>
          <w:sz w:val="24"/>
          <w:szCs w:val="24"/>
        </w:rPr>
        <w:tab/>
        <w:t>Ohio Partners for Affordable Energy (“OPAE”) hereby submits the following comments to the Appendix A of the Entry of July 8, 2009.</w:t>
      </w:r>
    </w:p>
    <w:p w:rsidR="00052459" w:rsidRDefault="00052459" w:rsidP="00052459">
      <w:pPr>
        <w:spacing w:after="0" w:line="480" w:lineRule="auto"/>
        <w:rPr>
          <w:rFonts w:ascii="Arial" w:hAnsi="Arial" w:cs="Arial"/>
          <w:b/>
          <w:sz w:val="24"/>
          <w:szCs w:val="24"/>
        </w:rPr>
      </w:pPr>
      <w:r>
        <w:rPr>
          <w:rFonts w:ascii="Arial" w:hAnsi="Arial" w:cs="Arial"/>
          <w:b/>
          <w:sz w:val="24"/>
          <w:szCs w:val="24"/>
        </w:rPr>
        <w:t>Question 1.</w:t>
      </w:r>
    </w:p>
    <w:p w:rsidR="00052459" w:rsidRDefault="00052459" w:rsidP="00052459">
      <w:pPr>
        <w:spacing w:after="0" w:line="480" w:lineRule="auto"/>
        <w:ind w:firstLine="720"/>
        <w:rPr>
          <w:rFonts w:ascii="Arial" w:hAnsi="Arial" w:cs="Arial"/>
          <w:sz w:val="24"/>
          <w:szCs w:val="24"/>
        </w:rPr>
      </w:pPr>
      <w:r>
        <w:rPr>
          <w:rFonts w:ascii="Arial" w:hAnsi="Arial" w:cs="Arial"/>
          <w:sz w:val="24"/>
          <w:szCs w:val="24"/>
        </w:rPr>
        <w:t>OPAE supports the Provisional Recommendations of the Public Utilities Commission of Ohio (“PUCO”</w:t>
      </w:r>
      <w:r w:rsidR="009B7671">
        <w:rPr>
          <w:rFonts w:ascii="Arial" w:hAnsi="Arial" w:cs="Arial"/>
          <w:sz w:val="24"/>
          <w:szCs w:val="24"/>
        </w:rPr>
        <w:t xml:space="preserve"> or “the Commisison”</w:t>
      </w:r>
      <w:r>
        <w:rPr>
          <w:rFonts w:ascii="Arial" w:hAnsi="Arial" w:cs="Arial"/>
          <w:sz w:val="24"/>
          <w:szCs w:val="24"/>
        </w:rPr>
        <w:t xml:space="preserve">) to utilize gross savings when assessing the energy efficiency achieved by utility </w:t>
      </w:r>
      <w:r w:rsidR="009B7671">
        <w:rPr>
          <w:rFonts w:ascii="Arial" w:hAnsi="Arial" w:cs="Arial"/>
          <w:sz w:val="24"/>
          <w:szCs w:val="24"/>
        </w:rPr>
        <w:t>portfolios</w:t>
      </w:r>
      <w:r>
        <w:rPr>
          <w:rFonts w:ascii="Arial" w:hAnsi="Arial" w:cs="Arial"/>
          <w:sz w:val="24"/>
          <w:szCs w:val="24"/>
        </w:rPr>
        <w:t xml:space="preserve">.  Because Ohio has not had the benefit of utility demand side management (“DSM”) programs in recent years, the initial implementation of programs will serve to </w:t>
      </w:r>
      <w:r w:rsidR="009B7671">
        <w:rPr>
          <w:rFonts w:ascii="Arial" w:hAnsi="Arial" w:cs="Arial"/>
          <w:sz w:val="24"/>
          <w:szCs w:val="24"/>
        </w:rPr>
        <w:t>hasten</w:t>
      </w:r>
      <w:r>
        <w:rPr>
          <w:rFonts w:ascii="Arial" w:hAnsi="Arial" w:cs="Arial"/>
          <w:sz w:val="24"/>
          <w:szCs w:val="24"/>
        </w:rPr>
        <w:t xml:space="preserve"> market transformation activities</w:t>
      </w:r>
      <w:r w:rsidR="009B7671">
        <w:rPr>
          <w:rFonts w:ascii="Arial" w:hAnsi="Arial" w:cs="Arial"/>
          <w:sz w:val="24"/>
          <w:szCs w:val="24"/>
        </w:rPr>
        <w:t xml:space="preserve">.  </w:t>
      </w:r>
      <w:r>
        <w:rPr>
          <w:rFonts w:ascii="Arial" w:hAnsi="Arial" w:cs="Arial"/>
          <w:sz w:val="24"/>
          <w:szCs w:val="24"/>
        </w:rPr>
        <w:t xml:space="preserve"> </w:t>
      </w:r>
      <w:r w:rsidR="009B7671">
        <w:rPr>
          <w:rFonts w:ascii="Arial" w:hAnsi="Arial" w:cs="Arial"/>
          <w:sz w:val="24"/>
          <w:szCs w:val="24"/>
        </w:rPr>
        <w:t>At this point, spillover effects and “free ridership” are not critical issues; changing Ohioans approach to using energy is.  As a result, the Commission’s proposal to utilize gross savings as the measure and</w:t>
      </w:r>
      <w:r w:rsidR="00F55825">
        <w:rPr>
          <w:rFonts w:ascii="Arial" w:hAnsi="Arial" w:cs="Arial"/>
          <w:sz w:val="24"/>
          <w:szCs w:val="24"/>
        </w:rPr>
        <w:t xml:space="preserve"> to </w:t>
      </w:r>
      <w:r w:rsidR="009B7671">
        <w:rPr>
          <w:rFonts w:ascii="Arial" w:hAnsi="Arial" w:cs="Arial"/>
          <w:sz w:val="24"/>
          <w:szCs w:val="24"/>
        </w:rPr>
        <w:t xml:space="preserve">review this </w:t>
      </w:r>
      <w:r w:rsidR="00F55825">
        <w:rPr>
          <w:rFonts w:ascii="Arial" w:hAnsi="Arial" w:cs="Arial"/>
          <w:sz w:val="24"/>
          <w:szCs w:val="24"/>
        </w:rPr>
        <w:t>resolution</w:t>
      </w:r>
      <w:r w:rsidR="009B7671">
        <w:rPr>
          <w:rFonts w:ascii="Arial" w:hAnsi="Arial" w:cs="Arial"/>
          <w:sz w:val="24"/>
          <w:szCs w:val="24"/>
        </w:rPr>
        <w:t xml:space="preserve"> in the future is the appropriate approach. </w:t>
      </w:r>
    </w:p>
    <w:p w:rsidR="009B7671" w:rsidRDefault="009B7671" w:rsidP="009B7671">
      <w:pPr>
        <w:spacing w:after="0" w:line="480" w:lineRule="auto"/>
        <w:rPr>
          <w:rFonts w:ascii="Arial" w:hAnsi="Arial" w:cs="Arial"/>
          <w:b/>
          <w:sz w:val="24"/>
          <w:szCs w:val="24"/>
        </w:rPr>
      </w:pPr>
      <w:r>
        <w:rPr>
          <w:rFonts w:ascii="Arial" w:hAnsi="Arial" w:cs="Arial"/>
          <w:b/>
          <w:sz w:val="24"/>
          <w:szCs w:val="24"/>
        </w:rPr>
        <w:t>Question 2.</w:t>
      </w:r>
    </w:p>
    <w:p w:rsidR="009B7671" w:rsidRDefault="001A4809" w:rsidP="009B7671">
      <w:pPr>
        <w:spacing w:after="0" w:line="480" w:lineRule="auto"/>
        <w:rPr>
          <w:rFonts w:ascii="Arial" w:hAnsi="Arial" w:cs="Arial"/>
          <w:sz w:val="24"/>
          <w:szCs w:val="24"/>
        </w:rPr>
      </w:pPr>
      <w:r>
        <w:rPr>
          <w:rFonts w:ascii="Arial" w:hAnsi="Arial" w:cs="Arial"/>
          <w:b/>
          <w:sz w:val="24"/>
          <w:szCs w:val="24"/>
        </w:rPr>
        <w:tab/>
      </w:r>
      <w:r>
        <w:rPr>
          <w:rFonts w:ascii="Arial" w:hAnsi="Arial" w:cs="Arial"/>
          <w:sz w:val="24"/>
          <w:szCs w:val="24"/>
        </w:rPr>
        <w:t>OPAE supports the use of federal standards and state codes as the baseline</w:t>
      </w:r>
      <w:r w:rsidR="00F55825">
        <w:rPr>
          <w:rFonts w:ascii="Arial" w:hAnsi="Arial" w:cs="Arial"/>
          <w:sz w:val="24"/>
          <w:szCs w:val="24"/>
        </w:rPr>
        <w:t xml:space="preserve"> for determining the effect of installing efficiency measures</w:t>
      </w:r>
      <w:r>
        <w:rPr>
          <w:rFonts w:ascii="Arial" w:hAnsi="Arial" w:cs="Arial"/>
          <w:sz w:val="24"/>
          <w:szCs w:val="24"/>
        </w:rPr>
        <w:t xml:space="preserve">.  However, we have concerns about using current market practice at this stage of </w:t>
      </w:r>
      <w:r>
        <w:rPr>
          <w:rFonts w:ascii="Arial" w:hAnsi="Arial" w:cs="Arial"/>
          <w:sz w:val="24"/>
          <w:szCs w:val="24"/>
        </w:rPr>
        <w:lastRenderedPageBreak/>
        <w:t xml:space="preserve">implementation in Ohio.  In our view, the utility program is the incentive that causes people to make the decision to move to a higher efficiency option.  Using a current market practice </w:t>
      </w:r>
      <w:r w:rsidR="00F55825">
        <w:rPr>
          <w:rFonts w:ascii="Arial" w:hAnsi="Arial" w:cs="Arial"/>
          <w:sz w:val="24"/>
          <w:szCs w:val="24"/>
        </w:rPr>
        <w:t xml:space="preserve">that reduces the amount of </w:t>
      </w:r>
      <w:r>
        <w:rPr>
          <w:rFonts w:ascii="Arial" w:hAnsi="Arial" w:cs="Arial"/>
          <w:sz w:val="24"/>
          <w:szCs w:val="24"/>
        </w:rPr>
        <w:t xml:space="preserve">savings above code serves to discount the savings that was precipitated by the utility funds.  Our agencies tend to look at savings as what goes into a customer’s pocket due to reduction in use.  Discounting the savings above code based on market practice removes the direct link between the utility funding and the reduction in energy use.  Current market practice is a somewhat amorphous concept and does not accurately reflect the </w:t>
      </w:r>
      <w:r w:rsidRPr="00F55825">
        <w:rPr>
          <w:rFonts w:ascii="Arial" w:hAnsi="Arial" w:cs="Arial"/>
          <w:i/>
          <w:sz w:val="24"/>
          <w:szCs w:val="24"/>
        </w:rPr>
        <w:t>customer’s</w:t>
      </w:r>
      <w:r>
        <w:rPr>
          <w:rFonts w:ascii="Arial" w:hAnsi="Arial" w:cs="Arial"/>
          <w:sz w:val="24"/>
          <w:szCs w:val="24"/>
        </w:rPr>
        <w:t xml:space="preserve"> decision.  OPAE recommends using codes and standards, and if there is no code or standard using the actual savings against the actual baseline.</w:t>
      </w:r>
    </w:p>
    <w:p w:rsidR="001A4809" w:rsidRDefault="001A4809" w:rsidP="009B7671">
      <w:pPr>
        <w:spacing w:after="0" w:line="480" w:lineRule="auto"/>
        <w:rPr>
          <w:rFonts w:ascii="Arial" w:hAnsi="Arial" w:cs="Arial"/>
          <w:sz w:val="24"/>
          <w:szCs w:val="24"/>
        </w:rPr>
      </w:pPr>
      <w:r>
        <w:rPr>
          <w:rFonts w:ascii="Arial" w:hAnsi="Arial" w:cs="Arial"/>
          <w:b/>
          <w:sz w:val="24"/>
          <w:szCs w:val="24"/>
        </w:rPr>
        <w:t>Question 3.</w:t>
      </w:r>
    </w:p>
    <w:p w:rsidR="001A4809" w:rsidRDefault="0066505A" w:rsidP="0066505A">
      <w:pPr>
        <w:spacing w:after="0" w:line="480" w:lineRule="auto"/>
        <w:ind w:firstLine="720"/>
        <w:rPr>
          <w:rFonts w:ascii="Arial" w:hAnsi="Arial" w:cs="Arial"/>
          <w:sz w:val="24"/>
          <w:szCs w:val="24"/>
        </w:rPr>
      </w:pPr>
      <w:r>
        <w:rPr>
          <w:rFonts w:ascii="Arial" w:hAnsi="Arial" w:cs="Arial"/>
          <w:sz w:val="24"/>
          <w:szCs w:val="24"/>
        </w:rPr>
        <w:t>OPAE supports the provisional recommendation of the Commission.</w:t>
      </w:r>
    </w:p>
    <w:p w:rsidR="0066505A" w:rsidRDefault="0066505A" w:rsidP="009B7671">
      <w:pPr>
        <w:spacing w:after="0" w:line="480" w:lineRule="auto"/>
        <w:rPr>
          <w:rFonts w:ascii="Arial" w:hAnsi="Arial" w:cs="Arial"/>
          <w:b/>
          <w:sz w:val="24"/>
          <w:szCs w:val="24"/>
        </w:rPr>
      </w:pPr>
      <w:r>
        <w:rPr>
          <w:rFonts w:ascii="Arial" w:hAnsi="Arial" w:cs="Arial"/>
          <w:b/>
          <w:sz w:val="24"/>
          <w:szCs w:val="24"/>
        </w:rPr>
        <w:t>Question 4.</w:t>
      </w:r>
    </w:p>
    <w:p w:rsidR="0066505A" w:rsidRDefault="0066505A" w:rsidP="009B7671">
      <w:pPr>
        <w:spacing w:after="0" w:line="480" w:lineRule="auto"/>
        <w:rPr>
          <w:rFonts w:ascii="Arial" w:hAnsi="Arial" w:cs="Arial"/>
          <w:sz w:val="24"/>
          <w:szCs w:val="24"/>
        </w:rPr>
      </w:pPr>
      <w:r>
        <w:rPr>
          <w:rFonts w:ascii="Arial" w:hAnsi="Arial" w:cs="Arial"/>
          <w:b/>
          <w:sz w:val="24"/>
          <w:szCs w:val="24"/>
        </w:rPr>
        <w:tab/>
      </w:r>
      <w:r>
        <w:rPr>
          <w:rFonts w:ascii="Arial" w:hAnsi="Arial" w:cs="Arial"/>
          <w:sz w:val="24"/>
          <w:szCs w:val="24"/>
        </w:rPr>
        <w:t>OPAE supports the provisional recommendation of the Commission.  We do, however, suggest adding an additional justification for what are described as ‘non-cost effective measures’; reduction in arrearages and improved payment behavior</w:t>
      </w:r>
      <w:r w:rsidR="00F55825">
        <w:rPr>
          <w:rFonts w:ascii="Arial" w:hAnsi="Arial" w:cs="Arial"/>
          <w:sz w:val="24"/>
          <w:szCs w:val="24"/>
        </w:rPr>
        <w:t xml:space="preserve"> which translates into lower bad debt and related costs</w:t>
      </w:r>
      <w:r>
        <w:rPr>
          <w:rFonts w:ascii="Arial" w:hAnsi="Arial" w:cs="Arial"/>
          <w:sz w:val="24"/>
          <w:szCs w:val="24"/>
        </w:rPr>
        <w:t xml:space="preserve">.  This is particularly important for low-income programs.  A program that is marginal under a TRC test can have monetary benefits not considered by that test.  Those </w:t>
      </w:r>
      <w:r w:rsidR="00F55825">
        <w:rPr>
          <w:rFonts w:ascii="Arial" w:hAnsi="Arial" w:cs="Arial"/>
          <w:sz w:val="24"/>
          <w:szCs w:val="24"/>
        </w:rPr>
        <w:t xml:space="preserve">types of factors </w:t>
      </w:r>
      <w:r>
        <w:rPr>
          <w:rFonts w:ascii="Arial" w:hAnsi="Arial" w:cs="Arial"/>
          <w:sz w:val="24"/>
          <w:szCs w:val="24"/>
        </w:rPr>
        <w:t>should be incorporated into the Commission’s analysis.</w:t>
      </w:r>
    </w:p>
    <w:p w:rsidR="0066505A" w:rsidRDefault="0066505A" w:rsidP="009B7671">
      <w:pPr>
        <w:spacing w:after="0" w:line="480" w:lineRule="auto"/>
        <w:rPr>
          <w:rFonts w:ascii="Arial" w:hAnsi="Arial" w:cs="Arial"/>
          <w:b/>
          <w:sz w:val="24"/>
          <w:szCs w:val="24"/>
        </w:rPr>
      </w:pPr>
      <w:r>
        <w:rPr>
          <w:rFonts w:ascii="Arial" w:hAnsi="Arial" w:cs="Arial"/>
          <w:b/>
          <w:sz w:val="24"/>
          <w:szCs w:val="24"/>
        </w:rPr>
        <w:t>Question 5.</w:t>
      </w:r>
    </w:p>
    <w:p w:rsidR="0066505A" w:rsidRDefault="0066505A" w:rsidP="0066505A">
      <w:pPr>
        <w:spacing w:after="0" w:line="480" w:lineRule="auto"/>
        <w:ind w:firstLine="720"/>
        <w:rPr>
          <w:rFonts w:ascii="Arial" w:hAnsi="Arial" w:cs="Arial"/>
          <w:sz w:val="24"/>
          <w:szCs w:val="24"/>
        </w:rPr>
      </w:pPr>
      <w:r>
        <w:rPr>
          <w:rFonts w:ascii="Arial" w:hAnsi="Arial" w:cs="Arial"/>
          <w:sz w:val="24"/>
          <w:szCs w:val="24"/>
        </w:rPr>
        <w:t>OPAE supports the provisional recommendation of the Commission.</w:t>
      </w:r>
    </w:p>
    <w:p w:rsidR="0066505A" w:rsidRDefault="0066505A" w:rsidP="009B7671">
      <w:pPr>
        <w:spacing w:after="0" w:line="480" w:lineRule="auto"/>
        <w:rPr>
          <w:rFonts w:ascii="Arial" w:hAnsi="Arial" w:cs="Arial"/>
          <w:sz w:val="24"/>
          <w:szCs w:val="24"/>
        </w:rPr>
      </w:pPr>
      <w:r>
        <w:rPr>
          <w:rFonts w:ascii="Arial" w:hAnsi="Arial" w:cs="Arial"/>
          <w:b/>
          <w:sz w:val="24"/>
          <w:szCs w:val="24"/>
        </w:rPr>
        <w:lastRenderedPageBreak/>
        <w:t>Conclusion</w:t>
      </w:r>
    </w:p>
    <w:p w:rsidR="0009678A" w:rsidRDefault="0066505A" w:rsidP="009B7671">
      <w:pPr>
        <w:spacing w:after="0" w:line="480" w:lineRule="auto"/>
        <w:rPr>
          <w:rFonts w:ascii="Arial" w:hAnsi="Arial" w:cs="Arial"/>
          <w:sz w:val="24"/>
          <w:szCs w:val="24"/>
        </w:rPr>
      </w:pPr>
      <w:r>
        <w:rPr>
          <w:rFonts w:ascii="Arial" w:hAnsi="Arial" w:cs="Arial"/>
          <w:sz w:val="24"/>
          <w:szCs w:val="24"/>
        </w:rPr>
        <w:tab/>
        <w:t xml:space="preserve">The Commission is moving in a logical fashion and these recommendation generally follow “best practices”.  Ohio is just beginning to implement DSM for non-low income customers.  The existing low-income programs can provide some insight into the maturation of DSM programs over time.  The Commission recommendations reflect the fact that DSM in Ohio will evolve over time and the </w:t>
      </w:r>
      <w:r w:rsidR="0009678A">
        <w:rPr>
          <w:rFonts w:ascii="Arial" w:hAnsi="Arial" w:cs="Arial"/>
          <w:sz w:val="24"/>
          <w:szCs w:val="24"/>
        </w:rPr>
        <w:t xml:space="preserve">appropriate policy at this point should evolve as well.  OPAE also recognizes that SB 221 imposed somewhat unreasonable benchmarks for at least the first 2 years of the program.  DSM programs are complicated because they are retail programs delivered to customers.  Unlike using electricity, DSM requires affirmative acts by customers in order to succeed.  Defining savings too narrowly as programs are in a nascent stage is counterproductive to the policy espoused in SB 221.  At the same time, the savings need to be real, to the customer implementing the measure and to the ratepayers who pay the bill.  </w:t>
      </w:r>
    </w:p>
    <w:p w:rsidR="0066505A" w:rsidRDefault="0009678A" w:rsidP="0009678A">
      <w:pPr>
        <w:spacing w:after="0" w:line="480" w:lineRule="auto"/>
        <w:ind w:firstLine="720"/>
        <w:rPr>
          <w:rFonts w:ascii="Arial" w:hAnsi="Arial" w:cs="Arial"/>
          <w:sz w:val="24"/>
          <w:szCs w:val="24"/>
        </w:rPr>
      </w:pPr>
      <w:r>
        <w:rPr>
          <w:rFonts w:ascii="Arial" w:hAnsi="Arial" w:cs="Arial"/>
          <w:sz w:val="24"/>
          <w:szCs w:val="24"/>
        </w:rPr>
        <w:t>SB 221 recognizes that utilities provide a service and that service can be provided through the supply of electricity or through efficiency.  The Commission recommendations are a good first step down that path.</w:t>
      </w:r>
    </w:p>
    <w:p w:rsidR="0009678A" w:rsidRDefault="0009678A" w:rsidP="00F55825">
      <w:pPr>
        <w:spacing w:line="240" w:lineRule="auto"/>
        <w:ind w:left="4320"/>
        <w:rPr>
          <w:rFonts w:ascii="Arial" w:hAnsi="Arial" w:cs="Arial"/>
        </w:rPr>
      </w:pPr>
      <w:r>
        <w:rPr>
          <w:rFonts w:ascii="Arial" w:hAnsi="Arial" w:cs="Arial"/>
        </w:rPr>
        <w:t>Respectfully submitted,</w:t>
      </w:r>
    </w:p>
    <w:p w:rsidR="0009678A" w:rsidRDefault="0009678A" w:rsidP="00F55825">
      <w:pPr>
        <w:spacing w:line="240" w:lineRule="auto"/>
        <w:rPr>
          <w:rFonts w:ascii="Arial" w:hAnsi="Arial" w:cs="Arial"/>
        </w:rPr>
        <w:sectPr w:rsidR="0009678A" w:rsidSect="00275FCD">
          <w:footerReference w:type="default" r:id="rId6"/>
          <w:footerReference w:type="first" r:id="rId7"/>
          <w:pgSz w:w="12240" w:h="15840"/>
          <w:pgMar w:top="1440" w:right="1800" w:bottom="1440" w:left="1800" w:header="720" w:footer="720" w:gutter="0"/>
          <w:cols w:space="720"/>
          <w:docGrid w:linePitch="360"/>
        </w:sectPr>
      </w:pPr>
    </w:p>
    <w:p w:rsidR="0009678A" w:rsidRDefault="0009678A" w:rsidP="00F55825">
      <w:pPr>
        <w:spacing w:after="0" w:line="240" w:lineRule="auto"/>
        <w:ind w:left="4320"/>
        <w:rPr>
          <w:rFonts w:ascii="Arial" w:hAnsi="Arial" w:cs="Arial"/>
        </w:rPr>
      </w:pPr>
      <w:r>
        <w:rPr>
          <w:rFonts w:ascii="Arial" w:hAnsi="Arial" w:cs="Arial"/>
        </w:rPr>
        <w:lastRenderedPageBreak/>
        <w:t>_</w:t>
      </w:r>
      <w:r w:rsidR="00285D89">
        <w:rPr>
          <w:rFonts w:ascii="Arial" w:hAnsi="Arial" w:cs="Arial"/>
          <w:u w:val="single"/>
        </w:rPr>
        <w:t>/S/</w:t>
      </w:r>
      <w:r w:rsidR="00285D89">
        <w:rPr>
          <w:rFonts w:ascii="Mistral" w:hAnsi="Mistral" w:cs="Arial"/>
          <w:u w:val="single"/>
        </w:rPr>
        <w:t>David C. Rinebolt</w:t>
      </w:r>
      <w:r>
        <w:rPr>
          <w:rFonts w:ascii="Arial" w:hAnsi="Arial" w:cs="Arial"/>
        </w:rPr>
        <w:t>_____________________</w:t>
      </w:r>
    </w:p>
    <w:p w:rsidR="0009678A" w:rsidRDefault="0009678A" w:rsidP="0009678A">
      <w:pPr>
        <w:spacing w:after="0" w:line="240" w:lineRule="auto"/>
        <w:ind w:left="-360"/>
        <w:rPr>
          <w:rFonts w:ascii="Arial" w:hAnsi="Arial" w:cs="Arial"/>
        </w:rPr>
        <w:sectPr w:rsidR="0009678A" w:rsidSect="00F60C04">
          <w:type w:val="continuous"/>
          <w:pgSz w:w="12240" w:h="15840"/>
          <w:pgMar w:top="1440" w:right="1800" w:bottom="1440" w:left="1800" w:header="720" w:footer="720" w:gutter="0"/>
          <w:cols w:space="720"/>
          <w:docGrid w:linePitch="360"/>
        </w:sectPr>
      </w:pPr>
    </w:p>
    <w:p w:rsidR="0009678A" w:rsidRDefault="0009678A" w:rsidP="0009678A">
      <w:pPr>
        <w:spacing w:after="0" w:line="240" w:lineRule="auto"/>
        <w:ind w:left="4320"/>
        <w:rPr>
          <w:rFonts w:ascii="Arial" w:hAnsi="Arial" w:cs="Arial"/>
        </w:rPr>
      </w:pPr>
      <w:r w:rsidRPr="007847EE">
        <w:rPr>
          <w:rFonts w:ascii="Arial" w:hAnsi="Arial" w:cs="Arial"/>
        </w:rPr>
        <w:lastRenderedPageBreak/>
        <w:t>David C. Rinebolt (0073178)</w:t>
      </w:r>
    </w:p>
    <w:p w:rsidR="0009678A" w:rsidRPr="007847EE" w:rsidRDefault="0009678A" w:rsidP="0009678A">
      <w:pPr>
        <w:spacing w:after="0" w:line="240" w:lineRule="auto"/>
        <w:ind w:left="4320"/>
        <w:rPr>
          <w:rFonts w:ascii="Arial" w:hAnsi="Arial" w:cs="Arial"/>
        </w:rPr>
      </w:pPr>
      <w:r w:rsidRPr="007847EE">
        <w:rPr>
          <w:rFonts w:ascii="Arial" w:hAnsi="Arial" w:cs="Arial"/>
        </w:rPr>
        <w:t>Ohio Partners for Affordable Energy</w:t>
      </w:r>
    </w:p>
    <w:p w:rsidR="0009678A" w:rsidRPr="007847EE" w:rsidRDefault="0009678A" w:rsidP="0009678A">
      <w:pPr>
        <w:spacing w:after="0" w:line="240" w:lineRule="auto"/>
        <w:ind w:left="4320"/>
        <w:rPr>
          <w:rFonts w:ascii="Arial" w:hAnsi="Arial" w:cs="Arial"/>
        </w:rPr>
      </w:pPr>
      <w:r w:rsidRPr="007847EE">
        <w:rPr>
          <w:rFonts w:ascii="Arial" w:hAnsi="Arial" w:cs="Arial"/>
        </w:rPr>
        <w:t>P.O. Box 1793</w:t>
      </w:r>
    </w:p>
    <w:p w:rsidR="0009678A" w:rsidRPr="007847EE" w:rsidRDefault="0009678A" w:rsidP="0009678A">
      <w:pPr>
        <w:spacing w:after="0" w:line="240" w:lineRule="auto"/>
        <w:ind w:left="4320"/>
        <w:rPr>
          <w:rFonts w:ascii="Arial" w:hAnsi="Arial" w:cs="Arial"/>
        </w:rPr>
      </w:pPr>
      <w:smartTag w:uri="urn:schemas-microsoft-com:office:smarttags" w:element="place">
        <w:smartTag w:uri="urn:schemas-microsoft-com:office:smarttags" w:element="City">
          <w:r w:rsidRPr="007847EE">
            <w:rPr>
              <w:rFonts w:ascii="Arial" w:hAnsi="Arial" w:cs="Arial"/>
            </w:rPr>
            <w:t>Findlay</w:t>
          </w:r>
        </w:smartTag>
        <w:r w:rsidRPr="007847EE">
          <w:rPr>
            <w:rFonts w:ascii="Arial" w:hAnsi="Arial" w:cs="Arial"/>
          </w:rPr>
          <w:t xml:space="preserve">, </w:t>
        </w:r>
        <w:smartTag w:uri="urn:schemas-microsoft-com:office:smarttags" w:element="State">
          <w:r w:rsidRPr="007847EE">
            <w:rPr>
              <w:rFonts w:ascii="Arial" w:hAnsi="Arial" w:cs="Arial"/>
            </w:rPr>
            <w:t>OH</w:t>
          </w:r>
        </w:smartTag>
        <w:r w:rsidRPr="007847EE">
          <w:rPr>
            <w:rFonts w:ascii="Arial" w:hAnsi="Arial" w:cs="Arial"/>
          </w:rPr>
          <w:t xml:space="preserve"> </w:t>
        </w:r>
        <w:smartTag w:uri="urn:schemas-microsoft-com:office:smarttags" w:element="PostalCode">
          <w:r w:rsidRPr="007847EE">
            <w:rPr>
              <w:rFonts w:ascii="Arial" w:hAnsi="Arial" w:cs="Arial"/>
            </w:rPr>
            <w:t>45839-1793</w:t>
          </w:r>
        </w:smartTag>
      </w:smartTag>
    </w:p>
    <w:p w:rsidR="0009678A" w:rsidRPr="007847EE" w:rsidRDefault="0009678A" w:rsidP="0009678A">
      <w:pPr>
        <w:spacing w:after="0" w:line="240" w:lineRule="auto"/>
        <w:ind w:left="4320"/>
        <w:rPr>
          <w:rFonts w:ascii="Arial" w:hAnsi="Arial" w:cs="Arial"/>
        </w:rPr>
      </w:pPr>
      <w:r w:rsidRPr="007847EE">
        <w:rPr>
          <w:rFonts w:ascii="Arial" w:hAnsi="Arial" w:cs="Arial"/>
        </w:rPr>
        <w:t>Telephone: (419) 425-8860</w:t>
      </w:r>
    </w:p>
    <w:p w:rsidR="0009678A" w:rsidRDefault="0009678A" w:rsidP="0009678A">
      <w:pPr>
        <w:spacing w:after="0" w:line="240" w:lineRule="auto"/>
        <w:rPr>
          <w:rFonts w:ascii="Arial" w:hAnsi="Arial" w:cs="Arial"/>
        </w:rPr>
        <w:sectPr w:rsidR="0009678A" w:rsidSect="00F60C04">
          <w:type w:val="continuous"/>
          <w:pgSz w:w="12240" w:h="15840"/>
          <w:pgMar w:top="1440" w:right="1800" w:bottom="1440" w:left="1800" w:header="720" w:footer="720" w:gutter="0"/>
          <w:cols w:space="720"/>
          <w:docGrid w:linePitch="360"/>
        </w:sectPr>
      </w:pPr>
    </w:p>
    <w:p w:rsidR="0009678A" w:rsidRDefault="0009678A" w:rsidP="0009678A">
      <w:pPr>
        <w:spacing w:after="0" w:line="240" w:lineRule="auto"/>
        <w:ind w:left="4320"/>
        <w:rPr>
          <w:rFonts w:ascii="Arial" w:hAnsi="Arial" w:cs="Arial"/>
        </w:rPr>
      </w:pPr>
      <w:r w:rsidRPr="007847EE">
        <w:rPr>
          <w:rFonts w:ascii="Arial" w:hAnsi="Arial" w:cs="Arial"/>
        </w:rPr>
        <w:lastRenderedPageBreak/>
        <w:t xml:space="preserve">e-mail: </w:t>
      </w:r>
      <w:hyperlink r:id="rId8" w:history="1">
        <w:r w:rsidR="00F55825" w:rsidRPr="00705F6A">
          <w:rPr>
            <w:rStyle w:val="Hyperlink"/>
            <w:rFonts w:ascii="Arial" w:hAnsi="Arial" w:cs="Arial"/>
          </w:rPr>
          <w:t>drinebolt@ohiopartners.org</w:t>
        </w:r>
      </w:hyperlink>
    </w:p>
    <w:p w:rsidR="0009678A" w:rsidRDefault="0009678A" w:rsidP="0009678A">
      <w:pPr>
        <w:spacing w:after="0" w:line="240" w:lineRule="auto"/>
        <w:rPr>
          <w:rFonts w:ascii="Arial" w:hAnsi="Arial" w:cs="Arial"/>
        </w:rPr>
        <w:sectPr w:rsidR="0009678A" w:rsidSect="00F60C04">
          <w:type w:val="continuous"/>
          <w:pgSz w:w="12240" w:h="15840"/>
          <w:pgMar w:top="1440" w:right="1800" w:bottom="1440" w:left="1800" w:header="720" w:footer="720" w:gutter="0"/>
          <w:cols w:space="720"/>
          <w:docGrid w:linePitch="360"/>
        </w:sectPr>
      </w:pPr>
    </w:p>
    <w:p w:rsidR="00F55825" w:rsidRDefault="00F55825" w:rsidP="0009678A">
      <w:pPr>
        <w:spacing w:after="0" w:line="240" w:lineRule="auto"/>
        <w:ind w:left="4320"/>
        <w:rPr>
          <w:rFonts w:ascii="Arial" w:hAnsi="Arial" w:cs="Arial"/>
          <w:b/>
        </w:rPr>
      </w:pPr>
    </w:p>
    <w:p w:rsidR="0009678A" w:rsidRPr="007847EE" w:rsidRDefault="0009678A" w:rsidP="0009678A">
      <w:pPr>
        <w:spacing w:after="0" w:line="240" w:lineRule="auto"/>
        <w:ind w:left="4320"/>
        <w:rPr>
          <w:rFonts w:ascii="Arial" w:hAnsi="Arial" w:cs="Arial"/>
          <w:b/>
        </w:rPr>
      </w:pPr>
      <w:r w:rsidRPr="007847EE">
        <w:rPr>
          <w:rFonts w:ascii="Arial" w:hAnsi="Arial" w:cs="Arial"/>
          <w:b/>
        </w:rPr>
        <w:t>On Behalf of Ohio Partners for Affordable Energy</w:t>
      </w:r>
    </w:p>
    <w:p w:rsidR="0009678A" w:rsidRDefault="0009678A" w:rsidP="0009678A">
      <w:pPr>
        <w:pBdr>
          <w:bottom w:val="single" w:sz="12" w:space="1" w:color="auto"/>
        </w:pBdr>
        <w:tabs>
          <w:tab w:val="left" w:pos="0"/>
          <w:tab w:val="left" w:pos="180"/>
          <w:tab w:val="left" w:pos="4320"/>
        </w:tabs>
        <w:ind w:left="4140"/>
        <w:rPr>
          <w:rFonts w:ascii="Arial" w:hAnsi="Arial" w:cs="Arial"/>
        </w:rPr>
        <w:sectPr w:rsidR="0009678A" w:rsidSect="00F60C04">
          <w:type w:val="continuous"/>
          <w:pgSz w:w="12240" w:h="15840"/>
          <w:pgMar w:top="1440" w:right="1800" w:bottom="1440" w:left="1800" w:header="720" w:footer="720" w:gutter="0"/>
          <w:cols w:space="720"/>
          <w:docGrid w:linePitch="360"/>
        </w:sectPr>
      </w:pPr>
    </w:p>
    <w:p w:rsidR="0009678A" w:rsidRDefault="0009678A" w:rsidP="0009678A">
      <w:pPr>
        <w:jc w:val="center"/>
        <w:rPr>
          <w:rFonts w:ascii="Arial" w:hAnsi="Arial" w:cs="Arial"/>
          <w:b/>
          <w:bCs/>
        </w:rPr>
      </w:pPr>
      <w:r>
        <w:rPr>
          <w:rFonts w:ascii="Arial" w:hAnsi="Arial" w:cs="Arial"/>
          <w:b/>
          <w:bCs/>
        </w:rPr>
        <w:lastRenderedPageBreak/>
        <w:t>CERTIFICATE OF SERVICE</w:t>
      </w:r>
    </w:p>
    <w:p w:rsidR="0009678A" w:rsidRDefault="0009678A" w:rsidP="0009678A">
      <w:pPr>
        <w:rPr>
          <w:rFonts w:ascii="Arial" w:hAnsi="Arial" w:cs="Arial"/>
          <w:b/>
          <w:bCs/>
        </w:rPr>
      </w:pPr>
    </w:p>
    <w:p w:rsidR="0009678A" w:rsidRDefault="0009678A" w:rsidP="0009678A">
      <w:pPr>
        <w:spacing w:line="480" w:lineRule="auto"/>
        <w:rPr>
          <w:rFonts w:ascii="Arial" w:hAnsi="Arial" w:cs="Arial"/>
        </w:rPr>
      </w:pPr>
      <w:r>
        <w:rPr>
          <w:rFonts w:ascii="Arial" w:hAnsi="Arial" w:cs="Arial"/>
          <w:b/>
          <w:bCs/>
        </w:rPr>
        <w:tab/>
      </w:r>
      <w:r>
        <w:rPr>
          <w:rFonts w:ascii="Arial" w:hAnsi="Arial" w:cs="Arial"/>
        </w:rPr>
        <w:t>I hereby certify that a copy of these Objections to the Staff Report of Investigation</w:t>
      </w:r>
      <w:r>
        <w:rPr>
          <w:rFonts w:ascii="Arial" w:hAnsi="Arial" w:cs="Arial"/>
          <w:i/>
        </w:rPr>
        <w:t xml:space="preserve"> </w:t>
      </w:r>
      <w:r>
        <w:rPr>
          <w:rFonts w:ascii="Arial" w:hAnsi="Arial" w:cs="Arial"/>
        </w:rPr>
        <w:t>were served by regular U.S. Mail, postage prepaid, upon the parties of record identified below on this 24</w:t>
      </w:r>
      <w:r w:rsidRPr="0009678A">
        <w:rPr>
          <w:rFonts w:ascii="Arial" w:hAnsi="Arial" w:cs="Arial"/>
          <w:vertAlign w:val="superscript"/>
        </w:rPr>
        <w:t>th</w:t>
      </w:r>
      <w:r>
        <w:rPr>
          <w:rFonts w:ascii="Arial" w:hAnsi="Arial" w:cs="Arial"/>
        </w:rPr>
        <w:t xml:space="preserve"> day of July, 2009.</w:t>
      </w:r>
    </w:p>
    <w:p w:rsidR="0009678A" w:rsidRDefault="0009678A" w:rsidP="0009678A">
      <w:pPr>
        <w:pStyle w:val="BodyTextIndent"/>
        <w:ind w:left="0"/>
      </w:pPr>
      <w:r>
        <w:tab/>
      </w:r>
      <w:r>
        <w:tab/>
      </w:r>
      <w:r>
        <w:tab/>
      </w:r>
      <w:r>
        <w:tab/>
      </w:r>
      <w:r>
        <w:tab/>
      </w:r>
      <w:r>
        <w:tab/>
      </w:r>
      <w:r w:rsidR="00285D89">
        <w:t>_</w:t>
      </w:r>
      <w:r w:rsidR="00285D89">
        <w:rPr>
          <w:u w:val="single"/>
        </w:rPr>
        <w:t>/S/</w:t>
      </w:r>
      <w:r w:rsidR="00285D89">
        <w:rPr>
          <w:rFonts w:ascii="Mistral" w:hAnsi="Mistral"/>
          <w:u w:val="single"/>
        </w:rPr>
        <w:t>David C. Rinebolt</w:t>
      </w:r>
      <w:r w:rsidR="00285D89">
        <w:t>_</w:t>
      </w:r>
      <w:r>
        <w:t>_____________</w:t>
      </w:r>
    </w:p>
    <w:p w:rsidR="0009678A" w:rsidRDefault="0009678A" w:rsidP="0009678A">
      <w:pPr>
        <w:pStyle w:val="BodyTextIndent"/>
        <w:ind w:left="3600"/>
      </w:pPr>
      <w:r>
        <w:tab/>
        <w:t>David C. Rinebolt, Esq.</w:t>
      </w:r>
    </w:p>
    <w:p w:rsidR="0009678A" w:rsidRDefault="0009678A" w:rsidP="0009678A">
      <w:pPr>
        <w:pStyle w:val="BodyTextIndent"/>
        <w:rPr>
          <w:b/>
          <w:bCs/>
        </w:rPr>
      </w:pPr>
      <w:r>
        <w:rPr>
          <w:b/>
          <w:bCs/>
        </w:rPr>
        <w:t xml:space="preserve">Counsel for </w:t>
      </w:r>
      <w:smartTag w:uri="urn:schemas-microsoft-com:office:smarttags" w:element="place">
        <w:smartTag w:uri="urn:schemas-microsoft-com:office:smarttags" w:element="State">
          <w:r>
            <w:rPr>
              <w:b/>
              <w:bCs/>
            </w:rPr>
            <w:t>Ohio</w:t>
          </w:r>
        </w:smartTag>
      </w:smartTag>
      <w:r>
        <w:rPr>
          <w:b/>
          <w:bCs/>
        </w:rPr>
        <w:t xml:space="preserve"> Partners for Affordable Energy</w:t>
      </w:r>
    </w:p>
    <w:p w:rsidR="00F55825" w:rsidRDefault="00F55825" w:rsidP="0009678A">
      <w:pPr>
        <w:pStyle w:val="BodyTextIndent"/>
        <w:rPr>
          <w:b/>
          <w:bCs/>
        </w:rPr>
      </w:pPr>
    </w:p>
    <w:tbl>
      <w:tblPr>
        <w:tblStyle w:val="TableGrid"/>
        <w:tblW w:w="11700"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tblPr>
      <w:tblGrid>
        <w:gridCol w:w="3780"/>
        <w:gridCol w:w="180"/>
        <w:gridCol w:w="3780"/>
        <w:gridCol w:w="180"/>
        <w:gridCol w:w="3780"/>
      </w:tblGrid>
      <w:tr w:rsidR="00F55825" w:rsidTr="00F55825">
        <w:trPr>
          <w:cantSplit/>
          <w:trHeight w:hRule="exact" w:val="1440"/>
        </w:trPr>
        <w:tc>
          <w:tcPr>
            <w:tcW w:w="3780" w:type="dxa"/>
          </w:tcPr>
          <w:p w:rsidR="00F55825" w:rsidRDefault="00F55825" w:rsidP="00763F55">
            <w:pPr>
              <w:ind w:left="108" w:right="108"/>
            </w:pPr>
            <w:r>
              <w:t>Marvin I. Resnik</w:t>
            </w:r>
          </w:p>
          <w:p w:rsidR="00F55825" w:rsidRDefault="00F55825" w:rsidP="00763F55">
            <w:pPr>
              <w:ind w:left="108" w:right="108"/>
            </w:pPr>
            <w:r>
              <w:t>American Electric Power Service Corp.</w:t>
            </w:r>
          </w:p>
          <w:p w:rsidR="00F55825" w:rsidRDefault="00F55825" w:rsidP="00763F55">
            <w:pPr>
              <w:ind w:left="108" w:right="108"/>
            </w:pPr>
            <w:r>
              <w:t>1 Riverside Plaza, 29</w:t>
            </w:r>
            <w:r w:rsidRPr="006551E1">
              <w:rPr>
                <w:vertAlign w:val="superscript"/>
              </w:rPr>
              <w:t>th</w:t>
            </w:r>
            <w:r>
              <w:t xml:space="preserve"> Floor</w:t>
            </w:r>
          </w:p>
          <w:p w:rsidR="00F55825" w:rsidRDefault="00F55825" w:rsidP="00763F55">
            <w:pPr>
              <w:ind w:left="108" w:right="108"/>
            </w:pPr>
            <w:r>
              <w:t>Columbus, OH  43215</w:t>
            </w:r>
          </w:p>
        </w:tc>
        <w:tc>
          <w:tcPr>
            <w:tcW w:w="180" w:type="dxa"/>
          </w:tcPr>
          <w:p w:rsidR="00F55825" w:rsidRDefault="00F55825" w:rsidP="00763F55">
            <w:pPr>
              <w:ind w:left="108" w:right="108"/>
            </w:pPr>
          </w:p>
        </w:tc>
        <w:tc>
          <w:tcPr>
            <w:tcW w:w="3780" w:type="dxa"/>
          </w:tcPr>
          <w:p w:rsidR="00F55825" w:rsidRDefault="00F55825" w:rsidP="00763F55">
            <w:pPr>
              <w:ind w:left="108" w:right="108"/>
            </w:pPr>
            <w:r>
              <w:t>Randall V. Griffin</w:t>
            </w:r>
          </w:p>
          <w:p w:rsidR="00F55825" w:rsidRDefault="00F55825" w:rsidP="00763F55">
            <w:pPr>
              <w:ind w:left="108" w:right="108"/>
            </w:pPr>
            <w:r>
              <w:t>The Dayton Power &amp; Light Company</w:t>
            </w:r>
          </w:p>
          <w:p w:rsidR="00F55825" w:rsidRDefault="00F55825" w:rsidP="00763F55">
            <w:pPr>
              <w:ind w:left="108" w:right="108"/>
            </w:pPr>
            <w:r>
              <w:t>1065 Woodman Drive</w:t>
            </w:r>
          </w:p>
          <w:p w:rsidR="00F55825" w:rsidRDefault="00F55825" w:rsidP="00763F55">
            <w:pPr>
              <w:ind w:left="108" w:right="108"/>
            </w:pPr>
            <w:r>
              <w:t>Dayton, OH 45432</w:t>
            </w:r>
          </w:p>
        </w:tc>
        <w:tc>
          <w:tcPr>
            <w:tcW w:w="180" w:type="dxa"/>
          </w:tcPr>
          <w:p w:rsidR="00F55825" w:rsidRDefault="00F55825" w:rsidP="00763F55">
            <w:pPr>
              <w:ind w:left="108" w:right="108"/>
            </w:pPr>
          </w:p>
        </w:tc>
        <w:tc>
          <w:tcPr>
            <w:tcW w:w="3780" w:type="dxa"/>
          </w:tcPr>
          <w:p w:rsidR="00F55825" w:rsidRDefault="00F55825" w:rsidP="00763F55">
            <w:pPr>
              <w:ind w:left="108" w:right="108"/>
            </w:pPr>
            <w:r>
              <w:t>Elizabeth H. Watts</w:t>
            </w:r>
          </w:p>
          <w:p w:rsidR="00F55825" w:rsidRDefault="00F55825" w:rsidP="00763F55">
            <w:pPr>
              <w:ind w:left="108" w:right="108"/>
            </w:pPr>
            <w:r>
              <w:t>Duke Energy Ohio</w:t>
            </w:r>
          </w:p>
          <w:p w:rsidR="00F55825" w:rsidRDefault="00F55825" w:rsidP="00763F55">
            <w:pPr>
              <w:ind w:left="108" w:right="108"/>
            </w:pPr>
            <w:r>
              <w:t>PO Box 960</w:t>
            </w:r>
          </w:p>
          <w:p w:rsidR="00F55825" w:rsidRDefault="00F55825" w:rsidP="00763F55">
            <w:pPr>
              <w:ind w:left="108" w:right="108"/>
            </w:pPr>
            <w:r>
              <w:t>Cincinnati, OH  45201-0960</w:t>
            </w:r>
          </w:p>
        </w:tc>
      </w:tr>
      <w:tr w:rsidR="00F55825" w:rsidTr="00F55825">
        <w:trPr>
          <w:cantSplit/>
          <w:trHeight w:hRule="exact" w:val="1440"/>
        </w:trPr>
        <w:tc>
          <w:tcPr>
            <w:tcW w:w="3780" w:type="dxa"/>
          </w:tcPr>
          <w:p w:rsidR="00F55825" w:rsidRDefault="00F55825" w:rsidP="00763F55">
            <w:pPr>
              <w:ind w:left="108" w:right="108"/>
            </w:pPr>
            <w:r>
              <w:t>Kathy J. Kolich</w:t>
            </w:r>
          </w:p>
          <w:p w:rsidR="00F55825" w:rsidRDefault="00F55825" w:rsidP="00763F55">
            <w:pPr>
              <w:ind w:left="108" w:right="108"/>
            </w:pPr>
            <w:r>
              <w:t>FirstEnergy Service Company</w:t>
            </w:r>
          </w:p>
          <w:p w:rsidR="00F55825" w:rsidRDefault="00F55825" w:rsidP="00763F55">
            <w:pPr>
              <w:ind w:left="108" w:right="108"/>
            </w:pPr>
            <w:r>
              <w:t>76 South Main St.</w:t>
            </w:r>
          </w:p>
          <w:p w:rsidR="00F55825" w:rsidRDefault="00F55825" w:rsidP="00763F55">
            <w:pPr>
              <w:ind w:left="108" w:right="108"/>
            </w:pPr>
            <w:r>
              <w:t>Akron, OH  44308</w:t>
            </w:r>
          </w:p>
        </w:tc>
        <w:tc>
          <w:tcPr>
            <w:tcW w:w="180" w:type="dxa"/>
          </w:tcPr>
          <w:p w:rsidR="00F55825" w:rsidRDefault="00F55825" w:rsidP="00763F55">
            <w:pPr>
              <w:ind w:left="108" w:right="108"/>
            </w:pPr>
          </w:p>
        </w:tc>
        <w:tc>
          <w:tcPr>
            <w:tcW w:w="3780" w:type="dxa"/>
          </w:tcPr>
          <w:p w:rsidR="00F55825" w:rsidRDefault="00F55825" w:rsidP="00763F55">
            <w:pPr>
              <w:ind w:left="108" w:right="108"/>
            </w:pPr>
            <w:r>
              <w:t>Samuel C. Randazzo</w:t>
            </w:r>
          </w:p>
          <w:p w:rsidR="00F55825" w:rsidRDefault="00F55825" w:rsidP="00763F55">
            <w:pPr>
              <w:ind w:left="108" w:right="108"/>
            </w:pPr>
            <w:r>
              <w:t>McNees Wallace &amp; Nurick</w:t>
            </w:r>
          </w:p>
          <w:p w:rsidR="00F55825" w:rsidRDefault="00F55825" w:rsidP="00763F55">
            <w:pPr>
              <w:ind w:left="108" w:right="108"/>
            </w:pPr>
            <w:r>
              <w:t>21 East State St., 17</w:t>
            </w:r>
            <w:r w:rsidRPr="006551E1">
              <w:rPr>
                <w:vertAlign w:val="superscript"/>
              </w:rPr>
              <w:t>th</w:t>
            </w:r>
            <w:r>
              <w:t xml:space="preserve"> Floor</w:t>
            </w:r>
          </w:p>
          <w:p w:rsidR="00F55825" w:rsidRDefault="00F55825" w:rsidP="00763F55">
            <w:pPr>
              <w:ind w:left="108" w:right="108"/>
            </w:pPr>
            <w:r>
              <w:t>Columbus, OH  43215-4228</w:t>
            </w:r>
          </w:p>
        </w:tc>
        <w:tc>
          <w:tcPr>
            <w:tcW w:w="180" w:type="dxa"/>
          </w:tcPr>
          <w:p w:rsidR="00F55825" w:rsidRDefault="00F55825" w:rsidP="00763F55">
            <w:pPr>
              <w:ind w:left="108" w:right="108"/>
            </w:pPr>
          </w:p>
        </w:tc>
        <w:tc>
          <w:tcPr>
            <w:tcW w:w="3780" w:type="dxa"/>
          </w:tcPr>
          <w:p w:rsidR="00F55825" w:rsidRDefault="00F55825" w:rsidP="00763F55">
            <w:pPr>
              <w:ind w:left="108" w:right="108"/>
            </w:pPr>
            <w:r>
              <w:t>David A. Kutik</w:t>
            </w:r>
          </w:p>
          <w:p w:rsidR="00F55825" w:rsidRDefault="00F55825" w:rsidP="00763F55">
            <w:pPr>
              <w:ind w:left="108" w:right="108"/>
            </w:pPr>
            <w:r>
              <w:t>Jones Day</w:t>
            </w:r>
          </w:p>
          <w:p w:rsidR="00F55825" w:rsidRDefault="00F55825" w:rsidP="00763F55">
            <w:pPr>
              <w:ind w:left="108" w:right="108"/>
            </w:pPr>
            <w:r>
              <w:t>901 Lakeside Avenue</w:t>
            </w:r>
          </w:p>
          <w:p w:rsidR="00F55825" w:rsidRDefault="00F55825" w:rsidP="00763F55">
            <w:pPr>
              <w:ind w:left="108" w:right="108"/>
            </w:pPr>
            <w:r>
              <w:t>Cleveland, OH  44114</w:t>
            </w:r>
          </w:p>
        </w:tc>
      </w:tr>
      <w:tr w:rsidR="00F55825" w:rsidTr="00F55825">
        <w:trPr>
          <w:cantSplit/>
          <w:trHeight w:hRule="exact" w:val="1440"/>
        </w:trPr>
        <w:tc>
          <w:tcPr>
            <w:tcW w:w="3780" w:type="dxa"/>
          </w:tcPr>
          <w:p w:rsidR="00F55825" w:rsidRDefault="00F55825" w:rsidP="00763F55">
            <w:pPr>
              <w:ind w:left="108" w:right="108"/>
            </w:pPr>
            <w:r>
              <w:t>Stephen Seiple</w:t>
            </w:r>
          </w:p>
          <w:p w:rsidR="00F55825" w:rsidRDefault="00F55825" w:rsidP="00763F55">
            <w:pPr>
              <w:ind w:left="108" w:right="108"/>
            </w:pPr>
            <w:r>
              <w:t>Columbia Gas of Ohio</w:t>
            </w:r>
          </w:p>
          <w:p w:rsidR="00F55825" w:rsidRDefault="00F55825" w:rsidP="00763F55">
            <w:pPr>
              <w:ind w:left="108" w:right="108"/>
            </w:pPr>
            <w:r>
              <w:t>PO Box 117</w:t>
            </w:r>
          </w:p>
          <w:p w:rsidR="00F55825" w:rsidRDefault="00F55825" w:rsidP="00763F55">
            <w:pPr>
              <w:ind w:left="108" w:right="108"/>
            </w:pPr>
            <w:r>
              <w:t>Columbus, OH  43215</w:t>
            </w:r>
          </w:p>
        </w:tc>
        <w:tc>
          <w:tcPr>
            <w:tcW w:w="180" w:type="dxa"/>
          </w:tcPr>
          <w:p w:rsidR="00F55825" w:rsidRDefault="00F55825" w:rsidP="00763F55">
            <w:pPr>
              <w:ind w:left="108" w:right="108"/>
            </w:pPr>
          </w:p>
        </w:tc>
        <w:tc>
          <w:tcPr>
            <w:tcW w:w="3780" w:type="dxa"/>
          </w:tcPr>
          <w:p w:rsidR="00F55825" w:rsidRDefault="00F55825" w:rsidP="00763F55">
            <w:pPr>
              <w:ind w:left="108" w:right="108"/>
            </w:pPr>
            <w:r>
              <w:t>Mark A. Whitt</w:t>
            </w:r>
          </w:p>
          <w:p w:rsidR="00F55825" w:rsidRDefault="00F55825" w:rsidP="00763F55">
            <w:pPr>
              <w:ind w:left="108" w:right="108"/>
            </w:pPr>
            <w:r>
              <w:t>Carpent Lipps &amp; Leland</w:t>
            </w:r>
          </w:p>
          <w:p w:rsidR="00F55825" w:rsidRDefault="00F55825" w:rsidP="00763F55">
            <w:pPr>
              <w:ind w:left="108" w:right="108"/>
            </w:pPr>
            <w:r>
              <w:t>280 North High St, Suite 1300</w:t>
            </w:r>
          </w:p>
          <w:p w:rsidR="00F55825" w:rsidRDefault="00F55825" w:rsidP="00763F55">
            <w:pPr>
              <w:ind w:left="108" w:right="108"/>
            </w:pPr>
            <w:r>
              <w:t>Columbus, OH  43215</w:t>
            </w:r>
          </w:p>
        </w:tc>
        <w:tc>
          <w:tcPr>
            <w:tcW w:w="180" w:type="dxa"/>
          </w:tcPr>
          <w:p w:rsidR="00F55825" w:rsidRDefault="00F55825" w:rsidP="00763F55">
            <w:pPr>
              <w:ind w:left="108" w:right="108"/>
            </w:pPr>
          </w:p>
        </w:tc>
        <w:tc>
          <w:tcPr>
            <w:tcW w:w="3780" w:type="dxa"/>
          </w:tcPr>
          <w:p w:rsidR="00F55825" w:rsidRDefault="00F55825" w:rsidP="00763F55">
            <w:pPr>
              <w:ind w:left="108" w:right="108"/>
            </w:pPr>
            <w:r>
              <w:t>Jeffrey L. Small</w:t>
            </w:r>
          </w:p>
          <w:p w:rsidR="00F55825" w:rsidRDefault="00F55825" w:rsidP="00763F55">
            <w:pPr>
              <w:ind w:left="108" w:right="108"/>
            </w:pPr>
            <w:r>
              <w:t>Office of the Ohio Consumers’ Counsel</w:t>
            </w:r>
          </w:p>
          <w:p w:rsidR="00F55825" w:rsidRDefault="00F55825" w:rsidP="00763F55">
            <w:pPr>
              <w:ind w:left="108" w:right="108"/>
            </w:pPr>
            <w:r>
              <w:t>10 West Broad St., Suite 1800</w:t>
            </w:r>
          </w:p>
          <w:p w:rsidR="00F55825" w:rsidRDefault="00F55825" w:rsidP="00763F55">
            <w:pPr>
              <w:ind w:left="108" w:right="108"/>
            </w:pPr>
            <w:r>
              <w:t>Columbus, OH  43215-3485</w:t>
            </w:r>
          </w:p>
        </w:tc>
      </w:tr>
      <w:tr w:rsidR="00F55825" w:rsidTr="00F55825">
        <w:trPr>
          <w:cantSplit/>
          <w:trHeight w:hRule="exact" w:val="1440"/>
        </w:trPr>
        <w:tc>
          <w:tcPr>
            <w:tcW w:w="3780" w:type="dxa"/>
          </w:tcPr>
          <w:p w:rsidR="00F55825" w:rsidRDefault="00F55825" w:rsidP="00763F55">
            <w:pPr>
              <w:ind w:left="108" w:right="108"/>
            </w:pPr>
            <w:r>
              <w:t>Janet K. Stoneking</w:t>
            </w:r>
          </w:p>
          <w:p w:rsidR="00F55825" w:rsidRDefault="00F55825" w:rsidP="00763F55">
            <w:pPr>
              <w:ind w:left="108" w:right="108"/>
            </w:pPr>
            <w:r>
              <w:t>Ohio Department of Development</w:t>
            </w:r>
          </w:p>
          <w:p w:rsidR="00F55825" w:rsidRDefault="00F55825" w:rsidP="00763F55">
            <w:pPr>
              <w:ind w:left="108" w:right="108"/>
            </w:pPr>
            <w:r>
              <w:t>PO Box 1001</w:t>
            </w:r>
          </w:p>
          <w:p w:rsidR="00F55825" w:rsidRDefault="00F55825" w:rsidP="00763F55">
            <w:pPr>
              <w:ind w:left="108" w:right="108"/>
            </w:pPr>
            <w:r>
              <w:t>Columbus, OH  43216-1001</w:t>
            </w:r>
          </w:p>
        </w:tc>
        <w:tc>
          <w:tcPr>
            <w:tcW w:w="180" w:type="dxa"/>
          </w:tcPr>
          <w:p w:rsidR="00F55825" w:rsidRDefault="00F55825" w:rsidP="00763F55">
            <w:pPr>
              <w:ind w:left="108" w:right="108"/>
            </w:pPr>
          </w:p>
        </w:tc>
        <w:tc>
          <w:tcPr>
            <w:tcW w:w="3780" w:type="dxa"/>
          </w:tcPr>
          <w:p w:rsidR="00F55825" w:rsidRDefault="00F55825" w:rsidP="00763F55">
            <w:pPr>
              <w:ind w:left="108" w:right="108"/>
            </w:pPr>
            <w:r>
              <w:t>Nolan Moser</w:t>
            </w:r>
          </w:p>
          <w:p w:rsidR="00F55825" w:rsidRDefault="00F55825" w:rsidP="00763F55">
            <w:pPr>
              <w:ind w:left="108" w:right="108"/>
            </w:pPr>
            <w:r>
              <w:t>The Ohio Environmental Council</w:t>
            </w:r>
          </w:p>
          <w:p w:rsidR="00F55825" w:rsidRDefault="00F55825" w:rsidP="00763F55">
            <w:pPr>
              <w:ind w:left="108" w:right="108"/>
            </w:pPr>
            <w:r>
              <w:t>1207 Grandview Ave., Suite 201</w:t>
            </w:r>
          </w:p>
          <w:p w:rsidR="00F55825" w:rsidRDefault="00F55825" w:rsidP="00763F55">
            <w:pPr>
              <w:ind w:left="108" w:right="108"/>
            </w:pPr>
            <w:r>
              <w:t>Columbus, OH  43212-3449</w:t>
            </w:r>
          </w:p>
        </w:tc>
        <w:tc>
          <w:tcPr>
            <w:tcW w:w="180" w:type="dxa"/>
          </w:tcPr>
          <w:p w:rsidR="00F55825" w:rsidRDefault="00F55825" w:rsidP="00763F55">
            <w:pPr>
              <w:ind w:left="108" w:right="108"/>
            </w:pPr>
          </w:p>
        </w:tc>
        <w:tc>
          <w:tcPr>
            <w:tcW w:w="3780" w:type="dxa"/>
          </w:tcPr>
          <w:p w:rsidR="00F55825" w:rsidRDefault="00F55825" w:rsidP="00763F55">
            <w:pPr>
              <w:ind w:left="108" w:right="108"/>
            </w:pPr>
            <w:r>
              <w:t>Thomas  J. O’Brien</w:t>
            </w:r>
          </w:p>
          <w:p w:rsidR="00F55825" w:rsidRDefault="00F55825" w:rsidP="00763F55">
            <w:pPr>
              <w:ind w:left="108" w:right="108"/>
            </w:pPr>
            <w:r>
              <w:t>Bricker &amp; Eckler</w:t>
            </w:r>
          </w:p>
          <w:p w:rsidR="00F55825" w:rsidRDefault="00F55825" w:rsidP="00763F55">
            <w:pPr>
              <w:ind w:left="108" w:right="108"/>
            </w:pPr>
            <w:r>
              <w:t>100 South Third St.</w:t>
            </w:r>
          </w:p>
          <w:p w:rsidR="00F55825" w:rsidRDefault="00F55825" w:rsidP="00763F55">
            <w:pPr>
              <w:ind w:left="108" w:right="108"/>
            </w:pPr>
            <w:r>
              <w:t>Columbus, OH  43215-4291</w:t>
            </w:r>
          </w:p>
        </w:tc>
      </w:tr>
    </w:tbl>
    <w:p w:rsidR="0009678A" w:rsidRPr="0066505A" w:rsidRDefault="0009678A" w:rsidP="0009678A">
      <w:pPr>
        <w:spacing w:after="0" w:line="480" w:lineRule="auto"/>
        <w:ind w:firstLine="720"/>
        <w:rPr>
          <w:rFonts w:ascii="Arial" w:hAnsi="Arial" w:cs="Arial"/>
          <w:sz w:val="24"/>
          <w:szCs w:val="24"/>
        </w:rPr>
      </w:pPr>
    </w:p>
    <w:sectPr w:rsidR="0009678A" w:rsidRPr="0066505A" w:rsidSect="00FC04B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4F2" w:rsidRDefault="002254F2" w:rsidP="00F55825">
      <w:pPr>
        <w:spacing w:after="0" w:line="240" w:lineRule="auto"/>
      </w:pPr>
      <w:r>
        <w:separator/>
      </w:r>
    </w:p>
  </w:endnote>
  <w:endnote w:type="continuationSeparator" w:id="0">
    <w:p w:rsidR="002254F2" w:rsidRDefault="002254F2" w:rsidP="00F55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019"/>
      <w:docPartObj>
        <w:docPartGallery w:val="Page Numbers (Bottom of Page)"/>
        <w:docPartUnique/>
      </w:docPartObj>
    </w:sdtPr>
    <w:sdtContent>
      <w:p w:rsidR="00275FCD" w:rsidRDefault="00275FCD">
        <w:pPr>
          <w:pStyle w:val="Footer"/>
          <w:jc w:val="center"/>
        </w:pPr>
        <w:fldSimple w:instr=" PAGE   \* MERGEFORMAT ">
          <w:r w:rsidR="00285D89">
            <w:rPr>
              <w:noProof/>
            </w:rPr>
            <w:t>4</w:t>
          </w:r>
        </w:fldSimple>
      </w:p>
    </w:sdtContent>
  </w:sdt>
  <w:p w:rsidR="00275FCD" w:rsidRDefault="00275F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018"/>
      <w:docPartObj>
        <w:docPartGallery w:val="Page Numbers (Bottom of Page)"/>
        <w:docPartUnique/>
      </w:docPartObj>
    </w:sdtPr>
    <w:sdtContent>
      <w:p w:rsidR="00275FCD" w:rsidRDefault="00275FCD">
        <w:pPr>
          <w:pStyle w:val="Footer"/>
          <w:jc w:val="center"/>
        </w:pPr>
        <w:fldSimple w:instr=" PAGE   \* MERGEFORMAT ">
          <w:r>
            <w:rPr>
              <w:noProof/>
            </w:rPr>
            <w:t>1</w:t>
          </w:r>
        </w:fldSimple>
      </w:p>
    </w:sdtContent>
  </w:sdt>
  <w:p w:rsidR="00F55825" w:rsidRDefault="00F558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4F2" w:rsidRDefault="002254F2" w:rsidP="00F55825">
      <w:pPr>
        <w:spacing w:after="0" w:line="240" w:lineRule="auto"/>
      </w:pPr>
      <w:r>
        <w:separator/>
      </w:r>
    </w:p>
  </w:footnote>
  <w:footnote w:type="continuationSeparator" w:id="0">
    <w:p w:rsidR="002254F2" w:rsidRDefault="002254F2" w:rsidP="00F558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52459"/>
    <w:rsid w:val="00052459"/>
    <w:rsid w:val="0009678A"/>
    <w:rsid w:val="001A4809"/>
    <w:rsid w:val="002254F2"/>
    <w:rsid w:val="00275FCD"/>
    <w:rsid w:val="00285D89"/>
    <w:rsid w:val="00647224"/>
    <w:rsid w:val="0066505A"/>
    <w:rsid w:val="0072440A"/>
    <w:rsid w:val="008F5D0F"/>
    <w:rsid w:val="009B7671"/>
    <w:rsid w:val="00F55825"/>
    <w:rsid w:val="00FC0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9678A"/>
    <w:pPr>
      <w:spacing w:after="0" w:line="240" w:lineRule="auto"/>
      <w:ind w:left="43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9678A"/>
    <w:rPr>
      <w:rFonts w:ascii="Arial" w:eastAsia="Times New Roman" w:hAnsi="Arial" w:cs="Arial"/>
      <w:sz w:val="24"/>
      <w:szCs w:val="24"/>
    </w:rPr>
  </w:style>
  <w:style w:type="character" w:styleId="Hyperlink">
    <w:name w:val="Hyperlink"/>
    <w:basedOn w:val="DefaultParagraphFont"/>
    <w:rsid w:val="0009678A"/>
    <w:rPr>
      <w:color w:val="0000FF"/>
      <w:u w:val="single"/>
    </w:rPr>
  </w:style>
  <w:style w:type="table" w:styleId="TableGrid">
    <w:name w:val="Table Grid"/>
    <w:basedOn w:val="TableNormal"/>
    <w:uiPriority w:val="59"/>
    <w:rsid w:val="00F558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558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5825"/>
  </w:style>
  <w:style w:type="paragraph" w:styleId="Footer">
    <w:name w:val="footer"/>
    <w:basedOn w:val="Normal"/>
    <w:link w:val="FooterChar"/>
    <w:uiPriority w:val="99"/>
    <w:unhideWhenUsed/>
    <w:rsid w:val="00F5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8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inebolt@ohiopartners.org"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Rinebolt</dc:creator>
  <cp:keywords/>
  <dc:description/>
  <cp:lastModifiedBy>Dave Rinebolt</cp:lastModifiedBy>
  <cp:revision>2</cp:revision>
  <cp:lastPrinted>2009-07-24T18:36:00Z</cp:lastPrinted>
  <dcterms:created xsi:type="dcterms:W3CDTF">2009-07-24T18:38:00Z</dcterms:created>
  <dcterms:modified xsi:type="dcterms:W3CDTF">2009-07-24T18:38:00Z</dcterms:modified>
</cp:coreProperties>
</file>