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20" w:rsidRPr="00EB0111" w:rsidRDefault="005242D9" w:rsidP="00F02E4F">
      <w:pPr>
        <w:jc w:val="center"/>
        <w:textAlignment w:val="baseline"/>
        <w:rPr>
          <w:rFonts w:eastAsia="Times New Roman"/>
          <w:b/>
          <w:color w:val="000000"/>
          <w:spacing w:val="-1"/>
          <w:sz w:val="24"/>
          <w:szCs w:val="24"/>
        </w:rPr>
      </w:pPr>
      <w:bookmarkStart w:id="0" w:name="_GoBack"/>
      <w:bookmarkEnd w:id="0"/>
      <w:r w:rsidRPr="00EB0111">
        <w:rPr>
          <w:rFonts w:eastAsia="Times New Roman"/>
          <w:b/>
          <w:color w:val="000000"/>
          <w:spacing w:val="-1"/>
          <w:sz w:val="24"/>
          <w:szCs w:val="24"/>
        </w:rPr>
        <w:t>BEFORE</w:t>
      </w:r>
    </w:p>
    <w:p w:rsidR="00982920" w:rsidRDefault="005242D9" w:rsidP="00F02E4F">
      <w:pPr>
        <w:jc w:val="center"/>
        <w:textAlignment w:val="baseline"/>
        <w:rPr>
          <w:rFonts w:eastAsia="Times New Roman"/>
          <w:b/>
          <w:color w:val="000000"/>
          <w:sz w:val="24"/>
          <w:szCs w:val="24"/>
        </w:rPr>
      </w:pPr>
      <w:r w:rsidRPr="00EB0111">
        <w:rPr>
          <w:rFonts w:eastAsia="Times New Roman"/>
          <w:b/>
          <w:color w:val="000000"/>
          <w:sz w:val="24"/>
          <w:szCs w:val="24"/>
        </w:rPr>
        <w:t>THE PUBLIC UTILITIES COMMISSION OF OHIO</w:t>
      </w:r>
    </w:p>
    <w:p w:rsidR="00D33FA2" w:rsidRDefault="002F13FB" w:rsidP="00F02E4F">
      <w:pPr>
        <w:jc w:val="center"/>
        <w:textAlignment w:val="baseline"/>
        <w:rPr>
          <w:rFonts w:eastAsia="Times New Roman"/>
          <w:b/>
          <w:color w:val="000000"/>
          <w:sz w:val="24"/>
          <w:szCs w:val="24"/>
        </w:rPr>
      </w:pPr>
    </w:p>
    <w:tbl>
      <w:tblPr>
        <w:tblW w:w="9092" w:type="dxa"/>
        <w:tblLook w:val="01E0" w:firstRow="1" w:lastRow="1" w:firstColumn="1" w:lastColumn="1" w:noHBand="0" w:noVBand="0"/>
      </w:tblPr>
      <w:tblGrid>
        <w:gridCol w:w="4332"/>
        <w:gridCol w:w="360"/>
        <w:gridCol w:w="4400"/>
      </w:tblGrid>
      <w:tr w:rsidR="007E10FD" w:rsidTr="00554CF7">
        <w:trPr>
          <w:trHeight w:val="807"/>
        </w:trPr>
        <w:tc>
          <w:tcPr>
            <w:tcW w:w="4332" w:type="dxa"/>
            <w:shd w:val="clear" w:color="auto" w:fill="auto"/>
          </w:tcPr>
          <w:p w:rsidR="00D33FA2" w:rsidRDefault="005242D9" w:rsidP="00554CF7">
            <w:pPr>
              <w:autoSpaceDE w:val="0"/>
              <w:autoSpaceDN w:val="0"/>
              <w:adjustRightInd w:val="0"/>
              <w:rPr>
                <w:sz w:val="24"/>
                <w:szCs w:val="24"/>
              </w:rPr>
            </w:pPr>
            <w:r w:rsidRPr="00EB0111">
              <w:rPr>
                <w:sz w:val="24"/>
                <w:szCs w:val="24"/>
              </w:rPr>
              <w:t xml:space="preserve">In the Matter of the Application of </w:t>
            </w:r>
            <w:r>
              <w:rPr>
                <w:sz w:val="24"/>
                <w:szCs w:val="24"/>
              </w:rPr>
              <w:t>the Fuel Adjustment Clauses for Columbus Southern Power Company and Ohio Power Company and Related Matters.</w:t>
            </w:r>
          </w:p>
          <w:p w:rsidR="00D33FA2" w:rsidRDefault="002F13FB" w:rsidP="00554CF7">
            <w:pPr>
              <w:autoSpaceDE w:val="0"/>
              <w:autoSpaceDN w:val="0"/>
              <w:adjustRightInd w:val="0"/>
              <w:rPr>
                <w:sz w:val="24"/>
                <w:szCs w:val="24"/>
              </w:rPr>
            </w:pPr>
          </w:p>
          <w:p w:rsidR="008E0D63" w:rsidRDefault="005242D9" w:rsidP="00554CF7">
            <w:pPr>
              <w:autoSpaceDE w:val="0"/>
              <w:autoSpaceDN w:val="0"/>
              <w:adjustRightInd w:val="0"/>
              <w:rPr>
                <w:sz w:val="24"/>
                <w:szCs w:val="24"/>
              </w:rPr>
            </w:pPr>
            <w:r w:rsidRPr="00EB0111">
              <w:rPr>
                <w:sz w:val="24"/>
                <w:szCs w:val="24"/>
              </w:rPr>
              <w:t xml:space="preserve">In the Matter of the Application of </w:t>
            </w:r>
            <w:r>
              <w:rPr>
                <w:sz w:val="24"/>
                <w:szCs w:val="24"/>
              </w:rPr>
              <w:t>the Fuel Adjustment Clauses for Columbus Southern Power Company and Ohio Power Company.</w:t>
            </w:r>
          </w:p>
          <w:p w:rsidR="00D33FA2" w:rsidRDefault="002F13FB" w:rsidP="00554CF7">
            <w:pPr>
              <w:autoSpaceDE w:val="0"/>
              <w:autoSpaceDN w:val="0"/>
              <w:adjustRightInd w:val="0"/>
              <w:rPr>
                <w:sz w:val="24"/>
                <w:szCs w:val="24"/>
              </w:rPr>
            </w:pPr>
          </w:p>
          <w:p w:rsidR="00D33FA2" w:rsidRDefault="005242D9" w:rsidP="00554CF7">
            <w:pPr>
              <w:autoSpaceDE w:val="0"/>
              <w:autoSpaceDN w:val="0"/>
              <w:adjustRightInd w:val="0"/>
              <w:rPr>
                <w:sz w:val="24"/>
                <w:szCs w:val="24"/>
              </w:rPr>
            </w:pPr>
            <w:r w:rsidRPr="00EB0111">
              <w:rPr>
                <w:sz w:val="24"/>
                <w:szCs w:val="24"/>
              </w:rPr>
              <w:t xml:space="preserve">In the Matter of the Application of </w:t>
            </w:r>
            <w:r>
              <w:rPr>
                <w:sz w:val="24"/>
                <w:szCs w:val="24"/>
              </w:rPr>
              <w:t>the Fuel Adjustment Clauses Ohio Power Company.</w:t>
            </w:r>
          </w:p>
          <w:p w:rsidR="00D33FA2" w:rsidRDefault="002F13FB" w:rsidP="00554CF7">
            <w:pPr>
              <w:autoSpaceDE w:val="0"/>
              <w:autoSpaceDN w:val="0"/>
              <w:adjustRightInd w:val="0"/>
              <w:rPr>
                <w:sz w:val="24"/>
                <w:szCs w:val="24"/>
              </w:rPr>
            </w:pPr>
          </w:p>
          <w:p w:rsidR="00D33FA2" w:rsidRDefault="005242D9" w:rsidP="00554CF7">
            <w:pPr>
              <w:autoSpaceDE w:val="0"/>
              <w:autoSpaceDN w:val="0"/>
              <w:adjustRightInd w:val="0"/>
              <w:rPr>
                <w:sz w:val="24"/>
                <w:szCs w:val="24"/>
              </w:rPr>
            </w:pPr>
            <w:r w:rsidRPr="00EB0111">
              <w:rPr>
                <w:sz w:val="24"/>
                <w:szCs w:val="24"/>
              </w:rPr>
              <w:t xml:space="preserve">In the Matter of the Application of </w:t>
            </w:r>
            <w:r>
              <w:rPr>
                <w:sz w:val="24"/>
                <w:szCs w:val="24"/>
              </w:rPr>
              <w:t>the Fuel Adjustment Clauses for Ohio Power Company.</w:t>
            </w:r>
          </w:p>
          <w:p w:rsidR="00D33FA2" w:rsidRDefault="002F13FB" w:rsidP="00554CF7">
            <w:pPr>
              <w:autoSpaceDE w:val="0"/>
              <w:autoSpaceDN w:val="0"/>
              <w:adjustRightInd w:val="0"/>
              <w:rPr>
                <w:sz w:val="24"/>
                <w:szCs w:val="24"/>
              </w:rPr>
            </w:pPr>
          </w:p>
          <w:p w:rsidR="00D33FA2" w:rsidRDefault="005242D9" w:rsidP="00554CF7">
            <w:pPr>
              <w:autoSpaceDE w:val="0"/>
              <w:autoSpaceDN w:val="0"/>
              <w:adjustRightInd w:val="0"/>
              <w:rPr>
                <w:sz w:val="24"/>
                <w:szCs w:val="24"/>
              </w:rPr>
            </w:pPr>
            <w:r w:rsidRPr="00EB0111">
              <w:rPr>
                <w:sz w:val="24"/>
                <w:szCs w:val="24"/>
              </w:rPr>
              <w:t xml:space="preserve">In the Matter of the Application of </w:t>
            </w:r>
            <w:r>
              <w:rPr>
                <w:sz w:val="24"/>
                <w:szCs w:val="24"/>
              </w:rPr>
              <w:t>the Fuel Adjustment Clauses for Ohio Power Company.</w:t>
            </w:r>
          </w:p>
          <w:p w:rsidR="009C0CC7" w:rsidRPr="00EB0111" w:rsidRDefault="002F13FB" w:rsidP="00554CF7">
            <w:pPr>
              <w:pStyle w:val="HTMLPreformatted"/>
              <w:rPr>
                <w:rFonts w:ascii="Times New Roman" w:hAnsi="Times New Roman" w:cs="Times New Roman"/>
                <w:sz w:val="24"/>
                <w:szCs w:val="24"/>
              </w:rPr>
            </w:pPr>
          </w:p>
        </w:tc>
        <w:tc>
          <w:tcPr>
            <w:tcW w:w="360" w:type="dxa"/>
            <w:shd w:val="clear" w:color="auto" w:fill="auto"/>
          </w:tcPr>
          <w:p w:rsidR="009C0CC7" w:rsidRPr="00EB0111" w:rsidRDefault="005242D9" w:rsidP="00554CF7">
            <w:pPr>
              <w:pStyle w:val="HTMLPreformatted"/>
              <w:rPr>
                <w:rFonts w:ascii="Times New Roman" w:hAnsi="Times New Roman" w:cs="Times New Roman"/>
                <w:sz w:val="24"/>
                <w:szCs w:val="24"/>
              </w:rPr>
            </w:pPr>
            <w:r w:rsidRPr="00EB0111">
              <w:rPr>
                <w:rFonts w:ascii="Times New Roman" w:hAnsi="Times New Roman" w:cs="Times New Roman"/>
                <w:sz w:val="24"/>
                <w:szCs w:val="24"/>
              </w:rPr>
              <w:t>)</w:t>
            </w:r>
          </w:p>
          <w:p w:rsidR="009C0CC7" w:rsidRPr="00EB0111" w:rsidRDefault="005242D9" w:rsidP="00554CF7">
            <w:pPr>
              <w:pStyle w:val="HTMLPreformatted"/>
              <w:rPr>
                <w:rFonts w:ascii="Times New Roman" w:hAnsi="Times New Roman" w:cs="Times New Roman"/>
                <w:sz w:val="24"/>
                <w:szCs w:val="24"/>
              </w:rPr>
            </w:pPr>
            <w:r w:rsidRPr="00EB0111">
              <w:rPr>
                <w:rFonts w:ascii="Times New Roman" w:hAnsi="Times New Roman" w:cs="Times New Roman"/>
                <w:sz w:val="24"/>
                <w:szCs w:val="24"/>
              </w:rPr>
              <w:t>)</w:t>
            </w:r>
          </w:p>
          <w:p w:rsidR="009C0CC7" w:rsidRPr="00EB0111" w:rsidRDefault="005242D9" w:rsidP="00554CF7">
            <w:pPr>
              <w:pStyle w:val="HTMLPreformatted"/>
              <w:rPr>
                <w:rFonts w:ascii="Times New Roman" w:hAnsi="Times New Roman" w:cs="Times New Roman"/>
                <w:sz w:val="24"/>
                <w:szCs w:val="24"/>
              </w:rPr>
            </w:pPr>
            <w:r w:rsidRPr="00EB0111">
              <w:rPr>
                <w:rFonts w:ascii="Times New Roman" w:hAnsi="Times New Roman" w:cs="Times New Roman"/>
                <w:sz w:val="24"/>
                <w:szCs w:val="24"/>
              </w:rPr>
              <w:t>)</w:t>
            </w:r>
          </w:p>
          <w:p w:rsidR="009C0CC7" w:rsidRPr="00EB0111" w:rsidRDefault="005242D9" w:rsidP="00554CF7">
            <w:pPr>
              <w:pStyle w:val="HTMLPreformatted"/>
              <w:rPr>
                <w:rFonts w:ascii="Times New Roman" w:hAnsi="Times New Roman" w:cs="Times New Roman"/>
                <w:sz w:val="24"/>
                <w:szCs w:val="24"/>
              </w:rPr>
            </w:pPr>
            <w:r w:rsidRPr="00EB0111">
              <w:rPr>
                <w:rFonts w:ascii="Times New Roman" w:hAnsi="Times New Roman" w:cs="Times New Roman"/>
                <w:sz w:val="24"/>
                <w:szCs w:val="24"/>
              </w:rPr>
              <w:t>)</w:t>
            </w:r>
          </w:p>
          <w:p w:rsidR="009C0CC7" w:rsidRPr="00EB0111" w:rsidRDefault="002F13FB" w:rsidP="00554CF7">
            <w:pPr>
              <w:pStyle w:val="HTMLPreformatted"/>
              <w:rPr>
                <w:rFonts w:ascii="Times New Roman" w:hAnsi="Times New Roman" w:cs="Times New Roman"/>
                <w:sz w:val="24"/>
                <w:szCs w:val="24"/>
              </w:rPr>
            </w:pPr>
          </w:p>
          <w:p w:rsidR="009C0CC7" w:rsidRDefault="005242D9" w:rsidP="009C0CC7">
            <w:pPr>
              <w:pStyle w:val="HTMLPreformatted"/>
              <w:rPr>
                <w:rFonts w:ascii="Times New Roman" w:hAnsi="Times New Roman" w:cs="Times New Roman"/>
                <w:sz w:val="24"/>
                <w:szCs w:val="24"/>
              </w:rPr>
            </w:pPr>
            <w:r w:rsidRPr="00EB0111">
              <w:rPr>
                <w:rFonts w:ascii="Times New Roman" w:hAnsi="Times New Roman" w:cs="Times New Roman"/>
                <w:sz w:val="24"/>
                <w:szCs w:val="24"/>
              </w:rPr>
              <w:t>)</w:t>
            </w: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2F13FB" w:rsidP="009C0CC7">
            <w:pPr>
              <w:pStyle w:val="HTMLPreformatted"/>
              <w:rPr>
                <w:rFonts w:ascii="Times New Roman" w:hAnsi="Times New Roman" w:cs="Times New Roman"/>
                <w:sz w:val="24"/>
                <w:szCs w:val="24"/>
              </w:rPr>
            </w:pP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2F13FB" w:rsidP="009C0CC7">
            <w:pPr>
              <w:pStyle w:val="HTMLPreformatted"/>
              <w:rPr>
                <w:rFonts w:ascii="Times New Roman" w:hAnsi="Times New Roman" w:cs="Times New Roman"/>
                <w:sz w:val="24"/>
                <w:szCs w:val="24"/>
              </w:rPr>
            </w:pP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2F13FB" w:rsidP="009C0CC7">
            <w:pPr>
              <w:pStyle w:val="HTMLPreformatted"/>
              <w:rPr>
                <w:rFonts w:ascii="Times New Roman" w:hAnsi="Times New Roman" w:cs="Times New Roman"/>
                <w:sz w:val="24"/>
                <w:szCs w:val="24"/>
              </w:rPr>
            </w:pP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p w:rsidR="00D33FA2" w:rsidRPr="00EB0111" w:rsidRDefault="005242D9" w:rsidP="009C0CC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9C0CC7" w:rsidRPr="00EB0111" w:rsidRDefault="002F13FB" w:rsidP="00554CF7">
            <w:pPr>
              <w:pStyle w:val="HTMLPreformatted"/>
              <w:rPr>
                <w:rFonts w:ascii="Times New Roman" w:hAnsi="Times New Roman" w:cs="Times New Roman"/>
                <w:sz w:val="24"/>
                <w:szCs w:val="24"/>
              </w:rPr>
            </w:pPr>
          </w:p>
          <w:p w:rsidR="009C0CC7" w:rsidRPr="00EB0111" w:rsidRDefault="005242D9" w:rsidP="00554CF7">
            <w:pPr>
              <w:pStyle w:val="HTMLPreformatted"/>
              <w:rPr>
                <w:rFonts w:ascii="Times New Roman" w:hAnsi="Times New Roman" w:cs="Times New Roman"/>
                <w:sz w:val="24"/>
                <w:szCs w:val="24"/>
              </w:rPr>
            </w:pPr>
            <w:r w:rsidRPr="00EB0111">
              <w:rPr>
                <w:rFonts w:ascii="Times New Roman" w:hAnsi="Times New Roman" w:cs="Times New Roman"/>
                <w:sz w:val="24"/>
                <w:szCs w:val="24"/>
              </w:rPr>
              <w:t xml:space="preserve">Case No. </w:t>
            </w:r>
            <w:r>
              <w:rPr>
                <w:rFonts w:ascii="Times New Roman" w:hAnsi="Times New Roman" w:cs="Times New Roman"/>
                <w:sz w:val="24"/>
                <w:szCs w:val="24"/>
              </w:rPr>
              <w:t>11-5906-EL-FAC</w:t>
            </w:r>
          </w:p>
          <w:p w:rsidR="009C0CC7" w:rsidRPr="00EB0111" w:rsidRDefault="002F13FB" w:rsidP="00554CF7">
            <w:pPr>
              <w:pStyle w:val="HTMLPreformatted"/>
              <w:rPr>
                <w:rFonts w:ascii="Times New Roman" w:hAnsi="Times New Roman" w:cs="Times New Roman"/>
                <w:sz w:val="24"/>
                <w:szCs w:val="24"/>
              </w:rPr>
            </w:pPr>
          </w:p>
          <w:p w:rsidR="009C0CC7" w:rsidRDefault="002F13FB" w:rsidP="00554CF7">
            <w:pPr>
              <w:pStyle w:val="HTMLPreformatted"/>
              <w:rPr>
                <w:rFonts w:ascii="Times New Roman" w:hAnsi="Times New Roman" w:cs="Times New Roman"/>
                <w:sz w:val="24"/>
                <w:szCs w:val="24"/>
              </w:rPr>
            </w:pPr>
          </w:p>
          <w:p w:rsidR="00D33FA2" w:rsidRDefault="002F13FB" w:rsidP="00554CF7">
            <w:pPr>
              <w:pStyle w:val="HTMLPreformatted"/>
              <w:rPr>
                <w:rFonts w:ascii="Times New Roman" w:hAnsi="Times New Roman" w:cs="Times New Roman"/>
                <w:sz w:val="24"/>
                <w:szCs w:val="24"/>
              </w:rPr>
            </w:pPr>
          </w:p>
          <w:p w:rsidR="00D33FA2" w:rsidRDefault="002F13FB" w:rsidP="00554CF7">
            <w:pPr>
              <w:pStyle w:val="HTMLPreformatted"/>
              <w:rPr>
                <w:rFonts w:ascii="Times New Roman" w:hAnsi="Times New Roman" w:cs="Times New Roman"/>
                <w:sz w:val="24"/>
                <w:szCs w:val="24"/>
              </w:rPr>
            </w:pPr>
          </w:p>
          <w:p w:rsidR="00D33FA2" w:rsidRDefault="005242D9" w:rsidP="00554CF7">
            <w:pPr>
              <w:pStyle w:val="HTMLPreformatted"/>
              <w:rPr>
                <w:rFonts w:ascii="Times New Roman" w:hAnsi="Times New Roman" w:cs="Times New Roman"/>
                <w:sz w:val="24"/>
                <w:szCs w:val="24"/>
              </w:rPr>
            </w:pPr>
            <w:r>
              <w:rPr>
                <w:rFonts w:ascii="Times New Roman" w:hAnsi="Times New Roman" w:cs="Times New Roman"/>
                <w:sz w:val="24"/>
                <w:szCs w:val="24"/>
              </w:rPr>
              <w:t>Case No. 12-3133-EL-FAC</w:t>
            </w:r>
          </w:p>
          <w:p w:rsidR="00D33FA2" w:rsidRDefault="002F13FB" w:rsidP="00554CF7">
            <w:pPr>
              <w:pStyle w:val="HTMLPreformatted"/>
              <w:rPr>
                <w:rFonts w:ascii="Times New Roman" w:hAnsi="Times New Roman" w:cs="Times New Roman"/>
                <w:sz w:val="24"/>
                <w:szCs w:val="24"/>
              </w:rPr>
            </w:pPr>
          </w:p>
          <w:p w:rsidR="00D33FA2" w:rsidRDefault="002F13FB" w:rsidP="00554CF7">
            <w:pPr>
              <w:pStyle w:val="HTMLPreformatted"/>
              <w:rPr>
                <w:rFonts w:ascii="Times New Roman" w:hAnsi="Times New Roman" w:cs="Times New Roman"/>
                <w:sz w:val="24"/>
                <w:szCs w:val="24"/>
              </w:rPr>
            </w:pPr>
          </w:p>
          <w:p w:rsidR="00D33FA2" w:rsidRDefault="002F13FB" w:rsidP="00554CF7">
            <w:pPr>
              <w:pStyle w:val="HTMLPreformatted"/>
              <w:rPr>
                <w:rFonts w:ascii="Times New Roman" w:hAnsi="Times New Roman" w:cs="Times New Roman"/>
                <w:sz w:val="24"/>
                <w:szCs w:val="24"/>
              </w:rPr>
            </w:pPr>
          </w:p>
          <w:p w:rsidR="00D33FA2" w:rsidRDefault="002F13FB" w:rsidP="00554CF7">
            <w:pPr>
              <w:pStyle w:val="HTMLPreformatted"/>
              <w:rPr>
                <w:rFonts w:ascii="Times New Roman" w:hAnsi="Times New Roman" w:cs="Times New Roman"/>
                <w:sz w:val="24"/>
                <w:szCs w:val="24"/>
              </w:rPr>
            </w:pPr>
          </w:p>
          <w:p w:rsidR="00D33FA2" w:rsidRDefault="005242D9" w:rsidP="00D33FA2">
            <w:pPr>
              <w:pStyle w:val="HTMLPreformatted"/>
              <w:rPr>
                <w:rFonts w:ascii="Times New Roman" w:hAnsi="Times New Roman" w:cs="Times New Roman"/>
                <w:sz w:val="24"/>
                <w:szCs w:val="24"/>
              </w:rPr>
            </w:pPr>
            <w:r>
              <w:rPr>
                <w:rFonts w:ascii="Times New Roman" w:hAnsi="Times New Roman" w:cs="Times New Roman"/>
                <w:sz w:val="24"/>
                <w:szCs w:val="24"/>
              </w:rPr>
              <w:t>Case No. 13-572-EL-FAC</w:t>
            </w:r>
          </w:p>
          <w:p w:rsidR="00D33FA2" w:rsidRDefault="002F13FB" w:rsidP="00D33FA2">
            <w:pPr>
              <w:pStyle w:val="HTMLPreformatted"/>
              <w:rPr>
                <w:rFonts w:ascii="Times New Roman" w:hAnsi="Times New Roman" w:cs="Times New Roman"/>
                <w:sz w:val="24"/>
                <w:szCs w:val="24"/>
              </w:rPr>
            </w:pPr>
          </w:p>
          <w:p w:rsidR="00D33FA2" w:rsidRDefault="002F13FB" w:rsidP="00D33FA2">
            <w:pPr>
              <w:pStyle w:val="HTMLPreformatted"/>
              <w:rPr>
                <w:rFonts w:ascii="Times New Roman" w:hAnsi="Times New Roman" w:cs="Times New Roman"/>
                <w:sz w:val="24"/>
                <w:szCs w:val="24"/>
              </w:rPr>
            </w:pPr>
          </w:p>
          <w:p w:rsidR="00D33FA2" w:rsidRDefault="002F13FB" w:rsidP="00D33FA2">
            <w:pPr>
              <w:pStyle w:val="HTMLPreformatted"/>
              <w:rPr>
                <w:rFonts w:ascii="Times New Roman" w:hAnsi="Times New Roman" w:cs="Times New Roman"/>
                <w:sz w:val="24"/>
                <w:szCs w:val="24"/>
              </w:rPr>
            </w:pPr>
          </w:p>
          <w:p w:rsidR="00D33FA2" w:rsidRDefault="005242D9" w:rsidP="00D33FA2">
            <w:pPr>
              <w:pStyle w:val="HTMLPreformatted"/>
              <w:rPr>
                <w:rFonts w:ascii="Times New Roman" w:hAnsi="Times New Roman" w:cs="Times New Roman"/>
                <w:sz w:val="24"/>
                <w:szCs w:val="24"/>
              </w:rPr>
            </w:pPr>
            <w:r>
              <w:rPr>
                <w:rFonts w:ascii="Times New Roman" w:hAnsi="Times New Roman" w:cs="Times New Roman"/>
                <w:sz w:val="24"/>
                <w:szCs w:val="24"/>
              </w:rPr>
              <w:t>Case No. 13-1286-EL-FAC</w:t>
            </w:r>
          </w:p>
          <w:p w:rsidR="00D33FA2" w:rsidRDefault="002F13FB" w:rsidP="00554CF7">
            <w:pPr>
              <w:pStyle w:val="HTMLPreformatted"/>
              <w:rPr>
                <w:rFonts w:ascii="Times New Roman" w:hAnsi="Times New Roman" w:cs="Times New Roman"/>
                <w:sz w:val="24"/>
                <w:szCs w:val="24"/>
              </w:rPr>
            </w:pPr>
          </w:p>
          <w:p w:rsidR="00D33FA2" w:rsidRDefault="002F13FB" w:rsidP="00554CF7">
            <w:pPr>
              <w:pStyle w:val="HTMLPreformatted"/>
              <w:rPr>
                <w:rFonts w:ascii="Times New Roman" w:hAnsi="Times New Roman" w:cs="Times New Roman"/>
                <w:sz w:val="24"/>
                <w:szCs w:val="24"/>
              </w:rPr>
            </w:pPr>
          </w:p>
          <w:p w:rsidR="00D33FA2" w:rsidRDefault="002F13FB" w:rsidP="00554CF7">
            <w:pPr>
              <w:pStyle w:val="HTMLPreformatted"/>
              <w:rPr>
                <w:rFonts w:ascii="Times New Roman" w:hAnsi="Times New Roman" w:cs="Times New Roman"/>
                <w:sz w:val="24"/>
                <w:szCs w:val="24"/>
              </w:rPr>
            </w:pPr>
          </w:p>
          <w:p w:rsidR="00D33FA2" w:rsidRDefault="005242D9" w:rsidP="00D33FA2">
            <w:pPr>
              <w:pStyle w:val="HTMLPreformatted"/>
              <w:rPr>
                <w:rFonts w:ascii="Times New Roman" w:hAnsi="Times New Roman" w:cs="Times New Roman"/>
                <w:sz w:val="24"/>
                <w:szCs w:val="24"/>
              </w:rPr>
            </w:pPr>
            <w:r>
              <w:rPr>
                <w:rFonts w:ascii="Times New Roman" w:hAnsi="Times New Roman" w:cs="Times New Roman"/>
                <w:sz w:val="24"/>
                <w:szCs w:val="24"/>
              </w:rPr>
              <w:t>Case No. 13-1892-EL-FAC</w:t>
            </w:r>
          </w:p>
          <w:p w:rsidR="00D33FA2" w:rsidRPr="00EB0111" w:rsidRDefault="002F13FB" w:rsidP="00554CF7">
            <w:pPr>
              <w:pStyle w:val="HTMLPreformatted"/>
              <w:rPr>
                <w:rFonts w:ascii="Times New Roman" w:hAnsi="Times New Roman" w:cs="Times New Roman"/>
                <w:sz w:val="24"/>
                <w:szCs w:val="24"/>
              </w:rPr>
            </w:pPr>
          </w:p>
        </w:tc>
      </w:tr>
    </w:tbl>
    <w:p w:rsidR="009A7C71" w:rsidRPr="00EB0111" w:rsidRDefault="002F13FB" w:rsidP="004F7ADF">
      <w:pPr>
        <w:pBdr>
          <w:bottom w:val="single" w:sz="6" w:space="0" w:color="auto"/>
        </w:pBdr>
        <w:jc w:val="center"/>
        <w:rPr>
          <w:rFonts w:eastAsia="Times New Roman"/>
          <w:sz w:val="24"/>
          <w:szCs w:val="24"/>
        </w:rPr>
      </w:pPr>
    </w:p>
    <w:p w:rsidR="004F7ADF" w:rsidRPr="00EB0111" w:rsidRDefault="002F13FB" w:rsidP="004F7ADF">
      <w:pPr>
        <w:rPr>
          <w:rFonts w:eastAsia="Times New Roman"/>
          <w:sz w:val="24"/>
          <w:szCs w:val="24"/>
        </w:rPr>
      </w:pPr>
    </w:p>
    <w:p w:rsidR="00E52869" w:rsidRDefault="005242D9" w:rsidP="00644C7B">
      <w:pPr>
        <w:jc w:val="center"/>
        <w:rPr>
          <w:b/>
          <w:sz w:val="24"/>
          <w:szCs w:val="24"/>
        </w:rPr>
      </w:pPr>
      <w:r>
        <w:rPr>
          <w:b/>
          <w:sz w:val="24"/>
          <w:szCs w:val="24"/>
        </w:rPr>
        <w:t>REPLY TO</w:t>
      </w:r>
    </w:p>
    <w:p w:rsidR="00E52869" w:rsidRDefault="005242D9" w:rsidP="005E3B80">
      <w:pPr>
        <w:jc w:val="center"/>
        <w:rPr>
          <w:b/>
          <w:sz w:val="24"/>
          <w:szCs w:val="24"/>
        </w:rPr>
      </w:pPr>
      <w:r>
        <w:rPr>
          <w:b/>
          <w:sz w:val="24"/>
          <w:szCs w:val="24"/>
        </w:rPr>
        <w:t xml:space="preserve">THE OHIO POWER COMPANY’S MEMORANDUM CONTRA </w:t>
      </w:r>
    </w:p>
    <w:p w:rsidR="008C496B" w:rsidRDefault="005242D9" w:rsidP="005E3B80">
      <w:pPr>
        <w:jc w:val="center"/>
        <w:rPr>
          <w:b/>
          <w:sz w:val="24"/>
          <w:szCs w:val="24"/>
        </w:rPr>
      </w:pPr>
      <w:r>
        <w:rPr>
          <w:b/>
          <w:sz w:val="24"/>
          <w:szCs w:val="24"/>
        </w:rPr>
        <w:t>THE OFFICE OF THE OHIO CONSUMERS’ COUNSEL’S MOTION TO COMPEL</w:t>
      </w:r>
      <w:r w:rsidR="008C496B">
        <w:rPr>
          <w:b/>
          <w:sz w:val="24"/>
          <w:szCs w:val="24"/>
        </w:rPr>
        <w:t xml:space="preserve"> </w:t>
      </w:r>
    </w:p>
    <w:p w:rsidR="00644C7B" w:rsidRDefault="00644C7B" w:rsidP="005E3B80">
      <w:pPr>
        <w:jc w:val="center"/>
        <w:rPr>
          <w:b/>
          <w:sz w:val="24"/>
          <w:szCs w:val="24"/>
        </w:rPr>
      </w:pPr>
      <w:r>
        <w:rPr>
          <w:b/>
          <w:sz w:val="24"/>
          <w:szCs w:val="24"/>
        </w:rPr>
        <w:t>BY</w:t>
      </w:r>
    </w:p>
    <w:p w:rsidR="00644C7B" w:rsidRDefault="00644C7B" w:rsidP="00644C7B">
      <w:pPr>
        <w:jc w:val="center"/>
        <w:rPr>
          <w:b/>
          <w:sz w:val="24"/>
          <w:szCs w:val="24"/>
        </w:rPr>
      </w:pPr>
      <w:r>
        <w:rPr>
          <w:b/>
          <w:sz w:val="24"/>
          <w:szCs w:val="24"/>
        </w:rPr>
        <w:t xml:space="preserve">THE </w:t>
      </w:r>
      <w:r w:rsidRPr="00EB0111">
        <w:rPr>
          <w:b/>
          <w:sz w:val="24"/>
          <w:szCs w:val="24"/>
        </w:rPr>
        <w:t>OFFICE OF THE OHIO CONSUMERS’ COUNSEL</w:t>
      </w:r>
    </w:p>
    <w:p w:rsidR="00644C7B" w:rsidRPr="00EB0111" w:rsidRDefault="00644C7B" w:rsidP="005E3B80">
      <w:pPr>
        <w:jc w:val="center"/>
        <w:rPr>
          <w:b/>
          <w:sz w:val="24"/>
          <w:szCs w:val="24"/>
        </w:rPr>
      </w:pPr>
    </w:p>
    <w:p w:rsidR="004F7ADF" w:rsidRPr="00EB0111" w:rsidRDefault="002F13FB" w:rsidP="004F7ADF">
      <w:pPr>
        <w:pBdr>
          <w:bottom w:val="single" w:sz="6" w:space="1" w:color="auto"/>
        </w:pBdr>
        <w:jc w:val="center"/>
        <w:rPr>
          <w:rFonts w:eastAsia="Times New Roman"/>
          <w:sz w:val="24"/>
          <w:szCs w:val="24"/>
        </w:rPr>
      </w:pPr>
    </w:p>
    <w:p w:rsidR="004F7ADF" w:rsidRPr="00EB0111" w:rsidRDefault="002F13FB" w:rsidP="004F7ADF">
      <w:pPr>
        <w:rPr>
          <w:rFonts w:eastAsia="Times New Roman"/>
          <w:sz w:val="24"/>
          <w:szCs w:val="24"/>
        </w:rPr>
      </w:pPr>
    </w:p>
    <w:p w:rsidR="00A3496C" w:rsidRPr="00A3496C" w:rsidRDefault="005242D9" w:rsidP="00A3496C">
      <w:pPr>
        <w:autoSpaceDE w:val="0"/>
        <w:autoSpaceDN w:val="0"/>
        <w:adjustRightInd w:val="0"/>
        <w:spacing w:line="480" w:lineRule="auto"/>
        <w:rPr>
          <w:b/>
          <w:sz w:val="24"/>
          <w:szCs w:val="24"/>
        </w:rPr>
      </w:pPr>
      <w:r w:rsidRPr="00A3496C">
        <w:rPr>
          <w:b/>
          <w:sz w:val="24"/>
          <w:szCs w:val="24"/>
        </w:rPr>
        <w:t>I.</w:t>
      </w:r>
      <w:r w:rsidRPr="00A3496C">
        <w:rPr>
          <w:b/>
          <w:sz w:val="24"/>
          <w:szCs w:val="24"/>
        </w:rPr>
        <w:tab/>
        <w:t>INTRODUCTION</w:t>
      </w:r>
    </w:p>
    <w:p w:rsidR="008C496B" w:rsidRDefault="005242D9" w:rsidP="00E52869">
      <w:pPr>
        <w:autoSpaceDE w:val="0"/>
        <w:autoSpaceDN w:val="0"/>
        <w:adjustRightInd w:val="0"/>
        <w:spacing w:line="480" w:lineRule="auto"/>
        <w:ind w:firstLine="720"/>
        <w:rPr>
          <w:sz w:val="24"/>
          <w:szCs w:val="24"/>
        </w:rPr>
        <w:sectPr w:rsidR="008C496B" w:rsidSect="00644C7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docGrid w:linePitch="299"/>
        </w:sectPr>
      </w:pPr>
      <w:r>
        <w:rPr>
          <w:sz w:val="24"/>
          <w:szCs w:val="24"/>
        </w:rPr>
        <w:t>The Ohio Power Company’s (“AEP Ohio”) Memorandum Contra the Office of the Ohio Consumers’ Counsel (“OCC”) Motion to Compel filed July 16, 2015, shows that AEP Ohio either (1) does not understand the scope of this proceeding and the issues it presents, or (2) that AEP Ohio merely seeks to confuse the issues to retain capacity</w:t>
      </w:r>
    </w:p>
    <w:p w:rsidR="00E52869" w:rsidRDefault="005242D9" w:rsidP="008C496B">
      <w:pPr>
        <w:autoSpaceDE w:val="0"/>
        <w:autoSpaceDN w:val="0"/>
        <w:adjustRightInd w:val="0"/>
        <w:spacing w:line="480" w:lineRule="auto"/>
        <w:rPr>
          <w:rFonts w:eastAsia="Times New Roman"/>
          <w:color w:val="000000"/>
          <w:sz w:val="24"/>
          <w:szCs w:val="24"/>
        </w:rPr>
      </w:pPr>
      <w:r>
        <w:rPr>
          <w:sz w:val="24"/>
          <w:szCs w:val="24"/>
        </w:rPr>
        <w:lastRenderedPageBreak/>
        <w:t xml:space="preserve"> revenues improperly collected from standard service offer (“SSO”) customers. OCC’s position in this discovery dispute is straightforward:  </w:t>
      </w:r>
      <w:r>
        <w:rPr>
          <w:rFonts w:eastAsia="Times New Roman"/>
          <w:color w:val="000000"/>
          <w:sz w:val="24"/>
          <w:szCs w:val="24"/>
        </w:rPr>
        <w:t xml:space="preserve">AEP Ohio over-collected </w:t>
      </w:r>
      <w:r w:rsidR="003A1233">
        <w:rPr>
          <w:rFonts w:eastAsia="Times New Roman"/>
          <w:color w:val="000000"/>
          <w:sz w:val="24"/>
          <w:szCs w:val="24"/>
        </w:rPr>
        <w:t xml:space="preserve">the </w:t>
      </w:r>
      <w:r>
        <w:rPr>
          <w:rFonts w:eastAsia="Times New Roman"/>
          <w:color w:val="000000"/>
          <w:sz w:val="24"/>
          <w:szCs w:val="24"/>
        </w:rPr>
        <w:t xml:space="preserve">capacity costs of the Lawrenceburg and Ohio Valley Electric Company (“OVEC”) generating facilities from SSO customers by three separate means:   </w:t>
      </w:r>
    </w:p>
    <w:p w:rsidR="00E52869" w:rsidRPr="00BD669D" w:rsidRDefault="005242D9" w:rsidP="00E52869">
      <w:pPr>
        <w:pStyle w:val="ListParagraph"/>
        <w:numPr>
          <w:ilvl w:val="0"/>
          <w:numId w:val="20"/>
        </w:numPr>
        <w:autoSpaceDE w:val="0"/>
        <w:autoSpaceDN w:val="0"/>
        <w:adjustRightInd w:val="0"/>
        <w:ind w:left="1440" w:right="720" w:hanging="720"/>
        <w:rPr>
          <w:rFonts w:eastAsia="Times New Roman"/>
          <w:color w:val="000000"/>
          <w:sz w:val="24"/>
          <w:szCs w:val="24"/>
        </w:rPr>
      </w:pPr>
      <w:r>
        <w:rPr>
          <w:rFonts w:eastAsia="Times New Roman"/>
          <w:color w:val="000000"/>
          <w:sz w:val="24"/>
          <w:szCs w:val="24"/>
        </w:rPr>
        <w:t xml:space="preserve">By </w:t>
      </w:r>
      <w:r w:rsidR="00D72D73">
        <w:rPr>
          <w:rFonts w:eastAsia="Times New Roman"/>
          <w:color w:val="000000"/>
          <w:sz w:val="24"/>
          <w:szCs w:val="24"/>
        </w:rPr>
        <w:t>collecting</w:t>
      </w:r>
      <w:r>
        <w:rPr>
          <w:rFonts w:eastAsia="Times New Roman"/>
          <w:color w:val="000000"/>
          <w:sz w:val="24"/>
          <w:szCs w:val="24"/>
        </w:rPr>
        <w:t xml:space="preserve"> 100% of the Lawrenceburg and OVEC capacity costs from SSO customers through the Fuel Adjustment Clause (“FAC”)</w:t>
      </w:r>
      <w:r w:rsidRPr="00E52869">
        <w:rPr>
          <w:rFonts w:eastAsia="Times New Roman"/>
          <w:color w:val="000000"/>
          <w:sz w:val="24"/>
          <w:szCs w:val="24"/>
        </w:rPr>
        <w:t xml:space="preserve"> </w:t>
      </w:r>
      <w:r>
        <w:rPr>
          <w:rFonts w:eastAsia="Times New Roman"/>
          <w:color w:val="000000"/>
          <w:sz w:val="24"/>
          <w:szCs w:val="24"/>
        </w:rPr>
        <w:t>(and subsequent Fixed Cost Rider (“FCR”)) since August 2012, as identified by the audit report in these proceedings;</w:t>
      </w:r>
    </w:p>
    <w:p w:rsidR="00E52869" w:rsidRDefault="005242D9" w:rsidP="00E52869">
      <w:pPr>
        <w:pStyle w:val="ListParagraph"/>
        <w:numPr>
          <w:ilvl w:val="0"/>
          <w:numId w:val="20"/>
        </w:numPr>
        <w:autoSpaceDE w:val="0"/>
        <w:autoSpaceDN w:val="0"/>
        <w:adjustRightInd w:val="0"/>
        <w:spacing w:before="120"/>
        <w:ind w:left="1440" w:right="720" w:hanging="720"/>
        <w:contextualSpacing w:val="0"/>
        <w:rPr>
          <w:rFonts w:eastAsia="Times New Roman"/>
          <w:color w:val="000000"/>
          <w:sz w:val="24"/>
          <w:szCs w:val="24"/>
        </w:rPr>
      </w:pPr>
      <w:r>
        <w:rPr>
          <w:rFonts w:eastAsia="Times New Roman"/>
          <w:color w:val="000000"/>
          <w:sz w:val="24"/>
          <w:szCs w:val="24"/>
        </w:rPr>
        <w:t xml:space="preserve">By </w:t>
      </w:r>
      <w:r w:rsidR="00D72D73">
        <w:rPr>
          <w:rFonts w:eastAsia="Times New Roman"/>
          <w:color w:val="000000"/>
          <w:sz w:val="24"/>
          <w:szCs w:val="24"/>
        </w:rPr>
        <w:t>collecting</w:t>
      </w:r>
      <w:r>
        <w:rPr>
          <w:rFonts w:eastAsia="Times New Roman"/>
          <w:color w:val="000000"/>
          <w:sz w:val="24"/>
          <w:szCs w:val="24"/>
        </w:rPr>
        <w:t xml:space="preserve"> a portion of these same capacity costs from SSO c</w:t>
      </w:r>
      <w:r w:rsidRPr="00BD669D">
        <w:rPr>
          <w:rFonts w:eastAsia="Times New Roman"/>
          <w:color w:val="000000"/>
          <w:sz w:val="24"/>
          <w:szCs w:val="24"/>
        </w:rPr>
        <w:t>ustomers</w:t>
      </w:r>
      <w:r>
        <w:rPr>
          <w:rFonts w:eastAsia="Times New Roman"/>
          <w:color w:val="000000"/>
          <w:sz w:val="24"/>
          <w:szCs w:val="24"/>
        </w:rPr>
        <w:t xml:space="preserve"> through the Retail Stability Rider (“RSR”), which was not explored in the audit report; and </w:t>
      </w:r>
    </w:p>
    <w:p w:rsidR="00E52869" w:rsidRDefault="005242D9" w:rsidP="00E52869">
      <w:pPr>
        <w:pStyle w:val="ListParagraph"/>
        <w:numPr>
          <w:ilvl w:val="0"/>
          <w:numId w:val="20"/>
        </w:numPr>
        <w:autoSpaceDE w:val="0"/>
        <w:autoSpaceDN w:val="0"/>
        <w:adjustRightInd w:val="0"/>
        <w:spacing w:before="120"/>
        <w:ind w:left="1440" w:right="720" w:hanging="720"/>
        <w:contextualSpacing w:val="0"/>
        <w:rPr>
          <w:rFonts w:eastAsia="Times New Roman"/>
          <w:color w:val="000000"/>
          <w:sz w:val="24"/>
          <w:szCs w:val="24"/>
        </w:rPr>
      </w:pPr>
      <w:r>
        <w:rPr>
          <w:rFonts w:eastAsia="Times New Roman"/>
          <w:color w:val="000000"/>
          <w:sz w:val="24"/>
          <w:szCs w:val="24"/>
        </w:rPr>
        <w:t xml:space="preserve">By </w:t>
      </w:r>
      <w:r w:rsidR="00D72D73">
        <w:rPr>
          <w:rFonts w:eastAsia="Times New Roman"/>
          <w:color w:val="000000"/>
          <w:sz w:val="24"/>
          <w:szCs w:val="24"/>
        </w:rPr>
        <w:t>collecting</w:t>
      </w:r>
      <w:r>
        <w:rPr>
          <w:rFonts w:eastAsia="Times New Roman"/>
          <w:color w:val="000000"/>
          <w:sz w:val="24"/>
          <w:szCs w:val="24"/>
        </w:rPr>
        <w:t xml:space="preserve"> a portion of these same capacity costs</w:t>
      </w:r>
      <w:r w:rsidRPr="00E77AB1">
        <w:rPr>
          <w:rFonts w:eastAsia="Times New Roman"/>
          <w:color w:val="000000"/>
          <w:sz w:val="24"/>
          <w:szCs w:val="24"/>
        </w:rPr>
        <w:t xml:space="preserve"> </w:t>
      </w:r>
      <w:r>
        <w:rPr>
          <w:rFonts w:eastAsia="Times New Roman"/>
          <w:color w:val="000000"/>
          <w:sz w:val="24"/>
          <w:szCs w:val="24"/>
        </w:rPr>
        <w:t xml:space="preserve">from </w:t>
      </w:r>
      <w:r w:rsidRPr="00BD669D">
        <w:rPr>
          <w:rFonts w:eastAsia="Times New Roman"/>
          <w:color w:val="000000"/>
          <w:sz w:val="24"/>
          <w:szCs w:val="24"/>
        </w:rPr>
        <w:t>SSO customers</w:t>
      </w:r>
      <w:r>
        <w:rPr>
          <w:rFonts w:eastAsia="Times New Roman"/>
          <w:color w:val="000000"/>
          <w:sz w:val="24"/>
          <w:szCs w:val="24"/>
        </w:rPr>
        <w:t xml:space="preserve"> through the Generation Cost Rider (“GCR”), which was not explored through the audit report.  </w:t>
      </w:r>
    </w:p>
    <w:p w:rsidR="00A3496C" w:rsidRDefault="005242D9" w:rsidP="00E52869">
      <w:pPr>
        <w:spacing w:before="240" w:line="480" w:lineRule="auto"/>
        <w:ind w:right="43" w:firstLine="720"/>
        <w:textAlignment w:val="baseline"/>
        <w:rPr>
          <w:sz w:val="24"/>
          <w:szCs w:val="24"/>
        </w:rPr>
      </w:pPr>
      <w:r>
        <w:rPr>
          <w:sz w:val="24"/>
          <w:szCs w:val="24"/>
        </w:rPr>
        <w:t xml:space="preserve">As discussed below, AEP Ohio’s primary position in its Memorandum Contra is that the scope of this proceeding is limited to paragraph (1) above, </w:t>
      </w:r>
      <w:r w:rsidRPr="00E52869">
        <w:rPr>
          <w:i/>
          <w:sz w:val="24"/>
          <w:szCs w:val="24"/>
        </w:rPr>
        <w:t>i.e</w:t>
      </w:r>
      <w:r>
        <w:rPr>
          <w:sz w:val="24"/>
          <w:szCs w:val="24"/>
        </w:rPr>
        <w:t xml:space="preserve">., whether the state compensation method (“SCM”), set at $188.88/MW-day, overlaps recovery of the Lawrenceburg/OVEC capacity charges collected through the FAC/FCR. The audit report in these proceedings found that the FAC/FCR was recovering 100% of the SCM from SSO customers. AEP Ohio’s position begs the question: If SSO customers are paying 100% of the SCM for the Lawrenceburg and OVEC capacity costs through the FAC/FCR, why are they required to pay additional amounts through the RSR and GCR?  By its motion to compel, OCC simply seeks discovery of the capacity costs </w:t>
      </w:r>
      <w:r w:rsidR="00D72D73">
        <w:rPr>
          <w:sz w:val="24"/>
          <w:szCs w:val="24"/>
        </w:rPr>
        <w:t>collected</w:t>
      </w:r>
      <w:r>
        <w:rPr>
          <w:sz w:val="24"/>
          <w:szCs w:val="24"/>
        </w:rPr>
        <w:t xml:space="preserve"> under the RSR. Indeed, AEP Ohio already has provided the similar costs </w:t>
      </w:r>
      <w:r w:rsidR="00D72D73">
        <w:rPr>
          <w:sz w:val="24"/>
          <w:szCs w:val="24"/>
        </w:rPr>
        <w:t xml:space="preserve">collected </w:t>
      </w:r>
      <w:r>
        <w:rPr>
          <w:sz w:val="24"/>
          <w:szCs w:val="24"/>
        </w:rPr>
        <w:t>through the GCR, which belies its unfounded position that the PUCO stringently limited the scope of this proceeding to the overlap between the SCM and FAC/FCR charges.</w:t>
      </w:r>
    </w:p>
    <w:p w:rsidR="00E52869" w:rsidRDefault="005242D9" w:rsidP="00A3496C">
      <w:pPr>
        <w:spacing w:line="480" w:lineRule="auto"/>
        <w:ind w:right="43" w:firstLine="720"/>
        <w:textAlignment w:val="baseline"/>
        <w:rPr>
          <w:sz w:val="24"/>
          <w:szCs w:val="24"/>
        </w:rPr>
      </w:pPr>
      <w:r>
        <w:rPr>
          <w:sz w:val="24"/>
          <w:szCs w:val="24"/>
        </w:rPr>
        <w:lastRenderedPageBreak/>
        <w:t xml:space="preserve">  Despite the </w:t>
      </w:r>
      <w:r w:rsidR="001B7A12">
        <w:rPr>
          <w:sz w:val="24"/>
          <w:szCs w:val="24"/>
        </w:rPr>
        <w:t>arguments</w:t>
      </w:r>
      <w:r>
        <w:rPr>
          <w:rStyle w:val="FootnoteReference"/>
          <w:sz w:val="24"/>
          <w:szCs w:val="24"/>
        </w:rPr>
        <w:footnoteReference w:id="1"/>
      </w:r>
      <w:r>
        <w:rPr>
          <w:sz w:val="24"/>
          <w:szCs w:val="24"/>
        </w:rPr>
        <w:t xml:space="preserve"> that AEP Ohio presents in its Memorandum Contra, this discovery dispute is not difficult to resolve. </w:t>
      </w:r>
      <w:r w:rsidR="000D7558">
        <w:rPr>
          <w:sz w:val="24"/>
          <w:szCs w:val="24"/>
        </w:rPr>
        <w:t>T</w:t>
      </w:r>
      <w:r>
        <w:rPr>
          <w:sz w:val="24"/>
          <w:szCs w:val="24"/>
        </w:rPr>
        <w:t xml:space="preserve">he PUCO </w:t>
      </w:r>
      <w:r w:rsidR="008C496B">
        <w:rPr>
          <w:sz w:val="24"/>
          <w:szCs w:val="24"/>
        </w:rPr>
        <w:t>should grant</w:t>
      </w:r>
      <w:r>
        <w:rPr>
          <w:sz w:val="24"/>
          <w:szCs w:val="24"/>
        </w:rPr>
        <w:t xml:space="preserve"> </w:t>
      </w:r>
      <w:r w:rsidR="000D7558">
        <w:rPr>
          <w:sz w:val="24"/>
          <w:szCs w:val="24"/>
        </w:rPr>
        <w:t>OCC’s</w:t>
      </w:r>
      <w:r>
        <w:rPr>
          <w:sz w:val="24"/>
          <w:szCs w:val="24"/>
        </w:rPr>
        <w:t xml:space="preserve"> motion to compel.     </w:t>
      </w:r>
    </w:p>
    <w:p w:rsidR="00E52869" w:rsidRPr="00A3496C" w:rsidRDefault="005242D9" w:rsidP="004A5F2D">
      <w:pPr>
        <w:pStyle w:val="ListParagraph"/>
        <w:numPr>
          <w:ilvl w:val="0"/>
          <w:numId w:val="26"/>
        </w:numPr>
        <w:spacing w:line="480" w:lineRule="auto"/>
        <w:ind w:left="720" w:right="40"/>
        <w:textAlignment w:val="baseline"/>
        <w:rPr>
          <w:b/>
          <w:sz w:val="24"/>
          <w:szCs w:val="24"/>
        </w:rPr>
      </w:pPr>
      <w:r w:rsidRPr="00A3496C">
        <w:rPr>
          <w:b/>
          <w:sz w:val="24"/>
          <w:szCs w:val="24"/>
        </w:rPr>
        <w:t>ARGUMENT</w:t>
      </w:r>
    </w:p>
    <w:p w:rsidR="00A3496C" w:rsidRDefault="005242D9" w:rsidP="00B65CEC">
      <w:pPr>
        <w:spacing w:line="480" w:lineRule="auto"/>
        <w:ind w:right="40" w:firstLine="720"/>
        <w:textAlignment w:val="baseline"/>
        <w:rPr>
          <w:sz w:val="24"/>
          <w:szCs w:val="24"/>
        </w:rPr>
      </w:pPr>
      <w:r>
        <w:rPr>
          <w:sz w:val="24"/>
          <w:szCs w:val="24"/>
        </w:rPr>
        <w:t>AEP Ohio raises four arguments to support its position that it should not be required to provide OCC the capacity costs recovered from shopping and S</w:t>
      </w:r>
      <w:r w:rsidR="003A1233">
        <w:rPr>
          <w:sz w:val="24"/>
          <w:szCs w:val="24"/>
        </w:rPr>
        <w:t>S</w:t>
      </w:r>
      <w:r>
        <w:rPr>
          <w:sz w:val="24"/>
          <w:szCs w:val="24"/>
        </w:rPr>
        <w:t>O customers through the RSR:  (1) the scope of this proceeding does not include AEP Ohio’s over-collection of capacity charges through the RSR; (2) the RSR’s capacity deferral balance will be audited in another proceeding; (3) the RSR revenues requested by discovery are not probative of over-collection, and (4) a review or refund of the RSR financial stability component would constitute unlawful retroactive ratemaking. None of the arguments have merit.</w:t>
      </w:r>
    </w:p>
    <w:p w:rsidR="00E52869" w:rsidRPr="00A3496C" w:rsidRDefault="00644C7B" w:rsidP="00644C7B">
      <w:pPr>
        <w:pStyle w:val="ListParagraph"/>
        <w:numPr>
          <w:ilvl w:val="0"/>
          <w:numId w:val="25"/>
        </w:numPr>
        <w:ind w:left="1440" w:right="720" w:hanging="720"/>
        <w:textAlignment w:val="baseline"/>
        <w:rPr>
          <w:b/>
          <w:sz w:val="24"/>
          <w:szCs w:val="24"/>
        </w:rPr>
      </w:pPr>
      <w:r>
        <w:rPr>
          <w:b/>
          <w:sz w:val="24"/>
          <w:szCs w:val="24"/>
        </w:rPr>
        <w:t>T</w:t>
      </w:r>
      <w:r w:rsidRPr="00A3496C">
        <w:rPr>
          <w:b/>
          <w:sz w:val="24"/>
          <w:szCs w:val="24"/>
        </w:rPr>
        <w:t>he scope of this proceeding is not limited to</w:t>
      </w:r>
      <w:r>
        <w:rPr>
          <w:b/>
          <w:sz w:val="24"/>
          <w:szCs w:val="24"/>
        </w:rPr>
        <w:t xml:space="preserve"> the “overlap” between the FAC/FCR and the SCM, as AEP Ohio suggests; but includes any potential over-collection during the 2012, 2013, and 2014 audit years, including the period from January 1 to through May 31, 2015.    </w:t>
      </w:r>
      <w:r w:rsidRPr="00A3496C">
        <w:rPr>
          <w:b/>
          <w:sz w:val="24"/>
          <w:szCs w:val="24"/>
        </w:rPr>
        <w:t xml:space="preserve">  </w:t>
      </w:r>
    </w:p>
    <w:p w:rsidR="004A5F2D" w:rsidRPr="004A5F2D" w:rsidRDefault="005242D9" w:rsidP="00A3496C">
      <w:pPr>
        <w:spacing w:before="240" w:line="480" w:lineRule="auto"/>
        <w:ind w:right="43" w:firstLine="720"/>
        <w:textAlignment w:val="baseline"/>
        <w:rPr>
          <w:rFonts w:eastAsia="Times New Roman"/>
          <w:color w:val="000000"/>
          <w:sz w:val="24"/>
          <w:szCs w:val="24"/>
        </w:rPr>
      </w:pPr>
      <w:r>
        <w:rPr>
          <w:sz w:val="24"/>
          <w:szCs w:val="24"/>
        </w:rPr>
        <w:t>As a threshold matter, the notion that this proceeding is limited to a comparison of the capacity charges collected under the FAC/FCR and the rate determined in the SCM proceeding has absolutely no support in the record of these cases. As OCC established in its Motion to Compel,</w:t>
      </w:r>
      <w:r>
        <w:rPr>
          <w:rStyle w:val="FootnoteReference"/>
          <w:sz w:val="24"/>
          <w:szCs w:val="24"/>
        </w:rPr>
        <w:footnoteReference w:id="2"/>
      </w:r>
      <w:r>
        <w:rPr>
          <w:sz w:val="24"/>
          <w:szCs w:val="24"/>
        </w:rPr>
        <w:t xml:space="preserve"> the PUCO clearly intended that this proceeding consider </w:t>
      </w:r>
      <w:r>
        <w:rPr>
          <w:rFonts w:eastAsia="Times New Roman"/>
          <w:color w:val="000000"/>
          <w:sz w:val="24"/>
          <w:szCs w:val="24"/>
        </w:rPr>
        <w:t xml:space="preserve">“at a minimum” the following proceedings: (1) the cases in this docket (“FAC Audit Cases”), under which the capacity costs were recovered through the FAC/FCR; (2) </w:t>
      </w:r>
      <w:r>
        <w:rPr>
          <w:rFonts w:eastAsia="Times New Roman"/>
          <w:color w:val="000000"/>
          <w:sz w:val="24"/>
          <w:szCs w:val="24"/>
        </w:rPr>
        <w:lastRenderedPageBreak/>
        <w:t>the Capacity Case, which established the cost-based SCM,</w:t>
      </w:r>
      <w:r>
        <w:rPr>
          <w:rStyle w:val="FootnoteReference"/>
          <w:rFonts w:eastAsia="Times New Roman"/>
          <w:color w:val="000000"/>
          <w:sz w:val="24"/>
          <w:szCs w:val="24"/>
        </w:rPr>
        <w:footnoteReference w:id="3"/>
      </w:r>
      <w:r>
        <w:rPr>
          <w:rFonts w:eastAsia="Times New Roman"/>
          <w:color w:val="000000"/>
          <w:sz w:val="24"/>
          <w:szCs w:val="24"/>
        </w:rPr>
        <w:t xml:space="preserve"> (3) </w:t>
      </w:r>
      <w:r w:rsidRPr="004A5F2D">
        <w:rPr>
          <w:rFonts w:eastAsia="Times New Roman"/>
          <w:b/>
          <w:i/>
          <w:color w:val="000000"/>
          <w:sz w:val="24"/>
          <w:szCs w:val="24"/>
        </w:rPr>
        <w:t>ESP II, which recovered shopping customers’ deferred capacity costs through the RSR,</w:t>
      </w:r>
      <w:r>
        <w:rPr>
          <w:rStyle w:val="FootnoteReference"/>
          <w:rFonts w:eastAsia="Times New Roman"/>
          <w:color w:val="000000"/>
          <w:sz w:val="24"/>
          <w:szCs w:val="24"/>
        </w:rPr>
        <w:footnoteReference w:id="4"/>
      </w:r>
      <w:r>
        <w:rPr>
          <w:rFonts w:eastAsia="Times New Roman"/>
          <w:color w:val="000000"/>
          <w:sz w:val="24"/>
          <w:szCs w:val="24"/>
        </w:rPr>
        <w:t xml:space="preserve"> and (4) the CBP case, which blended the recovery of capacity costs through the GCR.</w:t>
      </w:r>
      <w:r>
        <w:rPr>
          <w:rStyle w:val="FootnoteReference"/>
          <w:rFonts w:eastAsia="Times New Roman"/>
          <w:color w:val="000000"/>
          <w:sz w:val="24"/>
          <w:szCs w:val="24"/>
        </w:rPr>
        <w:footnoteReference w:id="5"/>
      </w:r>
      <w:r>
        <w:rPr>
          <w:rFonts w:eastAsia="Times New Roman"/>
          <w:color w:val="000000"/>
          <w:sz w:val="24"/>
          <w:szCs w:val="24"/>
        </w:rPr>
        <w:t xml:space="preserve"> As stated above, AEP Ohio concedes that the costs recovered through the GCR are discoverable, but unreasonably seeks to withhold the </w:t>
      </w:r>
      <w:r w:rsidR="003A1233">
        <w:rPr>
          <w:rFonts w:eastAsia="Times New Roman"/>
          <w:color w:val="000000"/>
          <w:sz w:val="24"/>
          <w:szCs w:val="24"/>
        </w:rPr>
        <w:t xml:space="preserve">amount of </w:t>
      </w:r>
      <w:r>
        <w:rPr>
          <w:rFonts w:eastAsia="Times New Roman"/>
          <w:color w:val="000000"/>
          <w:sz w:val="24"/>
          <w:szCs w:val="24"/>
        </w:rPr>
        <w:t xml:space="preserve">similar RSR capacity costs recovered. </w:t>
      </w:r>
      <w:r w:rsidRPr="004A5F2D">
        <w:rPr>
          <w:sz w:val="24"/>
          <w:szCs w:val="24"/>
        </w:rPr>
        <w:t xml:space="preserve">Contrary to AEP Ohio’s assertions, the only limitation the PUCO placed on the scope of this proceeding was that the investigation </w:t>
      </w:r>
      <w:r w:rsidR="003A1233">
        <w:rPr>
          <w:sz w:val="24"/>
          <w:szCs w:val="24"/>
        </w:rPr>
        <w:t xml:space="preserve">into over-collection </w:t>
      </w:r>
      <w:r w:rsidRPr="004A5F2D">
        <w:rPr>
          <w:sz w:val="24"/>
          <w:szCs w:val="24"/>
        </w:rPr>
        <w:t>was restricted to audit years 2012, 2013, and 2014.</w:t>
      </w:r>
      <w:r>
        <w:rPr>
          <w:rStyle w:val="FootnoteReference"/>
          <w:sz w:val="24"/>
          <w:szCs w:val="24"/>
        </w:rPr>
        <w:footnoteReference w:id="6"/>
      </w:r>
      <w:r w:rsidRPr="004A5F2D">
        <w:rPr>
          <w:sz w:val="24"/>
          <w:szCs w:val="24"/>
        </w:rPr>
        <w:t xml:space="preserve">  </w:t>
      </w:r>
    </w:p>
    <w:p w:rsidR="007A03A8" w:rsidRDefault="005242D9" w:rsidP="00A3496C">
      <w:pPr>
        <w:tabs>
          <w:tab w:val="left" w:pos="720"/>
        </w:tabs>
        <w:spacing w:line="480" w:lineRule="auto"/>
        <w:ind w:right="43" w:firstLine="720"/>
        <w:textAlignment w:val="baseline"/>
        <w:rPr>
          <w:rFonts w:eastAsia="Times New Roman"/>
          <w:color w:val="000000"/>
          <w:sz w:val="24"/>
          <w:szCs w:val="24"/>
        </w:rPr>
      </w:pPr>
      <w:r>
        <w:rPr>
          <w:rFonts w:eastAsia="Times New Roman"/>
          <w:color w:val="000000"/>
          <w:sz w:val="24"/>
          <w:szCs w:val="24"/>
        </w:rPr>
        <w:t>In addition, AEP Ohio is just plain wrong that consideration of the over-collection of capacity costs through the RSR would lead to a “double credit” of the over-collected Lawrenceburg/OVEC capacity charges. It reasons:</w:t>
      </w:r>
    </w:p>
    <w:p w:rsidR="007A03A8" w:rsidRDefault="005242D9" w:rsidP="00644C7B">
      <w:pPr>
        <w:ind w:left="1440" w:right="720"/>
        <w:textAlignment w:val="baseline"/>
        <w:rPr>
          <w:rFonts w:eastAsia="Times New Roman"/>
          <w:color w:val="000000"/>
          <w:sz w:val="24"/>
          <w:szCs w:val="24"/>
        </w:rPr>
      </w:pPr>
      <w:r>
        <w:rPr>
          <w:rFonts w:eastAsia="Times New Roman"/>
          <w:color w:val="000000"/>
          <w:sz w:val="24"/>
          <w:szCs w:val="24"/>
        </w:rPr>
        <w:t>***OCC’s attempt to count both the SCM and RSR capacity deferrals would amount to double credit against the costs recovered once through the FAC – because capacity deferrals recovered (and to be recovered) through the RSR are the same dollars that were authorized for recovery through the SCM ($188.88/MW-day) but which were unrecovered through the lower RPM capacity rate collected from CRES providers.</w:t>
      </w:r>
      <w:r>
        <w:rPr>
          <w:rStyle w:val="FootnoteReference"/>
          <w:rFonts w:eastAsia="Times New Roman"/>
          <w:color w:val="000000"/>
          <w:sz w:val="24"/>
          <w:szCs w:val="24"/>
        </w:rPr>
        <w:footnoteReference w:id="7"/>
      </w:r>
      <w:r>
        <w:rPr>
          <w:rFonts w:eastAsia="Times New Roman"/>
          <w:color w:val="000000"/>
          <w:sz w:val="24"/>
          <w:szCs w:val="24"/>
        </w:rPr>
        <w:t xml:space="preserve">  </w:t>
      </w:r>
    </w:p>
    <w:p w:rsidR="007A03A8" w:rsidRDefault="002F13FB" w:rsidP="007A03A8">
      <w:pPr>
        <w:tabs>
          <w:tab w:val="left" w:pos="7920"/>
        </w:tabs>
        <w:ind w:left="1440" w:right="1440"/>
        <w:textAlignment w:val="baseline"/>
        <w:rPr>
          <w:sz w:val="24"/>
          <w:szCs w:val="24"/>
        </w:rPr>
      </w:pPr>
    </w:p>
    <w:p w:rsidR="007A03A8" w:rsidRDefault="005242D9" w:rsidP="007A03A8">
      <w:pPr>
        <w:tabs>
          <w:tab w:val="left" w:pos="720"/>
        </w:tabs>
        <w:spacing w:line="480" w:lineRule="auto"/>
        <w:ind w:firstLine="720"/>
        <w:textAlignment w:val="baseline"/>
        <w:rPr>
          <w:sz w:val="24"/>
          <w:szCs w:val="24"/>
        </w:rPr>
      </w:pPr>
      <w:r>
        <w:rPr>
          <w:sz w:val="24"/>
          <w:szCs w:val="24"/>
        </w:rPr>
        <w:t>AEP Ohio is technically correct inasmuch as the SCM collects from CRES providers the applicable RPM capacity rate, and the difference is deferred for collection through the non-bypassable RSR. However, AEP Ohio wrongly assumes that this “unrecovered” difference was not accounted for in the audit report, and is properly collected through the RSR. The audit report clearly finds that SSO customers have paid the entirety (100%) of the $188.88 SCM charge for Lawrenceburg/OVEC capacity through the FAC/FCR. AEP Ohio must not be permitted to over-collect this amount further by charging SSO customers additional amounts for Lawrenceburg/OVEC capacity through the RSR. It’s that simple. To accept AEP Ohio’s position would be to unlawfully increase the establishe</w:t>
      </w:r>
      <w:r w:rsidR="000D7558">
        <w:rPr>
          <w:sz w:val="24"/>
          <w:szCs w:val="24"/>
        </w:rPr>
        <w:t>d SCM rate above $188.88/MW-day.</w:t>
      </w:r>
    </w:p>
    <w:p w:rsidR="007A03A8" w:rsidRPr="004A5F2D" w:rsidRDefault="005242D9" w:rsidP="00644C7B">
      <w:pPr>
        <w:pStyle w:val="ListParagraph"/>
        <w:numPr>
          <w:ilvl w:val="0"/>
          <w:numId w:val="25"/>
        </w:numPr>
        <w:tabs>
          <w:tab w:val="left" w:pos="720"/>
        </w:tabs>
        <w:ind w:left="1440" w:right="720" w:hanging="720"/>
        <w:textAlignment w:val="baseline"/>
        <w:rPr>
          <w:b/>
          <w:sz w:val="24"/>
          <w:szCs w:val="24"/>
        </w:rPr>
      </w:pPr>
      <w:r>
        <w:rPr>
          <w:b/>
          <w:sz w:val="24"/>
          <w:szCs w:val="24"/>
        </w:rPr>
        <w:t xml:space="preserve">The </w:t>
      </w:r>
      <w:r w:rsidR="00644C7B">
        <w:rPr>
          <w:b/>
          <w:sz w:val="24"/>
          <w:szCs w:val="24"/>
        </w:rPr>
        <w:t>o</w:t>
      </w:r>
      <w:r>
        <w:rPr>
          <w:b/>
          <w:sz w:val="24"/>
          <w:szCs w:val="24"/>
        </w:rPr>
        <w:t>ver-</w:t>
      </w:r>
      <w:r w:rsidR="00644C7B">
        <w:rPr>
          <w:b/>
          <w:sz w:val="24"/>
          <w:szCs w:val="24"/>
        </w:rPr>
        <w:t>c</w:t>
      </w:r>
      <w:r>
        <w:rPr>
          <w:b/>
          <w:sz w:val="24"/>
          <w:szCs w:val="24"/>
        </w:rPr>
        <w:t xml:space="preserve">ollection of Lawrenceburg/OVEC </w:t>
      </w:r>
      <w:r w:rsidR="00644C7B">
        <w:rPr>
          <w:b/>
          <w:sz w:val="24"/>
          <w:szCs w:val="24"/>
        </w:rPr>
        <w:t>c</w:t>
      </w:r>
      <w:r>
        <w:rPr>
          <w:b/>
          <w:sz w:val="24"/>
          <w:szCs w:val="24"/>
        </w:rPr>
        <w:t xml:space="preserve">apacity </w:t>
      </w:r>
      <w:r w:rsidR="00644C7B">
        <w:rPr>
          <w:b/>
          <w:sz w:val="24"/>
          <w:szCs w:val="24"/>
        </w:rPr>
        <w:t>c</w:t>
      </w:r>
      <w:r>
        <w:rPr>
          <w:b/>
          <w:sz w:val="24"/>
          <w:szCs w:val="24"/>
        </w:rPr>
        <w:t xml:space="preserve">osts is </w:t>
      </w:r>
      <w:r w:rsidR="00644C7B">
        <w:rPr>
          <w:b/>
          <w:sz w:val="24"/>
          <w:szCs w:val="24"/>
        </w:rPr>
        <w:t>n</w:t>
      </w:r>
      <w:r>
        <w:rPr>
          <w:b/>
          <w:sz w:val="24"/>
          <w:szCs w:val="24"/>
        </w:rPr>
        <w:t xml:space="preserve">ot a </w:t>
      </w:r>
      <w:r w:rsidR="00644C7B">
        <w:rPr>
          <w:b/>
          <w:sz w:val="24"/>
          <w:szCs w:val="24"/>
        </w:rPr>
        <w:t>p</w:t>
      </w:r>
      <w:r>
        <w:rPr>
          <w:b/>
          <w:sz w:val="24"/>
          <w:szCs w:val="24"/>
        </w:rPr>
        <w:t xml:space="preserve">roper </w:t>
      </w:r>
      <w:r w:rsidR="00644C7B">
        <w:rPr>
          <w:b/>
          <w:sz w:val="24"/>
          <w:szCs w:val="24"/>
        </w:rPr>
        <w:t>i</w:t>
      </w:r>
      <w:r>
        <w:rPr>
          <w:b/>
          <w:sz w:val="24"/>
          <w:szCs w:val="24"/>
        </w:rPr>
        <w:t xml:space="preserve">ssue in the </w:t>
      </w:r>
      <w:r w:rsidR="00644C7B">
        <w:rPr>
          <w:b/>
          <w:sz w:val="24"/>
          <w:szCs w:val="24"/>
        </w:rPr>
        <w:t>u</w:t>
      </w:r>
      <w:r>
        <w:rPr>
          <w:b/>
          <w:sz w:val="24"/>
          <w:szCs w:val="24"/>
        </w:rPr>
        <w:t xml:space="preserve">pcoming </w:t>
      </w:r>
      <w:r w:rsidR="00644C7B">
        <w:rPr>
          <w:b/>
          <w:sz w:val="24"/>
          <w:szCs w:val="24"/>
        </w:rPr>
        <w:t>f</w:t>
      </w:r>
      <w:r>
        <w:rPr>
          <w:b/>
          <w:sz w:val="24"/>
          <w:szCs w:val="24"/>
        </w:rPr>
        <w:t xml:space="preserve">inancial </w:t>
      </w:r>
      <w:r w:rsidR="00644C7B">
        <w:rPr>
          <w:b/>
          <w:sz w:val="24"/>
          <w:szCs w:val="24"/>
        </w:rPr>
        <w:t>a</w:t>
      </w:r>
      <w:r>
        <w:rPr>
          <w:b/>
          <w:sz w:val="24"/>
          <w:szCs w:val="24"/>
        </w:rPr>
        <w:t xml:space="preserve">udit of AEP Ohio’s </w:t>
      </w:r>
      <w:r w:rsidR="00644C7B">
        <w:rPr>
          <w:b/>
          <w:sz w:val="24"/>
          <w:szCs w:val="24"/>
        </w:rPr>
        <w:t>a</w:t>
      </w:r>
      <w:r>
        <w:rPr>
          <w:b/>
          <w:sz w:val="24"/>
          <w:szCs w:val="24"/>
        </w:rPr>
        <w:t xml:space="preserve">ccounting of the RSR.    </w:t>
      </w:r>
    </w:p>
    <w:p w:rsidR="004A5F2D" w:rsidRPr="00132165" w:rsidRDefault="002F13FB" w:rsidP="004A5F2D">
      <w:pPr>
        <w:pStyle w:val="ListParagraph"/>
        <w:tabs>
          <w:tab w:val="left" w:pos="720"/>
        </w:tabs>
        <w:ind w:left="1440"/>
        <w:textAlignment w:val="baseline"/>
        <w:rPr>
          <w:b/>
          <w:sz w:val="24"/>
          <w:szCs w:val="24"/>
        </w:rPr>
      </w:pPr>
    </w:p>
    <w:p w:rsidR="00132165" w:rsidRDefault="005242D9" w:rsidP="00132165">
      <w:pPr>
        <w:tabs>
          <w:tab w:val="left" w:pos="720"/>
        </w:tabs>
        <w:spacing w:line="480" w:lineRule="auto"/>
        <w:textAlignment w:val="baseline"/>
        <w:rPr>
          <w:sz w:val="24"/>
          <w:szCs w:val="24"/>
        </w:rPr>
      </w:pPr>
      <w:r>
        <w:rPr>
          <w:sz w:val="24"/>
          <w:szCs w:val="24"/>
        </w:rPr>
        <w:tab/>
        <w:t>Ever since the issue of over-collection of the Lawrenceburg/OVEC capacity costs first arose, AEP Ohio has attempted to divert consideration of the issue to oth</w:t>
      </w:r>
      <w:r w:rsidR="0044087A">
        <w:rPr>
          <w:sz w:val="24"/>
          <w:szCs w:val="24"/>
        </w:rPr>
        <w:t>er proceedings or a new docket,</w:t>
      </w:r>
      <w:r>
        <w:rPr>
          <w:sz w:val="24"/>
          <w:szCs w:val="24"/>
        </w:rPr>
        <w:t xml:space="preserve"> instead of considering the issue in these FAC Audit Cases.  The PUCO consistently has rejected that effort because the over-collection issue is directly related to the FAC</w:t>
      </w:r>
      <w:r w:rsidR="003A1233">
        <w:rPr>
          <w:sz w:val="24"/>
          <w:szCs w:val="24"/>
        </w:rPr>
        <w:t>/FCR</w:t>
      </w:r>
      <w:r>
        <w:rPr>
          <w:sz w:val="24"/>
          <w:szCs w:val="24"/>
        </w:rPr>
        <w:t xml:space="preserve"> and, </w:t>
      </w:r>
      <w:r w:rsidRPr="00132165">
        <w:rPr>
          <w:b/>
          <w:i/>
          <w:sz w:val="24"/>
          <w:szCs w:val="24"/>
        </w:rPr>
        <w:t>importantly</w:t>
      </w:r>
      <w:r>
        <w:rPr>
          <w:sz w:val="24"/>
          <w:szCs w:val="24"/>
        </w:rPr>
        <w:t>, the FAC</w:t>
      </w:r>
      <w:r w:rsidR="003A1233">
        <w:rPr>
          <w:sz w:val="24"/>
          <w:szCs w:val="24"/>
        </w:rPr>
        <w:t>/FCR</w:t>
      </w:r>
      <w:r>
        <w:rPr>
          <w:sz w:val="24"/>
          <w:szCs w:val="24"/>
        </w:rPr>
        <w:t xml:space="preserve"> audit process provides for ready adjustment if an over-collection has been found.</w:t>
      </w:r>
      <w:r>
        <w:rPr>
          <w:rStyle w:val="FootnoteReference"/>
          <w:sz w:val="24"/>
          <w:szCs w:val="24"/>
        </w:rPr>
        <w:footnoteReference w:id="8"/>
      </w:r>
      <w:r>
        <w:rPr>
          <w:sz w:val="24"/>
          <w:szCs w:val="24"/>
        </w:rPr>
        <w:t xml:space="preserve"> Diversion of the issue to another proceeding would thwart the efficient and expedient remedy the FAC Audit Cases provide.  </w:t>
      </w:r>
    </w:p>
    <w:p w:rsidR="003778D8" w:rsidRDefault="005242D9" w:rsidP="007A03A8">
      <w:pPr>
        <w:tabs>
          <w:tab w:val="left" w:pos="720"/>
        </w:tabs>
        <w:spacing w:line="480" w:lineRule="auto"/>
        <w:ind w:firstLine="720"/>
        <w:textAlignment w:val="baseline"/>
        <w:rPr>
          <w:sz w:val="24"/>
          <w:szCs w:val="24"/>
        </w:rPr>
      </w:pPr>
      <w:r>
        <w:rPr>
          <w:sz w:val="24"/>
          <w:szCs w:val="24"/>
        </w:rPr>
        <w:t>Despite the PUCO’s findings, AEP Ohio once again asserts that the issue related to the RSR’s over-collection of Lawrenceburg/OVEC capacity costs should be considered in another proceeding, this time the upcoming audit of the RSR’s deferral balance (“RSR Audit”).</w:t>
      </w:r>
      <w:r>
        <w:rPr>
          <w:rStyle w:val="FootnoteReference"/>
          <w:sz w:val="24"/>
          <w:szCs w:val="24"/>
        </w:rPr>
        <w:footnoteReference w:id="9"/>
      </w:r>
      <w:r>
        <w:rPr>
          <w:sz w:val="24"/>
          <w:szCs w:val="24"/>
        </w:rPr>
        <w:t xml:space="preserve"> AEP Ohio’s interest, as in its prior pleadings in these FAC Audit Cases, is that the SCM and GCR rates (and, now, the RSR rate) not be subject to retroactive reduction. But the PUCO already has found that the remedy for over-collection, if found, would leave the SCM rate and GCR rate (and, by extension, the RSR rate) undisturbed. If an over-collection is found, those rates would remain the same and permissible adjustments would be made only to the FAC/FCR under the approved mechanism.</w:t>
      </w:r>
      <w:r>
        <w:rPr>
          <w:rStyle w:val="FootnoteReference"/>
          <w:sz w:val="24"/>
          <w:szCs w:val="24"/>
        </w:rPr>
        <w:footnoteReference w:id="10"/>
      </w:r>
      <w:r>
        <w:rPr>
          <w:sz w:val="24"/>
          <w:szCs w:val="24"/>
        </w:rPr>
        <w:t xml:space="preserve"> Indeed, AEP Ohio recognizes as much in its Memorandum Contra, going so far as to agree that the FAC/FCR reconciliation process will make customers whole.</w:t>
      </w:r>
      <w:r>
        <w:rPr>
          <w:rStyle w:val="FootnoteReference"/>
          <w:sz w:val="24"/>
          <w:szCs w:val="24"/>
        </w:rPr>
        <w:footnoteReference w:id="11"/>
      </w:r>
      <w:r>
        <w:rPr>
          <w:sz w:val="24"/>
          <w:szCs w:val="24"/>
        </w:rPr>
        <w:t xml:space="preserve">    </w:t>
      </w:r>
    </w:p>
    <w:p w:rsidR="007A03A8" w:rsidRDefault="005242D9" w:rsidP="007A03A8">
      <w:pPr>
        <w:tabs>
          <w:tab w:val="left" w:pos="720"/>
        </w:tabs>
        <w:spacing w:line="480" w:lineRule="auto"/>
        <w:ind w:firstLine="720"/>
        <w:textAlignment w:val="baseline"/>
        <w:rPr>
          <w:sz w:val="24"/>
          <w:szCs w:val="24"/>
        </w:rPr>
      </w:pPr>
      <w:r>
        <w:rPr>
          <w:sz w:val="24"/>
          <w:szCs w:val="24"/>
        </w:rPr>
        <w:t xml:space="preserve">The RSR audit is very different from the over-collections at issue here. The RSR audit proposes to ensure, at the end of the ESP II term, that AEP Ohio has correctly accounted for RSR capacity revenues, already received, against the deferred balance. It does not consider whether SSO customers have fully paid the Lawrenceburg/OVEC capacity costs through the FAC/FCR – and there is no reason to inject that issue into the upcoming accounting audit. As the PUCO already has decided, and AEP Ohio agrees, the over-collection issues – be it from the SCM </w:t>
      </w:r>
      <w:r w:rsidR="008C496B">
        <w:rPr>
          <w:sz w:val="24"/>
          <w:szCs w:val="24"/>
        </w:rPr>
        <w:t>or GCR</w:t>
      </w:r>
      <w:r>
        <w:rPr>
          <w:sz w:val="24"/>
          <w:szCs w:val="24"/>
        </w:rPr>
        <w:t xml:space="preserve">, must be addressed in the FAC Audit Cases, and the same is true for the RSR. OCC asks the PUCO to recognize AEP Ohio’s confused argument for what it is – an attempt to bifurcate the SCM/GCR rates from the RSR rates and, in the process, leave Ohio’s SSO customers without a complete remedy.    </w:t>
      </w:r>
    </w:p>
    <w:p w:rsidR="00644C7B" w:rsidRDefault="00644C7B">
      <w:pPr>
        <w:rPr>
          <w:b/>
          <w:sz w:val="24"/>
          <w:szCs w:val="24"/>
        </w:rPr>
      </w:pPr>
      <w:r>
        <w:rPr>
          <w:b/>
          <w:sz w:val="24"/>
          <w:szCs w:val="24"/>
        </w:rPr>
        <w:br w:type="page"/>
      </w:r>
    </w:p>
    <w:p w:rsidR="007A03A8" w:rsidRPr="0045139D" w:rsidRDefault="005242D9" w:rsidP="007A03A8">
      <w:pPr>
        <w:tabs>
          <w:tab w:val="left" w:pos="720"/>
        </w:tabs>
        <w:spacing w:line="480" w:lineRule="auto"/>
        <w:ind w:firstLine="720"/>
        <w:textAlignment w:val="baseline"/>
        <w:rPr>
          <w:b/>
          <w:sz w:val="24"/>
          <w:szCs w:val="24"/>
        </w:rPr>
      </w:pPr>
      <w:r w:rsidRPr="0045139D">
        <w:rPr>
          <w:b/>
          <w:sz w:val="24"/>
          <w:szCs w:val="24"/>
        </w:rPr>
        <w:t>C.</w:t>
      </w:r>
      <w:r w:rsidRPr="0045139D">
        <w:rPr>
          <w:b/>
          <w:sz w:val="24"/>
          <w:szCs w:val="24"/>
        </w:rPr>
        <w:tab/>
        <w:t xml:space="preserve">The RSR </w:t>
      </w:r>
      <w:r w:rsidR="003D3B69">
        <w:rPr>
          <w:b/>
          <w:sz w:val="24"/>
          <w:szCs w:val="24"/>
        </w:rPr>
        <w:t>r</w:t>
      </w:r>
      <w:r w:rsidRPr="0045139D">
        <w:rPr>
          <w:b/>
          <w:sz w:val="24"/>
          <w:szCs w:val="24"/>
        </w:rPr>
        <w:t xml:space="preserve">evenues </w:t>
      </w:r>
      <w:r w:rsidR="003D3B69">
        <w:rPr>
          <w:b/>
          <w:sz w:val="24"/>
          <w:szCs w:val="24"/>
        </w:rPr>
        <w:t>a</w:t>
      </w:r>
      <w:r w:rsidRPr="0045139D">
        <w:rPr>
          <w:b/>
          <w:sz w:val="24"/>
          <w:szCs w:val="24"/>
        </w:rPr>
        <w:t xml:space="preserve">re </w:t>
      </w:r>
      <w:r w:rsidR="003D3B69">
        <w:rPr>
          <w:b/>
          <w:sz w:val="24"/>
          <w:szCs w:val="24"/>
        </w:rPr>
        <w:t>p</w:t>
      </w:r>
      <w:r w:rsidRPr="0045139D">
        <w:rPr>
          <w:b/>
          <w:sz w:val="24"/>
          <w:szCs w:val="24"/>
        </w:rPr>
        <w:t xml:space="preserve">robative of </w:t>
      </w:r>
      <w:r w:rsidR="003D3B69">
        <w:rPr>
          <w:b/>
          <w:sz w:val="24"/>
          <w:szCs w:val="24"/>
        </w:rPr>
        <w:t>o</w:t>
      </w:r>
      <w:r>
        <w:rPr>
          <w:b/>
          <w:sz w:val="24"/>
          <w:szCs w:val="24"/>
        </w:rPr>
        <w:t>ver-</w:t>
      </w:r>
      <w:r w:rsidR="003D3B69">
        <w:rPr>
          <w:b/>
          <w:sz w:val="24"/>
          <w:szCs w:val="24"/>
        </w:rPr>
        <w:t>c</w:t>
      </w:r>
      <w:r>
        <w:rPr>
          <w:b/>
          <w:sz w:val="24"/>
          <w:szCs w:val="24"/>
        </w:rPr>
        <w:t xml:space="preserve">ollection.  </w:t>
      </w:r>
    </w:p>
    <w:p w:rsidR="0045139D" w:rsidRDefault="005242D9" w:rsidP="007A03A8">
      <w:pPr>
        <w:tabs>
          <w:tab w:val="left" w:pos="720"/>
        </w:tabs>
        <w:spacing w:line="480" w:lineRule="auto"/>
        <w:ind w:firstLine="720"/>
        <w:textAlignment w:val="baseline"/>
        <w:rPr>
          <w:sz w:val="24"/>
          <w:szCs w:val="24"/>
        </w:rPr>
      </w:pPr>
      <w:r>
        <w:rPr>
          <w:sz w:val="24"/>
          <w:szCs w:val="24"/>
        </w:rPr>
        <w:t xml:space="preserve">AEP Ohio claims that discovery of the RSR revenues provided by shopping and SSO customers is not probative of over-collection. AEP Ohio reasons that the RSR contains components other than recovery of capacity costs ($1/MWh) during the ESP II term, including the financial stability charge of $3.50 or $4.00/MWh. Thus, it claims that the RSR revenues requested in discovery are not probative of over-collection because they have no direct or exclusive relationship to capacity charges.  </w:t>
      </w:r>
    </w:p>
    <w:p w:rsidR="007A03A8" w:rsidRDefault="005242D9" w:rsidP="007A03A8">
      <w:pPr>
        <w:tabs>
          <w:tab w:val="left" w:pos="720"/>
        </w:tabs>
        <w:spacing w:line="480" w:lineRule="auto"/>
        <w:ind w:firstLine="720"/>
        <w:textAlignment w:val="baseline"/>
        <w:rPr>
          <w:sz w:val="24"/>
          <w:szCs w:val="24"/>
        </w:rPr>
      </w:pPr>
      <w:r>
        <w:rPr>
          <w:sz w:val="24"/>
          <w:szCs w:val="24"/>
        </w:rPr>
        <w:t>Suffice it to say that, through the PUCO’s orders and relevant discovery in this proceeding, OCC is confident that it can determine the portion of the RSR that recovered capacity costs, and the portion attributed to the Lawrenceburg/OVEC facilities. If AEP Ohio disagrees with OCC’s methodology, it is free to address the methodology at hearing, on the merits. It is improper to attempt to preempt this analysis during the discovery phase of this proceeding. AEP Ohio’s argument lacks merit</w:t>
      </w:r>
      <w:r w:rsidR="0044087A">
        <w:rPr>
          <w:sz w:val="24"/>
          <w:szCs w:val="24"/>
        </w:rPr>
        <w:t xml:space="preserve">.   </w:t>
      </w:r>
    </w:p>
    <w:p w:rsidR="0045139D" w:rsidRDefault="005242D9" w:rsidP="00644C7B">
      <w:pPr>
        <w:ind w:left="1350" w:right="720" w:hanging="630"/>
        <w:rPr>
          <w:b/>
          <w:sz w:val="24"/>
          <w:szCs w:val="24"/>
        </w:rPr>
      </w:pPr>
      <w:r w:rsidRPr="0045139D">
        <w:rPr>
          <w:b/>
          <w:sz w:val="24"/>
          <w:szCs w:val="24"/>
        </w:rPr>
        <w:t>D.</w:t>
      </w:r>
      <w:r w:rsidRPr="0045139D">
        <w:rPr>
          <w:b/>
          <w:sz w:val="24"/>
          <w:szCs w:val="24"/>
        </w:rPr>
        <w:tab/>
      </w:r>
      <w:r>
        <w:rPr>
          <w:b/>
          <w:sz w:val="24"/>
          <w:szCs w:val="24"/>
        </w:rPr>
        <w:t xml:space="preserve">As the PUCO has </w:t>
      </w:r>
      <w:r w:rsidR="00644C7B">
        <w:rPr>
          <w:b/>
          <w:sz w:val="24"/>
          <w:szCs w:val="24"/>
        </w:rPr>
        <w:t>f</w:t>
      </w:r>
      <w:r>
        <w:rPr>
          <w:b/>
          <w:sz w:val="24"/>
          <w:szCs w:val="24"/>
        </w:rPr>
        <w:t xml:space="preserve">ound, </w:t>
      </w:r>
      <w:r w:rsidR="00644C7B">
        <w:rPr>
          <w:b/>
          <w:sz w:val="24"/>
          <w:szCs w:val="24"/>
        </w:rPr>
        <w:t>a</w:t>
      </w:r>
      <w:r>
        <w:rPr>
          <w:b/>
          <w:sz w:val="24"/>
          <w:szCs w:val="24"/>
        </w:rPr>
        <w:t xml:space="preserve">djustments to the FAC/FCR </w:t>
      </w:r>
      <w:r w:rsidR="00644C7B">
        <w:rPr>
          <w:b/>
          <w:sz w:val="24"/>
          <w:szCs w:val="24"/>
        </w:rPr>
        <w:t>d</w:t>
      </w:r>
      <w:r>
        <w:rPr>
          <w:b/>
          <w:sz w:val="24"/>
          <w:szCs w:val="24"/>
        </w:rPr>
        <w:t xml:space="preserve">o </w:t>
      </w:r>
      <w:r w:rsidR="00644C7B">
        <w:rPr>
          <w:b/>
          <w:sz w:val="24"/>
          <w:szCs w:val="24"/>
        </w:rPr>
        <w:t>n</w:t>
      </w:r>
      <w:r>
        <w:rPr>
          <w:b/>
          <w:sz w:val="24"/>
          <w:szCs w:val="24"/>
        </w:rPr>
        <w:t xml:space="preserve">ot </w:t>
      </w:r>
      <w:r w:rsidR="00644C7B">
        <w:rPr>
          <w:b/>
          <w:sz w:val="24"/>
          <w:szCs w:val="24"/>
        </w:rPr>
        <w:t>c</w:t>
      </w:r>
      <w:r>
        <w:rPr>
          <w:b/>
          <w:sz w:val="24"/>
          <w:szCs w:val="24"/>
        </w:rPr>
        <w:t xml:space="preserve">onstitute </w:t>
      </w:r>
      <w:r w:rsidR="00644C7B">
        <w:rPr>
          <w:b/>
          <w:sz w:val="24"/>
          <w:szCs w:val="24"/>
        </w:rPr>
        <w:t>r</w:t>
      </w:r>
      <w:r w:rsidRPr="0045139D">
        <w:rPr>
          <w:b/>
          <w:sz w:val="24"/>
          <w:szCs w:val="24"/>
        </w:rPr>
        <w:t xml:space="preserve">etroactive </w:t>
      </w:r>
      <w:r w:rsidR="00644C7B">
        <w:rPr>
          <w:b/>
          <w:sz w:val="24"/>
          <w:szCs w:val="24"/>
        </w:rPr>
        <w:t>r</w:t>
      </w:r>
      <w:r w:rsidRPr="0045139D">
        <w:rPr>
          <w:b/>
          <w:sz w:val="24"/>
          <w:szCs w:val="24"/>
        </w:rPr>
        <w:t>atemaking</w:t>
      </w:r>
      <w:r>
        <w:rPr>
          <w:b/>
          <w:sz w:val="24"/>
          <w:szCs w:val="24"/>
        </w:rPr>
        <w:t>.</w:t>
      </w:r>
    </w:p>
    <w:p w:rsidR="0045139D" w:rsidRPr="0045139D" w:rsidRDefault="005242D9" w:rsidP="0045139D">
      <w:pPr>
        <w:spacing w:before="240" w:line="480" w:lineRule="auto"/>
        <w:ind w:firstLine="720"/>
        <w:rPr>
          <w:sz w:val="24"/>
          <w:szCs w:val="24"/>
        </w:rPr>
      </w:pPr>
      <w:r w:rsidRPr="0045139D">
        <w:rPr>
          <w:sz w:val="24"/>
          <w:szCs w:val="24"/>
        </w:rPr>
        <w:t xml:space="preserve">AEP Ohio </w:t>
      </w:r>
      <w:r>
        <w:rPr>
          <w:sz w:val="24"/>
          <w:szCs w:val="24"/>
        </w:rPr>
        <w:t>appears to have modified its position that it would constitute retroactive ratemaking to adjust the FAC/FCR for Lawrenceburg/OVEC capacity charges collected through the RSR. In its Memorandum Contra, it now argues that it would be unlawful only if the financial stability component of the RSR were reviewed or refunded.</w:t>
      </w:r>
      <w:r>
        <w:rPr>
          <w:rStyle w:val="FootnoteReference"/>
          <w:sz w:val="24"/>
          <w:szCs w:val="24"/>
        </w:rPr>
        <w:footnoteReference w:id="12"/>
      </w:r>
      <w:r>
        <w:rPr>
          <w:sz w:val="24"/>
          <w:szCs w:val="24"/>
        </w:rPr>
        <w:t xml:space="preserve"> OCC has not proposed an adjustment to the financial stability component of the RSR. Moreover, as OCC explained in its Motion to Compel, the PUCO already has ruled that an adjustment to the FAC/FCR for capacity cost over-collections through SCM and GCR would not constitute retroactive rat</w:t>
      </w:r>
      <w:r w:rsidR="0044087A">
        <w:rPr>
          <w:sz w:val="24"/>
          <w:szCs w:val="24"/>
        </w:rPr>
        <w:t xml:space="preserve">emaking. AEP’s argument lacks merit.  </w:t>
      </w:r>
    </w:p>
    <w:p w:rsidR="004A5F2D" w:rsidRDefault="005242D9" w:rsidP="004A5F2D">
      <w:pPr>
        <w:spacing w:before="240" w:line="480" w:lineRule="auto"/>
        <w:rPr>
          <w:b/>
          <w:sz w:val="24"/>
          <w:szCs w:val="24"/>
        </w:rPr>
      </w:pPr>
      <w:r>
        <w:rPr>
          <w:b/>
          <w:sz w:val="24"/>
          <w:szCs w:val="24"/>
        </w:rPr>
        <w:t>III.</w:t>
      </w:r>
      <w:r>
        <w:rPr>
          <w:b/>
          <w:sz w:val="24"/>
          <w:szCs w:val="24"/>
        </w:rPr>
        <w:tab/>
        <w:t>CONCLUSION</w:t>
      </w:r>
    </w:p>
    <w:p w:rsidR="004A5F2D" w:rsidRDefault="005242D9" w:rsidP="004A5F2D">
      <w:pPr>
        <w:spacing w:line="480" w:lineRule="auto"/>
        <w:rPr>
          <w:rFonts w:eastAsia="Times New Roman"/>
          <w:sz w:val="24"/>
          <w:szCs w:val="24"/>
        </w:rPr>
      </w:pPr>
      <w:r>
        <w:rPr>
          <w:sz w:val="24"/>
          <w:szCs w:val="24"/>
        </w:rPr>
        <w:tab/>
        <w:t xml:space="preserve">For </w:t>
      </w:r>
      <w:r w:rsidR="003A1233">
        <w:rPr>
          <w:sz w:val="24"/>
          <w:szCs w:val="24"/>
        </w:rPr>
        <w:t xml:space="preserve">the </w:t>
      </w:r>
      <w:r>
        <w:rPr>
          <w:sz w:val="24"/>
          <w:szCs w:val="24"/>
        </w:rPr>
        <w:t xml:space="preserve">foregoing reasons, and those provided in its Motion to Compel, OCC respectfully requests </w:t>
      </w:r>
      <w:r w:rsidRPr="00EB0111">
        <w:rPr>
          <w:rFonts w:eastAsia="Times New Roman"/>
          <w:sz w:val="24"/>
          <w:szCs w:val="24"/>
        </w:rPr>
        <w:t xml:space="preserve">that the </w:t>
      </w:r>
      <w:r>
        <w:rPr>
          <w:rFonts w:eastAsia="Times New Roman"/>
          <w:sz w:val="24"/>
          <w:szCs w:val="24"/>
        </w:rPr>
        <w:t xml:space="preserve">PUCO </w:t>
      </w:r>
      <w:r w:rsidRPr="00EB0111">
        <w:rPr>
          <w:rFonts w:eastAsia="Times New Roman"/>
          <w:sz w:val="24"/>
          <w:szCs w:val="24"/>
        </w:rPr>
        <w:t xml:space="preserve">grant </w:t>
      </w:r>
      <w:r w:rsidR="003A1233">
        <w:rPr>
          <w:rFonts w:eastAsia="Times New Roman"/>
          <w:sz w:val="24"/>
          <w:szCs w:val="24"/>
        </w:rPr>
        <w:t xml:space="preserve">its </w:t>
      </w:r>
      <w:r w:rsidRPr="00EB0111">
        <w:rPr>
          <w:rFonts w:eastAsia="Times New Roman"/>
          <w:sz w:val="24"/>
          <w:szCs w:val="24"/>
        </w:rPr>
        <w:t xml:space="preserve">Motion to Compel and order </w:t>
      </w:r>
      <w:r>
        <w:rPr>
          <w:rFonts w:eastAsia="Times New Roman"/>
          <w:sz w:val="24"/>
          <w:szCs w:val="24"/>
        </w:rPr>
        <w:t xml:space="preserve">AEP Ohio to respond fully to OCC-INT-4-010, within 10 days of the issuance of the entry granting this motion.  </w:t>
      </w:r>
      <w:r w:rsidRPr="00EB0111">
        <w:rPr>
          <w:rFonts w:eastAsia="Times New Roman"/>
          <w:sz w:val="24"/>
          <w:szCs w:val="24"/>
        </w:rPr>
        <w:t xml:space="preserve">    </w:t>
      </w:r>
    </w:p>
    <w:p w:rsidR="004A5F2D" w:rsidRDefault="005242D9" w:rsidP="00644C7B">
      <w:pPr>
        <w:ind w:left="4320"/>
        <w:rPr>
          <w:rFonts w:eastAsia="Times New Roman"/>
          <w:color w:val="000000"/>
          <w:spacing w:val="-1"/>
          <w:sz w:val="24"/>
          <w:szCs w:val="24"/>
        </w:rPr>
      </w:pPr>
      <w:r w:rsidRPr="00EB0111">
        <w:rPr>
          <w:rFonts w:eastAsia="Times New Roman"/>
          <w:color w:val="000000"/>
          <w:spacing w:val="-1"/>
          <w:sz w:val="24"/>
          <w:szCs w:val="24"/>
        </w:rPr>
        <w:t>Respectfully submitted,</w:t>
      </w:r>
    </w:p>
    <w:p w:rsidR="004A5F2D" w:rsidRDefault="002F13FB" w:rsidP="00644C7B">
      <w:pPr>
        <w:ind w:left="4320"/>
        <w:rPr>
          <w:rFonts w:eastAsia="Times New Roman"/>
          <w:color w:val="000000"/>
          <w:spacing w:val="-1"/>
          <w:sz w:val="24"/>
          <w:szCs w:val="24"/>
        </w:rPr>
      </w:pPr>
    </w:p>
    <w:p w:rsidR="004A5F2D" w:rsidRPr="002E38DE" w:rsidRDefault="005242D9" w:rsidP="00644C7B">
      <w:pPr>
        <w:ind w:left="4320"/>
        <w:textAlignment w:val="baseline"/>
        <w:rPr>
          <w:rFonts w:eastAsia="Times New Roman"/>
          <w:spacing w:val="-1"/>
          <w:sz w:val="24"/>
          <w:szCs w:val="24"/>
        </w:rPr>
      </w:pPr>
      <w:r w:rsidRPr="002E38DE">
        <w:rPr>
          <w:rFonts w:eastAsia="Times New Roman"/>
          <w:spacing w:val="-1"/>
          <w:sz w:val="24"/>
          <w:szCs w:val="24"/>
        </w:rPr>
        <w:t>BRUCE J. WESTON</w:t>
      </w:r>
    </w:p>
    <w:p w:rsidR="004A5F2D" w:rsidRPr="002E38DE" w:rsidRDefault="005242D9" w:rsidP="00644C7B">
      <w:pPr>
        <w:spacing w:line="273" w:lineRule="exact"/>
        <w:ind w:left="4320"/>
        <w:textAlignment w:val="baseline"/>
        <w:rPr>
          <w:rFonts w:eastAsia="Times New Roman"/>
          <w:sz w:val="24"/>
          <w:szCs w:val="24"/>
        </w:rPr>
      </w:pPr>
      <w:r w:rsidRPr="002E38DE">
        <w:rPr>
          <w:rFonts w:eastAsia="Times New Roman"/>
          <w:sz w:val="24"/>
          <w:szCs w:val="24"/>
        </w:rPr>
        <w:t>OHIO CONSUMERS' COUNSEL</w:t>
      </w:r>
    </w:p>
    <w:p w:rsidR="004A5F2D" w:rsidRPr="002E38DE" w:rsidRDefault="002F13FB" w:rsidP="00644C7B">
      <w:pPr>
        <w:ind w:left="4320"/>
        <w:textAlignment w:val="baseline"/>
        <w:rPr>
          <w:rFonts w:eastAsia="Times New Roman"/>
          <w:spacing w:val="-1"/>
          <w:sz w:val="24"/>
          <w:szCs w:val="24"/>
        </w:rPr>
      </w:pPr>
    </w:p>
    <w:p w:rsidR="004A5F2D" w:rsidRPr="002E38DE" w:rsidRDefault="005242D9" w:rsidP="00644C7B">
      <w:pPr>
        <w:ind w:left="4320"/>
        <w:textAlignment w:val="baseline"/>
        <w:rPr>
          <w:rFonts w:eastAsia="Times New Roman"/>
          <w:spacing w:val="-1"/>
          <w:sz w:val="24"/>
          <w:szCs w:val="24"/>
        </w:rPr>
      </w:pPr>
      <w:r w:rsidRPr="002E38DE">
        <w:rPr>
          <w:rFonts w:eastAsia="Times New Roman"/>
          <w:i/>
          <w:spacing w:val="-1"/>
          <w:sz w:val="24"/>
          <w:szCs w:val="24"/>
          <w:u w:val="single"/>
        </w:rPr>
        <w:t xml:space="preserve">/s/ Maureen R. Grady </w:t>
      </w:r>
      <w:r w:rsidRPr="002E38DE">
        <w:rPr>
          <w:rFonts w:eastAsia="Times New Roman"/>
          <w:spacing w:val="-1"/>
          <w:sz w:val="24"/>
          <w:szCs w:val="24"/>
        </w:rPr>
        <w:t>________</w:t>
      </w:r>
    </w:p>
    <w:p w:rsidR="00644C7B" w:rsidRPr="002E38DE" w:rsidRDefault="005242D9" w:rsidP="00644C7B">
      <w:pPr>
        <w:spacing w:line="276" w:lineRule="exact"/>
        <w:ind w:left="4320" w:right="648"/>
        <w:textAlignment w:val="baseline"/>
        <w:rPr>
          <w:rFonts w:eastAsia="Times New Roman"/>
          <w:spacing w:val="-2"/>
          <w:sz w:val="24"/>
          <w:szCs w:val="24"/>
        </w:rPr>
      </w:pPr>
      <w:r w:rsidRPr="002E38DE">
        <w:rPr>
          <w:rFonts w:eastAsia="Times New Roman"/>
          <w:spacing w:val="-2"/>
          <w:sz w:val="24"/>
          <w:szCs w:val="24"/>
        </w:rPr>
        <w:t xml:space="preserve">Maureen R. Grady </w:t>
      </w:r>
      <w:r w:rsidR="00644C7B" w:rsidRPr="002E38DE">
        <w:rPr>
          <w:rFonts w:eastAsia="Times New Roman"/>
          <w:spacing w:val="-2"/>
          <w:sz w:val="24"/>
          <w:szCs w:val="24"/>
        </w:rPr>
        <w:t>(</w:t>
      </w:r>
      <w:r w:rsidR="00644C7B" w:rsidRPr="002E38DE">
        <w:rPr>
          <w:rFonts w:eastAsia="Times New Roman"/>
          <w:sz w:val="24"/>
          <w:szCs w:val="24"/>
        </w:rPr>
        <w:t>0020847</w:t>
      </w:r>
      <w:r w:rsidR="00644C7B" w:rsidRPr="002E38DE">
        <w:rPr>
          <w:rFonts w:eastAsia="Times New Roman"/>
          <w:spacing w:val="-2"/>
          <w:sz w:val="24"/>
          <w:szCs w:val="24"/>
        </w:rPr>
        <w:t>)</w:t>
      </w:r>
    </w:p>
    <w:p w:rsidR="004A5F2D" w:rsidRPr="002E38DE" w:rsidRDefault="005242D9" w:rsidP="00644C7B">
      <w:pPr>
        <w:spacing w:line="276" w:lineRule="exact"/>
        <w:ind w:left="4320" w:right="648"/>
        <w:textAlignment w:val="baseline"/>
        <w:rPr>
          <w:rFonts w:eastAsia="Times New Roman"/>
          <w:spacing w:val="-2"/>
          <w:sz w:val="24"/>
          <w:szCs w:val="24"/>
        </w:rPr>
      </w:pPr>
      <w:r w:rsidRPr="002E38DE">
        <w:rPr>
          <w:rFonts w:eastAsia="Times New Roman"/>
          <w:spacing w:val="-2"/>
          <w:sz w:val="24"/>
          <w:szCs w:val="24"/>
        </w:rPr>
        <w:t>Counsel of Record</w:t>
      </w:r>
    </w:p>
    <w:p w:rsidR="004A5F2D" w:rsidRPr="002E38DE" w:rsidRDefault="005242D9" w:rsidP="00644C7B">
      <w:pPr>
        <w:ind w:left="4320"/>
        <w:textAlignment w:val="baseline"/>
        <w:rPr>
          <w:rFonts w:eastAsia="Times New Roman"/>
          <w:spacing w:val="-1"/>
          <w:sz w:val="24"/>
          <w:szCs w:val="24"/>
        </w:rPr>
      </w:pPr>
      <w:r w:rsidRPr="002E38DE">
        <w:rPr>
          <w:rFonts w:eastAsia="Times New Roman"/>
          <w:sz w:val="24"/>
          <w:szCs w:val="24"/>
        </w:rPr>
        <w:t>Assistant Consumers' Counsel</w:t>
      </w:r>
    </w:p>
    <w:p w:rsidR="004A5F2D" w:rsidRDefault="002F13FB" w:rsidP="00644C7B">
      <w:pPr>
        <w:ind w:left="4320"/>
        <w:rPr>
          <w:rFonts w:eastAsia="Times New Roman"/>
          <w:b/>
          <w:spacing w:val="-2"/>
          <w:sz w:val="24"/>
          <w:szCs w:val="24"/>
        </w:rPr>
      </w:pPr>
    </w:p>
    <w:p w:rsidR="004A5F2D" w:rsidRPr="002E38DE" w:rsidRDefault="005242D9" w:rsidP="00644C7B">
      <w:pPr>
        <w:spacing w:line="273" w:lineRule="exact"/>
        <w:ind w:left="4320" w:right="72"/>
        <w:textAlignment w:val="baseline"/>
        <w:rPr>
          <w:rFonts w:eastAsia="Times New Roman"/>
          <w:b/>
          <w:spacing w:val="-2"/>
          <w:sz w:val="24"/>
          <w:szCs w:val="24"/>
        </w:rPr>
      </w:pPr>
      <w:r w:rsidRPr="002E38DE">
        <w:rPr>
          <w:rFonts w:eastAsia="Times New Roman"/>
          <w:b/>
          <w:spacing w:val="-2"/>
          <w:sz w:val="24"/>
          <w:szCs w:val="24"/>
        </w:rPr>
        <w:t xml:space="preserve">Office of the Ohio Consumers' Counsel </w:t>
      </w:r>
    </w:p>
    <w:p w:rsidR="004A5F2D" w:rsidRPr="002E38DE" w:rsidRDefault="005242D9" w:rsidP="00644C7B">
      <w:pPr>
        <w:spacing w:line="273" w:lineRule="exact"/>
        <w:ind w:left="4320" w:right="360"/>
        <w:textAlignment w:val="baseline"/>
        <w:rPr>
          <w:rFonts w:eastAsia="Times New Roman"/>
          <w:b/>
          <w:spacing w:val="-2"/>
          <w:sz w:val="24"/>
          <w:szCs w:val="24"/>
        </w:rPr>
      </w:pPr>
      <w:r w:rsidRPr="002E38DE">
        <w:rPr>
          <w:rFonts w:eastAsia="Times New Roman"/>
          <w:spacing w:val="-2"/>
          <w:sz w:val="24"/>
          <w:szCs w:val="24"/>
        </w:rPr>
        <w:t>10 West Broad Street, Suite 1800</w:t>
      </w:r>
    </w:p>
    <w:p w:rsidR="004A5F2D" w:rsidRPr="002E38DE" w:rsidRDefault="005242D9" w:rsidP="00644C7B">
      <w:pPr>
        <w:spacing w:line="276" w:lineRule="exact"/>
        <w:ind w:left="4320"/>
        <w:textAlignment w:val="baseline"/>
        <w:rPr>
          <w:rFonts w:eastAsia="Times New Roman"/>
          <w:sz w:val="24"/>
          <w:szCs w:val="24"/>
        </w:rPr>
      </w:pPr>
      <w:r w:rsidRPr="002E38DE">
        <w:rPr>
          <w:rFonts w:eastAsia="Times New Roman"/>
          <w:sz w:val="24"/>
          <w:szCs w:val="24"/>
        </w:rPr>
        <w:t>Columbus, Ohio 43215-3485</w:t>
      </w:r>
    </w:p>
    <w:p w:rsidR="004A5F2D" w:rsidRPr="002E38DE" w:rsidRDefault="005242D9" w:rsidP="00644C7B">
      <w:pPr>
        <w:ind w:left="4320"/>
        <w:textAlignment w:val="baseline"/>
        <w:rPr>
          <w:rFonts w:eastAsia="Times New Roman"/>
          <w:sz w:val="24"/>
          <w:szCs w:val="24"/>
        </w:rPr>
      </w:pPr>
      <w:r w:rsidRPr="002E38DE">
        <w:rPr>
          <w:rFonts w:eastAsia="Times New Roman"/>
          <w:sz w:val="24"/>
          <w:szCs w:val="24"/>
        </w:rPr>
        <w:t xml:space="preserve">Telephone:  (614) 466-9567 </w:t>
      </w:r>
    </w:p>
    <w:p w:rsidR="004A5F2D" w:rsidRPr="002E38DE" w:rsidRDefault="005242D9" w:rsidP="00644C7B">
      <w:pPr>
        <w:ind w:left="4320"/>
        <w:textAlignment w:val="baseline"/>
        <w:rPr>
          <w:rFonts w:eastAsia="Times New Roman"/>
          <w:sz w:val="24"/>
          <w:szCs w:val="24"/>
        </w:rPr>
      </w:pPr>
      <w:r w:rsidRPr="002E38DE">
        <w:rPr>
          <w:rFonts w:eastAsia="Times New Roman"/>
          <w:sz w:val="24"/>
          <w:szCs w:val="24"/>
        </w:rPr>
        <w:t xml:space="preserve">Facsimile:  (614) 466-9475 </w:t>
      </w:r>
    </w:p>
    <w:p w:rsidR="004A5F2D" w:rsidRPr="002E38DE" w:rsidRDefault="005242D9" w:rsidP="00644C7B">
      <w:pPr>
        <w:ind w:left="4320"/>
        <w:textAlignment w:val="baseline"/>
        <w:rPr>
          <w:rFonts w:eastAsia="Times New Roman"/>
          <w:sz w:val="24"/>
          <w:szCs w:val="24"/>
        </w:rPr>
      </w:pPr>
      <w:r w:rsidRPr="002E38DE">
        <w:rPr>
          <w:rStyle w:val="Hyperlink"/>
          <w:rFonts w:eastAsia="Times New Roman"/>
          <w:sz w:val="24"/>
          <w:szCs w:val="24"/>
        </w:rPr>
        <w:t>Maureen.grady@occ.ohio.gov</w:t>
      </w:r>
    </w:p>
    <w:p w:rsidR="004A5F2D" w:rsidRPr="003A3320" w:rsidRDefault="005242D9" w:rsidP="00644C7B">
      <w:pPr>
        <w:ind w:left="4320"/>
        <w:rPr>
          <w:sz w:val="24"/>
          <w:szCs w:val="24"/>
        </w:rPr>
      </w:pPr>
      <w:r w:rsidRPr="002E38DE">
        <w:rPr>
          <w:sz w:val="24"/>
          <w:szCs w:val="24"/>
        </w:rPr>
        <w:t>(willing to accept email service)</w:t>
      </w:r>
    </w:p>
    <w:p w:rsidR="004A5F2D" w:rsidRDefault="002F13FB" w:rsidP="00644C7B">
      <w:pPr>
        <w:ind w:left="4320"/>
        <w:textAlignment w:val="baseline"/>
        <w:rPr>
          <w:rStyle w:val="Hyperlink"/>
          <w:rFonts w:eastAsia="Times New Roman"/>
          <w:color w:val="auto"/>
          <w:sz w:val="24"/>
          <w:szCs w:val="24"/>
          <w:u w:val="none"/>
        </w:rPr>
      </w:pPr>
    </w:p>
    <w:p w:rsidR="004A5F2D" w:rsidRDefault="002F13FB" w:rsidP="00644C7B">
      <w:pPr>
        <w:ind w:left="4320"/>
        <w:textAlignment w:val="baseline"/>
        <w:rPr>
          <w:rStyle w:val="Hyperlink"/>
          <w:rFonts w:eastAsia="Times New Roman"/>
          <w:color w:val="auto"/>
          <w:sz w:val="24"/>
          <w:szCs w:val="24"/>
          <w:u w:val="none"/>
        </w:rPr>
      </w:pPr>
    </w:p>
    <w:p w:rsidR="004A5F2D" w:rsidRPr="003A3320" w:rsidRDefault="005242D9" w:rsidP="00644C7B">
      <w:pPr>
        <w:ind w:left="4320"/>
        <w:rPr>
          <w:sz w:val="24"/>
          <w:szCs w:val="24"/>
        </w:rPr>
      </w:pPr>
      <w:r w:rsidRPr="003A3320">
        <w:rPr>
          <w:sz w:val="24"/>
          <w:szCs w:val="24"/>
        </w:rPr>
        <w:t>Dane Stinson (0019101)</w:t>
      </w:r>
    </w:p>
    <w:p w:rsidR="004A5F2D" w:rsidRPr="003A3320" w:rsidRDefault="005242D9" w:rsidP="00644C7B">
      <w:pPr>
        <w:ind w:left="4320"/>
        <w:rPr>
          <w:sz w:val="24"/>
          <w:szCs w:val="24"/>
        </w:rPr>
      </w:pPr>
      <w:r w:rsidRPr="003A3320">
        <w:rPr>
          <w:sz w:val="24"/>
          <w:szCs w:val="24"/>
        </w:rPr>
        <w:t>Bricker and Eckler LLP</w:t>
      </w:r>
    </w:p>
    <w:p w:rsidR="004A5F2D" w:rsidRPr="003A3320" w:rsidRDefault="005242D9" w:rsidP="00644C7B">
      <w:pPr>
        <w:ind w:left="4320"/>
        <w:rPr>
          <w:sz w:val="24"/>
          <w:szCs w:val="24"/>
        </w:rPr>
      </w:pPr>
      <w:r w:rsidRPr="003A3320">
        <w:rPr>
          <w:sz w:val="24"/>
          <w:szCs w:val="24"/>
        </w:rPr>
        <w:t>100 South Third Street</w:t>
      </w:r>
    </w:p>
    <w:p w:rsidR="004A5F2D" w:rsidRPr="003A3320" w:rsidRDefault="005242D9" w:rsidP="00644C7B">
      <w:pPr>
        <w:ind w:left="4320"/>
        <w:rPr>
          <w:sz w:val="24"/>
          <w:szCs w:val="24"/>
        </w:rPr>
      </w:pPr>
      <w:r w:rsidRPr="003A3320">
        <w:rPr>
          <w:sz w:val="24"/>
          <w:szCs w:val="24"/>
        </w:rPr>
        <w:t>Columbus, Ohio 43215</w:t>
      </w:r>
    </w:p>
    <w:p w:rsidR="004A5F2D" w:rsidRPr="003A3320" w:rsidRDefault="005242D9" w:rsidP="00644C7B">
      <w:pPr>
        <w:ind w:left="4320"/>
        <w:rPr>
          <w:sz w:val="24"/>
          <w:szCs w:val="24"/>
        </w:rPr>
      </w:pPr>
      <w:r w:rsidRPr="003A3320">
        <w:rPr>
          <w:sz w:val="24"/>
          <w:szCs w:val="24"/>
        </w:rPr>
        <w:t>Telephone: (614) 227-4854</w:t>
      </w:r>
    </w:p>
    <w:p w:rsidR="004A5F2D" w:rsidRPr="003A3320" w:rsidRDefault="005242D9" w:rsidP="00644C7B">
      <w:pPr>
        <w:ind w:left="4320"/>
        <w:rPr>
          <w:sz w:val="24"/>
          <w:szCs w:val="24"/>
        </w:rPr>
      </w:pPr>
      <w:r w:rsidRPr="003A3320">
        <w:rPr>
          <w:rStyle w:val="Hyperlink"/>
          <w:sz w:val="24"/>
          <w:szCs w:val="24"/>
        </w:rPr>
        <w:t>DStinson@bricker.com</w:t>
      </w:r>
    </w:p>
    <w:p w:rsidR="004A5F2D" w:rsidRPr="003A3320" w:rsidRDefault="005242D9" w:rsidP="00644C7B">
      <w:pPr>
        <w:ind w:left="4320"/>
        <w:rPr>
          <w:sz w:val="24"/>
          <w:szCs w:val="24"/>
        </w:rPr>
      </w:pPr>
      <w:r w:rsidRPr="003A3320">
        <w:rPr>
          <w:sz w:val="24"/>
          <w:szCs w:val="24"/>
        </w:rPr>
        <w:t>(willing to accept email service)</w:t>
      </w:r>
    </w:p>
    <w:p w:rsidR="004A5F2D" w:rsidRPr="003A3320" w:rsidRDefault="005242D9" w:rsidP="00644C7B">
      <w:pPr>
        <w:spacing w:before="120"/>
        <w:ind w:left="4320"/>
        <w:rPr>
          <w:sz w:val="24"/>
          <w:szCs w:val="24"/>
        </w:rPr>
      </w:pPr>
      <w:r w:rsidRPr="003A3320">
        <w:rPr>
          <w:sz w:val="24"/>
          <w:szCs w:val="24"/>
        </w:rPr>
        <w:t>Outside Counsel for the</w:t>
      </w:r>
    </w:p>
    <w:p w:rsidR="004A5F2D" w:rsidRPr="00EB0111" w:rsidRDefault="005242D9" w:rsidP="00644C7B">
      <w:pPr>
        <w:ind w:left="4320"/>
        <w:rPr>
          <w:rFonts w:eastAsia="Times New Roman"/>
          <w:sz w:val="24"/>
          <w:szCs w:val="24"/>
        </w:rPr>
      </w:pPr>
      <w:r w:rsidRPr="003A3320">
        <w:rPr>
          <w:sz w:val="24"/>
          <w:szCs w:val="24"/>
        </w:rPr>
        <w:t xml:space="preserve">Office of the Ohio Consumers’ </w:t>
      </w:r>
      <w:r w:rsidR="00644C7B">
        <w:rPr>
          <w:sz w:val="24"/>
          <w:szCs w:val="24"/>
        </w:rPr>
        <w:t>C</w:t>
      </w:r>
      <w:r w:rsidRPr="003A3320">
        <w:rPr>
          <w:sz w:val="24"/>
          <w:szCs w:val="24"/>
        </w:rPr>
        <w:t>ounsel</w:t>
      </w:r>
    </w:p>
    <w:p w:rsidR="004A5F2D" w:rsidRDefault="005242D9">
      <w:pPr>
        <w:rPr>
          <w:b/>
          <w:sz w:val="24"/>
          <w:szCs w:val="24"/>
          <w:u w:val="single"/>
        </w:rPr>
      </w:pPr>
      <w:r>
        <w:rPr>
          <w:b/>
          <w:sz w:val="24"/>
          <w:szCs w:val="24"/>
          <w:u w:val="single"/>
        </w:rPr>
        <w:br w:type="page"/>
      </w:r>
    </w:p>
    <w:p w:rsidR="004A5F2D" w:rsidRPr="00EB0111" w:rsidRDefault="005242D9" w:rsidP="004A5F2D">
      <w:pPr>
        <w:jc w:val="center"/>
        <w:rPr>
          <w:b/>
          <w:sz w:val="24"/>
          <w:szCs w:val="24"/>
          <w:u w:val="single"/>
        </w:rPr>
      </w:pPr>
      <w:r>
        <w:rPr>
          <w:b/>
          <w:sz w:val="24"/>
          <w:szCs w:val="24"/>
          <w:u w:val="single"/>
        </w:rPr>
        <w:t>C</w:t>
      </w:r>
      <w:r w:rsidRPr="00EB0111">
        <w:rPr>
          <w:b/>
          <w:sz w:val="24"/>
          <w:szCs w:val="24"/>
          <w:u w:val="single"/>
        </w:rPr>
        <w:t>ERTIFICATE OF SERVICE</w:t>
      </w:r>
    </w:p>
    <w:p w:rsidR="004A5F2D" w:rsidRPr="00EB0111" w:rsidRDefault="002F13FB" w:rsidP="004A5F2D">
      <w:pPr>
        <w:jc w:val="center"/>
        <w:rPr>
          <w:b/>
          <w:sz w:val="24"/>
          <w:szCs w:val="24"/>
          <w:u w:val="single"/>
        </w:rPr>
      </w:pPr>
    </w:p>
    <w:p w:rsidR="004A5F2D" w:rsidRPr="00EB0111" w:rsidRDefault="005242D9" w:rsidP="004A5F2D">
      <w:pPr>
        <w:spacing w:line="480" w:lineRule="atLeast"/>
        <w:ind w:firstLine="720"/>
        <w:rPr>
          <w:rFonts w:eastAsia="Times New Roman"/>
          <w:sz w:val="24"/>
          <w:szCs w:val="24"/>
        </w:rPr>
      </w:pPr>
      <w:r w:rsidRPr="00EB0111">
        <w:rPr>
          <w:rFonts w:eastAsia="Times New Roman"/>
          <w:sz w:val="24"/>
          <w:szCs w:val="24"/>
        </w:rPr>
        <w:t xml:space="preserve">I hereby certify that a copy of this </w:t>
      </w:r>
      <w:r w:rsidR="0046296D">
        <w:rPr>
          <w:rFonts w:eastAsia="Times New Roman"/>
          <w:sz w:val="24"/>
          <w:szCs w:val="24"/>
        </w:rPr>
        <w:t xml:space="preserve">Reply </w:t>
      </w:r>
      <w:r w:rsidRPr="00EB0111">
        <w:rPr>
          <w:rFonts w:eastAsia="Times New Roman"/>
          <w:sz w:val="24"/>
          <w:szCs w:val="24"/>
        </w:rPr>
        <w:t>was served on the persons stated below</w:t>
      </w:r>
      <w:r w:rsidRPr="00D72D73">
        <w:rPr>
          <w:rFonts w:eastAsia="Times New Roman"/>
          <w:sz w:val="24"/>
          <w:szCs w:val="24"/>
        </w:rPr>
        <w:t xml:space="preserve"> via</w:t>
      </w:r>
      <w:r w:rsidRPr="00EB0111">
        <w:rPr>
          <w:rFonts w:eastAsia="Times New Roman"/>
          <w:sz w:val="24"/>
          <w:szCs w:val="24"/>
        </w:rPr>
        <w:t xml:space="preserve"> electronic transmission, this </w:t>
      </w:r>
      <w:r w:rsidR="00483A1B">
        <w:rPr>
          <w:rFonts w:eastAsia="Times New Roman"/>
          <w:sz w:val="24"/>
          <w:szCs w:val="24"/>
        </w:rPr>
        <w:t>7</w:t>
      </w:r>
      <w:r w:rsidR="00644C7B">
        <w:rPr>
          <w:rFonts w:eastAsia="Times New Roman"/>
          <w:sz w:val="24"/>
          <w:szCs w:val="24"/>
        </w:rPr>
        <w:t>th</w:t>
      </w:r>
      <w:r w:rsidRPr="00EB0111">
        <w:rPr>
          <w:rFonts w:eastAsia="Times New Roman"/>
          <w:sz w:val="24"/>
          <w:szCs w:val="24"/>
        </w:rPr>
        <w:t xml:space="preserve"> day of</w:t>
      </w:r>
      <w:r>
        <w:rPr>
          <w:rFonts w:eastAsia="Times New Roman"/>
          <w:sz w:val="24"/>
          <w:szCs w:val="24"/>
        </w:rPr>
        <w:t xml:space="preserve"> </w:t>
      </w:r>
      <w:r w:rsidR="00644C7B">
        <w:rPr>
          <w:rFonts w:eastAsia="Times New Roman"/>
          <w:sz w:val="24"/>
          <w:szCs w:val="24"/>
        </w:rPr>
        <w:t>August, 2015.</w:t>
      </w:r>
    </w:p>
    <w:p w:rsidR="004A5F2D" w:rsidRPr="00EB0111" w:rsidRDefault="002F13FB" w:rsidP="004A5F2D">
      <w:pPr>
        <w:spacing w:line="480" w:lineRule="atLeast"/>
        <w:rPr>
          <w:rFonts w:eastAsia="Times New Roman"/>
          <w:sz w:val="24"/>
          <w:szCs w:val="24"/>
        </w:rPr>
      </w:pPr>
    </w:p>
    <w:p w:rsidR="004A5F2D" w:rsidRDefault="005242D9" w:rsidP="004A5F2D">
      <w:pPr>
        <w:tabs>
          <w:tab w:val="left" w:pos="4320"/>
        </w:tabs>
        <w:rPr>
          <w:rFonts w:eastAsia="Times New Roman"/>
          <w:sz w:val="24"/>
          <w:szCs w:val="24"/>
        </w:rPr>
      </w:pPr>
      <w:r w:rsidRPr="00EB0111">
        <w:rPr>
          <w:rFonts w:eastAsia="Times New Roman"/>
          <w:sz w:val="24"/>
          <w:szCs w:val="24"/>
        </w:rPr>
        <w:tab/>
      </w:r>
      <w:r w:rsidR="00644C7B">
        <w:rPr>
          <w:rFonts w:eastAsia="Times New Roman"/>
          <w:i/>
          <w:sz w:val="24"/>
          <w:szCs w:val="24"/>
          <w:u w:val="single"/>
        </w:rPr>
        <w:t>/s/ Maureen R. Grady</w:t>
      </w:r>
    </w:p>
    <w:p w:rsidR="00644C7B" w:rsidRDefault="00644C7B" w:rsidP="004A5F2D">
      <w:pPr>
        <w:tabs>
          <w:tab w:val="left" w:pos="4320"/>
        </w:tabs>
        <w:rPr>
          <w:rFonts w:eastAsia="Times New Roman"/>
          <w:sz w:val="24"/>
          <w:szCs w:val="24"/>
        </w:rPr>
      </w:pPr>
      <w:r>
        <w:rPr>
          <w:rFonts w:eastAsia="Times New Roman"/>
          <w:sz w:val="24"/>
          <w:szCs w:val="24"/>
        </w:rPr>
        <w:tab/>
        <w:t>Maureen R. Grady</w:t>
      </w:r>
    </w:p>
    <w:p w:rsidR="00644C7B" w:rsidRDefault="00644C7B" w:rsidP="004A5F2D">
      <w:pPr>
        <w:tabs>
          <w:tab w:val="left" w:pos="4320"/>
        </w:tabs>
        <w:rPr>
          <w:rFonts w:eastAsia="Times New Roman"/>
          <w:sz w:val="24"/>
          <w:szCs w:val="24"/>
        </w:rPr>
      </w:pPr>
      <w:r>
        <w:rPr>
          <w:rFonts w:eastAsia="Times New Roman"/>
          <w:sz w:val="24"/>
          <w:szCs w:val="24"/>
        </w:rPr>
        <w:tab/>
        <w:t>Assistant Consumers’ Counsel</w:t>
      </w:r>
    </w:p>
    <w:p w:rsidR="00644C7B" w:rsidRDefault="00644C7B" w:rsidP="004A5F2D">
      <w:pPr>
        <w:tabs>
          <w:tab w:val="left" w:pos="4320"/>
        </w:tabs>
        <w:rPr>
          <w:rFonts w:eastAsia="Times New Roman"/>
          <w:sz w:val="24"/>
          <w:szCs w:val="24"/>
        </w:rPr>
      </w:pPr>
    </w:p>
    <w:p w:rsidR="00D72D73" w:rsidRDefault="00D72D73" w:rsidP="00644C7B">
      <w:pPr>
        <w:tabs>
          <w:tab w:val="left" w:pos="4320"/>
        </w:tabs>
        <w:jc w:val="center"/>
        <w:rPr>
          <w:rFonts w:eastAsia="Times New Roman"/>
          <w:b/>
          <w:sz w:val="24"/>
          <w:szCs w:val="24"/>
        </w:rPr>
      </w:pPr>
    </w:p>
    <w:p w:rsidR="00D72D73" w:rsidRDefault="00D72D73" w:rsidP="00644C7B">
      <w:pPr>
        <w:tabs>
          <w:tab w:val="left" w:pos="4320"/>
        </w:tabs>
        <w:jc w:val="center"/>
        <w:rPr>
          <w:rFonts w:eastAsia="Times New Roman"/>
          <w:b/>
          <w:sz w:val="24"/>
          <w:szCs w:val="24"/>
        </w:rPr>
      </w:pPr>
    </w:p>
    <w:p w:rsidR="00D72D73" w:rsidRDefault="00D72D73" w:rsidP="00644C7B">
      <w:pPr>
        <w:tabs>
          <w:tab w:val="left" w:pos="4320"/>
        </w:tabs>
        <w:jc w:val="center"/>
        <w:rPr>
          <w:rFonts w:eastAsia="Times New Roman"/>
          <w:b/>
          <w:sz w:val="24"/>
          <w:szCs w:val="24"/>
        </w:rPr>
      </w:pPr>
    </w:p>
    <w:p w:rsidR="00644C7B" w:rsidRPr="00644C7B" w:rsidRDefault="00644C7B" w:rsidP="00644C7B">
      <w:pPr>
        <w:tabs>
          <w:tab w:val="left" w:pos="4320"/>
        </w:tabs>
        <w:jc w:val="center"/>
        <w:rPr>
          <w:rFonts w:eastAsia="Times New Roman"/>
          <w:b/>
          <w:sz w:val="24"/>
          <w:szCs w:val="24"/>
        </w:rPr>
      </w:pPr>
      <w:r w:rsidRPr="00644C7B">
        <w:rPr>
          <w:rFonts w:eastAsia="Times New Roman"/>
          <w:b/>
          <w:sz w:val="24"/>
          <w:szCs w:val="24"/>
        </w:rPr>
        <w:t>SERVICE LIST</w:t>
      </w:r>
    </w:p>
    <w:p w:rsidR="00644C7B" w:rsidRPr="00D72D73" w:rsidRDefault="00644C7B" w:rsidP="004A5F2D">
      <w:pPr>
        <w:tabs>
          <w:tab w:val="left" w:pos="4320"/>
        </w:tabs>
        <w:rPr>
          <w:rFonts w:eastAsia="Times New Roman"/>
          <w:sz w:val="24"/>
          <w:szCs w:val="24"/>
        </w:rPr>
      </w:pPr>
    </w:p>
    <w:p w:rsidR="00644C7B" w:rsidRPr="00D72D73" w:rsidRDefault="00644C7B" w:rsidP="00644C7B">
      <w:pPr>
        <w:pStyle w:val="CommentText"/>
        <w:jc w:val="center"/>
        <w:rPr>
          <w:b/>
          <w:sz w:val="24"/>
          <w:szCs w:val="24"/>
          <w:u w:val="single"/>
        </w:rPr>
      </w:pPr>
    </w:p>
    <w:tbl>
      <w:tblPr>
        <w:tblW w:w="0" w:type="auto"/>
        <w:tblLook w:val="04A0" w:firstRow="1" w:lastRow="0" w:firstColumn="1" w:lastColumn="0" w:noHBand="0" w:noVBand="1"/>
      </w:tblPr>
      <w:tblGrid>
        <w:gridCol w:w="4428"/>
        <w:gridCol w:w="4428"/>
      </w:tblGrid>
      <w:tr w:rsidR="00644C7B" w:rsidRPr="00D72D73" w:rsidTr="007C4CB4">
        <w:tc>
          <w:tcPr>
            <w:tcW w:w="4428" w:type="dxa"/>
            <w:shd w:val="clear" w:color="auto" w:fill="auto"/>
          </w:tcPr>
          <w:p w:rsidR="00644C7B" w:rsidRPr="00D72D73" w:rsidRDefault="002F13FB" w:rsidP="007C4CB4">
            <w:pPr>
              <w:pStyle w:val="CommentText"/>
              <w:rPr>
                <w:sz w:val="24"/>
                <w:szCs w:val="24"/>
              </w:rPr>
            </w:pPr>
            <w:hyperlink r:id="rId14" w:history="1">
              <w:r w:rsidR="00644C7B" w:rsidRPr="00D72D73">
                <w:rPr>
                  <w:rStyle w:val="Hyperlink"/>
                  <w:sz w:val="24"/>
                  <w:szCs w:val="24"/>
                </w:rPr>
                <w:t>Thomas.mcnamee@puc.state.oh.us</w:t>
              </w:r>
            </w:hyperlink>
          </w:p>
          <w:p w:rsidR="00644C7B" w:rsidRPr="00D72D73" w:rsidRDefault="002F13FB" w:rsidP="007C4CB4">
            <w:pPr>
              <w:pStyle w:val="CommentText"/>
              <w:rPr>
                <w:sz w:val="24"/>
                <w:szCs w:val="24"/>
              </w:rPr>
            </w:pPr>
            <w:hyperlink r:id="rId15" w:history="1">
              <w:r w:rsidR="00644C7B" w:rsidRPr="00D72D73">
                <w:rPr>
                  <w:rStyle w:val="Hyperlink"/>
                  <w:sz w:val="24"/>
                  <w:szCs w:val="24"/>
                </w:rPr>
                <w:t>Steven.beeler@puc.state.oh.us</w:t>
              </w:r>
            </w:hyperlink>
          </w:p>
          <w:p w:rsidR="00644C7B" w:rsidRPr="00D72D73" w:rsidRDefault="002F13FB" w:rsidP="007C4CB4">
            <w:pPr>
              <w:autoSpaceDE w:val="0"/>
              <w:autoSpaceDN w:val="0"/>
              <w:adjustRightInd w:val="0"/>
              <w:rPr>
                <w:sz w:val="24"/>
                <w:szCs w:val="24"/>
              </w:rPr>
            </w:pPr>
            <w:hyperlink r:id="rId16" w:history="1">
              <w:r w:rsidR="00644C7B" w:rsidRPr="00D72D73">
                <w:rPr>
                  <w:rStyle w:val="Hyperlink"/>
                  <w:sz w:val="24"/>
                  <w:szCs w:val="24"/>
                </w:rPr>
                <w:t>sam@mwncmh.com</w:t>
              </w:r>
            </w:hyperlink>
          </w:p>
          <w:p w:rsidR="00644C7B" w:rsidRPr="00D72D73" w:rsidRDefault="002F13FB" w:rsidP="007C4CB4">
            <w:pPr>
              <w:autoSpaceDE w:val="0"/>
              <w:autoSpaceDN w:val="0"/>
              <w:adjustRightInd w:val="0"/>
              <w:rPr>
                <w:sz w:val="24"/>
                <w:szCs w:val="24"/>
              </w:rPr>
            </w:pPr>
            <w:hyperlink r:id="rId17" w:history="1">
              <w:r w:rsidR="00644C7B" w:rsidRPr="00D72D73">
                <w:rPr>
                  <w:rStyle w:val="Hyperlink"/>
                  <w:sz w:val="24"/>
                  <w:szCs w:val="24"/>
                </w:rPr>
                <w:t>fdarr@mwncmh.com</w:t>
              </w:r>
            </w:hyperlink>
          </w:p>
          <w:p w:rsidR="00644C7B" w:rsidRPr="00D72D73" w:rsidRDefault="002F13FB" w:rsidP="007C4CB4">
            <w:pPr>
              <w:pStyle w:val="CommentText"/>
              <w:rPr>
                <w:sz w:val="24"/>
                <w:szCs w:val="24"/>
              </w:rPr>
            </w:pPr>
            <w:hyperlink r:id="rId18" w:history="1">
              <w:r w:rsidR="00644C7B" w:rsidRPr="00D72D73">
                <w:rPr>
                  <w:rStyle w:val="Hyperlink"/>
                  <w:sz w:val="24"/>
                  <w:szCs w:val="24"/>
                </w:rPr>
                <w:t>mpritchard@mwncmh.com</w:t>
              </w:r>
            </w:hyperlink>
          </w:p>
          <w:p w:rsidR="00644C7B" w:rsidRPr="00D72D73" w:rsidRDefault="002F13FB" w:rsidP="007C4CB4">
            <w:pPr>
              <w:pStyle w:val="CommentText"/>
              <w:rPr>
                <w:sz w:val="24"/>
                <w:szCs w:val="24"/>
              </w:rPr>
            </w:pPr>
            <w:hyperlink r:id="rId19" w:history="1">
              <w:r w:rsidR="00644C7B" w:rsidRPr="00D72D73">
                <w:rPr>
                  <w:rStyle w:val="Hyperlink"/>
                  <w:sz w:val="24"/>
                  <w:szCs w:val="24"/>
                </w:rPr>
                <w:t>mswhite@igsenergy.com</w:t>
              </w:r>
            </w:hyperlink>
          </w:p>
          <w:p w:rsidR="00644C7B" w:rsidRPr="00D72D73" w:rsidRDefault="002F13FB" w:rsidP="007C4CB4">
            <w:pPr>
              <w:autoSpaceDE w:val="0"/>
              <w:autoSpaceDN w:val="0"/>
              <w:adjustRightInd w:val="0"/>
              <w:rPr>
                <w:sz w:val="24"/>
                <w:szCs w:val="24"/>
              </w:rPr>
            </w:pPr>
            <w:hyperlink r:id="rId20" w:history="1">
              <w:r w:rsidR="00644C7B" w:rsidRPr="00D72D73">
                <w:rPr>
                  <w:rStyle w:val="Hyperlink"/>
                  <w:sz w:val="24"/>
                  <w:szCs w:val="24"/>
                </w:rPr>
                <w:t>emma.hand@snrdenton.com</w:t>
              </w:r>
            </w:hyperlink>
          </w:p>
          <w:p w:rsidR="00644C7B" w:rsidRPr="00D72D73" w:rsidRDefault="002F13FB" w:rsidP="007C4CB4">
            <w:pPr>
              <w:autoSpaceDE w:val="0"/>
              <w:autoSpaceDN w:val="0"/>
              <w:adjustRightInd w:val="0"/>
              <w:rPr>
                <w:sz w:val="24"/>
                <w:szCs w:val="24"/>
              </w:rPr>
            </w:pPr>
            <w:hyperlink r:id="rId21" w:history="1">
              <w:r w:rsidR="00644C7B" w:rsidRPr="00D72D73">
                <w:rPr>
                  <w:rStyle w:val="Hyperlink"/>
                  <w:sz w:val="24"/>
                  <w:szCs w:val="24"/>
                </w:rPr>
                <w:t>Arthur.beeman@snrdenton.com</w:t>
              </w:r>
            </w:hyperlink>
          </w:p>
          <w:p w:rsidR="00644C7B" w:rsidRPr="00D72D73" w:rsidRDefault="002F13FB" w:rsidP="007C4CB4">
            <w:pPr>
              <w:autoSpaceDE w:val="0"/>
              <w:autoSpaceDN w:val="0"/>
              <w:adjustRightInd w:val="0"/>
              <w:rPr>
                <w:sz w:val="24"/>
                <w:szCs w:val="24"/>
              </w:rPr>
            </w:pPr>
            <w:hyperlink r:id="rId22" w:history="1">
              <w:r w:rsidR="00644C7B" w:rsidRPr="00D72D73">
                <w:rPr>
                  <w:rStyle w:val="Hyperlink"/>
                  <w:sz w:val="24"/>
                  <w:szCs w:val="24"/>
                </w:rPr>
                <w:t>Bojko@carpenterlipps.com</w:t>
              </w:r>
            </w:hyperlink>
          </w:p>
          <w:p w:rsidR="00644C7B" w:rsidRPr="00D72D73" w:rsidRDefault="002F13FB" w:rsidP="007C4CB4">
            <w:pPr>
              <w:autoSpaceDE w:val="0"/>
              <w:autoSpaceDN w:val="0"/>
              <w:adjustRightInd w:val="0"/>
              <w:rPr>
                <w:sz w:val="24"/>
                <w:szCs w:val="24"/>
              </w:rPr>
            </w:pPr>
            <w:hyperlink r:id="rId23" w:history="1">
              <w:r w:rsidR="00644C7B" w:rsidRPr="00D72D73">
                <w:rPr>
                  <w:rStyle w:val="Hyperlink"/>
                  <w:sz w:val="24"/>
                  <w:szCs w:val="24"/>
                </w:rPr>
                <w:t>hussey@carpenterlipps.com</w:t>
              </w:r>
            </w:hyperlink>
          </w:p>
          <w:p w:rsidR="00644C7B" w:rsidRPr="00D72D73" w:rsidRDefault="00644C7B" w:rsidP="007C4CB4">
            <w:pPr>
              <w:autoSpaceDE w:val="0"/>
              <w:autoSpaceDN w:val="0"/>
              <w:adjustRightInd w:val="0"/>
              <w:rPr>
                <w:sz w:val="24"/>
                <w:szCs w:val="24"/>
              </w:rPr>
            </w:pPr>
          </w:p>
          <w:p w:rsidR="00644C7B" w:rsidRPr="00D72D73" w:rsidRDefault="00644C7B" w:rsidP="007C4CB4">
            <w:pPr>
              <w:pStyle w:val="CommentText"/>
              <w:rPr>
                <w:sz w:val="24"/>
                <w:szCs w:val="24"/>
              </w:rPr>
            </w:pPr>
          </w:p>
        </w:tc>
        <w:tc>
          <w:tcPr>
            <w:tcW w:w="4428" w:type="dxa"/>
            <w:shd w:val="clear" w:color="auto" w:fill="auto"/>
          </w:tcPr>
          <w:p w:rsidR="00644C7B" w:rsidRPr="00D72D73" w:rsidRDefault="002F13FB" w:rsidP="007C4CB4">
            <w:pPr>
              <w:pStyle w:val="CommentText"/>
              <w:rPr>
                <w:sz w:val="24"/>
                <w:szCs w:val="24"/>
              </w:rPr>
            </w:pPr>
            <w:hyperlink r:id="rId24" w:history="1">
              <w:r w:rsidR="00644C7B" w:rsidRPr="00D72D73">
                <w:rPr>
                  <w:rStyle w:val="Hyperlink"/>
                  <w:sz w:val="24"/>
                  <w:szCs w:val="24"/>
                </w:rPr>
                <w:t>stnourse@aep.com</w:t>
              </w:r>
            </w:hyperlink>
          </w:p>
          <w:p w:rsidR="00644C7B" w:rsidRPr="00D72D73" w:rsidRDefault="002F13FB" w:rsidP="007C4CB4">
            <w:pPr>
              <w:pStyle w:val="CommentText"/>
              <w:rPr>
                <w:sz w:val="24"/>
                <w:szCs w:val="24"/>
              </w:rPr>
            </w:pPr>
            <w:hyperlink r:id="rId25" w:history="1">
              <w:r w:rsidR="00644C7B" w:rsidRPr="00D72D73">
                <w:rPr>
                  <w:rStyle w:val="Hyperlink"/>
                  <w:sz w:val="24"/>
                  <w:szCs w:val="24"/>
                </w:rPr>
                <w:t>mjsatterwhite@aep.com</w:t>
              </w:r>
            </w:hyperlink>
          </w:p>
          <w:p w:rsidR="00644C7B" w:rsidRPr="00D72D73" w:rsidRDefault="002F13FB" w:rsidP="007C4CB4">
            <w:pPr>
              <w:pStyle w:val="CommentText"/>
              <w:rPr>
                <w:sz w:val="24"/>
                <w:szCs w:val="24"/>
              </w:rPr>
            </w:pPr>
            <w:hyperlink r:id="rId26" w:history="1">
              <w:r w:rsidR="00644C7B" w:rsidRPr="00D72D73">
                <w:rPr>
                  <w:rStyle w:val="Hyperlink"/>
                  <w:sz w:val="24"/>
                  <w:szCs w:val="24"/>
                </w:rPr>
                <w:t>yalami@aep.com</w:t>
              </w:r>
            </w:hyperlink>
          </w:p>
          <w:p w:rsidR="00644C7B" w:rsidRPr="00D72D73" w:rsidRDefault="002F13FB" w:rsidP="007C4CB4">
            <w:pPr>
              <w:pStyle w:val="CommentText"/>
              <w:rPr>
                <w:sz w:val="24"/>
                <w:szCs w:val="24"/>
              </w:rPr>
            </w:pPr>
            <w:hyperlink r:id="rId27" w:history="1">
              <w:r w:rsidR="00644C7B" w:rsidRPr="00D72D73">
                <w:rPr>
                  <w:rStyle w:val="Hyperlink"/>
                  <w:sz w:val="24"/>
                  <w:szCs w:val="24"/>
                </w:rPr>
                <w:t>dconway@porterwright.com</w:t>
              </w:r>
            </w:hyperlink>
          </w:p>
          <w:p w:rsidR="00644C7B" w:rsidRPr="00D72D73" w:rsidRDefault="002F13FB" w:rsidP="007C4CB4">
            <w:pPr>
              <w:autoSpaceDE w:val="0"/>
              <w:autoSpaceDN w:val="0"/>
              <w:adjustRightInd w:val="0"/>
              <w:rPr>
                <w:sz w:val="24"/>
                <w:szCs w:val="24"/>
              </w:rPr>
            </w:pPr>
            <w:hyperlink r:id="rId28" w:history="1">
              <w:r w:rsidR="00644C7B" w:rsidRPr="00D72D73">
                <w:rPr>
                  <w:rStyle w:val="Hyperlink"/>
                  <w:sz w:val="24"/>
                  <w:szCs w:val="24"/>
                </w:rPr>
                <w:t>mhpetricoff@vorys.com</w:t>
              </w:r>
            </w:hyperlink>
          </w:p>
          <w:p w:rsidR="00644C7B" w:rsidRPr="00D72D73" w:rsidRDefault="002F13FB" w:rsidP="007C4CB4">
            <w:pPr>
              <w:autoSpaceDE w:val="0"/>
              <w:autoSpaceDN w:val="0"/>
              <w:adjustRightInd w:val="0"/>
              <w:rPr>
                <w:sz w:val="24"/>
                <w:szCs w:val="24"/>
              </w:rPr>
            </w:pPr>
            <w:hyperlink r:id="rId29" w:history="1">
              <w:r w:rsidR="00644C7B" w:rsidRPr="00D72D73">
                <w:rPr>
                  <w:rStyle w:val="Hyperlink"/>
                  <w:sz w:val="24"/>
                  <w:szCs w:val="24"/>
                </w:rPr>
                <w:t>mjsettineri@vorys.com</w:t>
              </w:r>
            </w:hyperlink>
          </w:p>
          <w:p w:rsidR="00644C7B" w:rsidRPr="00D72D73" w:rsidRDefault="002F13FB" w:rsidP="007C4CB4">
            <w:pPr>
              <w:autoSpaceDE w:val="0"/>
              <w:autoSpaceDN w:val="0"/>
              <w:adjustRightInd w:val="0"/>
              <w:rPr>
                <w:sz w:val="24"/>
                <w:szCs w:val="24"/>
              </w:rPr>
            </w:pPr>
            <w:hyperlink r:id="rId30" w:history="1">
              <w:r w:rsidR="00644C7B" w:rsidRPr="00D72D73">
                <w:rPr>
                  <w:rStyle w:val="Hyperlink"/>
                  <w:sz w:val="24"/>
                  <w:szCs w:val="24"/>
                </w:rPr>
                <w:t>glpetrucci@vorys.com</w:t>
              </w:r>
            </w:hyperlink>
          </w:p>
          <w:p w:rsidR="00644C7B" w:rsidRPr="00D72D73" w:rsidRDefault="00644C7B" w:rsidP="007C4CB4">
            <w:pPr>
              <w:autoSpaceDE w:val="0"/>
              <w:autoSpaceDN w:val="0"/>
              <w:adjustRightInd w:val="0"/>
              <w:rPr>
                <w:sz w:val="24"/>
                <w:szCs w:val="24"/>
              </w:rPr>
            </w:pPr>
          </w:p>
          <w:p w:rsidR="00644C7B" w:rsidRPr="00D72D73" w:rsidRDefault="00644C7B" w:rsidP="007C4CB4">
            <w:pPr>
              <w:pStyle w:val="CommentText"/>
              <w:rPr>
                <w:sz w:val="24"/>
                <w:szCs w:val="24"/>
              </w:rPr>
            </w:pPr>
            <w:r w:rsidRPr="00D72D73">
              <w:rPr>
                <w:sz w:val="24"/>
                <w:szCs w:val="24"/>
              </w:rPr>
              <w:t>Attorney Examiners:</w:t>
            </w:r>
          </w:p>
          <w:p w:rsidR="00644C7B" w:rsidRPr="00D72D73" w:rsidRDefault="00644C7B" w:rsidP="007C4CB4">
            <w:pPr>
              <w:pStyle w:val="CommentText"/>
              <w:rPr>
                <w:sz w:val="24"/>
                <w:szCs w:val="24"/>
              </w:rPr>
            </w:pPr>
          </w:p>
          <w:p w:rsidR="00644C7B" w:rsidRPr="00D72D73" w:rsidRDefault="002F13FB" w:rsidP="007C4CB4">
            <w:pPr>
              <w:pStyle w:val="CommentText"/>
              <w:rPr>
                <w:sz w:val="24"/>
                <w:szCs w:val="24"/>
              </w:rPr>
            </w:pPr>
            <w:hyperlink r:id="rId31" w:history="1">
              <w:r w:rsidR="00644C7B" w:rsidRPr="00D72D73">
                <w:rPr>
                  <w:rStyle w:val="Hyperlink"/>
                  <w:sz w:val="24"/>
                  <w:szCs w:val="24"/>
                </w:rPr>
                <w:t>Sarah.parrot@puc.state.oh.us</w:t>
              </w:r>
            </w:hyperlink>
          </w:p>
          <w:p w:rsidR="00644C7B" w:rsidRPr="00D72D73" w:rsidRDefault="002F13FB" w:rsidP="007C4CB4">
            <w:pPr>
              <w:pStyle w:val="CommentText"/>
              <w:rPr>
                <w:sz w:val="24"/>
                <w:szCs w:val="24"/>
              </w:rPr>
            </w:pPr>
            <w:hyperlink r:id="rId32" w:history="1">
              <w:r w:rsidR="00644C7B" w:rsidRPr="00D72D73">
                <w:rPr>
                  <w:rStyle w:val="Hyperlink"/>
                  <w:sz w:val="24"/>
                  <w:szCs w:val="24"/>
                </w:rPr>
                <w:t>Greta.see@puc.state.oh.us</w:t>
              </w:r>
            </w:hyperlink>
          </w:p>
          <w:p w:rsidR="00644C7B" w:rsidRPr="00D72D73" w:rsidRDefault="00644C7B" w:rsidP="007C4CB4">
            <w:pPr>
              <w:pStyle w:val="CommentText"/>
              <w:rPr>
                <w:sz w:val="24"/>
                <w:szCs w:val="24"/>
              </w:rPr>
            </w:pPr>
          </w:p>
        </w:tc>
      </w:tr>
    </w:tbl>
    <w:p w:rsidR="00644C7B" w:rsidRPr="00644C7B" w:rsidRDefault="00644C7B" w:rsidP="004A5F2D">
      <w:pPr>
        <w:tabs>
          <w:tab w:val="left" w:pos="4320"/>
        </w:tabs>
        <w:rPr>
          <w:rFonts w:eastAsia="Times New Roman"/>
          <w:sz w:val="24"/>
          <w:szCs w:val="24"/>
        </w:rPr>
      </w:pPr>
    </w:p>
    <w:p w:rsidR="00132165" w:rsidRPr="0045139D" w:rsidRDefault="002F13FB" w:rsidP="004A5F2D">
      <w:pPr>
        <w:spacing w:line="480" w:lineRule="auto"/>
        <w:rPr>
          <w:b/>
          <w:sz w:val="24"/>
          <w:szCs w:val="24"/>
        </w:rPr>
      </w:pPr>
    </w:p>
    <w:p w:rsidR="00A3496C" w:rsidRDefault="005242D9" w:rsidP="007A03A8">
      <w:pPr>
        <w:tabs>
          <w:tab w:val="left" w:pos="720"/>
        </w:tabs>
        <w:spacing w:line="480" w:lineRule="auto"/>
        <w:ind w:firstLine="720"/>
        <w:textAlignment w:val="baseline"/>
        <w:rPr>
          <w:sz w:val="24"/>
          <w:szCs w:val="24"/>
        </w:rPr>
      </w:pPr>
      <w:r>
        <w:rPr>
          <w:sz w:val="24"/>
          <w:szCs w:val="24"/>
        </w:rPr>
        <w:tab/>
      </w:r>
    </w:p>
    <w:sectPr w:rsidR="00A3496C" w:rsidSect="008C496B">
      <w:headerReference w:type="default" r:id="rId33"/>
      <w:footerReference w:type="default" r:id="rId34"/>
      <w:pgSz w:w="12240" w:h="15840"/>
      <w:pgMar w:top="1440" w:right="1800" w:bottom="1440" w:left="1800" w:header="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FF" w:rsidRDefault="00C64AFF">
      <w:r>
        <w:separator/>
      </w:r>
    </w:p>
  </w:endnote>
  <w:endnote w:type="continuationSeparator" w:id="0">
    <w:p w:rsidR="00C64AFF" w:rsidRDefault="00C6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9C" w:rsidRDefault="00A56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6B" w:rsidRDefault="008C496B">
    <w:pPr>
      <w:pStyle w:val="Footer"/>
      <w:jc w:val="center"/>
    </w:pPr>
  </w:p>
  <w:p w:rsidR="00554CF7" w:rsidRDefault="002F13FB" w:rsidP="00EB011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9C" w:rsidRDefault="00A560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110375"/>
      <w:docPartObj>
        <w:docPartGallery w:val="Page Numbers (Bottom of Page)"/>
        <w:docPartUnique/>
      </w:docPartObj>
    </w:sdtPr>
    <w:sdtEndPr>
      <w:rPr>
        <w:noProof/>
      </w:rPr>
    </w:sdtEndPr>
    <w:sdtContent>
      <w:p w:rsidR="008C496B" w:rsidRDefault="008C496B">
        <w:pPr>
          <w:pStyle w:val="Footer"/>
          <w:jc w:val="center"/>
        </w:pPr>
        <w:r>
          <w:fldChar w:fldCharType="begin"/>
        </w:r>
        <w:r>
          <w:instrText xml:space="preserve"> PAGE   \* MERGEFORMAT </w:instrText>
        </w:r>
        <w:r>
          <w:fldChar w:fldCharType="separate"/>
        </w:r>
        <w:r w:rsidR="002F13FB">
          <w:rPr>
            <w:noProof/>
          </w:rPr>
          <w:t>2</w:t>
        </w:r>
        <w:r>
          <w:rPr>
            <w:noProof/>
          </w:rPr>
          <w:fldChar w:fldCharType="end"/>
        </w:r>
      </w:p>
    </w:sdtContent>
  </w:sdt>
  <w:p w:rsidR="008C496B" w:rsidRDefault="008C496B" w:rsidP="00EB01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FF" w:rsidRDefault="00C64AFF" w:rsidP="007224F3">
      <w:r>
        <w:separator/>
      </w:r>
    </w:p>
  </w:footnote>
  <w:footnote w:type="continuationSeparator" w:id="0">
    <w:p w:rsidR="00C64AFF" w:rsidRDefault="00C64AFF" w:rsidP="007224F3">
      <w:r>
        <w:continuationSeparator/>
      </w:r>
    </w:p>
  </w:footnote>
  <w:footnote w:id="1">
    <w:p w:rsidR="00E323CB" w:rsidRDefault="005242D9">
      <w:pPr>
        <w:pStyle w:val="FootnoteText"/>
      </w:pPr>
      <w:r>
        <w:rPr>
          <w:rStyle w:val="FootnoteReference"/>
        </w:rPr>
        <w:footnoteRef/>
      </w:r>
      <w:r>
        <w:t xml:space="preserve"> AEP Ohio speculates as to ulterior motives for OCC’s discovery request.  Memorandum Contra at 9.  OCC’s motive to discover the RSR charges requested by its Motion to Compel is clear:  SSO customers have paid 100% of the SCM rate for Lawrenceburg/OVEC capacity.  They should not be required to pay more than the SCM rate through the RSR and GCR.</w:t>
      </w:r>
    </w:p>
  </w:footnote>
  <w:footnote w:id="2">
    <w:p w:rsidR="00A3496C" w:rsidRDefault="005242D9" w:rsidP="00132165">
      <w:pPr>
        <w:pStyle w:val="FootnoteText"/>
        <w:spacing w:before="120"/>
      </w:pPr>
      <w:r>
        <w:rPr>
          <w:rStyle w:val="FootnoteReference"/>
        </w:rPr>
        <w:footnoteRef/>
      </w:r>
      <w:r>
        <w:t xml:space="preserve"> OCC Motion to Compel at 9-12.</w:t>
      </w:r>
    </w:p>
  </w:footnote>
  <w:footnote w:id="3">
    <w:p w:rsidR="004A5F2D" w:rsidRDefault="005242D9" w:rsidP="00644C7B">
      <w:pPr>
        <w:pStyle w:val="FootnoteText"/>
        <w:spacing w:after="120"/>
      </w:pPr>
      <w:r>
        <w:rPr>
          <w:rStyle w:val="FootnoteReference"/>
        </w:rPr>
        <w:footnoteRef/>
      </w:r>
      <w:r>
        <w:t xml:space="preserve"> </w:t>
      </w:r>
      <w:r w:rsidRPr="00D33FA2">
        <w:rPr>
          <w:i/>
        </w:rPr>
        <w:t>In the Matter of the Commission Review of the Capacity Charges of Ohio Power Company and Columbus Southern Power Company</w:t>
      </w:r>
      <w:r>
        <w:t>, Case No. 10-2929-EL-UNC (“Capacity Case”).</w:t>
      </w:r>
    </w:p>
  </w:footnote>
  <w:footnote w:id="4">
    <w:p w:rsidR="004A5F2D" w:rsidRDefault="005242D9" w:rsidP="00644C7B">
      <w:pPr>
        <w:pStyle w:val="FootnoteText"/>
        <w:spacing w:after="120"/>
      </w:pPr>
      <w:r>
        <w:rPr>
          <w:rStyle w:val="FootnoteReference"/>
        </w:rPr>
        <w:footnoteRef/>
      </w:r>
      <w:r>
        <w:t xml:space="preserve"> </w:t>
      </w:r>
      <w:r w:rsidRPr="00D33FA2">
        <w:rPr>
          <w:i/>
        </w:rPr>
        <w:t>In the Matter of the Application of Columbus Southern Power Company and Ohio Power Company for Authority to Establish a Standard Service Offer Pursuant to Section 4928.143, Revised Code, in the Form of an Electric Security Plan</w:t>
      </w:r>
      <w:r>
        <w:t>, Case No. 11-346-EL-SSO (“ESP II”).</w:t>
      </w:r>
    </w:p>
  </w:footnote>
  <w:footnote w:id="5">
    <w:p w:rsidR="004A5F2D" w:rsidRDefault="005242D9" w:rsidP="00644C7B">
      <w:pPr>
        <w:pStyle w:val="FootnoteText"/>
        <w:spacing w:after="120"/>
      </w:pPr>
      <w:r>
        <w:rPr>
          <w:rStyle w:val="FootnoteReference"/>
        </w:rPr>
        <w:footnoteRef/>
      </w:r>
      <w:r>
        <w:t xml:space="preserve"> </w:t>
      </w:r>
      <w:r w:rsidRPr="002E38DE">
        <w:rPr>
          <w:i/>
        </w:rPr>
        <w:t>In the Matter of Ohio Power Company to Establish a Competitive Bidding Process for Procurement of Energy to Support its Standard Service Offer</w:t>
      </w:r>
      <w:r>
        <w:t>, Case No. 12-3254-EL-UNC (“CBP Case”).</w:t>
      </w:r>
    </w:p>
  </w:footnote>
  <w:footnote w:id="6">
    <w:p w:rsidR="004A5F2D" w:rsidRDefault="005242D9" w:rsidP="00644C7B">
      <w:pPr>
        <w:spacing w:after="120"/>
        <w:ind w:right="43"/>
        <w:textAlignment w:val="baseline"/>
      </w:pPr>
      <w:r w:rsidRPr="004A5F2D">
        <w:rPr>
          <w:rStyle w:val="FootnoteReference"/>
          <w:sz w:val="20"/>
          <w:szCs w:val="20"/>
        </w:rPr>
        <w:footnoteRef/>
      </w:r>
      <w:r w:rsidRPr="004A5F2D">
        <w:rPr>
          <w:sz w:val="20"/>
          <w:szCs w:val="20"/>
        </w:rPr>
        <w:t xml:space="preserve"> See </w:t>
      </w:r>
      <w:r>
        <w:rPr>
          <w:sz w:val="20"/>
          <w:szCs w:val="20"/>
        </w:rPr>
        <w:t>FAC Audit Cases, Entry on Rehearing (</w:t>
      </w:r>
      <w:r w:rsidRPr="004A5F2D">
        <w:rPr>
          <w:sz w:val="20"/>
          <w:szCs w:val="20"/>
        </w:rPr>
        <w:t>February 13, 2014</w:t>
      </w:r>
      <w:r>
        <w:rPr>
          <w:sz w:val="20"/>
          <w:szCs w:val="20"/>
        </w:rPr>
        <w:t xml:space="preserve">), </w:t>
      </w:r>
      <w:r w:rsidRPr="004A5F2D">
        <w:rPr>
          <w:sz w:val="20"/>
          <w:szCs w:val="20"/>
        </w:rPr>
        <w:t>at paragraph 9</w:t>
      </w:r>
      <w:r>
        <w:rPr>
          <w:sz w:val="20"/>
          <w:szCs w:val="20"/>
        </w:rPr>
        <w:t xml:space="preserve"> (restricting only to the 2012, 2013 and 2014 audit years); and Entry (July 22, 2015), at paragraph 8 (extending the audit to include the period from January 1, 2015 through May 31, 2015).  </w:t>
      </w:r>
    </w:p>
  </w:footnote>
  <w:footnote w:id="7">
    <w:p w:rsidR="007A03A8" w:rsidRDefault="005242D9" w:rsidP="00644C7B">
      <w:pPr>
        <w:pStyle w:val="FootnoteText"/>
        <w:spacing w:after="120"/>
      </w:pPr>
      <w:r>
        <w:rPr>
          <w:rStyle w:val="FootnoteReference"/>
        </w:rPr>
        <w:footnoteRef/>
      </w:r>
      <w:r>
        <w:t xml:space="preserve"> AEP Ohio Memo Contra at 5-6.</w:t>
      </w:r>
    </w:p>
  </w:footnote>
  <w:footnote w:id="8">
    <w:p w:rsidR="00132165" w:rsidRDefault="005242D9">
      <w:pPr>
        <w:pStyle w:val="FootnoteText"/>
      </w:pPr>
      <w:r>
        <w:rPr>
          <w:rStyle w:val="FootnoteReference"/>
        </w:rPr>
        <w:footnoteRef/>
      </w:r>
      <w:r>
        <w:t xml:space="preserve"> CBP Case, Entry on Rehearing (February 13, 2014) paragraphs 7 and 9.</w:t>
      </w:r>
    </w:p>
  </w:footnote>
  <w:footnote w:id="9">
    <w:p w:rsidR="00132165" w:rsidRDefault="005242D9" w:rsidP="00644C7B">
      <w:pPr>
        <w:pStyle w:val="FootnoteText"/>
        <w:spacing w:after="120"/>
      </w:pPr>
      <w:r>
        <w:rPr>
          <w:rStyle w:val="FootnoteReference"/>
        </w:rPr>
        <w:footnoteRef/>
      </w:r>
      <w:r>
        <w:t xml:space="preserve"> See </w:t>
      </w:r>
      <w:r w:rsidRPr="00132165">
        <w:rPr>
          <w:i/>
        </w:rPr>
        <w:t>In the Matter of the Application of Ohio Power Company to Adopt a Final Implementation Plan for the Retail Stability Rider</w:t>
      </w:r>
      <w:r>
        <w:t>, Case No. 14-1186-EL-RDR, Finding and Order (April 15, 2015).</w:t>
      </w:r>
    </w:p>
  </w:footnote>
  <w:footnote w:id="10">
    <w:p w:rsidR="00132165" w:rsidRDefault="005242D9" w:rsidP="00644C7B">
      <w:pPr>
        <w:pStyle w:val="FootnoteText"/>
        <w:spacing w:after="120"/>
      </w:pPr>
      <w:r>
        <w:rPr>
          <w:rStyle w:val="FootnoteReference"/>
        </w:rPr>
        <w:footnoteRef/>
      </w:r>
      <w:r>
        <w:t xml:space="preserve"> CBP Case, Entry on Rehearing (February 13, 2014) paragraph 9.</w:t>
      </w:r>
    </w:p>
  </w:footnote>
  <w:footnote w:id="11">
    <w:p w:rsidR="004A5F2D" w:rsidRDefault="005242D9" w:rsidP="00644C7B">
      <w:pPr>
        <w:pStyle w:val="FootnoteText"/>
        <w:spacing w:after="120"/>
      </w:pPr>
      <w:r>
        <w:rPr>
          <w:rStyle w:val="FootnoteReference"/>
        </w:rPr>
        <w:footnoteRef/>
      </w:r>
      <w:r>
        <w:t xml:space="preserve"> AEP Ohio Memorandum Contra at 5.</w:t>
      </w:r>
    </w:p>
  </w:footnote>
  <w:footnote w:id="12">
    <w:p w:rsidR="0045139D" w:rsidRDefault="005242D9">
      <w:pPr>
        <w:pStyle w:val="FootnoteText"/>
      </w:pPr>
      <w:r>
        <w:rPr>
          <w:rStyle w:val="FootnoteReference"/>
        </w:rPr>
        <w:footnoteRef/>
      </w:r>
      <w:r>
        <w:t xml:space="preserve"> AEP Ohio Memorandum Contra at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9C" w:rsidRDefault="00A56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9C" w:rsidRDefault="00A56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9C" w:rsidRDefault="00A560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6B" w:rsidRDefault="008C4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F92BA7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89AC07A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C26861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A48BB8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2A5C7BEC"/>
    <w:lvl w:ilvl="0">
      <w:start w:val="1"/>
      <w:numFmt w:val="decimal"/>
      <w:lvlText w:val="%1."/>
      <w:lvlJc w:val="left"/>
      <w:pPr>
        <w:tabs>
          <w:tab w:val="num" w:pos="360"/>
        </w:tabs>
        <w:ind w:left="360" w:hanging="360"/>
      </w:pPr>
    </w:lvl>
  </w:abstractNum>
  <w:abstractNum w:abstractNumId="5">
    <w:nsid w:val="FFFFFF89"/>
    <w:multiLevelType w:val="singleLevel"/>
    <w:tmpl w:val="2326B3AC"/>
    <w:lvl w:ilvl="0">
      <w:start w:val="1"/>
      <w:numFmt w:val="bullet"/>
      <w:lvlText w:val=""/>
      <w:lvlJc w:val="left"/>
      <w:pPr>
        <w:tabs>
          <w:tab w:val="num" w:pos="360"/>
        </w:tabs>
        <w:ind w:left="360" w:hanging="360"/>
      </w:pPr>
      <w:rPr>
        <w:rFonts w:ascii="Symbol" w:hAnsi="Symbol" w:hint="default"/>
      </w:rPr>
    </w:lvl>
  </w:abstractNum>
  <w:abstractNum w:abstractNumId="6">
    <w:nsid w:val="01252719"/>
    <w:multiLevelType w:val="hybridMultilevel"/>
    <w:tmpl w:val="EC3C5AEE"/>
    <w:lvl w:ilvl="0" w:tplc="F32217DE">
      <w:start w:val="1"/>
      <w:numFmt w:val="decimal"/>
      <w:lvlText w:val="%1."/>
      <w:lvlJc w:val="left"/>
      <w:pPr>
        <w:ind w:left="1800" w:hanging="360"/>
      </w:pPr>
      <w:rPr>
        <w:rFonts w:hint="default"/>
      </w:rPr>
    </w:lvl>
    <w:lvl w:ilvl="1" w:tplc="EC60D696" w:tentative="1">
      <w:start w:val="1"/>
      <w:numFmt w:val="lowerLetter"/>
      <w:lvlText w:val="%2."/>
      <w:lvlJc w:val="left"/>
      <w:pPr>
        <w:ind w:left="2520" w:hanging="360"/>
      </w:pPr>
    </w:lvl>
    <w:lvl w:ilvl="2" w:tplc="F222ACD4" w:tentative="1">
      <w:start w:val="1"/>
      <w:numFmt w:val="lowerRoman"/>
      <w:lvlText w:val="%3."/>
      <w:lvlJc w:val="right"/>
      <w:pPr>
        <w:ind w:left="3240" w:hanging="180"/>
      </w:pPr>
    </w:lvl>
    <w:lvl w:ilvl="3" w:tplc="E370D5B0" w:tentative="1">
      <w:start w:val="1"/>
      <w:numFmt w:val="decimal"/>
      <w:lvlText w:val="%4."/>
      <w:lvlJc w:val="left"/>
      <w:pPr>
        <w:ind w:left="3960" w:hanging="360"/>
      </w:pPr>
    </w:lvl>
    <w:lvl w:ilvl="4" w:tplc="6C72D498" w:tentative="1">
      <w:start w:val="1"/>
      <w:numFmt w:val="lowerLetter"/>
      <w:lvlText w:val="%5."/>
      <w:lvlJc w:val="left"/>
      <w:pPr>
        <w:ind w:left="4680" w:hanging="360"/>
      </w:pPr>
    </w:lvl>
    <w:lvl w:ilvl="5" w:tplc="575CE7D0" w:tentative="1">
      <w:start w:val="1"/>
      <w:numFmt w:val="lowerRoman"/>
      <w:lvlText w:val="%6."/>
      <w:lvlJc w:val="right"/>
      <w:pPr>
        <w:ind w:left="5400" w:hanging="180"/>
      </w:pPr>
    </w:lvl>
    <w:lvl w:ilvl="6" w:tplc="A206501C" w:tentative="1">
      <w:start w:val="1"/>
      <w:numFmt w:val="decimal"/>
      <w:lvlText w:val="%7."/>
      <w:lvlJc w:val="left"/>
      <w:pPr>
        <w:ind w:left="6120" w:hanging="360"/>
      </w:pPr>
    </w:lvl>
    <w:lvl w:ilvl="7" w:tplc="B136015A" w:tentative="1">
      <w:start w:val="1"/>
      <w:numFmt w:val="lowerLetter"/>
      <w:lvlText w:val="%8."/>
      <w:lvlJc w:val="left"/>
      <w:pPr>
        <w:ind w:left="6840" w:hanging="360"/>
      </w:pPr>
    </w:lvl>
    <w:lvl w:ilvl="8" w:tplc="2C949E60" w:tentative="1">
      <w:start w:val="1"/>
      <w:numFmt w:val="lowerRoman"/>
      <w:lvlText w:val="%9."/>
      <w:lvlJc w:val="right"/>
      <w:pPr>
        <w:ind w:left="7560" w:hanging="180"/>
      </w:pPr>
    </w:lvl>
  </w:abstractNum>
  <w:abstractNum w:abstractNumId="7">
    <w:nsid w:val="097E50E9"/>
    <w:multiLevelType w:val="hybridMultilevel"/>
    <w:tmpl w:val="C5DE9042"/>
    <w:lvl w:ilvl="0" w:tplc="984878B2">
      <w:start w:val="1"/>
      <w:numFmt w:val="upperLetter"/>
      <w:lvlText w:val="%1."/>
      <w:lvlJc w:val="left"/>
      <w:pPr>
        <w:ind w:left="1080" w:hanging="360"/>
      </w:pPr>
      <w:rPr>
        <w:rFonts w:hint="default"/>
      </w:rPr>
    </w:lvl>
    <w:lvl w:ilvl="1" w:tplc="CBD4FF88" w:tentative="1">
      <w:start w:val="1"/>
      <w:numFmt w:val="lowerLetter"/>
      <w:lvlText w:val="%2."/>
      <w:lvlJc w:val="left"/>
      <w:pPr>
        <w:ind w:left="1800" w:hanging="360"/>
      </w:pPr>
    </w:lvl>
    <w:lvl w:ilvl="2" w:tplc="A3E86320" w:tentative="1">
      <w:start w:val="1"/>
      <w:numFmt w:val="lowerRoman"/>
      <w:lvlText w:val="%3."/>
      <w:lvlJc w:val="right"/>
      <w:pPr>
        <w:ind w:left="2520" w:hanging="180"/>
      </w:pPr>
    </w:lvl>
    <w:lvl w:ilvl="3" w:tplc="4C722638" w:tentative="1">
      <w:start w:val="1"/>
      <w:numFmt w:val="decimal"/>
      <w:lvlText w:val="%4."/>
      <w:lvlJc w:val="left"/>
      <w:pPr>
        <w:ind w:left="3240" w:hanging="360"/>
      </w:pPr>
    </w:lvl>
    <w:lvl w:ilvl="4" w:tplc="9384B606" w:tentative="1">
      <w:start w:val="1"/>
      <w:numFmt w:val="lowerLetter"/>
      <w:lvlText w:val="%5."/>
      <w:lvlJc w:val="left"/>
      <w:pPr>
        <w:ind w:left="3960" w:hanging="360"/>
      </w:pPr>
    </w:lvl>
    <w:lvl w:ilvl="5" w:tplc="9A7E6878" w:tentative="1">
      <w:start w:val="1"/>
      <w:numFmt w:val="lowerRoman"/>
      <w:lvlText w:val="%6."/>
      <w:lvlJc w:val="right"/>
      <w:pPr>
        <w:ind w:left="4680" w:hanging="180"/>
      </w:pPr>
    </w:lvl>
    <w:lvl w:ilvl="6" w:tplc="1E560DB6" w:tentative="1">
      <w:start w:val="1"/>
      <w:numFmt w:val="decimal"/>
      <w:lvlText w:val="%7."/>
      <w:lvlJc w:val="left"/>
      <w:pPr>
        <w:ind w:left="5400" w:hanging="360"/>
      </w:pPr>
    </w:lvl>
    <w:lvl w:ilvl="7" w:tplc="6E7E4508" w:tentative="1">
      <w:start w:val="1"/>
      <w:numFmt w:val="lowerLetter"/>
      <w:lvlText w:val="%8."/>
      <w:lvlJc w:val="left"/>
      <w:pPr>
        <w:ind w:left="6120" w:hanging="360"/>
      </w:pPr>
    </w:lvl>
    <w:lvl w:ilvl="8" w:tplc="D8025884" w:tentative="1">
      <w:start w:val="1"/>
      <w:numFmt w:val="lowerRoman"/>
      <w:lvlText w:val="%9."/>
      <w:lvlJc w:val="right"/>
      <w:pPr>
        <w:ind w:left="6840" w:hanging="180"/>
      </w:pPr>
    </w:lvl>
  </w:abstractNum>
  <w:abstractNum w:abstractNumId="8">
    <w:nsid w:val="1458321F"/>
    <w:multiLevelType w:val="hybridMultilevel"/>
    <w:tmpl w:val="7696E2C8"/>
    <w:lvl w:ilvl="0" w:tplc="BC26ABCA">
      <w:start w:val="1"/>
      <w:numFmt w:val="decimal"/>
      <w:pStyle w:val="Heading3"/>
      <w:lvlText w:val="%1."/>
      <w:lvlJc w:val="left"/>
      <w:pPr>
        <w:ind w:left="1800" w:hanging="360"/>
      </w:pPr>
      <w:rPr>
        <w:rFonts w:hint="default"/>
      </w:rPr>
    </w:lvl>
    <w:lvl w:ilvl="1" w:tplc="F028BDCE" w:tentative="1">
      <w:start w:val="1"/>
      <w:numFmt w:val="lowerLetter"/>
      <w:lvlText w:val="%2."/>
      <w:lvlJc w:val="left"/>
      <w:pPr>
        <w:ind w:left="2520" w:hanging="360"/>
      </w:pPr>
    </w:lvl>
    <w:lvl w:ilvl="2" w:tplc="24E82DF4" w:tentative="1">
      <w:start w:val="1"/>
      <w:numFmt w:val="lowerRoman"/>
      <w:lvlText w:val="%3."/>
      <w:lvlJc w:val="right"/>
      <w:pPr>
        <w:ind w:left="3240" w:hanging="180"/>
      </w:pPr>
    </w:lvl>
    <w:lvl w:ilvl="3" w:tplc="5BEA86FC" w:tentative="1">
      <w:start w:val="1"/>
      <w:numFmt w:val="decimal"/>
      <w:lvlText w:val="%4."/>
      <w:lvlJc w:val="left"/>
      <w:pPr>
        <w:ind w:left="3960" w:hanging="360"/>
      </w:pPr>
    </w:lvl>
    <w:lvl w:ilvl="4" w:tplc="FFAAD3D2" w:tentative="1">
      <w:start w:val="1"/>
      <w:numFmt w:val="lowerLetter"/>
      <w:lvlText w:val="%5."/>
      <w:lvlJc w:val="left"/>
      <w:pPr>
        <w:ind w:left="4680" w:hanging="360"/>
      </w:pPr>
    </w:lvl>
    <w:lvl w:ilvl="5" w:tplc="D3DAF2D8" w:tentative="1">
      <w:start w:val="1"/>
      <w:numFmt w:val="lowerRoman"/>
      <w:lvlText w:val="%6."/>
      <w:lvlJc w:val="right"/>
      <w:pPr>
        <w:ind w:left="5400" w:hanging="180"/>
      </w:pPr>
    </w:lvl>
    <w:lvl w:ilvl="6" w:tplc="CD92D050" w:tentative="1">
      <w:start w:val="1"/>
      <w:numFmt w:val="decimal"/>
      <w:lvlText w:val="%7."/>
      <w:lvlJc w:val="left"/>
      <w:pPr>
        <w:ind w:left="6120" w:hanging="360"/>
      </w:pPr>
    </w:lvl>
    <w:lvl w:ilvl="7" w:tplc="1BC267B0" w:tentative="1">
      <w:start w:val="1"/>
      <w:numFmt w:val="lowerLetter"/>
      <w:lvlText w:val="%8."/>
      <w:lvlJc w:val="left"/>
      <w:pPr>
        <w:ind w:left="6840" w:hanging="360"/>
      </w:pPr>
    </w:lvl>
    <w:lvl w:ilvl="8" w:tplc="6C580918" w:tentative="1">
      <w:start w:val="1"/>
      <w:numFmt w:val="lowerRoman"/>
      <w:lvlText w:val="%9."/>
      <w:lvlJc w:val="right"/>
      <w:pPr>
        <w:ind w:left="7560" w:hanging="180"/>
      </w:pPr>
    </w:lvl>
  </w:abstractNum>
  <w:abstractNum w:abstractNumId="9">
    <w:nsid w:val="1F506D53"/>
    <w:multiLevelType w:val="hybridMultilevel"/>
    <w:tmpl w:val="93E6479E"/>
    <w:lvl w:ilvl="0" w:tplc="897E4D84">
      <w:start w:val="1"/>
      <w:numFmt w:val="decimal"/>
      <w:lvlText w:val="%1."/>
      <w:lvlJc w:val="left"/>
      <w:pPr>
        <w:ind w:left="720" w:hanging="360"/>
      </w:pPr>
    </w:lvl>
    <w:lvl w:ilvl="1" w:tplc="3216DCC2" w:tentative="1">
      <w:start w:val="1"/>
      <w:numFmt w:val="lowerLetter"/>
      <w:lvlText w:val="%2."/>
      <w:lvlJc w:val="left"/>
      <w:pPr>
        <w:ind w:left="1440" w:hanging="360"/>
      </w:pPr>
    </w:lvl>
    <w:lvl w:ilvl="2" w:tplc="9632675A" w:tentative="1">
      <w:start w:val="1"/>
      <w:numFmt w:val="lowerRoman"/>
      <w:lvlText w:val="%3."/>
      <w:lvlJc w:val="right"/>
      <w:pPr>
        <w:ind w:left="2160" w:hanging="180"/>
      </w:pPr>
    </w:lvl>
    <w:lvl w:ilvl="3" w:tplc="7C5C72E4" w:tentative="1">
      <w:start w:val="1"/>
      <w:numFmt w:val="decimal"/>
      <w:lvlText w:val="%4."/>
      <w:lvlJc w:val="left"/>
      <w:pPr>
        <w:ind w:left="2880" w:hanging="360"/>
      </w:pPr>
    </w:lvl>
    <w:lvl w:ilvl="4" w:tplc="EE9C9FC4" w:tentative="1">
      <w:start w:val="1"/>
      <w:numFmt w:val="lowerLetter"/>
      <w:lvlText w:val="%5."/>
      <w:lvlJc w:val="left"/>
      <w:pPr>
        <w:ind w:left="3600" w:hanging="360"/>
      </w:pPr>
    </w:lvl>
    <w:lvl w:ilvl="5" w:tplc="A9AA491A" w:tentative="1">
      <w:start w:val="1"/>
      <w:numFmt w:val="lowerRoman"/>
      <w:lvlText w:val="%6."/>
      <w:lvlJc w:val="right"/>
      <w:pPr>
        <w:ind w:left="4320" w:hanging="180"/>
      </w:pPr>
    </w:lvl>
    <w:lvl w:ilvl="6" w:tplc="E74E17AA" w:tentative="1">
      <w:start w:val="1"/>
      <w:numFmt w:val="decimal"/>
      <w:lvlText w:val="%7."/>
      <w:lvlJc w:val="left"/>
      <w:pPr>
        <w:ind w:left="5040" w:hanging="360"/>
      </w:pPr>
    </w:lvl>
    <w:lvl w:ilvl="7" w:tplc="2CE2236C" w:tentative="1">
      <w:start w:val="1"/>
      <w:numFmt w:val="lowerLetter"/>
      <w:lvlText w:val="%8."/>
      <w:lvlJc w:val="left"/>
      <w:pPr>
        <w:ind w:left="5760" w:hanging="360"/>
      </w:pPr>
    </w:lvl>
    <w:lvl w:ilvl="8" w:tplc="66D0C51E" w:tentative="1">
      <w:start w:val="1"/>
      <w:numFmt w:val="lowerRoman"/>
      <w:lvlText w:val="%9."/>
      <w:lvlJc w:val="right"/>
      <w:pPr>
        <w:ind w:left="6480" w:hanging="180"/>
      </w:pPr>
    </w:lvl>
  </w:abstractNum>
  <w:abstractNum w:abstractNumId="10">
    <w:nsid w:val="33E773C7"/>
    <w:multiLevelType w:val="hybridMultilevel"/>
    <w:tmpl w:val="31641818"/>
    <w:lvl w:ilvl="0" w:tplc="6F1E64D2">
      <w:start w:val="1"/>
      <w:numFmt w:val="decimal"/>
      <w:lvlText w:val="%1."/>
      <w:lvlJc w:val="left"/>
      <w:pPr>
        <w:ind w:left="1080" w:hanging="360"/>
      </w:pPr>
      <w:rPr>
        <w:rFonts w:hint="default"/>
      </w:rPr>
    </w:lvl>
    <w:lvl w:ilvl="1" w:tplc="2FE82D1C" w:tentative="1">
      <w:start w:val="1"/>
      <w:numFmt w:val="lowerLetter"/>
      <w:lvlText w:val="%2."/>
      <w:lvlJc w:val="left"/>
      <w:pPr>
        <w:ind w:left="1800" w:hanging="360"/>
      </w:pPr>
    </w:lvl>
    <w:lvl w:ilvl="2" w:tplc="FAD6740E" w:tentative="1">
      <w:start w:val="1"/>
      <w:numFmt w:val="lowerRoman"/>
      <w:lvlText w:val="%3."/>
      <w:lvlJc w:val="right"/>
      <w:pPr>
        <w:ind w:left="2520" w:hanging="180"/>
      </w:pPr>
    </w:lvl>
    <w:lvl w:ilvl="3" w:tplc="A8E2792E" w:tentative="1">
      <w:start w:val="1"/>
      <w:numFmt w:val="decimal"/>
      <w:lvlText w:val="%4."/>
      <w:lvlJc w:val="left"/>
      <w:pPr>
        <w:ind w:left="3240" w:hanging="360"/>
      </w:pPr>
    </w:lvl>
    <w:lvl w:ilvl="4" w:tplc="49C45C94" w:tentative="1">
      <w:start w:val="1"/>
      <w:numFmt w:val="lowerLetter"/>
      <w:lvlText w:val="%5."/>
      <w:lvlJc w:val="left"/>
      <w:pPr>
        <w:ind w:left="3960" w:hanging="360"/>
      </w:pPr>
    </w:lvl>
    <w:lvl w:ilvl="5" w:tplc="F18406C4" w:tentative="1">
      <w:start w:val="1"/>
      <w:numFmt w:val="lowerRoman"/>
      <w:lvlText w:val="%6."/>
      <w:lvlJc w:val="right"/>
      <w:pPr>
        <w:ind w:left="4680" w:hanging="180"/>
      </w:pPr>
    </w:lvl>
    <w:lvl w:ilvl="6" w:tplc="E73475B2" w:tentative="1">
      <w:start w:val="1"/>
      <w:numFmt w:val="decimal"/>
      <w:lvlText w:val="%7."/>
      <w:lvlJc w:val="left"/>
      <w:pPr>
        <w:ind w:left="5400" w:hanging="360"/>
      </w:pPr>
    </w:lvl>
    <w:lvl w:ilvl="7" w:tplc="8F3C696A" w:tentative="1">
      <w:start w:val="1"/>
      <w:numFmt w:val="lowerLetter"/>
      <w:lvlText w:val="%8."/>
      <w:lvlJc w:val="left"/>
      <w:pPr>
        <w:ind w:left="6120" w:hanging="360"/>
      </w:pPr>
    </w:lvl>
    <w:lvl w:ilvl="8" w:tplc="980480C2" w:tentative="1">
      <w:start w:val="1"/>
      <w:numFmt w:val="lowerRoman"/>
      <w:lvlText w:val="%9."/>
      <w:lvlJc w:val="right"/>
      <w:pPr>
        <w:ind w:left="6840" w:hanging="180"/>
      </w:pPr>
    </w:lvl>
  </w:abstractNum>
  <w:abstractNum w:abstractNumId="11">
    <w:nsid w:val="345C69E4"/>
    <w:multiLevelType w:val="hybridMultilevel"/>
    <w:tmpl w:val="63C62D02"/>
    <w:lvl w:ilvl="0" w:tplc="2AFEBEFE">
      <w:start w:val="1"/>
      <w:numFmt w:val="upperLetter"/>
      <w:lvlText w:val="%1."/>
      <w:lvlJc w:val="left"/>
      <w:pPr>
        <w:ind w:left="1080" w:hanging="360"/>
      </w:pPr>
      <w:rPr>
        <w:rFonts w:hint="default"/>
      </w:rPr>
    </w:lvl>
    <w:lvl w:ilvl="1" w:tplc="D130CCBC">
      <w:start w:val="1"/>
      <w:numFmt w:val="decimal"/>
      <w:lvlText w:val="%2."/>
      <w:lvlJc w:val="left"/>
      <w:pPr>
        <w:ind w:left="1800" w:hanging="360"/>
      </w:pPr>
    </w:lvl>
    <w:lvl w:ilvl="2" w:tplc="F0966566" w:tentative="1">
      <w:start w:val="1"/>
      <w:numFmt w:val="lowerRoman"/>
      <w:lvlText w:val="%3."/>
      <w:lvlJc w:val="right"/>
      <w:pPr>
        <w:ind w:left="2520" w:hanging="180"/>
      </w:pPr>
    </w:lvl>
    <w:lvl w:ilvl="3" w:tplc="67FCB43E" w:tentative="1">
      <w:start w:val="1"/>
      <w:numFmt w:val="decimal"/>
      <w:lvlText w:val="%4."/>
      <w:lvlJc w:val="left"/>
      <w:pPr>
        <w:ind w:left="3240" w:hanging="360"/>
      </w:pPr>
    </w:lvl>
    <w:lvl w:ilvl="4" w:tplc="269696A8" w:tentative="1">
      <w:start w:val="1"/>
      <w:numFmt w:val="lowerLetter"/>
      <w:lvlText w:val="%5."/>
      <w:lvlJc w:val="left"/>
      <w:pPr>
        <w:ind w:left="3960" w:hanging="360"/>
      </w:pPr>
    </w:lvl>
    <w:lvl w:ilvl="5" w:tplc="407E937C" w:tentative="1">
      <w:start w:val="1"/>
      <w:numFmt w:val="lowerRoman"/>
      <w:lvlText w:val="%6."/>
      <w:lvlJc w:val="right"/>
      <w:pPr>
        <w:ind w:left="4680" w:hanging="180"/>
      </w:pPr>
    </w:lvl>
    <w:lvl w:ilvl="6" w:tplc="93CED7BE" w:tentative="1">
      <w:start w:val="1"/>
      <w:numFmt w:val="decimal"/>
      <w:lvlText w:val="%7."/>
      <w:lvlJc w:val="left"/>
      <w:pPr>
        <w:ind w:left="5400" w:hanging="360"/>
      </w:pPr>
    </w:lvl>
    <w:lvl w:ilvl="7" w:tplc="0BCE5454" w:tentative="1">
      <w:start w:val="1"/>
      <w:numFmt w:val="lowerLetter"/>
      <w:lvlText w:val="%8."/>
      <w:lvlJc w:val="left"/>
      <w:pPr>
        <w:ind w:left="6120" w:hanging="360"/>
      </w:pPr>
    </w:lvl>
    <w:lvl w:ilvl="8" w:tplc="8800FB32" w:tentative="1">
      <w:start w:val="1"/>
      <w:numFmt w:val="lowerRoman"/>
      <w:lvlText w:val="%9."/>
      <w:lvlJc w:val="right"/>
      <w:pPr>
        <w:ind w:left="6840" w:hanging="180"/>
      </w:pPr>
    </w:lvl>
  </w:abstractNum>
  <w:abstractNum w:abstractNumId="12">
    <w:nsid w:val="39A06221"/>
    <w:multiLevelType w:val="hybridMultilevel"/>
    <w:tmpl w:val="74A69400"/>
    <w:lvl w:ilvl="0" w:tplc="B98CD706">
      <w:start w:val="1"/>
      <w:numFmt w:val="upperLetter"/>
      <w:lvlText w:val="%1."/>
      <w:lvlJc w:val="left"/>
      <w:pPr>
        <w:ind w:left="720" w:hanging="360"/>
      </w:pPr>
      <w:rPr>
        <w:rFonts w:hint="default"/>
      </w:rPr>
    </w:lvl>
    <w:lvl w:ilvl="1" w:tplc="77BCEE9C" w:tentative="1">
      <w:start w:val="1"/>
      <w:numFmt w:val="lowerLetter"/>
      <w:lvlText w:val="%2."/>
      <w:lvlJc w:val="left"/>
      <w:pPr>
        <w:ind w:left="1440" w:hanging="360"/>
      </w:pPr>
    </w:lvl>
    <w:lvl w:ilvl="2" w:tplc="7C04461E" w:tentative="1">
      <w:start w:val="1"/>
      <w:numFmt w:val="lowerRoman"/>
      <w:lvlText w:val="%3."/>
      <w:lvlJc w:val="right"/>
      <w:pPr>
        <w:ind w:left="2160" w:hanging="180"/>
      </w:pPr>
    </w:lvl>
    <w:lvl w:ilvl="3" w:tplc="4138792E" w:tentative="1">
      <w:start w:val="1"/>
      <w:numFmt w:val="decimal"/>
      <w:lvlText w:val="%4."/>
      <w:lvlJc w:val="left"/>
      <w:pPr>
        <w:ind w:left="2880" w:hanging="360"/>
      </w:pPr>
    </w:lvl>
    <w:lvl w:ilvl="4" w:tplc="64E86EE8" w:tentative="1">
      <w:start w:val="1"/>
      <w:numFmt w:val="lowerLetter"/>
      <w:lvlText w:val="%5."/>
      <w:lvlJc w:val="left"/>
      <w:pPr>
        <w:ind w:left="3600" w:hanging="360"/>
      </w:pPr>
    </w:lvl>
    <w:lvl w:ilvl="5" w:tplc="4D9A9EE4" w:tentative="1">
      <w:start w:val="1"/>
      <w:numFmt w:val="lowerRoman"/>
      <w:lvlText w:val="%6."/>
      <w:lvlJc w:val="right"/>
      <w:pPr>
        <w:ind w:left="4320" w:hanging="180"/>
      </w:pPr>
    </w:lvl>
    <w:lvl w:ilvl="6" w:tplc="4156F458" w:tentative="1">
      <w:start w:val="1"/>
      <w:numFmt w:val="decimal"/>
      <w:lvlText w:val="%7."/>
      <w:lvlJc w:val="left"/>
      <w:pPr>
        <w:ind w:left="5040" w:hanging="360"/>
      </w:pPr>
    </w:lvl>
    <w:lvl w:ilvl="7" w:tplc="8C5E5CA4" w:tentative="1">
      <w:start w:val="1"/>
      <w:numFmt w:val="lowerLetter"/>
      <w:lvlText w:val="%8."/>
      <w:lvlJc w:val="left"/>
      <w:pPr>
        <w:ind w:left="5760" w:hanging="360"/>
      </w:pPr>
    </w:lvl>
    <w:lvl w:ilvl="8" w:tplc="55224CA8" w:tentative="1">
      <w:start w:val="1"/>
      <w:numFmt w:val="lowerRoman"/>
      <w:lvlText w:val="%9."/>
      <w:lvlJc w:val="right"/>
      <w:pPr>
        <w:ind w:left="6480" w:hanging="180"/>
      </w:pPr>
    </w:lvl>
  </w:abstractNum>
  <w:abstractNum w:abstractNumId="13">
    <w:nsid w:val="3D7F689A"/>
    <w:multiLevelType w:val="hybridMultilevel"/>
    <w:tmpl w:val="69265368"/>
    <w:lvl w:ilvl="0" w:tplc="39FA87D2">
      <w:start w:val="2"/>
      <w:numFmt w:val="upperRoman"/>
      <w:lvlText w:val="%1."/>
      <w:lvlJc w:val="left"/>
      <w:pPr>
        <w:ind w:left="1440" w:hanging="720"/>
      </w:pPr>
      <w:rPr>
        <w:rFonts w:hint="default"/>
      </w:rPr>
    </w:lvl>
    <w:lvl w:ilvl="1" w:tplc="FD7ADCA0" w:tentative="1">
      <w:start w:val="1"/>
      <w:numFmt w:val="lowerLetter"/>
      <w:lvlText w:val="%2."/>
      <w:lvlJc w:val="left"/>
      <w:pPr>
        <w:ind w:left="1800" w:hanging="360"/>
      </w:pPr>
    </w:lvl>
    <w:lvl w:ilvl="2" w:tplc="A678D5BA" w:tentative="1">
      <w:start w:val="1"/>
      <w:numFmt w:val="lowerRoman"/>
      <w:lvlText w:val="%3."/>
      <w:lvlJc w:val="right"/>
      <w:pPr>
        <w:ind w:left="2520" w:hanging="180"/>
      </w:pPr>
    </w:lvl>
    <w:lvl w:ilvl="3" w:tplc="F85EB3A2" w:tentative="1">
      <w:start w:val="1"/>
      <w:numFmt w:val="decimal"/>
      <w:lvlText w:val="%4."/>
      <w:lvlJc w:val="left"/>
      <w:pPr>
        <w:ind w:left="3240" w:hanging="360"/>
      </w:pPr>
    </w:lvl>
    <w:lvl w:ilvl="4" w:tplc="E05821D8" w:tentative="1">
      <w:start w:val="1"/>
      <w:numFmt w:val="lowerLetter"/>
      <w:lvlText w:val="%5."/>
      <w:lvlJc w:val="left"/>
      <w:pPr>
        <w:ind w:left="3960" w:hanging="360"/>
      </w:pPr>
    </w:lvl>
    <w:lvl w:ilvl="5" w:tplc="D8BC438A" w:tentative="1">
      <w:start w:val="1"/>
      <w:numFmt w:val="lowerRoman"/>
      <w:lvlText w:val="%6."/>
      <w:lvlJc w:val="right"/>
      <w:pPr>
        <w:ind w:left="4680" w:hanging="180"/>
      </w:pPr>
    </w:lvl>
    <w:lvl w:ilvl="6" w:tplc="6D9455EC" w:tentative="1">
      <w:start w:val="1"/>
      <w:numFmt w:val="decimal"/>
      <w:lvlText w:val="%7."/>
      <w:lvlJc w:val="left"/>
      <w:pPr>
        <w:ind w:left="5400" w:hanging="360"/>
      </w:pPr>
    </w:lvl>
    <w:lvl w:ilvl="7" w:tplc="D83AC924" w:tentative="1">
      <w:start w:val="1"/>
      <w:numFmt w:val="lowerLetter"/>
      <w:lvlText w:val="%8."/>
      <w:lvlJc w:val="left"/>
      <w:pPr>
        <w:ind w:left="6120" w:hanging="360"/>
      </w:pPr>
    </w:lvl>
    <w:lvl w:ilvl="8" w:tplc="E2A8D0E4" w:tentative="1">
      <w:start w:val="1"/>
      <w:numFmt w:val="lowerRoman"/>
      <w:lvlText w:val="%9."/>
      <w:lvlJc w:val="right"/>
      <w:pPr>
        <w:ind w:left="6840" w:hanging="180"/>
      </w:pPr>
    </w:lvl>
  </w:abstractNum>
  <w:abstractNum w:abstractNumId="14">
    <w:nsid w:val="3FCF398A"/>
    <w:multiLevelType w:val="hybridMultilevel"/>
    <w:tmpl w:val="BBE84E66"/>
    <w:lvl w:ilvl="0" w:tplc="29E47376">
      <w:start w:val="1"/>
      <w:numFmt w:val="upperLetter"/>
      <w:lvlText w:val="%1."/>
      <w:lvlJc w:val="left"/>
      <w:pPr>
        <w:ind w:left="1080" w:hanging="360"/>
      </w:pPr>
      <w:rPr>
        <w:rFonts w:hint="default"/>
      </w:rPr>
    </w:lvl>
    <w:lvl w:ilvl="1" w:tplc="0E30A7EE" w:tentative="1">
      <w:start w:val="1"/>
      <w:numFmt w:val="lowerLetter"/>
      <w:lvlText w:val="%2."/>
      <w:lvlJc w:val="left"/>
      <w:pPr>
        <w:ind w:left="1800" w:hanging="360"/>
      </w:pPr>
    </w:lvl>
    <w:lvl w:ilvl="2" w:tplc="F0E87D6C" w:tentative="1">
      <w:start w:val="1"/>
      <w:numFmt w:val="lowerRoman"/>
      <w:lvlText w:val="%3."/>
      <w:lvlJc w:val="right"/>
      <w:pPr>
        <w:ind w:left="2520" w:hanging="180"/>
      </w:pPr>
    </w:lvl>
    <w:lvl w:ilvl="3" w:tplc="0888A202" w:tentative="1">
      <w:start w:val="1"/>
      <w:numFmt w:val="decimal"/>
      <w:lvlText w:val="%4."/>
      <w:lvlJc w:val="left"/>
      <w:pPr>
        <w:ind w:left="3240" w:hanging="360"/>
      </w:pPr>
    </w:lvl>
    <w:lvl w:ilvl="4" w:tplc="B4DC0608" w:tentative="1">
      <w:start w:val="1"/>
      <w:numFmt w:val="lowerLetter"/>
      <w:lvlText w:val="%5."/>
      <w:lvlJc w:val="left"/>
      <w:pPr>
        <w:ind w:left="3960" w:hanging="360"/>
      </w:pPr>
    </w:lvl>
    <w:lvl w:ilvl="5" w:tplc="BC709E82" w:tentative="1">
      <w:start w:val="1"/>
      <w:numFmt w:val="lowerRoman"/>
      <w:lvlText w:val="%6."/>
      <w:lvlJc w:val="right"/>
      <w:pPr>
        <w:ind w:left="4680" w:hanging="180"/>
      </w:pPr>
    </w:lvl>
    <w:lvl w:ilvl="6" w:tplc="7624D3A0" w:tentative="1">
      <w:start w:val="1"/>
      <w:numFmt w:val="decimal"/>
      <w:lvlText w:val="%7."/>
      <w:lvlJc w:val="left"/>
      <w:pPr>
        <w:ind w:left="5400" w:hanging="360"/>
      </w:pPr>
    </w:lvl>
    <w:lvl w:ilvl="7" w:tplc="25CAFF7C" w:tentative="1">
      <w:start w:val="1"/>
      <w:numFmt w:val="lowerLetter"/>
      <w:lvlText w:val="%8."/>
      <w:lvlJc w:val="left"/>
      <w:pPr>
        <w:ind w:left="6120" w:hanging="360"/>
      </w:pPr>
    </w:lvl>
    <w:lvl w:ilvl="8" w:tplc="DD7ED2FA" w:tentative="1">
      <w:start w:val="1"/>
      <w:numFmt w:val="lowerRoman"/>
      <w:lvlText w:val="%9."/>
      <w:lvlJc w:val="right"/>
      <w:pPr>
        <w:ind w:left="6840" w:hanging="180"/>
      </w:pPr>
    </w:lvl>
  </w:abstractNum>
  <w:abstractNum w:abstractNumId="15">
    <w:nsid w:val="4DAB553F"/>
    <w:multiLevelType w:val="hybridMultilevel"/>
    <w:tmpl w:val="FA7AAF8A"/>
    <w:lvl w:ilvl="0" w:tplc="CAF6C480">
      <w:start w:val="1"/>
      <w:numFmt w:val="decimal"/>
      <w:lvlText w:val="(%1)"/>
      <w:lvlJc w:val="left"/>
      <w:pPr>
        <w:ind w:left="1080" w:hanging="360"/>
      </w:pPr>
      <w:rPr>
        <w:rFonts w:hint="default"/>
      </w:rPr>
    </w:lvl>
    <w:lvl w:ilvl="1" w:tplc="142A151C" w:tentative="1">
      <w:start w:val="1"/>
      <w:numFmt w:val="lowerLetter"/>
      <w:lvlText w:val="%2."/>
      <w:lvlJc w:val="left"/>
      <w:pPr>
        <w:ind w:left="1800" w:hanging="360"/>
      </w:pPr>
    </w:lvl>
    <w:lvl w:ilvl="2" w:tplc="5436257C" w:tentative="1">
      <w:start w:val="1"/>
      <w:numFmt w:val="lowerRoman"/>
      <w:lvlText w:val="%3."/>
      <w:lvlJc w:val="right"/>
      <w:pPr>
        <w:ind w:left="2520" w:hanging="180"/>
      </w:pPr>
    </w:lvl>
    <w:lvl w:ilvl="3" w:tplc="4DE6F0D0" w:tentative="1">
      <w:start w:val="1"/>
      <w:numFmt w:val="decimal"/>
      <w:lvlText w:val="%4."/>
      <w:lvlJc w:val="left"/>
      <w:pPr>
        <w:ind w:left="3240" w:hanging="360"/>
      </w:pPr>
    </w:lvl>
    <w:lvl w:ilvl="4" w:tplc="0374D7F0" w:tentative="1">
      <w:start w:val="1"/>
      <w:numFmt w:val="lowerLetter"/>
      <w:lvlText w:val="%5."/>
      <w:lvlJc w:val="left"/>
      <w:pPr>
        <w:ind w:left="3960" w:hanging="360"/>
      </w:pPr>
    </w:lvl>
    <w:lvl w:ilvl="5" w:tplc="AE00AE78" w:tentative="1">
      <w:start w:val="1"/>
      <w:numFmt w:val="lowerRoman"/>
      <w:lvlText w:val="%6."/>
      <w:lvlJc w:val="right"/>
      <w:pPr>
        <w:ind w:left="4680" w:hanging="180"/>
      </w:pPr>
    </w:lvl>
    <w:lvl w:ilvl="6" w:tplc="CF686E16" w:tentative="1">
      <w:start w:val="1"/>
      <w:numFmt w:val="decimal"/>
      <w:lvlText w:val="%7."/>
      <w:lvlJc w:val="left"/>
      <w:pPr>
        <w:ind w:left="5400" w:hanging="360"/>
      </w:pPr>
    </w:lvl>
    <w:lvl w:ilvl="7" w:tplc="A9D6F3EA" w:tentative="1">
      <w:start w:val="1"/>
      <w:numFmt w:val="lowerLetter"/>
      <w:lvlText w:val="%8."/>
      <w:lvlJc w:val="left"/>
      <w:pPr>
        <w:ind w:left="6120" w:hanging="360"/>
      </w:pPr>
    </w:lvl>
    <w:lvl w:ilvl="8" w:tplc="FF66A36A" w:tentative="1">
      <w:start w:val="1"/>
      <w:numFmt w:val="lowerRoman"/>
      <w:lvlText w:val="%9."/>
      <w:lvlJc w:val="right"/>
      <w:pPr>
        <w:ind w:left="6840" w:hanging="180"/>
      </w:pPr>
    </w:lvl>
  </w:abstractNum>
  <w:abstractNum w:abstractNumId="16">
    <w:nsid w:val="51F90B6B"/>
    <w:multiLevelType w:val="hybridMultilevel"/>
    <w:tmpl w:val="AF4A4F74"/>
    <w:lvl w:ilvl="0" w:tplc="BCB60F6C">
      <w:start w:val="1"/>
      <w:numFmt w:val="upperLetter"/>
      <w:lvlText w:val="%1."/>
      <w:lvlJc w:val="left"/>
      <w:pPr>
        <w:ind w:left="1080" w:hanging="360"/>
      </w:pPr>
      <w:rPr>
        <w:rFonts w:hint="default"/>
      </w:rPr>
    </w:lvl>
    <w:lvl w:ilvl="1" w:tplc="1C6CCE04" w:tentative="1">
      <w:start w:val="1"/>
      <w:numFmt w:val="lowerLetter"/>
      <w:lvlText w:val="%2."/>
      <w:lvlJc w:val="left"/>
      <w:pPr>
        <w:ind w:left="1800" w:hanging="360"/>
      </w:pPr>
    </w:lvl>
    <w:lvl w:ilvl="2" w:tplc="27DCA5CE" w:tentative="1">
      <w:start w:val="1"/>
      <w:numFmt w:val="lowerRoman"/>
      <w:lvlText w:val="%3."/>
      <w:lvlJc w:val="right"/>
      <w:pPr>
        <w:ind w:left="2520" w:hanging="180"/>
      </w:pPr>
    </w:lvl>
    <w:lvl w:ilvl="3" w:tplc="669283A8" w:tentative="1">
      <w:start w:val="1"/>
      <w:numFmt w:val="decimal"/>
      <w:lvlText w:val="%4."/>
      <w:lvlJc w:val="left"/>
      <w:pPr>
        <w:ind w:left="3240" w:hanging="360"/>
      </w:pPr>
    </w:lvl>
    <w:lvl w:ilvl="4" w:tplc="2C0A0046" w:tentative="1">
      <w:start w:val="1"/>
      <w:numFmt w:val="lowerLetter"/>
      <w:lvlText w:val="%5."/>
      <w:lvlJc w:val="left"/>
      <w:pPr>
        <w:ind w:left="3960" w:hanging="360"/>
      </w:pPr>
    </w:lvl>
    <w:lvl w:ilvl="5" w:tplc="FB7A4220" w:tentative="1">
      <w:start w:val="1"/>
      <w:numFmt w:val="lowerRoman"/>
      <w:lvlText w:val="%6."/>
      <w:lvlJc w:val="right"/>
      <w:pPr>
        <w:ind w:left="4680" w:hanging="180"/>
      </w:pPr>
    </w:lvl>
    <w:lvl w:ilvl="6" w:tplc="4E56897E" w:tentative="1">
      <w:start w:val="1"/>
      <w:numFmt w:val="decimal"/>
      <w:lvlText w:val="%7."/>
      <w:lvlJc w:val="left"/>
      <w:pPr>
        <w:ind w:left="5400" w:hanging="360"/>
      </w:pPr>
    </w:lvl>
    <w:lvl w:ilvl="7" w:tplc="0AEA12FC" w:tentative="1">
      <w:start w:val="1"/>
      <w:numFmt w:val="lowerLetter"/>
      <w:lvlText w:val="%8."/>
      <w:lvlJc w:val="left"/>
      <w:pPr>
        <w:ind w:left="6120" w:hanging="360"/>
      </w:pPr>
    </w:lvl>
    <w:lvl w:ilvl="8" w:tplc="A0D47ABE" w:tentative="1">
      <w:start w:val="1"/>
      <w:numFmt w:val="lowerRoman"/>
      <w:lvlText w:val="%9."/>
      <w:lvlJc w:val="right"/>
      <w:pPr>
        <w:ind w:left="6840" w:hanging="180"/>
      </w:pPr>
    </w:lvl>
  </w:abstractNum>
  <w:abstractNum w:abstractNumId="17">
    <w:nsid w:val="5277657F"/>
    <w:multiLevelType w:val="multilevel"/>
    <w:tmpl w:val="F40041B2"/>
    <w:lvl w:ilvl="0">
      <w:start w:val="1"/>
      <w:numFmt w:val="decimal"/>
      <w:lvlText w:val="%1."/>
      <w:lvlJc w:val="left"/>
      <w:pPr>
        <w:tabs>
          <w:tab w:val="left" w:pos="288"/>
        </w:tabs>
        <w:ind w:left="720"/>
      </w:pPr>
      <w:rPr>
        <w:rFonts w:ascii="Arial" w:eastAsia="Arial" w:hAnsi="Arial"/>
        <w:strike w:val="0"/>
        <w:color w:val="000000"/>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A34D6E"/>
    <w:multiLevelType w:val="hybridMultilevel"/>
    <w:tmpl w:val="6B6463C6"/>
    <w:lvl w:ilvl="0" w:tplc="F9666C94">
      <w:start w:val="1"/>
      <w:numFmt w:val="upperRoman"/>
      <w:lvlText w:val="%1."/>
      <w:lvlJc w:val="left"/>
      <w:pPr>
        <w:ind w:left="1500" w:hanging="720"/>
      </w:pPr>
      <w:rPr>
        <w:rFonts w:hint="default"/>
      </w:rPr>
    </w:lvl>
    <w:lvl w:ilvl="1" w:tplc="00E6CF4C" w:tentative="1">
      <w:start w:val="1"/>
      <w:numFmt w:val="lowerLetter"/>
      <w:lvlText w:val="%2."/>
      <w:lvlJc w:val="left"/>
      <w:pPr>
        <w:ind w:left="1860" w:hanging="360"/>
      </w:pPr>
    </w:lvl>
    <w:lvl w:ilvl="2" w:tplc="18FCCF46" w:tentative="1">
      <w:start w:val="1"/>
      <w:numFmt w:val="lowerRoman"/>
      <w:lvlText w:val="%3."/>
      <w:lvlJc w:val="right"/>
      <w:pPr>
        <w:ind w:left="2580" w:hanging="180"/>
      </w:pPr>
    </w:lvl>
    <w:lvl w:ilvl="3" w:tplc="27A8AEA0" w:tentative="1">
      <w:start w:val="1"/>
      <w:numFmt w:val="decimal"/>
      <w:lvlText w:val="%4."/>
      <w:lvlJc w:val="left"/>
      <w:pPr>
        <w:ind w:left="3300" w:hanging="360"/>
      </w:pPr>
    </w:lvl>
    <w:lvl w:ilvl="4" w:tplc="A832F30E" w:tentative="1">
      <w:start w:val="1"/>
      <w:numFmt w:val="lowerLetter"/>
      <w:lvlText w:val="%5."/>
      <w:lvlJc w:val="left"/>
      <w:pPr>
        <w:ind w:left="4020" w:hanging="360"/>
      </w:pPr>
    </w:lvl>
    <w:lvl w:ilvl="5" w:tplc="18AAB64C" w:tentative="1">
      <w:start w:val="1"/>
      <w:numFmt w:val="lowerRoman"/>
      <w:lvlText w:val="%6."/>
      <w:lvlJc w:val="right"/>
      <w:pPr>
        <w:ind w:left="4740" w:hanging="180"/>
      </w:pPr>
    </w:lvl>
    <w:lvl w:ilvl="6" w:tplc="213C6A22" w:tentative="1">
      <w:start w:val="1"/>
      <w:numFmt w:val="decimal"/>
      <w:lvlText w:val="%7."/>
      <w:lvlJc w:val="left"/>
      <w:pPr>
        <w:ind w:left="5460" w:hanging="360"/>
      </w:pPr>
    </w:lvl>
    <w:lvl w:ilvl="7" w:tplc="F18E7BF4" w:tentative="1">
      <w:start w:val="1"/>
      <w:numFmt w:val="lowerLetter"/>
      <w:lvlText w:val="%8."/>
      <w:lvlJc w:val="left"/>
      <w:pPr>
        <w:ind w:left="6180" w:hanging="360"/>
      </w:pPr>
    </w:lvl>
    <w:lvl w:ilvl="8" w:tplc="BA9A5590" w:tentative="1">
      <w:start w:val="1"/>
      <w:numFmt w:val="lowerRoman"/>
      <w:lvlText w:val="%9."/>
      <w:lvlJc w:val="right"/>
      <w:pPr>
        <w:ind w:left="6900" w:hanging="180"/>
      </w:pPr>
    </w:lvl>
  </w:abstractNum>
  <w:abstractNum w:abstractNumId="19">
    <w:nsid w:val="55CE0CE2"/>
    <w:multiLevelType w:val="multilevel"/>
    <w:tmpl w:val="FE525292"/>
    <w:lvl w:ilvl="0">
      <w:start w:val="1"/>
      <w:numFmt w:val="bullet"/>
      <w:lvlText w:val="·"/>
      <w:lvlJc w:val="left"/>
      <w:pPr>
        <w:tabs>
          <w:tab w:val="left" w:pos="720"/>
        </w:tabs>
        <w:ind w:left="720"/>
      </w:pPr>
      <w:rPr>
        <w:rFonts w:ascii="Symbol" w:eastAsia="Symbol" w:hAnsi="Symbol"/>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8D2232"/>
    <w:multiLevelType w:val="hybridMultilevel"/>
    <w:tmpl w:val="35DA7DAA"/>
    <w:lvl w:ilvl="0" w:tplc="8452AC62">
      <w:start w:val="1"/>
      <w:numFmt w:val="decimal"/>
      <w:lvlText w:val="%1."/>
      <w:lvlJc w:val="left"/>
      <w:pPr>
        <w:ind w:left="1800" w:hanging="360"/>
      </w:pPr>
      <w:rPr>
        <w:rFonts w:hint="default"/>
      </w:rPr>
    </w:lvl>
    <w:lvl w:ilvl="1" w:tplc="D430F10A" w:tentative="1">
      <w:start w:val="1"/>
      <w:numFmt w:val="lowerLetter"/>
      <w:lvlText w:val="%2."/>
      <w:lvlJc w:val="left"/>
      <w:pPr>
        <w:ind w:left="2520" w:hanging="360"/>
      </w:pPr>
    </w:lvl>
    <w:lvl w:ilvl="2" w:tplc="AC28282E" w:tentative="1">
      <w:start w:val="1"/>
      <w:numFmt w:val="lowerRoman"/>
      <w:lvlText w:val="%3."/>
      <w:lvlJc w:val="right"/>
      <w:pPr>
        <w:ind w:left="3240" w:hanging="180"/>
      </w:pPr>
    </w:lvl>
    <w:lvl w:ilvl="3" w:tplc="D04ECF5A" w:tentative="1">
      <w:start w:val="1"/>
      <w:numFmt w:val="decimal"/>
      <w:lvlText w:val="%4."/>
      <w:lvlJc w:val="left"/>
      <w:pPr>
        <w:ind w:left="3960" w:hanging="360"/>
      </w:pPr>
    </w:lvl>
    <w:lvl w:ilvl="4" w:tplc="5A2A7BA6" w:tentative="1">
      <w:start w:val="1"/>
      <w:numFmt w:val="lowerLetter"/>
      <w:lvlText w:val="%5."/>
      <w:lvlJc w:val="left"/>
      <w:pPr>
        <w:ind w:left="4680" w:hanging="360"/>
      </w:pPr>
    </w:lvl>
    <w:lvl w:ilvl="5" w:tplc="31AE531C" w:tentative="1">
      <w:start w:val="1"/>
      <w:numFmt w:val="lowerRoman"/>
      <w:lvlText w:val="%6."/>
      <w:lvlJc w:val="right"/>
      <w:pPr>
        <w:ind w:left="5400" w:hanging="180"/>
      </w:pPr>
    </w:lvl>
    <w:lvl w:ilvl="6" w:tplc="B98CB016" w:tentative="1">
      <w:start w:val="1"/>
      <w:numFmt w:val="decimal"/>
      <w:lvlText w:val="%7."/>
      <w:lvlJc w:val="left"/>
      <w:pPr>
        <w:ind w:left="6120" w:hanging="360"/>
      </w:pPr>
    </w:lvl>
    <w:lvl w:ilvl="7" w:tplc="CEE48614" w:tentative="1">
      <w:start w:val="1"/>
      <w:numFmt w:val="lowerLetter"/>
      <w:lvlText w:val="%8."/>
      <w:lvlJc w:val="left"/>
      <w:pPr>
        <w:ind w:left="6840" w:hanging="360"/>
      </w:pPr>
    </w:lvl>
    <w:lvl w:ilvl="8" w:tplc="236C4B62" w:tentative="1">
      <w:start w:val="1"/>
      <w:numFmt w:val="lowerRoman"/>
      <w:lvlText w:val="%9."/>
      <w:lvlJc w:val="right"/>
      <w:pPr>
        <w:ind w:left="7560" w:hanging="180"/>
      </w:pPr>
    </w:lvl>
  </w:abstractNum>
  <w:abstractNum w:abstractNumId="21">
    <w:nsid w:val="70566884"/>
    <w:multiLevelType w:val="hybridMultilevel"/>
    <w:tmpl w:val="D3026A58"/>
    <w:lvl w:ilvl="0" w:tplc="AAB215EC">
      <w:start w:val="1"/>
      <w:numFmt w:val="bullet"/>
      <w:lvlText w:val=""/>
      <w:lvlJc w:val="left"/>
      <w:pPr>
        <w:ind w:left="1507" w:hanging="360"/>
      </w:pPr>
      <w:rPr>
        <w:rFonts w:ascii="Symbol" w:hAnsi="Symbol" w:hint="default"/>
      </w:rPr>
    </w:lvl>
    <w:lvl w:ilvl="1" w:tplc="85CA2A80" w:tentative="1">
      <w:start w:val="1"/>
      <w:numFmt w:val="bullet"/>
      <w:lvlText w:val="o"/>
      <w:lvlJc w:val="left"/>
      <w:pPr>
        <w:ind w:left="2227" w:hanging="360"/>
      </w:pPr>
      <w:rPr>
        <w:rFonts w:ascii="Courier New" w:hAnsi="Courier New" w:cs="Courier New" w:hint="default"/>
      </w:rPr>
    </w:lvl>
    <w:lvl w:ilvl="2" w:tplc="FBB4D6FC" w:tentative="1">
      <w:start w:val="1"/>
      <w:numFmt w:val="bullet"/>
      <w:lvlText w:val=""/>
      <w:lvlJc w:val="left"/>
      <w:pPr>
        <w:ind w:left="2947" w:hanging="360"/>
      </w:pPr>
      <w:rPr>
        <w:rFonts w:ascii="Wingdings" w:hAnsi="Wingdings" w:hint="default"/>
      </w:rPr>
    </w:lvl>
    <w:lvl w:ilvl="3" w:tplc="3EB05960" w:tentative="1">
      <w:start w:val="1"/>
      <w:numFmt w:val="bullet"/>
      <w:lvlText w:val=""/>
      <w:lvlJc w:val="left"/>
      <w:pPr>
        <w:ind w:left="3667" w:hanging="360"/>
      </w:pPr>
      <w:rPr>
        <w:rFonts w:ascii="Symbol" w:hAnsi="Symbol" w:hint="default"/>
      </w:rPr>
    </w:lvl>
    <w:lvl w:ilvl="4" w:tplc="46860BC4" w:tentative="1">
      <w:start w:val="1"/>
      <w:numFmt w:val="bullet"/>
      <w:lvlText w:val="o"/>
      <w:lvlJc w:val="left"/>
      <w:pPr>
        <w:ind w:left="4387" w:hanging="360"/>
      </w:pPr>
      <w:rPr>
        <w:rFonts w:ascii="Courier New" w:hAnsi="Courier New" w:cs="Courier New" w:hint="default"/>
      </w:rPr>
    </w:lvl>
    <w:lvl w:ilvl="5" w:tplc="A2E4756C" w:tentative="1">
      <w:start w:val="1"/>
      <w:numFmt w:val="bullet"/>
      <w:lvlText w:val=""/>
      <w:lvlJc w:val="left"/>
      <w:pPr>
        <w:ind w:left="5107" w:hanging="360"/>
      </w:pPr>
      <w:rPr>
        <w:rFonts w:ascii="Wingdings" w:hAnsi="Wingdings" w:hint="default"/>
      </w:rPr>
    </w:lvl>
    <w:lvl w:ilvl="6" w:tplc="0BD44640" w:tentative="1">
      <w:start w:val="1"/>
      <w:numFmt w:val="bullet"/>
      <w:lvlText w:val=""/>
      <w:lvlJc w:val="left"/>
      <w:pPr>
        <w:ind w:left="5827" w:hanging="360"/>
      </w:pPr>
      <w:rPr>
        <w:rFonts w:ascii="Symbol" w:hAnsi="Symbol" w:hint="default"/>
      </w:rPr>
    </w:lvl>
    <w:lvl w:ilvl="7" w:tplc="993889BA" w:tentative="1">
      <w:start w:val="1"/>
      <w:numFmt w:val="bullet"/>
      <w:lvlText w:val="o"/>
      <w:lvlJc w:val="left"/>
      <w:pPr>
        <w:ind w:left="6547" w:hanging="360"/>
      </w:pPr>
      <w:rPr>
        <w:rFonts w:ascii="Courier New" w:hAnsi="Courier New" w:cs="Courier New" w:hint="default"/>
      </w:rPr>
    </w:lvl>
    <w:lvl w:ilvl="8" w:tplc="1DA825FC" w:tentative="1">
      <w:start w:val="1"/>
      <w:numFmt w:val="bullet"/>
      <w:lvlText w:val=""/>
      <w:lvlJc w:val="left"/>
      <w:pPr>
        <w:ind w:left="7267" w:hanging="360"/>
      </w:pPr>
      <w:rPr>
        <w:rFonts w:ascii="Wingdings" w:hAnsi="Wingdings" w:hint="default"/>
      </w:rPr>
    </w:lvl>
  </w:abstractNum>
  <w:abstractNum w:abstractNumId="22">
    <w:nsid w:val="78510710"/>
    <w:multiLevelType w:val="hybridMultilevel"/>
    <w:tmpl w:val="3D36B594"/>
    <w:lvl w:ilvl="0" w:tplc="27F2D99E">
      <w:start w:val="1"/>
      <w:numFmt w:val="upperRoman"/>
      <w:lvlText w:val="%1."/>
      <w:lvlJc w:val="left"/>
      <w:pPr>
        <w:ind w:left="1080" w:hanging="720"/>
      </w:pPr>
      <w:rPr>
        <w:rFonts w:hint="default"/>
      </w:rPr>
    </w:lvl>
    <w:lvl w:ilvl="1" w:tplc="0F0245A2" w:tentative="1">
      <w:start w:val="1"/>
      <w:numFmt w:val="lowerLetter"/>
      <w:lvlText w:val="%2."/>
      <w:lvlJc w:val="left"/>
      <w:pPr>
        <w:ind w:left="1440" w:hanging="360"/>
      </w:pPr>
    </w:lvl>
    <w:lvl w:ilvl="2" w:tplc="DA6E7200" w:tentative="1">
      <w:start w:val="1"/>
      <w:numFmt w:val="lowerRoman"/>
      <w:lvlText w:val="%3."/>
      <w:lvlJc w:val="right"/>
      <w:pPr>
        <w:ind w:left="2160" w:hanging="180"/>
      </w:pPr>
    </w:lvl>
    <w:lvl w:ilvl="3" w:tplc="020CD1B2" w:tentative="1">
      <w:start w:val="1"/>
      <w:numFmt w:val="decimal"/>
      <w:lvlText w:val="%4."/>
      <w:lvlJc w:val="left"/>
      <w:pPr>
        <w:ind w:left="2880" w:hanging="360"/>
      </w:pPr>
    </w:lvl>
    <w:lvl w:ilvl="4" w:tplc="491E6090" w:tentative="1">
      <w:start w:val="1"/>
      <w:numFmt w:val="lowerLetter"/>
      <w:lvlText w:val="%5."/>
      <w:lvlJc w:val="left"/>
      <w:pPr>
        <w:ind w:left="3600" w:hanging="360"/>
      </w:pPr>
    </w:lvl>
    <w:lvl w:ilvl="5" w:tplc="EFD41DC8" w:tentative="1">
      <w:start w:val="1"/>
      <w:numFmt w:val="lowerRoman"/>
      <w:lvlText w:val="%6."/>
      <w:lvlJc w:val="right"/>
      <w:pPr>
        <w:ind w:left="4320" w:hanging="180"/>
      </w:pPr>
    </w:lvl>
    <w:lvl w:ilvl="6" w:tplc="DC60D6AE" w:tentative="1">
      <w:start w:val="1"/>
      <w:numFmt w:val="decimal"/>
      <w:lvlText w:val="%7."/>
      <w:lvlJc w:val="left"/>
      <w:pPr>
        <w:ind w:left="5040" w:hanging="360"/>
      </w:pPr>
    </w:lvl>
    <w:lvl w:ilvl="7" w:tplc="903AA650" w:tentative="1">
      <w:start w:val="1"/>
      <w:numFmt w:val="lowerLetter"/>
      <w:lvlText w:val="%8."/>
      <w:lvlJc w:val="left"/>
      <w:pPr>
        <w:ind w:left="5760" w:hanging="360"/>
      </w:pPr>
    </w:lvl>
    <w:lvl w:ilvl="8" w:tplc="F7AE98EE" w:tentative="1">
      <w:start w:val="1"/>
      <w:numFmt w:val="lowerRoman"/>
      <w:lvlText w:val="%9."/>
      <w:lvlJc w:val="right"/>
      <w:pPr>
        <w:ind w:left="6480" w:hanging="180"/>
      </w:pPr>
    </w:lvl>
  </w:abstractNum>
  <w:abstractNum w:abstractNumId="23">
    <w:nsid w:val="78BA5CF2"/>
    <w:multiLevelType w:val="hybridMultilevel"/>
    <w:tmpl w:val="7C2E4C08"/>
    <w:lvl w:ilvl="0" w:tplc="36829A82">
      <w:start w:val="1"/>
      <w:numFmt w:val="upperLetter"/>
      <w:pStyle w:val="Heading2"/>
      <w:lvlText w:val="%1."/>
      <w:lvlJc w:val="left"/>
      <w:pPr>
        <w:ind w:left="1080" w:hanging="360"/>
      </w:pPr>
      <w:rPr>
        <w:rFonts w:hint="default"/>
      </w:rPr>
    </w:lvl>
    <w:lvl w:ilvl="1" w:tplc="0414E762" w:tentative="1">
      <w:start w:val="1"/>
      <w:numFmt w:val="lowerLetter"/>
      <w:lvlText w:val="%2."/>
      <w:lvlJc w:val="left"/>
      <w:pPr>
        <w:ind w:left="1800" w:hanging="360"/>
      </w:pPr>
    </w:lvl>
    <w:lvl w:ilvl="2" w:tplc="2FF66B10" w:tentative="1">
      <w:start w:val="1"/>
      <w:numFmt w:val="lowerRoman"/>
      <w:lvlText w:val="%3."/>
      <w:lvlJc w:val="right"/>
      <w:pPr>
        <w:ind w:left="2520" w:hanging="180"/>
      </w:pPr>
    </w:lvl>
    <w:lvl w:ilvl="3" w:tplc="A8D8F03E" w:tentative="1">
      <w:start w:val="1"/>
      <w:numFmt w:val="decimal"/>
      <w:lvlText w:val="%4."/>
      <w:lvlJc w:val="left"/>
      <w:pPr>
        <w:ind w:left="3240" w:hanging="360"/>
      </w:pPr>
    </w:lvl>
    <w:lvl w:ilvl="4" w:tplc="FBBCDF22" w:tentative="1">
      <w:start w:val="1"/>
      <w:numFmt w:val="lowerLetter"/>
      <w:lvlText w:val="%5."/>
      <w:lvlJc w:val="left"/>
      <w:pPr>
        <w:ind w:left="3960" w:hanging="360"/>
      </w:pPr>
    </w:lvl>
    <w:lvl w:ilvl="5" w:tplc="B2F0121C" w:tentative="1">
      <w:start w:val="1"/>
      <w:numFmt w:val="lowerRoman"/>
      <w:lvlText w:val="%6."/>
      <w:lvlJc w:val="right"/>
      <w:pPr>
        <w:ind w:left="4680" w:hanging="180"/>
      </w:pPr>
    </w:lvl>
    <w:lvl w:ilvl="6" w:tplc="31342866" w:tentative="1">
      <w:start w:val="1"/>
      <w:numFmt w:val="decimal"/>
      <w:lvlText w:val="%7."/>
      <w:lvlJc w:val="left"/>
      <w:pPr>
        <w:ind w:left="5400" w:hanging="360"/>
      </w:pPr>
    </w:lvl>
    <w:lvl w:ilvl="7" w:tplc="1F14A6EC" w:tentative="1">
      <w:start w:val="1"/>
      <w:numFmt w:val="lowerLetter"/>
      <w:lvlText w:val="%8."/>
      <w:lvlJc w:val="left"/>
      <w:pPr>
        <w:ind w:left="6120" w:hanging="360"/>
      </w:pPr>
    </w:lvl>
    <w:lvl w:ilvl="8" w:tplc="2A2C2588" w:tentative="1">
      <w:start w:val="1"/>
      <w:numFmt w:val="lowerRoman"/>
      <w:lvlText w:val="%9."/>
      <w:lvlJc w:val="right"/>
      <w:pPr>
        <w:ind w:left="6840" w:hanging="180"/>
      </w:pPr>
    </w:lvl>
  </w:abstractNum>
  <w:abstractNum w:abstractNumId="24">
    <w:nsid w:val="78EA0950"/>
    <w:multiLevelType w:val="multilevel"/>
    <w:tmpl w:val="DFCAE5D4"/>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CF2CDA"/>
    <w:multiLevelType w:val="hybridMultilevel"/>
    <w:tmpl w:val="770200A4"/>
    <w:lvl w:ilvl="0" w:tplc="7E70FB46">
      <w:start w:val="1"/>
      <w:numFmt w:val="decimal"/>
      <w:lvlText w:val="%1."/>
      <w:lvlJc w:val="left"/>
      <w:pPr>
        <w:ind w:left="1800" w:hanging="360"/>
      </w:pPr>
      <w:rPr>
        <w:rFonts w:hint="default"/>
      </w:rPr>
    </w:lvl>
    <w:lvl w:ilvl="1" w:tplc="4AA29318" w:tentative="1">
      <w:start w:val="1"/>
      <w:numFmt w:val="lowerLetter"/>
      <w:lvlText w:val="%2."/>
      <w:lvlJc w:val="left"/>
      <w:pPr>
        <w:ind w:left="2520" w:hanging="360"/>
      </w:pPr>
    </w:lvl>
    <w:lvl w:ilvl="2" w:tplc="69D22BA2" w:tentative="1">
      <w:start w:val="1"/>
      <w:numFmt w:val="lowerRoman"/>
      <w:lvlText w:val="%3."/>
      <w:lvlJc w:val="right"/>
      <w:pPr>
        <w:ind w:left="3240" w:hanging="180"/>
      </w:pPr>
    </w:lvl>
    <w:lvl w:ilvl="3" w:tplc="6AD007DA" w:tentative="1">
      <w:start w:val="1"/>
      <w:numFmt w:val="decimal"/>
      <w:lvlText w:val="%4."/>
      <w:lvlJc w:val="left"/>
      <w:pPr>
        <w:ind w:left="3960" w:hanging="360"/>
      </w:pPr>
    </w:lvl>
    <w:lvl w:ilvl="4" w:tplc="B73E77A4" w:tentative="1">
      <w:start w:val="1"/>
      <w:numFmt w:val="lowerLetter"/>
      <w:lvlText w:val="%5."/>
      <w:lvlJc w:val="left"/>
      <w:pPr>
        <w:ind w:left="4680" w:hanging="360"/>
      </w:pPr>
    </w:lvl>
    <w:lvl w:ilvl="5" w:tplc="291EC786" w:tentative="1">
      <w:start w:val="1"/>
      <w:numFmt w:val="lowerRoman"/>
      <w:lvlText w:val="%6."/>
      <w:lvlJc w:val="right"/>
      <w:pPr>
        <w:ind w:left="5400" w:hanging="180"/>
      </w:pPr>
    </w:lvl>
    <w:lvl w:ilvl="6" w:tplc="02D63E0E" w:tentative="1">
      <w:start w:val="1"/>
      <w:numFmt w:val="decimal"/>
      <w:lvlText w:val="%7."/>
      <w:lvlJc w:val="left"/>
      <w:pPr>
        <w:ind w:left="6120" w:hanging="360"/>
      </w:pPr>
    </w:lvl>
    <w:lvl w:ilvl="7" w:tplc="0C046F56" w:tentative="1">
      <w:start w:val="1"/>
      <w:numFmt w:val="lowerLetter"/>
      <w:lvlText w:val="%8."/>
      <w:lvlJc w:val="left"/>
      <w:pPr>
        <w:ind w:left="6840" w:hanging="360"/>
      </w:pPr>
    </w:lvl>
    <w:lvl w:ilvl="8" w:tplc="909E768C" w:tentative="1">
      <w:start w:val="1"/>
      <w:numFmt w:val="lowerRoman"/>
      <w:lvlText w:val="%9."/>
      <w:lvlJc w:val="right"/>
      <w:pPr>
        <w:ind w:left="7560" w:hanging="180"/>
      </w:pPr>
    </w:lvl>
  </w:abstractNum>
  <w:num w:numId="1">
    <w:abstractNumId w:val="24"/>
  </w:num>
  <w:num w:numId="2">
    <w:abstractNumId w:val="9"/>
  </w:num>
  <w:num w:numId="3">
    <w:abstractNumId w:val="22"/>
  </w:num>
  <w:num w:numId="4">
    <w:abstractNumId w:val="12"/>
  </w:num>
  <w:num w:numId="5">
    <w:abstractNumId w:val="23"/>
  </w:num>
  <w:num w:numId="6">
    <w:abstractNumId w:val="16"/>
  </w:num>
  <w:num w:numId="7">
    <w:abstractNumId w:val="5"/>
  </w:num>
  <w:num w:numId="8">
    <w:abstractNumId w:val="3"/>
  </w:num>
  <w:num w:numId="9">
    <w:abstractNumId w:val="2"/>
  </w:num>
  <w:num w:numId="10">
    <w:abstractNumId w:val="1"/>
  </w:num>
  <w:num w:numId="11">
    <w:abstractNumId w:val="0"/>
  </w:num>
  <w:num w:numId="12">
    <w:abstractNumId w:val="4"/>
  </w:num>
  <w:num w:numId="13">
    <w:abstractNumId w:val="8"/>
  </w:num>
  <w:num w:numId="14">
    <w:abstractNumId w:val="11"/>
  </w:num>
  <w:num w:numId="15">
    <w:abstractNumId w:val="21"/>
  </w:num>
  <w:num w:numId="16">
    <w:abstractNumId w:val="25"/>
  </w:num>
  <w:num w:numId="17">
    <w:abstractNumId w:val="10"/>
  </w:num>
  <w:num w:numId="18">
    <w:abstractNumId w:val="6"/>
  </w:num>
  <w:num w:numId="19">
    <w:abstractNumId w:val="7"/>
  </w:num>
  <w:num w:numId="20">
    <w:abstractNumId w:val="15"/>
  </w:num>
  <w:num w:numId="21">
    <w:abstractNumId w:val="20"/>
  </w:num>
  <w:num w:numId="22">
    <w:abstractNumId w:val="19"/>
  </w:num>
  <w:num w:numId="23">
    <w:abstractNumId w:val="17"/>
  </w:num>
  <w:num w:numId="24">
    <w:abstractNumId w:val="18"/>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FD"/>
    <w:rsid w:val="000D7558"/>
    <w:rsid w:val="001B7A12"/>
    <w:rsid w:val="00251B1E"/>
    <w:rsid w:val="002F13FB"/>
    <w:rsid w:val="0032565C"/>
    <w:rsid w:val="003A1233"/>
    <w:rsid w:val="003D3B69"/>
    <w:rsid w:val="0044087A"/>
    <w:rsid w:val="0046296D"/>
    <w:rsid w:val="00483A1B"/>
    <w:rsid w:val="004B4BFD"/>
    <w:rsid w:val="005242D9"/>
    <w:rsid w:val="00644C7B"/>
    <w:rsid w:val="007E10FD"/>
    <w:rsid w:val="00804E2C"/>
    <w:rsid w:val="00884A39"/>
    <w:rsid w:val="008C496B"/>
    <w:rsid w:val="009F7548"/>
    <w:rsid w:val="00A41D7F"/>
    <w:rsid w:val="00A5609C"/>
    <w:rsid w:val="00C22C52"/>
    <w:rsid w:val="00C64AFF"/>
    <w:rsid w:val="00D11B82"/>
    <w:rsid w:val="00D72D73"/>
    <w:rsid w:val="00FB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7EC0"/>
  </w:style>
  <w:style w:type="paragraph" w:styleId="Heading1">
    <w:name w:val="heading 1"/>
    <w:basedOn w:val="Normal"/>
    <w:next w:val="Normal"/>
    <w:link w:val="Heading1Char"/>
    <w:autoRedefine/>
    <w:uiPriority w:val="9"/>
    <w:qFormat/>
    <w:rsid w:val="00EB0111"/>
    <w:pPr>
      <w:keepNext/>
      <w:keepLines/>
      <w:spacing w:before="120" w:after="240"/>
      <w:ind w:left="720" w:hanging="720"/>
      <w:outlineLvl w:val="0"/>
    </w:pPr>
    <w:rPr>
      <w:rFonts w:ascii="Times New Roman Bold" w:eastAsiaTheme="majorEastAsia" w:hAnsi="Times New Roman Bold" w:cstheme="majorBidi"/>
      <w:b/>
      <w:bCs/>
      <w:sz w:val="24"/>
      <w:szCs w:val="28"/>
    </w:rPr>
  </w:style>
  <w:style w:type="paragraph" w:styleId="Heading2">
    <w:name w:val="heading 2"/>
    <w:basedOn w:val="Normal"/>
    <w:next w:val="Normal"/>
    <w:link w:val="Heading2Char"/>
    <w:autoRedefine/>
    <w:uiPriority w:val="9"/>
    <w:unhideWhenUsed/>
    <w:qFormat/>
    <w:rsid w:val="008211C5"/>
    <w:pPr>
      <w:keepNext/>
      <w:keepLines/>
      <w:numPr>
        <w:numId w:val="5"/>
      </w:numPr>
      <w:spacing w:before="120" w:after="240"/>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F02E4F"/>
    <w:pPr>
      <w:keepNext/>
      <w:keepLines/>
      <w:numPr>
        <w:numId w:val="13"/>
      </w:numPr>
      <w:spacing w:after="240"/>
      <w:ind w:left="2160" w:right="72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111"/>
    <w:rPr>
      <w:rFonts w:ascii="Times New Roman Bold" w:eastAsiaTheme="majorEastAsia" w:hAnsi="Times New Roman Bold" w:cstheme="majorBidi"/>
      <w:b/>
      <w:bCs/>
      <w:sz w:val="24"/>
      <w:szCs w:val="28"/>
    </w:rPr>
  </w:style>
  <w:style w:type="paragraph" w:styleId="Header">
    <w:name w:val="header"/>
    <w:basedOn w:val="Normal"/>
    <w:link w:val="HeaderChar"/>
    <w:uiPriority w:val="99"/>
    <w:unhideWhenUsed/>
    <w:rsid w:val="007224F3"/>
    <w:pPr>
      <w:tabs>
        <w:tab w:val="center" w:pos="4680"/>
        <w:tab w:val="right" w:pos="9360"/>
      </w:tabs>
    </w:pPr>
  </w:style>
  <w:style w:type="character" w:customStyle="1" w:styleId="HeaderChar">
    <w:name w:val="Header Char"/>
    <w:basedOn w:val="DefaultParagraphFont"/>
    <w:link w:val="Header"/>
    <w:uiPriority w:val="99"/>
    <w:rsid w:val="007224F3"/>
  </w:style>
  <w:style w:type="paragraph" w:styleId="Footer">
    <w:name w:val="footer"/>
    <w:basedOn w:val="Normal"/>
    <w:link w:val="FooterChar"/>
    <w:uiPriority w:val="99"/>
    <w:unhideWhenUsed/>
    <w:rsid w:val="007224F3"/>
    <w:pPr>
      <w:tabs>
        <w:tab w:val="center" w:pos="4680"/>
        <w:tab w:val="right" w:pos="9360"/>
      </w:tabs>
    </w:pPr>
  </w:style>
  <w:style w:type="character" w:customStyle="1" w:styleId="FooterChar">
    <w:name w:val="Footer Char"/>
    <w:basedOn w:val="DefaultParagraphFont"/>
    <w:link w:val="Footer"/>
    <w:uiPriority w:val="99"/>
    <w:rsid w:val="007224F3"/>
  </w:style>
  <w:style w:type="character" w:customStyle="1" w:styleId="DocID">
    <w:name w:val="DocID"/>
    <w:basedOn w:val="DefaultParagraphFont"/>
    <w:rsid w:val="007224F3"/>
    <w:rPr>
      <w:rFonts w:ascii="Times New Roman" w:eastAsia="Times New Roman" w:hAnsi="Times New Roman" w:cs="Times New Roman"/>
      <w:b w:val="0"/>
      <w:i w:val="0"/>
      <w:caps w:val="0"/>
      <w:vanish w:val="0"/>
      <w:color w:val="000000"/>
      <w:spacing w:val="3"/>
      <w:sz w:val="16"/>
      <w:u w:val="none"/>
    </w:rPr>
  </w:style>
  <w:style w:type="paragraph" w:styleId="BalloonText">
    <w:name w:val="Balloon Text"/>
    <w:basedOn w:val="Normal"/>
    <w:link w:val="BalloonTextChar"/>
    <w:uiPriority w:val="99"/>
    <w:semiHidden/>
    <w:unhideWhenUsed/>
    <w:rsid w:val="004F7ADF"/>
    <w:rPr>
      <w:rFonts w:ascii="Tahoma" w:hAnsi="Tahoma" w:cs="Tahoma"/>
      <w:sz w:val="16"/>
      <w:szCs w:val="16"/>
    </w:rPr>
  </w:style>
  <w:style w:type="character" w:customStyle="1" w:styleId="BalloonTextChar">
    <w:name w:val="Balloon Text Char"/>
    <w:basedOn w:val="DefaultParagraphFont"/>
    <w:link w:val="BalloonText"/>
    <w:uiPriority w:val="99"/>
    <w:semiHidden/>
    <w:rsid w:val="004F7ADF"/>
    <w:rPr>
      <w:rFonts w:ascii="Tahoma" w:hAnsi="Tahoma" w:cs="Tahoma"/>
      <w:sz w:val="16"/>
      <w:szCs w:val="16"/>
    </w:rPr>
  </w:style>
  <w:style w:type="table" w:styleId="TableGrid">
    <w:name w:val="Table Grid"/>
    <w:basedOn w:val="TableNormal"/>
    <w:uiPriority w:val="59"/>
    <w:rsid w:val="004F7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rsid w:val="004F7ADF"/>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semiHidden/>
    <w:rsid w:val="004F7ADF"/>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nhideWhenUsed/>
    <w:rsid w:val="004F7ADF"/>
    <w:rPr>
      <w:vertAlign w:val="superscript"/>
    </w:rPr>
  </w:style>
  <w:style w:type="paragraph" w:styleId="ListParagraph">
    <w:name w:val="List Paragraph"/>
    <w:basedOn w:val="Normal"/>
    <w:uiPriority w:val="34"/>
    <w:qFormat/>
    <w:rsid w:val="004F7ADF"/>
    <w:pPr>
      <w:ind w:left="720"/>
      <w:contextualSpacing/>
    </w:pPr>
  </w:style>
  <w:style w:type="paragraph" w:styleId="BodyText">
    <w:name w:val="Body Text"/>
    <w:basedOn w:val="Normal"/>
    <w:link w:val="BodyTextChar"/>
    <w:uiPriority w:val="99"/>
    <w:semiHidden/>
    <w:unhideWhenUsed/>
    <w:rsid w:val="004F7ADF"/>
    <w:pPr>
      <w:spacing w:after="120"/>
    </w:pPr>
  </w:style>
  <w:style w:type="character" w:customStyle="1" w:styleId="BodyTextChar">
    <w:name w:val="Body Text Char"/>
    <w:basedOn w:val="DefaultParagraphFont"/>
    <w:link w:val="BodyText"/>
    <w:uiPriority w:val="99"/>
    <w:semiHidden/>
    <w:rsid w:val="004F7ADF"/>
  </w:style>
  <w:style w:type="character" w:styleId="Hyperlink">
    <w:name w:val="Hyperlink"/>
    <w:uiPriority w:val="99"/>
    <w:rsid w:val="004F7ADF"/>
    <w:rPr>
      <w:rFonts w:cs="Times New Roman"/>
      <w:color w:val="0000FF"/>
      <w:u w:val="single"/>
    </w:rPr>
  </w:style>
  <w:style w:type="character" w:styleId="CommentReference">
    <w:name w:val="annotation reference"/>
    <w:rsid w:val="004F7ADF"/>
    <w:rPr>
      <w:sz w:val="16"/>
      <w:szCs w:val="16"/>
    </w:rPr>
  </w:style>
  <w:style w:type="paragraph" w:styleId="CommentText">
    <w:name w:val="annotation text"/>
    <w:basedOn w:val="Normal"/>
    <w:link w:val="CommentTextChar"/>
    <w:semiHidden/>
    <w:rsid w:val="004F7ADF"/>
    <w:rPr>
      <w:rFonts w:eastAsia="Times New Roman"/>
      <w:sz w:val="20"/>
      <w:szCs w:val="20"/>
    </w:rPr>
  </w:style>
  <w:style w:type="character" w:customStyle="1" w:styleId="CommentTextChar">
    <w:name w:val="Comment Text Char"/>
    <w:basedOn w:val="DefaultParagraphFont"/>
    <w:link w:val="CommentText"/>
    <w:semiHidden/>
    <w:rsid w:val="004F7AD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B3407"/>
    <w:rPr>
      <w:rFonts w:eastAsia="PMingLiU"/>
      <w:b/>
      <w:bCs/>
    </w:rPr>
  </w:style>
  <w:style w:type="character" w:customStyle="1" w:styleId="CommentSubjectChar">
    <w:name w:val="Comment Subject Char"/>
    <w:basedOn w:val="CommentTextChar"/>
    <w:link w:val="CommentSubject"/>
    <w:uiPriority w:val="99"/>
    <w:semiHidden/>
    <w:rsid w:val="006B3407"/>
    <w:rPr>
      <w:rFonts w:eastAsia="Times New Roman"/>
      <w:b/>
      <w:bCs/>
      <w:sz w:val="20"/>
      <w:szCs w:val="20"/>
    </w:rPr>
  </w:style>
  <w:style w:type="character" w:customStyle="1" w:styleId="Heading2Char">
    <w:name w:val="Heading 2 Char"/>
    <w:basedOn w:val="DefaultParagraphFont"/>
    <w:link w:val="Heading2"/>
    <w:uiPriority w:val="9"/>
    <w:rsid w:val="008211C5"/>
    <w:rPr>
      <w:rFonts w:ascii="Times New Roman Bold" w:eastAsiaTheme="majorEastAsia" w:hAnsi="Times New Roman Bold" w:cstheme="majorBidi"/>
      <w:b/>
      <w:bCs/>
      <w:sz w:val="24"/>
      <w:szCs w:val="26"/>
    </w:rPr>
  </w:style>
  <w:style w:type="paragraph" w:customStyle="1" w:styleId="Body">
    <w:name w:val="Body"/>
    <w:rsid w:val="00321A7D"/>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3Char">
    <w:name w:val="Heading 3 Char"/>
    <w:basedOn w:val="DefaultParagraphFont"/>
    <w:link w:val="Heading3"/>
    <w:uiPriority w:val="9"/>
    <w:rsid w:val="00F02E4F"/>
    <w:rPr>
      <w:rFonts w:ascii="Times New Roman Bold" w:eastAsiaTheme="majorEastAsia" w:hAnsi="Times New Roman Bold" w:cstheme="majorBidi"/>
      <w:b/>
      <w:bCs/>
      <w:sz w:val="24"/>
    </w:rPr>
  </w:style>
  <w:style w:type="paragraph" w:styleId="TOC3">
    <w:name w:val="toc 3"/>
    <w:basedOn w:val="Normal"/>
    <w:next w:val="Normal"/>
    <w:autoRedefine/>
    <w:uiPriority w:val="39"/>
    <w:unhideWhenUsed/>
    <w:qFormat/>
    <w:rsid w:val="00F02E4F"/>
    <w:pPr>
      <w:tabs>
        <w:tab w:val="decimal" w:leader="dot" w:pos="8640"/>
      </w:tabs>
      <w:spacing w:after="240"/>
      <w:ind w:left="2160" w:hanging="720"/>
    </w:pPr>
  </w:style>
  <w:style w:type="paragraph" w:styleId="TOC1">
    <w:name w:val="toc 1"/>
    <w:basedOn w:val="Normal"/>
    <w:next w:val="Normal"/>
    <w:autoRedefine/>
    <w:uiPriority w:val="39"/>
    <w:unhideWhenUsed/>
    <w:qFormat/>
    <w:rsid w:val="00F02E4F"/>
    <w:pPr>
      <w:tabs>
        <w:tab w:val="decimal" w:leader="dot" w:pos="8640"/>
      </w:tabs>
      <w:spacing w:after="240"/>
      <w:ind w:left="720" w:hanging="720"/>
    </w:pPr>
  </w:style>
  <w:style w:type="paragraph" w:styleId="TOC2">
    <w:name w:val="toc 2"/>
    <w:basedOn w:val="Normal"/>
    <w:next w:val="Normal"/>
    <w:autoRedefine/>
    <w:uiPriority w:val="39"/>
    <w:unhideWhenUsed/>
    <w:qFormat/>
    <w:rsid w:val="00F02E4F"/>
    <w:pPr>
      <w:tabs>
        <w:tab w:val="left" w:pos="1440"/>
        <w:tab w:val="decimal" w:leader="dot" w:pos="8640"/>
      </w:tabs>
      <w:spacing w:after="240"/>
      <w:ind w:left="1440" w:hanging="720"/>
    </w:pPr>
  </w:style>
  <w:style w:type="paragraph" w:styleId="HTMLPreformatted">
    <w:name w:val="HTML Preformatted"/>
    <w:basedOn w:val="Normal"/>
    <w:link w:val="HTMLPreformattedChar"/>
    <w:rsid w:val="009C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0CC7"/>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7EC0"/>
  </w:style>
  <w:style w:type="paragraph" w:styleId="Heading1">
    <w:name w:val="heading 1"/>
    <w:basedOn w:val="Normal"/>
    <w:next w:val="Normal"/>
    <w:link w:val="Heading1Char"/>
    <w:autoRedefine/>
    <w:uiPriority w:val="9"/>
    <w:qFormat/>
    <w:rsid w:val="00EB0111"/>
    <w:pPr>
      <w:keepNext/>
      <w:keepLines/>
      <w:spacing w:before="120" w:after="240"/>
      <w:ind w:left="720" w:hanging="720"/>
      <w:outlineLvl w:val="0"/>
    </w:pPr>
    <w:rPr>
      <w:rFonts w:ascii="Times New Roman Bold" w:eastAsiaTheme="majorEastAsia" w:hAnsi="Times New Roman Bold" w:cstheme="majorBidi"/>
      <w:b/>
      <w:bCs/>
      <w:sz w:val="24"/>
      <w:szCs w:val="28"/>
    </w:rPr>
  </w:style>
  <w:style w:type="paragraph" w:styleId="Heading2">
    <w:name w:val="heading 2"/>
    <w:basedOn w:val="Normal"/>
    <w:next w:val="Normal"/>
    <w:link w:val="Heading2Char"/>
    <w:autoRedefine/>
    <w:uiPriority w:val="9"/>
    <w:unhideWhenUsed/>
    <w:qFormat/>
    <w:rsid w:val="008211C5"/>
    <w:pPr>
      <w:keepNext/>
      <w:keepLines/>
      <w:numPr>
        <w:numId w:val="5"/>
      </w:numPr>
      <w:spacing w:before="120" w:after="240"/>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F02E4F"/>
    <w:pPr>
      <w:keepNext/>
      <w:keepLines/>
      <w:numPr>
        <w:numId w:val="13"/>
      </w:numPr>
      <w:spacing w:after="240"/>
      <w:ind w:left="2160" w:right="72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111"/>
    <w:rPr>
      <w:rFonts w:ascii="Times New Roman Bold" w:eastAsiaTheme="majorEastAsia" w:hAnsi="Times New Roman Bold" w:cstheme="majorBidi"/>
      <w:b/>
      <w:bCs/>
      <w:sz w:val="24"/>
      <w:szCs w:val="28"/>
    </w:rPr>
  </w:style>
  <w:style w:type="paragraph" w:styleId="Header">
    <w:name w:val="header"/>
    <w:basedOn w:val="Normal"/>
    <w:link w:val="HeaderChar"/>
    <w:uiPriority w:val="99"/>
    <w:unhideWhenUsed/>
    <w:rsid w:val="007224F3"/>
    <w:pPr>
      <w:tabs>
        <w:tab w:val="center" w:pos="4680"/>
        <w:tab w:val="right" w:pos="9360"/>
      </w:tabs>
    </w:pPr>
  </w:style>
  <w:style w:type="character" w:customStyle="1" w:styleId="HeaderChar">
    <w:name w:val="Header Char"/>
    <w:basedOn w:val="DefaultParagraphFont"/>
    <w:link w:val="Header"/>
    <w:uiPriority w:val="99"/>
    <w:rsid w:val="007224F3"/>
  </w:style>
  <w:style w:type="paragraph" w:styleId="Footer">
    <w:name w:val="footer"/>
    <w:basedOn w:val="Normal"/>
    <w:link w:val="FooterChar"/>
    <w:uiPriority w:val="99"/>
    <w:unhideWhenUsed/>
    <w:rsid w:val="007224F3"/>
    <w:pPr>
      <w:tabs>
        <w:tab w:val="center" w:pos="4680"/>
        <w:tab w:val="right" w:pos="9360"/>
      </w:tabs>
    </w:pPr>
  </w:style>
  <w:style w:type="character" w:customStyle="1" w:styleId="FooterChar">
    <w:name w:val="Footer Char"/>
    <w:basedOn w:val="DefaultParagraphFont"/>
    <w:link w:val="Footer"/>
    <w:uiPriority w:val="99"/>
    <w:rsid w:val="007224F3"/>
  </w:style>
  <w:style w:type="character" w:customStyle="1" w:styleId="DocID">
    <w:name w:val="DocID"/>
    <w:basedOn w:val="DefaultParagraphFont"/>
    <w:rsid w:val="007224F3"/>
    <w:rPr>
      <w:rFonts w:ascii="Times New Roman" w:eastAsia="Times New Roman" w:hAnsi="Times New Roman" w:cs="Times New Roman"/>
      <w:b w:val="0"/>
      <w:i w:val="0"/>
      <w:caps w:val="0"/>
      <w:vanish w:val="0"/>
      <w:color w:val="000000"/>
      <w:spacing w:val="3"/>
      <w:sz w:val="16"/>
      <w:u w:val="none"/>
    </w:rPr>
  </w:style>
  <w:style w:type="paragraph" w:styleId="BalloonText">
    <w:name w:val="Balloon Text"/>
    <w:basedOn w:val="Normal"/>
    <w:link w:val="BalloonTextChar"/>
    <w:uiPriority w:val="99"/>
    <w:semiHidden/>
    <w:unhideWhenUsed/>
    <w:rsid w:val="004F7ADF"/>
    <w:rPr>
      <w:rFonts w:ascii="Tahoma" w:hAnsi="Tahoma" w:cs="Tahoma"/>
      <w:sz w:val="16"/>
      <w:szCs w:val="16"/>
    </w:rPr>
  </w:style>
  <w:style w:type="character" w:customStyle="1" w:styleId="BalloonTextChar">
    <w:name w:val="Balloon Text Char"/>
    <w:basedOn w:val="DefaultParagraphFont"/>
    <w:link w:val="BalloonText"/>
    <w:uiPriority w:val="99"/>
    <w:semiHidden/>
    <w:rsid w:val="004F7ADF"/>
    <w:rPr>
      <w:rFonts w:ascii="Tahoma" w:hAnsi="Tahoma" w:cs="Tahoma"/>
      <w:sz w:val="16"/>
      <w:szCs w:val="16"/>
    </w:rPr>
  </w:style>
  <w:style w:type="table" w:styleId="TableGrid">
    <w:name w:val="Table Grid"/>
    <w:basedOn w:val="TableNormal"/>
    <w:uiPriority w:val="59"/>
    <w:rsid w:val="004F7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rsid w:val="004F7ADF"/>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semiHidden/>
    <w:rsid w:val="004F7ADF"/>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nhideWhenUsed/>
    <w:rsid w:val="004F7ADF"/>
    <w:rPr>
      <w:vertAlign w:val="superscript"/>
    </w:rPr>
  </w:style>
  <w:style w:type="paragraph" w:styleId="ListParagraph">
    <w:name w:val="List Paragraph"/>
    <w:basedOn w:val="Normal"/>
    <w:uiPriority w:val="34"/>
    <w:qFormat/>
    <w:rsid w:val="004F7ADF"/>
    <w:pPr>
      <w:ind w:left="720"/>
      <w:contextualSpacing/>
    </w:pPr>
  </w:style>
  <w:style w:type="paragraph" w:styleId="BodyText">
    <w:name w:val="Body Text"/>
    <w:basedOn w:val="Normal"/>
    <w:link w:val="BodyTextChar"/>
    <w:uiPriority w:val="99"/>
    <w:semiHidden/>
    <w:unhideWhenUsed/>
    <w:rsid w:val="004F7ADF"/>
    <w:pPr>
      <w:spacing w:after="120"/>
    </w:pPr>
  </w:style>
  <w:style w:type="character" w:customStyle="1" w:styleId="BodyTextChar">
    <w:name w:val="Body Text Char"/>
    <w:basedOn w:val="DefaultParagraphFont"/>
    <w:link w:val="BodyText"/>
    <w:uiPriority w:val="99"/>
    <w:semiHidden/>
    <w:rsid w:val="004F7ADF"/>
  </w:style>
  <w:style w:type="character" w:styleId="Hyperlink">
    <w:name w:val="Hyperlink"/>
    <w:uiPriority w:val="99"/>
    <w:rsid w:val="004F7ADF"/>
    <w:rPr>
      <w:rFonts w:cs="Times New Roman"/>
      <w:color w:val="0000FF"/>
      <w:u w:val="single"/>
    </w:rPr>
  </w:style>
  <w:style w:type="character" w:styleId="CommentReference">
    <w:name w:val="annotation reference"/>
    <w:rsid w:val="004F7ADF"/>
    <w:rPr>
      <w:sz w:val="16"/>
      <w:szCs w:val="16"/>
    </w:rPr>
  </w:style>
  <w:style w:type="paragraph" w:styleId="CommentText">
    <w:name w:val="annotation text"/>
    <w:basedOn w:val="Normal"/>
    <w:link w:val="CommentTextChar"/>
    <w:semiHidden/>
    <w:rsid w:val="004F7ADF"/>
    <w:rPr>
      <w:rFonts w:eastAsia="Times New Roman"/>
      <w:sz w:val="20"/>
      <w:szCs w:val="20"/>
    </w:rPr>
  </w:style>
  <w:style w:type="character" w:customStyle="1" w:styleId="CommentTextChar">
    <w:name w:val="Comment Text Char"/>
    <w:basedOn w:val="DefaultParagraphFont"/>
    <w:link w:val="CommentText"/>
    <w:semiHidden/>
    <w:rsid w:val="004F7AD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B3407"/>
    <w:rPr>
      <w:rFonts w:eastAsia="PMingLiU"/>
      <w:b/>
      <w:bCs/>
    </w:rPr>
  </w:style>
  <w:style w:type="character" w:customStyle="1" w:styleId="CommentSubjectChar">
    <w:name w:val="Comment Subject Char"/>
    <w:basedOn w:val="CommentTextChar"/>
    <w:link w:val="CommentSubject"/>
    <w:uiPriority w:val="99"/>
    <w:semiHidden/>
    <w:rsid w:val="006B3407"/>
    <w:rPr>
      <w:rFonts w:eastAsia="Times New Roman"/>
      <w:b/>
      <w:bCs/>
      <w:sz w:val="20"/>
      <w:szCs w:val="20"/>
    </w:rPr>
  </w:style>
  <w:style w:type="character" w:customStyle="1" w:styleId="Heading2Char">
    <w:name w:val="Heading 2 Char"/>
    <w:basedOn w:val="DefaultParagraphFont"/>
    <w:link w:val="Heading2"/>
    <w:uiPriority w:val="9"/>
    <w:rsid w:val="008211C5"/>
    <w:rPr>
      <w:rFonts w:ascii="Times New Roman Bold" w:eastAsiaTheme="majorEastAsia" w:hAnsi="Times New Roman Bold" w:cstheme="majorBidi"/>
      <w:b/>
      <w:bCs/>
      <w:sz w:val="24"/>
      <w:szCs w:val="26"/>
    </w:rPr>
  </w:style>
  <w:style w:type="paragraph" w:customStyle="1" w:styleId="Body">
    <w:name w:val="Body"/>
    <w:rsid w:val="00321A7D"/>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3Char">
    <w:name w:val="Heading 3 Char"/>
    <w:basedOn w:val="DefaultParagraphFont"/>
    <w:link w:val="Heading3"/>
    <w:uiPriority w:val="9"/>
    <w:rsid w:val="00F02E4F"/>
    <w:rPr>
      <w:rFonts w:ascii="Times New Roman Bold" w:eastAsiaTheme="majorEastAsia" w:hAnsi="Times New Roman Bold" w:cstheme="majorBidi"/>
      <w:b/>
      <w:bCs/>
      <w:sz w:val="24"/>
    </w:rPr>
  </w:style>
  <w:style w:type="paragraph" w:styleId="TOC3">
    <w:name w:val="toc 3"/>
    <w:basedOn w:val="Normal"/>
    <w:next w:val="Normal"/>
    <w:autoRedefine/>
    <w:uiPriority w:val="39"/>
    <w:unhideWhenUsed/>
    <w:qFormat/>
    <w:rsid w:val="00F02E4F"/>
    <w:pPr>
      <w:tabs>
        <w:tab w:val="decimal" w:leader="dot" w:pos="8640"/>
      </w:tabs>
      <w:spacing w:after="240"/>
      <w:ind w:left="2160" w:hanging="720"/>
    </w:pPr>
  </w:style>
  <w:style w:type="paragraph" w:styleId="TOC1">
    <w:name w:val="toc 1"/>
    <w:basedOn w:val="Normal"/>
    <w:next w:val="Normal"/>
    <w:autoRedefine/>
    <w:uiPriority w:val="39"/>
    <w:unhideWhenUsed/>
    <w:qFormat/>
    <w:rsid w:val="00F02E4F"/>
    <w:pPr>
      <w:tabs>
        <w:tab w:val="decimal" w:leader="dot" w:pos="8640"/>
      </w:tabs>
      <w:spacing w:after="240"/>
      <w:ind w:left="720" w:hanging="720"/>
    </w:pPr>
  </w:style>
  <w:style w:type="paragraph" w:styleId="TOC2">
    <w:name w:val="toc 2"/>
    <w:basedOn w:val="Normal"/>
    <w:next w:val="Normal"/>
    <w:autoRedefine/>
    <w:uiPriority w:val="39"/>
    <w:unhideWhenUsed/>
    <w:qFormat/>
    <w:rsid w:val="00F02E4F"/>
    <w:pPr>
      <w:tabs>
        <w:tab w:val="left" w:pos="1440"/>
        <w:tab w:val="decimal" w:leader="dot" w:pos="8640"/>
      </w:tabs>
      <w:spacing w:after="240"/>
      <w:ind w:left="1440" w:hanging="720"/>
    </w:pPr>
  </w:style>
  <w:style w:type="paragraph" w:styleId="HTMLPreformatted">
    <w:name w:val="HTML Preformatted"/>
    <w:basedOn w:val="Normal"/>
    <w:link w:val="HTMLPreformattedChar"/>
    <w:rsid w:val="009C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0CC7"/>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pritchard@mwncmh.com" TargetMode="External"/><Relationship Id="rId26" Type="http://schemas.openxmlformats.org/officeDocument/2006/relationships/hyperlink" Target="mailto:yalami@aep.com" TargetMode="External"/><Relationship Id="rId3" Type="http://schemas.microsoft.com/office/2007/relationships/stylesWithEffects" Target="stylesWithEffects.xml"/><Relationship Id="rId21" Type="http://schemas.openxmlformats.org/officeDocument/2006/relationships/hyperlink" Target="mailto:Arthur.beeman@snrdenton.co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darr@mwncmh.com" TargetMode="External"/><Relationship Id="rId25" Type="http://schemas.openxmlformats.org/officeDocument/2006/relationships/hyperlink" Target="mailto:mjsatterwhite@aep.com"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am@mwncmh.com" TargetMode="External"/><Relationship Id="rId20" Type="http://schemas.openxmlformats.org/officeDocument/2006/relationships/hyperlink" Target="mailto:emma.hand@snrdenton.com" TargetMode="External"/><Relationship Id="rId29" Type="http://schemas.openxmlformats.org/officeDocument/2006/relationships/hyperlink" Target="mailto:mjsettineri@vory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tnourse@aep.com" TargetMode="External"/><Relationship Id="rId32" Type="http://schemas.openxmlformats.org/officeDocument/2006/relationships/hyperlink" Target="mailto:Greta.see@puc.state.oh.us" TargetMode="External"/><Relationship Id="rId5" Type="http://schemas.openxmlformats.org/officeDocument/2006/relationships/webSettings" Target="webSettings.xml"/><Relationship Id="rId15" Type="http://schemas.openxmlformats.org/officeDocument/2006/relationships/hyperlink" Target="mailto:Steven.beeler@puc.state.oh.us" TargetMode="External"/><Relationship Id="rId23" Type="http://schemas.openxmlformats.org/officeDocument/2006/relationships/hyperlink" Target="mailto:hussey@carpenterlipps.com" TargetMode="External"/><Relationship Id="rId28" Type="http://schemas.openxmlformats.org/officeDocument/2006/relationships/hyperlink" Target="mailto:mhpetricoff@vorys.co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swhite@igsenergy.com" TargetMode="External"/><Relationship Id="rId31" Type="http://schemas.openxmlformats.org/officeDocument/2006/relationships/hyperlink" Target="mailto:Sarah.parrot@puc.state.oh.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omas.mcnamee@puc.state.oh.us" TargetMode="External"/><Relationship Id="rId22" Type="http://schemas.openxmlformats.org/officeDocument/2006/relationships/hyperlink" Target="mailto:Bojko@carpenterlipps.com" TargetMode="External"/><Relationship Id="rId27" Type="http://schemas.openxmlformats.org/officeDocument/2006/relationships/hyperlink" Target="mailto:dconway@porterwright.com" TargetMode="External"/><Relationship Id="rId30" Type="http://schemas.openxmlformats.org/officeDocument/2006/relationships/hyperlink" Target="mailto:glpetrucci@vorys.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10625</Characters>
  <Application>Microsoft Office Word</Application>
  <DocSecurity>0</DocSecurity>
  <Lines>296</Lines>
  <Paragraphs>109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2015-08-07T18:55:00Z</dcterms:created>
  <dcterms:modified xsi:type="dcterms:W3CDTF">2015-08-07T18:55:00Z</dcterms:modified>
  <cp:category> </cp:category>
  <cp:contentStatus> </cp:contentStatus>
</cp:coreProperties>
</file>