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32AEA" w:rsidRPr="003528CC" w:rsidP="00AF6F40">
      <w:pPr>
        <w:spacing w:after="0"/>
        <w:jc w:val="center"/>
        <w:rPr>
          <w:b/>
          <w:bCs/>
        </w:rPr>
      </w:pPr>
      <w:bookmarkStart w:id="0" w:name="_GoBack"/>
      <w:bookmarkEnd w:id="0"/>
      <w:r w:rsidRPr="003528CC">
        <w:rPr>
          <w:b/>
        </w:rPr>
        <w:t>BEFORE</w:t>
      </w:r>
    </w:p>
    <w:p w:rsidR="00F32AEA" w:rsidP="00AF6F40">
      <w:pPr>
        <w:spacing w:after="0"/>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AF6F40" w:rsidP="00AF6F40">
      <w:pPr>
        <w:spacing w:after="0"/>
        <w:jc w:val="center"/>
        <w:rPr>
          <w:b/>
        </w:rPr>
      </w:pPr>
    </w:p>
    <w:tbl>
      <w:tblPr>
        <w:tblW w:w="9092" w:type="dxa"/>
        <w:tblInd w:w="0" w:type="dxa"/>
        <w:tblCellMar>
          <w:top w:w="0" w:type="dxa"/>
          <w:left w:w="108" w:type="dxa"/>
          <w:bottom w:w="0" w:type="dxa"/>
          <w:right w:w="108" w:type="dxa"/>
        </w:tblCellMar>
        <w:tblLook w:val="01E0"/>
      </w:tblPr>
      <w:tblGrid>
        <w:gridCol w:w="4332"/>
        <w:gridCol w:w="360"/>
        <w:gridCol w:w="4400"/>
      </w:tblGrid>
      <w:tr w:rsidTr="00F32AE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32AEA" w:rsidRPr="00710E80" w:rsidP="00F32AEA">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32AEA" w:rsidP="00F32AEA">
            <w:pPr>
              <w:spacing w:after="0" w:line="240" w:lineRule="auto"/>
              <w:rPr>
                <w:rStyle w:val="DefaultParagraphFont"/>
                <w:rFonts w:ascii="Times New Roman" w:hAnsi="Times New Roman" w:eastAsiaTheme="minorHAnsi" w:cstheme="minorBidi"/>
                <w:sz w:val="24"/>
                <w:szCs w:val="22"/>
                <w:lang w:val="en-US" w:eastAsia="en-US" w:bidi="ar-SA"/>
              </w:rPr>
            </w:pPr>
            <w:r>
              <w:rPr>
                <w:rFonts w:ascii="Times New Roman" w:eastAsia="Times New Roman" w:hAnsi="Times New Roman" w:cs="Times New Roman"/>
                <w:sz w:val="24"/>
                <w:szCs w:val="20"/>
                <w:lang w:val="en-US" w:eastAsia="en-US" w:bidi="ar-SA"/>
              </w:rPr>
              <w:t>Case No. 16-576-EL-POR</w:t>
            </w:r>
          </w:p>
          <w:p w:rsidR="00F32AEA" w:rsidRPr="00002580" w:rsidP="00F32AEA">
            <w:pPr>
              <w:spacing w:after="0" w:line="240" w:lineRule="auto"/>
              <w:rPr>
                <w:rStyle w:val="DefaultParagraphFont"/>
                <w:rFonts w:ascii="Times New Roman" w:hAnsi="Times New Roman" w:eastAsiaTheme="minorHAnsi" w:cstheme="minorBidi"/>
                <w:i/>
                <w:sz w:val="24"/>
                <w:szCs w:val="22"/>
                <w:lang w:val="en-US" w:eastAsia="en-US" w:bidi="ar-SA"/>
              </w:rPr>
            </w:pPr>
          </w:p>
        </w:tc>
      </w:tr>
    </w:tbl>
    <w:p w:rsidR="00F32AEA" w:rsidRPr="00B70844" w:rsidP="00F32AEA">
      <w:pPr>
        <w:pBdr>
          <w:bottom w:val="single" w:sz="12" w:space="1" w:color="auto"/>
        </w:pBdr>
        <w:spacing w:before="4"/>
        <w:rPr>
          <w:sz w:val="18"/>
          <w:szCs w:val="18"/>
        </w:rPr>
      </w:pP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Pr>
          <w:rFonts w:cs="Times New Roman"/>
          <w:b/>
          <w:szCs w:val="24"/>
        </w:rPr>
        <w:t>'</w:t>
      </w:r>
      <w:r w:rsidRPr="006849DE">
        <w:rPr>
          <w:rFonts w:cs="Times New Roman"/>
          <w:b/>
          <w:szCs w:val="24"/>
        </w:rPr>
        <w:t xml:space="preserve"> COUNSEL</w:t>
      </w:r>
    </w:p>
    <w:p w:rsidR="00F32AEA" w:rsidRPr="006849DE" w:rsidP="00F32AE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F32AEA" w:rsidP="00F32AEA">
      <w:pPr>
        <w:spacing w:after="0" w:line="240" w:lineRule="auto"/>
        <w:jc w:val="center"/>
        <w:rPr>
          <w:b/>
        </w:rPr>
      </w:pPr>
    </w:p>
    <w:p w:rsidR="00BD0C18" w:rsidP="00F32AEA">
      <w:pPr>
        <w:spacing w:after="0" w:line="480" w:lineRule="auto"/>
        <w:ind w:firstLine="720"/>
      </w:pPr>
      <w:r>
        <w:t>In its November 21, 2017 Entry on Rehearing, the Public Utilities Commission of Ohio ("PUCO") unreasonably and unlawfully granted Duke Energy Ohio's motion</w:t>
      </w:r>
      <w:r>
        <w:rPr>
          <w:rStyle w:val="FootnoteReference"/>
        </w:rPr>
        <w:footnoteReference w:id="2"/>
      </w:r>
      <w:r>
        <w:t xml:space="preserve"> for a waiver to charge customers up to $56 million for energy efficiency program costs and utility profits. Instead, the PUCO should have denied the Motion and required Duke to stay within the $38-39 million budget that Duke consistently presented to the PUCO and stakeholders for the past 17 months.</w:t>
      </w:r>
    </w:p>
    <w:p w:rsidR="00F32AEA" w:rsidP="0043511C">
      <w:pPr>
        <w:spacing w:after="0" w:line="480" w:lineRule="auto"/>
        <w:ind w:firstLine="720"/>
        <w:rPr>
          <w:rFonts w:cs="Times New Roman"/>
          <w:szCs w:val="24"/>
          <w:u w:val="single"/>
        </w:rPr>
      </w:pPr>
      <w:r>
        <w:t xml:space="preserve">The Entry on Rehearing is unlawful and unreasonable in the following respects: </w:t>
      </w:r>
    </w:p>
    <w:p w:rsidR="00F32AEA" w:rsidP="00F32AEA">
      <w:pPr>
        <w:spacing w:after="0" w:line="240" w:lineRule="auto"/>
      </w:pPr>
      <w:r w:rsidRPr="0080579B">
        <w:rPr>
          <w:u w:val="single"/>
        </w:rPr>
        <w:t>Assignment of Error 1</w:t>
      </w:r>
      <w:r w:rsidRPr="00212D6E">
        <w:t>:</w:t>
      </w:r>
      <w:r>
        <w:t xml:space="preserve"> The Entry on Rehearing is unlawful and unreasonable because it violates the PUCO's September 27, 2017 Order</w:t>
      </w:r>
      <w:r>
        <w:rPr>
          <w:rStyle w:val="FootnoteReference"/>
        </w:rPr>
        <w:footnoteReference w:id="3"/>
      </w:r>
      <w:r>
        <w:t xml:space="preserve"> in this case by permitting Duke to materially exceed its proposed 2017 budget of $38-39 million.</w:t>
      </w:r>
    </w:p>
    <w:p w:rsidR="00F32AEA" w:rsidP="00F32AEA">
      <w:pPr>
        <w:spacing w:after="0" w:line="240" w:lineRule="auto"/>
      </w:pPr>
    </w:p>
    <w:p w:rsidR="00F32AEA" w:rsidRPr="00F32AEA" w:rsidP="00F32AEA">
      <w:pPr>
        <w:spacing w:after="0" w:line="240" w:lineRule="auto"/>
      </w:pPr>
      <w:r>
        <w:rPr>
          <w:u w:val="single"/>
        </w:rPr>
        <w:t>Assignment of Error 2</w:t>
      </w:r>
      <w:r>
        <w:t>: The Entry on Rehearing is unlawful and unreasonable because it violates R.C. 4903.09 by approving Duke's Motion without any factual record regarding the Motion or any explanation of the PUCO's reasoning.</w:t>
      </w:r>
    </w:p>
    <w:p w:rsidR="00F32AEA" w:rsidRPr="00212D6E" w:rsidP="00F32AEA">
      <w:pPr>
        <w:spacing w:after="0" w:line="240" w:lineRule="auto"/>
      </w:pPr>
    </w:p>
    <w:p w:rsidR="00A36C16" w:rsidP="00A81FE6">
      <w:pPr>
        <w:keepNext/>
        <w:keepLines/>
        <w:spacing w:after="0" w:line="240" w:lineRule="auto"/>
        <w:sectPr w:rsidSect="00F32AE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p>
    <w:p w:rsidR="00F32AEA" w:rsidRPr="00A4515D" w:rsidP="00AF6F40">
      <w:pPr>
        <w:rPr>
          <w:rFonts w:eastAsia="Times New Roman"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A4515D">
        <w:rPr>
          <w:rFonts w:eastAsia="Times New Roman" w:cs="Times New Roman"/>
          <w:szCs w:val="24"/>
        </w:rPr>
        <w:t>Respectfully submitted,</w:t>
      </w:r>
    </w:p>
    <w:p w:rsidR="00F32AEA" w:rsidRPr="00DD3C2C" w:rsidP="00F32AEA">
      <w:pPr>
        <w:spacing w:after="0" w:line="240" w:lineRule="auto"/>
        <w:ind w:firstLine="4320"/>
        <w:rPr>
          <w:szCs w:val="24"/>
        </w:rPr>
      </w:pPr>
      <w:r w:rsidRPr="00DD3C2C">
        <w:rPr>
          <w:szCs w:val="24"/>
        </w:rPr>
        <w:t>BRUCE WESTON (0016973)</w:t>
      </w:r>
    </w:p>
    <w:p w:rsidR="00F32AEA" w:rsidRPr="00DD3C2C" w:rsidP="00F32AEA">
      <w:pPr>
        <w:tabs>
          <w:tab w:val="left" w:pos="4320"/>
        </w:tabs>
        <w:spacing w:after="0" w:line="240" w:lineRule="auto"/>
        <w:ind w:left="4320"/>
        <w:rPr>
          <w:szCs w:val="24"/>
        </w:rPr>
      </w:pPr>
      <w:r w:rsidRPr="00DD3C2C">
        <w:rPr>
          <w:szCs w:val="24"/>
        </w:rPr>
        <w:t>OHIO CONSUMERS' COUNSEL</w:t>
      </w:r>
    </w:p>
    <w:p w:rsidR="00F32AEA" w:rsidRPr="00DD3C2C" w:rsidP="00F32AEA">
      <w:pPr>
        <w:tabs>
          <w:tab w:val="left" w:pos="4320"/>
        </w:tabs>
        <w:spacing w:after="0" w:line="240" w:lineRule="auto"/>
        <w:ind w:left="4320"/>
        <w:rPr>
          <w:szCs w:val="24"/>
        </w:rPr>
      </w:pPr>
    </w:p>
    <w:p w:rsidR="00AF6F40" w:rsidRPr="00AF6F40" w:rsidP="00F32AEA">
      <w:pPr>
        <w:autoSpaceDE w:val="0"/>
        <w:autoSpaceDN w:val="0"/>
        <w:adjustRightInd w:val="0"/>
        <w:spacing w:after="0" w:line="240" w:lineRule="auto"/>
        <w:ind w:left="4320"/>
        <w:rPr>
          <w:i/>
          <w:szCs w:val="24"/>
          <w:u w:val="single"/>
        </w:rPr>
      </w:pPr>
      <w:r>
        <w:rPr>
          <w:i/>
          <w:szCs w:val="24"/>
          <w:u w:val="single"/>
        </w:rPr>
        <w:t>/s/ Christopher Healey</w:t>
      </w:r>
      <w:r>
        <w:rPr>
          <w:i/>
          <w:szCs w:val="24"/>
          <w:u w:val="single"/>
        </w:rPr>
        <w:tab/>
      </w:r>
      <w:r>
        <w:rPr>
          <w:i/>
          <w:szCs w:val="24"/>
          <w:u w:val="single"/>
        </w:rPr>
        <w:tab/>
      </w:r>
      <w:r>
        <w:rPr>
          <w:i/>
          <w:szCs w:val="24"/>
          <w:u w:val="single"/>
        </w:rPr>
        <w:tab/>
      </w:r>
    </w:p>
    <w:p w:rsidR="00F32AEA" w:rsidRPr="00DD3C2C" w:rsidP="00F32AEA">
      <w:pPr>
        <w:autoSpaceDE w:val="0"/>
        <w:autoSpaceDN w:val="0"/>
        <w:adjustRightInd w:val="0"/>
        <w:spacing w:after="0" w:line="240" w:lineRule="auto"/>
        <w:ind w:left="4320"/>
        <w:rPr>
          <w:szCs w:val="24"/>
        </w:rPr>
      </w:pPr>
      <w:r>
        <w:rPr>
          <w:szCs w:val="24"/>
        </w:rPr>
        <w:t>Christo</w:t>
      </w:r>
      <w:r w:rsidRPr="00DD3C2C">
        <w:rPr>
          <w:szCs w:val="24"/>
        </w:rPr>
        <w:t>pher Healey (0086027)</w:t>
      </w:r>
      <w:r w:rsidRPr="00DD3C2C">
        <w:rPr>
          <w:szCs w:val="24"/>
        </w:rPr>
        <w:br/>
        <w:t>Counsel of Record</w:t>
      </w:r>
    </w:p>
    <w:p w:rsidR="00F32AEA" w:rsidRPr="00DD3C2C" w:rsidP="00F32AEA">
      <w:pPr>
        <w:tabs>
          <w:tab w:val="left" w:pos="4320"/>
        </w:tabs>
        <w:spacing w:after="0" w:line="240" w:lineRule="auto"/>
        <w:ind w:left="4320"/>
        <w:rPr>
          <w:szCs w:val="24"/>
        </w:rPr>
      </w:pPr>
    </w:p>
    <w:p w:rsidR="00F32AEA" w:rsidRPr="00DD3C2C" w:rsidP="00F32AEA">
      <w:pPr>
        <w:spacing w:after="0" w:line="240" w:lineRule="auto"/>
        <w:ind w:left="4320"/>
        <w:rPr>
          <w:b/>
          <w:szCs w:val="24"/>
        </w:rPr>
      </w:pPr>
      <w:r w:rsidRPr="00DD3C2C">
        <w:rPr>
          <w:b/>
          <w:szCs w:val="24"/>
        </w:rPr>
        <w:t>Office of the Ohio Consumers' Counsel</w:t>
      </w:r>
    </w:p>
    <w:p w:rsidR="00F32AEA" w:rsidRPr="00DD3C2C" w:rsidP="00F32AEA">
      <w:pPr>
        <w:spacing w:after="0" w:line="240" w:lineRule="auto"/>
        <w:ind w:left="4320"/>
        <w:rPr>
          <w:szCs w:val="24"/>
        </w:rPr>
      </w:pPr>
      <w:r>
        <w:rPr>
          <w:szCs w:val="24"/>
        </w:rPr>
        <w:t>65 East State Street, 7th Floor</w:t>
      </w:r>
    </w:p>
    <w:p w:rsidR="00F32AEA" w:rsidRPr="00DD3C2C" w:rsidP="00F32AEA">
      <w:pPr>
        <w:spacing w:after="0" w:line="240" w:lineRule="auto"/>
        <w:ind w:left="4320"/>
        <w:rPr>
          <w:szCs w:val="24"/>
        </w:rPr>
      </w:pPr>
      <w:r>
        <w:rPr>
          <w:szCs w:val="24"/>
        </w:rPr>
        <w:t>Columbus, Ohio 43215</w:t>
      </w:r>
    </w:p>
    <w:p w:rsidR="00F32AEA" w:rsidRPr="00DD3C2C" w:rsidP="00F32AEA">
      <w:pPr>
        <w:autoSpaceDE w:val="0"/>
        <w:autoSpaceDN w:val="0"/>
        <w:adjustRightInd w:val="0"/>
        <w:spacing w:after="0" w:line="240" w:lineRule="auto"/>
        <w:ind w:left="3600" w:firstLine="720"/>
        <w:rPr>
          <w:szCs w:val="24"/>
        </w:rPr>
      </w:pPr>
      <w:r>
        <w:rPr>
          <w:szCs w:val="24"/>
        </w:rPr>
        <w:t>Telephone: (614) 466-9571</w:t>
      </w:r>
    </w:p>
    <w:p w:rsidR="00F32AEA" w:rsidRPr="00DD3C2C" w:rsidP="00F32AEA">
      <w:pPr>
        <w:spacing w:after="0" w:line="240" w:lineRule="auto"/>
        <w:ind w:left="4320"/>
        <w:rPr>
          <w:szCs w:val="24"/>
        </w:rPr>
      </w:pPr>
      <w:r>
        <w:fldChar w:fldCharType="begin"/>
      </w:r>
      <w:r>
        <w:instrText xml:space="preserve"> HYPERLINK "mailto:christopher.healey@occ.ohio.gov" </w:instrText>
      </w:r>
      <w:r>
        <w:fldChar w:fldCharType="separate"/>
      </w:r>
      <w:r w:rsidRPr="00DD3C2C" w:rsidR="00EE3877">
        <w:rPr>
          <w:rStyle w:val="Hyperlink"/>
          <w:szCs w:val="24"/>
        </w:rPr>
        <w:t>christopher.healey@occ.ohio.gov</w:t>
      </w:r>
      <w:r>
        <w:fldChar w:fldCharType="end"/>
      </w:r>
    </w:p>
    <w:p w:rsidR="00F32AEA" w:rsidRPr="00DD3C2C" w:rsidP="00F32AEA">
      <w:pPr>
        <w:spacing w:after="0" w:line="240" w:lineRule="auto"/>
        <w:ind w:left="4320"/>
        <w:rPr>
          <w:szCs w:val="24"/>
        </w:rPr>
      </w:pPr>
      <w:r>
        <w:rPr>
          <w:szCs w:val="24"/>
        </w:rPr>
        <w:t>(Willing to accept service by e-mail)</w:t>
      </w:r>
    </w:p>
    <w:p w:rsidR="00F32AEA" w:rsidRPr="00DD3C2C" w:rsidP="00F32AEA">
      <w:pPr>
        <w:spacing w:after="0" w:line="240" w:lineRule="auto"/>
        <w:ind w:left="4320"/>
        <w:rPr>
          <w:szCs w:val="24"/>
        </w:rPr>
      </w:pPr>
    </w:p>
    <w:p w:rsidR="00A6744D">
      <w:pPr>
        <w:rPr>
          <w:szCs w:val="24"/>
        </w:rPr>
      </w:pPr>
    </w:p>
    <w:p w:rsidR="00F32AEA" w:rsidRPr="00A4515D" w:rsidP="00F32AEA">
      <w:pPr>
        <w:spacing w:after="0" w:line="240" w:lineRule="auto"/>
        <w:ind w:left="4320"/>
        <w:rPr>
          <w:rFonts w:eastAsia="Times New Roman" w:cs="Times New Roman"/>
          <w:szCs w:val="24"/>
        </w:rPr>
      </w:pPr>
    </w:p>
    <w:p w:rsidR="00A36C16" w:rsidP="00F32AEA">
      <w:pPr>
        <w:spacing w:after="0" w:line="240" w:lineRule="auto"/>
        <w:rPr>
          <w:rFonts w:eastAsiaTheme="minorEastAsia" w:cs="Times New Roman"/>
          <w:szCs w:val="24"/>
        </w:rPr>
        <w:sectPr w:rsidSect="00F32AEA">
          <w:headerReference w:type="default" r:id="rId11"/>
          <w:footerReference w:type="default" r:id="rId12"/>
          <w:pgSz w:w="12240" w:h="15840"/>
          <w:pgMar w:top="1440" w:right="1800" w:bottom="1440" w:left="1800" w:header="720" w:footer="720" w:gutter="0"/>
          <w:pgNumType w:start="2"/>
          <w:cols w:space="720"/>
          <w:docGrid w:linePitch="360"/>
        </w:sectPr>
      </w:pPr>
    </w:p>
    <w:p w:rsidR="00F32AEA" w:rsidRPr="003528CC" w:rsidP="00F32AEA">
      <w:pPr>
        <w:spacing w:after="0" w:line="240" w:lineRule="auto"/>
        <w:jc w:val="center"/>
        <w:rPr>
          <w:b/>
          <w:bCs/>
        </w:rPr>
      </w:pPr>
      <w:r w:rsidRPr="003528CC">
        <w:rPr>
          <w:b/>
        </w:rPr>
        <w:t>BEFORE</w:t>
      </w:r>
    </w:p>
    <w:p w:rsidR="00F32AEA" w:rsidP="00F32AEA">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tbl>
      <w:tblPr>
        <w:tblW w:w="9092" w:type="dxa"/>
        <w:tblInd w:w="0" w:type="dxa"/>
        <w:tblCellMar>
          <w:top w:w="0" w:type="dxa"/>
          <w:left w:w="108" w:type="dxa"/>
          <w:bottom w:w="0" w:type="dxa"/>
          <w:right w:w="108" w:type="dxa"/>
        </w:tblCellMar>
        <w:tblLook w:val="01E0"/>
      </w:tblPr>
      <w:tblGrid>
        <w:gridCol w:w="4332"/>
        <w:gridCol w:w="360"/>
        <w:gridCol w:w="4400"/>
      </w:tblGrid>
      <w:tr w:rsidTr="00F32AE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32AEA" w:rsidRPr="00710E80" w:rsidP="00F32AEA">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F32AEA" w:rsidRPr="00710E80" w:rsidP="00F32A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32AEA" w:rsidP="00F32AEA">
            <w:pPr>
              <w:spacing w:after="0" w:line="240" w:lineRule="auto"/>
              <w:rPr>
                <w:rStyle w:val="DefaultParagraphFont"/>
                <w:rFonts w:ascii="Times New Roman" w:hAnsi="Times New Roman" w:eastAsiaTheme="minorHAnsi" w:cstheme="minorBidi"/>
                <w:sz w:val="24"/>
                <w:szCs w:val="22"/>
                <w:lang w:val="en-US" w:eastAsia="en-US" w:bidi="ar-SA"/>
              </w:rPr>
            </w:pPr>
            <w:r>
              <w:rPr>
                <w:rFonts w:ascii="Times New Roman" w:eastAsia="Times New Roman" w:hAnsi="Times New Roman" w:cs="Times New Roman"/>
                <w:sz w:val="24"/>
                <w:szCs w:val="20"/>
                <w:lang w:val="en-US" w:eastAsia="en-US" w:bidi="ar-SA"/>
              </w:rPr>
              <w:t>Case No. 16-576-EL-POR</w:t>
            </w:r>
          </w:p>
          <w:p w:rsidR="00F32AEA" w:rsidRPr="00002580" w:rsidP="00F32AEA">
            <w:pPr>
              <w:spacing w:after="0" w:line="240" w:lineRule="auto"/>
              <w:rPr>
                <w:rStyle w:val="DefaultParagraphFont"/>
                <w:rFonts w:ascii="Times New Roman" w:hAnsi="Times New Roman" w:eastAsiaTheme="minorHAnsi" w:cstheme="minorBidi"/>
                <w:i/>
                <w:sz w:val="24"/>
                <w:szCs w:val="22"/>
                <w:lang w:val="en-US" w:eastAsia="en-US" w:bidi="ar-SA"/>
              </w:rPr>
            </w:pPr>
          </w:p>
        </w:tc>
      </w:tr>
    </w:tbl>
    <w:p w:rsidR="00F32AEA" w:rsidRPr="00B70844" w:rsidP="00F32AEA">
      <w:pPr>
        <w:pBdr>
          <w:bottom w:val="single" w:sz="12" w:space="1" w:color="auto"/>
        </w:pBdr>
        <w:spacing w:before="4"/>
        <w:rPr>
          <w:sz w:val="18"/>
          <w:szCs w:val="18"/>
        </w:rPr>
      </w:pP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Pr>
          <w:rFonts w:cs="Times New Roman"/>
          <w:b/>
          <w:szCs w:val="24"/>
        </w:rPr>
        <w:t>MEMORANDUM IN SUPPORT</w:t>
      </w:r>
    </w:p>
    <w:p w:rsidR="00F32AEA" w:rsidRPr="006849DE" w:rsidP="00F32AE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F32AEA" w:rsidRPr="006849DE" w:rsidP="00F32AEA">
      <w:pPr>
        <w:spacing w:after="0" w:line="240" w:lineRule="auto"/>
        <w:rPr>
          <w:rFonts w:eastAsiaTheme="minorEastAsia" w:cs="Times New Roman"/>
          <w:szCs w:val="24"/>
        </w:rPr>
      </w:pPr>
    </w:p>
    <w:p w:rsidR="009F7C43" w:rsidRPr="009F7C43" w:rsidP="009F7C43">
      <w:pPr>
        <w:pStyle w:val="ListParagraph"/>
        <w:numPr>
          <w:ilvl w:val="0"/>
          <w:numId w:val="42"/>
        </w:numPr>
        <w:spacing w:after="0" w:line="480" w:lineRule="auto"/>
        <w:ind w:hanging="720"/>
        <w:rPr>
          <w:rFonts w:cs="Times New Roman"/>
          <w:b/>
          <w:szCs w:val="24"/>
        </w:rPr>
      </w:pPr>
      <w:r w:rsidRPr="009F7C43">
        <w:rPr>
          <w:rFonts w:cs="Times New Roman"/>
          <w:b/>
          <w:szCs w:val="24"/>
        </w:rPr>
        <w:t>BACKGROUND</w:t>
      </w:r>
    </w:p>
    <w:p w:rsidR="009F7C43" w:rsidRPr="00103C56" w:rsidP="00F32AEA">
      <w:pPr>
        <w:spacing w:after="0" w:line="480" w:lineRule="auto"/>
        <w:ind w:firstLine="720"/>
        <w:rPr>
          <w:rFonts w:cs="Times New Roman"/>
          <w:szCs w:val="24"/>
          <w:u w:val="single"/>
        </w:rPr>
      </w:pPr>
      <w:r>
        <w:rPr>
          <w:rFonts w:cs="Times New Roman"/>
          <w:szCs w:val="24"/>
        </w:rPr>
        <w:t>On January 27, 2017, Duke and other parties (but not OCC or the PUCO Staff) filed a settlement in this case.</w:t>
      </w:r>
      <w:r>
        <w:rPr>
          <w:rStyle w:val="FootnoteReference"/>
          <w:rFonts w:cs="Times New Roman"/>
          <w:szCs w:val="24"/>
        </w:rPr>
        <w:footnoteReference w:id="4"/>
      </w:r>
      <w:r>
        <w:rPr>
          <w:rFonts w:cs="Times New Roman"/>
          <w:szCs w:val="24"/>
        </w:rPr>
        <w:t xml:space="preserve"> In its September 27, 2017 Order, the PUCO found that the Settlement did not benefit customers as filed because it would allow Duke to charge customers too much for energy efficiency. Thus, the PUCO modified the Settlement to include a $38.6 million per year "cost cap," which means that Duke can charge customers a maximum of $38.6 million for energy efficiency program costs and utility profits per year.</w:t>
      </w:r>
      <w:r>
        <w:rPr>
          <w:rStyle w:val="FootnoteReference"/>
          <w:rFonts w:cs="Times New Roman"/>
          <w:szCs w:val="24"/>
        </w:rPr>
        <w:footnoteReference w:id="5"/>
      </w:r>
      <w:r>
        <w:rPr>
          <w:rFonts w:cs="Times New Roman"/>
          <w:szCs w:val="24"/>
        </w:rPr>
        <w:t xml:space="preserve"> The PUCO's acknowledgement that amounts customers pay for energy efficiency should be limited is much appreciated.</w:t>
      </w:r>
    </w:p>
    <w:p w:rsidR="009F7C43" w:rsidP="00F32AEA">
      <w:pPr>
        <w:spacing w:after="0" w:line="480" w:lineRule="auto"/>
        <w:ind w:firstLine="720"/>
        <w:rPr>
          <w:rFonts w:cs="Times New Roman"/>
          <w:szCs w:val="24"/>
        </w:rPr>
      </w:pPr>
      <w:r>
        <w:rPr>
          <w:rFonts w:cs="Times New Roman"/>
          <w:szCs w:val="24"/>
        </w:rPr>
        <w:t>The Order, however, also provided a limited exception to the cost cap for 2017 only. In 2017, Duke may exceed its cost cap, but only for program costs and not utility profits.</w:t>
      </w:r>
      <w:r>
        <w:rPr>
          <w:rStyle w:val="FootnoteReference"/>
          <w:rFonts w:cs="Times New Roman"/>
          <w:szCs w:val="24"/>
        </w:rPr>
        <w:footnoteReference w:id="6"/>
      </w:r>
      <w:r>
        <w:rPr>
          <w:rFonts w:cs="Times New Roman"/>
          <w:szCs w:val="24"/>
        </w:rPr>
        <w:t xml:space="preserve"> The PUCO ordered Duke to scale back its programs "to avoid materially exceeding its Portfolio Plan budget for 2017."</w:t>
      </w:r>
      <w:r>
        <w:rPr>
          <w:rStyle w:val="FootnoteReference"/>
          <w:rFonts w:cs="Times New Roman"/>
          <w:szCs w:val="24"/>
        </w:rPr>
        <w:footnoteReference w:id="7"/>
      </w:r>
      <w:r>
        <w:rPr>
          <w:rFonts w:cs="Times New Roman"/>
          <w:szCs w:val="24"/>
        </w:rPr>
        <w:t xml:space="preserve"> The PUCO also found that Duke was not permitted to exceed the 2017 budget without first obtaining a waiver from the PUCO.</w:t>
      </w:r>
      <w:r>
        <w:rPr>
          <w:rStyle w:val="FootnoteReference"/>
          <w:rFonts w:cs="Times New Roman"/>
          <w:szCs w:val="24"/>
        </w:rPr>
        <w:footnoteReference w:id="8"/>
      </w:r>
    </w:p>
    <w:p w:rsidR="00701ACF" w:rsidP="00F32AEA">
      <w:pPr>
        <w:spacing w:after="0" w:line="480" w:lineRule="auto"/>
        <w:ind w:firstLine="720"/>
        <w:rPr>
          <w:rFonts w:cs="Times New Roman"/>
          <w:szCs w:val="24"/>
        </w:rPr>
      </w:pPr>
      <w:r>
        <w:rPr>
          <w:rFonts w:cs="Times New Roman"/>
          <w:szCs w:val="24"/>
        </w:rPr>
        <w:t>Shortly after the Order was entered, Duke filed its Motion seeking such a waiver. In the Motion, Duke noted that is 2017 budget was around $39 million.</w:t>
      </w:r>
      <w:r>
        <w:rPr>
          <w:rStyle w:val="FootnoteReference"/>
          <w:rFonts w:cs="Times New Roman"/>
          <w:szCs w:val="24"/>
        </w:rPr>
        <w:footnoteReference w:id="9"/>
      </w:r>
      <w:r>
        <w:rPr>
          <w:rFonts w:cs="Times New Roman"/>
          <w:szCs w:val="24"/>
        </w:rPr>
        <w:t xml:space="preserve"> But Duke asked the PUCO for a waiver to charge customers the "actual costs" of its 2017 programs and stated that it "anticipates spending $56 million" for 2017 program costs.</w:t>
      </w:r>
      <w:r>
        <w:rPr>
          <w:rStyle w:val="FootnoteReference"/>
          <w:rFonts w:cs="Times New Roman"/>
          <w:szCs w:val="24"/>
        </w:rPr>
        <w:footnoteReference w:id="10"/>
      </w:r>
    </w:p>
    <w:p w:rsidR="00701ACF" w:rsidP="00F32AEA">
      <w:pPr>
        <w:spacing w:after="0" w:line="480" w:lineRule="auto"/>
        <w:ind w:firstLine="720"/>
        <w:rPr>
          <w:rFonts w:cs="Times New Roman"/>
          <w:szCs w:val="24"/>
        </w:rPr>
      </w:pPr>
      <w:r>
        <w:rPr>
          <w:rFonts w:cs="Times New Roman"/>
          <w:szCs w:val="24"/>
        </w:rPr>
        <w:t>Several parties, including OCC and Duke, filed applications for rehearing regarding the September 27 Order. OCC also opposed Duke's Motion for a waiver.</w:t>
      </w:r>
      <w:r>
        <w:rPr>
          <w:rStyle w:val="FootnoteReference"/>
          <w:rFonts w:cs="Times New Roman"/>
          <w:szCs w:val="24"/>
        </w:rPr>
        <w:footnoteReference w:id="11"/>
      </w:r>
    </w:p>
    <w:p w:rsidR="00701ACF" w:rsidP="00F32AEA">
      <w:pPr>
        <w:spacing w:after="0" w:line="480" w:lineRule="auto"/>
        <w:ind w:firstLine="720"/>
        <w:rPr>
          <w:rFonts w:cs="Times New Roman"/>
          <w:szCs w:val="24"/>
        </w:rPr>
      </w:pPr>
      <w:r>
        <w:rPr>
          <w:rFonts w:cs="Times New Roman"/>
          <w:szCs w:val="24"/>
        </w:rPr>
        <w:t>On November 21, 2017, the PUCO entered the Entry on Rehearing granting parties' applications for rehearing for the purpose of giving itself more time to consider them.</w:t>
      </w:r>
      <w:r>
        <w:rPr>
          <w:rStyle w:val="FootnoteReference"/>
          <w:rFonts w:cs="Times New Roman"/>
          <w:szCs w:val="24"/>
        </w:rPr>
        <w:footnoteReference w:id="12"/>
      </w:r>
      <w:r>
        <w:rPr>
          <w:rFonts w:cs="Times New Roman"/>
          <w:szCs w:val="24"/>
        </w:rPr>
        <w:t xml:space="preserve"> In the entry, however, the PUCO also granted Duke's Motion for a waiver to charge customers up to $56 million for energy efficiency in 2017.</w:t>
      </w:r>
      <w:r>
        <w:rPr>
          <w:rStyle w:val="FootnoteReference"/>
          <w:rFonts w:cs="Times New Roman"/>
          <w:szCs w:val="24"/>
        </w:rPr>
        <w:footnoteReference w:id="13"/>
      </w:r>
    </w:p>
    <w:p w:rsidR="00A72F50" w:rsidP="00F32AEA">
      <w:pPr>
        <w:spacing w:after="0" w:line="480" w:lineRule="auto"/>
        <w:ind w:firstLine="720"/>
        <w:rPr>
          <w:rFonts w:cs="Times New Roman"/>
          <w:szCs w:val="24"/>
        </w:rPr>
      </w:pPr>
      <w:r>
        <w:rPr>
          <w:rFonts w:cs="Times New Roman"/>
          <w:szCs w:val="24"/>
        </w:rPr>
        <w:t>OCC applies for rehearing with respect to the PUCO's entry granting Duke's Motion for a waiver.</w:t>
      </w:r>
    </w:p>
    <w:p w:rsidR="00AF6F40" w:rsidP="00AF6F40">
      <w:pPr>
        <w:spacing w:after="0" w:line="240" w:lineRule="auto"/>
        <w:ind w:firstLine="720"/>
        <w:rPr>
          <w:rFonts w:cs="Times New Roman"/>
          <w:szCs w:val="24"/>
        </w:rPr>
      </w:pPr>
    </w:p>
    <w:p w:rsidR="00F32AEA" w:rsidRPr="00F84872" w:rsidP="009F7C43">
      <w:pPr>
        <w:pStyle w:val="Heading1"/>
      </w:pPr>
      <w:bookmarkStart w:id="1" w:name="_Toc472696272"/>
      <w:r w:rsidRPr="00F84872">
        <w:t>STANDARD OF REVIEW</w:t>
      </w:r>
      <w:bookmarkEnd w:id="1"/>
    </w:p>
    <w:p w:rsidR="00F32AEA" w:rsidP="00F32AEA">
      <w:pPr>
        <w:spacing w:after="0" w:line="480" w:lineRule="auto"/>
        <w:ind w:firstLine="720"/>
      </w:pPr>
      <w:r>
        <w:t>After an order is entered, intervenors in a PUCO proceeding have a statutory right to apply for rehearing "in respect to any matters determined in the proceeding."</w:t>
      </w:r>
      <w:r>
        <w:rPr>
          <w:rStyle w:val="FootnoteReference"/>
        </w:rPr>
        <w:footnoteReference w:id="14"/>
      </w:r>
      <w:r>
        <w:t xml:space="preserve"> An application for rehearing must "set forth specifically the ground or grounds on which the applicant considers the order to be unreasonable or unlawful."</w:t>
      </w:r>
      <w:r>
        <w:rPr>
          <w:rStyle w:val="FootnoteReference"/>
        </w:rPr>
        <w:footnoteReference w:id="15"/>
      </w:r>
    </w:p>
    <w:p w:rsidR="00F32AEA" w:rsidP="00F32AEA">
      <w:pPr>
        <w:spacing w:after="0" w:line="480" w:lineRule="auto"/>
        <w:ind w:firstLine="720"/>
      </w:pPr>
      <w: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16"/>
      </w:r>
    </w:p>
    <w:p w:rsidR="00F32AEA" w:rsidP="00F32AEA">
      <w:pPr>
        <w:spacing w:after="0" w:line="480" w:lineRule="auto"/>
        <w:ind w:firstLine="720"/>
        <w:rPr>
          <w:rFonts w:cs="Times New Roman"/>
          <w:szCs w:val="24"/>
        </w:rPr>
      </w:pPr>
      <w:r>
        <w:rPr>
          <w:rFonts w:cs="Times New Roman"/>
          <w:szCs w:val="24"/>
        </w:rPr>
        <w:t>The Entry on Rehearing is unlawful, unreasonable, unjust, and unwarranted under R.C. 4903.10. The PUCO should grant OCC's application for rehearing. It should abrogate or modify the Entry on Rehearing and deny the Motion.</w:t>
      </w:r>
    </w:p>
    <w:p w:rsidR="00AF6F40" w:rsidP="00AF6F40">
      <w:pPr>
        <w:spacing w:after="0" w:line="240" w:lineRule="auto"/>
        <w:ind w:firstLine="720"/>
        <w:rPr>
          <w:rFonts w:cs="Times New Roman"/>
          <w:szCs w:val="24"/>
        </w:rPr>
      </w:pPr>
    </w:p>
    <w:p w:rsidR="00F32AEA" w:rsidRPr="0080579B" w:rsidP="00AF6F40">
      <w:pPr>
        <w:pStyle w:val="Heading2"/>
      </w:pPr>
      <w:bookmarkStart w:id="2" w:name="_Toc472696273"/>
      <w:r w:rsidRPr="00365CB9">
        <w:t>Assignment</w:t>
      </w:r>
      <w:r>
        <w:t xml:space="preserve"> of Error 1</w:t>
      </w:r>
      <w:r w:rsidRPr="00436CB0">
        <w:t>:</w:t>
      </w:r>
      <w:bookmarkEnd w:id="2"/>
      <w:r>
        <w:t xml:space="preserve"> The Entry on Rehearing is unlawful and unreasonable because it violates the PUCO's September 27, 2017 Order in this case by permitting Duke to materially exceed its proposed 2017 budget of $38-39 million.</w:t>
      </w:r>
    </w:p>
    <w:p w:rsidR="00F32AEA" w:rsidP="00F32AEA">
      <w:pPr>
        <w:spacing w:after="0" w:line="480" w:lineRule="auto"/>
        <w:ind w:firstLine="720"/>
        <w:rPr>
          <w:rFonts w:cs="Times New Roman"/>
          <w:szCs w:val="24"/>
        </w:rPr>
      </w:pPr>
      <w:r>
        <w:rPr>
          <w:rFonts w:cs="Times New Roman"/>
          <w:szCs w:val="24"/>
        </w:rPr>
        <w:t xml:space="preserve">In its September 27, 2017 Order, the PUCO ordered Duke not to charge customers more than $38.6 million per year in 2018 and 2019. This was a welcome consumer protection. But for 2017, the PUCO made an exception allowing Duke to exceed the $38.6 million cost cap for program costs only. In making the exception, it ordered Duke to scale back its programs "to avoid materially exceeding" its 2017 budget of around $38-39 million. But the Entry on Rehearing allows Duke to charge customers up to </w:t>
      </w:r>
      <w:r w:rsidRPr="00E43394">
        <w:rPr>
          <w:rFonts w:cs="Times New Roman"/>
          <w:b/>
          <w:szCs w:val="24"/>
          <w:u w:val="single"/>
        </w:rPr>
        <w:t>$56 million</w:t>
      </w:r>
      <w:r>
        <w:rPr>
          <w:rFonts w:cs="Times New Roman"/>
          <w:szCs w:val="24"/>
        </w:rPr>
        <w:t xml:space="preserve"> for 2017.</w:t>
      </w:r>
      <w:r>
        <w:rPr>
          <w:rStyle w:val="FootnoteReference"/>
          <w:rFonts w:cs="Times New Roman"/>
          <w:szCs w:val="24"/>
        </w:rPr>
        <w:footnoteReference w:id="17"/>
      </w:r>
      <w:r>
        <w:rPr>
          <w:rFonts w:cs="Times New Roman"/>
          <w:szCs w:val="24"/>
        </w:rPr>
        <w:t xml:space="preserve"> On its face, this "materially exceeds" Duke's $38-39 million budget for 2017 as well as the $38.6 million cost cap. The Entry on Rehearing violates the PUCO's own September 27, 2017 Order, which remains in effect. The Entry on Rehearing is therefore unlawful.</w:t>
      </w:r>
      <w:r>
        <w:rPr>
          <w:rStyle w:val="FootnoteReference"/>
          <w:rFonts w:cs="Times New Roman"/>
          <w:szCs w:val="24"/>
        </w:rPr>
        <w:footnoteReference w:id="18"/>
      </w:r>
      <w:r>
        <w:rPr>
          <w:rFonts w:cs="Times New Roman"/>
          <w:szCs w:val="24"/>
        </w:rPr>
        <w:t xml:space="preserve"> The PUCO should grant rehearing of the Entry on Rehearing, enforce the Order,</w:t>
      </w:r>
      <w:r>
        <w:rPr>
          <w:rStyle w:val="FootnoteReference"/>
          <w:rFonts w:cs="Times New Roman"/>
          <w:szCs w:val="24"/>
        </w:rPr>
        <w:footnoteReference w:id="19"/>
      </w:r>
      <w:r>
        <w:rPr>
          <w:rFonts w:cs="Times New Roman"/>
          <w:szCs w:val="24"/>
        </w:rPr>
        <w:t xml:space="preserve"> and deny the Motion.</w:t>
      </w:r>
    </w:p>
    <w:p w:rsidR="00A6744D" w:rsidP="00A6744D">
      <w:pPr>
        <w:spacing w:after="0" w:line="240" w:lineRule="auto"/>
        <w:ind w:firstLine="720"/>
        <w:rPr>
          <w:rFonts w:cs="Times New Roman"/>
          <w:szCs w:val="24"/>
        </w:rPr>
      </w:pPr>
    </w:p>
    <w:p w:rsidR="00F32AEA" w:rsidRPr="00F32AEA" w:rsidP="00F32AEA">
      <w:pPr>
        <w:spacing w:after="240" w:line="240" w:lineRule="auto"/>
        <w:rPr>
          <w:rFonts w:cs="Times New Roman"/>
          <w:b/>
          <w:szCs w:val="24"/>
        </w:rPr>
      </w:pPr>
      <w:r>
        <w:rPr>
          <w:rFonts w:cs="Times New Roman"/>
          <w:b/>
          <w:szCs w:val="24"/>
        </w:rPr>
        <w:t xml:space="preserve">Assignment of Error 2: </w:t>
      </w:r>
      <w:r w:rsidRPr="009B1604">
        <w:rPr>
          <w:b/>
        </w:rPr>
        <w:t xml:space="preserve">The Entry on Rehearing is unlawful and unreasonable because it violates R.C. 4903.09 by approving Duke's Motion without any factual record regarding the </w:t>
      </w:r>
      <w:r w:rsidRPr="00B74945">
        <w:rPr>
          <w:b/>
        </w:rPr>
        <w:t xml:space="preserve">Motion </w:t>
      </w:r>
      <w:r>
        <w:rPr>
          <w:b/>
        </w:rPr>
        <w:t>or</w:t>
      </w:r>
      <w:r w:rsidRPr="00B74945">
        <w:rPr>
          <w:b/>
        </w:rPr>
        <w:t xml:space="preserve"> any explanation of </w:t>
      </w:r>
      <w:r>
        <w:rPr>
          <w:b/>
        </w:rPr>
        <w:t>the PUCO's</w:t>
      </w:r>
      <w:r w:rsidRPr="00B74945">
        <w:rPr>
          <w:b/>
        </w:rPr>
        <w:t xml:space="preserve"> reasoning.</w:t>
      </w:r>
    </w:p>
    <w:p w:rsidR="001B23F9" w:rsidP="00EE3877">
      <w:pPr>
        <w:keepNext/>
        <w:keepLines/>
        <w:spacing w:after="240" w:line="240" w:lineRule="auto"/>
        <w:ind w:left="1440" w:right="720" w:hanging="720"/>
        <w:rPr>
          <w:rFonts w:cs="Times New Roman"/>
          <w:szCs w:val="24"/>
        </w:rPr>
      </w:pPr>
      <w:r>
        <w:rPr>
          <w:rFonts w:cs="Times New Roman"/>
          <w:b/>
          <w:szCs w:val="24"/>
        </w:rPr>
        <w:t>A.</w:t>
      </w:r>
      <w:r>
        <w:rPr>
          <w:rFonts w:cs="Times New Roman"/>
          <w:b/>
          <w:szCs w:val="24"/>
        </w:rPr>
        <w:tab/>
        <w:t>There is no factual record regarding the Motion. This violates R.C. 4903.09.</w:t>
      </w:r>
    </w:p>
    <w:p w:rsidR="001B23F9" w:rsidP="00F32AEA">
      <w:pPr>
        <w:spacing w:after="0" w:line="480" w:lineRule="auto"/>
        <w:ind w:firstLine="720"/>
        <w:rPr>
          <w:rFonts w:cs="Times New Roman"/>
          <w:szCs w:val="24"/>
        </w:rPr>
      </w:pPr>
      <w:r>
        <w:rPr>
          <w:rFonts w:cs="Times New Roman"/>
          <w:szCs w:val="24"/>
        </w:rPr>
        <w:t>Under Ohio Revised Code 4903.09, the PUCO is required, in all contested matters before it, to make "a complete record of all proceedings ... including a transcript of all testimony and of all exhibits."</w:t>
      </w:r>
      <w:r>
        <w:rPr>
          <w:rStyle w:val="FootnoteReference"/>
          <w:rFonts w:cs="Times New Roman"/>
          <w:szCs w:val="24"/>
        </w:rPr>
        <w:footnoteReference w:id="20"/>
      </w:r>
      <w:r>
        <w:rPr>
          <w:rFonts w:cs="Times New Roman"/>
          <w:szCs w:val="24"/>
        </w:rPr>
        <w:t xml:space="preserve"> The law also requires the PUCO to "file, with the records of such cases, findings of fact and written opinions setting forth the reasons prompting the decisions arrived at, based upon said findings of fact."</w:t>
      </w:r>
      <w:r>
        <w:rPr>
          <w:rStyle w:val="FootnoteReference"/>
          <w:rFonts w:cs="Times New Roman"/>
          <w:szCs w:val="24"/>
        </w:rPr>
        <w:footnoteReference w:id="21"/>
      </w:r>
      <w:r>
        <w:rPr>
          <w:rFonts w:cs="Times New Roman"/>
          <w:szCs w:val="24"/>
        </w:rPr>
        <w:t xml:space="preserve"> </w:t>
      </w:r>
    </w:p>
    <w:p w:rsidR="00CE0C01" w:rsidP="00F32AEA">
      <w:pPr>
        <w:spacing w:after="0" w:line="480" w:lineRule="auto"/>
        <w:ind w:firstLine="720"/>
        <w:rPr>
          <w:rFonts w:cs="Times New Roman"/>
          <w:szCs w:val="24"/>
        </w:rPr>
      </w:pPr>
      <w:r>
        <w:rPr>
          <w:rFonts w:cs="Times New Roman"/>
          <w:szCs w:val="24"/>
        </w:rPr>
        <w:t>There is no factual record regarding the Motion. Duke filed the Motion with no supporting testimony, no exhibits, and no other evidence. No party was afforded an opportunity to file testimony regarding the Motion, and there was no hearing regarding the Motion. The Motion is a two-page legal filing with unsupported representations of Duke's counsel and nothing more.</w:t>
      </w:r>
    </w:p>
    <w:p w:rsidR="00E33F67" w:rsidP="00F32AEA">
      <w:pPr>
        <w:spacing w:after="0" w:line="480" w:lineRule="auto"/>
        <w:ind w:firstLine="720"/>
        <w:rPr>
          <w:rFonts w:cs="Times New Roman"/>
          <w:szCs w:val="24"/>
        </w:rPr>
      </w:pPr>
      <w:r>
        <w:rPr>
          <w:rFonts w:cs="Times New Roman"/>
          <w:szCs w:val="24"/>
        </w:rPr>
        <w:t>But statements by legal counsel in a motion are not evidence that can be relied upon for PUCO decision-making. In a recent case involving OCC and Ormet Primary Aluminum Corporation, the PUCO found that a legal pleading that Ormet filed "is not evidence admitted into the record of this case and, thus, cannot be relied upon in reaching [the PUCO's] decision ...."</w:t>
      </w:r>
      <w:r>
        <w:rPr>
          <w:rStyle w:val="FootnoteReference"/>
          <w:rFonts w:cs="Times New Roman"/>
          <w:szCs w:val="24"/>
        </w:rPr>
        <w:footnoteReference w:id="22"/>
      </w:r>
      <w:r>
        <w:rPr>
          <w:rFonts w:cs="Times New Roman"/>
          <w:szCs w:val="24"/>
        </w:rPr>
        <w:t xml:space="preserve"> Ohio courts have similarly found that statements by counsel, including those made in motions and other legal filings, are not evidence. In </w:t>
      </w:r>
      <w:r>
        <w:rPr>
          <w:rFonts w:cs="Times New Roman"/>
          <w:i/>
          <w:szCs w:val="24"/>
        </w:rPr>
        <w:t>Cincinnati Community Kollel v. Testa</w:t>
      </w:r>
      <w:r>
        <w:rPr>
          <w:rFonts w:cs="Times New Roman"/>
          <w:szCs w:val="24"/>
        </w:rPr>
        <w:t>, the Supreme Court of Ohio succinctly concluded: "Statements by counsel are not evidence."</w:t>
      </w:r>
      <w:r>
        <w:rPr>
          <w:rStyle w:val="FootnoteReference"/>
          <w:rFonts w:cs="Times New Roman"/>
          <w:szCs w:val="24"/>
        </w:rPr>
        <w:footnoteReference w:id="23"/>
      </w:r>
      <w:r>
        <w:rPr>
          <w:rFonts w:cs="Times New Roman"/>
          <w:szCs w:val="24"/>
        </w:rPr>
        <w:t xml:space="preserve"> In </w:t>
      </w:r>
      <w:r>
        <w:rPr>
          <w:i/>
        </w:rPr>
        <w:t>Glendale Federal Bank v. Brown</w:t>
      </w:r>
      <w:r>
        <w:t xml:space="preserve">, the court ruled that legal pleadings do not constitute evidence: </w:t>
      </w:r>
      <w:r>
        <w:rPr>
          <w:rFonts w:cs="Times New Roman"/>
          <w:szCs w:val="24"/>
        </w:rPr>
        <w:t>"</w:t>
      </w:r>
      <w:r>
        <w:t>Naked assertions in motions are not evidence. Though the attorney who drafts them certifies that he believes there is good reason to think they are correct, they are not sworn statements either by the attorney or by his client."</w:t>
      </w:r>
      <w:r>
        <w:rPr>
          <w:rStyle w:val="FootnoteReference"/>
          <w:rFonts w:cs="Times New Roman"/>
          <w:szCs w:val="24"/>
        </w:rPr>
        <w:footnoteReference w:id="24"/>
      </w:r>
      <w:r>
        <w:rPr>
          <w:rFonts w:cs="Times New Roman"/>
          <w:szCs w:val="24"/>
        </w:rPr>
        <w:t xml:space="preserve"> </w:t>
      </w:r>
    </w:p>
    <w:p w:rsidR="001B23F9" w:rsidP="00F32AEA">
      <w:pPr>
        <w:spacing w:after="0" w:line="480" w:lineRule="auto"/>
        <w:ind w:firstLine="720"/>
        <w:rPr>
          <w:rFonts w:cs="Times New Roman"/>
          <w:szCs w:val="24"/>
        </w:rPr>
      </w:pPr>
      <w:r>
        <w:rPr>
          <w:rFonts w:cs="Times New Roman"/>
          <w:szCs w:val="24"/>
        </w:rPr>
        <w:t>R.C. 4903.09 requires the PUCO to make findings of fact and to render its decision "based upon said findings of fact." Here, there can be no findings of fact because Duke filed a barebones motion with only the unsupported statements of its counsel. Thus, it is impossible for the PUCO to render a decision "based upon ... findings of fact," and the Entry on Rehearing violates R.C. 4903.09.</w:t>
      </w:r>
    </w:p>
    <w:p w:rsidR="001B23F9" w:rsidRPr="001B23F9" w:rsidP="00EE3877">
      <w:pPr>
        <w:keepNext/>
        <w:keepLines/>
        <w:spacing w:after="240" w:line="240" w:lineRule="auto"/>
        <w:ind w:left="1440" w:right="720" w:hanging="720"/>
        <w:rPr>
          <w:rFonts w:cs="Times New Roman"/>
          <w:b/>
          <w:szCs w:val="24"/>
        </w:rPr>
      </w:pPr>
      <w:r>
        <w:rPr>
          <w:rFonts w:cs="Times New Roman"/>
          <w:b/>
          <w:szCs w:val="24"/>
        </w:rPr>
        <w:t>B.</w:t>
      </w:r>
      <w:r>
        <w:rPr>
          <w:rFonts w:cs="Times New Roman"/>
          <w:b/>
          <w:szCs w:val="24"/>
        </w:rPr>
        <w:tab/>
        <w:t>The PUCO did not explain why it granted Duke's Motion. This violates R.C. 4903.09 and Ohio Supreme Court Precedent.</w:t>
      </w:r>
    </w:p>
    <w:p w:rsidR="00D460A5" w:rsidRPr="00D460A5" w:rsidP="00F32AEA">
      <w:pPr>
        <w:spacing w:after="0" w:line="480" w:lineRule="auto"/>
        <w:ind w:firstLine="720"/>
        <w:rPr>
          <w:rFonts w:cs="Times New Roman"/>
          <w:szCs w:val="24"/>
        </w:rPr>
      </w:pPr>
      <w:r>
        <w:rPr>
          <w:rFonts w:cs="Times New Roman"/>
          <w:szCs w:val="24"/>
        </w:rPr>
        <w:t>The Supreme Court of Ohio has interpreted R.C. 4903.09 to mean that PUCO orders must be sufficiently detailed "to enable the court to make its review as to lawfulness and reasonableness."</w:t>
      </w:r>
      <w:r>
        <w:rPr>
          <w:rStyle w:val="FootnoteReference"/>
          <w:rFonts w:cs="Times New Roman"/>
          <w:szCs w:val="24"/>
        </w:rPr>
        <w:footnoteReference w:id="25"/>
      </w:r>
      <w:r>
        <w:rPr>
          <w:rFonts w:cs="Times New Roman"/>
          <w:szCs w:val="24"/>
        </w:rPr>
        <w:t xml:space="preserve"> Recently, in </w:t>
      </w:r>
      <w:r>
        <w:rPr>
          <w:rFonts w:cs="Times New Roman"/>
          <w:i/>
          <w:szCs w:val="24"/>
        </w:rPr>
        <w:t>In re Application of Columbus Southern Power Co.</w:t>
      </w:r>
      <w:r>
        <w:rPr>
          <w:rFonts w:cs="Times New Roman"/>
          <w:szCs w:val="24"/>
        </w:rPr>
        <w:t>,</w:t>
      </w:r>
      <w:r>
        <w:rPr>
          <w:rStyle w:val="FootnoteReference"/>
          <w:rFonts w:cs="Times New Roman"/>
          <w:szCs w:val="24"/>
        </w:rPr>
        <w:footnoteReference w:id="26"/>
      </w:r>
      <w:r>
        <w:rPr>
          <w:rFonts w:cs="Times New Roman"/>
          <w:szCs w:val="24"/>
        </w:rPr>
        <w:t xml:space="preserve"> the utility argued that the PUCO failed to address its arguments regarding the proper application of the significantly excessive earnings test. The Supreme Court held that the PUCO is required to respond to parties' arguments and explain why it agrees or disagrees with them: "The commission never offered a response to AEP's claims and thus failed to explain its decision. This was error."</w:t>
      </w:r>
      <w:r>
        <w:rPr>
          <w:rStyle w:val="FootnoteReference"/>
          <w:rFonts w:cs="Times New Roman"/>
          <w:szCs w:val="24"/>
        </w:rPr>
        <w:footnoteReference w:id="27"/>
      </w:r>
    </w:p>
    <w:p w:rsidR="00D460A5" w:rsidP="00F32AEA">
      <w:pPr>
        <w:spacing w:after="0" w:line="480" w:lineRule="auto"/>
        <w:ind w:firstLine="720"/>
        <w:rPr>
          <w:rFonts w:cs="Times New Roman"/>
          <w:szCs w:val="24"/>
        </w:rPr>
      </w:pPr>
      <w:r>
        <w:rPr>
          <w:rFonts w:cs="Times New Roman"/>
          <w:szCs w:val="24"/>
        </w:rPr>
        <w:t>For these same reasons, the PUCO's Entry on Rehearing violates R.C. 4903.09 and fails the Supreme Court's test. The Entry for Rehearing is not detailed enough for a court to make any review as to its lawfulness and reasonableness, and it does not offer any explanation for why it rejected OCC's arguments against the Motion.</w:t>
      </w:r>
    </w:p>
    <w:p w:rsidR="00D460A5" w:rsidP="00F32AEA">
      <w:pPr>
        <w:spacing w:after="0" w:line="480" w:lineRule="auto"/>
        <w:ind w:firstLine="720"/>
        <w:rPr>
          <w:rFonts w:cs="Times New Roman"/>
          <w:szCs w:val="24"/>
        </w:rPr>
      </w:pPr>
      <w:r>
        <w:rPr>
          <w:rFonts w:cs="Times New Roman"/>
          <w:szCs w:val="24"/>
        </w:rPr>
        <w:t>In opposing the Motion, OCC argued that under the Order, Duke was required to not materially exceed the $38-39 million 2017 budget and that charges to customers of $56 million would materially exceed that amount.</w:t>
      </w:r>
      <w:r>
        <w:rPr>
          <w:rStyle w:val="FootnoteReference"/>
          <w:rFonts w:cs="Times New Roman"/>
          <w:szCs w:val="24"/>
        </w:rPr>
        <w:footnoteReference w:id="28"/>
      </w:r>
      <w:r>
        <w:rPr>
          <w:rFonts w:cs="Times New Roman"/>
          <w:szCs w:val="24"/>
        </w:rPr>
        <w:t xml:space="preserve"> The Entry on Rehearing does not address this argument or explain how the PUCO concluded that $17-18 million in additional charges to consumers could be considered immaterial.</w:t>
      </w:r>
    </w:p>
    <w:p w:rsidR="00D6648C" w:rsidP="00F32AEA">
      <w:pPr>
        <w:spacing w:after="0" w:line="480" w:lineRule="auto"/>
        <w:ind w:firstLine="720"/>
        <w:rPr>
          <w:rFonts w:cs="Times New Roman"/>
          <w:szCs w:val="24"/>
        </w:rPr>
      </w:pPr>
      <w:r>
        <w:rPr>
          <w:rFonts w:cs="Times New Roman"/>
          <w:szCs w:val="24"/>
        </w:rPr>
        <w:t>OCC argued that under the Order, Duke was required to scale back its programs and there was no evidence that Duke had done so.</w:t>
      </w:r>
      <w:r>
        <w:rPr>
          <w:rStyle w:val="FootnoteReference"/>
          <w:rFonts w:cs="Times New Roman"/>
          <w:szCs w:val="24"/>
        </w:rPr>
        <w:footnoteReference w:id="29"/>
      </w:r>
      <w:r>
        <w:rPr>
          <w:rFonts w:cs="Times New Roman"/>
          <w:szCs w:val="24"/>
        </w:rPr>
        <w:t xml:space="preserve"> The Entry on Rehearing does not address this argument and makes no findings of fact regarding whether Duke scaled back its programs.</w:t>
      </w:r>
    </w:p>
    <w:p w:rsidR="00D6648C" w:rsidP="00F32AEA">
      <w:pPr>
        <w:spacing w:after="0" w:line="480" w:lineRule="auto"/>
        <w:ind w:firstLine="720"/>
        <w:rPr>
          <w:rFonts w:cs="Times New Roman"/>
          <w:szCs w:val="24"/>
        </w:rPr>
      </w:pPr>
      <w:r>
        <w:rPr>
          <w:rFonts w:cs="Times New Roman"/>
          <w:szCs w:val="24"/>
        </w:rPr>
        <w:t>OCC argued that charges to customers of $56 million or more for energy efficiency programs defy the PUCO's Order and will harm customers by unreasonably adding to the costs they pay for energy efficiency.</w:t>
      </w:r>
      <w:r>
        <w:rPr>
          <w:rStyle w:val="FootnoteReference"/>
          <w:rFonts w:cs="Times New Roman"/>
          <w:szCs w:val="24"/>
        </w:rPr>
        <w:footnoteReference w:id="30"/>
      </w:r>
      <w:r>
        <w:rPr>
          <w:rFonts w:cs="Times New Roman"/>
          <w:szCs w:val="24"/>
        </w:rPr>
        <w:t xml:space="preserve"> The Entry on Rehearing does not address this argument.</w:t>
      </w:r>
    </w:p>
    <w:p w:rsidR="00D6648C" w:rsidRPr="001B23F9" w:rsidP="00F32AEA">
      <w:pPr>
        <w:spacing w:after="0" w:line="480" w:lineRule="auto"/>
        <w:ind w:firstLine="720"/>
        <w:rPr>
          <w:rFonts w:cs="Times New Roman"/>
          <w:szCs w:val="24"/>
        </w:rPr>
      </w:pPr>
      <w:r>
        <w:rPr>
          <w:rFonts w:cs="Times New Roman"/>
          <w:szCs w:val="24"/>
        </w:rPr>
        <w:t xml:space="preserve">R.C. 4903.09 and Ohio Supreme Court precedent require the PUCO to provide not just its bare conclusions but an explanation of </w:t>
      </w:r>
      <w:r w:rsidRPr="00CE0C01">
        <w:rPr>
          <w:rFonts w:cs="Times New Roman"/>
          <w:szCs w:val="24"/>
          <w:u w:val="single"/>
        </w:rPr>
        <w:t>why</w:t>
      </w:r>
      <w:r>
        <w:rPr>
          <w:rFonts w:cs="Times New Roman"/>
          <w:szCs w:val="24"/>
        </w:rPr>
        <w:t xml:space="preserve"> it reached those conclusions. The Entry on Rehearing does not satisfy this requirement. The PUCO should grant rehearing and deny the Motion.</w:t>
      </w:r>
    </w:p>
    <w:p w:rsidR="00F32AEA" w:rsidP="00F32AEA">
      <w:pPr>
        <w:spacing w:after="0" w:line="240" w:lineRule="auto"/>
        <w:ind w:firstLine="720"/>
        <w:rPr>
          <w:rFonts w:cs="Times New Roman"/>
          <w:szCs w:val="24"/>
        </w:rPr>
      </w:pPr>
    </w:p>
    <w:p w:rsidR="00F32AEA" w:rsidRPr="00F84872" w:rsidP="009F7C43">
      <w:pPr>
        <w:pStyle w:val="Heading1"/>
      </w:pPr>
      <w:bookmarkStart w:id="3" w:name="_Toc472696303"/>
      <w:r w:rsidRPr="00365CB9">
        <w:t>CONCLUSION</w:t>
      </w:r>
      <w:bookmarkEnd w:id="3"/>
    </w:p>
    <w:p w:rsidR="00F32AEA" w:rsidP="00F32AEA">
      <w:pPr>
        <w:spacing w:after="0" w:line="480" w:lineRule="auto"/>
        <w:ind w:firstLine="720"/>
        <w:rPr>
          <w:rFonts w:eastAsia="Times New Roman" w:cs="Times New Roman"/>
          <w:szCs w:val="24"/>
        </w:rPr>
      </w:pPr>
      <w:r>
        <w:rPr>
          <w:rFonts w:eastAsia="Times New Roman" w:cs="Times New Roman"/>
          <w:szCs w:val="24"/>
        </w:rPr>
        <w:t>The PUCO should grant OCC's application for rehearing and deny the Motion. Duke should not be permitted to charge customers more than $38.6 million for energy efficiency program costs and utility profits for 2017.</w:t>
      </w:r>
    </w:p>
    <w:p w:rsidR="00F32AEA" w:rsidRPr="00A4515D" w:rsidP="00F32AEA">
      <w:pPr>
        <w:ind w:firstLine="4320"/>
        <w:rPr>
          <w:rFonts w:eastAsia="Times New Roman" w:cs="Times New Roman"/>
          <w:szCs w:val="24"/>
        </w:rPr>
      </w:pPr>
      <w:r w:rsidRPr="00A4515D">
        <w:rPr>
          <w:rFonts w:eastAsia="Times New Roman" w:cs="Times New Roman"/>
          <w:szCs w:val="24"/>
        </w:rPr>
        <w:t>Respectfully submitted,</w:t>
      </w:r>
    </w:p>
    <w:p w:rsidR="00F32AEA" w:rsidRPr="00DD3C2C" w:rsidP="00F32AEA">
      <w:pPr>
        <w:spacing w:after="0" w:line="240" w:lineRule="auto"/>
        <w:ind w:firstLine="4320"/>
        <w:rPr>
          <w:szCs w:val="24"/>
        </w:rPr>
      </w:pPr>
      <w:r w:rsidRPr="00DD3C2C">
        <w:rPr>
          <w:szCs w:val="24"/>
        </w:rPr>
        <w:t>BRUCE WESTON (0016973)</w:t>
      </w:r>
    </w:p>
    <w:p w:rsidR="00F32AEA" w:rsidRPr="00DD3C2C" w:rsidP="00F32AEA">
      <w:pPr>
        <w:tabs>
          <w:tab w:val="left" w:pos="4320"/>
        </w:tabs>
        <w:spacing w:after="0" w:line="240" w:lineRule="auto"/>
        <w:ind w:left="4320"/>
        <w:rPr>
          <w:szCs w:val="24"/>
        </w:rPr>
      </w:pPr>
      <w:r w:rsidRPr="00DD3C2C">
        <w:rPr>
          <w:szCs w:val="24"/>
        </w:rPr>
        <w:t>OHIO CONSUMERS' COUNSEL</w:t>
      </w:r>
    </w:p>
    <w:p w:rsidR="00F32AEA" w:rsidRPr="00DD3C2C" w:rsidP="00F32AEA">
      <w:pPr>
        <w:tabs>
          <w:tab w:val="left" w:pos="4320"/>
        </w:tabs>
        <w:spacing w:after="0" w:line="240" w:lineRule="auto"/>
        <w:ind w:left="4320"/>
        <w:rPr>
          <w:szCs w:val="24"/>
        </w:rPr>
      </w:pPr>
    </w:p>
    <w:p w:rsidR="00F32AEA" w:rsidRPr="00F222B8" w:rsidP="00F32AEA">
      <w:pPr>
        <w:autoSpaceDE w:val="0"/>
        <w:autoSpaceDN w:val="0"/>
        <w:adjustRightInd w:val="0"/>
        <w:spacing w:after="0" w:line="240" w:lineRule="auto"/>
        <w:ind w:left="4320"/>
        <w:rPr>
          <w:szCs w:val="24"/>
          <w:u w:val="single"/>
        </w:rPr>
      </w:pPr>
      <w:r>
        <w:rPr>
          <w:szCs w:val="24"/>
          <w:u w:val="single"/>
        </w:rPr>
        <w:t xml:space="preserve">/s/ </w:t>
      </w:r>
      <w:r>
        <w:rPr>
          <w:i/>
          <w:szCs w:val="24"/>
          <w:u w:val="single"/>
        </w:rPr>
        <w:t>Christopher Healey</w:t>
      </w:r>
      <w:r>
        <w:rPr>
          <w:szCs w:val="24"/>
          <w:u w:val="single"/>
        </w:rPr>
        <w:tab/>
      </w:r>
      <w:r>
        <w:rPr>
          <w:szCs w:val="24"/>
          <w:u w:val="single"/>
        </w:rPr>
        <w:tab/>
      </w:r>
      <w:r>
        <w:rPr>
          <w:szCs w:val="24"/>
          <w:u w:val="single"/>
        </w:rPr>
        <w:tab/>
      </w:r>
    </w:p>
    <w:p w:rsidR="00F32AEA" w:rsidRPr="00DD3C2C" w:rsidP="00F32AEA">
      <w:pPr>
        <w:autoSpaceDE w:val="0"/>
        <w:autoSpaceDN w:val="0"/>
        <w:adjustRightInd w:val="0"/>
        <w:spacing w:after="0" w:line="240" w:lineRule="auto"/>
        <w:ind w:left="4320"/>
        <w:rPr>
          <w:szCs w:val="24"/>
        </w:rPr>
      </w:pPr>
      <w:r>
        <w:rPr>
          <w:szCs w:val="24"/>
        </w:rPr>
        <w:t>Christo</w:t>
      </w:r>
      <w:r w:rsidRPr="00DD3C2C">
        <w:rPr>
          <w:szCs w:val="24"/>
        </w:rPr>
        <w:t>pher Healey (0086027)</w:t>
      </w:r>
      <w:r w:rsidRPr="00DD3C2C">
        <w:rPr>
          <w:szCs w:val="24"/>
        </w:rPr>
        <w:br/>
        <w:t>Counsel of Record</w:t>
      </w:r>
    </w:p>
    <w:p w:rsidR="00F32AEA" w:rsidRPr="00DD3C2C" w:rsidP="00F32AEA">
      <w:pPr>
        <w:tabs>
          <w:tab w:val="left" w:pos="4320"/>
        </w:tabs>
        <w:spacing w:after="0" w:line="240" w:lineRule="auto"/>
        <w:ind w:left="4320"/>
        <w:rPr>
          <w:szCs w:val="24"/>
        </w:rPr>
      </w:pPr>
    </w:p>
    <w:p w:rsidR="00F32AEA" w:rsidRPr="00DD3C2C" w:rsidP="00F32AEA">
      <w:pPr>
        <w:spacing w:after="0" w:line="240" w:lineRule="auto"/>
        <w:ind w:left="4320"/>
        <w:rPr>
          <w:b/>
          <w:szCs w:val="24"/>
        </w:rPr>
      </w:pPr>
      <w:r w:rsidRPr="00DD3C2C">
        <w:rPr>
          <w:b/>
          <w:szCs w:val="24"/>
        </w:rPr>
        <w:t>Office of the Ohio Consumers' Counsel</w:t>
      </w:r>
    </w:p>
    <w:p w:rsidR="00F32AEA" w:rsidRPr="00DD3C2C" w:rsidP="00F32AEA">
      <w:pPr>
        <w:spacing w:after="0" w:line="240" w:lineRule="auto"/>
        <w:ind w:left="4320"/>
        <w:rPr>
          <w:szCs w:val="24"/>
        </w:rPr>
      </w:pPr>
      <w:r>
        <w:rPr>
          <w:szCs w:val="24"/>
        </w:rPr>
        <w:t>65 East State Street, 7th Floor</w:t>
      </w:r>
    </w:p>
    <w:p w:rsidR="00F32AEA" w:rsidRPr="00DD3C2C" w:rsidP="00F32AEA">
      <w:pPr>
        <w:spacing w:after="0" w:line="240" w:lineRule="auto"/>
        <w:ind w:left="4320"/>
        <w:rPr>
          <w:szCs w:val="24"/>
        </w:rPr>
      </w:pPr>
      <w:r>
        <w:rPr>
          <w:szCs w:val="24"/>
        </w:rPr>
        <w:t>Columbus, Ohio 43215</w:t>
      </w:r>
    </w:p>
    <w:p w:rsidR="00F32AEA" w:rsidRPr="00DD3C2C" w:rsidP="00F32AEA">
      <w:pPr>
        <w:autoSpaceDE w:val="0"/>
        <w:autoSpaceDN w:val="0"/>
        <w:adjustRightInd w:val="0"/>
        <w:spacing w:after="0" w:line="240" w:lineRule="auto"/>
        <w:ind w:left="3600" w:firstLine="720"/>
        <w:rPr>
          <w:szCs w:val="24"/>
        </w:rPr>
      </w:pPr>
      <w:r>
        <w:rPr>
          <w:szCs w:val="24"/>
        </w:rPr>
        <w:t>Telephone: (614) 466-9571</w:t>
      </w:r>
    </w:p>
    <w:p w:rsidR="00F32AEA" w:rsidRPr="00DD3C2C" w:rsidP="00F32AEA">
      <w:pPr>
        <w:spacing w:after="0" w:line="240" w:lineRule="auto"/>
        <w:ind w:left="4320"/>
        <w:rPr>
          <w:szCs w:val="24"/>
        </w:rPr>
      </w:pPr>
      <w:r>
        <w:fldChar w:fldCharType="begin"/>
      </w:r>
      <w:r>
        <w:instrText xml:space="preserve"> HYPERLINK "mailto:christopher.healey@occ.ohio.gov" </w:instrText>
      </w:r>
      <w:r>
        <w:fldChar w:fldCharType="separate"/>
      </w:r>
      <w:r w:rsidRPr="00DD3C2C" w:rsidR="00EE3877">
        <w:rPr>
          <w:rStyle w:val="Hyperlink"/>
          <w:szCs w:val="24"/>
        </w:rPr>
        <w:t>christopher.healey@occ.ohio.gov</w:t>
      </w:r>
      <w:r>
        <w:fldChar w:fldCharType="end"/>
      </w:r>
    </w:p>
    <w:p w:rsidR="00F32AEA" w:rsidRPr="00DD3C2C" w:rsidP="00F32AEA">
      <w:pPr>
        <w:spacing w:after="0" w:line="240" w:lineRule="auto"/>
        <w:ind w:left="4320"/>
        <w:rPr>
          <w:szCs w:val="24"/>
        </w:rPr>
      </w:pPr>
      <w:r>
        <w:rPr>
          <w:szCs w:val="24"/>
        </w:rPr>
        <w:t>(Willing to accept service by e-mail)</w:t>
      </w:r>
    </w:p>
    <w:p w:rsidR="00F32AEA" w:rsidRPr="00DD3C2C" w:rsidP="00F32AEA">
      <w:pPr>
        <w:spacing w:after="0" w:line="240" w:lineRule="auto"/>
        <w:ind w:left="4320"/>
        <w:rPr>
          <w:szCs w:val="24"/>
        </w:rPr>
      </w:pPr>
    </w:p>
    <w:p w:rsidR="00F32AEA" w:rsidP="00F32AEA">
      <w:pPr>
        <w:spacing w:after="0" w:line="240" w:lineRule="auto"/>
        <w:ind w:left="4320"/>
        <w:rPr>
          <w:szCs w:val="24"/>
        </w:rPr>
      </w:pPr>
    </w:p>
    <w:p w:rsidR="00F32AEA" w:rsidP="00F32AEA">
      <w:pPr>
        <w:spacing w:after="0" w:line="240" w:lineRule="auto"/>
        <w:ind w:left="4320"/>
        <w:rPr>
          <w:szCs w:val="24"/>
        </w:rPr>
      </w:pPr>
    </w:p>
    <w:p w:rsidR="00F32AEA" w:rsidRPr="0069751B" w:rsidP="00F32AEA">
      <w:pPr>
        <w:spacing w:after="0" w:line="240" w:lineRule="auto"/>
        <w:ind w:left="4320"/>
        <w:sectPr w:rsidSect="00F32AEA">
          <w:headerReference w:type="default" r:id="rId13"/>
          <w:footerReference w:type="default" r:id="rId14"/>
          <w:pgSz w:w="12240" w:h="15840"/>
          <w:pgMar w:top="1440" w:right="1800" w:bottom="1440" w:left="1800" w:header="720" w:footer="720" w:gutter="0"/>
          <w:pgNumType w:start="1"/>
          <w:cols w:space="720"/>
          <w:docGrid w:linePitch="360"/>
        </w:sectPr>
      </w:pPr>
    </w:p>
    <w:p w:rsidR="00F32AEA" w:rsidP="00F32AEA">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F32AEA" w:rsidRPr="006849DE" w:rsidP="00F32AEA">
      <w:pPr>
        <w:spacing w:after="0" w:line="240" w:lineRule="auto"/>
        <w:jc w:val="center"/>
        <w:rPr>
          <w:rFonts w:eastAsiaTheme="minorEastAsia" w:cs="Times New Roman"/>
          <w:b/>
          <w:szCs w:val="24"/>
          <w:u w:val="single"/>
        </w:rPr>
      </w:pPr>
    </w:p>
    <w:p w:rsidR="00F32AEA" w:rsidP="00F32AEA">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Application for Rehearing was served on the persons stated below via electronic transmission, this </w:t>
      </w:r>
      <w:r>
        <w:rPr>
          <w:rFonts w:eastAsiaTheme="minorEastAsia" w:cs="Times New Roman"/>
          <w:szCs w:val="24"/>
        </w:rPr>
        <w:t xml:space="preserve">21st </w:t>
      </w:r>
      <w:r w:rsidRPr="006849DE">
        <w:rPr>
          <w:rFonts w:eastAsiaTheme="minorEastAsia" w:cs="Times New Roman"/>
          <w:szCs w:val="24"/>
        </w:rPr>
        <w:t>day of</w:t>
      </w:r>
      <w:r>
        <w:rPr>
          <w:rFonts w:eastAsiaTheme="minorEastAsia" w:cs="Times New Roman"/>
          <w:szCs w:val="24"/>
        </w:rPr>
        <w:t xml:space="preserve"> December 2017</w:t>
      </w:r>
      <w:r w:rsidRPr="006849DE">
        <w:rPr>
          <w:rFonts w:eastAsiaTheme="minorEastAsia" w:cs="Times New Roman"/>
          <w:szCs w:val="24"/>
        </w:rPr>
        <w:t>.</w:t>
      </w:r>
    </w:p>
    <w:p w:rsidR="00F32AEA" w:rsidRPr="006849DE" w:rsidP="00F32AEA">
      <w:pPr>
        <w:spacing w:after="0" w:line="360" w:lineRule="auto"/>
        <w:ind w:firstLine="720"/>
        <w:rPr>
          <w:rFonts w:eastAsiaTheme="minorEastAsia" w:cs="Times New Roman"/>
          <w:szCs w:val="24"/>
        </w:rPr>
      </w:pPr>
    </w:p>
    <w:p w:rsidR="00F32AEA" w:rsidRPr="006849DE" w:rsidP="00F32AEA">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F32AEA" w:rsidRPr="006849DE" w:rsidP="00F32AEA">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Christopher Healey</w:t>
      </w:r>
    </w:p>
    <w:p w:rsidR="00F32AEA" w:rsidP="00F32AEA">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w:t>
      </w:r>
      <w:r>
        <w:rPr>
          <w:rFonts w:eastAsiaTheme="minorEastAsia" w:cs="Times New Roman"/>
          <w:szCs w:val="24"/>
        </w:rPr>
        <w:t>'</w:t>
      </w:r>
      <w:r w:rsidRPr="006849DE">
        <w:rPr>
          <w:rFonts w:eastAsiaTheme="minorEastAsia" w:cs="Times New Roman"/>
          <w:szCs w:val="24"/>
        </w:rPr>
        <w:t xml:space="preserve"> Counsel</w:t>
      </w:r>
    </w:p>
    <w:p w:rsidR="00F32AEA" w:rsidP="00F32AEA">
      <w:pPr>
        <w:jc w:val="center"/>
        <w:rPr>
          <w:b/>
          <w:u w:val="single"/>
        </w:rPr>
      </w:pPr>
    </w:p>
    <w:p w:rsidR="00AF6F40" w:rsidRPr="002F09B1" w:rsidP="00AF6F40">
      <w:pPr>
        <w:tabs>
          <w:tab w:val="left" w:pos="4320"/>
        </w:tabs>
        <w:jc w:val="center"/>
      </w:pPr>
      <w:r w:rsidRPr="002F09B1">
        <w:rPr>
          <w:b/>
        </w:rPr>
        <w:t>SERVICE LIST</w:t>
      </w:r>
    </w:p>
    <w:tbl>
      <w:tblPr>
        <w:tblStyle w:val="TableGrid2"/>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428"/>
        <w:gridCol w:w="247"/>
        <w:gridCol w:w="4181"/>
      </w:tblGrid>
      <w:tr w:rsidTr="00F32AEA">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rPr>
          <w:trHeight w:val="73"/>
        </w:trPr>
        <w:tc>
          <w:tcPr>
            <w:tcW w:w="4675" w:type="dxa"/>
            <w:gridSpan w:val="2"/>
          </w:tcPr>
          <w:p w:rsidR="00AF6F40" w:rsidRPr="002F09B1" w:rsidP="00F32AEA">
            <w:pPr>
              <w:autoSpaceDE w:val="0"/>
              <w:autoSpaceDN w:val="0"/>
              <w:adjustRightInd w:val="0"/>
              <w:spacing w:after="0" w:line="240" w:lineRule="auto"/>
              <w:ind w:left="3410" w:right="-18"/>
              <w:jc w:val="both"/>
              <w:rPr>
                <w:rStyle w:val="DefaultParagraphFont"/>
                <w:rFonts w:ascii="Times New Roman" w:hAnsi="Times New Roman" w:eastAsiaTheme="minorHAnsi" w:cstheme="minorBidi"/>
                <w:bCs/>
                <w:sz w:val="22"/>
                <w:szCs w:val="22"/>
                <w:lang w:val="en-US" w:eastAsia="en-US" w:bidi="ar-SA"/>
              </w:rPr>
            </w:pPr>
          </w:p>
        </w:tc>
        <w:tc>
          <w:tcPr>
            <w:tcW w:w="4181" w:type="dxa"/>
          </w:tcPr>
          <w:p w:rsidR="00AF6F40" w:rsidRPr="002F09B1" w:rsidP="00F32AEA">
            <w:pPr>
              <w:tabs>
                <w:tab w:val="left" w:pos="-720"/>
              </w:tabs>
              <w:suppressAutoHyphens/>
              <w:spacing w:after="0" w:line="240" w:lineRule="auto"/>
              <w:jc w:val="both"/>
              <w:rPr>
                <w:rStyle w:val="DefaultParagraphFont"/>
                <w:rFonts w:ascii="Times New Roman" w:hAnsi="Times New Roman" w:eastAsiaTheme="minorHAnsi" w:cstheme="minorBidi"/>
                <w:sz w:val="22"/>
                <w:szCs w:val="22"/>
                <w:lang w:val="en-US" w:eastAsia="en-US" w:bidi="ar-SA"/>
              </w:rPr>
            </w:pPr>
          </w:p>
        </w:tc>
      </w:tr>
      <w:tr w:rsidTr="00F32A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tcBorders>
              <w:top w:val="nil"/>
              <w:left w:val="nil"/>
              <w:bottom w:val="nil"/>
              <w:right w:val="nil"/>
            </w:tcBorders>
          </w:tcPr>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Bojko@carpenterlipps.com</w:t>
            </w:r>
            <w:r>
              <w:fldChar w:fldCharType="end"/>
            </w:r>
          </w:p>
          <w:p w:rsidR="00AF6F40"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"mailto:Ghiloni@carpenterlipps.com"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Ghiloni@carpenterlipps.com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rPr>
                <w:rFonts w:ascii="Times New Roman" w:hAnsi="Times New Roman" w:eastAsiaTheme="minorHAnsi" w:cstheme="minorBidi"/>
                <w:color w:val="0000FF"/>
                <w:sz w:val="22"/>
                <w:szCs w:val="22"/>
                <w:u w:val="single"/>
                <w:lang w:val="en-US" w:eastAsia="en-US" w:bidi="ar-SA"/>
              </w:rPr>
              <w:t>perko@carpenterlipps.com</w:t>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"mailto:paul@carpenterlipps.com"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paul@carpenterlipps.com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"mailto:mfleisher@elpc.org"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mfleisher@elpc.org</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"mailto:fdarr@mwncmh.com"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fdarr@mwncmh.com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"mailto:mpritchard@mwncmh.com"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mpritchard@mwncmh.com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joliker@igsenergy.com</w:t>
            </w:r>
            <w:r>
              <w:fldChar w:fldCharType="end"/>
            </w:r>
          </w:p>
          <w:p w:rsidR="00AF6F40" w:rsidRPr="002F09B1" w:rsidP="00F32AEA">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"mailto:John.jones@ohioattorneygeneral.gov"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John.jones@ohioattorneygeneral.gov</w:t>
            </w:r>
            <w:r>
              <w:fldChar w:fldCharType="end"/>
            </w:r>
          </w:p>
          <w:p w:rsidR="00AF6F40" w:rsidRPr="002F09B1" w:rsidP="00F32AEA">
            <w:pPr>
              <w:spacing w:after="0" w:line="240" w:lineRule="auto"/>
              <w:jc w:val="center"/>
              <w:rPr>
                <w:rStyle w:val="DefaultParagraphFont"/>
                <w:rFonts w:ascii="Times New Roman" w:hAnsi="Times New Roman" w:eastAsiaTheme="minorHAnsi" w:cstheme="minorBidi"/>
                <w:b/>
                <w:bCs/>
                <w:sz w:val="22"/>
                <w:szCs w:val="22"/>
                <w:u w:val="single"/>
                <w:lang w:val="en-US" w:eastAsia="en-US" w:bidi="ar-SA"/>
              </w:rPr>
            </w:pPr>
          </w:p>
        </w:tc>
        <w:tc>
          <w:tcPr>
            <w:tcW w:w="4428" w:type="dxa"/>
            <w:gridSpan w:val="2"/>
            <w:tcBorders>
              <w:top w:val="nil"/>
              <w:left w:val="nil"/>
              <w:bottom w:val="nil"/>
              <w:right w:val="nil"/>
            </w:tcBorders>
          </w:tcPr>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"mailto:Amy.spiller@duke-energy.com"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Amy.spiller@duke-energy.com</w:t>
            </w:r>
            <w:r>
              <w:fldChar w:fldCharType="end"/>
            </w:r>
          </w:p>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"mailto:Elizabeth.watts@duke-energy.com"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Elizabeth.watts@duke-energy.com</w:t>
            </w:r>
            <w:r>
              <w:fldChar w:fldCharType="end"/>
            </w:r>
          </w:p>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cmooney@ohiopartners.org</w:t>
            </w:r>
            <w:r>
              <w:fldChar w:fldCharType="end"/>
            </w:r>
          </w:p>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"mailto:tdougherty@theOEC.org"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tdougherty@theOEC.org</w:t>
            </w:r>
            <w:r>
              <w:fldChar w:fldCharType="end"/>
            </w:r>
          </w:p>
          <w:p w:rsidR="00AF6F40" w:rsidRPr="002F09B1" w:rsidP="00F32AEA">
            <w:pPr>
              <w:tabs>
                <w:tab w:val="left" w:pos="-720"/>
              </w:tabs>
              <w:suppressAutoHyphens/>
              <w:spacing w:after="0" w:line="240" w:lineRule="auto"/>
              <w:ind w:left="407"/>
              <w:rPr>
                <w:rStyle w:val="DefaultParagraphFont"/>
                <w:rFonts w:ascii="Times New Roman" w:hAnsi="Times New Roman" w:eastAsiaTheme="minorHAnsi" w:cstheme="minorBidi"/>
                <w:color w:val="1155CD"/>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"mailto:jfinnigan@edf.org"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jfinnigan@edf.org</w:t>
            </w:r>
            <w:r>
              <w:fldChar w:fldCharType="end"/>
            </w:r>
          </w:p>
          <w:p w:rsidR="00AF6F40" w:rsidRPr="002F09B1" w:rsidP="00F32AEA">
            <w:pPr>
              <w:spacing w:after="0" w:line="240" w:lineRule="auto"/>
              <w:ind w:left="407"/>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"mailto:rdove@attorneydove.com"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rdove@attorneydove.com</w:t>
            </w:r>
            <w:r>
              <w:fldChar w:fldCharType="end"/>
            </w:r>
          </w:p>
          <w:p w:rsidR="00AF6F40" w:rsidRPr="002F09B1" w:rsidP="00F32AEA">
            <w:pPr>
              <w:spacing w:after="0" w:line="240" w:lineRule="auto"/>
              <w:ind w:left="407"/>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"mailto:rick.sites@ohiohospitals.org" </w:instrText>
            </w:r>
            <w:r>
              <w:fldChar w:fldCharType="separate"/>
            </w:r>
            <w:r w:rsidRPr="002F09B1" w:rsidR="00EE3877">
              <w:rPr>
                <w:rFonts w:ascii="Times New Roman" w:hAnsi="Times New Roman" w:eastAsiaTheme="minorHAnsi" w:cstheme="minorBidi"/>
                <w:color w:val="0000FF"/>
                <w:sz w:val="22"/>
                <w:szCs w:val="22"/>
                <w:u w:val="single"/>
                <w:lang w:val="en-US" w:eastAsia="en-US" w:bidi="ar-SA"/>
              </w:rPr>
              <w:t>rick.sites@ohiohospitals.org</w:t>
            </w:r>
            <w:r>
              <w:fldChar w:fldCharType="end"/>
            </w:r>
          </w:p>
          <w:p w:rsidR="00AF6F40" w:rsidP="00F32AEA">
            <w:pPr>
              <w:autoSpaceDE w:val="0"/>
              <w:autoSpaceDN w:val="0"/>
              <w:adjustRightInd w:val="0"/>
              <w:spacing w:after="0" w:line="240" w:lineRule="auto"/>
              <w:ind w:left="407"/>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"mailto:mwarnock@bricker.com" </w:instrText>
            </w:r>
            <w:r>
              <w:fldChar w:fldCharType="separate"/>
            </w:r>
            <w:r w:rsidRPr="001A35BF" w:rsidR="00EE3877">
              <w:rPr>
                <w:rStyle w:val="Hyperlink"/>
                <w:rFonts w:ascii="Times New Roman" w:hAnsi="Times New Roman" w:eastAsiaTheme="minorHAnsi" w:cstheme="minorBidi"/>
                <w:color w:val="0000FF"/>
                <w:sz w:val="22"/>
                <w:szCs w:val="22"/>
                <w:u w:val="single"/>
                <w:lang w:val="en-US" w:eastAsia="en-US" w:bidi="ar-SA"/>
              </w:rPr>
              <w:t>mwarnock@bricker.com</w:t>
            </w:r>
            <w:r>
              <w:fldChar w:fldCharType="end"/>
            </w:r>
          </w:p>
          <w:p w:rsidR="00AF6F40" w:rsidRPr="002F09B1" w:rsidP="00F32AEA">
            <w:pPr>
              <w:spacing w:after="0" w:line="240" w:lineRule="auto"/>
              <w:rPr>
                <w:rStyle w:val="DefaultParagraphFont"/>
                <w:rFonts w:ascii="Times New Roman" w:hAnsi="Times New Roman" w:eastAsiaTheme="minorHAnsi" w:cstheme="minorBidi"/>
                <w:b/>
                <w:bCs/>
                <w:sz w:val="22"/>
                <w:szCs w:val="22"/>
                <w:u w:val="single"/>
                <w:lang w:val="en-US" w:eastAsia="en-US" w:bidi="ar-SA"/>
              </w:rPr>
            </w:pPr>
            <w:r w:rsidRPr="002F09B1">
              <w:rPr>
                <w:rFonts w:ascii="Times New Roman" w:hAnsi="Times New Roman" w:eastAsiaTheme="minorHAnsi" w:cstheme="minorBidi"/>
                <w:sz w:val="22"/>
                <w:szCs w:val="22"/>
                <w:lang w:val="en-US" w:eastAsia="en-US" w:bidi="ar-SA"/>
              </w:rPr>
              <w:t xml:space="preserve">      </w:t>
            </w:r>
            <w:r>
              <w:rPr>
                <w:rFonts w:ascii="Times New Roman" w:hAnsi="Times New Roman" w:eastAsiaTheme="minorHAnsi" w:cstheme="minorBidi"/>
                <w:sz w:val="22"/>
                <w:szCs w:val="22"/>
                <w:lang w:val="en-US" w:eastAsia="en-US" w:bidi="ar-SA"/>
              </w:rPr>
              <w:t xml:space="preserve"> </w:t>
            </w: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sidRPr="002F09B1">
              <w:rPr>
                <w:rFonts w:ascii="Times New Roman" w:hAnsi="Times New Roman" w:eastAsiaTheme="minorHAnsi" w:cstheme="minorBidi"/>
                <w:color w:val="0000FF"/>
                <w:sz w:val="22"/>
                <w:szCs w:val="22"/>
                <w:u w:val="single"/>
                <w:lang w:val="en-US" w:eastAsia="en-US" w:bidi="ar-SA"/>
              </w:rPr>
              <w:t>dborchers@bricker.com</w:t>
            </w:r>
            <w:r>
              <w:fldChar w:fldCharType="end"/>
            </w:r>
          </w:p>
        </w:tc>
      </w:tr>
    </w:tbl>
    <w:p w:rsidR="00AF6F40" w:rsidP="00AF6F40">
      <w:pPr>
        <w:tabs>
          <w:tab w:val="left" w:pos="4320"/>
        </w:tabs>
        <w:jc w:val="center"/>
        <w:rPr>
          <w:b/>
        </w:rPr>
      </w:pPr>
    </w:p>
    <w:p w:rsidR="00AF6F40" w:rsidP="00AF6F40">
      <w:r>
        <w:t>Attorney Examiner:</w:t>
      </w:r>
    </w:p>
    <w:p w:rsidR="00AF6F40" w:rsidP="00AF6F40">
      <w:r>
        <w:fldChar w:fldCharType="begin"/>
      </w:r>
      <w:r>
        <w:instrText xml:space="preserve"> HYPERLINK "mailto:Richard.bulgrin@puc.state.oh.us" </w:instrText>
      </w:r>
      <w:r>
        <w:fldChar w:fldCharType="separate"/>
      </w:r>
      <w:r w:rsidRPr="009264AA" w:rsidR="00EE3877">
        <w:rPr>
          <w:rStyle w:val="Hyperlink"/>
        </w:rPr>
        <w:t>Richard.bulgrin@puc.state.oh.us</w:t>
      </w:r>
      <w:r>
        <w:fldChar w:fldCharType="end"/>
      </w:r>
    </w:p>
    <w:p w:rsidR="00AF6F40" w:rsidRPr="00DE0B7B" w:rsidP="00AF6F40"/>
    <w:sectPr w:rsidSect="00F32AEA">
      <w:footerReference w:type="default" r:id="rId15"/>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C16">
    <w:pPr>
      <w:pStyle w:val="Footer"/>
      <w:jc w:val="center"/>
    </w:pPr>
  </w:p>
  <w:p w:rsidR="00A67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9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4149029"/>
      <w:docPartObj>
        <w:docPartGallery w:val="Page Numbers (Bottom of Page)"/>
        <w:docPartUnique/>
      </w:docPartObj>
    </w:sdtPr>
    <w:sdtEndPr>
      <w:rPr>
        <w:noProof/>
      </w:rPr>
    </w:sdtEndPr>
    <w:sdtContent>
      <w:p w:rsidR="00A36C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6C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9532051"/>
      <w:docPartObj>
        <w:docPartGallery w:val="Page Numbers (Bottom of Page)"/>
        <w:docPartUnique/>
      </w:docPartObj>
    </w:sdtPr>
    <w:sdtEndPr>
      <w:rPr>
        <w:noProof/>
      </w:rPr>
    </w:sdtEndPr>
    <w:sdtContent>
      <w:p w:rsidR="00A36C1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A36C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AEA" w:rsidRPr="007F241E">
    <w:pPr>
      <w:pStyle w:val="Footer"/>
      <w:jc w:val="center"/>
    </w:pPr>
  </w:p>
  <w:p w:rsidR="00F32AEA" w:rsidRPr="007F2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08E5" w:rsidP="00F32AEA">
      <w:pPr>
        <w:spacing w:after="0" w:line="240" w:lineRule="auto"/>
        <w:rPr>
          <w:noProof/>
        </w:rPr>
      </w:pPr>
      <w:r>
        <w:rPr>
          <w:noProof/>
        </w:rPr>
        <w:separator/>
      </w:r>
    </w:p>
  </w:footnote>
  <w:footnote w:type="continuationSeparator" w:id="1">
    <w:p w:rsidR="004708E5" w:rsidP="00F32AEA">
      <w:pPr>
        <w:spacing w:after="0" w:line="240" w:lineRule="auto"/>
      </w:pPr>
      <w:r>
        <w:continuationSeparator/>
      </w:r>
    </w:p>
  </w:footnote>
  <w:footnote w:id="2">
    <w:p w:rsidR="00BD0C18">
      <w:pPr>
        <w:pStyle w:val="FootnoteText"/>
      </w:pPr>
      <w:r>
        <w:rPr>
          <w:rStyle w:val="FootnoteReference"/>
        </w:rPr>
        <w:footnoteRef/>
      </w:r>
      <w:r>
        <w:t xml:space="preserve"> Motion of Duke Energy Ohio, Inc., for a Waiver (Oct. 12, 2017) (the "Motion").</w:t>
      </w:r>
    </w:p>
  </w:footnote>
  <w:footnote w:id="3">
    <w:p w:rsidR="00900C77">
      <w:pPr>
        <w:pStyle w:val="FootnoteText"/>
      </w:pPr>
      <w:r>
        <w:rPr>
          <w:rStyle w:val="FootnoteReference"/>
        </w:rPr>
        <w:footnoteRef/>
      </w:r>
      <w:r>
        <w:t xml:space="preserve"> Opinion &amp; Order (Sept. 27, 2017) (the "Order").</w:t>
      </w:r>
    </w:p>
  </w:footnote>
  <w:footnote w:id="4">
    <w:p w:rsidR="009F7C43">
      <w:pPr>
        <w:pStyle w:val="FootnoteText"/>
      </w:pPr>
      <w:r>
        <w:rPr>
          <w:rStyle w:val="FootnoteReference"/>
        </w:rPr>
        <w:footnoteRef/>
      </w:r>
      <w:r>
        <w:t xml:space="preserve"> Amended Stipulation &amp; Recommendation (Jan. 27, 2017) (the "Settlement").</w:t>
      </w:r>
    </w:p>
  </w:footnote>
  <w:footnote w:id="5">
    <w:p w:rsidR="009F7C43">
      <w:pPr>
        <w:pStyle w:val="FootnoteText"/>
      </w:pPr>
      <w:r>
        <w:rPr>
          <w:rStyle w:val="FootnoteReference"/>
        </w:rPr>
        <w:footnoteRef/>
      </w:r>
      <w:r>
        <w:t xml:space="preserve"> Order ¶¶ 46-47.</w:t>
      </w:r>
    </w:p>
  </w:footnote>
  <w:footnote w:id="6">
    <w:p w:rsidR="00701ACF" w:rsidRPr="00701ACF">
      <w:pPr>
        <w:pStyle w:val="FootnoteText"/>
      </w:pPr>
      <w:r>
        <w:rPr>
          <w:rStyle w:val="FootnoteReference"/>
        </w:rPr>
        <w:footnoteRef/>
      </w:r>
      <w:r>
        <w:t xml:space="preserve"> </w:t>
      </w:r>
      <w:r>
        <w:rPr>
          <w:i/>
        </w:rPr>
        <w:t>Id.</w:t>
      </w:r>
      <w:r>
        <w:t xml:space="preserve"> ¶ 47.</w:t>
      </w:r>
    </w:p>
  </w:footnote>
  <w:footnote w:id="7">
    <w:p w:rsidR="00701ACF" w:rsidRPr="00701ACF">
      <w:pPr>
        <w:pStyle w:val="FootnoteText"/>
      </w:pPr>
      <w:r>
        <w:rPr>
          <w:rStyle w:val="FootnoteReference"/>
        </w:rPr>
        <w:footnoteRef/>
      </w:r>
      <w:r>
        <w:t xml:space="preserve"> </w:t>
      </w:r>
      <w:r>
        <w:rPr>
          <w:i/>
        </w:rPr>
        <w:t>Id.</w:t>
      </w:r>
    </w:p>
  </w:footnote>
  <w:footnote w:id="8">
    <w:p w:rsidR="00701ACF" w:rsidRPr="00701ACF">
      <w:pPr>
        <w:pStyle w:val="FootnoteText"/>
      </w:pPr>
      <w:r>
        <w:rPr>
          <w:rStyle w:val="FootnoteReference"/>
        </w:rPr>
        <w:footnoteRef/>
      </w:r>
      <w:r>
        <w:t xml:space="preserve"> </w:t>
      </w:r>
      <w:r>
        <w:rPr>
          <w:i/>
        </w:rPr>
        <w:t>Id.</w:t>
      </w:r>
    </w:p>
  </w:footnote>
  <w:footnote w:id="9">
    <w:p w:rsidR="00701ACF">
      <w:pPr>
        <w:pStyle w:val="FootnoteText"/>
      </w:pPr>
      <w:r>
        <w:rPr>
          <w:rStyle w:val="FootnoteReference"/>
        </w:rPr>
        <w:footnoteRef/>
      </w:r>
      <w:r>
        <w:t xml:space="preserve"> Motion at 2 (stating that budget was originally $38,788,550 and subsequently amended to $39,126,072).</w:t>
      </w:r>
    </w:p>
  </w:footnote>
  <w:footnote w:id="10">
    <w:p w:rsidR="00701ACF" w:rsidRPr="00701ACF">
      <w:pPr>
        <w:pStyle w:val="FootnoteText"/>
      </w:pPr>
      <w:r>
        <w:rPr>
          <w:rStyle w:val="FootnoteReference"/>
        </w:rPr>
        <w:footnoteRef/>
      </w:r>
      <w:r>
        <w:t xml:space="preserve"> </w:t>
      </w:r>
      <w:r>
        <w:rPr>
          <w:i/>
        </w:rPr>
        <w:t>Id.</w:t>
      </w:r>
      <w:r>
        <w:t xml:space="preserve"> at 3.</w:t>
      </w:r>
    </w:p>
  </w:footnote>
  <w:footnote w:id="11">
    <w:p w:rsidR="00701ACF">
      <w:pPr>
        <w:pStyle w:val="FootnoteText"/>
      </w:pPr>
      <w:r>
        <w:rPr>
          <w:rStyle w:val="FootnoteReference"/>
        </w:rPr>
        <w:footnoteRef/>
      </w:r>
      <w:r>
        <w:t xml:space="preserve"> Memorandum Contra Motion of Duke Energy Ohio, Inc. for a Waiver to Charge Consumers More for Energy Efficiency by the Office of the Ohio Consumers' Counsel (Oct. 27, 2017) (the "Memo Contra").</w:t>
      </w:r>
    </w:p>
  </w:footnote>
  <w:footnote w:id="12">
    <w:p w:rsidR="00701ACF">
      <w:pPr>
        <w:pStyle w:val="FootnoteText"/>
      </w:pPr>
      <w:r>
        <w:rPr>
          <w:rStyle w:val="FootnoteReference"/>
        </w:rPr>
        <w:footnoteRef/>
      </w:r>
      <w:r>
        <w:t xml:space="preserve"> Entry on Rehearing ¶¶ 8, 10.</w:t>
      </w:r>
    </w:p>
  </w:footnote>
  <w:footnote w:id="13">
    <w:p w:rsidR="00701ACF" w:rsidRPr="00701ACF">
      <w:pPr>
        <w:pStyle w:val="FootnoteText"/>
      </w:pPr>
      <w:r>
        <w:rPr>
          <w:rStyle w:val="FootnoteReference"/>
        </w:rPr>
        <w:footnoteRef/>
      </w:r>
      <w:r>
        <w:t xml:space="preserve"> </w:t>
      </w:r>
      <w:r>
        <w:rPr>
          <w:i/>
        </w:rPr>
        <w:t>Id.</w:t>
      </w:r>
    </w:p>
  </w:footnote>
  <w:footnote w:id="14">
    <w:p w:rsidR="00F32AEA" w:rsidP="00F32AEA">
      <w:pPr>
        <w:pStyle w:val="FootnoteText"/>
      </w:pPr>
      <w:r>
        <w:rPr>
          <w:rStyle w:val="FootnoteReference"/>
        </w:rPr>
        <w:footnoteRef/>
      </w:r>
      <w:r>
        <w:t xml:space="preserve"> R.C. 4903.10.</w:t>
      </w:r>
    </w:p>
  </w:footnote>
  <w:footnote w:id="15">
    <w:p w:rsidR="00F32AEA" w:rsidRPr="005B061F">
      <w:pPr>
        <w:pStyle w:val="FootnoteText"/>
      </w:pPr>
      <w:r>
        <w:rPr>
          <w:rStyle w:val="FootnoteReference"/>
        </w:rPr>
        <w:footnoteRef/>
      </w:r>
      <w:r>
        <w:t xml:space="preserve"> R.C. 4903.10(B). </w:t>
      </w:r>
      <w:r>
        <w:rPr>
          <w:i/>
        </w:rPr>
        <w:t>See also</w:t>
      </w:r>
      <w:r>
        <w:t xml:space="preserve"> Ohio Admin. Code 4901-1-35(A).</w:t>
      </w:r>
    </w:p>
  </w:footnote>
  <w:footnote w:id="16">
    <w:p w:rsidR="00F32AEA">
      <w:pPr>
        <w:pStyle w:val="FootnoteText"/>
      </w:pPr>
      <w:r>
        <w:rPr>
          <w:rStyle w:val="FootnoteReference"/>
        </w:rPr>
        <w:footnoteRef/>
      </w:r>
      <w:r>
        <w:t xml:space="preserve"> R.C. 4903.10(B).</w:t>
      </w:r>
    </w:p>
  </w:footnote>
  <w:footnote w:id="17">
    <w:p w:rsidR="005B0E72" w:rsidP="005B0E72">
      <w:pPr>
        <w:pStyle w:val="FootnoteText"/>
      </w:pPr>
      <w:r>
        <w:rPr>
          <w:rStyle w:val="FootnoteReference"/>
        </w:rPr>
        <w:footnoteRef/>
      </w:r>
      <w:r>
        <w:t xml:space="preserve"> Motion at 2.</w:t>
      </w:r>
    </w:p>
  </w:footnote>
  <w:footnote w:id="18">
    <w:p w:rsidR="00103C56" w:rsidRPr="00103C56">
      <w:pPr>
        <w:pStyle w:val="FootnoteText"/>
      </w:pPr>
      <w:r>
        <w:rPr>
          <w:rStyle w:val="FootnoteReference"/>
        </w:rPr>
        <w:footnoteRef/>
      </w:r>
      <w:r>
        <w:t xml:space="preserve"> </w:t>
      </w:r>
      <w:r>
        <w:rPr>
          <w:i/>
        </w:rPr>
        <w:t>See, e.g., In re Ohio Power Co.</w:t>
      </w:r>
      <w:r>
        <w:t xml:space="preserve">, 144 Ohio St. 3d 1, 5 (2015) (PUCO must "respect its own precedents" and must justify and explain any decision to modify a prior order). </w:t>
      </w:r>
    </w:p>
  </w:footnote>
  <w:footnote w:id="19">
    <w:p w:rsidR="00103C56" w:rsidRPr="00103C56">
      <w:pPr>
        <w:pStyle w:val="FootnoteText"/>
      </w:pPr>
      <w:r>
        <w:rPr>
          <w:rStyle w:val="FootnoteReference"/>
        </w:rPr>
        <w:footnoteRef/>
      </w:r>
      <w:r>
        <w:t xml:space="preserve"> </w:t>
      </w:r>
      <w:r>
        <w:rPr>
          <w:i/>
        </w:rPr>
        <w:t>See In re Complaint of Orwell Natural Gas Co. v. Orwell-Trumbull Pipeline Co., LLC</w:t>
      </w:r>
      <w:r>
        <w:t>, Case No. 16-2419-GA-CSS, Opinion &amp; Order ¶ 18 (Nov. 21, 2017) ("the Commission has explicit jurisdiction to enforce compliance with Commission orders and directives").</w:t>
      </w:r>
    </w:p>
  </w:footnote>
  <w:footnote w:id="20">
    <w:p w:rsidR="00E83651">
      <w:pPr>
        <w:pStyle w:val="FootnoteText"/>
      </w:pPr>
      <w:r>
        <w:rPr>
          <w:rStyle w:val="FootnoteReference"/>
        </w:rPr>
        <w:footnoteRef/>
      </w:r>
      <w:r>
        <w:t xml:space="preserve"> R.C. 4903.09.</w:t>
      </w:r>
    </w:p>
  </w:footnote>
  <w:footnote w:id="21">
    <w:p w:rsidR="00E83651" w:rsidRPr="00E83651">
      <w:pPr>
        <w:pStyle w:val="FootnoteText"/>
      </w:pPr>
      <w:r>
        <w:rPr>
          <w:rStyle w:val="FootnoteReference"/>
        </w:rPr>
        <w:footnoteRef/>
      </w:r>
      <w:r>
        <w:t xml:space="preserve"> </w:t>
      </w:r>
      <w:r>
        <w:rPr>
          <w:i/>
        </w:rPr>
        <w:t>Id.</w:t>
      </w:r>
    </w:p>
  </w:footnote>
  <w:footnote w:id="22">
    <w:p w:rsidR="00E33F67" w:rsidRPr="00E33F67">
      <w:pPr>
        <w:pStyle w:val="FootnoteText"/>
      </w:pPr>
      <w:r>
        <w:rPr>
          <w:rStyle w:val="FootnoteReference"/>
        </w:rPr>
        <w:footnoteRef/>
      </w:r>
      <w:r>
        <w:t xml:space="preserve"> </w:t>
      </w:r>
      <w:r>
        <w:rPr>
          <w:i/>
        </w:rPr>
        <w:t>In re Complaint of Ormet Primary Aluminum Corp. v. Ohio Power Co.</w:t>
      </w:r>
      <w:r>
        <w:t>, Case No. 13-2206-EL-CSS, Opinion &amp; Order at 5 (Nov. 18, 2015).</w:t>
      </w:r>
    </w:p>
  </w:footnote>
  <w:footnote w:id="23">
    <w:p w:rsidR="008463AD" w:rsidRPr="008463AD">
      <w:pPr>
        <w:pStyle w:val="FootnoteText"/>
      </w:pPr>
      <w:r>
        <w:rPr>
          <w:rStyle w:val="FootnoteReference"/>
        </w:rPr>
        <w:footnoteRef/>
      </w:r>
      <w:r>
        <w:t xml:space="preserve"> 135 Ohio St. 3d 219, 226 (2013). </w:t>
      </w:r>
      <w:r>
        <w:rPr>
          <w:i/>
        </w:rPr>
        <w:t>See also RNG Props., Ltd. v. Summit Cnty. Bd. of Revision</w:t>
      </w:r>
      <w:r>
        <w:t xml:space="preserve">, 140 Ohio St. 3d 455, 461 n.1 (2014) ("We have long held that 'statements of counsel are not evidence.'") (quoting </w:t>
      </w:r>
      <w:r>
        <w:rPr>
          <w:i/>
        </w:rPr>
        <w:t>Corporate Exchange Bldgs. IV &amp; V, L.P. v. Franklin Cty. Bd. of Revision</w:t>
      </w:r>
      <w:r>
        <w:t>, 82 Ohio St. 297, 299 (1998)).</w:t>
      </w:r>
    </w:p>
  </w:footnote>
  <w:footnote w:id="24">
    <w:p w:rsidR="00E33F67" w:rsidRPr="00E33F67" w:rsidP="00E33F67">
      <w:pPr>
        <w:pStyle w:val="FootnoteText"/>
        <w:tabs>
          <w:tab w:val="right" w:pos="8640"/>
        </w:tabs>
      </w:pPr>
      <w:r>
        <w:rPr>
          <w:rStyle w:val="FootnoteReference"/>
        </w:rPr>
        <w:footnoteRef/>
      </w:r>
      <w:r>
        <w:t xml:space="preserve"> 1994 Ohio App. LEXIS 157, at *11 (Ohio Ct. App. Jan. 21, 1994). </w:t>
      </w:r>
      <w:r>
        <w:rPr>
          <w:i/>
        </w:rPr>
        <w:t>See also Arizona Newsome v. Newhouse</w:t>
      </w:r>
      <w:r>
        <w:t>, 1985 Ohio App. LEXIS 7590, at *4 (Ohio Ct. App. Apr. 5, 1985) (Brogan, J. dissenting) ("Counsels' assertions in their memoranda are not evidence.").</w:t>
      </w:r>
    </w:p>
  </w:footnote>
  <w:footnote w:id="25">
    <w:p w:rsidR="00D460A5" w:rsidRPr="00D460A5">
      <w:pPr>
        <w:pStyle w:val="FootnoteText"/>
      </w:pPr>
      <w:r>
        <w:rPr>
          <w:rStyle w:val="FootnoteReference"/>
        </w:rPr>
        <w:footnoteRef/>
      </w:r>
      <w:r>
        <w:t xml:space="preserve"> </w:t>
      </w:r>
      <w:r>
        <w:rPr>
          <w:i/>
        </w:rPr>
        <w:t>MCI Telecom. Corp. v. PUCO</w:t>
      </w:r>
      <w:r>
        <w:t>, 32 Ohio St. 3d 306, 312 (1987).</w:t>
      </w:r>
    </w:p>
  </w:footnote>
  <w:footnote w:id="26">
    <w:p w:rsidR="00D460A5">
      <w:pPr>
        <w:pStyle w:val="FootnoteText"/>
      </w:pPr>
      <w:r>
        <w:rPr>
          <w:rStyle w:val="FootnoteReference"/>
        </w:rPr>
        <w:footnoteRef/>
      </w:r>
      <w:r>
        <w:t xml:space="preserve"> 147 Ohio St. 3d 439 (2016).</w:t>
      </w:r>
    </w:p>
  </w:footnote>
  <w:footnote w:id="27">
    <w:p w:rsidR="00D460A5" w:rsidRPr="00D460A5">
      <w:pPr>
        <w:pStyle w:val="FootnoteText"/>
      </w:pPr>
      <w:r>
        <w:rPr>
          <w:rStyle w:val="FootnoteReference"/>
        </w:rPr>
        <w:footnoteRef/>
      </w:r>
      <w:r>
        <w:t xml:space="preserve"> </w:t>
      </w:r>
      <w:r>
        <w:rPr>
          <w:i/>
        </w:rPr>
        <w:t>Id.</w:t>
      </w:r>
      <w:r>
        <w:t xml:space="preserve"> ¶ 66.</w:t>
      </w:r>
    </w:p>
  </w:footnote>
  <w:footnote w:id="28">
    <w:p w:rsidR="00D6648C">
      <w:pPr>
        <w:pStyle w:val="FootnoteText"/>
      </w:pPr>
      <w:r>
        <w:rPr>
          <w:rStyle w:val="FootnoteReference"/>
        </w:rPr>
        <w:footnoteRef/>
      </w:r>
      <w:r>
        <w:t xml:space="preserve"> Memo Contra at 4-5.</w:t>
      </w:r>
    </w:p>
  </w:footnote>
  <w:footnote w:id="29">
    <w:p w:rsidR="00D6648C" w:rsidRPr="00D6648C">
      <w:pPr>
        <w:pStyle w:val="FootnoteText"/>
      </w:pPr>
      <w:r>
        <w:rPr>
          <w:rStyle w:val="FootnoteReference"/>
        </w:rPr>
        <w:footnoteRef/>
      </w:r>
      <w:r>
        <w:t xml:space="preserve"> </w:t>
      </w:r>
      <w:r>
        <w:rPr>
          <w:i/>
        </w:rPr>
        <w:t>Id.</w:t>
      </w:r>
      <w:r>
        <w:t xml:space="preserve"> at 5.</w:t>
      </w:r>
    </w:p>
  </w:footnote>
  <w:footnote w:id="30">
    <w:p w:rsidR="00D6648C" w:rsidRPr="00D6648C">
      <w:pPr>
        <w:pStyle w:val="FootnoteText"/>
      </w:pPr>
      <w:r>
        <w:rPr>
          <w:rStyle w:val="FootnoteReference"/>
        </w:rPr>
        <w:footnoteRef/>
      </w:r>
      <w:r>
        <w:t xml:space="preserve"> </w:t>
      </w:r>
      <w:r>
        <w:rPr>
          <w:i/>
        </w:rPr>
        <w:t>Id.</w:t>
      </w:r>
      <w:r>
        <w:t xml:space="preserve">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9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C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E7D4712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BF5A576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AB0A76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C06257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0152183A"/>
    <w:lvl w:ilvl="0">
      <w:start w:val="1"/>
      <w:numFmt w:val="bullet"/>
      <w:lvlText w:val=""/>
      <w:lvlJc w:val="left"/>
      <w:pPr>
        <w:tabs>
          <w:tab w:val="num" w:pos="360"/>
        </w:tabs>
        <w:ind w:left="360" w:hanging="360"/>
      </w:pPr>
      <w:rPr>
        <w:rFonts w:ascii="Symbol" w:hAnsi="Symbol" w:hint="default"/>
      </w:rPr>
    </w:lvl>
  </w:abstractNum>
  <w:abstractNum w:abstractNumId="5">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15841E5"/>
    <w:multiLevelType w:val="hybridMultilevel"/>
    <w:tmpl w:val="F1D8AF18"/>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10">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1">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A961368"/>
    <w:multiLevelType w:val="hybridMultilevel"/>
    <w:tmpl w:val="8EE2E24E"/>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2">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31614A"/>
    <w:multiLevelType w:val="hybridMultilevel"/>
    <w:tmpl w:val="6278EC9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38">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8"/>
  </w:num>
  <w:num w:numId="2">
    <w:abstractNumId w:val="17"/>
  </w:num>
  <w:num w:numId="3">
    <w:abstractNumId w:val="33"/>
  </w:num>
  <w:num w:numId="4">
    <w:abstractNumId w:val="7"/>
  </w:num>
  <w:num w:numId="5">
    <w:abstractNumId w:val="26"/>
  </w:num>
  <w:num w:numId="6">
    <w:abstractNumId w:val="25"/>
  </w:num>
  <w:num w:numId="7">
    <w:abstractNumId w:val="13"/>
  </w:num>
  <w:num w:numId="8">
    <w:abstractNumId w:val="32"/>
  </w:num>
  <w:num w:numId="9">
    <w:abstractNumId w:val="19"/>
  </w:num>
  <w:num w:numId="10">
    <w:abstractNumId w:val="29"/>
  </w:num>
  <w:num w:numId="11">
    <w:abstractNumId w:val="20"/>
  </w:num>
  <w:num w:numId="12">
    <w:abstractNumId w:val="28"/>
  </w:num>
  <w:num w:numId="13">
    <w:abstractNumId w:val="22"/>
  </w:num>
  <w:num w:numId="14">
    <w:abstractNumId w:val="14"/>
  </w:num>
  <w:num w:numId="15">
    <w:abstractNumId w:val="8"/>
  </w:num>
  <w:num w:numId="16">
    <w:abstractNumId w:val="11"/>
  </w:num>
  <w:num w:numId="17">
    <w:abstractNumId w:val="30"/>
  </w:num>
  <w:num w:numId="18">
    <w:abstractNumId w:val="9"/>
  </w:num>
  <w:num w:numId="19">
    <w:abstractNumId w:val="37"/>
  </w:num>
  <w:num w:numId="20">
    <w:abstractNumId w:val="35"/>
  </w:num>
  <w:num w:numId="21">
    <w:abstractNumId w:val="5"/>
  </w:num>
  <w:num w:numId="22">
    <w:abstractNumId w:val="16"/>
  </w:num>
  <w:num w:numId="23">
    <w:abstractNumId w:val="36"/>
  </w:num>
  <w:num w:numId="24">
    <w:abstractNumId w:val="39"/>
  </w:num>
  <w:num w:numId="25">
    <w:abstractNumId w:val="15"/>
  </w:num>
  <w:num w:numId="26">
    <w:abstractNumId w:val="10"/>
  </w:num>
  <w:num w:numId="27">
    <w:abstractNumId w:val="10"/>
    <w:lvlOverride w:ilvl="0">
      <w:startOverride w:val="1"/>
    </w:lvlOverride>
  </w:num>
  <w:num w:numId="28">
    <w:abstractNumId w:val="10"/>
    <w:lvlOverride w:ilvl="0">
      <w:startOverride w:val="1"/>
    </w:lvlOverride>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8"/>
  </w:num>
  <w:num w:numId="36">
    <w:abstractNumId w:val="21"/>
  </w:num>
  <w:num w:numId="37">
    <w:abstractNumId w:val="12"/>
  </w:num>
  <w:num w:numId="38">
    <w:abstractNumId w:val="31"/>
  </w:num>
  <w:num w:numId="39">
    <w:abstractNumId w:val="24"/>
  </w:num>
  <w:num w:numId="40">
    <w:abstractNumId w:val="23"/>
  </w:num>
  <w:num w:numId="41">
    <w:abstractNumId w:val="2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9F7C43"/>
    <w:pPr>
      <w:keepNext/>
      <w:keepLines/>
      <w:numPr>
        <w:numId w:val="42"/>
      </w:numPr>
      <w:spacing w:after="240" w:line="240" w:lineRule="auto"/>
      <w:ind w:hanging="720"/>
      <w:outlineLvl w:val="0"/>
    </w:pPr>
    <w:rPr>
      <w:rFonts w:ascii="Times New Roman Bold" w:hAnsi="Times New Roman Bold" w:eastAsiaTheme="minorEastAsia" w:cstheme="majorBidi"/>
      <w:b/>
      <w:bCs/>
      <w:caps/>
      <w:szCs w:val="28"/>
    </w:rPr>
  </w:style>
  <w:style w:type="paragraph" w:styleId="Heading2">
    <w:name w:val="heading 2"/>
    <w:basedOn w:val="Normal"/>
    <w:next w:val="Normal"/>
    <w:link w:val="Heading2Char"/>
    <w:autoRedefine/>
    <w:uiPriority w:val="9"/>
    <w:unhideWhenUsed/>
    <w:qFormat/>
    <w:rsid w:val="00AF6F40"/>
    <w:pPr>
      <w:keepNext/>
      <w:keepLines/>
      <w:spacing w:after="240" w:line="240" w:lineRule="auto"/>
      <w:outlineLvl w:val="1"/>
    </w:pPr>
    <w:rPr>
      <w:rFonts w:ascii="Times New Roman Bold" w:hAnsi="Times New Roman Bold" w:eastAsiaTheme="minorEastAsia" w:cs="Times New Roman"/>
      <w:b/>
      <w:bCs/>
      <w:szCs w:val="24"/>
    </w:rPr>
  </w:style>
  <w:style w:type="paragraph" w:styleId="Heading3">
    <w:name w:val="heading 3"/>
    <w:basedOn w:val="Normal"/>
    <w:next w:val="Normal"/>
    <w:link w:val="Heading3Char"/>
    <w:autoRedefine/>
    <w:uiPriority w:val="9"/>
    <w:unhideWhenUsed/>
    <w:qFormat/>
    <w:rsid w:val="00365CB9"/>
    <w:pPr>
      <w:keepNext/>
      <w:keepLines/>
      <w:numPr>
        <w:numId w:val="22"/>
      </w:numPr>
      <w:spacing w:after="240" w:line="240" w:lineRule="auto"/>
      <w:ind w:left="1440" w:right="144"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40"/>
    <w:rPr>
      <w:rFonts w:ascii="Times New Roman Bold" w:hAnsi="Times New Roman Bold" w:eastAsiaTheme="minorEastAsia" w:cs="Times New Roman"/>
      <w:b/>
      <w:bCs/>
      <w:sz w:val="24"/>
      <w:szCs w:val="24"/>
    </w:rPr>
  </w:style>
  <w:style w:type="character" w:customStyle="1" w:styleId="Heading3Char">
    <w:name w:val="Heading 3 Char"/>
    <w:basedOn w:val="DefaultParagraphFont"/>
    <w:link w:val="Heading3"/>
    <w:uiPriority w:val="9"/>
    <w:rsid w:val="00365CB9"/>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nhideWhenUsed/>
    <w:rsid w:val="00921526"/>
    <w:rPr>
      <w:color w:val="0000FF"/>
      <w:u w:val="single"/>
    </w:rPr>
  </w:style>
  <w:style w:type="character" w:customStyle="1" w:styleId="Heading1Char">
    <w:name w:val="Heading 1 Char"/>
    <w:basedOn w:val="DefaultParagraphFont"/>
    <w:link w:val="Heading1"/>
    <w:uiPriority w:val="9"/>
    <w:rsid w:val="009F7C43"/>
    <w:rPr>
      <w:rFonts w:ascii="Times New Roman Bold" w:hAnsi="Times New Roman Bold" w:eastAsiaTheme="minorEastAsia"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D1351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90D37"/>
    <w:pPr>
      <w:tabs>
        <w:tab w:val="decimal" w:leader="dot" w:pos="8640"/>
      </w:tabs>
      <w:spacing w:after="240" w:line="240" w:lineRule="auto"/>
      <w:outlineLvl w:val="1"/>
    </w:pPr>
    <w:rPr>
      <w:rFonts w:cs="Times New Roman"/>
      <w:bCs/>
      <w:noProof/>
    </w:rPr>
  </w:style>
  <w:style w:type="paragraph" w:styleId="TOC3">
    <w:name w:val="toc 3"/>
    <w:basedOn w:val="Normal"/>
    <w:next w:val="Normal"/>
    <w:autoRedefine/>
    <w:uiPriority w:val="39"/>
    <w:unhideWhenUsed/>
    <w:qFormat/>
    <w:rsid w:val="00365CB9"/>
    <w:pPr>
      <w:tabs>
        <w:tab w:val="left" w:pos="2160"/>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AF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Duke 16-576 - Motion to Compel  (00049783.DOCX;3)</vt:lpstr>
    </vt:vector>
  </TitlesOfParts>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2017-12-21T18:30:30Z</dcterms:created>
  <dcterms:modified xsi:type="dcterms:W3CDTF">2017-12-21T18:30:30Z</dcterms:modified>
</cp:coreProperties>
</file>