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951" w:rsidRDefault="00BC25C1">
      <w:pPr>
        <w:spacing w:line="240" w:lineRule="auto"/>
        <w:jc w:val="center"/>
        <w:rPr>
          <w:rFonts w:eastAsiaTheme="minorHAnsi" w:cs="Arial"/>
          <w:b/>
          <w:smallCaps/>
          <w:sz w:val="32"/>
          <w:szCs w:val="32"/>
        </w:rPr>
      </w:pPr>
      <w:bookmarkStart w:id="0" w:name="_GoBack"/>
      <w:bookmarkEnd w:id="0"/>
      <w:r>
        <w:rPr>
          <w:rFonts w:eastAsiaTheme="minorHAnsi" w:cs="Arial"/>
          <w:b/>
          <w:smallCaps/>
          <w:sz w:val="32"/>
          <w:szCs w:val="32"/>
        </w:rPr>
        <w:t>Before</w:t>
      </w:r>
    </w:p>
    <w:p w:rsidR="00F94951" w:rsidRDefault="00BC25C1">
      <w:pPr>
        <w:spacing w:line="240" w:lineRule="auto"/>
        <w:jc w:val="center"/>
        <w:rPr>
          <w:rFonts w:eastAsiaTheme="minorHAnsi" w:cs="Arial"/>
          <w:b/>
          <w:smallCaps/>
          <w:sz w:val="32"/>
          <w:szCs w:val="32"/>
        </w:rPr>
      </w:pPr>
      <w:r>
        <w:rPr>
          <w:rFonts w:eastAsiaTheme="minorHAnsi" w:cs="Arial"/>
          <w:b/>
          <w:smallCaps/>
          <w:sz w:val="32"/>
          <w:szCs w:val="32"/>
        </w:rPr>
        <w:t>The Public Utilities Commission of Ohio</w:t>
      </w:r>
    </w:p>
    <w:p w:rsidR="00F94951" w:rsidRDefault="00F94951">
      <w:pPr>
        <w:autoSpaceDE w:val="0"/>
        <w:autoSpaceDN w:val="0"/>
        <w:adjustRightInd w:val="0"/>
        <w:spacing w:line="240" w:lineRule="auto"/>
        <w:jc w:val="left"/>
        <w:rPr>
          <w:rFonts w:eastAsiaTheme="minorHAnsi" w:cs="Arial"/>
          <w:sz w:val="20"/>
          <w:szCs w:val="20"/>
        </w:rPr>
      </w:pPr>
    </w:p>
    <w:p w:rsidR="00F94951" w:rsidRDefault="00F94951">
      <w:pPr>
        <w:autoSpaceDE w:val="0"/>
        <w:autoSpaceDN w:val="0"/>
        <w:adjustRightInd w:val="0"/>
        <w:spacing w:line="240" w:lineRule="auto"/>
        <w:jc w:val="left"/>
        <w:rPr>
          <w:rFonts w:eastAsiaTheme="minorHAnsi" w:cs="Arial"/>
          <w:sz w:val="20"/>
          <w:szCs w:val="20"/>
        </w:rPr>
      </w:pPr>
    </w:p>
    <w:p w:rsidR="00F94951" w:rsidRDefault="00BC25C1">
      <w:pPr>
        <w:tabs>
          <w:tab w:val="left" w:pos="-1440"/>
          <w:tab w:val="left" w:pos="-720"/>
          <w:tab w:val="left" w:pos="4320"/>
          <w:tab w:val="left" w:pos="5040"/>
        </w:tabs>
        <w:overflowPunct w:val="0"/>
        <w:autoSpaceDE w:val="0"/>
        <w:autoSpaceDN w:val="0"/>
        <w:adjustRightInd w:val="0"/>
        <w:spacing w:line="240" w:lineRule="auto"/>
        <w:rPr>
          <w:rFonts w:eastAsiaTheme="minorHAnsi" w:cs="Arial"/>
        </w:rPr>
      </w:pPr>
      <w:r>
        <w:rPr>
          <w:rFonts w:eastAsiaTheme="minorHAnsi" w:cs="Arial"/>
        </w:rPr>
        <w:t xml:space="preserve">In the Matter of The Dayton Power </w:t>
      </w:r>
      <w:r>
        <w:rPr>
          <w:rFonts w:eastAsiaTheme="minorHAnsi" w:cs="Arial"/>
        </w:rPr>
        <w:tab/>
        <w:t>)</w:t>
      </w:r>
    </w:p>
    <w:p w:rsidR="00F94951" w:rsidRDefault="00BC25C1">
      <w:pPr>
        <w:tabs>
          <w:tab w:val="left" w:pos="-1440"/>
          <w:tab w:val="left" w:pos="-720"/>
          <w:tab w:val="left" w:pos="4320"/>
          <w:tab w:val="left" w:pos="5040"/>
        </w:tabs>
        <w:overflowPunct w:val="0"/>
        <w:autoSpaceDE w:val="0"/>
        <w:autoSpaceDN w:val="0"/>
        <w:adjustRightInd w:val="0"/>
        <w:spacing w:line="240" w:lineRule="auto"/>
        <w:rPr>
          <w:rFonts w:eastAsiaTheme="minorHAnsi" w:cs="Arial"/>
        </w:rPr>
      </w:pPr>
      <w:r>
        <w:rPr>
          <w:rFonts w:eastAsiaTheme="minorHAnsi" w:cs="Arial"/>
        </w:rPr>
        <w:t xml:space="preserve">and Light Company’s Planned Sale of </w:t>
      </w:r>
      <w:r>
        <w:rPr>
          <w:rFonts w:eastAsiaTheme="minorHAnsi" w:cs="Arial"/>
        </w:rPr>
        <w:tab/>
        <w:t>)</w:t>
      </w:r>
      <w:r>
        <w:rPr>
          <w:rFonts w:eastAsiaTheme="minorHAnsi" w:cs="Arial"/>
        </w:rPr>
        <w:tab/>
        <w:t>Case No. 14-1084-EL-UNC</w:t>
      </w:r>
    </w:p>
    <w:p w:rsidR="00F94951" w:rsidRDefault="00BC25C1">
      <w:pPr>
        <w:tabs>
          <w:tab w:val="left" w:pos="-1440"/>
          <w:tab w:val="left" w:pos="-720"/>
          <w:tab w:val="left" w:pos="4320"/>
          <w:tab w:val="left" w:pos="5040"/>
        </w:tabs>
        <w:overflowPunct w:val="0"/>
        <w:autoSpaceDE w:val="0"/>
        <w:autoSpaceDN w:val="0"/>
        <w:adjustRightInd w:val="0"/>
        <w:spacing w:line="240" w:lineRule="auto"/>
        <w:rPr>
          <w:rFonts w:eastAsiaTheme="minorHAnsi" w:cs="Arial"/>
        </w:rPr>
      </w:pPr>
      <w:r>
        <w:rPr>
          <w:rFonts w:eastAsiaTheme="minorHAnsi" w:cs="Arial"/>
        </w:rPr>
        <w:t>East Bend Unit 2.</w:t>
      </w:r>
      <w:r>
        <w:rPr>
          <w:rFonts w:eastAsiaTheme="minorHAnsi" w:cs="Arial"/>
        </w:rPr>
        <w:tab/>
        <w:t>)</w:t>
      </w:r>
    </w:p>
    <w:p w:rsidR="00F94951" w:rsidRDefault="00F94951">
      <w:pPr>
        <w:tabs>
          <w:tab w:val="left" w:pos="-1440"/>
          <w:tab w:val="left" w:pos="-720"/>
          <w:tab w:val="left" w:pos="4680"/>
          <w:tab w:val="left" w:pos="5760"/>
          <w:tab w:val="center" w:pos="7200"/>
        </w:tabs>
        <w:overflowPunct w:val="0"/>
        <w:autoSpaceDE w:val="0"/>
        <w:autoSpaceDN w:val="0"/>
        <w:adjustRightInd w:val="0"/>
        <w:spacing w:line="240" w:lineRule="auto"/>
        <w:rPr>
          <w:rFonts w:eastAsiaTheme="minorHAnsi" w:cs="Arial"/>
        </w:rPr>
      </w:pPr>
    </w:p>
    <w:p w:rsidR="00F94951" w:rsidRDefault="00F94951">
      <w:pPr>
        <w:tabs>
          <w:tab w:val="left" w:pos="-1440"/>
          <w:tab w:val="left" w:pos="-720"/>
          <w:tab w:val="left" w:pos="4680"/>
          <w:tab w:val="left" w:pos="5760"/>
          <w:tab w:val="center" w:pos="7200"/>
        </w:tabs>
        <w:overflowPunct w:val="0"/>
        <w:autoSpaceDE w:val="0"/>
        <w:autoSpaceDN w:val="0"/>
        <w:adjustRightInd w:val="0"/>
        <w:spacing w:line="240" w:lineRule="auto"/>
        <w:rPr>
          <w:rFonts w:eastAsiaTheme="minorHAnsi" w:cs="Arial"/>
        </w:rPr>
      </w:pPr>
    </w:p>
    <w:p w:rsidR="00F94951" w:rsidRDefault="00F94951">
      <w:pPr>
        <w:tabs>
          <w:tab w:val="left" w:pos="-1440"/>
          <w:tab w:val="left" w:pos="-720"/>
          <w:tab w:val="left" w:pos="4680"/>
          <w:tab w:val="left" w:pos="5760"/>
          <w:tab w:val="center" w:pos="7200"/>
        </w:tabs>
        <w:overflowPunct w:val="0"/>
        <w:autoSpaceDE w:val="0"/>
        <w:autoSpaceDN w:val="0"/>
        <w:adjustRightInd w:val="0"/>
        <w:spacing w:line="240" w:lineRule="auto"/>
        <w:rPr>
          <w:rFonts w:eastAsiaTheme="minorHAnsi" w:cs="Arial"/>
        </w:rPr>
      </w:pPr>
    </w:p>
    <w:p w:rsidR="00F94951" w:rsidRDefault="00F94951">
      <w:pPr>
        <w:tabs>
          <w:tab w:val="left" w:pos="-1440"/>
          <w:tab w:val="left" w:pos="-720"/>
          <w:tab w:val="left" w:pos="5040"/>
          <w:tab w:val="center" w:pos="7200"/>
        </w:tabs>
        <w:overflowPunct w:val="0"/>
        <w:autoSpaceDE w:val="0"/>
        <w:autoSpaceDN w:val="0"/>
        <w:adjustRightInd w:val="0"/>
        <w:spacing w:line="240" w:lineRule="auto"/>
        <w:rPr>
          <w:rFonts w:eastAsiaTheme="minorHAnsi" w:cs="Arial"/>
          <w:smallCaps/>
          <w:sz w:val="20"/>
          <w:szCs w:val="20"/>
        </w:rPr>
      </w:pPr>
    </w:p>
    <w:p w:rsidR="00F94951" w:rsidRDefault="00F94951">
      <w:pPr>
        <w:pBdr>
          <w:top w:val="single" w:sz="12" w:space="1" w:color="auto"/>
        </w:pBdr>
        <w:tabs>
          <w:tab w:val="left" w:pos="-1440"/>
          <w:tab w:val="left" w:pos="-720"/>
          <w:tab w:val="left" w:pos="5040"/>
          <w:tab w:val="center" w:pos="7200"/>
        </w:tabs>
        <w:overflowPunct w:val="0"/>
        <w:autoSpaceDE w:val="0"/>
        <w:autoSpaceDN w:val="0"/>
        <w:adjustRightInd w:val="0"/>
        <w:spacing w:line="240" w:lineRule="auto"/>
        <w:rPr>
          <w:rFonts w:eastAsiaTheme="minorHAnsi" w:cs="Arial"/>
          <w:b/>
          <w:smallCaps/>
          <w:sz w:val="28"/>
          <w:szCs w:val="28"/>
        </w:rPr>
      </w:pPr>
    </w:p>
    <w:p w:rsidR="00F94951" w:rsidRDefault="00BC25C1">
      <w:pPr>
        <w:spacing w:line="240" w:lineRule="auto"/>
        <w:jc w:val="center"/>
        <w:rPr>
          <w:rFonts w:eastAsiaTheme="minorHAnsi" w:cs="Arial"/>
          <w:b/>
          <w:smallCaps/>
          <w:sz w:val="32"/>
          <w:szCs w:val="32"/>
        </w:rPr>
      </w:pPr>
      <w:r>
        <w:rPr>
          <w:rFonts w:eastAsiaTheme="minorHAnsi" w:cs="Arial"/>
          <w:b/>
          <w:smallCaps/>
          <w:sz w:val="32"/>
          <w:szCs w:val="32"/>
        </w:rPr>
        <w:t>Industrial Energy Users-Ohio’s</w:t>
      </w:r>
    </w:p>
    <w:p w:rsidR="00F94951" w:rsidRDefault="00BC25C1">
      <w:pPr>
        <w:spacing w:line="240" w:lineRule="auto"/>
        <w:jc w:val="center"/>
        <w:rPr>
          <w:rFonts w:eastAsiaTheme="minorHAnsi" w:cs="Arial"/>
          <w:b/>
          <w:smallCaps/>
          <w:sz w:val="32"/>
          <w:szCs w:val="32"/>
        </w:rPr>
      </w:pPr>
      <w:r>
        <w:rPr>
          <w:rFonts w:eastAsiaTheme="minorHAnsi" w:cs="Arial"/>
          <w:b/>
          <w:smallCaps/>
          <w:sz w:val="32"/>
          <w:szCs w:val="32"/>
        </w:rPr>
        <w:t>Comments</w:t>
      </w:r>
    </w:p>
    <w:p w:rsidR="00F94951" w:rsidRDefault="00F94951">
      <w:pPr>
        <w:pBdr>
          <w:bottom w:val="single" w:sz="12" w:space="1" w:color="auto"/>
        </w:pBdr>
        <w:spacing w:line="240" w:lineRule="auto"/>
        <w:rPr>
          <w:rFonts w:eastAsiaTheme="minorHAnsi" w:cs="Arial"/>
          <w:sz w:val="32"/>
          <w:szCs w:val="32"/>
        </w:rPr>
      </w:pPr>
    </w:p>
    <w:p w:rsidR="00F94951" w:rsidRDefault="00F94951">
      <w:pPr>
        <w:spacing w:line="240" w:lineRule="auto"/>
        <w:rPr>
          <w:rFonts w:eastAsiaTheme="minorHAnsi" w:cs="Arial"/>
          <w:sz w:val="20"/>
          <w:szCs w:val="20"/>
        </w:rPr>
      </w:pPr>
    </w:p>
    <w:p w:rsidR="00F94951" w:rsidRDefault="00F94951">
      <w:pPr>
        <w:spacing w:line="240" w:lineRule="auto"/>
        <w:rPr>
          <w:rFonts w:eastAsiaTheme="minorHAnsi" w:cs="Arial"/>
          <w:sz w:val="20"/>
          <w:szCs w:val="20"/>
        </w:rPr>
      </w:pPr>
    </w:p>
    <w:p w:rsidR="00F94951" w:rsidRDefault="00F94951">
      <w:pPr>
        <w:spacing w:line="240" w:lineRule="auto"/>
        <w:rPr>
          <w:rFonts w:eastAsiaTheme="minorHAnsi" w:cs="Arial"/>
          <w:sz w:val="20"/>
          <w:szCs w:val="20"/>
        </w:rPr>
      </w:pPr>
    </w:p>
    <w:p w:rsidR="00F94951" w:rsidRDefault="00F94951">
      <w:pPr>
        <w:spacing w:line="240" w:lineRule="auto"/>
        <w:rPr>
          <w:rFonts w:eastAsiaTheme="minorHAnsi" w:cs="Arial"/>
          <w:sz w:val="20"/>
          <w:szCs w:val="20"/>
        </w:rPr>
      </w:pPr>
    </w:p>
    <w:p w:rsidR="00F94951" w:rsidRDefault="00F94951">
      <w:pPr>
        <w:spacing w:line="240" w:lineRule="auto"/>
        <w:rPr>
          <w:rFonts w:eastAsiaTheme="minorHAnsi" w:cs="Arial"/>
          <w:sz w:val="20"/>
          <w:szCs w:val="20"/>
        </w:rPr>
      </w:pPr>
    </w:p>
    <w:p w:rsidR="00F94951" w:rsidRDefault="00F94951">
      <w:pPr>
        <w:spacing w:line="240" w:lineRule="auto"/>
        <w:rPr>
          <w:rFonts w:eastAsiaTheme="minorHAnsi" w:cs="Arial"/>
          <w:sz w:val="20"/>
          <w:szCs w:val="20"/>
        </w:rPr>
      </w:pPr>
    </w:p>
    <w:p w:rsidR="00F94951" w:rsidRDefault="00F94951">
      <w:pPr>
        <w:spacing w:line="240" w:lineRule="auto"/>
        <w:rPr>
          <w:rFonts w:eastAsiaTheme="minorHAnsi" w:cs="Arial"/>
          <w:sz w:val="20"/>
          <w:szCs w:val="20"/>
        </w:rPr>
      </w:pPr>
    </w:p>
    <w:p w:rsidR="00F94951" w:rsidRDefault="00F94951">
      <w:pPr>
        <w:spacing w:line="240" w:lineRule="auto"/>
        <w:rPr>
          <w:rFonts w:eastAsiaTheme="minorHAnsi" w:cs="Arial"/>
          <w:sz w:val="20"/>
          <w:szCs w:val="20"/>
        </w:rPr>
      </w:pPr>
    </w:p>
    <w:p w:rsidR="00F94951" w:rsidRDefault="00F94951">
      <w:pPr>
        <w:spacing w:line="240" w:lineRule="auto"/>
        <w:rPr>
          <w:rFonts w:eastAsiaTheme="minorHAnsi" w:cs="Arial"/>
          <w:sz w:val="20"/>
          <w:szCs w:val="20"/>
        </w:rPr>
      </w:pPr>
    </w:p>
    <w:p w:rsidR="00F94951" w:rsidRDefault="00F94951">
      <w:pPr>
        <w:spacing w:line="240" w:lineRule="auto"/>
        <w:rPr>
          <w:rFonts w:eastAsiaTheme="minorHAnsi" w:cs="Arial"/>
          <w:sz w:val="20"/>
          <w:szCs w:val="20"/>
        </w:rPr>
      </w:pPr>
    </w:p>
    <w:p w:rsidR="00F94951" w:rsidRDefault="00F94951">
      <w:pPr>
        <w:spacing w:line="240" w:lineRule="auto"/>
        <w:rPr>
          <w:rFonts w:eastAsiaTheme="minorHAnsi" w:cs="Arial"/>
          <w:sz w:val="20"/>
          <w:szCs w:val="20"/>
        </w:rPr>
      </w:pPr>
    </w:p>
    <w:p w:rsidR="00F94951" w:rsidRDefault="00F94951">
      <w:pPr>
        <w:spacing w:line="240" w:lineRule="auto"/>
        <w:rPr>
          <w:rFonts w:eastAsiaTheme="minorHAnsi" w:cs="Arial"/>
          <w:sz w:val="20"/>
          <w:szCs w:val="20"/>
        </w:rPr>
      </w:pPr>
    </w:p>
    <w:p w:rsidR="00BC25C1" w:rsidRDefault="00BC25C1">
      <w:pPr>
        <w:spacing w:line="240" w:lineRule="auto"/>
        <w:rPr>
          <w:rFonts w:eastAsiaTheme="minorHAnsi" w:cs="Arial"/>
          <w:sz w:val="20"/>
          <w:szCs w:val="20"/>
        </w:rPr>
      </w:pPr>
    </w:p>
    <w:p w:rsidR="00F94951" w:rsidRDefault="00F94951">
      <w:pPr>
        <w:spacing w:line="240" w:lineRule="auto"/>
        <w:rPr>
          <w:rFonts w:eastAsiaTheme="minorHAnsi" w:cs="Arial"/>
          <w:sz w:val="20"/>
          <w:szCs w:val="20"/>
        </w:rPr>
      </w:pPr>
    </w:p>
    <w:p w:rsidR="00F94951" w:rsidRDefault="00F94951">
      <w:pPr>
        <w:spacing w:line="240" w:lineRule="auto"/>
        <w:rPr>
          <w:rFonts w:eastAsiaTheme="minorHAnsi" w:cs="Arial"/>
          <w:sz w:val="20"/>
          <w:szCs w:val="20"/>
        </w:rPr>
      </w:pPr>
    </w:p>
    <w:p w:rsidR="00F94951" w:rsidRDefault="00F94951">
      <w:pPr>
        <w:spacing w:line="240" w:lineRule="auto"/>
        <w:rPr>
          <w:rFonts w:eastAsiaTheme="minorHAnsi" w:cs="Arial"/>
          <w:sz w:val="20"/>
          <w:szCs w:val="20"/>
        </w:rPr>
      </w:pPr>
    </w:p>
    <w:p w:rsidR="00F94951" w:rsidRDefault="00F94951">
      <w:pPr>
        <w:spacing w:line="240" w:lineRule="auto"/>
        <w:rPr>
          <w:rFonts w:eastAsiaTheme="minorHAnsi" w:cs="Arial"/>
          <w:sz w:val="20"/>
          <w:szCs w:val="20"/>
        </w:rPr>
      </w:pPr>
    </w:p>
    <w:p w:rsidR="00F94951" w:rsidRDefault="00BC25C1">
      <w:pPr>
        <w:tabs>
          <w:tab w:val="right" w:pos="8640"/>
        </w:tabs>
        <w:spacing w:line="240" w:lineRule="auto"/>
        <w:ind w:left="4320"/>
        <w:rPr>
          <w:rFonts w:eastAsiaTheme="minorHAnsi" w:cs="Arial"/>
        </w:rPr>
      </w:pPr>
      <w:r>
        <w:rPr>
          <w:rFonts w:eastAsiaTheme="minorHAnsi" w:cs="Arial"/>
        </w:rPr>
        <w:t>Samuel C. Randazzo (Reg. No. 0016386)</w:t>
      </w:r>
    </w:p>
    <w:p w:rsidR="00F94951" w:rsidRDefault="00BC25C1">
      <w:pPr>
        <w:spacing w:line="240" w:lineRule="auto"/>
        <w:ind w:left="4320"/>
        <w:jc w:val="left"/>
        <w:rPr>
          <w:rFonts w:eastAsiaTheme="minorHAnsi" w:cs="Arial"/>
        </w:rPr>
      </w:pPr>
      <w:r>
        <w:rPr>
          <w:rFonts w:eastAsiaTheme="minorHAnsi" w:cs="Arial"/>
        </w:rPr>
        <w:t xml:space="preserve">  (Counsel of Record) </w:t>
      </w:r>
    </w:p>
    <w:p w:rsidR="00F94951" w:rsidRDefault="00BC25C1">
      <w:pPr>
        <w:widowControl w:val="0"/>
        <w:spacing w:line="240" w:lineRule="auto"/>
        <w:ind w:left="4320"/>
        <w:rPr>
          <w:rFonts w:eastAsiaTheme="minorHAnsi" w:cs="Arial"/>
          <w:bCs/>
        </w:rPr>
      </w:pPr>
      <w:r>
        <w:rPr>
          <w:rFonts w:eastAsiaTheme="minorHAnsi" w:cs="Arial"/>
          <w:bCs/>
        </w:rPr>
        <w:t>Frank P. Darr (Reg. No. 0025469)</w:t>
      </w:r>
    </w:p>
    <w:p w:rsidR="00F94951" w:rsidRDefault="00BC25C1">
      <w:pPr>
        <w:widowControl w:val="0"/>
        <w:spacing w:line="240" w:lineRule="auto"/>
        <w:ind w:left="4320"/>
        <w:rPr>
          <w:rFonts w:eastAsiaTheme="minorHAnsi" w:cs="Arial"/>
          <w:b/>
          <w:bCs/>
        </w:rPr>
      </w:pPr>
      <w:r>
        <w:rPr>
          <w:rFonts w:eastAsiaTheme="minorHAnsi" w:cs="Arial"/>
          <w:bCs/>
        </w:rPr>
        <w:t>Matthew R. Pritchard (Reg. No. 0088070)</w:t>
      </w:r>
    </w:p>
    <w:p w:rsidR="00F94951" w:rsidRDefault="00BC25C1">
      <w:pPr>
        <w:widowControl w:val="0"/>
        <w:spacing w:line="240" w:lineRule="auto"/>
        <w:ind w:left="4320"/>
        <w:rPr>
          <w:rFonts w:eastAsiaTheme="minorHAnsi" w:cs="Arial"/>
          <w:b/>
          <w:bCs/>
          <w:smallCaps/>
        </w:rPr>
      </w:pPr>
      <w:r>
        <w:rPr>
          <w:rFonts w:eastAsiaTheme="minorHAnsi" w:cs="Arial"/>
          <w:bCs/>
          <w:smallCaps/>
        </w:rPr>
        <w:t>McNees Wallace &amp; Nurick LLC</w:t>
      </w:r>
    </w:p>
    <w:p w:rsidR="00F94951" w:rsidRDefault="00BC25C1">
      <w:pPr>
        <w:widowControl w:val="0"/>
        <w:spacing w:line="240" w:lineRule="auto"/>
        <w:ind w:left="4320"/>
        <w:rPr>
          <w:rFonts w:eastAsiaTheme="minorHAnsi" w:cs="Arial"/>
          <w:b/>
          <w:bCs/>
        </w:rPr>
      </w:pPr>
      <w:r>
        <w:rPr>
          <w:rFonts w:eastAsiaTheme="minorHAnsi" w:cs="Arial"/>
          <w:bCs/>
        </w:rPr>
        <w:t>21 East State Street, 17</w:t>
      </w:r>
      <w:r>
        <w:rPr>
          <w:rFonts w:eastAsiaTheme="minorHAnsi" w:cs="Arial"/>
          <w:bCs/>
          <w:vertAlign w:val="superscript"/>
        </w:rPr>
        <w:t>TH</w:t>
      </w:r>
      <w:r>
        <w:rPr>
          <w:rFonts w:eastAsiaTheme="minorHAnsi" w:cs="Arial"/>
          <w:bCs/>
        </w:rPr>
        <w:t xml:space="preserve"> Floor</w:t>
      </w:r>
    </w:p>
    <w:p w:rsidR="00F94951" w:rsidRDefault="00BC25C1">
      <w:pPr>
        <w:tabs>
          <w:tab w:val="left" w:pos="-1440"/>
          <w:tab w:val="left" w:pos="-720"/>
          <w:tab w:val="left" w:pos="5040"/>
          <w:tab w:val="center" w:pos="7200"/>
        </w:tabs>
        <w:overflowPunct w:val="0"/>
        <w:autoSpaceDE w:val="0"/>
        <w:autoSpaceDN w:val="0"/>
        <w:adjustRightInd w:val="0"/>
        <w:spacing w:line="240" w:lineRule="auto"/>
        <w:ind w:left="4320"/>
        <w:rPr>
          <w:rFonts w:eastAsiaTheme="minorHAnsi" w:cs="Arial"/>
        </w:rPr>
      </w:pPr>
      <w:r>
        <w:rPr>
          <w:rFonts w:eastAsiaTheme="minorHAnsi" w:cs="Arial"/>
        </w:rPr>
        <w:t>Columbus, OH  43215</w:t>
      </w:r>
    </w:p>
    <w:p w:rsidR="00F94951" w:rsidRDefault="00BC25C1">
      <w:pPr>
        <w:tabs>
          <w:tab w:val="left" w:pos="-1440"/>
          <w:tab w:val="left" w:pos="-720"/>
          <w:tab w:val="left" w:pos="5040"/>
          <w:tab w:val="center" w:pos="7200"/>
        </w:tabs>
        <w:overflowPunct w:val="0"/>
        <w:autoSpaceDE w:val="0"/>
        <w:autoSpaceDN w:val="0"/>
        <w:adjustRightInd w:val="0"/>
        <w:spacing w:line="240" w:lineRule="auto"/>
        <w:ind w:left="4320"/>
        <w:rPr>
          <w:rFonts w:eastAsiaTheme="minorHAnsi" w:cs="Arial"/>
        </w:rPr>
      </w:pPr>
      <w:r>
        <w:rPr>
          <w:rFonts w:eastAsiaTheme="minorHAnsi" w:cs="Arial"/>
        </w:rPr>
        <w:t>Telephone:  (614) 469-8000</w:t>
      </w:r>
    </w:p>
    <w:p w:rsidR="00F94951" w:rsidRDefault="00BC25C1">
      <w:pPr>
        <w:tabs>
          <w:tab w:val="left" w:pos="-1440"/>
          <w:tab w:val="left" w:pos="-720"/>
          <w:tab w:val="left" w:pos="5040"/>
          <w:tab w:val="center" w:pos="7200"/>
        </w:tabs>
        <w:overflowPunct w:val="0"/>
        <w:autoSpaceDE w:val="0"/>
        <w:autoSpaceDN w:val="0"/>
        <w:adjustRightInd w:val="0"/>
        <w:spacing w:line="240" w:lineRule="auto"/>
        <w:ind w:left="4320"/>
        <w:rPr>
          <w:rFonts w:eastAsiaTheme="minorHAnsi" w:cs="Arial"/>
          <w:color w:val="000000" w:themeColor="text1"/>
        </w:rPr>
      </w:pPr>
      <w:r>
        <w:rPr>
          <w:rFonts w:eastAsiaTheme="minorHAnsi" w:cs="Arial"/>
          <w:color w:val="000000" w:themeColor="text1"/>
        </w:rPr>
        <w:t>Telecopier:  (614) 469-4653</w:t>
      </w:r>
    </w:p>
    <w:p w:rsidR="00F94951" w:rsidRDefault="00BC25C1">
      <w:pPr>
        <w:tabs>
          <w:tab w:val="left" w:pos="-1440"/>
          <w:tab w:val="left" w:pos="-720"/>
          <w:tab w:val="left" w:pos="5040"/>
          <w:tab w:val="center" w:pos="7200"/>
        </w:tabs>
        <w:overflowPunct w:val="0"/>
        <w:autoSpaceDE w:val="0"/>
        <w:autoSpaceDN w:val="0"/>
        <w:adjustRightInd w:val="0"/>
        <w:spacing w:line="240" w:lineRule="auto"/>
        <w:ind w:left="4320"/>
        <w:rPr>
          <w:rFonts w:eastAsiaTheme="minorHAnsi" w:cs="Arial"/>
          <w:color w:val="000000" w:themeColor="text1"/>
        </w:rPr>
      </w:pPr>
      <w:r>
        <w:rPr>
          <w:rFonts w:eastAsiaTheme="minorHAnsi" w:cs="Arial"/>
        </w:rPr>
        <w:t>sam@mwncmh.com</w:t>
      </w:r>
    </w:p>
    <w:p w:rsidR="00F94951" w:rsidRDefault="00BC25C1">
      <w:pPr>
        <w:tabs>
          <w:tab w:val="left" w:pos="-1440"/>
          <w:tab w:val="left" w:pos="-720"/>
          <w:tab w:val="left" w:pos="5040"/>
          <w:tab w:val="center" w:pos="7200"/>
        </w:tabs>
        <w:overflowPunct w:val="0"/>
        <w:autoSpaceDE w:val="0"/>
        <w:autoSpaceDN w:val="0"/>
        <w:adjustRightInd w:val="0"/>
        <w:spacing w:line="240" w:lineRule="auto"/>
        <w:ind w:left="4320"/>
        <w:rPr>
          <w:rFonts w:eastAsiaTheme="minorHAnsi" w:cs="Arial"/>
          <w:color w:val="000000" w:themeColor="text1"/>
        </w:rPr>
      </w:pPr>
      <w:r>
        <w:rPr>
          <w:rFonts w:eastAsiaTheme="minorHAnsi" w:cs="Arial"/>
          <w:color w:val="000000" w:themeColor="text1"/>
        </w:rPr>
        <w:t>(willing to accept service by e-mail)</w:t>
      </w:r>
    </w:p>
    <w:p w:rsidR="00F94951" w:rsidRDefault="00BC25C1">
      <w:pPr>
        <w:tabs>
          <w:tab w:val="left" w:pos="-1440"/>
          <w:tab w:val="left" w:pos="-720"/>
          <w:tab w:val="left" w:pos="5040"/>
          <w:tab w:val="center" w:pos="7200"/>
        </w:tabs>
        <w:overflowPunct w:val="0"/>
        <w:autoSpaceDE w:val="0"/>
        <w:autoSpaceDN w:val="0"/>
        <w:adjustRightInd w:val="0"/>
        <w:spacing w:line="240" w:lineRule="auto"/>
        <w:ind w:left="4320"/>
        <w:rPr>
          <w:rFonts w:eastAsiaTheme="minorHAnsi" w:cs="Arial"/>
          <w:color w:val="000000" w:themeColor="text1"/>
        </w:rPr>
      </w:pPr>
      <w:r>
        <w:rPr>
          <w:rFonts w:eastAsiaTheme="minorHAnsi" w:cs="Arial"/>
        </w:rPr>
        <w:t>fdarr@mwncmh.com</w:t>
      </w:r>
    </w:p>
    <w:p w:rsidR="00F94951" w:rsidRDefault="00BC25C1">
      <w:pPr>
        <w:tabs>
          <w:tab w:val="left" w:pos="-1440"/>
          <w:tab w:val="left" w:pos="-720"/>
          <w:tab w:val="left" w:pos="5040"/>
          <w:tab w:val="center" w:pos="7200"/>
        </w:tabs>
        <w:overflowPunct w:val="0"/>
        <w:autoSpaceDE w:val="0"/>
        <w:autoSpaceDN w:val="0"/>
        <w:adjustRightInd w:val="0"/>
        <w:spacing w:line="240" w:lineRule="auto"/>
        <w:ind w:left="4320"/>
        <w:rPr>
          <w:rFonts w:eastAsiaTheme="minorHAnsi" w:cs="Arial"/>
          <w:color w:val="000000" w:themeColor="text1"/>
        </w:rPr>
      </w:pPr>
      <w:r>
        <w:rPr>
          <w:rFonts w:eastAsiaTheme="minorHAnsi" w:cs="Arial"/>
          <w:color w:val="000000" w:themeColor="text1"/>
        </w:rPr>
        <w:t>(willing to accept service by e-mail)</w:t>
      </w:r>
    </w:p>
    <w:p w:rsidR="00F94951" w:rsidRDefault="00BC25C1">
      <w:pPr>
        <w:tabs>
          <w:tab w:val="left" w:pos="-1440"/>
          <w:tab w:val="left" w:pos="-720"/>
          <w:tab w:val="left" w:pos="5040"/>
          <w:tab w:val="center" w:pos="7200"/>
        </w:tabs>
        <w:overflowPunct w:val="0"/>
        <w:autoSpaceDE w:val="0"/>
        <w:autoSpaceDN w:val="0"/>
        <w:adjustRightInd w:val="0"/>
        <w:spacing w:line="240" w:lineRule="auto"/>
        <w:ind w:left="4320"/>
        <w:rPr>
          <w:rFonts w:eastAsiaTheme="minorHAnsi" w:cs="Arial"/>
          <w:smallCaps/>
          <w:color w:val="000000" w:themeColor="text1"/>
        </w:rPr>
      </w:pPr>
      <w:r>
        <w:rPr>
          <w:rFonts w:eastAsiaTheme="minorHAnsi" w:cs="Arial"/>
          <w:color w:val="000000" w:themeColor="text1"/>
        </w:rPr>
        <w:t>mpritchard@mwncmh.com</w:t>
      </w:r>
    </w:p>
    <w:p w:rsidR="00F94951" w:rsidRDefault="00BC25C1">
      <w:pPr>
        <w:tabs>
          <w:tab w:val="left" w:pos="-1440"/>
          <w:tab w:val="left" w:pos="-720"/>
          <w:tab w:val="left" w:pos="5040"/>
          <w:tab w:val="center" w:pos="7200"/>
        </w:tabs>
        <w:overflowPunct w:val="0"/>
        <w:autoSpaceDE w:val="0"/>
        <w:autoSpaceDN w:val="0"/>
        <w:adjustRightInd w:val="0"/>
        <w:spacing w:line="240" w:lineRule="auto"/>
        <w:ind w:left="4320"/>
        <w:rPr>
          <w:rFonts w:eastAsiaTheme="minorHAnsi" w:cs="Arial"/>
          <w:color w:val="000000" w:themeColor="text1"/>
        </w:rPr>
      </w:pPr>
      <w:r>
        <w:rPr>
          <w:rFonts w:eastAsiaTheme="minorHAnsi" w:cs="Arial"/>
          <w:color w:val="000000" w:themeColor="text1"/>
        </w:rPr>
        <w:t>(willing to accept service by e-mail)</w:t>
      </w:r>
    </w:p>
    <w:p w:rsidR="00F94951" w:rsidRDefault="00F94951">
      <w:pPr>
        <w:tabs>
          <w:tab w:val="left" w:pos="-1440"/>
          <w:tab w:val="left" w:pos="-720"/>
          <w:tab w:val="left" w:pos="5040"/>
          <w:tab w:val="center" w:pos="7200"/>
        </w:tabs>
        <w:overflowPunct w:val="0"/>
        <w:autoSpaceDE w:val="0"/>
        <w:autoSpaceDN w:val="0"/>
        <w:adjustRightInd w:val="0"/>
        <w:spacing w:line="240" w:lineRule="auto"/>
        <w:ind w:left="4320"/>
        <w:rPr>
          <w:rFonts w:eastAsiaTheme="minorHAnsi" w:cs="Arial"/>
          <w:b/>
          <w:smallCaps/>
        </w:rPr>
      </w:pPr>
    </w:p>
    <w:p w:rsidR="00F94951" w:rsidRDefault="00BC25C1">
      <w:pPr>
        <w:spacing w:line="240" w:lineRule="auto"/>
        <w:ind w:left="4320" w:hanging="4320"/>
        <w:jc w:val="left"/>
        <w:rPr>
          <w:rFonts w:eastAsiaTheme="minorHAnsi" w:cs="Arial"/>
          <w:b/>
        </w:rPr>
      </w:pPr>
      <w:r>
        <w:rPr>
          <w:rFonts w:eastAsiaTheme="minorHAnsi" w:cs="Arial"/>
          <w:b/>
        </w:rPr>
        <w:t>August 18, 2014</w:t>
      </w:r>
      <w:r>
        <w:rPr>
          <w:rFonts w:eastAsiaTheme="minorHAnsi" w:cs="Arial"/>
          <w:b/>
        </w:rPr>
        <w:tab/>
        <w:t>Attorneys for Industrial Energy Users-Ohio</w:t>
      </w:r>
    </w:p>
    <w:p w:rsidR="00F94951" w:rsidRDefault="00F94951">
      <w:pPr>
        <w:spacing w:line="240" w:lineRule="auto"/>
        <w:jc w:val="left"/>
        <w:rPr>
          <w:rFonts w:eastAsiaTheme="minorHAnsi" w:cs="Arial"/>
          <w:b/>
        </w:rPr>
        <w:sectPr w:rsidR="00F9495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40" w:header="720" w:footer="720" w:gutter="0"/>
          <w:cols w:space="720"/>
          <w:titlePg/>
          <w:docGrid w:linePitch="360"/>
        </w:sectPr>
      </w:pPr>
    </w:p>
    <w:p w:rsidR="00F94951" w:rsidRDefault="00BC25C1">
      <w:pPr>
        <w:spacing w:line="240" w:lineRule="auto"/>
        <w:jc w:val="center"/>
        <w:rPr>
          <w:rFonts w:eastAsiaTheme="minorHAnsi" w:cs="Arial"/>
          <w:b/>
          <w:smallCaps/>
          <w:sz w:val="32"/>
          <w:szCs w:val="32"/>
        </w:rPr>
      </w:pPr>
      <w:r>
        <w:rPr>
          <w:rFonts w:eastAsiaTheme="minorHAnsi" w:cs="Arial"/>
          <w:b/>
          <w:smallCaps/>
          <w:sz w:val="32"/>
          <w:szCs w:val="32"/>
        </w:rPr>
        <w:lastRenderedPageBreak/>
        <w:t>Before</w:t>
      </w:r>
    </w:p>
    <w:p w:rsidR="00F94951" w:rsidRDefault="00BC25C1">
      <w:pPr>
        <w:spacing w:line="240" w:lineRule="auto"/>
        <w:jc w:val="center"/>
        <w:rPr>
          <w:rFonts w:eastAsiaTheme="minorHAnsi" w:cs="Arial"/>
          <w:b/>
          <w:smallCaps/>
          <w:sz w:val="32"/>
          <w:szCs w:val="32"/>
        </w:rPr>
      </w:pPr>
      <w:r>
        <w:rPr>
          <w:rFonts w:eastAsiaTheme="minorHAnsi" w:cs="Arial"/>
          <w:b/>
          <w:smallCaps/>
          <w:sz w:val="32"/>
          <w:szCs w:val="32"/>
        </w:rPr>
        <w:t>The Public Utilities Commission of Ohio</w:t>
      </w:r>
    </w:p>
    <w:p w:rsidR="00F94951" w:rsidRDefault="00F94951">
      <w:pPr>
        <w:autoSpaceDE w:val="0"/>
        <w:autoSpaceDN w:val="0"/>
        <w:adjustRightInd w:val="0"/>
        <w:spacing w:line="240" w:lineRule="auto"/>
        <w:jc w:val="left"/>
        <w:rPr>
          <w:rFonts w:eastAsiaTheme="minorHAnsi" w:cs="Arial"/>
          <w:sz w:val="20"/>
          <w:szCs w:val="20"/>
        </w:rPr>
      </w:pPr>
    </w:p>
    <w:p w:rsidR="00F94951" w:rsidRDefault="00F94951">
      <w:pPr>
        <w:autoSpaceDE w:val="0"/>
        <w:autoSpaceDN w:val="0"/>
        <w:adjustRightInd w:val="0"/>
        <w:spacing w:line="240" w:lineRule="auto"/>
        <w:jc w:val="left"/>
        <w:rPr>
          <w:rFonts w:eastAsiaTheme="minorHAnsi" w:cs="Arial"/>
          <w:sz w:val="20"/>
          <w:szCs w:val="20"/>
        </w:rPr>
      </w:pPr>
    </w:p>
    <w:p w:rsidR="00F94951" w:rsidRDefault="00BC25C1">
      <w:pPr>
        <w:tabs>
          <w:tab w:val="left" w:pos="-1440"/>
          <w:tab w:val="left" w:pos="-720"/>
          <w:tab w:val="left" w:pos="4320"/>
          <w:tab w:val="left" w:pos="5040"/>
        </w:tabs>
        <w:overflowPunct w:val="0"/>
        <w:autoSpaceDE w:val="0"/>
        <w:autoSpaceDN w:val="0"/>
        <w:adjustRightInd w:val="0"/>
        <w:spacing w:line="240" w:lineRule="auto"/>
        <w:rPr>
          <w:rFonts w:eastAsiaTheme="minorHAnsi" w:cs="Arial"/>
        </w:rPr>
      </w:pPr>
      <w:r>
        <w:rPr>
          <w:rFonts w:eastAsiaTheme="minorHAnsi" w:cs="Arial"/>
        </w:rPr>
        <w:t xml:space="preserve">In the Matter of The Dayton Power </w:t>
      </w:r>
      <w:r>
        <w:rPr>
          <w:rFonts w:eastAsiaTheme="minorHAnsi" w:cs="Arial"/>
        </w:rPr>
        <w:tab/>
        <w:t>)</w:t>
      </w:r>
    </w:p>
    <w:p w:rsidR="00F94951" w:rsidRDefault="00BC25C1">
      <w:pPr>
        <w:tabs>
          <w:tab w:val="left" w:pos="-1440"/>
          <w:tab w:val="left" w:pos="-720"/>
          <w:tab w:val="left" w:pos="4320"/>
          <w:tab w:val="left" w:pos="5040"/>
        </w:tabs>
        <w:overflowPunct w:val="0"/>
        <w:autoSpaceDE w:val="0"/>
        <w:autoSpaceDN w:val="0"/>
        <w:adjustRightInd w:val="0"/>
        <w:spacing w:line="240" w:lineRule="auto"/>
        <w:rPr>
          <w:rFonts w:eastAsiaTheme="minorHAnsi" w:cs="Arial"/>
        </w:rPr>
      </w:pPr>
      <w:r>
        <w:rPr>
          <w:rFonts w:eastAsiaTheme="minorHAnsi" w:cs="Arial"/>
        </w:rPr>
        <w:t xml:space="preserve">and Light Company’s Planned Sale of </w:t>
      </w:r>
      <w:r>
        <w:rPr>
          <w:rFonts w:eastAsiaTheme="minorHAnsi" w:cs="Arial"/>
        </w:rPr>
        <w:tab/>
        <w:t>)</w:t>
      </w:r>
      <w:r>
        <w:rPr>
          <w:rFonts w:eastAsiaTheme="minorHAnsi" w:cs="Arial"/>
        </w:rPr>
        <w:tab/>
        <w:t>Case No. 14-1084-EL-UNC</w:t>
      </w:r>
    </w:p>
    <w:p w:rsidR="00F94951" w:rsidRDefault="00BC25C1">
      <w:pPr>
        <w:tabs>
          <w:tab w:val="left" w:pos="-1440"/>
          <w:tab w:val="left" w:pos="-720"/>
          <w:tab w:val="left" w:pos="4320"/>
          <w:tab w:val="left" w:pos="5040"/>
        </w:tabs>
        <w:overflowPunct w:val="0"/>
        <w:autoSpaceDE w:val="0"/>
        <w:autoSpaceDN w:val="0"/>
        <w:adjustRightInd w:val="0"/>
        <w:spacing w:line="240" w:lineRule="auto"/>
        <w:rPr>
          <w:rFonts w:eastAsiaTheme="minorHAnsi" w:cs="Arial"/>
        </w:rPr>
      </w:pPr>
      <w:r>
        <w:rPr>
          <w:rFonts w:eastAsiaTheme="minorHAnsi" w:cs="Arial"/>
        </w:rPr>
        <w:t>East Bend Unit 2.</w:t>
      </w:r>
      <w:r>
        <w:rPr>
          <w:rFonts w:eastAsiaTheme="minorHAnsi" w:cs="Arial"/>
        </w:rPr>
        <w:tab/>
        <w:t>)</w:t>
      </w:r>
    </w:p>
    <w:p w:rsidR="00F94951" w:rsidRDefault="00F94951">
      <w:pPr>
        <w:tabs>
          <w:tab w:val="left" w:pos="-1440"/>
          <w:tab w:val="left" w:pos="-720"/>
          <w:tab w:val="left" w:pos="4680"/>
          <w:tab w:val="left" w:pos="5760"/>
          <w:tab w:val="center" w:pos="7200"/>
        </w:tabs>
        <w:overflowPunct w:val="0"/>
        <w:autoSpaceDE w:val="0"/>
        <w:autoSpaceDN w:val="0"/>
        <w:adjustRightInd w:val="0"/>
        <w:spacing w:line="240" w:lineRule="auto"/>
        <w:rPr>
          <w:rFonts w:eastAsiaTheme="minorHAnsi" w:cs="Arial"/>
        </w:rPr>
      </w:pPr>
    </w:p>
    <w:p w:rsidR="00F94951" w:rsidRDefault="00F94951">
      <w:pPr>
        <w:tabs>
          <w:tab w:val="left" w:pos="-1440"/>
          <w:tab w:val="left" w:pos="-720"/>
          <w:tab w:val="left" w:pos="5040"/>
          <w:tab w:val="center" w:pos="7200"/>
        </w:tabs>
        <w:overflowPunct w:val="0"/>
        <w:autoSpaceDE w:val="0"/>
        <w:autoSpaceDN w:val="0"/>
        <w:adjustRightInd w:val="0"/>
        <w:spacing w:line="240" w:lineRule="auto"/>
        <w:rPr>
          <w:rFonts w:eastAsiaTheme="minorHAnsi" w:cs="Arial"/>
          <w:smallCaps/>
          <w:sz w:val="20"/>
          <w:szCs w:val="20"/>
        </w:rPr>
      </w:pPr>
    </w:p>
    <w:p w:rsidR="00F94951" w:rsidRDefault="00F94951">
      <w:pPr>
        <w:pBdr>
          <w:top w:val="single" w:sz="12" w:space="1" w:color="auto"/>
        </w:pBdr>
        <w:tabs>
          <w:tab w:val="left" w:pos="-1440"/>
          <w:tab w:val="left" w:pos="-720"/>
          <w:tab w:val="left" w:pos="5040"/>
          <w:tab w:val="center" w:pos="7200"/>
        </w:tabs>
        <w:overflowPunct w:val="0"/>
        <w:autoSpaceDE w:val="0"/>
        <w:autoSpaceDN w:val="0"/>
        <w:adjustRightInd w:val="0"/>
        <w:spacing w:line="240" w:lineRule="auto"/>
        <w:rPr>
          <w:rFonts w:eastAsiaTheme="minorHAnsi" w:cs="Arial"/>
          <w:b/>
          <w:smallCaps/>
          <w:sz w:val="20"/>
          <w:szCs w:val="20"/>
        </w:rPr>
      </w:pPr>
    </w:p>
    <w:p w:rsidR="00F94951" w:rsidRDefault="00BC25C1">
      <w:pPr>
        <w:spacing w:line="240" w:lineRule="auto"/>
        <w:jc w:val="center"/>
        <w:rPr>
          <w:rFonts w:eastAsiaTheme="minorHAnsi" w:cs="Arial"/>
          <w:b/>
          <w:smallCaps/>
          <w:sz w:val="28"/>
          <w:szCs w:val="28"/>
        </w:rPr>
      </w:pPr>
      <w:r>
        <w:rPr>
          <w:rFonts w:eastAsiaTheme="minorHAnsi" w:cs="Arial"/>
          <w:b/>
          <w:smallCaps/>
          <w:sz w:val="28"/>
          <w:szCs w:val="28"/>
        </w:rPr>
        <w:t>Industrial Energy Users-Ohio’s</w:t>
      </w:r>
    </w:p>
    <w:p w:rsidR="00F94951" w:rsidRDefault="00BC25C1">
      <w:pPr>
        <w:spacing w:line="240" w:lineRule="auto"/>
        <w:jc w:val="center"/>
        <w:rPr>
          <w:rFonts w:eastAsiaTheme="minorHAnsi" w:cs="Arial"/>
          <w:b/>
          <w:smallCaps/>
          <w:sz w:val="32"/>
          <w:szCs w:val="32"/>
        </w:rPr>
      </w:pPr>
      <w:r>
        <w:rPr>
          <w:rFonts w:eastAsiaTheme="minorHAnsi" w:cs="Arial"/>
          <w:b/>
          <w:smallCaps/>
          <w:sz w:val="28"/>
          <w:szCs w:val="28"/>
        </w:rPr>
        <w:t>Comments</w:t>
      </w:r>
    </w:p>
    <w:p w:rsidR="00F94951" w:rsidRDefault="00F94951">
      <w:pPr>
        <w:pBdr>
          <w:bottom w:val="single" w:sz="12" w:space="1" w:color="auto"/>
        </w:pBdr>
        <w:spacing w:line="240" w:lineRule="auto"/>
        <w:rPr>
          <w:rFonts w:eastAsiaTheme="minorHAnsi" w:cs="Arial"/>
          <w:sz w:val="20"/>
          <w:szCs w:val="20"/>
        </w:rPr>
      </w:pPr>
    </w:p>
    <w:p w:rsidR="00F94951" w:rsidRDefault="00F94951">
      <w:pPr>
        <w:spacing w:line="240" w:lineRule="auto"/>
        <w:rPr>
          <w:rFonts w:eastAsiaTheme="minorHAnsi" w:cs="Arial"/>
          <w:sz w:val="20"/>
          <w:szCs w:val="20"/>
        </w:rPr>
      </w:pPr>
    </w:p>
    <w:p w:rsidR="00F94951" w:rsidRDefault="00BC25C1">
      <w:r>
        <w:tab/>
        <w:t>Pursuant to the Attorney Examiner’s June 20, 2014 Entry, Industrial Energy Users-Ohio (“IEU-Ohio”) hereby files Comments on The Dayton Power and Light Company’s (“DP&amp;L”) June 13, 2014 application to sell its interest in East Bend Unit 2 (“Application”) to Duke Energy Kentucky, Inc. (“Duke Kentucky”).  IEU-Ohio supports the divestiture of DP&amp;L’s generating assets on lawful and reasonable terms and conditions.  The Application, however, proposes to divest East Bend Unit 2 on terms and conditions that are not lawful, just, reasonable, or in the public interest.</w:t>
      </w:r>
    </w:p>
    <w:p w:rsidR="00F94951" w:rsidRDefault="00BC25C1">
      <w:pPr>
        <w:ind w:firstLine="720"/>
      </w:pPr>
      <w:r>
        <w:t xml:space="preserve">The Application unlawfully and unreasonably seeks authority to be able to recover DP&amp;L’s costs associated with the sale from customers.  Additionally, the Application does not clearly address the debt and liabilities associated with East Bend Unit 2 that will not be transferred to Duke Kentucky.  Further, the Application also fails to address the impact of the transaction on current and future standard service offers (“SSO”).  Because the Application proposes to transfer East Bend Unit 2 on terms and conditions that are unjust, unreasonable, and contrary to the public interest, the Public Utilities Commission of Ohio (“Commission”) should either reject the unlawful and unreasonable terms and conditions outright or set this Application for an evidentiary hearing and deny DP&amp;L’s request for the Commission to waive hearing. </w:t>
      </w:r>
    </w:p>
    <w:p w:rsidR="00F94951" w:rsidRDefault="00BC25C1">
      <w:pPr>
        <w:pStyle w:val="Heading1"/>
      </w:pPr>
      <w:bookmarkStart w:id="1" w:name="_Toc391887912"/>
      <w:r>
        <w:lastRenderedPageBreak/>
        <w:t>Applicable standard</w:t>
      </w:r>
      <w:bookmarkEnd w:id="1"/>
    </w:p>
    <w:p w:rsidR="00F94951" w:rsidRDefault="00BC25C1">
      <w:pPr>
        <w:ind w:firstLine="720"/>
        <w:rPr>
          <w:rFonts w:cs="Arial"/>
        </w:rPr>
      </w:pPr>
      <w:r>
        <w:rPr>
          <w:rFonts w:cs="Arial"/>
        </w:rPr>
        <w:t xml:space="preserve">Section 4928.17(E), Revised Code, provides that “[n]o electric distribution utility shall sell or transfer any generating asset it wholly or partly owns at any time without obtaining prior commission approval.” Additionally, Rule 4901:1-37-09(D), Ohio Administrative Code (“O.A.C.”), provides: </w:t>
      </w:r>
    </w:p>
    <w:p w:rsidR="00F94951" w:rsidRDefault="00BC25C1">
      <w:pPr>
        <w:spacing w:line="240" w:lineRule="auto"/>
        <w:ind w:left="720" w:right="720" w:firstLine="720"/>
        <w:rPr>
          <w:rFonts w:cs="Arial"/>
        </w:rPr>
      </w:pPr>
      <w:r>
        <w:rPr>
          <w:rFonts w:cs="Arial"/>
        </w:rPr>
        <w:t>[u]pon the filing of such application [to transfer generating assets], the commission may fix a time and place for a hearing if the application appears to be unjust, unreasonable, or not in the public interest.  The commission shall fix a time and place for a hearing with respect to any application that proposes to alter the jurisdiction of the commission over a generation asset.</w:t>
      </w:r>
    </w:p>
    <w:p w:rsidR="00F94951" w:rsidRDefault="00F94951">
      <w:pPr>
        <w:spacing w:line="240" w:lineRule="auto"/>
        <w:ind w:firstLine="720"/>
        <w:rPr>
          <w:rFonts w:cs="Arial"/>
        </w:rPr>
      </w:pPr>
    </w:p>
    <w:p w:rsidR="00F94951" w:rsidRDefault="00BC25C1">
      <w:pPr>
        <w:ind w:firstLine="720"/>
        <w:rPr>
          <w:rFonts w:cs="Arial"/>
        </w:rPr>
      </w:pPr>
      <w:r>
        <w:rPr>
          <w:rFonts w:cs="Arial"/>
        </w:rPr>
        <w:t>Furthermore, Rule 4901:1-37-09(C), O.A.C., states that an application to sell or transfer generation assets shall, at a minimum:</w:t>
      </w:r>
    </w:p>
    <w:p w:rsidR="00F94951" w:rsidRDefault="00BC25C1">
      <w:pPr>
        <w:spacing w:after="120" w:line="276" w:lineRule="auto"/>
        <w:ind w:left="1440" w:right="720" w:hanging="720"/>
        <w:rPr>
          <w:rFonts w:cs="Arial"/>
        </w:rPr>
      </w:pPr>
      <w:r>
        <w:rPr>
          <w:rFonts w:cs="Arial"/>
        </w:rPr>
        <w:t>(1)</w:t>
      </w:r>
      <w:r>
        <w:rPr>
          <w:rFonts w:cs="Arial"/>
        </w:rPr>
        <w:tab/>
        <w:t>Clearly set forth the object and purpose of the sale or transfer, and the terms and conditions of the same.</w:t>
      </w:r>
    </w:p>
    <w:p w:rsidR="00F94951" w:rsidRDefault="00BC25C1">
      <w:pPr>
        <w:spacing w:after="120" w:line="276" w:lineRule="auto"/>
        <w:ind w:left="1440" w:right="720" w:hanging="720"/>
        <w:rPr>
          <w:rFonts w:cs="Arial"/>
        </w:rPr>
      </w:pPr>
      <w:r>
        <w:rPr>
          <w:rFonts w:cs="Arial"/>
        </w:rPr>
        <w:t>(2)</w:t>
      </w:r>
      <w:r>
        <w:rPr>
          <w:rFonts w:cs="Arial"/>
        </w:rPr>
        <w:tab/>
        <w:t>Demonstrate how the sale or transfer will affect the current and future standard service offer established pursuant to section 4928.141 of the Revised Code.</w:t>
      </w:r>
    </w:p>
    <w:p w:rsidR="00F94951" w:rsidRDefault="00BC25C1">
      <w:pPr>
        <w:spacing w:after="120" w:line="276" w:lineRule="auto"/>
        <w:ind w:left="1440" w:right="720" w:hanging="720"/>
        <w:rPr>
          <w:rFonts w:cs="Arial"/>
        </w:rPr>
      </w:pPr>
      <w:r>
        <w:rPr>
          <w:rFonts w:cs="Arial"/>
        </w:rPr>
        <w:t>(3)</w:t>
      </w:r>
      <w:r>
        <w:rPr>
          <w:rFonts w:cs="Arial"/>
        </w:rPr>
        <w:tab/>
        <w:t>Demonstrate how the proposed sale or transfer will affect the public interest.</w:t>
      </w:r>
    </w:p>
    <w:p w:rsidR="00F94951" w:rsidRDefault="00BC25C1">
      <w:pPr>
        <w:spacing w:after="120" w:line="276" w:lineRule="auto"/>
        <w:ind w:left="1440" w:right="720" w:hanging="720"/>
        <w:rPr>
          <w:rFonts w:cs="Arial"/>
        </w:rPr>
      </w:pPr>
      <w:r>
        <w:rPr>
          <w:rFonts w:cs="Arial"/>
        </w:rPr>
        <w:t>(4)</w:t>
      </w:r>
      <w:r>
        <w:rPr>
          <w:rFonts w:cs="Arial"/>
        </w:rPr>
        <w:tab/>
        <w:t>State the fair market value and book value of all property to be transferred from the electric utility, and state how the fair market value was determined.</w:t>
      </w:r>
    </w:p>
    <w:p w:rsidR="00F94951" w:rsidRDefault="00BC25C1">
      <w:pPr>
        <w:ind w:right="720" w:firstLine="720"/>
      </w:pPr>
      <w:r>
        <w:rPr>
          <w:rFonts w:cs="Arial"/>
        </w:rPr>
        <w:t xml:space="preserve">As demonstrated herein, DP&amp;L has failed to satisfy these standards.  </w:t>
      </w:r>
    </w:p>
    <w:p w:rsidR="00F94951" w:rsidRDefault="00BC25C1">
      <w:pPr>
        <w:pStyle w:val="Heading1"/>
      </w:pPr>
      <w:r>
        <w:t>argument</w:t>
      </w:r>
    </w:p>
    <w:p w:rsidR="00F94951" w:rsidRDefault="00BC25C1">
      <w:pPr>
        <w:pStyle w:val="Heading2"/>
      </w:pPr>
      <w:r>
        <w:t>The Application is unlawful, unjust, unreasonable, and not in the public interest because of DP&amp;L’s request to collect all of its transactional costs associated with the sale of East Bend Unit 2</w:t>
      </w:r>
    </w:p>
    <w:p w:rsidR="00F94951" w:rsidRDefault="00BC25C1">
      <w:pPr>
        <w:ind w:firstLine="720"/>
      </w:pPr>
      <w:r>
        <w:t xml:space="preserve">DP&amp;L’s Application requests Commission authorization to “recover all financing costs, redemption costs, amendment fees, investment banking fees, advisor costs, </w:t>
      </w:r>
      <w:r>
        <w:lastRenderedPageBreak/>
        <w:t>taxes and related costs” that DP&amp;L incurs in the sale of its interest in East Bend Unit 2.</w:t>
      </w:r>
      <w:r>
        <w:rPr>
          <w:rStyle w:val="FootnoteReference"/>
        </w:rPr>
        <w:footnoteReference w:id="1"/>
      </w:r>
      <w:r>
        <w:t xml:space="preserve">  DP&amp;L’s request to recover the transactional costs associated with this generation asset divestiture runs contrary to the Commission’s prior precedent.  The Commission has held that generation-related costs associated with complying with Ohio’s corporate separation law are not recoverable from an electric distribution utility’s (“EDU”) distribution customers.</w:t>
      </w:r>
      <w:r>
        <w:rPr>
          <w:vertAlign w:val="superscript"/>
        </w:rPr>
        <w:footnoteReference w:id="2"/>
      </w:r>
      <w:r>
        <w:t xml:space="preserve">  Additionally, the Commission’s limited ability to regulate the competitive generation function of retail electric service does not provide the Commission with any authority to authorize the recovery of the costs requested by DP&amp;L.</w:t>
      </w:r>
      <w:r>
        <w:rPr>
          <w:rStyle w:val="FootnoteReference"/>
        </w:rPr>
        <w:footnoteReference w:id="3"/>
      </w:r>
    </w:p>
    <w:p w:rsidR="00F94951" w:rsidRDefault="00BC25C1">
      <w:pPr>
        <w:ind w:firstLine="720"/>
      </w:pPr>
      <w:r>
        <w:t>Furthermore, in response to a Staff data request (attached to these comments as Attachment A), Staff requested DP&amp;L to quantify all transactional costs it would seek recovery of under paragraph 14 of the Application, to which DP&amp;L indicated that it does “not anticipate seeking recovery for any transaction costs associated with this sales process.”  Legality aside, if DP&amp;L does not intend to seek recovery of any costs pursuant to the cost-recovery request in paragraph 14 of the Application, there is absolutely no need for the Commission to grant DP&amp;L such authority.</w:t>
      </w:r>
    </w:p>
    <w:p w:rsidR="00F94951" w:rsidRDefault="00BC25C1">
      <w:pPr>
        <w:ind w:firstLine="720"/>
      </w:pPr>
      <w:r>
        <w:t xml:space="preserve">Because DP&amp;L’s Application proposes an unlawful, unreasonable, unjust term and condition that is contrary to the public interest and Commission precedent, and because DP&amp;L does not anticipate seeking recovery of any transactional costs associated with the divestiture of East Bend Unit 2, the Commission should reject </w:t>
      </w:r>
      <w:r>
        <w:lastRenderedPageBreak/>
        <w:t xml:space="preserve">DP&amp;L’s request for authority to recover any and all generation asset sale transactional costs from its customers.  </w:t>
      </w:r>
    </w:p>
    <w:p w:rsidR="00F94951" w:rsidRDefault="00BC25C1">
      <w:pPr>
        <w:pStyle w:val="Heading2"/>
      </w:pPr>
      <w:r>
        <w:t>The Application is unjust, unreasonable, and is contrary to the public interest and Commission precedent because it fails to hold its customers harmless from the debts and liabilities related to East Bend Unit 2</w:t>
      </w:r>
    </w:p>
    <w:p w:rsidR="00F94951" w:rsidRDefault="00BC25C1">
      <w:pPr>
        <w:ind w:firstLine="720"/>
      </w:pPr>
      <w:r>
        <w:t>In its Application, DP&amp;L states that because the sale of its East Bend Unit 2 ownership interests is a single asset transaction, the sale can be accomplished without causing outstanding bonds to be called or creating other undue financial burdens.</w:t>
      </w:r>
      <w:r>
        <w:rPr>
          <w:rStyle w:val="FootnoteReference"/>
        </w:rPr>
        <w:footnoteReference w:id="4"/>
      </w:r>
      <w:r>
        <w:t xml:space="preserve">  While this is an appropriate condition for the Commission to impose as a condition of the asset divestiture, the details buried in DP&amp;L’s Application suggest the end result (assuming the Commission approves the as-filed Application) will widely miss the mark because the transfer appears to leave debt related to East Bend Unit 2 with DP&amp;L, exposing customers to continued financial responsibility.  Based on Commission precedent, the failure to protect customers from exposure to debt associated with the assets would be unjust and unreasonable and not in the public interest. </w:t>
      </w:r>
    </w:p>
    <w:p w:rsidR="00F94951" w:rsidRDefault="00BC25C1">
      <w:pPr>
        <w:ind w:firstLine="720"/>
      </w:pPr>
      <w:r>
        <w:t xml:space="preserve">For example, while DP&amp;L claims the transaction will have no impact on outstanding bonds, Article 5 of the Purchase and Sale Agreement between Duke Kentucky and DP&amp;L submitted as Exhibit 1 to the Application (“Sale Agreement”) suggests a different conclusion.  Specifically, Article 5, Section 5.4, specifies the required consents that are necessary before the transaction may close.  Schedule 5.4 specifies that a release from the Bank of New York Mellon as Trustee of the First and Refunding Mortgage dated October 1, 1935 is a required consent.  Article 5, Section 5.5, specifies that DP&amp;L holds good and valid title to all of the purchased assets except permitted liens identified in Schedule 5.5.  Schedule 5.5 again identifies the First and </w:t>
      </w:r>
      <w:r>
        <w:lastRenderedPageBreak/>
        <w:t>Refunding Mortgage, dated October 1, 1935 in favor of Bank of New York Mellon as Trustee.  Thus, while it appears the Sale Agreement is structured to provide Duke Kentucky with free and clear title to the acquired East Bend Unit 2, it appears DP&amp;L is retaining an unquantified amount of indebtedness associated with its East Bend Unit 2 ownership interest.</w:t>
      </w:r>
    </w:p>
    <w:p w:rsidR="00F94951" w:rsidRDefault="00BC25C1">
      <w:pPr>
        <w:ind w:firstLine="720"/>
      </w:pPr>
      <w:r>
        <w:t xml:space="preserve">The Application also utters not a single word about other indebtedness clearly associated with DP&amp;L’s ownership interest in East Bend Unit 2.  On May 23, 2014, DP&amp;L filed in Case No. 13-2420-EL-UNC its Amended Supplemental Application to Transfer or Sell its Generating Assets (“May 23 Application”).  The May 23 Application lists on page 4 all of DP&amp;L’s outstanding first mortgage bonds totaling $859,375,000 as of December 31, 2012.  The outstanding debt includes $35,275,000 (outstanding as of December 31, 2012) of Pollution Control Bonds issued by the County of Boone, Kentucky. </w:t>
      </w:r>
      <w:r w:rsidR="00B76C7C">
        <w:t xml:space="preserve"> </w:t>
      </w:r>
      <w:r>
        <w:t>East Bend Unit 2 is located in Boone County, Kentucky and is the only DP&amp;L owned generating facility within that county.</w:t>
      </w:r>
      <w:r>
        <w:rPr>
          <w:rStyle w:val="FootnoteReference"/>
        </w:rPr>
        <w:footnoteReference w:id="5"/>
      </w:r>
      <w:r>
        <w:t xml:space="preserve">  Thus, by its silence, the Application appears to be seeking Commission approval to transfer DP&amp;L’s East Bend Unit 2 ownership interest but leave a significant amount of generation asset-related debt on the books of the regulated EDU.  That result is clearly not just, reasonable or in the public interest. </w:t>
      </w:r>
    </w:p>
    <w:p w:rsidR="00F94951" w:rsidRDefault="00BC25C1">
      <w:pPr>
        <w:ind w:firstLine="720"/>
      </w:pPr>
      <w:r>
        <w:t>It is also inconsistent with Commission precedent concerning the retention of indebtedness associated with pollution control revenue bonds (“PCRB”).  Through an application filed in 2012, Ohio Power Company (“AEP</w:t>
      </w:r>
      <w:r>
        <w:noBreakHyphen/>
        <w:t>Ohio”) sought Commission authorization to retain PCRBs on the books of the EDU subsequent to completing the transfer of its generating assets.  AEP</w:t>
      </w:r>
      <w:r>
        <w:noBreakHyphen/>
        <w:t xml:space="preserve">Ohio represented the specific PCRBs were a </w:t>
      </w:r>
      <w:r>
        <w:lastRenderedPageBreak/>
        <w:t>low-cost source of debt and were not secured by specific electric generating facilities.</w:t>
      </w:r>
      <w:r>
        <w:rPr>
          <w:rStyle w:val="FootnoteReference"/>
        </w:rPr>
        <w:footnoteReference w:id="6"/>
      </w:r>
      <w:r>
        <w:t xml:space="preserve">  The Commission allowed AEP</w:t>
      </w:r>
      <w:r>
        <w:noBreakHyphen/>
        <w:t>Ohio to retain the PCRBs subject to a requirement that AEP-Ohio ratepayers be held harmless from any costs associated with servicing the debt.</w:t>
      </w:r>
      <w:r>
        <w:rPr>
          <w:rStyle w:val="FootnoteReference"/>
        </w:rPr>
        <w:footnoteReference w:id="7"/>
      </w:r>
      <w:r>
        <w:t xml:space="preserve">  Additionally, the Commission held that defeasance costs could not be recovered from ratepayers.</w:t>
      </w:r>
      <w:r>
        <w:rPr>
          <w:rStyle w:val="FootnoteReference"/>
        </w:rPr>
        <w:footnoteReference w:id="8"/>
      </w:r>
      <w:r>
        <w:t xml:space="preserve"> </w:t>
      </w:r>
    </w:p>
    <w:p w:rsidR="00F94951" w:rsidRDefault="00BC25C1">
      <w:pPr>
        <w:ind w:firstLine="720"/>
      </w:pPr>
      <w:r>
        <w:t>DP&amp;L’s Application fails to even mention the retained PCRBs, let alone make the necessary hold harmless commitments that are consistent with Commission precedent. Because the treatment of the existing generation-related debt appears to be unreasonable and not in the public interest, the Commission should reject DP&amp;L’s request to collect costs related to the asset divestiture from customers or, alternatively, the Commission should set this matter for hearing as required by the Commission rules.</w:t>
      </w:r>
    </w:p>
    <w:p w:rsidR="00F94951" w:rsidRDefault="00BC25C1">
      <w:pPr>
        <w:pStyle w:val="Heading2"/>
        <w:numPr>
          <w:ilvl w:val="1"/>
          <w:numId w:val="1"/>
        </w:numPr>
      </w:pPr>
      <w:r>
        <w:t>DP&amp;L failed to demonstrate how its Application will affect the current and future SSO price and failed to demonstrate that the Application is in the public interest</w:t>
      </w:r>
    </w:p>
    <w:p w:rsidR="00F94951" w:rsidRDefault="00BC25C1">
      <w:pPr>
        <w:ind w:firstLine="720"/>
        <w:rPr>
          <w:rFonts w:cs="Arial"/>
        </w:rPr>
      </w:pPr>
      <w:r>
        <w:rPr>
          <w:rFonts w:cs="Arial"/>
        </w:rPr>
        <w:t>The Application must “[d]emonstrate how the sale or transfer will affect the current and future standard service offer established pursuant to section 4928.141 of the Revised Code”</w:t>
      </w:r>
      <w:r>
        <w:rPr>
          <w:rStyle w:val="FootnoteReference"/>
          <w:rFonts w:eastAsiaTheme="majorEastAsia"/>
        </w:rPr>
        <w:footnoteReference w:id="9"/>
      </w:r>
      <w:r>
        <w:rPr>
          <w:rFonts w:cs="Arial"/>
        </w:rPr>
        <w:t xml:space="preserve"> and “how the proposed sale or transfer will affect the public interest.”</w:t>
      </w:r>
      <w:r>
        <w:rPr>
          <w:rStyle w:val="FootnoteReference"/>
          <w:rFonts w:eastAsiaTheme="majorEastAsia"/>
        </w:rPr>
        <w:footnoteReference w:id="10"/>
      </w:r>
      <w:r>
        <w:rPr>
          <w:rFonts w:cs="Arial"/>
        </w:rPr>
        <w:t xml:space="preserve">  Like its three applications in Case No. 13-2420-EL-UNC, in this Application, DP&amp;L fails to satisfy these requirements.  In its Application, DP&amp;L states its Application “will not have a material effect on the terms and conditions under which it will provide a standard service offer” and that “DP&amp;L’s ownership share of East Bend Unit 2 </w:t>
      </w:r>
      <w:r>
        <w:rPr>
          <w:rFonts w:cs="Arial"/>
        </w:rPr>
        <w:lastRenderedPageBreak/>
        <w:t>comprises 186 MW, or only about 7%, of DP&amp;L’s total capacity of about 2708 MW.”</w:t>
      </w:r>
      <w:r>
        <w:rPr>
          <w:rStyle w:val="FootnoteReference"/>
          <w:rFonts w:cs="Arial"/>
        </w:rPr>
        <w:footnoteReference w:id="11"/>
      </w:r>
      <w:r>
        <w:rPr>
          <w:rFonts w:cs="Arial"/>
        </w:rPr>
        <w:t xml:space="preserve">  By stating that the Application will not have a material effect on the SSO, it implies that it will have some effect.  The Commission’s rules require DP&amp;L to demonstrate what effect it will have, material or otherwise.  Accordingly, DP&amp;L’s Application is deficient.</w:t>
      </w:r>
    </w:p>
    <w:p w:rsidR="00F94951" w:rsidRDefault="00BC25C1">
      <w:pPr>
        <w:ind w:firstLine="720"/>
      </w:pPr>
      <w:r>
        <w:rPr>
          <w:rFonts w:cs="Arial"/>
        </w:rPr>
        <w:t>DP&amp;L also claims that the sale of East Bend Unit 2 is in the public interest because the Commission previously found the separation of DP&amp;L’s generating assets from DP&amp;L’s transmission and distribution businesses was a benefit of DP&amp;L’s current electric security plan (“ESP”).</w:t>
      </w:r>
      <w:r>
        <w:rPr>
          <w:rFonts w:cs="Arial"/>
          <w:vertAlign w:val="superscript"/>
        </w:rPr>
        <w:footnoteReference w:id="12"/>
      </w:r>
      <w:r>
        <w:rPr>
          <w:rFonts w:cs="Arial"/>
        </w:rPr>
        <w:t xml:space="preserve">  However, nowhere in the Commission’s order approving DP&amp;L’s ESP did the Commission actually find that a divestiture of East Bend Unit 2 or the terms and conditions of the divestiture proposed by DP&amp;L in this case was in the public interest.</w:t>
      </w:r>
      <w:r>
        <w:rPr>
          <w:rFonts w:cs="Arial"/>
          <w:vertAlign w:val="superscript"/>
        </w:rPr>
        <w:footnoteReference w:id="13"/>
      </w:r>
      <w:r>
        <w:rPr>
          <w:rFonts w:cs="Arial"/>
        </w:rPr>
        <w:t xml:space="preserve">  Thus, DP&amp;L still bears the burden of proof to demonstrate the sale of its interest in East Bend Unit 2 is just, reasonable, and in the public interest.</w:t>
      </w:r>
    </w:p>
    <w:p w:rsidR="00F94951" w:rsidRDefault="00BC25C1">
      <w:pPr>
        <w:pStyle w:val="Heading1"/>
      </w:pPr>
      <w:r>
        <w:t>conclusion</w:t>
      </w:r>
    </w:p>
    <w:p w:rsidR="00F94951" w:rsidRDefault="00BC25C1">
      <w:pPr>
        <w:ind w:firstLine="720"/>
      </w:pPr>
      <w:r>
        <w:t xml:space="preserve">For the reasons stated herein, </w:t>
      </w:r>
      <w:r>
        <w:rPr>
          <w:rFonts w:cs="Arial"/>
        </w:rPr>
        <w:t xml:space="preserve">DP&amp;L’s Application fails to demonstrate that the terms and conditions of the transfer of East Bend Unit 2 are just, reasonable and in the public interest.  Accordingly, the Commission should reject DP&amp;L’s request to recover the generation asset transfer-related costs, should ensure that DP&amp;L’s divestiture does not cause any undue financial burdens, should require DP&amp;L to hold customers harmless for any costs of the generation-related debt, should require DP&amp;L to demonstrate the effect on the SSO and demonstrate that the Application is in the public interest.  Alternatively, the Commission should set this matter for a hearing consistent </w:t>
      </w:r>
      <w:r>
        <w:rPr>
          <w:rFonts w:cs="Arial"/>
        </w:rPr>
        <w:lastRenderedPageBreak/>
        <w:t>with its rules on applications that appear unjust, unreasonable, or contrary to the public interest.</w:t>
      </w:r>
    </w:p>
    <w:p w:rsidR="00F94951" w:rsidRDefault="00BC25C1">
      <w:pPr>
        <w:tabs>
          <w:tab w:val="left" w:pos="720"/>
          <w:tab w:val="left" w:pos="4320"/>
          <w:tab w:val="right" w:pos="8640"/>
        </w:tabs>
        <w:spacing w:line="240" w:lineRule="auto"/>
        <w:ind w:left="4320"/>
        <w:rPr>
          <w:rFonts w:eastAsiaTheme="minorHAnsi" w:cs="Arial"/>
        </w:rPr>
      </w:pPr>
      <w:r>
        <w:rPr>
          <w:rFonts w:eastAsiaTheme="minorHAnsi" w:cs="Arial"/>
        </w:rPr>
        <w:t>Respectfully submitted,</w:t>
      </w:r>
    </w:p>
    <w:p w:rsidR="00F94951" w:rsidRDefault="00F94951">
      <w:pPr>
        <w:tabs>
          <w:tab w:val="left" w:pos="720"/>
          <w:tab w:val="left" w:pos="4320"/>
          <w:tab w:val="right" w:pos="8640"/>
        </w:tabs>
        <w:spacing w:line="240" w:lineRule="auto"/>
        <w:ind w:left="4320"/>
        <w:rPr>
          <w:rFonts w:eastAsiaTheme="minorHAnsi" w:cs="Arial"/>
        </w:rPr>
      </w:pPr>
    </w:p>
    <w:p w:rsidR="00F94951" w:rsidRDefault="00BC25C1">
      <w:pPr>
        <w:tabs>
          <w:tab w:val="left" w:pos="720"/>
          <w:tab w:val="left" w:pos="4320"/>
          <w:tab w:val="right" w:pos="8640"/>
        </w:tabs>
        <w:spacing w:line="240" w:lineRule="auto"/>
        <w:rPr>
          <w:rFonts w:eastAsiaTheme="minorHAnsi" w:cs="Arial"/>
          <w:i/>
        </w:rPr>
      </w:pPr>
      <w:r>
        <w:rPr>
          <w:rFonts w:eastAsiaTheme="minorHAnsi" w:cs="Arial"/>
          <w:i/>
        </w:rPr>
        <w:tab/>
      </w:r>
      <w:r>
        <w:rPr>
          <w:rFonts w:eastAsiaTheme="minorHAnsi" w:cs="Arial"/>
          <w:i/>
        </w:rPr>
        <w:tab/>
      </w:r>
      <w:r>
        <w:rPr>
          <w:rFonts w:eastAsiaTheme="minorHAnsi" w:cs="Arial"/>
          <w:i/>
          <w:u w:val="single"/>
        </w:rPr>
        <w:t>/s/ Matthew R. Pritchard</w:t>
      </w:r>
      <w:r>
        <w:rPr>
          <w:rFonts w:eastAsiaTheme="minorHAnsi" w:cs="Arial"/>
          <w:i/>
          <w:u w:val="single"/>
        </w:rPr>
        <w:tab/>
      </w:r>
      <w:r>
        <w:rPr>
          <w:rFonts w:eastAsiaTheme="minorHAnsi" w:cs="Arial"/>
          <w:i/>
          <w:u w:val="single"/>
        </w:rPr>
        <w:tab/>
      </w:r>
    </w:p>
    <w:p w:rsidR="00F94951" w:rsidRDefault="00BC25C1">
      <w:pPr>
        <w:tabs>
          <w:tab w:val="left" w:pos="4320"/>
          <w:tab w:val="right" w:pos="8640"/>
        </w:tabs>
        <w:spacing w:line="240" w:lineRule="auto"/>
        <w:ind w:left="4320"/>
        <w:rPr>
          <w:rFonts w:eastAsiaTheme="minorHAnsi" w:cs="Arial"/>
        </w:rPr>
      </w:pPr>
      <w:r>
        <w:rPr>
          <w:rFonts w:eastAsiaTheme="minorHAnsi" w:cs="Arial"/>
        </w:rPr>
        <w:t>Samuel C. Randazzo (Counsel of Record) (Reg. No. 0016386)</w:t>
      </w:r>
    </w:p>
    <w:p w:rsidR="00F94951" w:rsidRDefault="00BC25C1">
      <w:pPr>
        <w:widowControl w:val="0"/>
        <w:tabs>
          <w:tab w:val="left" w:pos="4320"/>
        </w:tabs>
        <w:spacing w:line="240" w:lineRule="auto"/>
        <w:ind w:left="4320"/>
        <w:rPr>
          <w:rFonts w:eastAsiaTheme="minorHAnsi" w:cs="Arial"/>
          <w:bCs/>
        </w:rPr>
      </w:pPr>
      <w:r>
        <w:rPr>
          <w:rFonts w:eastAsiaTheme="minorHAnsi" w:cs="Arial"/>
          <w:bCs/>
        </w:rPr>
        <w:t>Frank P. Darr (Reg. No. 0025469)</w:t>
      </w:r>
    </w:p>
    <w:p w:rsidR="00F94951" w:rsidRDefault="00BC25C1">
      <w:pPr>
        <w:widowControl w:val="0"/>
        <w:tabs>
          <w:tab w:val="left" w:pos="4320"/>
        </w:tabs>
        <w:spacing w:line="240" w:lineRule="auto"/>
        <w:ind w:left="4320"/>
        <w:rPr>
          <w:rFonts w:eastAsiaTheme="minorHAnsi" w:cs="Arial"/>
          <w:b/>
          <w:bCs/>
        </w:rPr>
      </w:pPr>
      <w:r>
        <w:rPr>
          <w:rFonts w:eastAsiaTheme="minorHAnsi" w:cs="Arial"/>
          <w:bCs/>
        </w:rPr>
        <w:t>Matthew R. Pritchard (Reg. No. 0088070)</w:t>
      </w:r>
    </w:p>
    <w:p w:rsidR="00F94951" w:rsidRDefault="00BC25C1">
      <w:pPr>
        <w:widowControl w:val="0"/>
        <w:tabs>
          <w:tab w:val="left" w:pos="4320"/>
        </w:tabs>
        <w:spacing w:line="240" w:lineRule="auto"/>
        <w:ind w:left="4320"/>
        <w:rPr>
          <w:rFonts w:eastAsiaTheme="minorHAnsi" w:cs="Arial"/>
          <w:b/>
          <w:bCs/>
          <w:smallCaps/>
        </w:rPr>
      </w:pPr>
      <w:r>
        <w:rPr>
          <w:rFonts w:eastAsiaTheme="minorHAnsi" w:cs="Arial"/>
          <w:bCs/>
          <w:smallCaps/>
        </w:rPr>
        <w:t>McNees Wallace &amp; Nurick LLC</w:t>
      </w:r>
    </w:p>
    <w:p w:rsidR="00F94951" w:rsidRDefault="00BC25C1">
      <w:pPr>
        <w:widowControl w:val="0"/>
        <w:tabs>
          <w:tab w:val="left" w:pos="4320"/>
        </w:tabs>
        <w:spacing w:line="240" w:lineRule="auto"/>
        <w:ind w:left="4320"/>
        <w:rPr>
          <w:rFonts w:eastAsiaTheme="minorHAnsi" w:cs="Arial"/>
          <w:b/>
          <w:bCs/>
        </w:rPr>
      </w:pPr>
      <w:r>
        <w:rPr>
          <w:rFonts w:eastAsiaTheme="minorHAnsi" w:cs="Arial"/>
          <w:bCs/>
        </w:rPr>
        <w:t>21 East State Street, 17</w:t>
      </w:r>
      <w:r>
        <w:rPr>
          <w:rFonts w:eastAsiaTheme="minorHAnsi" w:cs="Arial"/>
          <w:bCs/>
          <w:vertAlign w:val="superscript"/>
        </w:rPr>
        <w:t>TH</w:t>
      </w:r>
      <w:r>
        <w:rPr>
          <w:rFonts w:eastAsiaTheme="minorHAnsi" w:cs="Arial"/>
          <w:bCs/>
        </w:rPr>
        <w:t xml:space="preserve"> Floor</w:t>
      </w:r>
    </w:p>
    <w:p w:rsidR="00F94951" w:rsidRDefault="00BC25C1">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Theme="minorHAnsi" w:cs="Arial"/>
        </w:rPr>
      </w:pPr>
      <w:r>
        <w:rPr>
          <w:rFonts w:eastAsiaTheme="minorHAnsi" w:cs="Arial"/>
        </w:rPr>
        <w:t>Columbus, OH  43215</w:t>
      </w:r>
    </w:p>
    <w:p w:rsidR="00F94951" w:rsidRDefault="00BC25C1">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Theme="minorHAnsi" w:cs="Arial"/>
        </w:rPr>
      </w:pPr>
      <w:r>
        <w:rPr>
          <w:rFonts w:eastAsiaTheme="minorHAnsi" w:cs="Arial"/>
        </w:rPr>
        <w:t>Telephone:  (614) 469-8000</w:t>
      </w:r>
    </w:p>
    <w:p w:rsidR="00F94951" w:rsidRDefault="00BC25C1">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Theme="minorHAnsi" w:cs="Arial"/>
        </w:rPr>
      </w:pPr>
      <w:r>
        <w:rPr>
          <w:rFonts w:eastAsiaTheme="minorHAnsi" w:cs="Arial"/>
        </w:rPr>
        <w:t>Telecopier:  (614) 469-4653</w:t>
      </w:r>
    </w:p>
    <w:p w:rsidR="00F94951" w:rsidRDefault="00BC25C1">
      <w:pPr>
        <w:tabs>
          <w:tab w:val="left" w:pos="-1440"/>
          <w:tab w:val="left" w:pos="-720"/>
          <w:tab w:val="left" w:pos="5040"/>
          <w:tab w:val="center" w:pos="7200"/>
        </w:tabs>
        <w:overflowPunct w:val="0"/>
        <w:autoSpaceDE w:val="0"/>
        <w:autoSpaceDN w:val="0"/>
        <w:adjustRightInd w:val="0"/>
        <w:spacing w:line="240" w:lineRule="auto"/>
        <w:ind w:left="4320"/>
        <w:rPr>
          <w:rFonts w:eastAsiaTheme="minorHAnsi" w:cs="Arial"/>
          <w:color w:val="000000" w:themeColor="text1"/>
        </w:rPr>
      </w:pPr>
      <w:r>
        <w:rPr>
          <w:rFonts w:eastAsiaTheme="minorHAnsi" w:cs="Arial"/>
        </w:rPr>
        <w:t>sam@mwncmh.com</w:t>
      </w:r>
    </w:p>
    <w:p w:rsidR="00F94951" w:rsidRDefault="00BC25C1">
      <w:pPr>
        <w:tabs>
          <w:tab w:val="left" w:pos="-1440"/>
          <w:tab w:val="left" w:pos="-720"/>
          <w:tab w:val="left" w:pos="5040"/>
          <w:tab w:val="center" w:pos="7200"/>
        </w:tabs>
        <w:overflowPunct w:val="0"/>
        <w:autoSpaceDE w:val="0"/>
        <w:autoSpaceDN w:val="0"/>
        <w:adjustRightInd w:val="0"/>
        <w:spacing w:line="240" w:lineRule="auto"/>
        <w:ind w:left="4320"/>
        <w:rPr>
          <w:rFonts w:eastAsiaTheme="minorHAnsi" w:cs="Arial"/>
          <w:color w:val="000000" w:themeColor="text1"/>
        </w:rPr>
      </w:pPr>
      <w:r>
        <w:rPr>
          <w:rFonts w:eastAsiaTheme="minorHAnsi" w:cs="Arial"/>
          <w:color w:val="000000" w:themeColor="text1"/>
        </w:rPr>
        <w:t>(willing to accept service by e-mail)</w:t>
      </w:r>
    </w:p>
    <w:p w:rsidR="00F94951" w:rsidRDefault="00BC25C1">
      <w:pPr>
        <w:tabs>
          <w:tab w:val="left" w:pos="-1440"/>
          <w:tab w:val="left" w:pos="-720"/>
          <w:tab w:val="left" w:pos="5040"/>
          <w:tab w:val="center" w:pos="7200"/>
        </w:tabs>
        <w:overflowPunct w:val="0"/>
        <w:autoSpaceDE w:val="0"/>
        <w:autoSpaceDN w:val="0"/>
        <w:adjustRightInd w:val="0"/>
        <w:spacing w:line="240" w:lineRule="auto"/>
        <w:ind w:left="4320"/>
        <w:rPr>
          <w:rFonts w:eastAsiaTheme="minorHAnsi" w:cs="Arial"/>
          <w:color w:val="000000" w:themeColor="text1"/>
        </w:rPr>
      </w:pPr>
      <w:r>
        <w:rPr>
          <w:rFonts w:eastAsiaTheme="minorHAnsi" w:cs="Arial"/>
        </w:rPr>
        <w:t>fdarr@mwncmh.com</w:t>
      </w:r>
    </w:p>
    <w:p w:rsidR="00F94951" w:rsidRDefault="00BC25C1">
      <w:pPr>
        <w:tabs>
          <w:tab w:val="left" w:pos="-1440"/>
          <w:tab w:val="left" w:pos="-720"/>
          <w:tab w:val="left" w:pos="5040"/>
          <w:tab w:val="center" w:pos="7200"/>
        </w:tabs>
        <w:overflowPunct w:val="0"/>
        <w:autoSpaceDE w:val="0"/>
        <w:autoSpaceDN w:val="0"/>
        <w:adjustRightInd w:val="0"/>
        <w:spacing w:line="240" w:lineRule="auto"/>
        <w:ind w:left="4320"/>
        <w:rPr>
          <w:rFonts w:eastAsiaTheme="minorHAnsi" w:cs="Arial"/>
          <w:color w:val="000000" w:themeColor="text1"/>
        </w:rPr>
      </w:pPr>
      <w:r>
        <w:rPr>
          <w:rFonts w:eastAsiaTheme="minorHAnsi" w:cs="Arial"/>
          <w:color w:val="000000" w:themeColor="text1"/>
        </w:rPr>
        <w:t>(willing to accept service by e-mail)</w:t>
      </w:r>
    </w:p>
    <w:p w:rsidR="00F94951" w:rsidRDefault="00BC25C1">
      <w:pPr>
        <w:tabs>
          <w:tab w:val="left" w:pos="-1440"/>
          <w:tab w:val="left" w:pos="-720"/>
          <w:tab w:val="left" w:pos="5040"/>
          <w:tab w:val="center" w:pos="7200"/>
        </w:tabs>
        <w:overflowPunct w:val="0"/>
        <w:autoSpaceDE w:val="0"/>
        <w:autoSpaceDN w:val="0"/>
        <w:adjustRightInd w:val="0"/>
        <w:spacing w:line="240" w:lineRule="auto"/>
        <w:ind w:left="4320"/>
        <w:rPr>
          <w:rFonts w:eastAsiaTheme="minorHAnsi" w:cs="Arial"/>
          <w:smallCaps/>
          <w:color w:val="000000" w:themeColor="text1"/>
        </w:rPr>
      </w:pPr>
      <w:r>
        <w:rPr>
          <w:rFonts w:eastAsiaTheme="minorHAnsi" w:cs="Arial"/>
          <w:color w:val="000000" w:themeColor="text1"/>
        </w:rPr>
        <w:t>mpritchard@mwncmh.com</w:t>
      </w:r>
    </w:p>
    <w:p w:rsidR="00F94951" w:rsidRDefault="00BC25C1">
      <w:pPr>
        <w:tabs>
          <w:tab w:val="left" w:pos="-1440"/>
          <w:tab w:val="left" w:pos="-720"/>
          <w:tab w:val="left" w:pos="5040"/>
          <w:tab w:val="center" w:pos="7200"/>
        </w:tabs>
        <w:overflowPunct w:val="0"/>
        <w:autoSpaceDE w:val="0"/>
        <w:autoSpaceDN w:val="0"/>
        <w:adjustRightInd w:val="0"/>
        <w:spacing w:line="240" w:lineRule="auto"/>
        <w:ind w:left="4320"/>
        <w:rPr>
          <w:rFonts w:eastAsiaTheme="minorHAnsi" w:cs="Arial"/>
          <w:color w:val="000000" w:themeColor="text1"/>
        </w:rPr>
      </w:pPr>
      <w:r>
        <w:rPr>
          <w:rFonts w:eastAsiaTheme="minorHAnsi" w:cs="Arial"/>
          <w:color w:val="000000" w:themeColor="text1"/>
        </w:rPr>
        <w:t>(willing to accept service by e-mail)</w:t>
      </w:r>
    </w:p>
    <w:p w:rsidR="00F94951" w:rsidRDefault="00F94951">
      <w:pPr>
        <w:tabs>
          <w:tab w:val="left" w:pos="-1440"/>
          <w:tab w:val="left" w:pos="-720"/>
          <w:tab w:val="left" w:pos="5040"/>
          <w:tab w:val="center" w:pos="7200"/>
        </w:tabs>
        <w:overflowPunct w:val="0"/>
        <w:autoSpaceDE w:val="0"/>
        <w:autoSpaceDN w:val="0"/>
        <w:adjustRightInd w:val="0"/>
        <w:spacing w:line="240" w:lineRule="auto"/>
        <w:ind w:left="4320"/>
        <w:rPr>
          <w:rFonts w:eastAsiaTheme="minorHAnsi" w:cs="Arial"/>
          <w:b/>
          <w:smallCaps/>
        </w:rPr>
      </w:pPr>
    </w:p>
    <w:p w:rsidR="00F94951" w:rsidRDefault="00BC25C1">
      <w:pPr>
        <w:spacing w:line="240" w:lineRule="auto"/>
        <w:ind w:left="4320"/>
        <w:rPr>
          <w:rFonts w:eastAsia="Calibri" w:cs="Arial"/>
          <w:b/>
          <w:bCs/>
          <w:szCs w:val="20"/>
        </w:rPr>
      </w:pPr>
      <w:r>
        <w:rPr>
          <w:rFonts w:eastAsiaTheme="minorHAnsi" w:cs="Arial"/>
          <w:b/>
        </w:rPr>
        <w:t>Attorneys for Industrial Energy Users-Ohio</w:t>
      </w:r>
    </w:p>
    <w:p w:rsidR="00F94951" w:rsidRDefault="00F94951">
      <w:pPr>
        <w:ind w:firstLine="720"/>
      </w:pPr>
    </w:p>
    <w:p w:rsidR="005D3A68" w:rsidRDefault="005D3A68">
      <w:pPr>
        <w:jc w:val="center"/>
        <w:rPr>
          <w:rFonts w:cs="Arial"/>
          <w:b/>
          <w:u w:val="single"/>
        </w:rPr>
        <w:sectPr w:rsidR="005D3A68" w:rsidSect="00BC25C1">
          <w:headerReference w:type="even" r:id="rId15"/>
          <w:headerReference w:type="default" r:id="rId16"/>
          <w:footerReference w:type="even" r:id="rId17"/>
          <w:footerReference w:type="default" r:id="rId18"/>
          <w:headerReference w:type="first" r:id="rId19"/>
          <w:footerReference w:type="first" r:id="rId20"/>
          <w:pgSz w:w="12240" w:h="15840" w:code="1"/>
          <w:pgMar w:top="1296" w:right="1440" w:bottom="1224" w:left="1440" w:header="720" w:footer="720" w:gutter="0"/>
          <w:pgNumType w:start="1"/>
          <w:cols w:space="720"/>
          <w:titlePg/>
          <w:docGrid w:linePitch="360"/>
        </w:sectPr>
      </w:pPr>
      <w:bookmarkStart w:id="2" w:name="_Toc385406742"/>
      <w:bookmarkStart w:id="3" w:name="_Toc381606702"/>
    </w:p>
    <w:p w:rsidR="00F94951" w:rsidRPr="005D3A68" w:rsidRDefault="005D3A68" w:rsidP="005D3A68">
      <w:pPr>
        <w:jc w:val="right"/>
        <w:rPr>
          <w:rFonts w:cs="Arial"/>
          <w:b/>
        </w:rPr>
      </w:pPr>
      <w:r w:rsidRPr="005D3A68">
        <w:rPr>
          <w:rFonts w:cs="Arial"/>
          <w:b/>
        </w:rPr>
        <w:lastRenderedPageBreak/>
        <w:t>ATTACHMENT A</w:t>
      </w:r>
    </w:p>
    <w:p w:rsidR="005D3A68" w:rsidRDefault="005D3A68">
      <w:pPr>
        <w:jc w:val="center"/>
        <w:rPr>
          <w:rFonts w:cs="Arial"/>
          <w:b/>
          <w:u w:val="single"/>
        </w:rPr>
      </w:pPr>
    </w:p>
    <w:p w:rsidR="00BC25C1" w:rsidRPr="00B61D5F" w:rsidRDefault="00BC25C1">
      <w:pPr>
        <w:jc w:val="center"/>
        <w:rPr>
          <w:rFonts w:cs="Arial"/>
          <w:b/>
        </w:rPr>
      </w:pPr>
      <w:r w:rsidRPr="00B61D5F">
        <w:rPr>
          <w:rFonts w:cs="Arial"/>
          <w:b/>
        </w:rPr>
        <w:t>[PAGE INTENTIONALLY LEFT BLANK—</w:t>
      </w:r>
    </w:p>
    <w:p w:rsidR="00BC25C1" w:rsidRPr="00B61D5F" w:rsidRDefault="00BC25C1">
      <w:pPr>
        <w:jc w:val="center"/>
        <w:rPr>
          <w:rFonts w:cs="Arial"/>
          <w:b/>
        </w:rPr>
      </w:pPr>
      <w:r w:rsidRPr="00B61D5F">
        <w:rPr>
          <w:rFonts w:cs="Arial"/>
          <w:b/>
        </w:rPr>
        <w:t>ATTACHMENT APPEARS IN PDF VERSION OF FILED DOCUMENT]</w:t>
      </w:r>
    </w:p>
    <w:p w:rsidR="005D3A68" w:rsidRDefault="005D3A68" w:rsidP="00BC25C1">
      <w:pPr>
        <w:rPr>
          <w:rFonts w:cs="Arial"/>
          <w:b/>
          <w:u w:val="single"/>
        </w:rPr>
        <w:sectPr w:rsidR="005D3A68">
          <w:pgSz w:w="12240" w:h="15840" w:code="1"/>
          <w:pgMar w:top="1440" w:right="1440" w:bottom="1440" w:left="1440" w:header="720" w:footer="720" w:gutter="0"/>
          <w:pgNumType w:start="1"/>
          <w:cols w:space="720"/>
          <w:titlePg/>
          <w:docGrid w:linePitch="360"/>
        </w:sectPr>
      </w:pPr>
    </w:p>
    <w:p w:rsidR="00F94951" w:rsidRDefault="00BC25C1">
      <w:pPr>
        <w:jc w:val="center"/>
        <w:rPr>
          <w:rFonts w:ascii="Arial Bold" w:hAnsi="Arial Bold" w:cs="Arial"/>
          <w:b/>
          <w:smallCaps/>
          <w:sz w:val="28"/>
          <w:szCs w:val="28"/>
          <w:u w:val="single"/>
        </w:rPr>
      </w:pPr>
      <w:r>
        <w:rPr>
          <w:rFonts w:ascii="Arial Bold" w:hAnsi="Arial Bold" w:cs="Arial"/>
          <w:b/>
          <w:smallCaps/>
          <w:sz w:val="28"/>
          <w:szCs w:val="28"/>
          <w:u w:val="single"/>
        </w:rPr>
        <w:lastRenderedPageBreak/>
        <w:t>Certificate Of Service</w:t>
      </w:r>
    </w:p>
    <w:bookmarkEnd w:id="2"/>
    <w:bookmarkEnd w:id="3"/>
    <w:p w:rsidR="00F94951" w:rsidRDefault="00BC25C1">
      <w:pPr>
        <w:pStyle w:val="BodyText"/>
        <w:spacing w:line="480" w:lineRule="auto"/>
        <w:ind w:firstLine="720"/>
        <w:rPr>
          <w:b w:val="0"/>
          <w:smallCaps w:val="0"/>
          <w:sz w:val="24"/>
          <w:szCs w:val="24"/>
        </w:rPr>
      </w:pPr>
      <w:r>
        <w:rPr>
          <w:b w:val="0"/>
          <w:smallCaps w:val="0"/>
          <w:sz w:val="24"/>
          <w:szCs w:val="24"/>
        </w:rPr>
        <w:t xml:space="preserve">In accordance with Rule 4901-1-05, Ohio Administrative Code, the PUCO's e-filing system will electronically serve notice of the filing of this document upon the following parties.  In addition, I hereby certify that a service copy of the foregoing </w:t>
      </w:r>
      <w:r>
        <w:rPr>
          <w:b w:val="0"/>
          <w:i/>
          <w:smallCaps w:val="0"/>
          <w:sz w:val="24"/>
          <w:szCs w:val="24"/>
        </w:rPr>
        <w:t xml:space="preserve">Industrial Energy Users-Ohio’s Comments </w:t>
      </w:r>
      <w:r>
        <w:rPr>
          <w:b w:val="0"/>
          <w:smallCaps w:val="0"/>
          <w:sz w:val="24"/>
          <w:szCs w:val="24"/>
        </w:rPr>
        <w:t>was sent by, or on behalf of, the undersigned counsel for IEU-Ohio to the following parties of record this 18</w:t>
      </w:r>
      <w:r>
        <w:rPr>
          <w:b w:val="0"/>
          <w:smallCaps w:val="0"/>
          <w:sz w:val="24"/>
          <w:szCs w:val="24"/>
          <w:vertAlign w:val="superscript"/>
        </w:rPr>
        <w:t>th</w:t>
      </w:r>
      <w:r>
        <w:rPr>
          <w:b w:val="0"/>
          <w:smallCaps w:val="0"/>
          <w:sz w:val="24"/>
          <w:szCs w:val="24"/>
        </w:rPr>
        <w:t xml:space="preserve"> day of August 2014, </w:t>
      </w:r>
      <w:r>
        <w:rPr>
          <w:b w:val="0"/>
          <w:i/>
          <w:smallCaps w:val="0"/>
          <w:sz w:val="24"/>
          <w:szCs w:val="24"/>
        </w:rPr>
        <w:t>via</w:t>
      </w:r>
      <w:r>
        <w:rPr>
          <w:b w:val="0"/>
          <w:smallCaps w:val="0"/>
          <w:sz w:val="24"/>
          <w:szCs w:val="24"/>
        </w:rPr>
        <w:t xml:space="preserve"> electronic transmission.</w:t>
      </w:r>
      <w:r>
        <w:rPr>
          <w:b w:val="0"/>
          <w:smallCaps w:val="0"/>
        </w:rPr>
        <w:t xml:space="preserve"> </w:t>
      </w:r>
    </w:p>
    <w:p w:rsidR="00F94951" w:rsidRDefault="00BC25C1">
      <w:pPr>
        <w:tabs>
          <w:tab w:val="left" w:pos="-1440"/>
          <w:tab w:val="left" w:pos="-720"/>
          <w:tab w:val="left" w:pos="5040"/>
          <w:tab w:val="center" w:pos="7200"/>
          <w:tab w:val="right" w:pos="9360"/>
        </w:tabs>
        <w:spacing w:line="240" w:lineRule="auto"/>
        <w:ind w:firstLine="5040"/>
        <w:rPr>
          <w:rFonts w:cs="Arial"/>
          <w:i/>
        </w:rPr>
      </w:pPr>
      <w:r>
        <w:rPr>
          <w:rFonts w:cs="Arial"/>
          <w:i/>
          <w:u w:val="single"/>
        </w:rPr>
        <w:t>/s/ Matthew R. Pritchard</w:t>
      </w:r>
      <w:r>
        <w:rPr>
          <w:rFonts w:cs="Arial"/>
          <w:i/>
          <w:u w:val="single"/>
        </w:rPr>
        <w:tab/>
      </w:r>
    </w:p>
    <w:p w:rsidR="00F94951" w:rsidRDefault="00BC25C1">
      <w:pPr>
        <w:tabs>
          <w:tab w:val="left" w:pos="4320"/>
          <w:tab w:val="center" w:pos="6840"/>
        </w:tabs>
        <w:spacing w:line="240" w:lineRule="auto"/>
        <w:rPr>
          <w:rFonts w:cs="Arial"/>
        </w:rPr>
      </w:pPr>
      <w:r>
        <w:rPr>
          <w:rFonts w:cs="Arial"/>
        </w:rPr>
        <w:tab/>
      </w:r>
      <w:r>
        <w:rPr>
          <w:rFonts w:cs="Arial"/>
        </w:rPr>
        <w:tab/>
        <w:t>Matthew R. Pritchard</w:t>
      </w:r>
    </w:p>
    <w:p w:rsidR="00F94951" w:rsidRDefault="00F94951">
      <w:pPr>
        <w:tabs>
          <w:tab w:val="left" w:pos="4320"/>
          <w:tab w:val="center" w:pos="6840"/>
        </w:tabs>
        <w:spacing w:line="240" w:lineRule="auto"/>
        <w:rPr>
          <w:rFonts w:cs="Arial"/>
        </w:rPr>
      </w:pPr>
    </w:p>
    <w:p w:rsidR="00F94951" w:rsidRDefault="00F94951">
      <w:pPr>
        <w:tabs>
          <w:tab w:val="left" w:pos="2160"/>
          <w:tab w:val="left" w:pos="2280"/>
        </w:tabs>
        <w:spacing w:line="240" w:lineRule="auto"/>
        <w:rPr>
          <w:rFonts w:cs="Arial"/>
          <w:sz w:val="22"/>
          <w:szCs w:val="22"/>
        </w:rPr>
        <w:sectPr w:rsidR="00F94951">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titlePg/>
          <w:docGrid w:linePitch="360"/>
        </w:sectPr>
      </w:pPr>
    </w:p>
    <w:p w:rsidR="00F94951" w:rsidRPr="007A3C9F" w:rsidRDefault="00BC25C1">
      <w:pPr>
        <w:tabs>
          <w:tab w:val="left" w:pos="2160"/>
          <w:tab w:val="left" w:pos="2280"/>
        </w:tabs>
        <w:spacing w:line="240" w:lineRule="auto"/>
        <w:rPr>
          <w:rFonts w:cs="Arial"/>
          <w:sz w:val="22"/>
          <w:szCs w:val="22"/>
        </w:rPr>
      </w:pPr>
      <w:r w:rsidRPr="007A3C9F">
        <w:rPr>
          <w:rFonts w:cs="Arial"/>
          <w:sz w:val="22"/>
          <w:szCs w:val="22"/>
        </w:rPr>
        <w:lastRenderedPageBreak/>
        <w:t>Judi L. Sobecki (Reg. No. 0067186)</w:t>
      </w:r>
    </w:p>
    <w:p w:rsidR="00F94951" w:rsidRPr="007A3C9F" w:rsidRDefault="00BC25C1">
      <w:pPr>
        <w:kinsoku w:val="0"/>
        <w:overflowPunct w:val="0"/>
        <w:spacing w:line="240" w:lineRule="auto"/>
        <w:textAlignment w:val="baseline"/>
        <w:rPr>
          <w:rFonts w:cs="Arial"/>
          <w:sz w:val="22"/>
          <w:szCs w:val="22"/>
        </w:rPr>
      </w:pPr>
      <w:r w:rsidRPr="007A3C9F">
        <w:rPr>
          <w:rFonts w:cs="Arial"/>
          <w:sz w:val="22"/>
          <w:szCs w:val="22"/>
        </w:rPr>
        <w:t>The Dayton Power and Light Company</w:t>
      </w:r>
    </w:p>
    <w:p w:rsidR="00F94951" w:rsidRPr="007A3C9F" w:rsidRDefault="00BC25C1">
      <w:pPr>
        <w:kinsoku w:val="0"/>
        <w:overflowPunct w:val="0"/>
        <w:spacing w:line="240" w:lineRule="auto"/>
        <w:ind w:right="1584"/>
        <w:textAlignment w:val="baseline"/>
        <w:rPr>
          <w:rFonts w:cs="Arial"/>
          <w:sz w:val="22"/>
          <w:szCs w:val="22"/>
        </w:rPr>
      </w:pPr>
      <w:r w:rsidRPr="007A3C9F">
        <w:rPr>
          <w:rFonts w:cs="Arial"/>
          <w:sz w:val="22"/>
          <w:szCs w:val="22"/>
        </w:rPr>
        <w:t xml:space="preserve">1065 Woodman Drive </w:t>
      </w:r>
    </w:p>
    <w:p w:rsidR="00F94951" w:rsidRPr="007A3C9F" w:rsidRDefault="00BC25C1">
      <w:pPr>
        <w:kinsoku w:val="0"/>
        <w:overflowPunct w:val="0"/>
        <w:spacing w:line="240" w:lineRule="auto"/>
        <w:ind w:right="1584"/>
        <w:textAlignment w:val="baseline"/>
        <w:rPr>
          <w:rFonts w:cs="Arial"/>
          <w:sz w:val="22"/>
          <w:szCs w:val="22"/>
        </w:rPr>
      </w:pPr>
      <w:r w:rsidRPr="007A3C9F">
        <w:rPr>
          <w:rFonts w:cs="Arial"/>
          <w:sz w:val="22"/>
          <w:szCs w:val="22"/>
        </w:rPr>
        <w:t>Dayton, OH  45432</w:t>
      </w:r>
    </w:p>
    <w:p w:rsidR="00F94951" w:rsidRPr="007A3C9F" w:rsidRDefault="00BC25C1">
      <w:pPr>
        <w:kinsoku w:val="0"/>
        <w:overflowPunct w:val="0"/>
        <w:spacing w:line="240" w:lineRule="auto"/>
        <w:ind w:right="1584"/>
        <w:textAlignment w:val="baseline"/>
        <w:rPr>
          <w:rFonts w:cs="Arial"/>
          <w:sz w:val="22"/>
          <w:szCs w:val="22"/>
        </w:rPr>
      </w:pPr>
      <w:r w:rsidRPr="007A3C9F">
        <w:rPr>
          <w:rFonts w:cs="Arial"/>
          <w:sz w:val="22"/>
          <w:szCs w:val="22"/>
        </w:rPr>
        <w:t>judi.sobecki@dplinc.com</w:t>
      </w:r>
    </w:p>
    <w:p w:rsidR="00F94951" w:rsidRPr="007A3C9F" w:rsidRDefault="00F94951">
      <w:pPr>
        <w:kinsoku w:val="0"/>
        <w:overflowPunct w:val="0"/>
        <w:spacing w:line="240" w:lineRule="auto"/>
        <w:ind w:right="1584"/>
        <w:textAlignment w:val="baseline"/>
        <w:rPr>
          <w:rFonts w:cs="Arial"/>
          <w:sz w:val="22"/>
          <w:szCs w:val="22"/>
        </w:rPr>
      </w:pPr>
    </w:p>
    <w:p w:rsidR="00F94951" w:rsidRPr="007A3C9F" w:rsidRDefault="00BC25C1">
      <w:pPr>
        <w:kinsoku w:val="0"/>
        <w:overflowPunct w:val="0"/>
        <w:spacing w:line="240" w:lineRule="auto"/>
        <w:textAlignment w:val="baseline"/>
        <w:rPr>
          <w:rFonts w:cs="Arial"/>
          <w:sz w:val="22"/>
          <w:szCs w:val="22"/>
        </w:rPr>
      </w:pPr>
      <w:r w:rsidRPr="007A3C9F">
        <w:rPr>
          <w:rFonts w:cs="Arial"/>
          <w:sz w:val="22"/>
          <w:szCs w:val="22"/>
        </w:rPr>
        <w:t>Charles J. Faruki (Reg. No. 0010417)</w:t>
      </w:r>
    </w:p>
    <w:p w:rsidR="00F94951" w:rsidRPr="007A3C9F" w:rsidRDefault="00BC25C1">
      <w:pPr>
        <w:kinsoku w:val="0"/>
        <w:overflowPunct w:val="0"/>
        <w:spacing w:line="240" w:lineRule="auto"/>
        <w:textAlignment w:val="baseline"/>
        <w:rPr>
          <w:rFonts w:cs="Arial"/>
          <w:sz w:val="22"/>
          <w:szCs w:val="22"/>
        </w:rPr>
      </w:pPr>
      <w:r w:rsidRPr="007A3C9F">
        <w:rPr>
          <w:rFonts w:cs="Arial"/>
          <w:sz w:val="22"/>
          <w:szCs w:val="22"/>
        </w:rPr>
        <w:t xml:space="preserve">  (Counsel of Record)</w:t>
      </w:r>
    </w:p>
    <w:p w:rsidR="00F94951" w:rsidRPr="007A3C9F" w:rsidRDefault="00BC25C1">
      <w:pPr>
        <w:kinsoku w:val="0"/>
        <w:overflowPunct w:val="0"/>
        <w:spacing w:line="240" w:lineRule="auto"/>
        <w:textAlignment w:val="baseline"/>
        <w:rPr>
          <w:rFonts w:cs="Arial"/>
          <w:sz w:val="22"/>
          <w:szCs w:val="22"/>
        </w:rPr>
      </w:pPr>
      <w:r w:rsidRPr="007A3C9F">
        <w:rPr>
          <w:rFonts w:cs="Arial"/>
          <w:sz w:val="22"/>
          <w:szCs w:val="22"/>
        </w:rPr>
        <w:t>Jeffrey S. Sharkey (Reg. No. 0067892)</w:t>
      </w:r>
    </w:p>
    <w:p w:rsidR="00F94951" w:rsidRPr="007A3C9F" w:rsidRDefault="00BC25C1">
      <w:pPr>
        <w:kinsoku w:val="0"/>
        <w:overflowPunct w:val="0"/>
        <w:spacing w:line="240" w:lineRule="auto"/>
        <w:textAlignment w:val="baseline"/>
        <w:rPr>
          <w:rFonts w:cs="Arial"/>
          <w:sz w:val="22"/>
          <w:szCs w:val="22"/>
        </w:rPr>
      </w:pPr>
      <w:r w:rsidRPr="007A3C9F">
        <w:rPr>
          <w:rFonts w:cs="Arial"/>
          <w:sz w:val="22"/>
          <w:szCs w:val="22"/>
        </w:rPr>
        <w:t xml:space="preserve">Faruki Ireland &amp; Cox P.L.L. </w:t>
      </w:r>
    </w:p>
    <w:p w:rsidR="00F94951" w:rsidRPr="007A3C9F" w:rsidRDefault="00BC25C1">
      <w:pPr>
        <w:kinsoku w:val="0"/>
        <w:overflowPunct w:val="0"/>
        <w:spacing w:line="240" w:lineRule="auto"/>
        <w:textAlignment w:val="baseline"/>
        <w:rPr>
          <w:rFonts w:cs="Arial"/>
          <w:sz w:val="22"/>
          <w:szCs w:val="22"/>
        </w:rPr>
      </w:pPr>
      <w:r w:rsidRPr="007A3C9F">
        <w:rPr>
          <w:rFonts w:cs="Arial"/>
          <w:sz w:val="22"/>
          <w:szCs w:val="22"/>
        </w:rPr>
        <w:t>500 Courthouse Plaza, S.W.</w:t>
      </w:r>
    </w:p>
    <w:p w:rsidR="00F94951" w:rsidRPr="007A3C9F" w:rsidRDefault="00BC25C1">
      <w:pPr>
        <w:kinsoku w:val="0"/>
        <w:overflowPunct w:val="0"/>
        <w:spacing w:line="240" w:lineRule="auto"/>
        <w:textAlignment w:val="baseline"/>
        <w:rPr>
          <w:rFonts w:cs="Arial"/>
          <w:sz w:val="22"/>
          <w:szCs w:val="22"/>
        </w:rPr>
      </w:pPr>
      <w:r w:rsidRPr="007A3C9F">
        <w:rPr>
          <w:rFonts w:cs="Arial"/>
          <w:sz w:val="22"/>
          <w:szCs w:val="22"/>
        </w:rPr>
        <w:t>10 North Ludlow Street</w:t>
      </w:r>
    </w:p>
    <w:p w:rsidR="00F94951" w:rsidRPr="007A3C9F" w:rsidRDefault="00BC25C1">
      <w:pPr>
        <w:kinsoku w:val="0"/>
        <w:overflowPunct w:val="0"/>
        <w:spacing w:line="240" w:lineRule="auto"/>
        <w:textAlignment w:val="baseline"/>
        <w:rPr>
          <w:rFonts w:cs="Arial"/>
          <w:sz w:val="22"/>
          <w:szCs w:val="22"/>
        </w:rPr>
      </w:pPr>
      <w:r w:rsidRPr="007A3C9F">
        <w:rPr>
          <w:rFonts w:cs="Arial"/>
          <w:sz w:val="22"/>
          <w:szCs w:val="22"/>
        </w:rPr>
        <w:t>Dayton, OH  45402</w:t>
      </w:r>
    </w:p>
    <w:p w:rsidR="00F94951" w:rsidRPr="007A3C9F" w:rsidRDefault="00BC25C1">
      <w:pPr>
        <w:kinsoku w:val="0"/>
        <w:overflowPunct w:val="0"/>
        <w:spacing w:line="240" w:lineRule="auto"/>
        <w:textAlignment w:val="baseline"/>
        <w:rPr>
          <w:rFonts w:cs="Arial"/>
          <w:sz w:val="22"/>
          <w:szCs w:val="22"/>
        </w:rPr>
      </w:pPr>
      <w:r w:rsidRPr="007A3C9F">
        <w:rPr>
          <w:rFonts w:cs="Arial"/>
          <w:sz w:val="22"/>
          <w:szCs w:val="22"/>
        </w:rPr>
        <w:t>cfaruki@ficlaw.com</w:t>
      </w:r>
    </w:p>
    <w:p w:rsidR="00F94951" w:rsidRPr="007A3C9F" w:rsidRDefault="00BC25C1">
      <w:pPr>
        <w:kinsoku w:val="0"/>
        <w:overflowPunct w:val="0"/>
        <w:spacing w:line="240" w:lineRule="auto"/>
        <w:ind w:right="1584"/>
        <w:textAlignment w:val="baseline"/>
        <w:rPr>
          <w:rFonts w:cs="Arial"/>
          <w:sz w:val="22"/>
          <w:szCs w:val="22"/>
        </w:rPr>
      </w:pPr>
      <w:r w:rsidRPr="007A3C9F">
        <w:rPr>
          <w:rFonts w:cs="Arial"/>
          <w:sz w:val="22"/>
          <w:szCs w:val="22"/>
        </w:rPr>
        <w:t>jsharkey@ficlaw.com</w:t>
      </w:r>
    </w:p>
    <w:p w:rsidR="00F94951" w:rsidRPr="007A3C9F" w:rsidRDefault="00F94951">
      <w:pPr>
        <w:kinsoku w:val="0"/>
        <w:overflowPunct w:val="0"/>
        <w:spacing w:line="240" w:lineRule="auto"/>
        <w:textAlignment w:val="baseline"/>
        <w:rPr>
          <w:rFonts w:cs="Arial"/>
          <w:b/>
          <w:smallCaps/>
          <w:sz w:val="22"/>
          <w:szCs w:val="22"/>
        </w:rPr>
      </w:pPr>
    </w:p>
    <w:p w:rsidR="00F94951" w:rsidRPr="007A3C9F" w:rsidRDefault="00BC25C1">
      <w:pPr>
        <w:kinsoku w:val="0"/>
        <w:overflowPunct w:val="0"/>
        <w:spacing w:line="240" w:lineRule="auto"/>
        <w:textAlignment w:val="baseline"/>
        <w:rPr>
          <w:rFonts w:cs="Arial"/>
          <w:b/>
          <w:smallCaps/>
          <w:sz w:val="22"/>
          <w:szCs w:val="22"/>
        </w:rPr>
      </w:pPr>
      <w:r w:rsidRPr="007A3C9F">
        <w:rPr>
          <w:rFonts w:cs="Arial"/>
          <w:b/>
          <w:smallCaps/>
          <w:sz w:val="22"/>
          <w:szCs w:val="22"/>
        </w:rPr>
        <w:t>Attorneys for The Dayton Power and Light Company</w:t>
      </w:r>
    </w:p>
    <w:p w:rsidR="00F94951" w:rsidRPr="007A3C9F" w:rsidRDefault="00F94951">
      <w:pPr>
        <w:tabs>
          <w:tab w:val="left" w:pos="2160"/>
          <w:tab w:val="left" w:pos="2280"/>
        </w:tabs>
        <w:spacing w:line="240" w:lineRule="auto"/>
        <w:rPr>
          <w:rFonts w:cs="Arial"/>
          <w:b/>
          <w:sz w:val="22"/>
          <w:szCs w:val="22"/>
        </w:rPr>
      </w:pPr>
    </w:p>
    <w:p w:rsidR="00F94951" w:rsidRPr="007A3C9F" w:rsidRDefault="00BC25C1">
      <w:pPr>
        <w:tabs>
          <w:tab w:val="left" w:pos="2160"/>
          <w:tab w:val="left" w:pos="2280"/>
        </w:tabs>
        <w:spacing w:line="240" w:lineRule="auto"/>
        <w:rPr>
          <w:rFonts w:cs="Arial"/>
          <w:sz w:val="22"/>
          <w:szCs w:val="22"/>
        </w:rPr>
      </w:pPr>
      <w:r w:rsidRPr="007A3C9F">
        <w:rPr>
          <w:rFonts w:cs="Arial"/>
          <w:sz w:val="22"/>
          <w:szCs w:val="22"/>
        </w:rPr>
        <w:t>Edmund “Tad” Berger (Reg. No. 0090307)</w:t>
      </w:r>
    </w:p>
    <w:p w:rsidR="00F94951" w:rsidRPr="007A3C9F" w:rsidRDefault="00BC25C1">
      <w:pPr>
        <w:tabs>
          <w:tab w:val="left" w:pos="2160"/>
          <w:tab w:val="left" w:pos="2280"/>
        </w:tabs>
        <w:spacing w:line="240" w:lineRule="auto"/>
        <w:rPr>
          <w:rFonts w:cs="Arial"/>
          <w:sz w:val="22"/>
          <w:szCs w:val="22"/>
        </w:rPr>
      </w:pPr>
      <w:r w:rsidRPr="007A3C9F">
        <w:rPr>
          <w:rFonts w:cs="Arial"/>
          <w:sz w:val="22"/>
          <w:szCs w:val="22"/>
        </w:rPr>
        <w:t xml:space="preserve">  (Counsel of Record)</w:t>
      </w:r>
    </w:p>
    <w:p w:rsidR="00F94951" w:rsidRPr="007A3C9F" w:rsidRDefault="00BC25C1">
      <w:pPr>
        <w:tabs>
          <w:tab w:val="left" w:pos="2160"/>
          <w:tab w:val="left" w:pos="2280"/>
        </w:tabs>
        <w:spacing w:line="240" w:lineRule="auto"/>
        <w:rPr>
          <w:rFonts w:cs="Arial"/>
          <w:sz w:val="22"/>
          <w:szCs w:val="22"/>
        </w:rPr>
      </w:pPr>
      <w:r w:rsidRPr="007A3C9F">
        <w:rPr>
          <w:rFonts w:cs="Arial"/>
          <w:sz w:val="22"/>
          <w:szCs w:val="22"/>
        </w:rPr>
        <w:t>Maureen R. Grady (Reg. No. 0020847)</w:t>
      </w:r>
    </w:p>
    <w:p w:rsidR="00F94951" w:rsidRPr="007A3C9F" w:rsidRDefault="00BC25C1">
      <w:pPr>
        <w:tabs>
          <w:tab w:val="left" w:pos="2160"/>
          <w:tab w:val="left" w:pos="2280"/>
        </w:tabs>
        <w:spacing w:line="240" w:lineRule="auto"/>
        <w:rPr>
          <w:rFonts w:cs="Arial"/>
          <w:sz w:val="22"/>
          <w:szCs w:val="22"/>
        </w:rPr>
      </w:pPr>
      <w:r w:rsidRPr="007A3C9F">
        <w:rPr>
          <w:rFonts w:cs="Arial"/>
          <w:sz w:val="22"/>
          <w:szCs w:val="22"/>
        </w:rPr>
        <w:t>Assistant Consumers’ Counsel</w:t>
      </w:r>
    </w:p>
    <w:p w:rsidR="00F94951" w:rsidRPr="007A3C9F" w:rsidRDefault="00BC25C1">
      <w:pPr>
        <w:spacing w:line="240" w:lineRule="auto"/>
        <w:rPr>
          <w:rFonts w:cs="Arial"/>
          <w:sz w:val="22"/>
          <w:szCs w:val="22"/>
        </w:rPr>
      </w:pPr>
      <w:r w:rsidRPr="007A3C9F">
        <w:rPr>
          <w:rFonts w:cs="Arial"/>
          <w:sz w:val="22"/>
          <w:szCs w:val="22"/>
        </w:rPr>
        <w:t>Office of the Ohio Consumers’ Counsel</w:t>
      </w:r>
    </w:p>
    <w:p w:rsidR="00F94951" w:rsidRPr="007A3C9F" w:rsidRDefault="00BC25C1">
      <w:pPr>
        <w:tabs>
          <w:tab w:val="left" w:pos="2160"/>
          <w:tab w:val="left" w:pos="2280"/>
        </w:tabs>
        <w:spacing w:line="240" w:lineRule="auto"/>
        <w:rPr>
          <w:rFonts w:cs="Arial"/>
          <w:sz w:val="22"/>
          <w:szCs w:val="22"/>
        </w:rPr>
      </w:pPr>
      <w:r w:rsidRPr="007A3C9F">
        <w:rPr>
          <w:rFonts w:cs="Arial"/>
          <w:sz w:val="22"/>
          <w:szCs w:val="22"/>
        </w:rPr>
        <w:t>10 West Broad Street, Suite 1800</w:t>
      </w:r>
    </w:p>
    <w:p w:rsidR="00F94951" w:rsidRPr="007A3C9F" w:rsidRDefault="00BC25C1">
      <w:pPr>
        <w:tabs>
          <w:tab w:val="left" w:pos="2160"/>
          <w:tab w:val="left" w:pos="2280"/>
        </w:tabs>
        <w:spacing w:line="240" w:lineRule="auto"/>
        <w:rPr>
          <w:rFonts w:cs="Arial"/>
          <w:sz w:val="22"/>
          <w:szCs w:val="22"/>
        </w:rPr>
      </w:pPr>
      <w:r w:rsidRPr="007A3C9F">
        <w:rPr>
          <w:rFonts w:cs="Arial"/>
          <w:sz w:val="22"/>
          <w:szCs w:val="22"/>
        </w:rPr>
        <w:t>Columbus, OH  43215-3485</w:t>
      </w:r>
    </w:p>
    <w:p w:rsidR="00F94951" w:rsidRPr="007A3C9F" w:rsidRDefault="00BC25C1">
      <w:pPr>
        <w:tabs>
          <w:tab w:val="left" w:pos="2160"/>
          <w:tab w:val="left" w:pos="2280"/>
        </w:tabs>
        <w:spacing w:line="240" w:lineRule="auto"/>
        <w:rPr>
          <w:rFonts w:cs="Arial"/>
          <w:sz w:val="22"/>
          <w:szCs w:val="22"/>
        </w:rPr>
      </w:pPr>
      <w:r w:rsidRPr="007A3C9F">
        <w:rPr>
          <w:rFonts w:cs="Arial"/>
          <w:sz w:val="22"/>
          <w:szCs w:val="22"/>
        </w:rPr>
        <w:t>edmund.berger@occ.ohio.gov</w:t>
      </w:r>
    </w:p>
    <w:p w:rsidR="00F94951" w:rsidRPr="007A3C9F" w:rsidRDefault="00BC25C1">
      <w:pPr>
        <w:tabs>
          <w:tab w:val="left" w:pos="2160"/>
          <w:tab w:val="left" w:pos="2280"/>
        </w:tabs>
        <w:spacing w:line="240" w:lineRule="auto"/>
        <w:rPr>
          <w:rFonts w:cs="Arial"/>
          <w:sz w:val="22"/>
          <w:szCs w:val="22"/>
        </w:rPr>
      </w:pPr>
      <w:r w:rsidRPr="007A3C9F">
        <w:rPr>
          <w:rFonts w:cs="Arial"/>
          <w:sz w:val="22"/>
          <w:szCs w:val="22"/>
        </w:rPr>
        <w:t>maureen.grady@occ.ohio.gov</w:t>
      </w:r>
    </w:p>
    <w:p w:rsidR="00F94951" w:rsidRPr="007A3C9F" w:rsidRDefault="00F94951">
      <w:pPr>
        <w:tabs>
          <w:tab w:val="left" w:pos="2160"/>
          <w:tab w:val="left" w:pos="2280"/>
        </w:tabs>
        <w:spacing w:line="240" w:lineRule="auto"/>
        <w:rPr>
          <w:rFonts w:cs="Arial"/>
          <w:sz w:val="22"/>
          <w:szCs w:val="22"/>
        </w:rPr>
      </w:pPr>
    </w:p>
    <w:p w:rsidR="00F94951" w:rsidRPr="007A3C9F" w:rsidRDefault="00BC25C1">
      <w:pPr>
        <w:tabs>
          <w:tab w:val="left" w:pos="2160"/>
          <w:tab w:val="left" w:pos="2280"/>
        </w:tabs>
        <w:spacing w:line="240" w:lineRule="auto"/>
        <w:rPr>
          <w:rFonts w:cs="Arial"/>
          <w:b/>
          <w:smallCaps/>
          <w:sz w:val="22"/>
          <w:szCs w:val="22"/>
        </w:rPr>
      </w:pPr>
      <w:r w:rsidRPr="007A3C9F">
        <w:rPr>
          <w:rFonts w:cs="Arial"/>
          <w:b/>
          <w:smallCaps/>
          <w:sz w:val="22"/>
          <w:szCs w:val="22"/>
        </w:rPr>
        <w:t>Attorneys for the Office of the Ohio Consumers’ Counsel</w:t>
      </w:r>
    </w:p>
    <w:p w:rsidR="00F94951" w:rsidRPr="007A3C9F" w:rsidRDefault="00F94951">
      <w:pPr>
        <w:tabs>
          <w:tab w:val="left" w:pos="2160"/>
          <w:tab w:val="left" w:pos="2280"/>
        </w:tabs>
        <w:spacing w:line="240" w:lineRule="auto"/>
        <w:rPr>
          <w:rFonts w:cs="Arial"/>
          <w:b/>
          <w:smallCaps/>
          <w:sz w:val="22"/>
          <w:szCs w:val="22"/>
        </w:rPr>
      </w:pPr>
    </w:p>
    <w:p w:rsidR="00F94951" w:rsidRPr="007A3C9F" w:rsidRDefault="00BC25C1">
      <w:pPr>
        <w:autoSpaceDE w:val="0"/>
        <w:autoSpaceDN w:val="0"/>
        <w:adjustRightInd w:val="0"/>
        <w:snapToGrid w:val="0"/>
        <w:spacing w:line="240" w:lineRule="auto"/>
        <w:rPr>
          <w:rFonts w:cs="Arial"/>
          <w:sz w:val="22"/>
          <w:szCs w:val="22"/>
        </w:rPr>
      </w:pPr>
      <w:r w:rsidRPr="007A3C9F">
        <w:rPr>
          <w:rFonts w:cs="Arial"/>
          <w:sz w:val="22"/>
          <w:szCs w:val="22"/>
        </w:rPr>
        <w:lastRenderedPageBreak/>
        <w:t>Thomas W. McNamee (Reg. No. 0017352)</w:t>
      </w:r>
    </w:p>
    <w:p w:rsidR="00F94951" w:rsidRPr="007A3C9F" w:rsidRDefault="00BC25C1">
      <w:pPr>
        <w:autoSpaceDE w:val="0"/>
        <w:autoSpaceDN w:val="0"/>
        <w:adjustRightInd w:val="0"/>
        <w:snapToGrid w:val="0"/>
        <w:spacing w:line="240" w:lineRule="auto"/>
        <w:rPr>
          <w:rFonts w:cs="Arial"/>
          <w:sz w:val="22"/>
          <w:szCs w:val="22"/>
        </w:rPr>
      </w:pPr>
      <w:r w:rsidRPr="007A3C9F">
        <w:rPr>
          <w:rFonts w:cs="Arial"/>
          <w:sz w:val="22"/>
          <w:szCs w:val="22"/>
        </w:rPr>
        <w:t>Assistant Attorney General</w:t>
      </w:r>
    </w:p>
    <w:p w:rsidR="00F94951" w:rsidRPr="007A3C9F" w:rsidRDefault="00BC25C1">
      <w:pPr>
        <w:autoSpaceDE w:val="0"/>
        <w:autoSpaceDN w:val="0"/>
        <w:adjustRightInd w:val="0"/>
        <w:snapToGrid w:val="0"/>
        <w:spacing w:line="240" w:lineRule="auto"/>
        <w:rPr>
          <w:rFonts w:cs="Arial"/>
          <w:sz w:val="22"/>
          <w:szCs w:val="22"/>
        </w:rPr>
      </w:pPr>
      <w:r w:rsidRPr="007A3C9F">
        <w:rPr>
          <w:rFonts w:cs="Arial"/>
          <w:sz w:val="22"/>
          <w:szCs w:val="22"/>
        </w:rPr>
        <w:t>Public Utilities Section</w:t>
      </w:r>
    </w:p>
    <w:p w:rsidR="00F94951" w:rsidRPr="007A3C9F" w:rsidRDefault="00BC25C1">
      <w:pPr>
        <w:autoSpaceDE w:val="0"/>
        <w:autoSpaceDN w:val="0"/>
        <w:adjustRightInd w:val="0"/>
        <w:snapToGrid w:val="0"/>
        <w:spacing w:line="240" w:lineRule="auto"/>
        <w:rPr>
          <w:rFonts w:cs="Arial"/>
          <w:sz w:val="22"/>
          <w:szCs w:val="22"/>
        </w:rPr>
      </w:pPr>
      <w:r w:rsidRPr="007A3C9F">
        <w:rPr>
          <w:rFonts w:cs="Arial"/>
          <w:sz w:val="22"/>
          <w:szCs w:val="22"/>
        </w:rPr>
        <w:t>180 East Broad Street, 6th Floor</w:t>
      </w:r>
    </w:p>
    <w:p w:rsidR="00F94951" w:rsidRPr="007A3C9F" w:rsidRDefault="00BC25C1">
      <w:pPr>
        <w:autoSpaceDE w:val="0"/>
        <w:autoSpaceDN w:val="0"/>
        <w:adjustRightInd w:val="0"/>
        <w:snapToGrid w:val="0"/>
        <w:spacing w:line="240" w:lineRule="auto"/>
        <w:rPr>
          <w:rFonts w:cs="Arial"/>
          <w:sz w:val="22"/>
          <w:szCs w:val="22"/>
        </w:rPr>
      </w:pPr>
      <w:r w:rsidRPr="007A3C9F">
        <w:rPr>
          <w:rFonts w:cs="Arial"/>
          <w:sz w:val="22"/>
          <w:szCs w:val="22"/>
        </w:rPr>
        <w:t>Columbus, OH 43215-3793</w:t>
      </w:r>
    </w:p>
    <w:p w:rsidR="00F94951" w:rsidRPr="007A3C9F" w:rsidRDefault="00BC25C1">
      <w:pPr>
        <w:autoSpaceDE w:val="0"/>
        <w:autoSpaceDN w:val="0"/>
        <w:adjustRightInd w:val="0"/>
        <w:snapToGrid w:val="0"/>
        <w:spacing w:line="240" w:lineRule="auto"/>
        <w:rPr>
          <w:rFonts w:cs="Arial"/>
          <w:sz w:val="22"/>
          <w:szCs w:val="22"/>
        </w:rPr>
      </w:pPr>
      <w:r w:rsidRPr="007A3C9F">
        <w:rPr>
          <w:rFonts w:cs="Arial"/>
          <w:sz w:val="22"/>
          <w:szCs w:val="22"/>
        </w:rPr>
        <w:t>thomas.mcnamee@puc.state.oh.us</w:t>
      </w:r>
    </w:p>
    <w:p w:rsidR="00F94951" w:rsidRPr="007A3C9F" w:rsidRDefault="00F94951">
      <w:pPr>
        <w:spacing w:line="240" w:lineRule="auto"/>
        <w:rPr>
          <w:rFonts w:cs="Arial"/>
          <w:sz w:val="22"/>
          <w:szCs w:val="22"/>
        </w:rPr>
      </w:pPr>
    </w:p>
    <w:p w:rsidR="00F94951" w:rsidRPr="007A3C9F" w:rsidRDefault="00BC25C1">
      <w:pPr>
        <w:spacing w:line="240" w:lineRule="auto"/>
        <w:rPr>
          <w:rFonts w:cs="Arial"/>
          <w:sz w:val="22"/>
          <w:szCs w:val="22"/>
        </w:rPr>
      </w:pPr>
      <w:r w:rsidRPr="007A3C9F">
        <w:rPr>
          <w:rFonts w:cs="Arial"/>
          <w:b/>
          <w:smallCaps/>
          <w:sz w:val="22"/>
          <w:szCs w:val="22"/>
        </w:rPr>
        <w:t>Attorney for the Staff of the Public Utilities Commission of Ohio</w:t>
      </w:r>
    </w:p>
    <w:p w:rsidR="00F94951" w:rsidRPr="007A3C9F" w:rsidRDefault="00F94951">
      <w:pPr>
        <w:spacing w:line="240" w:lineRule="auto"/>
        <w:rPr>
          <w:rFonts w:cs="Arial"/>
          <w:sz w:val="22"/>
          <w:szCs w:val="22"/>
        </w:rPr>
      </w:pPr>
    </w:p>
    <w:p w:rsidR="00F94951" w:rsidRPr="007A3C9F" w:rsidRDefault="00BC25C1">
      <w:pPr>
        <w:spacing w:line="240" w:lineRule="auto"/>
        <w:rPr>
          <w:rFonts w:cs="Arial"/>
          <w:sz w:val="22"/>
          <w:szCs w:val="22"/>
        </w:rPr>
      </w:pPr>
      <w:r w:rsidRPr="007A3C9F">
        <w:rPr>
          <w:rFonts w:cs="Arial"/>
          <w:sz w:val="22"/>
          <w:szCs w:val="22"/>
        </w:rPr>
        <w:t>Bryce A. McKenney</w:t>
      </w:r>
      <w:r w:rsidR="005D3A68" w:rsidRPr="007A3C9F">
        <w:rPr>
          <w:rFonts w:cs="Arial"/>
          <w:sz w:val="22"/>
          <w:szCs w:val="22"/>
        </w:rPr>
        <w:t xml:space="preserve"> </w:t>
      </w:r>
      <w:r w:rsidRPr="007A3C9F">
        <w:rPr>
          <w:rFonts w:cs="Arial"/>
          <w:sz w:val="22"/>
          <w:szCs w:val="22"/>
        </w:rPr>
        <w:t>(Reg. No. 0088203)</w:t>
      </w:r>
    </w:p>
    <w:p w:rsidR="00F94951" w:rsidRPr="007A3C9F" w:rsidRDefault="00BC25C1">
      <w:pPr>
        <w:spacing w:line="240" w:lineRule="auto"/>
        <w:rPr>
          <w:rFonts w:cs="Arial"/>
          <w:sz w:val="22"/>
          <w:szCs w:val="22"/>
        </w:rPr>
      </w:pPr>
      <w:r w:rsidRPr="007A3C9F">
        <w:rPr>
          <w:rFonts w:cs="Arial"/>
          <w:sz w:val="22"/>
          <w:szCs w:val="22"/>
        </w:rPr>
        <w:t>Gregory Price (Reg. No. 0046955)</w:t>
      </w:r>
    </w:p>
    <w:p w:rsidR="00F94951" w:rsidRPr="007A3C9F" w:rsidRDefault="00BC25C1">
      <w:pPr>
        <w:spacing w:line="240" w:lineRule="auto"/>
        <w:rPr>
          <w:rFonts w:cs="Arial"/>
          <w:sz w:val="22"/>
          <w:szCs w:val="22"/>
        </w:rPr>
      </w:pPr>
      <w:r w:rsidRPr="007A3C9F">
        <w:rPr>
          <w:rFonts w:cs="Arial"/>
          <w:sz w:val="22"/>
          <w:szCs w:val="22"/>
        </w:rPr>
        <w:t>Attorney Examiners</w:t>
      </w:r>
    </w:p>
    <w:p w:rsidR="00F94951" w:rsidRPr="007A3C9F" w:rsidRDefault="00BC25C1">
      <w:pPr>
        <w:spacing w:line="240" w:lineRule="auto"/>
        <w:rPr>
          <w:rFonts w:cs="Arial"/>
          <w:sz w:val="22"/>
          <w:szCs w:val="22"/>
        </w:rPr>
      </w:pPr>
      <w:r w:rsidRPr="007A3C9F">
        <w:rPr>
          <w:rFonts w:cs="Arial"/>
          <w:sz w:val="22"/>
          <w:szCs w:val="22"/>
        </w:rPr>
        <w:t>Public Utilities Commission of Ohio</w:t>
      </w:r>
    </w:p>
    <w:p w:rsidR="00F94951" w:rsidRPr="007A3C9F" w:rsidRDefault="00BC25C1">
      <w:pPr>
        <w:spacing w:line="240" w:lineRule="auto"/>
        <w:rPr>
          <w:rFonts w:cs="Arial"/>
          <w:sz w:val="22"/>
          <w:szCs w:val="22"/>
        </w:rPr>
      </w:pPr>
      <w:r w:rsidRPr="007A3C9F">
        <w:rPr>
          <w:rFonts w:cs="Arial"/>
          <w:sz w:val="22"/>
          <w:szCs w:val="22"/>
        </w:rPr>
        <w:t>180 East Broad Street</w:t>
      </w:r>
    </w:p>
    <w:p w:rsidR="00F94951" w:rsidRPr="007A3C9F" w:rsidRDefault="00BC25C1">
      <w:pPr>
        <w:spacing w:line="240" w:lineRule="auto"/>
        <w:rPr>
          <w:rFonts w:cs="Arial"/>
          <w:sz w:val="22"/>
          <w:szCs w:val="22"/>
        </w:rPr>
      </w:pPr>
      <w:r w:rsidRPr="007A3C9F">
        <w:rPr>
          <w:rFonts w:cs="Arial"/>
          <w:sz w:val="22"/>
          <w:szCs w:val="22"/>
        </w:rPr>
        <w:t>Columbus, OH  43215</w:t>
      </w:r>
    </w:p>
    <w:p w:rsidR="00F94951" w:rsidRPr="007A3C9F" w:rsidRDefault="00BC25C1">
      <w:pPr>
        <w:tabs>
          <w:tab w:val="left" w:pos="2160"/>
          <w:tab w:val="left" w:pos="2280"/>
        </w:tabs>
        <w:spacing w:line="240" w:lineRule="auto"/>
        <w:rPr>
          <w:rFonts w:cs="Arial"/>
          <w:sz w:val="22"/>
          <w:szCs w:val="22"/>
        </w:rPr>
      </w:pPr>
      <w:r w:rsidRPr="007A3C9F">
        <w:rPr>
          <w:rFonts w:cs="Arial"/>
          <w:sz w:val="22"/>
          <w:szCs w:val="22"/>
        </w:rPr>
        <w:t>bryce.mckenney@puc.state.oh.us</w:t>
      </w:r>
    </w:p>
    <w:p w:rsidR="00F94951" w:rsidRPr="007A3C9F" w:rsidRDefault="00BC25C1">
      <w:pPr>
        <w:tabs>
          <w:tab w:val="left" w:pos="2160"/>
          <w:tab w:val="left" w:pos="2280"/>
        </w:tabs>
        <w:spacing w:line="240" w:lineRule="auto"/>
        <w:rPr>
          <w:rFonts w:cs="Arial"/>
          <w:sz w:val="22"/>
          <w:szCs w:val="22"/>
        </w:rPr>
      </w:pPr>
      <w:r w:rsidRPr="007A3C9F">
        <w:rPr>
          <w:rFonts w:cs="Arial"/>
          <w:sz w:val="22"/>
          <w:szCs w:val="22"/>
        </w:rPr>
        <w:t>greg.price@puc.state.oh.us</w:t>
      </w:r>
    </w:p>
    <w:p w:rsidR="00F94951" w:rsidRPr="007A3C9F" w:rsidRDefault="00F94951">
      <w:pPr>
        <w:tabs>
          <w:tab w:val="left" w:pos="2160"/>
          <w:tab w:val="left" w:pos="2280"/>
        </w:tabs>
        <w:spacing w:line="240" w:lineRule="auto"/>
        <w:rPr>
          <w:rFonts w:cs="Arial"/>
          <w:sz w:val="22"/>
          <w:szCs w:val="22"/>
        </w:rPr>
      </w:pPr>
    </w:p>
    <w:p w:rsidR="00F94951" w:rsidRPr="007A3C9F" w:rsidRDefault="00BC25C1">
      <w:pPr>
        <w:jc w:val="left"/>
        <w:rPr>
          <w:sz w:val="22"/>
          <w:szCs w:val="22"/>
        </w:rPr>
      </w:pPr>
      <w:r w:rsidRPr="007A3C9F">
        <w:rPr>
          <w:rFonts w:cs="Arial"/>
          <w:b/>
          <w:smallCaps/>
          <w:sz w:val="22"/>
          <w:szCs w:val="22"/>
        </w:rPr>
        <w:t>Attorney Examiners</w:t>
      </w:r>
    </w:p>
    <w:sectPr w:rsidR="00F94951" w:rsidRPr="007A3C9F">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951" w:rsidRDefault="00BC25C1">
      <w:pPr>
        <w:spacing w:line="240" w:lineRule="auto"/>
      </w:pPr>
      <w:r>
        <w:separator/>
      </w:r>
    </w:p>
  </w:endnote>
  <w:endnote w:type="continuationSeparator" w:id="0">
    <w:p w:rsidR="00F94951" w:rsidRDefault="00BC25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F85" w:rsidRDefault="00362F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51" w:rsidRDefault="00362F85">
    <w:pPr>
      <w:pStyle w:val="Footer"/>
    </w:pPr>
    <w:r w:rsidRPr="00362F85">
      <w:rPr>
        <w:noProof/>
        <w:sz w:val="16"/>
      </w:rPr>
      <w:t>{C44201:3 }{C44201:3 }{C44201:3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51" w:rsidRDefault="00362F85">
    <w:pPr>
      <w:pStyle w:val="Footer"/>
      <w:jc w:val="left"/>
    </w:pPr>
    <w:r w:rsidRPr="00362F85">
      <w:rPr>
        <w:noProof/>
        <w:sz w:val="16"/>
      </w:rPr>
      <w:t>{C44201:3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51" w:rsidRDefault="00F9495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51" w:rsidRDefault="00362F85">
    <w:pPr>
      <w:pStyle w:val="Footer"/>
    </w:pPr>
    <w:r w:rsidRPr="00362F85">
      <w:rPr>
        <w:noProof/>
        <w:sz w:val="16"/>
      </w:rPr>
      <w:t>{C44201:3 }</w:t>
    </w:r>
    <w:r w:rsidR="00BC25C1">
      <w:rPr>
        <w:noProof/>
        <w:sz w:val="16"/>
      </w:rPr>
      <w:tab/>
    </w:r>
    <w:r w:rsidR="00BC25C1">
      <w:rPr>
        <w:noProof/>
        <w:sz w:val="22"/>
        <w:szCs w:val="22"/>
      </w:rPr>
      <w:fldChar w:fldCharType="begin"/>
    </w:r>
    <w:r w:rsidR="00BC25C1">
      <w:rPr>
        <w:noProof/>
        <w:sz w:val="22"/>
        <w:szCs w:val="22"/>
      </w:rPr>
      <w:instrText xml:space="preserve"> PAGE   \* MERGEFORMAT </w:instrText>
    </w:r>
    <w:r w:rsidR="00BC25C1">
      <w:rPr>
        <w:noProof/>
        <w:sz w:val="22"/>
        <w:szCs w:val="22"/>
      </w:rPr>
      <w:fldChar w:fldCharType="separate"/>
    </w:r>
    <w:r w:rsidR="00BE2EAC">
      <w:rPr>
        <w:noProof/>
        <w:sz w:val="22"/>
        <w:szCs w:val="22"/>
      </w:rPr>
      <w:t>8</w:t>
    </w:r>
    <w:r w:rsidR="00BC25C1">
      <w:rPr>
        <w:noProo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51" w:rsidRDefault="00362F85">
    <w:pPr>
      <w:pStyle w:val="Footer"/>
    </w:pPr>
    <w:r w:rsidRPr="00362F85">
      <w:rPr>
        <w:noProof/>
        <w:sz w:val="16"/>
      </w:rPr>
      <w:t>{C44201:3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51" w:rsidRDefault="00F9495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51" w:rsidRDefault="00362F85">
    <w:pPr>
      <w:pStyle w:val="Footer"/>
    </w:pPr>
    <w:r w:rsidRPr="00362F85">
      <w:rPr>
        <w:noProof/>
        <w:sz w:val="16"/>
      </w:rPr>
      <w:t>{C44201:3 }{C44201:3 }{C44201:3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51" w:rsidRPr="00EC6578" w:rsidRDefault="00362F85">
    <w:pPr>
      <w:pStyle w:val="Footer"/>
    </w:pPr>
    <w:r w:rsidRPr="00362F85">
      <w:rPr>
        <w:noProof/>
        <w:sz w:val="16"/>
      </w:rPr>
      <w:t>{C44201:3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951" w:rsidRDefault="00BC25C1">
      <w:pPr>
        <w:spacing w:line="240" w:lineRule="auto"/>
        <w:rPr>
          <w:noProof/>
        </w:rPr>
      </w:pPr>
      <w:r>
        <w:rPr>
          <w:noProof/>
        </w:rPr>
        <w:separator/>
      </w:r>
    </w:p>
  </w:footnote>
  <w:footnote w:type="continuationSeparator" w:id="0">
    <w:p w:rsidR="00F94951" w:rsidRDefault="00BC25C1">
      <w:pPr>
        <w:spacing w:line="240" w:lineRule="auto"/>
      </w:pPr>
      <w:r>
        <w:continuationSeparator/>
      </w:r>
    </w:p>
  </w:footnote>
  <w:footnote w:id="1">
    <w:p w:rsidR="00F94951" w:rsidRDefault="00BC25C1">
      <w:pPr>
        <w:pStyle w:val="FootnoteText"/>
      </w:pPr>
      <w:r>
        <w:rPr>
          <w:rStyle w:val="FootnoteReference"/>
        </w:rPr>
        <w:footnoteRef/>
      </w:r>
      <w:r>
        <w:t xml:space="preserve"> Application at 5.</w:t>
      </w:r>
    </w:p>
  </w:footnote>
  <w:footnote w:id="2">
    <w:p w:rsidR="00F94951" w:rsidRDefault="00BC25C1">
      <w:pPr>
        <w:pStyle w:val="FootnoteText"/>
      </w:pPr>
      <w:r>
        <w:rPr>
          <w:rStyle w:val="FootnoteReference"/>
        </w:rPr>
        <w:footnoteRef/>
      </w:r>
      <w:r>
        <w:t xml:space="preserve"> </w:t>
      </w:r>
      <w:r>
        <w:rPr>
          <w:i/>
        </w:rPr>
        <w:t>In the Matter of the Application of Ohio Power Company for Approval of Full Legal Corporate Separation and Amendment to its Corporate Separation Plan</w:t>
      </w:r>
      <w:r>
        <w:t>, Case No. 12-1126-EL-UNC, Finding and Order at 17 (Oct. 17, 2012) (hereinafter referred to as “</w:t>
      </w:r>
      <w:r>
        <w:rPr>
          <w:i/>
        </w:rPr>
        <w:t>AEP</w:t>
      </w:r>
      <w:r>
        <w:rPr>
          <w:i/>
        </w:rPr>
        <w:noBreakHyphen/>
        <w:t>Ohio Corporate Separation Case</w:t>
      </w:r>
      <w:r>
        <w:t>” or “AEP</w:t>
      </w:r>
      <w:r>
        <w:noBreakHyphen/>
        <w:t>Ohio Corporate Separation Order” as appropriate) (“Generation-related costs associated with implementing corporate separation shall not be recoverable from [AEP</w:t>
      </w:r>
      <w:r>
        <w:noBreakHyphen/>
        <w:t>Ohio] customers.”).</w:t>
      </w:r>
    </w:p>
  </w:footnote>
  <w:footnote w:id="3">
    <w:p w:rsidR="00F94951" w:rsidRDefault="00BC25C1">
      <w:pPr>
        <w:pStyle w:val="FootnoteText"/>
      </w:pPr>
      <w:r>
        <w:rPr>
          <w:rStyle w:val="FootnoteReference"/>
        </w:rPr>
        <w:footnoteRef/>
      </w:r>
      <w:r>
        <w:t xml:space="preserve"> See Sections 4928.05 &amp; 4928.141 to 4928.143, Revised Code.</w:t>
      </w:r>
    </w:p>
  </w:footnote>
  <w:footnote w:id="4">
    <w:p w:rsidR="00F94951" w:rsidRDefault="00BC25C1">
      <w:pPr>
        <w:pStyle w:val="FootnoteText"/>
      </w:pPr>
      <w:r>
        <w:rPr>
          <w:rStyle w:val="FootnoteReference"/>
        </w:rPr>
        <w:footnoteRef/>
      </w:r>
      <w:r>
        <w:t xml:space="preserve"> Application at 3.</w:t>
      </w:r>
    </w:p>
  </w:footnote>
  <w:footnote w:id="5">
    <w:p w:rsidR="00F94951" w:rsidRDefault="00BC25C1">
      <w:pPr>
        <w:pStyle w:val="FootnoteText"/>
      </w:pPr>
      <w:r>
        <w:rPr>
          <w:rStyle w:val="FootnoteReference"/>
        </w:rPr>
        <w:footnoteRef/>
      </w:r>
      <w:r>
        <w:t xml:space="preserve"> A description of East Bend Unit 2 which is operated by Duke Kentucky</w:t>
      </w:r>
      <w:r>
        <w:rPr>
          <w:smallCaps/>
        </w:rPr>
        <w:t xml:space="preserve"> </w:t>
      </w:r>
      <w:r>
        <w:t xml:space="preserve">is available at:  </w:t>
      </w:r>
      <w:hyperlink r:id="rId1" w:history="1">
        <w:r>
          <w:rPr>
            <w:rStyle w:val="Hyperlink"/>
          </w:rPr>
          <w:t>http://www.duke-energy.com/power-plants/coal-fired/east-bend.asp</w:t>
        </w:r>
      </w:hyperlink>
      <w:r>
        <w:t xml:space="preserve"> (last accessed August 15, 2014).    </w:t>
      </w:r>
    </w:p>
  </w:footnote>
  <w:footnote w:id="6">
    <w:p w:rsidR="00F94951" w:rsidRDefault="00BC25C1">
      <w:pPr>
        <w:pStyle w:val="FootnoteText"/>
      </w:pPr>
      <w:r>
        <w:rPr>
          <w:rStyle w:val="FootnoteReference"/>
        </w:rPr>
        <w:footnoteRef/>
      </w:r>
      <w:r>
        <w:t xml:space="preserve"> AEP-Ohio Corporate Separation Order at 5-6.</w:t>
      </w:r>
    </w:p>
  </w:footnote>
  <w:footnote w:id="7">
    <w:p w:rsidR="00F94951" w:rsidRDefault="00BC25C1">
      <w:pPr>
        <w:pStyle w:val="FootnoteText"/>
      </w:pPr>
      <w:r>
        <w:rPr>
          <w:rStyle w:val="FootnoteReference"/>
        </w:rPr>
        <w:footnoteRef/>
      </w:r>
      <w:r>
        <w:t xml:space="preserve"> </w:t>
      </w:r>
      <w:r>
        <w:rPr>
          <w:i/>
        </w:rPr>
        <w:t>Id</w:t>
      </w:r>
      <w:r>
        <w:t>. at 17-18.</w:t>
      </w:r>
    </w:p>
  </w:footnote>
  <w:footnote w:id="8">
    <w:p w:rsidR="00F94951" w:rsidRDefault="00BC25C1">
      <w:pPr>
        <w:pStyle w:val="FootnoteText"/>
      </w:pPr>
      <w:r>
        <w:rPr>
          <w:rStyle w:val="FootnoteReference"/>
        </w:rPr>
        <w:footnoteRef/>
      </w:r>
      <w:r>
        <w:t xml:space="preserve"> </w:t>
      </w:r>
      <w:r>
        <w:rPr>
          <w:i/>
        </w:rPr>
        <w:t>Id.</w:t>
      </w:r>
      <w:r>
        <w:t xml:space="preserve"> at 18.</w:t>
      </w:r>
    </w:p>
  </w:footnote>
  <w:footnote w:id="9">
    <w:p w:rsidR="00F94951" w:rsidRDefault="00BC25C1">
      <w:pPr>
        <w:pStyle w:val="FootnoteText"/>
        <w:rPr>
          <w:rFonts w:cs="Arial"/>
        </w:rPr>
      </w:pPr>
      <w:r>
        <w:rPr>
          <w:rStyle w:val="FootnoteReference"/>
        </w:rPr>
        <w:footnoteRef/>
      </w:r>
      <w:r>
        <w:rPr>
          <w:rFonts w:cs="Arial"/>
        </w:rPr>
        <w:t xml:space="preserve"> Rule 4901:1-37-09(C)(2), O.A.C.</w:t>
      </w:r>
    </w:p>
  </w:footnote>
  <w:footnote w:id="10">
    <w:p w:rsidR="00F94951" w:rsidRDefault="00BC25C1">
      <w:pPr>
        <w:pStyle w:val="FootnoteText"/>
        <w:rPr>
          <w:rFonts w:cs="Arial"/>
        </w:rPr>
      </w:pPr>
      <w:r>
        <w:rPr>
          <w:rStyle w:val="FootnoteReference"/>
        </w:rPr>
        <w:footnoteRef/>
      </w:r>
      <w:r>
        <w:rPr>
          <w:rFonts w:cs="Arial"/>
        </w:rPr>
        <w:t xml:space="preserve"> Rule 4901:1-37-09(C)(3), O.A.C.</w:t>
      </w:r>
    </w:p>
  </w:footnote>
  <w:footnote w:id="11">
    <w:p w:rsidR="00F94951" w:rsidRDefault="00BC25C1">
      <w:pPr>
        <w:pStyle w:val="FootnoteText"/>
      </w:pPr>
      <w:r>
        <w:rPr>
          <w:rStyle w:val="FootnoteReference"/>
        </w:rPr>
        <w:footnoteRef/>
      </w:r>
      <w:r>
        <w:t xml:space="preserve"> Application at 3.</w:t>
      </w:r>
    </w:p>
  </w:footnote>
  <w:footnote w:id="12">
    <w:p w:rsidR="00F94951" w:rsidRDefault="00BC25C1">
      <w:pPr>
        <w:pStyle w:val="FootnoteText"/>
      </w:pPr>
      <w:r>
        <w:rPr>
          <w:rStyle w:val="FootnoteReference"/>
        </w:rPr>
        <w:footnoteRef/>
      </w:r>
      <w:r>
        <w:t xml:space="preserve"> Application at 3.</w:t>
      </w:r>
    </w:p>
  </w:footnote>
  <w:footnote w:id="13">
    <w:p w:rsidR="00F94951" w:rsidRDefault="00BC25C1" w:rsidP="00B76C7C">
      <w:pPr>
        <w:autoSpaceDE w:val="0"/>
        <w:autoSpaceDN w:val="0"/>
        <w:adjustRightInd w:val="0"/>
        <w:spacing w:line="240" w:lineRule="auto"/>
      </w:pPr>
      <w:r>
        <w:rPr>
          <w:rStyle w:val="FootnoteReference"/>
          <w:sz w:val="20"/>
          <w:szCs w:val="20"/>
        </w:rPr>
        <w:footnoteRef/>
      </w:r>
      <w:r>
        <w:rPr>
          <w:sz w:val="20"/>
          <w:szCs w:val="20"/>
        </w:rPr>
        <w:t xml:space="preserve"> </w:t>
      </w:r>
      <w:r>
        <w:rPr>
          <w:i/>
          <w:sz w:val="20"/>
          <w:szCs w:val="20"/>
        </w:rPr>
        <w:t xml:space="preserve">See </w:t>
      </w:r>
      <w:r>
        <w:rPr>
          <w:rFonts w:cs="Arial"/>
          <w:i/>
          <w:sz w:val="20"/>
          <w:szCs w:val="20"/>
        </w:rPr>
        <w:t>In the Matter of the Application of The Dayton Power and Light Company for Approval of its Electric Security Plan,</w:t>
      </w:r>
      <w:r>
        <w:rPr>
          <w:rFonts w:cs="Arial"/>
          <w:sz w:val="20"/>
          <w:szCs w:val="20"/>
        </w:rPr>
        <w:t xml:space="preserve"> Case No. 12-426-EL-SSO, </w:t>
      </w:r>
      <w:r w:rsidRPr="00B76C7C">
        <w:rPr>
          <w:rFonts w:cs="Arial"/>
          <w:i/>
          <w:sz w:val="20"/>
          <w:szCs w:val="20"/>
        </w:rPr>
        <w:t>et al</w:t>
      </w:r>
      <w:r>
        <w:rPr>
          <w:rFonts w:cs="Arial"/>
          <w:sz w:val="20"/>
          <w:szCs w:val="20"/>
        </w:rPr>
        <w:t>., Opinion and Order at 27-28 (Sept. 4,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F85" w:rsidRDefault="00362F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F85" w:rsidRDefault="00362F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F85" w:rsidRDefault="00362F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51" w:rsidRDefault="00F9495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51" w:rsidRDefault="00F9495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51" w:rsidRDefault="00F9495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51" w:rsidRDefault="00F9495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51" w:rsidRDefault="00F9495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51" w:rsidRDefault="00F949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1">
    <w:nsid w:val="FFFFFF89"/>
    <w:multiLevelType w:val="singleLevel"/>
    <w:tmpl w:val="4AC003AE"/>
    <w:lvl w:ilvl="0">
      <w:start w:val="1"/>
      <w:numFmt w:val="bullet"/>
      <w:lvlText w:val=""/>
      <w:lvlJc w:val="left"/>
      <w:pPr>
        <w:tabs>
          <w:tab w:val="num" w:pos="360"/>
        </w:tabs>
        <w:ind w:left="360" w:hanging="360"/>
      </w:pPr>
      <w:rPr>
        <w:rFonts w:ascii="Symbol" w:hAnsi="Symbol" w:hint="default"/>
      </w:rPr>
    </w:lvl>
  </w:abstractNum>
  <w:abstractNum w:abstractNumId="2">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71568"/>
    <w:multiLevelType w:val="multilevel"/>
    <w:tmpl w:val="DA7EB1EE"/>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3"/>
  </w:num>
  <w:num w:numId="2">
    <w:abstractNumId w:val="3"/>
  </w:num>
  <w:num w:numId="3">
    <w:abstractNumId w:val="3"/>
  </w:num>
  <w:num w:numId="4">
    <w:abstractNumId w:val="3"/>
  </w:num>
  <w:num w:numId="5">
    <w:abstractNumId w:val="1"/>
  </w:num>
  <w:num w:numId="6">
    <w:abstractNumId w:val="2"/>
  </w:num>
  <w:num w:numId="7">
    <w:abstractNumId w:val="0"/>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aultNumberOfLevelsInTOCForThisScheme" w:val="3"/>
    <w:docVar w:name="LastSchemeChoice" w:val="IEU Basic--PUCO"/>
    <w:docVar w:name="LastSchemeUniqueID" w:val="2"/>
    <w:docVar w:name="Option0True" w:val="False"/>
    <w:docVar w:name="Option1True" w:val="False"/>
    <w:docVar w:name="Option2True" w:val="False"/>
  </w:docVars>
  <w:rsids>
    <w:rsidRoot w:val="00F94951"/>
    <w:rsid w:val="00362F85"/>
    <w:rsid w:val="005D3A68"/>
    <w:rsid w:val="006A4E24"/>
    <w:rsid w:val="007A3C9F"/>
    <w:rsid w:val="00B61D5F"/>
    <w:rsid w:val="00B76C7C"/>
    <w:rsid w:val="00BC25C1"/>
    <w:rsid w:val="00BE2EAC"/>
    <w:rsid w:val="00EC6578"/>
    <w:rsid w:val="00F174BB"/>
    <w:rsid w:val="00F9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List Number" w:qFormat="1"/>
    <w:lsdException w:name="Title" w:semiHidden="0" w:uiPriority="3" w:unhideWhenUsed="0" w:qFormat="1"/>
    <w:lsdException w:name="Signature" w:uiPriority="3"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480" w:lineRule="auto"/>
      <w:jc w:val="both"/>
    </w:pPr>
    <w:rPr>
      <w:rFonts w:ascii="Arial" w:hAnsi="Arial"/>
      <w:sz w:val="24"/>
      <w:szCs w:val="24"/>
    </w:rPr>
  </w:style>
  <w:style w:type="paragraph" w:styleId="Heading1">
    <w:name w:val="heading 1"/>
    <w:basedOn w:val="Normal"/>
    <w:next w:val="Normal"/>
    <w:link w:val="Heading1Char"/>
    <w:uiPriority w:val="9"/>
    <w:qFormat/>
    <w:rsid w:val="00BA4039"/>
    <w:pPr>
      <w:numPr>
        <w:numId w:val="9"/>
      </w:numPr>
      <w:spacing w:before="240" w:after="24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qFormat/>
    <w:rsid w:val="00BA4039"/>
    <w:pPr>
      <w:numPr>
        <w:ilvl w:val="1"/>
        <w:numId w:val="9"/>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qFormat/>
    <w:rsid w:val="00BA4039"/>
    <w:pPr>
      <w:numPr>
        <w:ilvl w:val="2"/>
        <w:numId w:val="9"/>
      </w:numPr>
      <w:spacing w:after="240" w:line="240" w:lineRule="auto"/>
      <w:outlineLvl w:val="2"/>
    </w:pPr>
    <w:rPr>
      <w:rFonts w:eastAsiaTheme="majorEastAsia" w:cs="Arial"/>
      <w:b/>
      <w:bCs/>
    </w:rPr>
  </w:style>
  <w:style w:type="paragraph" w:styleId="Heading4">
    <w:name w:val="heading 4"/>
    <w:basedOn w:val="Normal"/>
    <w:next w:val="Normal"/>
    <w:link w:val="Heading4Char"/>
    <w:uiPriority w:val="9"/>
    <w:unhideWhenUsed/>
    <w:qFormat/>
    <w:rsid w:val="00BA4039"/>
    <w:pPr>
      <w:numPr>
        <w:ilvl w:val="3"/>
        <w:numId w:val="9"/>
      </w:numPr>
      <w:spacing w:after="240" w:line="240" w:lineRule="auto"/>
      <w:outlineLvl w:val="3"/>
    </w:pPr>
    <w:rPr>
      <w:rFonts w:eastAsiaTheme="majorEastAsia" w:cs="Arial"/>
      <w:b/>
      <w:bCs/>
      <w:i/>
      <w:iCs/>
    </w:rPr>
  </w:style>
  <w:style w:type="paragraph" w:styleId="Heading5">
    <w:name w:val="heading 5"/>
    <w:basedOn w:val="Normal"/>
    <w:next w:val="Normal"/>
    <w:link w:val="Heading5Char"/>
    <w:uiPriority w:val="9"/>
    <w:semiHidden/>
    <w:unhideWhenUsed/>
    <w:rsid w:val="00BA4039"/>
    <w:pPr>
      <w:numPr>
        <w:ilvl w:val="4"/>
        <w:numId w:val="9"/>
      </w:numPr>
      <w:spacing w:after="240" w:line="240" w:lineRule="auto"/>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rsid w:val="00BA4039"/>
    <w:pPr>
      <w:numPr>
        <w:ilvl w:val="5"/>
        <w:numId w:val="9"/>
      </w:numPr>
      <w:spacing w:after="240" w:line="240" w:lineRule="auto"/>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rsid w:val="00BA4039"/>
    <w:pPr>
      <w:numPr>
        <w:ilvl w:val="6"/>
        <w:numId w:val="9"/>
      </w:numPr>
      <w:spacing w:after="240" w:line="240" w:lineRule="auto"/>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rsid w:val="00BA4039"/>
    <w:pPr>
      <w:numPr>
        <w:ilvl w:val="7"/>
        <w:numId w:val="9"/>
      </w:numPr>
      <w:spacing w:after="240" w:line="240" w:lineRule="auto"/>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rsid w:val="00BA4039"/>
    <w:pPr>
      <w:numPr>
        <w:ilvl w:val="8"/>
        <w:numId w:val="9"/>
      </w:numPr>
      <w:spacing w:after="240" w:line="240" w:lineRule="auto"/>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039"/>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sid w:val="00BA4039"/>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BA4039"/>
    <w:rPr>
      <w:rFonts w:ascii="Arial" w:eastAsiaTheme="majorEastAsia" w:hAnsi="Arial" w:cs="Arial"/>
      <w:b/>
      <w:bCs/>
      <w:sz w:val="24"/>
      <w:szCs w:val="24"/>
    </w:rPr>
  </w:style>
  <w:style w:type="character" w:customStyle="1" w:styleId="Heading4Char">
    <w:name w:val="Heading 4 Char"/>
    <w:basedOn w:val="DefaultParagraphFont"/>
    <w:link w:val="Heading4"/>
    <w:uiPriority w:val="9"/>
    <w:rsid w:val="00BA4039"/>
    <w:rPr>
      <w:rFonts w:ascii="Arial" w:eastAsiaTheme="majorEastAsia" w:hAnsi="Arial" w:cs="Arial"/>
      <w:b/>
      <w:bCs/>
      <w:i/>
      <w:iCs/>
      <w:sz w:val="24"/>
      <w:szCs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unhideWhenUsed/>
    <w:qFormat/>
    <w:pPr>
      <w:spacing w:after="120" w:line="240" w:lineRule="auto"/>
    </w:pPr>
    <w:rPr>
      <w:rFonts w:eastAsia="Calibri"/>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ascii="Arial" w:eastAsia="Calibri" w:hAnsi="Arial"/>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ListBullet">
    <w:name w:val="List Bullet"/>
    <w:basedOn w:val="Normal"/>
    <w:uiPriority w:val="99"/>
    <w:qFormat/>
    <w:pPr>
      <w:numPr>
        <w:numId w:val="6"/>
      </w:numPr>
      <w:spacing w:after="240"/>
      <w:contextualSpacing/>
    </w:pPr>
  </w:style>
  <w:style w:type="paragraph" w:styleId="ListNumber">
    <w:name w:val="List Number"/>
    <w:basedOn w:val="Normal"/>
    <w:uiPriority w:val="99"/>
    <w:qFormat/>
    <w:pPr>
      <w:numPr>
        <w:numId w:val="8"/>
      </w:numPr>
      <w:spacing w:after="240"/>
      <w:contextualSpacing/>
    </w:pPr>
  </w:style>
  <w:style w:type="paragraph" w:styleId="Title">
    <w:name w:val="Title"/>
    <w:basedOn w:val="Normal"/>
    <w:link w:val="TitleChar"/>
    <w:uiPriority w:val="3"/>
    <w:qFormat/>
    <w:pPr>
      <w:spacing w:after="240"/>
      <w:jc w:val="center"/>
    </w:pPr>
    <w:rPr>
      <w:rFonts w:eastAsiaTheme="majorEastAsia" w:cstheme="majorBidi"/>
      <w:sz w:val="23"/>
      <w:szCs w:val="52"/>
    </w:rPr>
  </w:style>
  <w:style w:type="character" w:customStyle="1" w:styleId="TitleChar">
    <w:name w:val="Title Char"/>
    <w:basedOn w:val="DefaultParagraphFont"/>
    <w:link w:val="Title"/>
    <w:uiPriority w:val="3"/>
    <w:rPr>
      <w:rFonts w:ascii="Arial" w:eastAsiaTheme="majorEastAsia" w:hAnsi="Arial" w:cstheme="majorBidi"/>
      <w:sz w:val="23"/>
      <w:szCs w:val="52"/>
    </w:rPr>
  </w:style>
  <w:style w:type="paragraph" w:styleId="Signature">
    <w:name w:val="Signature"/>
    <w:basedOn w:val="Normal"/>
    <w:link w:val="SignatureChar"/>
    <w:uiPriority w:val="3"/>
    <w:qFormat/>
    <w:pPr>
      <w:spacing w:after="240"/>
      <w:ind w:left="4320"/>
      <w:contextualSpacing/>
    </w:pPr>
    <w:rPr>
      <w:sz w:val="23"/>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style>
  <w:style w:type="paragraph" w:customStyle="1" w:styleId="LeftIndent">
    <w:name w:val="Left Indent"/>
    <w:aliases w:val="LeftInd"/>
    <w:basedOn w:val="Normal"/>
    <w:uiPriority w:val="11"/>
    <w:qFormat/>
    <w:pPr>
      <w:spacing w:after="240"/>
    </w:pPr>
  </w:style>
  <w:style w:type="paragraph" w:customStyle="1" w:styleId="FirstLineIndent">
    <w:name w:val="First Line Indent"/>
    <w:aliases w:val="FirstInd"/>
    <w:basedOn w:val="Normal"/>
    <w:uiPriority w:val="1"/>
    <w:qFormat/>
    <w:pPr>
      <w:spacing w:after="240"/>
      <w:ind w:firstLine="720"/>
    </w:pPr>
  </w:style>
  <w:style w:type="paragraph" w:customStyle="1" w:styleId="NoIndent">
    <w:name w:val="No Indent"/>
    <w:aliases w:val="NoInd"/>
    <w:basedOn w:val="Normal"/>
    <w:qFormat/>
    <w:pPr>
      <w:spacing w:after="240"/>
    </w:pPr>
  </w:style>
  <w:style w:type="paragraph" w:customStyle="1" w:styleId="DoubleIndent5">
    <w:name w:val="Double Indent .5"/>
    <w:aliases w:val="DblInd5"/>
    <w:basedOn w:val="Normal"/>
    <w:uiPriority w:val="2"/>
    <w:qFormat/>
    <w:pPr>
      <w:spacing w:after="240"/>
      <w:ind w:right="720"/>
    </w:pPr>
    <w:rPr>
      <w:iC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hAnsi="Arial"/>
      <w:sz w:val="24"/>
      <w:szCs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5Char">
    <w:name w:val="Heading 5 Char"/>
    <w:basedOn w:val="DefaultParagraphFont"/>
    <w:link w:val="Heading5"/>
    <w:uiPriority w:val="9"/>
    <w:semiHidden/>
    <w:rsid w:val="00BA4039"/>
    <w:rPr>
      <w:rFonts w:asciiTheme="majorHAnsi" w:eastAsiaTheme="majorEastAsia" w:hAnsiTheme="majorHAnsi" w:cs="Arial"/>
      <w:color w:val="243F60" w:themeColor="accent1" w:themeShade="7F"/>
      <w:sz w:val="24"/>
      <w:szCs w:val="24"/>
    </w:rPr>
  </w:style>
  <w:style w:type="character" w:customStyle="1" w:styleId="Heading6Char">
    <w:name w:val="Heading 6 Char"/>
    <w:basedOn w:val="DefaultParagraphFont"/>
    <w:link w:val="Heading6"/>
    <w:uiPriority w:val="9"/>
    <w:semiHidden/>
    <w:rsid w:val="00BA4039"/>
    <w:rPr>
      <w:rFonts w:asciiTheme="majorHAnsi" w:eastAsiaTheme="majorEastAsia" w:hAnsiTheme="majorHAnsi" w:cs="Arial"/>
      <w:iCs/>
      <w:color w:val="243F60" w:themeColor="accent1" w:themeShade="7F"/>
      <w:sz w:val="24"/>
      <w:szCs w:val="24"/>
    </w:rPr>
  </w:style>
  <w:style w:type="character" w:customStyle="1" w:styleId="Heading7Char">
    <w:name w:val="Heading 7 Char"/>
    <w:basedOn w:val="DefaultParagraphFont"/>
    <w:link w:val="Heading7"/>
    <w:uiPriority w:val="9"/>
    <w:semiHidden/>
    <w:rsid w:val="00BA4039"/>
    <w:rPr>
      <w:rFonts w:asciiTheme="majorHAnsi" w:eastAsiaTheme="majorEastAsia" w:hAnsiTheme="majorHAnsi" w:cs="Arial"/>
      <w:iCs/>
      <w:color w:val="404040" w:themeColor="text1" w:themeTint="BF"/>
      <w:sz w:val="24"/>
      <w:szCs w:val="24"/>
    </w:rPr>
  </w:style>
  <w:style w:type="character" w:customStyle="1" w:styleId="Heading8Char">
    <w:name w:val="Heading 8 Char"/>
    <w:basedOn w:val="DefaultParagraphFont"/>
    <w:link w:val="Heading8"/>
    <w:uiPriority w:val="9"/>
    <w:semiHidden/>
    <w:rsid w:val="00BA4039"/>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sid w:val="00BA4039"/>
    <w:rPr>
      <w:rFonts w:asciiTheme="majorHAnsi" w:eastAsiaTheme="majorEastAsia" w:hAnsiTheme="majorHAnsi" w:cs="Arial"/>
      <w:iCs/>
      <w:color w:val="404040" w:themeColor="text1" w:themeTint="BF"/>
      <w:sz w:val="24"/>
    </w:rPr>
  </w:style>
  <w:style w:type="character" w:styleId="FootnoteReference">
    <w:name w:val="footnote reference"/>
    <w:basedOn w:val="DefaultParagraphFont"/>
    <w:uiPriority w:val="99"/>
    <w:semiHidden/>
    <w:unhideWhenUsed/>
    <w:rPr>
      <w:vertAlign w:val="superscript"/>
    </w:rPr>
  </w:style>
  <w:style w:type="paragraph" w:styleId="BodyText">
    <w:name w:val="Body Text"/>
    <w:basedOn w:val="Normal"/>
    <w:link w:val="BodyTextChar"/>
    <w:unhideWhenUsed/>
    <w:rsid w:val="00530EFC"/>
    <w:pPr>
      <w:tabs>
        <w:tab w:val="left" w:pos="-1440"/>
        <w:tab w:val="left" w:pos="-720"/>
        <w:tab w:val="left" w:pos="5040"/>
        <w:tab w:val="center" w:pos="7200"/>
      </w:tabs>
      <w:overflowPunct w:val="0"/>
      <w:autoSpaceDE w:val="0"/>
      <w:autoSpaceDN w:val="0"/>
      <w:adjustRightInd w:val="0"/>
      <w:spacing w:line="240" w:lineRule="auto"/>
    </w:pPr>
    <w:rPr>
      <w:rFonts w:eastAsiaTheme="minorHAnsi" w:cstheme="minorBidi"/>
      <w:b/>
      <w:smallCaps/>
      <w:sz w:val="20"/>
      <w:szCs w:val="20"/>
    </w:rPr>
  </w:style>
  <w:style w:type="character" w:customStyle="1" w:styleId="BodyTextChar">
    <w:name w:val="Body Text Char"/>
    <w:basedOn w:val="DefaultParagraphFont"/>
    <w:link w:val="BodyText"/>
    <w:rsid w:val="00530EFC"/>
    <w:rPr>
      <w:rFonts w:ascii="Arial" w:eastAsiaTheme="minorHAnsi" w:hAnsi="Arial" w:cstheme="minorBidi"/>
      <w:b/>
      <w:smallCaps/>
    </w:rPr>
  </w:style>
  <w:style w:type="paragraph" w:styleId="BalloonText">
    <w:name w:val="Balloon Text"/>
    <w:basedOn w:val="Normal"/>
    <w:link w:val="BalloonTextChar"/>
    <w:uiPriority w:val="99"/>
    <w:semiHidden/>
    <w:unhideWhenUsed/>
    <w:rsid w:val="00BA40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039"/>
    <w:rPr>
      <w:rFonts w:ascii="Tahoma" w:hAnsi="Tahoma" w:cs="Tahoma"/>
      <w:sz w:val="16"/>
      <w:szCs w:val="16"/>
    </w:rPr>
  </w:style>
  <w:style w:type="character" w:styleId="Hyperlink">
    <w:name w:val="Hyperlink"/>
    <w:basedOn w:val="DefaultParagraphFont"/>
    <w:uiPriority w:val="99"/>
    <w:unhideWhenUsed/>
    <w:rsid w:val="00612F9D"/>
    <w:rPr>
      <w:color w:val="0000FF" w:themeColor="hyperlink"/>
      <w:u w:val="single"/>
    </w:rPr>
  </w:style>
  <w:style w:type="character" w:styleId="CommentReference">
    <w:name w:val="annotation reference"/>
    <w:basedOn w:val="DefaultParagraphFont"/>
    <w:uiPriority w:val="99"/>
    <w:semiHidden/>
    <w:unhideWhenUsed/>
    <w:rsid w:val="003D1468"/>
    <w:rPr>
      <w:sz w:val="16"/>
      <w:szCs w:val="16"/>
    </w:rPr>
  </w:style>
  <w:style w:type="paragraph" w:styleId="CommentText">
    <w:name w:val="annotation text"/>
    <w:basedOn w:val="Normal"/>
    <w:link w:val="CommentTextChar"/>
    <w:uiPriority w:val="99"/>
    <w:semiHidden/>
    <w:unhideWhenUsed/>
    <w:rsid w:val="003D1468"/>
    <w:pPr>
      <w:spacing w:line="240" w:lineRule="auto"/>
    </w:pPr>
    <w:rPr>
      <w:sz w:val="20"/>
      <w:szCs w:val="20"/>
    </w:rPr>
  </w:style>
  <w:style w:type="character" w:customStyle="1" w:styleId="CommentTextChar">
    <w:name w:val="Comment Text Char"/>
    <w:basedOn w:val="DefaultParagraphFont"/>
    <w:link w:val="CommentText"/>
    <w:uiPriority w:val="99"/>
    <w:semiHidden/>
    <w:rsid w:val="003D1468"/>
    <w:rPr>
      <w:rFonts w:ascii="Arial" w:hAnsi="Arial"/>
    </w:rPr>
  </w:style>
  <w:style w:type="paragraph" w:styleId="CommentSubject">
    <w:name w:val="annotation subject"/>
    <w:basedOn w:val="CommentText"/>
    <w:next w:val="CommentText"/>
    <w:link w:val="CommentSubjectChar"/>
    <w:uiPriority w:val="99"/>
    <w:semiHidden/>
    <w:unhideWhenUsed/>
    <w:rsid w:val="003D1468"/>
    <w:rPr>
      <w:b/>
      <w:bCs/>
    </w:rPr>
  </w:style>
  <w:style w:type="character" w:customStyle="1" w:styleId="CommentSubjectChar">
    <w:name w:val="Comment Subject Char"/>
    <w:basedOn w:val="CommentTextChar"/>
    <w:link w:val="CommentSubject"/>
    <w:uiPriority w:val="99"/>
    <w:semiHidden/>
    <w:rsid w:val="003D1468"/>
    <w:rPr>
      <w:rFonts w:ascii="Arial" w:hAnsi="Arial"/>
      <w:b/>
      <w:bCs/>
    </w:rPr>
  </w:style>
  <w:style w:type="character" w:styleId="FollowedHyperlink">
    <w:name w:val="FollowedHyperlink"/>
    <w:basedOn w:val="DefaultParagraphFont"/>
    <w:uiPriority w:val="99"/>
    <w:semiHidden/>
    <w:unhideWhenUsed/>
    <w:rsid w:val="00B825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List Number" w:qFormat="1"/>
    <w:lsdException w:name="Title" w:semiHidden="0" w:uiPriority="3" w:unhideWhenUsed="0" w:qFormat="1"/>
    <w:lsdException w:name="Signature" w:uiPriority="3"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480" w:lineRule="auto"/>
      <w:jc w:val="both"/>
    </w:pPr>
    <w:rPr>
      <w:rFonts w:ascii="Arial" w:hAnsi="Arial"/>
      <w:sz w:val="24"/>
      <w:szCs w:val="24"/>
    </w:rPr>
  </w:style>
  <w:style w:type="paragraph" w:styleId="Heading1">
    <w:name w:val="heading 1"/>
    <w:basedOn w:val="Normal"/>
    <w:next w:val="Normal"/>
    <w:link w:val="Heading1Char"/>
    <w:uiPriority w:val="9"/>
    <w:qFormat/>
    <w:rsid w:val="00BA4039"/>
    <w:pPr>
      <w:numPr>
        <w:numId w:val="9"/>
      </w:numPr>
      <w:spacing w:before="240" w:after="24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qFormat/>
    <w:rsid w:val="00BA4039"/>
    <w:pPr>
      <w:numPr>
        <w:ilvl w:val="1"/>
        <w:numId w:val="9"/>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qFormat/>
    <w:rsid w:val="00BA4039"/>
    <w:pPr>
      <w:numPr>
        <w:ilvl w:val="2"/>
        <w:numId w:val="9"/>
      </w:numPr>
      <w:spacing w:after="240" w:line="240" w:lineRule="auto"/>
      <w:outlineLvl w:val="2"/>
    </w:pPr>
    <w:rPr>
      <w:rFonts w:eastAsiaTheme="majorEastAsia" w:cs="Arial"/>
      <w:b/>
      <w:bCs/>
    </w:rPr>
  </w:style>
  <w:style w:type="paragraph" w:styleId="Heading4">
    <w:name w:val="heading 4"/>
    <w:basedOn w:val="Normal"/>
    <w:next w:val="Normal"/>
    <w:link w:val="Heading4Char"/>
    <w:uiPriority w:val="9"/>
    <w:unhideWhenUsed/>
    <w:qFormat/>
    <w:rsid w:val="00BA4039"/>
    <w:pPr>
      <w:numPr>
        <w:ilvl w:val="3"/>
        <w:numId w:val="9"/>
      </w:numPr>
      <w:spacing w:after="240" w:line="240" w:lineRule="auto"/>
      <w:outlineLvl w:val="3"/>
    </w:pPr>
    <w:rPr>
      <w:rFonts w:eastAsiaTheme="majorEastAsia" w:cs="Arial"/>
      <w:b/>
      <w:bCs/>
      <w:i/>
      <w:iCs/>
    </w:rPr>
  </w:style>
  <w:style w:type="paragraph" w:styleId="Heading5">
    <w:name w:val="heading 5"/>
    <w:basedOn w:val="Normal"/>
    <w:next w:val="Normal"/>
    <w:link w:val="Heading5Char"/>
    <w:uiPriority w:val="9"/>
    <w:semiHidden/>
    <w:unhideWhenUsed/>
    <w:rsid w:val="00BA4039"/>
    <w:pPr>
      <w:numPr>
        <w:ilvl w:val="4"/>
        <w:numId w:val="9"/>
      </w:numPr>
      <w:spacing w:after="240" w:line="240" w:lineRule="auto"/>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rsid w:val="00BA4039"/>
    <w:pPr>
      <w:numPr>
        <w:ilvl w:val="5"/>
        <w:numId w:val="9"/>
      </w:numPr>
      <w:spacing w:after="240" w:line="240" w:lineRule="auto"/>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rsid w:val="00BA4039"/>
    <w:pPr>
      <w:numPr>
        <w:ilvl w:val="6"/>
        <w:numId w:val="9"/>
      </w:numPr>
      <w:spacing w:after="240" w:line="240" w:lineRule="auto"/>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rsid w:val="00BA4039"/>
    <w:pPr>
      <w:numPr>
        <w:ilvl w:val="7"/>
        <w:numId w:val="9"/>
      </w:numPr>
      <w:spacing w:after="240" w:line="240" w:lineRule="auto"/>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rsid w:val="00BA4039"/>
    <w:pPr>
      <w:numPr>
        <w:ilvl w:val="8"/>
        <w:numId w:val="9"/>
      </w:numPr>
      <w:spacing w:after="240" w:line="240" w:lineRule="auto"/>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039"/>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sid w:val="00BA4039"/>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BA4039"/>
    <w:rPr>
      <w:rFonts w:ascii="Arial" w:eastAsiaTheme="majorEastAsia" w:hAnsi="Arial" w:cs="Arial"/>
      <w:b/>
      <w:bCs/>
      <w:sz w:val="24"/>
      <w:szCs w:val="24"/>
    </w:rPr>
  </w:style>
  <w:style w:type="character" w:customStyle="1" w:styleId="Heading4Char">
    <w:name w:val="Heading 4 Char"/>
    <w:basedOn w:val="DefaultParagraphFont"/>
    <w:link w:val="Heading4"/>
    <w:uiPriority w:val="9"/>
    <w:rsid w:val="00BA4039"/>
    <w:rPr>
      <w:rFonts w:ascii="Arial" w:eastAsiaTheme="majorEastAsia" w:hAnsi="Arial" w:cs="Arial"/>
      <w:b/>
      <w:bCs/>
      <w:i/>
      <w:iCs/>
      <w:sz w:val="24"/>
      <w:szCs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unhideWhenUsed/>
    <w:qFormat/>
    <w:pPr>
      <w:spacing w:after="120" w:line="240" w:lineRule="auto"/>
    </w:pPr>
    <w:rPr>
      <w:rFonts w:eastAsia="Calibri"/>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ascii="Arial" w:eastAsia="Calibri" w:hAnsi="Arial"/>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ListBullet">
    <w:name w:val="List Bullet"/>
    <w:basedOn w:val="Normal"/>
    <w:uiPriority w:val="99"/>
    <w:qFormat/>
    <w:pPr>
      <w:numPr>
        <w:numId w:val="6"/>
      </w:numPr>
      <w:spacing w:after="240"/>
      <w:contextualSpacing/>
    </w:pPr>
  </w:style>
  <w:style w:type="paragraph" w:styleId="ListNumber">
    <w:name w:val="List Number"/>
    <w:basedOn w:val="Normal"/>
    <w:uiPriority w:val="99"/>
    <w:qFormat/>
    <w:pPr>
      <w:numPr>
        <w:numId w:val="8"/>
      </w:numPr>
      <w:spacing w:after="240"/>
      <w:contextualSpacing/>
    </w:pPr>
  </w:style>
  <w:style w:type="paragraph" w:styleId="Title">
    <w:name w:val="Title"/>
    <w:basedOn w:val="Normal"/>
    <w:link w:val="TitleChar"/>
    <w:uiPriority w:val="3"/>
    <w:qFormat/>
    <w:pPr>
      <w:spacing w:after="240"/>
      <w:jc w:val="center"/>
    </w:pPr>
    <w:rPr>
      <w:rFonts w:eastAsiaTheme="majorEastAsia" w:cstheme="majorBidi"/>
      <w:sz w:val="23"/>
      <w:szCs w:val="52"/>
    </w:rPr>
  </w:style>
  <w:style w:type="character" w:customStyle="1" w:styleId="TitleChar">
    <w:name w:val="Title Char"/>
    <w:basedOn w:val="DefaultParagraphFont"/>
    <w:link w:val="Title"/>
    <w:uiPriority w:val="3"/>
    <w:rPr>
      <w:rFonts w:ascii="Arial" w:eastAsiaTheme="majorEastAsia" w:hAnsi="Arial" w:cstheme="majorBidi"/>
      <w:sz w:val="23"/>
      <w:szCs w:val="52"/>
    </w:rPr>
  </w:style>
  <w:style w:type="paragraph" w:styleId="Signature">
    <w:name w:val="Signature"/>
    <w:basedOn w:val="Normal"/>
    <w:link w:val="SignatureChar"/>
    <w:uiPriority w:val="3"/>
    <w:qFormat/>
    <w:pPr>
      <w:spacing w:after="240"/>
      <w:ind w:left="4320"/>
      <w:contextualSpacing/>
    </w:pPr>
    <w:rPr>
      <w:sz w:val="23"/>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style>
  <w:style w:type="paragraph" w:customStyle="1" w:styleId="LeftIndent">
    <w:name w:val="Left Indent"/>
    <w:aliases w:val="LeftInd"/>
    <w:basedOn w:val="Normal"/>
    <w:uiPriority w:val="11"/>
    <w:qFormat/>
    <w:pPr>
      <w:spacing w:after="240"/>
    </w:pPr>
  </w:style>
  <w:style w:type="paragraph" w:customStyle="1" w:styleId="FirstLineIndent">
    <w:name w:val="First Line Indent"/>
    <w:aliases w:val="FirstInd"/>
    <w:basedOn w:val="Normal"/>
    <w:uiPriority w:val="1"/>
    <w:qFormat/>
    <w:pPr>
      <w:spacing w:after="240"/>
      <w:ind w:firstLine="720"/>
    </w:pPr>
  </w:style>
  <w:style w:type="paragraph" w:customStyle="1" w:styleId="NoIndent">
    <w:name w:val="No Indent"/>
    <w:aliases w:val="NoInd"/>
    <w:basedOn w:val="Normal"/>
    <w:qFormat/>
    <w:pPr>
      <w:spacing w:after="240"/>
    </w:pPr>
  </w:style>
  <w:style w:type="paragraph" w:customStyle="1" w:styleId="DoubleIndent5">
    <w:name w:val="Double Indent .5"/>
    <w:aliases w:val="DblInd5"/>
    <w:basedOn w:val="Normal"/>
    <w:uiPriority w:val="2"/>
    <w:qFormat/>
    <w:pPr>
      <w:spacing w:after="240"/>
      <w:ind w:right="720"/>
    </w:pPr>
    <w:rPr>
      <w:iC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hAnsi="Arial"/>
      <w:sz w:val="24"/>
      <w:szCs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5Char">
    <w:name w:val="Heading 5 Char"/>
    <w:basedOn w:val="DefaultParagraphFont"/>
    <w:link w:val="Heading5"/>
    <w:uiPriority w:val="9"/>
    <w:semiHidden/>
    <w:rsid w:val="00BA4039"/>
    <w:rPr>
      <w:rFonts w:asciiTheme="majorHAnsi" w:eastAsiaTheme="majorEastAsia" w:hAnsiTheme="majorHAnsi" w:cs="Arial"/>
      <w:color w:val="243F60" w:themeColor="accent1" w:themeShade="7F"/>
      <w:sz w:val="24"/>
      <w:szCs w:val="24"/>
    </w:rPr>
  </w:style>
  <w:style w:type="character" w:customStyle="1" w:styleId="Heading6Char">
    <w:name w:val="Heading 6 Char"/>
    <w:basedOn w:val="DefaultParagraphFont"/>
    <w:link w:val="Heading6"/>
    <w:uiPriority w:val="9"/>
    <w:semiHidden/>
    <w:rsid w:val="00BA4039"/>
    <w:rPr>
      <w:rFonts w:asciiTheme="majorHAnsi" w:eastAsiaTheme="majorEastAsia" w:hAnsiTheme="majorHAnsi" w:cs="Arial"/>
      <w:iCs/>
      <w:color w:val="243F60" w:themeColor="accent1" w:themeShade="7F"/>
      <w:sz w:val="24"/>
      <w:szCs w:val="24"/>
    </w:rPr>
  </w:style>
  <w:style w:type="character" w:customStyle="1" w:styleId="Heading7Char">
    <w:name w:val="Heading 7 Char"/>
    <w:basedOn w:val="DefaultParagraphFont"/>
    <w:link w:val="Heading7"/>
    <w:uiPriority w:val="9"/>
    <w:semiHidden/>
    <w:rsid w:val="00BA4039"/>
    <w:rPr>
      <w:rFonts w:asciiTheme="majorHAnsi" w:eastAsiaTheme="majorEastAsia" w:hAnsiTheme="majorHAnsi" w:cs="Arial"/>
      <w:iCs/>
      <w:color w:val="404040" w:themeColor="text1" w:themeTint="BF"/>
      <w:sz w:val="24"/>
      <w:szCs w:val="24"/>
    </w:rPr>
  </w:style>
  <w:style w:type="character" w:customStyle="1" w:styleId="Heading8Char">
    <w:name w:val="Heading 8 Char"/>
    <w:basedOn w:val="DefaultParagraphFont"/>
    <w:link w:val="Heading8"/>
    <w:uiPriority w:val="9"/>
    <w:semiHidden/>
    <w:rsid w:val="00BA4039"/>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sid w:val="00BA4039"/>
    <w:rPr>
      <w:rFonts w:asciiTheme="majorHAnsi" w:eastAsiaTheme="majorEastAsia" w:hAnsiTheme="majorHAnsi" w:cs="Arial"/>
      <w:iCs/>
      <w:color w:val="404040" w:themeColor="text1" w:themeTint="BF"/>
      <w:sz w:val="24"/>
    </w:rPr>
  </w:style>
  <w:style w:type="character" w:styleId="FootnoteReference">
    <w:name w:val="footnote reference"/>
    <w:basedOn w:val="DefaultParagraphFont"/>
    <w:uiPriority w:val="99"/>
    <w:semiHidden/>
    <w:unhideWhenUsed/>
    <w:rPr>
      <w:vertAlign w:val="superscript"/>
    </w:rPr>
  </w:style>
  <w:style w:type="paragraph" w:styleId="BodyText">
    <w:name w:val="Body Text"/>
    <w:basedOn w:val="Normal"/>
    <w:link w:val="BodyTextChar"/>
    <w:unhideWhenUsed/>
    <w:rsid w:val="00530EFC"/>
    <w:pPr>
      <w:tabs>
        <w:tab w:val="left" w:pos="-1440"/>
        <w:tab w:val="left" w:pos="-720"/>
        <w:tab w:val="left" w:pos="5040"/>
        <w:tab w:val="center" w:pos="7200"/>
      </w:tabs>
      <w:overflowPunct w:val="0"/>
      <w:autoSpaceDE w:val="0"/>
      <w:autoSpaceDN w:val="0"/>
      <w:adjustRightInd w:val="0"/>
      <w:spacing w:line="240" w:lineRule="auto"/>
    </w:pPr>
    <w:rPr>
      <w:rFonts w:eastAsiaTheme="minorHAnsi" w:cstheme="minorBidi"/>
      <w:b/>
      <w:smallCaps/>
      <w:sz w:val="20"/>
      <w:szCs w:val="20"/>
    </w:rPr>
  </w:style>
  <w:style w:type="character" w:customStyle="1" w:styleId="BodyTextChar">
    <w:name w:val="Body Text Char"/>
    <w:basedOn w:val="DefaultParagraphFont"/>
    <w:link w:val="BodyText"/>
    <w:rsid w:val="00530EFC"/>
    <w:rPr>
      <w:rFonts w:ascii="Arial" w:eastAsiaTheme="minorHAnsi" w:hAnsi="Arial" w:cstheme="minorBidi"/>
      <w:b/>
      <w:smallCaps/>
    </w:rPr>
  </w:style>
  <w:style w:type="paragraph" w:styleId="BalloonText">
    <w:name w:val="Balloon Text"/>
    <w:basedOn w:val="Normal"/>
    <w:link w:val="BalloonTextChar"/>
    <w:uiPriority w:val="99"/>
    <w:semiHidden/>
    <w:unhideWhenUsed/>
    <w:rsid w:val="00BA40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039"/>
    <w:rPr>
      <w:rFonts w:ascii="Tahoma" w:hAnsi="Tahoma" w:cs="Tahoma"/>
      <w:sz w:val="16"/>
      <w:szCs w:val="16"/>
    </w:rPr>
  </w:style>
  <w:style w:type="character" w:styleId="Hyperlink">
    <w:name w:val="Hyperlink"/>
    <w:basedOn w:val="DefaultParagraphFont"/>
    <w:uiPriority w:val="99"/>
    <w:unhideWhenUsed/>
    <w:rsid w:val="00612F9D"/>
    <w:rPr>
      <w:color w:val="0000FF" w:themeColor="hyperlink"/>
      <w:u w:val="single"/>
    </w:rPr>
  </w:style>
  <w:style w:type="character" w:styleId="CommentReference">
    <w:name w:val="annotation reference"/>
    <w:basedOn w:val="DefaultParagraphFont"/>
    <w:uiPriority w:val="99"/>
    <w:semiHidden/>
    <w:unhideWhenUsed/>
    <w:rsid w:val="003D1468"/>
    <w:rPr>
      <w:sz w:val="16"/>
      <w:szCs w:val="16"/>
    </w:rPr>
  </w:style>
  <w:style w:type="paragraph" w:styleId="CommentText">
    <w:name w:val="annotation text"/>
    <w:basedOn w:val="Normal"/>
    <w:link w:val="CommentTextChar"/>
    <w:uiPriority w:val="99"/>
    <w:semiHidden/>
    <w:unhideWhenUsed/>
    <w:rsid w:val="003D1468"/>
    <w:pPr>
      <w:spacing w:line="240" w:lineRule="auto"/>
    </w:pPr>
    <w:rPr>
      <w:sz w:val="20"/>
      <w:szCs w:val="20"/>
    </w:rPr>
  </w:style>
  <w:style w:type="character" w:customStyle="1" w:styleId="CommentTextChar">
    <w:name w:val="Comment Text Char"/>
    <w:basedOn w:val="DefaultParagraphFont"/>
    <w:link w:val="CommentText"/>
    <w:uiPriority w:val="99"/>
    <w:semiHidden/>
    <w:rsid w:val="003D1468"/>
    <w:rPr>
      <w:rFonts w:ascii="Arial" w:hAnsi="Arial"/>
    </w:rPr>
  </w:style>
  <w:style w:type="paragraph" w:styleId="CommentSubject">
    <w:name w:val="annotation subject"/>
    <w:basedOn w:val="CommentText"/>
    <w:next w:val="CommentText"/>
    <w:link w:val="CommentSubjectChar"/>
    <w:uiPriority w:val="99"/>
    <w:semiHidden/>
    <w:unhideWhenUsed/>
    <w:rsid w:val="003D1468"/>
    <w:rPr>
      <w:b/>
      <w:bCs/>
    </w:rPr>
  </w:style>
  <w:style w:type="character" w:customStyle="1" w:styleId="CommentSubjectChar">
    <w:name w:val="Comment Subject Char"/>
    <w:basedOn w:val="CommentTextChar"/>
    <w:link w:val="CommentSubject"/>
    <w:uiPriority w:val="99"/>
    <w:semiHidden/>
    <w:rsid w:val="003D1468"/>
    <w:rPr>
      <w:rFonts w:ascii="Arial" w:hAnsi="Arial"/>
      <w:b/>
      <w:bCs/>
    </w:rPr>
  </w:style>
  <w:style w:type="character" w:styleId="FollowedHyperlink">
    <w:name w:val="FollowedHyperlink"/>
    <w:basedOn w:val="DefaultParagraphFont"/>
    <w:uiPriority w:val="99"/>
    <w:semiHidden/>
    <w:unhideWhenUsed/>
    <w:rsid w:val="00B825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uke-energy.com/power-plants/coal-fired/east-be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E608C-A33D-4ACA-A338-BAD271B95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2298</Words>
  <Characters>12801</Characters>
  <Application>Microsoft Office Word</Application>
  <DocSecurity>4</DocSecurity>
  <PresentationFormat/>
  <Lines>314</Lines>
  <Paragraphs>122</Paragraphs>
  <ScaleCrop>false</ScaleCrop>
  <HeadingPairs>
    <vt:vector size="2" baseType="variant">
      <vt:variant>
        <vt:lpstr>Title</vt:lpstr>
      </vt:variant>
      <vt:variant>
        <vt:i4>1</vt:i4>
      </vt:variant>
    </vt:vector>
  </HeadingPairs>
  <TitlesOfParts>
    <vt:vector size="1" baseType="lpstr">
      <vt:lpstr>14-1084-EL-UNC IEU-Ohio Comments (7-18-14) (C44201-3).DOCX</vt:lpstr>
    </vt:vector>
  </TitlesOfParts>
  <Company>Some Company, Inc.</Company>
  <LinksUpToDate>false</LinksUpToDate>
  <CharactersWithSpaces>15051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14-1084-EL-UNC IEU-Ohio Comments (7-18-14) (C44201-3).DOCX</dc:title>
  <dc:subject>C44201:3 /font=8</dc:subject>
  <dc:creator>mpritchard</dc:creator>
  <cp:lastModifiedBy>Renee Gannon</cp:lastModifiedBy>
  <cp:revision>2</cp:revision>
  <cp:lastPrinted>2014-07-23T13:45:00Z</cp:lastPrinted>
  <dcterms:created xsi:type="dcterms:W3CDTF">2014-08-18T13:37:00Z</dcterms:created>
  <dcterms:modified xsi:type="dcterms:W3CDTF">2014-08-18T13:37:00Z</dcterms:modified>
</cp:coreProperties>
</file>