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F9" w:rsidRPr="00853C7F" w:rsidRDefault="00B559F9" w:rsidP="00B559F9">
      <w:pPr>
        <w:widowControl w:val="0"/>
        <w:overflowPunct w:val="0"/>
        <w:autoSpaceDE w:val="0"/>
        <w:autoSpaceDN w:val="0"/>
        <w:adjustRightInd w:val="0"/>
        <w:spacing w:after="240" w:line="240" w:lineRule="auto"/>
        <w:jc w:val="center"/>
        <w:rPr>
          <w:rFonts w:eastAsia="Times New Roman"/>
          <w:b/>
          <w:bCs/>
          <w:kern w:val="28"/>
          <w:sz w:val="24"/>
        </w:rPr>
      </w:pPr>
      <w:r w:rsidRPr="00853C7F">
        <w:rPr>
          <w:rFonts w:eastAsia="Times New Roman"/>
          <w:b/>
          <w:bCs/>
          <w:kern w:val="28"/>
          <w:sz w:val="24"/>
        </w:rPr>
        <w:t>BEFORE</w:t>
      </w:r>
      <w:r w:rsidRPr="00853C7F">
        <w:rPr>
          <w:rFonts w:eastAsia="Times New Roman"/>
          <w:b/>
          <w:bCs/>
          <w:kern w:val="28"/>
          <w:sz w:val="24"/>
        </w:rPr>
        <w:br/>
        <w:t>THE PUBLIC UTILITIES COMMISSION OF OHIO</w:t>
      </w:r>
    </w:p>
    <w:tbl>
      <w:tblPr>
        <w:tblW w:w="0" w:type="auto"/>
        <w:tblInd w:w="-178" w:type="dxa"/>
        <w:tblLayout w:type="fixed"/>
        <w:tblCellMar>
          <w:left w:w="180" w:type="dxa"/>
          <w:right w:w="180" w:type="dxa"/>
        </w:tblCellMar>
        <w:tblLook w:val="0000" w:firstRow="0" w:lastRow="0" w:firstColumn="0" w:lastColumn="0" w:noHBand="0" w:noVBand="0"/>
      </w:tblPr>
      <w:tblGrid>
        <w:gridCol w:w="4787"/>
        <w:gridCol w:w="630"/>
        <w:gridCol w:w="4158"/>
      </w:tblGrid>
      <w:tr w:rsidR="00B559F9" w:rsidRPr="0017167A" w:rsidTr="000905CF">
        <w:trPr>
          <w:trHeight w:val="2385"/>
        </w:trPr>
        <w:tc>
          <w:tcPr>
            <w:tcW w:w="4787" w:type="dxa"/>
            <w:tcBorders>
              <w:top w:val="nil"/>
              <w:left w:val="nil"/>
              <w:bottom w:val="nil"/>
              <w:right w:val="nil"/>
            </w:tcBorders>
          </w:tcPr>
          <w:p w:rsidR="00B559F9" w:rsidRPr="0017167A" w:rsidRDefault="00B559F9" w:rsidP="000905CF">
            <w:pPr>
              <w:widowControl w:val="0"/>
              <w:spacing w:after="0" w:line="240" w:lineRule="auto"/>
              <w:jc w:val="both"/>
              <w:rPr>
                <w:sz w:val="24"/>
              </w:rPr>
            </w:pPr>
            <w:r w:rsidRPr="0017167A">
              <w:rPr>
                <w:sz w:val="24"/>
              </w:rPr>
              <w:t>In the Matter of Application of Duke Energy Ohio, Inc. for Authority to Establish a Standard Service Offer Pursuant to R.C. 4928.143, in the Form of an Electric Security Plan, Accounting Modifications, and Tariffs for Generation Service.</w:t>
            </w:r>
          </w:p>
          <w:p w:rsidR="00B559F9" w:rsidRPr="0017167A" w:rsidRDefault="00B559F9" w:rsidP="000905CF">
            <w:pPr>
              <w:widowControl w:val="0"/>
              <w:overflowPunct w:val="0"/>
              <w:autoSpaceDE w:val="0"/>
              <w:autoSpaceDN w:val="0"/>
              <w:adjustRightInd w:val="0"/>
              <w:spacing w:after="0" w:line="240" w:lineRule="auto"/>
              <w:jc w:val="both"/>
              <w:rPr>
                <w:rFonts w:eastAsiaTheme="minorEastAsia"/>
                <w:kern w:val="28"/>
                <w:sz w:val="24"/>
              </w:rPr>
            </w:pPr>
          </w:p>
          <w:p w:rsidR="00B559F9" w:rsidRPr="0017167A" w:rsidRDefault="00B559F9" w:rsidP="000905CF">
            <w:pPr>
              <w:widowControl w:val="0"/>
              <w:spacing w:after="0" w:line="240" w:lineRule="auto"/>
              <w:jc w:val="both"/>
              <w:rPr>
                <w:sz w:val="24"/>
              </w:rPr>
            </w:pPr>
            <w:r w:rsidRPr="0017167A">
              <w:rPr>
                <w:sz w:val="24"/>
              </w:rPr>
              <w:t>In the Matter of Application of Duke   Energy Ohio, Inc. for Authority to Amend its Certified Supplier Tariff, P.U.C.O. No. 20.</w:t>
            </w:r>
          </w:p>
          <w:p w:rsidR="00B559F9" w:rsidRPr="0017167A" w:rsidRDefault="00B559F9" w:rsidP="000905CF">
            <w:pPr>
              <w:widowControl w:val="0"/>
              <w:overflowPunct w:val="0"/>
              <w:autoSpaceDE w:val="0"/>
              <w:autoSpaceDN w:val="0"/>
              <w:adjustRightInd w:val="0"/>
              <w:spacing w:after="0" w:line="240" w:lineRule="auto"/>
              <w:jc w:val="both"/>
              <w:rPr>
                <w:rFonts w:eastAsiaTheme="minorEastAsia"/>
                <w:kern w:val="28"/>
                <w:sz w:val="24"/>
              </w:rPr>
            </w:pPr>
          </w:p>
        </w:tc>
        <w:tc>
          <w:tcPr>
            <w:tcW w:w="630" w:type="dxa"/>
            <w:tcBorders>
              <w:top w:val="nil"/>
              <w:left w:val="nil"/>
              <w:bottom w:val="nil"/>
              <w:right w:val="nil"/>
            </w:tcBorders>
          </w:tcPr>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w:t>
            </w:r>
          </w:p>
          <w:p w:rsidR="00B559F9" w:rsidRDefault="00B559F9" w:rsidP="000905CF">
            <w:pPr>
              <w:widowControl w:val="0"/>
              <w:overflowPunct w:val="0"/>
              <w:autoSpaceDE w:val="0"/>
              <w:autoSpaceDN w:val="0"/>
              <w:adjustRightInd w:val="0"/>
              <w:spacing w:after="0" w:line="240" w:lineRule="auto"/>
              <w:rPr>
                <w:rFonts w:eastAsiaTheme="minorEastAsia"/>
                <w:kern w:val="28"/>
                <w:sz w:val="24"/>
              </w:rPr>
            </w:pPr>
            <w:r>
              <w:rPr>
                <w:rFonts w:eastAsiaTheme="minorEastAsia"/>
                <w:kern w:val="28"/>
                <w:sz w:val="24"/>
              </w:rPr>
              <w:t>)</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Pr>
                <w:rFonts w:eastAsiaTheme="minorEastAsia"/>
                <w:kern w:val="28"/>
                <w:sz w:val="24"/>
              </w:rPr>
              <w:t>)</w:t>
            </w:r>
          </w:p>
        </w:tc>
        <w:tc>
          <w:tcPr>
            <w:tcW w:w="4158" w:type="dxa"/>
            <w:tcBorders>
              <w:top w:val="nil"/>
              <w:left w:val="nil"/>
              <w:bottom w:val="nil"/>
              <w:right w:val="nil"/>
            </w:tcBorders>
          </w:tcPr>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rFonts w:eastAsiaTheme="minorEastAsia"/>
                <w:kern w:val="28"/>
                <w:sz w:val="24"/>
              </w:rPr>
              <w:t xml:space="preserve">  </w:t>
            </w:r>
          </w:p>
          <w:p w:rsidR="00B559F9" w:rsidRPr="0017167A" w:rsidRDefault="00B559F9" w:rsidP="000905CF">
            <w:pPr>
              <w:widowControl w:val="0"/>
              <w:spacing w:after="0" w:line="240" w:lineRule="auto"/>
              <w:rPr>
                <w:sz w:val="24"/>
              </w:rPr>
            </w:pPr>
            <w:r w:rsidRPr="0017167A">
              <w:rPr>
                <w:sz w:val="24"/>
              </w:rPr>
              <w:t>Case No. 14-841-EL-SSO</w:t>
            </w: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p>
          <w:p w:rsidR="00B559F9" w:rsidRPr="0017167A" w:rsidRDefault="00B559F9" w:rsidP="000905CF">
            <w:pPr>
              <w:widowControl w:val="0"/>
              <w:overflowPunct w:val="0"/>
              <w:autoSpaceDE w:val="0"/>
              <w:autoSpaceDN w:val="0"/>
              <w:adjustRightInd w:val="0"/>
              <w:spacing w:after="0" w:line="240" w:lineRule="auto"/>
              <w:rPr>
                <w:rFonts w:eastAsiaTheme="minorEastAsia"/>
                <w:kern w:val="28"/>
                <w:sz w:val="24"/>
              </w:rPr>
            </w:pPr>
            <w:r w:rsidRPr="0017167A">
              <w:rPr>
                <w:sz w:val="24"/>
              </w:rPr>
              <w:t>Case No. 14-842-EL-ATA</w:t>
            </w:r>
          </w:p>
        </w:tc>
      </w:tr>
    </w:tbl>
    <w:p w:rsidR="00B559F9" w:rsidRPr="009D71F6" w:rsidRDefault="00B559F9" w:rsidP="00B559F9">
      <w:pPr>
        <w:widowControl w:val="0"/>
        <w:pBdr>
          <w:bottom w:val="single" w:sz="12" w:space="0" w:color="auto"/>
        </w:pBdr>
        <w:spacing w:after="0" w:line="240" w:lineRule="auto"/>
        <w:rPr>
          <w:sz w:val="24"/>
        </w:rPr>
      </w:pPr>
    </w:p>
    <w:p w:rsidR="00B559F9" w:rsidRPr="009D71F6" w:rsidRDefault="00B559F9" w:rsidP="00B559F9">
      <w:pPr>
        <w:widowControl w:val="0"/>
        <w:spacing w:after="0" w:line="240" w:lineRule="auto"/>
        <w:jc w:val="center"/>
        <w:rPr>
          <w:b/>
          <w:bCs/>
          <w:sz w:val="24"/>
        </w:rPr>
      </w:pPr>
    </w:p>
    <w:p w:rsidR="00B559F9" w:rsidRPr="009D71F6" w:rsidRDefault="00B559F9" w:rsidP="00B559F9">
      <w:pPr>
        <w:widowControl w:val="0"/>
        <w:spacing w:after="0" w:line="240" w:lineRule="auto"/>
        <w:jc w:val="center"/>
        <w:rPr>
          <w:b/>
          <w:bCs/>
          <w:sz w:val="24"/>
        </w:rPr>
      </w:pPr>
      <w:r>
        <w:rPr>
          <w:b/>
          <w:bCs/>
          <w:sz w:val="24"/>
        </w:rPr>
        <w:t xml:space="preserve"> REPLY BRIEF OF IGS ENERGY</w:t>
      </w:r>
    </w:p>
    <w:p w:rsidR="00B559F9" w:rsidRPr="00A571B4" w:rsidRDefault="00B559F9" w:rsidP="00B559F9">
      <w:pPr>
        <w:widowControl w:val="0"/>
        <w:pBdr>
          <w:bottom w:val="single" w:sz="12" w:space="1" w:color="auto"/>
        </w:pBdr>
        <w:tabs>
          <w:tab w:val="left" w:pos="6461"/>
        </w:tabs>
        <w:spacing w:after="0" w:line="240" w:lineRule="auto"/>
        <w:rPr>
          <w:b/>
          <w:sz w:val="24"/>
        </w:rPr>
      </w:pPr>
    </w:p>
    <w:p w:rsidR="00B559F9" w:rsidRDefault="00B559F9" w:rsidP="00B66CD8">
      <w:pPr>
        <w:spacing w:after="120" w:line="480" w:lineRule="auto"/>
        <w:jc w:val="both"/>
        <w:rPr>
          <w:sz w:val="24"/>
        </w:rPr>
      </w:pPr>
    </w:p>
    <w:p w:rsidR="00875F94" w:rsidRDefault="00875F94" w:rsidP="00B66CD8">
      <w:pPr>
        <w:spacing w:after="120" w:line="480" w:lineRule="auto"/>
        <w:jc w:val="both"/>
        <w:rPr>
          <w:sz w:val="24"/>
        </w:rPr>
      </w:pPr>
    </w:p>
    <w:p w:rsidR="00875F94" w:rsidRDefault="00875F94" w:rsidP="00B66CD8">
      <w:pPr>
        <w:spacing w:after="120" w:line="480" w:lineRule="auto"/>
        <w:jc w:val="both"/>
        <w:rPr>
          <w:sz w:val="24"/>
        </w:rPr>
      </w:pPr>
    </w:p>
    <w:p w:rsidR="00875F94" w:rsidRDefault="00875F94" w:rsidP="00B66CD8">
      <w:pPr>
        <w:spacing w:after="120" w:line="480" w:lineRule="auto"/>
        <w:jc w:val="both"/>
        <w:rPr>
          <w:sz w:val="24"/>
        </w:rPr>
      </w:pPr>
    </w:p>
    <w:p w:rsidR="00875F94" w:rsidRDefault="00875F94" w:rsidP="00B66CD8">
      <w:pPr>
        <w:spacing w:after="120" w:line="480" w:lineRule="auto"/>
        <w:jc w:val="both"/>
        <w:rPr>
          <w:sz w:val="24"/>
        </w:rPr>
      </w:pPr>
    </w:p>
    <w:p w:rsidR="00CF3AE0" w:rsidRPr="000905CF" w:rsidRDefault="00CF3AE0" w:rsidP="00CF3AE0">
      <w:pPr>
        <w:spacing w:after="0" w:line="240" w:lineRule="auto"/>
        <w:ind w:left="5040"/>
        <w:rPr>
          <w:sz w:val="24"/>
        </w:rPr>
      </w:pPr>
      <w:r w:rsidRPr="000905CF">
        <w:rPr>
          <w:sz w:val="24"/>
        </w:rPr>
        <w:t>Joseph Oliker (0086088)</w:t>
      </w:r>
    </w:p>
    <w:p w:rsidR="00CF3AE0" w:rsidRPr="000905CF" w:rsidRDefault="00CF3AE0" w:rsidP="00CF3AE0">
      <w:pPr>
        <w:spacing w:after="0" w:line="240" w:lineRule="auto"/>
        <w:ind w:left="5040"/>
        <w:rPr>
          <w:sz w:val="24"/>
        </w:rPr>
      </w:pPr>
      <w:r w:rsidRPr="000905CF">
        <w:rPr>
          <w:sz w:val="24"/>
        </w:rPr>
        <w:t>Counsel of Record</w:t>
      </w:r>
    </w:p>
    <w:p w:rsidR="00CF3AE0" w:rsidRPr="00CF3AE0" w:rsidRDefault="00CF3AE0" w:rsidP="00CF3AE0">
      <w:pPr>
        <w:spacing w:after="0" w:line="240" w:lineRule="auto"/>
        <w:ind w:left="5040"/>
        <w:rPr>
          <w:sz w:val="24"/>
        </w:rPr>
      </w:pPr>
      <w:r w:rsidRPr="000905CF">
        <w:rPr>
          <w:sz w:val="24"/>
        </w:rPr>
        <w:t xml:space="preserve">Email: </w:t>
      </w:r>
      <w:hyperlink r:id="rId9" w:history="1">
        <w:r w:rsidRPr="00CF3AE0">
          <w:rPr>
            <w:sz w:val="24"/>
          </w:rPr>
          <w:t>joliker@igsenergy.com</w:t>
        </w:r>
      </w:hyperlink>
    </w:p>
    <w:p w:rsidR="00CF3AE0" w:rsidRPr="000905CF" w:rsidRDefault="00CF3AE0" w:rsidP="00CF3AE0">
      <w:pPr>
        <w:spacing w:after="0" w:line="240" w:lineRule="auto"/>
        <w:ind w:left="5040"/>
        <w:rPr>
          <w:sz w:val="24"/>
        </w:rPr>
      </w:pPr>
      <w:r w:rsidRPr="000905CF">
        <w:rPr>
          <w:sz w:val="24"/>
        </w:rPr>
        <w:t>IGS Energy</w:t>
      </w:r>
    </w:p>
    <w:p w:rsidR="00CF3AE0" w:rsidRPr="000905CF" w:rsidRDefault="00CF3AE0" w:rsidP="00CF3AE0">
      <w:pPr>
        <w:spacing w:after="0" w:line="240" w:lineRule="auto"/>
        <w:ind w:left="5040"/>
        <w:rPr>
          <w:sz w:val="24"/>
        </w:rPr>
      </w:pPr>
      <w:r w:rsidRPr="000905CF">
        <w:rPr>
          <w:sz w:val="24"/>
        </w:rPr>
        <w:t>6100 Emerald Parkway</w:t>
      </w:r>
    </w:p>
    <w:p w:rsidR="00CF3AE0" w:rsidRPr="000905CF" w:rsidRDefault="00CF3AE0" w:rsidP="00CF3AE0">
      <w:pPr>
        <w:spacing w:after="0" w:line="240" w:lineRule="auto"/>
        <w:ind w:left="5040"/>
        <w:rPr>
          <w:sz w:val="24"/>
        </w:rPr>
      </w:pPr>
      <w:r w:rsidRPr="000905CF">
        <w:rPr>
          <w:sz w:val="24"/>
        </w:rPr>
        <w:t>Dublin, Ohio 43016</w:t>
      </w:r>
    </w:p>
    <w:p w:rsidR="00CF3AE0" w:rsidRPr="000905CF" w:rsidRDefault="00CF3AE0" w:rsidP="00CF3AE0">
      <w:pPr>
        <w:spacing w:after="0" w:line="240" w:lineRule="auto"/>
        <w:ind w:left="5040"/>
        <w:rPr>
          <w:sz w:val="24"/>
        </w:rPr>
      </w:pPr>
      <w:r w:rsidRPr="000905CF">
        <w:rPr>
          <w:sz w:val="24"/>
        </w:rPr>
        <w:t>Telephone:</w:t>
      </w:r>
      <w:r w:rsidRPr="000905CF">
        <w:rPr>
          <w:sz w:val="24"/>
        </w:rPr>
        <w:tab/>
        <w:t>(614) 659-5000</w:t>
      </w:r>
    </w:p>
    <w:p w:rsidR="00CF3AE0" w:rsidRPr="000905CF" w:rsidRDefault="00CF3AE0" w:rsidP="00CF3AE0">
      <w:pPr>
        <w:spacing w:after="0" w:line="240" w:lineRule="auto"/>
        <w:ind w:left="5040"/>
        <w:rPr>
          <w:sz w:val="24"/>
        </w:rPr>
      </w:pPr>
      <w:r w:rsidRPr="000905CF">
        <w:rPr>
          <w:sz w:val="24"/>
        </w:rPr>
        <w:t>Facsimile:</w:t>
      </w:r>
      <w:r w:rsidRPr="000905CF">
        <w:rPr>
          <w:sz w:val="24"/>
        </w:rPr>
        <w:tab/>
        <w:t>(614) 659-5073</w:t>
      </w:r>
    </w:p>
    <w:p w:rsidR="00CF3AE0" w:rsidRPr="000905CF" w:rsidRDefault="00CF3AE0" w:rsidP="00CF3AE0">
      <w:pPr>
        <w:spacing w:after="0" w:line="240" w:lineRule="auto"/>
        <w:ind w:left="5040"/>
        <w:rPr>
          <w:sz w:val="24"/>
        </w:rPr>
      </w:pPr>
    </w:p>
    <w:p w:rsidR="00CF3AE0" w:rsidRPr="000905CF" w:rsidRDefault="00CF3AE0" w:rsidP="00CF3AE0">
      <w:pPr>
        <w:spacing w:after="0" w:line="240" w:lineRule="auto"/>
        <w:ind w:left="5040"/>
        <w:rPr>
          <w:b/>
          <w:i/>
          <w:sz w:val="24"/>
        </w:rPr>
      </w:pPr>
      <w:r w:rsidRPr="000905CF">
        <w:rPr>
          <w:b/>
          <w:i/>
          <w:sz w:val="24"/>
        </w:rPr>
        <w:t>Attorney for IGS Energy</w:t>
      </w:r>
    </w:p>
    <w:p w:rsidR="00875F94" w:rsidRDefault="00875F94" w:rsidP="00B66CD8">
      <w:pPr>
        <w:spacing w:after="120" w:line="480" w:lineRule="auto"/>
        <w:jc w:val="both"/>
        <w:rPr>
          <w:sz w:val="24"/>
        </w:rPr>
      </w:pPr>
    </w:p>
    <w:p w:rsidR="00875F94" w:rsidRDefault="00CF3AE0" w:rsidP="00B66CD8">
      <w:pPr>
        <w:spacing w:after="120" w:line="480" w:lineRule="auto"/>
        <w:jc w:val="both"/>
        <w:rPr>
          <w:sz w:val="24"/>
        </w:rPr>
      </w:pPr>
      <w:r>
        <w:rPr>
          <w:sz w:val="24"/>
        </w:rPr>
        <w:tab/>
      </w:r>
      <w:r>
        <w:rPr>
          <w:sz w:val="24"/>
        </w:rPr>
        <w:tab/>
      </w:r>
      <w:r>
        <w:rPr>
          <w:sz w:val="24"/>
        </w:rPr>
        <w:tab/>
      </w:r>
      <w:r>
        <w:rPr>
          <w:sz w:val="24"/>
        </w:rPr>
        <w:tab/>
      </w:r>
      <w:r>
        <w:rPr>
          <w:sz w:val="24"/>
        </w:rPr>
        <w:tab/>
      </w:r>
      <w:r>
        <w:rPr>
          <w:sz w:val="24"/>
        </w:rPr>
        <w:tab/>
      </w:r>
      <w:r>
        <w:rPr>
          <w:sz w:val="24"/>
        </w:rPr>
        <w:tab/>
      </w:r>
    </w:p>
    <w:p w:rsidR="00875F94" w:rsidRPr="004E695C" w:rsidRDefault="00875F94" w:rsidP="00875F94">
      <w:pPr>
        <w:spacing w:line="480" w:lineRule="auto"/>
        <w:ind w:firstLine="360"/>
        <w:jc w:val="center"/>
        <w:rPr>
          <w:b/>
          <w:sz w:val="24"/>
          <w:u w:val="single"/>
        </w:rPr>
      </w:pPr>
      <w:r>
        <w:rPr>
          <w:b/>
          <w:sz w:val="24"/>
          <w:u w:val="single"/>
        </w:rPr>
        <w:lastRenderedPageBreak/>
        <w:t xml:space="preserve">TABLE </w:t>
      </w:r>
      <w:r w:rsidRPr="004E695C">
        <w:rPr>
          <w:b/>
          <w:sz w:val="24"/>
          <w:u w:val="single"/>
        </w:rPr>
        <w:t>OF CONTENTS</w:t>
      </w:r>
    </w:p>
    <w:p w:rsidR="00875F94" w:rsidRDefault="00875F94" w:rsidP="00875F94">
      <w:pPr>
        <w:pStyle w:val="ListParagraph"/>
        <w:numPr>
          <w:ilvl w:val="0"/>
          <w:numId w:val="6"/>
        </w:numPr>
        <w:spacing w:after="0" w:line="480" w:lineRule="auto"/>
        <w:rPr>
          <w:sz w:val="24"/>
        </w:rPr>
      </w:pPr>
      <w:r>
        <w:rPr>
          <w:sz w:val="24"/>
        </w:rPr>
        <w:t>INTRODUCTION      . . . . . . . . . . . . . . . . . . . . . . . . . . . . . . . . . . . . . . . . .       3</w:t>
      </w:r>
    </w:p>
    <w:p w:rsidR="00913FD9" w:rsidRDefault="00913FD9" w:rsidP="00875F94">
      <w:pPr>
        <w:pStyle w:val="ListParagraph"/>
        <w:numPr>
          <w:ilvl w:val="0"/>
          <w:numId w:val="6"/>
        </w:numPr>
        <w:spacing w:after="0" w:line="480" w:lineRule="auto"/>
        <w:rPr>
          <w:sz w:val="24"/>
        </w:rPr>
      </w:pPr>
      <w:r>
        <w:rPr>
          <w:sz w:val="24"/>
        </w:rPr>
        <w:t>ARGUMENT        . . . . . . . . . . . . . . . . . . . . . . . . . . . . . . . . . . . . . . . . . . . .      4</w:t>
      </w:r>
    </w:p>
    <w:p w:rsidR="00875F94" w:rsidRPr="007D5BFB" w:rsidRDefault="00875F94" w:rsidP="00875F94">
      <w:pPr>
        <w:pStyle w:val="ListParagraph"/>
        <w:numPr>
          <w:ilvl w:val="1"/>
          <w:numId w:val="6"/>
        </w:numPr>
        <w:spacing w:after="0" w:line="480" w:lineRule="auto"/>
        <w:ind w:left="1224"/>
        <w:rPr>
          <w:sz w:val="24"/>
        </w:rPr>
      </w:pPr>
      <w:r w:rsidRPr="007D5BFB">
        <w:rPr>
          <w:sz w:val="24"/>
        </w:rPr>
        <w:t>The Commission Should Reject Duke’s Proposal to Prohibit CRES Providers from Using the Bill-Ready Function to Bill for Non-Commodity Charges</w:t>
      </w:r>
      <w:r>
        <w:rPr>
          <w:sz w:val="24"/>
        </w:rPr>
        <w:t xml:space="preserve">      </w:t>
      </w:r>
      <w:r w:rsidRPr="007D5BFB">
        <w:rPr>
          <w:sz w:val="24"/>
        </w:rPr>
        <w:t xml:space="preserve">. . </w:t>
      </w:r>
      <w:r>
        <w:rPr>
          <w:sz w:val="24"/>
        </w:rPr>
        <w:t>. . . . . . . . . . . . . . . . . . . . . . . . . . . . . .</w:t>
      </w:r>
      <w:r w:rsidR="00CF3AE0">
        <w:rPr>
          <w:sz w:val="24"/>
        </w:rPr>
        <w:t xml:space="preserve"> . . . . . . . . . . . . . . . </w:t>
      </w:r>
      <w:r>
        <w:rPr>
          <w:sz w:val="24"/>
        </w:rPr>
        <w:t xml:space="preserve"> </w:t>
      </w:r>
      <w:r w:rsidR="00CF3AE0">
        <w:rPr>
          <w:sz w:val="24"/>
        </w:rPr>
        <w:t xml:space="preserve"> </w:t>
      </w:r>
      <w:r w:rsidRPr="007D5BFB">
        <w:rPr>
          <w:sz w:val="24"/>
        </w:rPr>
        <w:t xml:space="preserve">    </w:t>
      </w:r>
      <w:r>
        <w:rPr>
          <w:sz w:val="24"/>
        </w:rPr>
        <w:t>4</w:t>
      </w:r>
      <w:r w:rsidRPr="007D5BFB">
        <w:t xml:space="preserve">  </w:t>
      </w:r>
    </w:p>
    <w:p w:rsidR="00875F94" w:rsidRPr="007D5BFB" w:rsidRDefault="00875F94" w:rsidP="00875F94">
      <w:pPr>
        <w:pStyle w:val="ListParagraph"/>
        <w:numPr>
          <w:ilvl w:val="0"/>
          <w:numId w:val="8"/>
        </w:numPr>
        <w:spacing w:after="0" w:line="480" w:lineRule="auto"/>
        <w:rPr>
          <w:sz w:val="24"/>
        </w:rPr>
      </w:pPr>
      <w:r w:rsidRPr="007D5BFB">
        <w:rPr>
          <w:sz w:val="24"/>
        </w:rPr>
        <w:t>The Commission should reject the PSR . .</w:t>
      </w:r>
      <w:r>
        <w:rPr>
          <w:sz w:val="24"/>
        </w:rPr>
        <w:t xml:space="preserve"> . . . . . . . . . . . .</w:t>
      </w:r>
      <w:r w:rsidRPr="007D5BFB">
        <w:rPr>
          <w:sz w:val="24"/>
        </w:rPr>
        <w:t xml:space="preserve">. . . . . . . . . . .        </w:t>
      </w:r>
      <w:r>
        <w:rPr>
          <w:sz w:val="24"/>
        </w:rPr>
        <w:t>6</w:t>
      </w:r>
    </w:p>
    <w:p w:rsidR="00875F94" w:rsidRPr="007D5BFB" w:rsidRDefault="00875F94" w:rsidP="00875F94">
      <w:pPr>
        <w:pStyle w:val="ListParagraph"/>
        <w:numPr>
          <w:ilvl w:val="0"/>
          <w:numId w:val="7"/>
        </w:numPr>
        <w:spacing w:after="100" w:afterAutospacing="1" w:line="480" w:lineRule="auto"/>
      </w:pPr>
      <w:r w:rsidRPr="007D5BFB">
        <w:t xml:space="preserve">The PSR is not authorized under Ohio law  </w:t>
      </w:r>
      <w:r>
        <w:t xml:space="preserve"> </w:t>
      </w:r>
    </w:p>
    <w:p w:rsidR="00875F94" w:rsidRPr="007D5BFB" w:rsidRDefault="00875F94" w:rsidP="00875F94">
      <w:pPr>
        <w:pStyle w:val="ListParagraph"/>
        <w:numPr>
          <w:ilvl w:val="0"/>
          <w:numId w:val="7"/>
        </w:numPr>
        <w:spacing w:after="100" w:afterAutospacing="1" w:line="480" w:lineRule="auto"/>
      </w:pPr>
      <w:r w:rsidRPr="007D5BFB">
        <w:t xml:space="preserve">The PSR is a bad deal for customers </w:t>
      </w:r>
    </w:p>
    <w:p w:rsidR="00875F94" w:rsidRPr="007D5BFB" w:rsidRDefault="00875F94" w:rsidP="00875F94">
      <w:pPr>
        <w:pStyle w:val="ListParagraph"/>
        <w:numPr>
          <w:ilvl w:val="0"/>
          <w:numId w:val="7"/>
        </w:numPr>
        <w:spacing w:after="0" w:line="480" w:lineRule="auto"/>
      </w:pPr>
      <w:r w:rsidRPr="007D5BFB">
        <w:t>The Commission should avoid a federal challenge</w:t>
      </w:r>
    </w:p>
    <w:p w:rsidR="00875F94" w:rsidRPr="00875F94" w:rsidRDefault="00875F94" w:rsidP="00875F94">
      <w:pPr>
        <w:pStyle w:val="ListParagraph"/>
        <w:numPr>
          <w:ilvl w:val="0"/>
          <w:numId w:val="7"/>
        </w:numPr>
        <w:spacing w:after="0" w:line="480" w:lineRule="auto"/>
      </w:pPr>
      <w:r w:rsidRPr="007D5BFB">
        <w:t>Duke should be required to transfer is OVEC Assets</w:t>
      </w:r>
    </w:p>
    <w:p w:rsidR="00CF3AE0" w:rsidRPr="00CF3AE0" w:rsidRDefault="00CF3AE0" w:rsidP="00CF3AE0">
      <w:pPr>
        <w:pStyle w:val="ListParagraph"/>
        <w:numPr>
          <w:ilvl w:val="0"/>
          <w:numId w:val="8"/>
        </w:numPr>
        <w:spacing w:after="0" w:line="480" w:lineRule="auto"/>
        <w:rPr>
          <w:sz w:val="24"/>
        </w:rPr>
      </w:pPr>
      <w:r w:rsidRPr="00CF3AE0">
        <w:rPr>
          <w:sz w:val="24"/>
        </w:rPr>
        <w:t xml:space="preserve">The Commission Should not Approve an SSO that Does not Reflect the </w:t>
      </w:r>
    </w:p>
    <w:p w:rsidR="00875F94" w:rsidRPr="00CF3AE0" w:rsidRDefault="00CF3AE0" w:rsidP="00CF3AE0">
      <w:pPr>
        <w:pStyle w:val="ListParagraph"/>
        <w:spacing w:after="0" w:line="480" w:lineRule="auto"/>
        <w:ind w:left="1224"/>
        <w:rPr>
          <w:sz w:val="24"/>
        </w:rPr>
      </w:pPr>
      <w:r w:rsidRPr="00CF3AE0">
        <w:rPr>
          <w:sz w:val="24"/>
        </w:rPr>
        <w:t xml:space="preserve">Full Cost of Providing SSO Service to </w:t>
      </w:r>
      <w:proofErr w:type="gramStart"/>
      <w:r w:rsidRPr="00CF3AE0">
        <w:rPr>
          <w:sz w:val="24"/>
        </w:rPr>
        <w:t>Customers</w:t>
      </w:r>
      <w:r w:rsidR="00875F94" w:rsidRPr="00CF3AE0">
        <w:rPr>
          <w:sz w:val="24"/>
        </w:rPr>
        <w:t>.</w:t>
      </w:r>
      <w:proofErr w:type="gramEnd"/>
      <w:r w:rsidR="00875F94" w:rsidRPr="00CF3AE0">
        <w:rPr>
          <w:sz w:val="24"/>
        </w:rPr>
        <w:t xml:space="preserve"> . . </w:t>
      </w:r>
      <w:r>
        <w:rPr>
          <w:sz w:val="24"/>
        </w:rPr>
        <w:t xml:space="preserve">. . . . . . . . . . . . . . </w:t>
      </w:r>
      <w:r w:rsidR="00875F94" w:rsidRPr="00CF3AE0">
        <w:rPr>
          <w:sz w:val="24"/>
        </w:rPr>
        <w:t xml:space="preserve">     15</w:t>
      </w:r>
    </w:p>
    <w:p w:rsidR="00875F94" w:rsidRPr="007D5BFB" w:rsidRDefault="00875F94" w:rsidP="00875F94">
      <w:pPr>
        <w:spacing w:after="0" w:line="480" w:lineRule="auto"/>
        <w:rPr>
          <w:sz w:val="24"/>
        </w:rPr>
      </w:pPr>
      <w:r>
        <w:rPr>
          <w:sz w:val="24"/>
        </w:rPr>
        <w:t xml:space="preserve">   I</w:t>
      </w:r>
      <w:r w:rsidR="00913FD9">
        <w:rPr>
          <w:sz w:val="24"/>
        </w:rPr>
        <w:t>I</w:t>
      </w:r>
      <w:r>
        <w:rPr>
          <w:sz w:val="24"/>
        </w:rPr>
        <w:t>I.         CONCLUSION       . . . . . . . . . . . . . . . . . . . . . . . . . .</w:t>
      </w:r>
      <w:r w:rsidR="00913FD9">
        <w:rPr>
          <w:sz w:val="24"/>
        </w:rPr>
        <w:t xml:space="preserve"> . . . . . . . . . . . . . . .  </w:t>
      </w:r>
      <w:r>
        <w:rPr>
          <w:sz w:val="24"/>
        </w:rPr>
        <w:t xml:space="preserve">      18</w:t>
      </w:r>
    </w:p>
    <w:p w:rsidR="00875F94" w:rsidRDefault="00875F94" w:rsidP="00875F94">
      <w:pPr>
        <w:pStyle w:val="ListParagraph"/>
        <w:spacing w:line="480" w:lineRule="auto"/>
        <w:ind w:left="1080"/>
      </w:pPr>
    </w:p>
    <w:p w:rsidR="00875F94" w:rsidRPr="00BB72C7" w:rsidRDefault="00875F94" w:rsidP="00875F94">
      <w:pPr>
        <w:rPr>
          <w:sz w:val="24"/>
        </w:rPr>
      </w:pPr>
    </w:p>
    <w:p w:rsidR="00875F94" w:rsidRDefault="00875F94" w:rsidP="00B66CD8">
      <w:pPr>
        <w:spacing w:after="120" w:line="480" w:lineRule="auto"/>
        <w:jc w:val="both"/>
        <w:rPr>
          <w:sz w:val="24"/>
        </w:rPr>
      </w:pPr>
    </w:p>
    <w:p w:rsidR="00875F94" w:rsidRDefault="00875F94" w:rsidP="00B66CD8">
      <w:pPr>
        <w:spacing w:after="120" w:line="480" w:lineRule="auto"/>
        <w:jc w:val="both"/>
        <w:rPr>
          <w:sz w:val="24"/>
        </w:rPr>
      </w:pPr>
    </w:p>
    <w:p w:rsidR="00875F94" w:rsidRDefault="00875F94" w:rsidP="00B66CD8">
      <w:pPr>
        <w:spacing w:after="120" w:line="480" w:lineRule="auto"/>
        <w:jc w:val="both"/>
        <w:rPr>
          <w:sz w:val="24"/>
        </w:rPr>
      </w:pPr>
    </w:p>
    <w:p w:rsidR="00875F94" w:rsidRDefault="00875F94" w:rsidP="00B66CD8">
      <w:pPr>
        <w:spacing w:after="120" w:line="480" w:lineRule="auto"/>
        <w:jc w:val="both"/>
        <w:rPr>
          <w:sz w:val="24"/>
        </w:rPr>
      </w:pPr>
    </w:p>
    <w:p w:rsidR="00875F94" w:rsidRDefault="00875F94" w:rsidP="00B66CD8">
      <w:pPr>
        <w:spacing w:after="120" w:line="480" w:lineRule="auto"/>
        <w:jc w:val="both"/>
        <w:rPr>
          <w:sz w:val="24"/>
        </w:rPr>
      </w:pPr>
    </w:p>
    <w:p w:rsidR="00913FD9" w:rsidRDefault="00913FD9" w:rsidP="00B66CD8">
      <w:pPr>
        <w:spacing w:after="120" w:line="480" w:lineRule="auto"/>
        <w:jc w:val="both"/>
        <w:rPr>
          <w:sz w:val="24"/>
        </w:rPr>
      </w:pPr>
    </w:p>
    <w:p w:rsidR="00A82E9E" w:rsidRDefault="00A82E9E" w:rsidP="00A82E9E">
      <w:pPr>
        <w:pStyle w:val="ListParagraph"/>
        <w:numPr>
          <w:ilvl w:val="0"/>
          <w:numId w:val="4"/>
        </w:numPr>
        <w:spacing w:after="120" w:line="480" w:lineRule="auto"/>
        <w:jc w:val="both"/>
        <w:rPr>
          <w:b/>
          <w:sz w:val="24"/>
        </w:rPr>
      </w:pPr>
      <w:r>
        <w:rPr>
          <w:b/>
          <w:sz w:val="24"/>
        </w:rPr>
        <w:lastRenderedPageBreak/>
        <w:t>INTRODUCTION</w:t>
      </w:r>
    </w:p>
    <w:p w:rsidR="00A82E9E" w:rsidRPr="00A82E9E" w:rsidRDefault="00A82E9E" w:rsidP="00A82E9E">
      <w:pPr>
        <w:spacing w:after="120" w:line="480" w:lineRule="auto"/>
        <w:ind w:firstLine="720"/>
        <w:jc w:val="both"/>
        <w:rPr>
          <w:b/>
          <w:sz w:val="24"/>
        </w:rPr>
      </w:pPr>
      <w:r w:rsidRPr="00A82E9E">
        <w:rPr>
          <w:sz w:val="24"/>
        </w:rPr>
        <w:t>The</w:t>
      </w:r>
      <w:r>
        <w:rPr>
          <w:sz w:val="24"/>
        </w:rPr>
        <w:t xml:space="preserve"> extensive record in this case</w:t>
      </w:r>
      <w:r w:rsidRPr="00A82E9E">
        <w:rPr>
          <w:sz w:val="24"/>
          <w:vertAlign w:val="superscript"/>
        </w:rPr>
        <w:footnoteReference w:id="1"/>
      </w:r>
      <w:r>
        <w:rPr>
          <w:sz w:val="24"/>
        </w:rPr>
        <w:t xml:space="preserve"> and the</w:t>
      </w:r>
      <w:r w:rsidR="00913FD9">
        <w:rPr>
          <w:sz w:val="24"/>
        </w:rPr>
        <w:t xml:space="preserve"> initial briefs submitted by</w:t>
      </w:r>
      <w:r w:rsidRPr="00A82E9E">
        <w:rPr>
          <w:sz w:val="24"/>
        </w:rPr>
        <w:t xml:space="preserve"> a diver</w:t>
      </w:r>
      <w:r>
        <w:rPr>
          <w:sz w:val="24"/>
        </w:rPr>
        <w:t>se group of customer parties (Staff, competitive retail electric service (“CRES”) providers, customers of varying usage, and environmental groups) confirm that Duke Energy Ohio, Inc</w:t>
      </w:r>
      <w:r w:rsidR="00913FD9">
        <w:rPr>
          <w:sz w:val="24"/>
        </w:rPr>
        <w:t>.</w:t>
      </w:r>
      <w:r>
        <w:rPr>
          <w:sz w:val="24"/>
        </w:rPr>
        <w:t xml:space="preserve">’s (“Duke”) </w:t>
      </w:r>
      <w:r w:rsidRPr="00A82E9E">
        <w:rPr>
          <w:sz w:val="24"/>
        </w:rPr>
        <w:t>proposal to establish the PSR and its other proposals that would materially inhibit competition</w:t>
      </w:r>
      <w:r>
        <w:rPr>
          <w:sz w:val="24"/>
        </w:rPr>
        <w:t xml:space="preserve"> are unlawful and unreasonable</w:t>
      </w:r>
      <w:r w:rsidRPr="00A82E9E">
        <w:rPr>
          <w:sz w:val="24"/>
        </w:rPr>
        <w:t xml:space="preserve">.  </w:t>
      </w:r>
    </w:p>
    <w:p w:rsidR="00A82E9E" w:rsidRDefault="00A82E9E" w:rsidP="00B66CD8">
      <w:pPr>
        <w:spacing w:after="120" w:line="480" w:lineRule="auto"/>
        <w:jc w:val="both"/>
        <w:rPr>
          <w:sz w:val="24"/>
        </w:rPr>
      </w:pPr>
      <w:r>
        <w:rPr>
          <w:sz w:val="24"/>
        </w:rPr>
        <w:tab/>
        <w:t xml:space="preserve">Despite the overwhelming record evidence and Ohio laws, Duke proposes that the Commission approve, among other things, three anticompetitive proposals.  Duke requests </w:t>
      </w:r>
      <w:r w:rsidR="00A95A09">
        <w:rPr>
          <w:sz w:val="24"/>
        </w:rPr>
        <w:t xml:space="preserve">approval to discriminate against CRES providers—specifically, Duke proposes to prohibit CRES providers for billing for non-commodity charges while allowing its affiliate, Duke Energy One, to do so.  </w:t>
      </w:r>
      <w:proofErr w:type="gramStart"/>
      <w:r w:rsidR="00A95A09">
        <w:rPr>
          <w:sz w:val="24"/>
        </w:rPr>
        <w:t>Duke requests that the Commission insulate its interest in two generation assets from the risk of the competitive market</w:t>
      </w:r>
      <w:r w:rsidR="00913FD9">
        <w:rPr>
          <w:sz w:val="24"/>
        </w:rPr>
        <w:t>,</w:t>
      </w:r>
      <w:r w:rsidR="00A95A09">
        <w:rPr>
          <w:sz w:val="24"/>
        </w:rPr>
        <w:t xml:space="preserve"> through the deceptively named Price Stability Rider (“PSR”); clinging to the counterfactual claim that the PSR is a hedge and a good deal for customers.</w:t>
      </w:r>
      <w:proofErr w:type="gramEnd"/>
      <w:r w:rsidR="00A95A09">
        <w:rPr>
          <w:sz w:val="24"/>
        </w:rPr>
        <w:t xml:space="preserve">  Finally, Duke requests that the Commission approve its request to approve a</w:t>
      </w:r>
      <w:r w:rsidR="00B04B33">
        <w:rPr>
          <w:sz w:val="24"/>
        </w:rPr>
        <w:t>n archaic default service structure that would bundle a portion of generation-related costs with distribution rates, contrary to Ohio law and policy.</w:t>
      </w:r>
    </w:p>
    <w:p w:rsidR="00B04B33" w:rsidRDefault="00B04B33" w:rsidP="00B66CD8">
      <w:pPr>
        <w:spacing w:after="120" w:line="480" w:lineRule="auto"/>
        <w:jc w:val="both"/>
        <w:rPr>
          <w:sz w:val="24"/>
        </w:rPr>
      </w:pPr>
      <w:r>
        <w:rPr>
          <w:sz w:val="24"/>
        </w:rPr>
        <w:tab/>
        <w:t xml:space="preserve">As discussed in Interstate Gas Supply, </w:t>
      </w:r>
      <w:proofErr w:type="spellStart"/>
      <w:r>
        <w:rPr>
          <w:sz w:val="24"/>
        </w:rPr>
        <w:t>Inc’s</w:t>
      </w:r>
      <w:proofErr w:type="spellEnd"/>
      <w:r>
        <w:rPr>
          <w:sz w:val="24"/>
        </w:rPr>
        <w:t xml:space="preserve"> (“IGS”) Initial Brief and further below, the Commission should reject Duke’s anticompetitive and unlawful proposals and adopt modifications to Duke’s electric security plan (“ESP”) recommended by IGS.  </w:t>
      </w:r>
      <w:r>
        <w:rPr>
          <w:sz w:val="24"/>
        </w:rPr>
        <w:lastRenderedPageBreak/>
        <w:t>Also, IGS urges the Commission to adopt the proposals contained in the testimony and briefs of the Retail Energy Supply Association (“RESA”).</w:t>
      </w:r>
      <w:r>
        <w:rPr>
          <w:rStyle w:val="FootnoteReference"/>
          <w:sz w:val="24"/>
        </w:rPr>
        <w:footnoteReference w:id="2"/>
      </w:r>
      <w:r>
        <w:rPr>
          <w:sz w:val="24"/>
        </w:rPr>
        <w:t xml:space="preserve">   </w:t>
      </w:r>
    </w:p>
    <w:p w:rsidR="00913FD9" w:rsidRPr="00913FD9" w:rsidRDefault="00913FD9" w:rsidP="00913FD9">
      <w:pPr>
        <w:pStyle w:val="ListParagraph"/>
        <w:numPr>
          <w:ilvl w:val="0"/>
          <w:numId w:val="4"/>
        </w:numPr>
        <w:spacing w:after="120" w:line="480" w:lineRule="auto"/>
        <w:jc w:val="both"/>
        <w:rPr>
          <w:b/>
          <w:sz w:val="24"/>
        </w:rPr>
      </w:pPr>
      <w:r>
        <w:rPr>
          <w:b/>
          <w:sz w:val="24"/>
        </w:rPr>
        <w:t>ARGUMENT</w:t>
      </w:r>
    </w:p>
    <w:p w:rsidR="000905CF" w:rsidRDefault="000905CF" w:rsidP="00913FD9">
      <w:pPr>
        <w:pStyle w:val="ListParagraph"/>
        <w:numPr>
          <w:ilvl w:val="0"/>
          <w:numId w:val="3"/>
        </w:numPr>
        <w:autoSpaceDE w:val="0"/>
        <w:autoSpaceDN w:val="0"/>
        <w:adjustRightInd w:val="0"/>
        <w:spacing w:after="120" w:line="240" w:lineRule="auto"/>
        <w:jc w:val="both"/>
        <w:rPr>
          <w:b/>
          <w:sz w:val="24"/>
        </w:rPr>
      </w:pPr>
      <w:r w:rsidRPr="00CF0F34">
        <w:rPr>
          <w:b/>
          <w:sz w:val="24"/>
        </w:rPr>
        <w:t>The Commission Should Reject Duke’s Proposal to Prohibit CRES Providers from Using the Bill-Ready Function to Bill for Non-Commodity Charges</w:t>
      </w:r>
    </w:p>
    <w:p w:rsidR="00913FD9" w:rsidRPr="00913FD9" w:rsidRDefault="00913FD9" w:rsidP="00913FD9">
      <w:pPr>
        <w:pStyle w:val="ListParagraph"/>
        <w:autoSpaceDE w:val="0"/>
        <w:autoSpaceDN w:val="0"/>
        <w:adjustRightInd w:val="0"/>
        <w:spacing w:after="120" w:line="240" w:lineRule="auto"/>
        <w:ind w:left="1080"/>
        <w:jc w:val="both"/>
        <w:rPr>
          <w:b/>
          <w:sz w:val="24"/>
        </w:rPr>
      </w:pPr>
    </w:p>
    <w:p w:rsidR="000905CF" w:rsidRPr="00CF0F34" w:rsidRDefault="000905CF" w:rsidP="000905CF">
      <w:pPr>
        <w:pStyle w:val="ListParagraph"/>
        <w:autoSpaceDE w:val="0"/>
        <w:autoSpaceDN w:val="0"/>
        <w:adjustRightInd w:val="0"/>
        <w:spacing w:after="120" w:line="480" w:lineRule="auto"/>
        <w:ind w:left="0"/>
        <w:jc w:val="both"/>
        <w:rPr>
          <w:sz w:val="24"/>
        </w:rPr>
      </w:pPr>
      <w:r w:rsidRPr="00CF0F34">
        <w:rPr>
          <w:sz w:val="24"/>
        </w:rPr>
        <w:tab/>
        <w:t>In its Initial Brief</w:t>
      </w:r>
      <w:r>
        <w:rPr>
          <w:sz w:val="24"/>
        </w:rPr>
        <w:t>,</w:t>
      </w:r>
      <w:r w:rsidRPr="00CF0F34">
        <w:rPr>
          <w:sz w:val="24"/>
        </w:rPr>
        <w:t xml:space="preserve"> IGS demonstrated that Duke’s proposal to amend its tariff so as to prohibit CRES providers from using the bill-ready function to bill for non-commodity charges is unreasonable.  Specifically</w:t>
      </w:r>
      <w:r>
        <w:rPr>
          <w:sz w:val="24"/>
        </w:rPr>
        <w:t>,</w:t>
      </w:r>
      <w:r w:rsidRPr="00CF0F34">
        <w:rPr>
          <w:sz w:val="24"/>
        </w:rPr>
        <w:t xml:space="preserve"> IGS noted that it is important to enable CRES providers to offer a more diversified range of products and services that help customers use and consume energy more efficiently.  Further, IGS explained that Duke is already allowing its affiliate company, Duke Energy One, to place non-commodity charges on the utility bill.  Thus</w:t>
      </w:r>
      <w:r>
        <w:rPr>
          <w:sz w:val="24"/>
        </w:rPr>
        <w:t>,</w:t>
      </w:r>
      <w:r w:rsidRPr="00CF0F34">
        <w:rPr>
          <w:sz w:val="24"/>
        </w:rPr>
        <w:t xml:space="preserve"> it would be discriminatory and contrary to Ohio law to prohibit CRES providers from doing the same.</w:t>
      </w:r>
      <w:r w:rsidRPr="00CF0F34">
        <w:rPr>
          <w:rStyle w:val="FootnoteReference"/>
          <w:sz w:val="24"/>
        </w:rPr>
        <w:footnoteReference w:id="3"/>
      </w:r>
    </w:p>
    <w:p w:rsidR="000905CF" w:rsidRPr="00CF0F34" w:rsidRDefault="000905CF" w:rsidP="000A1E84">
      <w:pPr>
        <w:pStyle w:val="ListParagraph"/>
        <w:autoSpaceDE w:val="0"/>
        <w:autoSpaceDN w:val="0"/>
        <w:adjustRightInd w:val="0"/>
        <w:spacing w:after="120" w:line="480" w:lineRule="auto"/>
        <w:ind w:left="0"/>
        <w:jc w:val="both"/>
        <w:rPr>
          <w:sz w:val="24"/>
        </w:rPr>
      </w:pPr>
      <w:r w:rsidRPr="00CF0F34">
        <w:rPr>
          <w:sz w:val="24"/>
        </w:rPr>
        <w:tab/>
        <w:t>In its Initial Brief</w:t>
      </w:r>
      <w:r>
        <w:rPr>
          <w:sz w:val="24"/>
        </w:rPr>
        <w:t>,</w:t>
      </w:r>
      <w:r w:rsidRPr="00CF0F34">
        <w:rPr>
          <w:sz w:val="24"/>
        </w:rPr>
        <w:t xml:space="preserve"> Duke claims that it is necessary to restrict non-commodity CRES charges from being on utility bill so that those charges are not included in the purchase of receivables program (“POR”).</w:t>
      </w:r>
      <w:r w:rsidRPr="00CF0F34">
        <w:rPr>
          <w:rStyle w:val="FootnoteReference"/>
          <w:sz w:val="24"/>
        </w:rPr>
        <w:footnoteReference w:id="4"/>
      </w:r>
      <w:r w:rsidRPr="00CF0F34">
        <w:rPr>
          <w:sz w:val="24"/>
        </w:rPr>
        <w:t xml:space="preserve">  However, as noted in IGS witness White’s testimony, if the Commission does not wish for non-commodity charges to be included in its POR program, the Commission can simply amend Duke’s tariff to exclude those </w:t>
      </w:r>
      <w:r w:rsidRPr="00CF0F34">
        <w:rPr>
          <w:sz w:val="24"/>
        </w:rPr>
        <w:lastRenderedPageBreak/>
        <w:t>charges from its POR program</w:t>
      </w:r>
      <w:r w:rsidR="00CF3AE0" w:rsidRPr="00CF3AE0">
        <w:rPr>
          <w:sz w:val="24"/>
        </w:rPr>
        <w:t>, without implementing a blanket prohibition against including the charges on the utility bill.</w:t>
      </w:r>
      <w:r w:rsidRPr="00CF0F34">
        <w:rPr>
          <w:rStyle w:val="FootnoteReference"/>
          <w:sz w:val="24"/>
        </w:rPr>
        <w:footnoteReference w:id="5"/>
      </w:r>
      <w:r w:rsidRPr="00CF0F34">
        <w:rPr>
          <w:sz w:val="24"/>
        </w:rPr>
        <w:t xml:space="preserve">  </w:t>
      </w:r>
    </w:p>
    <w:p w:rsidR="000905CF" w:rsidRPr="00CF0F34" w:rsidRDefault="000905CF" w:rsidP="000A1E84">
      <w:pPr>
        <w:autoSpaceDE w:val="0"/>
        <w:autoSpaceDN w:val="0"/>
        <w:adjustRightInd w:val="0"/>
        <w:spacing w:after="0" w:line="480" w:lineRule="auto"/>
        <w:jc w:val="both"/>
        <w:rPr>
          <w:color w:val="383838"/>
          <w:sz w:val="24"/>
        </w:rPr>
      </w:pPr>
      <w:r w:rsidRPr="00CF0F34">
        <w:rPr>
          <w:sz w:val="24"/>
        </w:rPr>
        <w:tab/>
        <w:t>Duke also claims in its Initial Brief that “(t</w:t>
      </w:r>
      <w:proofErr w:type="gramStart"/>
      <w:r w:rsidRPr="00CF0F34">
        <w:rPr>
          <w:sz w:val="24"/>
        </w:rPr>
        <w:t>)he</w:t>
      </w:r>
      <w:proofErr w:type="gramEnd"/>
      <w:r w:rsidRPr="00CF0F34">
        <w:rPr>
          <w:sz w:val="24"/>
        </w:rPr>
        <w:t xml:space="preserve"> Company's billing system does not accommodate a means by which to separate out such charges.”  Duke provides no evidence supporting this conclusory statement.</w:t>
      </w:r>
      <w:r w:rsidRPr="00CF0F34">
        <w:rPr>
          <w:rStyle w:val="FootnoteReference"/>
          <w:sz w:val="24"/>
        </w:rPr>
        <w:footnoteReference w:id="6"/>
      </w:r>
      <w:r w:rsidRPr="00CF0F34">
        <w:rPr>
          <w:sz w:val="24"/>
        </w:rPr>
        <w:t xml:space="preserve">  However, as noted by Mr. White, the evidence clearly demonstrates that Duke </w:t>
      </w:r>
      <w:r w:rsidRPr="00CF0F34">
        <w:rPr>
          <w:i/>
          <w:sz w:val="24"/>
        </w:rPr>
        <w:t xml:space="preserve">does </w:t>
      </w:r>
      <w:r w:rsidRPr="00CF0F34">
        <w:rPr>
          <w:sz w:val="24"/>
        </w:rPr>
        <w:t xml:space="preserve">have the ability to differentiate between non-commodity charges and electric charges. In discovery Duke indicated that it already excludes the non-commodity charges Duke </w:t>
      </w:r>
      <w:proofErr w:type="gramStart"/>
      <w:r w:rsidRPr="00CF0F34">
        <w:rPr>
          <w:sz w:val="24"/>
        </w:rPr>
        <w:t>bills</w:t>
      </w:r>
      <w:proofErr w:type="gramEnd"/>
      <w:r w:rsidRPr="00CF0F34">
        <w:rPr>
          <w:sz w:val="24"/>
        </w:rPr>
        <w:t xml:space="preserve"> for Duke Energy One from its uncollectible expense rider and those charges cannot trigger customer disconnect.</w:t>
      </w:r>
      <w:r w:rsidRPr="00CF0F34">
        <w:rPr>
          <w:rStyle w:val="FootnoteReference"/>
          <w:sz w:val="24"/>
        </w:rPr>
        <w:footnoteReference w:id="7"/>
      </w:r>
      <w:r w:rsidRPr="00CF0F34">
        <w:rPr>
          <w:sz w:val="24"/>
        </w:rPr>
        <w:t xml:space="preserve">  Since Duke is already able to exclude its affiliate’s non-commodity charges from its uncollectible expense rider, it would give every indication that Duke can do the same for CRES non-commodity charges.</w:t>
      </w:r>
    </w:p>
    <w:p w:rsidR="000905CF" w:rsidRPr="00CF0F34" w:rsidRDefault="000905CF" w:rsidP="000A1E84">
      <w:pPr>
        <w:pStyle w:val="ListParagraph"/>
        <w:autoSpaceDE w:val="0"/>
        <w:autoSpaceDN w:val="0"/>
        <w:adjustRightInd w:val="0"/>
        <w:spacing w:after="120" w:line="480" w:lineRule="auto"/>
        <w:ind w:left="0"/>
        <w:jc w:val="both"/>
        <w:rPr>
          <w:sz w:val="24"/>
        </w:rPr>
      </w:pPr>
      <w:r w:rsidRPr="00CF0F34">
        <w:rPr>
          <w:sz w:val="24"/>
        </w:rPr>
        <w:tab/>
        <w:t>Duke also indicated in its Initial Brief that it would be too costly to upgrade its systems to allow CRES providers to bill for non-commodity charges</w:t>
      </w:r>
      <w:r>
        <w:rPr>
          <w:sz w:val="24"/>
        </w:rPr>
        <w:t>—</w:t>
      </w:r>
      <w:r w:rsidRPr="00CF0F34">
        <w:rPr>
          <w:sz w:val="24"/>
        </w:rPr>
        <w:t>again without providing any evidence in support of this statement.</w:t>
      </w:r>
      <w:r w:rsidRPr="00CF0F34">
        <w:rPr>
          <w:rStyle w:val="FootnoteReference"/>
          <w:sz w:val="24"/>
        </w:rPr>
        <w:footnoteReference w:id="8"/>
      </w:r>
      <w:r>
        <w:rPr>
          <w:sz w:val="24"/>
        </w:rPr>
        <w:t xml:space="preserve">  But</w:t>
      </w:r>
      <w:r w:rsidRPr="00CF0F34">
        <w:rPr>
          <w:sz w:val="24"/>
        </w:rPr>
        <w:t>, in discovery</w:t>
      </w:r>
      <w:r>
        <w:rPr>
          <w:sz w:val="24"/>
        </w:rPr>
        <w:t>,</w:t>
      </w:r>
      <w:r w:rsidRPr="00CF0F34">
        <w:rPr>
          <w:sz w:val="24"/>
        </w:rPr>
        <w:t xml:space="preserve"> Duke indicated that it incurred no incremental cost to allow its affiliate Duke Energy One to bill for non-commodity charges.</w:t>
      </w:r>
      <w:r w:rsidRPr="00CF0F34">
        <w:rPr>
          <w:rStyle w:val="FootnoteReference"/>
          <w:sz w:val="24"/>
        </w:rPr>
        <w:footnoteReference w:id="9"/>
      </w:r>
      <w:r w:rsidRPr="00CF0F34">
        <w:rPr>
          <w:sz w:val="24"/>
        </w:rPr>
        <w:t xml:space="preserve"> Thus, it is highly suspect that there are no costs for Duke to allow its affiliate to bill for non-commodity charges, but it is somehow far more costly to allow CRES providers to the same. </w:t>
      </w:r>
    </w:p>
    <w:p w:rsidR="000905CF" w:rsidRDefault="000905CF" w:rsidP="000905CF">
      <w:pPr>
        <w:pStyle w:val="ListParagraph"/>
        <w:autoSpaceDE w:val="0"/>
        <w:autoSpaceDN w:val="0"/>
        <w:adjustRightInd w:val="0"/>
        <w:spacing w:after="120" w:line="480" w:lineRule="auto"/>
        <w:ind w:left="0"/>
        <w:jc w:val="both"/>
        <w:rPr>
          <w:sz w:val="24"/>
        </w:rPr>
      </w:pPr>
      <w:r w:rsidRPr="00CF0F34">
        <w:rPr>
          <w:sz w:val="24"/>
        </w:rPr>
        <w:lastRenderedPageBreak/>
        <w:tab/>
        <w:t>The much more plausible explanation is that Duke simply wishes to continue the preferential treatment it offers to its affiliate.  However, it is contrary to Ohio law to provide preferential treatment to an affiliated company.  Thus, the Commission should not approve Duke’s proposed changes that would allow Duke to continue discriminatory access to the utility bill only to Duke’s affiliated company. Rather, the Commission should require Duke to amend its tariff to explicitly allow CRES providers to bill for non-commodity charges, as explained by IGS witness White.</w:t>
      </w:r>
    </w:p>
    <w:p w:rsidR="00B559F9" w:rsidRPr="00B559F9" w:rsidRDefault="00B559F9" w:rsidP="00D509EA">
      <w:pPr>
        <w:pStyle w:val="ListParagraph"/>
        <w:numPr>
          <w:ilvl w:val="0"/>
          <w:numId w:val="3"/>
        </w:numPr>
        <w:spacing w:after="120" w:line="480" w:lineRule="auto"/>
        <w:jc w:val="both"/>
        <w:rPr>
          <w:b/>
          <w:sz w:val="24"/>
        </w:rPr>
      </w:pPr>
      <w:r>
        <w:rPr>
          <w:b/>
          <w:sz w:val="24"/>
        </w:rPr>
        <w:t xml:space="preserve"> The Commission should reject the PSR</w:t>
      </w:r>
    </w:p>
    <w:p w:rsidR="004D4826" w:rsidRDefault="00B10D03" w:rsidP="00D509EA">
      <w:pPr>
        <w:spacing w:after="120" w:line="480" w:lineRule="auto"/>
        <w:jc w:val="both"/>
        <w:rPr>
          <w:sz w:val="24"/>
        </w:rPr>
      </w:pPr>
      <w:r>
        <w:rPr>
          <w:sz w:val="24"/>
        </w:rPr>
        <w:tab/>
      </w:r>
      <w:r w:rsidR="004D4826">
        <w:rPr>
          <w:sz w:val="24"/>
        </w:rPr>
        <w:t xml:space="preserve">Duke argues that the Commission should approve </w:t>
      </w:r>
      <w:r w:rsidR="002E2F7A">
        <w:rPr>
          <w:sz w:val="24"/>
        </w:rPr>
        <w:t>Duke’s</w:t>
      </w:r>
      <w:r>
        <w:rPr>
          <w:sz w:val="24"/>
        </w:rPr>
        <w:t xml:space="preserve"> anti-competitive Price Stability Rider (“</w:t>
      </w:r>
      <w:r w:rsidR="004D4826">
        <w:rPr>
          <w:sz w:val="24"/>
        </w:rPr>
        <w:t>PSR</w:t>
      </w:r>
      <w:r>
        <w:rPr>
          <w:sz w:val="24"/>
        </w:rPr>
        <w:t>”)</w:t>
      </w:r>
      <w:r w:rsidR="004D4826">
        <w:rPr>
          <w:sz w:val="24"/>
        </w:rPr>
        <w:t xml:space="preserve"> to </w:t>
      </w:r>
      <w:proofErr w:type="gramStart"/>
      <w:r w:rsidR="004373FB" w:rsidRPr="00594AF1">
        <w:rPr>
          <w:sz w:val="24"/>
        </w:rPr>
        <w:t>mitigate</w:t>
      </w:r>
      <w:proofErr w:type="gramEnd"/>
      <w:r w:rsidR="004D4826">
        <w:rPr>
          <w:sz w:val="24"/>
        </w:rPr>
        <w:t xml:space="preserve"> against </w:t>
      </w:r>
      <w:r w:rsidR="004373FB" w:rsidRPr="00594AF1">
        <w:rPr>
          <w:sz w:val="24"/>
        </w:rPr>
        <w:t>“anticipated, yet undefined, volatility in the wholesale market.”</w:t>
      </w:r>
      <w:r w:rsidR="009A767E">
        <w:rPr>
          <w:rStyle w:val="FootnoteReference"/>
          <w:sz w:val="24"/>
        </w:rPr>
        <w:footnoteReference w:id="10"/>
      </w:r>
      <w:r w:rsidR="004373FB" w:rsidRPr="00594AF1">
        <w:rPr>
          <w:sz w:val="24"/>
        </w:rPr>
        <w:t xml:space="preserve">  </w:t>
      </w:r>
      <w:r w:rsidR="004D4826">
        <w:rPr>
          <w:sz w:val="24"/>
        </w:rPr>
        <w:t>Duke claims that</w:t>
      </w:r>
      <w:r w:rsidR="004D4826" w:rsidRPr="004D4826">
        <w:rPr>
          <w:sz w:val="24"/>
        </w:rPr>
        <w:t xml:space="preserve"> R.C. 4928.143(B</w:t>
      </w:r>
      <w:proofErr w:type="gramStart"/>
      <w:r w:rsidR="004D4826" w:rsidRPr="004D4826">
        <w:rPr>
          <w:sz w:val="24"/>
        </w:rPr>
        <w:t>)(</w:t>
      </w:r>
      <w:proofErr w:type="gramEnd"/>
      <w:r w:rsidR="004D4826" w:rsidRPr="004D4826">
        <w:rPr>
          <w:sz w:val="24"/>
        </w:rPr>
        <w:t>2)(d)</w:t>
      </w:r>
      <w:r w:rsidR="004D4826">
        <w:rPr>
          <w:sz w:val="24"/>
        </w:rPr>
        <w:t xml:space="preserve"> provides the Commission with authority to approve such a provision in an ESP</w:t>
      </w:r>
      <w:r w:rsidR="004D4826" w:rsidRPr="004D4826">
        <w:rPr>
          <w:sz w:val="24"/>
        </w:rPr>
        <w:t>.</w:t>
      </w:r>
      <w:r w:rsidR="004D4826">
        <w:rPr>
          <w:sz w:val="24"/>
        </w:rPr>
        <w:t xml:space="preserve">  As discussed in IGS Energy’s Initial Brief and further below, Duke is wrong on the law and the facts: (1) the </w:t>
      </w:r>
      <w:r w:rsidR="00404D18">
        <w:rPr>
          <w:sz w:val="24"/>
        </w:rPr>
        <w:t>PSR is not authorized by Ohio law</w:t>
      </w:r>
      <w:r w:rsidR="004D4826">
        <w:rPr>
          <w:sz w:val="24"/>
        </w:rPr>
        <w:t>; (2) the Commission is preempted by Federal Law</w:t>
      </w:r>
      <w:r w:rsidR="0025530D">
        <w:rPr>
          <w:sz w:val="24"/>
        </w:rPr>
        <w:t xml:space="preserve"> from approving the PSR; (3)</w:t>
      </w:r>
      <w:r w:rsidR="00A935FF">
        <w:rPr>
          <w:sz w:val="24"/>
        </w:rPr>
        <w:t xml:space="preserve"> Duke’s projections of the impact are wrong</w:t>
      </w:r>
      <w:r w:rsidR="004D4826">
        <w:rPr>
          <w:sz w:val="24"/>
        </w:rPr>
        <w:t>.  Therefore, the Commission should reject the PSR.</w:t>
      </w:r>
    </w:p>
    <w:p w:rsidR="004D4826" w:rsidRDefault="004D4826" w:rsidP="00D509EA">
      <w:pPr>
        <w:spacing w:after="120" w:line="480" w:lineRule="auto"/>
        <w:jc w:val="both"/>
        <w:rPr>
          <w:sz w:val="24"/>
        </w:rPr>
      </w:pPr>
      <w:r>
        <w:rPr>
          <w:sz w:val="24"/>
        </w:rPr>
        <w:tab/>
      </w:r>
      <w:r>
        <w:rPr>
          <w:sz w:val="24"/>
        </w:rPr>
        <w:tab/>
      </w:r>
      <w:r w:rsidR="00A935FF">
        <w:rPr>
          <w:b/>
          <w:sz w:val="24"/>
        </w:rPr>
        <w:t>1.  The PSR is not authorized under Ohio law</w:t>
      </w:r>
      <w:r>
        <w:rPr>
          <w:sz w:val="24"/>
        </w:rPr>
        <w:t xml:space="preserve">  </w:t>
      </w:r>
    </w:p>
    <w:p w:rsidR="00034CA6" w:rsidRPr="00594AF1" w:rsidRDefault="00A935FF" w:rsidP="00D509EA">
      <w:pPr>
        <w:spacing w:after="120" w:line="480" w:lineRule="auto"/>
        <w:ind w:firstLine="720"/>
        <w:jc w:val="both"/>
        <w:rPr>
          <w:sz w:val="24"/>
        </w:rPr>
      </w:pPr>
      <w:r>
        <w:rPr>
          <w:sz w:val="24"/>
        </w:rPr>
        <w:t xml:space="preserve">Duke claims that </w:t>
      </w:r>
      <w:r w:rsidR="00034CA6" w:rsidRPr="00594AF1">
        <w:rPr>
          <w:sz w:val="24"/>
        </w:rPr>
        <w:t>4928.143(B</w:t>
      </w:r>
      <w:proofErr w:type="gramStart"/>
      <w:r w:rsidR="00034CA6" w:rsidRPr="00594AF1">
        <w:rPr>
          <w:sz w:val="24"/>
        </w:rPr>
        <w:t>)(</w:t>
      </w:r>
      <w:proofErr w:type="gramEnd"/>
      <w:r w:rsidR="00034CA6" w:rsidRPr="00594AF1">
        <w:rPr>
          <w:sz w:val="24"/>
        </w:rPr>
        <w:t>2)(d)</w:t>
      </w:r>
      <w:r>
        <w:rPr>
          <w:sz w:val="24"/>
        </w:rPr>
        <w:t xml:space="preserve"> authorized the Commission to approve the PSR.</w:t>
      </w:r>
      <w:r w:rsidR="009B2742">
        <w:rPr>
          <w:rStyle w:val="FootnoteReference"/>
          <w:sz w:val="24"/>
        </w:rPr>
        <w:footnoteReference w:id="11"/>
      </w:r>
      <w:r>
        <w:rPr>
          <w:sz w:val="24"/>
        </w:rPr>
        <w:t xml:space="preserve">  That section</w:t>
      </w:r>
      <w:r w:rsidR="00034CA6" w:rsidRPr="00594AF1">
        <w:rPr>
          <w:sz w:val="24"/>
        </w:rPr>
        <w:t xml:space="preserve"> provides that an ESP may include:</w:t>
      </w:r>
    </w:p>
    <w:p w:rsidR="00034CA6" w:rsidRPr="00594AF1" w:rsidRDefault="00034CA6" w:rsidP="00D509EA">
      <w:pPr>
        <w:spacing w:after="120" w:line="240" w:lineRule="auto"/>
        <w:ind w:left="720" w:right="720"/>
        <w:jc w:val="both"/>
        <w:rPr>
          <w:sz w:val="24"/>
        </w:rPr>
      </w:pPr>
      <w:r w:rsidRPr="00594AF1">
        <w:rPr>
          <w:sz w:val="24"/>
        </w:rPr>
        <w:t xml:space="preserve">Terms, conditions, or charges relating to limitations on customer shopping for retail electric generation service, </w:t>
      </w:r>
      <w:proofErr w:type="spellStart"/>
      <w:r w:rsidRPr="00594AF1">
        <w:rPr>
          <w:sz w:val="24"/>
        </w:rPr>
        <w:t>bypassability</w:t>
      </w:r>
      <w:proofErr w:type="spellEnd"/>
      <w:r w:rsidRPr="00594AF1">
        <w:rPr>
          <w:sz w:val="24"/>
        </w:rPr>
        <w:t xml:space="preserve">, standby, back-up, or supplemental power service, default service, carrying costs, amortization </w:t>
      </w:r>
      <w:r w:rsidRPr="00594AF1">
        <w:rPr>
          <w:sz w:val="24"/>
        </w:rPr>
        <w:lastRenderedPageBreak/>
        <w:t>periods, and accounting or deferrals, including future recovery of such deferrals, as would have the effect of stabilizing or providing certainty regarding retail electric service.</w:t>
      </w:r>
    </w:p>
    <w:p w:rsidR="00034CA6" w:rsidRPr="00594AF1" w:rsidRDefault="00034CA6" w:rsidP="00D509EA">
      <w:pPr>
        <w:spacing w:after="120"/>
        <w:jc w:val="both"/>
        <w:rPr>
          <w:sz w:val="24"/>
        </w:rPr>
      </w:pPr>
      <w:r w:rsidRPr="00594AF1">
        <w:rPr>
          <w:sz w:val="24"/>
        </w:rPr>
        <w:t>Duke claims that the PSR meets the criteria of (B</w:t>
      </w:r>
      <w:proofErr w:type="gramStart"/>
      <w:r w:rsidRPr="00594AF1">
        <w:rPr>
          <w:sz w:val="24"/>
        </w:rPr>
        <w:t>)(</w:t>
      </w:r>
      <w:proofErr w:type="gramEnd"/>
      <w:r w:rsidRPr="00594AF1">
        <w:rPr>
          <w:sz w:val="24"/>
        </w:rPr>
        <w:t>2)(d) for the following reasons:</w:t>
      </w:r>
    </w:p>
    <w:p w:rsidR="00034CA6" w:rsidRPr="00594AF1" w:rsidRDefault="00034CA6" w:rsidP="00D509EA">
      <w:pPr>
        <w:pStyle w:val="ListParagraph"/>
        <w:numPr>
          <w:ilvl w:val="0"/>
          <w:numId w:val="1"/>
        </w:numPr>
        <w:spacing w:after="120"/>
        <w:jc w:val="both"/>
        <w:rPr>
          <w:sz w:val="24"/>
        </w:rPr>
      </w:pPr>
      <w:r w:rsidRPr="00594AF1">
        <w:rPr>
          <w:sz w:val="24"/>
        </w:rPr>
        <w:t>The PSR is a term or charge</w:t>
      </w:r>
      <w:r w:rsidR="008F3F56">
        <w:rPr>
          <w:sz w:val="24"/>
        </w:rPr>
        <w:t>;</w:t>
      </w:r>
    </w:p>
    <w:p w:rsidR="00034CA6" w:rsidRPr="00594AF1" w:rsidRDefault="007846BC" w:rsidP="00D509EA">
      <w:pPr>
        <w:pStyle w:val="ListParagraph"/>
        <w:numPr>
          <w:ilvl w:val="0"/>
          <w:numId w:val="1"/>
        </w:numPr>
        <w:spacing w:after="120"/>
        <w:jc w:val="both"/>
        <w:rPr>
          <w:sz w:val="24"/>
        </w:rPr>
      </w:pPr>
      <w:r>
        <w:rPr>
          <w:sz w:val="24"/>
        </w:rPr>
        <w:t>The PSR relates</w:t>
      </w:r>
      <w:r w:rsidR="00034CA6" w:rsidRPr="00594AF1">
        <w:rPr>
          <w:sz w:val="24"/>
        </w:rPr>
        <w:t xml:space="preserve"> to </w:t>
      </w:r>
      <w:proofErr w:type="spellStart"/>
      <w:r w:rsidR="00034CA6" w:rsidRPr="00594AF1">
        <w:rPr>
          <w:sz w:val="24"/>
        </w:rPr>
        <w:t>bypassability</w:t>
      </w:r>
      <w:proofErr w:type="spellEnd"/>
      <w:r w:rsidR="00034CA6" w:rsidRPr="00594AF1">
        <w:rPr>
          <w:sz w:val="24"/>
        </w:rPr>
        <w:t xml:space="preserve"> because it is a </w:t>
      </w:r>
      <w:proofErr w:type="spellStart"/>
      <w:r w:rsidR="00034CA6" w:rsidRPr="00594AF1">
        <w:rPr>
          <w:sz w:val="24"/>
        </w:rPr>
        <w:t>nonbypassable</w:t>
      </w:r>
      <w:proofErr w:type="spellEnd"/>
      <w:r w:rsidR="00034CA6" w:rsidRPr="00594AF1">
        <w:rPr>
          <w:sz w:val="24"/>
        </w:rPr>
        <w:t xml:space="preserve"> charge</w:t>
      </w:r>
      <w:r w:rsidR="008F3F56">
        <w:rPr>
          <w:sz w:val="24"/>
        </w:rPr>
        <w:t>;</w:t>
      </w:r>
    </w:p>
    <w:p w:rsidR="00034CA6" w:rsidRPr="00594AF1" w:rsidRDefault="007846BC" w:rsidP="00D509EA">
      <w:pPr>
        <w:pStyle w:val="ListParagraph"/>
        <w:numPr>
          <w:ilvl w:val="0"/>
          <w:numId w:val="1"/>
        </w:numPr>
        <w:spacing w:after="120"/>
        <w:jc w:val="both"/>
        <w:rPr>
          <w:sz w:val="24"/>
        </w:rPr>
      </w:pPr>
      <w:r>
        <w:rPr>
          <w:sz w:val="24"/>
        </w:rPr>
        <w:t>The PSR s</w:t>
      </w:r>
      <w:r w:rsidR="00034CA6" w:rsidRPr="00594AF1">
        <w:rPr>
          <w:sz w:val="24"/>
        </w:rPr>
        <w:t>tabilizes retail electric service prices</w:t>
      </w:r>
      <w:r w:rsidR="009B2742">
        <w:rPr>
          <w:sz w:val="24"/>
        </w:rPr>
        <w:t>.</w:t>
      </w:r>
      <w:r w:rsidR="00B10D03">
        <w:rPr>
          <w:rStyle w:val="FootnoteReference"/>
          <w:sz w:val="24"/>
        </w:rPr>
        <w:footnoteReference w:id="12"/>
      </w:r>
    </w:p>
    <w:p w:rsidR="00DA2724" w:rsidRPr="00594AF1" w:rsidRDefault="0034465B" w:rsidP="0034465B">
      <w:pPr>
        <w:spacing w:after="120" w:line="480" w:lineRule="auto"/>
        <w:jc w:val="both"/>
        <w:rPr>
          <w:sz w:val="24"/>
        </w:rPr>
      </w:pPr>
      <w:r>
        <w:rPr>
          <w:sz w:val="24"/>
        </w:rPr>
        <w:t>It is generally not contested that the PSR relates to a term or charge.  But Duke’s remaining arguments do not hold water.</w:t>
      </w:r>
      <w:r w:rsidR="00111E9E">
        <w:rPr>
          <w:sz w:val="24"/>
        </w:rPr>
        <w:tab/>
      </w:r>
      <w:r w:rsidR="00111E9E">
        <w:rPr>
          <w:sz w:val="24"/>
        </w:rPr>
        <w:tab/>
      </w:r>
      <w:r w:rsidR="00111E9E">
        <w:rPr>
          <w:sz w:val="24"/>
        </w:rPr>
        <w:tab/>
      </w:r>
      <w:r w:rsidR="00111E9E">
        <w:rPr>
          <w:sz w:val="24"/>
        </w:rPr>
        <w:tab/>
      </w:r>
      <w:r w:rsidR="00111E9E">
        <w:rPr>
          <w:sz w:val="24"/>
        </w:rPr>
        <w:tab/>
      </w:r>
      <w:r w:rsidR="00111E9E">
        <w:rPr>
          <w:sz w:val="24"/>
        </w:rPr>
        <w:tab/>
      </w:r>
    </w:p>
    <w:p w:rsidR="00404D18" w:rsidRDefault="00404D18" w:rsidP="0034465B">
      <w:pPr>
        <w:spacing w:after="120" w:line="480" w:lineRule="auto"/>
        <w:jc w:val="both"/>
        <w:rPr>
          <w:sz w:val="24"/>
        </w:rPr>
      </w:pPr>
      <w:r>
        <w:rPr>
          <w:sz w:val="24"/>
        </w:rPr>
        <w:tab/>
        <w:t>Duke incorrectly claims that the PSR satisfies the requirement that it relate</w:t>
      </w:r>
      <w:r w:rsidR="008F3F56">
        <w:rPr>
          <w:sz w:val="24"/>
        </w:rPr>
        <w:t>s</w:t>
      </w:r>
      <w:r>
        <w:rPr>
          <w:sz w:val="24"/>
        </w:rPr>
        <w:t xml:space="preserve"> to</w:t>
      </w:r>
      <w:r w:rsidR="003C4932">
        <w:rPr>
          <w:sz w:val="24"/>
        </w:rPr>
        <w:t xml:space="preserve"> “</w:t>
      </w:r>
      <w:proofErr w:type="spellStart"/>
      <w:r w:rsidR="003C4932">
        <w:rPr>
          <w:sz w:val="24"/>
        </w:rPr>
        <w:t>bypassability</w:t>
      </w:r>
      <w:proofErr w:type="spellEnd"/>
      <w:r w:rsidR="003C4932">
        <w:rPr>
          <w:sz w:val="24"/>
        </w:rPr>
        <w:t>” because it is a non-</w:t>
      </w:r>
      <w:proofErr w:type="spellStart"/>
      <w:r w:rsidR="003C4932">
        <w:rPr>
          <w:sz w:val="24"/>
        </w:rPr>
        <w:t>bypassable</w:t>
      </w:r>
      <w:proofErr w:type="spellEnd"/>
      <w:r w:rsidR="003C4932">
        <w:rPr>
          <w:sz w:val="24"/>
        </w:rPr>
        <w:t xml:space="preserve"> charge.</w:t>
      </w:r>
      <w:r w:rsidR="009B2742">
        <w:rPr>
          <w:rStyle w:val="FootnoteReference"/>
          <w:sz w:val="24"/>
        </w:rPr>
        <w:footnoteReference w:id="13"/>
      </w:r>
      <w:r w:rsidR="0019134B">
        <w:rPr>
          <w:sz w:val="24"/>
        </w:rPr>
        <w:t xml:space="preserve">  </w:t>
      </w:r>
      <w:r w:rsidR="001561DE">
        <w:rPr>
          <w:sz w:val="24"/>
        </w:rPr>
        <w:t>Duke’s argument is contrary to rules against statutory in</w:t>
      </w:r>
      <w:r w:rsidR="0034465B">
        <w:rPr>
          <w:sz w:val="24"/>
        </w:rPr>
        <w:t xml:space="preserve">terpretation in several ways.  </w:t>
      </w:r>
    </w:p>
    <w:p w:rsidR="001561DE" w:rsidRDefault="001561DE" w:rsidP="00404D18">
      <w:pPr>
        <w:spacing w:after="120" w:line="480" w:lineRule="auto"/>
        <w:ind w:firstLine="720"/>
        <w:jc w:val="both"/>
        <w:rPr>
          <w:sz w:val="24"/>
        </w:rPr>
      </w:pPr>
      <w:r>
        <w:rPr>
          <w:sz w:val="24"/>
        </w:rPr>
        <w:t>As discussed in IGS’s Initial Brief, R.C. 4928.143 includes two provisions</w:t>
      </w:r>
      <w:r w:rsidR="009B2742">
        <w:rPr>
          <w:sz w:val="24"/>
        </w:rPr>
        <w:t>—</w:t>
      </w:r>
      <w:r>
        <w:rPr>
          <w:sz w:val="24"/>
        </w:rPr>
        <w:t>(B</w:t>
      </w:r>
      <w:proofErr w:type="gramStart"/>
      <w:r w:rsidR="009B2742">
        <w:rPr>
          <w:sz w:val="24"/>
        </w:rPr>
        <w:t>)(</w:t>
      </w:r>
      <w:proofErr w:type="gramEnd"/>
      <w:r w:rsidR="009B2742">
        <w:rPr>
          <w:sz w:val="24"/>
        </w:rPr>
        <w:t>2)(b) and (c)—</w:t>
      </w:r>
      <w:r>
        <w:rPr>
          <w:sz w:val="24"/>
        </w:rPr>
        <w:t>that authorize generation-related non-</w:t>
      </w:r>
      <w:proofErr w:type="spellStart"/>
      <w:r>
        <w:rPr>
          <w:sz w:val="24"/>
        </w:rPr>
        <w:t>bypassable</w:t>
      </w:r>
      <w:proofErr w:type="spellEnd"/>
      <w:r>
        <w:rPr>
          <w:sz w:val="24"/>
        </w:rPr>
        <w:t xml:space="preserve"> charges.  Those provisions provide specific and clear authorization to include non-</w:t>
      </w:r>
      <w:proofErr w:type="spellStart"/>
      <w:r>
        <w:rPr>
          <w:sz w:val="24"/>
        </w:rPr>
        <w:t>bypassable</w:t>
      </w:r>
      <w:proofErr w:type="spellEnd"/>
      <w:r>
        <w:rPr>
          <w:sz w:val="24"/>
        </w:rPr>
        <w:t xml:space="preserve"> charges in an ESP under certain circumstances.  Inclusion of a non-</w:t>
      </w:r>
      <w:proofErr w:type="spellStart"/>
      <w:r>
        <w:rPr>
          <w:sz w:val="24"/>
        </w:rPr>
        <w:t>bypassable</w:t>
      </w:r>
      <w:proofErr w:type="spellEnd"/>
      <w:r>
        <w:rPr>
          <w:sz w:val="24"/>
        </w:rPr>
        <w:t xml:space="preserve"> charge under those sections implies exclusion under other provisions.</w:t>
      </w:r>
      <w:r w:rsidR="00D509EA">
        <w:rPr>
          <w:sz w:val="24"/>
        </w:rPr>
        <w:t xml:space="preserve">  </w:t>
      </w:r>
      <w:proofErr w:type="gramStart"/>
      <w:r w:rsidR="0034465B" w:rsidRPr="007F471D">
        <w:rPr>
          <w:i/>
          <w:sz w:val="24"/>
        </w:rPr>
        <w:t>Montgome</w:t>
      </w:r>
      <w:r w:rsidR="0034465B">
        <w:rPr>
          <w:i/>
          <w:sz w:val="24"/>
        </w:rPr>
        <w:t xml:space="preserve">ry County Bd. of </w:t>
      </w:r>
      <w:proofErr w:type="spellStart"/>
      <w:r w:rsidR="0034465B">
        <w:rPr>
          <w:i/>
          <w:sz w:val="24"/>
        </w:rPr>
        <w:t>Comn'rs</w:t>
      </w:r>
      <w:proofErr w:type="spellEnd"/>
      <w:r w:rsidR="0034465B">
        <w:rPr>
          <w:i/>
          <w:sz w:val="24"/>
        </w:rPr>
        <w:t xml:space="preserve"> v. Pub.</w:t>
      </w:r>
      <w:proofErr w:type="gramEnd"/>
      <w:r w:rsidR="0034465B">
        <w:rPr>
          <w:i/>
          <w:sz w:val="24"/>
        </w:rPr>
        <w:t xml:space="preserve"> </w:t>
      </w:r>
      <w:proofErr w:type="gramStart"/>
      <w:r w:rsidR="0034465B">
        <w:rPr>
          <w:i/>
          <w:sz w:val="24"/>
        </w:rPr>
        <w:t>Util</w:t>
      </w:r>
      <w:r w:rsidR="0034465B" w:rsidRPr="007F471D">
        <w:rPr>
          <w:i/>
          <w:sz w:val="24"/>
        </w:rPr>
        <w:t xml:space="preserve">. </w:t>
      </w:r>
      <w:proofErr w:type="spellStart"/>
      <w:r w:rsidR="0034465B" w:rsidRPr="007F471D">
        <w:rPr>
          <w:i/>
          <w:sz w:val="24"/>
        </w:rPr>
        <w:t>Comm'n</w:t>
      </w:r>
      <w:proofErr w:type="spellEnd"/>
      <w:r w:rsidR="0034465B" w:rsidRPr="007F471D">
        <w:rPr>
          <w:i/>
          <w:sz w:val="24"/>
        </w:rPr>
        <w:t xml:space="preserve"> of Ohio</w:t>
      </w:r>
      <w:r w:rsidR="0034465B">
        <w:rPr>
          <w:sz w:val="24"/>
        </w:rPr>
        <w:t xml:space="preserve">, 28 Ohio St.3d 171, 175 </w:t>
      </w:r>
      <w:r w:rsidR="0034465B" w:rsidRPr="00A279A3">
        <w:rPr>
          <w:sz w:val="24"/>
        </w:rPr>
        <w:t>(1986)</w:t>
      </w:r>
      <w:r w:rsidR="0034465B">
        <w:rPr>
          <w:sz w:val="24"/>
        </w:rPr>
        <w:t>.</w:t>
      </w:r>
      <w:proofErr w:type="gramEnd"/>
      <w:r w:rsidR="0034465B" w:rsidRPr="00A279A3">
        <w:rPr>
          <w:sz w:val="24"/>
        </w:rPr>
        <w:t xml:space="preserve"> </w:t>
      </w:r>
      <w:r w:rsidR="0034465B">
        <w:rPr>
          <w:sz w:val="24"/>
        </w:rPr>
        <w:t xml:space="preserve"> </w:t>
      </w:r>
      <w:r w:rsidR="00D509EA">
        <w:rPr>
          <w:sz w:val="24"/>
        </w:rPr>
        <w:t>Thus,</w:t>
      </w:r>
      <w:r w:rsidR="0034465B">
        <w:rPr>
          <w:sz w:val="24"/>
        </w:rPr>
        <w:t xml:space="preserve"> the Commission cannot authorize a non-</w:t>
      </w:r>
      <w:proofErr w:type="spellStart"/>
      <w:r w:rsidR="0034465B">
        <w:rPr>
          <w:sz w:val="24"/>
        </w:rPr>
        <w:t>bypassable</w:t>
      </w:r>
      <w:proofErr w:type="spellEnd"/>
      <w:r w:rsidR="0034465B">
        <w:rPr>
          <w:sz w:val="24"/>
        </w:rPr>
        <w:t xml:space="preserve"> charge under</w:t>
      </w:r>
      <w:r w:rsidR="00D509EA">
        <w:rPr>
          <w:sz w:val="24"/>
        </w:rPr>
        <w:t xml:space="preserve"> </w:t>
      </w:r>
      <w:r w:rsidR="0034465B">
        <w:rPr>
          <w:sz w:val="24"/>
        </w:rPr>
        <w:t>(B</w:t>
      </w:r>
      <w:proofErr w:type="gramStart"/>
      <w:r w:rsidR="0034465B">
        <w:rPr>
          <w:sz w:val="24"/>
        </w:rPr>
        <w:t>)(</w:t>
      </w:r>
      <w:proofErr w:type="gramEnd"/>
      <w:r w:rsidR="0034465B">
        <w:rPr>
          <w:sz w:val="24"/>
        </w:rPr>
        <w:t>2)(d).</w:t>
      </w:r>
    </w:p>
    <w:p w:rsidR="00111E9E" w:rsidRDefault="00111E9E" w:rsidP="0034465B">
      <w:pPr>
        <w:spacing w:after="120" w:line="480" w:lineRule="auto"/>
        <w:jc w:val="both"/>
        <w:rPr>
          <w:sz w:val="24"/>
        </w:rPr>
      </w:pPr>
      <w:r>
        <w:rPr>
          <w:sz w:val="24"/>
        </w:rPr>
        <w:tab/>
        <w:t>Any doubt regarding the Commission’s latitude to authorize a non-</w:t>
      </w:r>
      <w:proofErr w:type="spellStart"/>
      <w:r>
        <w:rPr>
          <w:sz w:val="24"/>
        </w:rPr>
        <w:t>bypassable</w:t>
      </w:r>
      <w:proofErr w:type="spellEnd"/>
      <w:r>
        <w:rPr>
          <w:sz w:val="24"/>
        </w:rPr>
        <w:t xml:space="preserve"> generation-related charge outside of </w:t>
      </w:r>
      <w:r w:rsidR="009B2742">
        <w:rPr>
          <w:sz w:val="24"/>
        </w:rPr>
        <w:t>(</w:t>
      </w:r>
      <w:r>
        <w:rPr>
          <w:sz w:val="24"/>
        </w:rPr>
        <w:t>B</w:t>
      </w:r>
      <w:proofErr w:type="gramStart"/>
      <w:r w:rsidR="009B2742">
        <w:rPr>
          <w:sz w:val="24"/>
        </w:rPr>
        <w:t>)</w:t>
      </w:r>
      <w:r>
        <w:rPr>
          <w:sz w:val="24"/>
        </w:rPr>
        <w:t>(</w:t>
      </w:r>
      <w:proofErr w:type="gramEnd"/>
      <w:r>
        <w:rPr>
          <w:sz w:val="24"/>
        </w:rPr>
        <w:t>2)(b) and (c) is</w:t>
      </w:r>
      <w:r w:rsidR="000C7799">
        <w:rPr>
          <w:sz w:val="24"/>
        </w:rPr>
        <w:t xml:space="preserve"> eliminated by R.C. 4928.02(H).  That section prohibits recovery of generation service costs (or products and service other than retail electric service) through non-</w:t>
      </w:r>
      <w:proofErr w:type="spellStart"/>
      <w:r w:rsidR="000C7799">
        <w:rPr>
          <w:sz w:val="24"/>
        </w:rPr>
        <w:t>bypassable</w:t>
      </w:r>
      <w:proofErr w:type="spellEnd"/>
      <w:r w:rsidR="000C7799">
        <w:rPr>
          <w:sz w:val="24"/>
        </w:rPr>
        <w:t xml:space="preserve"> charges.      </w:t>
      </w:r>
    </w:p>
    <w:p w:rsidR="00D509EA" w:rsidRPr="00477EB7" w:rsidRDefault="000C7799" w:rsidP="000C7799">
      <w:pPr>
        <w:spacing w:after="120" w:line="480" w:lineRule="auto"/>
        <w:ind w:firstLine="720"/>
        <w:jc w:val="both"/>
        <w:rPr>
          <w:sz w:val="24"/>
        </w:rPr>
      </w:pPr>
      <w:r>
        <w:rPr>
          <w:sz w:val="24"/>
        </w:rPr>
        <w:lastRenderedPageBreak/>
        <w:t>T</w:t>
      </w:r>
      <w:r w:rsidR="001561DE">
        <w:rPr>
          <w:sz w:val="24"/>
        </w:rPr>
        <w:t>he General Assembly provided specific circumstances for approving a non-</w:t>
      </w:r>
      <w:proofErr w:type="spellStart"/>
      <w:r w:rsidR="001561DE">
        <w:rPr>
          <w:sz w:val="24"/>
        </w:rPr>
        <w:t>bypassable</w:t>
      </w:r>
      <w:proofErr w:type="spellEnd"/>
      <w:r w:rsidR="001561DE">
        <w:rPr>
          <w:sz w:val="24"/>
        </w:rPr>
        <w:t xml:space="preserve"> generation-related charge</w:t>
      </w:r>
      <w:r w:rsidR="00F40A2D">
        <w:rPr>
          <w:sz w:val="24"/>
        </w:rPr>
        <w:t xml:space="preserve"> and </w:t>
      </w:r>
      <w:r w:rsidR="00111E9E">
        <w:rPr>
          <w:sz w:val="24"/>
        </w:rPr>
        <w:t>specifically prohibited recovery of generation-related non-</w:t>
      </w:r>
      <w:proofErr w:type="spellStart"/>
      <w:r w:rsidR="00111E9E">
        <w:rPr>
          <w:sz w:val="24"/>
        </w:rPr>
        <w:t>bypassable</w:t>
      </w:r>
      <w:proofErr w:type="spellEnd"/>
      <w:r w:rsidR="00111E9E">
        <w:rPr>
          <w:sz w:val="24"/>
        </w:rPr>
        <w:t xml:space="preserve"> charges under any other circumstances</w:t>
      </w:r>
      <w:r w:rsidR="001561DE">
        <w:rPr>
          <w:sz w:val="24"/>
        </w:rPr>
        <w:t xml:space="preserve">.  </w:t>
      </w:r>
      <w:r w:rsidR="00477EB7">
        <w:rPr>
          <w:sz w:val="24"/>
        </w:rPr>
        <w:t xml:space="preserve">If the Commission could </w:t>
      </w:r>
      <w:r w:rsidR="00F40A2D">
        <w:rPr>
          <w:sz w:val="24"/>
        </w:rPr>
        <w:t>sidestep these provisions and</w:t>
      </w:r>
      <w:r w:rsidR="00477EB7">
        <w:rPr>
          <w:sz w:val="24"/>
        </w:rPr>
        <w:t xml:space="preserve"> approve a non-</w:t>
      </w:r>
      <w:proofErr w:type="spellStart"/>
      <w:r w:rsidR="00477EB7">
        <w:rPr>
          <w:sz w:val="24"/>
        </w:rPr>
        <w:t>by</w:t>
      </w:r>
      <w:r w:rsidR="00F40A2D">
        <w:rPr>
          <w:sz w:val="24"/>
        </w:rPr>
        <w:t>passable</w:t>
      </w:r>
      <w:proofErr w:type="spellEnd"/>
      <w:r w:rsidR="00F40A2D">
        <w:rPr>
          <w:sz w:val="24"/>
        </w:rPr>
        <w:t xml:space="preserve"> charge under </w:t>
      </w:r>
      <w:proofErr w:type="gramStart"/>
      <w:r w:rsidR="00F40A2D">
        <w:rPr>
          <w:sz w:val="24"/>
        </w:rPr>
        <w:t>B(</w:t>
      </w:r>
      <w:proofErr w:type="gramEnd"/>
      <w:r w:rsidR="00F40A2D">
        <w:rPr>
          <w:sz w:val="24"/>
        </w:rPr>
        <w:t>2)(d), the</w:t>
      </w:r>
      <w:r>
        <w:rPr>
          <w:sz w:val="24"/>
        </w:rPr>
        <w:t xml:space="preserve"> standard</w:t>
      </w:r>
      <w:r w:rsidR="00F40A2D">
        <w:rPr>
          <w:sz w:val="24"/>
        </w:rPr>
        <w:t xml:space="preserve"> would be meaningless</w:t>
      </w:r>
      <w:r>
        <w:rPr>
          <w:sz w:val="24"/>
        </w:rPr>
        <w:t xml:space="preserve"> and</w:t>
      </w:r>
      <w:r w:rsidR="001561DE">
        <w:rPr>
          <w:sz w:val="24"/>
        </w:rPr>
        <w:t xml:space="preserve"> </w:t>
      </w:r>
      <w:r w:rsidR="00477EB7">
        <w:rPr>
          <w:sz w:val="24"/>
        </w:rPr>
        <w:t xml:space="preserve">lead to </w:t>
      </w:r>
      <w:r w:rsidR="001561DE">
        <w:rPr>
          <w:sz w:val="24"/>
        </w:rPr>
        <w:t xml:space="preserve">absurd </w:t>
      </w:r>
      <w:r w:rsidR="00477EB7">
        <w:rPr>
          <w:sz w:val="24"/>
        </w:rPr>
        <w:t>results</w:t>
      </w:r>
      <w:r>
        <w:rPr>
          <w:sz w:val="24"/>
        </w:rPr>
        <w:t>.</w:t>
      </w:r>
      <w:r w:rsidR="00477EB7">
        <w:rPr>
          <w:sz w:val="24"/>
        </w:rPr>
        <w:t xml:space="preserve"> </w:t>
      </w:r>
      <w:r w:rsidR="001561DE">
        <w:rPr>
          <w:sz w:val="24"/>
        </w:rPr>
        <w:t xml:space="preserve"> </w:t>
      </w:r>
      <w:r w:rsidR="00477EB7">
        <w:rPr>
          <w:sz w:val="24"/>
        </w:rPr>
        <w:t>T</w:t>
      </w:r>
      <w:r w:rsidR="0019134B">
        <w:rPr>
          <w:sz w:val="24"/>
        </w:rPr>
        <w:t>he Supreme Court has stated, “[t]</w:t>
      </w:r>
      <w:r w:rsidR="0019134B" w:rsidRPr="0019134B">
        <w:rPr>
          <w:sz w:val="24"/>
        </w:rPr>
        <w:t>he General Assembly will not be presumed to have intended to enact a law producing unreasonable or absurd consequences</w:t>
      </w:r>
      <w:r w:rsidR="0019134B">
        <w:rPr>
          <w:sz w:val="24"/>
        </w:rPr>
        <w:t xml:space="preserve">.” </w:t>
      </w:r>
      <w:proofErr w:type="gramStart"/>
      <w:r w:rsidR="0019134B" w:rsidRPr="0019134B">
        <w:rPr>
          <w:i/>
          <w:sz w:val="24"/>
        </w:rPr>
        <w:t>Cooper v. Savor</w:t>
      </w:r>
      <w:r w:rsidR="0019134B" w:rsidRPr="0019134B">
        <w:rPr>
          <w:sz w:val="24"/>
        </w:rPr>
        <w:t>, 153 Ohio St. 367</w:t>
      </w:r>
      <w:r w:rsidR="0019134B">
        <w:rPr>
          <w:sz w:val="24"/>
        </w:rPr>
        <w:t>, 371</w:t>
      </w:r>
      <w:r w:rsidR="0019134B" w:rsidRPr="0019134B">
        <w:rPr>
          <w:sz w:val="24"/>
        </w:rPr>
        <w:t xml:space="preserve"> (1950)</w:t>
      </w:r>
      <w:r w:rsidR="0019134B">
        <w:rPr>
          <w:sz w:val="24"/>
        </w:rPr>
        <w:t>;</w:t>
      </w:r>
      <w:r w:rsidR="0019134B" w:rsidRPr="0019134B">
        <w:rPr>
          <w:i/>
        </w:rPr>
        <w:t xml:space="preserve"> </w:t>
      </w:r>
      <w:r w:rsidR="0019134B" w:rsidRPr="0019134B">
        <w:rPr>
          <w:i/>
          <w:sz w:val="24"/>
        </w:rPr>
        <w:t>Columbia Gas Transmission Corporation v. Levin</w:t>
      </w:r>
      <w:r w:rsidR="0019134B">
        <w:rPr>
          <w:sz w:val="24"/>
        </w:rPr>
        <w:t xml:space="preserve">, </w:t>
      </w:r>
      <w:r w:rsidR="009B2742">
        <w:rPr>
          <w:sz w:val="24"/>
        </w:rPr>
        <w:t>2008-Ohio-</w:t>
      </w:r>
      <w:r w:rsidR="0019134B" w:rsidRPr="0019134B">
        <w:rPr>
          <w:sz w:val="24"/>
        </w:rPr>
        <w:t>511</w:t>
      </w:r>
      <w:r w:rsidR="0019134B">
        <w:rPr>
          <w:sz w:val="24"/>
        </w:rPr>
        <w:t xml:space="preserve"> ¶ 35.</w:t>
      </w:r>
      <w:proofErr w:type="gramEnd"/>
      <w:r w:rsidRPr="000C7799">
        <w:rPr>
          <w:sz w:val="24"/>
        </w:rPr>
        <w:t xml:space="preserve"> The Supreme Court has already rejecte</w:t>
      </w:r>
      <w:r>
        <w:rPr>
          <w:sz w:val="24"/>
        </w:rPr>
        <w:t>d an overly broad interpretation</w:t>
      </w:r>
      <w:r w:rsidRPr="000C7799">
        <w:rPr>
          <w:sz w:val="24"/>
        </w:rPr>
        <w:t xml:space="preserve"> of the ESP statute holding that it “would remove any substantive limit to what an electric security plan may contain, a result we do not believe the General Assembly intended.”  </w:t>
      </w:r>
      <w:proofErr w:type="gramStart"/>
      <w:r w:rsidRPr="000C7799">
        <w:rPr>
          <w:i/>
          <w:sz w:val="24"/>
        </w:rPr>
        <w:t>In re Application of Columbus Southern Power Co. v. Pub.</w:t>
      </w:r>
      <w:proofErr w:type="gramEnd"/>
      <w:r w:rsidRPr="000C7799">
        <w:rPr>
          <w:i/>
          <w:sz w:val="24"/>
        </w:rPr>
        <w:t xml:space="preserve"> </w:t>
      </w:r>
      <w:proofErr w:type="gramStart"/>
      <w:r w:rsidRPr="000C7799">
        <w:rPr>
          <w:i/>
          <w:sz w:val="24"/>
        </w:rPr>
        <w:t xml:space="preserve">Util. </w:t>
      </w:r>
      <w:proofErr w:type="spellStart"/>
      <w:r w:rsidRPr="000C7799">
        <w:rPr>
          <w:i/>
          <w:sz w:val="24"/>
        </w:rPr>
        <w:t>Comm’n</w:t>
      </w:r>
      <w:proofErr w:type="spellEnd"/>
      <w:r w:rsidRPr="000C7799">
        <w:rPr>
          <w:i/>
          <w:sz w:val="24"/>
        </w:rPr>
        <w:t xml:space="preserve"> of Ohio</w:t>
      </w:r>
      <w:r w:rsidRPr="000C7799">
        <w:rPr>
          <w:sz w:val="24"/>
        </w:rPr>
        <w:t>, 2011-Ohio-1788 at ¶ 34.</w:t>
      </w:r>
      <w:proofErr w:type="gramEnd"/>
      <w:r w:rsidRPr="000C7799">
        <w:rPr>
          <w:sz w:val="24"/>
        </w:rPr>
        <w:t xml:space="preserve">  </w:t>
      </w:r>
    </w:p>
    <w:p w:rsidR="00514F04" w:rsidRDefault="00477EB7" w:rsidP="00D509EA">
      <w:pPr>
        <w:spacing w:after="120" w:line="480" w:lineRule="auto"/>
        <w:jc w:val="both"/>
        <w:rPr>
          <w:sz w:val="24"/>
        </w:rPr>
      </w:pPr>
      <w:r>
        <w:rPr>
          <w:sz w:val="24"/>
        </w:rPr>
        <w:tab/>
        <w:t>Additionally, the PSR</w:t>
      </w:r>
      <w:r w:rsidR="00D509EA">
        <w:rPr>
          <w:sz w:val="24"/>
        </w:rPr>
        <w:t xml:space="preserve"> fails to satisfy the third criteria</w:t>
      </w:r>
      <w:r w:rsidR="00514F04">
        <w:rPr>
          <w:sz w:val="24"/>
        </w:rPr>
        <w:t>, i.e. providing stability or certainty with respect to retail electric service</w:t>
      </w:r>
      <w:r w:rsidR="00F13AE7">
        <w:rPr>
          <w:sz w:val="24"/>
        </w:rPr>
        <w:t>.  Duke claims that the PSR intuitively provides a mechanism that will mitigate volatility in the wholesale energy market and against price increases in general.</w:t>
      </w:r>
      <w:r w:rsidR="009B2742">
        <w:rPr>
          <w:rStyle w:val="FootnoteReference"/>
          <w:sz w:val="24"/>
        </w:rPr>
        <w:footnoteReference w:id="14"/>
      </w:r>
      <w:r w:rsidR="00F13AE7">
        <w:rPr>
          <w:sz w:val="24"/>
        </w:rPr>
        <w:t xml:space="preserve">  Duke is wrong.</w:t>
      </w:r>
    </w:p>
    <w:p w:rsidR="00D108D0" w:rsidRPr="00D108D0" w:rsidRDefault="00F13AE7" w:rsidP="00D509EA">
      <w:pPr>
        <w:spacing w:after="120" w:line="480" w:lineRule="auto"/>
        <w:jc w:val="both"/>
        <w:rPr>
          <w:sz w:val="24"/>
        </w:rPr>
      </w:pPr>
      <w:r>
        <w:rPr>
          <w:sz w:val="24"/>
        </w:rPr>
        <w:tab/>
      </w:r>
      <w:r w:rsidR="00D108D0">
        <w:rPr>
          <w:sz w:val="24"/>
        </w:rPr>
        <w:t xml:space="preserve">Initially, Duke has not demonstrated that the PSR pertains to retail electric service. </w:t>
      </w:r>
      <w:r w:rsidR="00762BCD">
        <w:rPr>
          <w:sz w:val="24"/>
        </w:rPr>
        <w:t xml:space="preserve"> </w:t>
      </w:r>
      <w:r w:rsidR="00D108D0">
        <w:rPr>
          <w:sz w:val="24"/>
        </w:rPr>
        <w:t>The PSR involves Duke’s interest in a wholesale purchase power contract and the revenues and costs related to that contract in the wholesale energy market.</w:t>
      </w:r>
      <w:r w:rsidR="00D108D0">
        <w:rPr>
          <w:rStyle w:val="FootnoteReference"/>
          <w:sz w:val="24"/>
        </w:rPr>
        <w:footnoteReference w:id="15"/>
      </w:r>
      <w:r w:rsidR="00D108D0">
        <w:rPr>
          <w:sz w:val="24"/>
        </w:rPr>
        <w:t xml:space="preserve">  Such contracts do not pertain to re</w:t>
      </w:r>
      <w:r w:rsidR="000C56A7">
        <w:rPr>
          <w:sz w:val="24"/>
        </w:rPr>
        <w:t>tail electric service because</w:t>
      </w:r>
      <w:r w:rsidR="00D108D0">
        <w:rPr>
          <w:sz w:val="24"/>
        </w:rPr>
        <w:t xml:space="preserve"> </w:t>
      </w:r>
      <w:r w:rsidR="000C56A7">
        <w:rPr>
          <w:sz w:val="24"/>
        </w:rPr>
        <w:t xml:space="preserve">no </w:t>
      </w:r>
      <w:r w:rsidR="00D108D0">
        <w:rPr>
          <w:sz w:val="24"/>
        </w:rPr>
        <w:t>customer</w:t>
      </w:r>
      <w:r w:rsidR="000C56A7">
        <w:rPr>
          <w:sz w:val="24"/>
        </w:rPr>
        <w:t>s</w:t>
      </w:r>
      <w:r w:rsidR="00D108D0">
        <w:rPr>
          <w:sz w:val="24"/>
        </w:rPr>
        <w:t xml:space="preserve">—default service </w:t>
      </w:r>
      <w:r w:rsidR="00D108D0">
        <w:rPr>
          <w:sz w:val="24"/>
        </w:rPr>
        <w:lastRenderedPageBreak/>
        <w:t>or shopping</w:t>
      </w:r>
      <w:r w:rsidR="000C56A7">
        <w:rPr>
          <w:sz w:val="24"/>
        </w:rPr>
        <w:t>—will</w:t>
      </w:r>
      <w:r w:rsidR="00F25414">
        <w:rPr>
          <w:sz w:val="24"/>
        </w:rPr>
        <w:t xml:space="preserve"> receive any</w:t>
      </w:r>
      <w:r w:rsidR="00F25414" w:rsidRPr="00F25414">
        <w:rPr>
          <w:sz w:val="24"/>
        </w:rPr>
        <w:t xml:space="preserve"> </w:t>
      </w:r>
      <w:r w:rsidR="00762BCD" w:rsidRPr="00F25414">
        <w:rPr>
          <w:sz w:val="24"/>
        </w:rPr>
        <w:t>electricity</w:t>
      </w:r>
      <w:r w:rsidR="00F25414" w:rsidRPr="00F25414">
        <w:rPr>
          <w:sz w:val="24"/>
        </w:rPr>
        <w:t xml:space="preserve"> </w:t>
      </w:r>
      <w:r w:rsidR="00F25414">
        <w:rPr>
          <w:sz w:val="24"/>
        </w:rPr>
        <w:t>under the contract</w:t>
      </w:r>
      <w:r w:rsidR="00762BCD">
        <w:rPr>
          <w:sz w:val="24"/>
        </w:rPr>
        <w:t>.</w:t>
      </w:r>
      <w:r w:rsidR="009B2742">
        <w:rPr>
          <w:rStyle w:val="FootnoteReference"/>
          <w:sz w:val="24"/>
        </w:rPr>
        <w:footnoteReference w:id="16"/>
      </w:r>
      <w:r w:rsidR="00762BCD">
        <w:rPr>
          <w:sz w:val="24"/>
        </w:rPr>
        <w:t xml:space="preserve"> Because the PSR does not relate to retail electric service, the PSR is not </w:t>
      </w:r>
      <w:r w:rsidR="00B10D03">
        <w:rPr>
          <w:sz w:val="24"/>
        </w:rPr>
        <w:t xml:space="preserve">allowed </w:t>
      </w:r>
      <w:r w:rsidR="00762BCD">
        <w:rPr>
          <w:sz w:val="24"/>
        </w:rPr>
        <w:t>under the third part of the Commission’s test.  Thus, the Commission need not address</w:t>
      </w:r>
      <w:r w:rsidR="00D108D0" w:rsidRPr="00D108D0">
        <w:rPr>
          <w:sz w:val="24"/>
        </w:rPr>
        <w:t xml:space="preserve"> the question of whether the PSR provid</w:t>
      </w:r>
      <w:r w:rsidR="00762BCD">
        <w:rPr>
          <w:sz w:val="24"/>
        </w:rPr>
        <w:t>es any stability or certainty.</w:t>
      </w:r>
    </w:p>
    <w:p w:rsidR="00E26C10" w:rsidRDefault="00762BCD" w:rsidP="00D108D0">
      <w:pPr>
        <w:spacing w:after="120" w:line="480" w:lineRule="auto"/>
        <w:ind w:firstLine="720"/>
        <w:jc w:val="both"/>
        <w:rPr>
          <w:sz w:val="24"/>
        </w:rPr>
      </w:pPr>
      <w:r>
        <w:rPr>
          <w:sz w:val="24"/>
        </w:rPr>
        <w:t>Even assuming that the Commission determines the PSR relates to retail electric service, the PSR does not satisfy the third criteria</w:t>
      </w:r>
      <w:r w:rsidR="00B10D03">
        <w:rPr>
          <w:sz w:val="24"/>
        </w:rPr>
        <w:t xml:space="preserve"> listed above</w:t>
      </w:r>
      <w:r>
        <w:rPr>
          <w:sz w:val="24"/>
        </w:rPr>
        <w:t xml:space="preserve"> because it provides no stability or certainty.  Duke</w:t>
      </w:r>
      <w:r w:rsidR="00D425D9">
        <w:rPr>
          <w:sz w:val="24"/>
        </w:rPr>
        <w:t>’s</w:t>
      </w:r>
      <w:r>
        <w:rPr>
          <w:sz w:val="24"/>
        </w:rPr>
        <w:t xml:space="preserve"> claim that </w:t>
      </w:r>
      <w:r w:rsidR="00E26C10">
        <w:rPr>
          <w:sz w:val="24"/>
        </w:rPr>
        <w:t>the daily wholesale energy markets</w:t>
      </w:r>
      <w:r>
        <w:rPr>
          <w:sz w:val="24"/>
        </w:rPr>
        <w:t xml:space="preserve"> may be volatile is</w:t>
      </w:r>
      <w:r w:rsidR="00D425D9">
        <w:rPr>
          <w:sz w:val="24"/>
        </w:rPr>
        <w:t xml:space="preserve"> a</w:t>
      </w:r>
      <w:r w:rsidR="00E26C10">
        <w:rPr>
          <w:sz w:val="24"/>
        </w:rPr>
        <w:t xml:space="preserve"> red herring.  Customers do not purchase energy on an hourly basis in the wholesale energy markets.</w:t>
      </w:r>
      <w:r w:rsidR="00C42680">
        <w:rPr>
          <w:rStyle w:val="FootnoteReference"/>
          <w:sz w:val="24"/>
        </w:rPr>
        <w:footnoteReference w:id="17"/>
      </w:r>
      <w:r w:rsidR="00E26C10">
        <w:rPr>
          <w:sz w:val="24"/>
        </w:rPr>
        <w:t xml:space="preserve"> Rather, customers have access to long-term fixed price contracts.</w:t>
      </w:r>
      <w:r w:rsidR="002259FE">
        <w:rPr>
          <w:rStyle w:val="FootnoteReference"/>
          <w:sz w:val="24"/>
        </w:rPr>
        <w:footnoteReference w:id="18"/>
      </w:r>
      <w:r w:rsidR="00E26C10">
        <w:rPr>
          <w:sz w:val="24"/>
        </w:rPr>
        <w:t xml:space="preserve">  Pursuant to these contracts, a CRES provider can hedge customers’ usage requirements years in advance of the delivery period.  Thus, any volatility that may emerge in the wholesale energy markets during future delivery periods has no impact on customers.</w:t>
      </w:r>
      <w:r w:rsidR="00F40A2D">
        <w:rPr>
          <w:sz w:val="24"/>
        </w:rPr>
        <w:t xml:space="preserve">  Last winter is a perfect example</w:t>
      </w:r>
      <w:r w:rsidR="002259FE">
        <w:rPr>
          <w:sz w:val="24"/>
        </w:rPr>
        <w:t>.  The coldest temperatures in 8</w:t>
      </w:r>
      <w:r w:rsidR="00F40A2D">
        <w:rPr>
          <w:sz w:val="24"/>
        </w:rPr>
        <w:t>7 years,</w:t>
      </w:r>
      <w:r w:rsidR="002259FE">
        <w:rPr>
          <w:rStyle w:val="FootnoteReference"/>
          <w:sz w:val="24"/>
        </w:rPr>
        <w:footnoteReference w:id="19"/>
      </w:r>
      <w:r w:rsidR="00F40A2D">
        <w:rPr>
          <w:sz w:val="24"/>
        </w:rPr>
        <w:t xml:space="preserve"> coupled with unusually high forced outages—coal plants experienced similar outage rates to natural gas plants—caused volatility in the daily energy markets.</w:t>
      </w:r>
      <w:r w:rsidR="002259FE">
        <w:rPr>
          <w:rStyle w:val="FootnoteReference"/>
          <w:sz w:val="24"/>
        </w:rPr>
        <w:footnoteReference w:id="20"/>
      </w:r>
      <w:r w:rsidR="00F40A2D">
        <w:rPr>
          <w:sz w:val="24"/>
        </w:rPr>
        <w:t xml:space="preserve">  But </w:t>
      </w:r>
      <w:r w:rsidR="00F40A2D">
        <w:rPr>
          <w:sz w:val="24"/>
        </w:rPr>
        <w:lastRenderedPageBreak/>
        <w:t xml:space="preserve">customers were </w:t>
      </w:r>
      <w:r w:rsidR="00963BFA">
        <w:rPr>
          <w:sz w:val="24"/>
        </w:rPr>
        <w:t xml:space="preserve">largely </w:t>
      </w:r>
      <w:r w:rsidR="00F40A2D">
        <w:rPr>
          <w:sz w:val="24"/>
        </w:rPr>
        <w:t>protected from these price fluctuations through fixed-price contracts.</w:t>
      </w:r>
      <w:r w:rsidR="00963BFA">
        <w:rPr>
          <w:rStyle w:val="FootnoteReference"/>
          <w:sz w:val="24"/>
        </w:rPr>
        <w:footnoteReference w:id="21"/>
      </w:r>
    </w:p>
    <w:p w:rsidR="00F23211" w:rsidRDefault="00E26C10" w:rsidP="00E26C10">
      <w:pPr>
        <w:spacing w:after="120" w:line="480" w:lineRule="auto"/>
        <w:ind w:firstLine="720"/>
        <w:jc w:val="both"/>
        <w:rPr>
          <w:sz w:val="24"/>
        </w:rPr>
      </w:pPr>
      <w:r>
        <w:rPr>
          <w:sz w:val="24"/>
        </w:rPr>
        <w:t>Indeed, t</w:t>
      </w:r>
      <w:r w:rsidR="00F23211">
        <w:rPr>
          <w:sz w:val="24"/>
        </w:rPr>
        <w:t>he PSR injects an element of uncertainty and volatility</w:t>
      </w:r>
      <w:r w:rsidR="00F23211" w:rsidRPr="00F23211">
        <w:rPr>
          <w:sz w:val="24"/>
        </w:rPr>
        <w:t xml:space="preserve"> into customers’ electric bills because there is no way of knowing in advance whether it will be a charge or credit or the magnitude of either.</w:t>
      </w:r>
      <w:r w:rsidR="00F23211">
        <w:rPr>
          <w:sz w:val="24"/>
        </w:rPr>
        <w:t xml:space="preserve">  Thus, Duke’s proposal would undermine the stability and certainty that CRES providers already provide to their customers through fixed-price contracts.</w:t>
      </w:r>
    </w:p>
    <w:p w:rsidR="00477EB7" w:rsidRDefault="00F23211" w:rsidP="00D509EA">
      <w:pPr>
        <w:spacing w:after="120" w:line="480" w:lineRule="auto"/>
        <w:ind w:firstLine="720"/>
        <w:jc w:val="both"/>
        <w:rPr>
          <w:sz w:val="24"/>
        </w:rPr>
      </w:pPr>
      <w:r>
        <w:rPr>
          <w:sz w:val="24"/>
        </w:rPr>
        <w:t xml:space="preserve">Duke is also </w:t>
      </w:r>
      <w:r w:rsidR="00E26C10">
        <w:rPr>
          <w:sz w:val="24"/>
        </w:rPr>
        <w:t>wrong that the PSR will mitigate future price increases</w:t>
      </w:r>
      <w:r>
        <w:rPr>
          <w:sz w:val="24"/>
        </w:rPr>
        <w:t xml:space="preserve">.  </w:t>
      </w:r>
      <w:r w:rsidR="00477EB7">
        <w:rPr>
          <w:sz w:val="24"/>
        </w:rPr>
        <w:t>Duke witness</w:t>
      </w:r>
      <w:r w:rsidR="00F40A2D">
        <w:rPr>
          <w:sz w:val="24"/>
        </w:rPr>
        <w:t xml:space="preserve"> </w:t>
      </w:r>
      <w:proofErr w:type="spellStart"/>
      <w:r w:rsidR="00F40A2D">
        <w:rPr>
          <w:sz w:val="24"/>
        </w:rPr>
        <w:t>Wathen</w:t>
      </w:r>
      <w:proofErr w:type="spellEnd"/>
      <w:r w:rsidR="00477EB7">
        <w:rPr>
          <w:sz w:val="24"/>
        </w:rPr>
        <w:t xml:space="preserve"> claimed that the PSR should intuitively be a charge when market prices are low and a credit when market prices are high.</w:t>
      </w:r>
      <w:r w:rsidR="00892CA1">
        <w:rPr>
          <w:rStyle w:val="FootnoteReference"/>
          <w:sz w:val="24"/>
        </w:rPr>
        <w:footnoteReference w:id="22"/>
      </w:r>
      <w:r w:rsidR="00477EB7">
        <w:rPr>
          <w:sz w:val="24"/>
        </w:rPr>
        <w:t xml:space="preserve">  He admitted, howeve</w:t>
      </w:r>
      <w:r w:rsidR="00F40A2D">
        <w:rPr>
          <w:sz w:val="24"/>
        </w:rPr>
        <w:t>r, that he performed</w:t>
      </w:r>
      <w:r w:rsidR="00477EB7">
        <w:rPr>
          <w:sz w:val="24"/>
        </w:rPr>
        <w:t xml:space="preserve"> zero analysis to support his claim.</w:t>
      </w:r>
      <w:r w:rsidR="00B10D03" w:rsidRPr="00B10D03">
        <w:rPr>
          <w:rStyle w:val="FootnoteReference"/>
          <w:sz w:val="24"/>
        </w:rPr>
        <w:t xml:space="preserve"> </w:t>
      </w:r>
      <w:r w:rsidR="00B10D03">
        <w:rPr>
          <w:rStyle w:val="FootnoteReference"/>
          <w:sz w:val="24"/>
        </w:rPr>
        <w:footnoteReference w:id="23"/>
      </w:r>
      <w:r>
        <w:rPr>
          <w:sz w:val="24"/>
        </w:rPr>
        <w:t xml:space="preserve">  Indeed, the Duke witnesses</w:t>
      </w:r>
      <w:r w:rsidR="00870782">
        <w:rPr>
          <w:sz w:val="24"/>
        </w:rPr>
        <w:t xml:space="preserve"> (and IGS’s witness)</w:t>
      </w:r>
      <w:r>
        <w:rPr>
          <w:sz w:val="24"/>
        </w:rPr>
        <w:t xml:space="preserve"> that did in fact analyze the impact of the PSR conceded that </w:t>
      </w:r>
      <w:r w:rsidRPr="00F23211">
        <w:rPr>
          <w:i/>
          <w:sz w:val="24"/>
        </w:rPr>
        <w:t xml:space="preserve">Mr. </w:t>
      </w:r>
      <w:proofErr w:type="spellStart"/>
      <w:r w:rsidRPr="00F23211">
        <w:rPr>
          <w:i/>
          <w:sz w:val="24"/>
        </w:rPr>
        <w:t>Wathen’s</w:t>
      </w:r>
      <w:proofErr w:type="spellEnd"/>
      <w:r w:rsidRPr="00F23211">
        <w:rPr>
          <w:i/>
          <w:sz w:val="24"/>
        </w:rPr>
        <w:t xml:space="preserve"> intuition is wrong</w:t>
      </w:r>
      <w:r>
        <w:rPr>
          <w:sz w:val="24"/>
        </w:rPr>
        <w:t>.</w:t>
      </w:r>
      <w:r w:rsidR="00B10D03">
        <w:rPr>
          <w:rStyle w:val="FootnoteReference"/>
          <w:sz w:val="24"/>
        </w:rPr>
        <w:footnoteReference w:id="24"/>
      </w:r>
      <w:r w:rsidR="00C71383">
        <w:rPr>
          <w:sz w:val="24"/>
        </w:rPr>
        <w:t xml:space="preserve">  </w:t>
      </w:r>
      <w:r>
        <w:rPr>
          <w:sz w:val="24"/>
        </w:rPr>
        <w:t xml:space="preserve">Further, </w:t>
      </w:r>
      <w:r w:rsidR="00E26C10">
        <w:rPr>
          <w:sz w:val="24"/>
        </w:rPr>
        <w:t xml:space="preserve">even if Duke were correct, </w:t>
      </w:r>
      <w:r>
        <w:rPr>
          <w:sz w:val="24"/>
        </w:rPr>
        <w:t xml:space="preserve">the PSR proposed by Duke </w:t>
      </w:r>
      <w:r w:rsidR="003B33A9">
        <w:rPr>
          <w:sz w:val="24"/>
        </w:rPr>
        <w:t>would not provide any meaningful change to a customer’s bill.</w:t>
      </w:r>
      <w:r w:rsidR="003B33A9" w:rsidRPr="003B33A9">
        <w:rPr>
          <w:sz w:val="24"/>
        </w:rPr>
        <w:t xml:space="preserve">   If it is a hedge, the OVEC Entitlement would hedge no more than 8.67</w:t>
      </w:r>
      <w:r w:rsidR="003B33A9">
        <w:rPr>
          <w:sz w:val="24"/>
        </w:rPr>
        <w:t>% of Duke’s total retail sales.</w:t>
      </w:r>
      <w:r w:rsidR="00870782">
        <w:rPr>
          <w:rStyle w:val="FootnoteReference"/>
          <w:sz w:val="24"/>
        </w:rPr>
        <w:footnoteReference w:id="25"/>
      </w:r>
      <w:r w:rsidR="003B33A9">
        <w:rPr>
          <w:sz w:val="24"/>
        </w:rPr>
        <w:t xml:space="preserve">  Thus, the impact would be only a few cents a month.  As witness Taylor stated</w:t>
      </w:r>
      <w:r w:rsidR="008F3F56">
        <w:rPr>
          <w:sz w:val="24"/>
        </w:rPr>
        <w:t>,</w:t>
      </w:r>
      <w:r w:rsidR="003B33A9">
        <w:rPr>
          <w:sz w:val="24"/>
        </w:rPr>
        <w:t xml:space="preserve"> “it's still not going to be a --</w:t>
      </w:r>
      <w:r w:rsidR="003B33A9" w:rsidRPr="003B33A9">
        <w:rPr>
          <w:sz w:val="24"/>
        </w:rPr>
        <w:t xml:space="preserve"> a major item that moves the needle.</w:t>
      </w:r>
      <w:r w:rsidR="003B33A9">
        <w:rPr>
          <w:sz w:val="24"/>
        </w:rPr>
        <w:t xml:space="preserve">”  </w:t>
      </w:r>
      <w:proofErr w:type="gramStart"/>
      <w:r w:rsidR="003B33A9">
        <w:rPr>
          <w:sz w:val="24"/>
        </w:rPr>
        <w:t>Tr. Vol. VII at 1919.</w:t>
      </w:r>
      <w:proofErr w:type="gramEnd"/>
      <w:r w:rsidR="00762BCD">
        <w:rPr>
          <w:sz w:val="24"/>
        </w:rPr>
        <w:t xml:space="preserve">  Again, such a meager charge or credit will not stabilize anything.</w:t>
      </w:r>
      <w:r w:rsidR="003B33A9" w:rsidRPr="003B33A9">
        <w:rPr>
          <w:sz w:val="24"/>
        </w:rPr>
        <w:tab/>
      </w:r>
    </w:p>
    <w:p w:rsidR="00762BCD" w:rsidRDefault="00DA2724" w:rsidP="00D509EA">
      <w:pPr>
        <w:spacing w:after="120" w:line="480" w:lineRule="auto"/>
        <w:jc w:val="both"/>
        <w:rPr>
          <w:sz w:val="24"/>
        </w:rPr>
      </w:pPr>
      <w:r w:rsidRPr="00594AF1">
        <w:rPr>
          <w:sz w:val="24"/>
        </w:rPr>
        <w:lastRenderedPageBreak/>
        <w:tab/>
      </w:r>
      <w:r w:rsidR="00F40A2D">
        <w:rPr>
          <w:sz w:val="24"/>
        </w:rPr>
        <w:t>Duke’s statements regarding</w:t>
      </w:r>
      <w:r w:rsidR="0044202E" w:rsidRPr="00594AF1">
        <w:rPr>
          <w:sz w:val="24"/>
        </w:rPr>
        <w:t xml:space="preserve"> pending coal-fired generation retirements</w:t>
      </w:r>
      <w:r w:rsidR="00F40A2D">
        <w:rPr>
          <w:sz w:val="24"/>
        </w:rPr>
        <w:t xml:space="preserve"> </w:t>
      </w:r>
      <w:r w:rsidR="00762BCD">
        <w:rPr>
          <w:sz w:val="24"/>
        </w:rPr>
        <w:t xml:space="preserve">are </w:t>
      </w:r>
      <w:r w:rsidR="00F40A2D">
        <w:rPr>
          <w:sz w:val="24"/>
        </w:rPr>
        <w:t>irrelevant but also overstated.  Initially, Duke concedes that this proceeding will have no impact on OVEC’s continued operation.</w:t>
      </w:r>
      <w:r w:rsidR="00826C21">
        <w:rPr>
          <w:rStyle w:val="FootnoteReference"/>
          <w:sz w:val="24"/>
        </w:rPr>
        <w:footnoteReference w:id="26"/>
      </w:r>
      <w:r w:rsidR="00F40A2D">
        <w:rPr>
          <w:sz w:val="24"/>
        </w:rPr>
        <w:t xml:space="preserve">  Thus, </w:t>
      </w:r>
      <w:r w:rsidR="00EF78D3">
        <w:rPr>
          <w:sz w:val="24"/>
        </w:rPr>
        <w:t>the proceeding will not impact the generation mix in PJM.</w:t>
      </w:r>
      <w:r w:rsidR="00F40A2D">
        <w:rPr>
          <w:sz w:val="24"/>
        </w:rPr>
        <w:t xml:space="preserve">  </w:t>
      </w:r>
      <w:r w:rsidR="00762BCD">
        <w:rPr>
          <w:sz w:val="24"/>
        </w:rPr>
        <w:t>And,</w:t>
      </w:r>
      <w:r w:rsidR="00F40A2D">
        <w:rPr>
          <w:sz w:val="24"/>
        </w:rPr>
        <w:t xml:space="preserve"> </w:t>
      </w:r>
      <w:r w:rsidR="00762BCD">
        <w:rPr>
          <w:sz w:val="24"/>
        </w:rPr>
        <w:t>w</w:t>
      </w:r>
      <w:r w:rsidR="007148DF" w:rsidRPr="00594AF1">
        <w:rPr>
          <w:sz w:val="24"/>
        </w:rPr>
        <w:t xml:space="preserve">hile there are coal retirements planned in PJM, most of these units are </w:t>
      </w:r>
      <w:r w:rsidR="00EE2DC8" w:rsidRPr="00594AF1">
        <w:rPr>
          <w:sz w:val="24"/>
        </w:rPr>
        <w:t>older (nearly 60-years old)</w:t>
      </w:r>
      <w:r w:rsidR="008F3F56">
        <w:rPr>
          <w:sz w:val="24"/>
        </w:rPr>
        <w:t>,</w:t>
      </w:r>
      <w:r w:rsidR="00EE2DC8" w:rsidRPr="00594AF1">
        <w:rPr>
          <w:sz w:val="24"/>
        </w:rPr>
        <w:t xml:space="preserve"> smaller, less efficient</w:t>
      </w:r>
      <w:r w:rsidR="007148DF" w:rsidRPr="00594AF1">
        <w:rPr>
          <w:sz w:val="24"/>
        </w:rPr>
        <w:t xml:space="preserve"> units</w:t>
      </w:r>
      <w:r w:rsidR="00EE2DC8" w:rsidRPr="00594AF1">
        <w:rPr>
          <w:sz w:val="24"/>
        </w:rPr>
        <w:t xml:space="preserve"> that lack environmental controls</w:t>
      </w:r>
      <w:r w:rsidR="007148DF" w:rsidRPr="00594AF1">
        <w:rPr>
          <w:sz w:val="24"/>
        </w:rPr>
        <w:t>.</w:t>
      </w:r>
      <w:r w:rsidR="00EE2DC8" w:rsidRPr="00594AF1">
        <w:rPr>
          <w:rStyle w:val="FootnoteReference"/>
          <w:sz w:val="24"/>
        </w:rPr>
        <w:footnoteReference w:id="27"/>
      </w:r>
      <w:r w:rsidR="00E96519" w:rsidRPr="00594AF1">
        <w:rPr>
          <w:sz w:val="24"/>
        </w:rPr>
        <w:t xml:space="preserve">  And there are over 66,000 MWs of generation in the generation interconnection queue to replace retiring units.</w:t>
      </w:r>
      <w:r w:rsidR="00D35503">
        <w:rPr>
          <w:rStyle w:val="FootnoteReference"/>
          <w:sz w:val="24"/>
        </w:rPr>
        <w:footnoteReference w:id="28"/>
      </w:r>
      <w:r w:rsidR="00E96519" w:rsidRPr="00594AF1">
        <w:rPr>
          <w:sz w:val="24"/>
        </w:rPr>
        <w:t xml:space="preserve">  C</w:t>
      </w:r>
      <w:r w:rsidR="00874F9A" w:rsidRPr="00594AF1">
        <w:rPr>
          <w:sz w:val="24"/>
        </w:rPr>
        <w:t>oal will likely continue to be the dominant resource in PJM for the future</w:t>
      </w:r>
      <w:r w:rsidR="00D35503">
        <w:rPr>
          <w:sz w:val="24"/>
        </w:rPr>
        <w:t>—</w:t>
      </w:r>
      <w:r w:rsidR="00874F9A" w:rsidRPr="00594AF1">
        <w:rPr>
          <w:sz w:val="24"/>
        </w:rPr>
        <w:t>“continued reliance on steam (mainly coal) seems likely, despite retirements of coal units.”</w:t>
      </w:r>
      <w:r w:rsidR="00246D5C">
        <w:rPr>
          <w:rStyle w:val="FootnoteReference"/>
          <w:sz w:val="24"/>
        </w:rPr>
        <w:footnoteReference w:id="29"/>
      </w:r>
      <w:r w:rsidR="00874F9A" w:rsidRPr="00594AF1">
        <w:rPr>
          <w:sz w:val="24"/>
        </w:rPr>
        <w:t xml:space="preserve">  </w:t>
      </w:r>
    </w:p>
    <w:p w:rsidR="00762BCD" w:rsidRPr="00594AF1" w:rsidRDefault="00762BCD" w:rsidP="00D509EA">
      <w:pPr>
        <w:spacing w:after="120" w:line="480" w:lineRule="auto"/>
        <w:jc w:val="both"/>
        <w:rPr>
          <w:sz w:val="24"/>
        </w:rPr>
      </w:pPr>
      <w:r>
        <w:rPr>
          <w:sz w:val="24"/>
        </w:rPr>
        <w:tab/>
        <w:t xml:space="preserve">In summary, Duke has not demonstrated that the PSR may be authorized under Ohio law.  </w:t>
      </w:r>
      <w:r w:rsidR="00F40A2D">
        <w:rPr>
          <w:sz w:val="24"/>
        </w:rPr>
        <w:t xml:space="preserve">  </w:t>
      </w:r>
      <w:r>
        <w:rPr>
          <w:sz w:val="24"/>
        </w:rPr>
        <w:t>Therefore, the Commission should reject it.</w:t>
      </w:r>
    </w:p>
    <w:p w:rsidR="00EF78D3" w:rsidRPr="00EF78D3" w:rsidRDefault="00EF78D3" w:rsidP="00D509EA">
      <w:pPr>
        <w:spacing w:after="120" w:line="480" w:lineRule="auto"/>
        <w:ind w:firstLine="720"/>
        <w:jc w:val="both"/>
        <w:rPr>
          <w:b/>
          <w:sz w:val="24"/>
        </w:rPr>
      </w:pPr>
      <w:r>
        <w:rPr>
          <w:b/>
          <w:sz w:val="24"/>
        </w:rPr>
        <w:t xml:space="preserve">2. The PSR is a bad deal for customers </w:t>
      </w:r>
    </w:p>
    <w:p w:rsidR="00232BFB" w:rsidRDefault="00EF78D3" w:rsidP="00D509EA">
      <w:pPr>
        <w:spacing w:after="120" w:line="480" w:lineRule="auto"/>
        <w:ind w:firstLine="720"/>
        <w:jc w:val="both"/>
        <w:rPr>
          <w:sz w:val="24"/>
        </w:rPr>
      </w:pPr>
      <w:r>
        <w:rPr>
          <w:sz w:val="24"/>
        </w:rPr>
        <w:t xml:space="preserve">As discussed above, the PSR is not a hedge against rising prices or volatility.  Additionally, Duke’s own projections indicate that the </w:t>
      </w:r>
      <w:r w:rsidR="00C42680">
        <w:rPr>
          <w:sz w:val="24"/>
        </w:rPr>
        <w:t xml:space="preserve">PSR has a negative net present value through 2024.  </w:t>
      </w:r>
    </w:p>
    <w:p w:rsidR="00CB1F46" w:rsidRDefault="00C42680" w:rsidP="00232BFB">
      <w:pPr>
        <w:spacing w:after="120" w:line="480" w:lineRule="auto"/>
        <w:ind w:firstLine="720"/>
        <w:jc w:val="both"/>
        <w:rPr>
          <w:sz w:val="24"/>
        </w:rPr>
      </w:pPr>
      <w:r>
        <w:rPr>
          <w:sz w:val="24"/>
        </w:rPr>
        <w:t>Duke has attempted to improve upon its own projections through vague references to proposed changes to the PJM capacity market</w:t>
      </w:r>
      <w:r w:rsidR="00CB1F46">
        <w:rPr>
          <w:sz w:val="24"/>
        </w:rPr>
        <w:t xml:space="preserve"> and potential impact </w:t>
      </w:r>
      <w:r w:rsidR="00CB1F46">
        <w:rPr>
          <w:sz w:val="24"/>
        </w:rPr>
        <w:lastRenderedPageBreak/>
        <w:t>related to FERC regulation of demand response</w:t>
      </w:r>
      <w:r>
        <w:rPr>
          <w:sz w:val="24"/>
        </w:rPr>
        <w:t>.</w:t>
      </w:r>
      <w:r w:rsidR="00C82E38">
        <w:rPr>
          <w:rStyle w:val="FootnoteReference"/>
          <w:sz w:val="24"/>
        </w:rPr>
        <w:footnoteReference w:id="30"/>
      </w:r>
      <w:r>
        <w:rPr>
          <w:sz w:val="24"/>
        </w:rPr>
        <w:t xml:space="preserve">  Again, Duke has overstated the impact of these changes.  </w:t>
      </w:r>
    </w:p>
    <w:p w:rsidR="00232BFB" w:rsidRDefault="00232BFB" w:rsidP="00CB1F46">
      <w:pPr>
        <w:spacing w:after="120" w:line="480" w:lineRule="auto"/>
        <w:ind w:firstLine="720"/>
        <w:jc w:val="both"/>
        <w:rPr>
          <w:sz w:val="24"/>
        </w:rPr>
      </w:pPr>
      <w:r>
        <w:rPr>
          <w:sz w:val="24"/>
        </w:rPr>
        <w:t>Duke has not provided any analysis to demonstrate how the capacity performance proposal will impact its current projection of capacity prices—such lack of analysis indicates that it may not impact Duke’s forecast at all.</w:t>
      </w:r>
      <w:r w:rsidR="00CB1F46">
        <w:rPr>
          <w:sz w:val="24"/>
        </w:rPr>
        <w:t xml:space="preserve">  </w:t>
      </w:r>
      <w:r>
        <w:rPr>
          <w:sz w:val="24"/>
        </w:rPr>
        <w:t xml:space="preserve">Moreover, </w:t>
      </w:r>
      <w:r w:rsidR="002E79E8" w:rsidRPr="00594AF1">
        <w:rPr>
          <w:sz w:val="24"/>
        </w:rPr>
        <w:t xml:space="preserve">Duke focuses on the fact that the capacity performance initiative </w:t>
      </w:r>
      <w:r w:rsidR="002E79E8" w:rsidRPr="00594AF1">
        <w:rPr>
          <w:i/>
          <w:sz w:val="24"/>
        </w:rPr>
        <w:t xml:space="preserve">may </w:t>
      </w:r>
      <w:r w:rsidR="002E79E8" w:rsidRPr="00594AF1">
        <w:rPr>
          <w:sz w:val="24"/>
        </w:rPr>
        <w:t>increase capacity revenue for gen</w:t>
      </w:r>
      <w:r>
        <w:rPr>
          <w:sz w:val="24"/>
        </w:rPr>
        <w:t>eration.  Yet, Duke ignores the fact</w:t>
      </w:r>
      <w:r w:rsidR="002E79E8" w:rsidRPr="00594AF1">
        <w:rPr>
          <w:sz w:val="24"/>
        </w:rPr>
        <w:t xml:space="preserve"> generators that fail to perform may pay penalties that dwarf their capacity revenues.</w:t>
      </w:r>
      <w:r w:rsidR="00D35503">
        <w:rPr>
          <w:rStyle w:val="FootnoteReference"/>
          <w:sz w:val="24"/>
        </w:rPr>
        <w:footnoteReference w:id="31"/>
      </w:r>
      <w:r>
        <w:rPr>
          <w:sz w:val="24"/>
        </w:rPr>
        <w:t xml:space="preserve">  These losses would flow through the PSR.  Or Duke may be required to increase its cost of operating OVEC in order to avoid penalties.  Such costs would not be included in its current projections.   </w:t>
      </w:r>
    </w:p>
    <w:p w:rsidR="00CB1F46" w:rsidRDefault="00232BFB" w:rsidP="00E13759">
      <w:pPr>
        <w:spacing w:after="120" w:line="480" w:lineRule="auto"/>
        <w:ind w:firstLine="720"/>
        <w:jc w:val="both"/>
        <w:rPr>
          <w:sz w:val="24"/>
        </w:rPr>
      </w:pPr>
      <w:r>
        <w:rPr>
          <w:sz w:val="24"/>
        </w:rPr>
        <w:t xml:space="preserve">  Also, Duke ignores that practical reality that the capacity performance proposal would</w:t>
      </w:r>
      <w:r w:rsidR="002E79E8" w:rsidRPr="00594AF1">
        <w:rPr>
          <w:sz w:val="24"/>
        </w:rPr>
        <w:t xml:space="preserve"> reduce the volatility the PSR is</w:t>
      </w:r>
      <w:r w:rsidR="00C42680">
        <w:rPr>
          <w:sz w:val="24"/>
        </w:rPr>
        <w:t xml:space="preserve"> designed to </w:t>
      </w:r>
      <w:proofErr w:type="gramStart"/>
      <w:r w:rsidR="00C42680">
        <w:rPr>
          <w:sz w:val="24"/>
        </w:rPr>
        <w:t>mitigate</w:t>
      </w:r>
      <w:proofErr w:type="gramEnd"/>
      <w:r w:rsidR="00C42680">
        <w:rPr>
          <w:sz w:val="24"/>
        </w:rPr>
        <w:t xml:space="preserve"> against (assuming that Duke is correct that customers buy energy in the daily and hourly energy markets, which they do not).</w:t>
      </w:r>
      <w:r w:rsidR="00E13759">
        <w:rPr>
          <w:sz w:val="24"/>
        </w:rPr>
        <w:t xml:space="preserve">  Stated differently, if the capacity performance proposal reduces</w:t>
      </w:r>
      <w:r>
        <w:rPr>
          <w:sz w:val="24"/>
        </w:rPr>
        <w:t xml:space="preserve"> forced o</w:t>
      </w:r>
      <w:r w:rsidR="00E13759">
        <w:rPr>
          <w:sz w:val="24"/>
        </w:rPr>
        <w:t>utage</w:t>
      </w:r>
      <w:r w:rsidR="007846BC">
        <w:rPr>
          <w:sz w:val="24"/>
        </w:rPr>
        <w:t>s</w:t>
      </w:r>
      <w:r w:rsidR="00E13759">
        <w:rPr>
          <w:sz w:val="24"/>
        </w:rPr>
        <w:t>, it may reduce wholesale energy prices and volatility.</w:t>
      </w:r>
    </w:p>
    <w:p w:rsidR="00CB1F46" w:rsidRDefault="00CB1F46" w:rsidP="00E13759">
      <w:pPr>
        <w:spacing w:after="120" w:line="480" w:lineRule="auto"/>
        <w:ind w:firstLine="720"/>
        <w:jc w:val="both"/>
        <w:rPr>
          <w:sz w:val="24"/>
        </w:rPr>
      </w:pPr>
      <w:r>
        <w:rPr>
          <w:sz w:val="24"/>
        </w:rPr>
        <w:t>Duke also incorrectly claims that if FERC does not regulate demand response it will cause a large increase in capacity prices.  Initially, there is no current order prohibiting FERC from regulating demand response in the capacity market.  While FERC Order 745</w:t>
      </w:r>
      <w:r w:rsidR="00A874E4">
        <w:rPr>
          <w:sz w:val="24"/>
        </w:rPr>
        <w:t>, which pertains to energy compensation for demand response,</w:t>
      </w:r>
      <w:r>
        <w:rPr>
          <w:sz w:val="24"/>
        </w:rPr>
        <w:t xml:space="preserve"> was overturned by the D.C. Circuit (in a sp</w:t>
      </w:r>
      <w:r w:rsidR="00C82E38">
        <w:rPr>
          <w:sz w:val="24"/>
        </w:rPr>
        <w:t>lit decision), that decision will</w:t>
      </w:r>
      <w:r>
        <w:rPr>
          <w:sz w:val="24"/>
        </w:rPr>
        <w:t xml:space="preserve"> be appealed </w:t>
      </w:r>
      <w:r w:rsidR="00D425D9">
        <w:rPr>
          <w:sz w:val="24"/>
        </w:rPr>
        <w:t xml:space="preserve">to </w:t>
      </w:r>
      <w:r>
        <w:rPr>
          <w:sz w:val="24"/>
        </w:rPr>
        <w:t xml:space="preserve">the </w:t>
      </w:r>
      <w:r>
        <w:rPr>
          <w:sz w:val="24"/>
        </w:rPr>
        <w:lastRenderedPageBreak/>
        <w:t>Supreme Court of the United States.</w:t>
      </w:r>
      <w:r w:rsidR="00C82E38">
        <w:rPr>
          <w:rStyle w:val="FootnoteReference"/>
          <w:sz w:val="24"/>
        </w:rPr>
        <w:footnoteReference w:id="32"/>
      </w:r>
      <w:r>
        <w:rPr>
          <w:sz w:val="24"/>
        </w:rPr>
        <w:t xml:space="preserve">  Thus, it is hardly a foregone conclusion that the Supreme Court of the United States will determine that FERC lacks jurisdiction over demand response.  </w:t>
      </w:r>
    </w:p>
    <w:p w:rsidR="002E79E8" w:rsidRPr="00594AF1" w:rsidRDefault="00A874E4" w:rsidP="00801678">
      <w:pPr>
        <w:spacing w:after="120" w:line="480" w:lineRule="auto"/>
        <w:ind w:firstLine="720"/>
        <w:jc w:val="both"/>
        <w:rPr>
          <w:sz w:val="24"/>
        </w:rPr>
      </w:pPr>
      <w:r>
        <w:rPr>
          <w:sz w:val="24"/>
        </w:rPr>
        <w:t>Moreover,</w:t>
      </w:r>
      <w:r w:rsidR="00CB1F46">
        <w:rPr>
          <w:sz w:val="24"/>
        </w:rPr>
        <w:t xml:space="preserve"> </w:t>
      </w:r>
      <w:r>
        <w:rPr>
          <w:sz w:val="24"/>
        </w:rPr>
        <w:t>i</w:t>
      </w:r>
      <w:r w:rsidR="00CB1F46">
        <w:rPr>
          <w:sz w:val="24"/>
        </w:rPr>
        <w:t>n the event that FERC cannot regulate demand response,</w:t>
      </w:r>
      <w:r>
        <w:rPr>
          <w:sz w:val="24"/>
        </w:rPr>
        <w:t xml:space="preserve"> state commissions will establish mechanisms for incentivizing demand response.  The </w:t>
      </w:r>
      <w:r w:rsidR="00801678">
        <w:rPr>
          <w:sz w:val="24"/>
        </w:rPr>
        <w:t xml:space="preserve">demand response </w:t>
      </w:r>
      <w:r>
        <w:rPr>
          <w:sz w:val="24"/>
        </w:rPr>
        <w:t>resources that participate in these state-approved markets can commit to reduce their peak demand, and their load can be removed from the forecast load requirements in PJM capacity market.  As a result, PJM would procure less capacity to meet its load.</w:t>
      </w:r>
      <w:r w:rsidR="00801678">
        <w:rPr>
          <w:sz w:val="24"/>
        </w:rPr>
        <w:t xml:space="preserve">  Duke’s own FERC expert, Ken Jennings, conceded that</w:t>
      </w:r>
      <w:r>
        <w:rPr>
          <w:sz w:val="24"/>
        </w:rPr>
        <w:t xml:space="preserve"> </w:t>
      </w:r>
      <w:r w:rsidR="00801678">
        <w:rPr>
          <w:sz w:val="24"/>
        </w:rPr>
        <w:t>Duke’s interruptible tariff could be used in this manner.</w:t>
      </w:r>
      <w:r w:rsidR="00C82E38">
        <w:rPr>
          <w:rStyle w:val="FootnoteReference"/>
          <w:sz w:val="24"/>
        </w:rPr>
        <w:footnoteReference w:id="33"/>
      </w:r>
      <w:r w:rsidR="00801678">
        <w:rPr>
          <w:sz w:val="24"/>
        </w:rPr>
        <w:t xml:space="preserve">  Because the current level of compensation for Duke’s interruptible tariff (and FirstEnergy’s and Ohio Power Company’s) is greater than historical PJM RPM clearing prices, there is no reason why capacity prices would increase under state regulation of demand response.  Indeed, if these state-approved mechanisms are expanded and compensation levels remain greater than RPM levels, state regulation of demand response could depress capacity prices.  </w:t>
      </w:r>
    </w:p>
    <w:p w:rsidR="00762BCD" w:rsidRDefault="00C42680" w:rsidP="00762BCD">
      <w:pPr>
        <w:autoSpaceDE w:val="0"/>
        <w:autoSpaceDN w:val="0"/>
        <w:adjustRightInd w:val="0"/>
        <w:spacing w:after="120" w:line="240" w:lineRule="auto"/>
        <w:jc w:val="both"/>
        <w:rPr>
          <w:b/>
          <w:sz w:val="24"/>
        </w:rPr>
      </w:pPr>
      <w:r>
        <w:rPr>
          <w:sz w:val="24"/>
        </w:rPr>
        <w:tab/>
      </w:r>
      <w:r w:rsidR="00762BCD">
        <w:rPr>
          <w:b/>
          <w:sz w:val="24"/>
        </w:rPr>
        <w:t>3. The Commission should avoid a federal challenge</w:t>
      </w:r>
    </w:p>
    <w:p w:rsidR="00ED5535" w:rsidRDefault="00762BCD" w:rsidP="00EB7194">
      <w:pPr>
        <w:autoSpaceDE w:val="0"/>
        <w:autoSpaceDN w:val="0"/>
        <w:adjustRightInd w:val="0"/>
        <w:spacing w:after="120" w:line="480" w:lineRule="auto"/>
        <w:ind w:firstLine="720"/>
        <w:jc w:val="both"/>
        <w:rPr>
          <w:sz w:val="24"/>
        </w:rPr>
      </w:pPr>
      <w:r>
        <w:rPr>
          <w:sz w:val="24"/>
        </w:rPr>
        <w:t>Even if the Commission had authority to authorize the PSR under Ohio law, and it was a good deal for customers, the Commission should not authorize it because it is highly likely to be challenged</w:t>
      </w:r>
      <w:r w:rsidR="009C407A">
        <w:rPr>
          <w:sz w:val="24"/>
        </w:rPr>
        <w:t xml:space="preserve"> in federal court.  Although Duke insisted that it have the right to address this issue in rebuttal testimony, it failed to address it in its Initial Brief.  </w:t>
      </w:r>
      <w:r w:rsidR="009C407A">
        <w:rPr>
          <w:sz w:val="24"/>
        </w:rPr>
        <w:lastRenderedPageBreak/>
        <w:t>Therefore, IGS will limit its response to the Ohio Energy Group’s</w:t>
      </w:r>
      <w:r w:rsidR="00ED5535">
        <w:rPr>
          <w:sz w:val="24"/>
        </w:rPr>
        <w:t xml:space="preserve"> (“OEG”)</w:t>
      </w:r>
      <w:r w:rsidR="009C407A">
        <w:rPr>
          <w:sz w:val="24"/>
        </w:rPr>
        <w:t xml:space="preserve"> </w:t>
      </w:r>
      <w:r w:rsidR="00ED5535">
        <w:rPr>
          <w:sz w:val="24"/>
        </w:rPr>
        <w:t xml:space="preserve">Initial </w:t>
      </w:r>
      <w:r w:rsidR="009C407A">
        <w:rPr>
          <w:sz w:val="24"/>
        </w:rPr>
        <w:t>Brief.</w:t>
      </w:r>
      <w:r w:rsidR="00014786">
        <w:rPr>
          <w:sz w:val="24"/>
        </w:rPr>
        <w:t xml:space="preserve">  That being said, Duke should not be permitted to </w:t>
      </w:r>
      <w:r w:rsidR="00B909FE">
        <w:rPr>
          <w:sz w:val="24"/>
        </w:rPr>
        <w:t>raise</w:t>
      </w:r>
      <w:r w:rsidR="00014786">
        <w:rPr>
          <w:sz w:val="24"/>
        </w:rPr>
        <w:t xml:space="preserve"> new argum</w:t>
      </w:r>
      <w:r w:rsidR="00EB7194">
        <w:rPr>
          <w:sz w:val="24"/>
        </w:rPr>
        <w:t>ents for the first time in its Reply B</w:t>
      </w:r>
      <w:r w:rsidR="00014786">
        <w:rPr>
          <w:sz w:val="24"/>
        </w:rPr>
        <w:t>rief</w:t>
      </w:r>
      <w:r w:rsidR="00B909FE">
        <w:rPr>
          <w:sz w:val="24"/>
        </w:rPr>
        <w:t xml:space="preserve"> when it had the opportunity to address such arguments in its Initial Brief</w:t>
      </w:r>
      <w:r w:rsidR="00014786">
        <w:rPr>
          <w:sz w:val="24"/>
        </w:rPr>
        <w:t>.</w:t>
      </w:r>
    </w:p>
    <w:p w:rsidR="009C407A" w:rsidRDefault="009C407A" w:rsidP="009C407A">
      <w:pPr>
        <w:autoSpaceDE w:val="0"/>
        <w:autoSpaceDN w:val="0"/>
        <w:adjustRightInd w:val="0"/>
        <w:spacing w:after="120" w:line="480" w:lineRule="auto"/>
        <w:ind w:firstLine="720"/>
        <w:jc w:val="both"/>
        <w:rPr>
          <w:sz w:val="24"/>
        </w:rPr>
      </w:pPr>
      <w:r>
        <w:rPr>
          <w:sz w:val="24"/>
        </w:rPr>
        <w:t xml:space="preserve">  </w:t>
      </w:r>
      <w:r w:rsidR="00ED5535">
        <w:rPr>
          <w:sz w:val="24"/>
        </w:rPr>
        <w:t>OEG claims that the PSR is not preempted by federal law because it involves a different structure than what was rejected Maryland and New Jersey.</w:t>
      </w:r>
      <w:r w:rsidR="00C82E38">
        <w:rPr>
          <w:rStyle w:val="FootnoteReference"/>
          <w:sz w:val="24"/>
        </w:rPr>
        <w:footnoteReference w:id="34"/>
      </w:r>
      <w:r w:rsidR="00ED5535">
        <w:rPr>
          <w:sz w:val="24"/>
        </w:rPr>
        <w:t xml:space="preserve">  Specifically, OEG claims that the PSR does not require the Commission to establish a supplemental wholesale rate and the PSR is permitted because it pertains to existing generation rather than newly constructed generation subject to the minimum offer price rule (“MOPR”).</w:t>
      </w:r>
      <w:r w:rsidR="00C82E38">
        <w:rPr>
          <w:rStyle w:val="FootnoteReference"/>
          <w:sz w:val="24"/>
        </w:rPr>
        <w:footnoteReference w:id="35"/>
      </w:r>
      <w:r w:rsidR="00ED5535">
        <w:rPr>
          <w:sz w:val="24"/>
        </w:rPr>
        <w:t xml:space="preserve">  OEG is wrong.</w:t>
      </w:r>
    </w:p>
    <w:p w:rsidR="00ED5535" w:rsidRDefault="00537D8B" w:rsidP="009C407A">
      <w:pPr>
        <w:autoSpaceDE w:val="0"/>
        <w:autoSpaceDN w:val="0"/>
        <w:adjustRightInd w:val="0"/>
        <w:spacing w:after="120" w:line="480" w:lineRule="auto"/>
        <w:ind w:firstLine="720"/>
        <w:jc w:val="both"/>
        <w:rPr>
          <w:sz w:val="24"/>
        </w:rPr>
      </w:pPr>
      <w:r>
        <w:rPr>
          <w:sz w:val="24"/>
        </w:rPr>
        <w:t xml:space="preserve">Much like in </w:t>
      </w:r>
      <w:r w:rsidR="00ED5535">
        <w:rPr>
          <w:sz w:val="24"/>
        </w:rPr>
        <w:t>N</w:t>
      </w:r>
      <w:r w:rsidR="00C82E38">
        <w:rPr>
          <w:sz w:val="24"/>
        </w:rPr>
        <w:t xml:space="preserve">ew </w:t>
      </w:r>
      <w:r w:rsidR="00ED5535">
        <w:rPr>
          <w:sz w:val="24"/>
        </w:rPr>
        <w:t>J</w:t>
      </w:r>
      <w:r w:rsidR="00C82E38">
        <w:rPr>
          <w:sz w:val="24"/>
        </w:rPr>
        <w:t>ersey</w:t>
      </w:r>
      <w:r w:rsidR="00ED5535">
        <w:rPr>
          <w:sz w:val="24"/>
        </w:rPr>
        <w:t xml:space="preserve"> </w:t>
      </w:r>
      <w:r>
        <w:rPr>
          <w:sz w:val="24"/>
        </w:rPr>
        <w:t>and Maryland,</w:t>
      </w:r>
      <w:r w:rsidR="00C82E38">
        <w:rPr>
          <w:rStyle w:val="FootnoteReference"/>
          <w:sz w:val="24"/>
        </w:rPr>
        <w:footnoteReference w:id="36"/>
      </w:r>
      <w:r>
        <w:rPr>
          <w:sz w:val="24"/>
        </w:rPr>
        <w:t xml:space="preserve"> the PSR req</w:t>
      </w:r>
      <w:r w:rsidR="00014786">
        <w:rPr>
          <w:sz w:val="24"/>
        </w:rPr>
        <w:t xml:space="preserve">uires Duke to sell power </w:t>
      </w:r>
      <w:r>
        <w:rPr>
          <w:sz w:val="24"/>
        </w:rPr>
        <w:t xml:space="preserve">into the </w:t>
      </w:r>
      <w:r w:rsidR="00014786">
        <w:rPr>
          <w:sz w:val="24"/>
        </w:rPr>
        <w:t xml:space="preserve">PJM </w:t>
      </w:r>
      <w:r>
        <w:rPr>
          <w:sz w:val="24"/>
        </w:rPr>
        <w:t xml:space="preserve">wholesale markets.  </w:t>
      </w:r>
      <w:r w:rsidR="00014786">
        <w:rPr>
          <w:sz w:val="24"/>
        </w:rPr>
        <w:t xml:space="preserve">And the revenue produced by those sales would either be </w:t>
      </w:r>
      <w:r w:rsidR="00014786">
        <w:rPr>
          <w:i/>
          <w:sz w:val="24"/>
        </w:rPr>
        <w:t xml:space="preserve">supplemented </w:t>
      </w:r>
      <w:r w:rsidR="00014786">
        <w:rPr>
          <w:sz w:val="24"/>
        </w:rPr>
        <w:t xml:space="preserve">or </w:t>
      </w:r>
      <w:r w:rsidR="00014786">
        <w:rPr>
          <w:i/>
          <w:sz w:val="24"/>
        </w:rPr>
        <w:t xml:space="preserve">reduced </w:t>
      </w:r>
      <w:r>
        <w:rPr>
          <w:sz w:val="24"/>
        </w:rPr>
        <w:t>through</w:t>
      </w:r>
      <w:r w:rsidR="00014786">
        <w:rPr>
          <w:sz w:val="24"/>
        </w:rPr>
        <w:t xml:space="preserve"> a</w:t>
      </w:r>
      <w:r>
        <w:rPr>
          <w:sz w:val="24"/>
        </w:rPr>
        <w:t xml:space="preserve"> retail rider to match a different revenue requirement approved by the Commission.</w:t>
      </w:r>
      <w:r w:rsidR="00014786">
        <w:rPr>
          <w:sz w:val="24"/>
        </w:rPr>
        <w:t xml:space="preserve">  Thus, the PSR requires the Commission to approve a separate and supplemental rate.</w:t>
      </w:r>
      <w:r>
        <w:rPr>
          <w:i/>
          <w:sz w:val="24"/>
        </w:rPr>
        <w:t xml:space="preserve">  </w:t>
      </w:r>
      <w:r>
        <w:rPr>
          <w:sz w:val="24"/>
        </w:rPr>
        <w:t xml:space="preserve"> </w:t>
      </w:r>
      <w:r w:rsidR="00ED5535">
        <w:rPr>
          <w:sz w:val="24"/>
        </w:rPr>
        <w:t xml:space="preserve"> </w:t>
      </w:r>
    </w:p>
    <w:p w:rsidR="00014786" w:rsidRDefault="00014786" w:rsidP="009C407A">
      <w:pPr>
        <w:autoSpaceDE w:val="0"/>
        <w:autoSpaceDN w:val="0"/>
        <w:adjustRightInd w:val="0"/>
        <w:spacing w:after="120" w:line="480" w:lineRule="auto"/>
        <w:jc w:val="both"/>
        <w:rPr>
          <w:sz w:val="24"/>
        </w:rPr>
      </w:pPr>
      <w:r>
        <w:rPr>
          <w:sz w:val="24"/>
        </w:rPr>
        <w:tab/>
        <w:t>It is irrelevant that the PSR pertains to existing generation resources not subject to MOPR.  The violation of federal law occurs by establish</w:t>
      </w:r>
      <w:r w:rsidR="009B2742">
        <w:rPr>
          <w:sz w:val="24"/>
        </w:rPr>
        <w:t>ing a supplemental rate for a generation</w:t>
      </w:r>
      <w:r>
        <w:rPr>
          <w:sz w:val="24"/>
        </w:rPr>
        <w:t xml:space="preserve"> resource.  In so doing, the Commi</w:t>
      </w:r>
      <w:r w:rsidR="009B2742">
        <w:rPr>
          <w:sz w:val="24"/>
        </w:rPr>
        <w:t>ssion would enter into a field of</w:t>
      </w:r>
      <w:r>
        <w:rPr>
          <w:sz w:val="24"/>
        </w:rPr>
        <w:t xml:space="preserve"> regulation that is completely occupied by the FERC.  Stated differently, the Commission lacks </w:t>
      </w:r>
      <w:r>
        <w:rPr>
          <w:sz w:val="24"/>
        </w:rPr>
        <w:lastRenderedPageBreak/>
        <w:t xml:space="preserve">authority to regulate wholesale pricing for existing and newly constructed generation.  Thus, OEG’s distinction lacks a difference.  </w:t>
      </w:r>
    </w:p>
    <w:p w:rsidR="00232BFB" w:rsidRDefault="00014786" w:rsidP="00232BFB">
      <w:pPr>
        <w:autoSpaceDE w:val="0"/>
        <w:autoSpaceDN w:val="0"/>
        <w:adjustRightInd w:val="0"/>
        <w:spacing w:after="120" w:line="480" w:lineRule="auto"/>
        <w:jc w:val="both"/>
        <w:rPr>
          <w:sz w:val="24"/>
        </w:rPr>
      </w:pPr>
      <w:r>
        <w:rPr>
          <w:sz w:val="24"/>
        </w:rPr>
        <w:tab/>
        <w:t xml:space="preserve">Further, the negative impact on the wholesale market design is the same in this instance.  As discussed in IGS’s Initial Brief, PJM sets a </w:t>
      </w:r>
      <w:r>
        <w:rPr>
          <w:i/>
          <w:sz w:val="24"/>
        </w:rPr>
        <w:t>uniform</w:t>
      </w:r>
      <w:r>
        <w:rPr>
          <w:sz w:val="24"/>
        </w:rPr>
        <w:t xml:space="preserve"> locational price.</w:t>
      </w:r>
      <w:r w:rsidR="009B2742">
        <w:rPr>
          <w:rStyle w:val="FootnoteReference"/>
          <w:sz w:val="24"/>
        </w:rPr>
        <w:footnoteReference w:id="37"/>
      </w:r>
      <w:r w:rsidR="00232BFB">
        <w:rPr>
          <w:sz w:val="24"/>
        </w:rPr>
        <w:t xml:space="preserve">  PJM’s u</w:t>
      </w:r>
      <w:r>
        <w:rPr>
          <w:sz w:val="24"/>
        </w:rPr>
        <w:t>niform prices are intended to send transparent price signals to market participants regarding retirements and</w:t>
      </w:r>
      <w:r w:rsidR="00232BFB">
        <w:rPr>
          <w:sz w:val="24"/>
        </w:rPr>
        <w:t xml:space="preserve"> infrastructure</w:t>
      </w:r>
      <w:r>
        <w:rPr>
          <w:sz w:val="24"/>
        </w:rPr>
        <w:t xml:space="preserve"> investment.</w:t>
      </w:r>
      <w:r w:rsidR="009B2742">
        <w:rPr>
          <w:rStyle w:val="FootnoteReference"/>
          <w:sz w:val="24"/>
        </w:rPr>
        <w:footnoteReference w:id="38"/>
      </w:r>
      <w:r>
        <w:rPr>
          <w:sz w:val="24"/>
        </w:rPr>
        <w:t xml:space="preserve">  Allowing the Commission to set a different</w:t>
      </w:r>
      <w:r w:rsidR="00232BFB">
        <w:rPr>
          <w:sz w:val="24"/>
        </w:rPr>
        <w:t xml:space="preserve"> wholesale</w:t>
      </w:r>
      <w:r>
        <w:rPr>
          <w:sz w:val="24"/>
        </w:rPr>
        <w:t xml:space="preserve"> price would undermine the uniform pr</w:t>
      </w:r>
      <w:r w:rsidR="00232BFB">
        <w:rPr>
          <w:sz w:val="24"/>
        </w:rPr>
        <w:t>ice signals issued by the wholesale market</w:t>
      </w:r>
      <w:r>
        <w:rPr>
          <w:sz w:val="24"/>
        </w:rPr>
        <w:t>.</w:t>
      </w:r>
      <w:r w:rsidR="009B2742">
        <w:rPr>
          <w:rStyle w:val="FootnoteReference"/>
          <w:sz w:val="24"/>
        </w:rPr>
        <w:footnoteReference w:id="39"/>
      </w:r>
      <w:r>
        <w:rPr>
          <w:sz w:val="24"/>
        </w:rPr>
        <w:t xml:space="preserve">    </w:t>
      </w:r>
    </w:p>
    <w:p w:rsidR="007846BC" w:rsidRDefault="007846BC" w:rsidP="00EE2AD3">
      <w:pPr>
        <w:pStyle w:val="ListParagraph"/>
        <w:numPr>
          <w:ilvl w:val="0"/>
          <w:numId w:val="1"/>
        </w:numPr>
        <w:autoSpaceDE w:val="0"/>
        <w:autoSpaceDN w:val="0"/>
        <w:adjustRightInd w:val="0"/>
        <w:spacing w:after="120" w:line="480" w:lineRule="auto"/>
        <w:jc w:val="both"/>
        <w:rPr>
          <w:b/>
          <w:sz w:val="24"/>
        </w:rPr>
      </w:pPr>
      <w:r>
        <w:rPr>
          <w:b/>
          <w:sz w:val="24"/>
        </w:rPr>
        <w:t xml:space="preserve">Duke should </w:t>
      </w:r>
      <w:r w:rsidR="00B909FE">
        <w:rPr>
          <w:b/>
          <w:sz w:val="24"/>
        </w:rPr>
        <w:t xml:space="preserve">be required to </w:t>
      </w:r>
      <w:r>
        <w:rPr>
          <w:b/>
          <w:sz w:val="24"/>
        </w:rPr>
        <w:t xml:space="preserve">transfer </w:t>
      </w:r>
      <w:r w:rsidR="00B909FE">
        <w:rPr>
          <w:b/>
          <w:sz w:val="24"/>
        </w:rPr>
        <w:t>is OVEC Assets</w:t>
      </w:r>
    </w:p>
    <w:p w:rsidR="005B25EC" w:rsidRPr="00913FD9" w:rsidRDefault="00EE2AD3" w:rsidP="00913FD9">
      <w:pPr>
        <w:autoSpaceDE w:val="0"/>
        <w:autoSpaceDN w:val="0"/>
        <w:adjustRightInd w:val="0"/>
        <w:spacing w:after="120" w:line="480" w:lineRule="auto"/>
        <w:ind w:firstLine="720"/>
        <w:jc w:val="both"/>
        <w:rPr>
          <w:sz w:val="24"/>
        </w:rPr>
      </w:pPr>
      <w:r>
        <w:rPr>
          <w:sz w:val="24"/>
        </w:rPr>
        <w:t>As discussed in IGS’s Initial Brief, Duke has already committed to transfer its OVEC interest in its last ESP case.  Rather than indulge Duke’s request to approve the unlawful and anticompetitive PSR, the Commission should direct Duke to honor its ESP Stipulation obligation and accomplish full legal corporate separation.</w:t>
      </w:r>
      <w:r w:rsidR="00B909FE">
        <w:rPr>
          <w:sz w:val="24"/>
        </w:rPr>
        <w:t xml:space="preserve"> The Commission has already order</w:t>
      </w:r>
      <w:r w:rsidR="008F3F56">
        <w:rPr>
          <w:sz w:val="24"/>
        </w:rPr>
        <w:t>ed</w:t>
      </w:r>
      <w:r w:rsidR="00B909FE">
        <w:rPr>
          <w:sz w:val="24"/>
        </w:rPr>
        <w:t xml:space="preserve"> Dayton Power and Light Company to use its best efforts to transfer its OVEC Assets.</w:t>
      </w:r>
      <w:r w:rsidR="00B909FE">
        <w:rPr>
          <w:rStyle w:val="FootnoteReference"/>
          <w:sz w:val="24"/>
        </w:rPr>
        <w:footnoteReference w:id="40"/>
      </w:r>
      <w:r w:rsidR="00B909FE">
        <w:rPr>
          <w:sz w:val="24"/>
        </w:rPr>
        <w:t xml:space="preserve"> There is no reason why the Commission should not do the same for Duke</w:t>
      </w:r>
      <w:r w:rsidR="00481B41">
        <w:rPr>
          <w:sz w:val="24"/>
        </w:rPr>
        <w:t>.</w:t>
      </w:r>
    </w:p>
    <w:p w:rsidR="007E2753" w:rsidRPr="00CF3AE0" w:rsidRDefault="00CF3AE0" w:rsidP="00CF3AE0">
      <w:pPr>
        <w:pStyle w:val="ListParagraph"/>
        <w:numPr>
          <w:ilvl w:val="0"/>
          <w:numId w:val="3"/>
        </w:numPr>
        <w:autoSpaceDE w:val="0"/>
        <w:autoSpaceDN w:val="0"/>
        <w:adjustRightInd w:val="0"/>
        <w:spacing w:after="120" w:line="240" w:lineRule="auto"/>
        <w:jc w:val="both"/>
        <w:rPr>
          <w:b/>
          <w:sz w:val="24"/>
        </w:rPr>
      </w:pPr>
      <w:r w:rsidRPr="00CF3AE0">
        <w:rPr>
          <w:b/>
          <w:sz w:val="24"/>
        </w:rPr>
        <w:t>The Commission Should not Approve an SSO that Does not Reflect the Full Cost of Providing SSO Service to Customers</w:t>
      </w:r>
    </w:p>
    <w:p w:rsidR="007E2753" w:rsidRPr="00CF0F34" w:rsidRDefault="007E2753" w:rsidP="007E2753">
      <w:pPr>
        <w:autoSpaceDE w:val="0"/>
        <w:autoSpaceDN w:val="0"/>
        <w:adjustRightInd w:val="0"/>
        <w:spacing w:after="120" w:line="480" w:lineRule="auto"/>
        <w:jc w:val="both"/>
        <w:rPr>
          <w:sz w:val="24"/>
        </w:rPr>
      </w:pPr>
      <w:r w:rsidRPr="00CF0F34">
        <w:rPr>
          <w:sz w:val="24"/>
        </w:rPr>
        <w:lastRenderedPageBreak/>
        <w:tab/>
        <w:t>In its Initial Brief</w:t>
      </w:r>
      <w:r w:rsidR="008F3F56">
        <w:rPr>
          <w:sz w:val="24"/>
        </w:rPr>
        <w:t>,</w:t>
      </w:r>
      <w:r w:rsidRPr="00CF0F34">
        <w:rPr>
          <w:sz w:val="24"/>
        </w:rPr>
        <w:t xml:space="preserve"> IGS explained that residential customer participation in Duke’s retail electric market is </w:t>
      </w:r>
      <w:r w:rsidR="006A00A3" w:rsidRPr="00CF0F34">
        <w:rPr>
          <w:sz w:val="24"/>
        </w:rPr>
        <w:t xml:space="preserve">limited </w:t>
      </w:r>
      <w:r w:rsidR="007E6155" w:rsidRPr="00CF0F34">
        <w:rPr>
          <w:sz w:val="24"/>
        </w:rPr>
        <w:t>due to</w:t>
      </w:r>
      <w:r w:rsidR="006A00A3" w:rsidRPr="00CF0F34">
        <w:rPr>
          <w:sz w:val="24"/>
        </w:rPr>
        <w:t xml:space="preserve"> the favored regulatory treatment currently afforded to the </w:t>
      </w:r>
      <w:r w:rsidR="007E6155" w:rsidRPr="00CF0F34">
        <w:rPr>
          <w:sz w:val="24"/>
        </w:rPr>
        <w:t>standard service offer (“SSO) product</w:t>
      </w:r>
      <w:r w:rsidRPr="00CF0F34">
        <w:rPr>
          <w:sz w:val="24"/>
        </w:rPr>
        <w:t>.  For these reasons</w:t>
      </w:r>
      <w:r w:rsidR="008F3F56">
        <w:rPr>
          <w:sz w:val="24"/>
        </w:rPr>
        <w:t>,</w:t>
      </w:r>
      <w:r w:rsidRPr="00CF0F34">
        <w:rPr>
          <w:sz w:val="24"/>
        </w:rPr>
        <w:t xml:space="preserve"> IGS made recommendations that the Commission take measures to limit the anti-competitive advantages </w:t>
      </w:r>
      <w:r w:rsidR="007E6155" w:rsidRPr="00CF0F34">
        <w:rPr>
          <w:sz w:val="24"/>
        </w:rPr>
        <w:t xml:space="preserve">and subsidies </w:t>
      </w:r>
      <w:r w:rsidRPr="00CF0F34">
        <w:rPr>
          <w:sz w:val="24"/>
        </w:rPr>
        <w:t xml:space="preserve">provided to </w:t>
      </w:r>
      <w:r w:rsidR="007E6155" w:rsidRPr="00CF0F34">
        <w:rPr>
          <w:sz w:val="24"/>
        </w:rPr>
        <w:t>SSO service</w:t>
      </w:r>
      <w:r w:rsidRPr="00CF0F34">
        <w:rPr>
          <w:sz w:val="24"/>
        </w:rPr>
        <w:t>.</w:t>
      </w:r>
      <w:r w:rsidRPr="00CF0F34">
        <w:rPr>
          <w:rStyle w:val="FootnoteReference"/>
          <w:sz w:val="24"/>
        </w:rPr>
        <w:footnoteReference w:id="41"/>
      </w:r>
      <w:r w:rsidRPr="00CF0F34">
        <w:rPr>
          <w:sz w:val="24"/>
        </w:rPr>
        <w:t xml:space="preserve"> </w:t>
      </w:r>
    </w:p>
    <w:p w:rsidR="007E2753" w:rsidRPr="00CF0F34" w:rsidRDefault="007E2753" w:rsidP="007E2753">
      <w:pPr>
        <w:autoSpaceDE w:val="0"/>
        <w:autoSpaceDN w:val="0"/>
        <w:adjustRightInd w:val="0"/>
        <w:spacing w:after="120" w:line="480" w:lineRule="auto"/>
        <w:jc w:val="both"/>
        <w:rPr>
          <w:sz w:val="24"/>
        </w:rPr>
      </w:pPr>
      <w:r w:rsidRPr="00CF0F34">
        <w:rPr>
          <w:sz w:val="24"/>
        </w:rPr>
        <w:tab/>
        <w:t xml:space="preserve">One of the measures IGS advocated </w:t>
      </w:r>
      <w:r w:rsidR="00293735" w:rsidRPr="00CF0F34">
        <w:rPr>
          <w:sz w:val="24"/>
        </w:rPr>
        <w:t xml:space="preserve">for </w:t>
      </w:r>
      <w:r w:rsidRPr="00CF0F34">
        <w:rPr>
          <w:sz w:val="24"/>
        </w:rPr>
        <w:t>in its testimony is that the Commission should unbundle the costs required to support the SSO generation product that Duke currently recovers through distribution rates and charges</w:t>
      </w:r>
      <w:r w:rsidR="00B04B33">
        <w:rPr>
          <w:sz w:val="24"/>
        </w:rPr>
        <w:t xml:space="preserve"> and to recover those costs through the SSO price.  </w:t>
      </w:r>
      <w:r w:rsidRPr="00CF0F34">
        <w:rPr>
          <w:sz w:val="24"/>
        </w:rPr>
        <w:t>IGS explained that this proposal</w:t>
      </w:r>
      <w:r w:rsidR="00481B41" w:rsidRPr="00CF0F34">
        <w:rPr>
          <w:sz w:val="24"/>
        </w:rPr>
        <w:t xml:space="preserve"> is consistent with Ohio law</w:t>
      </w:r>
      <w:r w:rsidRPr="00CF0F34">
        <w:rPr>
          <w:sz w:val="24"/>
        </w:rPr>
        <w:t xml:space="preserve"> which requires </w:t>
      </w:r>
      <w:r w:rsidR="00293735" w:rsidRPr="00CF0F34">
        <w:rPr>
          <w:sz w:val="24"/>
        </w:rPr>
        <w:t>the utility SSO product to be “unbundled” and “comparable” to other retail electric products in the market.</w:t>
      </w:r>
      <w:r w:rsidR="006A00A3" w:rsidRPr="00CF0F34">
        <w:rPr>
          <w:rStyle w:val="FootnoteReference"/>
          <w:sz w:val="24"/>
        </w:rPr>
        <w:footnoteReference w:id="42"/>
      </w:r>
      <w:r w:rsidR="00293735" w:rsidRPr="00CF0F34">
        <w:rPr>
          <w:sz w:val="24"/>
        </w:rPr>
        <w:t xml:space="preserve"> As explained in IGS’ </w:t>
      </w:r>
      <w:r w:rsidR="00983833" w:rsidRPr="00CF0F34">
        <w:rPr>
          <w:sz w:val="24"/>
        </w:rPr>
        <w:t>Initial B</w:t>
      </w:r>
      <w:r w:rsidR="00293735" w:rsidRPr="00CF0F34">
        <w:rPr>
          <w:sz w:val="24"/>
        </w:rPr>
        <w:t>rief, a retail electric product does</w:t>
      </w:r>
      <w:r w:rsidR="006A00A3" w:rsidRPr="00CF0F34">
        <w:rPr>
          <w:sz w:val="24"/>
        </w:rPr>
        <w:t xml:space="preserve"> not</w:t>
      </w:r>
      <w:r w:rsidR="00293735" w:rsidRPr="00CF0F34">
        <w:rPr>
          <w:sz w:val="24"/>
        </w:rPr>
        <w:t xml:space="preserve"> just consist of a pass-through of wholesale energy </w:t>
      </w:r>
      <w:r w:rsidR="00B10D03" w:rsidRPr="00CF0F34">
        <w:rPr>
          <w:sz w:val="24"/>
        </w:rPr>
        <w:t>costs</w:t>
      </w:r>
      <w:r w:rsidR="00293735" w:rsidRPr="00CF0F34">
        <w:rPr>
          <w:sz w:val="24"/>
        </w:rPr>
        <w:t>; rather there are a number of non-wholesale energy costs that are required to offer a retail electric product in the market.</w:t>
      </w:r>
      <w:r w:rsidR="00293735" w:rsidRPr="00CF0F34">
        <w:rPr>
          <w:rStyle w:val="FootnoteReference"/>
          <w:sz w:val="24"/>
        </w:rPr>
        <w:footnoteReference w:id="43"/>
      </w:r>
      <w:r w:rsidR="00293735" w:rsidRPr="00CF0F34">
        <w:rPr>
          <w:sz w:val="24"/>
        </w:rPr>
        <w:t xml:space="preserve"> Further, unbundling costs from distribution rates is consistent with the practices of other states with competitive retail electric markets</w:t>
      </w:r>
      <w:r w:rsidR="007E6155" w:rsidRPr="00CF0F34">
        <w:rPr>
          <w:sz w:val="24"/>
        </w:rPr>
        <w:t xml:space="preserve">.  As noted in IGS’ Initial Brief, </w:t>
      </w:r>
      <w:r w:rsidR="00293735" w:rsidRPr="00CF0F34">
        <w:rPr>
          <w:sz w:val="24"/>
        </w:rPr>
        <w:t>Ohio is far behind in this regard.</w:t>
      </w:r>
      <w:r w:rsidR="00293735" w:rsidRPr="00CF0F34">
        <w:rPr>
          <w:rStyle w:val="FootnoteReference"/>
          <w:sz w:val="24"/>
        </w:rPr>
        <w:footnoteReference w:id="44"/>
      </w:r>
      <w:r w:rsidR="00293735" w:rsidRPr="00CF0F34">
        <w:rPr>
          <w:sz w:val="24"/>
        </w:rPr>
        <w:t xml:space="preserve"> </w:t>
      </w:r>
    </w:p>
    <w:p w:rsidR="00293735" w:rsidRPr="00CF0F34" w:rsidRDefault="00293735" w:rsidP="006A00A3">
      <w:pPr>
        <w:autoSpaceDE w:val="0"/>
        <w:autoSpaceDN w:val="0"/>
        <w:adjustRightInd w:val="0"/>
        <w:spacing w:after="120" w:line="480" w:lineRule="auto"/>
        <w:jc w:val="both"/>
        <w:rPr>
          <w:sz w:val="24"/>
        </w:rPr>
      </w:pPr>
      <w:r w:rsidRPr="00CF0F34">
        <w:rPr>
          <w:sz w:val="24"/>
        </w:rPr>
        <w:tab/>
        <w:t>Despite the requirement in R.C. 4928.</w:t>
      </w:r>
      <w:r w:rsidR="006A00A3" w:rsidRPr="00CF0F34">
        <w:rPr>
          <w:sz w:val="24"/>
        </w:rPr>
        <w:t>141(A)</w:t>
      </w:r>
      <w:r w:rsidRPr="00CF0F34">
        <w:rPr>
          <w:sz w:val="24"/>
        </w:rPr>
        <w:t xml:space="preserve"> that the SSO service be comparable </w:t>
      </w:r>
      <w:r w:rsidR="006A00A3" w:rsidRPr="00CF0F34">
        <w:rPr>
          <w:sz w:val="24"/>
        </w:rPr>
        <w:t>to other products retail products in the market</w:t>
      </w:r>
      <w:r w:rsidRPr="00CF0F34">
        <w:rPr>
          <w:sz w:val="24"/>
        </w:rPr>
        <w:t xml:space="preserve">, </w:t>
      </w:r>
      <w:r w:rsidR="006A00A3" w:rsidRPr="00CF0F34">
        <w:rPr>
          <w:sz w:val="24"/>
        </w:rPr>
        <w:t>i</w:t>
      </w:r>
      <w:r w:rsidRPr="00CF0F34">
        <w:rPr>
          <w:sz w:val="24"/>
        </w:rPr>
        <w:t xml:space="preserve">n its Initial Brief Duke claims that the Commission is not allowed to unbundle costs required to support the SSO that </w:t>
      </w:r>
      <w:r w:rsidRPr="00CF0F34">
        <w:rPr>
          <w:sz w:val="24"/>
        </w:rPr>
        <w:lastRenderedPageBreak/>
        <w:t xml:space="preserve">are recovered in distribution rates.  Duke makes this </w:t>
      </w:r>
      <w:r w:rsidR="006A00A3" w:rsidRPr="00CF0F34">
        <w:rPr>
          <w:sz w:val="24"/>
        </w:rPr>
        <w:t>spurious</w:t>
      </w:r>
      <w:r w:rsidRPr="00CF0F34">
        <w:rPr>
          <w:sz w:val="24"/>
        </w:rPr>
        <w:t xml:space="preserve"> claim based on its</w:t>
      </w:r>
      <w:r w:rsidR="006A00A3" w:rsidRPr="00CF0F34">
        <w:rPr>
          <w:sz w:val="24"/>
        </w:rPr>
        <w:t xml:space="preserve"> interpretation that the SSO price can only contain generation costs which consist</w:t>
      </w:r>
      <w:r w:rsidR="007E6155" w:rsidRPr="00CF0F34">
        <w:rPr>
          <w:sz w:val="24"/>
        </w:rPr>
        <w:t xml:space="preserve"> only</w:t>
      </w:r>
      <w:r w:rsidR="006A00A3" w:rsidRPr="00CF0F34">
        <w:rPr>
          <w:sz w:val="24"/>
        </w:rPr>
        <w:t xml:space="preserve"> of “</w:t>
      </w:r>
      <w:r w:rsidR="006A00A3" w:rsidRPr="00CF0F34">
        <w:rPr>
          <w:color w:val="383838"/>
          <w:sz w:val="24"/>
        </w:rPr>
        <w:t>energy, capacity, costs of procuring supply,</w:t>
      </w:r>
      <w:r w:rsidR="006A00A3" w:rsidRPr="00CF0F34">
        <w:rPr>
          <w:sz w:val="24"/>
        </w:rPr>
        <w:t xml:space="preserve"> </w:t>
      </w:r>
      <w:r w:rsidR="006A00A3" w:rsidRPr="00CF0F34">
        <w:rPr>
          <w:color w:val="383838"/>
          <w:sz w:val="24"/>
        </w:rPr>
        <w:t>costs for environmental compliance and emission allowances and costs for alternative energy</w:t>
      </w:r>
      <w:r w:rsidR="006A00A3" w:rsidRPr="00CF0F34">
        <w:rPr>
          <w:sz w:val="24"/>
        </w:rPr>
        <w:t xml:space="preserve"> </w:t>
      </w:r>
      <w:r w:rsidR="006A00A3" w:rsidRPr="00CF0F34">
        <w:rPr>
          <w:color w:val="383838"/>
          <w:sz w:val="24"/>
        </w:rPr>
        <w:t xml:space="preserve">resources”. </w:t>
      </w:r>
      <w:r w:rsidR="007E6155" w:rsidRPr="00CF0F34">
        <w:rPr>
          <w:color w:val="383838"/>
          <w:sz w:val="24"/>
        </w:rPr>
        <w:t xml:space="preserve">However, </w:t>
      </w:r>
      <w:r w:rsidR="006A00A3" w:rsidRPr="00CF0F34">
        <w:rPr>
          <w:color w:val="383838"/>
          <w:sz w:val="24"/>
        </w:rPr>
        <w:t>Duke provides no cite to support its contention that the SSO can only contain th</w:t>
      </w:r>
      <w:r w:rsidR="00B10D03" w:rsidRPr="00CF0F34">
        <w:rPr>
          <w:color w:val="383838"/>
          <w:sz w:val="24"/>
        </w:rPr>
        <w:t>e</w:t>
      </w:r>
      <w:r w:rsidR="006A00A3" w:rsidRPr="00CF0F34">
        <w:rPr>
          <w:color w:val="383838"/>
          <w:sz w:val="24"/>
        </w:rPr>
        <w:t xml:space="preserve"> aforementioned components.</w:t>
      </w:r>
      <w:r w:rsidR="006A00A3" w:rsidRPr="00CF0F34">
        <w:rPr>
          <w:rStyle w:val="FootnoteReference"/>
          <w:color w:val="383838"/>
          <w:sz w:val="24"/>
        </w:rPr>
        <w:footnoteReference w:id="45"/>
      </w:r>
      <w:r w:rsidRPr="00CF0F34">
        <w:rPr>
          <w:sz w:val="24"/>
        </w:rPr>
        <w:t xml:space="preserve"> </w:t>
      </w:r>
      <w:r w:rsidR="00364F90" w:rsidRPr="00CF0F34">
        <w:rPr>
          <w:sz w:val="24"/>
        </w:rPr>
        <w:t xml:space="preserve"> Accordingly</w:t>
      </w:r>
      <w:r w:rsidR="007E6155" w:rsidRPr="00CF0F34">
        <w:rPr>
          <w:sz w:val="24"/>
        </w:rPr>
        <w:t>,</w:t>
      </w:r>
      <w:r w:rsidR="00364F90" w:rsidRPr="00CF0F34">
        <w:rPr>
          <w:sz w:val="24"/>
        </w:rPr>
        <w:t xml:space="preserve"> the Commission should not accept Duke’s restrictions on the costs that can be recovered through the SSO simply because Duke </w:t>
      </w:r>
      <w:r w:rsidR="007E6155" w:rsidRPr="00CF0F34">
        <w:rPr>
          <w:sz w:val="24"/>
        </w:rPr>
        <w:t>adopted that definition in its Initial Brief</w:t>
      </w:r>
      <w:r w:rsidR="00364F90" w:rsidRPr="00CF0F34">
        <w:rPr>
          <w:sz w:val="24"/>
        </w:rPr>
        <w:t>.</w:t>
      </w:r>
    </w:p>
    <w:p w:rsidR="00983833" w:rsidRPr="00CF0F34" w:rsidRDefault="006A00A3" w:rsidP="006A00A3">
      <w:pPr>
        <w:autoSpaceDE w:val="0"/>
        <w:autoSpaceDN w:val="0"/>
        <w:adjustRightInd w:val="0"/>
        <w:spacing w:after="120" w:line="480" w:lineRule="auto"/>
        <w:jc w:val="both"/>
        <w:rPr>
          <w:sz w:val="24"/>
        </w:rPr>
      </w:pPr>
      <w:r w:rsidRPr="00CF0F34">
        <w:rPr>
          <w:sz w:val="24"/>
        </w:rPr>
        <w:tab/>
      </w:r>
      <w:r w:rsidR="007E6155" w:rsidRPr="00CF0F34">
        <w:rPr>
          <w:sz w:val="24"/>
        </w:rPr>
        <w:t xml:space="preserve">Moreover, </w:t>
      </w:r>
      <w:r w:rsidR="00B10D03" w:rsidRPr="00CF0F34">
        <w:rPr>
          <w:sz w:val="24"/>
        </w:rPr>
        <w:t>a</w:t>
      </w:r>
      <w:r w:rsidRPr="00CF0F34">
        <w:rPr>
          <w:sz w:val="24"/>
        </w:rPr>
        <w:t xml:space="preserve">s noted by IGS Witness White, there is much more that goes into providing </w:t>
      </w:r>
      <w:r w:rsidR="00983833" w:rsidRPr="00CF0F34">
        <w:rPr>
          <w:sz w:val="24"/>
        </w:rPr>
        <w:t>retail electric service than just the components listed by Duke.  Those costs include, but are not necessarily limited to:</w:t>
      </w:r>
    </w:p>
    <w:p w:rsidR="00364F90" w:rsidRPr="00CF0F34" w:rsidRDefault="00983833" w:rsidP="000A1E84">
      <w:pPr>
        <w:autoSpaceDE w:val="0"/>
        <w:autoSpaceDN w:val="0"/>
        <w:adjustRightInd w:val="0"/>
        <w:spacing w:after="120" w:line="240" w:lineRule="auto"/>
        <w:ind w:left="720" w:right="720"/>
        <w:jc w:val="both"/>
        <w:rPr>
          <w:sz w:val="24"/>
        </w:rPr>
      </w:pPr>
      <w:r w:rsidRPr="00CF0F34">
        <w:rPr>
          <w:sz w:val="24"/>
        </w:rPr>
        <w:t>Duke employee costs for the time Duke employees work to make the SSO rate available to customers; Duke infrastructure costs, including IT costs used to support the SSO and SSO customers; the cost of working capital Duke incurs to purchase SSO supply up-front, but bill SSO customers later; customer call center costs incurred when customers inquire about their SSO generation service; and allocation of a portion of overhead expense, because the SSO could not be made available to customers without the use of Duke's overhead.</w:t>
      </w:r>
      <w:r w:rsidRPr="00CF0F34">
        <w:rPr>
          <w:rStyle w:val="FootnoteReference"/>
          <w:sz w:val="24"/>
        </w:rPr>
        <w:footnoteReference w:id="46"/>
      </w:r>
      <w:r w:rsidRPr="00CF0F34">
        <w:rPr>
          <w:sz w:val="24"/>
        </w:rPr>
        <w:t xml:space="preserve"> </w:t>
      </w:r>
    </w:p>
    <w:p w:rsidR="00364F90" w:rsidRPr="00CF0F34" w:rsidRDefault="00364F90" w:rsidP="000905CF">
      <w:pPr>
        <w:autoSpaceDE w:val="0"/>
        <w:autoSpaceDN w:val="0"/>
        <w:adjustRightInd w:val="0"/>
        <w:spacing w:after="120" w:line="480" w:lineRule="auto"/>
        <w:jc w:val="both"/>
        <w:rPr>
          <w:sz w:val="24"/>
        </w:rPr>
      </w:pPr>
      <w:r w:rsidRPr="00CF0F34">
        <w:rPr>
          <w:sz w:val="24"/>
        </w:rPr>
        <w:t>Because Ohio law requires that the SSO be comparable to other products in the market, th</w:t>
      </w:r>
      <w:r w:rsidR="007E6155" w:rsidRPr="00CF0F34">
        <w:rPr>
          <w:sz w:val="24"/>
        </w:rPr>
        <w:t>ose costs listed by Mr. White must be unbundled from distribution rates and reflected in the</w:t>
      </w:r>
      <w:r w:rsidRPr="00CF0F34">
        <w:rPr>
          <w:sz w:val="24"/>
        </w:rPr>
        <w:t xml:space="preserve"> SSO price</w:t>
      </w:r>
      <w:r w:rsidR="007E6155" w:rsidRPr="00CF0F34">
        <w:rPr>
          <w:sz w:val="24"/>
        </w:rPr>
        <w:t>.</w:t>
      </w:r>
      <w:r w:rsidRPr="00CF0F34">
        <w:rPr>
          <w:sz w:val="24"/>
        </w:rPr>
        <w:t xml:space="preserve"> </w:t>
      </w:r>
    </w:p>
    <w:p w:rsidR="00364F90" w:rsidRPr="006A00A3" w:rsidRDefault="00364F90" w:rsidP="000905CF">
      <w:pPr>
        <w:autoSpaceDE w:val="0"/>
        <w:autoSpaceDN w:val="0"/>
        <w:adjustRightInd w:val="0"/>
        <w:spacing w:after="120" w:line="480" w:lineRule="auto"/>
        <w:jc w:val="both"/>
        <w:rPr>
          <w:sz w:val="24"/>
        </w:rPr>
      </w:pPr>
      <w:r w:rsidRPr="00CF0F34">
        <w:rPr>
          <w:sz w:val="24"/>
        </w:rPr>
        <w:tab/>
        <w:t xml:space="preserve">Duke also argues in its </w:t>
      </w:r>
      <w:r w:rsidR="007E6155" w:rsidRPr="00CF0F34">
        <w:rPr>
          <w:sz w:val="24"/>
        </w:rPr>
        <w:t>Initial B</w:t>
      </w:r>
      <w:r w:rsidRPr="00CF0F34">
        <w:rPr>
          <w:sz w:val="24"/>
        </w:rPr>
        <w:t xml:space="preserve">rief that the SSO is not required to reflect all of the costs of providing retail electric service because all customers have the ability to take </w:t>
      </w:r>
      <w:r w:rsidRPr="00CF0F34">
        <w:rPr>
          <w:sz w:val="24"/>
        </w:rPr>
        <w:lastRenderedPageBreak/>
        <w:t>SSO service.</w:t>
      </w:r>
      <w:r w:rsidRPr="00CF0F34">
        <w:rPr>
          <w:rStyle w:val="FootnoteReference"/>
          <w:sz w:val="24"/>
        </w:rPr>
        <w:footnoteReference w:id="47"/>
      </w:r>
      <w:r w:rsidRPr="00CF0F34">
        <w:rPr>
          <w:sz w:val="24"/>
        </w:rPr>
        <w:t xml:space="preserve"> However, just because Duke is required to offer SSO service, does not mean that</w:t>
      </w:r>
      <w:r w:rsidR="008F3F56">
        <w:rPr>
          <w:sz w:val="24"/>
        </w:rPr>
        <w:t xml:space="preserve"> the</w:t>
      </w:r>
      <w:r w:rsidRPr="00CF0F34">
        <w:rPr>
          <w:sz w:val="24"/>
        </w:rPr>
        <w:t xml:space="preserve"> SSO price should not reflect the full costs of providing that service.  Under Duke’s argument</w:t>
      </w:r>
      <w:r w:rsidR="008F3F56">
        <w:rPr>
          <w:sz w:val="24"/>
        </w:rPr>
        <w:t>,</w:t>
      </w:r>
      <w:r w:rsidRPr="00CF0F34">
        <w:rPr>
          <w:sz w:val="24"/>
        </w:rPr>
        <w:t xml:space="preserve"> SSO customers would also be </w:t>
      </w:r>
      <w:r w:rsidR="007E6155" w:rsidRPr="00CF0F34">
        <w:rPr>
          <w:sz w:val="24"/>
        </w:rPr>
        <w:t>eligible for</w:t>
      </w:r>
      <w:r w:rsidRPr="00CF0F34">
        <w:rPr>
          <w:sz w:val="24"/>
        </w:rPr>
        <w:t xml:space="preserve"> wholesale electric </w:t>
      </w:r>
      <w:r w:rsidR="007E6155" w:rsidRPr="00CF0F34">
        <w:rPr>
          <w:sz w:val="24"/>
        </w:rPr>
        <w:t xml:space="preserve">subsidies </w:t>
      </w:r>
      <w:r w:rsidRPr="00CF0F34">
        <w:rPr>
          <w:sz w:val="24"/>
        </w:rPr>
        <w:t xml:space="preserve">through distribution rates.  This clearly </w:t>
      </w:r>
      <w:r w:rsidR="00B10D03" w:rsidRPr="00CF0F34">
        <w:rPr>
          <w:sz w:val="24"/>
        </w:rPr>
        <w:t>is</w:t>
      </w:r>
      <w:r w:rsidR="007E6155" w:rsidRPr="00CF0F34">
        <w:rPr>
          <w:sz w:val="24"/>
        </w:rPr>
        <w:t xml:space="preserve"> not consistent with Ohio law, which requires a retail electric price to be a comparable product in the market. Ultimately</w:t>
      </w:r>
      <w:r w:rsidR="008F3F56">
        <w:rPr>
          <w:sz w:val="24"/>
        </w:rPr>
        <w:t>,</w:t>
      </w:r>
      <w:r w:rsidR="007E6155" w:rsidRPr="00CF0F34">
        <w:rPr>
          <w:sz w:val="24"/>
        </w:rPr>
        <w:t xml:space="preserve"> a subsidy is a subsidy, whether it’s a wholesale electric subsidy or it is a subsidy of other costs required to provide SSO service.  For these reasons IGS’ unbundling proposal should be adopted.</w:t>
      </w:r>
    </w:p>
    <w:p w:rsidR="000905CF" w:rsidRDefault="00875F94" w:rsidP="000905CF">
      <w:pPr>
        <w:autoSpaceDE w:val="0"/>
        <w:autoSpaceDN w:val="0"/>
        <w:adjustRightInd w:val="0"/>
        <w:spacing w:after="120" w:line="240" w:lineRule="auto"/>
        <w:ind w:firstLine="720"/>
        <w:jc w:val="both"/>
        <w:rPr>
          <w:b/>
          <w:sz w:val="24"/>
        </w:rPr>
      </w:pPr>
      <w:r>
        <w:rPr>
          <w:b/>
          <w:sz w:val="24"/>
        </w:rPr>
        <w:t>I</w:t>
      </w:r>
      <w:r w:rsidR="000905CF">
        <w:rPr>
          <w:b/>
          <w:sz w:val="24"/>
        </w:rPr>
        <w:t>I. CONCLUSION</w:t>
      </w:r>
    </w:p>
    <w:p w:rsidR="000905CF" w:rsidRPr="000905CF" w:rsidRDefault="000905CF" w:rsidP="000905CF">
      <w:pPr>
        <w:spacing w:line="480" w:lineRule="auto"/>
        <w:ind w:firstLine="720"/>
        <w:jc w:val="both"/>
        <w:rPr>
          <w:color w:val="000000"/>
          <w:sz w:val="24"/>
          <w:shd w:val="clear" w:color="auto" w:fill="FFFFFF"/>
        </w:rPr>
      </w:pPr>
      <w:r w:rsidRPr="000905CF">
        <w:rPr>
          <w:color w:val="000000"/>
          <w:sz w:val="24"/>
          <w:shd w:val="clear" w:color="auto" w:fill="FFFFFF"/>
        </w:rPr>
        <w:t>For the reasons stated herein, IGS requests the Commission reject the proposals in Duke’s Application</w:t>
      </w:r>
      <w:r w:rsidR="00903FB7">
        <w:rPr>
          <w:color w:val="000000"/>
          <w:sz w:val="24"/>
          <w:shd w:val="clear" w:color="auto" w:fill="FFFFFF"/>
        </w:rPr>
        <w:t>,</w:t>
      </w:r>
      <w:r w:rsidRPr="000905CF">
        <w:rPr>
          <w:color w:val="000000"/>
          <w:sz w:val="24"/>
          <w:shd w:val="clear" w:color="auto" w:fill="FFFFFF"/>
        </w:rPr>
        <w:t xml:space="preserve"> which will undermine competition</w:t>
      </w:r>
      <w:r w:rsidR="00576968">
        <w:rPr>
          <w:color w:val="000000"/>
          <w:sz w:val="24"/>
          <w:shd w:val="clear" w:color="auto" w:fill="FFFFFF"/>
        </w:rPr>
        <w:t>.  The Commission</w:t>
      </w:r>
      <w:bookmarkStart w:id="0" w:name="_GoBack"/>
      <w:bookmarkEnd w:id="0"/>
      <w:r w:rsidR="00576968">
        <w:rPr>
          <w:color w:val="000000"/>
          <w:sz w:val="24"/>
          <w:shd w:val="clear" w:color="auto" w:fill="FFFFFF"/>
        </w:rPr>
        <w:t xml:space="preserve"> should</w:t>
      </w:r>
      <w:r w:rsidR="00903FB7">
        <w:rPr>
          <w:color w:val="000000"/>
          <w:sz w:val="24"/>
          <w:shd w:val="clear" w:color="auto" w:fill="FFFFFF"/>
        </w:rPr>
        <w:t xml:space="preserve"> modify the proposed ESP as recommended below</w:t>
      </w:r>
      <w:r w:rsidRPr="000905CF">
        <w:rPr>
          <w:color w:val="000000"/>
          <w:sz w:val="24"/>
          <w:shd w:val="clear" w:color="auto" w:fill="FFFFFF"/>
        </w:rPr>
        <w:t>.  Specifically</w:t>
      </w:r>
      <w:r w:rsidR="00903FB7">
        <w:rPr>
          <w:color w:val="000000"/>
          <w:sz w:val="24"/>
          <w:shd w:val="clear" w:color="auto" w:fill="FFFFFF"/>
        </w:rPr>
        <w:t>,</w:t>
      </w:r>
      <w:r w:rsidRPr="000905CF">
        <w:rPr>
          <w:color w:val="000000"/>
          <w:sz w:val="24"/>
          <w:shd w:val="clear" w:color="auto" w:fill="FFFFFF"/>
        </w:rPr>
        <w:t xml:space="preserve"> IGS requests that the Commission:</w:t>
      </w:r>
    </w:p>
    <w:p w:rsidR="000905CF" w:rsidRPr="000905CF" w:rsidRDefault="000905CF" w:rsidP="000905CF">
      <w:pPr>
        <w:numPr>
          <w:ilvl w:val="0"/>
          <w:numId w:val="5"/>
        </w:numPr>
        <w:spacing w:line="480" w:lineRule="auto"/>
        <w:contextualSpacing/>
        <w:jc w:val="both"/>
        <w:rPr>
          <w:color w:val="000000"/>
          <w:sz w:val="24"/>
          <w:shd w:val="clear" w:color="auto" w:fill="FFFFFF"/>
        </w:rPr>
      </w:pPr>
      <w:r w:rsidRPr="000905CF">
        <w:rPr>
          <w:color w:val="000000"/>
          <w:sz w:val="24"/>
          <w:szCs w:val="22"/>
          <w:shd w:val="clear" w:color="auto" w:fill="FFFFFF"/>
        </w:rPr>
        <w:t>Reject the PSR outright and order Duke to transfer its OVEC generation assets;</w:t>
      </w:r>
    </w:p>
    <w:p w:rsidR="000905CF" w:rsidRPr="000905CF" w:rsidRDefault="000905CF" w:rsidP="000905CF">
      <w:pPr>
        <w:numPr>
          <w:ilvl w:val="0"/>
          <w:numId w:val="5"/>
        </w:numPr>
        <w:spacing w:line="480" w:lineRule="auto"/>
        <w:contextualSpacing/>
        <w:jc w:val="both"/>
        <w:rPr>
          <w:color w:val="000000"/>
          <w:sz w:val="24"/>
          <w:shd w:val="clear" w:color="auto" w:fill="FFFFFF"/>
        </w:rPr>
      </w:pPr>
      <w:r w:rsidRPr="000905CF">
        <w:rPr>
          <w:color w:val="000000"/>
          <w:sz w:val="24"/>
          <w:szCs w:val="22"/>
          <w:shd w:val="clear" w:color="auto" w:fill="FFFFFF"/>
        </w:rPr>
        <w:t>Reject Duke’s proposal to prohibit CRES providers from using the bill ready function to place non-commodity charges on the EDU bill; instead, the Commission should make the determination that CRES providers can bill for non-commodity charges on the EDU bill;</w:t>
      </w:r>
    </w:p>
    <w:p w:rsidR="000905CF" w:rsidRPr="000905CF" w:rsidRDefault="000905CF" w:rsidP="000905CF">
      <w:pPr>
        <w:numPr>
          <w:ilvl w:val="0"/>
          <w:numId w:val="5"/>
        </w:numPr>
        <w:spacing w:line="480" w:lineRule="auto"/>
        <w:contextualSpacing/>
        <w:jc w:val="both"/>
        <w:rPr>
          <w:color w:val="000000"/>
          <w:sz w:val="24"/>
          <w:shd w:val="clear" w:color="auto" w:fill="FFFFFF"/>
        </w:rPr>
      </w:pPr>
      <w:r w:rsidRPr="000905CF">
        <w:rPr>
          <w:color w:val="000000"/>
          <w:sz w:val="24"/>
          <w:szCs w:val="22"/>
          <w:shd w:val="clear" w:color="auto" w:fill="FFFFFF"/>
        </w:rPr>
        <w:t>Order that Duke is required unbundle the costs required to support the SSO and immediately initiate a proceeding to determine the costs that must be unbundled from the SSO.</w:t>
      </w:r>
    </w:p>
    <w:p w:rsidR="000905CF" w:rsidRPr="000905CF" w:rsidRDefault="000905CF" w:rsidP="000905CF">
      <w:pPr>
        <w:numPr>
          <w:ilvl w:val="0"/>
          <w:numId w:val="5"/>
        </w:numPr>
        <w:spacing w:line="480" w:lineRule="auto"/>
        <w:contextualSpacing/>
        <w:jc w:val="both"/>
        <w:rPr>
          <w:color w:val="000000"/>
          <w:sz w:val="24"/>
          <w:shd w:val="clear" w:color="auto" w:fill="FFFFFF"/>
        </w:rPr>
      </w:pPr>
      <w:r w:rsidRPr="000905CF">
        <w:rPr>
          <w:color w:val="000000"/>
          <w:sz w:val="24"/>
          <w:szCs w:val="22"/>
          <w:shd w:val="clear" w:color="auto" w:fill="FFFFFF"/>
        </w:rPr>
        <w:lastRenderedPageBreak/>
        <w:t>Adopt the recommendatio</w:t>
      </w:r>
      <w:r>
        <w:rPr>
          <w:color w:val="000000"/>
          <w:sz w:val="24"/>
          <w:szCs w:val="22"/>
          <w:shd w:val="clear" w:color="auto" w:fill="FFFFFF"/>
        </w:rPr>
        <w:t>ns contained in the testimony and b</w:t>
      </w:r>
      <w:r w:rsidRPr="000905CF">
        <w:rPr>
          <w:color w:val="000000"/>
          <w:sz w:val="24"/>
          <w:szCs w:val="22"/>
          <w:shd w:val="clear" w:color="auto" w:fill="FFFFFF"/>
        </w:rPr>
        <w:t>rief</w:t>
      </w:r>
      <w:r>
        <w:rPr>
          <w:color w:val="000000"/>
          <w:sz w:val="24"/>
          <w:szCs w:val="22"/>
          <w:shd w:val="clear" w:color="auto" w:fill="FFFFFF"/>
        </w:rPr>
        <w:t>s of RESA</w:t>
      </w:r>
      <w:r w:rsidRPr="000905CF">
        <w:rPr>
          <w:color w:val="000000"/>
          <w:sz w:val="24"/>
          <w:szCs w:val="22"/>
          <w:shd w:val="clear" w:color="auto" w:fill="FFFFFF"/>
        </w:rPr>
        <w:t>.</w:t>
      </w:r>
    </w:p>
    <w:p w:rsidR="000905CF" w:rsidRPr="000905CF" w:rsidRDefault="000905CF" w:rsidP="000905CF">
      <w:pPr>
        <w:spacing w:line="480" w:lineRule="auto"/>
        <w:jc w:val="both"/>
        <w:rPr>
          <w:color w:val="000000"/>
          <w:sz w:val="24"/>
          <w:shd w:val="clear" w:color="auto" w:fill="FFFFFF"/>
        </w:rPr>
      </w:pPr>
      <w:r w:rsidRPr="000905CF">
        <w:rPr>
          <w:color w:val="000000"/>
          <w:sz w:val="24"/>
          <w:shd w:val="clear" w:color="auto" w:fill="FFFFFF"/>
        </w:rPr>
        <w:t>IGS appreciates the opportunity to participate in the</w:t>
      </w:r>
      <w:r w:rsidR="00903FB7">
        <w:rPr>
          <w:color w:val="000000"/>
          <w:sz w:val="24"/>
          <w:shd w:val="clear" w:color="auto" w:fill="FFFFFF"/>
        </w:rPr>
        <w:t xml:space="preserve">se important proceedings and to </w:t>
      </w:r>
      <w:r w:rsidRPr="000905CF">
        <w:rPr>
          <w:color w:val="000000"/>
          <w:sz w:val="24"/>
          <w:shd w:val="clear" w:color="auto" w:fill="FFFFFF"/>
        </w:rPr>
        <w:t>contribute to the development of the record.</w:t>
      </w:r>
    </w:p>
    <w:p w:rsidR="00730AF0" w:rsidRDefault="00730AF0" w:rsidP="000905CF">
      <w:pPr>
        <w:autoSpaceDE w:val="0"/>
        <w:autoSpaceDN w:val="0"/>
        <w:adjustRightInd w:val="0"/>
        <w:spacing w:after="120" w:line="240" w:lineRule="auto"/>
        <w:jc w:val="both"/>
        <w:rPr>
          <w:sz w:val="24"/>
        </w:rPr>
      </w:pPr>
      <w:r w:rsidRPr="00594AF1">
        <w:rPr>
          <w:sz w:val="24"/>
        </w:rPr>
        <w:tab/>
        <w:t xml:space="preserve"> </w:t>
      </w:r>
      <w:r w:rsidR="000905CF">
        <w:rPr>
          <w:sz w:val="24"/>
        </w:rPr>
        <w:tab/>
      </w:r>
      <w:r w:rsidR="000905CF">
        <w:rPr>
          <w:sz w:val="24"/>
        </w:rPr>
        <w:tab/>
      </w:r>
      <w:r w:rsidR="000905CF">
        <w:rPr>
          <w:sz w:val="24"/>
        </w:rPr>
        <w:tab/>
      </w:r>
      <w:r w:rsidR="000905CF">
        <w:rPr>
          <w:sz w:val="24"/>
        </w:rPr>
        <w:tab/>
      </w:r>
      <w:r w:rsidR="000905CF">
        <w:rPr>
          <w:sz w:val="24"/>
        </w:rPr>
        <w:tab/>
      </w:r>
      <w:r w:rsidR="000905CF">
        <w:rPr>
          <w:sz w:val="24"/>
        </w:rPr>
        <w:tab/>
      </w:r>
    </w:p>
    <w:p w:rsidR="000905CF" w:rsidRPr="000905CF" w:rsidRDefault="000905CF" w:rsidP="000905CF">
      <w:pPr>
        <w:spacing w:line="480" w:lineRule="auto"/>
        <w:ind w:left="4320" w:firstLine="720"/>
        <w:jc w:val="both"/>
        <w:rPr>
          <w:color w:val="000000"/>
          <w:sz w:val="24"/>
          <w:shd w:val="clear" w:color="auto" w:fill="FFFFFF"/>
        </w:rPr>
      </w:pPr>
      <w:r w:rsidRPr="000905CF">
        <w:rPr>
          <w:color w:val="000000"/>
          <w:sz w:val="24"/>
          <w:shd w:val="clear" w:color="auto" w:fill="FFFFFF"/>
        </w:rPr>
        <w:t>Respectfully submitted,</w:t>
      </w:r>
    </w:p>
    <w:p w:rsidR="000905CF" w:rsidRPr="000905CF" w:rsidRDefault="000905CF" w:rsidP="000905CF">
      <w:pPr>
        <w:spacing w:after="0" w:line="240" w:lineRule="auto"/>
        <w:rPr>
          <w:rFonts w:eastAsia="Arial"/>
          <w:b/>
          <w:sz w:val="24"/>
          <w:u w:val="single"/>
        </w:rPr>
      </w:pPr>
      <w:r w:rsidRPr="000905CF">
        <w:rPr>
          <w:color w:val="000000"/>
          <w:sz w:val="24"/>
          <w:shd w:val="clear" w:color="auto" w:fill="FFFFFF"/>
        </w:rPr>
        <w:t xml:space="preserve"> </w:t>
      </w:r>
      <w:r w:rsidRPr="000905CF">
        <w:rPr>
          <w:color w:val="000000"/>
          <w:sz w:val="24"/>
          <w:shd w:val="clear" w:color="auto" w:fill="FFFFFF"/>
        </w:rPr>
        <w:tab/>
      </w:r>
      <w:r w:rsidRPr="000905CF">
        <w:rPr>
          <w:color w:val="000000"/>
          <w:sz w:val="24"/>
          <w:shd w:val="clear" w:color="auto" w:fill="FFFFFF"/>
        </w:rPr>
        <w:tab/>
      </w:r>
      <w:r w:rsidRPr="000905CF">
        <w:rPr>
          <w:color w:val="000000"/>
          <w:sz w:val="24"/>
          <w:shd w:val="clear" w:color="auto" w:fill="FFFFFF"/>
        </w:rPr>
        <w:tab/>
      </w:r>
      <w:r w:rsidRPr="000905CF">
        <w:rPr>
          <w:color w:val="000000"/>
          <w:sz w:val="24"/>
          <w:shd w:val="clear" w:color="auto" w:fill="FFFFFF"/>
        </w:rPr>
        <w:tab/>
      </w:r>
      <w:r w:rsidRPr="000905CF">
        <w:rPr>
          <w:color w:val="000000"/>
          <w:sz w:val="24"/>
          <w:shd w:val="clear" w:color="auto" w:fill="FFFFFF"/>
        </w:rPr>
        <w:tab/>
      </w:r>
      <w:r w:rsidRPr="000905CF">
        <w:rPr>
          <w:color w:val="000000"/>
          <w:sz w:val="24"/>
          <w:shd w:val="clear" w:color="auto" w:fill="FFFFFF"/>
        </w:rPr>
        <w:tab/>
      </w:r>
      <w:r w:rsidRPr="000905CF">
        <w:rPr>
          <w:color w:val="000000"/>
          <w:sz w:val="24"/>
          <w:shd w:val="clear" w:color="auto" w:fill="FFFFFF"/>
        </w:rPr>
        <w:tab/>
      </w:r>
      <w:r>
        <w:rPr>
          <w:rFonts w:eastAsia="Arial"/>
          <w:b/>
          <w:sz w:val="24"/>
          <w:u w:val="single"/>
        </w:rPr>
        <w:t>/s/ Joseph Oliker</w:t>
      </w:r>
    </w:p>
    <w:p w:rsidR="000905CF" w:rsidRPr="000905CF" w:rsidRDefault="000905CF" w:rsidP="000905CF">
      <w:pPr>
        <w:spacing w:after="0" w:line="240" w:lineRule="auto"/>
        <w:ind w:left="5040"/>
        <w:rPr>
          <w:sz w:val="24"/>
        </w:rPr>
      </w:pPr>
      <w:r w:rsidRPr="000905CF">
        <w:rPr>
          <w:sz w:val="24"/>
        </w:rPr>
        <w:t>Joseph Oliker (0086088)</w:t>
      </w:r>
    </w:p>
    <w:p w:rsidR="000905CF" w:rsidRPr="000905CF" w:rsidRDefault="000905CF" w:rsidP="000905CF">
      <w:pPr>
        <w:spacing w:after="0" w:line="240" w:lineRule="auto"/>
        <w:ind w:left="5040"/>
        <w:rPr>
          <w:sz w:val="24"/>
        </w:rPr>
      </w:pPr>
      <w:r w:rsidRPr="000905CF">
        <w:rPr>
          <w:sz w:val="24"/>
        </w:rPr>
        <w:t>Counsel of Record</w:t>
      </w:r>
    </w:p>
    <w:p w:rsidR="000905CF" w:rsidRPr="000905CF" w:rsidRDefault="000905CF" w:rsidP="000905CF">
      <w:pPr>
        <w:spacing w:after="0" w:line="240" w:lineRule="auto"/>
        <w:ind w:left="5040"/>
        <w:rPr>
          <w:sz w:val="24"/>
        </w:rPr>
      </w:pPr>
      <w:r w:rsidRPr="000905CF">
        <w:rPr>
          <w:sz w:val="24"/>
        </w:rPr>
        <w:t>Email</w:t>
      </w:r>
      <w:r w:rsidRPr="00CF3AE0">
        <w:rPr>
          <w:sz w:val="24"/>
        </w:rPr>
        <w:t xml:space="preserve">: </w:t>
      </w:r>
      <w:hyperlink r:id="rId10" w:history="1">
        <w:r w:rsidRPr="00CF3AE0">
          <w:rPr>
            <w:sz w:val="24"/>
          </w:rPr>
          <w:t>joliker@igsenergy.com</w:t>
        </w:r>
      </w:hyperlink>
    </w:p>
    <w:p w:rsidR="000905CF" w:rsidRPr="000905CF" w:rsidRDefault="000905CF" w:rsidP="000905CF">
      <w:pPr>
        <w:spacing w:after="0" w:line="240" w:lineRule="auto"/>
        <w:ind w:left="5040"/>
        <w:rPr>
          <w:sz w:val="24"/>
        </w:rPr>
      </w:pPr>
      <w:r w:rsidRPr="000905CF">
        <w:rPr>
          <w:sz w:val="24"/>
        </w:rPr>
        <w:t>IGS Energy</w:t>
      </w:r>
    </w:p>
    <w:p w:rsidR="000905CF" w:rsidRPr="000905CF" w:rsidRDefault="000905CF" w:rsidP="000905CF">
      <w:pPr>
        <w:spacing w:after="0" w:line="240" w:lineRule="auto"/>
        <w:ind w:left="5040"/>
        <w:rPr>
          <w:sz w:val="24"/>
        </w:rPr>
      </w:pPr>
      <w:r w:rsidRPr="000905CF">
        <w:rPr>
          <w:sz w:val="24"/>
        </w:rPr>
        <w:t>6100 Emerald Parkway</w:t>
      </w:r>
    </w:p>
    <w:p w:rsidR="000905CF" w:rsidRPr="000905CF" w:rsidRDefault="000905CF" w:rsidP="000905CF">
      <w:pPr>
        <w:spacing w:after="0" w:line="240" w:lineRule="auto"/>
        <w:ind w:left="5040"/>
        <w:rPr>
          <w:sz w:val="24"/>
        </w:rPr>
      </w:pPr>
      <w:r w:rsidRPr="000905CF">
        <w:rPr>
          <w:sz w:val="24"/>
        </w:rPr>
        <w:t>Dublin, Ohio 43016</w:t>
      </w:r>
    </w:p>
    <w:p w:rsidR="000905CF" w:rsidRPr="000905CF" w:rsidRDefault="000905CF" w:rsidP="000905CF">
      <w:pPr>
        <w:spacing w:after="0" w:line="240" w:lineRule="auto"/>
        <w:ind w:left="5040"/>
        <w:rPr>
          <w:sz w:val="24"/>
        </w:rPr>
      </w:pPr>
      <w:r w:rsidRPr="000905CF">
        <w:rPr>
          <w:sz w:val="24"/>
        </w:rPr>
        <w:t>Telephone:</w:t>
      </w:r>
      <w:r w:rsidRPr="000905CF">
        <w:rPr>
          <w:sz w:val="24"/>
        </w:rPr>
        <w:tab/>
        <w:t>(614) 659-5000</w:t>
      </w:r>
    </w:p>
    <w:p w:rsidR="000905CF" w:rsidRPr="000905CF" w:rsidRDefault="000905CF" w:rsidP="000905CF">
      <w:pPr>
        <w:spacing w:after="0" w:line="240" w:lineRule="auto"/>
        <w:ind w:left="5040"/>
        <w:rPr>
          <w:sz w:val="24"/>
        </w:rPr>
      </w:pPr>
      <w:r w:rsidRPr="000905CF">
        <w:rPr>
          <w:sz w:val="24"/>
        </w:rPr>
        <w:t>Facsimile:</w:t>
      </w:r>
      <w:r w:rsidRPr="000905CF">
        <w:rPr>
          <w:sz w:val="24"/>
        </w:rPr>
        <w:tab/>
        <w:t>(614) 659-5073</w:t>
      </w:r>
    </w:p>
    <w:p w:rsidR="000905CF" w:rsidRPr="000905CF" w:rsidRDefault="000905CF" w:rsidP="000905CF">
      <w:pPr>
        <w:spacing w:after="0" w:line="240" w:lineRule="auto"/>
        <w:ind w:left="5040"/>
        <w:rPr>
          <w:sz w:val="24"/>
        </w:rPr>
      </w:pPr>
    </w:p>
    <w:p w:rsidR="000905CF" w:rsidRPr="000905CF" w:rsidRDefault="000905CF" w:rsidP="000905CF">
      <w:pPr>
        <w:spacing w:after="0" w:line="240" w:lineRule="auto"/>
        <w:ind w:left="5040"/>
        <w:rPr>
          <w:b/>
          <w:i/>
          <w:sz w:val="24"/>
        </w:rPr>
      </w:pPr>
      <w:r w:rsidRPr="000905CF">
        <w:rPr>
          <w:b/>
          <w:i/>
          <w:sz w:val="24"/>
        </w:rPr>
        <w:t>Attorney for IGS Energy</w:t>
      </w:r>
    </w:p>
    <w:p w:rsidR="000905CF" w:rsidRPr="000905CF" w:rsidRDefault="000905CF" w:rsidP="000905CF">
      <w:pPr>
        <w:spacing w:line="480" w:lineRule="auto"/>
        <w:ind w:left="1080"/>
        <w:jc w:val="both"/>
        <w:rPr>
          <w:color w:val="000000"/>
          <w:sz w:val="24"/>
          <w:shd w:val="clear" w:color="auto" w:fill="FFFFFF"/>
        </w:rPr>
      </w:pPr>
    </w:p>
    <w:p w:rsidR="00983833" w:rsidRPr="00C42680" w:rsidRDefault="00983833" w:rsidP="00D509EA">
      <w:pPr>
        <w:autoSpaceDE w:val="0"/>
        <w:autoSpaceDN w:val="0"/>
        <w:adjustRightInd w:val="0"/>
        <w:spacing w:after="120" w:line="240" w:lineRule="auto"/>
        <w:jc w:val="both"/>
        <w:rPr>
          <w:b/>
          <w:sz w:val="24"/>
        </w:rPr>
      </w:pPr>
    </w:p>
    <w:p w:rsidR="007148DF" w:rsidRPr="00594AF1" w:rsidRDefault="007148DF" w:rsidP="00D509EA">
      <w:pPr>
        <w:spacing w:after="120"/>
        <w:jc w:val="both"/>
        <w:rPr>
          <w:sz w:val="24"/>
        </w:rPr>
      </w:pPr>
      <w:r w:rsidRPr="00594AF1">
        <w:rPr>
          <w:color w:val="121013"/>
          <w:sz w:val="24"/>
        </w:rPr>
        <w:t>.</w:t>
      </w:r>
    </w:p>
    <w:p w:rsidR="00034CA6" w:rsidRDefault="00034CA6" w:rsidP="000905CF"/>
    <w:p w:rsidR="000905CF" w:rsidRDefault="000905CF" w:rsidP="000905CF"/>
    <w:p w:rsidR="00D35503" w:rsidRDefault="00D35503" w:rsidP="000905CF"/>
    <w:p w:rsidR="000905CF" w:rsidRDefault="000905CF" w:rsidP="000905CF"/>
    <w:p w:rsidR="00913FD9" w:rsidRDefault="00913FD9" w:rsidP="000905CF"/>
    <w:p w:rsidR="00913FD9" w:rsidRDefault="00913FD9" w:rsidP="000905CF"/>
    <w:p w:rsidR="00913FD9" w:rsidRDefault="00913FD9" w:rsidP="000905CF"/>
    <w:p w:rsidR="00913FD9" w:rsidRDefault="00913FD9" w:rsidP="000905CF"/>
    <w:p w:rsidR="00913FD9" w:rsidRDefault="00913FD9" w:rsidP="000905CF"/>
    <w:p w:rsidR="00913FD9" w:rsidRDefault="00913FD9" w:rsidP="000905CF"/>
    <w:p w:rsidR="000905CF" w:rsidRPr="009D71F6" w:rsidRDefault="000905CF" w:rsidP="000905CF">
      <w:pPr>
        <w:spacing w:after="0" w:line="240" w:lineRule="auto"/>
        <w:ind w:left="2160" w:firstLine="720"/>
        <w:rPr>
          <w:rFonts w:eastAsia="Arial"/>
          <w:b/>
          <w:sz w:val="24"/>
          <w:u w:val="single"/>
        </w:rPr>
      </w:pPr>
      <w:r w:rsidRPr="009D71F6">
        <w:rPr>
          <w:rFonts w:eastAsia="Arial"/>
          <w:b/>
          <w:sz w:val="24"/>
          <w:u w:val="single"/>
        </w:rPr>
        <w:lastRenderedPageBreak/>
        <w:t>CERTIFICATE OF SERVICE</w:t>
      </w:r>
    </w:p>
    <w:p w:rsidR="000905CF" w:rsidRPr="009D71F6" w:rsidRDefault="000905CF" w:rsidP="000905CF">
      <w:pPr>
        <w:spacing w:after="0" w:line="240" w:lineRule="auto"/>
        <w:jc w:val="center"/>
        <w:rPr>
          <w:rFonts w:eastAsia="Arial"/>
          <w:b/>
          <w:sz w:val="24"/>
          <w:u w:val="single"/>
        </w:rPr>
      </w:pPr>
    </w:p>
    <w:p w:rsidR="000905CF" w:rsidRPr="009D71F6" w:rsidRDefault="000905CF" w:rsidP="000905CF">
      <w:pPr>
        <w:spacing w:after="0" w:line="240" w:lineRule="auto"/>
        <w:jc w:val="both"/>
        <w:rPr>
          <w:rFonts w:eastAsia="Calibri"/>
          <w:sz w:val="24"/>
        </w:rPr>
      </w:pPr>
      <w:r w:rsidRPr="009D71F6">
        <w:rPr>
          <w:rFonts w:eastAsia="Arial"/>
          <w:sz w:val="24"/>
        </w:rPr>
        <w:tab/>
      </w:r>
      <w:r w:rsidRPr="009D71F6">
        <w:rPr>
          <w:rFonts w:eastAsia="Calibri"/>
          <w:sz w:val="24"/>
        </w:rPr>
        <w:t xml:space="preserve">The undersigned hereby certifies that a copy of the foregoing </w:t>
      </w:r>
      <w:r w:rsidR="00913FD9">
        <w:rPr>
          <w:rFonts w:eastAsia="Calibri"/>
          <w:i/>
          <w:sz w:val="24"/>
        </w:rPr>
        <w:t>Reply</w:t>
      </w:r>
      <w:r>
        <w:rPr>
          <w:rFonts w:eastAsia="Calibri"/>
          <w:i/>
          <w:sz w:val="24"/>
        </w:rPr>
        <w:t xml:space="preserve"> Brief of IGS Energy</w:t>
      </w:r>
      <w:r w:rsidRPr="009D71F6">
        <w:rPr>
          <w:rFonts w:eastAsia="Calibri"/>
          <w:i/>
          <w:sz w:val="24"/>
        </w:rPr>
        <w:t xml:space="preserve"> </w:t>
      </w:r>
      <w:r w:rsidRPr="009D71F6">
        <w:rPr>
          <w:rFonts w:eastAsia="Calibri"/>
          <w:sz w:val="24"/>
        </w:rPr>
        <w:t xml:space="preserve">was served this </w:t>
      </w:r>
      <w:r>
        <w:rPr>
          <w:rFonts w:eastAsia="Calibri"/>
          <w:sz w:val="24"/>
        </w:rPr>
        <w:t>29th</w:t>
      </w:r>
      <w:r w:rsidRPr="009D71F6">
        <w:rPr>
          <w:rFonts w:eastAsia="Calibri"/>
          <w:sz w:val="24"/>
        </w:rPr>
        <w:t xml:space="preserve"> day of </w:t>
      </w:r>
      <w:r w:rsidR="00913FD9">
        <w:rPr>
          <w:rFonts w:eastAsia="Calibri"/>
          <w:sz w:val="24"/>
        </w:rPr>
        <w:t>December</w:t>
      </w:r>
      <w:r>
        <w:rPr>
          <w:rFonts w:eastAsia="Calibri"/>
          <w:sz w:val="24"/>
        </w:rPr>
        <w:t xml:space="preserve"> 2014</w:t>
      </w:r>
      <w:r w:rsidRPr="009D71F6">
        <w:rPr>
          <w:rFonts w:eastAsia="Calibri"/>
          <w:sz w:val="24"/>
        </w:rPr>
        <w:t xml:space="preserve"> via electronic mail upon the following:</w:t>
      </w:r>
    </w:p>
    <w:p w:rsidR="000905CF" w:rsidRPr="009D71F6" w:rsidRDefault="000905CF" w:rsidP="000905CF">
      <w:pPr>
        <w:spacing w:after="0" w:line="240" w:lineRule="auto"/>
        <w:jc w:val="both"/>
        <w:rPr>
          <w:rFonts w:eastAsia="Calibri"/>
          <w:sz w:val="24"/>
        </w:rPr>
      </w:pPr>
    </w:p>
    <w:p w:rsidR="000905CF" w:rsidRPr="009D71F6" w:rsidRDefault="000905CF" w:rsidP="000905CF">
      <w:pPr>
        <w:spacing w:after="0" w:line="240" w:lineRule="auto"/>
        <w:jc w:val="both"/>
        <w:rPr>
          <w:rFonts w:eastAsia="Arial"/>
          <w:sz w:val="24"/>
        </w:rPr>
      </w:pPr>
    </w:p>
    <w:p w:rsidR="000905CF" w:rsidRPr="009D71F6" w:rsidRDefault="000905CF" w:rsidP="000905CF">
      <w:pPr>
        <w:spacing w:after="0" w:line="240" w:lineRule="auto"/>
        <w:jc w:val="both"/>
        <w:rPr>
          <w:rFonts w:eastAsia="Arial"/>
          <w:sz w:val="24"/>
        </w:rPr>
      </w:pPr>
    </w:p>
    <w:p w:rsidR="000905CF" w:rsidRPr="000905CF" w:rsidRDefault="000905CF" w:rsidP="000905CF">
      <w:pPr>
        <w:spacing w:after="0" w:line="240" w:lineRule="auto"/>
        <w:ind w:left="5040" w:firstLine="720"/>
        <w:rPr>
          <w:rFonts w:eastAsia="Calibri"/>
          <w:b/>
          <w:sz w:val="24"/>
          <w:u w:val="single"/>
        </w:rPr>
      </w:pPr>
      <w:r>
        <w:rPr>
          <w:rFonts w:eastAsia="Arial"/>
          <w:b/>
          <w:i/>
          <w:sz w:val="24"/>
          <w:u w:val="single"/>
        </w:rPr>
        <w:t>/s/Joseph Oliker</w:t>
      </w:r>
    </w:p>
    <w:p w:rsidR="000905CF" w:rsidRPr="009D71F6" w:rsidRDefault="000905CF" w:rsidP="000905CF">
      <w:pPr>
        <w:spacing w:after="0" w:line="240" w:lineRule="auto"/>
        <w:ind w:left="5040" w:firstLine="720"/>
        <w:rPr>
          <w:sz w:val="24"/>
        </w:rPr>
      </w:pPr>
      <w:r>
        <w:rPr>
          <w:sz w:val="24"/>
        </w:rPr>
        <w:t>Joseph Oliker</w:t>
      </w:r>
    </w:p>
    <w:p w:rsidR="000905CF" w:rsidRDefault="000905CF" w:rsidP="000905CF">
      <w:pPr>
        <w:spacing w:after="0" w:line="240" w:lineRule="auto"/>
        <w:rPr>
          <w:sz w:val="16"/>
          <w:szCs w:val="16"/>
        </w:rPr>
      </w:pPr>
    </w:p>
    <w:p w:rsidR="000905CF" w:rsidRPr="000905CF" w:rsidRDefault="000905CF" w:rsidP="000905CF">
      <w:pPr>
        <w:suppressLineNumbers/>
        <w:autoSpaceDE w:val="0"/>
        <w:autoSpaceDN w:val="0"/>
        <w:adjustRightInd w:val="0"/>
        <w:spacing w:after="0" w:line="480" w:lineRule="auto"/>
        <w:ind w:firstLine="720"/>
        <w:jc w:val="both"/>
        <w:rPr>
          <w:sz w:val="24"/>
        </w:rPr>
      </w:pPr>
    </w:p>
    <w:p w:rsidR="000905CF" w:rsidRPr="000905CF" w:rsidRDefault="000905CF" w:rsidP="000905CF">
      <w:pPr>
        <w:suppressLineNumbers/>
        <w:autoSpaceDE w:val="0"/>
        <w:autoSpaceDN w:val="0"/>
        <w:adjustRightInd w:val="0"/>
        <w:spacing w:after="0" w:line="480" w:lineRule="auto"/>
        <w:ind w:firstLine="720"/>
        <w:jc w:val="both"/>
        <w:rPr>
          <w:sz w:val="24"/>
        </w:rPr>
      </w:pPr>
    </w:p>
    <w:tbl>
      <w:tblPr>
        <w:tblStyle w:val="TableGrid3"/>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320"/>
      </w:tblGrid>
      <w:tr w:rsidR="000905CF" w:rsidRPr="000905CF" w:rsidTr="000905CF">
        <w:trPr>
          <w:cantSplit/>
        </w:trPr>
        <w:tc>
          <w:tcPr>
            <w:tcW w:w="4248" w:type="dxa"/>
          </w:tcPr>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Amy B. Spiller</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Deputy General Counsel</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Elizabeth Watts</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Associate General Counsel</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Jeanne W. Kingery</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Associate General Counsel</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Rocco D’Ascenzo</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Associate General Counsel</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Duke Energy Business Services, Inc.</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139 Fourth Street, 1301-Main</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P. O. Box 960</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Cincinnati, Ohio  45202-0960</w:t>
            </w:r>
          </w:p>
          <w:p w:rsidR="000905CF" w:rsidRPr="000905CF" w:rsidRDefault="00913FD9" w:rsidP="000905CF">
            <w:pPr>
              <w:ind w:right="162"/>
              <w:jc w:val="both"/>
              <w:rPr>
                <w:rFonts w:ascii="Arial" w:hAnsi="Arial" w:cs="Arial"/>
                <w:sz w:val="24"/>
                <w:szCs w:val="24"/>
              </w:rPr>
            </w:pPr>
            <w:hyperlink r:id="rId11" w:history="1">
              <w:r w:rsidR="000905CF" w:rsidRPr="000905CF">
                <w:rPr>
                  <w:rFonts w:ascii="Arial" w:hAnsi="Arial" w:cs="Arial"/>
                  <w:color w:val="0000FF"/>
                  <w:sz w:val="24"/>
                  <w:szCs w:val="24"/>
                  <w:u w:val="single"/>
                </w:rPr>
                <w:t>Amy.Spiller@duke-energy.com</w:t>
              </w:r>
            </w:hyperlink>
          </w:p>
          <w:p w:rsidR="000905CF" w:rsidRPr="000905CF" w:rsidRDefault="00913FD9" w:rsidP="000905CF">
            <w:pPr>
              <w:ind w:right="162"/>
              <w:jc w:val="both"/>
              <w:rPr>
                <w:rFonts w:ascii="Arial" w:hAnsi="Arial" w:cs="Arial"/>
                <w:sz w:val="24"/>
                <w:szCs w:val="24"/>
              </w:rPr>
            </w:pPr>
            <w:hyperlink r:id="rId12" w:history="1">
              <w:r w:rsidR="000905CF" w:rsidRPr="000905CF">
                <w:rPr>
                  <w:rFonts w:ascii="Arial" w:hAnsi="Arial" w:cs="Arial"/>
                  <w:color w:val="0000FF"/>
                  <w:sz w:val="24"/>
                  <w:szCs w:val="24"/>
                  <w:u w:val="single"/>
                </w:rPr>
                <w:t>Elizabeth.Watts@duke-energy.com</w:t>
              </w:r>
            </w:hyperlink>
          </w:p>
          <w:p w:rsidR="000905CF" w:rsidRPr="000905CF" w:rsidRDefault="00913FD9" w:rsidP="000905CF">
            <w:pPr>
              <w:ind w:right="162"/>
              <w:jc w:val="both"/>
              <w:rPr>
                <w:rFonts w:ascii="Arial" w:hAnsi="Arial" w:cs="Arial"/>
                <w:sz w:val="24"/>
                <w:szCs w:val="24"/>
              </w:rPr>
            </w:pPr>
            <w:hyperlink r:id="rId13" w:history="1">
              <w:r w:rsidR="000905CF" w:rsidRPr="000905CF">
                <w:rPr>
                  <w:rFonts w:ascii="Arial" w:hAnsi="Arial" w:cs="Arial"/>
                  <w:color w:val="0000FF"/>
                  <w:sz w:val="24"/>
                  <w:szCs w:val="24"/>
                  <w:u w:val="single"/>
                </w:rPr>
                <w:t>Jeanne.Kingery@duke-energy.com</w:t>
              </w:r>
            </w:hyperlink>
          </w:p>
          <w:p w:rsidR="000905CF" w:rsidRPr="000905CF" w:rsidRDefault="00913FD9" w:rsidP="000905CF">
            <w:pPr>
              <w:ind w:right="162"/>
              <w:jc w:val="both"/>
              <w:rPr>
                <w:rFonts w:ascii="Arial" w:hAnsi="Arial" w:cs="Arial"/>
                <w:sz w:val="24"/>
                <w:szCs w:val="24"/>
              </w:rPr>
            </w:pPr>
            <w:hyperlink r:id="rId14" w:history="1">
              <w:r w:rsidR="000905CF" w:rsidRPr="000905CF">
                <w:rPr>
                  <w:rFonts w:ascii="Arial" w:hAnsi="Arial" w:cs="Arial"/>
                  <w:color w:val="0000FF"/>
                  <w:sz w:val="24"/>
                  <w:szCs w:val="24"/>
                  <w:u w:val="single"/>
                </w:rPr>
                <w:t>Rocco.D’Ascenzo@duke-energy.com</w:t>
              </w:r>
            </w:hyperlink>
          </w:p>
          <w:p w:rsidR="000905CF" w:rsidRPr="000905CF" w:rsidRDefault="000905CF" w:rsidP="000905CF">
            <w:pPr>
              <w:ind w:right="162"/>
              <w:jc w:val="both"/>
              <w:rPr>
                <w:rFonts w:ascii="Arial" w:hAnsi="Arial" w:cs="Arial"/>
                <w:sz w:val="24"/>
                <w:szCs w:val="24"/>
              </w:rPr>
            </w:pPr>
          </w:p>
          <w:p w:rsidR="000905CF" w:rsidRPr="000905CF" w:rsidRDefault="000905CF" w:rsidP="000905CF">
            <w:pPr>
              <w:ind w:right="162"/>
              <w:jc w:val="both"/>
              <w:rPr>
                <w:rFonts w:ascii="Arial" w:hAnsi="Arial" w:cs="Arial"/>
                <w:b/>
                <w:sz w:val="24"/>
                <w:szCs w:val="24"/>
              </w:rPr>
            </w:pPr>
            <w:r w:rsidRPr="000905CF">
              <w:rPr>
                <w:rFonts w:ascii="Arial" w:hAnsi="Arial" w:cs="Arial"/>
                <w:b/>
                <w:sz w:val="24"/>
                <w:szCs w:val="24"/>
              </w:rPr>
              <w:t>Counsel for Duke Energy Ohio</w:t>
            </w:r>
          </w:p>
          <w:p w:rsidR="000905CF" w:rsidRPr="000905CF" w:rsidRDefault="000905CF" w:rsidP="000905CF">
            <w:pPr>
              <w:ind w:right="162"/>
              <w:jc w:val="both"/>
              <w:rPr>
                <w:rFonts w:ascii="Arial" w:hAnsi="Arial" w:cs="Arial"/>
                <w:sz w:val="24"/>
                <w:szCs w:val="24"/>
              </w:rPr>
            </w:pPr>
          </w:p>
          <w:p w:rsidR="000905CF" w:rsidRPr="000905CF" w:rsidRDefault="000905CF" w:rsidP="000905CF">
            <w:pPr>
              <w:ind w:right="162"/>
              <w:jc w:val="both"/>
              <w:rPr>
                <w:rFonts w:ascii="Arial" w:hAnsi="Arial" w:cs="Arial"/>
                <w:sz w:val="24"/>
                <w:szCs w:val="24"/>
              </w:rPr>
            </w:pPr>
          </w:p>
        </w:tc>
        <w:tc>
          <w:tcPr>
            <w:tcW w:w="450" w:type="dxa"/>
          </w:tcPr>
          <w:p w:rsidR="000905CF" w:rsidRPr="000905CF" w:rsidRDefault="000905CF" w:rsidP="000905CF">
            <w:pPr>
              <w:ind w:right="162"/>
              <w:jc w:val="both"/>
              <w:rPr>
                <w:rFonts w:ascii="Arial" w:hAnsi="Arial" w:cs="Arial"/>
                <w:sz w:val="24"/>
                <w:szCs w:val="24"/>
              </w:rPr>
            </w:pPr>
          </w:p>
        </w:tc>
        <w:tc>
          <w:tcPr>
            <w:tcW w:w="4320" w:type="dxa"/>
          </w:tcPr>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David F. Boehm</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Michael L. Kurtz</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Jody M. Kyler Cohn</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Boehm, Kurtz &amp; Lowry</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36 East Seventh Street, Suite 1510</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Cincinnati, Ohio 45202</w:t>
            </w:r>
          </w:p>
          <w:p w:rsidR="000905CF" w:rsidRPr="000905CF" w:rsidRDefault="00913FD9" w:rsidP="000905CF">
            <w:pPr>
              <w:ind w:right="162"/>
              <w:jc w:val="both"/>
              <w:rPr>
                <w:rFonts w:ascii="Arial" w:hAnsi="Arial" w:cs="Arial"/>
                <w:sz w:val="24"/>
                <w:szCs w:val="24"/>
              </w:rPr>
            </w:pPr>
            <w:hyperlink r:id="rId15" w:history="1">
              <w:r w:rsidR="000905CF" w:rsidRPr="000905CF">
                <w:rPr>
                  <w:rFonts w:ascii="Arial" w:hAnsi="Arial" w:cs="Arial"/>
                  <w:color w:val="0000FF"/>
                  <w:sz w:val="24"/>
                  <w:szCs w:val="24"/>
                  <w:u w:val="single"/>
                </w:rPr>
                <w:t>dboehm@BKLlawfirm.com</w:t>
              </w:r>
            </w:hyperlink>
          </w:p>
          <w:p w:rsidR="000905CF" w:rsidRPr="000905CF" w:rsidRDefault="00913FD9" w:rsidP="000905CF">
            <w:pPr>
              <w:ind w:right="162"/>
              <w:jc w:val="both"/>
              <w:rPr>
                <w:rFonts w:ascii="Arial" w:hAnsi="Arial" w:cs="Arial"/>
                <w:sz w:val="24"/>
                <w:szCs w:val="24"/>
              </w:rPr>
            </w:pPr>
            <w:hyperlink r:id="rId16" w:history="1">
              <w:r w:rsidR="000905CF" w:rsidRPr="000905CF">
                <w:rPr>
                  <w:rFonts w:ascii="Arial" w:hAnsi="Arial" w:cs="Arial"/>
                  <w:color w:val="0000FF"/>
                  <w:sz w:val="24"/>
                  <w:szCs w:val="24"/>
                  <w:u w:val="single"/>
                </w:rPr>
                <w:t>mkurtz@BKLlawfirm.com</w:t>
              </w:r>
            </w:hyperlink>
          </w:p>
          <w:p w:rsidR="000905CF" w:rsidRPr="000905CF" w:rsidRDefault="00913FD9" w:rsidP="000905CF">
            <w:pPr>
              <w:ind w:right="162"/>
              <w:jc w:val="both"/>
              <w:rPr>
                <w:rFonts w:ascii="Arial" w:hAnsi="Arial" w:cs="Arial"/>
                <w:sz w:val="24"/>
                <w:szCs w:val="24"/>
              </w:rPr>
            </w:pPr>
            <w:hyperlink r:id="rId17" w:history="1">
              <w:r w:rsidR="000905CF" w:rsidRPr="000905CF">
                <w:rPr>
                  <w:rFonts w:ascii="Arial" w:hAnsi="Arial" w:cs="Arial"/>
                  <w:color w:val="0000FF"/>
                  <w:sz w:val="24"/>
                  <w:szCs w:val="24"/>
                  <w:u w:val="single"/>
                </w:rPr>
                <w:t>jkylercohn@BKLlawfirm.com</w:t>
              </w:r>
            </w:hyperlink>
          </w:p>
          <w:p w:rsidR="000905CF" w:rsidRPr="000905CF" w:rsidRDefault="000905CF" w:rsidP="000905CF">
            <w:pPr>
              <w:ind w:right="162"/>
              <w:jc w:val="both"/>
              <w:rPr>
                <w:rFonts w:ascii="Arial" w:hAnsi="Arial" w:cs="Arial"/>
                <w:sz w:val="24"/>
                <w:szCs w:val="24"/>
              </w:rPr>
            </w:pPr>
          </w:p>
          <w:p w:rsidR="000905CF" w:rsidRPr="000905CF" w:rsidRDefault="000905CF" w:rsidP="000905CF">
            <w:pPr>
              <w:ind w:right="162"/>
              <w:jc w:val="both"/>
              <w:rPr>
                <w:rFonts w:ascii="Arial" w:hAnsi="Arial" w:cs="Arial"/>
                <w:b/>
                <w:sz w:val="24"/>
                <w:szCs w:val="24"/>
              </w:rPr>
            </w:pPr>
            <w:r w:rsidRPr="000905CF">
              <w:rPr>
                <w:rFonts w:ascii="Arial" w:hAnsi="Arial" w:cs="Arial"/>
                <w:b/>
                <w:sz w:val="24"/>
                <w:szCs w:val="24"/>
              </w:rPr>
              <w:t>Counsel for the Ohio Energy Group</w:t>
            </w:r>
          </w:p>
        </w:tc>
      </w:tr>
      <w:tr w:rsidR="000905CF" w:rsidRPr="000905CF" w:rsidTr="000905CF">
        <w:trPr>
          <w:cantSplit/>
        </w:trPr>
        <w:tc>
          <w:tcPr>
            <w:tcW w:w="4248" w:type="dxa"/>
          </w:tcPr>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lastRenderedPageBreak/>
              <w:t>Steven Beeler</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Thomas Lindgren</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Ryan O’Rourke</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Assistant Attorneys General</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Public Utilities Section</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180 East Broad St., 6</w:t>
            </w:r>
            <w:r w:rsidRPr="000905CF">
              <w:rPr>
                <w:rFonts w:ascii="Arial" w:hAnsi="Arial" w:cs="Arial"/>
                <w:sz w:val="24"/>
                <w:szCs w:val="24"/>
                <w:vertAlign w:val="superscript"/>
              </w:rPr>
              <w:t>th</w:t>
            </w:r>
            <w:r w:rsidRPr="000905CF">
              <w:rPr>
                <w:rFonts w:ascii="Arial" w:hAnsi="Arial" w:cs="Arial"/>
                <w:sz w:val="24"/>
                <w:szCs w:val="24"/>
              </w:rPr>
              <w:t xml:space="preserve"> Floor</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ind w:right="162"/>
              <w:jc w:val="both"/>
              <w:rPr>
                <w:rFonts w:ascii="Arial" w:hAnsi="Arial" w:cs="Arial"/>
                <w:sz w:val="24"/>
                <w:szCs w:val="24"/>
              </w:rPr>
            </w:pPr>
            <w:hyperlink r:id="rId18" w:history="1">
              <w:r w:rsidR="000905CF" w:rsidRPr="000905CF">
                <w:rPr>
                  <w:rFonts w:ascii="Arial" w:hAnsi="Arial" w:cs="Arial"/>
                  <w:color w:val="0000FF"/>
                  <w:sz w:val="24"/>
                  <w:szCs w:val="24"/>
                  <w:u w:val="single"/>
                </w:rPr>
                <w:t>Steven.beeler@puc.state.oh.us</w:t>
              </w:r>
            </w:hyperlink>
          </w:p>
          <w:p w:rsidR="000905CF" w:rsidRPr="000905CF" w:rsidRDefault="00913FD9" w:rsidP="000905CF">
            <w:pPr>
              <w:ind w:right="162"/>
              <w:jc w:val="both"/>
              <w:rPr>
                <w:rFonts w:ascii="Arial" w:hAnsi="Arial" w:cs="Arial"/>
                <w:sz w:val="24"/>
                <w:szCs w:val="24"/>
              </w:rPr>
            </w:pPr>
            <w:hyperlink r:id="rId19" w:history="1">
              <w:r w:rsidR="000905CF" w:rsidRPr="000905CF">
                <w:rPr>
                  <w:rFonts w:ascii="Arial" w:hAnsi="Arial" w:cs="Arial"/>
                  <w:color w:val="0000FF"/>
                  <w:sz w:val="24"/>
                  <w:szCs w:val="24"/>
                  <w:u w:val="single"/>
                </w:rPr>
                <w:t>Thomas.lindgren@puc.state.oh.us</w:t>
              </w:r>
            </w:hyperlink>
          </w:p>
          <w:p w:rsidR="000905CF" w:rsidRPr="000905CF" w:rsidRDefault="00913FD9" w:rsidP="000905CF">
            <w:pPr>
              <w:ind w:right="162"/>
              <w:jc w:val="both"/>
              <w:rPr>
                <w:rFonts w:ascii="Arial" w:hAnsi="Arial" w:cs="Arial"/>
                <w:sz w:val="24"/>
                <w:szCs w:val="24"/>
              </w:rPr>
            </w:pPr>
            <w:hyperlink r:id="rId20" w:history="1">
              <w:r w:rsidR="000905CF" w:rsidRPr="000905CF">
                <w:rPr>
                  <w:rFonts w:ascii="Arial" w:hAnsi="Arial" w:cs="Arial"/>
                  <w:color w:val="0000FF"/>
                  <w:sz w:val="24"/>
                  <w:szCs w:val="24"/>
                  <w:u w:val="single"/>
                </w:rPr>
                <w:t>Ryan.orouke@puc.state.oh.us</w:t>
              </w:r>
            </w:hyperlink>
          </w:p>
          <w:p w:rsidR="000905CF" w:rsidRPr="000905CF" w:rsidRDefault="000905CF" w:rsidP="000905CF">
            <w:pPr>
              <w:ind w:right="162"/>
              <w:jc w:val="both"/>
              <w:rPr>
                <w:rFonts w:ascii="Arial" w:hAnsi="Arial" w:cs="Arial"/>
                <w:b/>
                <w:sz w:val="24"/>
                <w:szCs w:val="24"/>
              </w:rPr>
            </w:pPr>
          </w:p>
          <w:p w:rsidR="000905CF" w:rsidRPr="000905CF" w:rsidRDefault="000905CF" w:rsidP="000905CF">
            <w:pPr>
              <w:ind w:right="162"/>
              <w:jc w:val="both"/>
              <w:rPr>
                <w:rFonts w:ascii="Arial" w:hAnsi="Arial" w:cs="Arial"/>
                <w:b/>
                <w:sz w:val="24"/>
                <w:szCs w:val="24"/>
              </w:rPr>
            </w:pPr>
            <w:r w:rsidRPr="000905CF">
              <w:rPr>
                <w:rFonts w:ascii="Arial" w:hAnsi="Arial" w:cs="Arial"/>
                <w:b/>
                <w:sz w:val="24"/>
                <w:szCs w:val="24"/>
              </w:rPr>
              <w:t>Counsel for Staff of the Commission</w:t>
            </w:r>
          </w:p>
          <w:p w:rsidR="000905CF" w:rsidRPr="000905CF" w:rsidRDefault="000905CF" w:rsidP="000905CF">
            <w:pPr>
              <w:ind w:right="162"/>
              <w:jc w:val="both"/>
              <w:rPr>
                <w:rFonts w:ascii="Arial" w:hAnsi="Arial" w:cs="Arial"/>
                <w:sz w:val="24"/>
                <w:szCs w:val="24"/>
              </w:rPr>
            </w:pPr>
          </w:p>
        </w:tc>
        <w:tc>
          <w:tcPr>
            <w:tcW w:w="450" w:type="dxa"/>
          </w:tcPr>
          <w:p w:rsidR="000905CF" w:rsidRPr="000905CF" w:rsidRDefault="000905CF" w:rsidP="000905CF">
            <w:pPr>
              <w:ind w:right="162"/>
              <w:jc w:val="both"/>
              <w:rPr>
                <w:rFonts w:ascii="Arial" w:hAnsi="Arial" w:cs="Arial"/>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Judi L. Sobecki</w:t>
            </w:r>
          </w:p>
          <w:p w:rsidR="000905CF" w:rsidRPr="000905CF" w:rsidRDefault="000905CF" w:rsidP="000905CF">
            <w:pPr>
              <w:jc w:val="both"/>
              <w:rPr>
                <w:rFonts w:ascii="Arial" w:hAnsi="Arial" w:cs="Arial"/>
                <w:sz w:val="24"/>
                <w:szCs w:val="24"/>
              </w:rPr>
            </w:pPr>
            <w:r w:rsidRPr="000905CF">
              <w:rPr>
                <w:rFonts w:ascii="Arial" w:hAnsi="Arial" w:cs="Arial"/>
                <w:sz w:val="24"/>
                <w:szCs w:val="24"/>
              </w:rPr>
              <w:t>The Dayton Power and Light Company</w:t>
            </w:r>
          </w:p>
          <w:p w:rsidR="000905CF" w:rsidRPr="000905CF" w:rsidRDefault="000905CF" w:rsidP="000905CF">
            <w:pPr>
              <w:jc w:val="both"/>
              <w:rPr>
                <w:rFonts w:ascii="Arial" w:hAnsi="Arial" w:cs="Arial"/>
                <w:sz w:val="24"/>
                <w:szCs w:val="24"/>
              </w:rPr>
            </w:pPr>
            <w:r w:rsidRPr="000905CF">
              <w:rPr>
                <w:rFonts w:ascii="Arial" w:hAnsi="Arial" w:cs="Arial"/>
                <w:sz w:val="24"/>
                <w:szCs w:val="24"/>
              </w:rPr>
              <w:t>1065 Woodman Drive</w:t>
            </w:r>
          </w:p>
          <w:p w:rsidR="000905CF" w:rsidRPr="000905CF" w:rsidRDefault="000905CF" w:rsidP="000905CF">
            <w:pPr>
              <w:jc w:val="both"/>
              <w:rPr>
                <w:rFonts w:ascii="Arial" w:hAnsi="Arial" w:cs="Arial"/>
                <w:sz w:val="24"/>
                <w:szCs w:val="24"/>
              </w:rPr>
            </w:pPr>
            <w:r w:rsidRPr="000905CF">
              <w:rPr>
                <w:rFonts w:ascii="Arial" w:hAnsi="Arial" w:cs="Arial"/>
                <w:sz w:val="24"/>
                <w:szCs w:val="24"/>
              </w:rPr>
              <w:t>Dayton, Ohio 45432</w:t>
            </w:r>
          </w:p>
          <w:p w:rsidR="000905CF" w:rsidRPr="000905CF" w:rsidRDefault="00913FD9" w:rsidP="000905CF">
            <w:pPr>
              <w:jc w:val="both"/>
              <w:rPr>
                <w:rFonts w:ascii="Arial" w:hAnsi="Arial" w:cs="Arial"/>
                <w:sz w:val="24"/>
                <w:szCs w:val="24"/>
              </w:rPr>
            </w:pPr>
            <w:hyperlink r:id="rId21" w:history="1">
              <w:r w:rsidR="000905CF" w:rsidRPr="000905CF">
                <w:rPr>
                  <w:rFonts w:ascii="Arial" w:hAnsi="Arial" w:cs="Arial"/>
                  <w:color w:val="0000FF"/>
                  <w:sz w:val="24"/>
                  <w:szCs w:val="24"/>
                  <w:u w:val="single"/>
                </w:rPr>
                <w:t>Judi.sobecki@aes.com</w:t>
              </w:r>
            </w:hyperlink>
          </w:p>
          <w:p w:rsidR="000905CF" w:rsidRPr="000905CF" w:rsidRDefault="000905CF" w:rsidP="000905CF">
            <w:pPr>
              <w:jc w:val="both"/>
              <w:rPr>
                <w:rFonts w:ascii="Arial" w:hAnsi="Arial" w:cs="Arial"/>
                <w:b/>
                <w:sz w:val="24"/>
                <w:szCs w:val="24"/>
              </w:rPr>
            </w:pPr>
          </w:p>
          <w:p w:rsidR="000905CF" w:rsidRPr="000905CF" w:rsidRDefault="000905CF" w:rsidP="000905CF">
            <w:pPr>
              <w:jc w:val="both"/>
              <w:rPr>
                <w:rFonts w:ascii="Arial" w:hAnsi="Arial" w:cs="Arial"/>
                <w:b/>
                <w:sz w:val="24"/>
                <w:szCs w:val="24"/>
              </w:rPr>
            </w:pPr>
            <w:r w:rsidRPr="000905CF">
              <w:rPr>
                <w:rFonts w:ascii="Arial" w:hAnsi="Arial" w:cs="Arial"/>
                <w:b/>
                <w:sz w:val="24"/>
                <w:szCs w:val="24"/>
              </w:rPr>
              <w:t>Counsel for The Dayton Power and Light Company</w:t>
            </w:r>
          </w:p>
          <w:p w:rsidR="000905CF" w:rsidRPr="000905CF" w:rsidRDefault="000905CF" w:rsidP="000905CF">
            <w:pPr>
              <w:ind w:right="162"/>
              <w:jc w:val="both"/>
              <w:rPr>
                <w:rFonts w:ascii="Arial" w:hAnsi="Arial" w:cs="Arial"/>
                <w:sz w:val="24"/>
                <w:szCs w:val="24"/>
              </w:rPr>
            </w:pPr>
          </w:p>
        </w:tc>
      </w:tr>
      <w:tr w:rsidR="000905CF" w:rsidRPr="000905CF" w:rsidTr="000905CF">
        <w:trPr>
          <w:cantSplit/>
        </w:trPr>
        <w:tc>
          <w:tcPr>
            <w:tcW w:w="4248" w:type="dxa"/>
          </w:tcPr>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Kevin R. Schmidt</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88 East Broad Street, Suite 1770</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ind w:right="162"/>
              <w:jc w:val="both"/>
              <w:rPr>
                <w:rFonts w:ascii="Arial" w:hAnsi="Arial" w:cs="Arial"/>
                <w:sz w:val="24"/>
                <w:szCs w:val="24"/>
              </w:rPr>
            </w:pPr>
            <w:hyperlink r:id="rId22" w:history="1">
              <w:r w:rsidR="000905CF" w:rsidRPr="000905CF">
                <w:rPr>
                  <w:rFonts w:ascii="Arial" w:hAnsi="Arial" w:cs="Arial"/>
                  <w:color w:val="0000FF"/>
                  <w:sz w:val="24"/>
                  <w:szCs w:val="24"/>
                  <w:u w:val="single"/>
                </w:rPr>
                <w:t>schmidt@sppgrp.com</w:t>
              </w:r>
            </w:hyperlink>
          </w:p>
          <w:p w:rsidR="000905CF" w:rsidRPr="000905CF" w:rsidRDefault="000905CF" w:rsidP="000905CF">
            <w:pPr>
              <w:ind w:right="162"/>
              <w:jc w:val="both"/>
              <w:rPr>
                <w:rFonts w:ascii="Arial" w:hAnsi="Arial" w:cs="Arial"/>
                <w:sz w:val="24"/>
                <w:szCs w:val="24"/>
              </w:rPr>
            </w:pPr>
          </w:p>
          <w:p w:rsidR="000905CF" w:rsidRPr="000905CF" w:rsidRDefault="000905CF" w:rsidP="000905CF">
            <w:pPr>
              <w:ind w:right="162"/>
              <w:jc w:val="both"/>
              <w:rPr>
                <w:rFonts w:ascii="Arial" w:hAnsi="Arial" w:cs="Arial"/>
                <w:b/>
                <w:sz w:val="24"/>
                <w:szCs w:val="24"/>
              </w:rPr>
            </w:pPr>
            <w:r w:rsidRPr="000905CF">
              <w:rPr>
                <w:rFonts w:ascii="Arial" w:hAnsi="Arial" w:cs="Arial"/>
                <w:b/>
                <w:sz w:val="24"/>
                <w:szCs w:val="24"/>
              </w:rPr>
              <w:t>Counsel for the Energy Professionals of Ohio</w:t>
            </w:r>
          </w:p>
          <w:p w:rsidR="000905CF" w:rsidRPr="000905CF" w:rsidRDefault="000905CF" w:rsidP="000905CF">
            <w:pPr>
              <w:ind w:right="162"/>
              <w:jc w:val="both"/>
              <w:rPr>
                <w:rFonts w:ascii="Arial" w:hAnsi="Arial" w:cs="Arial"/>
                <w:sz w:val="24"/>
                <w:szCs w:val="24"/>
              </w:rPr>
            </w:pPr>
          </w:p>
        </w:tc>
        <w:tc>
          <w:tcPr>
            <w:tcW w:w="450" w:type="dxa"/>
          </w:tcPr>
          <w:p w:rsidR="000905CF" w:rsidRPr="000905CF" w:rsidRDefault="000905CF" w:rsidP="000905CF">
            <w:pPr>
              <w:jc w:val="both"/>
              <w:rPr>
                <w:rFonts w:ascii="Arial" w:hAnsi="Arial" w:cs="Arial"/>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Mark A. Hayden</w:t>
            </w:r>
          </w:p>
          <w:p w:rsidR="000905CF" w:rsidRPr="000905CF" w:rsidRDefault="000905CF" w:rsidP="000905CF">
            <w:pPr>
              <w:jc w:val="both"/>
              <w:rPr>
                <w:rFonts w:ascii="Arial" w:hAnsi="Arial" w:cs="Arial"/>
                <w:sz w:val="24"/>
                <w:szCs w:val="24"/>
              </w:rPr>
            </w:pPr>
            <w:r w:rsidRPr="000905CF">
              <w:rPr>
                <w:rFonts w:ascii="Arial" w:hAnsi="Arial" w:cs="Arial"/>
                <w:sz w:val="24"/>
                <w:szCs w:val="24"/>
              </w:rPr>
              <w:t>Jacob A. McDermott</w:t>
            </w:r>
          </w:p>
          <w:p w:rsidR="000905CF" w:rsidRPr="000905CF" w:rsidRDefault="000905CF" w:rsidP="000905CF">
            <w:pPr>
              <w:jc w:val="both"/>
              <w:rPr>
                <w:rFonts w:ascii="Arial" w:hAnsi="Arial" w:cs="Arial"/>
                <w:sz w:val="24"/>
                <w:szCs w:val="24"/>
              </w:rPr>
            </w:pPr>
            <w:r w:rsidRPr="000905CF">
              <w:rPr>
                <w:rFonts w:ascii="Arial" w:hAnsi="Arial" w:cs="Arial"/>
                <w:sz w:val="24"/>
                <w:szCs w:val="24"/>
              </w:rPr>
              <w:t>Scott J. Casto</w:t>
            </w:r>
          </w:p>
          <w:p w:rsidR="000905CF" w:rsidRPr="000905CF" w:rsidRDefault="000905CF" w:rsidP="000905CF">
            <w:pPr>
              <w:jc w:val="both"/>
              <w:rPr>
                <w:rFonts w:ascii="Arial" w:hAnsi="Arial" w:cs="Arial"/>
                <w:sz w:val="24"/>
                <w:szCs w:val="24"/>
              </w:rPr>
            </w:pPr>
            <w:r w:rsidRPr="000905CF">
              <w:rPr>
                <w:rFonts w:ascii="Arial" w:hAnsi="Arial" w:cs="Arial"/>
                <w:sz w:val="24"/>
                <w:szCs w:val="24"/>
              </w:rPr>
              <w:t>FirstEnergy Service Company</w:t>
            </w:r>
          </w:p>
          <w:p w:rsidR="000905CF" w:rsidRPr="000905CF" w:rsidRDefault="000905CF" w:rsidP="000905CF">
            <w:pPr>
              <w:jc w:val="both"/>
              <w:rPr>
                <w:rFonts w:ascii="Arial" w:hAnsi="Arial" w:cs="Arial"/>
                <w:sz w:val="24"/>
                <w:szCs w:val="24"/>
              </w:rPr>
            </w:pPr>
            <w:r w:rsidRPr="000905CF">
              <w:rPr>
                <w:rFonts w:ascii="Arial" w:hAnsi="Arial" w:cs="Arial"/>
                <w:sz w:val="24"/>
                <w:szCs w:val="24"/>
              </w:rPr>
              <w:t>76 South Main Street</w:t>
            </w:r>
          </w:p>
          <w:p w:rsidR="000905CF" w:rsidRPr="000905CF" w:rsidRDefault="000905CF" w:rsidP="000905CF">
            <w:pPr>
              <w:jc w:val="both"/>
              <w:rPr>
                <w:rFonts w:ascii="Arial" w:hAnsi="Arial" w:cs="Arial"/>
                <w:sz w:val="24"/>
                <w:szCs w:val="24"/>
              </w:rPr>
            </w:pPr>
            <w:r w:rsidRPr="000905CF">
              <w:rPr>
                <w:rFonts w:ascii="Arial" w:hAnsi="Arial" w:cs="Arial"/>
                <w:sz w:val="24"/>
                <w:szCs w:val="24"/>
              </w:rPr>
              <w:t>Akron, Ohio 44308</w:t>
            </w:r>
          </w:p>
          <w:p w:rsidR="000905CF" w:rsidRPr="000905CF" w:rsidRDefault="00913FD9" w:rsidP="000905CF">
            <w:pPr>
              <w:jc w:val="both"/>
              <w:rPr>
                <w:rFonts w:ascii="Arial" w:hAnsi="Arial" w:cs="Arial"/>
                <w:color w:val="0000FF"/>
                <w:sz w:val="24"/>
                <w:szCs w:val="24"/>
                <w:u w:val="single"/>
              </w:rPr>
            </w:pPr>
            <w:hyperlink r:id="rId23" w:history="1">
              <w:r w:rsidR="000905CF" w:rsidRPr="000905CF">
                <w:rPr>
                  <w:rFonts w:ascii="Arial" w:hAnsi="Arial" w:cs="Arial"/>
                  <w:color w:val="0000FF"/>
                  <w:sz w:val="24"/>
                  <w:szCs w:val="24"/>
                  <w:u w:val="single"/>
                </w:rPr>
                <w:t>haydenm@firstenergycorp.com</w:t>
              </w:r>
            </w:hyperlink>
          </w:p>
          <w:p w:rsidR="000905CF" w:rsidRPr="000905CF" w:rsidRDefault="00913FD9" w:rsidP="000905CF">
            <w:pPr>
              <w:jc w:val="both"/>
              <w:rPr>
                <w:rFonts w:ascii="Arial" w:hAnsi="Arial" w:cs="Arial"/>
                <w:color w:val="0000FF"/>
                <w:sz w:val="24"/>
                <w:szCs w:val="24"/>
                <w:u w:val="single"/>
              </w:rPr>
            </w:pPr>
            <w:hyperlink r:id="rId24" w:history="1">
              <w:r w:rsidR="000905CF" w:rsidRPr="000905CF">
                <w:rPr>
                  <w:rFonts w:ascii="Arial" w:hAnsi="Arial" w:cs="Arial"/>
                  <w:color w:val="0000FF"/>
                  <w:sz w:val="24"/>
                  <w:szCs w:val="24"/>
                  <w:u w:val="single"/>
                </w:rPr>
                <w:t>jmcdermott@firstenergycorp.com</w:t>
              </w:r>
            </w:hyperlink>
          </w:p>
          <w:p w:rsidR="000905CF" w:rsidRPr="000905CF" w:rsidRDefault="000905CF" w:rsidP="000905CF">
            <w:pPr>
              <w:jc w:val="both"/>
              <w:rPr>
                <w:rFonts w:ascii="Arial" w:hAnsi="Arial" w:cs="Arial"/>
                <w:sz w:val="24"/>
                <w:szCs w:val="24"/>
              </w:rPr>
            </w:pPr>
            <w:r w:rsidRPr="000905CF">
              <w:rPr>
                <w:rFonts w:ascii="Arial" w:hAnsi="Arial" w:cs="Arial"/>
                <w:color w:val="0000FF"/>
                <w:sz w:val="24"/>
                <w:szCs w:val="24"/>
                <w:u w:val="single"/>
              </w:rPr>
              <w:t>scasto@firstenergycorp.com</w:t>
            </w:r>
          </w:p>
          <w:p w:rsidR="000905CF" w:rsidRPr="000905CF" w:rsidRDefault="000905CF" w:rsidP="000905CF">
            <w:pPr>
              <w:jc w:val="both"/>
              <w:rPr>
                <w:rFonts w:ascii="Arial" w:hAnsi="Arial" w:cs="Arial"/>
                <w:sz w:val="24"/>
                <w:szCs w:val="24"/>
              </w:rPr>
            </w:pPr>
          </w:p>
          <w:p w:rsidR="000905CF" w:rsidRPr="000905CF" w:rsidRDefault="000905CF" w:rsidP="000905CF">
            <w:pPr>
              <w:jc w:val="both"/>
              <w:rPr>
                <w:rFonts w:ascii="Arial" w:hAnsi="Arial" w:cs="Arial"/>
                <w:b/>
                <w:sz w:val="24"/>
                <w:szCs w:val="24"/>
              </w:rPr>
            </w:pPr>
            <w:r w:rsidRPr="000905CF">
              <w:rPr>
                <w:rFonts w:ascii="Arial" w:hAnsi="Arial" w:cs="Arial"/>
                <w:b/>
                <w:sz w:val="24"/>
                <w:szCs w:val="24"/>
              </w:rPr>
              <w:t>Counsel for FirstEnergy Solutions Corp.</w:t>
            </w:r>
          </w:p>
          <w:p w:rsidR="000905CF" w:rsidRPr="000905CF" w:rsidRDefault="000905CF" w:rsidP="000905CF">
            <w:pPr>
              <w:jc w:val="both"/>
              <w:rPr>
                <w:rFonts w:ascii="Arial" w:hAnsi="Arial" w:cs="Arial"/>
                <w:sz w:val="24"/>
                <w:szCs w:val="24"/>
              </w:rPr>
            </w:pPr>
          </w:p>
        </w:tc>
      </w:tr>
      <w:tr w:rsidR="000905CF" w:rsidRPr="000905CF" w:rsidTr="000905CF">
        <w:trPr>
          <w:cantSplit/>
        </w:trPr>
        <w:tc>
          <w:tcPr>
            <w:tcW w:w="4248"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Maureen R. Grady</w:t>
            </w:r>
          </w:p>
          <w:p w:rsidR="000905CF" w:rsidRPr="000905CF" w:rsidRDefault="000905CF" w:rsidP="000905CF">
            <w:pPr>
              <w:jc w:val="both"/>
              <w:rPr>
                <w:rFonts w:ascii="Arial" w:hAnsi="Arial" w:cs="Arial"/>
                <w:sz w:val="24"/>
                <w:szCs w:val="24"/>
              </w:rPr>
            </w:pPr>
            <w:r w:rsidRPr="000905CF">
              <w:rPr>
                <w:rFonts w:ascii="Arial" w:hAnsi="Arial" w:cs="Arial"/>
                <w:sz w:val="24"/>
                <w:szCs w:val="24"/>
              </w:rPr>
              <w:t>Joseph P. Serio</w:t>
            </w:r>
          </w:p>
          <w:p w:rsidR="000905CF" w:rsidRPr="000905CF" w:rsidRDefault="000905CF" w:rsidP="000905CF">
            <w:pPr>
              <w:jc w:val="both"/>
              <w:rPr>
                <w:rFonts w:ascii="Arial" w:hAnsi="Arial" w:cs="Arial"/>
                <w:sz w:val="24"/>
                <w:szCs w:val="24"/>
              </w:rPr>
            </w:pPr>
            <w:r w:rsidRPr="000905CF">
              <w:rPr>
                <w:rFonts w:ascii="Arial" w:hAnsi="Arial" w:cs="Arial"/>
                <w:sz w:val="24"/>
                <w:szCs w:val="24"/>
              </w:rPr>
              <w:t>Edmund “Tad” Berger</w:t>
            </w:r>
          </w:p>
          <w:p w:rsidR="000905CF" w:rsidRPr="000905CF" w:rsidRDefault="000905CF" w:rsidP="000905CF">
            <w:pPr>
              <w:jc w:val="both"/>
              <w:rPr>
                <w:rFonts w:ascii="Arial" w:hAnsi="Arial" w:cs="Arial"/>
                <w:sz w:val="24"/>
                <w:szCs w:val="24"/>
              </w:rPr>
            </w:pPr>
            <w:r w:rsidRPr="000905CF">
              <w:rPr>
                <w:rFonts w:ascii="Arial" w:hAnsi="Arial" w:cs="Arial"/>
                <w:sz w:val="24"/>
                <w:szCs w:val="24"/>
              </w:rPr>
              <w:t>Office of the Ohio Consumers’ Counsel</w:t>
            </w:r>
          </w:p>
          <w:p w:rsidR="000905CF" w:rsidRPr="000905CF" w:rsidRDefault="000905CF" w:rsidP="000905CF">
            <w:pPr>
              <w:jc w:val="both"/>
              <w:rPr>
                <w:rFonts w:ascii="Arial" w:hAnsi="Arial" w:cs="Arial"/>
                <w:sz w:val="24"/>
                <w:szCs w:val="24"/>
              </w:rPr>
            </w:pPr>
            <w:r w:rsidRPr="000905CF">
              <w:rPr>
                <w:rFonts w:ascii="Arial" w:hAnsi="Arial" w:cs="Arial"/>
                <w:sz w:val="24"/>
                <w:szCs w:val="24"/>
              </w:rPr>
              <w:t>10 West Broad Street, Suite 1800</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43215-3485</w:t>
            </w:r>
          </w:p>
          <w:p w:rsidR="000905CF" w:rsidRPr="000905CF" w:rsidRDefault="00913FD9" w:rsidP="000905CF">
            <w:pPr>
              <w:jc w:val="both"/>
              <w:rPr>
                <w:rFonts w:ascii="Arial" w:hAnsi="Arial" w:cs="Arial"/>
                <w:sz w:val="24"/>
                <w:szCs w:val="24"/>
              </w:rPr>
            </w:pPr>
            <w:hyperlink r:id="rId25" w:history="1">
              <w:r w:rsidR="000905CF" w:rsidRPr="000905CF">
                <w:rPr>
                  <w:rFonts w:ascii="Arial" w:hAnsi="Arial" w:cs="Arial"/>
                  <w:color w:val="0000FF"/>
                  <w:sz w:val="24"/>
                  <w:szCs w:val="24"/>
                  <w:u w:val="single"/>
                </w:rPr>
                <w:t>Maureen.grady@occ.ohio.gov</w:t>
              </w:r>
            </w:hyperlink>
          </w:p>
          <w:p w:rsidR="000905CF" w:rsidRPr="000905CF" w:rsidRDefault="00913FD9" w:rsidP="000905CF">
            <w:pPr>
              <w:jc w:val="both"/>
              <w:rPr>
                <w:rFonts w:ascii="Arial" w:hAnsi="Arial" w:cs="Arial"/>
                <w:sz w:val="24"/>
                <w:szCs w:val="24"/>
              </w:rPr>
            </w:pPr>
            <w:hyperlink r:id="rId26" w:history="1">
              <w:r w:rsidR="000905CF" w:rsidRPr="000905CF">
                <w:rPr>
                  <w:rFonts w:ascii="Arial" w:hAnsi="Arial" w:cs="Arial"/>
                  <w:color w:val="0000FF"/>
                  <w:sz w:val="24"/>
                  <w:szCs w:val="24"/>
                  <w:u w:val="single"/>
                </w:rPr>
                <w:t>Joseph.serio@occ.ohio.gov</w:t>
              </w:r>
            </w:hyperlink>
          </w:p>
          <w:p w:rsidR="000905CF" w:rsidRPr="000905CF" w:rsidRDefault="00913FD9" w:rsidP="000905CF">
            <w:pPr>
              <w:jc w:val="both"/>
              <w:rPr>
                <w:rFonts w:ascii="Arial" w:hAnsi="Arial" w:cs="Arial"/>
                <w:sz w:val="24"/>
                <w:szCs w:val="24"/>
              </w:rPr>
            </w:pPr>
            <w:hyperlink r:id="rId27" w:history="1">
              <w:r w:rsidR="000905CF" w:rsidRPr="000905CF">
                <w:rPr>
                  <w:rFonts w:ascii="Arial" w:hAnsi="Arial" w:cs="Arial"/>
                  <w:color w:val="0000FF"/>
                  <w:sz w:val="24"/>
                  <w:szCs w:val="24"/>
                  <w:u w:val="single"/>
                </w:rPr>
                <w:t>Edmund.berger@occ.ohio.gov</w:t>
              </w:r>
            </w:hyperlink>
          </w:p>
          <w:p w:rsidR="000905CF" w:rsidRPr="000905CF" w:rsidRDefault="000905CF" w:rsidP="000905CF">
            <w:pPr>
              <w:jc w:val="both"/>
              <w:rPr>
                <w:rFonts w:ascii="Arial" w:hAnsi="Arial" w:cs="Arial"/>
                <w:b/>
                <w:sz w:val="24"/>
                <w:szCs w:val="24"/>
              </w:rPr>
            </w:pPr>
          </w:p>
          <w:p w:rsidR="000905CF" w:rsidRPr="000905CF" w:rsidRDefault="000905CF" w:rsidP="000905CF">
            <w:pPr>
              <w:jc w:val="both"/>
              <w:rPr>
                <w:rFonts w:ascii="Arial" w:hAnsi="Arial" w:cs="Arial"/>
                <w:b/>
                <w:sz w:val="24"/>
                <w:szCs w:val="24"/>
              </w:rPr>
            </w:pPr>
            <w:r w:rsidRPr="000905CF">
              <w:rPr>
                <w:rFonts w:ascii="Arial" w:hAnsi="Arial" w:cs="Arial"/>
                <w:b/>
                <w:sz w:val="24"/>
                <w:szCs w:val="24"/>
              </w:rPr>
              <w:t>Counsel for the Ohio Consumers’ Counsel</w:t>
            </w:r>
          </w:p>
          <w:p w:rsidR="000905CF" w:rsidRPr="000905CF" w:rsidRDefault="000905CF" w:rsidP="000905CF">
            <w:pPr>
              <w:jc w:val="both"/>
              <w:rPr>
                <w:rFonts w:ascii="Arial" w:hAnsi="Arial" w:cs="Arial"/>
                <w:b/>
                <w:sz w:val="24"/>
                <w:szCs w:val="24"/>
              </w:rPr>
            </w:pPr>
          </w:p>
        </w:tc>
        <w:tc>
          <w:tcPr>
            <w:tcW w:w="450" w:type="dxa"/>
          </w:tcPr>
          <w:p w:rsidR="000905CF" w:rsidRPr="000905CF" w:rsidRDefault="000905CF" w:rsidP="000905CF">
            <w:pPr>
              <w:jc w:val="both"/>
              <w:rPr>
                <w:rFonts w:ascii="Arial" w:hAnsi="Arial" w:cs="Arial"/>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Howard Petricoff</w:t>
            </w:r>
          </w:p>
          <w:p w:rsidR="000905CF" w:rsidRPr="000905CF" w:rsidRDefault="000905CF" w:rsidP="000905CF">
            <w:pPr>
              <w:jc w:val="both"/>
              <w:rPr>
                <w:rFonts w:ascii="Arial" w:hAnsi="Arial" w:cs="Arial"/>
                <w:sz w:val="24"/>
                <w:szCs w:val="24"/>
              </w:rPr>
            </w:pPr>
            <w:r w:rsidRPr="000905CF">
              <w:rPr>
                <w:rFonts w:ascii="Arial" w:hAnsi="Arial" w:cs="Arial"/>
                <w:sz w:val="24"/>
                <w:szCs w:val="24"/>
              </w:rPr>
              <w:t xml:space="preserve">Michael </w:t>
            </w:r>
            <w:proofErr w:type="spellStart"/>
            <w:r w:rsidRPr="000905CF">
              <w:rPr>
                <w:rFonts w:ascii="Arial" w:hAnsi="Arial" w:cs="Arial"/>
                <w:sz w:val="24"/>
                <w:szCs w:val="24"/>
              </w:rPr>
              <w:t>Settinari</w:t>
            </w:r>
            <w:proofErr w:type="spellEnd"/>
          </w:p>
          <w:p w:rsidR="000905CF" w:rsidRPr="000905CF" w:rsidRDefault="000905CF" w:rsidP="000905CF">
            <w:pPr>
              <w:jc w:val="both"/>
              <w:rPr>
                <w:rFonts w:ascii="Arial" w:hAnsi="Arial" w:cs="Arial"/>
                <w:sz w:val="24"/>
                <w:szCs w:val="24"/>
              </w:rPr>
            </w:pPr>
            <w:r w:rsidRPr="000905CF">
              <w:rPr>
                <w:rFonts w:ascii="Arial" w:hAnsi="Arial" w:cs="Arial"/>
                <w:sz w:val="24"/>
                <w:szCs w:val="24"/>
              </w:rPr>
              <w:t>Gretchen Petrucci</w:t>
            </w:r>
          </w:p>
          <w:p w:rsidR="000905CF" w:rsidRPr="000905CF" w:rsidRDefault="000905CF" w:rsidP="000905CF">
            <w:pPr>
              <w:jc w:val="both"/>
              <w:rPr>
                <w:rFonts w:ascii="Arial" w:hAnsi="Arial" w:cs="Arial"/>
                <w:sz w:val="24"/>
                <w:szCs w:val="24"/>
              </w:rPr>
            </w:pPr>
            <w:proofErr w:type="spellStart"/>
            <w:r w:rsidRPr="000905CF">
              <w:rPr>
                <w:rFonts w:ascii="Arial" w:hAnsi="Arial" w:cs="Arial"/>
                <w:sz w:val="24"/>
                <w:szCs w:val="24"/>
              </w:rPr>
              <w:t>Vorys</w:t>
            </w:r>
            <w:proofErr w:type="spellEnd"/>
            <w:r w:rsidRPr="000905CF">
              <w:rPr>
                <w:rFonts w:ascii="Arial" w:hAnsi="Arial" w:cs="Arial"/>
                <w:sz w:val="24"/>
                <w:szCs w:val="24"/>
              </w:rPr>
              <w:t xml:space="preserve">, </w:t>
            </w:r>
            <w:proofErr w:type="spellStart"/>
            <w:r w:rsidRPr="000905CF">
              <w:rPr>
                <w:rFonts w:ascii="Arial" w:hAnsi="Arial" w:cs="Arial"/>
                <w:sz w:val="24"/>
                <w:szCs w:val="24"/>
              </w:rPr>
              <w:t>Sater</w:t>
            </w:r>
            <w:proofErr w:type="spellEnd"/>
            <w:r w:rsidRPr="000905CF">
              <w:rPr>
                <w:rFonts w:ascii="Arial" w:hAnsi="Arial" w:cs="Arial"/>
                <w:sz w:val="24"/>
                <w:szCs w:val="24"/>
              </w:rPr>
              <w:t xml:space="preserve">, </w:t>
            </w:r>
            <w:proofErr w:type="spellStart"/>
            <w:r w:rsidRPr="000905CF">
              <w:rPr>
                <w:rFonts w:ascii="Arial" w:hAnsi="Arial" w:cs="Arial"/>
                <w:sz w:val="24"/>
                <w:szCs w:val="24"/>
              </w:rPr>
              <w:t>Semour</w:t>
            </w:r>
            <w:proofErr w:type="spellEnd"/>
            <w:r w:rsidRPr="000905CF">
              <w:rPr>
                <w:rFonts w:ascii="Arial" w:hAnsi="Arial" w:cs="Arial"/>
                <w:sz w:val="24"/>
                <w:szCs w:val="24"/>
              </w:rPr>
              <w:t>, Pease, LLP</w:t>
            </w:r>
          </w:p>
          <w:p w:rsidR="000905CF" w:rsidRPr="000905CF" w:rsidRDefault="000905CF" w:rsidP="000905CF">
            <w:pPr>
              <w:jc w:val="both"/>
              <w:rPr>
                <w:rFonts w:ascii="Arial" w:hAnsi="Arial" w:cs="Arial"/>
                <w:sz w:val="24"/>
                <w:szCs w:val="24"/>
              </w:rPr>
            </w:pPr>
            <w:r w:rsidRPr="000905CF">
              <w:rPr>
                <w:rFonts w:ascii="Arial" w:hAnsi="Arial" w:cs="Arial"/>
                <w:sz w:val="24"/>
                <w:szCs w:val="24"/>
              </w:rPr>
              <w:t>52 East Gay Street</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43015</w:t>
            </w:r>
          </w:p>
          <w:p w:rsidR="000905CF" w:rsidRPr="000905CF" w:rsidRDefault="00913FD9" w:rsidP="000905CF">
            <w:pPr>
              <w:jc w:val="both"/>
              <w:rPr>
                <w:rFonts w:ascii="Arial" w:hAnsi="Arial" w:cs="Arial"/>
                <w:color w:val="0000FF"/>
                <w:sz w:val="24"/>
                <w:szCs w:val="24"/>
                <w:u w:val="single"/>
              </w:rPr>
            </w:pPr>
            <w:hyperlink r:id="rId28" w:history="1">
              <w:r w:rsidR="000905CF" w:rsidRPr="000905CF">
                <w:rPr>
                  <w:rFonts w:ascii="Arial" w:hAnsi="Arial" w:cs="Arial"/>
                  <w:color w:val="0000FF"/>
                  <w:sz w:val="24"/>
                  <w:szCs w:val="24"/>
                  <w:u w:val="single"/>
                </w:rPr>
                <w:t>MHPetricoff@vorys.com</w:t>
              </w:r>
            </w:hyperlink>
          </w:p>
          <w:p w:rsidR="000905CF" w:rsidRPr="000905CF" w:rsidRDefault="000905CF" w:rsidP="000905CF">
            <w:pPr>
              <w:jc w:val="both"/>
              <w:rPr>
                <w:rFonts w:ascii="Arial" w:hAnsi="Arial" w:cs="Arial"/>
                <w:color w:val="0000FF"/>
                <w:sz w:val="24"/>
                <w:szCs w:val="24"/>
                <w:u w:val="single"/>
              </w:rPr>
            </w:pPr>
            <w:r w:rsidRPr="000905CF">
              <w:rPr>
                <w:rFonts w:ascii="Arial" w:hAnsi="Arial" w:cs="Arial"/>
                <w:color w:val="0000FF"/>
                <w:sz w:val="24"/>
                <w:szCs w:val="24"/>
                <w:u w:val="single"/>
              </w:rPr>
              <w:t>mjsettinari@vorys.com</w:t>
            </w:r>
          </w:p>
          <w:p w:rsidR="000905CF" w:rsidRPr="000905CF" w:rsidRDefault="000905CF" w:rsidP="000905CF">
            <w:pPr>
              <w:jc w:val="both"/>
              <w:rPr>
                <w:rFonts w:ascii="Arial" w:hAnsi="Arial" w:cs="Arial"/>
                <w:color w:val="0000FF"/>
                <w:sz w:val="24"/>
                <w:szCs w:val="24"/>
                <w:u w:val="single"/>
              </w:rPr>
            </w:pPr>
            <w:r w:rsidRPr="000905CF">
              <w:rPr>
                <w:rFonts w:ascii="Arial" w:hAnsi="Arial" w:cs="Arial"/>
                <w:color w:val="0000FF"/>
                <w:sz w:val="24"/>
                <w:szCs w:val="24"/>
                <w:u w:val="single"/>
              </w:rPr>
              <w:t>glpetrucci@vorys.com</w:t>
            </w:r>
          </w:p>
          <w:p w:rsidR="000905CF" w:rsidRPr="000905CF" w:rsidRDefault="000905CF" w:rsidP="000905CF">
            <w:pPr>
              <w:jc w:val="both"/>
              <w:rPr>
                <w:rFonts w:ascii="Arial" w:hAnsi="Arial" w:cs="Arial"/>
                <w:sz w:val="24"/>
                <w:szCs w:val="24"/>
              </w:rPr>
            </w:pPr>
          </w:p>
          <w:p w:rsidR="000905CF" w:rsidRPr="000905CF" w:rsidRDefault="000905CF" w:rsidP="000905CF">
            <w:pPr>
              <w:jc w:val="both"/>
              <w:rPr>
                <w:rFonts w:ascii="Arial" w:hAnsi="Arial" w:cs="Arial"/>
                <w:b/>
                <w:sz w:val="24"/>
                <w:szCs w:val="24"/>
              </w:rPr>
            </w:pPr>
            <w:r w:rsidRPr="000905CF">
              <w:rPr>
                <w:rFonts w:ascii="Arial" w:hAnsi="Arial" w:cs="Arial"/>
                <w:b/>
                <w:sz w:val="24"/>
                <w:szCs w:val="24"/>
              </w:rPr>
              <w:t>Counsel for Constellation New Energy, Inc.</w:t>
            </w:r>
          </w:p>
        </w:tc>
      </w:tr>
      <w:tr w:rsidR="000905CF" w:rsidRPr="000905CF" w:rsidTr="000905CF">
        <w:trPr>
          <w:cantSplit/>
        </w:trPr>
        <w:tc>
          <w:tcPr>
            <w:tcW w:w="4248" w:type="dxa"/>
          </w:tcPr>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lastRenderedPageBreak/>
              <w:t>Kimberly W. Bojko</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Mallory M. Mohler</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 xml:space="preserve">Carpenter </w:t>
            </w:r>
            <w:proofErr w:type="spellStart"/>
            <w:r w:rsidRPr="000905CF">
              <w:rPr>
                <w:rFonts w:ascii="Arial" w:hAnsi="Arial" w:cs="Arial"/>
                <w:sz w:val="24"/>
                <w:szCs w:val="24"/>
              </w:rPr>
              <w:t>Lipps</w:t>
            </w:r>
            <w:proofErr w:type="spellEnd"/>
            <w:r w:rsidRPr="000905CF">
              <w:rPr>
                <w:rFonts w:ascii="Arial" w:hAnsi="Arial" w:cs="Arial"/>
                <w:sz w:val="24"/>
                <w:szCs w:val="24"/>
              </w:rPr>
              <w:t xml:space="preserve"> &amp; Leland LLP</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280 Plaza, Suite 1300</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280 North High Street</w:t>
            </w:r>
          </w:p>
          <w:p w:rsidR="000905CF" w:rsidRPr="000905CF" w:rsidRDefault="000905CF" w:rsidP="000905CF">
            <w:pPr>
              <w:ind w:right="162"/>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ind w:right="162"/>
              <w:jc w:val="both"/>
              <w:rPr>
                <w:rFonts w:ascii="Arial" w:hAnsi="Arial" w:cs="Arial"/>
                <w:sz w:val="24"/>
                <w:szCs w:val="24"/>
              </w:rPr>
            </w:pPr>
            <w:hyperlink r:id="rId29" w:history="1">
              <w:r w:rsidR="000905CF" w:rsidRPr="000905CF">
                <w:rPr>
                  <w:rFonts w:ascii="Arial" w:hAnsi="Arial" w:cs="Arial"/>
                  <w:color w:val="0000FF"/>
                  <w:sz w:val="24"/>
                  <w:szCs w:val="24"/>
                  <w:u w:val="single"/>
                </w:rPr>
                <w:t>Bojko@carpenterlipps.com</w:t>
              </w:r>
            </w:hyperlink>
          </w:p>
          <w:p w:rsidR="000905CF" w:rsidRPr="000905CF" w:rsidRDefault="00913FD9" w:rsidP="000905CF">
            <w:pPr>
              <w:ind w:right="162"/>
              <w:jc w:val="both"/>
              <w:rPr>
                <w:rFonts w:ascii="Arial" w:hAnsi="Arial" w:cs="Arial"/>
                <w:sz w:val="24"/>
                <w:szCs w:val="24"/>
              </w:rPr>
            </w:pPr>
            <w:hyperlink r:id="rId30" w:history="1">
              <w:r w:rsidR="000905CF" w:rsidRPr="000905CF">
                <w:rPr>
                  <w:rFonts w:ascii="Arial" w:hAnsi="Arial" w:cs="Arial"/>
                  <w:color w:val="0000FF"/>
                  <w:sz w:val="24"/>
                  <w:szCs w:val="24"/>
                  <w:u w:val="single"/>
                </w:rPr>
                <w:t>Mohler@carpenterlipps.com</w:t>
              </w:r>
            </w:hyperlink>
          </w:p>
          <w:p w:rsidR="000905CF" w:rsidRPr="000905CF" w:rsidRDefault="000905CF" w:rsidP="000905CF">
            <w:pPr>
              <w:ind w:right="162"/>
              <w:jc w:val="both"/>
              <w:rPr>
                <w:rFonts w:ascii="Arial" w:hAnsi="Arial" w:cs="Arial"/>
                <w:sz w:val="24"/>
                <w:szCs w:val="24"/>
              </w:rPr>
            </w:pPr>
          </w:p>
          <w:p w:rsidR="000905CF" w:rsidRPr="000905CF" w:rsidRDefault="000905CF" w:rsidP="000905CF">
            <w:pPr>
              <w:ind w:right="162"/>
              <w:jc w:val="both"/>
              <w:rPr>
                <w:rFonts w:ascii="Arial" w:hAnsi="Arial" w:cs="Arial"/>
                <w:b/>
                <w:sz w:val="24"/>
                <w:szCs w:val="24"/>
              </w:rPr>
            </w:pPr>
            <w:r w:rsidRPr="000905CF">
              <w:rPr>
                <w:rFonts w:ascii="Arial" w:hAnsi="Arial" w:cs="Arial"/>
                <w:b/>
                <w:sz w:val="24"/>
                <w:szCs w:val="24"/>
              </w:rPr>
              <w:t>Counsel for the Ohio Manufacturers’ Association</w:t>
            </w:r>
          </w:p>
          <w:p w:rsidR="000905CF" w:rsidRPr="000905CF" w:rsidRDefault="000905CF" w:rsidP="000905CF">
            <w:pPr>
              <w:ind w:right="162"/>
              <w:jc w:val="both"/>
              <w:rPr>
                <w:rFonts w:ascii="Arial" w:hAnsi="Arial" w:cs="Arial"/>
                <w:sz w:val="24"/>
                <w:szCs w:val="24"/>
              </w:rPr>
            </w:pPr>
          </w:p>
        </w:tc>
        <w:tc>
          <w:tcPr>
            <w:tcW w:w="450" w:type="dxa"/>
          </w:tcPr>
          <w:p w:rsidR="000905CF" w:rsidRPr="000905CF" w:rsidRDefault="000905CF" w:rsidP="000905CF">
            <w:pPr>
              <w:jc w:val="both"/>
              <w:rPr>
                <w:rFonts w:ascii="Arial" w:hAnsi="Arial" w:cs="Arial"/>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Gerit F. Hull</w:t>
            </w:r>
          </w:p>
          <w:p w:rsidR="000905CF" w:rsidRPr="000905CF" w:rsidRDefault="000905CF" w:rsidP="000905CF">
            <w:pPr>
              <w:jc w:val="both"/>
              <w:rPr>
                <w:rFonts w:ascii="Arial" w:hAnsi="Arial" w:cs="Arial"/>
                <w:sz w:val="24"/>
                <w:szCs w:val="24"/>
              </w:rPr>
            </w:pPr>
            <w:r w:rsidRPr="000905CF">
              <w:rPr>
                <w:rFonts w:ascii="Arial" w:hAnsi="Arial" w:cs="Arial"/>
                <w:sz w:val="24"/>
                <w:szCs w:val="24"/>
              </w:rPr>
              <w:t xml:space="preserve">Eckert </w:t>
            </w:r>
            <w:proofErr w:type="spellStart"/>
            <w:r w:rsidRPr="000905CF">
              <w:rPr>
                <w:rFonts w:ascii="Arial" w:hAnsi="Arial" w:cs="Arial"/>
                <w:sz w:val="24"/>
                <w:szCs w:val="24"/>
              </w:rPr>
              <w:t>Seamans</w:t>
            </w:r>
            <w:proofErr w:type="spellEnd"/>
            <w:r w:rsidRPr="000905CF">
              <w:rPr>
                <w:rFonts w:ascii="Arial" w:hAnsi="Arial" w:cs="Arial"/>
                <w:sz w:val="24"/>
                <w:szCs w:val="24"/>
              </w:rPr>
              <w:t xml:space="preserve"> </w:t>
            </w:r>
            <w:proofErr w:type="spellStart"/>
            <w:r w:rsidRPr="000905CF">
              <w:rPr>
                <w:rFonts w:ascii="Arial" w:hAnsi="Arial" w:cs="Arial"/>
                <w:sz w:val="24"/>
                <w:szCs w:val="24"/>
              </w:rPr>
              <w:t>Cherin</w:t>
            </w:r>
            <w:proofErr w:type="spellEnd"/>
            <w:r w:rsidRPr="000905CF">
              <w:rPr>
                <w:rFonts w:ascii="Arial" w:hAnsi="Arial" w:cs="Arial"/>
                <w:sz w:val="24"/>
                <w:szCs w:val="24"/>
              </w:rPr>
              <w:t xml:space="preserve"> &amp; </w:t>
            </w:r>
            <w:proofErr w:type="spellStart"/>
            <w:r w:rsidRPr="000905CF">
              <w:rPr>
                <w:rFonts w:ascii="Arial" w:hAnsi="Arial" w:cs="Arial"/>
                <w:sz w:val="24"/>
                <w:szCs w:val="24"/>
              </w:rPr>
              <w:t>Mellot</w:t>
            </w:r>
            <w:proofErr w:type="spellEnd"/>
            <w:r w:rsidRPr="000905CF">
              <w:rPr>
                <w:rFonts w:ascii="Arial" w:hAnsi="Arial" w:cs="Arial"/>
                <w:sz w:val="24"/>
                <w:szCs w:val="24"/>
              </w:rPr>
              <w:t>, LLC</w:t>
            </w:r>
          </w:p>
          <w:p w:rsidR="000905CF" w:rsidRPr="000905CF" w:rsidRDefault="000905CF" w:rsidP="000905CF">
            <w:pPr>
              <w:jc w:val="both"/>
              <w:rPr>
                <w:rFonts w:ascii="Arial" w:hAnsi="Arial" w:cs="Arial"/>
                <w:sz w:val="24"/>
                <w:szCs w:val="24"/>
              </w:rPr>
            </w:pPr>
            <w:r w:rsidRPr="000905CF">
              <w:rPr>
                <w:rFonts w:ascii="Arial" w:hAnsi="Arial" w:cs="Arial"/>
                <w:sz w:val="24"/>
                <w:szCs w:val="24"/>
              </w:rPr>
              <w:t>1717 Pennsylvania Avenue, N.W.</w:t>
            </w:r>
          </w:p>
          <w:p w:rsidR="000905CF" w:rsidRPr="000905CF" w:rsidRDefault="000905CF" w:rsidP="000905CF">
            <w:pPr>
              <w:jc w:val="both"/>
              <w:rPr>
                <w:rFonts w:ascii="Arial" w:hAnsi="Arial" w:cs="Arial"/>
                <w:sz w:val="24"/>
                <w:szCs w:val="24"/>
              </w:rPr>
            </w:pPr>
            <w:r w:rsidRPr="000905CF">
              <w:rPr>
                <w:rFonts w:ascii="Arial" w:hAnsi="Arial" w:cs="Arial"/>
                <w:sz w:val="24"/>
                <w:szCs w:val="24"/>
              </w:rPr>
              <w:t>12</w:t>
            </w:r>
            <w:r w:rsidRPr="000905CF">
              <w:rPr>
                <w:rFonts w:ascii="Arial" w:hAnsi="Arial" w:cs="Arial"/>
                <w:sz w:val="24"/>
                <w:szCs w:val="24"/>
                <w:vertAlign w:val="superscript"/>
              </w:rPr>
              <w:t>th</w:t>
            </w:r>
            <w:r w:rsidRPr="000905CF">
              <w:rPr>
                <w:rFonts w:ascii="Arial" w:hAnsi="Arial" w:cs="Arial"/>
                <w:sz w:val="24"/>
                <w:szCs w:val="24"/>
              </w:rPr>
              <w:t xml:space="preserve"> Floor</w:t>
            </w:r>
          </w:p>
          <w:p w:rsidR="000905CF" w:rsidRPr="000905CF" w:rsidRDefault="000905CF" w:rsidP="000905CF">
            <w:pPr>
              <w:jc w:val="both"/>
              <w:rPr>
                <w:rFonts w:ascii="Arial" w:hAnsi="Arial" w:cs="Arial"/>
                <w:sz w:val="24"/>
                <w:szCs w:val="24"/>
              </w:rPr>
            </w:pPr>
            <w:r w:rsidRPr="000905CF">
              <w:rPr>
                <w:rFonts w:ascii="Arial" w:hAnsi="Arial" w:cs="Arial"/>
                <w:sz w:val="24"/>
                <w:szCs w:val="24"/>
              </w:rPr>
              <w:t>Washington, DC 20006</w:t>
            </w:r>
          </w:p>
          <w:p w:rsidR="000905CF" w:rsidRPr="000905CF" w:rsidRDefault="00913FD9" w:rsidP="000905CF">
            <w:pPr>
              <w:jc w:val="both"/>
              <w:rPr>
                <w:rFonts w:ascii="Arial" w:hAnsi="Arial" w:cs="Arial"/>
                <w:sz w:val="24"/>
                <w:szCs w:val="24"/>
              </w:rPr>
            </w:pPr>
            <w:hyperlink r:id="rId31" w:history="1">
              <w:r w:rsidR="000905CF" w:rsidRPr="000905CF">
                <w:rPr>
                  <w:rFonts w:ascii="Arial" w:hAnsi="Arial" w:cs="Arial"/>
                  <w:color w:val="0000FF"/>
                  <w:sz w:val="24"/>
                  <w:szCs w:val="24"/>
                  <w:u w:val="single"/>
                </w:rPr>
                <w:t>ghull@eckertseamans.com</w:t>
              </w:r>
            </w:hyperlink>
          </w:p>
          <w:p w:rsidR="000905CF" w:rsidRPr="000905CF" w:rsidRDefault="000905CF" w:rsidP="000905CF">
            <w:pPr>
              <w:jc w:val="both"/>
              <w:rPr>
                <w:rFonts w:ascii="Arial" w:hAnsi="Arial" w:cs="Arial"/>
                <w:b/>
                <w:sz w:val="24"/>
                <w:szCs w:val="24"/>
              </w:rPr>
            </w:pPr>
          </w:p>
          <w:p w:rsidR="000905CF" w:rsidRPr="000905CF" w:rsidRDefault="000905CF" w:rsidP="000905CF">
            <w:pPr>
              <w:jc w:val="both"/>
              <w:rPr>
                <w:rFonts w:ascii="Arial" w:hAnsi="Arial" w:cs="Arial"/>
                <w:b/>
                <w:sz w:val="24"/>
                <w:szCs w:val="24"/>
              </w:rPr>
            </w:pPr>
            <w:r w:rsidRPr="000905CF">
              <w:rPr>
                <w:rFonts w:ascii="Arial" w:hAnsi="Arial" w:cs="Arial"/>
                <w:b/>
                <w:sz w:val="24"/>
                <w:szCs w:val="24"/>
              </w:rPr>
              <w:t>Counsel for Direct Energy Services, LLC and Direct Energy Business, LLC</w:t>
            </w:r>
          </w:p>
        </w:tc>
      </w:tr>
      <w:tr w:rsidR="000905CF" w:rsidRPr="000905CF" w:rsidTr="000905CF">
        <w:trPr>
          <w:cantSplit/>
        </w:trPr>
        <w:tc>
          <w:tcPr>
            <w:tcW w:w="4248"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Joseph M. Clark</w:t>
            </w:r>
          </w:p>
          <w:p w:rsidR="000905CF" w:rsidRPr="000905CF" w:rsidRDefault="000905CF" w:rsidP="000905CF">
            <w:pPr>
              <w:jc w:val="both"/>
              <w:rPr>
                <w:rFonts w:ascii="Arial" w:hAnsi="Arial" w:cs="Arial"/>
                <w:sz w:val="24"/>
                <w:szCs w:val="24"/>
              </w:rPr>
            </w:pPr>
            <w:r w:rsidRPr="000905CF">
              <w:rPr>
                <w:rFonts w:ascii="Arial" w:hAnsi="Arial" w:cs="Arial"/>
                <w:sz w:val="24"/>
                <w:szCs w:val="24"/>
              </w:rPr>
              <w:t>Direct Energy</w:t>
            </w:r>
          </w:p>
          <w:p w:rsidR="000905CF" w:rsidRPr="000905CF" w:rsidRDefault="000905CF" w:rsidP="000905CF">
            <w:pPr>
              <w:jc w:val="both"/>
              <w:rPr>
                <w:rFonts w:ascii="Arial" w:hAnsi="Arial" w:cs="Arial"/>
                <w:sz w:val="24"/>
                <w:szCs w:val="24"/>
              </w:rPr>
            </w:pPr>
            <w:r w:rsidRPr="000905CF">
              <w:rPr>
                <w:rFonts w:ascii="Arial" w:hAnsi="Arial" w:cs="Arial"/>
                <w:sz w:val="24"/>
                <w:szCs w:val="24"/>
              </w:rPr>
              <w:t>21 East State Street, 19</w:t>
            </w:r>
            <w:r w:rsidRPr="000905CF">
              <w:rPr>
                <w:rFonts w:ascii="Arial" w:hAnsi="Arial" w:cs="Arial"/>
                <w:sz w:val="24"/>
                <w:szCs w:val="24"/>
                <w:vertAlign w:val="superscript"/>
              </w:rPr>
              <w:t>th</w:t>
            </w:r>
            <w:r w:rsidRPr="000905CF">
              <w:rPr>
                <w:rFonts w:ascii="Arial" w:hAnsi="Arial" w:cs="Arial"/>
                <w:sz w:val="24"/>
                <w:szCs w:val="24"/>
              </w:rPr>
              <w:t xml:space="preserve"> Floor</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jc w:val="both"/>
              <w:rPr>
                <w:rFonts w:ascii="Arial" w:hAnsi="Arial" w:cs="Arial"/>
                <w:sz w:val="24"/>
                <w:szCs w:val="24"/>
              </w:rPr>
            </w:pPr>
            <w:hyperlink r:id="rId32" w:history="1">
              <w:r w:rsidR="000905CF" w:rsidRPr="000905CF">
                <w:rPr>
                  <w:rFonts w:ascii="Arial" w:hAnsi="Arial" w:cs="Arial"/>
                  <w:color w:val="0000FF"/>
                  <w:sz w:val="24"/>
                  <w:szCs w:val="24"/>
                  <w:u w:val="single"/>
                </w:rPr>
                <w:t>joseph.clark@directenergy.com</w:t>
              </w:r>
            </w:hyperlink>
          </w:p>
          <w:p w:rsidR="000905CF" w:rsidRPr="000905CF" w:rsidRDefault="000905CF" w:rsidP="000905CF">
            <w:pPr>
              <w:jc w:val="both"/>
              <w:rPr>
                <w:rFonts w:ascii="Arial" w:hAnsi="Arial" w:cs="Arial"/>
                <w:sz w:val="24"/>
                <w:szCs w:val="24"/>
              </w:rPr>
            </w:pPr>
          </w:p>
          <w:p w:rsidR="000905CF" w:rsidRPr="000905CF" w:rsidRDefault="000905CF" w:rsidP="000905CF">
            <w:pPr>
              <w:jc w:val="both"/>
              <w:rPr>
                <w:rFonts w:ascii="Arial" w:hAnsi="Arial" w:cs="Arial"/>
                <w:b/>
                <w:sz w:val="24"/>
                <w:szCs w:val="24"/>
              </w:rPr>
            </w:pPr>
            <w:r w:rsidRPr="000905CF">
              <w:rPr>
                <w:rFonts w:ascii="Arial" w:hAnsi="Arial" w:cs="Arial"/>
                <w:b/>
                <w:sz w:val="24"/>
                <w:szCs w:val="24"/>
              </w:rPr>
              <w:t>Counsel for Direct Energy Services, LLC and Direct Energy Business, LLC</w:t>
            </w:r>
          </w:p>
          <w:p w:rsidR="000905CF" w:rsidRPr="000905CF" w:rsidRDefault="000905CF" w:rsidP="000905CF">
            <w:pPr>
              <w:jc w:val="both"/>
              <w:rPr>
                <w:rFonts w:ascii="Arial" w:hAnsi="Arial" w:cs="Arial"/>
                <w:sz w:val="24"/>
                <w:szCs w:val="24"/>
              </w:rPr>
            </w:pP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Colleen L. Mooney</w:t>
            </w:r>
          </w:p>
          <w:p w:rsidR="000905CF" w:rsidRPr="000905CF" w:rsidRDefault="000905CF" w:rsidP="000905CF">
            <w:pPr>
              <w:jc w:val="both"/>
              <w:rPr>
                <w:rFonts w:ascii="Arial" w:hAnsi="Arial" w:cs="Arial"/>
                <w:sz w:val="24"/>
                <w:szCs w:val="24"/>
              </w:rPr>
            </w:pPr>
            <w:proofErr w:type="spellStart"/>
            <w:r w:rsidRPr="000905CF">
              <w:rPr>
                <w:rFonts w:ascii="Arial" w:hAnsi="Arial" w:cs="Arial"/>
                <w:sz w:val="24"/>
                <w:szCs w:val="24"/>
              </w:rPr>
              <w:t>Cathryn</w:t>
            </w:r>
            <w:proofErr w:type="spellEnd"/>
            <w:r w:rsidRPr="000905CF">
              <w:rPr>
                <w:rFonts w:ascii="Arial" w:hAnsi="Arial" w:cs="Arial"/>
                <w:sz w:val="24"/>
                <w:szCs w:val="24"/>
              </w:rPr>
              <w:t xml:space="preserve"> N. </w:t>
            </w:r>
            <w:proofErr w:type="spellStart"/>
            <w:r w:rsidRPr="000905CF">
              <w:rPr>
                <w:rFonts w:ascii="Arial" w:hAnsi="Arial" w:cs="Arial"/>
                <w:sz w:val="24"/>
                <w:szCs w:val="24"/>
              </w:rPr>
              <w:t>Loucas</w:t>
            </w:r>
            <w:proofErr w:type="spellEnd"/>
          </w:p>
          <w:p w:rsidR="000905CF" w:rsidRPr="000905CF" w:rsidRDefault="000905CF" w:rsidP="000905CF">
            <w:pPr>
              <w:jc w:val="both"/>
              <w:rPr>
                <w:rFonts w:ascii="Arial" w:hAnsi="Arial" w:cs="Arial"/>
                <w:sz w:val="24"/>
                <w:szCs w:val="24"/>
              </w:rPr>
            </w:pPr>
            <w:r w:rsidRPr="000905CF">
              <w:rPr>
                <w:rFonts w:ascii="Arial" w:hAnsi="Arial" w:cs="Arial"/>
                <w:sz w:val="24"/>
                <w:szCs w:val="24"/>
              </w:rPr>
              <w:t>Ohio Partners for Affordable Energy</w:t>
            </w:r>
          </w:p>
          <w:p w:rsidR="000905CF" w:rsidRPr="000905CF" w:rsidRDefault="000905CF" w:rsidP="000905CF">
            <w:pPr>
              <w:jc w:val="both"/>
              <w:rPr>
                <w:rFonts w:ascii="Arial" w:hAnsi="Arial" w:cs="Arial"/>
                <w:sz w:val="24"/>
                <w:szCs w:val="24"/>
              </w:rPr>
            </w:pPr>
            <w:r w:rsidRPr="000905CF">
              <w:rPr>
                <w:rFonts w:ascii="Arial" w:hAnsi="Arial" w:cs="Arial"/>
                <w:sz w:val="24"/>
                <w:szCs w:val="24"/>
              </w:rPr>
              <w:t>231 West Lima Street</w:t>
            </w:r>
          </w:p>
          <w:p w:rsidR="000905CF" w:rsidRPr="000905CF" w:rsidRDefault="000905CF" w:rsidP="000905CF">
            <w:pPr>
              <w:jc w:val="both"/>
              <w:rPr>
                <w:rFonts w:ascii="Arial" w:hAnsi="Arial" w:cs="Arial"/>
                <w:sz w:val="24"/>
                <w:szCs w:val="24"/>
              </w:rPr>
            </w:pPr>
            <w:r w:rsidRPr="000905CF">
              <w:rPr>
                <w:rFonts w:ascii="Arial" w:hAnsi="Arial" w:cs="Arial"/>
                <w:sz w:val="24"/>
                <w:szCs w:val="24"/>
              </w:rPr>
              <w:t>Findlay, Ohio 45839-1793</w:t>
            </w:r>
          </w:p>
          <w:p w:rsidR="000905CF" w:rsidRPr="000905CF" w:rsidRDefault="00913FD9" w:rsidP="000905CF">
            <w:pPr>
              <w:jc w:val="both"/>
              <w:rPr>
                <w:rFonts w:ascii="Arial" w:hAnsi="Arial" w:cs="Arial"/>
                <w:sz w:val="24"/>
                <w:szCs w:val="24"/>
                <w:u w:val="single"/>
              </w:rPr>
            </w:pPr>
            <w:hyperlink r:id="rId33" w:history="1">
              <w:r w:rsidR="000905CF" w:rsidRPr="000905CF">
                <w:rPr>
                  <w:rFonts w:ascii="Arial" w:hAnsi="Arial" w:cs="Arial"/>
                  <w:color w:val="0000FF"/>
                  <w:sz w:val="24"/>
                  <w:szCs w:val="24"/>
                  <w:u w:val="single"/>
                </w:rPr>
                <w:t>cmooney@ohiopartners.org</w:t>
              </w:r>
            </w:hyperlink>
          </w:p>
          <w:p w:rsidR="000905CF" w:rsidRPr="000905CF" w:rsidRDefault="00913FD9" w:rsidP="000905CF">
            <w:pPr>
              <w:jc w:val="both"/>
              <w:rPr>
                <w:rFonts w:ascii="Arial" w:hAnsi="Arial" w:cs="Arial"/>
                <w:sz w:val="24"/>
                <w:szCs w:val="24"/>
                <w:u w:val="single"/>
              </w:rPr>
            </w:pPr>
            <w:hyperlink r:id="rId34" w:history="1">
              <w:r w:rsidR="000905CF" w:rsidRPr="000905CF">
                <w:rPr>
                  <w:rFonts w:ascii="Arial" w:hAnsi="Arial" w:cs="Arial"/>
                  <w:color w:val="0000FF"/>
                  <w:sz w:val="24"/>
                  <w:szCs w:val="24"/>
                  <w:u w:val="single"/>
                </w:rPr>
                <w:t>cloucas@ohiopartners.org</w:t>
              </w:r>
            </w:hyperlink>
          </w:p>
          <w:p w:rsidR="000905CF" w:rsidRPr="000905CF" w:rsidRDefault="000905CF" w:rsidP="000905CF">
            <w:pPr>
              <w:jc w:val="both"/>
              <w:rPr>
                <w:rFonts w:ascii="Arial" w:hAnsi="Arial" w:cs="Arial"/>
                <w:sz w:val="24"/>
                <w:szCs w:val="24"/>
              </w:rPr>
            </w:pPr>
          </w:p>
          <w:p w:rsidR="000905CF" w:rsidRPr="000905CF" w:rsidRDefault="000905CF" w:rsidP="000905CF">
            <w:pPr>
              <w:jc w:val="both"/>
              <w:rPr>
                <w:rFonts w:ascii="Arial" w:hAnsi="Arial" w:cs="Arial"/>
                <w:sz w:val="24"/>
                <w:szCs w:val="24"/>
              </w:rPr>
            </w:pPr>
            <w:r w:rsidRPr="000905CF">
              <w:rPr>
                <w:rFonts w:ascii="Arial" w:hAnsi="Arial" w:cs="Arial"/>
                <w:b/>
                <w:sz w:val="24"/>
                <w:szCs w:val="24"/>
              </w:rPr>
              <w:t>Counsel for Ohio Partners for Affordable Energy</w:t>
            </w:r>
          </w:p>
          <w:p w:rsidR="000905CF" w:rsidRPr="000905CF" w:rsidRDefault="000905CF" w:rsidP="000905CF">
            <w:pPr>
              <w:jc w:val="both"/>
              <w:rPr>
                <w:rFonts w:ascii="Arial" w:hAnsi="Arial" w:cs="Arial"/>
                <w:sz w:val="24"/>
                <w:szCs w:val="24"/>
              </w:rPr>
            </w:pPr>
          </w:p>
        </w:tc>
      </w:tr>
      <w:tr w:rsidR="000905CF" w:rsidRPr="000905CF" w:rsidTr="000905CF">
        <w:trPr>
          <w:cantSplit/>
        </w:trPr>
        <w:tc>
          <w:tcPr>
            <w:tcW w:w="4248"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Samuel C. Randazzo</w:t>
            </w:r>
          </w:p>
          <w:p w:rsidR="000905CF" w:rsidRPr="000905CF" w:rsidRDefault="000905CF" w:rsidP="000905CF">
            <w:pPr>
              <w:jc w:val="both"/>
              <w:rPr>
                <w:rFonts w:ascii="Arial" w:hAnsi="Arial" w:cs="Arial"/>
                <w:sz w:val="24"/>
                <w:szCs w:val="24"/>
              </w:rPr>
            </w:pPr>
            <w:r w:rsidRPr="000905CF">
              <w:rPr>
                <w:rFonts w:ascii="Arial" w:hAnsi="Arial" w:cs="Arial"/>
                <w:sz w:val="24"/>
                <w:szCs w:val="24"/>
              </w:rPr>
              <w:t>Frank P. Darr</w:t>
            </w:r>
          </w:p>
          <w:p w:rsidR="000905CF" w:rsidRPr="000905CF" w:rsidRDefault="000905CF" w:rsidP="000905CF">
            <w:pPr>
              <w:jc w:val="both"/>
              <w:rPr>
                <w:rFonts w:ascii="Arial" w:hAnsi="Arial" w:cs="Arial"/>
                <w:sz w:val="24"/>
                <w:szCs w:val="24"/>
              </w:rPr>
            </w:pPr>
            <w:r w:rsidRPr="000905CF">
              <w:rPr>
                <w:rFonts w:ascii="Arial" w:hAnsi="Arial" w:cs="Arial"/>
                <w:sz w:val="24"/>
                <w:szCs w:val="24"/>
              </w:rPr>
              <w:t>Matthew R. Pritchard</w:t>
            </w:r>
          </w:p>
          <w:p w:rsidR="000905CF" w:rsidRPr="000905CF" w:rsidRDefault="000905CF" w:rsidP="000905CF">
            <w:pPr>
              <w:jc w:val="both"/>
              <w:rPr>
                <w:rFonts w:ascii="Arial" w:hAnsi="Arial" w:cs="Arial"/>
                <w:sz w:val="24"/>
                <w:szCs w:val="24"/>
              </w:rPr>
            </w:pPr>
            <w:proofErr w:type="spellStart"/>
            <w:r w:rsidRPr="000905CF">
              <w:rPr>
                <w:rFonts w:ascii="Arial" w:hAnsi="Arial" w:cs="Arial"/>
                <w:sz w:val="24"/>
                <w:szCs w:val="24"/>
              </w:rPr>
              <w:t>McNees</w:t>
            </w:r>
            <w:proofErr w:type="spellEnd"/>
            <w:r w:rsidRPr="000905CF">
              <w:rPr>
                <w:rFonts w:ascii="Arial" w:hAnsi="Arial" w:cs="Arial"/>
                <w:sz w:val="24"/>
                <w:szCs w:val="24"/>
              </w:rPr>
              <w:t xml:space="preserve"> Wallace &amp; </w:t>
            </w:r>
            <w:proofErr w:type="spellStart"/>
            <w:r w:rsidRPr="000905CF">
              <w:rPr>
                <w:rFonts w:ascii="Arial" w:hAnsi="Arial" w:cs="Arial"/>
                <w:sz w:val="24"/>
                <w:szCs w:val="24"/>
              </w:rPr>
              <w:t>Nurick</w:t>
            </w:r>
            <w:proofErr w:type="spellEnd"/>
            <w:r w:rsidRPr="000905CF">
              <w:rPr>
                <w:rFonts w:ascii="Arial" w:hAnsi="Arial" w:cs="Arial"/>
                <w:sz w:val="24"/>
                <w:szCs w:val="24"/>
              </w:rPr>
              <w:t xml:space="preserve"> LLC</w:t>
            </w:r>
          </w:p>
          <w:p w:rsidR="000905CF" w:rsidRPr="000905CF" w:rsidRDefault="000905CF" w:rsidP="000905CF">
            <w:pPr>
              <w:jc w:val="both"/>
              <w:rPr>
                <w:rFonts w:ascii="Arial" w:hAnsi="Arial" w:cs="Arial"/>
                <w:sz w:val="24"/>
                <w:szCs w:val="24"/>
              </w:rPr>
            </w:pPr>
            <w:r w:rsidRPr="000905CF">
              <w:rPr>
                <w:rFonts w:ascii="Arial" w:hAnsi="Arial" w:cs="Arial"/>
                <w:sz w:val="24"/>
                <w:szCs w:val="24"/>
              </w:rPr>
              <w:t>21 East State Street, 17</w:t>
            </w:r>
            <w:r w:rsidRPr="000905CF">
              <w:rPr>
                <w:rFonts w:ascii="Arial" w:hAnsi="Arial" w:cs="Arial"/>
                <w:sz w:val="24"/>
                <w:szCs w:val="24"/>
                <w:vertAlign w:val="superscript"/>
              </w:rPr>
              <w:t>th</w:t>
            </w:r>
            <w:r w:rsidRPr="000905CF">
              <w:rPr>
                <w:rFonts w:ascii="Arial" w:hAnsi="Arial" w:cs="Arial"/>
                <w:sz w:val="24"/>
                <w:szCs w:val="24"/>
              </w:rPr>
              <w:t xml:space="preserve"> Floor</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jc w:val="both"/>
              <w:rPr>
                <w:rFonts w:ascii="Arial" w:hAnsi="Arial" w:cs="Arial"/>
                <w:sz w:val="24"/>
                <w:szCs w:val="24"/>
              </w:rPr>
            </w:pPr>
            <w:hyperlink r:id="rId35" w:history="1">
              <w:r w:rsidR="000905CF" w:rsidRPr="000905CF">
                <w:rPr>
                  <w:rFonts w:ascii="Arial" w:hAnsi="Arial" w:cs="Arial"/>
                  <w:color w:val="0000FF"/>
                  <w:sz w:val="24"/>
                  <w:szCs w:val="24"/>
                  <w:u w:val="single"/>
                </w:rPr>
                <w:t>sam@mwncmh.com</w:t>
              </w:r>
            </w:hyperlink>
          </w:p>
          <w:p w:rsidR="000905CF" w:rsidRPr="000905CF" w:rsidRDefault="00913FD9" w:rsidP="000905CF">
            <w:pPr>
              <w:jc w:val="both"/>
              <w:rPr>
                <w:rFonts w:ascii="Arial" w:hAnsi="Arial" w:cs="Arial"/>
                <w:sz w:val="24"/>
                <w:szCs w:val="24"/>
              </w:rPr>
            </w:pPr>
            <w:hyperlink r:id="rId36" w:history="1">
              <w:r w:rsidR="000905CF" w:rsidRPr="000905CF">
                <w:rPr>
                  <w:rFonts w:ascii="Arial" w:hAnsi="Arial" w:cs="Arial"/>
                  <w:color w:val="0000FF"/>
                  <w:sz w:val="24"/>
                  <w:szCs w:val="24"/>
                  <w:u w:val="single"/>
                </w:rPr>
                <w:t>fdarr@mwncmh.com</w:t>
              </w:r>
            </w:hyperlink>
          </w:p>
          <w:p w:rsidR="000905CF" w:rsidRPr="000905CF" w:rsidRDefault="00913FD9" w:rsidP="000905CF">
            <w:pPr>
              <w:jc w:val="both"/>
              <w:rPr>
                <w:rFonts w:ascii="Arial" w:hAnsi="Arial" w:cs="Arial"/>
                <w:sz w:val="24"/>
                <w:szCs w:val="24"/>
              </w:rPr>
            </w:pPr>
            <w:hyperlink r:id="rId37" w:history="1">
              <w:r w:rsidR="000905CF" w:rsidRPr="000905CF">
                <w:rPr>
                  <w:rFonts w:ascii="Arial" w:hAnsi="Arial" w:cs="Arial"/>
                  <w:color w:val="0000FF"/>
                  <w:sz w:val="24"/>
                  <w:szCs w:val="24"/>
                  <w:u w:val="single"/>
                </w:rPr>
                <w:t>mpritchard@mwncmh.com</w:t>
              </w:r>
            </w:hyperlink>
          </w:p>
          <w:p w:rsidR="000905CF" w:rsidRPr="000905CF" w:rsidRDefault="000905CF" w:rsidP="000905CF">
            <w:pPr>
              <w:jc w:val="both"/>
              <w:rPr>
                <w:rFonts w:ascii="Arial" w:hAnsi="Arial" w:cs="Arial"/>
                <w:b/>
                <w:sz w:val="24"/>
                <w:szCs w:val="24"/>
              </w:rPr>
            </w:pPr>
          </w:p>
          <w:p w:rsidR="000905CF" w:rsidRPr="000905CF" w:rsidRDefault="000905CF" w:rsidP="000905CF">
            <w:pPr>
              <w:jc w:val="both"/>
              <w:rPr>
                <w:rFonts w:ascii="Arial" w:hAnsi="Arial" w:cs="Arial"/>
                <w:b/>
                <w:sz w:val="24"/>
                <w:szCs w:val="24"/>
              </w:rPr>
            </w:pPr>
            <w:r w:rsidRPr="000905CF">
              <w:rPr>
                <w:rFonts w:ascii="Arial" w:hAnsi="Arial" w:cs="Arial"/>
                <w:b/>
                <w:sz w:val="24"/>
                <w:szCs w:val="24"/>
              </w:rPr>
              <w:t>Counsel for Industrial Energy Users-Ohio</w:t>
            </w:r>
          </w:p>
          <w:p w:rsidR="000905CF" w:rsidRPr="000905CF" w:rsidRDefault="000905CF" w:rsidP="000905CF">
            <w:pPr>
              <w:jc w:val="both"/>
              <w:rPr>
                <w:rFonts w:ascii="Arial" w:hAnsi="Arial" w:cs="Arial"/>
                <w:b/>
                <w:sz w:val="24"/>
                <w:szCs w:val="24"/>
              </w:rPr>
            </w:pP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rPr>
                <w:rFonts w:ascii="Arial" w:hAnsi="Arial" w:cs="Arial"/>
                <w:sz w:val="24"/>
                <w:szCs w:val="24"/>
              </w:rPr>
            </w:pPr>
            <w:r w:rsidRPr="000905CF">
              <w:rPr>
                <w:rFonts w:ascii="Arial" w:hAnsi="Arial" w:cs="Arial"/>
                <w:sz w:val="24"/>
                <w:szCs w:val="24"/>
              </w:rPr>
              <w:t>Steven T. Nourse</w:t>
            </w:r>
          </w:p>
          <w:p w:rsidR="000905CF" w:rsidRPr="000905CF" w:rsidRDefault="000905CF" w:rsidP="000905CF">
            <w:pPr>
              <w:rPr>
                <w:rFonts w:ascii="Arial" w:hAnsi="Arial" w:cs="Arial"/>
                <w:sz w:val="24"/>
                <w:szCs w:val="24"/>
              </w:rPr>
            </w:pPr>
            <w:r w:rsidRPr="000905CF">
              <w:rPr>
                <w:rFonts w:ascii="Arial" w:hAnsi="Arial" w:cs="Arial"/>
                <w:sz w:val="24"/>
                <w:szCs w:val="24"/>
              </w:rPr>
              <w:t>Matthew J. Satterwhite</w:t>
            </w:r>
          </w:p>
          <w:p w:rsidR="000905CF" w:rsidRPr="000905CF" w:rsidRDefault="000905CF" w:rsidP="000905CF">
            <w:pPr>
              <w:rPr>
                <w:rFonts w:ascii="Arial" w:hAnsi="Arial" w:cs="Arial"/>
                <w:sz w:val="24"/>
                <w:szCs w:val="24"/>
              </w:rPr>
            </w:pPr>
            <w:r w:rsidRPr="000905CF">
              <w:rPr>
                <w:rFonts w:ascii="Arial" w:hAnsi="Arial" w:cs="Arial"/>
                <w:sz w:val="24"/>
                <w:szCs w:val="24"/>
              </w:rPr>
              <w:t>Yazen Alami</w:t>
            </w:r>
          </w:p>
          <w:p w:rsidR="000905CF" w:rsidRPr="000905CF" w:rsidRDefault="000905CF" w:rsidP="000905CF">
            <w:pPr>
              <w:rPr>
                <w:rFonts w:ascii="Arial" w:hAnsi="Arial" w:cs="Arial"/>
                <w:sz w:val="24"/>
                <w:szCs w:val="24"/>
              </w:rPr>
            </w:pPr>
            <w:r w:rsidRPr="000905CF">
              <w:rPr>
                <w:rFonts w:ascii="Arial" w:hAnsi="Arial" w:cs="Arial"/>
                <w:sz w:val="24"/>
                <w:szCs w:val="24"/>
              </w:rPr>
              <w:t>American Electric Power Service Corporation</w:t>
            </w:r>
          </w:p>
          <w:p w:rsidR="000905CF" w:rsidRPr="000905CF" w:rsidRDefault="000905CF" w:rsidP="000905CF">
            <w:pPr>
              <w:rPr>
                <w:rFonts w:ascii="Arial" w:hAnsi="Arial" w:cs="Arial"/>
                <w:sz w:val="24"/>
                <w:szCs w:val="24"/>
              </w:rPr>
            </w:pPr>
            <w:r w:rsidRPr="000905CF">
              <w:rPr>
                <w:rFonts w:ascii="Arial" w:hAnsi="Arial" w:cs="Arial"/>
                <w:sz w:val="24"/>
                <w:szCs w:val="24"/>
              </w:rPr>
              <w:t>1 Riverside Plaza 29</w:t>
            </w:r>
            <w:r w:rsidRPr="000905CF">
              <w:rPr>
                <w:rFonts w:ascii="Arial" w:hAnsi="Arial" w:cs="Arial"/>
                <w:sz w:val="24"/>
                <w:szCs w:val="24"/>
                <w:vertAlign w:val="superscript"/>
              </w:rPr>
              <w:t>th</w:t>
            </w:r>
            <w:r w:rsidRPr="000905CF">
              <w:rPr>
                <w:rFonts w:ascii="Arial" w:hAnsi="Arial" w:cs="Arial"/>
                <w:sz w:val="24"/>
                <w:szCs w:val="24"/>
              </w:rPr>
              <w:t xml:space="preserve"> Floor</w:t>
            </w:r>
          </w:p>
          <w:p w:rsidR="000905CF" w:rsidRPr="000905CF" w:rsidRDefault="000905CF" w:rsidP="000905CF">
            <w:pPr>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rPr>
                <w:rFonts w:ascii="Arial" w:hAnsi="Arial" w:cs="Arial"/>
                <w:sz w:val="24"/>
                <w:szCs w:val="24"/>
              </w:rPr>
            </w:pPr>
            <w:hyperlink r:id="rId38" w:history="1">
              <w:r w:rsidR="000905CF" w:rsidRPr="000905CF">
                <w:rPr>
                  <w:rFonts w:ascii="Arial" w:hAnsi="Arial" w:cs="Arial"/>
                  <w:color w:val="0000FF"/>
                  <w:sz w:val="24"/>
                  <w:szCs w:val="24"/>
                  <w:u w:val="single"/>
                </w:rPr>
                <w:t>stnourse@aep.com</w:t>
              </w:r>
            </w:hyperlink>
          </w:p>
          <w:p w:rsidR="000905CF" w:rsidRPr="000905CF" w:rsidRDefault="00913FD9" w:rsidP="000905CF">
            <w:pPr>
              <w:rPr>
                <w:rFonts w:ascii="Arial" w:hAnsi="Arial" w:cs="Arial"/>
                <w:sz w:val="24"/>
                <w:szCs w:val="24"/>
              </w:rPr>
            </w:pPr>
            <w:hyperlink r:id="rId39" w:history="1">
              <w:r w:rsidR="000905CF" w:rsidRPr="000905CF">
                <w:rPr>
                  <w:rFonts w:ascii="Arial" w:hAnsi="Arial" w:cs="Arial"/>
                  <w:color w:val="0000FF"/>
                  <w:sz w:val="24"/>
                  <w:szCs w:val="24"/>
                  <w:u w:val="single"/>
                </w:rPr>
                <w:t>mjsatterwhite@aep.com</w:t>
              </w:r>
            </w:hyperlink>
          </w:p>
          <w:p w:rsidR="000905CF" w:rsidRPr="000905CF" w:rsidRDefault="00913FD9" w:rsidP="000905CF">
            <w:pPr>
              <w:rPr>
                <w:rFonts w:ascii="Arial" w:hAnsi="Arial" w:cs="Arial"/>
                <w:sz w:val="24"/>
                <w:szCs w:val="24"/>
              </w:rPr>
            </w:pPr>
            <w:hyperlink r:id="rId40" w:history="1">
              <w:r w:rsidR="000905CF" w:rsidRPr="000905CF">
                <w:rPr>
                  <w:rFonts w:ascii="Arial" w:hAnsi="Arial" w:cs="Arial"/>
                  <w:color w:val="0000FF"/>
                  <w:sz w:val="24"/>
                  <w:szCs w:val="24"/>
                  <w:u w:val="single"/>
                </w:rPr>
                <w:t>yalami@aep.com</w:t>
              </w:r>
            </w:hyperlink>
          </w:p>
          <w:p w:rsidR="000905CF" w:rsidRPr="000905CF" w:rsidRDefault="000905CF" w:rsidP="000905CF">
            <w:pPr>
              <w:jc w:val="both"/>
              <w:rPr>
                <w:rFonts w:ascii="Arial" w:hAnsi="Arial" w:cs="Arial"/>
                <w:b/>
                <w:sz w:val="24"/>
                <w:szCs w:val="24"/>
              </w:rPr>
            </w:pPr>
          </w:p>
          <w:p w:rsidR="000905CF" w:rsidRPr="000905CF" w:rsidRDefault="000905CF" w:rsidP="000905CF">
            <w:pPr>
              <w:jc w:val="both"/>
              <w:rPr>
                <w:rFonts w:ascii="Arial" w:hAnsi="Arial" w:cs="Arial"/>
                <w:b/>
                <w:vanish/>
                <w:sz w:val="24"/>
                <w:szCs w:val="24"/>
              </w:rPr>
            </w:pPr>
            <w:r w:rsidRPr="000905CF">
              <w:rPr>
                <w:rFonts w:ascii="Arial" w:hAnsi="Arial" w:cs="Arial"/>
                <w:b/>
                <w:sz w:val="24"/>
                <w:szCs w:val="24"/>
              </w:rPr>
              <w:t>Counsel for Ohio Power Company</w:t>
            </w:r>
          </w:p>
        </w:tc>
      </w:tr>
      <w:tr w:rsidR="000905CF" w:rsidRPr="000905CF" w:rsidTr="000905CF">
        <w:trPr>
          <w:cantSplit/>
        </w:trPr>
        <w:tc>
          <w:tcPr>
            <w:tcW w:w="4248"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Trent Dougherty</w:t>
            </w:r>
          </w:p>
          <w:p w:rsidR="000905CF" w:rsidRPr="000905CF" w:rsidRDefault="000905CF" w:rsidP="000905CF">
            <w:pPr>
              <w:jc w:val="both"/>
              <w:rPr>
                <w:rFonts w:ascii="Arial" w:hAnsi="Arial" w:cs="Arial"/>
                <w:sz w:val="24"/>
                <w:szCs w:val="24"/>
              </w:rPr>
            </w:pPr>
            <w:r w:rsidRPr="000905CF">
              <w:rPr>
                <w:rFonts w:ascii="Arial" w:hAnsi="Arial" w:cs="Arial"/>
                <w:sz w:val="24"/>
                <w:szCs w:val="24"/>
              </w:rPr>
              <w:t>1207 Grandview Avenue, Suite 201</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43212-3449</w:t>
            </w:r>
          </w:p>
          <w:p w:rsidR="000905CF" w:rsidRPr="000905CF" w:rsidRDefault="00913FD9" w:rsidP="000905CF">
            <w:pPr>
              <w:jc w:val="both"/>
              <w:rPr>
                <w:rFonts w:ascii="Arial" w:hAnsi="Arial" w:cs="Arial"/>
                <w:sz w:val="24"/>
                <w:szCs w:val="24"/>
              </w:rPr>
            </w:pPr>
            <w:hyperlink r:id="rId41" w:history="1">
              <w:r w:rsidR="000905CF" w:rsidRPr="000905CF">
                <w:rPr>
                  <w:rFonts w:ascii="Arial" w:hAnsi="Arial" w:cs="Arial"/>
                  <w:color w:val="0000FF"/>
                  <w:sz w:val="24"/>
                  <w:szCs w:val="24"/>
                  <w:u w:val="single"/>
                </w:rPr>
                <w:t>tdougherty@theOEC.org</w:t>
              </w:r>
            </w:hyperlink>
          </w:p>
          <w:p w:rsidR="000905CF" w:rsidRPr="000905CF" w:rsidRDefault="000905CF" w:rsidP="000905CF">
            <w:pPr>
              <w:jc w:val="both"/>
              <w:rPr>
                <w:rFonts w:ascii="Arial" w:hAnsi="Arial" w:cs="Arial"/>
                <w:sz w:val="24"/>
                <w:szCs w:val="24"/>
              </w:rPr>
            </w:pPr>
          </w:p>
          <w:p w:rsidR="000905CF" w:rsidRPr="000905CF" w:rsidRDefault="000905CF" w:rsidP="000905CF">
            <w:pPr>
              <w:rPr>
                <w:rFonts w:ascii="Arial" w:hAnsi="Arial" w:cs="Arial"/>
                <w:b/>
                <w:sz w:val="24"/>
                <w:szCs w:val="24"/>
              </w:rPr>
            </w:pPr>
            <w:r w:rsidRPr="000905CF">
              <w:rPr>
                <w:rFonts w:ascii="Arial" w:hAnsi="Arial" w:cs="Arial"/>
                <w:b/>
                <w:sz w:val="24"/>
                <w:szCs w:val="24"/>
              </w:rPr>
              <w:t>Counsel for the Ohio Environmental Council</w:t>
            </w:r>
          </w:p>
          <w:p w:rsidR="000905CF" w:rsidRPr="000905CF" w:rsidRDefault="000905CF" w:rsidP="000905CF">
            <w:pPr>
              <w:rPr>
                <w:rFonts w:ascii="Arial" w:hAnsi="Arial" w:cs="Arial"/>
                <w:b/>
                <w:sz w:val="24"/>
                <w:szCs w:val="24"/>
              </w:rPr>
            </w:pP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Christopher J. Allwein</w:t>
            </w:r>
          </w:p>
          <w:p w:rsidR="000905CF" w:rsidRPr="000905CF" w:rsidRDefault="000905CF" w:rsidP="000905CF">
            <w:pPr>
              <w:jc w:val="both"/>
              <w:rPr>
                <w:rFonts w:ascii="Arial" w:hAnsi="Arial" w:cs="Arial"/>
                <w:sz w:val="24"/>
                <w:szCs w:val="24"/>
              </w:rPr>
            </w:pPr>
            <w:r w:rsidRPr="000905CF">
              <w:rPr>
                <w:rFonts w:ascii="Arial" w:hAnsi="Arial" w:cs="Arial"/>
                <w:sz w:val="24"/>
                <w:szCs w:val="24"/>
              </w:rPr>
              <w:t>Todd M. Williams</w:t>
            </w:r>
          </w:p>
          <w:p w:rsidR="000905CF" w:rsidRPr="000905CF" w:rsidRDefault="000905CF" w:rsidP="000905CF">
            <w:pPr>
              <w:jc w:val="both"/>
              <w:rPr>
                <w:rFonts w:ascii="Arial" w:hAnsi="Arial" w:cs="Arial"/>
                <w:sz w:val="24"/>
                <w:szCs w:val="24"/>
              </w:rPr>
            </w:pPr>
            <w:r w:rsidRPr="000905CF">
              <w:rPr>
                <w:rFonts w:ascii="Arial" w:hAnsi="Arial" w:cs="Arial"/>
                <w:sz w:val="24"/>
                <w:szCs w:val="24"/>
              </w:rPr>
              <w:t>Williams Allwein and Moser, LLC</w:t>
            </w:r>
          </w:p>
          <w:p w:rsidR="000905CF" w:rsidRPr="000905CF" w:rsidRDefault="000905CF" w:rsidP="000905CF">
            <w:pPr>
              <w:jc w:val="both"/>
              <w:rPr>
                <w:rFonts w:ascii="Arial" w:hAnsi="Arial" w:cs="Arial"/>
                <w:sz w:val="24"/>
                <w:szCs w:val="24"/>
              </w:rPr>
            </w:pPr>
            <w:r w:rsidRPr="000905CF">
              <w:rPr>
                <w:rFonts w:ascii="Arial" w:hAnsi="Arial" w:cs="Arial"/>
                <w:sz w:val="24"/>
                <w:szCs w:val="24"/>
              </w:rPr>
              <w:t>1500 West Third Avenue, Suite 330</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43212</w:t>
            </w:r>
          </w:p>
          <w:p w:rsidR="000905CF" w:rsidRPr="000905CF" w:rsidRDefault="00913FD9" w:rsidP="000905CF">
            <w:pPr>
              <w:jc w:val="both"/>
              <w:rPr>
                <w:rFonts w:ascii="Arial" w:hAnsi="Arial" w:cs="Arial"/>
                <w:sz w:val="24"/>
                <w:szCs w:val="24"/>
              </w:rPr>
            </w:pPr>
            <w:hyperlink r:id="rId42" w:history="1">
              <w:r w:rsidR="000905CF" w:rsidRPr="000905CF">
                <w:rPr>
                  <w:rFonts w:ascii="Arial" w:hAnsi="Arial" w:cs="Arial"/>
                  <w:color w:val="0000FF"/>
                  <w:sz w:val="24"/>
                  <w:szCs w:val="24"/>
                  <w:u w:val="single"/>
                </w:rPr>
                <w:t>callwein@wamenergylaw.com</w:t>
              </w:r>
            </w:hyperlink>
          </w:p>
          <w:p w:rsidR="000905CF" w:rsidRPr="000905CF" w:rsidRDefault="00913FD9" w:rsidP="000905CF">
            <w:pPr>
              <w:jc w:val="both"/>
              <w:rPr>
                <w:rFonts w:ascii="Arial" w:hAnsi="Arial" w:cs="Arial"/>
                <w:sz w:val="24"/>
                <w:szCs w:val="24"/>
              </w:rPr>
            </w:pPr>
            <w:hyperlink r:id="rId43" w:history="1">
              <w:r w:rsidR="000905CF" w:rsidRPr="000905CF">
                <w:rPr>
                  <w:rFonts w:ascii="Arial" w:hAnsi="Arial" w:cs="Arial"/>
                  <w:color w:val="0000FF"/>
                  <w:sz w:val="24"/>
                  <w:szCs w:val="24"/>
                  <w:u w:val="single"/>
                </w:rPr>
                <w:t>toddm@wamenergylaw.com</w:t>
              </w:r>
            </w:hyperlink>
          </w:p>
          <w:p w:rsidR="000905CF" w:rsidRPr="000905CF" w:rsidRDefault="000905CF" w:rsidP="000905CF">
            <w:pPr>
              <w:jc w:val="both"/>
              <w:rPr>
                <w:rFonts w:ascii="Arial" w:hAnsi="Arial" w:cs="Arial"/>
                <w:sz w:val="24"/>
                <w:szCs w:val="24"/>
              </w:rPr>
            </w:pPr>
          </w:p>
          <w:p w:rsidR="000905CF" w:rsidRPr="000905CF" w:rsidRDefault="000905CF" w:rsidP="000905CF">
            <w:pPr>
              <w:rPr>
                <w:rFonts w:ascii="Arial" w:hAnsi="Arial" w:cs="Arial"/>
                <w:b/>
                <w:sz w:val="24"/>
                <w:szCs w:val="24"/>
              </w:rPr>
            </w:pPr>
            <w:r w:rsidRPr="000905CF">
              <w:rPr>
                <w:rFonts w:ascii="Arial" w:hAnsi="Arial" w:cs="Arial"/>
                <w:b/>
                <w:sz w:val="24"/>
                <w:szCs w:val="24"/>
              </w:rPr>
              <w:t>Counsel for the Sierra Club</w:t>
            </w:r>
          </w:p>
          <w:p w:rsidR="000905CF" w:rsidRPr="000905CF" w:rsidRDefault="000905CF" w:rsidP="000905CF">
            <w:pPr>
              <w:rPr>
                <w:rFonts w:ascii="Arial" w:hAnsi="Arial" w:cs="Arial"/>
                <w:b/>
                <w:sz w:val="24"/>
                <w:szCs w:val="24"/>
              </w:rPr>
            </w:pPr>
          </w:p>
        </w:tc>
      </w:tr>
      <w:tr w:rsidR="000905CF" w:rsidRPr="000905CF" w:rsidTr="000905CF">
        <w:trPr>
          <w:cantSplit/>
        </w:trPr>
        <w:tc>
          <w:tcPr>
            <w:tcW w:w="4248"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lastRenderedPageBreak/>
              <w:t>Andrew J. Sonderman</w:t>
            </w:r>
          </w:p>
          <w:p w:rsidR="000905CF" w:rsidRPr="000905CF" w:rsidRDefault="000905CF" w:rsidP="000905CF">
            <w:pPr>
              <w:jc w:val="both"/>
              <w:rPr>
                <w:rFonts w:ascii="Arial" w:hAnsi="Arial" w:cs="Arial"/>
                <w:sz w:val="24"/>
                <w:szCs w:val="24"/>
              </w:rPr>
            </w:pPr>
            <w:r w:rsidRPr="000905CF">
              <w:rPr>
                <w:rFonts w:ascii="Arial" w:hAnsi="Arial" w:cs="Arial"/>
                <w:sz w:val="24"/>
                <w:szCs w:val="24"/>
              </w:rPr>
              <w:t>Margeaux Kimbrough</w:t>
            </w:r>
          </w:p>
          <w:p w:rsidR="000905CF" w:rsidRPr="000905CF" w:rsidRDefault="000905CF" w:rsidP="000905CF">
            <w:pPr>
              <w:jc w:val="both"/>
              <w:rPr>
                <w:rFonts w:ascii="Arial" w:hAnsi="Arial" w:cs="Arial"/>
                <w:sz w:val="24"/>
                <w:szCs w:val="24"/>
              </w:rPr>
            </w:pPr>
            <w:proofErr w:type="spellStart"/>
            <w:r w:rsidRPr="000905CF">
              <w:rPr>
                <w:rFonts w:ascii="Arial" w:hAnsi="Arial" w:cs="Arial"/>
                <w:sz w:val="24"/>
                <w:szCs w:val="24"/>
              </w:rPr>
              <w:t>Kegler</w:t>
            </w:r>
            <w:proofErr w:type="spellEnd"/>
            <w:r w:rsidRPr="000905CF">
              <w:rPr>
                <w:rFonts w:ascii="Arial" w:hAnsi="Arial" w:cs="Arial"/>
                <w:sz w:val="24"/>
                <w:szCs w:val="24"/>
              </w:rPr>
              <w:t xml:space="preserve"> Brown Hill &amp; Ritter LPA</w:t>
            </w:r>
          </w:p>
          <w:p w:rsidR="000905CF" w:rsidRPr="000905CF" w:rsidRDefault="000905CF" w:rsidP="000905CF">
            <w:pPr>
              <w:jc w:val="both"/>
              <w:rPr>
                <w:rFonts w:ascii="Arial" w:hAnsi="Arial" w:cs="Arial"/>
                <w:sz w:val="24"/>
                <w:szCs w:val="24"/>
              </w:rPr>
            </w:pPr>
            <w:r w:rsidRPr="000905CF">
              <w:rPr>
                <w:rFonts w:ascii="Arial" w:hAnsi="Arial" w:cs="Arial"/>
                <w:sz w:val="24"/>
                <w:szCs w:val="24"/>
              </w:rPr>
              <w:t>Capitol Square, Suite 1800</w:t>
            </w:r>
          </w:p>
          <w:p w:rsidR="000905CF" w:rsidRPr="000905CF" w:rsidRDefault="000905CF" w:rsidP="000905CF">
            <w:pPr>
              <w:jc w:val="both"/>
              <w:rPr>
                <w:rFonts w:ascii="Arial" w:hAnsi="Arial" w:cs="Arial"/>
                <w:sz w:val="24"/>
                <w:szCs w:val="24"/>
              </w:rPr>
            </w:pPr>
            <w:r w:rsidRPr="000905CF">
              <w:rPr>
                <w:rFonts w:ascii="Arial" w:hAnsi="Arial" w:cs="Arial"/>
                <w:sz w:val="24"/>
                <w:szCs w:val="24"/>
              </w:rPr>
              <w:t>65 East State Street</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43215-4294</w:t>
            </w:r>
          </w:p>
          <w:p w:rsidR="000905CF" w:rsidRPr="000905CF" w:rsidRDefault="00913FD9" w:rsidP="000905CF">
            <w:pPr>
              <w:jc w:val="both"/>
              <w:rPr>
                <w:rFonts w:ascii="Arial" w:hAnsi="Arial" w:cs="Arial"/>
                <w:sz w:val="24"/>
                <w:szCs w:val="24"/>
              </w:rPr>
            </w:pPr>
            <w:hyperlink r:id="rId44" w:history="1">
              <w:r w:rsidR="000905CF" w:rsidRPr="000905CF">
                <w:rPr>
                  <w:rFonts w:ascii="Arial" w:hAnsi="Arial" w:cs="Arial"/>
                  <w:color w:val="0000FF"/>
                  <w:sz w:val="24"/>
                  <w:szCs w:val="24"/>
                  <w:u w:val="single"/>
                </w:rPr>
                <w:t>asonderman@keglerbrown.com</w:t>
              </w:r>
            </w:hyperlink>
          </w:p>
          <w:p w:rsidR="000905CF" w:rsidRPr="000905CF" w:rsidRDefault="00913FD9" w:rsidP="000905CF">
            <w:pPr>
              <w:jc w:val="both"/>
              <w:rPr>
                <w:rFonts w:ascii="Arial" w:hAnsi="Arial" w:cs="Arial"/>
                <w:sz w:val="24"/>
                <w:szCs w:val="24"/>
              </w:rPr>
            </w:pPr>
            <w:hyperlink r:id="rId45" w:history="1">
              <w:r w:rsidR="000905CF" w:rsidRPr="000905CF">
                <w:rPr>
                  <w:rFonts w:ascii="Arial" w:hAnsi="Arial" w:cs="Arial"/>
                  <w:color w:val="0000FF"/>
                  <w:sz w:val="24"/>
                  <w:szCs w:val="24"/>
                  <w:u w:val="single"/>
                </w:rPr>
                <w:t>mkimbrough@keglerbrown.com</w:t>
              </w:r>
            </w:hyperlink>
          </w:p>
          <w:p w:rsidR="000905CF" w:rsidRPr="000905CF" w:rsidRDefault="000905CF" w:rsidP="000905CF">
            <w:pPr>
              <w:jc w:val="both"/>
              <w:rPr>
                <w:rFonts w:ascii="Arial" w:hAnsi="Arial" w:cs="Arial"/>
                <w:sz w:val="24"/>
                <w:szCs w:val="24"/>
              </w:rPr>
            </w:pPr>
          </w:p>
          <w:p w:rsidR="000905CF" w:rsidRPr="000905CF" w:rsidRDefault="000905CF" w:rsidP="000905CF">
            <w:pPr>
              <w:rPr>
                <w:rFonts w:ascii="Arial" w:hAnsi="Arial" w:cs="Arial"/>
                <w:b/>
                <w:sz w:val="24"/>
                <w:szCs w:val="24"/>
              </w:rPr>
            </w:pPr>
            <w:r w:rsidRPr="000905CF">
              <w:rPr>
                <w:rFonts w:ascii="Arial" w:hAnsi="Arial" w:cs="Arial"/>
                <w:b/>
                <w:sz w:val="24"/>
                <w:szCs w:val="24"/>
              </w:rPr>
              <w:t>Counsel for People Working Cooperatively, Inc.</w:t>
            </w:r>
          </w:p>
          <w:p w:rsidR="000905CF" w:rsidRPr="000905CF" w:rsidRDefault="000905CF" w:rsidP="000905CF">
            <w:pPr>
              <w:rPr>
                <w:rFonts w:ascii="Arial" w:hAnsi="Arial" w:cs="Arial"/>
                <w:sz w:val="24"/>
                <w:szCs w:val="24"/>
              </w:rPr>
            </w:pP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Douglas E. Hart</w:t>
            </w:r>
          </w:p>
          <w:p w:rsidR="000905CF" w:rsidRPr="000905CF" w:rsidRDefault="000905CF" w:rsidP="000905CF">
            <w:pPr>
              <w:jc w:val="both"/>
              <w:rPr>
                <w:rFonts w:ascii="Arial" w:hAnsi="Arial" w:cs="Arial"/>
                <w:sz w:val="24"/>
                <w:szCs w:val="24"/>
              </w:rPr>
            </w:pPr>
            <w:r w:rsidRPr="000905CF">
              <w:rPr>
                <w:rFonts w:ascii="Arial" w:hAnsi="Arial" w:cs="Arial"/>
                <w:sz w:val="24"/>
                <w:szCs w:val="24"/>
              </w:rPr>
              <w:t>441 Vine Street</w:t>
            </w:r>
          </w:p>
          <w:p w:rsidR="000905CF" w:rsidRPr="000905CF" w:rsidRDefault="000905CF" w:rsidP="000905CF">
            <w:pPr>
              <w:jc w:val="both"/>
              <w:rPr>
                <w:rFonts w:ascii="Arial" w:hAnsi="Arial" w:cs="Arial"/>
                <w:sz w:val="24"/>
                <w:szCs w:val="24"/>
              </w:rPr>
            </w:pPr>
            <w:r w:rsidRPr="000905CF">
              <w:rPr>
                <w:rFonts w:ascii="Arial" w:hAnsi="Arial" w:cs="Arial"/>
                <w:sz w:val="24"/>
                <w:szCs w:val="24"/>
              </w:rPr>
              <w:t>Suite 4192</w:t>
            </w:r>
          </w:p>
          <w:p w:rsidR="000905CF" w:rsidRPr="000905CF" w:rsidRDefault="000905CF" w:rsidP="000905CF">
            <w:pPr>
              <w:jc w:val="both"/>
              <w:rPr>
                <w:rFonts w:ascii="Arial" w:hAnsi="Arial" w:cs="Arial"/>
                <w:sz w:val="24"/>
                <w:szCs w:val="24"/>
              </w:rPr>
            </w:pPr>
            <w:r w:rsidRPr="000905CF">
              <w:rPr>
                <w:rFonts w:ascii="Arial" w:hAnsi="Arial" w:cs="Arial"/>
                <w:sz w:val="24"/>
                <w:szCs w:val="24"/>
              </w:rPr>
              <w:t>Cincinnati, Ohio  45202</w:t>
            </w:r>
          </w:p>
          <w:p w:rsidR="000905CF" w:rsidRPr="000905CF" w:rsidRDefault="00913FD9" w:rsidP="000905CF">
            <w:pPr>
              <w:jc w:val="both"/>
              <w:rPr>
                <w:rFonts w:ascii="Arial" w:hAnsi="Arial" w:cs="Arial"/>
                <w:sz w:val="24"/>
                <w:szCs w:val="24"/>
              </w:rPr>
            </w:pPr>
            <w:hyperlink r:id="rId46" w:history="1">
              <w:r w:rsidR="000905CF" w:rsidRPr="000905CF">
                <w:rPr>
                  <w:rFonts w:ascii="Arial" w:hAnsi="Arial" w:cs="Arial"/>
                  <w:color w:val="0000FF"/>
                  <w:sz w:val="24"/>
                  <w:szCs w:val="24"/>
                  <w:u w:val="single"/>
                </w:rPr>
                <w:t>dhart@douglasehart.com</w:t>
              </w:r>
            </w:hyperlink>
          </w:p>
          <w:p w:rsidR="000905CF" w:rsidRPr="000905CF" w:rsidRDefault="000905CF" w:rsidP="000905CF">
            <w:pPr>
              <w:jc w:val="both"/>
              <w:rPr>
                <w:rFonts w:ascii="Arial" w:hAnsi="Arial" w:cs="Arial"/>
                <w:b/>
                <w:sz w:val="24"/>
                <w:szCs w:val="24"/>
              </w:rPr>
            </w:pPr>
          </w:p>
          <w:p w:rsidR="000905CF" w:rsidRPr="000905CF" w:rsidRDefault="000905CF" w:rsidP="000905CF">
            <w:pPr>
              <w:rPr>
                <w:rFonts w:ascii="Arial" w:hAnsi="Arial" w:cs="Arial"/>
                <w:b/>
                <w:sz w:val="24"/>
                <w:szCs w:val="24"/>
              </w:rPr>
            </w:pPr>
            <w:r w:rsidRPr="000905CF">
              <w:rPr>
                <w:rFonts w:ascii="Arial" w:hAnsi="Arial" w:cs="Arial"/>
                <w:b/>
                <w:sz w:val="24"/>
                <w:szCs w:val="24"/>
              </w:rPr>
              <w:t>Counsel for The Greater Cincinnati Health Council</w:t>
            </w:r>
          </w:p>
          <w:p w:rsidR="000905CF" w:rsidRPr="000905CF" w:rsidRDefault="000905CF" w:rsidP="000905CF">
            <w:pPr>
              <w:rPr>
                <w:rFonts w:ascii="Arial" w:hAnsi="Arial" w:cs="Arial"/>
                <w:b/>
                <w:sz w:val="24"/>
                <w:szCs w:val="24"/>
              </w:rPr>
            </w:pPr>
          </w:p>
        </w:tc>
      </w:tr>
      <w:tr w:rsidR="000905CF" w:rsidRPr="000905CF" w:rsidTr="000905CF">
        <w:trPr>
          <w:cantSplit/>
        </w:trPr>
        <w:tc>
          <w:tcPr>
            <w:tcW w:w="4248"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Rebecca L. Hussey</w:t>
            </w:r>
          </w:p>
          <w:p w:rsidR="000905CF" w:rsidRPr="000905CF" w:rsidRDefault="000905CF" w:rsidP="000905CF">
            <w:pPr>
              <w:jc w:val="both"/>
              <w:rPr>
                <w:rFonts w:ascii="Arial" w:hAnsi="Arial" w:cs="Arial"/>
                <w:sz w:val="24"/>
                <w:szCs w:val="24"/>
              </w:rPr>
            </w:pPr>
            <w:r w:rsidRPr="000905CF">
              <w:rPr>
                <w:rFonts w:ascii="Arial" w:hAnsi="Arial" w:cs="Arial"/>
                <w:sz w:val="24"/>
                <w:szCs w:val="24"/>
              </w:rPr>
              <w:t xml:space="preserve">Carpenter </w:t>
            </w:r>
            <w:proofErr w:type="spellStart"/>
            <w:r w:rsidRPr="000905CF">
              <w:rPr>
                <w:rFonts w:ascii="Arial" w:hAnsi="Arial" w:cs="Arial"/>
                <w:sz w:val="24"/>
                <w:szCs w:val="24"/>
              </w:rPr>
              <w:t>Lipps</w:t>
            </w:r>
            <w:proofErr w:type="spellEnd"/>
            <w:r w:rsidRPr="000905CF">
              <w:rPr>
                <w:rFonts w:ascii="Arial" w:hAnsi="Arial" w:cs="Arial"/>
                <w:sz w:val="24"/>
                <w:szCs w:val="24"/>
              </w:rPr>
              <w:t xml:space="preserve"> &amp; Leland LLP</w:t>
            </w:r>
          </w:p>
          <w:p w:rsidR="000905CF" w:rsidRPr="000905CF" w:rsidRDefault="000905CF" w:rsidP="000905CF">
            <w:pPr>
              <w:jc w:val="both"/>
              <w:rPr>
                <w:rFonts w:ascii="Arial" w:hAnsi="Arial" w:cs="Arial"/>
                <w:sz w:val="24"/>
                <w:szCs w:val="24"/>
              </w:rPr>
            </w:pPr>
            <w:r w:rsidRPr="000905CF">
              <w:rPr>
                <w:rFonts w:ascii="Arial" w:hAnsi="Arial" w:cs="Arial"/>
                <w:sz w:val="24"/>
                <w:szCs w:val="24"/>
              </w:rPr>
              <w:t>280 Plaza, Suite 1300</w:t>
            </w:r>
          </w:p>
          <w:p w:rsidR="000905CF" w:rsidRPr="000905CF" w:rsidRDefault="000905CF" w:rsidP="000905CF">
            <w:pPr>
              <w:jc w:val="both"/>
              <w:rPr>
                <w:rFonts w:ascii="Arial" w:hAnsi="Arial" w:cs="Arial"/>
                <w:sz w:val="24"/>
                <w:szCs w:val="24"/>
              </w:rPr>
            </w:pPr>
            <w:r w:rsidRPr="000905CF">
              <w:rPr>
                <w:rFonts w:ascii="Arial" w:hAnsi="Arial" w:cs="Arial"/>
                <w:sz w:val="24"/>
                <w:szCs w:val="24"/>
              </w:rPr>
              <w:t>280 North High Street</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jc w:val="both"/>
              <w:rPr>
                <w:rFonts w:ascii="Arial" w:hAnsi="Arial" w:cs="Arial"/>
                <w:sz w:val="24"/>
                <w:szCs w:val="24"/>
              </w:rPr>
            </w:pPr>
            <w:hyperlink r:id="rId47" w:history="1">
              <w:r w:rsidR="000905CF" w:rsidRPr="000905CF">
                <w:rPr>
                  <w:rFonts w:ascii="Arial" w:hAnsi="Arial" w:cs="Arial"/>
                  <w:color w:val="0000FF"/>
                  <w:sz w:val="24"/>
                  <w:szCs w:val="24"/>
                  <w:u w:val="single"/>
                </w:rPr>
                <w:t>Hussey@carpenterlipps.com</w:t>
              </w:r>
            </w:hyperlink>
          </w:p>
          <w:p w:rsidR="000905CF" w:rsidRPr="000905CF" w:rsidRDefault="000905CF" w:rsidP="000905CF">
            <w:pPr>
              <w:jc w:val="both"/>
              <w:rPr>
                <w:rFonts w:ascii="Arial" w:hAnsi="Arial" w:cs="Arial"/>
                <w:b/>
                <w:sz w:val="24"/>
                <w:szCs w:val="24"/>
              </w:rPr>
            </w:pPr>
          </w:p>
          <w:p w:rsidR="000905CF" w:rsidRPr="000905CF" w:rsidRDefault="000905CF" w:rsidP="000905CF">
            <w:pPr>
              <w:rPr>
                <w:rFonts w:ascii="Arial" w:hAnsi="Arial" w:cs="Arial"/>
                <w:b/>
                <w:sz w:val="24"/>
                <w:szCs w:val="24"/>
              </w:rPr>
            </w:pPr>
            <w:r w:rsidRPr="000905CF">
              <w:rPr>
                <w:rFonts w:ascii="Arial" w:hAnsi="Arial" w:cs="Arial"/>
                <w:b/>
                <w:sz w:val="24"/>
                <w:szCs w:val="24"/>
              </w:rPr>
              <w:t>Counsel for The Kroger Company</w:t>
            </w:r>
          </w:p>
          <w:p w:rsidR="000905CF" w:rsidRPr="000905CF" w:rsidRDefault="000905CF" w:rsidP="000905CF">
            <w:pPr>
              <w:rPr>
                <w:rFonts w:ascii="Arial" w:hAnsi="Arial" w:cs="Arial"/>
                <w:sz w:val="24"/>
                <w:szCs w:val="24"/>
              </w:rPr>
            </w:pP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Gregory J. Poulos</w:t>
            </w:r>
          </w:p>
          <w:p w:rsidR="000905CF" w:rsidRPr="000905CF" w:rsidRDefault="000905CF" w:rsidP="000905CF">
            <w:pPr>
              <w:jc w:val="both"/>
              <w:rPr>
                <w:rFonts w:ascii="Arial" w:hAnsi="Arial" w:cs="Arial"/>
                <w:sz w:val="24"/>
                <w:szCs w:val="24"/>
              </w:rPr>
            </w:pPr>
            <w:proofErr w:type="spellStart"/>
            <w:r w:rsidRPr="000905CF">
              <w:rPr>
                <w:rFonts w:ascii="Arial" w:hAnsi="Arial" w:cs="Arial"/>
                <w:sz w:val="24"/>
                <w:szCs w:val="24"/>
              </w:rPr>
              <w:t>EnerNOC</w:t>
            </w:r>
            <w:proofErr w:type="spellEnd"/>
            <w:r w:rsidRPr="000905CF">
              <w:rPr>
                <w:rFonts w:ascii="Arial" w:hAnsi="Arial" w:cs="Arial"/>
                <w:sz w:val="24"/>
                <w:szCs w:val="24"/>
              </w:rPr>
              <w:t>, Inc.</w:t>
            </w:r>
          </w:p>
          <w:p w:rsidR="000905CF" w:rsidRPr="000905CF" w:rsidRDefault="000905CF" w:rsidP="000905CF">
            <w:pPr>
              <w:jc w:val="both"/>
              <w:rPr>
                <w:rFonts w:ascii="Arial" w:hAnsi="Arial" w:cs="Arial"/>
                <w:sz w:val="24"/>
                <w:szCs w:val="24"/>
              </w:rPr>
            </w:pPr>
            <w:r w:rsidRPr="000905CF">
              <w:rPr>
                <w:rFonts w:ascii="Arial" w:hAnsi="Arial" w:cs="Arial"/>
                <w:sz w:val="24"/>
                <w:szCs w:val="24"/>
              </w:rPr>
              <w:t>471 E. Broad Street, Suite 1520</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jc w:val="both"/>
              <w:rPr>
                <w:rFonts w:ascii="Arial" w:hAnsi="Arial" w:cs="Arial"/>
                <w:sz w:val="24"/>
                <w:szCs w:val="24"/>
              </w:rPr>
            </w:pPr>
            <w:hyperlink r:id="rId48" w:history="1">
              <w:r w:rsidR="000905CF" w:rsidRPr="000905CF">
                <w:rPr>
                  <w:rFonts w:ascii="Arial" w:hAnsi="Arial" w:cs="Arial"/>
                  <w:color w:val="0000FF"/>
                  <w:sz w:val="24"/>
                  <w:szCs w:val="24"/>
                  <w:u w:val="single"/>
                </w:rPr>
                <w:t>gpoulos@enernoc.com</w:t>
              </w:r>
            </w:hyperlink>
          </w:p>
          <w:p w:rsidR="000905CF" w:rsidRPr="000905CF" w:rsidRDefault="000905CF" w:rsidP="000905CF">
            <w:pPr>
              <w:jc w:val="both"/>
              <w:rPr>
                <w:rFonts w:ascii="Arial" w:hAnsi="Arial" w:cs="Arial"/>
                <w:b/>
                <w:sz w:val="24"/>
                <w:szCs w:val="24"/>
              </w:rPr>
            </w:pPr>
          </w:p>
          <w:p w:rsidR="000905CF" w:rsidRPr="000905CF" w:rsidRDefault="000905CF" w:rsidP="000905CF">
            <w:pPr>
              <w:rPr>
                <w:rFonts w:ascii="Arial" w:hAnsi="Arial" w:cs="Arial"/>
                <w:b/>
                <w:sz w:val="24"/>
                <w:szCs w:val="24"/>
              </w:rPr>
            </w:pPr>
            <w:r w:rsidRPr="000905CF">
              <w:rPr>
                <w:rFonts w:ascii="Arial" w:hAnsi="Arial" w:cs="Arial"/>
                <w:b/>
                <w:sz w:val="24"/>
                <w:szCs w:val="24"/>
              </w:rPr>
              <w:t xml:space="preserve">Counsel for </w:t>
            </w:r>
            <w:proofErr w:type="spellStart"/>
            <w:r w:rsidRPr="000905CF">
              <w:rPr>
                <w:rFonts w:ascii="Arial" w:hAnsi="Arial" w:cs="Arial"/>
                <w:b/>
                <w:sz w:val="24"/>
                <w:szCs w:val="24"/>
              </w:rPr>
              <w:t>EnerNOC</w:t>
            </w:r>
            <w:proofErr w:type="spellEnd"/>
            <w:r w:rsidRPr="000905CF">
              <w:rPr>
                <w:rFonts w:ascii="Arial" w:hAnsi="Arial" w:cs="Arial"/>
                <w:b/>
                <w:sz w:val="24"/>
                <w:szCs w:val="24"/>
              </w:rPr>
              <w:t>, Inc.</w:t>
            </w:r>
          </w:p>
        </w:tc>
      </w:tr>
      <w:tr w:rsidR="000905CF" w:rsidRPr="000905CF" w:rsidTr="000905CF">
        <w:trPr>
          <w:cantSplit/>
        </w:trPr>
        <w:tc>
          <w:tcPr>
            <w:tcW w:w="4248" w:type="dxa"/>
          </w:tcPr>
          <w:p w:rsidR="000905CF" w:rsidRPr="000905CF" w:rsidRDefault="000905CF" w:rsidP="000905CF">
            <w:pPr>
              <w:jc w:val="both"/>
              <w:rPr>
                <w:rFonts w:ascii="Arial" w:hAnsi="Arial" w:cs="Arial"/>
                <w:bCs/>
                <w:sz w:val="24"/>
                <w:szCs w:val="24"/>
              </w:rPr>
            </w:pPr>
            <w:r w:rsidRPr="000905CF">
              <w:rPr>
                <w:rFonts w:ascii="Arial" w:hAnsi="Arial" w:cs="Arial"/>
                <w:bCs/>
                <w:sz w:val="24"/>
                <w:szCs w:val="24"/>
              </w:rPr>
              <w:t>Justin Vickers</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Environmental Law &amp; Policy Center</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35 East Wacker Drive, Suite 1600</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Chicago, Illinois 60601</w:t>
            </w:r>
          </w:p>
          <w:p w:rsidR="000905CF" w:rsidRPr="000905CF" w:rsidRDefault="00913FD9" w:rsidP="000905CF">
            <w:pPr>
              <w:jc w:val="both"/>
              <w:rPr>
                <w:rFonts w:ascii="Arial" w:hAnsi="Arial" w:cs="Arial"/>
                <w:bCs/>
                <w:sz w:val="24"/>
                <w:szCs w:val="24"/>
              </w:rPr>
            </w:pPr>
            <w:hyperlink r:id="rId49" w:history="1">
              <w:r w:rsidR="000905CF" w:rsidRPr="000905CF">
                <w:rPr>
                  <w:rFonts w:ascii="Arial" w:hAnsi="Arial" w:cs="Arial"/>
                  <w:bCs/>
                  <w:color w:val="0000FF"/>
                  <w:sz w:val="24"/>
                  <w:szCs w:val="24"/>
                  <w:u w:val="single"/>
                </w:rPr>
                <w:t>jvickers@elpc.org</w:t>
              </w:r>
            </w:hyperlink>
          </w:p>
          <w:p w:rsidR="000905CF" w:rsidRPr="000905CF" w:rsidRDefault="000905CF" w:rsidP="000905CF">
            <w:pPr>
              <w:jc w:val="both"/>
              <w:rPr>
                <w:rFonts w:ascii="Arial" w:hAnsi="Arial" w:cs="Arial"/>
                <w:b/>
                <w:bCs/>
                <w:sz w:val="24"/>
                <w:szCs w:val="24"/>
              </w:rPr>
            </w:pPr>
          </w:p>
          <w:p w:rsidR="000905CF" w:rsidRPr="000905CF" w:rsidRDefault="000905CF" w:rsidP="000905CF">
            <w:pPr>
              <w:jc w:val="both"/>
              <w:rPr>
                <w:rFonts w:ascii="Arial" w:hAnsi="Arial" w:cs="Arial"/>
                <w:b/>
                <w:bCs/>
                <w:sz w:val="24"/>
                <w:szCs w:val="24"/>
              </w:rPr>
            </w:pPr>
            <w:r w:rsidRPr="000905CF">
              <w:rPr>
                <w:rFonts w:ascii="Arial" w:hAnsi="Arial" w:cs="Arial"/>
                <w:b/>
                <w:bCs/>
                <w:sz w:val="24"/>
                <w:szCs w:val="24"/>
              </w:rPr>
              <w:t>Counsel for the Environmental Law &amp; Policy Center</w:t>
            </w:r>
          </w:p>
          <w:p w:rsidR="000905CF" w:rsidRPr="000905CF" w:rsidRDefault="000905CF" w:rsidP="000905CF">
            <w:pPr>
              <w:jc w:val="both"/>
              <w:rPr>
                <w:rFonts w:ascii="Arial" w:hAnsi="Arial" w:cs="Arial"/>
                <w:bCs/>
                <w:sz w:val="24"/>
                <w:szCs w:val="24"/>
              </w:rPr>
            </w:pP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jc w:val="both"/>
              <w:rPr>
                <w:rFonts w:ascii="Arial" w:hAnsi="Arial" w:cs="Arial"/>
                <w:bCs/>
                <w:sz w:val="24"/>
                <w:szCs w:val="24"/>
              </w:rPr>
            </w:pPr>
            <w:r w:rsidRPr="000905CF">
              <w:rPr>
                <w:rFonts w:ascii="Arial" w:hAnsi="Arial" w:cs="Arial"/>
                <w:bCs/>
                <w:sz w:val="24"/>
                <w:szCs w:val="24"/>
              </w:rPr>
              <w:t>Thomas J. O’Brien</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 xml:space="preserve">Bricker &amp; </w:t>
            </w:r>
            <w:proofErr w:type="spellStart"/>
            <w:r w:rsidRPr="000905CF">
              <w:rPr>
                <w:rFonts w:ascii="Arial" w:hAnsi="Arial" w:cs="Arial"/>
                <w:bCs/>
                <w:sz w:val="24"/>
                <w:szCs w:val="24"/>
              </w:rPr>
              <w:t>Eckler</w:t>
            </w:r>
            <w:proofErr w:type="spellEnd"/>
            <w:r w:rsidRPr="000905CF">
              <w:rPr>
                <w:rFonts w:ascii="Arial" w:hAnsi="Arial" w:cs="Arial"/>
                <w:bCs/>
                <w:sz w:val="24"/>
                <w:szCs w:val="24"/>
              </w:rPr>
              <w:t xml:space="preserve"> LLP</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100 South Third Street</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Columbus, Ohio 43215-4291</w:t>
            </w:r>
          </w:p>
          <w:p w:rsidR="000905CF" w:rsidRPr="000905CF" w:rsidRDefault="00913FD9" w:rsidP="000905CF">
            <w:pPr>
              <w:jc w:val="both"/>
              <w:rPr>
                <w:rFonts w:ascii="Arial" w:hAnsi="Arial" w:cs="Arial"/>
                <w:bCs/>
                <w:sz w:val="24"/>
                <w:szCs w:val="24"/>
              </w:rPr>
            </w:pPr>
            <w:hyperlink r:id="rId50" w:history="1">
              <w:r w:rsidR="000905CF" w:rsidRPr="000905CF">
                <w:rPr>
                  <w:rFonts w:ascii="Arial" w:hAnsi="Arial" w:cs="Arial"/>
                  <w:bCs/>
                  <w:color w:val="0000FF"/>
                  <w:sz w:val="24"/>
                  <w:szCs w:val="24"/>
                  <w:u w:val="single"/>
                </w:rPr>
                <w:t>tobrien@bricker.com</w:t>
              </w:r>
            </w:hyperlink>
          </w:p>
          <w:p w:rsidR="000905CF" w:rsidRPr="000905CF" w:rsidRDefault="000905CF" w:rsidP="000905CF">
            <w:pPr>
              <w:jc w:val="both"/>
              <w:rPr>
                <w:rFonts w:ascii="Arial" w:hAnsi="Arial" w:cs="Arial"/>
                <w:b/>
                <w:bCs/>
                <w:sz w:val="24"/>
                <w:szCs w:val="24"/>
              </w:rPr>
            </w:pPr>
          </w:p>
          <w:p w:rsidR="000905CF" w:rsidRPr="000905CF" w:rsidRDefault="000905CF" w:rsidP="000905CF">
            <w:pPr>
              <w:jc w:val="both"/>
              <w:rPr>
                <w:rFonts w:ascii="Arial" w:hAnsi="Arial" w:cs="Arial"/>
                <w:sz w:val="24"/>
                <w:szCs w:val="24"/>
              </w:rPr>
            </w:pPr>
            <w:r w:rsidRPr="000905CF">
              <w:rPr>
                <w:rFonts w:ascii="Arial" w:hAnsi="Arial" w:cs="Arial"/>
                <w:b/>
                <w:bCs/>
                <w:sz w:val="24"/>
                <w:szCs w:val="24"/>
              </w:rPr>
              <w:t>Counsel for the City of Cincinnati</w:t>
            </w:r>
          </w:p>
        </w:tc>
      </w:tr>
      <w:tr w:rsidR="000905CF" w:rsidRPr="000905CF" w:rsidTr="000905CF">
        <w:trPr>
          <w:cantSplit/>
        </w:trPr>
        <w:tc>
          <w:tcPr>
            <w:tcW w:w="4248" w:type="dxa"/>
          </w:tcPr>
          <w:p w:rsidR="000905CF" w:rsidRPr="000905CF" w:rsidRDefault="000905CF" w:rsidP="000905CF">
            <w:pPr>
              <w:jc w:val="both"/>
              <w:rPr>
                <w:rFonts w:ascii="Arial" w:hAnsi="Arial" w:cs="Arial"/>
                <w:bCs/>
                <w:sz w:val="24"/>
                <w:szCs w:val="24"/>
              </w:rPr>
            </w:pPr>
            <w:r w:rsidRPr="000905CF">
              <w:rPr>
                <w:rFonts w:ascii="Arial" w:hAnsi="Arial" w:cs="Arial"/>
                <w:bCs/>
                <w:sz w:val="24"/>
                <w:szCs w:val="24"/>
              </w:rPr>
              <w:t>Samantha Williams</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Natural Resources Defense Council</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20 N. Wacker Drive, Suite 1600</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Chicago, Illinois 60606</w:t>
            </w:r>
          </w:p>
          <w:p w:rsidR="000905CF" w:rsidRPr="000905CF" w:rsidRDefault="00913FD9" w:rsidP="000905CF">
            <w:pPr>
              <w:jc w:val="both"/>
              <w:rPr>
                <w:rFonts w:ascii="Arial" w:hAnsi="Arial" w:cs="Arial"/>
                <w:bCs/>
                <w:sz w:val="24"/>
                <w:szCs w:val="24"/>
              </w:rPr>
            </w:pPr>
            <w:hyperlink r:id="rId51" w:history="1">
              <w:r w:rsidR="000905CF" w:rsidRPr="000905CF">
                <w:rPr>
                  <w:rFonts w:ascii="Arial" w:hAnsi="Arial" w:cs="Arial"/>
                  <w:bCs/>
                  <w:color w:val="0000FF"/>
                  <w:sz w:val="24"/>
                  <w:szCs w:val="24"/>
                  <w:u w:val="single"/>
                </w:rPr>
                <w:t>swilliams@nrdc.org</w:t>
              </w:r>
            </w:hyperlink>
          </w:p>
          <w:p w:rsidR="000905CF" w:rsidRPr="000905CF" w:rsidRDefault="000905CF" w:rsidP="000905CF">
            <w:pPr>
              <w:jc w:val="both"/>
              <w:rPr>
                <w:rFonts w:ascii="Arial" w:hAnsi="Arial" w:cs="Arial"/>
                <w:bCs/>
                <w:sz w:val="24"/>
                <w:szCs w:val="24"/>
              </w:rPr>
            </w:pPr>
          </w:p>
          <w:p w:rsidR="000905CF" w:rsidRPr="000905CF" w:rsidRDefault="000905CF" w:rsidP="000905CF">
            <w:pPr>
              <w:jc w:val="both"/>
              <w:rPr>
                <w:rFonts w:ascii="Arial" w:hAnsi="Arial" w:cs="Arial"/>
                <w:b/>
                <w:bCs/>
                <w:sz w:val="24"/>
                <w:szCs w:val="24"/>
              </w:rPr>
            </w:pPr>
            <w:r w:rsidRPr="000905CF">
              <w:rPr>
                <w:rFonts w:ascii="Arial" w:hAnsi="Arial" w:cs="Arial"/>
                <w:b/>
                <w:bCs/>
                <w:sz w:val="24"/>
                <w:szCs w:val="24"/>
              </w:rPr>
              <w:t>Counsel for the Natural Resources Defense Council</w:t>
            </w: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jc w:val="both"/>
              <w:rPr>
                <w:rFonts w:ascii="Arial" w:hAnsi="Arial" w:cs="Arial"/>
                <w:sz w:val="24"/>
                <w:szCs w:val="24"/>
              </w:rPr>
            </w:pPr>
            <w:r w:rsidRPr="000905CF">
              <w:rPr>
                <w:rFonts w:ascii="Arial" w:hAnsi="Arial" w:cs="Arial"/>
                <w:sz w:val="24"/>
                <w:szCs w:val="24"/>
              </w:rPr>
              <w:t>Donald L. Mason</w:t>
            </w:r>
          </w:p>
          <w:p w:rsidR="000905CF" w:rsidRPr="000905CF" w:rsidRDefault="000905CF" w:rsidP="000905CF">
            <w:pPr>
              <w:jc w:val="both"/>
              <w:rPr>
                <w:rFonts w:ascii="Arial" w:hAnsi="Arial" w:cs="Arial"/>
                <w:sz w:val="24"/>
                <w:szCs w:val="24"/>
              </w:rPr>
            </w:pPr>
            <w:r w:rsidRPr="000905CF">
              <w:rPr>
                <w:rFonts w:ascii="Arial" w:hAnsi="Arial" w:cs="Arial"/>
                <w:sz w:val="24"/>
                <w:szCs w:val="24"/>
              </w:rPr>
              <w:t>Michael R. Traven</w:t>
            </w:r>
          </w:p>
          <w:p w:rsidR="000905CF" w:rsidRPr="000905CF" w:rsidRDefault="000905CF" w:rsidP="000905CF">
            <w:pPr>
              <w:jc w:val="both"/>
              <w:rPr>
                <w:rFonts w:ascii="Arial" w:hAnsi="Arial" w:cs="Arial"/>
                <w:sz w:val="24"/>
                <w:szCs w:val="24"/>
              </w:rPr>
            </w:pPr>
            <w:proofErr w:type="spellStart"/>
            <w:r w:rsidRPr="000905CF">
              <w:rPr>
                <w:rFonts w:ascii="Arial" w:hAnsi="Arial" w:cs="Arial"/>
                <w:sz w:val="24"/>
                <w:szCs w:val="24"/>
              </w:rPr>
              <w:t>Roetzel</w:t>
            </w:r>
            <w:proofErr w:type="spellEnd"/>
            <w:r w:rsidRPr="000905CF">
              <w:rPr>
                <w:rFonts w:ascii="Arial" w:hAnsi="Arial" w:cs="Arial"/>
                <w:sz w:val="24"/>
                <w:szCs w:val="24"/>
              </w:rPr>
              <w:t xml:space="preserve"> &amp; </w:t>
            </w:r>
            <w:proofErr w:type="spellStart"/>
            <w:r w:rsidRPr="000905CF">
              <w:rPr>
                <w:rFonts w:ascii="Arial" w:hAnsi="Arial" w:cs="Arial"/>
                <w:sz w:val="24"/>
                <w:szCs w:val="24"/>
              </w:rPr>
              <w:t>Andress</w:t>
            </w:r>
            <w:proofErr w:type="spellEnd"/>
            <w:r w:rsidRPr="000905CF">
              <w:rPr>
                <w:rFonts w:ascii="Arial" w:hAnsi="Arial" w:cs="Arial"/>
                <w:sz w:val="24"/>
                <w:szCs w:val="24"/>
              </w:rPr>
              <w:t>, LPA</w:t>
            </w:r>
          </w:p>
          <w:p w:rsidR="000905CF" w:rsidRPr="000905CF" w:rsidRDefault="000905CF" w:rsidP="000905CF">
            <w:pPr>
              <w:jc w:val="both"/>
              <w:rPr>
                <w:rFonts w:ascii="Arial" w:hAnsi="Arial" w:cs="Arial"/>
                <w:sz w:val="24"/>
                <w:szCs w:val="24"/>
              </w:rPr>
            </w:pPr>
            <w:r w:rsidRPr="000905CF">
              <w:rPr>
                <w:rFonts w:ascii="Arial" w:hAnsi="Arial" w:cs="Arial"/>
                <w:sz w:val="24"/>
                <w:szCs w:val="24"/>
              </w:rPr>
              <w:t>155 E. Broad Street, 12</w:t>
            </w:r>
            <w:r w:rsidRPr="000905CF">
              <w:rPr>
                <w:rFonts w:ascii="Arial" w:hAnsi="Arial" w:cs="Arial"/>
                <w:sz w:val="24"/>
                <w:szCs w:val="24"/>
                <w:vertAlign w:val="superscript"/>
              </w:rPr>
              <w:t>th</w:t>
            </w:r>
            <w:r w:rsidRPr="000905CF">
              <w:rPr>
                <w:rFonts w:ascii="Arial" w:hAnsi="Arial" w:cs="Arial"/>
                <w:sz w:val="24"/>
                <w:szCs w:val="24"/>
              </w:rPr>
              <w:t xml:space="preserve"> Floor</w:t>
            </w:r>
          </w:p>
          <w:p w:rsidR="000905CF" w:rsidRPr="000905CF" w:rsidRDefault="000905CF" w:rsidP="000905CF">
            <w:pPr>
              <w:jc w:val="both"/>
              <w:rPr>
                <w:rFonts w:ascii="Arial" w:hAnsi="Arial" w:cs="Arial"/>
                <w:sz w:val="24"/>
                <w:szCs w:val="24"/>
              </w:rPr>
            </w:pPr>
            <w:r w:rsidRPr="000905CF">
              <w:rPr>
                <w:rFonts w:ascii="Arial" w:hAnsi="Arial" w:cs="Arial"/>
                <w:sz w:val="24"/>
                <w:szCs w:val="24"/>
              </w:rPr>
              <w:t>Columbus, Ohio 43215</w:t>
            </w:r>
          </w:p>
          <w:p w:rsidR="000905CF" w:rsidRPr="000905CF" w:rsidRDefault="00913FD9" w:rsidP="000905CF">
            <w:pPr>
              <w:jc w:val="both"/>
              <w:rPr>
                <w:rFonts w:ascii="Arial" w:hAnsi="Arial" w:cs="Arial"/>
                <w:sz w:val="24"/>
                <w:szCs w:val="24"/>
              </w:rPr>
            </w:pPr>
            <w:hyperlink r:id="rId52" w:history="1">
              <w:r w:rsidR="000905CF" w:rsidRPr="000905CF">
                <w:rPr>
                  <w:rFonts w:ascii="Arial" w:hAnsi="Arial" w:cs="Arial"/>
                  <w:color w:val="0000FF"/>
                  <w:sz w:val="24"/>
                  <w:szCs w:val="24"/>
                  <w:u w:val="single"/>
                </w:rPr>
                <w:t>dmason@ralaw.com</w:t>
              </w:r>
            </w:hyperlink>
          </w:p>
          <w:p w:rsidR="000905CF" w:rsidRPr="000905CF" w:rsidRDefault="00913FD9" w:rsidP="000905CF">
            <w:pPr>
              <w:jc w:val="both"/>
              <w:rPr>
                <w:rFonts w:ascii="Arial" w:hAnsi="Arial" w:cs="Arial"/>
                <w:sz w:val="24"/>
                <w:szCs w:val="24"/>
              </w:rPr>
            </w:pPr>
            <w:hyperlink r:id="rId53" w:history="1">
              <w:r w:rsidR="000905CF" w:rsidRPr="000905CF">
                <w:rPr>
                  <w:rFonts w:ascii="Arial" w:hAnsi="Arial" w:cs="Arial"/>
                  <w:color w:val="0000FF"/>
                  <w:sz w:val="24"/>
                  <w:szCs w:val="24"/>
                  <w:u w:val="single"/>
                </w:rPr>
                <w:t>mtraven@ralaw.com</w:t>
              </w:r>
            </w:hyperlink>
          </w:p>
          <w:p w:rsidR="000905CF" w:rsidRPr="000905CF" w:rsidRDefault="000905CF" w:rsidP="000905CF">
            <w:pPr>
              <w:jc w:val="both"/>
              <w:rPr>
                <w:rFonts w:ascii="Arial" w:hAnsi="Arial" w:cs="Arial"/>
                <w:sz w:val="24"/>
                <w:szCs w:val="24"/>
              </w:rPr>
            </w:pPr>
          </w:p>
          <w:p w:rsidR="000905CF" w:rsidRPr="000905CF" w:rsidRDefault="000905CF" w:rsidP="000905CF">
            <w:pPr>
              <w:jc w:val="both"/>
              <w:rPr>
                <w:rFonts w:ascii="Arial" w:hAnsi="Arial" w:cs="Arial"/>
                <w:sz w:val="24"/>
                <w:szCs w:val="24"/>
              </w:rPr>
            </w:pPr>
            <w:r w:rsidRPr="000905CF">
              <w:rPr>
                <w:rFonts w:ascii="Arial" w:hAnsi="Arial" w:cs="Arial"/>
                <w:b/>
                <w:bCs/>
                <w:sz w:val="24"/>
                <w:szCs w:val="24"/>
              </w:rPr>
              <w:t>Counsel for Wal-Mart Stores East, LP and Sam’s East, Inc.</w:t>
            </w:r>
          </w:p>
        </w:tc>
      </w:tr>
      <w:tr w:rsidR="000905CF" w:rsidRPr="000905CF" w:rsidTr="000905CF">
        <w:trPr>
          <w:cantSplit/>
        </w:trPr>
        <w:tc>
          <w:tcPr>
            <w:tcW w:w="4248" w:type="dxa"/>
          </w:tcPr>
          <w:p w:rsidR="000905CF" w:rsidRPr="000905CF" w:rsidRDefault="000905CF" w:rsidP="000905CF">
            <w:pPr>
              <w:jc w:val="both"/>
              <w:rPr>
                <w:rFonts w:ascii="Arial" w:hAnsi="Arial" w:cs="Arial"/>
                <w:bCs/>
                <w:sz w:val="24"/>
                <w:szCs w:val="24"/>
              </w:rPr>
            </w:pPr>
            <w:r w:rsidRPr="000905CF">
              <w:rPr>
                <w:rFonts w:ascii="Arial" w:hAnsi="Arial" w:cs="Arial"/>
                <w:bCs/>
                <w:sz w:val="24"/>
                <w:szCs w:val="24"/>
              </w:rPr>
              <w:lastRenderedPageBreak/>
              <w:t xml:space="preserve">Rick D. Chamberlain </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Behrens, Wheeler, &amp; Chamberlain</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6 N.E. 63rd Street, Suite 400</w:t>
            </w:r>
          </w:p>
          <w:p w:rsidR="000905CF" w:rsidRPr="000905CF" w:rsidRDefault="000905CF" w:rsidP="000905CF">
            <w:pPr>
              <w:jc w:val="both"/>
              <w:rPr>
                <w:rFonts w:ascii="Arial" w:hAnsi="Arial" w:cs="Arial"/>
                <w:bCs/>
                <w:sz w:val="24"/>
                <w:szCs w:val="24"/>
              </w:rPr>
            </w:pPr>
            <w:r w:rsidRPr="000905CF">
              <w:rPr>
                <w:rFonts w:ascii="Arial" w:hAnsi="Arial" w:cs="Arial"/>
                <w:bCs/>
                <w:sz w:val="24"/>
                <w:szCs w:val="24"/>
              </w:rPr>
              <w:t>Oklahoma City, OK 73105</w:t>
            </w:r>
          </w:p>
          <w:p w:rsidR="000905CF" w:rsidRPr="000905CF" w:rsidRDefault="00913FD9" w:rsidP="000905CF">
            <w:pPr>
              <w:jc w:val="both"/>
              <w:rPr>
                <w:rFonts w:ascii="Arial" w:hAnsi="Arial" w:cs="Arial"/>
                <w:bCs/>
                <w:sz w:val="24"/>
                <w:szCs w:val="24"/>
              </w:rPr>
            </w:pPr>
            <w:hyperlink r:id="rId54" w:history="1">
              <w:r w:rsidR="000905CF" w:rsidRPr="000905CF">
                <w:rPr>
                  <w:rFonts w:ascii="Arial" w:hAnsi="Arial" w:cs="Arial"/>
                  <w:bCs/>
                  <w:color w:val="0000FF"/>
                  <w:sz w:val="24"/>
                  <w:szCs w:val="24"/>
                  <w:u w:val="single"/>
                </w:rPr>
                <w:t>rchamberlain@okenergylaw.com</w:t>
              </w:r>
            </w:hyperlink>
          </w:p>
          <w:p w:rsidR="000905CF" w:rsidRPr="000905CF" w:rsidRDefault="000905CF" w:rsidP="000905CF">
            <w:pPr>
              <w:jc w:val="both"/>
              <w:rPr>
                <w:rFonts w:ascii="Arial" w:hAnsi="Arial" w:cs="Arial"/>
                <w:bCs/>
                <w:sz w:val="24"/>
                <w:szCs w:val="24"/>
              </w:rPr>
            </w:pPr>
          </w:p>
          <w:p w:rsidR="000905CF" w:rsidRPr="000905CF" w:rsidRDefault="000905CF" w:rsidP="000905CF">
            <w:pPr>
              <w:jc w:val="both"/>
              <w:rPr>
                <w:rFonts w:ascii="Arial" w:hAnsi="Arial" w:cs="Arial"/>
                <w:b/>
                <w:bCs/>
                <w:sz w:val="24"/>
                <w:szCs w:val="24"/>
              </w:rPr>
            </w:pPr>
            <w:r w:rsidRPr="000905CF">
              <w:rPr>
                <w:rFonts w:ascii="Arial" w:hAnsi="Arial" w:cs="Arial"/>
                <w:b/>
                <w:bCs/>
                <w:sz w:val="24"/>
                <w:szCs w:val="24"/>
              </w:rPr>
              <w:t>Counsel for Wal-Mart Stores East, LP and Sam’s East, Inc.</w:t>
            </w:r>
          </w:p>
          <w:p w:rsidR="000905CF" w:rsidRPr="000905CF" w:rsidRDefault="000905CF" w:rsidP="000905CF">
            <w:pPr>
              <w:jc w:val="both"/>
              <w:rPr>
                <w:rFonts w:ascii="Arial" w:hAnsi="Arial" w:cs="Arial"/>
                <w:bCs/>
                <w:sz w:val="24"/>
                <w:szCs w:val="24"/>
              </w:rPr>
            </w:pPr>
          </w:p>
        </w:tc>
        <w:tc>
          <w:tcPr>
            <w:tcW w:w="450" w:type="dxa"/>
          </w:tcPr>
          <w:p w:rsidR="000905CF" w:rsidRPr="000905CF" w:rsidRDefault="000905CF" w:rsidP="000905CF">
            <w:pPr>
              <w:jc w:val="both"/>
              <w:rPr>
                <w:rFonts w:ascii="Arial" w:hAnsi="Arial" w:cs="Arial"/>
                <w:b/>
                <w:sz w:val="24"/>
                <w:szCs w:val="24"/>
              </w:rPr>
            </w:pPr>
          </w:p>
        </w:tc>
        <w:tc>
          <w:tcPr>
            <w:tcW w:w="4320" w:type="dxa"/>
          </w:tcPr>
          <w:p w:rsidR="000905CF" w:rsidRPr="000905CF" w:rsidRDefault="000905CF" w:rsidP="000905CF">
            <w:pPr>
              <w:jc w:val="both"/>
              <w:rPr>
                <w:rFonts w:ascii="Arial" w:hAnsi="Arial" w:cs="Arial"/>
                <w:sz w:val="24"/>
                <w:szCs w:val="24"/>
              </w:rPr>
            </w:pPr>
          </w:p>
        </w:tc>
      </w:tr>
    </w:tbl>
    <w:p w:rsidR="000905CF" w:rsidRPr="000905CF" w:rsidRDefault="000905CF" w:rsidP="000905CF">
      <w:pPr>
        <w:spacing w:line="480" w:lineRule="auto"/>
        <w:ind w:firstLine="720"/>
        <w:jc w:val="both"/>
        <w:rPr>
          <w:color w:val="222222"/>
          <w:sz w:val="24"/>
        </w:rPr>
      </w:pPr>
    </w:p>
    <w:p w:rsidR="000905CF" w:rsidRPr="000905CF" w:rsidRDefault="000905CF" w:rsidP="000905CF">
      <w:pPr>
        <w:spacing w:line="480" w:lineRule="auto"/>
        <w:ind w:firstLine="720"/>
        <w:jc w:val="both"/>
        <w:rPr>
          <w:color w:val="222222"/>
          <w:sz w:val="24"/>
        </w:rPr>
      </w:pPr>
    </w:p>
    <w:p w:rsidR="000905CF" w:rsidRPr="000905CF" w:rsidRDefault="000905CF" w:rsidP="000905CF">
      <w:pPr>
        <w:spacing w:after="0" w:line="240" w:lineRule="auto"/>
        <w:rPr>
          <w:sz w:val="24"/>
        </w:rPr>
      </w:pPr>
    </w:p>
    <w:p w:rsidR="000905CF" w:rsidRPr="000905CF" w:rsidRDefault="000905CF" w:rsidP="000905CF"/>
    <w:p w:rsidR="000905CF" w:rsidRDefault="000905CF" w:rsidP="000905CF"/>
    <w:sectPr w:rsidR="000905CF">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92" w:rsidRDefault="00F63992" w:rsidP="00EE2DC8">
      <w:pPr>
        <w:spacing w:after="0" w:line="240" w:lineRule="auto"/>
      </w:pPr>
      <w:r>
        <w:separator/>
      </w:r>
    </w:p>
  </w:endnote>
  <w:endnote w:type="continuationSeparator" w:id="0">
    <w:p w:rsidR="00F63992" w:rsidRDefault="00F63992" w:rsidP="00EE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D9" w:rsidRDefault="00913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50997"/>
      <w:docPartObj>
        <w:docPartGallery w:val="Page Numbers (Bottom of Page)"/>
        <w:docPartUnique/>
      </w:docPartObj>
    </w:sdtPr>
    <w:sdtEndPr>
      <w:rPr>
        <w:noProof/>
      </w:rPr>
    </w:sdtEndPr>
    <w:sdtContent>
      <w:p w:rsidR="00913FD9" w:rsidRDefault="00913FD9">
        <w:pPr>
          <w:pStyle w:val="Footer"/>
          <w:jc w:val="center"/>
        </w:pPr>
        <w:r>
          <w:fldChar w:fldCharType="begin"/>
        </w:r>
        <w:r>
          <w:instrText xml:space="preserve"> PAGE   \* MERGEFORMAT </w:instrText>
        </w:r>
        <w:r>
          <w:fldChar w:fldCharType="separate"/>
        </w:r>
        <w:r w:rsidR="00576968">
          <w:rPr>
            <w:noProof/>
          </w:rPr>
          <w:t>18</w:t>
        </w:r>
        <w:r>
          <w:rPr>
            <w:noProof/>
          </w:rPr>
          <w:fldChar w:fldCharType="end"/>
        </w:r>
      </w:p>
    </w:sdtContent>
  </w:sdt>
  <w:p w:rsidR="00913FD9" w:rsidRDefault="00913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D9" w:rsidRDefault="00913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92" w:rsidRDefault="00F63992" w:rsidP="00EE2DC8">
      <w:pPr>
        <w:spacing w:after="0" w:line="240" w:lineRule="auto"/>
      </w:pPr>
      <w:r>
        <w:separator/>
      </w:r>
    </w:p>
  </w:footnote>
  <w:footnote w:type="continuationSeparator" w:id="0">
    <w:p w:rsidR="00F63992" w:rsidRDefault="00F63992" w:rsidP="00EE2DC8">
      <w:pPr>
        <w:spacing w:after="0" w:line="240" w:lineRule="auto"/>
      </w:pPr>
      <w:r>
        <w:continuationSeparator/>
      </w:r>
    </w:p>
  </w:footnote>
  <w:footnote w:id="1">
    <w:p w:rsidR="00913FD9" w:rsidRPr="00D71C8F" w:rsidRDefault="00913FD9" w:rsidP="00A82E9E">
      <w:pPr>
        <w:pStyle w:val="FootnoteText"/>
        <w:jc w:val="both"/>
      </w:pPr>
      <w:r w:rsidRPr="00D71C8F">
        <w:rPr>
          <w:rStyle w:val="FootnoteReference"/>
        </w:rPr>
        <w:footnoteRef/>
      </w:r>
      <w:r>
        <w:t xml:space="preserve"> The record in these</w:t>
      </w:r>
      <w:r w:rsidRPr="00D71C8F">
        <w:t xml:space="preserve"> proceeding</w:t>
      </w:r>
      <w:r>
        <w:t>s</w:t>
      </w:r>
      <w:r w:rsidRPr="00D71C8F">
        <w:t xml:space="preserve"> contains both confidential and non-confidential information.  Confidential exhibits include the designation “a” after their number.  Throughout this brief, IGS references only the public version of exhibits, though confidential informa</w:t>
      </w:r>
      <w:r>
        <w:t>tion may be cited</w:t>
      </w:r>
      <w:r w:rsidRPr="00D71C8F">
        <w:t xml:space="preserve"> in the brief.   </w:t>
      </w:r>
    </w:p>
    <w:p w:rsidR="00913FD9" w:rsidRPr="00D91953" w:rsidRDefault="00913FD9" w:rsidP="00A82E9E">
      <w:pPr>
        <w:pStyle w:val="FootnoteText"/>
        <w:jc w:val="both"/>
      </w:pPr>
    </w:p>
  </w:footnote>
  <w:footnote w:id="2">
    <w:p w:rsidR="00913FD9" w:rsidRPr="00B04B33" w:rsidRDefault="00913FD9">
      <w:pPr>
        <w:pStyle w:val="FootnoteText"/>
      </w:pPr>
      <w:r w:rsidRPr="00B04B33">
        <w:rPr>
          <w:rStyle w:val="FootnoteReference"/>
        </w:rPr>
        <w:footnoteRef/>
      </w:r>
      <w:r w:rsidRPr="00B04B33">
        <w:t xml:space="preserve"> IGS’s silence on any issue should not be construed as agreement or acquiescence. </w:t>
      </w:r>
    </w:p>
    <w:p w:rsidR="00913FD9" w:rsidRPr="00B04B33" w:rsidRDefault="00913FD9">
      <w:pPr>
        <w:pStyle w:val="FootnoteText"/>
      </w:pPr>
    </w:p>
  </w:footnote>
  <w:footnote w:id="3">
    <w:p w:rsidR="00913FD9" w:rsidRDefault="00913FD9" w:rsidP="000905CF">
      <w:pPr>
        <w:pStyle w:val="FootnoteText"/>
      </w:pPr>
      <w:r>
        <w:rPr>
          <w:rStyle w:val="FootnoteReference"/>
        </w:rPr>
        <w:footnoteRef/>
      </w:r>
      <w:r>
        <w:t xml:space="preserve"> I</w:t>
      </w:r>
      <w:r w:rsidRPr="00983833">
        <w:t xml:space="preserve">GS Ex. 10 </w:t>
      </w:r>
      <w:r>
        <w:t>at 8.</w:t>
      </w:r>
    </w:p>
    <w:p w:rsidR="00913FD9" w:rsidRDefault="00913FD9" w:rsidP="000905CF">
      <w:pPr>
        <w:pStyle w:val="FootnoteText"/>
      </w:pPr>
    </w:p>
  </w:footnote>
  <w:footnote w:id="4">
    <w:p w:rsidR="00913FD9" w:rsidRDefault="00913FD9" w:rsidP="000905CF">
      <w:pPr>
        <w:pStyle w:val="FootnoteText"/>
      </w:pPr>
      <w:r>
        <w:rPr>
          <w:rStyle w:val="FootnoteReference"/>
        </w:rPr>
        <w:footnoteRef/>
      </w:r>
      <w:r>
        <w:t xml:space="preserve"> </w:t>
      </w:r>
      <w:proofErr w:type="gramStart"/>
      <w:r>
        <w:t>Duke Initial Brief at 37.</w:t>
      </w:r>
      <w:proofErr w:type="gramEnd"/>
    </w:p>
    <w:p w:rsidR="00913FD9" w:rsidRDefault="00913FD9" w:rsidP="000905CF">
      <w:pPr>
        <w:pStyle w:val="FootnoteText"/>
      </w:pPr>
    </w:p>
  </w:footnote>
  <w:footnote w:id="5">
    <w:p w:rsidR="00913FD9" w:rsidRDefault="00913FD9" w:rsidP="000905CF">
      <w:pPr>
        <w:pStyle w:val="FootnoteText"/>
      </w:pPr>
      <w:r>
        <w:rPr>
          <w:rStyle w:val="FootnoteReference"/>
        </w:rPr>
        <w:footnoteRef/>
      </w:r>
      <w:r>
        <w:t xml:space="preserve"> I</w:t>
      </w:r>
      <w:r w:rsidRPr="00983833">
        <w:t xml:space="preserve">GS Ex. 10 </w:t>
      </w:r>
      <w:r>
        <w:t>at 9.</w:t>
      </w:r>
    </w:p>
    <w:p w:rsidR="00913FD9" w:rsidRDefault="00913FD9" w:rsidP="000905CF">
      <w:pPr>
        <w:pStyle w:val="FootnoteText"/>
      </w:pPr>
    </w:p>
  </w:footnote>
  <w:footnote w:id="6">
    <w:p w:rsidR="00913FD9" w:rsidRDefault="00913FD9" w:rsidP="000905CF">
      <w:pPr>
        <w:pStyle w:val="FootnoteText"/>
      </w:pPr>
      <w:r>
        <w:rPr>
          <w:rStyle w:val="FootnoteReference"/>
        </w:rPr>
        <w:footnoteRef/>
      </w:r>
      <w:r>
        <w:t xml:space="preserve"> </w:t>
      </w:r>
      <w:proofErr w:type="gramStart"/>
      <w:r>
        <w:t>Duke Initial Brief at 37.</w:t>
      </w:r>
      <w:proofErr w:type="gramEnd"/>
    </w:p>
    <w:p w:rsidR="00913FD9" w:rsidRDefault="00913FD9" w:rsidP="000905CF">
      <w:pPr>
        <w:pStyle w:val="FootnoteText"/>
      </w:pPr>
    </w:p>
  </w:footnote>
  <w:footnote w:id="7">
    <w:p w:rsidR="00913FD9" w:rsidRDefault="00913FD9" w:rsidP="000905CF">
      <w:pPr>
        <w:pStyle w:val="FootnoteText"/>
        <w:rPr>
          <w:i/>
        </w:rPr>
      </w:pPr>
      <w:r>
        <w:rPr>
          <w:rStyle w:val="FootnoteReference"/>
        </w:rPr>
        <w:footnoteRef/>
      </w:r>
      <w:r>
        <w:t xml:space="preserve"> </w:t>
      </w:r>
      <w:r w:rsidRPr="000905CF">
        <w:rPr>
          <w:i/>
        </w:rPr>
        <w:t>Id.</w:t>
      </w:r>
    </w:p>
    <w:p w:rsidR="00913FD9" w:rsidRDefault="00913FD9" w:rsidP="000905CF">
      <w:pPr>
        <w:pStyle w:val="FootnoteText"/>
      </w:pPr>
    </w:p>
  </w:footnote>
  <w:footnote w:id="8">
    <w:p w:rsidR="00913FD9" w:rsidRDefault="00913FD9" w:rsidP="000905CF">
      <w:pPr>
        <w:pStyle w:val="FootnoteText"/>
      </w:pPr>
      <w:r>
        <w:rPr>
          <w:rStyle w:val="FootnoteReference"/>
        </w:rPr>
        <w:footnoteRef/>
      </w:r>
      <w:r>
        <w:t xml:space="preserve"> </w:t>
      </w:r>
      <w:proofErr w:type="gramStart"/>
      <w:r>
        <w:t>Duke Initial Brief at 37.</w:t>
      </w:r>
      <w:proofErr w:type="gramEnd"/>
    </w:p>
    <w:p w:rsidR="00913FD9" w:rsidRDefault="00913FD9" w:rsidP="000905CF">
      <w:pPr>
        <w:pStyle w:val="FootnoteText"/>
      </w:pPr>
    </w:p>
  </w:footnote>
  <w:footnote w:id="9">
    <w:p w:rsidR="00913FD9" w:rsidRDefault="00913FD9" w:rsidP="000905CF">
      <w:pPr>
        <w:pStyle w:val="FootnoteText"/>
      </w:pPr>
      <w:r>
        <w:rPr>
          <w:rStyle w:val="FootnoteReference"/>
        </w:rPr>
        <w:footnoteRef/>
      </w:r>
      <w:r>
        <w:t xml:space="preserve"> </w:t>
      </w:r>
      <w:proofErr w:type="gramStart"/>
      <w:r>
        <w:t>IGS Exhibit 5 (IGS-INT-02-005).</w:t>
      </w:r>
      <w:proofErr w:type="gramEnd"/>
    </w:p>
    <w:p w:rsidR="00913FD9" w:rsidRDefault="00913FD9" w:rsidP="000905CF">
      <w:pPr>
        <w:pStyle w:val="FootnoteText"/>
      </w:pPr>
    </w:p>
  </w:footnote>
  <w:footnote w:id="10">
    <w:p w:rsidR="00913FD9" w:rsidRDefault="00913FD9">
      <w:pPr>
        <w:pStyle w:val="FootnoteText"/>
      </w:pPr>
      <w:r w:rsidRPr="00B04B33">
        <w:rPr>
          <w:rStyle w:val="FootnoteReference"/>
        </w:rPr>
        <w:footnoteRef/>
      </w:r>
      <w:r w:rsidRPr="00B04B33">
        <w:t xml:space="preserve"> Duke Initial brief at 18.</w:t>
      </w:r>
    </w:p>
    <w:p w:rsidR="00913FD9" w:rsidRDefault="00913FD9">
      <w:pPr>
        <w:pStyle w:val="FootnoteText"/>
      </w:pPr>
    </w:p>
  </w:footnote>
  <w:footnote w:id="11">
    <w:p w:rsidR="00913FD9" w:rsidRDefault="00913FD9">
      <w:pPr>
        <w:pStyle w:val="FootnoteText"/>
      </w:pPr>
      <w:r>
        <w:rPr>
          <w:rStyle w:val="FootnoteReference"/>
        </w:rPr>
        <w:footnoteRef/>
      </w:r>
      <w:r>
        <w:t xml:space="preserve"> </w:t>
      </w:r>
      <w:proofErr w:type="gramStart"/>
      <w:r>
        <w:t>Duke Initial Brief at 18.</w:t>
      </w:r>
      <w:proofErr w:type="gramEnd"/>
      <w:r>
        <w:t xml:space="preserve"> </w:t>
      </w:r>
    </w:p>
    <w:p w:rsidR="00913FD9" w:rsidRDefault="00913FD9">
      <w:pPr>
        <w:pStyle w:val="FootnoteText"/>
      </w:pPr>
    </w:p>
  </w:footnote>
  <w:footnote w:id="12">
    <w:p w:rsidR="00913FD9" w:rsidRDefault="00913FD9">
      <w:pPr>
        <w:pStyle w:val="FootnoteText"/>
      </w:pPr>
      <w:r>
        <w:rPr>
          <w:rStyle w:val="FootnoteReference"/>
        </w:rPr>
        <w:footnoteRef/>
      </w:r>
      <w:r>
        <w:t xml:space="preserve"> </w:t>
      </w:r>
      <w:proofErr w:type="gramStart"/>
      <w:r>
        <w:t>Duke Initial Brief at 18.</w:t>
      </w:r>
      <w:proofErr w:type="gramEnd"/>
      <w:r>
        <w:br/>
      </w:r>
    </w:p>
  </w:footnote>
  <w:footnote w:id="13">
    <w:p w:rsidR="00913FD9" w:rsidRPr="009B2742" w:rsidRDefault="00913FD9">
      <w:pPr>
        <w:pStyle w:val="FootnoteText"/>
        <w:rPr>
          <w:i/>
        </w:rPr>
      </w:pPr>
      <w:r>
        <w:rPr>
          <w:rStyle w:val="FootnoteReference"/>
        </w:rPr>
        <w:footnoteRef/>
      </w:r>
      <w:r>
        <w:t xml:space="preserve"> </w:t>
      </w:r>
      <w:r>
        <w:rPr>
          <w:i/>
        </w:rPr>
        <w:t xml:space="preserve">Id. </w:t>
      </w:r>
    </w:p>
  </w:footnote>
  <w:footnote w:id="14">
    <w:p w:rsidR="00913FD9" w:rsidRDefault="00913FD9">
      <w:pPr>
        <w:pStyle w:val="FootnoteText"/>
      </w:pPr>
      <w:r>
        <w:rPr>
          <w:rStyle w:val="FootnoteReference"/>
        </w:rPr>
        <w:footnoteRef/>
      </w:r>
      <w:r>
        <w:t xml:space="preserve"> </w:t>
      </w:r>
      <w:proofErr w:type="gramStart"/>
      <w:r>
        <w:t>Duke Initial Brief at 24.</w:t>
      </w:r>
      <w:proofErr w:type="gramEnd"/>
    </w:p>
    <w:p w:rsidR="00913FD9" w:rsidRDefault="00913FD9">
      <w:pPr>
        <w:pStyle w:val="FootnoteText"/>
      </w:pPr>
    </w:p>
  </w:footnote>
  <w:footnote w:id="15">
    <w:p w:rsidR="00913FD9" w:rsidRDefault="00913FD9" w:rsidP="002259FE">
      <w:pPr>
        <w:pStyle w:val="FootnoteText"/>
        <w:jc w:val="both"/>
      </w:pPr>
      <w:r w:rsidRPr="00D108D0">
        <w:rPr>
          <w:rStyle w:val="FootnoteReference"/>
        </w:rPr>
        <w:footnoteRef/>
      </w:r>
      <w:r w:rsidRPr="00D108D0">
        <w:t xml:space="preserve"> At best, the PSR entails a product or service other than retail electric service.</w:t>
      </w:r>
    </w:p>
    <w:p w:rsidR="00913FD9" w:rsidRPr="00D108D0" w:rsidRDefault="00913FD9" w:rsidP="002259FE">
      <w:pPr>
        <w:pStyle w:val="FootnoteText"/>
        <w:jc w:val="both"/>
      </w:pPr>
    </w:p>
  </w:footnote>
  <w:footnote w:id="16">
    <w:p w:rsidR="00913FD9" w:rsidRDefault="00913FD9">
      <w:pPr>
        <w:pStyle w:val="FootnoteText"/>
      </w:pPr>
      <w:r>
        <w:rPr>
          <w:rStyle w:val="FootnoteReference"/>
        </w:rPr>
        <w:footnoteRef/>
      </w:r>
      <w:r>
        <w:t xml:space="preserve"> Duke Ex. 2 at 10.</w:t>
      </w:r>
    </w:p>
    <w:p w:rsidR="00913FD9" w:rsidRDefault="00913FD9">
      <w:pPr>
        <w:pStyle w:val="FootnoteText"/>
      </w:pPr>
    </w:p>
  </w:footnote>
  <w:footnote w:id="17">
    <w:p w:rsidR="00913FD9" w:rsidRDefault="00913FD9" w:rsidP="002259FE">
      <w:pPr>
        <w:pStyle w:val="FootnoteText"/>
        <w:jc w:val="both"/>
      </w:pPr>
      <w:r w:rsidRPr="00D108D0">
        <w:rPr>
          <w:rStyle w:val="FootnoteReference"/>
        </w:rPr>
        <w:footnoteRef/>
      </w:r>
      <w:r w:rsidRPr="00D108D0">
        <w:t xml:space="preserve"> </w:t>
      </w:r>
      <w:proofErr w:type="gramStart"/>
      <w:r>
        <w:t>Tr. Vol. II at 472-73.</w:t>
      </w:r>
      <w:proofErr w:type="gramEnd"/>
      <w:r>
        <w:t xml:space="preserve"> See, also, the Commission’s Apples to Apples Chart applicable to Duke viewed</w:t>
      </w:r>
    </w:p>
    <w:p w:rsidR="00913FD9" w:rsidRDefault="00913FD9" w:rsidP="002259FE">
      <w:pPr>
        <w:pStyle w:val="FootnoteText"/>
        <w:jc w:val="both"/>
      </w:pPr>
      <w:proofErr w:type="gramStart"/>
      <w:r>
        <w:t>at</w:t>
      </w:r>
      <w:proofErr w:type="gramEnd"/>
      <w:r>
        <w:t xml:space="preserve"> </w:t>
      </w:r>
      <w:hyperlink r:id="rId1" w:history="1">
        <w:r w:rsidRPr="00D86A5C">
          <w:rPr>
            <w:rStyle w:val="Hyperlink"/>
          </w:rPr>
          <w:t>http://energychoice.ohio.gov/ApplesToApplesCategory.aspx?Category=Electric</w:t>
        </w:r>
      </w:hyperlink>
      <w:r>
        <w:t xml:space="preserve">.  Volatility does not exist in forward market prices. </w:t>
      </w:r>
      <w:proofErr w:type="gramStart"/>
      <w:r w:rsidRPr="00D108D0">
        <w:t xml:space="preserve">Tr. </w:t>
      </w:r>
      <w:r>
        <w:t xml:space="preserve">Vol. </w:t>
      </w:r>
      <w:r w:rsidRPr="00D108D0">
        <w:t>XII at 3446.</w:t>
      </w:r>
      <w:proofErr w:type="gramEnd"/>
    </w:p>
    <w:p w:rsidR="00913FD9" w:rsidRPr="00D108D0" w:rsidRDefault="00913FD9" w:rsidP="002259FE">
      <w:pPr>
        <w:pStyle w:val="FootnoteText"/>
        <w:jc w:val="both"/>
      </w:pPr>
    </w:p>
  </w:footnote>
  <w:footnote w:id="18">
    <w:p w:rsidR="00913FD9" w:rsidRDefault="00913FD9" w:rsidP="002259FE">
      <w:pPr>
        <w:pStyle w:val="FootnoteText"/>
        <w:jc w:val="both"/>
        <w:rPr>
          <w:i/>
        </w:rPr>
      </w:pPr>
      <w:r>
        <w:rPr>
          <w:rStyle w:val="FootnoteReference"/>
        </w:rPr>
        <w:footnoteRef/>
      </w:r>
      <w:r>
        <w:t xml:space="preserve"> </w:t>
      </w:r>
      <w:r>
        <w:rPr>
          <w:i/>
        </w:rPr>
        <w:t xml:space="preserve">Id. </w:t>
      </w:r>
    </w:p>
    <w:p w:rsidR="00913FD9" w:rsidRPr="002259FE" w:rsidRDefault="00913FD9" w:rsidP="002259FE">
      <w:pPr>
        <w:pStyle w:val="FootnoteText"/>
        <w:jc w:val="both"/>
        <w:rPr>
          <w:i/>
        </w:rPr>
      </w:pPr>
    </w:p>
  </w:footnote>
  <w:footnote w:id="19">
    <w:p w:rsidR="00913FD9" w:rsidRDefault="00913FD9" w:rsidP="002259FE">
      <w:pPr>
        <w:pStyle w:val="FootnoteText"/>
        <w:jc w:val="both"/>
      </w:pPr>
      <w:r>
        <w:rPr>
          <w:rStyle w:val="FootnoteReference"/>
        </w:rPr>
        <w:footnoteRef/>
      </w:r>
      <w:r>
        <w:t xml:space="preserve"> </w:t>
      </w:r>
      <w:proofErr w:type="gramStart"/>
      <w:r>
        <w:t xml:space="preserve">Sierra Club Ex. 2 at 2 (containing the Statement of Michael J. </w:t>
      </w:r>
      <w:proofErr w:type="spellStart"/>
      <w:r>
        <w:t>Kormos</w:t>
      </w:r>
      <w:proofErr w:type="spellEnd"/>
      <w:r>
        <w:t>, Executive Vice President—Operations PJM Interconnection, L.L.C.).</w:t>
      </w:r>
      <w:proofErr w:type="gramEnd"/>
      <w:r>
        <w:t xml:space="preserve"> </w:t>
      </w:r>
    </w:p>
    <w:p w:rsidR="00913FD9" w:rsidRDefault="00913FD9" w:rsidP="002259FE">
      <w:pPr>
        <w:pStyle w:val="FootnoteText"/>
        <w:jc w:val="both"/>
      </w:pPr>
    </w:p>
  </w:footnote>
  <w:footnote w:id="20">
    <w:p w:rsidR="00913FD9" w:rsidRDefault="00913FD9" w:rsidP="002259FE">
      <w:pPr>
        <w:pStyle w:val="FootnoteText"/>
      </w:pPr>
      <w:r>
        <w:rPr>
          <w:rStyle w:val="FootnoteReference"/>
        </w:rPr>
        <w:footnoteRef/>
      </w:r>
      <w:r>
        <w:t xml:space="preserve"> According to PJM, “overall the gas interruptions were not the major driver of the high forced outage rates experienced in the PJM region . . . . </w:t>
      </w:r>
      <w:proofErr w:type="gramStart"/>
      <w:r>
        <w:t>equipment</w:t>
      </w:r>
      <w:proofErr w:type="gramEnd"/>
      <w:r>
        <w:t xml:space="preserve"> issues associated with both coal and natural gas units made up the far greater proportion of forced outages.”  Sierra Club Ex. 2 at 4.</w:t>
      </w:r>
    </w:p>
    <w:p w:rsidR="00913FD9" w:rsidRDefault="00913FD9" w:rsidP="002259FE">
      <w:pPr>
        <w:pStyle w:val="FootnoteText"/>
      </w:pPr>
    </w:p>
  </w:footnote>
  <w:footnote w:id="21">
    <w:p w:rsidR="00913FD9" w:rsidRDefault="00913FD9">
      <w:pPr>
        <w:pStyle w:val="FootnoteText"/>
      </w:pPr>
      <w:r>
        <w:rPr>
          <w:rStyle w:val="FootnoteReference"/>
        </w:rPr>
        <w:footnoteRef/>
      </w:r>
      <w:r>
        <w:t xml:space="preserve"> Even monthly variable priced contracts do not reflect day to day price volatility in the wholesale electric prices.  See PUCO Apples to Apples website with respect to terms and conditions.</w:t>
      </w:r>
    </w:p>
    <w:p w:rsidR="00913FD9" w:rsidRDefault="00913FD9">
      <w:pPr>
        <w:pStyle w:val="FootnoteText"/>
      </w:pPr>
    </w:p>
  </w:footnote>
  <w:footnote w:id="22">
    <w:p w:rsidR="00913FD9" w:rsidRDefault="00913FD9">
      <w:pPr>
        <w:pStyle w:val="FootnoteText"/>
      </w:pPr>
      <w:r>
        <w:rPr>
          <w:rStyle w:val="FootnoteReference"/>
        </w:rPr>
        <w:footnoteRef/>
      </w:r>
      <w:r>
        <w:t xml:space="preserve"> Duke Ex. 6 at 14.</w:t>
      </w:r>
    </w:p>
    <w:p w:rsidR="00913FD9" w:rsidRDefault="00913FD9">
      <w:pPr>
        <w:pStyle w:val="FootnoteText"/>
      </w:pPr>
    </w:p>
  </w:footnote>
  <w:footnote w:id="23">
    <w:p w:rsidR="00913FD9" w:rsidRDefault="00913FD9" w:rsidP="00B10D03">
      <w:pPr>
        <w:pStyle w:val="FootnoteText"/>
      </w:pPr>
      <w:r>
        <w:rPr>
          <w:rStyle w:val="FootnoteReference"/>
        </w:rPr>
        <w:footnoteRef/>
      </w:r>
      <w:r>
        <w:t xml:space="preserve"> </w:t>
      </w:r>
      <w:proofErr w:type="gramStart"/>
      <w:r w:rsidRPr="00892CA1">
        <w:t>Tr. Vol. II at 589-91.</w:t>
      </w:r>
      <w:proofErr w:type="gramEnd"/>
      <w:r w:rsidRPr="00892CA1">
        <w:t xml:space="preserve"> </w:t>
      </w:r>
      <w:r>
        <w:t xml:space="preserve"> </w:t>
      </w:r>
    </w:p>
    <w:p w:rsidR="00913FD9" w:rsidRDefault="00913FD9" w:rsidP="00B10D03">
      <w:pPr>
        <w:pStyle w:val="FootnoteText"/>
      </w:pPr>
    </w:p>
  </w:footnote>
  <w:footnote w:id="24">
    <w:p w:rsidR="00913FD9" w:rsidRDefault="00913FD9">
      <w:pPr>
        <w:pStyle w:val="FootnoteText"/>
      </w:pPr>
      <w:r>
        <w:rPr>
          <w:rStyle w:val="FootnoteReference"/>
        </w:rPr>
        <w:footnoteRef/>
      </w:r>
      <w:r>
        <w:t xml:space="preserve"> See OCC Ex. 4;</w:t>
      </w:r>
      <w:r>
        <w:rPr>
          <w:i/>
        </w:rPr>
        <w:t xml:space="preserve"> </w:t>
      </w:r>
      <w:r>
        <w:t>Tr. Vol. IX CONF 2516-2519 (cross-examination of Bryan Dougherty);</w:t>
      </w:r>
      <w:r w:rsidRPr="00892CA1">
        <w:t xml:space="preserve"> Tr. Vol. I at 223</w:t>
      </w:r>
      <w:r>
        <w:t>, 225-26;</w:t>
      </w:r>
      <w:r w:rsidRPr="00870782">
        <w:t xml:space="preserve"> </w:t>
      </w:r>
      <w:r>
        <w:rPr>
          <w:i/>
        </w:rPr>
        <w:t xml:space="preserve">see </w:t>
      </w:r>
      <w:r>
        <w:t>IGS Ex. 12 at</w:t>
      </w:r>
      <w:r w:rsidRPr="00870782">
        <w:t xml:space="preserve"> </w:t>
      </w:r>
      <w:r>
        <w:t xml:space="preserve">CONF </w:t>
      </w:r>
      <w:r w:rsidRPr="00870782">
        <w:t>TH-7.</w:t>
      </w:r>
      <w:r>
        <w:t xml:space="preserve">  </w:t>
      </w:r>
      <w:r>
        <w:rPr>
          <w:i/>
        </w:rPr>
        <w:t xml:space="preserve">See also </w:t>
      </w:r>
      <w:r>
        <w:t>IGS Ex. 12 at 11-16.</w:t>
      </w:r>
    </w:p>
    <w:p w:rsidR="00913FD9" w:rsidRPr="00870782" w:rsidRDefault="00913FD9">
      <w:pPr>
        <w:pStyle w:val="FootnoteText"/>
      </w:pPr>
    </w:p>
  </w:footnote>
  <w:footnote w:id="25">
    <w:p w:rsidR="00913FD9" w:rsidRDefault="00913FD9">
      <w:pPr>
        <w:pStyle w:val="FootnoteText"/>
      </w:pPr>
      <w:r>
        <w:rPr>
          <w:rStyle w:val="FootnoteReference"/>
        </w:rPr>
        <w:footnoteRef/>
      </w:r>
      <w:r>
        <w:t xml:space="preserve"> </w:t>
      </w:r>
      <w:proofErr w:type="gramStart"/>
      <w:r w:rsidRPr="00870782">
        <w:t>Tr. Vol. II at 461-62; Tr. Vol. III at 607-08</w:t>
      </w:r>
      <w:r>
        <w:t xml:space="preserve"> (correcting the estimate provided in transcript pages 461-62)</w:t>
      </w:r>
      <w:r w:rsidRPr="00870782">
        <w:t>.</w:t>
      </w:r>
      <w:proofErr w:type="gramEnd"/>
    </w:p>
    <w:p w:rsidR="00913FD9" w:rsidRDefault="00913FD9">
      <w:pPr>
        <w:pStyle w:val="FootnoteText"/>
      </w:pPr>
    </w:p>
  </w:footnote>
  <w:footnote w:id="26">
    <w:p w:rsidR="00913FD9" w:rsidRDefault="00913FD9">
      <w:pPr>
        <w:pStyle w:val="FootnoteText"/>
      </w:pPr>
      <w:r>
        <w:rPr>
          <w:rStyle w:val="FootnoteReference"/>
        </w:rPr>
        <w:footnoteRef/>
      </w:r>
      <w:r>
        <w:t xml:space="preserve"> Tr. Vol. I at 67; </w:t>
      </w:r>
      <w:r>
        <w:rPr>
          <w:i/>
        </w:rPr>
        <w:t xml:space="preserve">see also </w:t>
      </w:r>
      <w:r>
        <w:t xml:space="preserve">IGS Ex. 12 at 10. </w:t>
      </w:r>
    </w:p>
    <w:p w:rsidR="00913FD9" w:rsidRPr="00826C21" w:rsidRDefault="00913FD9">
      <w:pPr>
        <w:pStyle w:val="FootnoteText"/>
      </w:pPr>
    </w:p>
  </w:footnote>
  <w:footnote w:id="27">
    <w:p w:rsidR="00913FD9" w:rsidRDefault="00913FD9" w:rsidP="00EE2DC8">
      <w:pPr>
        <w:pStyle w:val="FootnoteText"/>
        <w:jc w:val="both"/>
      </w:pPr>
      <w:r>
        <w:rPr>
          <w:rStyle w:val="FootnoteReference"/>
        </w:rPr>
        <w:footnoteRef/>
      </w:r>
      <w:r>
        <w:t xml:space="preserve"> “These units have an average age of 56.9 years, and an average size of 170.0 MW. This indicates that on average, retirements have consisted of smaller sub-critical coal steam units and those without adequate environmental controls to remain viable beyond 2015.”  IGS Ex. 1 at 367 (State of the Market Report for PJM, Q1 Monitoring Analytics (May 15, 2014)).</w:t>
      </w:r>
    </w:p>
    <w:p w:rsidR="00913FD9" w:rsidRDefault="00913FD9" w:rsidP="00EE2DC8">
      <w:pPr>
        <w:pStyle w:val="FootnoteText"/>
        <w:jc w:val="both"/>
      </w:pPr>
    </w:p>
  </w:footnote>
  <w:footnote w:id="28">
    <w:p w:rsidR="00913FD9" w:rsidRDefault="00913FD9">
      <w:pPr>
        <w:pStyle w:val="FootnoteText"/>
      </w:pPr>
      <w:r>
        <w:rPr>
          <w:rStyle w:val="FootnoteReference"/>
        </w:rPr>
        <w:footnoteRef/>
      </w:r>
      <w:r>
        <w:t xml:space="preserve"> IGS Ex. 1 at 362.</w:t>
      </w:r>
    </w:p>
    <w:p w:rsidR="00913FD9" w:rsidRDefault="00913FD9">
      <w:pPr>
        <w:pStyle w:val="FootnoteText"/>
      </w:pPr>
    </w:p>
  </w:footnote>
  <w:footnote w:id="29">
    <w:p w:rsidR="00913FD9" w:rsidRDefault="00913FD9">
      <w:pPr>
        <w:pStyle w:val="FootnoteText"/>
      </w:pPr>
      <w:r>
        <w:rPr>
          <w:rStyle w:val="FootnoteReference"/>
        </w:rPr>
        <w:footnoteRef/>
      </w:r>
      <w:r>
        <w:t xml:space="preserve"> IGS Ex. 1 at 361.</w:t>
      </w:r>
    </w:p>
    <w:p w:rsidR="00913FD9" w:rsidRDefault="00913FD9">
      <w:pPr>
        <w:pStyle w:val="FootnoteText"/>
      </w:pPr>
    </w:p>
  </w:footnote>
  <w:footnote w:id="30">
    <w:p w:rsidR="00913FD9" w:rsidRDefault="00913FD9">
      <w:pPr>
        <w:pStyle w:val="FootnoteText"/>
      </w:pPr>
      <w:r>
        <w:rPr>
          <w:rStyle w:val="FootnoteReference"/>
        </w:rPr>
        <w:footnoteRef/>
      </w:r>
      <w:r>
        <w:t xml:space="preserve"> Duke Brief at 21-22.</w:t>
      </w:r>
    </w:p>
    <w:p w:rsidR="00913FD9" w:rsidRDefault="00913FD9" w:rsidP="00D35503">
      <w:pPr>
        <w:pStyle w:val="FootnoteText"/>
        <w:jc w:val="both"/>
      </w:pPr>
    </w:p>
  </w:footnote>
  <w:footnote w:id="31">
    <w:p w:rsidR="00913FD9" w:rsidRPr="00D35503" w:rsidRDefault="00913FD9" w:rsidP="00D35503">
      <w:pPr>
        <w:pStyle w:val="FootnoteText"/>
        <w:jc w:val="both"/>
        <w:rPr>
          <w:i/>
        </w:rPr>
      </w:pPr>
      <w:r>
        <w:rPr>
          <w:rStyle w:val="FootnoteReference"/>
        </w:rPr>
        <w:footnoteRef/>
      </w:r>
      <w:r>
        <w:t xml:space="preserve"> </w:t>
      </w:r>
      <w:r w:rsidRPr="00D35503">
        <w:rPr>
          <w:i/>
        </w:rPr>
        <w:t>Reforms to the Re</w:t>
      </w:r>
      <w:r>
        <w:rPr>
          <w:i/>
        </w:rPr>
        <w:t xml:space="preserve">liability Pricing Market and Related Rules in the PJM </w:t>
      </w:r>
      <w:r w:rsidRPr="00D35503">
        <w:rPr>
          <w:i/>
        </w:rPr>
        <w:t xml:space="preserve">Open Access Transmission Tariff (“Tariff”) and </w:t>
      </w:r>
      <w:r>
        <w:rPr>
          <w:i/>
        </w:rPr>
        <w:t xml:space="preserve">Reliability Assurance Agreement </w:t>
      </w:r>
      <w:r w:rsidRPr="00D35503">
        <w:rPr>
          <w:i/>
        </w:rPr>
        <w:t>Among Load Serving Entities</w:t>
      </w:r>
      <w:r>
        <w:t xml:space="preserve"> (“RAA”), FERC Docket </w:t>
      </w:r>
      <w:r w:rsidRPr="00D35503">
        <w:t>ER15-623</w:t>
      </w:r>
      <w:r w:rsidR="00A062B1">
        <w:t>, Application</w:t>
      </w:r>
      <w:r w:rsidR="00A062B1" w:rsidRPr="00A062B1">
        <w:t xml:space="preserve"> </w:t>
      </w:r>
      <w:r>
        <w:t>at 42-44 (Dec. 12, 2014).</w:t>
      </w:r>
    </w:p>
  </w:footnote>
  <w:footnote w:id="32">
    <w:p w:rsidR="00913FD9" w:rsidRDefault="00913FD9" w:rsidP="00C82E38">
      <w:pPr>
        <w:pStyle w:val="FootnoteText"/>
        <w:jc w:val="both"/>
      </w:pPr>
      <w:r>
        <w:rPr>
          <w:rStyle w:val="FootnoteReference"/>
        </w:rPr>
        <w:footnoteRef/>
      </w:r>
      <w:r>
        <w:t xml:space="preserve"> </w:t>
      </w:r>
      <w:r w:rsidRPr="00C82E38">
        <w:rPr>
          <w:i/>
        </w:rPr>
        <w:t>Federal Energy Regulatory Commission v. Electric Power Supply Association, et al.</w:t>
      </w:r>
      <w:r>
        <w:t xml:space="preserve">, Application No. 14A596 (granting an extension of the deadline to file a </w:t>
      </w:r>
      <w:r w:rsidRPr="00C82E38">
        <w:t>writ of certiorari</w:t>
      </w:r>
      <w:r>
        <w:t>) (Dec. 8, 2014).</w:t>
      </w:r>
    </w:p>
    <w:p w:rsidR="00913FD9" w:rsidRDefault="00913FD9" w:rsidP="00C82E38">
      <w:pPr>
        <w:pStyle w:val="FootnoteText"/>
        <w:jc w:val="both"/>
      </w:pPr>
    </w:p>
  </w:footnote>
  <w:footnote w:id="33">
    <w:p w:rsidR="00913FD9" w:rsidRDefault="00913FD9" w:rsidP="00C82E38">
      <w:pPr>
        <w:pStyle w:val="FootnoteText"/>
      </w:pPr>
      <w:r>
        <w:rPr>
          <w:rStyle w:val="FootnoteReference"/>
        </w:rPr>
        <w:footnoteRef/>
      </w:r>
      <w:r>
        <w:t xml:space="preserve"> Tr. Vol. VI at 1731-33.</w:t>
      </w:r>
    </w:p>
  </w:footnote>
  <w:footnote w:id="34">
    <w:p w:rsidR="00913FD9" w:rsidRDefault="00913FD9">
      <w:pPr>
        <w:pStyle w:val="FootnoteText"/>
      </w:pPr>
      <w:r>
        <w:rPr>
          <w:rStyle w:val="FootnoteReference"/>
        </w:rPr>
        <w:footnoteRef/>
      </w:r>
      <w:r>
        <w:t xml:space="preserve"> </w:t>
      </w:r>
      <w:r>
        <w:rPr>
          <w:i/>
        </w:rPr>
        <w:t xml:space="preserve">See </w:t>
      </w:r>
      <w:r>
        <w:t>Initial Brief of the Ohio Energy Group at 11-14.</w:t>
      </w:r>
    </w:p>
    <w:p w:rsidR="00913FD9" w:rsidRPr="00C82E38" w:rsidRDefault="00913FD9">
      <w:pPr>
        <w:pStyle w:val="FootnoteText"/>
      </w:pPr>
    </w:p>
  </w:footnote>
  <w:footnote w:id="35">
    <w:p w:rsidR="00913FD9" w:rsidRDefault="00913FD9">
      <w:pPr>
        <w:pStyle w:val="FootnoteText"/>
        <w:rPr>
          <w:i/>
        </w:rPr>
      </w:pPr>
      <w:r>
        <w:rPr>
          <w:rStyle w:val="FootnoteReference"/>
        </w:rPr>
        <w:footnoteRef/>
      </w:r>
      <w:r>
        <w:t xml:space="preserve"> </w:t>
      </w:r>
      <w:r>
        <w:rPr>
          <w:i/>
        </w:rPr>
        <w:t xml:space="preserve">Id. </w:t>
      </w:r>
    </w:p>
    <w:p w:rsidR="00913FD9" w:rsidRPr="00C82E38" w:rsidRDefault="00913FD9">
      <w:pPr>
        <w:pStyle w:val="FootnoteText"/>
        <w:rPr>
          <w:i/>
        </w:rPr>
      </w:pPr>
    </w:p>
  </w:footnote>
  <w:footnote w:id="36">
    <w:p w:rsidR="00913FD9" w:rsidRDefault="00913FD9" w:rsidP="00D35503">
      <w:pPr>
        <w:pStyle w:val="FootnoteText"/>
        <w:jc w:val="both"/>
      </w:pPr>
      <w:r>
        <w:rPr>
          <w:rStyle w:val="FootnoteReference"/>
        </w:rPr>
        <w:footnoteRef/>
      </w:r>
      <w:r w:rsidRPr="00D71C8F">
        <w:t xml:space="preserve"> </w:t>
      </w:r>
      <w:proofErr w:type="gramStart"/>
      <w:r w:rsidRPr="00D71C8F">
        <w:rPr>
          <w:i/>
        </w:rPr>
        <w:t xml:space="preserve">PPL Energy Plus v. </w:t>
      </w:r>
      <w:proofErr w:type="spellStart"/>
      <w:r w:rsidRPr="00D71C8F">
        <w:rPr>
          <w:i/>
        </w:rPr>
        <w:t>Nazarian</w:t>
      </w:r>
      <w:proofErr w:type="spellEnd"/>
      <w:r w:rsidRPr="00D71C8F">
        <w:t>,</w:t>
      </w:r>
      <w:r>
        <w:t xml:space="preserve"> Case Nos. 13-2419, 13-2424</w:t>
      </w:r>
      <w:r w:rsidRPr="00D71C8F">
        <w:t xml:space="preserve"> (4</w:t>
      </w:r>
      <w:r w:rsidRPr="00D71C8F">
        <w:rPr>
          <w:vertAlign w:val="superscript"/>
        </w:rPr>
        <w:t>th</w:t>
      </w:r>
      <w:r w:rsidRPr="00D71C8F">
        <w:t xml:space="preserve"> Cir. Ct. Appeals) (2014)</w:t>
      </w:r>
      <w:r>
        <w:rPr>
          <w:i/>
        </w:rPr>
        <w:t xml:space="preserve">; </w:t>
      </w:r>
      <w:r w:rsidRPr="00C82E38">
        <w:rPr>
          <w:i/>
        </w:rPr>
        <w:t xml:space="preserve">PPL Energy Plus v. Solomon </w:t>
      </w:r>
      <w:r w:rsidRPr="00C82E38">
        <w:t>at 24-29, Case No. 13-4330 (3</w:t>
      </w:r>
      <w:r w:rsidRPr="00C82E38">
        <w:rPr>
          <w:vertAlign w:val="superscript"/>
        </w:rPr>
        <w:t>rd</w:t>
      </w:r>
      <w:r>
        <w:t xml:space="preserve"> Cir. Ct. Appeals) (2014).</w:t>
      </w:r>
      <w:proofErr w:type="gramEnd"/>
    </w:p>
  </w:footnote>
  <w:footnote w:id="37">
    <w:p w:rsidR="00913FD9" w:rsidRDefault="00913FD9">
      <w:pPr>
        <w:pStyle w:val="FootnoteText"/>
      </w:pPr>
      <w:r>
        <w:rPr>
          <w:rStyle w:val="FootnoteReference"/>
        </w:rPr>
        <w:footnoteRef/>
      </w:r>
      <w:r>
        <w:t xml:space="preserve"> IGS Initial Brief at 21-22.</w:t>
      </w:r>
    </w:p>
    <w:p w:rsidR="00913FD9" w:rsidRDefault="00913FD9">
      <w:pPr>
        <w:pStyle w:val="FootnoteText"/>
      </w:pPr>
    </w:p>
  </w:footnote>
  <w:footnote w:id="38">
    <w:p w:rsidR="00913FD9" w:rsidRDefault="00913FD9">
      <w:pPr>
        <w:pStyle w:val="FootnoteText"/>
        <w:rPr>
          <w:i/>
        </w:rPr>
      </w:pPr>
      <w:r>
        <w:rPr>
          <w:rStyle w:val="FootnoteReference"/>
        </w:rPr>
        <w:footnoteRef/>
      </w:r>
      <w:r>
        <w:t xml:space="preserve"> </w:t>
      </w:r>
      <w:r>
        <w:rPr>
          <w:i/>
        </w:rPr>
        <w:t xml:space="preserve">Id. </w:t>
      </w:r>
    </w:p>
    <w:p w:rsidR="00913FD9" w:rsidRPr="009B2742" w:rsidRDefault="00913FD9">
      <w:pPr>
        <w:pStyle w:val="FootnoteText"/>
        <w:rPr>
          <w:i/>
        </w:rPr>
      </w:pPr>
    </w:p>
  </w:footnote>
  <w:footnote w:id="39">
    <w:p w:rsidR="00913FD9" w:rsidRDefault="00913FD9">
      <w:pPr>
        <w:pStyle w:val="FootnoteText"/>
        <w:rPr>
          <w:i/>
        </w:rPr>
      </w:pPr>
      <w:r>
        <w:rPr>
          <w:rStyle w:val="FootnoteReference"/>
        </w:rPr>
        <w:footnoteRef/>
      </w:r>
      <w:r>
        <w:t xml:space="preserve"> </w:t>
      </w:r>
      <w:r>
        <w:rPr>
          <w:i/>
        </w:rPr>
        <w:t xml:space="preserve">Id. </w:t>
      </w:r>
    </w:p>
    <w:p w:rsidR="00913FD9" w:rsidRPr="009B2742" w:rsidRDefault="00913FD9">
      <w:pPr>
        <w:pStyle w:val="FootnoteText"/>
        <w:rPr>
          <w:i/>
        </w:rPr>
      </w:pPr>
    </w:p>
  </w:footnote>
  <w:footnote w:id="40">
    <w:p w:rsidR="00913FD9" w:rsidRDefault="00913FD9">
      <w:pPr>
        <w:pStyle w:val="FootnoteText"/>
      </w:pPr>
      <w:r>
        <w:rPr>
          <w:rStyle w:val="FootnoteReference"/>
        </w:rPr>
        <w:footnoteRef/>
      </w:r>
      <w:r>
        <w:t xml:space="preserve"> </w:t>
      </w:r>
      <w:r>
        <w:rPr>
          <w:i/>
        </w:rPr>
        <w:t>In the Matter of the Application of the Dayton Power and Light Company for Authority to Transfer or Sell Its Generating Assets</w:t>
      </w:r>
      <w:r>
        <w:t>, Case No. 13-2420-EL-UNC, Finding and Order at 15 (September 17, 2014).</w:t>
      </w:r>
    </w:p>
    <w:p w:rsidR="00913FD9" w:rsidRDefault="00913FD9">
      <w:pPr>
        <w:pStyle w:val="FootnoteText"/>
      </w:pPr>
    </w:p>
  </w:footnote>
  <w:footnote w:id="41">
    <w:p w:rsidR="00913FD9" w:rsidRDefault="00913FD9">
      <w:pPr>
        <w:pStyle w:val="FootnoteText"/>
      </w:pPr>
      <w:r>
        <w:rPr>
          <w:rStyle w:val="FootnoteReference"/>
        </w:rPr>
        <w:footnoteRef/>
      </w:r>
      <w:r>
        <w:t xml:space="preserve"> IGS Initial Brief at 13-14.</w:t>
      </w:r>
    </w:p>
    <w:p w:rsidR="00913FD9" w:rsidRDefault="00913FD9">
      <w:pPr>
        <w:pStyle w:val="FootnoteText"/>
      </w:pPr>
    </w:p>
  </w:footnote>
  <w:footnote w:id="42">
    <w:p w:rsidR="00913FD9" w:rsidRDefault="00913FD9">
      <w:pPr>
        <w:pStyle w:val="FootnoteText"/>
      </w:pPr>
      <w:r>
        <w:rPr>
          <w:rStyle w:val="FootnoteReference"/>
        </w:rPr>
        <w:footnoteRef/>
      </w:r>
      <w:r>
        <w:t xml:space="preserve"> </w:t>
      </w:r>
      <w:r w:rsidRPr="006A00A3">
        <w:t xml:space="preserve">See </w:t>
      </w:r>
      <w:r>
        <w:t xml:space="preserve">R.C. </w:t>
      </w:r>
      <w:r w:rsidRPr="006A00A3">
        <w:t>4928.02(B)</w:t>
      </w:r>
      <w:r>
        <w:t>.</w:t>
      </w:r>
    </w:p>
    <w:p w:rsidR="00913FD9" w:rsidRDefault="00913FD9">
      <w:pPr>
        <w:pStyle w:val="FootnoteText"/>
      </w:pPr>
    </w:p>
  </w:footnote>
  <w:footnote w:id="43">
    <w:p w:rsidR="00913FD9" w:rsidRDefault="00913FD9">
      <w:pPr>
        <w:pStyle w:val="FootnoteText"/>
      </w:pPr>
      <w:r>
        <w:rPr>
          <w:rStyle w:val="FootnoteReference"/>
        </w:rPr>
        <w:footnoteRef/>
      </w:r>
      <w:r>
        <w:t xml:space="preserve"> </w:t>
      </w:r>
      <w:proofErr w:type="gramStart"/>
      <w:r>
        <w:t>IGS Initial Brief at 14.</w:t>
      </w:r>
      <w:proofErr w:type="gramEnd"/>
    </w:p>
    <w:p w:rsidR="00913FD9" w:rsidRDefault="00913FD9">
      <w:pPr>
        <w:pStyle w:val="FootnoteText"/>
      </w:pPr>
    </w:p>
  </w:footnote>
  <w:footnote w:id="44">
    <w:p w:rsidR="00913FD9" w:rsidRDefault="00913FD9">
      <w:pPr>
        <w:pStyle w:val="FootnoteText"/>
      </w:pPr>
      <w:r>
        <w:rPr>
          <w:rStyle w:val="FootnoteReference"/>
        </w:rPr>
        <w:footnoteRef/>
      </w:r>
      <w:r>
        <w:t xml:space="preserve"> </w:t>
      </w:r>
      <w:r w:rsidRPr="00913FD9">
        <w:rPr>
          <w:i/>
        </w:rPr>
        <w:t>Id</w:t>
      </w:r>
      <w:r>
        <w:rPr>
          <w:i/>
        </w:rPr>
        <w:t>.</w:t>
      </w:r>
      <w:r>
        <w:t xml:space="preserve"> at 15-17.</w:t>
      </w:r>
    </w:p>
    <w:p w:rsidR="00913FD9" w:rsidRDefault="00913FD9">
      <w:pPr>
        <w:pStyle w:val="FootnoteText"/>
      </w:pPr>
    </w:p>
  </w:footnote>
  <w:footnote w:id="45">
    <w:p w:rsidR="00913FD9" w:rsidRDefault="00913FD9">
      <w:pPr>
        <w:pStyle w:val="FootnoteText"/>
      </w:pPr>
      <w:r>
        <w:rPr>
          <w:rStyle w:val="FootnoteReference"/>
        </w:rPr>
        <w:footnoteRef/>
      </w:r>
      <w:r>
        <w:t xml:space="preserve"> </w:t>
      </w:r>
      <w:proofErr w:type="gramStart"/>
      <w:r>
        <w:t>Duke Initial Brief at 46.</w:t>
      </w:r>
      <w:proofErr w:type="gramEnd"/>
    </w:p>
    <w:p w:rsidR="00913FD9" w:rsidRDefault="00913FD9">
      <w:pPr>
        <w:pStyle w:val="FootnoteText"/>
      </w:pPr>
    </w:p>
  </w:footnote>
  <w:footnote w:id="46">
    <w:p w:rsidR="00913FD9" w:rsidRDefault="00913FD9">
      <w:pPr>
        <w:pStyle w:val="FootnoteText"/>
      </w:pPr>
      <w:r>
        <w:rPr>
          <w:rStyle w:val="FootnoteReference"/>
        </w:rPr>
        <w:footnoteRef/>
      </w:r>
      <w:r>
        <w:t xml:space="preserve"> I</w:t>
      </w:r>
      <w:r w:rsidRPr="00983833">
        <w:t>GS Ex. 10 at 22</w:t>
      </w:r>
      <w:r>
        <w:t>.</w:t>
      </w:r>
    </w:p>
  </w:footnote>
  <w:footnote w:id="47">
    <w:p w:rsidR="00913FD9" w:rsidRDefault="00913FD9">
      <w:pPr>
        <w:pStyle w:val="FootnoteText"/>
      </w:pPr>
      <w:r>
        <w:rPr>
          <w:rStyle w:val="FootnoteReference"/>
        </w:rPr>
        <w:footnoteRef/>
      </w:r>
      <w:r>
        <w:t xml:space="preserve"> </w:t>
      </w:r>
      <w:proofErr w:type="gramStart"/>
      <w:r>
        <w:t>Duke Initial Brief at 46.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D9" w:rsidRDefault="00913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D9" w:rsidRDefault="00913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D9" w:rsidRDefault="0091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076"/>
    <w:multiLevelType w:val="hybridMultilevel"/>
    <w:tmpl w:val="531A8630"/>
    <w:lvl w:ilvl="0" w:tplc="36DE7524">
      <w:start w:val="2"/>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B1263A6"/>
    <w:multiLevelType w:val="hybridMultilevel"/>
    <w:tmpl w:val="FBC433D4"/>
    <w:lvl w:ilvl="0" w:tplc="745AF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004D4"/>
    <w:multiLevelType w:val="hybridMultilevel"/>
    <w:tmpl w:val="B17EC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453BB1"/>
    <w:multiLevelType w:val="hybridMultilevel"/>
    <w:tmpl w:val="610EB1EA"/>
    <w:lvl w:ilvl="0" w:tplc="119258B4">
      <w:start w:val="1"/>
      <w:numFmt w:val="upperRoman"/>
      <w:lvlText w:val="%1."/>
      <w:lvlJc w:val="left"/>
      <w:pPr>
        <w:ind w:left="1080" w:hanging="720"/>
      </w:pPr>
      <w:rPr>
        <w:rFonts w:hint="default"/>
      </w:rPr>
    </w:lvl>
    <w:lvl w:ilvl="1" w:tplc="A4306380">
      <w:start w:val="1"/>
      <w:numFmt w:val="upperLetter"/>
      <w:lvlText w:val="%2."/>
      <w:lvlJc w:val="left"/>
      <w:pPr>
        <w:ind w:left="126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A1D1B"/>
    <w:multiLevelType w:val="hybridMultilevel"/>
    <w:tmpl w:val="DF5686D0"/>
    <w:lvl w:ilvl="0" w:tplc="698A6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9B1D6F"/>
    <w:multiLevelType w:val="hybridMultilevel"/>
    <w:tmpl w:val="B8AC2E68"/>
    <w:lvl w:ilvl="0" w:tplc="69E882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F0E42"/>
    <w:multiLevelType w:val="hybridMultilevel"/>
    <w:tmpl w:val="32D2035A"/>
    <w:lvl w:ilvl="0" w:tplc="98965C62">
      <w:start w:val="1"/>
      <w:numFmt w:val="decimal"/>
      <w:lvlText w:val="%1."/>
      <w:lvlJc w:val="left"/>
      <w:pPr>
        <w:ind w:left="1584" w:hanging="360"/>
      </w:pPr>
      <w:rPr>
        <w:rFonts w:hint="default"/>
      </w:rPr>
    </w:lvl>
    <w:lvl w:ilvl="1" w:tplc="98965C62">
      <w:start w:val="1"/>
      <w:numFmt w:val="decimal"/>
      <w:lvlText w:val="%2."/>
      <w:lvlJc w:val="left"/>
      <w:pPr>
        <w:ind w:left="2304" w:hanging="360"/>
      </w:pPr>
      <w:rPr>
        <w:rFonts w:hint="default"/>
      </w:rPr>
    </w:lvl>
    <w:lvl w:ilvl="2" w:tplc="98965C62">
      <w:start w:val="1"/>
      <w:numFmt w:val="decimal"/>
      <w:lvlText w:val="%3."/>
      <w:lvlJc w:val="left"/>
      <w:pPr>
        <w:ind w:left="3024" w:hanging="180"/>
      </w:pPr>
      <w:rPr>
        <w:rFonts w:hint="default"/>
      </w:r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7EDB596C"/>
    <w:multiLevelType w:val="hybridMultilevel"/>
    <w:tmpl w:val="8A30FD9E"/>
    <w:lvl w:ilvl="0" w:tplc="5AAAB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FB"/>
    <w:rsid w:val="00014786"/>
    <w:rsid w:val="00034CA6"/>
    <w:rsid w:val="00086420"/>
    <w:rsid w:val="000905CF"/>
    <w:rsid w:val="000A1E84"/>
    <w:rsid w:val="000C56A7"/>
    <w:rsid w:val="000C7799"/>
    <w:rsid w:val="00111E9E"/>
    <w:rsid w:val="00146DCD"/>
    <w:rsid w:val="001561DE"/>
    <w:rsid w:val="00175A18"/>
    <w:rsid w:val="0019134B"/>
    <w:rsid w:val="002259FE"/>
    <w:rsid w:val="00232BFB"/>
    <w:rsid w:val="002430C5"/>
    <w:rsid w:val="00246D5C"/>
    <w:rsid w:val="0025530D"/>
    <w:rsid w:val="00293735"/>
    <w:rsid w:val="00295DD9"/>
    <w:rsid w:val="002E2F7A"/>
    <w:rsid w:val="002E79E8"/>
    <w:rsid w:val="0031246D"/>
    <w:rsid w:val="003339D3"/>
    <w:rsid w:val="0034465B"/>
    <w:rsid w:val="00364F90"/>
    <w:rsid w:val="003B33A9"/>
    <w:rsid w:val="003C4932"/>
    <w:rsid w:val="00404D18"/>
    <w:rsid w:val="004373FB"/>
    <w:rsid w:val="0044202E"/>
    <w:rsid w:val="00477EB7"/>
    <w:rsid w:val="00481B41"/>
    <w:rsid w:val="00486A2E"/>
    <w:rsid w:val="004D4826"/>
    <w:rsid w:val="00514F04"/>
    <w:rsid w:val="00537D8B"/>
    <w:rsid w:val="00560228"/>
    <w:rsid w:val="00576968"/>
    <w:rsid w:val="00594AF1"/>
    <w:rsid w:val="005B25EC"/>
    <w:rsid w:val="005C1FED"/>
    <w:rsid w:val="006A00A3"/>
    <w:rsid w:val="006B4065"/>
    <w:rsid w:val="007148DF"/>
    <w:rsid w:val="00730AF0"/>
    <w:rsid w:val="00762BCD"/>
    <w:rsid w:val="007846BC"/>
    <w:rsid w:val="007E2753"/>
    <w:rsid w:val="007E6155"/>
    <w:rsid w:val="00801678"/>
    <w:rsid w:val="00826C21"/>
    <w:rsid w:val="00843F2B"/>
    <w:rsid w:val="00870782"/>
    <w:rsid w:val="00874F9A"/>
    <w:rsid w:val="00875F94"/>
    <w:rsid w:val="00892CA1"/>
    <w:rsid w:val="008F3F56"/>
    <w:rsid w:val="00903FB7"/>
    <w:rsid w:val="00913FD9"/>
    <w:rsid w:val="00931123"/>
    <w:rsid w:val="00963BFA"/>
    <w:rsid w:val="00983833"/>
    <w:rsid w:val="009A767E"/>
    <w:rsid w:val="009B2742"/>
    <w:rsid w:val="009C407A"/>
    <w:rsid w:val="009F5B55"/>
    <w:rsid w:val="00A062B1"/>
    <w:rsid w:val="00A82E9E"/>
    <w:rsid w:val="00A874E4"/>
    <w:rsid w:val="00A935FF"/>
    <w:rsid w:val="00A95A09"/>
    <w:rsid w:val="00AD4672"/>
    <w:rsid w:val="00B00B5B"/>
    <w:rsid w:val="00B04B33"/>
    <w:rsid w:val="00B10D03"/>
    <w:rsid w:val="00B559F9"/>
    <w:rsid w:val="00B66CD8"/>
    <w:rsid w:val="00B909FE"/>
    <w:rsid w:val="00C42680"/>
    <w:rsid w:val="00C71383"/>
    <w:rsid w:val="00C82E38"/>
    <w:rsid w:val="00CB1F46"/>
    <w:rsid w:val="00CC4DD6"/>
    <w:rsid w:val="00CF0F34"/>
    <w:rsid w:val="00CF3AE0"/>
    <w:rsid w:val="00D108D0"/>
    <w:rsid w:val="00D35503"/>
    <w:rsid w:val="00D425D9"/>
    <w:rsid w:val="00D509EA"/>
    <w:rsid w:val="00D51CAE"/>
    <w:rsid w:val="00D62226"/>
    <w:rsid w:val="00D72A15"/>
    <w:rsid w:val="00DA044B"/>
    <w:rsid w:val="00DA2724"/>
    <w:rsid w:val="00DB642E"/>
    <w:rsid w:val="00E13759"/>
    <w:rsid w:val="00E26C10"/>
    <w:rsid w:val="00E3795E"/>
    <w:rsid w:val="00E96519"/>
    <w:rsid w:val="00EB2997"/>
    <w:rsid w:val="00EB7194"/>
    <w:rsid w:val="00ED3E7F"/>
    <w:rsid w:val="00ED5535"/>
    <w:rsid w:val="00EE2AD3"/>
    <w:rsid w:val="00EE2DC8"/>
    <w:rsid w:val="00EF78D3"/>
    <w:rsid w:val="00F13AE7"/>
    <w:rsid w:val="00F23211"/>
    <w:rsid w:val="00F25414"/>
    <w:rsid w:val="00F40A2D"/>
    <w:rsid w:val="00F63992"/>
    <w:rsid w:val="00FC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A6"/>
    <w:pPr>
      <w:ind w:left="720"/>
      <w:contextualSpacing/>
    </w:pPr>
  </w:style>
  <w:style w:type="paragraph" w:styleId="FootnoteText">
    <w:name w:val="footnote text"/>
    <w:basedOn w:val="Normal"/>
    <w:link w:val="FootnoteTextChar"/>
    <w:uiPriority w:val="99"/>
    <w:unhideWhenUsed/>
    <w:rsid w:val="00EE2DC8"/>
    <w:pPr>
      <w:spacing w:after="0" w:line="240" w:lineRule="auto"/>
    </w:pPr>
    <w:rPr>
      <w:szCs w:val="20"/>
    </w:rPr>
  </w:style>
  <w:style w:type="character" w:customStyle="1" w:styleId="FootnoteTextChar">
    <w:name w:val="Footnote Text Char"/>
    <w:basedOn w:val="DefaultParagraphFont"/>
    <w:link w:val="FootnoteText"/>
    <w:uiPriority w:val="99"/>
    <w:rsid w:val="00EE2DC8"/>
    <w:rPr>
      <w:szCs w:val="20"/>
    </w:rPr>
  </w:style>
  <w:style w:type="character" w:styleId="FootnoteReference">
    <w:name w:val="footnote reference"/>
    <w:basedOn w:val="DefaultParagraphFont"/>
    <w:uiPriority w:val="99"/>
    <w:semiHidden/>
    <w:unhideWhenUsed/>
    <w:rsid w:val="00EE2DC8"/>
    <w:rPr>
      <w:vertAlign w:val="superscript"/>
    </w:rPr>
  </w:style>
  <w:style w:type="paragraph" w:styleId="BalloonText">
    <w:name w:val="Balloon Text"/>
    <w:basedOn w:val="Normal"/>
    <w:link w:val="BalloonTextChar"/>
    <w:uiPriority w:val="99"/>
    <w:semiHidden/>
    <w:unhideWhenUsed/>
    <w:rsid w:val="005B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EC"/>
    <w:rPr>
      <w:rFonts w:ascii="Tahoma" w:hAnsi="Tahoma" w:cs="Tahoma"/>
      <w:sz w:val="16"/>
      <w:szCs w:val="16"/>
    </w:rPr>
  </w:style>
  <w:style w:type="character" w:styleId="Hyperlink">
    <w:name w:val="Hyperlink"/>
    <w:basedOn w:val="DefaultParagraphFont"/>
    <w:uiPriority w:val="99"/>
    <w:unhideWhenUsed/>
    <w:rsid w:val="002259FE"/>
    <w:rPr>
      <w:color w:val="0000FF" w:themeColor="hyperlink"/>
      <w:u w:val="single"/>
    </w:rPr>
  </w:style>
  <w:style w:type="table" w:customStyle="1" w:styleId="TableGrid3">
    <w:name w:val="Table Grid3"/>
    <w:basedOn w:val="TableNormal"/>
    <w:uiPriority w:val="59"/>
    <w:rsid w:val="000905C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94"/>
  </w:style>
  <w:style w:type="paragraph" w:styleId="Footer">
    <w:name w:val="footer"/>
    <w:basedOn w:val="Normal"/>
    <w:link w:val="FooterChar"/>
    <w:uiPriority w:val="99"/>
    <w:unhideWhenUsed/>
    <w:rsid w:val="0087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A6"/>
    <w:pPr>
      <w:ind w:left="720"/>
      <w:contextualSpacing/>
    </w:pPr>
  </w:style>
  <w:style w:type="paragraph" w:styleId="FootnoteText">
    <w:name w:val="footnote text"/>
    <w:basedOn w:val="Normal"/>
    <w:link w:val="FootnoteTextChar"/>
    <w:uiPriority w:val="99"/>
    <w:unhideWhenUsed/>
    <w:rsid w:val="00EE2DC8"/>
    <w:pPr>
      <w:spacing w:after="0" w:line="240" w:lineRule="auto"/>
    </w:pPr>
    <w:rPr>
      <w:szCs w:val="20"/>
    </w:rPr>
  </w:style>
  <w:style w:type="character" w:customStyle="1" w:styleId="FootnoteTextChar">
    <w:name w:val="Footnote Text Char"/>
    <w:basedOn w:val="DefaultParagraphFont"/>
    <w:link w:val="FootnoteText"/>
    <w:uiPriority w:val="99"/>
    <w:rsid w:val="00EE2DC8"/>
    <w:rPr>
      <w:szCs w:val="20"/>
    </w:rPr>
  </w:style>
  <w:style w:type="character" w:styleId="FootnoteReference">
    <w:name w:val="footnote reference"/>
    <w:basedOn w:val="DefaultParagraphFont"/>
    <w:uiPriority w:val="99"/>
    <w:semiHidden/>
    <w:unhideWhenUsed/>
    <w:rsid w:val="00EE2DC8"/>
    <w:rPr>
      <w:vertAlign w:val="superscript"/>
    </w:rPr>
  </w:style>
  <w:style w:type="paragraph" w:styleId="BalloonText">
    <w:name w:val="Balloon Text"/>
    <w:basedOn w:val="Normal"/>
    <w:link w:val="BalloonTextChar"/>
    <w:uiPriority w:val="99"/>
    <w:semiHidden/>
    <w:unhideWhenUsed/>
    <w:rsid w:val="005B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EC"/>
    <w:rPr>
      <w:rFonts w:ascii="Tahoma" w:hAnsi="Tahoma" w:cs="Tahoma"/>
      <w:sz w:val="16"/>
      <w:szCs w:val="16"/>
    </w:rPr>
  </w:style>
  <w:style w:type="character" w:styleId="Hyperlink">
    <w:name w:val="Hyperlink"/>
    <w:basedOn w:val="DefaultParagraphFont"/>
    <w:uiPriority w:val="99"/>
    <w:unhideWhenUsed/>
    <w:rsid w:val="002259FE"/>
    <w:rPr>
      <w:color w:val="0000FF" w:themeColor="hyperlink"/>
      <w:u w:val="single"/>
    </w:rPr>
  </w:style>
  <w:style w:type="table" w:customStyle="1" w:styleId="TableGrid3">
    <w:name w:val="Table Grid3"/>
    <w:basedOn w:val="TableNormal"/>
    <w:uiPriority w:val="59"/>
    <w:rsid w:val="000905C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94"/>
  </w:style>
  <w:style w:type="paragraph" w:styleId="Footer">
    <w:name w:val="footer"/>
    <w:basedOn w:val="Normal"/>
    <w:link w:val="FooterChar"/>
    <w:uiPriority w:val="99"/>
    <w:unhideWhenUsed/>
    <w:rsid w:val="0087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anne.Kingery@duke-energy.com" TargetMode="External"/><Relationship Id="rId18" Type="http://schemas.openxmlformats.org/officeDocument/2006/relationships/hyperlink" Target="mailto:Steven.beeler@puc.state.oh.us" TargetMode="External"/><Relationship Id="rId26" Type="http://schemas.openxmlformats.org/officeDocument/2006/relationships/hyperlink" Target="mailto:Joseph.serio@occ.ohio.gov" TargetMode="External"/><Relationship Id="rId39" Type="http://schemas.openxmlformats.org/officeDocument/2006/relationships/hyperlink" Target="mailto:mjsatterwhite@aep.com" TargetMode="External"/><Relationship Id="rId21" Type="http://schemas.openxmlformats.org/officeDocument/2006/relationships/hyperlink" Target="mailto:Judi.sobecki@aes.com" TargetMode="External"/><Relationship Id="rId34" Type="http://schemas.openxmlformats.org/officeDocument/2006/relationships/hyperlink" Target="mailto:cloucas@ohiopartners.org" TargetMode="External"/><Relationship Id="rId42" Type="http://schemas.openxmlformats.org/officeDocument/2006/relationships/hyperlink" Target="mailto:callwein@wamenergylaw.com" TargetMode="External"/><Relationship Id="rId47" Type="http://schemas.openxmlformats.org/officeDocument/2006/relationships/hyperlink" Target="mailto:Hussey@carpenterlipps.com" TargetMode="External"/><Relationship Id="rId50" Type="http://schemas.openxmlformats.org/officeDocument/2006/relationships/hyperlink" Target="mailto:tobrien@bricker.com"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kurtz@BKLlawfirm.com" TargetMode="External"/><Relationship Id="rId20" Type="http://schemas.openxmlformats.org/officeDocument/2006/relationships/hyperlink" Target="mailto:Ryan.orouke@puc.state.oh.us" TargetMode="External"/><Relationship Id="rId29" Type="http://schemas.openxmlformats.org/officeDocument/2006/relationships/hyperlink" Target="mailto:Bojko@carpenterlipps.com" TargetMode="External"/><Relationship Id="rId41" Type="http://schemas.openxmlformats.org/officeDocument/2006/relationships/hyperlink" Target="mailto:tdougherty@theOEC.org" TargetMode="External"/><Relationship Id="rId54" Type="http://schemas.openxmlformats.org/officeDocument/2006/relationships/hyperlink" Target="mailto:rchamberlain@okenergylaw.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Spiller@duke-energy.com" TargetMode="External"/><Relationship Id="rId24" Type="http://schemas.openxmlformats.org/officeDocument/2006/relationships/hyperlink" Target="mailto:jmcdermott@firstenergycorp.com" TargetMode="External"/><Relationship Id="rId32" Type="http://schemas.openxmlformats.org/officeDocument/2006/relationships/hyperlink" Target="mailto:joseph.clark@directenergy.com" TargetMode="External"/><Relationship Id="rId37" Type="http://schemas.openxmlformats.org/officeDocument/2006/relationships/hyperlink" Target="mailto:mpritchard@mwncmh.com" TargetMode="External"/><Relationship Id="rId40" Type="http://schemas.openxmlformats.org/officeDocument/2006/relationships/hyperlink" Target="mailto:yalami@aep.com" TargetMode="External"/><Relationship Id="rId45" Type="http://schemas.openxmlformats.org/officeDocument/2006/relationships/hyperlink" Target="mailto:mkimbrough@keglerbrown.com" TargetMode="External"/><Relationship Id="rId53" Type="http://schemas.openxmlformats.org/officeDocument/2006/relationships/hyperlink" Target="mailto:mtraven@ralaw.com"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boehm@BKLlawfirm.com" TargetMode="External"/><Relationship Id="rId23" Type="http://schemas.openxmlformats.org/officeDocument/2006/relationships/hyperlink" Target="mailto:haydenm@firstenergycorp.com" TargetMode="External"/><Relationship Id="rId28" Type="http://schemas.openxmlformats.org/officeDocument/2006/relationships/hyperlink" Target="mailto:MHPetricoff@vorys.com" TargetMode="External"/><Relationship Id="rId36" Type="http://schemas.openxmlformats.org/officeDocument/2006/relationships/hyperlink" Target="mailto:fdarr@mwncmh.com" TargetMode="External"/><Relationship Id="rId49" Type="http://schemas.openxmlformats.org/officeDocument/2006/relationships/hyperlink" Target="mailto:jvickers@elpc.org"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mailto:joliker@igsenergy.com" TargetMode="External"/><Relationship Id="rId19" Type="http://schemas.openxmlformats.org/officeDocument/2006/relationships/hyperlink" Target="mailto:Thomas.lindgren@puc.state.oh.us" TargetMode="External"/><Relationship Id="rId31" Type="http://schemas.openxmlformats.org/officeDocument/2006/relationships/hyperlink" Target="mailto:ghull@eckertseamans.com" TargetMode="External"/><Relationship Id="rId44" Type="http://schemas.openxmlformats.org/officeDocument/2006/relationships/hyperlink" Target="mailto:asonderman@keglerbrown.com" TargetMode="External"/><Relationship Id="rId52" Type="http://schemas.openxmlformats.org/officeDocument/2006/relationships/hyperlink" Target="mailto:dmason@ralaw.com"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Rocco.D&#8217;Ascenzo@duke-energy.com" TargetMode="External"/><Relationship Id="rId22" Type="http://schemas.openxmlformats.org/officeDocument/2006/relationships/hyperlink" Target="mailto:schmidt@sppgrp.com" TargetMode="External"/><Relationship Id="rId27" Type="http://schemas.openxmlformats.org/officeDocument/2006/relationships/hyperlink" Target="mailto:Edmund.berger@occ.ohio.gov" TargetMode="External"/><Relationship Id="rId30" Type="http://schemas.openxmlformats.org/officeDocument/2006/relationships/hyperlink" Target="mailto:Mohler@carpenterlipps.com" TargetMode="External"/><Relationship Id="rId35" Type="http://schemas.openxmlformats.org/officeDocument/2006/relationships/hyperlink" Target="mailto:sam@mwncmh.com" TargetMode="External"/><Relationship Id="rId43" Type="http://schemas.openxmlformats.org/officeDocument/2006/relationships/hyperlink" Target="mailto:toddm@wamenergylaw.com" TargetMode="External"/><Relationship Id="rId48" Type="http://schemas.openxmlformats.org/officeDocument/2006/relationships/hyperlink" Target="mailto:gpoulos@enernoc.com"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swilliams@nrdc.org" TargetMode="External"/><Relationship Id="rId3" Type="http://schemas.openxmlformats.org/officeDocument/2006/relationships/styles" Target="styles.xml"/><Relationship Id="rId12" Type="http://schemas.openxmlformats.org/officeDocument/2006/relationships/hyperlink" Target="mailto:Elizabeth.Watts@duke-energy.com" TargetMode="External"/><Relationship Id="rId17" Type="http://schemas.openxmlformats.org/officeDocument/2006/relationships/hyperlink" Target="mailto:jkylercohn@BKLlawfirm.com" TargetMode="External"/><Relationship Id="rId25" Type="http://schemas.openxmlformats.org/officeDocument/2006/relationships/hyperlink" Target="mailto:Maureen.grady@occ.ohio.gov" TargetMode="External"/><Relationship Id="rId33" Type="http://schemas.openxmlformats.org/officeDocument/2006/relationships/hyperlink" Target="mailto:cmooney@ohiopartners.org" TargetMode="External"/><Relationship Id="rId38" Type="http://schemas.openxmlformats.org/officeDocument/2006/relationships/hyperlink" Target="mailto:stnourse@aep.com" TargetMode="External"/><Relationship Id="rId46" Type="http://schemas.openxmlformats.org/officeDocument/2006/relationships/hyperlink" Target="mailto:dhart@douglasehart.com"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nergychoice.ohio.gov/ApplesToApplesCategory.aspx?Category=Elec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73F1-FD11-4EB6-B338-6CC9934C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2014-12-29T22:05:00Z</dcterms:created>
  <dcterms:modified xsi:type="dcterms:W3CDTF">2014-12-29T22:07:00Z</dcterms:modified>
</cp:coreProperties>
</file>