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4E15DE" w:rsidRPr="00A81E46" w:rsidP="004E15DE" w14:paraId="42C7B28A" w14:textId="77777777">
      <w:pPr>
        <w:pStyle w:val="HTMLPreformatted"/>
        <w:jc w:val="center"/>
        <w:rPr>
          <w:rFonts w:ascii="Times New Roman" w:hAnsi="Times New Roman" w:cs="Times New Roman"/>
          <w:b/>
          <w:bCs/>
          <w:sz w:val="24"/>
          <w:szCs w:val="24"/>
        </w:rPr>
      </w:pPr>
      <w:bookmarkStart w:id="0" w:name="_GoBack"/>
      <w:bookmarkEnd w:id="0"/>
      <w:r w:rsidRPr="00A81E46">
        <w:rPr>
          <w:rFonts w:ascii="Times New Roman" w:hAnsi="Times New Roman" w:cs="Times New Roman"/>
          <w:b/>
          <w:bCs/>
          <w:sz w:val="24"/>
          <w:szCs w:val="24"/>
        </w:rPr>
        <w:t>BEFORE</w:t>
      </w:r>
    </w:p>
    <w:p w:rsidR="004E15DE" w:rsidRPr="00A81E46" w:rsidP="004E15DE" w14:paraId="02192C6E" w14:textId="77777777">
      <w:pPr>
        <w:pStyle w:val="HTMLPreformatted"/>
        <w:jc w:val="center"/>
        <w:rPr>
          <w:rFonts w:ascii="Times New Roman" w:hAnsi="Times New Roman" w:cs="Times New Roman"/>
          <w:b/>
          <w:bCs/>
          <w:sz w:val="24"/>
          <w:szCs w:val="24"/>
        </w:rPr>
      </w:pPr>
      <w:r w:rsidRPr="00A81E46">
        <w:rPr>
          <w:rFonts w:ascii="Times New Roman" w:hAnsi="Times New Roman" w:cs="Times New Roman"/>
          <w:b/>
          <w:bCs/>
          <w:sz w:val="24"/>
          <w:szCs w:val="24"/>
        </w:rPr>
        <w:t>THE PUBLIC UTILITIES COMMISSION OF OHIO</w:t>
      </w:r>
    </w:p>
    <w:tbl>
      <w:tblPr>
        <w:tblW w:w="9638" w:type="dxa"/>
        <w:tblLook w:val="01E0"/>
      </w:tblPr>
      <w:tblGrid>
        <w:gridCol w:w="4878"/>
        <w:gridCol w:w="360"/>
        <w:gridCol w:w="4400"/>
      </w:tblGrid>
      <w:tr w14:paraId="46E2D976" w14:textId="77777777" w:rsidTr="00321CC9">
        <w:tblPrEx>
          <w:tblW w:w="9638" w:type="dxa"/>
          <w:tblLook w:val="01E0"/>
        </w:tblPrEx>
        <w:trPr>
          <w:trHeight w:val="807"/>
        </w:trPr>
        <w:tc>
          <w:tcPr>
            <w:tcW w:w="4878" w:type="dxa"/>
            <w:shd w:val="clear" w:color="auto" w:fill="auto"/>
          </w:tcPr>
          <w:p w:rsidR="004E15DE" w:rsidRPr="00A81E46" w:rsidP="00321CC9" w14:paraId="1ACA38B4" w14:textId="77777777">
            <w:pPr>
              <w:pStyle w:val="HTMLPreformatted"/>
              <w:rPr>
                <w:rFonts w:ascii="Times New Roman" w:hAnsi="Times New Roman" w:cs="Times New Roman"/>
                <w:sz w:val="24"/>
                <w:szCs w:val="24"/>
              </w:rPr>
            </w:pPr>
            <w:r w:rsidRPr="00A81E46">
              <w:rPr>
                <w:rFonts w:ascii="Times New Roman" w:hAnsi="Times New Roman" w:cs="Times New Roman"/>
                <w:sz w:val="24"/>
                <w:szCs w:val="24"/>
              </w:rPr>
              <w:tab/>
            </w:r>
          </w:p>
          <w:p w:rsidR="004E15DE" w:rsidRPr="00A81E46" w:rsidP="00321CC9" w14:paraId="5AEE0278" w14:textId="77777777">
            <w:pPr>
              <w:pStyle w:val="HTMLPreformatted"/>
              <w:rPr>
                <w:rFonts w:ascii="Times New Roman" w:hAnsi="Times New Roman" w:cs="Times New Roman"/>
                <w:sz w:val="24"/>
                <w:szCs w:val="24"/>
              </w:rPr>
            </w:pPr>
            <w:r w:rsidRPr="00A81E46">
              <w:rPr>
                <w:rFonts w:ascii="Times New Roman" w:hAnsi="Times New Roman" w:cs="Times New Roman"/>
                <w:sz w:val="24"/>
                <w:szCs w:val="24"/>
              </w:rPr>
              <w:t>In the Matter of the Review of the Distribution Modernization Rider of Ohio Edison Company, The Cleveland Electric Illuminating company, and The Toledo Edison Company.</w:t>
            </w:r>
          </w:p>
        </w:tc>
        <w:tc>
          <w:tcPr>
            <w:tcW w:w="360" w:type="dxa"/>
            <w:shd w:val="clear" w:color="auto" w:fill="auto"/>
          </w:tcPr>
          <w:p w:rsidR="004E15DE" w:rsidRPr="00A81E46" w:rsidP="00321CC9" w14:paraId="77E1A575" w14:textId="77777777">
            <w:pPr>
              <w:pStyle w:val="HTMLPreformatted"/>
              <w:rPr>
                <w:rFonts w:ascii="Times New Roman" w:hAnsi="Times New Roman" w:cs="Times New Roman"/>
                <w:sz w:val="24"/>
                <w:szCs w:val="24"/>
              </w:rPr>
            </w:pPr>
          </w:p>
          <w:p w:rsidR="004E15DE" w:rsidRPr="00A81E46" w:rsidP="00321CC9" w14:paraId="269580FA" w14:textId="77777777">
            <w:pPr>
              <w:pStyle w:val="HTMLPreformatted"/>
              <w:rPr>
                <w:rFonts w:ascii="Times New Roman" w:hAnsi="Times New Roman" w:cs="Times New Roman"/>
                <w:sz w:val="24"/>
                <w:szCs w:val="24"/>
              </w:rPr>
            </w:pPr>
            <w:r w:rsidRPr="00A81E46">
              <w:rPr>
                <w:rFonts w:ascii="Times New Roman" w:hAnsi="Times New Roman" w:cs="Times New Roman"/>
                <w:sz w:val="24"/>
                <w:szCs w:val="24"/>
              </w:rPr>
              <w:t>)</w:t>
            </w:r>
          </w:p>
          <w:p w:rsidR="004E15DE" w:rsidRPr="00A81E46" w:rsidP="00321CC9" w14:paraId="5081B9E1" w14:textId="77777777">
            <w:pPr>
              <w:pStyle w:val="HTMLPreformatted"/>
              <w:rPr>
                <w:rFonts w:ascii="Times New Roman" w:hAnsi="Times New Roman" w:cs="Times New Roman"/>
                <w:sz w:val="24"/>
                <w:szCs w:val="24"/>
              </w:rPr>
            </w:pPr>
            <w:r w:rsidRPr="00A81E46">
              <w:rPr>
                <w:rFonts w:ascii="Times New Roman" w:hAnsi="Times New Roman" w:cs="Times New Roman"/>
                <w:sz w:val="24"/>
                <w:szCs w:val="24"/>
              </w:rPr>
              <w:t>)</w:t>
            </w:r>
          </w:p>
          <w:p w:rsidR="004E15DE" w:rsidRPr="00A81E46" w:rsidP="00321CC9" w14:paraId="1BC4DC62" w14:textId="77777777">
            <w:pPr>
              <w:pStyle w:val="HTMLPreformatted"/>
              <w:rPr>
                <w:rFonts w:ascii="Times New Roman" w:hAnsi="Times New Roman" w:cs="Times New Roman"/>
                <w:sz w:val="24"/>
                <w:szCs w:val="24"/>
              </w:rPr>
            </w:pPr>
            <w:r w:rsidRPr="00A81E46">
              <w:rPr>
                <w:rFonts w:ascii="Times New Roman" w:hAnsi="Times New Roman" w:cs="Times New Roman"/>
                <w:sz w:val="24"/>
                <w:szCs w:val="24"/>
              </w:rPr>
              <w:t>)</w:t>
            </w:r>
          </w:p>
          <w:p w:rsidR="004E15DE" w:rsidRPr="00A81E46" w:rsidP="00321CC9" w14:paraId="6A4767CD" w14:textId="77777777">
            <w:pPr>
              <w:pStyle w:val="HTMLPreformatted"/>
              <w:rPr>
                <w:rFonts w:ascii="Times New Roman" w:hAnsi="Times New Roman" w:cs="Times New Roman"/>
                <w:sz w:val="24"/>
                <w:szCs w:val="24"/>
              </w:rPr>
            </w:pPr>
            <w:r w:rsidRPr="00A81E46">
              <w:rPr>
                <w:rFonts w:ascii="Times New Roman" w:hAnsi="Times New Roman" w:cs="Times New Roman"/>
                <w:sz w:val="24"/>
                <w:szCs w:val="24"/>
              </w:rPr>
              <w:t>)</w:t>
            </w:r>
          </w:p>
        </w:tc>
        <w:tc>
          <w:tcPr>
            <w:tcW w:w="4400" w:type="dxa"/>
            <w:shd w:val="clear" w:color="auto" w:fill="auto"/>
          </w:tcPr>
          <w:p w:rsidR="004E15DE" w:rsidRPr="00A81E46" w:rsidP="00321CC9" w14:paraId="50661942" w14:textId="77777777">
            <w:pPr>
              <w:pStyle w:val="HTMLPreformatted"/>
              <w:rPr>
                <w:rFonts w:ascii="Times New Roman" w:hAnsi="Times New Roman" w:cs="Times New Roman"/>
                <w:sz w:val="24"/>
                <w:szCs w:val="24"/>
              </w:rPr>
            </w:pPr>
          </w:p>
          <w:p w:rsidR="004E15DE" w:rsidRPr="00A81E46" w:rsidP="00321CC9" w14:paraId="77E3E77E" w14:textId="77777777">
            <w:pPr>
              <w:pStyle w:val="HTMLPreformatted"/>
              <w:rPr>
                <w:rFonts w:ascii="Times New Roman" w:hAnsi="Times New Roman" w:cs="Times New Roman"/>
                <w:sz w:val="24"/>
                <w:szCs w:val="24"/>
              </w:rPr>
            </w:pPr>
          </w:p>
          <w:p w:rsidR="004E15DE" w:rsidRPr="00A81E46" w:rsidP="00321CC9" w14:paraId="7D34C9E6" w14:textId="77777777">
            <w:pPr>
              <w:pStyle w:val="HTMLPreformatted"/>
              <w:rPr>
                <w:rFonts w:ascii="Times New Roman" w:hAnsi="Times New Roman" w:cs="Times New Roman"/>
                <w:sz w:val="24"/>
                <w:szCs w:val="24"/>
              </w:rPr>
            </w:pPr>
            <w:r w:rsidRPr="00A81E46">
              <w:rPr>
                <w:rFonts w:ascii="Times New Roman" w:hAnsi="Times New Roman" w:cs="Times New Roman"/>
                <w:sz w:val="24"/>
                <w:szCs w:val="24"/>
              </w:rPr>
              <w:t>Case No. 17-2474-EL-RDR</w:t>
            </w:r>
          </w:p>
          <w:p w:rsidR="004E15DE" w:rsidRPr="00A81E46" w:rsidP="00321CC9" w14:paraId="6D3289F1" w14:textId="77777777">
            <w:pPr>
              <w:pStyle w:val="HTMLPreformatted"/>
              <w:rPr>
                <w:rFonts w:ascii="Times New Roman" w:hAnsi="Times New Roman" w:cs="Times New Roman"/>
                <w:sz w:val="24"/>
                <w:szCs w:val="24"/>
              </w:rPr>
            </w:pPr>
          </w:p>
        </w:tc>
      </w:tr>
    </w:tbl>
    <w:p w:rsidR="004E15DE" w:rsidRPr="00A81E46" w:rsidP="004E15DE" w14:paraId="07BD67E6" w14:textId="77777777">
      <w:pPr>
        <w:pStyle w:val="HTMLPreformatted"/>
        <w:rPr>
          <w:rFonts w:ascii="Times New Roman" w:hAnsi="Times New Roman" w:cs="Times New Roman"/>
          <w:sz w:val="24"/>
          <w:szCs w:val="24"/>
        </w:rPr>
      </w:pPr>
      <w:r w:rsidRPr="00A81E46">
        <w:rPr>
          <w:rFonts w:ascii="Times New Roman" w:hAnsi="Times New Roman" w:cs="Times New Roman"/>
          <w:sz w:val="24"/>
          <w:szCs w:val="24"/>
        </w:rPr>
        <w:tab/>
      </w:r>
    </w:p>
    <w:tbl>
      <w:tblPr>
        <w:tblW w:w="9638" w:type="dxa"/>
        <w:tblLook w:val="01E0"/>
      </w:tblPr>
      <w:tblGrid>
        <w:gridCol w:w="4878"/>
        <w:gridCol w:w="360"/>
        <w:gridCol w:w="4400"/>
      </w:tblGrid>
      <w:tr w14:paraId="0D842EB7" w14:textId="77777777" w:rsidTr="00321CC9">
        <w:tblPrEx>
          <w:tblW w:w="9638" w:type="dxa"/>
          <w:tblLook w:val="01E0"/>
        </w:tblPrEx>
        <w:trPr>
          <w:trHeight w:val="807"/>
        </w:trPr>
        <w:tc>
          <w:tcPr>
            <w:tcW w:w="4878" w:type="dxa"/>
            <w:shd w:val="clear" w:color="auto" w:fill="auto"/>
          </w:tcPr>
          <w:p w:rsidR="004E15DE" w:rsidRPr="00A81E46" w:rsidP="00321CC9" w14:paraId="0847A8D7" w14:textId="77777777">
            <w:pPr>
              <w:pStyle w:val="HTMLPreformatted"/>
              <w:rPr>
                <w:rFonts w:ascii="Times New Roman" w:hAnsi="Times New Roman" w:cs="Times New Roman"/>
                <w:sz w:val="24"/>
                <w:szCs w:val="24"/>
              </w:rPr>
            </w:pPr>
            <w:r w:rsidRPr="00A81E46">
              <w:rPr>
                <w:rFonts w:ascii="Times New Roman" w:hAnsi="Times New Roman" w:cs="Times New Roman"/>
                <w:sz w:val="24"/>
                <w:szCs w:val="24"/>
              </w:rPr>
              <w:t>In the Matter of the Review of The Ohio Edison Company, The Cleveland Electric Illuminating Company, and The Toledo Edison Company’s Compliance with R.C. 4928.17 and the Ohio Adm. Code Chapter 4901:1-37.</w:t>
            </w:r>
          </w:p>
        </w:tc>
        <w:tc>
          <w:tcPr>
            <w:tcW w:w="360" w:type="dxa"/>
            <w:shd w:val="clear" w:color="auto" w:fill="auto"/>
          </w:tcPr>
          <w:p w:rsidR="004E15DE" w:rsidRPr="00A81E46" w:rsidP="00321CC9" w14:paraId="4025021E" w14:textId="77777777">
            <w:pPr>
              <w:pStyle w:val="HTMLPreformatted"/>
              <w:rPr>
                <w:rFonts w:ascii="Times New Roman" w:hAnsi="Times New Roman" w:cs="Times New Roman"/>
                <w:sz w:val="24"/>
                <w:szCs w:val="24"/>
              </w:rPr>
            </w:pPr>
            <w:r w:rsidRPr="00A81E46">
              <w:rPr>
                <w:rFonts w:ascii="Times New Roman" w:hAnsi="Times New Roman" w:cs="Times New Roman"/>
                <w:sz w:val="24"/>
                <w:szCs w:val="24"/>
              </w:rPr>
              <w:t>)</w:t>
            </w:r>
          </w:p>
          <w:p w:rsidR="004E15DE" w:rsidRPr="00A81E46" w:rsidP="00321CC9" w14:paraId="66CF13B6" w14:textId="77777777">
            <w:pPr>
              <w:pStyle w:val="HTMLPreformatted"/>
              <w:rPr>
                <w:rFonts w:ascii="Times New Roman" w:hAnsi="Times New Roman" w:cs="Times New Roman"/>
                <w:sz w:val="24"/>
                <w:szCs w:val="24"/>
              </w:rPr>
            </w:pPr>
            <w:r w:rsidRPr="00A81E46">
              <w:rPr>
                <w:rFonts w:ascii="Times New Roman" w:hAnsi="Times New Roman" w:cs="Times New Roman"/>
                <w:sz w:val="24"/>
                <w:szCs w:val="24"/>
              </w:rPr>
              <w:t>)</w:t>
            </w:r>
          </w:p>
          <w:p w:rsidR="004E15DE" w:rsidRPr="00A81E46" w:rsidP="00321CC9" w14:paraId="31340CA7" w14:textId="77777777">
            <w:pPr>
              <w:pStyle w:val="HTMLPreformatted"/>
              <w:rPr>
                <w:rFonts w:ascii="Times New Roman" w:hAnsi="Times New Roman" w:cs="Times New Roman"/>
                <w:sz w:val="24"/>
                <w:szCs w:val="24"/>
              </w:rPr>
            </w:pPr>
            <w:r w:rsidRPr="00A81E46">
              <w:rPr>
                <w:rFonts w:ascii="Times New Roman" w:hAnsi="Times New Roman" w:cs="Times New Roman"/>
                <w:sz w:val="24"/>
                <w:szCs w:val="24"/>
              </w:rPr>
              <w:t>)</w:t>
            </w:r>
          </w:p>
          <w:p w:rsidR="004E15DE" w:rsidRPr="00A81E46" w:rsidP="00321CC9" w14:paraId="34D62CD9" w14:textId="77777777">
            <w:pPr>
              <w:pStyle w:val="HTMLPreformatted"/>
              <w:rPr>
                <w:rFonts w:ascii="Times New Roman" w:hAnsi="Times New Roman" w:cs="Times New Roman"/>
                <w:sz w:val="24"/>
                <w:szCs w:val="24"/>
              </w:rPr>
            </w:pPr>
            <w:r w:rsidRPr="00A81E46">
              <w:rPr>
                <w:rFonts w:ascii="Times New Roman" w:hAnsi="Times New Roman" w:cs="Times New Roman"/>
                <w:sz w:val="24"/>
                <w:szCs w:val="24"/>
              </w:rPr>
              <w:t>)</w:t>
            </w:r>
          </w:p>
          <w:p w:rsidR="004E15DE" w:rsidRPr="00A81E46" w:rsidP="00321CC9" w14:paraId="178353EE" w14:textId="77777777">
            <w:pPr>
              <w:pStyle w:val="HTMLPreformatted"/>
              <w:rPr>
                <w:rFonts w:ascii="Times New Roman" w:hAnsi="Times New Roman" w:cs="Times New Roman"/>
                <w:sz w:val="24"/>
                <w:szCs w:val="24"/>
              </w:rPr>
            </w:pPr>
            <w:r w:rsidRPr="00A81E46">
              <w:rPr>
                <w:rFonts w:ascii="Times New Roman" w:hAnsi="Times New Roman" w:cs="Times New Roman"/>
                <w:sz w:val="24"/>
                <w:szCs w:val="24"/>
              </w:rPr>
              <w:t>)</w:t>
            </w:r>
          </w:p>
        </w:tc>
        <w:tc>
          <w:tcPr>
            <w:tcW w:w="4400" w:type="dxa"/>
            <w:shd w:val="clear" w:color="auto" w:fill="auto"/>
          </w:tcPr>
          <w:p w:rsidR="004E15DE" w:rsidRPr="00A81E46" w:rsidP="00321CC9" w14:paraId="243795CC" w14:textId="77777777">
            <w:pPr>
              <w:pStyle w:val="HTMLPreformatted"/>
              <w:rPr>
                <w:rFonts w:ascii="Times New Roman" w:hAnsi="Times New Roman" w:cs="Times New Roman"/>
                <w:sz w:val="24"/>
                <w:szCs w:val="24"/>
              </w:rPr>
            </w:pPr>
          </w:p>
          <w:p w:rsidR="004E15DE" w:rsidRPr="00A81E46" w:rsidP="00321CC9" w14:paraId="037A7FC4" w14:textId="77777777">
            <w:pPr>
              <w:pStyle w:val="HTMLPreformatted"/>
              <w:rPr>
                <w:rFonts w:ascii="Times New Roman" w:hAnsi="Times New Roman" w:cs="Times New Roman"/>
                <w:sz w:val="24"/>
                <w:szCs w:val="24"/>
              </w:rPr>
            </w:pPr>
            <w:r w:rsidRPr="00A81E46">
              <w:rPr>
                <w:rFonts w:ascii="Times New Roman" w:hAnsi="Times New Roman" w:cs="Times New Roman"/>
                <w:sz w:val="24"/>
                <w:szCs w:val="24"/>
              </w:rPr>
              <w:t>Case No. 17-974-EL-UNC</w:t>
            </w:r>
          </w:p>
        </w:tc>
      </w:tr>
    </w:tbl>
    <w:p w:rsidR="004E15DE" w:rsidRPr="00A81E46" w:rsidP="004E15DE" w14:paraId="2300D1EA" w14:textId="77777777">
      <w:pPr>
        <w:pStyle w:val="HTMLPreformatted"/>
        <w:rPr>
          <w:rFonts w:ascii="Times New Roman" w:hAnsi="Times New Roman" w:cs="Times New Roman"/>
          <w:sz w:val="24"/>
          <w:szCs w:val="24"/>
        </w:rPr>
      </w:pPr>
    </w:p>
    <w:p w:rsidR="004E15DE" w:rsidRPr="00A81E46" w:rsidP="004E15DE" w14:paraId="7181B0A8" w14:textId="77777777">
      <w:pPr>
        <w:pStyle w:val="HTMLPreformatted"/>
        <w:pBdr>
          <w:top w:val="single" w:sz="12" w:space="1" w:color="auto"/>
        </w:pBdr>
        <w:rPr>
          <w:rFonts w:ascii="Times New Roman" w:hAnsi="Times New Roman" w:cs="Times New Roman"/>
          <w:sz w:val="24"/>
          <w:szCs w:val="24"/>
        </w:rPr>
      </w:pPr>
    </w:p>
    <w:p w:rsidR="004E15DE" w:rsidRPr="00A81E46" w:rsidP="004E15DE" w14:paraId="17631525" w14:textId="77777777">
      <w:pPr>
        <w:jc w:val="center"/>
        <w:rPr>
          <w:b/>
          <w:bCs/>
          <w:szCs w:val="24"/>
        </w:rPr>
      </w:pPr>
      <w:r w:rsidRPr="00A81E46">
        <w:rPr>
          <w:b/>
          <w:bCs/>
          <w:szCs w:val="24"/>
        </w:rPr>
        <w:t xml:space="preserve">REPLY TO FIRSTENERGY’S MEMORANDUM CONTRA MOTIONS REGARDING HOUSE BILL 6 </w:t>
      </w:r>
    </w:p>
    <w:p w:rsidR="004E15DE" w:rsidRPr="00A81E46" w:rsidP="004E15DE" w14:paraId="4F2EE683" w14:textId="77777777">
      <w:pPr>
        <w:jc w:val="center"/>
        <w:rPr>
          <w:b/>
          <w:bCs/>
          <w:szCs w:val="24"/>
        </w:rPr>
      </w:pPr>
      <w:r w:rsidRPr="00A81E46">
        <w:rPr>
          <w:b/>
          <w:bCs/>
          <w:szCs w:val="24"/>
        </w:rPr>
        <w:t xml:space="preserve">BY </w:t>
      </w:r>
    </w:p>
    <w:p w:rsidR="004E15DE" w:rsidRPr="00A81E46" w:rsidP="004E15DE" w14:paraId="554E00A9" w14:textId="77777777">
      <w:pPr>
        <w:jc w:val="center"/>
        <w:rPr>
          <w:b/>
          <w:bCs/>
          <w:szCs w:val="24"/>
        </w:rPr>
      </w:pPr>
      <w:r w:rsidRPr="00A81E46">
        <w:rPr>
          <w:b/>
          <w:bCs/>
          <w:szCs w:val="24"/>
        </w:rPr>
        <w:t xml:space="preserve">THE OFFICE OF THE OHIO CONSUMERS’ COUNSEL </w:t>
      </w:r>
    </w:p>
    <w:p w:rsidR="004E15DE" w:rsidRPr="00A81E46" w:rsidP="004E15DE" w14:paraId="2C7C41C4" w14:textId="77777777">
      <w:pPr>
        <w:pBdr>
          <w:bottom w:val="single" w:sz="12" w:space="1" w:color="auto"/>
        </w:pBdr>
        <w:tabs>
          <w:tab w:val="left" w:pos="4320"/>
        </w:tabs>
        <w:rPr>
          <w:szCs w:val="24"/>
        </w:rPr>
      </w:pPr>
    </w:p>
    <w:p w:rsidR="004E15DE" w:rsidRPr="00A81E46" w:rsidP="004D2DDD" w14:paraId="63DAB306" w14:textId="77777777">
      <w:pPr>
        <w:pStyle w:val="HTMLPreformatted"/>
        <w:jc w:val="center"/>
        <w:rPr>
          <w:rFonts w:ascii="Times New Roman" w:hAnsi="Times New Roman" w:cs="Times New Roman"/>
          <w:b/>
          <w:bCs/>
          <w:sz w:val="24"/>
          <w:szCs w:val="24"/>
        </w:rPr>
      </w:pPr>
    </w:p>
    <w:p w:rsidR="004E15DE" w:rsidRPr="00A81E46" w:rsidP="004E15DE" w14:paraId="0B2F109B"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
          <w:bCs/>
          <w:sz w:val="24"/>
          <w:szCs w:val="24"/>
        </w:rPr>
      </w:pPr>
    </w:p>
    <w:p w:rsidR="004E15DE" w:rsidRPr="00A81E46" w:rsidP="004E15DE" w14:paraId="6006580F"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
          <w:bCs/>
          <w:sz w:val="24"/>
          <w:szCs w:val="24"/>
        </w:rPr>
      </w:pPr>
    </w:p>
    <w:p w:rsidR="004E15DE" w:rsidRPr="00A81E46" w:rsidP="004E15DE" w14:paraId="6E6D3314" w14:textId="1302774C">
      <w:pPr>
        <w:pStyle w:val="Footer"/>
        <w:tabs>
          <w:tab w:val="left" w:pos="4320"/>
          <w:tab w:val="clear" w:pos="8640"/>
        </w:tabs>
        <w:spacing w:before="240"/>
        <w:rPr>
          <w:sz w:val="24"/>
          <w:szCs w:val="24"/>
        </w:rPr>
      </w:pPr>
      <w:r w:rsidRPr="00A81E46">
        <w:rPr>
          <w:sz w:val="24"/>
          <w:szCs w:val="24"/>
        </w:rPr>
        <w:tab/>
        <w:t>Bruce Weston (#0016973)</w:t>
      </w:r>
    </w:p>
    <w:p w:rsidR="004E15DE" w:rsidRPr="00A81E46" w:rsidP="004E15DE" w14:paraId="6E4D7B3A" w14:textId="77777777">
      <w:pPr>
        <w:tabs>
          <w:tab w:val="left" w:pos="4320"/>
        </w:tabs>
        <w:rPr>
          <w:szCs w:val="24"/>
        </w:rPr>
      </w:pPr>
      <w:r w:rsidRPr="00A81E46">
        <w:rPr>
          <w:szCs w:val="24"/>
        </w:rPr>
        <w:tab/>
        <w:t>Ohio Consumers’ Counsel</w:t>
      </w:r>
    </w:p>
    <w:p w:rsidR="004E15DE" w:rsidRPr="00A81E46" w:rsidP="004E15DE" w14:paraId="2D7D4EBE" w14:textId="77777777">
      <w:pPr>
        <w:tabs>
          <w:tab w:val="left" w:pos="4320"/>
        </w:tabs>
        <w:rPr>
          <w:szCs w:val="24"/>
        </w:rPr>
      </w:pPr>
      <w:r w:rsidRPr="00A81E46">
        <w:rPr>
          <w:szCs w:val="24"/>
        </w:rPr>
        <w:tab/>
      </w:r>
    </w:p>
    <w:p w:rsidR="004E15DE" w:rsidRPr="00A81E46" w:rsidP="004E15DE" w14:paraId="3B428D70" w14:textId="77777777">
      <w:pPr>
        <w:tabs>
          <w:tab w:val="left" w:pos="4320"/>
        </w:tabs>
        <w:rPr>
          <w:szCs w:val="24"/>
        </w:rPr>
      </w:pPr>
      <w:r w:rsidRPr="00A81E46">
        <w:rPr>
          <w:szCs w:val="24"/>
        </w:rPr>
        <w:tab/>
        <w:t>Maureen R. Willis, Senior Counsel</w:t>
      </w:r>
    </w:p>
    <w:p w:rsidR="004E15DE" w:rsidRPr="00A81E46" w:rsidP="004E15DE" w14:paraId="0338E74B" w14:textId="77777777">
      <w:pPr>
        <w:tabs>
          <w:tab w:val="left" w:pos="4320"/>
        </w:tabs>
        <w:rPr>
          <w:szCs w:val="24"/>
        </w:rPr>
      </w:pPr>
      <w:r w:rsidRPr="00A81E46">
        <w:rPr>
          <w:szCs w:val="24"/>
        </w:rPr>
        <w:tab/>
        <w:t>Counsel of Record  (#0020847)</w:t>
      </w:r>
    </w:p>
    <w:p w:rsidR="004E15DE" w:rsidRPr="00A81E46" w:rsidP="004E15DE" w14:paraId="390DE769" w14:textId="77777777">
      <w:pPr>
        <w:tabs>
          <w:tab w:val="left" w:pos="4320"/>
        </w:tabs>
        <w:rPr>
          <w:szCs w:val="24"/>
        </w:rPr>
      </w:pPr>
      <w:r w:rsidRPr="00A81E46">
        <w:rPr>
          <w:szCs w:val="24"/>
        </w:rPr>
        <w:tab/>
        <w:t>William J. Michael (#0070921)</w:t>
      </w:r>
    </w:p>
    <w:p w:rsidR="004E15DE" w:rsidRPr="00A81E46" w:rsidP="004E15DE" w14:paraId="657385B4" w14:textId="77777777">
      <w:pPr>
        <w:tabs>
          <w:tab w:val="left" w:pos="4320"/>
        </w:tabs>
        <w:rPr>
          <w:szCs w:val="24"/>
        </w:rPr>
      </w:pPr>
      <w:r w:rsidRPr="00A81E46">
        <w:rPr>
          <w:szCs w:val="24"/>
        </w:rPr>
        <w:tab/>
        <w:t>Angela D. O’Brien (#0097579)</w:t>
      </w:r>
    </w:p>
    <w:p w:rsidR="004E15DE" w:rsidRPr="00A81E46" w:rsidP="004E15DE" w14:paraId="1BDD4414" w14:textId="77777777">
      <w:pPr>
        <w:tabs>
          <w:tab w:val="left" w:pos="4320"/>
        </w:tabs>
        <w:rPr>
          <w:szCs w:val="24"/>
        </w:rPr>
      </w:pPr>
      <w:r w:rsidRPr="00A81E46">
        <w:rPr>
          <w:szCs w:val="24"/>
        </w:rPr>
        <w:tab/>
        <w:t>Assistant Consumers’ Counsel</w:t>
      </w:r>
    </w:p>
    <w:p w:rsidR="004E15DE" w:rsidRPr="00A81E46" w:rsidP="004E15DE" w14:paraId="12896625" w14:textId="77777777">
      <w:pPr>
        <w:rPr>
          <w:szCs w:val="24"/>
        </w:rPr>
      </w:pPr>
      <w:r w:rsidRPr="00A81E46">
        <w:rPr>
          <w:szCs w:val="24"/>
        </w:rPr>
        <w:tab/>
      </w:r>
    </w:p>
    <w:p w:rsidR="004E15DE" w:rsidRPr="00A81E46" w:rsidP="004E15DE" w14:paraId="3C2059BB" w14:textId="77777777">
      <w:pPr>
        <w:ind w:left="4320"/>
        <w:rPr>
          <w:b/>
          <w:bCs/>
          <w:szCs w:val="24"/>
        </w:rPr>
      </w:pPr>
      <w:r w:rsidRPr="00A81E46">
        <w:rPr>
          <w:b/>
          <w:bCs/>
          <w:szCs w:val="24"/>
        </w:rPr>
        <w:t>Office of the Ohio Consumers’ Counsel</w:t>
      </w:r>
    </w:p>
    <w:p w:rsidR="004E15DE" w:rsidRPr="00A81E46" w:rsidP="004E15DE" w14:paraId="401F2EEE" w14:textId="77777777">
      <w:pPr>
        <w:rPr>
          <w:bCs/>
          <w:szCs w:val="24"/>
        </w:rPr>
      </w:pPr>
      <w:r w:rsidRPr="00A81E46">
        <w:rPr>
          <w:szCs w:val="24"/>
        </w:rPr>
        <w:tab/>
      </w:r>
      <w:r w:rsidRPr="00A81E46">
        <w:rPr>
          <w:szCs w:val="24"/>
        </w:rPr>
        <w:tab/>
      </w:r>
      <w:r w:rsidRPr="00A81E46">
        <w:rPr>
          <w:szCs w:val="24"/>
        </w:rPr>
        <w:tab/>
      </w:r>
      <w:r w:rsidRPr="00A81E46">
        <w:rPr>
          <w:szCs w:val="24"/>
        </w:rPr>
        <w:tab/>
      </w:r>
      <w:r w:rsidRPr="00A81E46">
        <w:rPr>
          <w:szCs w:val="24"/>
        </w:rPr>
        <w:tab/>
      </w:r>
      <w:r w:rsidRPr="00A81E46">
        <w:rPr>
          <w:szCs w:val="24"/>
        </w:rPr>
        <w:tab/>
      </w:r>
      <w:r w:rsidRPr="00A81E46">
        <w:rPr>
          <w:bCs/>
          <w:szCs w:val="24"/>
        </w:rPr>
        <w:t>Columbus, Ohio 43215</w:t>
      </w:r>
    </w:p>
    <w:p w:rsidR="004E15DE" w:rsidRPr="00A81E46" w:rsidP="004E15DE" w14:paraId="07582BB1" w14:textId="77777777">
      <w:pPr>
        <w:autoSpaceDE w:val="0"/>
        <w:autoSpaceDN w:val="0"/>
        <w:adjustRightInd w:val="0"/>
        <w:ind w:left="3600" w:firstLine="720"/>
        <w:rPr>
          <w:szCs w:val="24"/>
        </w:rPr>
      </w:pPr>
      <w:r w:rsidRPr="00A81E46">
        <w:rPr>
          <w:szCs w:val="24"/>
        </w:rPr>
        <w:t xml:space="preserve">Telephone: (614) 466-9567 (Willis) </w:t>
      </w:r>
    </w:p>
    <w:p w:rsidR="004E15DE" w:rsidRPr="00A81E46" w:rsidP="004E15DE" w14:paraId="5C90E6DD" w14:textId="77777777">
      <w:pPr>
        <w:autoSpaceDE w:val="0"/>
        <w:autoSpaceDN w:val="0"/>
        <w:adjustRightInd w:val="0"/>
        <w:ind w:left="3600" w:firstLine="720"/>
        <w:rPr>
          <w:szCs w:val="24"/>
        </w:rPr>
      </w:pPr>
      <w:r w:rsidRPr="00A81E46">
        <w:rPr>
          <w:szCs w:val="24"/>
        </w:rPr>
        <w:t xml:space="preserve">Telephone: (614) 466-9531 (O’Brien) </w:t>
      </w:r>
    </w:p>
    <w:p w:rsidR="004E15DE" w:rsidRPr="00A81E46" w:rsidP="004E15DE" w14:paraId="3DF583A7" w14:textId="77777777">
      <w:pPr>
        <w:autoSpaceDE w:val="0"/>
        <w:autoSpaceDN w:val="0"/>
        <w:adjustRightInd w:val="0"/>
        <w:ind w:left="3600" w:firstLine="720"/>
        <w:rPr>
          <w:szCs w:val="24"/>
        </w:rPr>
      </w:pPr>
      <w:r w:rsidRPr="00A81E46">
        <w:rPr>
          <w:szCs w:val="24"/>
        </w:rPr>
        <w:t>Telephone: (614) 466-1291 (Michael)</w:t>
      </w:r>
    </w:p>
    <w:p w:rsidR="004E15DE" w:rsidRPr="00A81E46" w:rsidP="004E15DE" w14:paraId="0EC86F91" w14:textId="77777777">
      <w:pPr>
        <w:autoSpaceDE w:val="0"/>
        <w:autoSpaceDN w:val="0"/>
        <w:adjustRightInd w:val="0"/>
        <w:ind w:left="3600" w:firstLine="720"/>
        <w:rPr>
          <w:szCs w:val="24"/>
        </w:rPr>
      </w:pPr>
      <w:hyperlink r:id="rId6" w:history="1">
        <w:r w:rsidRPr="00A81E46" w:rsidR="00D56922">
          <w:rPr>
            <w:rStyle w:val="Hyperlink"/>
            <w:szCs w:val="24"/>
          </w:rPr>
          <w:t>Maureen.willis@occ.ohio.gov</w:t>
        </w:r>
      </w:hyperlink>
    </w:p>
    <w:p w:rsidR="004E15DE" w:rsidRPr="00A81E46" w:rsidP="004E15DE" w14:paraId="3A6CD59C" w14:textId="77777777">
      <w:pPr>
        <w:autoSpaceDE w:val="0"/>
        <w:autoSpaceDN w:val="0"/>
        <w:adjustRightInd w:val="0"/>
        <w:ind w:left="3600" w:firstLine="720"/>
        <w:rPr>
          <w:szCs w:val="24"/>
        </w:rPr>
      </w:pPr>
      <w:hyperlink r:id="rId7" w:history="1">
        <w:r w:rsidRPr="00A81E46" w:rsidR="00D56922">
          <w:rPr>
            <w:rStyle w:val="Hyperlink"/>
            <w:szCs w:val="24"/>
          </w:rPr>
          <w:t>William.michael@occ.ohio.gov</w:t>
        </w:r>
      </w:hyperlink>
    </w:p>
    <w:p w:rsidR="004E15DE" w:rsidRPr="00A81E46" w:rsidP="004E15DE" w14:paraId="7C4B8388" w14:textId="77777777">
      <w:pPr>
        <w:autoSpaceDE w:val="0"/>
        <w:autoSpaceDN w:val="0"/>
        <w:adjustRightInd w:val="0"/>
        <w:ind w:left="3600" w:firstLine="720"/>
        <w:rPr>
          <w:szCs w:val="24"/>
        </w:rPr>
      </w:pPr>
      <w:hyperlink r:id="rId8" w:history="1">
        <w:r w:rsidRPr="00A81E46" w:rsidR="00D56922">
          <w:rPr>
            <w:rStyle w:val="Hyperlink"/>
            <w:szCs w:val="24"/>
          </w:rPr>
          <w:t>Angela.obrien@occ.ohio.gov</w:t>
        </w:r>
      </w:hyperlink>
    </w:p>
    <w:p w:rsidR="004E15DE" w:rsidRPr="00A81E46" w:rsidP="004E15DE" w14:paraId="7801EBA5" w14:textId="06DC9ABA">
      <w:pPr>
        <w:rPr>
          <w:szCs w:val="24"/>
        </w:rPr>
      </w:pPr>
      <w:r w:rsidRPr="00A81E46">
        <w:rPr>
          <w:szCs w:val="24"/>
        </w:rPr>
        <w:t>September 30, 2020</w:t>
      </w:r>
      <w:r w:rsidRPr="00A81E46">
        <w:rPr>
          <w:szCs w:val="24"/>
        </w:rPr>
        <w:tab/>
      </w:r>
      <w:r w:rsidRPr="00A81E46">
        <w:rPr>
          <w:szCs w:val="24"/>
        </w:rPr>
        <w:tab/>
      </w:r>
      <w:r w:rsidRPr="00A81E46">
        <w:rPr>
          <w:szCs w:val="24"/>
        </w:rPr>
        <w:tab/>
      </w:r>
      <w:r w:rsidRPr="00A81E46">
        <w:rPr>
          <w:szCs w:val="24"/>
        </w:rPr>
        <w:tab/>
        <w:t>(willing to accept service by e-mail)</w:t>
      </w:r>
    </w:p>
    <w:p w:rsidR="004E15DE" w:rsidRPr="00A81E46" w:rsidP="004E15DE" w14:paraId="267C23E9"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
          <w:bCs/>
          <w:sz w:val="24"/>
          <w:szCs w:val="24"/>
        </w:rPr>
      </w:pPr>
    </w:p>
    <w:p w:rsidR="004E15DE" w:rsidRPr="00A81E46" w:rsidP="004E15DE" w14:paraId="0B702647"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
          <w:bCs/>
          <w:sz w:val="24"/>
          <w:szCs w:val="24"/>
        </w:rPr>
      </w:pPr>
    </w:p>
    <w:p w:rsidR="004E15DE" w:rsidRPr="00A81E46" w:rsidP="004E15DE" w14:paraId="3F95E2C7"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
          <w:bCs/>
          <w:sz w:val="24"/>
          <w:szCs w:val="24"/>
        </w:rPr>
        <w:sectPr>
          <w:footerReference w:type="default" r:id="rId9"/>
          <w:pgSz w:w="12240" w:h="15840"/>
          <w:pgMar w:top="1440" w:right="1440" w:bottom="1440" w:left="1440" w:header="720" w:footer="720" w:gutter="0"/>
          <w:cols w:space="720"/>
          <w:docGrid w:linePitch="360"/>
        </w:sectPr>
      </w:pPr>
    </w:p>
    <w:p w:rsidR="004E15DE" w:rsidRPr="00A81E46" w:rsidP="004E15DE" w14:paraId="529B8316"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u w:val="single"/>
        </w:rPr>
      </w:pPr>
      <w:r w:rsidRPr="00A81E46">
        <w:rPr>
          <w:rFonts w:ascii="Times New Roman" w:hAnsi="Times New Roman" w:cs="Times New Roman"/>
          <w:b/>
          <w:bCs/>
          <w:sz w:val="24"/>
          <w:szCs w:val="24"/>
          <w:u w:val="single"/>
        </w:rPr>
        <w:t>TABLE OF CONTENTS</w:t>
      </w:r>
    </w:p>
    <w:p w:rsidR="004E15DE" w:rsidRPr="00A81E46" w:rsidP="004E15DE" w14:paraId="41D420F6"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p>
    <w:p w:rsidR="004E15DE" w:rsidRPr="00A81E46" w:rsidP="004E15DE" w14:paraId="2DE2F4BF"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sidRPr="00A81E46">
        <w:rPr>
          <w:rFonts w:ascii="Times New Roman" w:hAnsi="Times New Roman" w:cs="Times New Roman"/>
          <w:b/>
          <w:bCs/>
          <w:sz w:val="24"/>
          <w:szCs w:val="24"/>
        </w:rPr>
        <w:tab/>
      </w:r>
      <w:r w:rsidRPr="00A81E46">
        <w:rPr>
          <w:rFonts w:ascii="Times New Roman" w:hAnsi="Times New Roman" w:cs="Times New Roman"/>
          <w:b/>
          <w:bCs/>
          <w:sz w:val="24"/>
          <w:szCs w:val="24"/>
        </w:rPr>
        <w:tab/>
      </w:r>
      <w:r w:rsidRPr="00A81E46">
        <w:rPr>
          <w:rFonts w:ascii="Times New Roman" w:hAnsi="Times New Roman" w:cs="Times New Roman"/>
          <w:b/>
          <w:bCs/>
          <w:sz w:val="24"/>
          <w:szCs w:val="24"/>
        </w:rPr>
        <w:tab/>
      </w:r>
      <w:r w:rsidRPr="00A81E46">
        <w:rPr>
          <w:rFonts w:ascii="Times New Roman" w:hAnsi="Times New Roman" w:cs="Times New Roman"/>
          <w:b/>
          <w:bCs/>
          <w:sz w:val="24"/>
          <w:szCs w:val="24"/>
        </w:rPr>
        <w:tab/>
      </w:r>
      <w:r w:rsidRPr="00A81E46">
        <w:rPr>
          <w:rFonts w:ascii="Times New Roman" w:hAnsi="Times New Roman" w:cs="Times New Roman"/>
          <w:b/>
          <w:bCs/>
          <w:sz w:val="24"/>
          <w:szCs w:val="24"/>
        </w:rPr>
        <w:tab/>
      </w:r>
      <w:r w:rsidRPr="00A81E46">
        <w:rPr>
          <w:rFonts w:ascii="Times New Roman" w:hAnsi="Times New Roman" w:cs="Times New Roman"/>
          <w:b/>
          <w:bCs/>
          <w:sz w:val="24"/>
          <w:szCs w:val="24"/>
        </w:rPr>
        <w:tab/>
      </w:r>
      <w:r w:rsidRPr="00A81E46">
        <w:rPr>
          <w:rFonts w:ascii="Times New Roman" w:hAnsi="Times New Roman" w:cs="Times New Roman"/>
          <w:b/>
          <w:bCs/>
          <w:sz w:val="24"/>
          <w:szCs w:val="24"/>
        </w:rPr>
        <w:tab/>
      </w:r>
      <w:r w:rsidRPr="00A81E46">
        <w:rPr>
          <w:rFonts w:ascii="Times New Roman" w:hAnsi="Times New Roman" w:cs="Times New Roman"/>
          <w:b/>
          <w:bCs/>
          <w:sz w:val="24"/>
          <w:szCs w:val="24"/>
        </w:rPr>
        <w:tab/>
      </w:r>
      <w:r w:rsidRPr="00A81E46">
        <w:rPr>
          <w:rFonts w:ascii="Times New Roman" w:hAnsi="Times New Roman" w:cs="Times New Roman"/>
          <w:b/>
          <w:bCs/>
          <w:sz w:val="24"/>
          <w:szCs w:val="24"/>
        </w:rPr>
        <w:tab/>
      </w:r>
      <w:r w:rsidRPr="00A81E46">
        <w:rPr>
          <w:rFonts w:ascii="Times New Roman" w:hAnsi="Times New Roman" w:cs="Times New Roman"/>
          <w:b/>
          <w:bCs/>
          <w:sz w:val="24"/>
          <w:szCs w:val="24"/>
        </w:rPr>
        <w:tab/>
      </w:r>
      <w:r w:rsidRPr="00A81E46">
        <w:rPr>
          <w:rFonts w:ascii="Times New Roman" w:hAnsi="Times New Roman" w:cs="Times New Roman"/>
          <w:b/>
          <w:bCs/>
          <w:sz w:val="24"/>
          <w:szCs w:val="24"/>
        </w:rPr>
        <w:tab/>
      </w:r>
      <w:r w:rsidRPr="00A81E46">
        <w:rPr>
          <w:rFonts w:ascii="Times New Roman" w:hAnsi="Times New Roman" w:cs="Times New Roman"/>
          <w:b/>
          <w:bCs/>
          <w:sz w:val="24"/>
          <w:szCs w:val="24"/>
        </w:rPr>
        <w:tab/>
        <w:t>PAGE</w:t>
      </w:r>
    </w:p>
    <w:p w:rsidR="004E15DE" w:rsidRPr="00A81E46" w:rsidP="004E15DE" w14:paraId="3FA08C34"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p>
    <w:p w:rsidR="00D610EB" w14:paraId="64264131" w14:textId="35E40D42">
      <w:pPr>
        <w:pStyle w:val="TOC1"/>
        <w:rPr>
          <w:rFonts w:asciiTheme="minorHAnsi" w:eastAsiaTheme="minorEastAsia" w:hAnsiTheme="minorHAnsi" w:cstheme="minorBidi"/>
          <w:caps w:val="0"/>
          <w:noProof/>
          <w:sz w:val="22"/>
          <w:szCs w:val="22"/>
        </w:rPr>
      </w:pPr>
      <w:r w:rsidRPr="00A81E46">
        <w:rPr>
          <w:b/>
          <w:bCs/>
          <w:szCs w:val="24"/>
        </w:rPr>
        <w:fldChar w:fldCharType="begin"/>
      </w:r>
      <w:r w:rsidRPr="00A81E46">
        <w:rPr>
          <w:b/>
          <w:bCs/>
          <w:szCs w:val="24"/>
        </w:rPr>
        <w:instrText xml:space="preserve"> TOC \o "1-2" \h \z \u </w:instrText>
      </w:r>
      <w:r w:rsidRPr="00A81E46">
        <w:rPr>
          <w:b/>
          <w:bCs/>
          <w:szCs w:val="24"/>
        </w:rPr>
        <w:fldChar w:fldCharType="separate"/>
      </w:r>
      <w:hyperlink w:anchor="_Toc52376361" w:history="1">
        <w:r w:rsidRPr="002702F1">
          <w:rPr>
            <w:rStyle w:val="Hyperlink"/>
            <w:noProof/>
          </w:rPr>
          <w:t>I.</w:t>
        </w:r>
        <w:r>
          <w:rPr>
            <w:rFonts w:asciiTheme="minorHAnsi" w:eastAsiaTheme="minorEastAsia" w:hAnsiTheme="minorHAnsi" w:cstheme="minorBidi"/>
            <w:caps w:val="0"/>
            <w:noProof/>
            <w:sz w:val="22"/>
            <w:szCs w:val="22"/>
          </w:rPr>
          <w:tab/>
        </w:r>
        <w:r w:rsidRPr="002702F1">
          <w:rPr>
            <w:rStyle w:val="Hyperlink"/>
            <w:noProof/>
          </w:rPr>
          <w:t>INTRODUCTION</w:t>
        </w:r>
        <w:r>
          <w:rPr>
            <w:noProof/>
            <w:webHidden/>
          </w:rPr>
          <w:tab/>
        </w:r>
        <w:r>
          <w:rPr>
            <w:noProof/>
            <w:webHidden/>
          </w:rPr>
          <w:fldChar w:fldCharType="begin"/>
        </w:r>
        <w:r>
          <w:rPr>
            <w:noProof/>
            <w:webHidden/>
          </w:rPr>
          <w:instrText xml:space="preserve"> PAGEREF _Toc52376361 \h </w:instrText>
        </w:r>
        <w:r>
          <w:rPr>
            <w:noProof/>
            <w:webHidden/>
          </w:rPr>
          <w:fldChar w:fldCharType="separate"/>
        </w:r>
        <w:r>
          <w:rPr>
            <w:noProof/>
            <w:webHidden/>
          </w:rPr>
          <w:t>1</w:t>
        </w:r>
        <w:r>
          <w:rPr>
            <w:noProof/>
            <w:webHidden/>
          </w:rPr>
          <w:fldChar w:fldCharType="end"/>
        </w:r>
      </w:hyperlink>
    </w:p>
    <w:p w:rsidR="00D610EB" w14:paraId="2A9FD0AA" w14:textId="14D8D005">
      <w:pPr>
        <w:pStyle w:val="TOC1"/>
        <w:rPr>
          <w:rFonts w:asciiTheme="minorHAnsi" w:eastAsiaTheme="minorEastAsia" w:hAnsiTheme="minorHAnsi" w:cstheme="minorBidi"/>
          <w:caps w:val="0"/>
          <w:noProof/>
          <w:sz w:val="22"/>
          <w:szCs w:val="22"/>
        </w:rPr>
      </w:pPr>
      <w:hyperlink w:anchor="_Toc52376362" w:history="1">
        <w:r w:rsidRPr="002702F1">
          <w:rPr>
            <w:rStyle w:val="Hyperlink"/>
            <w:noProof/>
          </w:rPr>
          <w:t>II.</w:t>
        </w:r>
        <w:r>
          <w:rPr>
            <w:rFonts w:asciiTheme="minorHAnsi" w:eastAsiaTheme="minorEastAsia" w:hAnsiTheme="minorHAnsi" w:cstheme="minorBidi"/>
            <w:caps w:val="0"/>
            <w:noProof/>
            <w:sz w:val="22"/>
            <w:szCs w:val="22"/>
          </w:rPr>
          <w:tab/>
        </w:r>
        <w:r w:rsidRPr="002702F1">
          <w:rPr>
            <w:rStyle w:val="Hyperlink"/>
            <w:noProof/>
          </w:rPr>
          <w:t>ARGUMENT</w:t>
        </w:r>
        <w:r>
          <w:rPr>
            <w:noProof/>
            <w:webHidden/>
          </w:rPr>
          <w:tab/>
        </w:r>
        <w:r>
          <w:rPr>
            <w:noProof/>
            <w:webHidden/>
          </w:rPr>
          <w:fldChar w:fldCharType="begin"/>
        </w:r>
        <w:r>
          <w:rPr>
            <w:noProof/>
            <w:webHidden/>
          </w:rPr>
          <w:instrText xml:space="preserve"> PAGEREF _Toc52376362 \h </w:instrText>
        </w:r>
        <w:r>
          <w:rPr>
            <w:noProof/>
            <w:webHidden/>
          </w:rPr>
          <w:fldChar w:fldCharType="separate"/>
        </w:r>
        <w:r>
          <w:rPr>
            <w:noProof/>
            <w:webHidden/>
          </w:rPr>
          <w:t>3</w:t>
        </w:r>
        <w:r>
          <w:rPr>
            <w:noProof/>
            <w:webHidden/>
          </w:rPr>
          <w:fldChar w:fldCharType="end"/>
        </w:r>
      </w:hyperlink>
    </w:p>
    <w:p w:rsidR="00D610EB" w14:paraId="5014D7C2" w14:textId="281E6D7C">
      <w:pPr>
        <w:pStyle w:val="TOC2"/>
        <w:tabs>
          <w:tab w:val="left" w:pos="1440"/>
        </w:tabs>
        <w:rPr>
          <w:rFonts w:asciiTheme="minorHAnsi" w:eastAsiaTheme="minorEastAsia" w:hAnsiTheme="minorHAnsi" w:cstheme="minorBidi"/>
          <w:noProof/>
          <w:sz w:val="22"/>
          <w:szCs w:val="22"/>
        </w:rPr>
      </w:pPr>
      <w:hyperlink w:anchor="_Toc52376363" w:history="1">
        <w:r w:rsidRPr="002702F1">
          <w:rPr>
            <w:rStyle w:val="Hyperlink"/>
            <w:noProof/>
          </w:rPr>
          <w:t>A.</w:t>
        </w:r>
        <w:r>
          <w:rPr>
            <w:rFonts w:asciiTheme="minorHAnsi" w:eastAsiaTheme="minorEastAsia" w:hAnsiTheme="minorHAnsi" w:cstheme="minorBidi"/>
            <w:noProof/>
            <w:sz w:val="22"/>
            <w:szCs w:val="22"/>
          </w:rPr>
          <w:tab/>
        </w:r>
        <w:r w:rsidRPr="002702F1">
          <w:rPr>
            <w:rStyle w:val="Hyperlink"/>
            <w:noProof/>
          </w:rPr>
          <w:t>R.C. 4905.05 and 4905.06 (along with R.C. 4909.154) expressly provide the PUCO authority to investigate FirstEnergy Utilities and their owner, FirstEnergy Corp., to determine whether rates charged to customers for electric utility service improperly funded efforts to enact HB 6 and to thwart a referendum.</w:t>
        </w:r>
        <w:r>
          <w:rPr>
            <w:noProof/>
            <w:webHidden/>
          </w:rPr>
          <w:tab/>
        </w:r>
        <w:r>
          <w:rPr>
            <w:noProof/>
            <w:webHidden/>
          </w:rPr>
          <w:fldChar w:fldCharType="begin"/>
        </w:r>
        <w:r>
          <w:rPr>
            <w:noProof/>
            <w:webHidden/>
          </w:rPr>
          <w:instrText xml:space="preserve"> PAGEREF _Toc52376363 \h </w:instrText>
        </w:r>
        <w:r>
          <w:rPr>
            <w:noProof/>
            <w:webHidden/>
          </w:rPr>
          <w:fldChar w:fldCharType="separate"/>
        </w:r>
        <w:r>
          <w:rPr>
            <w:noProof/>
            <w:webHidden/>
          </w:rPr>
          <w:t>3</w:t>
        </w:r>
        <w:r>
          <w:rPr>
            <w:noProof/>
            <w:webHidden/>
          </w:rPr>
          <w:fldChar w:fldCharType="end"/>
        </w:r>
      </w:hyperlink>
    </w:p>
    <w:p w:rsidR="00D610EB" w14:paraId="4AA60AB0" w14:textId="0A9AE56F">
      <w:pPr>
        <w:pStyle w:val="TOC2"/>
        <w:tabs>
          <w:tab w:val="left" w:pos="1440"/>
        </w:tabs>
        <w:rPr>
          <w:rFonts w:asciiTheme="minorHAnsi" w:eastAsiaTheme="minorEastAsia" w:hAnsiTheme="minorHAnsi" w:cstheme="minorBidi"/>
          <w:noProof/>
          <w:sz w:val="22"/>
          <w:szCs w:val="22"/>
        </w:rPr>
      </w:pPr>
      <w:hyperlink w:anchor="_Toc52376364" w:history="1">
        <w:r w:rsidRPr="002702F1">
          <w:rPr>
            <w:rStyle w:val="Hyperlink"/>
            <w:noProof/>
          </w:rPr>
          <w:t>B.</w:t>
        </w:r>
        <w:r>
          <w:rPr>
            <w:rFonts w:asciiTheme="minorHAnsi" w:eastAsiaTheme="minorEastAsia" w:hAnsiTheme="minorHAnsi" w:cstheme="minorBidi"/>
            <w:noProof/>
            <w:sz w:val="22"/>
            <w:szCs w:val="22"/>
          </w:rPr>
          <w:tab/>
        </w:r>
        <w:r w:rsidRPr="002702F1">
          <w:rPr>
            <w:rStyle w:val="Hyperlink"/>
            <w:noProof/>
          </w:rPr>
          <w:t>The PUCO has jurisdiction to examine utilities’ compliance with law and PUCO orders without requiring evidence of a violation.</w:t>
        </w:r>
        <w:r>
          <w:rPr>
            <w:noProof/>
            <w:webHidden/>
          </w:rPr>
          <w:tab/>
        </w:r>
        <w:r>
          <w:rPr>
            <w:noProof/>
            <w:webHidden/>
          </w:rPr>
          <w:fldChar w:fldCharType="begin"/>
        </w:r>
        <w:r>
          <w:rPr>
            <w:noProof/>
            <w:webHidden/>
          </w:rPr>
          <w:instrText xml:space="preserve"> PAGEREF _Toc52376364 \h </w:instrText>
        </w:r>
        <w:r>
          <w:rPr>
            <w:noProof/>
            <w:webHidden/>
          </w:rPr>
          <w:fldChar w:fldCharType="separate"/>
        </w:r>
        <w:r>
          <w:rPr>
            <w:noProof/>
            <w:webHidden/>
          </w:rPr>
          <w:t>6</w:t>
        </w:r>
        <w:r>
          <w:rPr>
            <w:noProof/>
            <w:webHidden/>
          </w:rPr>
          <w:fldChar w:fldCharType="end"/>
        </w:r>
      </w:hyperlink>
    </w:p>
    <w:p w:rsidR="00D610EB" w14:paraId="5EF4DA47" w14:textId="3FF8CA4F">
      <w:pPr>
        <w:pStyle w:val="TOC2"/>
        <w:tabs>
          <w:tab w:val="left" w:pos="1440"/>
        </w:tabs>
        <w:rPr>
          <w:rFonts w:asciiTheme="minorHAnsi" w:eastAsiaTheme="minorEastAsia" w:hAnsiTheme="minorHAnsi" w:cstheme="minorBidi"/>
          <w:noProof/>
          <w:sz w:val="22"/>
          <w:szCs w:val="22"/>
        </w:rPr>
      </w:pPr>
      <w:hyperlink w:anchor="_Toc52376365" w:history="1">
        <w:r w:rsidRPr="002702F1">
          <w:rPr>
            <w:rStyle w:val="Hyperlink"/>
            <w:noProof/>
          </w:rPr>
          <w:t>C.</w:t>
        </w:r>
        <w:r>
          <w:rPr>
            <w:rFonts w:asciiTheme="minorHAnsi" w:eastAsiaTheme="minorEastAsia" w:hAnsiTheme="minorHAnsi" w:cstheme="minorBidi"/>
            <w:noProof/>
            <w:sz w:val="22"/>
            <w:szCs w:val="22"/>
          </w:rPr>
          <w:tab/>
        </w:r>
        <w:r w:rsidRPr="002702F1">
          <w:rPr>
            <w:rStyle w:val="Hyperlink"/>
            <w:noProof/>
          </w:rPr>
          <w:t>The PUCO has jurisdiction to determine if customers were improperly made to pay for political and charitable contributions associated with House Bill 6 activities.</w:t>
        </w:r>
        <w:r>
          <w:rPr>
            <w:noProof/>
            <w:webHidden/>
          </w:rPr>
          <w:tab/>
        </w:r>
        <w:r>
          <w:rPr>
            <w:noProof/>
            <w:webHidden/>
          </w:rPr>
          <w:fldChar w:fldCharType="begin"/>
        </w:r>
        <w:r>
          <w:rPr>
            <w:noProof/>
            <w:webHidden/>
          </w:rPr>
          <w:instrText xml:space="preserve"> PAGEREF _Toc52376365 \h </w:instrText>
        </w:r>
        <w:r>
          <w:rPr>
            <w:noProof/>
            <w:webHidden/>
          </w:rPr>
          <w:fldChar w:fldCharType="separate"/>
        </w:r>
        <w:r>
          <w:rPr>
            <w:noProof/>
            <w:webHidden/>
          </w:rPr>
          <w:t>8</w:t>
        </w:r>
        <w:r>
          <w:rPr>
            <w:noProof/>
            <w:webHidden/>
          </w:rPr>
          <w:fldChar w:fldCharType="end"/>
        </w:r>
      </w:hyperlink>
    </w:p>
    <w:p w:rsidR="00D610EB" w14:paraId="7266B58C" w14:textId="71E5CE3D">
      <w:pPr>
        <w:pStyle w:val="TOC2"/>
        <w:tabs>
          <w:tab w:val="left" w:pos="1440"/>
        </w:tabs>
        <w:rPr>
          <w:rFonts w:asciiTheme="minorHAnsi" w:eastAsiaTheme="minorEastAsia" w:hAnsiTheme="minorHAnsi" w:cstheme="minorBidi"/>
          <w:noProof/>
          <w:sz w:val="22"/>
          <w:szCs w:val="22"/>
        </w:rPr>
      </w:pPr>
      <w:hyperlink w:anchor="_Toc52376366" w:history="1">
        <w:r w:rsidRPr="002702F1">
          <w:rPr>
            <w:rStyle w:val="Hyperlink"/>
            <w:noProof/>
          </w:rPr>
          <w:t>D.</w:t>
        </w:r>
        <w:r>
          <w:rPr>
            <w:rFonts w:asciiTheme="minorHAnsi" w:eastAsiaTheme="minorEastAsia" w:hAnsiTheme="minorHAnsi" w:cstheme="minorBidi"/>
            <w:noProof/>
            <w:sz w:val="22"/>
            <w:szCs w:val="22"/>
          </w:rPr>
          <w:tab/>
        </w:r>
        <w:r w:rsidRPr="002702F1">
          <w:rPr>
            <w:rStyle w:val="Hyperlink"/>
            <w:noProof/>
          </w:rPr>
          <w:t>The PUCO has authority to conduct an independent management audit of public utilities under its jurisdiction in conjunction with its review of corporate separation issues.</w:t>
        </w:r>
        <w:r>
          <w:rPr>
            <w:noProof/>
            <w:webHidden/>
          </w:rPr>
          <w:tab/>
        </w:r>
        <w:r>
          <w:rPr>
            <w:noProof/>
            <w:webHidden/>
          </w:rPr>
          <w:fldChar w:fldCharType="begin"/>
        </w:r>
        <w:r>
          <w:rPr>
            <w:noProof/>
            <w:webHidden/>
          </w:rPr>
          <w:instrText xml:space="preserve"> PAGEREF _Toc52376366 \h </w:instrText>
        </w:r>
        <w:r>
          <w:rPr>
            <w:noProof/>
            <w:webHidden/>
          </w:rPr>
          <w:fldChar w:fldCharType="separate"/>
        </w:r>
        <w:r>
          <w:rPr>
            <w:noProof/>
            <w:webHidden/>
          </w:rPr>
          <w:t>10</w:t>
        </w:r>
        <w:r>
          <w:rPr>
            <w:noProof/>
            <w:webHidden/>
          </w:rPr>
          <w:fldChar w:fldCharType="end"/>
        </w:r>
      </w:hyperlink>
    </w:p>
    <w:p w:rsidR="00D610EB" w14:paraId="694FC14E" w14:textId="0EC4CC6B">
      <w:pPr>
        <w:pStyle w:val="TOC2"/>
        <w:tabs>
          <w:tab w:val="left" w:pos="1440"/>
        </w:tabs>
        <w:rPr>
          <w:rFonts w:asciiTheme="minorHAnsi" w:eastAsiaTheme="minorEastAsia" w:hAnsiTheme="minorHAnsi" w:cstheme="minorBidi"/>
          <w:noProof/>
          <w:sz w:val="22"/>
          <w:szCs w:val="22"/>
        </w:rPr>
      </w:pPr>
      <w:hyperlink w:anchor="_Toc52376367" w:history="1">
        <w:r w:rsidRPr="002702F1">
          <w:rPr>
            <w:rStyle w:val="Hyperlink"/>
            <w:noProof/>
          </w:rPr>
          <w:t>E.</w:t>
        </w:r>
        <w:r>
          <w:rPr>
            <w:rFonts w:asciiTheme="minorHAnsi" w:eastAsiaTheme="minorEastAsia" w:hAnsiTheme="minorHAnsi" w:cstheme="minorBidi"/>
            <w:noProof/>
            <w:sz w:val="22"/>
            <w:szCs w:val="22"/>
          </w:rPr>
          <w:tab/>
        </w:r>
        <w:r w:rsidRPr="002702F1">
          <w:rPr>
            <w:rStyle w:val="Hyperlink"/>
            <w:noProof/>
          </w:rPr>
          <w:t>The PUCO has jurisdiction to reopen the Rider DMR Audit Case for good cause and should do so.</w:t>
        </w:r>
        <w:r>
          <w:rPr>
            <w:noProof/>
            <w:webHidden/>
          </w:rPr>
          <w:tab/>
        </w:r>
        <w:r>
          <w:rPr>
            <w:noProof/>
            <w:webHidden/>
          </w:rPr>
          <w:fldChar w:fldCharType="begin"/>
        </w:r>
        <w:r>
          <w:rPr>
            <w:noProof/>
            <w:webHidden/>
          </w:rPr>
          <w:instrText xml:space="preserve"> PAGEREF _Toc52376367 \h </w:instrText>
        </w:r>
        <w:r>
          <w:rPr>
            <w:noProof/>
            <w:webHidden/>
          </w:rPr>
          <w:fldChar w:fldCharType="separate"/>
        </w:r>
        <w:r>
          <w:rPr>
            <w:noProof/>
            <w:webHidden/>
          </w:rPr>
          <w:t>12</w:t>
        </w:r>
        <w:r>
          <w:rPr>
            <w:noProof/>
            <w:webHidden/>
          </w:rPr>
          <w:fldChar w:fldCharType="end"/>
        </w:r>
      </w:hyperlink>
    </w:p>
    <w:p w:rsidR="00D610EB" w14:paraId="33B7BA82" w14:textId="7C7E8E80">
      <w:pPr>
        <w:pStyle w:val="TOC2"/>
        <w:tabs>
          <w:tab w:val="left" w:pos="1440"/>
        </w:tabs>
        <w:rPr>
          <w:rFonts w:asciiTheme="minorHAnsi" w:eastAsiaTheme="minorEastAsia" w:hAnsiTheme="minorHAnsi" w:cstheme="minorBidi"/>
          <w:noProof/>
          <w:sz w:val="22"/>
          <w:szCs w:val="22"/>
        </w:rPr>
      </w:pPr>
      <w:hyperlink w:anchor="_Toc52376368" w:history="1">
        <w:r w:rsidRPr="002702F1">
          <w:rPr>
            <w:rStyle w:val="Hyperlink"/>
            <w:noProof/>
          </w:rPr>
          <w:t>F.</w:t>
        </w:r>
        <w:r>
          <w:rPr>
            <w:rFonts w:asciiTheme="minorHAnsi" w:eastAsiaTheme="minorEastAsia" w:hAnsiTheme="minorHAnsi" w:cstheme="minorBidi"/>
            <w:noProof/>
            <w:sz w:val="22"/>
            <w:szCs w:val="22"/>
          </w:rPr>
          <w:tab/>
        </w:r>
        <w:r w:rsidRPr="002702F1">
          <w:rPr>
            <w:rStyle w:val="Hyperlink"/>
            <w:noProof/>
          </w:rPr>
          <w:t>The PUCO has jurisdiction to issue a show cause order against FirstEnergy Utilities to prove that they have not wrongfully charged their customers for House Bill 6 activities.</w:t>
        </w:r>
        <w:r>
          <w:rPr>
            <w:noProof/>
            <w:webHidden/>
          </w:rPr>
          <w:tab/>
        </w:r>
        <w:r>
          <w:rPr>
            <w:noProof/>
            <w:webHidden/>
          </w:rPr>
          <w:fldChar w:fldCharType="begin"/>
        </w:r>
        <w:r>
          <w:rPr>
            <w:noProof/>
            <w:webHidden/>
          </w:rPr>
          <w:instrText xml:space="preserve"> PAGEREF _Toc52376368 \h </w:instrText>
        </w:r>
        <w:r>
          <w:rPr>
            <w:noProof/>
            <w:webHidden/>
          </w:rPr>
          <w:fldChar w:fldCharType="separate"/>
        </w:r>
        <w:r>
          <w:rPr>
            <w:noProof/>
            <w:webHidden/>
          </w:rPr>
          <w:t>13</w:t>
        </w:r>
        <w:r>
          <w:rPr>
            <w:noProof/>
            <w:webHidden/>
          </w:rPr>
          <w:fldChar w:fldCharType="end"/>
        </w:r>
      </w:hyperlink>
    </w:p>
    <w:p w:rsidR="00D610EB" w14:paraId="2A7AD9A8" w14:textId="54814172">
      <w:pPr>
        <w:pStyle w:val="TOC1"/>
        <w:rPr>
          <w:rFonts w:asciiTheme="minorHAnsi" w:eastAsiaTheme="minorEastAsia" w:hAnsiTheme="minorHAnsi" w:cstheme="minorBidi"/>
          <w:caps w:val="0"/>
          <w:noProof/>
          <w:sz w:val="22"/>
          <w:szCs w:val="22"/>
        </w:rPr>
      </w:pPr>
      <w:hyperlink w:anchor="_Toc52376369" w:history="1">
        <w:r w:rsidRPr="002702F1">
          <w:rPr>
            <w:rStyle w:val="Hyperlink"/>
            <w:noProof/>
          </w:rPr>
          <w:t>III.</w:t>
        </w:r>
        <w:r>
          <w:rPr>
            <w:rFonts w:asciiTheme="minorHAnsi" w:eastAsiaTheme="minorEastAsia" w:hAnsiTheme="minorHAnsi" w:cstheme="minorBidi"/>
            <w:caps w:val="0"/>
            <w:noProof/>
            <w:sz w:val="22"/>
            <w:szCs w:val="22"/>
          </w:rPr>
          <w:tab/>
        </w:r>
        <w:r w:rsidRPr="002702F1">
          <w:rPr>
            <w:rStyle w:val="Hyperlink"/>
            <w:noProof/>
          </w:rPr>
          <w:t>CONCLUSION</w:t>
        </w:r>
        <w:r>
          <w:rPr>
            <w:noProof/>
            <w:webHidden/>
          </w:rPr>
          <w:tab/>
        </w:r>
        <w:r>
          <w:rPr>
            <w:noProof/>
            <w:webHidden/>
          </w:rPr>
          <w:fldChar w:fldCharType="begin"/>
        </w:r>
        <w:r>
          <w:rPr>
            <w:noProof/>
            <w:webHidden/>
          </w:rPr>
          <w:instrText xml:space="preserve"> PAGEREF _Toc52376369 \h </w:instrText>
        </w:r>
        <w:r>
          <w:rPr>
            <w:noProof/>
            <w:webHidden/>
          </w:rPr>
          <w:fldChar w:fldCharType="separate"/>
        </w:r>
        <w:r>
          <w:rPr>
            <w:noProof/>
            <w:webHidden/>
          </w:rPr>
          <w:t>13</w:t>
        </w:r>
        <w:r>
          <w:rPr>
            <w:noProof/>
            <w:webHidden/>
          </w:rPr>
          <w:fldChar w:fldCharType="end"/>
        </w:r>
      </w:hyperlink>
    </w:p>
    <w:p w:rsidR="004E15DE" w:rsidRPr="00A81E46" w:rsidP="004E15DE" w14:paraId="652C5310" w14:textId="45FCBFF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sidRPr="00A81E46">
        <w:rPr>
          <w:rFonts w:ascii="Times New Roman" w:hAnsi="Times New Roman" w:cs="Times New Roman"/>
          <w:b/>
          <w:bCs/>
          <w:sz w:val="24"/>
          <w:szCs w:val="24"/>
        </w:rPr>
        <w:fldChar w:fldCharType="end"/>
      </w:r>
    </w:p>
    <w:p w:rsidR="0025632B" w:rsidRPr="00A81E46" w:rsidP="004E15DE" w14:paraId="79DC6D1E"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p>
    <w:p w:rsidR="00EB71A2" w:rsidRPr="00A81E46" w:rsidP="004E15DE" w14:paraId="150B5813"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sectPr w:rsidSect="001373C5">
          <w:headerReference w:type="default" r:id="rId10"/>
          <w:footerReference w:type="default" r:id="rId11"/>
          <w:pgSz w:w="12240" w:h="15840"/>
          <w:pgMar w:top="1440" w:right="1440" w:bottom="1440" w:left="1440" w:header="720" w:footer="720" w:gutter="0"/>
          <w:pgNumType w:fmt="lowerRoman" w:start="1"/>
          <w:cols w:space="720"/>
          <w:docGrid w:linePitch="360"/>
        </w:sectPr>
      </w:pPr>
    </w:p>
    <w:p w:rsidR="004D2DDD" w:rsidRPr="00A81E46" w:rsidP="004D2DDD" w14:paraId="6F6CD93D" w14:textId="182BBBB6">
      <w:pPr>
        <w:pStyle w:val="HTMLPreformatted"/>
        <w:jc w:val="center"/>
        <w:rPr>
          <w:rFonts w:ascii="Times New Roman" w:hAnsi="Times New Roman" w:cs="Times New Roman"/>
          <w:b/>
          <w:bCs/>
          <w:sz w:val="24"/>
          <w:szCs w:val="24"/>
        </w:rPr>
      </w:pPr>
      <w:r w:rsidRPr="00A81E46">
        <w:rPr>
          <w:rFonts w:ascii="Times New Roman" w:hAnsi="Times New Roman" w:cs="Times New Roman"/>
          <w:b/>
          <w:bCs/>
          <w:sz w:val="24"/>
          <w:szCs w:val="24"/>
        </w:rPr>
        <w:t>BEFORE</w:t>
      </w:r>
    </w:p>
    <w:p w:rsidR="004D2DDD" w:rsidRPr="00A81E46" w:rsidP="004D2DDD" w14:paraId="3DD6FAF0" w14:textId="77777777">
      <w:pPr>
        <w:pStyle w:val="HTMLPreformatted"/>
        <w:jc w:val="center"/>
        <w:rPr>
          <w:rFonts w:ascii="Times New Roman" w:hAnsi="Times New Roman" w:cs="Times New Roman"/>
          <w:b/>
          <w:bCs/>
          <w:sz w:val="24"/>
          <w:szCs w:val="24"/>
        </w:rPr>
      </w:pPr>
      <w:r w:rsidRPr="00A81E46">
        <w:rPr>
          <w:rFonts w:ascii="Times New Roman" w:hAnsi="Times New Roman" w:cs="Times New Roman"/>
          <w:b/>
          <w:bCs/>
          <w:sz w:val="24"/>
          <w:szCs w:val="24"/>
        </w:rPr>
        <w:t>THE PUBLIC UTILITIES COMMISSION OF OHIO</w:t>
      </w:r>
    </w:p>
    <w:tbl>
      <w:tblPr>
        <w:tblW w:w="9638" w:type="dxa"/>
        <w:tblLook w:val="01E0"/>
      </w:tblPr>
      <w:tblGrid>
        <w:gridCol w:w="4878"/>
        <w:gridCol w:w="360"/>
        <w:gridCol w:w="4400"/>
      </w:tblGrid>
      <w:tr w14:paraId="75E6A421" w14:textId="77777777" w:rsidTr="00CE4973">
        <w:tblPrEx>
          <w:tblW w:w="9638" w:type="dxa"/>
          <w:tblLook w:val="01E0"/>
        </w:tblPrEx>
        <w:trPr>
          <w:trHeight w:val="807"/>
        </w:trPr>
        <w:tc>
          <w:tcPr>
            <w:tcW w:w="4878" w:type="dxa"/>
            <w:shd w:val="clear" w:color="auto" w:fill="auto"/>
          </w:tcPr>
          <w:p w:rsidR="004D2DDD" w:rsidRPr="00A81E46" w:rsidP="00CE4973" w14:paraId="7B6593BD" w14:textId="77777777">
            <w:pPr>
              <w:pStyle w:val="HTMLPreformatted"/>
              <w:rPr>
                <w:rFonts w:ascii="Times New Roman" w:hAnsi="Times New Roman" w:cs="Times New Roman"/>
                <w:sz w:val="24"/>
                <w:szCs w:val="24"/>
              </w:rPr>
            </w:pPr>
            <w:r w:rsidRPr="00A81E46">
              <w:rPr>
                <w:rFonts w:ascii="Times New Roman" w:hAnsi="Times New Roman" w:cs="Times New Roman"/>
                <w:sz w:val="24"/>
                <w:szCs w:val="24"/>
              </w:rPr>
              <w:tab/>
            </w:r>
          </w:p>
          <w:p w:rsidR="004D2DDD" w:rsidRPr="00A81E46" w:rsidP="00CE4973" w14:paraId="02E1AF9A" w14:textId="77777777">
            <w:pPr>
              <w:pStyle w:val="HTMLPreformatted"/>
              <w:rPr>
                <w:rFonts w:ascii="Times New Roman" w:hAnsi="Times New Roman" w:cs="Times New Roman"/>
                <w:sz w:val="24"/>
                <w:szCs w:val="24"/>
              </w:rPr>
            </w:pPr>
            <w:r w:rsidRPr="00A81E46">
              <w:rPr>
                <w:rFonts w:ascii="Times New Roman" w:hAnsi="Times New Roman" w:cs="Times New Roman"/>
                <w:sz w:val="24"/>
                <w:szCs w:val="24"/>
              </w:rPr>
              <w:t>In the Matter of the Review of the Distribution Modernization Rider of Ohio Edison Company, The Cleveland Electric Illuminating company, and The Toledo Edison Company.</w:t>
            </w:r>
          </w:p>
        </w:tc>
        <w:tc>
          <w:tcPr>
            <w:tcW w:w="360" w:type="dxa"/>
            <w:shd w:val="clear" w:color="auto" w:fill="auto"/>
          </w:tcPr>
          <w:p w:rsidR="004D2DDD" w:rsidRPr="00A81E46" w:rsidP="00CE4973" w14:paraId="271A56D4" w14:textId="77777777">
            <w:pPr>
              <w:pStyle w:val="HTMLPreformatted"/>
              <w:rPr>
                <w:rFonts w:ascii="Times New Roman" w:hAnsi="Times New Roman" w:cs="Times New Roman"/>
                <w:sz w:val="24"/>
                <w:szCs w:val="24"/>
              </w:rPr>
            </w:pPr>
          </w:p>
          <w:p w:rsidR="004D2DDD" w:rsidRPr="00A81E46" w:rsidP="00CE4973" w14:paraId="3881B91E" w14:textId="77777777">
            <w:pPr>
              <w:pStyle w:val="HTMLPreformatted"/>
              <w:rPr>
                <w:rFonts w:ascii="Times New Roman" w:hAnsi="Times New Roman" w:cs="Times New Roman"/>
                <w:sz w:val="24"/>
                <w:szCs w:val="24"/>
              </w:rPr>
            </w:pPr>
            <w:r w:rsidRPr="00A81E46">
              <w:rPr>
                <w:rFonts w:ascii="Times New Roman" w:hAnsi="Times New Roman" w:cs="Times New Roman"/>
                <w:sz w:val="24"/>
                <w:szCs w:val="24"/>
              </w:rPr>
              <w:t>)</w:t>
            </w:r>
          </w:p>
          <w:p w:rsidR="004D2DDD" w:rsidRPr="00A81E46" w:rsidP="00CE4973" w14:paraId="63A783EC" w14:textId="77777777">
            <w:pPr>
              <w:pStyle w:val="HTMLPreformatted"/>
              <w:rPr>
                <w:rFonts w:ascii="Times New Roman" w:hAnsi="Times New Roman" w:cs="Times New Roman"/>
                <w:sz w:val="24"/>
                <w:szCs w:val="24"/>
              </w:rPr>
            </w:pPr>
            <w:r w:rsidRPr="00A81E46">
              <w:rPr>
                <w:rFonts w:ascii="Times New Roman" w:hAnsi="Times New Roman" w:cs="Times New Roman"/>
                <w:sz w:val="24"/>
                <w:szCs w:val="24"/>
              </w:rPr>
              <w:t>)</w:t>
            </w:r>
          </w:p>
          <w:p w:rsidR="004D2DDD" w:rsidRPr="00A81E46" w:rsidP="00CE4973" w14:paraId="2C7CCE46" w14:textId="77777777">
            <w:pPr>
              <w:pStyle w:val="HTMLPreformatted"/>
              <w:rPr>
                <w:rFonts w:ascii="Times New Roman" w:hAnsi="Times New Roman" w:cs="Times New Roman"/>
                <w:sz w:val="24"/>
                <w:szCs w:val="24"/>
              </w:rPr>
            </w:pPr>
            <w:r w:rsidRPr="00A81E46">
              <w:rPr>
                <w:rFonts w:ascii="Times New Roman" w:hAnsi="Times New Roman" w:cs="Times New Roman"/>
                <w:sz w:val="24"/>
                <w:szCs w:val="24"/>
              </w:rPr>
              <w:t>)</w:t>
            </w:r>
          </w:p>
          <w:p w:rsidR="004D2DDD" w:rsidRPr="00A81E46" w:rsidP="00CE4973" w14:paraId="4B022F97" w14:textId="77777777">
            <w:pPr>
              <w:pStyle w:val="HTMLPreformatted"/>
              <w:rPr>
                <w:rFonts w:ascii="Times New Roman" w:hAnsi="Times New Roman" w:cs="Times New Roman"/>
                <w:sz w:val="24"/>
                <w:szCs w:val="24"/>
              </w:rPr>
            </w:pPr>
            <w:r w:rsidRPr="00A81E46">
              <w:rPr>
                <w:rFonts w:ascii="Times New Roman" w:hAnsi="Times New Roman" w:cs="Times New Roman"/>
                <w:sz w:val="24"/>
                <w:szCs w:val="24"/>
              </w:rPr>
              <w:t>)</w:t>
            </w:r>
          </w:p>
        </w:tc>
        <w:tc>
          <w:tcPr>
            <w:tcW w:w="4400" w:type="dxa"/>
            <w:shd w:val="clear" w:color="auto" w:fill="auto"/>
          </w:tcPr>
          <w:p w:rsidR="004D2DDD" w:rsidRPr="00A81E46" w:rsidP="00CE4973" w14:paraId="2DE89DBB" w14:textId="77777777">
            <w:pPr>
              <w:pStyle w:val="HTMLPreformatted"/>
              <w:rPr>
                <w:rFonts w:ascii="Times New Roman" w:hAnsi="Times New Roman" w:cs="Times New Roman"/>
                <w:sz w:val="24"/>
                <w:szCs w:val="24"/>
              </w:rPr>
            </w:pPr>
          </w:p>
          <w:p w:rsidR="004D2DDD" w:rsidRPr="00A81E46" w:rsidP="00CE4973" w14:paraId="4FF7DBA9" w14:textId="77777777">
            <w:pPr>
              <w:pStyle w:val="HTMLPreformatted"/>
              <w:rPr>
                <w:rFonts w:ascii="Times New Roman" w:hAnsi="Times New Roman" w:cs="Times New Roman"/>
                <w:sz w:val="24"/>
                <w:szCs w:val="24"/>
              </w:rPr>
            </w:pPr>
          </w:p>
          <w:p w:rsidR="004D2DDD" w:rsidRPr="00A81E46" w:rsidP="00CE4973" w14:paraId="72B2BC3B" w14:textId="77777777">
            <w:pPr>
              <w:pStyle w:val="HTMLPreformatted"/>
              <w:rPr>
                <w:rFonts w:ascii="Times New Roman" w:hAnsi="Times New Roman" w:cs="Times New Roman"/>
                <w:sz w:val="24"/>
                <w:szCs w:val="24"/>
              </w:rPr>
            </w:pPr>
            <w:r w:rsidRPr="00A81E46">
              <w:rPr>
                <w:rFonts w:ascii="Times New Roman" w:hAnsi="Times New Roman" w:cs="Times New Roman"/>
                <w:sz w:val="24"/>
                <w:szCs w:val="24"/>
              </w:rPr>
              <w:t>Case No. 17-2474-EL-RDR</w:t>
            </w:r>
          </w:p>
          <w:p w:rsidR="004D2DDD" w:rsidRPr="00A81E46" w:rsidP="00CE4973" w14:paraId="4DEC1B78" w14:textId="77777777">
            <w:pPr>
              <w:pStyle w:val="HTMLPreformatted"/>
              <w:rPr>
                <w:rFonts w:ascii="Times New Roman" w:hAnsi="Times New Roman" w:cs="Times New Roman"/>
                <w:sz w:val="24"/>
                <w:szCs w:val="24"/>
              </w:rPr>
            </w:pPr>
          </w:p>
        </w:tc>
      </w:tr>
    </w:tbl>
    <w:p w:rsidR="004D2DDD" w:rsidRPr="00A81E46" w:rsidP="004D2DDD" w14:paraId="2C338884" w14:textId="77777777">
      <w:pPr>
        <w:pStyle w:val="HTMLPreformatted"/>
        <w:rPr>
          <w:rFonts w:ascii="Times New Roman" w:hAnsi="Times New Roman" w:cs="Times New Roman"/>
          <w:sz w:val="24"/>
          <w:szCs w:val="24"/>
        </w:rPr>
      </w:pPr>
      <w:r w:rsidRPr="00A81E46">
        <w:rPr>
          <w:rFonts w:ascii="Times New Roman" w:hAnsi="Times New Roman" w:cs="Times New Roman"/>
          <w:sz w:val="24"/>
          <w:szCs w:val="24"/>
        </w:rPr>
        <w:tab/>
      </w:r>
    </w:p>
    <w:tbl>
      <w:tblPr>
        <w:tblW w:w="9638" w:type="dxa"/>
        <w:tblLook w:val="01E0"/>
      </w:tblPr>
      <w:tblGrid>
        <w:gridCol w:w="4878"/>
        <w:gridCol w:w="360"/>
        <w:gridCol w:w="4400"/>
      </w:tblGrid>
      <w:tr w14:paraId="2808C738" w14:textId="77777777" w:rsidTr="00CE4973">
        <w:tblPrEx>
          <w:tblW w:w="9638" w:type="dxa"/>
          <w:tblLook w:val="01E0"/>
        </w:tblPrEx>
        <w:trPr>
          <w:trHeight w:val="807"/>
        </w:trPr>
        <w:tc>
          <w:tcPr>
            <w:tcW w:w="4878" w:type="dxa"/>
            <w:shd w:val="clear" w:color="auto" w:fill="auto"/>
          </w:tcPr>
          <w:p w:rsidR="004D2DDD" w:rsidRPr="00A81E46" w:rsidP="00CE4973" w14:paraId="5008F39D" w14:textId="77777777">
            <w:pPr>
              <w:pStyle w:val="HTMLPreformatted"/>
              <w:rPr>
                <w:rFonts w:ascii="Times New Roman" w:hAnsi="Times New Roman" w:cs="Times New Roman"/>
                <w:sz w:val="24"/>
                <w:szCs w:val="24"/>
              </w:rPr>
            </w:pPr>
            <w:r w:rsidRPr="00A81E46">
              <w:rPr>
                <w:rFonts w:ascii="Times New Roman" w:hAnsi="Times New Roman" w:cs="Times New Roman"/>
                <w:sz w:val="24"/>
                <w:szCs w:val="24"/>
              </w:rPr>
              <w:t>In the Matter of the Review of The Ohio Edison Company, The Cleveland Electric Illuminating Company, and The Toledo Edison Company’s Compliance with R.C. 4928.17 and the Ohio Adm. Code Chapter 4901:1-37.</w:t>
            </w:r>
          </w:p>
        </w:tc>
        <w:tc>
          <w:tcPr>
            <w:tcW w:w="360" w:type="dxa"/>
            <w:shd w:val="clear" w:color="auto" w:fill="auto"/>
          </w:tcPr>
          <w:p w:rsidR="004D2DDD" w:rsidRPr="00A81E46" w:rsidP="00CE4973" w14:paraId="0276A8B4" w14:textId="77777777">
            <w:pPr>
              <w:pStyle w:val="HTMLPreformatted"/>
              <w:rPr>
                <w:rFonts w:ascii="Times New Roman" w:hAnsi="Times New Roman" w:cs="Times New Roman"/>
                <w:sz w:val="24"/>
                <w:szCs w:val="24"/>
              </w:rPr>
            </w:pPr>
            <w:r w:rsidRPr="00A81E46">
              <w:rPr>
                <w:rFonts w:ascii="Times New Roman" w:hAnsi="Times New Roman" w:cs="Times New Roman"/>
                <w:sz w:val="24"/>
                <w:szCs w:val="24"/>
              </w:rPr>
              <w:t>)</w:t>
            </w:r>
          </w:p>
          <w:p w:rsidR="004D2DDD" w:rsidRPr="00A81E46" w:rsidP="00CE4973" w14:paraId="1D32ACA0" w14:textId="77777777">
            <w:pPr>
              <w:pStyle w:val="HTMLPreformatted"/>
              <w:rPr>
                <w:rFonts w:ascii="Times New Roman" w:hAnsi="Times New Roman" w:cs="Times New Roman"/>
                <w:sz w:val="24"/>
                <w:szCs w:val="24"/>
              </w:rPr>
            </w:pPr>
            <w:r w:rsidRPr="00A81E46">
              <w:rPr>
                <w:rFonts w:ascii="Times New Roman" w:hAnsi="Times New Roman" w:cs="Times New Roman"/>
                <w:sz w:val="24"/>
                <w:szCs w:val="24"/>
              </w:rPr>
              <w:t>)</w:t>
            </w:r>
          </w:p>
          <w:p w:rsidR="004D2DDD" w:rsidRPr="00A81E46" w:rsidP="00CE4973" w14:paraId="3C15488D" w14:textId="77777777">
            <w:pPr>
              <w:pStyle w:val="HTMLPreformatted"/>
              <w:rPr>
                <w:rFonts w:ascii="Times New Roman" w:hAnsi="Times New Roman" w:cs="Times New Roman"/>
                <w:sz w:val="24"/>
                <w:szCs w:val="24"/>
              </w:rPr>
            </w:pPr>
            <w:r w:rsidRPr="00A81E46">
              <w:rPr>
                <w:rFonts w:ascii="Times New Roman" w:hAnsi="Times New Roman" w:cs="Times New Roman"/>
                <w:sz w:val="24"/>
                <w:szCs w:val="24"/>
              </w:rPr>
              <w:t>)</w:t>
            </w:r>
          </w:p>
          <w:p w:rsidR="004D2DDD" w:rsidRPr="00A81E46" w:rsidP="00CE4973" w14:paraId="178D0C36" w14:textId="77777777">
            <w:pPr>
              <w:pStyle w:val="HTMLPreformatted"/>
              <w:rPr>
                <w:rFonts w:ascii="Times New Roman" w:hAnsi="Times New Roman" w:cs="Times New Roman"/>
                <w:sz w:val="24"/>
                <w:szCs w:val="24"/>
              </w:rPr>
            </w:pPr>
            <w:r w:rsidRPr="00A81E46">
              <w:rPr>
                <w:rFonts w:ascii="Times New Roman" w:hAnsi="Times New Roman" w:cs="Times New Roman"/>
                <w:sz w:val="24"/>
                <w:szCs w:val="24"/>
              </w:rPr>
              <w:t>)</w:t>
            </w:r>
          </w:p>
          <w:p w:rsidR="004D2DDD" w:rsidRPr="00A81E46" w:rsidP="00CE4973" w14:paraId="191A35EE" w14:textId="77777777">
            <w:pPr>
              <w:pStyle w:val="HTMLPreformatted"/>
              <w:rPr>
                <w:rFonts w:ascii="Times New Roman" w:hAnsi="Times New Roman" w:cs="Times New Roman"/>
                <w:sz w:val="24"/>
                <w:szCs w:val="24"/>
              </w:rPr>
            </w:pPr>
            <w:r w:rsidRPr="00A81E46">
              <w:rPr>
                <w:rFonts w:ascii="Times New Roman" w:hAnsi="Times New Roman" w:cs="Times New Roman"/>
                <w:sz w:val="24"/>
                <w:szCs w:val="24"/>
              </w:rPr>
              <w:t>)</w:t>
            </w:r>
          </w:p>
        </w:tc>
        <w:tc>
          <w:tcPr>
            <w:tcW w:w="4400" w:type="dxa"/>
            <w:shd w:val="clear" w:color="auto" w:fill="auto"/>
          </w:tcPr>
          <w:p w:rsidR="004D2DDD" w:rsidRPr="00A81E46" w:rsidP="00CE4973" w14:paraId="1D93BBC9" w14:textId="77777777">
            <w:pPr>
              <w:pStyle w:val="HTMLPreformatted"/>
              <w:rPr>
                <w:rFonts w:ascii="Times New Roman" w:hAnsi="Times New Roman" w:cs="Times New Roman"/>
                <w:sz w:val="24"/>
                <w:szCs w:val="24"/>
              </w:rPr>
            </w:pPr>
          </w:p>
          <w:p w:rsidR="004D2DDD" w:rsidRPr="00A81E46" w:rsidP="00CE4973" w14:paraId="4797DD12" w14:textId="77777777">
            <w:pPr>
              <w:pStyle w:val="HTMLPreformatted"/>
              <w:rPr>
                <w:rFonts w:ascii="Times New Roman" w:hAnsi="Times New Roman" w:cs="Times New Roman"/>
                <w:sz w:val="24"/>
                <w:szCs w:val="24"/>
              </w:rPr>
            </w:pPr>
            <w:r w:rsidRPr="00A81E46">
              <w:rPr>
                <w:rFonts w:ascii="Times New Roman" w:hAnsi="Times New Roman" w:cs="Times New Roman"/>
                <w:sz w:val="24"/>
                <w:szCs w:val="24"/>
              </w:rPr>
              <w:t>Case No. 17-974-EL-UNC</w:t>
            </w:r>
          </w:p>
        </w:tc>
      </w:tr>
    </w:tbl>
    <w:p w:rsidR="004D2DDD" w:rsidRPr="00A81E46" w:rsidP="004D2DDD" w14:paraId="73CF745A" w14:textId="77777777">
      <w:pPr>
        <w:pStyle w:val="HTMLPreformatted"/>
        <w:rPr>
          <w:rFonts w:ascii="Times New Roman" w:hAnsi="Times New Roman" w:cs="Times New Roman"/>
          <w:sz w:val="24"/>
          <w:szCs w:val="24"/>
        </w:rPr>
      </w:pPr>
    </w:p>
    <w:p w:rsidR="004D2DDD" w:rsidRPr="00A81E46" w:rsidP="004D2DDD" w14:paraId="78AF85B2" w14:textId="77777777">
      <w:pPr>
        <w:pStyle w:val="HTMLPreformatted"/>
        <w:pBdr>
          <w:top w:val="single" w:sz="12" w:space="1" w:color="auto"/>
        </w:pBdr>
        <w:rPr>
          <w:rFonts w:ascii="Times New Roman" w:hAnsi="Times New Roman" w:cs="Times New Roman"/>
          <w:sz w:val="24"/>
          <w:szCs w:val="24"/>
        </w:rPr>
      </w:pPr>
    </w:p>
    <w:p w:rsidR="00845B38" w:rsidRPr="00A81E46" w:rsidP="004C6F87" w14:paraId="46BA8661" w14:textId="77777777">
      <w:pPr>
        <w:jc w:val="center"/>
        <w:rPr>
          <w:b/>
          <w:bCs/>
          <w:szCs w:val="24"/>
        </w:rPr>
      </w:pPr>
      <w:r w:rsidRPr="00A81E46">
        <w:rPr>
          <w:b/>
          <w:bCs/>
          <w:szCs w:val="24"/>
        </w:rPr>
        <w:t xml:space="preserve">REPLY TO FIRSTENERGY’S MEMORANDUM CONTRA MOTIONS REGARDING HOUSE BILL 6 </w:t>
      </w:r>
    </w:p>
    <w:p w:rsidR="00845B38" w:rsidRPr="00A81E46" w:rsidP="004C6F87" w14:paraId="3B63C5F5" w14:textId="77777777">
      <w:pPr>
        <w:jc w:val="center"/>
        <w:rPr>
          <w:b/>
          <w:bCs/>
          <w:szCs w:val="24"/>
        </w:rPr>
      </w:pPr>
      <w:r w:rsidRPr="00A81E46">
        <w:rPr>
          <w:b/>
          <w:bCs/>
          <w:szCs w:val="24"/>
        </w:rPr>
        <w:t xml:space="preserve">BY </w:t>
      </w:r>
    </w:p>
    <w:p w:rsidR="004D2DDD" w:rsidRPr="00A81E46" w:rsidP="004C6F87" w14:paraId="364C1154" w14:textId="7CC20C6E">
      <w:pPr>
        <w:jc w:val="center"/>
        <w:rPr>
          <w:b/>
          <w:bCs/>
          <w:szCs w:val="24"/>
        </w:rPr>
      </w:pPr>
      <w:r w:rsidRPr="00A81E46">
        <w:rPr>
          <w:b/>
          <w:bCs/>
          <w:szCs w:val="24"/>
        </w:rPr>
        <w:t xml:space="preserve">THE OFFICE OF THE OHIO CONSUMERS’ COUNSEL </w:t>
      </w:r>
    </w:p>
    <w:p w:rsidR="004D2DDD" w:rsidRPr="00A81E46" w:rsidP="004D2DDD" w14:paraId="1F419245" w14:textId="77777777">
      <w:pPr>
        <w:pBdr>
          <w:bottom w:val="single" w:sz="12" w:space="1" w:color="auto"/>
        </w:pBdr>
        <w:tabs>
          <w:tab w:val="left" w:pos="4320"/>
        </w:tabs>
        <w:rPr>
          <w:szCs w:val="24"/>
        </w:rPr>
      </w:pPr>
    </w:p>
    <w:p w:rsidR="0025632B" w:rsidRPr="00A81E46" w:rsidP="0025632B" w14:paraId="4870F34E" w14:textId="32D244D1">
      <w:pPr>
        <w:pStyle w:val="Heading1"/>
        <w:rPr>
          <w:rFonts w:cs="Times New Roman"/>
          <w:szCs w:val="24"/>
        </w:rPr>
      </w:pPr>
      <w:r w:rsidRPr="00A81E46">
        <w:rPr>
          <w:rFonts w:cs="Times New Roman"/>
          <w:szCs w:val="24"/>
        </w:rPr>
        <w:tab/>
      </w:r>
    </w:p>
    <w:p w:rsidR="00637AC1" w:rsidRPr="00A81E46" w:rsidP="0025632B" w14:paraId="6446A67D" w14:textId="3B687EB9">
      <w:pPr>
        <w:pStyle w:val="Heading1"/>
        <w:rPr>
          <w:rFonts w:cs="Times New Roman"/>
          <w:szCs w:val="24"/>
        </w:rPr>
      </w:pPr>
      <w:bookmarkStart w:id="1" w:name="_Toc52376361"/>
      <w:r w:rsidRPr="00A81E46">
        <w:rPr>
          <w:rFonts w:cs="Times New Roman"/>
          <w:szCs w:val="24"/>
        </w:rPr>
        <w:t>I.</w:t>
      </w:r>
      <w:r w:rsidRPr="00A81E46">
        <w:rPr>
          <w:rFonts w:cs="Times New Roman"/>
          <w:szCs w:val="24"/>
        </w:rPr>
        <w:tab/>
      </w:r>
      <w:r w:rsidRPr="00A81E46" w:rsidR="003F3916">
        <w:rPr>
          <w:rFonts w:cs="Times New Roman"/>
          <w:szCs w:val="24"/>
        </w:rPr>
        <w:t>INTRODUCTION</w:t>
      </w:r>
      <w:bookmarkEnd w:id="1"/>
    </w:p>
    <w:p w:rsidR="006E0BF3" w:rsidRPr="00A81E46" w:rsidP="00AB748F" w14:paraId="7EBD605A" w14:textId="3EC2FF2A">
      <w:pPr>
        <w:pStyle w:val="Footer"/>
        <w:tabs>
          <w:tab w:val="left" w:pos="4320"/>
          <w:tab w:val="clear" w:pos="8640"/>
        </w:tabs>
        <w:spacing w:line="480" w:lineRule="auto"/>
        <w:ind w:firstLine="720"/>
        <w:rPr>
          <w:sz w:val="24"/>
          <w:szCs w:val="24"/>
        </w:rPr>
      </w:pPr>
      <w:r w:rsidRPr="00A81E46">
        <w:rPr>
          <w:sz w:val="24"/>
          <w:szCs w:val="24"/>
        </w:rPr>
        <w:t>In an unfortunate display of corporate arrogance,</w:t>
      </w:r>
      <w:r w:rsidRPr="00A81E46" w:rsidR="0049537D">
        <w:rPr>
          <w:sz w:val="24"/>
          <w:szCs w:val="24"/>
        </w:rPr>
        <w:t xml:space="preserve"> the FirstEnergy </w:t>
      </w:r>
      <w:r w:rsidRPr="00A81E46" w:rsidR="007744A4">
        <w:rPr>
          <w:sz w:val="24"/>
          <w:szCs w:val="24"/>
        </w:rPr>
        <w:t>U</w:t>
      </w:r>
      <w:r w:rsidRPr="00A81E46" w:rsidR="0049537D">
        <w:rPr>
          <w:sz w:val="24"/>
          <w:szCs w:val="24"/>
        </w:rPr>
        <w:t xml:space="preserve">tilities are opposing an investigation by their state regulator, the PUCO, into </w:t>
      </w:r>
      <w:r w:rsidRPr="00A81E46" w:rsidR="0068530A">
        <w:rPr>
          <w:sz w:val="24"/>
          <w:szCs w:val="24"/>
        </w:rPr>
        <w:t xml:space="preserve">utility </w:t>
      </w:r>
      <w:r w:rsidRPr="00A81E46" w:rsidR="0049537D">
        <w:rPr>
          <w:sz w:val="24"/>
          <w:szCs w:val="24"/>
        </w:rPr>
        <w:t xml:space="preserve">consumer protection issues surrounding what has been </w:t>
      </w:r>
      <w:r w:rsidRPr="00A81E46" w:rsidR="00191051">
        <w:rPr>
          <w:sz w:val="24"/>
          <w:szCs w:val="24"/>
        </w:rPr>
        <w:t>described by a prosecutor as “likely the largest bribery scheme ever perpetrated against the state of Ohio.”</w:t>
      </w:r>
      <w:r>
        <w:rPr>
          <w:rStyle w:val="FootnoteReference"/>
          <w:sz w:val="24"/>
          <w:szCs w:val="24"/>
        </w:rPr>
        <w:footnoteReference w:id="2"/>
      </w:r>
      <w:r w:rsidRPr="00A81E46" w:rsidR="00191051">
        <w:rPr>
          <w:sz w:val="24"/>
          <w:szCs w:val="24"/>
        </w:rPr>
        <w:t xml:space="preserve"> </w:t>
      </w:r>
      <w:r w:rsidRPr="00A81E46" w:rsidR="0068530A">
        <w:rPr>
          <w:sz w:val="24"/>
          <w:szCs w:val="24"/>
        </w:rPr>
        <w:t xml:space="preserve">The PUCO has the authority under Ohio law to investigate the FirstEnergy </w:t>
      </w:r>
      <w:r w:rsidRPr="00A81E46" w:rsidR="007744A4">
        <w:rPr>
          <w:sz w:val="24"/>
          <w:szCs w:val="24"/>
        </w:rPr>
        <w:t>U</w:t>
      </w:r>
      <w:r w:rsidRPr="00A81E46" w:rsidR="0068530A">
        <w:rPr>
          <w:sz w:val="24"/>
          <w:szCs w:val="24"/>
        </w:rPr>
        <w:t xml:space="preserve">tilities and their owner, FirstEnergy Corp. FirstEnergy should get out of the PUCO’s way and cooperate. </w:t>
      </w:r>
      <w:r w:rsidRPr="00A81E46">
        <w:rPr>
          <w:sz w:val="24"/>
          <w:szCs w:val="24"/>
        </w:rPr>
        <w:t xml:space="preserve"> </w:t>
      </w:r>
    </w:p>
    <w:p w:rsidR="003F3916" w:rsidRPr="00A81E46" w:rsidP="00AB748F" w14:paraId="0B6A1A46" w14:textId="3B37132D">
      <w:pPr>
        <w:pStyle w:val="Footer"/>
        <w:tabs>
          <w:tab w:val="left" w:pos="4320"/>
          <w:tab w:val="clear" w:pos="8640"/>
        </w:tabs>
        <w:spacing w:line="480" w:lineRule="auto"/>
        <w:ind w:firstLine="720"/>
        <w:rPr>
          <w:sz w:val="24"/>
          <w:szCs w:val="24"/>
        </w:rPr>
      </w:pPr>
      <w:r w:rsidRPr="00A81E46">
        <w:rPr>
          <w:sz w:val="24"/>
          <w:szCs w:val="24"/>
        </w:rPr>
        <w:t>FirstEnergy</w:t>
      </w:r>
      <w:r w:rsidRPr="00A81E46" w:rsidR="00317616">
        <w:rPr>
          <w:sz w:val="24"/>
          <w:szCs w:val="24"/>
        </w:rPr>
        <w:t xml:space="preserve"> </w:t>
      </w:r>
      <w:r w:rsidRPr="00A81E46" w:rsidR="00AA4C40">
        <w:rPr>
          <w:sz w:val="24"/>
          <w:szCs w:val="24"/>
        </w:rPr>
        <w:t>Corp.,</w:t>
      </w:r>
      <w:r w:rsidRPr="00A81E46" w:rsidR="00DA7544">
        <w:rPr>
          <w:sz w:val="24"/>
          <w:szCs w:val="24"/>
        </w:rPr>
        <w:t xml:space="preserve"> </w:t>
      </w:r>
      <w:r w:rsidRPr="00A81E46" w:rsidR="00AA4C40">
        <w:rPr>
          <w:sz w:val="24"/>
          <w:szCs w:val="24"/>
        </w:rPr>
        <w:t>t</w:t>
      </w:r>
      <w:r w:rsidRPr="00A81E46">
        <w:rPr>
          <w:sz w:val="24"/>
          <w:szCs w:val="24"/>
        </w:rPr>
        <w:t>he company that owns</w:t>
      </w:r>
      <w:r w:rsidRPr="00A81E46" w:rsidR="004E4727">
        <w:rPr>
          <w:sz w:val="24"/>
          <w:szCs w:val="24"/>
        </w:rPr>
        <w:t xml:space="preserve"> the</w:t>
      </w:r>
      <w:r w:rsidRPr="00A81E46">
        <w:rPr>
          <w:sz w:val="24"/>
          <w:szCs w:val="24"/>
        </w:rPr>
        <w:t xml:space="preserve"> FirstEnergy</w:t>
      </w:r>
      <w:r w:rsidRPr="00A81E46" w:rsidR="004E4727">
        <w:rPr>
          <w:sz w:val="24"/>
          <w:szCs w:val="24"/>
        </w:rPr>
        <w:t xml:space="preserve"> </w:t>
      </w:r>
      <w:r w:rsidRPr="00A81E46" w:rsidR="00FE1CFE">
        <w:rPr>
          <w:sz w:val="24"/>
          <w:szCs w:val="24"/>
        </w:rPr>
        <w:t>U</w:t>
      </w:r>
      <w:r w:rsidRPr="00A81E46" w:rsidR="004E4727">
        <w:rPr>
          <w:sz w:val="24"/>
          <w:szCs w:val="24"/>
        </w:rPr>
        <w:t>tilities</w:t>
      </w:r>
      <w:r w:rsidRPr="00A81E46" w:rsidR="00DA7544">
        <w:rPr>
          <w:sz w:val="24"/>
          <w:szCs w:val="24"/>
        </w:rPr>
        <w:t>,</w:t>
      </w:r>
      <w:r>
        <w:rPr>
          <w:rStyle w:val="FootnoteReference"/>
          <w:sz w:val="24"/>
          <w:szCs w:val="24"/>
        </w:rPr>
        <w:footnoteReference w:id="3"/>
      </w:r>
      <w:r w:rsidRPr="00A81E46" w:rsidR="00DA7544">
        <w:rPr>
          <w:sz w:val="24"/>
          <w:szCs w:val="24"/>
        </w:rPr>
        <w:t xml:space="preserve"> is generally understood to be the “Company A” identified in the </w:t>
      </w:r>
      <w:r w:rsidRPr="00A81E46" w:rsidR="004E4727">
        <w:rPr>
          <w:sz w:val="24"/>
          <w:szCs w:val="24"/>
        </w:rPr>
        <w:t>c</w:t>
      </w:r>
      <w:r w:rsidRPr="00A81E46" w:rsidR="00DA7544">
        <w:rPr>
          <w:sz w:val="24"/>
          <w:szCs w:val="24"/>
        </w:rPr>
        <w:t xml:space="preserve">riminal </w:t>
      </w:r>
      <w:r w:rsidRPr="00A81E46" w:rsidR="004E4727">
        <w:rPr>
          <w:sz w:val="24"/>
          <w:szCs w:val="24"/>
        </w:rPr>
        <w:t>c</w:t>
      </w:r>
      <w:r w:rsidRPr="00A81E46" w:rsidR="00DA7544">
        <w:rPr>
          <w:sz w:val="24"/>
          <w:szCs w:val="24"/>
        </w:rPr>
        <w:t xml:space="preserve">omplaint filed by </w:t>
      </w:r>
      <w:r w:rsidRPr="00A81E46" w:rsidR="00AA4C40">
        <w:rPr>
          <w:sz w:val="24"/>
          <w:szCs w:val="24"/>
        </w:rPr>
        <w:t xml:space="preserve">the </w:t>
      </w:r>
      <w:r w:rsidRPr="00A81E46" w:rsidR="00DA7544">
        <w:rPr>
          <w:sz w:val="24"/>
          <w:szCs w:val="24"/>
        </w:rPr>
        <w:t xml:space="preserve">U.S. Attorney for the Southern District of Ohio against </w:t>
      </w:r>
      <w:r w:rsidRPr="00A81E46" w:rsidR="00C20BEA">
        <w:rPr>
          <w:sz w:val="24"/>
          <w:szCs w:val="24"/>
        </w:rPr>
        <w:t xml:space="preserve">the </w:t>
      </w:r>
      <w:r w:rsidRPr="00A81E46" w:rsidR="00DA7544">
        <w:rPr>
          <w:sz w:val="24"/>
          <w:szCs w:val="24"/>
        </w:rPr>
        <w:t xml:space="preserve">former Ohio House Speaker </w:t>
      </w:r>
      <w:r w:rsidRPr="00A81E46" w:rsidR="00AA4C40">
        <w:rPr>
          <w:sz w:val="24"/>
          <w:szCs w:val="24"/>
        </w:rPr>
        <w:t>and others</w:t>
      </w:r>
      <w:r w:rsidRPr="00A81E46" w:rsidR="00BF69A5">
        <w:rPr>
          <w:sz w:val="24"/>
          <w:szCs w:val="24"/>
        </w:rPr>
        <w:t>.</w:t>
      </w:r>
      <w:r w:rsidRPr="00A81E46" w:rsidR="00AA4C40">
        <w:rPr>
          <w:sz w:val="24"/>
          <w:szCs w:val="24"/>
        </w:rPr>
        <w:t xml:space="preserve"> </w:t>
      </w:r>
      <w:r w:rsidRPr="00A81E46" w:rsidR="00DA7544">
        <w:rPr>
          <w:sz w:val="24"/>
          <w:szCs w:val="24"/>
        </w:rPr>
        <w:t xml:space="preserve">The </w:t>
      </w:r>
      <w:r w:rsidRPr="00A81E46" w:rsidR="004E4727">
        <w:rPr>
          <w:sz w:val="24"/>
          <w:szCs w:val="24"/>
        </w:rPr>
        <w:t>c</w:t>
      </w:r>
      <w:r w:rsidRPr="00A81E46" w:rsidR="00DA7544">
        <w:rPr>
          <w:sz w:val="24"/>
          <w:szCs w:val="24"/>
        </w:rPr>
        <w:t xml:space="preserve">riminal </w:t>
      </w:r>
      <w:r w:rsidRPr="00A81E46" w:rsidR="004E4727">
        <w:rPr>
          <w:sz w:val="24"/>
          <w:szCs w:val="24"/>
        </w:rPr>
        <w:t>c</w:t>
      </w:r>
      <w:r w:rsidRPr="00A81E46" w:rsidR="00DA7544">
        <w:rPr>
          <w:sz w:val="24"/>
          <w:szCs w:val="24"/>
        </w:rPr>
        <w:t xml:space="preserve">omplaint </w:t>
      </w:r>
      <w:r w:rsidRPr="00A81E46" w:rsidR="004E4727">
        <w:rPr>
          <w:sz w:val="24"/>
          <w:szCs w:val="24"/>
        </w:rPr>
        <w:t>alleges</w:t>
      </w:r>
      <w:r w:rsidRPr="00A81E46" w:rsidR="00DA7544">
        <w:rPr>
          <w:sz w:val="24"/>
          <w:szCs w:val="24"/>
        </w:rPr>
        <w:t xml:space="preserve"> that FirstEnergy Corp. paid some $60 million to </w:t>
      </w:r>
      <w:r w:rsidRPr="00A81E46" w:rsidR="009737F2">
        <w:rPr>
          <w:sz w:val="24"/>
          <w:szCs w:val="24"/>
        </w:rPr>
        <w:t xml:space="preserve">secure passage of </w:t>
      </w:r>
      <w:r w:rsidRPr="00A81E46" w:rsidR="00DA7544">
        <w:rPr>
          <w:sz w:val="24"/>
          <w:szCs w:val="24"/>
        </w:rPr>
        <w:t>House Bill 6</w:t>
      </w:r>
      <w:r w:rsidRPr="00A81E46" w:rsidR="000A224E">
        <w:rPr>
          <w:sz w:val="24"/>
          <w:szCs w:val="24"/>
        </w:rPr>
        <w:t xml:space="preserve"> (“HB 6”)</w:t>
      </w:r>
      <w:r w:rsidRPr="00A81E46" w:rsidR="00635B76">
        <w:rPr>
          <w:sz w:val="24"/>
          <w:szCs w:val="24"/>
        </w:rPr>
        <w:t xml:space="preserve"> and to prevent a referendum effort. </w:t>
      </w:r>
    </w:p>
    <w:p w:rsidR="006A0543" w:rsidRPr="00A81E46" w:rsidP="006D1321" w14:paraId="771C9824" w14:textId="2AB0A66E">
      <w:pPr>
        <w:tabs>
          <w:tab w:val="left" w:pos="4320"/>
        </w:tabs>
        <w:spacing w:line="480" w:lineRule="auto"/>
        <w:ind w:firstLine="720"/>
        <w:rPr>
          <w:szCs w:val="24"/>
        </w:rPr>
      </w:pPr>
      <w:r w:rsidRPr="00A81E46">
        <w:rPr>
          <w:szCs w:val="24"/>
        </w:rPr>
        <w:t xml:space="preserve">OCC filed motions </w:t>
      </w:r>
      <w:r w:rsidRPr="00A81E46" w:rsidR="00FE1CFE">
        <w:rPr>
          <w:szCs w:val="24"/>
        </w:rPr>
        <w:t xml:space="preserve">in early </w:t>
      </w:r>
      <w:r w:rsidRPr="00A81E46">
        <w:rPr>
          <w:szCs w:val="24"/>
        </w:rPr>
        <w:t>September requesting that the PUCO act to protect Ohio consumers by investigating the source of the</w:t>
      </w:r>
      <w:r w:rsidRPr="00A81E46" w:rsidR="00E13DB0">
        <w:rPr>
          <w:szCs w:val="24"/>
        </w:rPr>
        <w:t xml:space="preserve"> </w:t>
      </w:r>
      <w:r w:rsidRPr="00A81E46" w:rsidR="002047ED">
        <w:rPr>
          <w:szCs w:val="24"/>
        </w:rPr>
        <w:t xml:space="preserve">FirstEnergy money </w:t>
      </w:r>
      <w:r w:rsidRPr="00A81E46" w:rsidR="00E13DB0">
        <w:rPr>
          <w:szCs w:val="24"/>
        </w:rPr>
        <w:t>alleged</w:t>
      </w:r>
      <w:r w:rsidRPr="00A81E46" w:rsidR="002047ED">
        <w:rPr>
          <w:szCs w:val="24"/>
        </w:rPr>
        <w:t xml:space="preserve">ly used for political purposes, </w:t>
      </w:r>
      <w:r w:rsidRPr="00A81E46">
        <w:rPr>
          <w:szCs w:val="24"/>
        </w:rPr>
        <w:t xml:space="preserve">to make sure that money did </w:t>
      </w:r>
      <w:r w:rsidRPr="00A81E46">
        <w:rPr>
          <w:i/>
          <w:iCs/>
          <w:szCs w:val="24"/>
        </w:rPr>
        <w:t>not</w:t>
      </w:r>
      <w:r w:rsidRPr="00A81E46">
        <w:rPr>
          <w:szCs w:val="24"/>
        </w:rPr>
        <w:t xml:space="preserve"> come from consumers’ pockets through charges they pay for electric utility service.  Predictably, FirstEnergy opposes OCC’s motions to protect consumers, claiming throughout its response that the PUCO has no authority (jurisdiction) to investigate whether customer</w:t>
      </w:r>
      <w:r w:rsidRPr="00A81E46" w:rsidR="00AD460D">
        <w:rPr>
          <w:szCs w:val="24"/>
        </w:rPr>
        <w:t>s</w:t>
      </w:r>
      <w:r w:rsidRPr="00A81E46">
        <w:rPr>
          <w:szCs w:val="24"/>
        </w:rPr>
        <w:t xml:space="preserve"> improperly funded spending to support HB 6.  </w:t>
      </w:r>
      <w:r w:rsidRPr="00A81E46">
        <w:rPr>
          <w:i/>
          <w:iCs/>
          <w:szCs w:val="24"/>
        </w:rPr>
        <w:t>See</w:t>
      </w:r>
      <w:r w:rsidRPr="00A81E46">
        <w:rPr>
          <w:szCs w:val="24"/>
        </w:rPr>
        <w:t xml:space="preserve"> FirstEnergy Utilities Memorandum Contra at </w:t>
      </w:r>
      <w:r w:rsidRPr="00A81E46" w:rsidR="00292F96">
        <w:rPr>
          <w:szCs w:val="24"/>
        </w:rPr>
        <w:t>1-8</w:t>
      </w:r>
      <w:r w:rsidRPr="00A81E46">
        <w:rPr>
          <w:szCs w:val="24"/>
        </w:rPr>
        <w:t xml:space="preserve">. That’s </w:t>
      </w:r>
      <w:r w:rsidRPr="00A81E46" w:rsidR="002047ED">
        <w:rPr>
          <w:szCs w:val="24"/>
        </w:rPr>
        <w:t>wrong</w:t>
      </w:r>
      <w:r w:rsidRPr="00A81E46">
        <w:rPr>
          <w:szCs w:val="24"/>
        </w:rPr>
        <w:t xml:space="preserve">. </w:t>
      </w:r>
    </w:p>
    <w:p w:rsidR="00635B76" w:rsidRPr="00A81E46" w:rsidP="00635B76" w14:paraId="3CE809A4" w14:textId="55ED8202">
      <w:pPr>
        <w:tabs>
          <w:tab w:val="left" w:pos="4320"/>
        </w:tabs>
        <w:spacing w:line="480" w:lineRule="auto"/>
        <w:ind w:firstLine="720"/>
        <w:rPr>
          <w:szCs w:val="24"/>
        </w:rPr>
      </w:pPr>
      <w:r w:rsidRPr="00A81E46">
        <w:rPr>
          <w:szCs w:val="24"/>
        </w:rPr>
        <w:t>FirstEnergy misconstrues the plain language of R.C. 4905.05 and R.C. 4905.06</w:t>
      </w:r>
      <w:r w:rsidRPr="00A81E46" w:rsidR="005526CD">
        <w:rPr>
          <w:szCs w:val="24"/>
        </w:rPr>
        <w:t xml:space="preserve"> </w:t>
      </w:r>
      <w:r w:rsidRPr="00A81E46">
        <w:rPr>
          <w:szCs w:val="24"/>
        </w:rPr>
        <w:t>—</w:t>
      </w:r>
      <w:r w:rsidRPr="00A81E46" w:rsidR="005526CD">
        <w:rPr>
          <w:szCs w:val="24"/>
        </w:rPr>
        <w:t xml:space="preserve"> </w:t>
      </w:r>
      <w:r w:rsidRPr="00A81E46">
        <w:rPr>
          <w:szCs w:val="24"/>
        </w:rPr>
        <w:t xml:space="preserve">provisions of law that extend the PUCO’s jurisdiction to public utilities (FirstEnergy Utilities) </w:t>
      </w:r>
      <w:r w:rsidRPr="00A81E46">
        <w:rPr>
          <w:i/>
          <w:iCs/>
          <w:szCs w:val="24"/>
        </w:rPr>
        <w:t>and</w:t>
      </w:r>
      <w:r w:rsidRPr="00A81E46">
        <w:rPr>
          <w:szCs w:val="24"/>
        </w:rPr>
        <w:t xml:space="preserve"> the companies that own them (FirstEnergy Corp.). FirstEnergy’s baseless arguments should be rejected.</w:t>
      </w:r>
      <w:r w:rsidRPr="00A81E46" w:rsidR="001E29D2">
        <w:rPr>
          <w:szCs w:val="24"/>
        </w:rPr>
        <w:t xml:space="preserve"> </w:t>
      </w:r>
    </w:p>
    <w:p w:rsidR="0011559B" w:rsidRPr="00A81E46" w:rsidP="0011559B" w14:paraId="2D9728B4" w14:textId="0C7EA142">
      <w:pPr>
        <w:pStyle w:val="Footer"/>
        <w:tabs>
          <w:tab w:val="left" w:pos="4320"/>
          <w:tab w:val="clear" w:pos="8640"/>
        </w:tabs>
        <w:spacing w:line="480" w:lineRule="auto"/>
        <w:ind w:firstLine="720"/>
        <w:rPr>
          <w:sz w:val="24"/>
          <w:szCs w:val="24"/>
        </w:rPr>
      </w:pPr>
      <w:r w:rsidRPr="00A81E46">
        <w:rPr>
          <w:sz w:val="24"/>
          <w:szCs w:val="24"/>
        </w:rPr>
        <w:t>The PUCO should grant OCC’s motions by ordering an independent management audit of FirstEnergy’s corporate governance and activities regarding H</w:t>
      </w:r>
      <w:r w:rsidRPr="00A81E46" w:rsidR="007744A4">
        <w:rPr>
          <w:sz w:val="24"/>
          <w:szCs w:val="24"/>
        </w:rPr>
        <w:t xml:space="preserve">ouse </w:t>
      </w:r>
      <w:r w:rsidRPr="00A81E46">
        <w:rPr>
          <w:sz w:val="24"/>
          <w:szCs w:val="24"/>
        </w:rPr>
        <w:t>B</w:t>
      </w:r>
      <w:r w:rsidRPr="00A81E46" w:rsidR="007744A4">
        <w:rPr>
          <w:sz w:val="24"/>
          <w:szCs w:val="24"/>
        </w:rPr>
        <w:t>ill</w:t>
      </w:r>
      <w:r w:rsidRPr="00A81E46">
        <w:rPr>
          <w:sz w:val="24"/>
          <w:szCs w:val="24"/>
        </w:rPr>
        <w:t xml:space="preserve"> 6</w:t>
      </w:r>
      <w:r w:rsidRPr="00A81E46" w:rsidR="00C20BEA">
        <w:rPr>
          <w:sz w:val="24"/>
          <w:szCs w:val="24"/>
        </w:rPr>
        <w:t>. And the PUCO should</w:t>
      </w:r>
      <w:r w:rsidRPr="00A81E46">
        <w:rPr>
          <w:sz w:val="24"/>
          <w:szCs w:val="24"/>
        </w:rPr>
        <w:t xml:space="preserve"> </w:t>
      </w:r>
      <w:r w:rsidRPr="00A81E46" w:rsidR="00C20BEA">
        <w:rPr>
          <w:sz w:val="24"/>
          <w:szCs w:val="24"/>
        </w:rPr>
        <w:t>re</w:t>
      </w:r>
      <w:r w:rsidRPr="00A81E46">
        <w:rPr>
          <w:sz w:val="24"/>
          <w:szCs w:val="24"/>
        </w:rPr>
        <w:t>quir</w:t>
      </w:r>
      <w:r w:rsidRPr="00A81E46" w:rsidR="00C20BEA">
        <w:rPr>
          <w:sz w:val="24"/>
          <w:szCs w:val="24"/>
        </w:rPr>
        <w:t>e</w:t>
      </w:r>
      <w:r w:rsidRPr="00A81E46">
        <w:rPr>
          <w:sz w:val="24"/>
          <w:szCs w:val="24"/>
        </w:rPr>
        <w:t xml:space="preserve"> the independent auditor to publicly file a report of findings and recommendations for consumer protection. Additionally, the PUCO should reopen Case No. 17-2474-EL-RDR, involving the audit of the so-called distribution modernization rider to verify that those (illegal) charges to consumers did not fund corrupt activity regarding H</w:t>
      </w:r>
      <w:r w:rsidRPr="00A81E46" w:rsidR="007744A4">
        <w:rPr>
          <w:sz w:val="24"/>
          <w:szCs w:val="24"/>
        </w:rPr>
        <w:t xml:space="preserve">ouse </w:t>
      </w:r>
      <w:r w:rsidRPr="00A81E46">
        <w:rPr>
          <w:sz w:val="24"/>
          <w:szCs w:val="24"/>
        </w:rPr>
        <w:t>B</w:t>
      </w:r>
      <w:r w:rsidRPr="00A81E46" w:rsidR="007744A4">
        <w:rPr>
          <w:sz w:val="24"/>
          <w:szCs w:val="24"/>
        </w:rPr>
        <w:t>ill</w:t>
      </w:r>
      <w:r w:rsidRPr="00A81E46">
        <w:rPr>
          <w:sz w:val="24"/>
          <w:szCs w:val="24"/>
        </w:rPr>
        <w:t xml:space="preserve"> 6. </w:t>
      </w:r>
    </w:p>
    <w:p w:rsidR="00E37AB7" w:rsidRPr="00A81E46" w:rsidP="00E37AB7" w14:paraId="44C27323" w14:textId="77777777">
      <w:pPr>
        <w:pStyle w:val="Footer"/>
        <w:tabs>
          <w:tab w:val="left" w:pos="4320"/>
          <w:tab w:val="clear" w:pos="8640"/>
        </w:tabs>
        <w:ind w:firstLine="720"/>
        <w:rPr>
          <w:sz w:val="24"/>
          <w:szCs w:val="24"/>
        </w:rPr>
      </w:pPr>
    </w:p>
    <w:p w:rsidR="008F3AC6" w:rsidRPr="00A81E46" w:rsidP="0025632B" w14:paraId="30E3982C" w14:textId="1FC0E4C9">
      <w:pPr>
        <w:pStyle w:val="Heading1"/>
        <w:rPr>
          <w:rFonts w:cs="Times New Roman"/>
          <w:szCs w:val="24"/>
        </w:rPr>
      </w:pPr>
      <w:bookmarkStart w:id="2" w:name="_Toc52376362"/>
      <w:r w:rsidRPr="00A81E46">
        <w:rPr>
          <w:rFonts w:cs="Times New Roman"/>
          <w:szCs w:val="24"/>
        </w:rPr>
        <w:t>II.</w:t>
      </w:r>
      <w:r w:rsidRPr="00A81E46">
        <w:rPr>
          <w:rFonts w:cs="Times New Roman"/>
          <w:szCs w:val="24"/>
        </w:rPr>
        <w:tab/>
      </w:r>
      <w:r w:rsidRPr="00A81E46" w:rsidR="00E1000C">
        <w:rPr>
          <w:rFonts w:cs="Times New Roman"/>
          <w:szCs w:val="24"/>
        </w:rPr>
        <w:t>ARGUMENT</w:t>
      </w:r>
      <w:bookmarkEnd w:id="2"/>
    </w:p>
    <w:p w:rsidR="003B0349" w:rsidRPr="00A81E46" w:rsidP="00E37AB7" w14:paraId="2BD27FE8" w14:textId="7C489717">
      <w:pPr>
        <w:pStyle w:val="Heading2"/>
        <w:rPr>
          <w:rFonts w:ascii="Times New Roman" w:hAnsi="Times New Roman" w:cs="Times New Roman"/>
          <w:szCs w:val="24"/>
        </w:rPr>
      </w:pPr>
      <w:bookmarkStart w:id="3" w:name="_Toc52376363"/>
      <w:r w:rsidRPr="00A81E46">
        <w:rPr>
          <w:rFonts w:ascii="Times New Roman" w:hAnsi="Times New Roman" w:cs="Times New Roman"/>
          <w:szCs w:val="24"/>
        </w:rPr>
        <w:t>A.</w:t>
      </w:r>
      <w:r w:rsidRPr="00A81E46">
        <w:rPr>
          <w:rFonts w:ascii="Times New Roman" w:hAnsi="Times New Roman" w:cs="Times New Roman"/>
          <w:szCs w:val="24"/>
        </w:rPr>
        <w:tab/>
      </w:r>
      <w:r w:rsidRPr="00A81E46" w:rsidR="00B84152">
        <w:rPr>
          <w:rFonts w:ascii="Times New Roman" w:hAnsi="Times New Roman" w:cs="Times New Roman"/>
          <w:szCs w:val="24"/>
        </w:rPr>
        <w:t xml:space="preserve">R.C. 4905.05 and 4905.06 </w:t>
      </w:r>
      <w:r w:rsidRPr="00A81E46" w:rsidR="001E29D2">
        <w:rPr>
          <w:rFonts w:ascii="Times New Roman" w:hAnsi="Times New Roman" w:cs="Times New Roman"/>
          <w:szCs w:val="24"/>
        </w:rPr>
        <w:t xml:space="preserve">(along with R.C. 4909.154) </w:t>
      </w:r>
      <w:r w:rsidRPr="00A81E46" w:rsidR="00E11992">
        <w:rPr>
          <w:rFonts w:ascii="Times New Roman" w:hAnsi="Times New Roman" w:cs="Times New Roman"/>
          <w:szCs w:val="24"/>
        </w:rPr>
        <w:t xml:space="preserve">expressly </w:t>
      </w:r>
      <w:r w:rsidRPr="00A81E46" w:rsidR="00B84152">
        <w:rPr>
          <w:rFonts w:ascii="Times New Roman" w:hAnsi="Times New Roman" w:cs="Times New Roman"/>
          <w:szCs w:val="24"/>
        </w:rPr>
        <w:t>provide the PUCO authority to investigate</w:t>
      </w:r>
      <w:r w:rsidRPr="00A81E46">
        <w:rPr>
          <w:rFonts w:ascii="Times New Roman" w:hAnsi="Times New Roman" w:cs="Times New Roman"/>
          <w:szCs w:val="24"/>
        </w:rPr>
        <w:t xml:space="preserve"> FirstEnergy Utilities and their owner, FirstEnergy Corp., to determine whether rates charged to customers for electric utility service improperly funded efforts to enact HB 6 and to thwart a referendum</w:t>
      </w:r>
      <w:r w:rsidRPr="00A81E46" w:rsidR="00FE1CFE">
        <w:rPr>
          <w:rFonts w:ascii="Times New Roman" w:hAnsi="Times New Roman" w:cs="Times New Roman"/>
          <w:szCs w:val="24"/>
        </w:rPr>
        <w:t>.</w:t>
      </w:r>
      <w:bookmarkEnd w:id="3"/>
      <w:r w:rsidRPr="00A81E46">
        <w:rPr>
          <w:rFonts w:ascii="Times New Roman" w:hAnsi="Times New Roman" w:cs="Times New Roman"/>
          <w:szCs w:val="24"/>
        </w:rPr>
        <w:t xml:space="preserve"> </w:t>
      </w:r>
    </w:p>
    <w:p w:rsidR="008A68A7" w:rsidRPr="00A81E46" w:rsidP="00120B54" w14:paraId="6DCFCEDF" w14:textId="42C23C9E">
      <w:pPr>
        <w:pStyle w:val="Footer"/>
        <w:tabs>
          <w:tab w:val="left" w:pos="4320"/>
          <w:tab w:val="clear" w:pos="8640"/>
        </w:tabs>
        <w:spacing w:line="480" w:lineRule="auto"/>
        <w:ind w:firstLine="720"/>
        <w:rPr>
          <w:sz w:val="24"/>
          <w:szCs w:val="24"/>
        </w:rPr>
      </w:pPr>
      <w:r w:rsidRPr="00A81E46">
        <w:rPr>
          <w:sz w:val="24"/>
          <w:szCs w:val="24"/>
        </w:rPr>
        <w:t>FirstEnergy</w:t>
      </w:r>
      <w:r w:rsidRPr="00A81E46" w:rsidR="00727FDF">
        <w:rPr>
          <w:sz w:val="24"/>
          <w:szCs w:val="24"/>
        </w:rPr>
        <w:t xml:space="preserve"> devot</w:t>
      </w:r>
      <w:r w:rsidRPr="00A81E46" w:rsidR="00E9534A">
        <w:rPr>
          <w:sz w:val="24"/>
          <w:szCs w:val="24"/>
        </w:rPr>
        <w:t>es much</w:t>
      </w:r>
      <w:r w:rsidRPr="00A81E46" w:rsidR="00727FDF">
        <w:rPr>
          <w:sz w:val="24"/>
          <w:szCs w:val="24"/>
        </w:rPr>
        <w:t xml:space="preserve"> of its memo contra to telling the PUCO it has no authority to consider the issues raised by OCC’s motions.</w:t>
      </w:r>
      <w:r>
        <w:rPr>
          <w:rStyle w:val="FootnoteReference"/>
          <w:sz w:val="24"/>
          <w:szCs w:val="24"/>
        </w:rPr>
        <w:footnoteReference w:id="4"/>
      </w:r>
      <w:r w:rsidRPr="00A81E46" w:rsidR="00727B60">
        <w:rPr>
          <w:sz w:val="24"/>
          <w:szCs w:val="24"/>
        </w:rPr>
        <w:t xml:space="preserve"> </w:t>
      </w:r>
      <w:r w:rsidRPr="00A81E46" w:rsidR="005C3A9C">
        <w:rPr>
          <w:sz w:val="24"/>
          <w:szCs w:val="24"/>
        </w:rPr>
        <w:t>C</w:t>
      </w:r>
      <w:r w:rsidRPr="00A81E46" w:rsidR="00DC7566">
        <w:rPr>
          <w:sz w:val="24"/>
          <w:szCs w:val="24"/>
        </w:rPr>
        <w:t xml:space="preserve">ontrary to FirstEnergy’s claims, </w:t>
      </w:r>
      <w:r w:rsidRPr="00A81E46" w:rsidR="007C4E93">
        <w:rPr>
          <w:sz w:val="24"/>
          <w:szCs w:val="24"/>
        </w:rPr>
        <w:t xml:space="preserve">however, </w:t>
      </w:r>
      <w:r w:rsidRPr="00A81E46" w:rsidR="00DC7566">
        <w:rPr>
          <w:sz w:val="24"/>
          <w:szCs w:val="24"/>
        </w:rPr>
        <w:t>the</w:t>
      </w:r>
      <w:r w:rsidRPr="00A81E46">
        <w:rPr>
          <w:sz w:val="24"/>
          <w:szCs w:val="24"/>
        </w:rPr>
        <w:t xml:space="preserve"> PUCO has </w:t>
      </w:r>
      <w:r w:rsidRPr="00A81E46" w:rsidR="0037629B">
        <w:rPr>
          <w:sz w:val="24"/>
          <w:szCs w:val="24"/>
        </w:rPr>
        <w:t xml:space="preserve">broad </w:t>
      </w:r>
      <w:r w:rsidRPr="00A81E46">
        <w:rPr>
          <w:sz w:val="24"/>
          <w:szCs w:val="24"/>
        </w:rPr>
        <w:t>statutory authority</w:t>
      </w:r>
      <w:r w:rsidRPr="00A81E46" w:rsidR="00F94C8C">
        <w:rPr>
          <w:sz w:val="24"/>
          <w:szCs w:val="24"/>
        </w:rPr>
        <w:t xml:space="preserve"> under R.C. 4905.05 and R.C. 4905.06</w:t>
      </w:r>
      <w:r w:rsidRPr="00A81E46">
        <w:rPr>
          <w:sz w:val="24"/>
          <w:szCs w:val="24"/>
        </w:rPr>
        <w:t xml:space="preserve"> </w:t>
      </w:r>
      <w:r w:rsidRPr="00A81E46" w:rsidR="00F94C8C">
        <w:rPr>
          <w:sz w:val="24"/>
          <w:szCs w:val="24"/>
        </w:rPr>
        <w:t>to investigat</w:t>
      </w:r>
      <w:r w:rsidRPr="00A81E46" w:rsidR="00E9534A">
        <w:rPr>
          <w:sz w:val="24"/>
          <w:szCs w:val="24"/>
        </w:rPr>
        <w:t>e</w:t>
      </w:r>
      <w:r w:rsidRPr="00A81E46" w:rsidR="0025541D">
        <w:rPr>
          <w:sz w:val="24"/>
          <w:szCs w:val="24"/>
        </w:rPr>
        <w:t xml:space="preserve"> the</w:t>
      </w:r>
      <w:r w:rsidRPr="00A81E46" w:rsidR="00F94C8C">
        <w:rPr>
          <w:sz w:val="24"/>
          <w:szCs w:val="24"/>
        </w:rPr>
        <w:t xml:space="preserve"> FirstEnergy </w:t>
      </w:r>
      <w:r w:rsidRPr="00A81E46" w:rsidR="00FE1CFE">
        <w:rPr>
          <w:sz w:val="24"/>
          <w:szCs w:val="24"/>
        </w:rPr>
        <w:t>U</w:t>
      </w:r>
      <w:r w:rsidRPr="00A81E46" w:rsidR="00F94C8C">
        <w:rPr>
          <w:sz w:val="24"/>
          <w:szCs w:val="24"/>
        </w:rPr>
        <w:t xml:space="preserve">tilities and their </w:t>
      </w:r>
      <w:r w:rsidRPr="00A81E46" w:rsidR="00C21FA8">
        <w:rPr>
          <w:sz w:val="24"/>
          <w:szCs w:val="24"/>
        </w:rPr>
        <w:t xml:space="preserve">owner, </w:t>
      </w:r>
      <w:r w:rsidRPr="00A81E46" w:rsidR="00F94C8C">
        <w:rPr>
          <w:sz w:val="24"/>
          <w:szCs w:val="24"/>
        </w:rPr>
        <w:t>FirstEnergy Corp.</w:t>
      </w:r>
      <w:r w:rsidRPr="00A81E46" w:rsidR="0025541D">
        <w:rPr>
          <w:sz w:val="24"/>
          <w:szCs w:val="24"/>
        </w:rPr>
        <w:t xml:space="preserve"> </w:t>
      </w:r>
      <w:r w:rsidRPr="00A81E46" w:rsidR="001E29D2">
        <w:rPr>
          <w:sz w:val="24"/>
          <w:szCs w:val="24"/>
        </w:rPr>
        <w:t xml:space="preserve">And the PUCO has authority under R.C. 4909.154 to “consider the management policies, practices, and organization” of a public utility. Under this law, the PUCO can require a public utility to supply information about its policies, practices, and organization.  </w:t>
      </w:r>
      <w:r w:rsidRPr="00A81E46" w:rsidR="0037629B">
        <w:rPr>
          <w:sz w:val="24"/>
          <w:szCs w:val="24"/>
        </w:rPr>
        <w:t>The PUCO should use this authority to protect consumers by granting the relief requested in OCC</w:t>
      </w:r>
      <w:r w:rsidRPr="00A81E46" w:rsidR="00E9534A">
        <w:rPr>
          <w:sz w:val="24"/>
          <w:szCs w:val="24"/>
        </w:rPr>
        <w:t>’</w:t>
      </w:r>
      <w:r w:rsidRPr="00A81E46" w:rsidR="007374ED">
        <w:rPr>
          <w:sz w:val="24"/>
          <w:szCs w:val="24"/>
        </w:rPr>
        <w:t>s</w:t>
      </w:r>
      <w:r w:rsidRPr="00A81E46" w:rsidR="0037629B">
        <w:rPr>
          <w:sz w:val="24"/>
          <w:szCs w:val="24"/>
        </w:rPr>
        <w:t xml:space="preserve"> motions.</w:t>
      </w:r>
      <w:r w:rsidRPr="00A81E46" w:rsidR="0025541D">
        <w:rPr>
          <w:sz w:val="24"/>
          <w:szCs w:val="24"/>
        </w:rPr>
        <w:t xml:space="preserve"> </w:t>
      </w:r>
      <w:r w:rsidRPr="00A81E46" w:rsidR="00F94C8C">
        <w:rPr>
          <w:sz w:val="24"/>
          <w:szCs w:val="24"/>
        </w:rPr>
        <w:t xml:space="preserve"> </w:t>
      </w:r>
    </w:p>
    <w:p w:rsidR="009B53AC" w:rsidRPr="00A81E46" w:rsidP="009B53AC" w14:paraId="12EBA8B1" w14:textId="5802EC69">
      <w:pPr>
        <w:pStyle w:val="Footer"/>
        <w:tabs>
          <w:tab w:val="left" w:pos="4320"/>
          <w:tab w:val="clear" w:pos="8640"/>
        </w:tabs>
        <w:spacing w:line="480" w:lineRule="auto"/>
        <w:ind w:firstLine="720"/>
        <w:rPr>
          <w:sz w:val="24"/>
          <w:szCs w:val="24"/>
        </w:rPr>
      </w:pPr>
      <w:r w:rsidRPr="00A81E46">
        <w:rPr>
          <w:sz w:val="24"/>
          <w:szCs w:val="24"/>
        </w:rPr>
        <w:t>FirstEnergy</w:t>
      </w:r>
      <w:r w:rsidRPr="00A81E46" w:rsidR="000A4D4C">
        <w:rPr>
          <w:sz w:val="24"/>
          <w:szCs w:val="24"/>
        </w:rPr>
        <w:t xml:space="preserve"> </w:t>
      </w:r>
      <w:r w:rsidRPr="00A81E46" w:rsidR="00727FDF">
        <w:rPr>
          <w:sz w:val="24"/>
          <w:szCs w:val="24"/>
        </w:rPr>
        <w:t>claim</w:t>
      </w:r>
      <w:r w:rsidRPr="00A81E46" w:rsidR="0037629B">
        <w:rPr>
          <w:sz w:val="24"/>
          <w:szCs w:val="24"/>
        </w:rPr>
        <w:t>s</w:t>
      </w:r>
      <w:r w:rsidRPr="00A81E46" w:rsidR="00727FDF">
        <w:rPr>
          <w:sz w:val="24"/>
          <w:szCs w:val="24"/>
        </w:rPr>
        <w:t xml:space="preserve"> that the PUCO</w:t>
      </w:r>
      <w:r w:rsidRPr="00A81E46" w:rsidR="0025541D">
        <w:rPr>
          <w:sz w:val="24"/>
          <w:szCs w:val="24"/>
        </w:rPr>
        <w:t>, as a creature of statute,</w:t>
      </w:r>
      <w:r w:rsidRPr="00A81E46" w:rsidR="00727FDF">
        <w:rPr>
          <w:sz w:val="24"/>
          <w:szCs w:val="24"/>
        </w:rPr>
        <w:t xml:space="preserve"> has no </w:t>
      </w:r>
      <w:r w:rsidRPr="00A81E46" w:rsidR="0025541D">
        <w:rPr>
          <w:sz w:val="24"/>
          <w:szCs w:val="24"/>
        </w:rPr>
        <w:t xml:space="preserve">statutory </w:t>
      </w:r>
      <w:r w:rsidRPr="00A81E46" w:rsidR="00727FDF">
        <w:rPr>
          <w:sz w:val="24"/>
          <w:szCs w:val="24"/>
        </w:rPr>
        <w:t xml:space="preserve">authority to </w:t>
      </w:r>
      <w:r w:rsidRPr="00A81E46" w:rsidR="00FB3F83">
        <w:rPr>
          <w:sz w:val="24"/>
          <w:szCs w:val="24"/>
        </w:rPr>
        <w:t>investigate</w:t>
      </w:r>
      <w:r w:rsidRPr="00A81E46" w:rsidR="00727FDF">
        <w:rPr>
          <w:sz w:val="24"/>
          <w:szCs w:val="24"/>
        </w:rPr>
        <w:t xml:space="preserve"> FirstEnergy Corp</w:t>
      </w:r>
      <w:r w:rsidRPr="00A81E46" w:rsidR="0025541D">
        <w:rPr>
          <w:sz w:val="24"/>
          <w:szCs w:val="24"/>
        </w:rPr>
        <w:t>. because it is a holding company, not a public utility.</w:t>
      </w:r>
      <w:r>
        <w:rPr>
          <w:rStyle w:val="FootnoteReference"/>
          <w:sz w:val="24"/>
          <w:szCs w:val="24"/>
        </w:rPr>
        <w:footnoteReference w:id="5"/>
      </w:r>
      <w:r w:rsidRPr="00A81E46">
        <w:rPr>
          <w:sz w:val="24"/>
          <w:szCs w:val="24"/>
        </w:rPr>
        <w:t xml:space="preserve"> FirstEnergy </w:t>
      </w:r>
      <w:r w:rsidRPr="00A81E46" w:rsidR="0025541D">
        <w:rPr>
          <w:sz w:val="24"/>
          <w:szCs w:val="24"/>
        </w:rPr>
        <w:t>claims</w:t>
      </w:r>
      <w:r w:rsidRPr="00A81E46">
        <w:rPr>
          <w:sz w:val="24"/>
          <w:szCs w:val="24"/>
        </w:rPr>
        <w:t xml:space="preserve"> that</w:t>
      </w:r>
      <w:r w:rsidRPr="00A81E46" w:rsidR="0025541D">
        <w:rPr>
          <w:sz w:val="24"/>
          <w:szCs w:val="24"/>
        </w:rPr>
        <w:t xml:space="preserve"> OCC “misreads”</w:t>
      </w:r>
      <w:r w:rsidRPr="00A81E46">
        <w:rPr>
          <w:sz w:val="24"/>
          <w:szCs w:val="24"/>
        </w:rPr>
        <w:t xml:space="preserve"> R.C. 4905.05 and R.C. 4905.06</w:t>
      </w:r>
      <w:r w:rsidRPr="00A81E46" w:rsidR="005C5685">
        <w:rPr>
          <w:sz w:val="24"/>
          <w:szCs w:val="24"/>
        </w:rPr>
        <w:t>.</w:t>
      </w:r>
      <w:r>
        <w:rPr>
          <w:rStyle w:val="FootnoteReference"/>
          <w:sz w:val="24"/>
          <w:szCs w:val="24"/>
        </w:rPr>
        <w:footnoteReference w:id="6"/>
      </w:r>
      <w:r w:rsidRPr="00A81E46" w:rsidR="005C5685">
        <w:rPr>
          <w:sz w:val="24"/>
          <w:szCs w:val="24"/>
        </w:rPr>
        <w:t xml:space="preserve"> </w:t>
      </w:r>
      <w:r w:rsidRPr="00A81E46" w:rsidR="007C4E93">
        <w:rPr>
          <w:sz w:val="24"/>
          <w:szCs w:val="24"/>
        </w:rPr>
        <w:t xml:space="preserve">But it is </w:t>
      </w:r>
      <w:r w:rsidRPr="00A81E46">
        <w:rPr>
          <w:sz w:val="24"/>
          <w:szCs w:val="24"/>
        </w:rPr>
        <w:t xml:space="preserve">FirstEnergy </w:t>
      </w:r>
      <w:r w:rsidRPr="00A81E46" w:rsidR="007C4E93">
        <w:rPr>
          <w:sz w:val="24"/>
          <w:szCs w:val="24"/>
        </w:rPr>
        <w:t xml:space="preserve">itself that misreads these laws. </w:t>
      </w:r>
    </w:p>
    <w:p w:rsidR="009B53AC" w:rsidRPr="00A81E46" w:rsidP="009B53AC" w14:paraId="49869CF6" w14:textId="033456B5">
      <w:pPr>
        <w:pStyle w:val="Footer"/>
        <w:tabs>
          <w:tab w:val="left" w:pos="4320"/>
          <w:tab w:val="clear" w:pos="8640"/>
        </w:tabs>
        <w:spacing w:line="480" w:lineRule="auto"/>
        <w:ind w:firstLine="720"/>
        <w:rPr>
          <w:sz w:val="24"/>
          <w:szCs w:val="24"/>
        </w:rPr>
      </w:pPr>
      <w:r w:rsidRPr="00A81E46">
        <w:rPr>
          <w:sz w:val="24"/>
          <w:szCs w:val="24"/>
        </w:rPr>
        <w:t>T</w:t>
      </w:r>
      <w:r w:rsidRPr="00A81E46" w:rsidR="005C5685">
        <w:rPr>
          <w:sz w:val="24"/>
          <w:szCs w:val="24"/>
        </w:rPr>
        <w:t>o be clear, t</w:t>
      </w:r>
      <w:r w:rsidRPr="00A81E46">
        <w:rPr>
          <w:sz w:val="24"/>
          <w:szCs w:val="24"/>
        </w:rPr>
        <w:t>he express language of R.C. 4905.05</w:t>
      </w:r>
      <w:r w:rsidRPr="00A81E46" w:rsidR="009662C2">
        <w:rPr>
          <w:sz w:val="24"/>
          <w:szCs w:val="24"/>
        </w:rPr>
        <w:t xml:space="preserve"> – which </w:t>
      </w:r>
      <w:r w:rsidRPr="00A81E46">
        <w:rPr>
          <w:sz w:val="24"/>
          <w:szCs w:val="24"/>
        </w:rPr>
        <w:t xml:space="preserve">FirstEnergy </w:t>
      </w:r>
      <w:r w:rsidRPr="00A81E46" w:rsidR="004C023B">
        <w:rPr>
          <w:sz w:val="24"/>
          <w:szCs w:val="24"/>
        </w:rPr>
        <w:t>misconstrues</w:t>
      </w:r>
      <w:r w:rsidRPr="00A81E46" w:rsidR="009662C2">
        <w:rPr>
          <w:sz w:val="24"/>
          <w:szCs w:val="24"/>
        </w:rPr>
        <w:t xml:space="preserve"> – </w:t>
      </w:r>
      <w:r w:rsidRPr="00A81E46" w:rsidR="00C21FA8">
        <w:rPr>
          <w:sz w:val="24"/>
          <w:szCs w:val="24"/>
        </w:rPr>
        <w:t>grants the PUCO expansive jurisdiction which includes jurisdiction not just over public utilities, but also to “persons or companies” “owning</w:t>
      </w:r>
      <w:r w:rsidRPr="00A81E46" w:rsidR="007C4E93">
        <w:rPr>
          <w:sz w:val="24"/>
          <w:szCs w:val="24"/>
        </w:rPr>
        <w:t>”</w:t>
      </w:r>
      <w:r w:rsidRPr="00A81E46" w:rsidR="00C21FA8">
        <w:rPr>
          <w:sz w:val="24"/>
          <w:szCs w:val="24"/>
        </w:rPr>
        <w:t xml:space="preserve"> </w:t>
      </w:r>
      <w:r w:rsidRPr="00A81E46" w:rsidR="007C4E93">
        <w:rPr>
          <w:sz w:val="24"/>
          <w:szCs w:val="24"/>
        </w:rPr>
        <w:t xml:space="preserve">such </w:t>
      </w:r>
      <w:r w:rsidRPr="00A81E46" w:rsidR="00C21FA8">
        <w:rPr>
          <w:sz w:val="24"/>
          <w:szCs w:val="24"/>
        </w:rPr>
        <w:t xml:space="preserve">public utilities.  That language is </w:t>
      </w:r>
      <w:r w:rsidRPr="00A81E46" w:rsidR="005C5685">
        <w:rPr>
          <w:sz w:val="24"/>
          <w:szCs w:val="24"/>
        </w:rPr>
        <w:t>as follows</w:t>
      </w:r>
      <w:r w:rsidRPr="00A81E46">
        <w:rPr>
          <w:sz w:val="24"/>
          <w:szCs w:val="24"/>
        </w:rPr>
        <w:t>:</w:t>
      </w:r>
    </w:p>
    <w:p w:rsidR="00104E8D" w:rsidRPr="00A81E46" w:rsidP="004B033E" w14:paraId="1364D993" w14:textId="4A6ED493">
      <w:pPr>
        <w:pStyle w:val="Footer"/>
        <w:tabs>
          <w:tab w:val="clear" w:pos="4320"/>
          <w:tab w:val="clear" w:pos="8640"/>
        </w:tabs>
        <w:ind w:left="720" w:right="720" w:hanging="720"/>
        <w:rPr>
          <w:sz w:val="24"/>
          <w:szCs w:val="24"/>
        </w:rPr>
      </w:pPr>
      <w:r w:rsidRPr="00A81E46">
        <w:rPr>
          <w:sz w:val="24"/>
          <w:szCs w:val="24"/>
        </w:rPr>
        <w:tab/>
        <w:t xml:space="preserve">The </w:t>
      </w:r>
      <w:r w:rsidRPr="00A81E46" w:rsidR="00594138">
        <w:rPr>
          <w:sz w:val="24"/>
          <w:szCs w:val="24"/>
        </w:rPr>
        <w:t>jurisdiction, supervision, powers, and duties</w:t>
      </w:r>
      <w:r w:rsidRPr="00A81E46">
        <w:rPr>
          <w:sz w:val="24"/>
          <w:szCs w:val="24"/>
        </w:rPr>
        <w:t xml:space="preserve"> of the public utilities commission extend to </w:t>
      </w:r>
      <w:r w:rsidRPr="00A81E46">
        <w:rPr>
          <w:b/>
          <w:bCs/>
          <w:i/>
          <w:iCs/>
          <w:sz w:val="24"/>
          <w:szCs w:val="24"/>
        </w:rPr>
        <w:t>every public utility</w:t>
      </w:r>
      <w:r w:rsidRPr="00A81E46">
        <w:rPr>
          <w:sz w:val="24"/>
          <w:szCs w:val="24"/>
        </w:rPr>
        <w:t xml:space="preserve"> and railroad, the plant or property of which lies wholly within this state and when the property of a public utility or railroad lies partly within and partly without this state to that part of such plant or property that lies within this state; </w:t>
      </w:r>
      <w:r w:rsidRPr="00A81E46">
        <w:rPr>
          <w:b/>
          <w:bCs/>
          <w:i/>
          <w:iCs/>
          <w:sz w:val="24"/>
          <w:szCs w:val="24"/>
        </w:rPr>
        <w:t xml:space="preserve">to the persons or companies </w:t>
      </w:r>
      <w:r w:rsidRPr="00A81E46" w:rsidR="00594138">
        <w:rPr>
          <w:b/>
          <w:bCs/>
          <w:i/>
          <w:iCs/>
          <w:sz w:val="24"/>
          <w:szCs w:val="24"/>
        </w:rPr>
        <w:t>owning, leasing, or operating such public utilities</w:t>
      </w:r>
      <w:r w:rsidRPr="00A81E46" w:rsidR="00594138">
        <w:rPr>
          <w:sz w:val="24"/>
          <w:szCs w:val="24"/>
        </w:rPr>
        <w:t xml:space="preserve"> </w:t>
      </w:r>
      <w:r w:rsidRPr="00A81E46">
        <w:rPr>
          <w:sz w:val="24"/>
          <w:szCs w:val="24"/>
        </w:rPr>
        <w:t xml:space="preserve">and railroads; </w:t>
      </w:r>
      <w:r w:rsidRPr="00A81E46">
        <w:rPr>
          <w:b/>
          <w:bCs/>
          <w:i/>
          <w:iCs/>
          <w:sz w:val="24"/>
          <w:szCs w:val="24"/>
        </w:rPr>
        <w:t>to the records and accounts of the business thereof</w:t>
      </w:r>
      <w:r w:rsidRPr="00A81E46" w:rsidR="00083E9C">
        <w:rPr>
          <w:b/>
          <w:bCs/>
          <w:i/>
          <w:iCs/>
          <w:sz w:val="24"/>
          <w:szCs w:val="24"/>
        </w:rPr>
        <w:t xml:space="preserve"> done within this state</w:t>
      </w:r>
      <w:r w:rsidRPr="00A81E46" w:rsidR="00083E9C">
        <w:rPr>
          <w:sz w:val="24"/>
          <w:szCs w:val="24"/>
        </w:rPr>
        <w:t xml:space="preserve">; and to the records and accounts of any companies </w:t>
      </w:r>
      <w:r w:rsidRPr="00A81E46" w:rsidR="009662C2">
        <w:rPr>
          <w:sz w:val="24"/>
          <w:szCs w:val="24"/>
        </w:rPr>
        <w:t>which</w:t>
      </w:r>
      <w:r w:rsidRPr="00A81E46" w:rsidR="00083E9C">
        <w:rPr>
          <w:sz w:val="24"/>
          <w:szCs w:val="24"/>
        </w:rPr>
        <w:t xml:space="preserve"> are </w:t>
      </w:r>
      <w:r w:rsidRPr="00A81E46" w:rsidR="009662C2">
        <w:rPr>
          <w:sz w:val="24"/>
          <w:szCs w:val="24"/>
        </w:rPr>
        <w:t>part of an electric utility holding company system exempt under section 3(a)(1) or (2)</w:t>
      </w:r>
      <w:r w:rsidRPr="00A81E46">
        <w:rPr>
          <w:sz w:val="24"/>
          <w:szCs w:val="24"/>
        </w:rPr>
        <w:t xml:space="preserve"> </w:t>
      </w:r>
      <w:r w:rsidRPr="00A81E46" w:rsidR="009662C2">
        <w:rPr>
          <w:sz w:val="24"/>
          <w:szCs w:val="24"/>
        </w:rPr>
        <w:t>of the “Public Utility Holding Company Act of 1935,” 49 Stat. 803, 15 U.S.C.</w:t>
      </w:r>
      <w:r w:rsidRPr="00A81E46" w:rsidR="00B46AB9">
        <w:rPr>
          <w:sz w:val="24"/>
          <w:szCs w:val="24"/>
        </w:rPr>
        <w:t xml:space="preserve"> </w:t>
      </w:r>
      <w:r w:rsidRPr="00A81E46" w:rsidR="009662C2">
        <w:rPr>
          <w:sz w:val="24"/>
          <w:szCs w:val="24"/>
        </w:rPr>
        <w:t>79c, and the rules and regulations promulgated thereunder, insofar as such records and accounts</w:t>
      </w:r>
      <w:r w:rsidRPr="00A81E46" w:rsidR="007F198B">
        <w:rPr>
          <w:sz w:val="24"/>
          <w:szCs w:val="24"/>
        </w:rPr>
        <w:t xml:space="preserve"> may in any way affect or relate to the costs associated with the provision of electric utility service by any public utility operating in this state and part of such holding company system. (emphasis added)</w:t>
      </w:r>
    </w:p>
    <w:p w:rsidR="007F198B" w:rsidRPr="00A81E46" w:rsidP="00104E8D" w14:paraId="18DDF308" w14:textId="15C140DE">
      <w:pPr>
        <w:pStyle w:val="Footer"/>
        <w:tabs>
          <w:tab w:val="left" w:pos="4320"/>
          <w:tab w:val="clear" w:pos="8640"/>
        </w:tabs>
        <w:ind w:left="720" w:right="720" w:hanging="720"/>
        <w:rPr>
          <w:sz w:val="24"/>
          <w:szCs w:val="24"/>
        </w:rPr>
      </w:pPr>
    </w:p>
    <w:p w:rsidR="007F5CCF" w:rsidRPr="00A81E46" w:rsidP="006155B1" w14:paraId="55418A87" w14:textId="7294577B">
      <w:pPr>
        <w:pStyle w:val="Footer"/>
        <w:tabs>
          <w:tab w:val="left" w:pos="4320"/>
          <w:tab w:val="clear" w:pos="8640"/>
        </w:tabs>
        <w:spacing w:line="480" w:lineRule="auto"/>
        <w:rPr>
          <w:sz w:val="24"/>
          <w:szCs w:val="24"/>
        </w:rPr>
      </w:pPr>
      <w:r w:rsidRPr="00A81E46">
        <w:rPr>
          <w:sz w:val="24"/>
          <w:szCs w:val="24"/>
        </w:rPr>
        <w:t xml:space="preserve">FirstEnergy Corp. </w:t>
      </w:r>
      <w:r w:rsidRPr="00A81E46" w:rsidR="007C4E93">
        <w:rPr>
          <w:sz w:val="24"/>
          <w:szCs w:val="24"/>
        </w:rPr>
        <w:t>is a company</w:t>
      </w:r>
      <w:r w:rsidRPr="00A81E46">
        <w:rPr>
          <w:sz w:val="24"/>
          <w:szCs w:val="24"/>
        </w:rPr>
        <w:t xml:space="preserve"> that </w:t>
      </w:r>
      <w:r w:rsidRPr="00A81E46">
        <w:rPr>
          <w:i/>
          <w:iCs/>
          <w:sz w:val="24"/>
          <w:szCs w:val="24"/>
        </w:rPr>
        <w:t>owns</w:t>
      </w:r>
      <w:r w:rsidRPr="00A81E46">
        <w:rPr>
          <w:sz w:val="24"/>
          <w:szCs w:val="24"/>
        </w:rPr>
        <w:t xml:space="preserve"> the FirstEnergy utilities</w:t>
      </w:r>
      <w:r w:rsidRPr="00A81E46" w:rsidR="007C4E93">
        <w:rPr>
          <w:sz w:val="24"/>
          <w:szCs w:val="24"/>
        </w:rPr>
        <w:t xml:space="preserve"> and thus is subject to the PUCO</w:t>
      </w:r>
      <w:r w:rsidRPr="00A81E46" w:rsidR="00120B54">
        <w:rPr>
          <w:sz w:val="24"/>
          <w:szCs w:val="24"/>
        </w:rPr>
        <w:t>’s</w:t>
      </w:r>
      <w:r w:rsidRPr="00A81E46" w:rsidR="007C4E93">
        <w:rPr>
          <w:sz w:val="24"/>
          <w:szCs w:val="24"/>
        </w:rPr>
        <w:t xml:space="preserve"> jurisdiction</w:t>
      </w:r>
      <w:r w:rsidRPr="00A81E46">
        <w:rPr>
          <w:sz w:val="24"/>
          <w:szCs w:val="24"/>
        </w:rPr>
        <w:t xml:space="preserve">. </w:t>
      </w:r>
    </w:p>
    <w:p w:rsidR="00BF5BC5" w:rsidRPr="00A81E46" w:rsidP="007F5CCF" w14:paraId="665CE23F" w14:textId="51F214F5">
      <w:pPr>
        <w:pStyle w:val="Footer"/>
        <w:tabs>
          <w:tab w:val="left" w:pos="4320"/>
          <w:tab w:val="clear" w:pos="8640"/>
        </w:tabs>
        <w:spacing w:line="480" w:lineRule="auto"/>
        <w:ind w:firstLine="720"/>
        <w:rPr>
          <w:sz w:val="24"/>
          <w:szCs w:val="24"/>
        </w:rPr>
      </w:pPr>
      <w:r w:rsidRPr="00A81E46">
        <w:rPr>
          <w:sz w:val="24"/>
          <w:szCs w:val="24"/>
        </w:rPr>
        <w:t xml:space="preserve"> FirstEnergy</w:t>
      </w:r>
      <w:r w:rsidRPr="00A81E46" w:rsidR="00C21FA8">
        <w:rPr>
          <w:sz w:val="24"/>
          <w:szCs w:val="24"/>
        </w:rPr>
        <w:t xml:space="preserve"> </w:t>
      </w:r>
      <w:r w:rsidRPr="00A81E46" w:rsidR="00FE1CFE">
        <w:rPr>
          <w:sz w:val="24"/>
          <w:szCs w:val="24"/>
        </w:rPr>
        <w:t xml:space="preserve">Utilities </w:t>
      </w:r>
      <w:r w:rsidRPr="00A81E46" w:rsidR="00C21FA8">
        <w:rPr>
          <w:sz w:val="24"/>
          <w:szCs w:val="24"/>
        </w:rPr>
        <w:t xml:space="preserve">ignore this </w:t>
      </w:r>
      <w:r w:rsidRPr="00A81E46" w:rsidR="007F5CCF">
        <w:rPr>
          <w:sz w:val="24"/>
          <w:szCs w:val="24"/>
        </w:rPr>
        <w:t xml:space="preserve">initial </w:t>
      </w:r>
      <w:r w:rsidRPr="00A81E46" w:rsidR="00C21FA8">
        <w:rPr>
          <w:sz w:val="24"/>
          <w:szCs w:val="24"/>
        </w:rPr>
        <w:t xml:space="preserve">language </w:t>
      </w:r>
      <w:r w:rsidRPr="00A81E46" w:rsidR="00FE1CFE">
        <w:rPr>
          <w:sz w:val="24"/>
          <w:szCs w:val="24"/>
        </w:rPr>
        <w:t xml:space="preserve">that establishes the PUCO’s jurisdiction over them and FirstEnergy Corp.  Instead they </w:t>
      </w:r>
      <w:r w:rsidRPr="00A81E46" w:rsidR="00C21FA8">
        <w:rPr>
          <w:sz w:val="24"/>
          <w:szCs w:val="24"/>
        </w:rPr>
        <w:t xml:space="preserve">focus on the words in the statute that </w:t>
      </w:r>
      <w:r w:rsidRPr="00A81E46" w:rsidR="007F5CCF">
        <w:rPr>
          <w:sz w:val="24"/>
          <w:szCs w:val="24"/>
        </w:rPr>
        <w:t>come later that extend the PUCO’s jurisdiction to the “records and accounts” that “are part of an electric utility holding company system exempt under section 3(a)(1) or (2) of the “Public Utility Holding Company Act of 1935.”  FirstEnergy</w:t>
      </w:r>
      <w:r w:rsidRPr="00A81E46" w:rsidR="00FE1CFE">
        <w:rPr>
          <w:sz w:val="24"/>
          <w:szCs w:val="24"/>
        </w:rPr>
        <w:t xml:space="preserve"> Utilities</w:t>
      </w:r>
      <w:r w:rsidRPr="00A81E46" w:rsidR="007F5CCF">
        <w:rPr>
          <w:sz w:val="24"/>
          <w:szCs w:val="24"/>
        </w:rPr>
        <w:t xml:space="preserve"> claim the PUCO has no jurisdiction over FirstEnergy Corp. under this language </w:t>
      </w:r>
      <w:r w:rsidRPr="00A81E46">
        <w:rPr>
          <w:sz w:val="24"/>
          <w:szCs w:val="24"/>
        </w:rPr>
        <w:t xml:space="preserve">because </w:t>
      </w:r>
      <w:r w:rsidRPr="00A81E46" w:rsidR="007F5CCF">
        <w:rPr>
          <w:sz w:val="24"/>
          <w:szCs w:val="24"/>
        </w:rPr>
        <w:t xml:space="preserve">the </w:t>
      </w:r>
      <w:r w:rsidRPr="00A81E46" w:rsidR="00EB2417">
        <w:rPr>
          <w:sz w:val="24"/>
          <w:szCs w:val="24"/>
        </w:rPr>
        <w:t>A</w:t>
      </w:r>
      <w:r w:rsidRPr="00A81E46" w:rsidR="007F5CCF">
        <w:rPr>
          <w:sz w:val="24"/>
          <w:szCs w:val="24"/>
        </w:rPr>
        <w:t xml:space="preserve">ct has been repealed and </w:t>
      </w:r>
      <w:r w:rsidRPr="00A81E46">
        <w:rPr>
          <w:sz w:val="24"/>
          <w:szCs w:val="24"/>
        </w:rPr>
        <w:t xml:space="preserve">FirstEnergy Corp. </w:t>
      </w:r>
      <w:r w:rsidRPr="00A81E46" w:rsidR="007F5CCF">
        <w:rPr>
          <w:sz w:val="24"/>
          <w:szCs w:val="24"/>
        </w:rPr>
        <w:t>was not exempt under the Act</w:t>
      </w:r>
      <w:r w:rsidRPr="00A81E46" w:rsidR="004C023B">
        <w:rPr>
          <w:sz w:val="24"/>
          <w:szCs w:val="24"/>
        </w:rPr>
        <w:t>.</w:t>
      </w:r>
      <w:r>
        <w:rPr>
          <w:rStyle w:val="FootnoteReference"/>
          <w:sz w:val="24"/>
          <w:szCs w:val="24"/>
        </w:rPr>
        <w:footnoteReference w:id="7"/>
      </w:r>
      <w:r w:rsidRPr="00A81E46">
        <w:rPr>
          <w:sz w:val="24"/>
          <w:szCs w:val="24"/>
        </w:rPr>
        <w:t xml:space="preserve">  </w:t>
      </w:r>
    </w:p>
    <w:p w:rsidR="00A300B9" w:rsidRPr="00A81E46" w:rsidP="00A300B9" w14:paraId="5F283577" w14:textId="0C7125E2">
      <w:pPr>
        <w:pStyle w:val="Footer"/>
        <w:tabs>
          <w:tab w:val="left" w:pos="4320"/>
          <w:tab w:val="clear" w:pos="8640"/>
        </w:tabs>
        <w:spacing w:line="480" w:lineRule="auto"/>
        <w:ind w:firstLine="720"/>
        <w:rPr>
          <w:b/>
          <w:bCs/>
          <w:i/>
          <w:iCs/>
          <w:sz w:val="24"/>
          <w:szCs w:val="24"/>
        </w:rPr>
      </w:pPr>
      <w:r w:rsidRPr="00A81E46">
        <w:rPr>
          <w:sz w:val="24"/>
          <w:szCs w:val="24"/>
        </w:rPr>
        <w:t xml:space="preserve">These are red herring arguments. They don’t matter. The words FirstEnergy </w:t>
      </w:r>
      <w:r w:rsidRPr="00A81E46" w:rsidR="00EB2417">
        <w:rPr>
          <w:sz w:val="24"/>
          <w:szCs w:val="24"/>
        </w:rPr>
        <w:t xml:space="preserve">Utilities </w:t>
      </w:r>
      <w:r w:rsidRPr="00A81E46">
        <w:rPr>
          <w:sz w:val="24"/>
          <w:szCs w:val="24"/>
        </w:rPr>
        <w:t>rel</w:t>
      </w:r>
      <w:r w:rsidRPr="00A81E46" w:rsidR="00EB2417">
        <w:rPr>
          <w:sz w:val="24"/>
          <w:szCs w:val="24"/>
        </w:rPr>
        <w:t>y</w:t>
      </w:r>
      <w:r w:rsidRPr="00A81E46">
        <w:rPr>
          <w:sz w:val="24"/>
          <w:szCs w:val="24"/>
        </w:rPr>
        <w:t xml:space="preserve"> on provide the PUCO more jurisdiction, not less jurisdiction. </w:t>
      </w:r>
      <w:r w:rsidRPr="00A81E46" w:rsidR="004C023B">
        <w:rPr>
          <w:sz w:val="24"/>
          <w:szCs w:val="24"/>
        </w:rPr>
        <w:t>They are additive to the first two jurisdictional clauses of R.C. 4905.05 and need not be met for the PUCO to exercise jurisdiction over FirstEnergy Corp. The first two clauses of R.C. 4905.05 provide the PUCO jurisdiction over</w:t>
      </w:r>
      <w:r w:rsidRPr="00A81E46">
        <w:rPr>
          <w:sz w:val="24"/>
          <w:szCs w:val="24"/>
        </w:rPr>
        <w:t xml:space="preserve"> FirstEnergy and FirstEnergy Corp.:  </w:t>
      </w:r>
      <w:r w:rsidRPr="00A81E46" w:rsidR="007F5CCF">
        <w:rPr>
          <w:sz w:val="24"/>
          <w:szCs w:val="24"/>
        </w:rPr>
        <w:t xml:space="preserve">“The jurisdiction, supervision, powers, and duties of the public utilities commission extend to </w:t>
      </w:r>
      <w:r w:rsidRPr="00A81E46" w:rsidR="004C023B">
        <w:rPr>
          <w:sz w:val="24"/>
          <w:szCs w:val="24"/>
        </w:rPr>
        <w:t>“</w:t>
      </w:r>
      <w:r w:rsidRPr="00A81E46" w:rsidR="007F5CCF">
        <w:rPr>
          <w:b/>
          <w:bCs/>
          <w:i/>
          <w:iCs/>
          <w:sz w:val="24"/>
          <w:szCs w:val="24"/>
        </w:rPr>
        <w:t>every public utility</w:t>
      </w:r>
      <w:r w:rsidRPr="00A81E46" w:rsidR="004C023B">
        <w:rPr>
          <w:sz w:val="24"/>
          <w:szCs w:val="24"/>
        </w:rPr>
        <w:t xml:space="preserve">” whose plant or property lies wholly or partly in the state and </w:t>
      </w:r>
      <w:r w:rsidRPr="00A81E46">
        <w:rPr>
          <w:sz w:val="24"/>
          <w:szCs w:val="24"/>
        </w:rPr>
        <w:t xml:space="preserve"> </w:t>
      </w:r>
      <w:r w:rsidRPr="00A81E46" w:rsidR="004C023B">
        <w:rPr>
          <w:sz w:val="24"/>
          <w:szCs w:val="24"/>
        </w:rPr>
        <w:t>“</w:t>
      </w:r>
      <w:r w:rsidRPr="00A81E46" w:rsidR="007F5CCF">
        <w:rPr>
          <w:b/>
          <w:bCs/>
          <w:i/>
          <w:iCs/>
          <w:sz w:val="24"/>
          <w:szCs w:val="24"/>
        </w:rPr>
        <w:t>to the persons or companies owning, leasing, or operating such public utilities</w:t>
      </w:r>
      <w:r w:rsidRPr="00A81E46" w:rsidR="004C023B">
        <w:rPr>
          <w:b/>
          <w:bCs/>
          <w:i/>
          <w:iCs/>
          <w:sz w:val="24"/>
          <w:szCs w:val="24"/>
        </w:rPr>
        <w:t xml:space="preserve"> ***.</w:t>
      </w:r>
      <w:r w:rsidRPr="00A81E46">
        <w:rPr>
          <w:sz w:val="24"/>
          <w:szCs w:val="24"/>
        </w:rPr>
        <w:t>”</w:t>
      </w:r>
      <w:r w:rsidRPr="00A81E46" w:rsidR="001E29D2">
        <w:rPr>
          <w:sz w:val="24"/>
          <w:szCs w:val="24"/>
        </w:rPr>
        <w:t xml:space="preserve">And R.C. 4909.154 adds to this authority by allowing the PUCO to consider the management policies, practices and organization of FirstEnergy Utilities.  </w:t>
      </w:r>
    </w:p>
    <w:p w:rsidR="000319F8" w:rsidRPr="00A81E46" w:rsidP="00A300B9" w14:paraId="5AA46D5A" w14:textId="2E4A58AE">
      <w:pPr>
        <w:pStyle w:val="Footer"/>
        <w:tabs>
          <w:tab w:val="left" w:pos="4320"/>
          <w:tab w:val="clear" w:pos="8640"/>
        </w:tabs>
        <w:spacing w:line="480" w:lineRule="auto"/>
        <w:ind w:firstLine="720"/>
        <w:rPr>
          <w:sz w:val="24"/>
          <w:szCs w:val="24"/>
        </w:rPr>
      </w:pPr>
      <w:r w:rsidRPr="00A81E46">
        <w:rPr>
          <w:sz w:val="24"/>
          <w:szCs w:val="24"/>
        </w:rPr>
        <w:t xml:space="preserve">Following </w:t>
      </w:r>
      <w:r w:rsidRPr="00A81E46" w:rsidR="00EB2417">
        <w:rPr>
          <w:sz w:val="24"/>
          <w:szCs w:val="24"/>
        </w:rPr>
        <w:t xml:space="preserve">their </w:t>
      </w:r>
      <w:r w:rsidRPr="00A81E46">
        <w:rPr>
          <w:sz w:val="24"/>
          <w:szCs w:val="24"/>
        </w:rPr>
        <w:t xml:space="preserve">flawed R.C. 4905.05 argument, </w:t>
      </w:r>
      <w:r w:rsidRPr="00A81E46" w:rsidR="00A300B9">
        <w:rPr>
          <w:sz w:val="24"/>
          <w:szCs w:val="24"/>
        </w:rPr>
        <w:t>FirstEnergy</w:t>
      </w:r>
      <w:r w:rsidRPr="00A81E46" w:rsidR="00EB2417">
        <w:rPr>
          <w:sz w:val="24"/>
          <w:szCs w:val="24"/>
        </w:rPr>
        <w:t xml:space="preserve"> Utilities</w:t>
      </w:r>
      <w:r w:rsidRPr="00A81E46" w:rsidR="00A300B9">
        <w:rPr>
          <w:sz w:val="24"/>
          <w:szCs w:val="24"/>
        </w:rPr>
        <w:t xml:space="preserve"> claim that the general supervis</w:t>
      </w:r>
      <w:r w:rsidRPr="00A81E46" w:rsidR="007C4E93">
        <w:rPr>
          <w:sz w:val="24"/>
          <w:szCs w:val="24"/>
        </w:rPr>
        <w:t>ory powers</w:t>
      </w:r>
      <w:r w:rsidRPr="00A81E46" w:rsidR="00A300B9">
        <w:rPr>
          <w:sz w:val="24"/>
          <w:szCs w:val="24"/>
        </w:rPr>
        <w:t xml:space="preserve"> granted to the PUCO under R.C. 4905.06 do not</w:t>
      </w:r>
      <w:r w:rsidRPr="00A81E46">
        <w:rPr>
          <w:sz w:val="24"/>
          <w:szCs w:val="24"/>
        </w:rPr>
        <w:t xml:space="preserve"> apply to FirstEnergy Corp.</w:t>
      </w:r>
      <w:r>
        <w:rPr>
          <w:rStyle w:val="FootnoteReference"/>
          <w:sz w:val="24"/>
          <w:szCs w:val="24"/>
        </w:rPr>
        <w:footnoteReference w:id="8"/>
      </w:r>
      <w:r w:rsidRPr="00A81E46" w:rsidR="00A300B9">
        <w:rPr>
          <w:sz w:val="24"/>
          <w:szCs w:val="24"/>
        </w:rPr>
        <w:t xml:space="preserve"> </w:t>
      </w:r>
      <w:r w:rsidRPr="00A81E46">
        <w:rPr>
          <w:sz w:val="24"/>
          <w:szCs w:val="24"/>
        </w:rPr>
        <w:t xml:space="preserve"> FirstEnergy argues that because First Energy Corp. is not subject to the PUCO authority under R.C. 4905.05, then it is not one of the “companies referred to in section 4905.05.” </w:t>
      </w:r>
      <w:r w:rsidRPr="00A81E46" w:rsidR="007C4E93">
        <w:rPr>
          <w:sz w:val="24"/>
          <w:szCs w:val="24"/>
        </w:rPr>
        <w:t>But, b</w:t>
      </w:r>
      <w:r w:rsidRPr="00A81E46">
        <w:rPr>
          <w:sz w:val="24"/>
          <w:szCs w:val="24"/>
        </w:rPr>
        <w:t xml:space="preserve">ecause FirstEnergy is wrong about R.C. 4905.05, it is also wrong about R.C. 4905.06.  </w:t>
      </w:r>
    </w:p>
    <w:p w:rsidR="00E5087E" w:rsidRPr="00A81E46" w:rsidP="000319F8" w14:paraId="363317E7" w14:textId="70FD1DAA">
      <w:pPr>
        <w:pStyle w:val="Footer"/>
        <w:tabs>
          <w:tab w:val="left" w:pos="4320"/>
          <w:tab w:val="clear" w:pos="8640"/>
        </w:tabs>
        <w:spacing w:line="480" w:lineRule="auto"/>
        <w:ind w:firstLine="720"/>
        <w:rPr>
          <w:sz w:val="24"/>
          <w:szCs w:val="24"/>
        </w:rPr>
      </w:pPr>
      <w:r w:rsidRPr="00A81E46">
        <w:rPr>
          <w:sz w:val="24"/>
          <w:szCs w:val="24"/>
        </w:rPr>
        <w:t>R.C. 4905.06</w:t>
      </w:r>
      <w:r w:rsidRPr="00A81E46" w:rsidR="005C3A9C">
        <w:rPr>
          <w:sz w:val="24"/>
          <w:szCs w:val="24"/>
        </w:rPr>
        <w:t xml:space="preserve"> grants the PUCO general supervision over public util</w:t>
      </w:r>
      <w:r w:rsidRPr="00A81E46">
        <w:rPr>
          <w:sz w:val="24"/>
          <w:szCs w:val="24"/>
        </w:rPr>
        <w:t>i</w:t>
      </w:r>
      <w:r w:rsidRPr="00A81E46" w:rsidR="005C3A9C">
        <w:rPr>
          <w:sz w:val="24"/>
          <w:szCs w:val="24"/>
        </w:rPr>
        <w:t xml:space="preserve">ties and </w:t>
      </w:r>
      <w:r w:rsidRPr="00A81E46">
        <w:rPr>
          <w:sz w:val="24"/>
          <w:szCs w:val="24"/>
        </w:rPr>
        <w:t xml:space="preserve">over “all other companies </w:t>
      </w:r>
      <w:r w:rsidRPr="00A81E46" w:rsidR="005C3A9C">
        <w:rPr>
          <w:sz w:val="24"/>
          <w:szCs w:val="24"/>
        </w:rPr>
        <w:t>referred to under R.C. 4905.05” –</w:t>
      </w:r>
      <w:r w:rsidRPr="00A81E46" w:rsidR="005526CD">
        <w:rPr>
          <w:sz w:val="24"/>
          <w:szCs w:val="24"/>
        </w:rPr>
        <w:t xml:space="preserve"> </w:t>
      </w:r>
      <w:r w:rsidRPr="00A81E46" w:rsidR="005C3A9C">
        <w:rPr>
          <w:sz w:val="24"/>
          <w:szCs w:val="24"/>
        </w:rPr>
        <w:t>companies which include FirstEnergy Corp.</w:t>
      </w:r>
      <w:r w:rsidRPr="00A81E46" w:rsidR="00120B54">
        <w:rPr>
          <w:sz w:val="24"/>
          <w:szCs w:val="24"/>
        </w:rPr>
        <w:t xml:space="preserve"> </w:t>
      </w:r>
      <w:r w:rsidRPr="00A81E46" w:rsidR="007C4E93">
        <w:rPr>
          <w:sz w:val="24"/>
          <w:szCs w:val="24"/>
        </w:rPr>
        <w:t>(</w:t>
      </w:r>
      <w:r w:rsidRPr="00A81E46" w:rsidR="005C3A9C">
        <w:rPr>
          <w:sz w:val="24"/>
          <w:szCs w:val="24"/>
        </w:rPr>
        <w:t>because it owns a public utility with property in this state.</w:t>
      </w:r>
      <w:r w:rsidRPr="00A81E46" w:rsidR="007C4E93">
        <w:rPr>
          <w:sz w:val="24"/>
          <w:szCs w:val="24"/>
        </w:rPr>
        <w:t xml:space="preserve">).  Here are the words under R.C. 4905.06, which allow the PUCO to exert </w:t>
      </w:r>
      <w:r w:rsidRPr="00A81E46">
        <w:rPr>
          <w:sz w:val="24"/>
          <w:szCs w:val="24"/>
        </w:rPr>
        <w:t>it</w:t>
      </w:r>
      <w:r w:rsidRPr="00A81E46" w:rsidR="007744A4">
        <w:rPr>
          <w:sz w:val="24"/>
          <w:szCs w:val="24"/>
        </w:rPr>
        <w:t>s</w:t>
      </w:r>
      <w:r w:rsidRPr="00A81E46">
        <w:rPr>
          <w:sz w:val="24"/>
          <w:szCs w:val="24"/>
        </w:rPr>
        <w:t xml:space="preserve"> general supervisory </w:t>
      </w:r>
      <w:r w:rsidRPr="00A81E46" w:rsidR="007C4E93">
        <w:rPr>
          <w:sz w:val="24"/>
          <w:szCs w:val="24"/>
        </w:rPr>
        <w:t>jurisdiction over FirstEnergy Corp.</w:t>
      </w:r>
      <w:r w:rsidRPr="00A81E46" w:rsidR="00EB2417">
        <w:rPr>
          <w:sz w:val="24"/>
          <w:szCs w:val="24"/>
        </w:rPr>
        <w:t>:</w:t>
      </w:r>
      <w:r w:rsidRPr="00A81E46" w:rsidR="007C4E93">
        <w:rPr>
          <w:sz w:val="24"/>
          <w:szCs w:val="24"/>
        </w:rPr>
        <w:t xml:space="preserve"> </w:t>
      </w:r>
    </w:p>
    <w:p w:rsidR="00E5087E" w:rsidRPr="00A81E46" w:rsidP="004B033E" w14:paraId="3E198DD1" w14:textId="79379129">
      <w:pPr>
        <w:pStyle w:val="Footer"/>
        <w:tabs>
          <w:tab w:val="clear" w:pos="4320"/>
          <w:tab w:val="clear" w:pos="8640"/>
        </w:tabs>
        <w:ind w:left="720" w:right="720" w:hanging="720"/>
        <w:rPr>
          <w:sz w:val="24"/>
          <w:szCs w:val="24"/>
        </w:rPr>
      </w:pPr>
      <w:r w:rsidRPr="00A81E46">
        <w:rPr>
          <w:sz w:val="24"/>
          <w:szCs w:val="24"/>
        </w:rPr>
        <w:tab/>
        <w:t xml:space="preserve">The public utilities commission </w:t>
      </w:r>
      <w:r w:rsidRPr="00A81E46">
        <w:rPr>
          <w:b/>
          <w:bCs/>
          <w:i/>
          <w:iCs/>
          <w:sz w:val="24"/>
          <w:szCs w:val="24"/>
        </w:rPr>
        <w:t>has general supervision over all public utilities within its jurisdiction as defined in section 4905.05 of the Revised Code, and may examine such public utilities</w:t>
      </w:r>
      <w:r w:rsidRPr="00A81E46">
        <w:rPr>
          <w:sz w:val="24"/>
          <w:szCs w:val="24"/>
        </w:rPr>
        <w:t xml:space="preserve"> and keep informed as to their general condition, capitalization, and franchises, and as to the manner in which their properties are leased, operated, managed, and conducted with respect to the adequacy or accommodation afforded by their service, the safety and security of the public and their employees, and their compliance with all laws, orders of the commission, franchises, and charter requirements. </w:t>
      </w:r>
      <w:r w:rsidRPr="00A81E46">
        <w:rPr>
          <w:b/>
          <w:bCs/>
          <w:i/>
          <w:iCs/>
          <w:sz w:val="24"/>
          <w:szCs w:val="24"/>
        </w:rPr>
        <w:t>The commission has general supervision over all other companies referred to in section 4905.</w:t>
      </w:r>
      <w:r w:rsidRPr="00A81E46" w:rsidR="00DC7566">
        <w:rPr>
          <w:b/>
          <w:bCs/>
          <w:i/>
          <w:iCs/>
          <w:sz w:val="24"/>
          <w:szCs w:val="24"/>
        </w:rPr>
        <w:t>05</w:t>
      </w:r>
      <w:r w:rsidRPr="00A81E46">
        <w:rPr>
          <w:b/>
          <w:bCs/>
          <w:i/>
          <w:iCs/>
          <w:sz w:val="24"/>
          <w:szCs w:val="24"/>
        </w:rPr>
        <w:t xml:space="preserve"> of the Revised Code to the extent of its jurisdiction as defined in that section, and may examine such companies</w:t>
      </w:r>
      <w:r w:rsidRPr="00A81E46">
        <w:rPr>
          <w:sz w:val="24"/>
          <w:szCs w:val="24"/>
        </w:rPr>
        <w:t xml:space="preserve"> and keep informed as to their general condition and capitalization, and as to the manner in which their properties are leased, operated, managed, and conducted with respect to the adequacy or accommodation afforded by their service, </w:t>
      </w:r>
      <w:r w:rsidRPr="00A81E46">
        <w:rPr>
          <w:b/>
          <w:bCs/>
          <w:i/>
          <w:iCs/>
          <w:sz w:val="24"/>
          <w:szCs w:val="24"/>
        </w:rPr>
        <w:t>and their compliance with all laws and orders of the commission, insofar as any of such matters may relate to the costs associated with the provision of electric utility service by public utilities in this state which are affiliated or associated with such companies</w:t>
      </w:r>
      <w:r w:rsidRPr="00A81E46">
        <w:rPr>
          <w:sz w:val="24"/>
          <w:szCs w:val="24"/>
        </w:rPr>
        <w:t>.</w:t>
      </w:r>
      <w:r w:rsidRPr="00A81E46" w:rsidR="00B46AB9">
        <w:rPr>
          <w:sz w:val="24"/>
          <w:szCs w:val="24"/>
        </w:rPr>
        <w:t xml:space="preserve"> </w:t>
      </w:r>
      <w:r w:rsidRPr="00A81E46" w:rsidR="00DC7566">
        <w:rPr>
          <w:sz w:val="24"/>
          <w:szCs w:val="24"/>
        </w:rPr>
        <w:t>(emphasis added)</w:t>
      </w:r>
    </w:p>
    <w:p w:rsidR="00DC7566" w:rsidRPr="00A81E46" w:rsidP="00DC7566" w14:paraId="63C8C32F" w14:textId="77777777">
      <w:pPr>
        <w:pStyle w:val="Footer"/>
        <w:tabs>
          <w:tab w:val="left" w:pos="4320"/>
          <w:tab w:val="clear" w:pos="8640"/>
        </w:tabs>
        <w:ind w:left="720" w:right="720" w:hanging="720"/>
        <w:rPr>
          <w:sz w:val="24"/>
          <w:szCs w:val="24"/>
        </w:rPr>
      </w:pPr>
    </w:p>
    <w:p w:rsidR="00EB2417" w:rsidRPr="00A81E46" w:rsidP="00DC7566" w14:paraId="7BCFED8D" w14:textId="67042094">
      <w:pPr>
        <w:pStyle w:val="Footer"/>
        <w:tabs>
          <w:tab w:val="left" w:pos="4320"/>
          <w:tab w:val="clear" w:pos="8640"/>
        </w:tabs>
        <w:spacing w:line="480" w:lineRule="auto"/>
        <w:rPr>
          <w:sz w:val="24"/>
          <w:szCs w:val="24"/>
        </w:rPr>
      </w:pPr>
      <w:r w:rsidRPr="00A81E46">
        <w:rPr>
          <w:sz w:val="24"/>
          <w:szCs w:val="24"/>
        </w:rPr>
        <w:t>Again, the</w:t>
      </w:r>
      <w:r w:rsidRPr="00A81E46" w:rsidR="00DC7566">
        <w:rPr>
          <w:sz w:val="24"/>
          <w:szCs w:val="24"/>
        </w:rPr>
        <w:t xml:space="preserve"> FirstEnergy </w:t>
      </w:r>
      <w:r w:rsidRPr="00A81E46" w:rsidR="007744A4">
        <w:rPr>
          <w:sz w:val="24"/>
          <w:szCs w:val="24"/>
        </w:rPr>
        <w:t>U</w:t>
      </w:r>
      <w:r w:rsidRPr="00A81E46" w:rsidR="00DC7566">
        <w:rPr>
          <w:sz w:val="24"/>
          <w:szCs w:val="24"/>
        </w:rPr>
        <w:t xml:space="preserve">tilities are “public utilities” within the PUCO’s scope of jurisdiction under R.C. 4905.05 and FirstEnergy Corp. is among the “other companies referred to in section 4905.05 </w:t>
      </w:r>
      <w:r w:rsidRPr="00A81E46" w:rsidR="003D602F">
        <w:rPr>
          <w:sz w:val="24"/>
          <w:szCs w:val="24"/>
        </w:rPr>
        <w:t>***</w:t>
      </w:r>
      <w:r w:rsidRPr="00A81E46" w:rsidR="00DC7566">
        <w:rPr>
          <w:sz w:val="24"/>
          <w:szCs w:val="24"/>
        </w:rPr>
        <w:t xml:space="preserve">.” </w:t>
      </w:r>
      <w:r w:rsidRPr="00A81E46" w:rsidR="001E29D2">
        <w:rPr>
          <w:sz w:val="24"/>
          <w:szCs w:val="24"/>
        </w:rPr>
        <w:t xml:space="preserve"> And the PUCO also has authority under R.C. 4909.154 to consider the management policies, practices and organization of FirstEnergy utilities.  </w:t>
      </w:r>
    </w:p>
    <w:p w:rsidR="000A4D4C" w:rsidRPr="00A81E46" w:rsidP="00EB2417" w14:paraId="0261C63E" w14:textId="6A2666B9">
      <w:pPr>
        <w:pStyle w:val="Footer"/>
        <w:tabs>
          <w:tab w:val="left" w:pos="4320"/>
          <w:tab w:val="clear" w:pos="8640"/>
        </w:tabs>
        <w:spacing w:line="480" w:lineRule="auto"/>
        <w:ind w:firstLine="720"/>
        <w:rPr>
          <w:sz w:val="24"/>
          <w:szCs w:val="24"/>
        </w:rPr>
      </w:pPr>
      <w:r w:rsidRPr="00A81E46">
        <w:rPr>
          <w:sz w:val="24"/>
          <w:szCs w:val="24"/>
        </w:rPr>
        <w:t>Thus, the PUCO, as a creat</w:t>
      </w:r>
      <w:r w:rsidRPr="00A81E46" w:rsidR="007744A4">
        <w:rPr>
          <w:sz w:val="24"/>
          <w:szCs w:val="24"/>
        </w:rPr>
        <w:t>ur</w:t>
      </w:r>
      <w:r w:rsidRPr="00A81E46">
        <w:rPr>
          <w:sz w:val="24"/>
          <w:szCs w:val="24"/>
        </w:rPr>
        <w:t>e of statute, has authority</w:t>
      </w:r>
      <w:r w:rsidRPr="00A81E46" w:rsidR="00F72EBF">
        <w:rPr>
          <w:sz w:val="24"/>
          <w:szCs w:val="24"/>
        </w:rPr>
        <w:t xml:space="preserve"> to</w:t>
      </w:r>
      <w:r w:rsidRPr="00A81E46">
        <w:rPr>
          <w:sz w:val="24"/>
          <w:szCs w:val="24"/>
        </w:rPr>
        <w:t xml:space="preserve"> examine both FirstEnergy and FirstEnergy Corp. </w:t>
      </w:r>
      <w:r w:rsidRPr="00A81E46" w:rsidR="000319F8">
        <w:rPr>
          <w:sz w:val="24"/>
          <w:szCs w:val="24"/>
        </w:rPr>
        <w:t xml:space="preserve">The PUCO may “examine such public utilities” with respect to “their compliance with all laws [and], orders of the commission.”  And the PUCO may “examine such companies” </w:t>
      </w:r>
      <w:r w:rsidRPr="00A81E46" w:rsidR="00EB2417">
        <w:rPr>
          <w:sz w:val="24"/>
          <w:szCs w:val="24"/>
        </w:rPr>
        <w:t xml:space="preserve">(FirstEnergy Corp.) </w:t>
      </w:r>
      <w:r w:rsidRPr="00A81E46" w:rsidR="000319F8">
        <w:rPr>
          <w:sz w:val="24"/>
          <w:szCs w:val="24"/>
        </w:rPr>
        <w:t>with respect to “their compliance with all laws and orders of the commission, insofar as any of such matters may relate to the costs associated with the provision of electric utility service by</w:t>
      </w:r>
      <w:r w:rsidRPr="00A81E46" w:rsidR="003D602F">
        <w:rPr>
          <w:sz w:val="24"/>
          <w:szCs w:val="24"/>
        </w:rPr>
        <w:t xml:space="preserve"> public utilities in this state which are affiliated or associated with such companies.”  These laws expressly allow the PUCO to examine whether the</w:t>
      </w:r>
      <w:r w:rsidRPr="00A81E46">
        <w:rPr>
          <w:sz w:val="24"/>
          <w:szCs w:val="24"/>
        </w:rPr>
        <w:t xml:space="preserve"> “costs associated with the provision of electric utility service” to Ohio consumers were used directly or indirectly to fund activities to support H</w:t>
      </w:r>
      <w:r w:rsidRPr="00A81E46" w:rsidR="007744A4">
        <w:rPr>
          <w:sz w:val="24"/>
          <w:szCs w:val="24"/>
        </w:rPr>
        <w:t xml:space="preserve">ouse </w:t>
      </w:r>
      <w:r w:rsidRPr="00A81E46">
        <w:rPr>
          <w:sz w:val="24"/>
          <w:szCs w:val="24"/>
        </w:rPr>
        <w:t>B</w:t>
      </w:r>
      <w:r w:rsidRPr="00A81E46" w:rsidR="007744A4">
        <w:rPr>
          <w:sz w:val="24"/>
          <w:szCs w:val="24"/>
        </w:rPr>
        <w:t xml:space="preserve">ill </w:t>
      </w:r>
      <w:r w:rsidRPr="00A81E46">
        <w:rPr>
          <w:sz w:val="24"/>
          <w:szCs w:val="24"/>
        </w:rPr>
        <w:t>6 or to prevent a referendum on H</w:t>
      </w:r>
      <w:r w:rsidRPr="00A81E46" w:rsidR="007744A4">
        <w:rPr>
          <w:sz w:val="24"/>
          <w:szCs w:val="24"/>
        </w:rPr>
        <w:t xml:space="preserve">ouse </w:t>
      </w:r>
      <w:r w:rsidRPr="00A81E46">
        <w:rPr>
          <w:sz w:val="24"/>
          <w:szCs w:val="24"/>
        </w:rPr>
        <w:t>B</w:t>
      </w:r>
      <w:r w:rsidRPr="00A81E46" w:rsidR="007744A4">
        <w:rPr>
          <w:sz w:val="24"/>
          <w:szCs w:val="24"/>
        </w:rPr>
        <w:t>ill</w:t>
      </w:r>
      <w:r w:rsidRPr="00A81E46">
        <w:rPr>
          <w:sz w:val="24"/>
          <w:szCs w:val="24"/>
        </w:rPr>
        <w:t xml:space="preserve"> 6.</w:t>
      </w:r>
    </w:p>
    <w:p w:rsidR="00B84152" w:rsidRPr="00A81E46" w:rsidP="00E37AB7" w14:paraId="4ECC05D4" w14:textId="70FB1C77">
      <w:pPr>
        <w:pStyle w:val="Heading2"/>
        <w:rPr>
          <w:rFonts w:ascii="Times New Roman" w:hAnsi="Times New Roman" w:cs="Times New Roman"/>
          <w:b w:val="0"/>
          <w:bCs/>
          <w:szCs w:val="24"/>
        </w:rPr>
      </w:pPr>
      <w:bookmarkStart w:id="4" w:name="_Toc52376364"/>
      <w:r w:rsidRPr="00A81E46">
        <w:rPr>
          <w:rFonts w:ascii="Times New Roman" w:hAnsi="Times New Roman" w:cs="Times New Roman"/>
          <w:szCs w:val="24"/>
        </w:rPr>
        <w:t>B.</w:t>
      </w:r>
      <w:r w:rsidRPr="00A81E46">
        <w:rPr>
          <w:rFonts w:ascii="Times New Roman" w:hAnsi="Times New Roman" w:cs="Times New Roman"/>
          <w:szCs w:val="24"/>
        </w:rPr>
        <w:tab/>
        <w:t xml:space="preserve">The PUCO has jurisdiction to examine utilities’ compliance with law and PUCO orders without </w:t>
      </w:r>
      <w:r w:rsidRPr="00A81E46" w:rsidR="007A1781">
        <w:rPr>
          <w:rFonts w:ascii="Times New Roman" w:hAnsi="Times New Roman" w:cs="Times New Roman"/>
          <w:szCs w:val="24"/>
        </w:rPr>
        <w:t>requiring evidence of a violation</w:t>
      </w:r>
      <w:r w:rsidRPr="00A81E46" w:rsidR="005B3180">
        <w:rPr>
          <w:rFonts w:ascii="Times New Roman" w:hAnsi="Times New Roman" w:cs="Times New Roman"/>
          <w:szCs w:val="24"/>
        </w:rPr>
        <w:t>.</w:t>
      </w:r>
      <w:bookmarkEnd w:id="4"/>
      <w:r w:rsidRPr="00A81E46" w:rsidR="007A1781">
        <w:rPr>
          <w:rFonts w:ascii="Times New Roman" w:hAnsi="Times New Roman" w:cs="Times New Roman"/>
          <w:bCs/>
          <w:szCs w:val="24"/>
        </w:rPr>
        <w:t xml:space="preserve"> </w:t>
      </w:r>
    </w:p>
    <w:p w:rsidR="00EB2F17" w:rsidRPr="00A81E46" w:rsidP="004B033E" w14:paraId="6F7374AD" w14:textId="5E3FC768">
      <w:pPr>
        <w:pStyle w:val="Footer"/>
        <w:tabs>
          <w:tab w:val="clear" w:pos="4320"/>
          <w:tab w:val="clear" w:pos="8640"/>
        </w:tabs>
        <w:spacing w:line="480" w:lineRule="auto"/>
        <w:ind w:firstLine="720"/>
        <w:rPr>
          <w:b/>
          <w:bCs/>
          <w:sz w:val="24"/>
          <w:szCs w:val="24"/>
        </w:rPr>
      </w:pPr>
      <w:r w:rsidRPr="00A81E46">
        <w:rPr>
          <w:sz w:val="24"/>
          <w:szCs w:val="24"/>
        </w:rPr>
        <w:t>FirstEnergy</w:t>
      </w:r>
      <w:r w:rsidRPr="00A81E46" w:rsidR="003D602F">
        <w:rPr>
          <w:sz w:val="24"/>
          <w:szCs w:val="24"/>
        </w:rPr>
        <w:t xml:space="preserve"> </w:t>
      </w:r>
      <w:r w:rsidRPr="00A81E46" w:rsidR="00EB2417">
        <w:rPr>
          <w:sz w:val="24"/>
          <w:szCs w:val="24"/>
        </w:rPr>
        <w:t xml:space="preserve">Utilities </w:t>
      </w:r>
      <w:r w:rsidRPr="00A81E46" w:rsidR="003D602F">
        <w:rPr>
          <w:sz w:val="24"/>
          <w:szCs w:val="24"/>
        </w:rPr>
        <w:t xml:space="preserve">also allege that the PUCO </w:t>
      </w:r>
      <w:r w:rsidRPr="00A81E46">
        <w:rPr>
          <w:sz w:val="24"/>
          <w:szCs w:val="24"/>
        </w:rPr>
        <w:t>does not have jurisdiction to investigate the</w:t>
      </w:r>
      <w:r w:rsidRPr="00A81E46" w:rsidR="00EB2417">
        <w:rPr>
          <w:sz w:val="24"/>
          <w:szCs w:val="24"/>
        </w:rPr>
        <w:t>m</w:t>
      </w:r>
      <w:r w:rsidRPr="00A81E46">
        <w:rPr>
          <w:sz w:val="24"/>
          <w:szCs w:val="24"/>
        </w:rPr>
        <w:t>.</w:t>
      </w:r>
      <w:r>
        <w:rPr>
          <w:rStyle w:val="FootnoteReference"/>
          <w:sz w:val="24"/>
          <w:szCs w:val="24"/>
        </w:rPr>
        <w:footnoteReference w:id="9"/>
      </w:r>
      <w:r w:rsidRPr="00A81E46">
        <w:rPr>
          <w:sz w:val="24"/>
          <w:szCs w:val="24"/>
        </w:rPr>
        <w:t xml:space="preserve"> </w:t>
      </w:r>
      <w:r w:rsidRPr="00A81E46" w:rsidR="00EB2417">
        <w:rPr>
          <w:sz w:val="24"/>
          <w:szCs w:val="24"/>
        </w:rPr>
        <w:t xml:space="preserve"> They </w:t>
      </w:r>
      <w:r w:rsidRPr="00A81E46" w:rsidR="003D602F">
        <w:rPr>
          <w:sz w:val="24"/>
          <w:szCs w:val="24"/>
        </w:rPr>
        <w:t xml:space="preserve">seem to believe that </w:t>
      </w:r>
      <w:r w:rsidRPr="00A81E46" w:rsidR="00B75D9D">
        <w:rPr>
          <w:sz w:val="24"/>
          <w:szCs w:val="24"/>
        </w:rPr>
        <w:t xml:space="preserve">there must be </w:t>
      </w:r>
      <w:r w:rsidRPr="00A81E46" w:rsidR="00427CE0">
        <w:rPr>
          <w:sz w:val="24"/>
          <w:szCs w:val="24"/>
        </w:rPr>
        <w:t>e</w:t>
      </w:r>
      <w:r w:rsidRPr="00A81E46" w:rsidR="003D602F">
        <w:rPr>
          <w:sz w:val="24"/>
          <w:szCs w:val="24"/>
        </w:rPr>
        <w:t>vidence that an Ohio utility law or PUCO order has been violated before the PUC</w:t>
      </w:r>
      <w:r w:rsidRPr="00A81E46" w:rsidR="005B3180">
        <w:rPr>
          <w:sz w:val="24"/>
          <w:szCs w:val="24"/>
        </w:rPr>
        <w:t>O</w:t>
      </w:r>
      <w:r w:rsidRPr="00A81E46" w:rsidR="003D602F">
        <w:rPr>
          <w:sz w:val="24"/>
          <w:szCs w:val="24"/>
        </w:rPr>
        <w:t xml:space="preserve"> can examine the issue. </w:t>
      </w:r>
      <w:r w:rsidRPr="00A81E46">
        <w:rPr>
          <w:sz w:val="24"/>
          <w:szCs w:val="24"/>
        </w:rPr>
        <w:t xml:space="preserve">This is an odd argument, </w:t>
      </w:r>
      <w:r w:rsidRPr="00A81E46" w:rsidR="003D602F">
        <w:rPr>
          <w:sz w:val="24"/>
          <w:szCs w:val="24"/>
        </w:rPr>
        <w:t xml:space="preserve">especially given that </w:t>
      </w:r>
      <w:r w:rsidRPr="00A81E46">
        <w:rPr>
          <w:sz w:val="24"/>
          <w:szCs w:val="24"/>
        </w:rPr>
        <w:t xml:space="preserve">the PUCO just asserted jurisdiction over FirstEnergy </w:t>
      </w:r>
      <w:r w:rsidRPr="00A81E46" w:rsidR="00EB2417">
        <w:rPr>
          <w:sz w:val="24"/>
          <w:szCs w:val="24"/>
        </w:rPr>
        <w:t xml:space="preserve">Utilities </w:t>
      </w:r>
      <w:r w:rsidRPr="00A81E46">
        <w:rPr>
          <w:sz w:val="24"/>
          <w:szCs w:val="24"/>
        </w:rPr>
        <w:t xml:space="preserve">by </w:t>
      </w:r>
      <w:r w:rsidRPr="00A81E46" w:rsidR="003D602F">
        <w:rPr>
          <w:sz w:val="24"/>
          <w:szCs w:val="24"/>
        </w:rPr>
        <w:t xml:space="preserve">opening a case (docketed as </w:t>
      </w:r>
      <w:r w:rsidRPr="00A81E46">
        <w:rPr>
          <w:sz w:val="24"/>
          <w:szCs w:val="24"/>
        </w:rPr>
        <w:t xml:space="preserve"> 20-1502-EL-UNC</w:t>
      </w:r>
      <w:r w:rsidRPr="00A81E46" w:rsidR="003D602F">
        <w:rPr>
          <w:sz w:val="24"/>
          <w:szCs w:val="24"/>
        </w:rPr>
        <w:t xml:space="preserve">) </w:t>
      </w:r>
      <w:r w:rsidRPr="00A81E46">
        <w:rPr>
          <w:sz w:val="24"/>
          <w:szCs w:val="24"/>
        </w:rPr>
        <w:t xml:space="preserve">and directing FirstEnergy </w:t>
      </w:r>
      <w:r w:rsidRPr="00A81E46" w:rsidR="00EB2417">
        <w:rPr>
          <w:sz w:val="24"/>
          <w:szCs w:val="24"/>
        </w:rPr>
        <w:t xml:space="preserve">Utilities </w:t>
      </w:r>
      <w:r w:rsidRPr="00A81E46">
        <w:rPr>
          <w:sz w:val="24"/>
          <w:szCs w:val="24"/>
        </w:rPr>
        <w:t>to show cause that political and charitable contributions related to H</w:t>
      </w:r>
      <w:r w:rsidRPr="00A81E46" w:rsidR="00B75D9D">
        <w:rPr>
          <w:sz w:val="24"/>
          <w:szCs w:val="24"/>
        </w:rPr>
        <w:t xml:space="preserve">ouse Bill 6 </w:t>
      </w:r>
      <w:r w:rsidRPr="00A81E46">
        <w:rPr>
          <w:sz w:val="24"/>
          <w:szCs w:val="24"/>
        </w:rPr>
        <w:t xml:space="preserve">were not </w:t>
      </w:r>
      <w:r w:rsidRPr="00A81E46" w:rsidR="00B75D9D">
        <w:rPr>
          <w:sz w:val="24"/>
          <w:szCs w:val="24"/>
        </w:rPr>
        <w:t xml:space="preserve">directly or indirectly </w:t>
      </w:r>
      <w:r w:rsidRPr="00A81E46">
        <w:rPr>
          <w:sz w:val="24"/>
          <w:szCs w:val="24"/>
        </w:rPr>
        <w:t>funded by customer</w:t>
      </w:r>
      <w:r w:rsidRPr="00A81E46" w:rsidR="00B75D9D">
        <w:rPr>
          <w:sz w:val="24"/>
          <w:szCs w:val="24"/>
        </w:rPr>
        <w:t>s.</w:t>
      </w:r>
      <w:r w:rsidRPr="00A81E46">
        <w:rPr>
          <w:sz w:val="24"/>
          <w:szCs w:val="24"/>
        </w:rPr>
        <w:t xml:space="preserve"> If FirstEnergy </w:t>
      </w:r>
      <w:r w:rsidRPr="00A81E46" w:rsidR="00EB2417">
        <w:rPr>
          <w:sz w:val="24"/>
          <w:szCs w:val="24"/>
        </w:rPr>
        <w:t xml:space="preserve">Utilities </w:t>
      </w:r>
      <w:r w:rsidRPr="00A81E46">
        <w:rPr>
          <w:sz w:val="24"/>
          <w:szCs w:val="24"/>
        </w:rPr>
        <w:t xml:space="preserve">believed that the PUCO lacked jurisdiction, </w:t>
      </w:r>
      <w:r w:rsidRPr="00A81E46" w:rsidR="00EB2417">
        <w:rPr>
          <w:sz w:val="24"/>
          <w:szCs w:val="24"/>
        </w:rPr>
        <w:t xml:space="preserve">they </w:t>
      </w:r>
      <w:r w:rsidRPr="00A81E46" w:rsidR="005526CD">
        <w:rPr>
          <w:sz w:val="24"/>
          <w:szCs w:val="24"/>
        </w:rPr>
        <w:t>sh</w:t>
      </w:r>
      <w:r w:rsidRPr="00A81E46">
        <w:rPr>
          <w:sz w:val="24"/>
          <w:szCs w:val="24"/>
        </w:rPr>
        <w:t xml:space="preserve">ould have challenged the Entry by filing an Interlocutory Appeal. But </w:t>
      </w:r>
      <w:r w:rsidRPr="00A81E46" w:rsidR="00EB2417">
        <w:rPr>
          <w:sz w:val="24"/>
          <w:szCs w:val="24"/>
        </w:rPr>
        <w:t>they</w:t>
      </w:r>
      <w:r w:rsidRPr="00A81E46">
        <w:rPr>
          <w:sz w:val="24"/>
          <w:szCs w:val="24"/>
        </w:rPr>
        <w:t xml:space="preserve"> did not</w:t>
      </w:r>
      <w:r w:rsidRPr="00A81E46" w:rsidR="00EB2417">
        <w:rPr>
          <w:sz w:val="24"/>
          <w:szCs w:val="24"/>
        </w:rPr>
        <w:t>.</w:t>
      </w:r>
    </w:p>
    <w:p w:rsidR="00B75D9D" w:rsidRPr="00A81E46" w:rsidP="005B3180" w14:paraId="672EAEFD" w14:textId="54A79CC7">
      <w:pPr>
        <w:pStyle w:val="Footer"/>
        <w:tabs>
          <w:tab w:val="left" w:pos="4320"/>
          <w:tab w:val="clear" w:pos="8640"/>
        </w:tabs>
        <w:spacing w:line="480" w:lineRule="auto"/>
        <w:ind w:firstLine="720"/>
        <w:rPr>
          <w:sz w:val="24"/>
          <w:szCs w:val="24"/>
        </w:rPr>
      </w:pPr>
      <w:r w:rsidRPr="00A81E46">
        <w:rPr>
          <w:sz w:val="24"/>
          <w:szCs w:val="24"/>
        </w:rPr>
        <w:t xml:space="preserve">And FirstEnergy </w:t>
      </w:r>
      <w:r w:rsidRPr="00A81E46" w:rsidR="00EB2417">
        <w:rPr>
          <w:sz w:val="24"/>
          <w:szCs w:val="24"/>
        </w:rPr>
        <w:t xml:space="preserve">Utilities </w:t>
      </w:r>
      <w:r w:rsidRPr="00A81E46">
        <w:rPr>
          <w:sz w:val="24"/>
          <w:szCs w:val="24"/>
        </w:rPr>
        <w:t xml:space="preserve">ignore the evidence that currently exists in the distribution modernization docket that </w:t>
      </w:r>
      <w:r w:rsidRPr="00A81E46" w:rsidR="00EB2417">
        <w:rPr>
          <w:sz w:val="24"/>
          <w:szCs w:val="24"/>
        </w:rPr>
        <w:t xml:space="preserve">they </w:t>
      </w:r>
      <w:r w:rsidRPr="00A81E46">
        <w:rPr>
          <w:sz w:val="24"/>
          <w:szCs w:val="24"/>
        </w:rPr>
        <w:t xml:space="preserve">may have violated a PUCO Order when </w:t>
      </w:r>
      <w:r w:rsidRPr="00A81E46" w:rsidR="00EB2417">
        <w:rPr>
          <w:sz w:val="24"/>
          <w:szCs w:val="24"/>
        </w:rPr>
        <w:t xml:space="preserve">they </w:t>
      </w:r>
      <w:r w:rsidRPr="00A81E46">
        <w:rPr>
          <w:sz w:val="24"/>
          <w:szCs w:val="24"/>
        </w:rPr>
        <w:t xml:space="preserve">used modernization funds collected from customers for dividends </w:t>
      </w:r>
      <w:r w:rsidRPr="00A81E46" w:rsidR="00427CE0">
        <w:rPr>
          <w:sz w:val="24"/>
          <w:szCs w:val="24"/>
        </w:rPr>
        <w:t xml:space="preserve">or </w:t>
      </w:r>
      <w:r w:rsidRPr="00A81E46">
        <w:rPr>
          <w:sz w:val="24"/>
          <w:szCs w:val="24"/>
        </w:rPr>
        <w:t xml:space="preserve">allowed other non-Ohio </w:t>
      </w:r>
      <w:r w:rsidRPr="00A81E46" w:rsidR="00EB2417">
        <w:rPr>
          <w:sz w:val="24"/>
          <w:szCs w:val="24"/>
        </w:rPr>
        <w:t xml:space="preserve">affiliates </w:t>
      </w:r>
      <w:r w:rsidRPr="00A81E46">
        <w:rPr>
          <w:sz w:val="24"/>
          <w:szCs w:val="24"/>
        </w:rPr>
        <w:t>to borrow the funds from the regulated money pool.</w:t>
      </w:r>
      <w:r>
        <w:rPr>
          <w:rStyle w:val="FootnoteReference"/>
          <w:sz w:val="24"/>
          <w:szCs w:val="24"/>
        </w:rPr>
        <w:footnoteReference w:id="10"/>
      </w:r>
      <w:r w:rsidRPr="00A81E46">
        <w:rPr>
          <w:sz w:val="24"/>
          <w:szCs w:val="24"/>
        </w:rPr>
        <w:t xml:space="preserve"> </w:t>
      </w:r>
      <w:r w:rsidRPr="00A81E46" w:rsidR="00427CE0">
        <w:rPr>
          <w:sz w:val="24"/>
          <w:szCs w:val="24"/>
        </w:rPr>
        <w:t>T</w:t>
      </w:r>
      <w:r w:rsidRPr="00A81E46">
        <w:rPr>
          <w:sz w:val="24"/>
          <w:szCs w:val="24"/>
        </w:rPr>
        <w:t>he allegations in the criminal complaint about illegal payments made by FirstEnergy Corp., and/or FirstEnergy Service Co.</w:t>
      </w:r>
      <w:r w:rsidRPr="00A81E46" w:rsidR="00427CE0">
        <w:rPr>
          <w:sz w:val="24"/>
          <w:szCs w:val="24"/>
        </w:rPr>
        <w:t xml:space="preserve"> also raise the question of whether the distribution modernization funds were used as part of the</w:t>
      </w:r>
      <w:r w:rsidRPr="00A81E46" w:rsidR="00F50663">
        <w:rPr>
          <w:sz w:val="24"/>
          <w:szCs w:val="24"/>
        </w:rPr>
        <w:t xml:space="preserve"> alleged</w:t>
      </w:r>
      <w:r w:rsidRPr="00A81E46" w:rsidR="00427CE0">
        <w:rPr>
          <w:sz w:val="24"/>
          <w:szCs w:val="24"/>
        </w:rPr>
        <w:t xml:space="preserve"> bribery scheme. </w:t>
      </w:r>
      <w:r w:rsidRPr="00A81E46">
        <w:rPr>
          <w:sz w:val="24"/>
          <w:szCs w:val="24"/>
        </w:rPr>
        <w:t xml:space="preserve"> </w:t>
      </w:r>
    </w:p>
    <w:p w:rsidR="005B3180" w:rsidRPr="00A81E46" w:rsidP="00427CE0" w14:paraId="5068C362" w14:textId="5C3443A1">
      <w:pPr>
        <w:pStyle w:val="Footer"/>
        <w:tabs>
          <w:tab w:val="left" w:pos="4320"/>
          <w:tab w:val="clear" w:pos="8640"/>
        </w:tabs>
        <w:spacing w:line="480" w:lineRule="auto"/>
        <w:ind w:firstLine="720"/>
        <w:rPr>
          <w:sz w:val="24"/>
          <w:szCs w:val="24"/>
        </w:rPr>
      </w:pPr>
      <w:r w:rsidRPr="00A81E46">
        <w:rPr>
          <w:sz w:val="24"/>
          <w:szCs w:val="24"/>
        </w:rPr>
        <w:t>And</w:t>
      </w:r>
      <w:r w:rsidRPr="00A81E46" w:rsidR="00427CE0">
        <w:rPr>
          <w:sz w:val="24"/>
          <w:szCs w:val="24"/>
        </w:rPr>
        <w:t>,</w:t>
      </w:r>
      <w:r w:rsidRPr="00A81E46">
        <w:rPr>
          <w:sz w:val="24"/>
          <w:szCs w:val="24"/>
        </w:rPr>
        <w:t xml:space="preserve"> of course</w:t>
      </w:r>
      <w:r w:rsidRPr="00A81E46" w:rsidR="00427CE0">
        <w:rPr>
          <w:sz w:val="24"/>
          <w:szCs w:val="24"/>
        </w:rPr>
        <w:t>,</w:t>
      </w:r>
      <w:r w:rsidRPr="00A81E46">
        <w:rPr>
          <w:sz w:val="24"/>
          <w:szCs w:val="24"/>
        </w:rPr>
        <w:t xml:space="preserve"> there is more.  There are various organizations conducting investigations, in addition to what apparently is the ongoing federal criminal investigation. There is a recently announced investigation by the Securities and Exchange Commission. </w:t>
      </w:r>
      <w:r w:rsidRPr="00A81E46" w:rsidR="00EB2417">
        <w:rPr>
          <w:sz w:val="24"/>
          <w:szCs w:val="24"/>
        </w:rPr>
        <w:t xml:space="preserve">There is an internal investigation by </w:t>
      </w:r>
      <w:r w:rsidRPr="00A81E46">
        <w:rPr>
          <w:sz w:val="24"/>
          <w:szCs w:val="24"/>
        </w:rPr>
        <w:t>FirstEnergy, “at the direction of the independent members of its Board of Directors</w:t>
      </w:r>
      <w:r w:rsidRPr="00A81E46" w:rsidR="00EB2417">
        <w:rPr>
          <w:sz w:val="24"/>
          <w:szCs w:val="24"/>
        </w:rPr>
        <w:t>.”</w:t>
      </w:r>
      <w:r w:rsidRPr="00A81E46" w:rsidR="00AF3ABE">
        <w:rPr>
          <w:rStyle w:val="FootnoteReference"/>
          <w:sz w:val="24"/>
          <w:szCs w:val="24"/>
        </w:rPr>
        <w:t xml:space="preserve"> </w:t>
      </w:r>
      <w:r>
        <w:rPr>
          <w:rStyle w:val="FootnoteReference"/>
          <w:sz w:val="24"/>
          <w:szCs w:val="24"/>
        </w:rPr>
        <w:footnoteReference w:id="11"/>
      </w:r>
      <w:r w:rsidRPr="00A81E46">
        <w:rPr>
          <w:sz w:val="24"/>
          <w:szCs w:val="24"/>
        </w:rPr>
        <w:t xml:space="preserve"> There are shareholder lawsuits. But those investigations are for different purposes than a PUCO investigation for protection of FirstEnergy</w:t>
      </w:r>
      <w:r w:rsidRPr="00A81E46" w:rsidR="00D557AC">
        <w:rPr>
          <w:sz w:val="24"/>
          <w:szCs w:val="24"/>
        </w:rPr>
        <w:t xml:space="preserve"> Utilities’</w:t>
      </w:r>
      <w:r w:rsidRPr="00A81E46">
        <w:rPr>
          <w:sz w:val="24"/>
          <w:szCs w:val="24"/>
        </w:rPr>
        <w:t xml:space="preserve"> electric consumers.</w:t>
      </w:r>
    </w:p>
    <w:p w:rsidR="00427CE0" w:rsidRPr="00A81E46" w:rsidP="00427CE0" w14:paraId="6E7A0224" w14:textId="729EB91C">
      <w:pPr>
        <w:pStyle w:val="Footer"/>
        <w:tabs>
          <w:tab w:val="left" w:pos="4320"/>
          <w:tab w:val="clear" w:pos="8640"/>
        </w:tabs>
        <w:spacing w:line="480" w:lineRule="auto"/>
        <w:ind w:firstLine="720"/>
        <w:rPr>
          <w:sz w:val="24"/>
          <w:szCs w:val="24"/>
        </w:rPr>
      </w:pPr>
      <w:r w:rsidRPr="00A81E46">
        <w:rPr>
          <w:sz w:val="24"/>
          <w:szCs w:val="24"/>
        </w:rPr>
        <w:t>In addition, o</w:t>
      </w:r>
      <w:r w:rsidRPr="00A81E46" w:rsidR="00B75D9D">
        <w:rPr>
          <w:sz w:val="24"/>
          <w:szCs w:val="24"/>
        </w:rPr>
        <w:t>n September 23, 2020</w:t>
      </w:r>
      <w:r w:rsidRPr="00A81E46" w:rsidR="000354F3">
        <w:rPr>
          <w:sz w:val="24"/>
          <w:szCs w:val="24"/>
        </w:rPr>
        <w:t>,</w:t>
      </w:r>
      <w:r w:rsidRPr="00A81E46" w:rsidR="00B75D9D">
        <w:rPr>
          <w:sz w:val="24"/>
          <w:szCs w:val="24"/>
        </w:rPr>
        <w:t xml:space="preserve"> the State of Ohio filed a lawsuit against what the Ohio Attorney General refers to as the “Unholy Alliance” of actors including FirstEnergy Corp., FirstEnergy Solutions, FirstEnergy Service Company, Energy Harbor, </w:t>
      </w:r>
      <w:r w:rsidRPr="00A81E46">
        <w:rPr>
          <w:sz w:val="24"/>
          <w:szCs w:val="24"/>
        </w:rPr>
        <w:t xml:space="preserve">the </w:t>
      </w:r>
      <w:r w:rsidRPr="00A81E46" w:rsidR="00B75D9D">
        <w:rPr>
          <w:sz w:val="24"/>
          <w:szCs w:val="24"/>
        </w:rPr>
        <w:t xml:space="preserve">former </w:t>
      </w:r>
      <w:r w:rsidRPr="00A81E46">
        <w:rPr>
          <w:sz w:val="24"/>
          <w:szCs w:val="24"/>
        </w:rPr>
        <w:t xml:space="preserve">Ohio </w:t>
      </w:r>
      <w:r w:rsidRPr="00A81E46" w:rsidR="00B75D9D">
        <w:rPr>
          <w:sz w:val="24"/>
          <w:szCs w:val="24"/>
        </w:rPr>
        <w:t>House Speaker and his associate</w:t>
      </w:r>
      <w:r w:rsidRPr="00A81E46" w:rsidR="00D557AC">
        <w:rPr>
          <w:sz w:val="24"/>
          <w:szCs w:val="24"/>
        </w:rPr>
        <w:t>s</w:t>
      </w:r>
      <w:r w:rsidRPr="00A81E46" w:rsidR="00B75D9D">
        <w:rPr>
          <w:sz w:val="24"/>
          <w:szCs w:val="24"/>
        </w:rPr>
        <w:t xml:space="preserve"> and Generation Now.</w:t>
      </w:r>
      <w:r>
        <w:rPr>
          <w:rStyle w:val="FootnoteReference"/>
          <w:sz w:val="24"/>
          <w:szCs w:val="24"/>
        </w:rPr>
        <w:footnoteReference w:id="12"/>
      </w:r>
      <w:r w:rsidRPr="00A81E46" w:rsidR="00B75D9D">
        <w:rPr>
          <w:sz w:val="24"/>
          <w:szCs w:val="24"/>
        </w:rPr>
        <w:t xml:space="preserve"> The complaint claims that FirstEnergy Corp. and the Unholy Alliance engaged in corrupt activities</w:t>
      </w:r>
      <w:r w:rsidRPr="00A81E46">
        <w:rPr>
          <w:sz w:val="24"/>
          <w:szCs w:val="24"/>
        </w:rPr>
        <w:t xml:space="preserve">, violating Ohio law, </w:t>
      </w:r>
      <w:r w:rsidRPr="00A81E46" w:rsidR="00B75D9D">
        <w:rPr>
          <w:sz w:val="24"/>
          <w:szCs w:val="24"/>
        </w:rPr>
        <w:t xml:space="preserve"> to support the enactment of H</w:t>
      </w:r>
      <w:r w:rsidRPr="00A81E46" w:rsidR="00D557AC">
        <w:rPr>
          <w:sz w:val="24"/>
          <w:szCs w:val="24"/>
        </w:rPr>
        <w:t xml:space="preserve">ouse </w:t>
      </w:r>
      <w:r w:rsidRPr="00A81E46" w:rsidR="00B75D9D">
        <w:rPr>
          <w:sz w:val="24"/>
          <w:szCs w:val="24"/>
        </w:rPr>
        <w:t>B</w:t>
      </w:r>
      <w:r w:rsidRPr="00A81E46" w:rsidR="00D557AC">
        <w:rPr>
          <w:sz w:val="24"/>
          <w:szCs w:val="24"/>
        </w:rPr>
        <w:t xml:space="preserve">ill </w:t>
      </w:r>
      <w:r w:rsidRPr="00A81E46" w:rsidR="00B75D9D">
        <w:rPr>
          <w:sz w:val="24"/>
          <w:szCs w:val="24"/>
        </w:rPr>
        <w:t>6. According to the complaint, these corrupt activities were “rooted in financial distress, political ambition, and greed.”</w:t>
      </w:r>
      <w:r>
        <w:rPr>
          <w:rStyle w:val="FootnoteReference"/>
          <w:sz w:val="24"/>
          <w:szCs w:val="24"/>
        </w:rPr>
        <w:footnoteReference w:id="13"/>
      </w:r>
      <w:r w:rsidRPr="00A81E46" w:rsidR="00B75D9D">
        <w:rPr>
          <w:sz w:val="24"/>
          <w:szCs w:val="24"/>
        </w:rPr>
        <w:t xml:space="preserve"> The complaint states the FirstEnergy’s and the Unholy Alliance’s corrupt activity “wounded” Ohio by, among other things, unlawfully taking $1.3 billion from Ohio’s residential electric customers and businesses.</w:t>
      </w:r>
      <w:r>
        <w:rPr>
          <w:rStyle w:val="FootnoteReference"/>
          <w:sz w:val="24"/>
          <w:szCs w:val="24"/>
        </w:rPr>
        <w:footnoteReference w:id="14"/>
      </w:r>
      <w:r w:rsidRPr="00A81E46" w:rsidR="00B75D9D">
        <w:rPr>
          <w:sz w:val="24"/>
          <w:szCs w:val="24"/>
        </w:rPr>
        <w:t xml:space="preserve">  </w:t>
      </w:r>
    </w:p>
    <w:p w:rsidR="00095439" w:rsidRPr="00A81E46" w:rsidP="0019508F" w14:paraId="6577B62E" w14:textId="5C426670">
      <w:pPr>
        <w:tabs>
          <w:tab w:val="left" w:pos="4320"/>
        </w:tabs>
        <w:spacing w:line="480" w:lineRule="auto"/>
        <w:ind w:firstLine="720"/>
        <w:rPr>
          <w:szCs w:val="24"/>
        </w:rPr>
      </w:pPr>
      <w:r w:rsidRPr="00A81E46">
        <w:rPr>
          <w:szCs w:val="24"/>
        </w:rPr>
        <w:t>To be sure, the $60 million FirstEnergy Corp. allegedly paid to secure the enactment and survival of H</w:t>
      </w:r>
      <w:r w:rsidRPr="00A81E46" w:rsidR="00D557AC">
        <w:rPr>
          <w:szCs w:val="24"/>
        </w:rPr>
        <w:t xml:space="preserve">ouse </w:t>
      </w:r>
      <w:r w:rsidRPr="00A81E46">
        <w:rPr>
          <w:szCs w:val="24"/>
        </w:rPr>
        <w:t>B</w:t>
      </w:r>
      <w:r w:rsidRPr="00A81E46" w:rsidR="00D557AC">
        <w:rPr>
          <w:szCs w:val="24"/>
        </w:rPr>
        <w:t>ill</w:t>
      </w:r>
      <w:r w:rsidRPr="00A81E46">
        <w:rPr>
          <w:szCs w:val="24"/>
        </w:rPr>
        <w:t xml:space="preserve"> 6 came from somewhere. </w:t>
      </w:r>
      <w:r w:rsidRPr="00A81E46" w:rsidR="000354F3">
        <w:rPr>
          <w:szCs w:val="24"/>
        </w:rPr>
        <w:t>As a utility</w:t>
      </w:r>
      <w:r w:rsidRPr="00A81E46" w:rsidR="00B674AE">
        <w:rPr>
          <w:szCs w:val="24"/>
        </w:rPr>
        <w:t xml:space="preserve"> and </w:t>
      </w:r>
      <w:r w:rsidRPr="00A81E46" w:rsidR="000354F3">
        <w:rPr>
          <w:szCs w:val="24"/>
        </w:rPr>
        <w:t>utility franchise holder</w:t>
      </w:r>
      <w:r w:rsidRPr="00A81E46" w:rsidR="00B674AE">
        <w:rPr>
          <w:szCs w:val="24"/>
        </w:rPr>
        <w:t xml:space="preserve"> for serving Ohioans</w:t>
      </w:r>
      <w:r w:rsidRPr="00A81E46" w:rsidR="000354F3">
        <w:rPr>
          <w:szCs w:val="24"/>
        </w:rPr>
        <w:t xml:space="preserve">, and </w:t>
      </w:r>
      <w:r w:rsidRPr="00A81E46" w:rsidR="00B674AE">
        <w:rPr>
          <w:szCs w:val="24"/>
        </w:rPr>
        <w:t xml:space="preserve">as a </w:t>
      </w:r>
      <w:r w:rsidRPr="00A81E46" w:rsidR="000354F3">
        <w:rPr>
          <w:szCs w:val="24"/>
        </w:rPr>
        <w:t xml:space="preserve">utility owner, </w:t>
      </w:r>
      <w:r w:rsidRPr="00A81E46">
        <w:rPr>
          <w:szCs w:val="24"/>
        </w:rPr>
        <w:t>FirstEnergy and FirstEnergy Corp. should be cooperat</w:t>
      </w:r>
      <w:r w:rsidRPr="00A81E46" w:rsidR="00B674AE">
        <w:rPr>
          <w:szCs w:val="24"/>
        </w:rPr>
        <w:t>ing</w:t>
      </w:r>
      <w:r w:rsidRPr="00A81E46">
        <w:rPr>
          <w:szCs w:val="24"/>
        </w:rPr>
        <w:t xml:space="preserve"> with </w:t>
      </w:r>
      <w:r w:rsidRPr="00A81E46" w:rsidR="00B674AE">
        <w:rPr>
          <w:szCs w:val="24"/>
        </w:rPr>
        <w:t>state officials in investigations of whether millions of utility</w:t>
      </w:r>
      <w:r w:rsidRPr="00A81E46">
        <w:rPr>
          <w:szCs w:val="24"/>
        </w:rPr>
        <w:t xml:space="preserve"> c</w:t>
      </w:r>
      <w:r w:rsidRPr="00A81E46" w:rsidR="0019508F">
        <w:rPr>
          <w:szCs w:val="24"/>
        </w:rPr>
        <w:t>u</w:t>
      </w:r>
      <w:r w:rsidRPr="00A81E46">
        <w:rPr>
          <w:szCs w:val="24"/>
        </w:rPr>
        <w:t>stomers were harmed.</w:t>
      </w:r>
    </w:p>
    <w:p w:rsidR="004B033E" w:rsidRPr="00A81E46" w:rsidP="00E37AB7" w14:paraId="3C04AF0B" w14:textId="711403DC">
      <w:pPr>
        <w:pStyle w:val="Heading2"/>
        <w:rPr>
          <w:rFonts w:ascii="Times New Roman" w:hAnsi="Times New Roman" w:cs="Times New Roman"/>
          <w:szCs w:val="24"/>
        </w:rPr>
      </w:pPr>
      <w:r w:rsidRPr="00A81E46">
        <w:rPr>
          <w:rFonts w:ascii="Times New Roman" w:hAnsi="Times New Roman" w:cs="Times New Roman"/>
          <w:szCs w:val="24"/>
        </w:rPr>
        <w:t xml:space="preserve"> </w:t>
      </w:r>
      <w:bookmarkStart w:id="5" w:name="_Toc52376365"/>
      <w:r w:rsidRPr="00A81E46" w:rsidR="00E37AB7">
        <w:rPr>
          <w:rFonts w:ascii="Times New Roman" w:hAnsi="Times New Roman" w:cs="Times New Roman"/>
          <w:szCs w:val="24"/>
        </w:rPr>
        <w:t>C.</w:t>
      </w:r>
      <w:r w:rsidRPr="00A81E46" w:rsidR="00E37AB7">
        <w:rPr>
          <w:rFonts w:ascii="Times New Roman" w:hAnsi="Times New Roman" w:cs="Times New Roman"/>
          <w:szCs w:val="24"/>
        </w:rPr>
        <w:tab/>
      </w:r>
      <w:r w:rsidRPr="00A81E46">
        <w:rPr>
          <w:rFonts w:ascii="Times New Roman" w:hAnsi="Times New Roman" w:cs="Times New Roman"/>
          <w:szCs w:val="24"/>
        </w:rPr>
        <w:t xml:space="preserve">The PUCO has jurisdiction to determine if customers were improperly made to pay for political and charitable contributions </w:t>
      </w:r>
      <w:r w:rsidRPr="00A81E46" w:rsidR="006D6D96">
        <w:rPr>
          <w:rFonts w:ascii="Times New Roman" w:hAnsi="Times New Roman" w:cs="Times New Roman"/>
          <w:szCs w:val="24"/>
        </w:rPr>
        <w:t>associated with House Bill 6 activities</w:t>
      </w:r>
      <w:r w:rsidRPr="00A81E46" w:rsidR="0019508F">
        <w:rPr>
          <w:rFonts w:ascii="Times New Roman" w:hAnsi="Times New Roman" w:cs="Times New Roman"/>
          <w:szCs w:val="24"/>
        </w:rPr>
        <w:t>.</w:t>
      </w:r>
      <w:bookmarkEnd w:id="5"/>
      <w:r w:rsidRPr="00A81E46">
        <w:rPr>
          <w:rFonts w:ascii="Times New Roman" w:hAnsi="Times New Roman" w:cs="Times New Roman"/>
          <w:szCs w:val="24"/>
        </w:rPr>
        <w:t xml:space="preserve"> </w:t>
      </w:r>
    </w:p>
    <w:p w:rsidR="007A1781" w:rsidRPr="00A81E46" w:rsidP="007A1781" w14:paraId="31324EBA" w14:textId="1BAB768E">
      <w:pPr>
        <w:pStyle w:val="Footer"/>
        <w:tabs>
          <w:tab w:val="left" w:pos="4320"/>
          <w:tab w:val="clear" w:pos="8640"/>
        </w:tabs>
        <w:spacing w:line="480" w:lineRule="auto"/>
        <w:ind w:firstLine="720"/>
        <w:rPr>
          <w:sz w:val="24"/>
          <w:szCs w:val="24"/>
        </w:rPr>
      </w:pPr>
      <w:r w:rsidRPr="00A81E46">
        <w:rPr>
          <w:sz w:val="24"/>
          <w:szCs w:val="24"/>
        </w:rPr>
        <w:t xml:space="preserve">Next, FirstEnergy argues that even if there were evidence that </w:t>
      </w:r>
      <w:r w:rsidRPr="00A81E46" w:rsidR="006D6D96">
        <w:rPr>
          <w:sz w:val="24"/>
          <w:szCs w:val="24"/>
        </w:rPr>
        <w:t xml:space="preserve">the “Companies” </w:t>
      </w:r>
      <w:r w:rsidRPr="00A81E46">
        <w:rPr>
          <w:sz w:val="24"/>
          <w:szCs w:val="24"/>
        </w:rPr>
        <w:t>w</w:t>
      </w:r>
      <w:r w:rsidRPr="00A81E46" w:rsidR="006D6D96">
        <w:rPr>
          <w:sz w:val="24"/>
          <w:szCs w:val="24"/>
        </w:rPr>
        <w:t>ere</w:t>
      </w:r>
      <w:r w:rsidRPr="00A81E46">
        <w:rPr>
          <w:sz w:val="24"/>
          <w:szCs w:val="24"/>
        </w:rPr>
        <w:t xml:space="preserve"> making contributions or donations, that is a matter that falls outside the PUCO’s jurisdiction.</w:t>
      </w:r>
      <w:r>
        <w:rPr>
          <w:rStyle w:val="FootnoteReference"/>
          <w:sz w:val="24"/>
          <w:szCs w:val="24"/>
        </w:rPr>
        <w:footnoteReference w:id="15"/>
      </w:r>
      <w:r w:rsidRPr="00A81E46" w:rsidR="00B75D9D">
        <w:rPr>
          <w:sz w:val="24"/>
          <w:szCs w:val="24"/>
        </w:rPr>
        <w:t xml:space="preserve"> </w:t>
      </w:r>
      <w:r w:rsidRPr="00A81E46" w:rsidR="00BF69A5">
        <w:rPr>
          <w:sz w:val="24"/>
          <w:szCs w:val="24"/>
        </w:rPr>
        <w:t>Not right</w:t>
      </w:r>
      <w:r w:rsidRPr="00A81E46" w:rsidR="00B84152">
        <w:rPr>
          <w:sz w:val="24"/>
          <w:szCs w:val="24"/>
        </w:rPr>
        <w:t xml:space="preserve">.  </w:t>
      </w:r>
      <w:r w:rsidRPr="00A81E46" w:rsidR="00742AAC">
        <w:rPr>
          <w:sz w:val="24"/>
          <w:szCs w:val="24"/>
        </w:rPr>
        <w:t>T</w:t>
      </w:r>
      <w:r w:rsidRPr="00A81E46" w:rsidR="00B84152">
        <w:rPr>
          <w:sz w:val="24"/>
          <w:szCs w:val="24"/>
        </w:rPr>
        <w:t>he PUCO can preclude a utility from charging customers for such contributions. In f</w:t>
      </w:r>
      <w:r w:rsidRPr="00A81E46" w:rsidR="00794318">
        <w:rPr>
          <w:sz w:val="24"/>
          <w:szCs w:val="24"/>
        </w:rPr>
        <w:t>act, utilities are</w:t>
      </w:r>
      <w:r w:rsidRPr="00A81E46" w:rsidR="00B84152">
        <w:rPr>
          <w:sz w:val="24"/>
          <w:szCs w:val="24"/>
        </w:rPr>
        <w:t xml:space="preserve"> generally prohibited </w:t>
      </w:r>
      <w:r w:rsidRPr="00A81E46" w:rsidR="00794318">
        <w:rPr>
          <w:sz w:val="24"/>
          <w:szCs w:val="24"/>
        </w:rPr>
        <w:t xml:space="preserve">from </w:t>
      </w:r>
      <w:r w:rsidRPr="00A81E46" w:rsidR="00B84152">
        <w:rPr>
          <w:sz w:val="24"/>
          <w:szCs w:val="24"/>
        </w:rPr>
        <w:t>charg</w:t>
      </w:r>
      <w:r w:rsidRPr="00A81E46" w:rsidR="00794318">
        <w:rPr>
          <w:sz w:val="24"/>
          <w:szCs w:val="24"/>
        </w:rPr>
        <w:t>ing those expenses</w:t>
      </w:r>
      <w:r w:rsidRPr="00A81E46" w:rsidR="00B84152">
        <w:rPr>
          <w:sz w:val="24"/>
          <w:szCs w:val="24"/>
        </w:rPr>
        <w:t xml:space="preserve"> to customers because those expenses are not a cost that is necessary in the provision of utility service.</w:t>
      </w:r>
      <w:r>
        <w:rPr>
          <w:rStyle w:val="FootnoteReference"/>
          <w:sz w:val="24"/>
          <w:szCs w:val="24"/>
        </w:rPr>
        <w:footnoteReference w:id="16"/>
      </w:r>
      <w:r w:rsidRPr="00A81E46" w:rsidR="00B84152">
        <w:rPr>
          <w:sz w:val="24"/>
          <w:szCs w:val="24"/>
        </w:rPr>
        <w:t xml:space="preserve"> </w:t>
      </w:r>
      <w:r w:rsidRPr="00A81E46">
        <w:rPr>
          <w:sz w:val="24"/>
          <w:szCs w:val="24"/>
        </w:rPr>
        <w:t xml:space="preserve">  </w:t>
      </w:r>
    </w:p>
    <w:p w:rsidR="006D6D96" w:rsidRPr="00A81E46" w:rsidP="007A1781" w14:paraId="6A552567" w14:textId="1B74A54D">
      <w:pPr>
        <w:pStyle w:val="Footer"/>
        <w:tabs>
          <w:tab w:val="left" w:pos="4320"/>
          <w:tab w:val="clear" w:pos="8640"/>
        </w:tabs>
        <w:spacing w:line="480" w:lineRule="auto"/>
        <w:ind w:firstLine="720"/>
        <w:rPr>
          <w:sz w:val="24"/>
          <w:szCs w:val="24"/>
        </w:rPr>
      </w:pPr>
      <w:r w:rsidRPr="00A81E46">
        <w:rPr>
          <w:sz w:val="24"/>
          <w:szCs w:val="24"/>
        </w:rPr>
        <w:t xml:space="preserve">FirstEnergy’s </w:t>
      </w:r>
      <w:r w:rsidRPr="00A81E46" w:rsidR="007A1781">
        <w:rPr>
          <w:sz w:val="24"/>
          <w:szCs w:val="24"/>
        </w:rPr>
        <w:t xml:space="preserve">argument also ignores the express language in R.C. 4905.05 and 4905.06. R.C. 4905.05 </w:t>
      </w:r>
      <w:r w:rsidRPr="00A81E46" w:rsidR="0004765F">
        <w:rPr>
          <w:sz w:val="24"/>
          <w:szCs w:val="24"/>
        </w:rPr>
        <w:t>extends the PUCO jurisdiction to the records and accounts of all public utili</w:t>
      </w:r>
      <w:r w:rsidRPr="00A81E46">
        <w:rPr>
          <w:sz w:val="24"/>
          <w:szCs w:val="24"/>
        </w:rPr>
        <w:t xml:space="preserve">ties with property wholly or partly in the state.  </w:t>
      </w:r>
      <w:r w:rsidRPr="00A81E46" w:rsidR="0004765F">
        <w:rPr>
          <w:sz w:val="24"/>
          <w:szCs w:val="24"/>
        </w:rPr>
        <w:t xml:space="preserve">R.C. 4905.06 also gives the PUCO jurisdiction to examine </w:t>
      </w:r>
      <w:r w:rsidRPr="00A81E46">
        <w:rPr>
          <w:sz w:val="24"/>
          <w:szCs w:val="24"/>
        </w:rPr>
        <w:t xml:space="preserve">and keep informed about public utilities </w:t>
      </w:r>
      <w:r w:rsidRPr="00A81E46" w:rsidR="0004765F">
        <w:rPr>
          <w:sz w:val="24"/>
          <w:szCs w:val="24"/>
        </w:rPr>
        <w:t>for compliance with all laws and orders of the commission</w:t>
      </w:r>
      <w:r w:rsidRPr="00A81E46">
        <w:rPr>
          <w:sz w:val="24"/>
          <w:szCs w:val="24"/>
        </w:rPr>
        <w:t xml:space="preserve">.   </w:t>
      </w:r>
      <w:r w:rsidRPr="00A81E46" w:rsidR="0004765F">
        <w:rPr>
          <w:sz w:val="24"/>
          <w:szCs w:val="24"/>
        </w:rPr>
        <w:t xml:space="preserve">  </w:t>
      </w:r>
    </w:p>
    <w:p w:rsidR="006B11BB" w:rsidRPr="00A81E46" w:rsidP="007A1781" w14:paraId="73A55A3C" w14:textId="23CA516C">
      <w:pPr>
        <w:pStyle w:val="Footer"/>
        <w:tabs>
          <w:tab w:val="left" w:pos="4320"/>
          <w:tab w:val="clear" w:pos="8640"/>
        </w:tabs>
        <w:spacing w:line="480" w:lineRule="auto"/>
        <w:ind w:firstLine="720"/>
        <w:rPr>
          <w:sz w:val="24"/>
          <w:szCs w:val="24"/>
        </w:rPr>
      </w:pPr>
      <w:r w:rsidRPr="00A81E46">
        <w:rPr>
          <w:sz w:val="24"/>
          <w:szCs w:val="24"/>
        </w:rPr>
        <w:t>FirstEnergy</w:t>
      </w:r>
      <w:r w:rsidRPr="00A81E46" w:rsidR="007A17C0">
        <w:rPr>
          <w:sz w:val="24"/>
          <w:szCs w:val="24"/>
        </w:rPr>
        <w:t xml:space="preserve"> U</w:t>
      </w:r>
      <w:r w:rsidRPr="00A81E46">
        <w:rPr>
          <w:sz w:val="24"/>
          <w:szCs w:val="24"/>
        </w:rPr>
        <w:t xml:space="preserve">tilities also argue that </w:t>
      </w:r>
      <w:r w:rsidRPr="00A81E46" w:rsidR="00787F37">
        <w:rPr>
          <w:sz w:val="24"/>
          <w:szCs w:val="24"/>
        </w:rPr>
        <w:t xml:space="preserve">the PUCO “lacks jurisdiction over political expenses and donations to 501(c)(4) entities, whether made by public utilities or their parent companies, </w:t>
      </w:r>
      <w:r w:rsidRPr="00A81E46" w:rsidR="00787F37">
        <w:rPr>
          <w:i/>
          <w:iCs/>
          <w:sz w:val="24"/>
          <w:szCs w:val="24"/>
        </w:rPr>
        <w:t>unless those expenses are included in rates charged to customers</w:t>
      </w:r>
      <w:r w:rsidRPr="00A81E46" w:rsidR="00787F37">
        <w:rPr>
          <w:sz w:val="24"/>
          <w:szCs w:val="24"/>
        </w:rPr>
        <w:t>.”</w:t>
      </w:r>
      <w:r>
        <w:rPr>
          <w:rStyle w:val="FootnoteReference"/>
          <w:sz w:val="24"/>
          <w:szCs w:val="24"/>
        </w:rPr>
        <w:footnoteReference w:id="17"/>
      </w:r>
      <w:r w:rsidRPr="00A81E46" w:rsidR="00747AD4">
        <w:rPr>
          <w:sz w:val="24"/>
          <w:szCs w:val="24"/>
        </w:rPr>
        <w:t xml:space="preserve"> But determining whether FirstEnergy</w:t>
      </w:r>
      <w:r w:rsidRPr="00A81E46" w:rsidR="007A17C0">
        <w:rPr>
          <w:sz w:val="24"/>
          <w:szCs w:val="24"/>
        </w:rPr>
        <w:t xml:space="preserve"> Utilities’ </w:t>
      </w:r>
      <w:r w:rsidRPr="00A81E46" w:rsidR="00747AD4">
        <w:rPr>
          <w:sz w:val="24"/>
          <w:szCs w:val="24"/>
        </w:rPr>
        <w:t>or FirstEnergy Corp.’s payments to 501(c)(4)</w:t>
      </w:r>
      <w:r w:rsidRPr="00A81E46" w:rsidR="00725B5D">
        <w:rPr>
          <w:sz w:val="24"/>
          <w:szCs w:val="24"/>
        </w:rPr>
        <w:t xml:space="preserve"> entities to support H</w:t>
      </w:r>
      <w:r w:rsidRPr="00A81E46" w:rsidR="00D557AC">
        <w:rPr>
          <w:sz w:val="24"/>
          <w:szCs w:val="24"/>
        </w:rPr>
        <w:t xml:space="preserve">ouse Bill </w:t>
      </w:r>
      <w:r w:rsidRPr="00A81E46" w:rsidR="00725B5D">
        <w:rPr>
          <w:sz w:val="24"/>
          <w:szCs w:val="24"/>
        </w:rPr>
        <w:t xml:space="preserve">6 came from customer charges is precisely why OCC has requested that the PUCO order an independent auditor. FirstEnergy </w:t>
      </w:r>
      <w:r w:rsidRPr="00A81E46" w:rsidR="00EB2417">
        <w:rPr>
          <w:sz w:val="24"/>
          <w:szCs w:val="24"/>
        </w:rPr>
        <w:t xml:space="preserve">Utilities </w:t>
      </w:r>
      <w:r w:rsidRPr="00A81E46" w:rsidR="00725B5D">
        <w:rPr>
          <w:sz w:val="24"/>
          <w:szCs w:val="24"/>
        </w:rPr>
        <w:t xml:space="preserve">want the PUCO to take </w:t>
      </w:r>
      <w:r w:rsidRPr="00A81E46" w:rsidR="00EB2417">
        <w:rPr>
          <w:sz w:val="24"/>
          <w:szCs w:val="24"/>
        </w:rPr>
        <w:t xml:space="preserve">their </w:t>
      </w:r>
      <w:r w:rsidRPr="00A81E46" w:rsidR="00725B5D">
        <w:rPr>
          <w:sz w:val="24"/>
          <w:szCs w:val="24"/>
        </w:rPr>
        <w:t>word that customer charges</w:t>
      </w:r>
      <w:r w:rsidRPr="00A81E46" w:rsidR="001B3BE7">
        <w:rPr>
          <w:sz w:val="24"/>
          <w:szCs w:val="24"/>
        </w:rPr>
        <w:t>, some of which the Supreme Court found to be illegal (</w:t>
      </w:r>
      <w:r w:rsidRPr="00A81E46" w:rsidR="001B3BE7">
        <w:rPr>
          <w:i/>
          <w:iCs/>
          <w:sz w:val="24"/>
          <w:szCs w:val="24"/>
        </w:rPr>
        <w:t xml:space="preserve">i.e. </w:t>
      </w:r>
      <w:r w:rsidRPr="00A81E46" w:rsidR="001B3BE7">
        <w:rPr>
          <w:sz w:val="24"/>
          <w:szCs w:val="24"/>
        </w:rPr>
        <w:t>the distribution modernization charge),</w:t>
      </w:r>
      <w:r w:rsidRPr="00A81E46" w:rsidR="00725B5D">
        <w:rPr>
          <w:sz w:val="24"/>
          <w:szCs w:val="24"/>
        </w:rPr>
        <w:t xml:space="preserve"> did not fund illegal activities</w:t>
      </w:r>
      <w:r w:rsidRPr="00A81E46" w:rsidR="001B3BE7">
        <w:rPr>
          <w:sz w:val="24"/>
          <w:szCs w:val="24"/>
        </w:rPr>
        <w:t xml:space="preserve"> related to H</w:t>
      </w:r>
      <w:r w:rsidRPr="00A81E46" w:rsidR="00D557AC">
        <w:rPr>
          <w:sz w:val="24"/>
          <w:szCs w:val="24"/>
        </w:rPr>
        <w:t xml:space="preserve">ouse </w:t>
      </w:r>
      <w:r w:rsidRPr="00A81E46" w:rsidR="001B3BE7">
        <w:rPr>
          <w:sz w:val="24"/>
          <w:szCs w:val="24"/>
        </w:rPr>
        <w:t>B</w:t>
      </w:r>
      <w:r w:rsidRPr="00A81E46" w:rsidR="00D557AC">
        <w:rPr>
          <w:sz w:val="24"/>
          <w:szCs w:val="24"/>
        </w:rPr>
        <w:t>ill</w:t>
      </w:r>
      <w:r w:rsidRPr="00A81E46" w:rsidR="001B3BE7">
        <w:rPr>
          <w:sz w:val="24"/>
          <w:szCs w:val="24"/>
        </w:rPr>
        <w:t xml:space="preserve"> 6. </w:t>
      </w:r>
      <w:r w:rsidRPr="00A81E46" w:rsidR="00725B5D">
        <w:rPr>
          <w:sz w:val="24"/>
          <w:szCs w:val="24"/>
        </w:rPr>
        <w:t>FirstEnergy</w:t>
      </w:r>
      <w:r w:rsidRPr="00A81E46" w:rsidR="001525EF">
        <w:rPr>
          <w:sz w:val="24"/>
          <w:szCs w:val="24"/>
        </w:rPr>
        <w:t xml:space="preserve"> Utilities’ </w:t>
      </w:r>
      <w:r w:rsidRPr="00A81E46" w:rsidR="00725B5D">
        <w:rPr>
          <w:sz w:val="24"/>
          <w:szCs w:val="24"/>
        </w:rPr>
        <w:t xml:space="preserve">word is no substitute for the state regulator to investigate and audit FirstEnergy </w:t>
      </w:r>
      <w:r w:rsidRPr="00A81E46" w:rsidR="00D557AC">
        <w:rPr>
          <w:sz w:val="24"/>
          <w:szCs w:val="24"/>
        </w:rPr>
        <w:t xml:space="preserve">Utilities </w:t>
      </w:r>
      <w:r w:rsidRPr="00A81E46" w:rsidR="00725B5D">
        <w:rPr>
          <w:sz w:val="24"/>
          <w:szCs w:val="24"/>
        </w:rPr>
        <w:t>for protection of Ohio consumers.</w:t>
      </w:r>
      <w:r w:rsidRPr="00A81E46" w:rsidR="007A17C0">
        <w:rPr>
          <w:sz w:val="24"/>
          <w:szCs w:val="24"/>
        </w:rPr>
        <w:t xml:space="preserve"> </w:t>
      </w:r>
    </w:p>
    <w:p w:rsidR="001525EF" w:rsidRPr="00A81E46" w:rsidP="003B0349" w14:paraId="612F9471" w14:textId="77777777">
      <w:pPr>
        <w:pStyle w:val="Footer"/>
        <w:tabs>
          <w:tab w:val="left" w:pos="4320"/>
          <w:tab w:val="clear" w:pos="8640"/>
        </w:tabs>
        <w:spacing w:line="480" w:lineRule="auto"/>
        <w:ind w:firstLine="720"/>
        <w:rPr>
          <w:sz w:val="24"/>
          <w:szCs w:val="24"/>
        </w:rPr>
      </w:pPr>
      <w:r w:rsidRPr="00A81E46">
        <w:rPr>
          <w:sz w:val="24"/>
          <w:szCs w:val="24"/>
        </w:rPr>
        <w:t>FirstEnergy</w:t>
      </w:r>
      <w:r w:rsidRPr="00A81E46" w:rsidR="007A17C0">
        <w:rPr>
          <w:sz w:val="24"/>
          <w:szCs w:val="24"/>
        </w:rPr>
        <w:t xml:space="preserve"> Utilities</w:t>
      </w:r>
      <w:r w:rsidRPr="00A81E46">
        <w:rPr>
          <w:sz w:val="24"/>
          <w:szCs w:val="24"/>
        </w:rPr>
        <w:t xml:space="preserve"> </w:t>
      </w:r>
      <w:r w:rsidRPr="00A81E46" w:rsidR="007A17C0">
        <w:rPr>
          <w:sz w:val="24"/>
          <w:szCs w:val="24"/>
        </w:rPr>
        <w:t xml:space="preserve">also </w:t>
      </w:r>
      <w:r w:rsidRPr="00A81E46">
        <w:rPr>
          <w:sz w:val="24"/>
          <w:szCs w:val="24"/>
        </w:rPr>
        <w:t xml:space="preserve">state that </w:t>
      </w:r>
      <w:r w:rsidRPr="00A81E46" w:rsidR="007A17C0">
        <w:rPr>
          <w:sz w:val="24"/>
          <w:szCs w:val="24"/>
        </w:rPr>
        <w:t>they</w:t>
      </w:r>
      <w:r w:rsidRPr="00A81E46">
        <w:rPr>
          <w:sz w:val="24"/>
          <w:szCs w:val="24"/>
        </w:rPr>
        <w:t xml:space="preserve"> ha</w:t>
      </w:r>
      <w:r w:rsidRPr="00A81E46" w:rsidR="007A17C0">
        <w:rPr>
          <w:sz w:val="24"/>
          <w:szCs w:val="24"/>
        </w:rPr>
        <w:t>ve</w:t>
      </w:r>
      <w:r w:rsidRPr="00A81E46">
        <w:rPr>
          <w:sz w:val="24"/>
          <w:szCs w:val="24"/>
        </w:rPr>
        <w:t xml:space="preserve"> no rate or rider to recover charges from customers for political and charitable spending.</w:t>
      </w:r>
      <w:r>
        <w:rPr>
          <w:rStyle w:val="FootnoteReference"/>
          <w:sz w:val="24"/>
          <w:szCs w:val="24"/>
        </w:rPr>
        <w:footnoteReference w:id="18"/>
      </w:r>
      <w:r w:rsidRPr="00A81E46">
        <w:rPr>
          <w:sz w:val="24"/>
          <w:szCs w:val="24"/>
        </w:rPr>
        <w:t xml:space="preserve"> That argument is beside the point. Even if there is not a designated rate component for political and charitable spending, that does not mean that they did not use customer charges (supposed to be used for providing electric service) for political and charitable contributions that funded the illegal activities alleged by federal prosecutors. Indeed, charges collected through the illegal distribution modernization charge were not used to modernize the distribution system. They were used as credit support and loaned out to entities that do not even operate in this state. </w:t>
      </w:r>
    </w:p>
    <w:p w:rsidR="003B0349" w:rsidRPr="00A81E46" w:rsidP="003B0349" w14:paraId="1DFCDC45" w14:textId="194DDE3C">
      <w:pPr>
        <w:pStyle w:val="Footer"/>
        <w:tabs>
          <w:tab w:val="left" w:pos="4320"/>
          <w:tab w:val="clear" w:pos="8640"/>
        </w:tabs>
        <w:spacing w:line="480" w:lineRule="auto"/>
        <w:ind w:firstLine="720"/>
        <w:rPr>
          <w:sz w:val="24"/>
          <w:szCs w:val="24"/>
        </w:rPr>
      </w:pPr>
      <w:r w:rsidRPr="00A81E46">
        <w:rPr>
          <w:sz w:val="24"/>
          <w:szCs w:val="24"/>
        </w:rPr>
        <w:t xml:space="preserve">The PUCO has a sufficient governmental concern about how customer money may have been used by FirstEnergy as to exercise its authority to investigate. FirstEnergy should get out of the </w:t>
      </w:r>
      <w:r w:rsidRPr="00A81E46" w:rsidR="0068530A">
        <w:rPr>
          <w:sz w:val="24"/>
          <w:szCs w:val="24"/>
        </w:rPr>
        <w:t xml:space="preserve">PUCO’s </w:t>
      </w:r>
      <w:r w:rsidRPr="00A81E46">
        <w:rPr>
          <w:sz w:val="24"/>
          <w:szCs w:val="24"/>
        </w:rPr>
        <w:t>way and cooperate.</w:t>
      </w:r>
      <w:r w:rsidRPr="00A81E46" w:rsidR="001525EF">
        <w:rPr>
          <w:sz w:val="24"/>
          <w:szCs w:val="24"/>
        </w:rPr>
        <w:t xml:space="preserve"> </w:t>
      </w:r>
    </w:p>
    <w:p w:rsidR="00615ECC" w:rsidRPr="00A81E46" w:rsidP="00E37AB7" w14:paraId="0D74439F" w14:textId="7D3BB959">
      <w:pPr>
        <w:pStyle w:val="Heading2"/>
        <w:rPr>
          <w:rFonts w:ascii="Times New Roman" w:hAnsi="Times New Roman" w:cs="Times New Roman"/>
          <w:szCs w:val="24"/>
        </w:rPr>
      </w:pPr>
      <w:bookmarkStart w:id="6" w:name="_Toc52376366"/>
      <w:r w:rsidRPr="00A81E46">
        <w:rPr>
          <w:rFonts w:ascii="Times New Roman" w:hAnsi="Times New Roman" w:cs="Times New Roman"/>
          <w:szCs w:val="24"/>
        </w:rPr>
        <w:t>D.</w:t>
      </w:r>
      <w:r w:rsidRPr="00A81E46">
        <w:rPr>
          <w:rFonts w:ascii="Times New Roman" w:hAnsi="Times New Roman" w:cs="Times New Roman"/>
          <w:szCs w:val="24"/>
        </w:rPr>
        <w:tab/>
      </w:r>
      <w:r w:rsidRPr="00A81E46" w:rsidR="006D6D96">
        <w:rPr>
          <w:rFonts w:ascii="Times New Roman" w:hAnsi="Times New Roman" w:cs="Times New Roman"/>
          <w:szCs w:val="24"/>
        </w:rPr>
        <w:t xml:space="preserve">The PUCO has authority to conduct an independent management audit of public utilities under its jurisdiction </w:t>
      </w:r>
      <w:r w:rsidRPr="00A81E46" w:rsidR="00402552">
        <w:rPr>
          <w:rFonts w:ascii="Times New Roman" w:hAnsi="Times New Roman" w:cs="Times New Roman"/>
          <w:szCs w:val="24"/>
        </w:rPr>
        <w:t>in conjunction with its review of corporate separation issues</w:t>
      </w:r>
      <w:r w:rsidRPr="00A81E46">
        <w:rPr>
          <w:rFonts w:ascii="Times New Roman" w:hAnsi="Times New Roman" w:cs="Times New Roman"/>
          <w:szCs w:val="24"/>
        </w:rPr>
        <w:t>.</w:t>
      </w:r>
      <w:bookmarkEnd w:id="6"/>
      <w:r w:rsidRPr="00A81E46" w:rsidR="00402552">
        <w:rPr>
          <w:rFonts w:ascii="Times New Roman" w:hAnsi="Times New Roman" w:cs="Times New Roman"/>
          <w:szCs w:val="24"/>
        </w:rPr>
        <w:t xml:space="preserve"> </w:t>
      </w:r>
    </w:p>
    <w:p w:rsidR="006D6D96" w:rsidRPr="00A81E46" w:rsidP="001A59C6" w14:paraId="36B1EA20" w14:textId="13A94688">
      <w:pPr>
        <w:pStyle w:val="Footer"/>
        <w:tabs>
          <w:tab w:val="left" w:pos="4320"/>
          <w:tab w:val="clear" w:pos="8640"/>
        </w:tabs>
        <w:spacing w:before="240" w:line="480" w:lineRule="auto"/>
        <w:ind w:firstLine="720"/>
        <w:rPr>
          <w:sz w:val="24"/>
          <w:szCs w:val="24"/>
        </w:rPr>
      </w:pPr>
      <w:r w:rsidRPr="00A81E46">
        <w:rPr>
          <w:sz w:val="24"/>
          <w:szCs w:val="24"/>
        </w:rPr>
        <w:t>FirstEnergy Utilities argue that there is no legal basis for a management audit</w:t>
      </w:r>
      <w:r w:rsidRPr="00A81E46" w:rsidR="001A59C6">
        <w:rPr>
          <w:sz w:val="24"/>
          <w:szCs w:val="24"/>
        </w:rPr>
        <w:t xml:space="preserve"> of FirstEnergy Utilities</w:t>
      </w:r>
      <w:r w:rsidRPr="00A81E46" w:rsidR="00E24B63">
        <w:rPr>
          <w:sz w:val="24"/>
          <w:szCs w:val="24"/>
        </w:rPr>
        <w:t>’</w:t>
      </w:r>
      <w:r w:rsidRPr="00A81E46" w:rsidR="001A59C6">
        <w:rPr>
          <w:sz w:val="24"/>
          <w:szCs w:val="24"/>
        </w:rPr>
        <w:t xml:space="preserve"> House Bill 6 expenditures</w:t>
      </w:r>
      <w:r w:rsidRPr="00A81E46" w:rsidR="00975B1E">
        <w:rPr>
          <w:sz w:val="24"/>
          <w:szCs w:val="24"/>
        </w:rPr>
        <w:t xml:space="preserve"> that OCC has requested in conjunction with FirstEnergy’s corporate separation case</w:t>
      </w:r>
      <w:r w:rsidRPr="00A81E46">
        <w:rPr>
          <w:sz w:val="24"/>
          <w:szCs w:val="24"/>
        </w:rPr>
        <w:t>.</w:t>
      </w:r>
      <w:r>
        <w:rPr>
          <w:rStyle w:val="FootnoteReference"/>
          <w:sz w:val="24"/>
          <w:szCs w:val="24"/>
        </w:rPr>
        <w:footnoteReference w:id="19"/>
      </w:r>
      <w:r w:rsidRPr="00A81E46">
        <w:rPr>
          <w:sz w:val="24"/>
          <w:szCs w:val="24"/>
        </w:rPr>
        <w:t xml:space="preserve">  And </w:t>
      </w:r>
      <w:r w:rsidRPr="00A81E46" w:rsidR="001A59C6">
        <w:rPr>
          <w:sz w:val="24"/>
          <w:szCs w:val="24"/>
        </w:rPr>
        <w:t xml:space="preserve">FirstEnergy </w:t>
      </w:r>
      <w:r w:rsidRPr="00A81E46" w:rsidR="00E404E3">
        <w:rPr>
          <w:sz w:val="24"/>
          <w:szCs w:val="24"/>
        </w:rPr>
        <w:t xml:space="preserve">Utilities </w:t>
      </w:r>
      <w:r w:rsidRPr="00A81E46" w:rsidR="001A59C6">
        <w:rPr>
          <w:sz w:val="24"/>
          <w:szCs w:val="24"/>
        </w:rPr>
        <w:t xml:space="preserve">argue </w:t>
      </w:r>
      <w:r w:rsidRPr="00A81E46">
        <w:rPr>
          <w:sz w:val="24"/>
          <w:szCs w:val="24"/>
        </w:rPr>
        <w:t xml:space="preserve">that </w:t>
      </w:r>
      <w:r w:rsidRPr="00A81E46" w:rsidR="001A59C6">
        <w:rPr>
          <w:sz w:val="24"/>
          <w:szCs w:val="24"/>
        </w:rPr>
        <w:t>there has been no established scope of work and no showing that an aud</w:t>
      </w:r>
      <w:r w:rsidRPr="00A81E46" w:rsidR="00975B1E">
        <w:rPr>
          <w:sz w:val="24"/>
          <w:szCs w:val="24"/>
        </w:rPr>
        <w:t xml:space="preserve">it </w:t>
      </w:r>
      <w:r w:rsidRPr="00A81E46" w:rsidR="001A59C6">
        <w:rPr>
          <w:sz w:val="24"/>
          <w:szCs w:val="24"/>
        </w:rPr>
        <w:t>is necessary.</w:t>
      </w:r>
      <w:r>
        <w:rPr>
          <w:rStyle w:val="FootnoteReference"/>
          <w:sz w:val="24"/>
          <w:szCs w:val="24"/>
        </w:rPr>
        <w:footnoteReference w:id="20"/>
      </w:r>
      <w:r w:rsidRPr="00A81E46" w:rsidR="001A59C6">
        <w:rPr>
          <w:sz w:val="24"/>
          <w:szCs w:val="24"/>
        </w:rPr>
        <w:t xml:space="preserve">  The Companies believe the</w:t>
      </w:r>
      <w:r w:rsidRPr="00A81E46" w:rsidR="00975B1E">
        <w:rPr>
          <w:sz w:val="24"/>
          <w:szCs w:val="24"/>
        </w:rPr>
        <w:t xml:space="preserve"> corporate separation case should be left undisturbed and should run its course “without further interference and delay from OCC.” </w:t>
      </w:r>
      <w:r w:rsidRPr="00A81E46" w:rsidR="00AA16E0">
        <w:rPr>
          <w:sz w:val="24"/>
          <w:szCs w:val="24"/>
        </w:rPr>
        <w:t xml:space="preserve">The Companies are mistaken.  </w:t>
      </w:r>
    </w:p>
    <w:p w:rsidR="00AA16E0" w:rsidRPr="00A81E46" w:rsidP="006F172B" w14:paraId="286DD608" w14:textId="77777777">
      <w:pPr>
        <w:pStyle w:val="Footer"/>
        <w:tabs>
          <w:tab w:val="left" w:pos="4320"/>
          <w:tab w:val="clear" w:pos="8640"/>
        </w:tabs>
        <w:spacing w:line="480" w:lineRule="auto"/>
        <w:ind w:firstLine="720"/>
        <w:rPr>
          <w:sz w:val="24"/>
          <w:szCs w:val="24"/>
        </w:rPr>
      </w:pPr>
      <w:r w:rsidRPr="00A81E46">
        <w:rPr>
          <w:sz w:val="24"/>
          <w:szCs w:val="24"/>
        </w:rPr>
        <w:t xml:space="preserve">Under R.C. 4928.17, a utility must submit a corporate separation plan for PUCO approval. That plan must satisfy “the public interest in preventing unfair competitive advantage and preventing the abuse of market power,” per R.C. 4928.17(A)(2). And it must be “sufficient to ensure that the utility will not extend any undue preference or advantage to any affiliate, division, or part of its own business engaged in the business of supplying the competitive retail electric service,” per R.C. 4928.17(A)(3). Ohio law also established state policy to protect competition by avoiding subsidies between and among competitive and non-competitive retail electric services, in R.C. 4928.02(H). </w:t>
      </w:r>
    </w:p>
    <w:p w:rsidR="00D46F79" w:rsidRPr="00A81E46" w:rsidP="006F172B" w14:paraId="28D3D7E7" w14:textId="45B878C4">
      <w:pPr>
        <w:pStyle w:val="Footer"/>
        <w:tabs>
          <w:tab w:val="left" w:pos="4320"/>
          <w:tab w:val="clear" w:pos="8640"/>
        </w:tabs>
        <w:spacing w:line="480" w:lineRule="auto"/>
        <w:ind w:firstLine="720"/>
        <w:rPr>
          <w:sz w:val="24"/>
          <w:szCs w:val="24"/>
        </w:rPr>
      </w:pPr>
      <w:r w:rsidRPr="00A81E46">
        <w:rPr>
          <w:sz w:val="24"/>
          <w:szCs w:val="24"/>
        </w:rPr>
        <w:t xml:space="preserve">Information in the U.S. Criminal Complaint about FirstEnergy Corp. </w:t>
      </w:r>
      <w:r w:rsidRPr="00A81E46" w:rsidR="00E404E3">
        <w:rPr>
          <w:sz w:val="24"/>
          <w:szCs w:val="24"/>
        </w:rPr>
        <w:t xml:space="preserve">and </w:t>
      </w:r>
      <w:r w:rsidRPr="00A81E46">
        <w:rPr>
          <w:sz w:val="24"/>
          <w:szCs w:val="24"/>
        </w:rPr>
        <w:t>other FirstEnergy affiliates raise utility regulatory issues for protection of Ohio utility consumers. The Criminal Complaint alleges that Company A (widely thought to be FirstEnergy Corp.) illegally used “$60 million” to help to “pass House Bill 6, legislation described by an Enterprise member as a billion-dollar ‘bailout’ that saved from closure two failing nuclear power plants in Ohio affiliated with Company A,”</w:t>
      </w:r>
      <w:r>
        <w:rPr>
          <w:rStyle w:val="FootnoteReference"/>
          <w:sz w:val="24"/>
          <w:szCs w:val="24"/>
        </w:rPr>
        <w:footnoteReference w:id="21"/>
      </w:r>
      <w:r w:rsidRPr="00A81E46">
        <w:rPr>
          <w:sz w:val="24"/>
          <w:szCs w:val="24"/>
        </w:rPr>
        <w:t xml:space="preserve"> The failing nuclear plants referenced were owned </w:t>
      </w:r>
      <w:r w:rsidRPr="00A81E46" w:rsidR="00BB590B">
        <w:rPr>
          <w:sz w:val="24"/>
          <w:szCs w:val="24"/>
        </w:rPr>
        <w:t xml:space="preserve">at the time </w:t>
      </w:r>
      <w:r w:rsidRPr="00A81E46">
        <w:rPr>
          <w:sz w:val="24"/>
          <w:szCs w:val="24"/>
        </w:rPr>
        <w:t>by FirstEnergy affiliate</w:t>
      </w:r>
      <w:r w:rsidRPr="00A81E46" w:rsidR="00BB590B">
        <w:rPr>
          <w:sz w:val="24"/>
          <w:szCs w:val="24"/>
        </w:rPr>
        <w:t xml:space="preserve">, </w:t>
      </w:r>
      <w:r w:rsidRPr="00A81E46">
        <w:rPr>
          <w:sz w:val="24"/>
          <w:szCs w:val="24"/>
        </w:rPr>
        <w:t xml:space="preserve">FirstEnergy Solutions. </w:t>
      </w:r>
    </w:p>
    <w:p w:rsidR="001A59C6" w:rsidRPr="00A81E46" w:rsidP="00D84F10" w14:paraId="0AC2E9C6" w14:textId="13115330">
      <w:pPr>
        <w:pStyle w:val="Footer"/>
        <w:tabs>
          <w:tab w:val="left" w:pos="4320"/>
          <w:tab w:val="clear" w:pos="8640"/>
        </w:tabs>
        <w:spacing w:line="480" w:lineRule="auto"/>
        <w:ind w:firstLine="720"/>
        <w:rPr>
          <w:sz w:val="24"/>
          <w:szCs w:val="24"/>
        </w:rPr>
      </w:pPr>
      <w:r w:rsidRPr="00A81E46">
        <w:rPr>
          <w:sz w:val="24"/>
          <w:szCs w:val="24"/>
        </w:rPr>
        <w:t>If FirstEnergy</w:t>
      </w:r>
      <w:r w:rsidRPr="00A81E46" w:rsidR="002F7815">
        <w:rPr>
          <w:sz w:val="24"/>
          <w:szCs w:val="24"/>
        </w:rPr>
        <w:t xml:space="preserve"> utilities assisted</w:t>
      </w:r>
      <w:r w:rsidRPr="00A81E46">
        <w:rPr>
          <w:sz w:val="24"/>
          <w:szCs w:val="24"/>
        </w:rPr>
        <w:t xml:space="preserve"> </w:t>
      </w:r>
      <w:r w:rsidRPr="00A81E46" w:rsidR="002F7815">
        <w:rPr>
          <w:sz w:val="24"/>
          <w:szCs w:val="24"/>
        </w:rPr>
        <w:t>their affiliate (</w:t>
      </w:r>
      <w:r w:rsidRPr="00A81E46">
        <w:rPr>
          <w:sz w:val="24"/>
          <w:szCs w:val="24"/>
        </w:rPr>
        <w:t>FirstEnergy Solutions</w:t>
      </w:r>
      <w:r w:rsidRPr="00A81E46" w:rsidR="002F7815">
        <w:rPr>
          <w:sz w:val="24"/>
          <w:szCs w:val="24"/>
        </w:rPr>
        <w:t>), such as with money, personnel and so forth,</w:t>
      </w:r>
      <w:r w:rsidRPr="00A81E46">
        <w:rPr>
          <w:sz w:val="24"/>
          <w:szCs w:val="24"/>
        </w:rPr>
        <w:t xml:space="preserve"> </w:t>
      </w:r>
      <w:r w:rsidRPr="00A81E46" w:rsidR="002F7815">
        <w:rPr>
          <w:sz w:val="24"/>
          <w:szCs w:val="24"/>
        </w:rPr>
        <w:t>then s</w:t>
      </w:r>
      <w:r w:rsidRPr="00A81E46">
        <w:rPr>
          <w:sz w:val="24"/>
          <w:szCs w:val="24"/>
        </w:rPr>
        <w:t xml:space="preserve">uch a transaction may directly violate R.C. 4928.17(A)(3) which precludes undue preference or advantage from being given by a utility to its affiliate engaged in the business of supplying competitive retail electric service. Similarly, </w:t>
      </w:r>
      <w:r w:rsidRPr="00A81E46" w:rsidR="002F7815">
        <w:rPr>
          <w:sz w:val="24"/>
          <w:szCs w:val="24"/>
        </w:rPr>
        <w:t xml:space="preserve">if </w:t>
      </w:r>
      <w:r w:rsidRPr="00A81E46">
        <w:rPr>
          <w:sz w:val="24"/>
          <w:szCs w:val="24"/>
        </w:rPr>
        <w:t xml:space="preserve">the FirstEnergy Utilities </w:t>
      </w:r>
      <w:r w:rsidRPr="00A81E46" w:rsidR="002F7815">
        <w:rPr>
          <w:sz w:val="24"/>
          <w:szCs w:val="24"/>
        </w:rPr>
        <w:t>directly or indirectly assisted FirstEnergy Solutions</w:t>
      </w:r>
      <w:r w:rsidRPr="00A81E46">
        <w:rPr>
          <w:sz w:val="24"/>
          <w:szCs w:val="24"/>
        </w:rPr>
        <w:t xml:space="preserve">, </w:t>
      </w:r>
      <w:r w:rsidRPr="00A81E46" w:rsidR="002F7815">
        <w:rPr>
          <w:sz w:val="24"/>
          <w:szCs w:val="24"/>
        </w:rPr>
        <w:t>that</w:t>
      </w:r>
      <w:r w:rsidRPr="00A81E46">
        <w:rPr>
          <w:sz w:val="24"/>
          <w:szCs w:val="24"/>
        </w:rPr>
        <w:t xml:space="preserve"> may have violated R.C. 4928.02, which precludes subsidies </w:t>
      </w:r>
      <w:r w:rsidRPr="00A81E46" w:rsidR="00D46F79">
        <w:rPr>
          <w:sz w:val="24"/>
          <w:szCs w:val="24"/>
        </w:rPr>
        <w:t>flowing from a non-competitive retail electric service to a competitive retail electric service.  And there may be PUCO ruling</w:t>
      </w:r>
      <w:r w:rsidRPr="00A81E46" w:rsidR="005241B5">
        <w:rPr>
          <w:sz w:val="24"/>
          <w:szCs w:val="24"/>
        </w:rPr>
        <w:t>s</w:t>
      </w:r>
      <w:r w:rsidRPr="00A81E46" w:rsidR="00D46F79">
        <w:rPr>
          <w:sz w:val="24"/>
          <w:szCs w:val="24"/>
        </w:rPr>
        <w:t xml:space="preserve"> and Order</w:t>
      </w:r>
      <w:r w:rsidRPr="00A81E46" w:rsidR="005241B5">
        <w:rPr>
          <w:sz w:val="24"/>
          <w:szCs w:val="24"/>
        </w:rPr>
        <w:t>s</w:t>
      </w:r>
      <w:r w:rsidRPr="00A81E46" w:rsidR="00D46F79">
        <w:rPr>
          <w:sz w:val="24"/>
          <w:szCs w:val="24"/>
        </w:rPr>
        <w:t xml:space="preserve"> that are being violated as well. </w:t>
      </w:r>
    </w:p>
    <w:p w:rsidR="004B033E" w:rsidRPr="00A81E46" w:rsidP="00D557AC" w14:paraId="03C159D4" w14:textId="11D2F5EA">
      <w:pPr>
        <w:pStyle w:val="Footer"/>
        <w:tabs>
          <w:tab w:val="left" w:pos="4320"/>
          <w:tab w:val="clear" w:pos="8640"/>
        </w:tabs>
        <w:spacing w:line="480" w:lineRule="auto"/>
        <w:ind w:firstLine="720"/>
        <w:rPr>
          <w:sz w:val="24"/>
          <w:szCs w:val="24"/>
        </w:rPr>
      </w:pPr>
      <w:r w:rsidRPr="00A81E46">
        <w:rPr>
          <w:sz w:val="24"/>
          <w:szCs w:val="24"/>
        </w:rPr>
        <w:t>Thus, contrary to FirstEnergy Utilities’ arguments otherwise, there are legal bas</w:t>
      </w:r>
      <w:r w:rsidRPr="00A81E46" w:rsidR="002F7815">
        <w:rPr>
          <w:sz w:val="24"/>
          <w:szCs w:val="24"/>
        </w:rPr>
        <w:t>e</w:t>
      </w:r>
      <w:r w:rsidRPr="00A81E46">
        <w:rPr>
          <w:sz w:val="24"/>
          <w:szCs w:val="24"/>
        </w:rPr>
        <w:t>s and grounds, anchored in Ohio law, for an audit to be performed within the context of the corporate separation proceeding.  The scope of the audit must include corporate governance issues</w:t>
      </w:r>
      <w:r w:rsidRPr="00A81E46" w:rsidR="005241B5">
        <w:rPr>
          <w:rStyle w:val="CommentReference"/>
          <w:sz w:val="24"/>
          <w:szCs w:val="24"/>
        </w:rPr>
        <w:t xml:space="preserve"> </w:t>
      </w:r>
      <w:r w:rsidRPr="00A81E46" w:rsidR="005241B5">
        <w:rPr>
          <w:sz w:val="24"/>
          <w:szCs w:val="24"/>
        </w:rPr>
        <w:t>that i</w:t>
      </w:r>
      <w:r w:rsidRPr="00A81E46">
        <w:rPr>
          <w:sz w:val="24"/>
          <w:szCs w:val="24"/>
        </w:rPr>
        <w:t>nclude</w:t>
      </w:r>
      <w:r w:rsidRPr="00A81E46" w:rsidR="005241B5">
        <w:rPr>
          <w:sz w:val="24"/>
          <w:szCs w:val="24"/>
        </w:rPr>
        <w:t xml:space="preserve"> an examination of how the corporate governance system functioned </w:t>
      </w:r>
      <w:r w:rsidRPr="00A81E46" w:rsidR="009A61A7">
        <w:rPr>
          <w:sz w:val="24"/>
          <w:szCs w:val="24"/>
        </w:rPr>
        <w:t xml:space="preserve">or failed to function.  </w:t>
      </w:r>
      <w:r w:rsidRPr="00A81E46" w:rsidR="00E836FA">
        <w:rPr>
          <w:sz w:val="24"/>
          <w:szCs w:val="24"/>
        </w:rPr>
        <w:t>If breakdowns in the corporate governance system occurred the PUCO may need to step in to remedy such deficiencies, as it has in the past</w:t>
      </w:r>
      <w:r w:rsidRPr="00A81E46" w:rsidR="00D557AC">
        <w:rPr>
          <w:sz w:val="24"/>
          <w:szCs w:val="24"/>
        </w:rPr>
        <w:t>, consistent with its authority under R.C. 4909.154</w:t>
      </w:r>
      <w:r w:rsidRPr="00A81E46" w:rsidR="00E836FA">
        <w:rPr>
          <w:sz w:val="24"/>
          <w:szCs w:val="24"/>
        </w:rPr>
        <w:t>.</w:t>
      </w:r>
      <w:r>
        <w:rPr>
          <w:rStyle w:val="FootnoteReference"/>
          <w:sz w:val="24"/>
          <w:szCs w:val="24"/>
        </w:rPr>
        <w:footnoteReference w:id="22"/>
      </w:r>
      <w:r w:rsidRPr="00A81E46" w:rsidR="00E836FA">
        <w:rPr>
          <w:sz w:val="24"/>
          <w:szCs w:val="24"/>
        </w:rPr>
        <w:t xml:space="preserve">  </w:t>
      </w:r>
    </w:p>
    <w:p w:rsidR="004B033E" w:rsidRPr="00A81E46" w:rsidP="00E37AB7" w14:paraId="6032D155" w14:textId="5245B9BE">
      <w:pPr>
        <w:pStyle w:val="Heading2"/>
        <w:rPr>
          <w:rFonts w:ascii="Times New Roman" w:hAnsi="Times New Roman" w:cs="Times New Roman"/>
          <w:szCs w:val="24"/>
        </w:rPr>
      </w:pPr>
      <w:bookmarkStart w:id="7" w:name="_Toc52376367"/>
      <w:r w:rsidRPr="00A81E46">
        <w:rPr>
          <w:rFonts w:ascii="Times New Roman" w:hAnsi="Times New Roman" w:cs="Times New Roman"/>
          <w:szCs w:val="24"/>
        </w:rPr>
        <w:t>E.</w:t>
      </w:r>
      <w:r w:rsidRPr="00A81E46">
        <w:rPr>
          <w:rFonts w:ascii="Times New Roman" w:hAnsi="Times New Roman" w:cs="Times New Roman"/>
          <w:szCs w:val="24"/>
        </w:rPr>
        <w:tab/>
      </w:r>
      <w:r w:rsidRPr="00A81E46" w:rsidR="006D6D96">
        <w:rPr>
          <w:rFonts w:ascii="Times New Roman" w:hAnsi="Times New Roman" w:cs="Times New Roman"/>
          <w:szCs w:val="24"/>
        </w:rPr>
        <w:t>The</w:t>
      </w:r>
      <w:r w:rsidRPr="00A81E46" w:rsidR="00767AA9">
        <w:rPr>
          <w:rFonts w:ascii="Times New Roman" w:hAnsi="Times New Roman" w:cs="Times New Roman"/>
          <w:szCs w:val="24"/>
        </w:rPr>
        <w:t xml:space="preserve"> PUCO has jurisdiction to</w:t>
      </w:r>
      <w:r w:rsidRPr="00A81E46" w:rsidR="006D6D96">
        <w:rPr>
          <w:rFonts w:ascii="Times New Roman" w:hAnsi="Times New Roman" w:cs="Times New Roman"/>
          <w:szCs w:val="24"/>
        </w:rPr>
        <w:t xml:space="preserve"> reopen the Rider DMR Audit Case</w:t>
      </w:r>
      <w:r w:rsidRPr="00A81E46" w:rsidR="00767AA9">
        <w:rPr>
          <w:rFonts w:ascii="Times New Roman" w:hAnsi="Times New Roman" w:cs="Times New Roman"/>
          <w:szCs w:val="24"/>
        </w:rPr>
        <w:t xml:space="preserve"> for good cause</w:t>
      </w:r>
      <w:r w:rsidRPr="00A81E46" w:rsidR="00403D92">
        <w:rPr>
          <w:rFonts w:ascii="Times New Roman" w:hAnsi="Times New Roman" w:cs="Times New Roman"/>
          <w:szCs w:val="24"/>
        </w:rPr>
        <w:t xml:space="preserve"> and should do so</w:t>
      </w:r>
      <w:r w:rsidRPr="00A81E46" w:rsidR="003B0349">
        <w:rPr>
          <w:rFonts w:ascii="Times New Roman" w:hAnsi="Times New Roman" w:cs="Times New Roman"/>
          <w:szCs w:val="24"/>
        </w:rPr>
        <w:t>.</w:t>
      </w:r>
      <w:bookmarkEnd w:id="7"/>
    </w:p>
    <w:p w:rsidR="00C33C2F" w:rsidRPr="00A81E46" w:rsidP="00E24B63" w14:paraId="2D55922B" w14:textId="49DFD3C8">
      <w:pPr>
        <w:spacing w:line="480" w:lineRule="auto"/>
        <w:ind w:firstLine="720"/>
        <w:rPr>
          <w:szCs w:val="24"/>
        </w:rPr>
      </w:pPr>
      <w:r w:rsidRPr="00A81E46">
        <w:rPr>
          <w:szCs w:val="24"/>
        </w:rPr>
        <w:t>A reasonable question related to a regulated utility (like FirstEnergy</w:t>
      </w:r>
      <w:r w:rsidRPr="00A81E46" w:rsidR="00D557AC">
        <w:rPr>
          <w:szCs w:val="24"/>
        </w:rPr>
        <w:t xml:space="preserve"> Utilities</w:t>
      </w:r>
      <w:r w:rsidRPr="00A81E46">
        <w:rPr>
          <w:szCs w:val="24"/>
        </w:rPr>
        <w:t>), that has monopoly customers, would involve knowing the source of funds (</w:t>
      </w:r>
      <w:r w:rsidRPr="00A81E46" w:rsidR="0045260F">
        <w:rPr>
          <w:szCs w:val="24"/>
        </w:rPr>
        <w:t xml:space="preserve">alleged </w:t>
      </w:r>
      <w:r w:rsidRPr="00A81E46">
        <w:rPr>
          <w:szCs w:val="24"/>
        </w:rPr>
        <w:t>to be $60 million</w:t>
      </w:r>
      <w:r>
        <w:rPr>
          <w:rStyle w:val="FootnoteReference"/>
          <w:szCs w:val="24"/>
        </w:rPr>
        <w:footnoteReference w:id="23"/>
      </w:r>
      <w:r w:rsidRPr="00A81E46">
        <w:rPr>
          <w:szCs w:val="24"/>
        </w:rPr>
        <w:t xml:space="preserve">) used toward passage of House Bill 6. Questions should include confirming that the </w:t>
      </w:r>
      <w:r w:rsidRPr="00A81E46" w:rsidR="0045260F">
        <w:rPr>
          <w:szCs w:val="24"/>
        </w:rPr>
        <w:t xml:space="preserve">“loosey-goosey” </w:t>
      </w:r>
      <w:r w:rsidRPr="00A81E46">
        <w:rPr>
          <w:szCs w:val="24"/>
        </w:rPr>
        <w:t xml:space="preserve">distribution modernization </w:t>
      </w:r>
      <w:r w:rsidRPr="00A81E46" w:rsidR="0045260F">
        <w:rPr>
          <w:szCs w:val="24"/>
        </w:rPr>
        <w:t xml:space="preserve">charge money that FirstEnergy </w:t>
      </w:r>
      <w:r w:rsidRPr="00A81E46" w:rsidR="00D557AC">
        <w:rPr>
          <w:szCs w:val="24"/>
        </w:rPr>
        <w:t xml:space="preserve">Utilities </w:t>
      </w:r>
      <w:r w:rsidRPr="00A81E46">
        <w:rPr>
          <w:szCs w:val="24"/>
        </w:rPr>
        <w:t>collected from customers was used lawfully and in compliance with PUCO orders for electric utility service</w:t>
      </w:r>
      <w:r w:rsidRPr="00A81E46" w:rsidR="00D557AC">
        <w:rPr>
          <w:szCs w:val="24"/>
        </w:rPr>
        <w:t>.</w:t>
      </w:r>
      <w:r>
        <w:rPr>
          <w:rStyle w:val="FootnoteReference"/>
          <w:szCs w:val="24"/>
        </w:rPr>
        <w:footnoteReference w:id="24"/>
      </w:r>
      <w:r w:rsidRPr="00A81E46">
        <w:rPr>
          <w:szCs w:val="24"/>
        </w:rPr>
        <w:t xml:space="preserve">  There is in fact good cause to reopen the Distribution Modernization case.  </w:t>
      </w:r>
      <w:r w:rsidRPr="00A81E46" w:rsidR="0045260F">
        <w:rPr>
          <w:szCs w:val="24"/>
        </w:rPr>
        <w:t xml:space="preserve">But first </w:t>
      </w:r>
      <w:r w:rsidRPr="00A81E46" w:rsidR="00C61640">
        <w:rPr>
          <w:szCs w:val="24"/>
        </w:rPr>
        <w:t>it should be noted that, per Ohio Adm. Code 4901-1-02</w:t>
      </w:r>
      <w:r w:rsidRPr="00A81E46" w:rsidR="001E29D2">
        <w:rPr>
          <w:szCs w:val="24"/>
        </w:rPr>
        <w:t>(E) and (E)(1)</w:t>
      </w:r>
      <w:r w:rsidRPr="00A81E46" w:rsidR="00C61640">
        <w:rPr>
          <w:szCs w:val="24"/>
        </w:rPr>
        <w:t xml:space="preserve">, the case is still open as shown in PUCO docketing. </w:t>
      </w:r>
    </w:p>
    <w:p w:rsidR="006D6D96" w:rsidRPr="00A81E46" w:rsidP="004B033E" w14:paraId="43B47AAA" w14:textId="467959C4">
      <w:pPr>
        <w:spacing w:line="480" w:lineRule="auto"/>
        <w:ind w:firstLine="720"/>
        <w:rPr>
          <w:szCs w:val="24"/>
        </w:rPr>
      </w:pPr>
      <w:r w:rsidRPr="00A81E46">
        <w:rPr>
          <w:szCs w:val="24"/>
        </w:rPr>
        <w:t>FirstEnergy argues that OCC’s motion to reopen the Rider DMR audit case is too late and cannot be granted.</w:t>
      </w:r>
      <w:r>
        <w:rPr>
          <w:rStyle w:val="FootnoteReference"/>
          <w:szCs w:val="24"/>
        </w:rPr>
        <w:footnoteReference w:id="25"/>
      </w:r>
      <w:r w:rsidRPr="00A81E46">
        <w:rPr>
          <w:szCs w:val="24"/>
        </w:rPr>
        <w:t xml:space="preserve">  </w:t>
      </w:r>
      <w:r w:rsidRPr="00A81E46" w:rsidR="005A7B05">
        <w:rPr>
          <w:szCs w:val="24"/>
        </w:rPr>
        <w:t>However, the H</w:t>
      </w:r>
      <w:r w:rsidRPr="00A81E46" w:rsidR="00124632">
        <w:rPr>
          <w:szCs w:val="24"/>
        </w:rPr>
        <w:t>ouse Bill 6</w:t>
      </w:r>
      <w:r w:rsidRPr="00A81E46" w:rsidR="005A7B05">
        <w:rPr>
          <w:szCs w:val="24"/>
        </w:rPr>
        <w:t xml:space="preserve"> scandal came to light after that case was </w:t>
      </w:r>
      <w:r w:rsidRPr="00A81E46" w:rsidR="00412D5C">
        <w:rPr>
          <w:szCs w:val="24"/>
        </w:rPr>
        <w:t xml:space="preserve">referenced in an Entry as </w:t>
      </w:r>
      <w:r w:rsidRPr="00A81E46" w:rsidR="00D557AC">
        <w:rPr>
          <w:szCs w:val="24"/>
        </w:rPr>
        <w:t>“</w:t>
      </w:r>
      <w:r w:rsidRPr="00A81E46" w:rsidR="005A7B05">
        <w:rPr>
          <w:szCs w:val="24"/>
        </w:rPr>
        <w:t>closed.</w:t>
      </w:r>
      <w:r w:rsidRPr="00A81E46" w:rsidR="00D557AC">
        <w:rPr>
          <w:szCs w:val="24"/>
        </w:rPr>
        <w:t>”</w:t>
      </w:r>
      <w:r w:rsidRPr="00A81E46" w:rsidR="005A7B05">
        <w:rPr>
          <w:szCs w:val="24"/>
        </w:rPr>
        <w:t xml:space="preserve"> Thus, there is good cause to reopen that case to reexamine the issues. Moreover, even </w:t>
      </w:r>
      <w:r w:rsidRPr="00A81E46" w:rsidR="00FE1CFE">
        <w:rPr>
          <w:szCs w:val="24"/>
        </w:rPr>
        <w:t>i</w:t>
      </w:r>
      <w:r w:rsidRPr="00A81E46">
        <w:rPr>
          <w:szCs w:val="24"/>
        </w:rPr>
        <w:t xml:space="preserve">f the PUCO accepts </w:t>
      </w:r>
      <w:r w:rsidRPr="00A81E46" w:rsidR="005A7B05">
        <w:rPr>
          <w:szCs w:val="24"/>
        </w:rPr>
        <w:t>FirstEnergy</w:t>
      </w:r>
      <w:r w:rsidRPr="00A81E46" w:rsidR="00D557AC">
        <w:rPr>
          <w:szCs w:val="24"/>
        </w:rPr>
        <w:t xml:space="preserve"> Utilities’</w:t>
      </w:r>
      <w:r w:rsidRPr="00A81E46">
        <w:rPr>
          <w:szCs w:val="24"/>
        </w:rPr>
        <w:t xml:space="preserve"> argument, </w:t>
      </w:r>
      <w:r w:rsidRPr="00A81E46" w:rsidR="005A7B05">
        <w:rPr>
          <w:szCs w:val="24"/>
        </w:rPr>
        <w:t xml:space="preserve">the PUCO </w:t>
      </w:r>
      <w:r w:rsidRPr="00A81E46" w:rsidR="00412D5C">
        <w:rPr>
          <w:szCs w:val="24"/>
        </w:rPr>
        <w:t xml:space="preserve">should then </w:t>
      </w:r>
      <w:r w:rsidRPr="00A81E46">
        <w:rPr>
          <w:szCs w:val="24"/>
        </w:rPr>
        <w:t>includ</w:t>
      </w:r>
      <w:r w:rsidRPr="00A81E46" w:rsidR="00412D5C">
        <w:rPr>
          <w:szCs w:val="24"/>
        </w:rPr>
        <w:t>e</w:t>
      </w:r>
      <w:r w:rsidRPr="00A81E46">
        <w:rPr>
          <w:szCs w:val="24"/>
        </w:rPr>
        <w:t xml:space="preserve"> the review of the distribution modernization rider within a larger part of the management performance </w:t>
      </w:r>
      <w:r w:rsidRPr="00A81E46" w:rsidR="00767AA9">
        <w:rPr>
          <w:szCs w:val="24"/>
        </w:rPr>
        <w:t>audit</w:t>
      </w:r>
      <w:r w:rsidRPr="00A81E46" w:rsidR="00412D5C">
        <w:rPr>
          <w:szCs w:val="24"/>
        </w:rPr>
        <w:t>, as OCC alternatively recommended</w:t>
      </w:r>
      <w:r w:rsidRPr="00A81E46" w:rsidR="00767AA9">
        <w:rPr>
          <w:szCs w:val="24"/>
        </w:rPr>
        <w:t xml:space="preserve">.  </w:t>
      </w:r>
      <w:r w:rsidRPr="00A81E46" w:rsidR="00412D5C">
        <w:rPr>
          <w:szCs w:val="24"/>
        </w:rPr>
        <w:t>The distribution modernization charge case had an odd ending, given the findings of the auditor that were never addressed in a PUCO order – and that now (post-H</w:t>
      </w:r>
      <w:r w:rsidRPr="00A81E46" w:rsidR="00124632">
        <w:rPr>
          <w:szCs w:val="24"/>
        </w:rPr>
        <w:t xml:space="preserve">ouse </w:t>
      </w:r>
      <w:r w:rsidRPr="00A81E46" w:rsidR="00412D5C">
        <w:rPr>
          <w:szCs w:val="24"/>
        </w:rPr>
        <w:t>B</w:t>
      </w:r>
      <w:r w:rsidRPr="00A81E46" w:rsidR="00124632">
        <w:rPr>
          <w:szCs w:val="24"/>
        </w:rPr>
        <w:t xml:space="preserve">ill </w:t>
      </w:r>
      <w:r w:rsidRPr="00A81E46" w:rsidR="001E29D2">
        <w:rPr>
          <w:szCs w:val="24"/>
        </w:rPr>
        <w:t>6</w:t>
      </w:r>
      <w:r w:rsidRPr="00A81E46" w:rsidR="00412D5C">
        <w:rPr>
          <w:szCs w:val="24"/>
        </w:rPr>
        <w:t xml:space="preserve"> scandal) are even more ripe for resolution.</w:t>
      </w:r>
    </w:p>
    <w:p w:rsidR="004B033E" w:rsidRPr="00A81E46" w:rsidP="00E37AB7" w14:paraId="75DCF42F" w14:textId="0FEEEAB5">
      <w:pPr>
        <w:pStyle w:val="Heading2"/>
        <w:rPr>
          <w:rFonts w:ascii="Times New Roman" w:hAnsi="Times New Roman" w:cs="Times New Roman"/>
          <w:szCs w:val="24"/>
        </w:rPr>
      </w:pPr>
      <w:bookmarkStart w:id="8" w:name="_Toc52376368"/>
      <w:r w:rsidRPr="00A81E46">
        <w:rPr>
          <w:rFonts w:ascii="Times New Roman" w:hAnsi="Times New Roman" w:cs="Times New Roman"/>
          <w:szCs w:val="24"/>
        </w:rPr>
        <w:t>F.</w:t>
      </w:r>
      <w:r w:rsidRPr="00A81E46">
        <w:rPr>
          <w:rFonts w:ascii="Times New Roman" w:hAnsi="Times New Roman" w:cs="Times New Roman"/>
          <w:szCs w:val="24"/>
        </w:rPr>
        <w:tab/>
      </w:r>
      <w:r w:rsidRPr="00A81E46" w:rsidR="00767AA9">
        <w:rPr>
          <w:rFonts w:ascii="Times New Roman" w:hAnsi="Times New Roman" w:cs="Times New Roman"/>
          <w:szCs w:val="24"/>
        </w:rPr>
        <w:t>The PUCO has jurisdiction to issue a</w:t>
      </w:r>
      <w:r w:rsidRPr="00A81E46" w:rsidR="00560B0B">
        <w:rPr>
          <w:rFonts w:ascii="Times New Roman" w:hAnsi="Times New Roman" w:cs="Times New Roman"/>
          <w:szCs w:val="24"/>
        </w:rPr>
        <w:t xml:space="preserve"> show cause </w:t>
      </w:r>
      <w:r w:rsidRPr="00A81E46" w:rsidR="00767AA9">
        <w:rPr>
          <w:rFonts w:ascii="Times New Roman" w:hAnsi="Times New Roman" w:cs="Times New Roman"/>
          <w:szCs w:val="24"/>
        </w:rPr>
        <w:t xml:space="preserve">order against </w:t>
      </w:r>
      <w:r w:rsidRPr="00A81E46" w:rsidR="00560B0B">
        <w:rPr>
          <w:rFonts w:ascii="Times New Roman" w:hAnsi="Times New Roman" w:cs="Times New Roman"/>
          <w:szCs w:val="24"/>
        </w:rPr>
        <w:t xml:space="preserve">FirstEnergy Utilities </w:t>
      </w:r>
      <w:r w:rsidRPr="00A81E46" w:rsidR="00767AA9">
        <w:rPr>
          <w:rFonts w:ascii="Times New Roman" w:hAnsi="Times New Roman" w:cs="Times New Roman"/>
          <w:szCs w:val="24"/>
        </w:rPr>
        <w:t xml:space="preserve">to prove that they </w:t>
      </w:r>
      <w:r w:rsidRPr="00A81E46" w:rsidR="00560B0B">
        <w:rPr>
          <w:rFonts w:ascii="Times New Roman" w:hAnsi="Times New Roman" w:cs="Times New Roman"/>
          <w:szCs w:val="24"/>
        </w:rPr>
        <w:t xml:space="preserve">have not wrongfully charged </w:t>
      </w:r>
      <w:r w:rsidRPr="00A81E46" w:rsidR="00412D5C">
        <w:rPr>
          <w:rFonts w:ascii="Times New Roman" w:hAnsi="Times New Roman" w:cs="Times New Roman"/>
          <w:szCs w:val="24"/>
        </w:rPr>
        <w:t>their</w:t>
      </w:r>
      <w:r w:rsidRPr="00A81E46" w:rsidR="00560B0B">
        <w:rPr>
          <w:rFonts w:ascii="Times New Roman" w:hAnsi="Times New Roman" w:cs="Times New Roman"/>
          <w:szCs w:val="24"/>
        </w:rPr>
        <w:t xml:space="preserve"> customers for House Bill 6 activities</w:t>
      </w:r>
      <w:r w:rsidRPr="00A81E46" w:rsidR="00C51F5E">
        <w:rPr>
          <w:rFonts w:ascii="Times New Roman" w:hAnsi="Times New Roman" w:cs="Times New Roman"/>
          <w:szCs w:val="24"/>
        </w:rPr>
        <w:t>.</w:t>
      </w:r>
      <w:bookmarkEnd w:id="8"/>
    </w:p>
    <w:p w:rsidR="00FE1CFE" w:rsidRPr="00A81E46" w:rsidP="003059B6" w14:paraId="65FEA980" w14:textId="3EE1C204">
      <w:pPr>
        <w:spacing w:line="480" w:lineRule="auto"/>
        <w:ind w:firstLine="720"/>
        <w:rPr>
          <w:szCs w:val="24"/>
        </w:rPr>
      </w:pPr>
      <w:r w:rsidRPr="00A81E46">
        <w:rPr>
          <w:szCs w:val="24"/>
        </w:rPr>
        <w:t xml:space="preserve">FirstEnergy Utilities argue that OCC’s request for a show cause Order from the PUCO is a “kitchen sink” motion that is improper and moot now that the PUCO has opened Case No. 20-152-EL-UNC. </w:t>
      </w:r>
      <w:r w:rsidRPr="00A81E46" w:rsidR="00C51F5E">
        <w:rPr>
          <w:szCs w:val="24"/>
        </w:rPr>
        <w:t xml:space="preserve">That argument should be rejected.  </w:t>
      </w:r>
    </w:p>
    <w:p w:rsidR="00615ECC" w:rsidRPr="00A81E46" w:rsidP="003059B6" w14:paraId="605AE89F" w14:textId="3875820E">
      <w:pPr>
        <w:spacing w:line="480" w:lineRule="auto"/>
        <w:ind w:firstLine="720"/>
        <w:rPr>
          <w:szCs w:val="24"/>
        </w:rPr>
      </w:pPr>
      <w:r w:rsidRPr="00A81E46">
        <w:rPr>
          <w:szCs w:val="24"/>
        </w:rPr>
        <w:t xml:space="preserve">For the reasons explained above, the PUCO has jurisdiction under R.C. 4905.05 and </w:t>
      </w:r>
      <w:r w:rsidRPr="00A81E46" w:rsidR="003059B6">
        <w:rPr>
          <w:szCs w:val="24"/>
        </w:rPr>
        <w:t>4905.06</w:t>
      </w:r>
      <w:r w:rsidRPr="00A81E46" w:rsidR="001E29D2">
        <w:rPr>
          <w:szCs w:val="24"/>
        </w:rPr>
        <w:t xml:space="preserve"> (and 4909.154) </w:t>
      </w:r>
      <w:r w:rsidRPr="00A81E46">
        <w:rPr>
          <w:szCs w:val="24"/>
        </w:rPr>
        <w:t xml:space="preserve">over both FirstEnergy and FirstEnergy Corp. with respect to “their compliance with all laws and orders of the commission, insofar as any of such matters may relate to the costs associated with the provision of electric utility service by public utilities in this state which are affiliated or associated with such companies.” </w:t>
      </w:r>
      <w:r w:rsidRPr="00A81E46" w:rsidR="003059B6">
        <w:rPr>
          <w:szCs w:val="24"/>
        </w:rPr>
        <w:t>This means that the PUCO can examine</w:t>
      </w:r>
      <w:r w:rsidRPr="00A81E46" w:rsidR="00321CC9">
        <w:rPr>
          <w:szCs w:val="24"/>
        </w:rPr>
        <w:t xml:space="preserve"> whether</w:t>
      </w:r>
      <w:r w:rsidRPr="00A81E46" w:rsidR="003059B6">
        <w:rPr>
          <w:szCs w:val="24"/>
        </w:rPr>
        <w:t xml:space="preserve"> the</w:t>
      </w:r>
      <w:r w:rsidRPr="00A81E46">
        <w:rPr>
          <w:szCs w:val="24"/>
        </w:rPr>
        <w:t xml:space="preserve"> “costs associated with the provision of electric utility service” to</w:t>
      </w:r>
      <w:r w:rsidRPr="00A81E46" w:rsidR="003059B6">
        <w:rPr>
          <w:szCs w:val="24"/>
        </w:rPr>
        <w:t xml:space="preserve"> FirstEnergy’s</w:t>
      </w:r>
      <w:r w:rsidRPr="00A81E46">
        <w:rPr>
          <w:szCs w:val="24"/>
        </w:rPr>
        <w:t xml:space="preserve"> consumers were used directly or indirectly to fund activities</w:t>
      </w:r>
      <w:r w:rsidRPr="00A81E46" w:rsidR="003059B6">
        <w:rPr>
          <w:szCs w:val="24"/>
        </w:rPr>
        <w:t xml:space="preserve"> by FirstEnergy Corp. (or FirstEnergy)</w:t>
      </w:r>
      <w:r w:rsidRPr="00A81E46">
        <w:rPr>
          <w:szCs w:val="24"/>
        </w:rPr>
        <w:t xml:space="preserve"> to support HB 6 or to prevent a referendum on HB 6.</w:t>
      </w:r>
    </w:p>
    <w:p w:rsidR="003059B6" w:rsidRPr="00A81E46" w:rsidP="003059B6" w14:paraId="7A325959" w14:textId="76ED1486">
      <w:pPr>
        <w:spacing w:line="480" w:lineRule="auto"/>
        <w:ind w:firstLine="720"/>
        <w:rPr>
          <w:szCs w:val="24"/>
        </w:rPr>
      </w:pPr>
      <w:r w:rsidRPr="00A81E46">
        <w:rPr>
          <w:szCs w:val="24"/>
        </w:rPr>
        <w:t xml:space="preserve">While the PUCO’s directive to FirstEnergy in Case No. 20-1502-EL-UNC to show cause </w:t>
      </w:r>
      <w:r w:rsidRPr="00A81E46" w:rsidR="00C07774">
        <w:rPr>
          <w:szCs w:val="24"/>
        </w:rPr>
        <w:t xml:space="preserve">is a step in the right direction, </w:t>
      </w:r>
      <w:r w:rsidRPr="00A81E46" w:rsidR="000E6E19">
        <w:rPr>
          <w:szCs w:val="24"/>
        </w:rPr>
        <w:t xml:space="preserve">much </w:t>
      </w:r>
      <w:r w:rsidRPr="00A81E46" w:rsidR="00C07774">
        <w:rPr>
          <w:szCs w:val="24"/>
        </w:rPr>
        <w:t>more is required to</w:t>
      </w:r>
      <w:r w:rsidRPr="00A81E46" w:rsidR="001C25B0">
        <w:rPr>
          <w:szCs w:val="24"/>
        </w:rPr>
        <w:t xml:space="preserve"> protect consumers. </w:t>
      </w:r>
      <w:r w:rsidRPr="00A81E46" w:rsidR="00863227">
        <w:rPr>
          <w:szCs w:val="24"/>
        </w:rPr>
        <w:t xml:space="preserve">In the interest of justice for Ohio consumers, the </w:t>
      </w:r>
      <w:r w:rsidRPr="00A81E46" w:rsidR="001C25B0">
        <w:rPr>
          <w:szCs w:val="24"/>
        </w:rPr>
        <w:t xml:space="preserve">PUCO should </w:t>
      </w:r>
      <w:r w:rsidRPr="00A81E46" w:rsidR="00863227">
        <w:rPr>
          <w:szCs w:val="24"/>
        </w:rPr>
        <w:t>expand its show cause order in Case No. 20-1502-EL-UNC</w:t>
      </w:r>
      <w:r w:rsidRPr="00A81E46" w:rsidR="001C25B0">
        <w:rPr>
          <w:szCs w:val="24"/>
        </w:rPr>
        <w:t xml:space="preserve"> </w:t>
      </w:r>
      <w:r w:rsidRPr="00A81E46" w:rsidR="00863227">
        <w:rPr>
          <w:szCs w:val="24"/>
        </w:rPr>
        <w:t>to</w:t>
      </w:r>
      <w:r w:rsidRPr="00A81E46" w:rsidR="001C25B0">
        <w:rPr>
          <w:szCs w:val="24"/>
        </w:rPr>
        <w:t xml:space="preserve"> require b</w:t>
      </w:r>
      <w:r w:rsidRPr="00A81E46" w:rsidR="00863227">
        <w:rPr>
          <w:szCs w:val="24"/>
        </w:rPr>
        <w:t>oth FirstEnergy and FirstEnergy Corp.</w:t>
      </w:r>
      <w:r w:rsidRPr="00A81E46" w:rsidR="001C25B0">
        <w:rPr>
          <w:szCs w:val="24"/>
        </w:rPr>
        <w:t xml:space="preserve"> to demonstrate that they did not </w:t>
      </w:r>
      <w:r w:rsidRPr="00A81E46" w:rsidR="00863227">
        <w:rPr>
          <w:szCs w:val="24"/>
        </w:rPr>
        <w:t>violate any Ohio regulatory laws or PUCO rules or orders with respect to their H</w:t>
      </w:r>
      <w:r w:rsidRPr="00A81E46" w:rsidR="00C359D6">
        <w:rPr>
          <w:szCs w:val="24"/>
        </w:rPr>
        <w:t xml:space="preserve">ouse </w:t>
      </w:r>
      <w:r w:rsidRPr="00A81E46" w:rsidR="00863227">
        <w:rPr>
          <w:szCs w:val="24"/>
        </w:rPr>
        <w:t>B</w:t>
      </w:r>
      <w:r w:rsidRPr="00A81E46" w:rsidR="00C359D6">
        <w:rPr>
          <w:szCs w:val="24"/>
        </w:rPr>
        <w:t xml:space="preserve">ill </w:t>
      </w:r>
      <w:r w:rsidRPr="00A81E46" w:rsidR="00863227">
        <w:rPr>
          <w:szCs w:val="24"/>
        </w:rPr>
        <w:t>6 activities.</w:t>
      </w:r>
      <w:r w:rsidRPr="00A81E46" w:rsidR="001C25B0">
        <w:rPr>
          <w:szCs w:val="24"/>
        </w:rPr>
        <w:t xml:space="preserve"> </w:t>
      </w:r>
      <w:r w:rsidRPr="00A81E46">
        <w:rPr>
          <w:szCs w:val="24"/>
        </w:rPr>
        <w:t xml:space="preserve"> </w:t>
      </w:r>
    </w:p>
    <w:p w:rsidR="00E37AB7" w:rsidRPr="00A81E46" w:rsidP="00E37AB7" w14:paraId="10A7F73C" w14:textId="77777777">
      <w:pPr>
        <w:ind w:firstLine="720"/>
        <w:rPr>
          <w:szCs w:val="24"/>
        </w:rPr>
      </w:pPr>
    </w:p>
    <w:p w:rsidR="00095439" w:rsidRPr="00A81E46" w:rsidP="0025632B" w14:paraId="4B38AAA7" w14:textId="0F99E92E">
      <w:pPr>
        <w:pStyle w:val="Heading1"/>
        <w:rPr>
          <w:rFonts w:cs="Times New Roman"/>
          <w:szCs w:val="24"/>
        </w:rPr>
      </w:pPr>
      <w:bookmarkStart w:id="9" w:name="_Toc52376369"/>
      <w:r w:rsidRPr="00A81E46">
        <w:rPr>
          <w:rFonts w:cs="Times New Roman"/>
          <w:szCs w:val="24"/>
        </w:rPr>
        <w:t>III.</w:t>
      </w:r>
      <w:r w:rsidRPr="00A81E46">
        <w:rPr>
          <w:rFonts w:cs="Times New Roman"/>
          <w:szCs w:val="24"/>
        </w:rPr>
        <w:tab/>
      </w:r>
      <w:r w:rsidRPr="00A81E46" w:rsidR="0076727E">
        <w:rPr>
          <w:rFonts w:cs="Times New Roman"/>
          <w:szCs w:val="24"/>
        </w:rPr>
        <w:t>CONCLUSION</w:t>
      </w:r>
      <w:bookmarkEnd w:id="9"/>
    </w:p>
    <w:p w:rsidR="0076727E" w:rsidRPr="00A81E46" w:rsidP="0076727E" w14:paraId="73BA23D3" w14:textId="6B494D07">
      <w:pPr>
        <w:spacing w:line="480" w:lineRule="auto"/>
        <w:ind w:firstLine="720"/>
        <w:rPr>
          <w:szCs w:val="24"/>
        </w:rPr>
      </w:pPr>
      <w:r w:rsidRPr="00A81E46">
        <w:rPr>
          <w:szCs w:val="24"/>
        </w:rPr>
        <w:t xml:space="preserve">The FirstEnergy Utilities and their owner, FirstEnergy Corp., should be cooperating with the PUCO for a full investigation of whether electric utility consumers and their electric service were harmed by FirstEnergy activities involved in the House Bill 6 scandal. At a minimum </w:t>
      </w:r>
      <w:r w:rsidRPr="00A81E46" w:rsidR="00216E37">
        <w:rPr>
          <w:szCs w:val="24"/>
        </w:rPr>
        <w:t>FirstEnergy</w:t>
      </w:r>
      <w:r w:rsidRPr="00A81E46">
        <w:rPr>
          <w:szCs w:val="24"/>
        </w:rPr>
        <w:t xml:space="preserve"> should get out of the PUCO’s way</w:t>
      </w:r>
      <w:r w:rsidRPr="00A81E46" w:rsidR="00F071D9">
        <w:rPr>
          <w:szCs w:val="24"/>
        </w:rPr>
        <w:t>.</w:t>
      </w:r>
      <w:r w:rsidRPr="00A81E46">
        <w:rPr>
          <w:szCs w:val="24"/>
        </w:rPr>
        <w:t xml:space="preserve"> </w:t>
      </w:r>
      <w:r w:rsidRPr="00A81E46" w:rsidR="0046537B">
        <w:rPr>
          <w:szCs w:val="24"/>
        </w:rPr>
        <w:t xml:space="preserve">To protect </w:t>
      </w:r>
      <w:r w:rsidRPr="00A81E46" w:rsidR="00F071D9">
        <w:rPr>
          <w:szCs w:val="24"/>
        </w:rPr>
        <w:t xml:space="preserve">millions of electric utility </w:t>
      </w:r>
      <w:r w:rsidRPr="00A81E46" w:rsidR="0046537B">
        <w:rPr>
          <w:szCs w:val="24"/>
        </w:rPr>
        <w:t>consumers</w:t>
      </w:r>
      <w:r w:rsidRPr="00A81E46" w:rsidR="00F071D9">
        <w:rPr>
          <w:szCs w:val="24"/>
        </w:rPr>
        <w:t>,</w:t>
      </w:r>
      <w:r w:rsidRPr="00A81E46" w:rsidR="0046537B">
        <w:rPr>
          <w:szCs w:val="24"/>
        </w:rPr>
        <w:t xml:space="preserve"> the PUCO should grant OCC’s motions</w:t>
      </w:r>
      <w:r w:rsidRPr="00A81E46" w:rsidR="00F071D9">
        <w:rPr>
          <w:szCs w:val="24"/>
        </w:rPr>
        <w:t xml:space="preserve"> regarding an investigation of FirstEnergy </w:t>
      </w:r>
      <w:r w:rsidRPr="00A81E46" w:rsidR="00C359D6">
        <w:rPr>
          <w:szCs w:val="24"/>
        </w:rPr>
        <w:t xml:space="preserve">Utilities </w:t>
      </w:r>
      <w:r w:rsidRPr="00A81E46" w:rsidR="00F071D9">
        <w:rPr>
          <w:szCs w:val="24"/>
        </w:rPr>
        <w:t xml:space="preserve">and </w:t>
      </w:r>
      <w:r w:rsidRPr="00A81E46" w:rsidR="00C359D6">
        <w:rPr>
          <w:szCs w:val="24"/>
        </w:rPr>
        <w:t xml:space="preserve">their </w:t>
      </w:r>
      <w:r w:rsidRPr="00A81E46" w:rsidR="00F071D9">
        <w:rPr>
          <w:szCs w:val="24"/>
        </w:rPr>
        <w:t>involvement in the House Bill 6 scandal</w:t>
      </w:r>
      <w:r w:rsidRPr="00A81E46" w:rsidR="00C36628">
        <w:rPr>
          <w:szCs w:val="24"/>
        </w:rPr>
        <w:t xml:space="preserve">. </w:t>
      </w:r>
    </w:p>
    <w:p w:rsidR="004B033E" w:rsidRPr="00A81E46" w:rsidP="004D2DDD" w14:paraId="00324A13" w14:textId="09622773">
      <w:pPr>
        <w:pStyle w:val="Footer"/>
        <w:tabs>
          <w:tab w:val="left" w:pos="4320"/>
          <w:tab w:val="clear" w:pos="8640"/>
        </w:tabs>
        <w:spacing w:before="240"/>
        <w:rPr>
          <w:sz w:val="24"/>
          <w:szCs w:val="24"/>
        </w:rPr>
      </w:pPr>
      <w:r w:rsidRPr="00A81E46">
        <w:rPr>
          <w:sz w:val="24"/>
          <w:szCs w:val="24"/>
        </w:rPr>
        <w:tab/>
        <w:t>Respectfully submitted,</w:t>
      </w:r>
    </w:p>
    <w:p w:rsidR="004D2DDD" w:rsidRPr="00A81E46" w:rsidP="004D2DDD" w14:paraId="319510DF" w14:textId="2450623E">
      <w:pPr>
        <w:pStyle w:val="Footer"/>
        <w:tabs>
          <w:tab w:val="left" w:pos="4320"/>
          <w:tab w:val="clear" w:pos="8640"/>
        </w:tabs>
        <w:spacing w:before="240"/>
        <w:rPr>
          <w:sz w:val="24"/>
          <w:szCs w:val="24"/>
        </w:rPr>
      </w:pPr>
      <w:r w:rsidRPr="00A81E46">
        <w:rPr>
          <w:sz w:val="24"/>
          <w:szCs w:val="24"/>
        </w:rPr>
        <w:tab/>
        <w:t>Bruce Weston (#0016973)</w:t>
      </w:r>
    </w:p>
    <w:p w:rsidR="004D2DDD" w:rsidRPr="00A81E46" w:rsidP="004D2DDD" w14:paraId="3EB51081" w14:textId="77777777">
      <w:pPr>
        <w:tabs>
          <w:tab w:val="left" w:pos="4320"/>
        </w:tabs>
        <w:rPr>
          <w:szCs w:val="24"/>
        </w:rPr>
      </w:pPr>
      <w:r w:rsidRPr="00A81E46">
        <w:rPr>
          <w:szCs w:val="24"/>
        </w:rPr>
        <w:tab/>
        <w:t>Ohio Consumers’ Counsel</w:t>
      </w:r>
    </w:p>
    <w:p w:rsidR="004D2DDD" w:rsidRPr="00A81E46" w:rsidP="004D2DDD" w14:paraId="4347085E" w14:textId="77777777">
      <w:pPr>
        <w:tabs>
          <w:tab w:val="left" w:pos="4320"/>
        </w:tabs>
        <w:rPr>
          <w:szCs w:val="24"/>
        </w:rPr>
      </w:pPr>
      <w:r w:rsidRPr="00A81E46">
        <w:rPr>
          <w:szCs w:val="24"/>
        </w:rPr>
        <w:tab/>
      </w:r>
    </w:p>
    <w:p w:rsidR="004E15DE" w:rsidRPr="00A81E46" w:rsidP="004D2DDD" w14:paraId="1BE71918" w14:textId="7D1D4A2A">
      <w:pPr>
        <w:tabs>
          <w:tab w:val="left" w:pos="4320"/>
        </w:tabs>
        <w:rPr>
          <w:i/>
          <w:iCs/>
          <w:szCs w:val="24"/>
          <w:u w:val="single"/>
        </w:rPr>
      </w:pPr>
      <w:r w:rsidRPr="00A81E46">
        <w:rPr>
          <w:szCs w:val="24"/>
        </w:rPr>
        <w:tab/>
      </w:r>
      <w:r w:rsidRPr="00A81E46">
        <w:rPr>
          <w:i/>
          <w:iCs/>
          <w:szCs w:val="24"/>
          <w:u w:val="single"/>
        </w:rPr>
        <w:t>/s/ Maureen R. Willis</w:t>
      </w:r>
    </w:p>
    <w:p w:rsidR="004D2DDD" w:rsidRPr="00A81E46" w:rsidP="004D2DDD" w14:paraId="1718E062" w14:textId="5FE3FC9B">
      <w:pPr>
        <w:tabs>
          <w:tab w:val="left" w:pos="4320"/>
        </w:tabs>
        <w:rPr>
          <w:szCs w:val="24"/>
        </w:rPr>
      </w:pPr>
      <w:r w:rsidRPr="00A81E46">
        <w:rPr>
          <w:szCs w:val="24"/>
        </w:rPr>
        <w:tab/>
        <w:t>Maureen R. Willis, Senior Counsel</w:t>
      </w:r>
    </w:p>
    <w:p w:rsidR="004D2DDD" w:rsidRPr="00A81E46" w:rsidP="004D2DDD" w14:paraId="3064C819" w14:textId="77777777">
      <w:pPr>
        <w:tabs>
          <w:tab w:val="left" w:pos="4320"/>
        </w:tabs>
        <w:rPr>
          <w:szCs w:val="24"/>
        </w:rPr>
      </w:pPr>
      <w:r w:rsidRPr="00A81E46">
        <w:rPr>
          <w:szCs w:val="24"/>
        </w:rPr>
        <w:tab/>
        <w:t>Counsel of Record  (#0020847)</w:t>
      </w:r>
    </w:p>
    <w:p w:rsidR="004D2DDD" w:rsidRPr="00A81E46" w:rsidP="004D2DDD" w14:paraId="255D3F46" w14:textId="77777777">
      <w:pPr>
        <w:tabs>
          <w:tab w:val="left" w:pos="4320"/>
        </w:tabs>
        <w:rPr>
          <w:szCs w:val="24"/>
        </w:rPr>
      </w:pPr>
      <w:r w:rsidRPr="00A81E46">
        <w:rPr>
          <w:szCs w:val="24"/>
        </w:rPr>
        <w:tab/>
        <w:t>William J. Michael (#0070921)</w:t>
      </w:r>
    </w:p>
    <w:p w:rsidR="004D2DDD" w:rsidRPr="00A81E46" w:rsidP="004D2DDD" w14:paraId="05513241" w14:textId="77777777">
      <w:pPr>
        <w:tabs>
          <w:tab w:val="left" w:pos="4320"/>
        </w:tabs>
        <w:rPr>
          <w:szCs w:val="24"/>
        </w:rPr>
      </w:pPr>
      <w:r w:rsidRPr="00A81E46">
        <w:rPr>
          <w:szCs w:val="24"/>
        </w:rPr>
        <w:tab/>
        <w:t>Angela D. O’Brien (#0097579)</w:t>
      </w:r>
    </w:p>
    <w:p w:rsidR="004D2DDD" w:rsidRPr="00A81E46" w:rsidP="004D2DDD" w14:paraId="1701A894" w14:textId="77777777">
      <w:pPr>
        <w:tabs>
          <w:tab w:val="left" w:pos="4320"/>
        </w:tabs>
        <w:rPr>
          <w:szCs w:val="24"/>
        </w:rPr>
      </w:pPr>
      <w:r w:rsidRPr="00A81E46">
        <w:rPr>
          <w:szCs w:val="24"/>
        </w:rPr>
        <w:tab/>
        <w:t>Assistant Consumers’ Counsel</w:t>
      </w:r>
    </w:p>
    <w:p w:rsidR="004D2DDD" w:rsidRPr="00A81E46" w:rsidP="004D2DDD" w14:paraId="35ACFBC0" w14:textId="77777777">
      <w:pPr>
        <w:rPr>
          <w:szCs w:val="24"/>
        </w:rPr>
      </w:pPr>
      <w:r w:rsidRPr="00A81E46">
        <w:rPr>
          <w:szCs w:val="24"/>
        </w:rPr>
        <w:tab/>
      </w:r>
    </w:p>
    <w:p w:rsidR="004D2DDD" w:rsidRPr="00A81E46" w:rsidP="004D2DDD" w14:paraId="4842C140" w14:textId="77777777">
      <w:pPr>
        <w:ind w:left="4320"/>
        <w:rPr>
          <w:b/>
          <w:bCs/>
          <w:szCs w:val="24"/>
        </w:rPr>
      </w:pPr>
      <w:bookmarkStart w:id="10" w:name="_Toc50450886"/>
      <w:r w:rsidRPr="00A81E46">
        <w:rPr>
          <w:b/>
          <w:bCs/>
          <w:szCs w:val="24"/>
        </w:rPr>
        <w:t>Office of the Ohio Consumers’ Counsel</w:t>
      </w:r>
      <w:bookmarkEnd w:id="10"/>
    </w:p>
    <w:p w:rsidR="004D2DDD" w:rsidRPr="00A81E46" w:rsidP="004D2DDD" w14:paraId="4D819BE5" w14:textId="65B7386A">
      <w:pPr>
        <w:rPr>
          <w:bCs/>
          <w:szCs w:val="24"/>
        </w:rPr>
      </w:pPr>
      <w:bookmarkStart w:id="11" w:name="_Toc50450888"/>
      <w:r w:rsidRPr="00A81E46">
        <w:rPr>
          <w:szCs w:val="24"/>
        </w:rPr>
        <w:tab/>
      </w:r>
      <w:r w:rsidRPr="00A81E46">
        <w:rPr>
          <w:szCs w:val="24"/>
        </w:rPr>
        <w:tab/>
      </w:r>
      <w:r w:rsidRPr="00A81E46">
        <w:rPr>
          <w:szCs w:val="24"/>
        </w:rPr>
        <w:tab/>
      </w:r>
      <w:r w:rsidRPr="00A81E46">
        <w:rPr>
          <w:szCs w:val="24"/>
        </w:rPr>
        <w:tab/>
      </w:r>
      <w:r w:rsidRPr="00A81E46">
        <w:rPr>
          <w:szCs w:val="24"/>
        </w:rPr>
        <w:tab/>
      </w:r>
      <w:r w:rsidRPr="00A81E46">
        <w:rPr>
          <w:szCs w:val="24"/>
        </w:rPr>
        <w:tab/>
      </w:r>
      <w:r w:rsidRPr="00A81E46">
        <w:rPr>
          <w:bCs/>
          <w:szCs w:val="24"/>
        </w:rPr>
        <w:t>Columbus, Ohio 43215</w:t>
      </w:r>
      <w:bookmarkEnd w:id="11"/>
    </w:p>
    <w:p w:rsidR="004D2DDD" w:rsidRPr="00A81E46" w:rsidP="004D2DDD" w14:paraId="00467876" w14:textId="77777777">
      <w:pPr>
        <w:autoSpaceDE w:val="0"/>
        <w:autoSpaceDN w:val="0"/>
        <w:adjustRightInd w:val="0"/>
        <w:ind w:left="3600" w:firstLine="720"/>
        <w:rPr>
          <w:szCs w:val="24"/>
        </w:rPr>
      </w:pPr>
      <w:r w:rsidRPr="00A81E46">
        <w:rPr>
          <w:szCs w:val="24"/>
        </w:rPr>
        <w:t xml:space="preserve">Telephone: (614) 466-9567 (Willis) </w:t>
      </w:r>
    </w:p>
    <w:p w:rsidR="004D2DDD" w:rsidRPr="00A81E46" w:rsidP="004D2DDD" w14:paraId="2A87F94C" w14:textId="77777777">
      <w:pPr>
        <w:autoSpaceDE w:val="0"/>
        <w:autoSpaceDN w:val="0"/>
        <w:adjustRightInd w:val="0"/>
        <w:ind w:left="3600" w:firstLine="720"/>
        <w:rPr>
          <w:szCs w:val="24"/>
        </w:rPr>
      </w:pPr>
      <w:r w:rsidRPr="00A81E46">
        <w:rPr>
          <w:szCs w:val="24"/>
        </w:rPr>
        <w:t xml:space="preserve">Telephone: (614) 466-9531 (O’Brien) </w:t>
      </w:r>
    </w:p>
    <w:p w:rsidR="004D2DDD" w:rsidRPr="00A81E46" w:rsidP="004D2DDD" w14:paraId="3D739574" w14:textId="77777777">
      <w:pPr>
        <w:autoSpaceDE w:val="0"/>
        <w:autoSpaceDN w:val="0"/>
        <w:adjustRightInd w:val="0"/>
        <w:ind w:left="3600" w:firstLine="720"/>
        <w:rPr>
          <w:szCs w:val="24"/>
        </w:rPr>
      </w:pPr>
      <w:r w:rsidRPr="00A81E46">
        <w:rPr>
          <w:szCs w:val="24"/>
        </w:rPr>
        <w:t>Telephone: (614) 466-1291 (Michael)</w:t>
      </w:r>
    </w:p>
    <w:p w:rsidR="004D2DDD" w:rsidRPr="00A81E46" w:rsidP="004D2DDD" w14:paraId="163957E3" w14:textId="77777777">
      <w:pPr>
        <w:autoSpaceDE w:val="0"/>
        <w:autoSpaceDN w:val="0"/>
        <w:adjustRightInd w:val="0"/>
        <w:ind w:left="3600" w:firstLine="720"/>
        <w:rPr>
          <w:szCs w:val="24"/>
        </w:rPr>
      </w:pPr>
      <w:hyperlink r:id="rId6" w:history="1">
        <w:r w:rsidRPr="00A81E46" w:rsidR="00D56922">
          <w:rPr>
            <w:rStyle w:val="Hyperlink"/>
            <w:szCs w:val="24"/>
          </w:rPr>
          <w:t>Maureen.willis@occ.ohio.gov</w:t>
        </w:r>
      </w:hyperlink>
    </w:p>
    <w:p w:rsidR="004D2DDD" w:rsidRPr="00A81E46" w:rsidP="004D2DDD" w14:paraId="30ED63A7" w14:textId="77777777">
      <w:pPr>
        <w:autoSpaceDE w:val="0"/>
        <w:autoSpaceDN w:val="0"/>
        <w:adjustRightInd w:val="0"/>
        <w:ind w:left="3600" w:firstLine="720"/>
        <w:rPr>
          <w:szCs w:val="24"/>
        </w:rPr>
      </w:pPr>
      <w:hyperlink r:id="rId7" w:history="1">
        <w:r w:rsidRPr="00A81E46" w:rsidR="00D56922">
          <w:rPr>
            <w:rStyle w:val="Hyperlink"/>
            <w:szCs w:val="24"/>
          </w:rPr>
          <w:t>William.michael@occ.ohio.gov</w:t>
        </w:r>
      </w:hyperlink>
    </w:p>
    <w:p w:rsidR="004D2DDD" w:rsidRPr="00A81E46" w:rsidP="004D2DDD" w14:paraId="1E14BC63" w14:textId="77777777">
      <w:pPr>
        <w:autoSpaceDE w:val="0"/>
        <w:autoSpaceDN w:val="0"/>
        <w:adjustRightInd w:val="0"/>
        <w:ind w:left="3600" w:firstLine="720"/>
        <w:rPr>
          <w:szCs w:val="24"/>
        </w:rPr>
      </w:pPr>
      <w:hyperlink r:id="rId8" w:history="1">
        <w:r w:rsidRPr="00A81E46" w:rsidR="00D56922">
          <w:rPr>
            <w:rStyle w:val="Hyperlink"/>
            <w:szCs w:val="24"/>
          </w:rPr>
          <w:t>Angela.obrien@occ.ohio.gov</w:t>
        </w:r>
      </w:hyperlink>
    </w:p>
    <w:p w:rsidR="00F76EF8" w:rsidRPr="00A81E46" w:rsidP="004D2DDD" w14:paraId="16A4D753" w14:textId="40FC2B46">
      <w:pPr>
        <w:rPr>
          <w:szCs w:val="24"/>
        </w:rPr>
      </w:pPr>
      <w:r w:rsidRPr="00A81E46">
        <w:rPr>
          <w:szCs w:val="24"/>
        </w:rPr>
        <w:tab/>
      </w:r>
      <w:r w:rsidRPr="00A81E46">
        <w:rPr>
          <w:szCs w:val="24"/>
        </w:rPr>
        <w:tab/>
      </w:r>
      <w:r w:rsidRPr="00A81E46">
        <w:rPr>
          <w:szCs w:val="24"/>
        </w:rPr>
        <w:tab/>
      </w:r>
      <w:r w:rsidRPr="00A81E46">
        <w:rPr>
          <w:szCs w:val="24"/>
        </w:rPr>
        <w:tab/>
      </w:r>
      <w:r w:rsidRPr="00A81E46">
        <w:rPr>
          <w:szCs w:val="24"/>
        </w:rPr>
        <w:tab/>
      </w:r>
      <w:r w:rsidRPr="00A81E46">
        <w:rPr>
          <w:szCs w:val="24"/>
        </w:rPr>
        <w:tab/>
        <w:t>(willing to accept service by e-mail)</w:t>
      </w:r>
    </w:p>
    <w:p w:rsidR="004B033E" w:rsidRPr="00A81E46" w:rsidP="004D2DDD" w14:paraId="2515046F" w14:textId="16322946">
      <w:pPr>
        <w:rPr>
          <w:szCs w:val="24"/>
        </w:rPr>
      </w:pPr>
    </w:p>
    <w:p w:rsidR="004B033E" w:rsidRPr="00A81E46" w:rsidP="004D2DDD" w14:paraId="1D6620D9" w14:textId="7206E412">
      <w:pPr>
        <w:rPr>
          <w:szCs w:val="24"/>
        </w:rPr>
      </w:pPr>
    </w:p>
    <w:p w:rsidR="004B033E" w:rsidRPr="00A81E46" w:rsidP="004D2DDD" w14:paraId="113D2F2C" w14:textId="77777777">
      <w:pPr>
        <w:rPr>
          <w:szCs w:val="24"/>
        </w:rPr>
        <w:sectPr w:rsidSect="00EB71A2">
          <w:headerReference w:type="default" r:id="rId12"/>
          <w:footerReference w:type="default" r:id="rId13"/>
          <w:pgSz w:w="12240" w:h="15840"/>
          <w:pgMar w:top="1440" w:right="1440" w:bottom="1440" w:left="1440" w:header="720" w:footer="720" w:gutter="0"/>
          <w:pgNumType w:start="1"/>
          <w:cols w:space="720"/>
          <w:docGrid w:linePitch="360"/>
        </w:sectPr>
      </w:pPr>
    </w:p>
    <w:p w:rsidR="001373C5" w:rsidRPr="00A81E46" w:rsidP="001373C5" w14:paraId="1D98C06D" w14:textId="77777777">
      <w:pPr>
        <w:jc w:val="center"/>
        <w:rPr>
          <w:b/>
          <w:bCs/>
          <w:szCs w:val="24"/>
          <w:u w:val="single"/>
        </w:rPr>
      </w:pPr>
      <w:r w:rsidRPr="00A81E46">
        <w:rPr>
          <w:b/>
          <w:bCs/>
          <w:szCs w:val="24"/>
          <w:u w:val="single"/>
        </w:rPr>
        <w:t>CERTIFICATE OF SERVICE</w:t>
      </w:r>
    </w:p>
    <w:p w:rsidR="001373C5" w:rsidRPr="00A81E46" w:rsidP="001373C5" w14:paraId="081AE327" w14:textId="453E3AEB">
      <w:pPr>
        <w:spacing w:line="480" w:lineRule="atLeast"/>
        <w:rPr>
          <w:szCs w:val="24"/>
        </w:rPr>
      </w:pPr>
      <w:r w:rsidRPr="00A81E46">
        <w:rPr>
          <w:szCs w:val="24"/>
        </w:rPr>
        <w:tab/>
        <w:t xml:space="preserve">I hereby certify that a copy of this Reply was served on the persons stated below </w:t>
      </w:r>
      <w:r w:rsidRPr="00A81E46">
        <w:rPr>
          <w:i/>
          <w:szCs w:val="24"/>
        </w:rPr>
        <w:t>via</w:t>
      </w:r>
      <w:r w:rsidRPr="00A81E46">
        <w:rPr>
          <w:szCs w:val="24"/>
        </w:rPr>
        <w:t xml:space="preserve"> electronic transmission, this 30</w:t>
      </w:r>
      <w:r w:rsidRPr="00A81E46">
        <w:rPr>
          <w:szCs w:val="24"/>
          <w:vertAlign w:val="superscript"/>
        </w:rPr>
        <w:t>th</w:t>
      </w:r>
      <w:r w:rsidRPr="00A81E46">
        <w:rPr>
          <w:szCs w:val="24"/>
        </w:rPr>
        <w:t xml:space="preserve"> day of September 2020.</w:t>
      </w:r>
    </w:p>
    <w:p w:rsidR="001373C5" w:rsidRPr="00A81E46" w:rsidP="001373C5" w14:paraId="0A890293" w14:textId="77777777">
      <w:pPr>
        <w:rPr>
          <w:szCs w:val="24"/>
        </w:rPr>
      </w:pPr>
    </w:p>
    <w:p w:rsidR="001373C5" w:rsidRPr="00A81E46" w:rsidP="001373C5" w14:paraId="453465BE" w14:textId="77777777">
      <w:pPr>
        <w:tabs>
          <w:tab w:val="left" w:pos="4320"/>
        </w:tabs>
        <w:rPr>
          <w:szCs w:val="24"/>
        </w:rPr>
      </w:pPr>
      <w:r w:rsidRPr="00A81E46">
        <w:rPr>
          <w:szCs w:val="24"/>
        </w:rPr>
        <w:tab/>
      </w:r>
      <w:r w:rsidRPr="00A81E46">
        <w:rPr>
          <w:i/>
          <w:iCs/>
          <w:szCs w:val="24"/>
          <w:u w:val="single"/>
        </w:rPr>
        <w:t>/s/ Maureen R. Willis</w:t>
      </w:r>
      <w:r w:rsidRPr="00A81E46">
        <w:rPr>
          <w:szCs w:val="24"/>
        </w:rPr>
        <w:t xml:space="preserve"> </w:t>
      </w:r>
    </w:p>
    <w:p w:rsidR="001373C5" w:rsidRPr="00A81E46" w:rsidP="001373C5" w14:paraId="0630078A" w14:textId="77777777">
      <w:pPr>
        <w:tabs>
          <w:tab w:val="left" w:pos="4320"/>
        </w:tabs>
        <w:rPr>
          <w:szCs w:val="24"/>
        </w:rPr>
      </w:pPr>
      <w:r w:rsidRPr="00A81E46">
        <w:rPr>
          <w:szCs w:val="24"/>
        </w:rPr>
        <w:tab/>
        <w:t>Maureen R. Willis, Senior Counsel</w:t>
      </w:r>
    </w:p>
    <w:p w:rsidR="001373C5" w:rsidRPr="00A81E46" w:rsidP="001373C5" w14:paraId="7B9DE09E" w14:textId="77777777">
      <w:pPr>
        <w:tabs>
          <w:tab w:val="left" w:pos="4320"/>
        </w:tabs>
        <w:rPr>
          <w:szCs w:val="24"/>
        </w:rPr>
      </w:pPr>
      <w:r w:rsidRPr="00A81E46">
        <w:rPr>
          <w:szCs w:val="24"/>
        </w:rPr>
        <w:tab/>
        <w:t>Assistant Consumers’ Counsel</w:t>
      </w:r>
    </w:p>
    <w:p w:rsidR="001373C5" w:rsidRPr="00A81E46" w:rsidP="001373C5" w14:paraId="72BF0308" w14:textId="77777777">
      <w:pPr>
        <w:tabs>
          <w:tab w:val="left" w:pos="4320"/>
        </w:tabs>
        <w:rPr>
          <w:szCs w:val="24"/>
        </w:rPr>
      </w:pPr>
    </w:p>
    <w:p w:rsidR="001373C5" w:rsidRPr="00A81E46" w:rsidP="001373C5" w14:paraId="24E45101" w14:textId="77777777">
      <w:pPr>
        <w:pStyle w:val="CommentText"/>
        <w:rPr>
          <w:sz w:val="24"/>
          <w:szCs w:val="24"/>
        </w:rPr>
      </w:pPr>
      <w:r w:rsidRPr="00A81E46">
        <w:rPr>
          <w:sz w:val="24"/>
          <w:szCs w:val="24"/>
        </w:rPr>
        <w:t>The PUCO’s e-filing system will electronically serve notice of the filing of this document on the following parties:</w:t>
      </w:r>
    </w:p>
    <w:p w:rsidR="001373C5" w:rsidRPr="00A81E46" w:rsidP="001373C5" w14:paraId="66045A05" w14:textId="77777777">
      <w:pPr>
        <w:tabs>
          <w:tab w:val="left" w:pos="4320"/>
        </w:tabs>
        <w:rPr>
          <w:szCs w:val="24"/>
        </w:rPr>
      </w:pPr>
    </w:p>
    <w:p w:rsidR="001373C5" w:rsidRPr="00A81E46" w:rsidP="001373C5" w14:paraId="4FFE56AB" w14:textId="77777777">
      <w:pPr>
        <w:pStyle w:val="CommentText"/>
        <w:jc w:val="center"/>
        <w:rPr>
          <w:b/>
          <w:sz w:val="24"/>
          <w:szCs w:val="24"/>
          <w:u w:val="single"/>
        </w:rPr>
      </w:pPr>
      <w:r w:rsidRPr="00A81E46">
        <w:rPr>
          <w:b/>
          <w:sz w:val="24"/>
          <w:szCs w:val="24"/>
          <w:u w:val="single"/>
        </w:rPr>
        <w:t>SERVICE LIST</w:t>
      </w:r>
    </w:p>
    <w:p w:rsidR="001373C5" w:rsidRPr="00A81E46" w:rsidP="001373C5" w14:paraId="6B4FCAB1" w14:textId="77777777">
      <w:pPr>
        <w:pStyle w:val="CommentText"/>
        <w:rPr>
          <w:b/>
          <w:sz w:val="24"/>
          <w:szCs w:val="24"/>
          <w:u w:val="single"/>
        </w:rPr>
      </w:pPr>
    </w:p>
    <w:p w:rsidR="001373C5" w:rsidRPr="00A81E46" w:rsidP="001373C5" w14:paraId="6F1FC9B4" w14:textId="77777777">
      <w:pPr>
        <w:pStyle w:val="CommentText"/>
        <w:rPr>
          <w:b/>
          <w:sz w:val="24"/>
          <w:szCs w:val="24"/>
        </w:rPr>
      </w:pPr>
      <w:r w:rsidRPr="00A81E46">
        <w:rPr>
          <w:b/>
          <w:sz w:val="24"/>
          <w:szCs w:val="24"/>
        </w:rPr>
        <w:t>Case No. 17-974-EL-UNC</w:t>
      </w:r>
      <w:r w:rsidRPr="00A81E46">
        <w:rPr>
          <w:b/>
          <w:sz w:val="24"/>
          <w:szCs w:val="24"/>
        </w:rPr>
        <w:br/>
      </w:r>
    </w:p>
    <w:tbl>
      <w:tblPr>
        <w:tblW w:w="0" w:type="auto"/>
        <w:tblLook w:val="04A0"/>
      </w:tblPr>
      <w:tblGrid>
        <w:gridCol w:w="4428"/>
        <w:gridCol w:w="4428"/>
      </w:tblGrid>
      <w:tr w14:paraId="5ED6F4B4" w14:textId="77777777" w:rsidTr="00321CC9">
        <w:tblPrEx>
          <w:tblW w:w="0" w:type="auto"/>
          <w:tblLook w:val="04A0"/>
        </w:tblPrEx>
        <w:tc>
          <w:tcPr>
            <w:tcW w:w="4428" w:type="dxa"/>
          </w:tcPr>
          <w:p w:rsidR="001373C5" w:rsidRPr="00A81E46" w:rsidP="00321CC9" w14:paraId="318A03B0" w14:textId="77777777">
            <w:pPr>
              <w:autoSpaceDE w:val="0"/>
              <w:autoSpaceDN w:val="0"/>
              <w:adjustRightInd w:val="0"/>
              <w:rPr>
                <w:rFonts w:eastAsia="Calibri"/>
                <w:bCs/>
                <w:szCs w:val="24"/>
              </w:rPr>
            </w:pPr>
            <w:hyperlink r:id="rId14" w:history="1">
              <w:r w:rsidRPr="00A81E46" w:rsidR="00D56922">
                <w:rPr>
                  <w:rStyle w:val="Hyperlink"/>
                  <w:rFonts w:eastAsia="Calibri"/>
                  <w:bCs/>
                  <w:szCs w:val="24"/>
                </w:rPr>
                <w:t>Steve.beeler@ohioattorneygenral.gov</w:t>
              </w:r>
            </w:hyperlink>
          </w:p>
          <w:p w:rsidR="001373C5" w:rsidRPr="00A81E46" w:rsidP="00321CC9" w14:paraId="16BC562D" w14:textId="77777777">
            <w:pPr>
              <w:autoSpaceDE w:val="0"/>
              <w:autoSpaceDN w:val="0"/>
              <w:adjustRightInd w:val="0"/>
              <w:rPr>
                <w:szCs w:val="24"/>
              </w:rPr>
            </w:pPr>
            <w:hyperlink r:id="rId15" w:history="1">
              <w:r w:rsidRPr="00A81E46" w:rsidR="00D56922">
                <w:rPr>
                  <w:rStyle w:val="Hyperlink"/>
                  <w:rFonts w:eastAsia="Calibri"/>
                  <w:szCs w:val="24"/>
                </w:rPr>
                <w:t>joliker@igsenergy.com</w:t>
              </w:r>
            </w:hyperlink>
          </w:p>
          <w:p w:rsidR="001373C5" w:rsidRPr="00A81E46" w:rsidP="00321CC9" w14:paraId="5242AAA7" w14:textId="77777777">
            <w:pPr>
              <w:autoSpaceDE w:val="0"/>
              <w:autoSpaceDN w:val="0"/>
              <w:adjustRightInd w:val="0"/>
              <w:rPr>
                <w:rStyle w:val="Hyperlink"/>
                <w:rFonts w:eastAsia="Calibri"/>
                <w:szCs w:val="24"/>
              </w:rPr>
            </w:pPr>
            <w:hyperlink r:id="rId16" w:history="1">
              <w:r w:rsidRPr="00A81E46" w:rsidR="00D56922">
                <w:rPr>
                  <w:rStyle w:val="Hyperlink"/>
                  <w:rFonts w:eastAsia="Calibri"/>
                  <w:szCs w:val="24"/>
                </w:rPr>
                <w:t>Mnugent@igsenergy.com</w:t>
              </w:r>
            </w:hyperlink>
          </w:p>
          <w:p w:rsidR="001373C5" w:rsidRPr="00A81E46" w:rsidP="00321CC9" w14:paraId="6299AC3F" w14:textId="77777777">
            <w:pPr>
              <w:autoSpaceDE w:val="0"/>
              <w:autoSpaceDN w:val="0"/>
              <w:adjustRightInd w:val="0"/>
              <w:rPr>
                <w:szCs w:val="24"/>
              </w:rPr>
            </w:pPr>
            <w:hyperlink r:id="rId17" w:history="1">
              <w:r w:rsidRPr="00A81E46" w:rsidR="00D56922">
                <w:rPr>
                  <w:rStyle w:val="Hyperlink"/>
                  <w:szCs w:val="24"/>
                </w:rPr>
                <w:t>bethany.allen@igs.com</w:t>
              </w:r>
            </w:hyperlink>
          </w:p>
          <w:p w:rsidR="001373C5" w:rsidRPr="00A81E46" w:rsidP="00321CC9" w14:paraId="3C71D616" w14:textId="77777777">
            <w:pPr>
              <w:autoSpaceDE w:val="0"/>
              <w:autoSpaceDN w:val="0"/>
              <w:adjustRightInd w:val="0"/>
              <w:rPr>
                <w:color w:val="0000FF"/>
                <w:szCs w:val="24"/>
              </w:rPr>
            </w:pPr>
            <w:hyperlink r:id="rId18" w:history="1">
              <w:r w:rsidRPr="00A81E46" w:rsidR="00D56922">
                <w:rPr>
                  <w:rStyle w:val="Hyperlink"/>
                  <w:szCs w:val="24"/>
                </w:rPr>
                <w:t>gkrassen@bricker.com</w:t>
              </w:r>
            </w:hyperlink>
          </w:p>
          <w:p w:rsidR="001373C5" w:rsidRPr="00A81E46" w:rsidP="00321CC9" w14:paraId="762EE4BA" w14:textId="77777777">
            <w:pPr>
              <w:autoSpaceDE w:val="0"/>
              <w:autoSpaceDN w:val="0"/>
              <w:adjustRightInd w:val="0"/>
              <w:rPr>
                <w:color w:val="0000FF"/>
                <w:szCs w:val="24"/>
              </w:rPr>
            </w:pPr>
            <w:hyperlink r:id="rId19" w:history="1">
              <w:r w:rsidRPr="00A81E46" w:rsidR="00D56922">
                <w:rPr>
                  <w:rStyle w:val="Hyperlink"/>
                  <w:szCs w:val="24"/>
                </w:rPr>
                <w:t>dstinson@bricker.com</w:t>
              </w:r>
            </w:hyperlink>
          </w:p>
          <w:p w:rsidR="001373C5" w:rsidRPr="00A81E46" w:rsidP="00321CC9" w14:paraId="0009B281" w14:textId="77777777">
            <w:pPr>
              <w:autoSpaceDE w:val="0"/>
              <w:autoSpaceDN w:val="0"/>
              <w:adjustRightInd w:val="0"/>
              <w:rPr>
                <w:szCs w:val="24"/>
              </w:rPr>
            </w:pPr>
          </w:p>
          <w:p w:rsidR="001373C5" w:rsidRPr="00A81E46" w:rsidP="00321CC9" w14:paraId="0F11A6F4" w14:textId="77777777">
            <w:pPr>
              <w:autoSpaceDE w:val="0"/>
              <w:autoSpaceDN w:val="0"/>
              <w:adjustRightInd w:val="0"/>
              <w:rPr>
                <w:szCs w:val="24"/>
              </w:rPr>
            </w:pPr>
            <w:r w:rsidRPr="00A81E46">
              <w:rPr>
                <w:rFonts w:eastAsia="Calibri"/>
                <w:szCs w:val="24"/>
              </w:rPr>
              <w:t>Attorney Examiners:</w:t>
            </w:r>
          </w:p>
          <w:p w:rsidR="001373C5" w:rsidRPr="00A81E46" w:rsidP="00321CC9" w14:paraId="333E98F0" w14:textId="77777777">
            <w:pPr>
              <w:autoSpaceDE w:val="0"/>
              <w:autoSpaceDN w:val="0"/>
              <w:adjustRightInd w:val="0"/>
              <w:rPr>
                <w:szCs w:val="24"/>
              </w:rPr>
            </w:pPr>
          </w:p>
          <w:p w:rsidR="001373C5" w:rsidRPr="00A81E46" w:rsidP="00321CC9" w14:paraId="037DFC76" w14:textId="77777777">
            <w:pPr>
              <w:autoSpaceDE w:val="0"/>
              <w:autoSpaceDN w:val="0"/>
              <w:adjustRightInd w:val="0"/>
              <w:rPr>
                <w:szCs w:val="24"/>
              </w:rPr>
            </w:pPr>
            <w:hyperlink r:id="rId20" w:history="1">
              <w:r w:rsidRPr="00A81E46" w:rsidR="00D56922">
                <w:rPr>
                  <w:rStyle w:val="Hyperlink"/>
                  <w:rFonts w:eastAsia="Calibri"/>
                  <w:szCs w:val="24"/>
                </w:rPr>
                <w:t>Megan.addison@puc.state.oh.us</w:t>
              </w:r>
            </w:hyperlink>
          </w:p>
          <w:p w:rsidR="001373C5" w:rsidRPr="00A81E46" w:rsidP="00321CC9" w14:paraId="134AF0E5" w14:textId="77777777">
            <w:pPr>
              <w:autoSpaceDE w:val="0"/>
              <w:autoSpaceDN w:val="0"/>
              <w:adjustRightInd w:val="0"/>
              <w:rPr>
                <w:rStyle w:val="Hyperlink"/>
                <w:rFonts w:eastAsia="Calibri"/>
                <w:szCs w:val="24"/>
              </w:rPr>
            </w:pPr>
            <w:hyperlink r:id="rId21" w:history="1">
              <w:r w:rsidRPr="00A81E46" w:rsidR="00D56922">
                <w:rPr>
                  <w:rStyle w:val="Hyperlink"/>
                  <w:rFonts w:eastAsia="Calibri"/>
                  <w:szCs w:val="24"/>
                </w:rPr>
                <w:t>Gregory.price@puc.state.oh.us</w:t>
              </w:r>
            </w:hyperlink>
          </w:p>
          <w:p w:rsidR="001373C5" w:rsidRPr="00A81E46" w:rsidP="00321CC9" w14:paraId="3D08333E" w14:textId="77777777">
            <w:pPr>
              <w:autoSpaceDE w:val="0"/>
              <w:autoSpaceDN w:val="0"/>
              <w:adjustRightInd w:val="0"/>
              <w:rPr>
                <w:bCs/>
                <w:szCs w:val="24"/>
              </w:rPr>
            </w:pPr>
          </w:p>
        </w:tc>
        <w:tc>
          <w:tcPr>
            <w:tcW w:w="4428" w:type="dxa"/>
          </w:tcPr>
          <w:p w:rsidR="001373C5" w:rsidRPr="00A81E46" w:rsidP="00321CC9" w14:paraId="7EA2B83F" w14:textId="77777777">
            <w:pPr>
              <w:pStyle w:val="BodyText"/>
              <w:ind w:left="600"/>
              <w:rPr>
                <w:color w:val="0000FF"/>
                <w:szCs w:val="24"/>
              </w:rPr>
            </w:pPr>
            <w:hyperlink r:id="rId22" w:history="1">
              <w:r w:rsidRPr="00A81E46" w:rsidR="00D56922">
                <w:rPr>
                  <w:rStyle w:val="Hyperlink"/>
                  <w:szCs w:val="24"/>
                </w:rPr>
                <w:t>edanford@firstenergycorp.com</w:t>
              </w:r>
            </w:hyperlink>
          </w:p>
          <w:p w:rsidR="001373C5" w:rsidRPr="00A81E46" w:rsidP="00321CC9" w14:paraId="43834A37" w14:textId="77777777">
            <w:pPr>
              <w:pStyle w:val="BodyText"/>
              <w:ind w:left="600"/>
              <w:rPr>
                <w:color w:val="0000FF"/>
                <w:szCs w:val="24"/>
              </w:rPr>
            </w:pPr>
            <w:hyperlink r:id="rId23" w:history="1">
              <w:r w:rsidRPr="00A81E46" w:rsidR="00D56922">
                <w:rPr>
                  <w:rStyle w:val="Hyperlink"/>
                  <w:szCs w:val="24"/>
                </w:rPr>
                <w:t>cwatchorn@firstenergycorp.com</w:t>
              </w:r>
            </w:hyperlink>
          </w:p>
          <w:p w:rsidR="001373C5" w:rsidRPr="00A81E46" w:rsidP="00321CC9" w14:paraId="1EC2E73D" w14:textId="77777777">
            <w:pPr>
              <w:autoSpaceDE w:val="0"/>
              <w:autoSpaceDN w:val="0"/>
              <w:adjustRightInd w:val="0"/>
              <w:ind w:left="587"/>
              <w:rPr>
                <w:color w:val="0000FF"/>
                <w:szCs w:val="24"/>
              </w:rPr>
            </w:pPr>
            <w:hyperlink r:id="rId24" w:history="1">
              <w:r w:rsidRPr="00A81E46" w:rsidR="00D56922">
                <w:rPr>
                  <w:rStyle w:val="Hyperlink"/>
                  <w:szCs w:val="24"/>
                </w:rPr>
                <w:t>whitt@whitt-sturtevant.com</w:t>
              </w:r>
            </w:hyperlink>
          </w:p>
          <w:p w:rsidR="001373C5" w:rsidRPr="00A81E46" w:rsidP="00321CC9" w14:paraId="362DDF09" w14:textId="77777777">
            <w:pPr>
              <w:autoSpaceDE w:val="0"/>
              <w:autoSpaceDN w:val="0"/>
              <w:adjustRightInd w:val="0"/>
              <w:ind w:left="587"/>
              <w:rPr>
                <w:color w:val="0000FF"/>
                <w:szCs w:val="24"/>
              </w:rPr>
            </w:pPr>
            <w:hyperlink r:id="rId25" w:history="1">
              <w:r w:rsidRPr="00A81E46" w:rsidR="00D56922">
                <w:rPr>
                  <w:rStyle w:val="Hyperlink"/>
                  <w:szCs w:val="24"/>
                </w:rPr>
                <w:t>fykes@whitt-sturtevant.com</w:t>
              </w:r>
            </w:hyperlink>
          </w:p>
          <w:p w:rsidR="001373C5" w:rsidRPr="00A81E46" w:rsidP="00321CC9" w14:paraId="18D227E0" w14:textId="77777777">
            <w:pPr>
              <w:autoSpaceDE w:val="0"/>
              <w:autoSpaceDN w:val="0"/>
              <w:adjustRightInd w:val="0"/>
              <w:ind w:left="587"/>
              <w:rPr>
                <w:szCs w:val="24"/>
              </w:rPr>
            </w:pPr>
            <w:hyperlink r:id="rId26" w:history="1">
              <w:r w:rsidRPr="00A81E46" w:rsidR="00D56922">
                <w:rPr>
                  <w:rStyle w:val="Hyperlink"/>
                  <w:szCs w:val="24"/>
                </w:rPr>
                <w:t>mwager@taftlaw.com</w:t>
              </w:r>
            </w:hyperlink>
          </w:p>
          <w:p w:rsidR="001373C5" w:rsidRPr="00A81E46" w:rsidP="00321CC9" w14:paraId="51507A6A" w14:textId="77777777">
            <w:pPr>
              <w:autoSpaceDE w:val="0"/>
              <w:autoSpaceDN w:val="0"/>
              <w:adjustRightInd w:val="0"/>
              <w:ind w:left="587"/>
              <w:rPr>
                <w:szCs w:val="24"/>
              </w:rPr>
            </w:pPr>
            <w:hyperlink r:id="rId27" w:history="1">
              <w:r w:rsidRPr="00A81E46" w:rsidR="00D56922">
                <w:rPr>
                  <w:rStyle w:val="Hyperlink"/>
                  <w:szCs w:val="24"/>
                </w:rPr>
                <w:t>iavalon@taftlaw.com</w:t>
              </w:r>
            </w:hyperlink>
          </w:p>
          <w:p w:rsidR="001373C5" w:rsidRPr="00A81E46" w:rsidP="00321CC9" w14:paraId="17751DA3" w14:textId="77777777">
            <w:pPr>
              <w:pStyle w:val="BodyText"/>
              <w:ind w:left="600"/>
              <w:rPr>
                <w:szCs w:val="24"/>
              </w:rPr>
            </w:pPr>
            <w:hyperlink r:id="rId28" w:history="1">
              <w:r w:rsidRPr="00A81E46" w:rsidR="00D56922">
                <w:rPr>
                  <w:rStyle w:val="Hyperlink"/>
                  <w:szCs w:val="24"/>
                </w:rPr>
                <w:t>radoringo@jonesday.com</w:t>
              </w:r>
            </w:hyperlink>
          </w:p>
          <w:p w:rsidR="001373C5" w:rsidRPr="00A81E46" w:rsidP="00321CC9" w14:paraId="02FEA3A0" w14:textId="77777777">
            <w:pPr>
              <w:pStyle w:val="BodyText"/>
              <w:ind w:left="612"/>
              <w:rPr>
                <w:szCs w:val="24"/>
              </w:rPr>
            </w:pPr>
          </w:p>
          <w:p w:rsidR="001373C5" w:rsidRPr="00A81E46" w:rsidP="00321CC9" w14:paraId="7DD7E772" w14:textId="77777777">
            <w:pPr>
              <w:pStyle w:val="BodyText"/>
              <w:rPr>
                <w:szCs w:val="24"/>
              </w:rPr>
            </w:pPr>
          </w:p>
        </w:tc>
      </w:tr>
    </w:tbl>
    <w:p w:rsidR="001373C5" w:rsidRPr="00A81E46" w:rsidP="001373C5" w14:paraId="77768AB5" w14:textId="77777777">
      <w:pPr>
        <w:pStyle w:val="CommentText"/>
        <w:rPr>
          <w:b/>
          <w:sz w:val="24"/>
          <w:szCs w:val="24"/>
        </w:rPr>
      </w:pPr>
      <w:r w:rsidRPr="00A81E46">
        <w:rPr>
          <w:b/>
          <w:sz w:val="24"/>
          <w:szCs w:val="24"/>
        </w:rPr>
        <w:t>Case No. 17-2474-EL-RDR</w:t>
      </w:r>
    </w:p>
    <w:p w:rsidR="001373C5" w:rsidRPr="00A81E46" w:rsidP="001373C5" w14:paraId="19B4427C" w14:textId="77777777">
      <w:pPr>
        <w:pStyle w:val="CommentText"/>
        <w:jc w:val="center"/>
        <w:rPr>
          <w:b/>
          <w:sz w:val="24"/>
          <w:szCs w:val="24"/>
          <w:u w:val="single"/>
        </w:rPr>
      </w:pPr>
    </w:p>
    <w:tbl>
      <w:tblPr>
        <w:tblW w:w="0" w:type="auto"/>
        <w:tblLook w:val="01E0"/>
      </w:tblPr>
      <w:tblGrid>
        <w:gridCol w:w="4450"/>
        <w:gridCol w:w="4428"/>
      </w:tblGrid>
      <w:tr w14:paraId="61F77EE6" w14:textId="77777777" w:rsidTr="00321CC9">
        <w:tblPrEx>
          <w:tblW w:w="0" w:type="auto"/>
          <w:tblLook w:val="01E0"/>
        </w:tblPrEx>
        <w:tc>
          <w:tcPr>
            <w:tcW w:w="4450" w:type="dxa"/>
            <w:shd w:val="clear" w:color="auto" w:fill="auto"/>
          </w:tcPr>
          <w:p w:rsidR="001373C5" w:rsidRPr="00A81E46" w:rsidP="00321CC9" w14:paraId="336744EC" w14:textId="77777777">
            <w:pPr>
              <w:rPr>
                <w:szCs w:val="24"/>
              </w:rPr>
            </w:pPr>
            <w:hyperlink r:id="rId29" w:history="1">
              <w:r w:rsidRPr="00A81E46" w:rsidR="00D56922">
                <w:rPr>
                  <w:rStyle w:val="Hyperlink"/>
                  <w:rFonts w:eastAsia="Calibri"/>
                  <w:szCs w:val="24"/>
                </w:rPr>
                <w:t>steven.beeler@ohioattorneygeneral.gov</w:t>
              </w:r>
            </w:hyperlink>
          </w:p>
          <w:p w:rsidR="001373C5" w:rsidRPr="00A81E46" w:rsidP="00321CC9" w14:paraId="1BCBDC37" w14:textId="77777777">
            <w:pPr>
              <w:autoSpaceDE w:val="0"/>
              <w:autoSpaceDN w:val="0"/>
              <w:adjustRightInd w:val="0"/>
              <w:rPr>
                <w:szCs w:val="24"/>
              </w:rPr>
            </w:pPr>
            <w:hyperlink r:id="rId30" w:history="1">
              <w:r w:rsidRPr="00A81E46" w:rsidR="00D56922">
                <w:rPr>
                  <w:rStyle w:val="Hyperlink"/>
                  <w:rFonts w:eastAsia="Calibri"/>
                  <w:color w:val="0077CC"/>
                  <w:szCs w:val="24"/>
                </w:rPr>
                <w:t>mkurtz@BKLlawfirm.com</w:t>
              </w:r>
            </w:hyperlink>
          </w:p>
          <w:p w:rsidR="001373C5" w:rsidRPr="00A81E46" w:rsidP="00321CC9" w14:paraId="76CBF295" w14:textId="77777777">
            <w:pPr>
              <w:autoSpaceDE w:val="0"/>
              <w:autoSpaceDN w:val="0"/>
              <w:adjustRightInd w:val="0"/>
              <w:rPr>
                <w:szCs w:val="24"/>
              </w:rPr>
            </w:pPr>
            <w:hyperlink r:id="rId31" w:history="1">
              <w:r w:rsidRPr="00A81E46" w:rsidR="00D56922">
                <w:rPr>
                  <w:rStyle w:val="Hyperlink"/>
                  <w:rFonts w:eastAsia="Calibri"/>
                  <w:color w:val="0077CC"/>
                  <w:szCs w:val="24"/>
                </w:rPr>
                <w:t>kboehm@BKLlawfirm.com</w:t>
              </w:r>
            </w:hyperlink>
          </w:p>
          <w:p w:rsidR="001373C5" w:rsidRPr="00A81E46" w:rsidP="00321CC9" w14:paraId="09263EB6" w14:textId="77777777">
            <w:pPr>
              <w:rPr>
                <w:szCs w:val="24"/>
              </w:rPr>
            </w:pPr>
            <w:hyperlink r:id="rId32" w:history="1">
              <w:r w:rsidRPr="00A81E46" w:rsidR="00D56922">
                <w:rPr>
                  <w:rStyle w:val="Hyperlink"/>
                  <w:rFonts w:eastAsia="Calibri"/>
                  <w:color w:val="0077CC"/>
                  <w:szCs w:val="24"/>
                </w:rPr>
                <w:t>jkylercohn@BKLlawfirm.com</w:t>
              </w:r>
            </w:hyperlink>
          </w:p>
          <w:p w:rsidR="001373C5" w:rsidRPr="00A81E46" w:rsidP="00321CC9" w14:paraId="1B4073E8" w14:textId="77777777">
            <w:pPr>
              <w:autoSpaceDE w:val="0"/>
              <w:autoSpaceDN w:val="0"/>
              <w:adjustRightInd w:val="0"/>
              <w:rPr>
                <w:rFonts w:eastAsia="Calibri"/>
                <w:szCs w:val="24"/>
              </w:rPr>
            </w:pPr>
          </w:p>
          <w:p w:rsidR="001373C5" w:rsidRPr="00A81E46" w:rsidP="00321CC9" w14:paraId="12AB5012" w14:textId="77777777">
            <w:pPr>
              <w:autoSpaceDE w:val="0"/>
              <w:autoSpaceDN w:val="0"/>
              <w:adjustRightInd w:val="0"/>
              <w:rPr>
                <w:szCs w:val="24"/>
              </w:rPr>
            </w:pPr>
            <w:r w:rsidRPr="00A81E46">
              <w:rPr>
                <w:rFonts w:eastAsia="Calibri"/>
                <w:szCs w:val="24"/>
              </w:rPr>
              <w:t>Attorney Examiners:</w:t>
            </w:r>
          </w:p>
          <w:p w:rsidR="001373C5" w:rsidRPr="00A81E46" w:rsidP="00321CC9" w14:paraId="512B6C46" w14:textId="77777777">
            <w:pPr>
              <w:autoSpaceDE w:val="0"/>
              <w:autoSpaceDN w:val="0"/>
              <w:adjustRightInd w:val="0"/>
              <w:rPr>
                <w:szCs w:val="24"/>
              </w:rPr>
            </w:pPr>
            <w:hyperlink r:id="rId20" w:history="1">
              <w:r w:rsidRPr="00A81E46" w:rsidR="00D56922">
                <w:rPr>
                  <w:rStyle w:val="Hyperlink"/>
                  <w:rFonts w:eastAsia="Calibri"/>
                  <w:color w:val="0077CC"/>
                  <w:szCs w:val="24"/>
                </w:rPr>
                <w:t>Megan.addison@puc.state.oh.us</w:t>
              </w:r>
            </w:hyperlink>
          </w:p>
          <w:p w:rsidR="001373C5" w:rsidRPr="00A81E46" w:rsidP="00321CC9" w14:paraId="09E599F1" w14:textId="77777777">
            <w:pPr>
              <w:rPr>
                <w:szCs w:val="24"/>
              </w:rPr>
            </w:pPr>
            <w:hyperlink r:id="rId21" w:history="1">
              <w:r w:rsidRPr="00A81E46" w:rsidR="00D56922">
                <w:rPr>
                  <w:rStyle w:val="Hyperlink"/>
                  <w:rFonts w:eastAsia="Calibri"/>
                  <w:color w:val="0077CC"/>
                  <w:szCs w:val="24"/>
                </w:rPr>
                <w:t>Gregory.price@puc.state.oh.us</w:t>
              </w:r>
            </w:hyperlink>
          </w:p>
          <w:p w:rsidR="001373C5" w:rsidRPr="00A81E46" w:rsidP="00321CC9" w14:paraId="484F643A" w14:textId="77777777">
            <w:pPr>
              <w:rPr>
                <w:szCs w:val="24"/>
              </w:rPr>
            </w:pPr>
          </w:p>
        </w:tc>
        <w:tc>
          <w:tcPr>
            <w:tcW w:w="4428" w:type="dxa"/>
            <w:shd w:val="clear" w:color="auto" w:fill="auto"/>
          </w:tcPr>
          <w:p w:rsidR="001373C5" w:rsidRPr="00A81E46" w:rsidP="00321CC9" w14:paraId="28C4EF52" w14:textId="77777777">
            <w:pPr>
              <w:ind w:left="1339"/>
              <w:rPr>
                <w:rStyle w:val="Hyperlink"/>
                <w:bCs/>
                <w:szCs w:val="24"/>
              </w:rPr>
            </w:pPr>
            <w:hyperlink r:id="rId33" w:history="1">
              <w:r w:rsidRPr="00A81E46" w:rsidR="00D56922">
                <w:rPr>
                  <w:rStyle w:val="Hyperlink"/>
                  <w:rFonts w:eastAsia="Calibri"/>
                  <w:bCs/>
                  <w:color w:val="0077CC"/>
                  <w:szCs w:val="24"/>
                </w:rPr>
                <w:t>scasto@firstenergycorp.com</w:t>
              </w:r>
            </w:hyperlink>
          </w:p>
          <w:p w:rsidR="001373C5" w:rsidRPr="00A81E46" w:rsidP="00321CC9" w14:paraId="261DE5FF" w14:textId="77777777">
            <w:pPr>
              <w:ind w:left="1339"/>
              <w:rPr>
                <w:szCs w:val="24"/>
              </w:rPr>
            </w:pPr>
            <w:hyperlink r:id="rId34" w:history="1">
              <w:r w:rsidRPr="00A81E46" w:rsidR="00D56922">
                <w:rPr>
                  <w:rStyle w:val="Hyperlink"/>
                  <w:rFonts w:eastAsia="Calibri"/>
                  <w:bCs/>
                  <w:color w:val="0077CC"/>
                  <w:szCs w:val="24"/>
                </w:rPr>
                <w:t>bknipe@firstenergycorp.com</w:t>
              </w:r>
            </w:hyperlink>
          </w:p>
          <w:p w:rsidR="001373C5" w:rsidRPr="00A81E46" w:rsidP="00321CC9" w14:paraId="640D2CDE" w14:textId="7F67192B">
            <w:pPr>
              <w:autoSpaceDE w:val="0"/>
              <w:autoSpaceDN w:val="0"/>
              <w:adjustRightInd w:val="0"/>
              <w:ind w:left="1308"/>
              <w:rPr>
                <w:szCs w:val="24"/>
              </w:rPr>
            </w:pPr>
            <w:hyperlink r:id="rId35" w:history="1">
              <w:r w:rsidRPr="00A81E46" w:rsidR="00D56922">
                <w:rPr>
                  <w:rStyle w:val="Hyperlink"/>
                  <w:szCs w:val="24"/>
                </w:rPr>
                <w:t>jlang@calfee.com</w:t>
              </w:r>
            </w:hyperlink>
          </w:p>
          <w:p w:rsidR="001373C5" w:rsidRPr="00A81E46" w:rsidP="00321CC9" w14:paraId="313D719F" w14:textId="722F2EB7">
            <w:pPr>
              <w:autoSpaceDE w:val="0"/>
              <w:autoSpaceDN w:val="0"/>
              <w:adjustRightInd w:val="0"/>
              <w:ind w:left="1308"/>
              <w:rPr>
                <w:szCs w:val="24"/>
              </w:rPr>
            </w:pPr>
            <w:hyperlink r:id="rId36" w:history="1">
              <w:r w:rsidRPr="00A81E46" w:rsidR="00D56922">
                <w:rPr>
                  <w:rStyle w:val="Hyperlink"/>
                  <w:szCs w:val="24"/>
                </w:rPr>
                <w:t>khehmeyer@calfee.com</w:t>
              </w:r>
            </w:hyperlink>
          </w:p>
          <w:p w:rsidR="001373C5" w:rsidRPr="00A81E46" w:rsidP="00321CC9" w14:paraId="687F3A8E" w14:textId="77777777">
            <w:pPr>
              <w:ind w:left="1308"/>
              <w:rPr>
                <w:szCs w:val="24"/>
              </w:rPr>
            </w:pPr>
            <w:hyperlink r:id="rId37" w:history="1">
              <w:r w:rsidRPr="00A81E46" w:rsidR="00D56922">
                <w:rPr>
                  <w:rStyle w:val="Hyperlink"/>
                  <w:szCs w:val="24"/>
                </w:rPr>
                <w:t>mkeaney@calfee.com</w:t>
              </w:r>
            </w:hyperlink>
          </w:p>
          <w:p w:rsidR="001373C5" w:rsidRPr="00A81E46" w:rsidP="00321CC9" w14:paraId="73F647BA" w14:textId="77777777">
            <w:pPr>
              <w:ind w:left="1339"/>
              <w:rPr>
                <w:szCs w:val="24"/>
              </w:rPr>
            </w:pPr>
            <w:hyperlink r:id="rId38" w:history="1">
              <w:r w:rsidRPr="00A81E46" w:rsidR="00D56922">
                <w:rPr>
                  <w:rStyle w:val="Hyperlink"/>
                  <w:szCs w:val="24"/>
                </w:rPr>
                <w:t>mpritchard@mcneeslaw.com</w:t>
              </w:r>
            </w:hyperlink>
          </w:p>
          <w:p w:rsidR="001373C5" w:rsidRPr="00A81E46" w:rsidP="00321CC9" w14:paraId="4A2AAB39" w14:textId="77777777">
            <w:pPr>
              <w:autoSpaceDE w:val="0"/>
              <w:autoSpaceDN w:val="0"/>
              <w:adjustRightInd w:val="0"/>
              <w:ind w:left="1308"/>
              <w:rPr>
                <w:bCs/>
                <w:szCs w:val="24"/>
              </w:rPr>
            </w:pPr>
            <w:hyperlink r:id="rId39" w:history="1">
              <w:r w:rsidRPr="00A81E46" w:rsidR="00D56922">
                <w:rPr>
                  <w:rStyle w:val="Hyperlink"/>
                  <w:szCs w:val="24"/>
                </w:rPr>
                <w:t>fdarr@mcneeslaw.com</w:t>
              </w:r>
            </w:hyperlink>
          </w:p>
        </w:tc>
      </w:tr>
    </w:tbl>
    <w:p w:rsidR="004B033E" w:rsidRPr="00A81E46" w:rsidP="004D2DDD" w14:paraId="0D686C12" w14:textId="6C3A3CD9">
      <w:pPr>
        <w:rPr>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44102434"/>
      <w:docPartObj>
        <w:docPartGallery w:val="Page Numbers (Bottom of Page)"/>
        <w:docPartUnique/>
      </w:docPartObj>
    </w:sdtPr>
    <w:sdtEndPr>
      <w:rPr>
        <w:noProof/>
      </w:rPr>
    </w:sdtEndPr>
    <w:sdtContent>
      <w:p w:rsidR="00321CC9" w14:paraId="7419E339" w14:textId="14442001">
        <w:pPr>
          <w:pStyle w:val="Footer"/>
          <w:jc w:val="center"/>
        </w:pPr>
      </w:p>
    </w:sdtContent>
  </w:sdt>
  <w:p w:rsidR="00321CC9" w14:paraId="36EF5EB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80351072"/>
      <w:docPartObj>
        <w:docPartGallery w:val="Page Numbers (Bottom of Page)"/>
        <w:docPartUnique/>
      </w:docPartObj>
    </w:sdtPr>
    <w:sdtEndPr>
      <w:rPr>
        <w:noProof/>
      </w:rPr>
    </w:sdtEndPr>
    <w:sdtContent>
      <w:p w:rsidR="00321CC9" w14:paraId="794F61B2" w14:textId="1194A3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21CC9" w14:paraId="56D0687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52635800"/>
      <w:docPartObj>
        <w:docPartGallery w:val="Page Numbers (Bottom of Page)"/>
        <w:docPartUnique/>
      </w:docPartObj>
    </w:sdtPr>
    <w:sdtEndPr>
      <w:rPr>
        <w:noProof/>
        <w:sz w:val="24"/>
        <w:szCs w:val="24"/>
      </w:rPr>
    </w:sdtEndPr>
    <w:sdtContent>
      <w:p w:rsidR="00321CC9" w:rsidRPr="00845B38" w14:paraId="016F92BE" w14:textId="77777777">
        <w:pPr>
          <w:pStyle w:val="Footer"/>
          <w:jc w:val="center"/>
          <w:rPr>
            <w:sz w:val="24"/>
            <w:szCs w:val="24"/>
          </w:rPr>
        </w:pPr>
        <w:r w:rsidRPr="00845B38">
          <w:rPr>
            <w:sz w:val="24"/>
            <w:szCs w:val="24"/>
          </w:rPr>
          <w:fldChar w:fldCharType="begin"/>
        </w:r>
        <w:r w:rsidRPr="00845B38">
          <w:rPr>
            <w:sz w:val="24"/>
            <w:szCs w:val="24"/>
          </w:rPr>
          <w:instrText xml:space="preserve"> PAGE   \* MERGEFORMAT </w:instrText>
        </w:r>
        <w:r w:rsidRPr="00845B38">
          <w:rPr>
            <w:sz w:val="24"/>
            <w:szCs w:val="24"/>
          </w:rPr>
          <w:fldChar w:fldCharType="separate"/>
        </w:r>
        <w:r w:rsidRPr="00845B38">
          <w:rPr>
            <w:noProof/>
            <w:sz w:val="24"/>
            <w:szCs w:val="24"/>
          </w:rPr>
          <w:t>2</w:t>
        </w:r>
        <w:r w:rsidRPr="00845B38">
          <w:rPr>
            <w:noProof/>
            <w:sz w:val="24"/>
            <w:szCs w:val="24"/>
          </w:rPr>
          <w:fldChar w:fldCharType="end"/>
        </w:r>
      </w:p>
    </w:sdtContent>
  </w:sdt>
  <w:p w:rsidR="00321CC9" w14:paraId="305D3CB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56922" w:rsidP="007C2366" w14:paraId="1679A6BC" w14:textId="77777777">
      <w:r>
        <w:separator/>
      </w:r>
    </w:p>
  </w:footnote>
  <w:footnote w:type="continuationSeparator" w:id="1">
    <w:p w:rsidR="00D56922" w:rsidP="007C2366" w14:paraId="58F8390F" w14:textId="77777777">
      <w:r>
        <w:continuationSeparator/>
      </w:r>
    </w:p>
  </w:footnote>
  <w:footnote w:id="2">
    <w:p w:rsidR="00191051" w:rsidP="001957AF" w14:paraId="59C3BDD5" w14:textId="4DB873C0">
      <w:pPr>
        <w:pStyle w:val="FootnoteText"/>
        <w:spacing w:after="120"/>
      </w:pPr>
      <w:r>
        <w:rPr>
          <w:rStyle w:val="FootnoteReference"/>
        </w:rPr>
        <w:footnoteRef/>
      </w:r>
      <w:r>
        <w:t xml:space="preserve"> Nicholas Reimann, “Ohio Speaker of The House Arrested In State’s ‘Largest Bribery Scheme Ever’”  Forbes, July 21, 2020 </w:t>
      </w:r>
      <w:r w:rsidRPr="004018BF">
        <w:t xml:space="preserve"> </w:t>
      </w:r>
      <w:hyperlink r:id="rId1" w:anchor="71a8d99037b4" w:history="1">
        <w:r w:rsidRPr="004018BF">
          <w:rPr>
            <w:rStyle w:val="Hyperlink"/>
          </w:rPr>
          <w:t>https://www.forbes.com/sites/nicholasreimann/2020/07/21/ohio-speaker-of-the-house-arrested-in-states-largest-bribery-scheme-ever/#71a8d99037b4</w:t>
        </w:r>
      </w:hyperlink>
    </w:p>
  </w:footnote>
  <w:footnote w:id="3">
    <w:p w:rsidR="00321CC9" w:rsidRPr="004018BF" w:rsidP="001957AF" w14:paraId="5D6BEFAF" w14:textId="7DAE145A">
      <w:pPr>
        <w:pStyle w:val="FootnoteText"/>
        <w:spacing w:after="120"/>
      </w:pPr>
      <w:r w:rsidRPr="004018BF">
        <w:rPr>
          <w:rStyle w:val="FootnoteReference"/>
        </w:rPr>
        <w:footnoteRef/>
      </w:r>
      <w:r w:rsidRPr="004018BF">
        <w:t xml:space="preserve"> Cleveland Electric Illuminating Company, the Ohio Edison Company and Toledo Edison Company. </w:t>
      </w:r>
    </w:p>
  </w:footnote>
  <w:footnote w:id="4">
    <w:p w:rsidR="00321CC9" w:rsidRPr="004018BF" w:rsidP="004018BF" w14:paraId="6815F7B9" w14:textId="45D6AAEA">
      <w:pPr>
        <w:pStyle w:val="FootnoteText"/>
        <w:spacing w:after="120"/>
      </w:pPr>
      <w:r w:rsidRPr="004018BF">
        <w:rPr>
          <w:rStyle w:val="FootnoteReference"/>
        </w:rPr>
        <w:footnoteRef/>
      </w:r>
      <w:r w:rsidRPr="004018BF">
        <w:t xml:space="preserve"> Memo Contra, at 1-8.</w:t>
      </w:r>
    </w:p>
  </w:footnote>
  <w:footnote w:id="5">
    <w:p w:rsidR="00321CC9" w:rsidRPr="004018BF" w:rsidP="004018BF" w14:paraId="394FC418" w14:textId="250E77D5">
      <w:pPr>
        <w:pStyle w:val="FootnoteText"/>
        <w:spacing w:after="120"/>
      </w:pPr>
      <w:r w:rsidRPr="004018BF">
        <w:rPr>
          <w:rStyle w:val="FootnoteReference"/>
        </w:rPr>
        <w:footnoteRef/>
      </w:r>
      <w:r w:rsidRPr="004018BF">
        <w:t xml:space="preserve"> </w:t>
      </w:r>
      <w:r w:rsidRPr="004018BF">
        <w:rPr>
          <w:i/>
          <w:iCs/>
        </w:rPr>
        <w:t xml:space="preserve">Id. </w:t>
      </w:r>
      <w:r w:rsidRPr="004018BF">
        <w:t>at 3-4.</w:t>
      </w:r>
    </w:p>
  </w:footnote>
  <w:footnote w:id="6">
    <w:p w:rsidR="00321CC9" w:rsidRPr="004018BF" w:rsidP="004018BF" w14:paraId="664D8AAE" w14:textId="381F51EE">
      <w:pPr>
        <w:pStyle w:val="FootnoteText"/>
        <w:spacing w:after="120"/>
      </w:pPr>
      <w:r w:rsidRPr="004018BF">
        <w:rPr>
          <w:rStyle w:val="FootnoteReference"/>
        </w:rPr>
        <w:footnoteRef/>
      </w:r>
      <w:r w:rsidRPr="004018BF">
        <w:t xml:space="preserve"> </w:t>
      </w:r>
      <w:r w:rsidRPr="004018BF">
        <w:rPr>
          <w:i/>
          <w:iCs/>
        </w:rPr>
        <w:t>Id.</w:t>
      </w:r>
      <w:r w:rsidRPr="004018BF">
        <w:t xml:space="preserve"> at 4.</w:t>
      </w:r>
    </w:p>
  </w:footnote>
  <w:footnote w:id="7">
    <w:p w:rsidR="00321CC9" w:rsidRPr="004018BF" w:rsidP="004018BF" w14:paraId="6B613C08" w14:textId="3717F774">
      <w:pPr>
        <w:pStyle w:val="FootnoteText"/>
        <w:spacing w:after="120"/>
      </w:pPr>
      <w:r w:rsidRPr="004018BF">
        <w:rPr>
          <w:rStyle w:val="FootnoteReference"/>
        </w:rPr>
        <w:footnoteRef/>
      </w:r>
      <w:r w:rsidRPr="004018BF">
        <w:t xml:space="preserve"> </w:t>
      </w:r>
      <w:r w:rsidRPr="004018BF">
        <w:rPr>
          <w:i/>
          <w:iCs/>
        </w:rPr>
        <w:t>Id.</w:t>
      </w:r>
      <w:r w:rsidRPr="004018BF">
        <w:t xml:space="preserve"> at 4-5.</w:t>
      </w:r>
    </w:p>
  </w:footnote>
  <w:footnote w:id="8">
    <w:p w:rsidR="00321CC9" w:rsidRPr="004018BF" w:rsidP="004018BF" w14:paraId="17E0BA84" w14:textId="59A8A662">
      <w:pPr>
        <w:pStyle w:val="FootnoteText"/>
        <w:spacing w:after="120"/>
      </w:pPr>
      <w:r w:rsidRPr="004018BF">
        <w:rPr>
          <w:rStyle w:val="FootnoteReference"/>
        </w:rPr>
        <w:footnoteRef/>
      </w:r>
      <w:r w:rsidRPr="004018BF">
        <w:t xml:space="preserve"> </w:t>
      </w:r>
      <w:r w:rsidRPr="004018BF">
        <w:rPr>
          <w:i/>
          <w:iCs/>
        </w:rPr>
        <w:t>Id.</w:t>
      </w:r>
      <w:r w:rsidRPr="004018BF">
        <w:t xml:space="preserve"> at 5. </w:t>
      </w:r>
    </w:p>
  </w:footnote>
  <w:footnote w:id="9">
    <w:p w:rsidR="00321CC9" w:rsidRPr="004018BF" w:rsidP="004018BF" w14:paraId="6FC34533" w14:textId="2D7CE526">
      <w:pPr>
        <w:pStyle w:val="FootnoteText"/>
        <w:spacing w:after="120"/>
      </w:pPr>
      <w:r w:rsidRPr="004018BF">
        <w:rPr>
          <w:rStyle w:val="FootnoteReference"/>
        </w:rPr>
        <w:footnoteRef/>
      </w:r>
      <w:r w:rsidRPr="004018BF">
        <w:t xml:space="preserve"> Memo Contra, at 6-8.</w:t>
      </w:r>
    </w:p>
  </w:footnote>
  <w:footnote w:id="10">
    <w:p w:rsidR="00321CC9" w:rsidRPr="004018BF" w:rsidP="004018BF" w14:paraId="7B2FBB7A" w14:textId="5F9ABC33">
      <w:pPr>
        <w:pStyle w:val="FootnoteText"/>
        <w:spacing w:after="120"/>
      </w:pPr>
      <w:r w:rsidRPr="004018BF">
        <w:rPr>
          <w:rStyle w:val="FootnoteReference"/>
        </w:rPr>
        <w:footnoteRef/>
      </w:r>
      <w:r w:rsidRPr="004018BF">
        <w:t xml:space="preserve"> </w:t>
      </w:r>
      <w:r w:rsidRPr="004018BF">
        <w:rPr>
          <w:i/>
          <w:iCs/>
        </w:rPr>
        <w:t>In the Matter of Review of the Distribution Modernization Rider of Ohio Edison Company, The Cleveland Electric Illuminating Company, and The Toledo Edison Company</w:t>
      </w:r>
      <w:r w:rsidRPr="004018BF">
        <w:t>, Case No. 17-2474-EL-RDR, Oxford Mid-Term Audit at 16-17 (June 14, 2019).</w:t>
      </w:r>
    </w:p>
  </w:footnote>
  <w:footnote w:id="11">
    <w:p w:rsidR="00321CC9" w:rsidRPr="004018BF" w:rsidP="004018BF" w14:paraId="56B1577D" w14:textId="25B2CD79">
      <w:pPr>
        <w:pStyle w:val="FootnoteText"/>
        <w:spacing w:after="120"/>
      </w:pPr>
      <w:r w:rsidRPr="004018BF">
        <w:rPr>
          <w:rStyle w:val="FootnoteReference"/>
        </w:rPr>
        <w:footnoteRef/>
      </w:r>
      <w:r w:rsidRPr="004018BF">
        <w:t xml:space="preserve"> FirstEnergy Corp. Form 10-Q at 39 (Aug. 17, 2020); </w:t>
      </w:r>
      <w:hyperlink r:id="rId2" w:history="1">
        <w:r w:rsidRPr="004018BF">
          <w:rPr>
            <w:rStyle w:val="Hyperlink"/>
          </w:rPr>
          <w:t>https://investors.firstenergycorp.com/Doc/Index?did=59960192</w:t>
        </w:r>
      </w:hyperlink>
    </w:p>
  </w:footnote>
  <w:footnote w:id="12">
    <w:p w:rsidR="00321CC9" w:rsidRPr="004018BF" w:rsidP="004018BF" w14:paraId="10B13472" w14:textId="2B6FABA3">
      <w:pPr>
        <w:pStyle w:val="FootnoteText"/>
        <w:spacing w:after="120"/>
      </w:pPr>
      <w:r w:rsidRPr="004018BF">
        <w:rPr>
          <w:rStyle w:val="FootnoteReference"/>
        </w:rPr>
        <w:footnoteRef/>
      </w:r>
      <w:r w:rsidRPr="004018BF">
        <w:t xml:space="preserve"> </w:t>
      </w:r>
      <w:r w:rsidRPr="004018BF">
        <w:rPr>
          <w:i/>
          <w:iCs/>
        </w:rPr>
        <w:t>See State of Ohio v. FirstEnergy Corp. et al.</w:t>
      </w:r>
      <w:r w:rsidRPr="004018BF">
        <w:t xml:space="preserve"> (September 23, 2020), at 4-6. </w:t>
      </w:r>
      <w:hyperlink r:id="rId3" w:history="1">
        <w:r w:rsidRPr="004018BF">
          <w:rPr>
            <w:rStyle w:val="Hyperlink"/>
          </w:rPr>
          <w:t>https://www.ohioattorneygeneral.gov/Files/Briefing-Room/News-Releases/State-ex-rel-Yost-v-FirstEnergy-et-al-Complaint-Al.aspx</w:t>
        </w:r>
      </w:hyperlink>
      <w:r w:rsidRPr="004018BF">
        <w:t xml:space="preserve">. </w:t>
      </w:r>
    </w:p>
  </w:footnote>
  <w:footnote w:id="13">
    <w:p w:rsidR="00321CC9" w:rsidRPr="004018BF" w:rsidP="004018BF" w14:paraId="1C2ACD83" w14:textId="761854F8">
      <w:pPr>
        <w:pStyle w:val="FootnoteText"/>
        <w:spacing w:after="120"/>
        <w:rPr>
          <w:i/>
          <w:iCs/>
        </w:rPr>
      </w:pPr>
      <w:r w:rsidRPr="004018BF">
        <w:rPr>
          <w:rStyle w:val="FootnoteReference"/>
        </w:rPr>
        <w:footnoteRef/>
      </w:r>
      <w:r w:rsidRPr="004018BF">
        <w:t xml:space="preserve"> </w:t>
      </w:r>
      <w:r w:rsidRPr="004018BF">
        <w:rPr>
          <w:i/>
          <w:iCs/>
        </w:rPr>
        <w:t>Id.</w:t>
      </w:r>
    </w:p>
  </w:footnote>
  <w:footnote w:id="14">
    <w:p w:rsidR="00321CC9" w:rsidRPr="004018BF" w:rsidP="004018BF" w14:paraId="6B913D28" w14:textId="5A5F690C">
      <w:pPr>
        <w:pStyle w:val="FootnoteText"/>
        <w:spacing w:after="120"/>
      </w:pPr>
      <w:r w:rsidRPr="004018BF">
        <w:rPr>
          <w:rStyle w:val="FootnoteReference"/>
        </w:rPr>
        <w:footnoteRef/>
      </w:r>
      <w:r w:rsidRPr="004018BF">
        <w:t xml:space="preserve"> </w:t>
      </w:r>
      <w:r w:rsidRPr="004018BF">
        <w:rPr>
          <w:i/>
          <w:iCs/>
        </w:rPr>
        <w:t>Id.</w:t>
      </w:r>
      <w:r w:rsidRPr="004018BF">
        <w:t xml:space="preserve"> at 7.</w:t>
      </w:r>
    </w:p>
  </w:footnote>
  <w:footnote w:id="15">
    <w:p w:rsidR="00321CC9" w:rsidRPr="004018BF" w:rsidP="004018BF" w14:paraId="6BEF28EB" w14:textId="1E80963F">
      <w:pPr>
        <w:pStyle w:val="FootnoteText"/>
        <w:spacing w:after="120"/>
      </w:pPr>
      <w:r w:rsidRPr="004018BF">
        <w:rPr>
          <w:rStyle w:val="FootnoteReference"/>
        </w:rPr>
        <w:footnoteRef/>
      </w:r>
      <w:r w:rsidRPr="004018BF">
        <w:t xml:space="preserve"> </w:t>
      </w:r>
      <w:r w:rsidRPr="004018BF">
        <w:rPr>
          <w:i/>
          <w:iCs/>
        </w:rPr>
        <w:t>Id.</w:t>
      </w:r>
      <w:r w:rsidRPr="004018BF">
        <w:t xml:space="preserve"> at 8. </w:t>
      </w:r>
    </w:p>
  </w:footnote>
  <w:footnote w:id="16">
    <w:p w:rsidR="00321CC9" w:rsidRPr="004018BF" w:rsidP="004018BF" w14:paraId="609A76BD" w14:textId="4610B4F2">
      <w:pPr>
        <w:pStyle w:val="FootnoteText"/>
        <w:spacing w:after="120"/>
      </w:pPr>
      <w:r w:rsidRPr="004018BF">
        <w:rPr>
          <w:rStyle w:val="FootnoteReference"/>
        </w:rPr>
        <w:footnoteRef/>
      </w:r>
      <w:r w:rsidRPr="004018BF">
        <w:rPr>
          <w:i/>
          <w:iCs/>
        </w:rPr>
        <w:t xml:space="preserve"> See e.g. Cleveland Electric Illuminating Co. v. Public Utilities Com.</w:t>
      </w:r>
      <w:r w:rsidRPr="004018BF">
        <w:t xml:space="preserve">, 69 Ohio St.2d 258 (1982) (“[C]haritable contributions, as a category of expenditures, are not a cost of rendering public utility service within the meaning of R.C. 4909.15(A)(4) [and] [a]llowing such contributions as an expense would disadvantage ratepayers by forcing them to pay for the contributions.”) </w:t>
      </w:r>
    </w:p>
  </w:footnote>
  <w:footnote w:id="17">
    <w:p w:rsidR="00321CC9" w:rsidRPr="004018BF" w:rsidP="004018BF" w14:paraId="69EF8117" w14:textId="7C5C4701">
      <w:pPr>
        <w:pStyle w:val="FootnoteText"/>
        <w:spacing w:after="120"/>
      </w:pPr>
      <w:r w:rsidRPr="004018BF">
        <w:rPr>
          <w:rStyle w:val="FootnoteReference"/>
        </w:rPr>
        <w:footnoteRef/>
      </w:r>
      <w:r w:rsidRPr="004018BF">
        <w:t xml:space="preserve"> Memo Contra, at 1.</w:t>
      </w:r>
    </w:p>
  </w:footnote>
  <w:footnote w:id="18">
    <w:p w:rsidR="00321CC9" w:rsidRPr="004018BF" w:rsidP="004018BF" w14:paraId="1896B25F" w14:textId="77617C9D">
      <w:pPr>
        <w:pStyle w:val="FootnoteText"/>
        <w:spacing w:after="120"/>
      </w:pPr>
      <w:r w:rsidRPr="004018BF">
        <w:rPr>
          <w:rStyle w:val="FootnoteReference"/>
        </w:rPr>
        <w:footnoteRef/>
      </w:r>
      <w:r w:rsidRPr="004018BF">
        <w:t xml:space="preserve"> </w:t>
      </w:r>
      <w:r w:rsidRPr="004018BF">
        <w:rPr>
          <w:i/>
          <w:iCs/>
        </w:rPr>
        <w:t>Id.</w:t>
      </w:r>
      <w:r w:rsidRPr="004018BF">
        <w:t xml:space="preserve"> at 5.</w:t>
      </w:r>
    </w:p>
    <w:p w:rsidR="00321CC9" w:rsidRPr="004018BF" w:rsidP="004018BF" w14:paraId="71F6927C" w14:textId="77777777">
      <w:pPr>
        <w:pStyle w:val="FootnoteText"/>
        <w:spacing w:after="120"/>
      </w:pPr>
    </w:p>
  </w:footnote>
  <w:footnote w:id="19">
    <w:p w:rsidR="00321CC9" w:rsidRPr="004018BF" w:rsidP="004018BF" w14:paraId="5B6110C6" w14:textId="63FF6D84">
      <w:pPr>
        <w:pStyle w:val="FootnoteText"/>
        <w:spacing w:after="120"/>
      </w:pPr>
      <w:r w:rsidRPr="004018BF">
        <w:rPr>
          <w:rStyle w:val="FootnoteReference"/>
        </w:rPr>
        <w:footnoteRef/>
      </w:r>
      <w:r w:rsidRPr="004018BF">
        <w:t xml:space="preserve"> </w:t>
      </w:r>
      <w:r w:rsidRPr="004018BF">
        <w:rPr>
          <w:i/>
          <w:iCs/>
        </w:rPr>
        <w:t>Id.</w:t>
      </w:r>
      <w:r w:rsidRPr="004018BF">
        <w:t xml:space="preserve"> at 13. </w:t>
      </w:r>
    </w:p>
  </w:footnote>
  <w:footnote w:id="20">
    <w:p w:rsidR="00321CC9" w:rsidRPr="004018BF" w:rsidP="004018BF" w14:paraId="62C17210" w14:textId="63079F75">
      <w:pPr>
        <w:pStyle w:val="FootnoteText"/>
        <w:spacing w:after="120"/>
      </w:pPr>
      <w:r w:rsidRPr="004018BF">
        <w:rPr>
          <w:rStyle w:val="FootnoteReference"/>
        </w:rPr>
        <w:footnoteRef/>
      </w:r>
      <w:r w:rsidRPr="004018BF">
        <w:t xml:space="preserve"> </w:t>
      </w:r>
      <w:r w:rsidRPr="004018BF">
        <w:rPr>
          <w:i/>
          <w:iCs/>
        </w:rPr>
        <w:t>Id.</w:t>
      </w:r>
      <w:r w:rsidRPr="004018BF">
        <w:t xml:space="preserve"> </w:t>
      </w:r>
    </w:p>
    <w:p w:rsidR="00321CC9" w:rsidRPr="004018BF" w:rsidP="004018BF" w14:paraId="367D35D4" w14:textId="77777777">
      <w:pPr>
        <w:pStyle w:val="FootnoteText"/>
        <w:spacing w:after="120"/>
      </w:pPr>
    </w:p>
  </w:footnote>
  <w:footnote w:id="21">
    <w:p w:rsidR="00321CC9" w:rsidRPr="004018BF" w:rsidP="004018BF" w14:paraId="32B021B4" w14:textId="50BAE974">
      <w:pPr>
        <w:pStyle w:val="FootnoteText"/>
        <w:spacing w:after="120"/>
      </w:pPr>
      <w:r w:rsidRPr="004018BF">
        <w:rPr>
          <w:rStyle w:val="FootnoteReference"/>
        </w:rPr>
        <w:footnoteRef/>
      </w:r>
      <w:r>
        <w:rPr>
          <w:i/>
          <w:iCs/>
        </w:rPr>
        <w:t xml:space="preserve"> </w:t>
      </w:r>
      <w:r w:rsidRPr="004018BF">
        <w:rPr>
          <w:i/>
          <w:iCs/>
        </w:rPr>
        <w:t>United States of America v. Larry Householder, Jeffrey Longstreth, Neil Clark, Matthew Borges, Juan Cespedes, and Generation Now</w:t>
      </w:r>
      <w:r w:rsidRPr="004018BF">
        <w:t>, Case No. 1:20-MJ-00526, Affidavit of Blane J. Wetzel in Support of a Criminal Complaint at ¶ 9 (U.S. Dist. S.D.) (July 17, 2020)</w:t>
      </w:r>
      <w:r w:rsidR="00EB71A2">
        <w:t>.</w:t>
      </w:r>
    </w:p>
  </w:footnote>
  <w:footnote w:id="22">
    <w:p w:rsidR="00321CC9" w:rsidRPr="004018BF" w:rsidP="004018BF" w14:paraId="2FB17942" w14:textId="11150F40">
      <w:pPr>
        <w:pStyle w:val="FootnoteText"/>
        <w:spacing w:after="120"/>
      </w:pPr>
      <w:r w:rsidRPr="004018BF">
        <w:rPr>
          <w:rStyle w:val="FootnoteReference"/>
        </w:rPr>
        <w:footnoteRef/>
      </w:r>
      <w:r w:rsidR="00263AF5">
        <w:rPr>
          <w:i/>
          <w:iCs/>
        </w:rPr>
        <w:t xml:space="preserve"> </w:t>
      </w:r>
      <w:r w:rsidRPr="004018BF">
        <w:rPr>
          <w:i/>
          <w:iCs/>
        </w:rPr>
        <w:t>In the Matter of the Investigation into the Gas Purchasing Practices and Policies of Columbia Gas of Ohio</w:t>
      </w:r>
      <w:r w:rsidRPr="004018BF">
        <w:t>, Case No. 83-135-GA-COI, Opinion and Order at 43 (Oct. 8, 1985).</w:t>
      </w:r>
    </w:p>
  </w:footnote>
  <w:footnote w:id="23">
    <w:p w:rsidR="00321CC9" w:rsidRPr="004018BF" w:rsidP="004018BF" w14:paraId="4D3ED10D" w14:textId="6FF6D64D">
      <w:pPr>
        <w:pStyle w:val="FootnoteText"/>
        <w:spacing w:after="120"/>
      </w:pPr>
      <w:r w:rsidRPr="004018BF">
        <w:rPr>
          <w:rStyle w:val="FootnoteReference"/>
        </w:rPr>
        <w:footnoteRef/>
      </w:r>
      <w:r w:rsidRPr="004018BF">
        <w:rPr>
          <w:i/>
          <w:iCs/>
        </w:rPr>
        <w:t xml:space="preserve"> United States of America v. Larry Householder, Jeffrey Longstreth, Neil Clark, Matthew Borges, Juan Cespedes, and Generation Now</w:t>
      </w:r>
      <w:r w:rsidRPr="004018BF">
        <w:t>, Case No. 1:20-MJ-00526, Affidavit of Blane J. Wetzel in Support of a Criminal Complaint at ¶ 9 (U.S. Dist. S.D.) (July 17, 2020)</w:t>
      </w:r>
      <w:r>
        <w:t>.</w:t>
      </w:r>
    </w:p>
  </w:footnote>
  <w:footnote w:id="24">
    <w:p w:rsidR="00321CC9" w:rsidRPr="004018BF" w:rsidP="004018BF" w14:paraId="216FACA1" w14:textId="6A18F410">
      <w:pPr>
        <w:pStyle w:val="FootnoteText"/>
        <w:spacing w:after="120"/>
      </w:pPr>
      <w:r w:rsidRPr="004018BF">
        <w:rPr>
          <w:rStyle w:val="FootnoteReference"/>
        </w:rPr>
        <w:footnoteRef/>
      </w:r>
      <w:r w:rsidRPr="004018BF">
        <w:t xml:space="preserve"> </w:t>
      </w:r>
      <w:r w:rsidRPr="004018BF">
        <w:rPr>
          <w:i/>
          <w:iCs/>
        </w:rPr>
        <w:t>In the Matter of the Application of Ohio Edison Company, The Cleveland Electric Illumination Company, and the Toledo Edison Company for Authority to Provide for a Standard Service Offer Pursuant to R.C. 4928.143 in the Form of an Electric Security Plan</w:t>
      </w:r>
      <w:r w:rsidRPr="004018BF">
        <w:t>, Case No. 14-1297-EL-SSO, Fifth Entry on Rehearing at ¶282 (Oct. 12, 2016).</w:t>
      </w:r>
    </w:p>
  </w:footnote>
  <w:footnote w:id="25">
    <w:p w:rsidR="00321CC9" w:rsidRPr="004018BF" w:rsidP="004018BF" w14:paraId="1DCA5E40" w14:textId="7DD5A322">
      <w:pPr>
        <w:pStyle w:val="FootnoteText"/>
        <w:spacing w:after="120"/>
      </w:pPr>
      <w:r w:rsidRPr="004018BF">
        <w:rPr>
          <w:rStyle w:val="FootnoteReference"/>
        </w:rPr>
        <w:footnoteRef/>
      </w:r>
      <w:r w:rsidRPr="004018BF">
        <w:t xml:space="preserve"> Memo Contra, at 14-15.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1CC9" w14:paraId="7C69746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1CC9" w14:paraId="3E20B34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4191D49"/>
    <w:multiLevelType w:val="hybridMultilevel"/>
    <w:tmpl w:val="E2489D02"/>
    <w:lvl w:ilvl="0">
      <w:start w:val="1"/>
      <w:numFmt w:val="upperLetter"/>
      <w:lvlText w:val="%1."/>
      <w:lvlJc w:val="left"/>
      <w:pPr>
        <w:ind w:left="1440" w:hanging="360"/>
      </w:pPr>
      <w:rPr>
        <w:rFonts w:hint="default"/>
        <w:sz w:val="24"/>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5A221730"/>
    <w:multiLevelType w:val="hybridMultilevel"/>
    <w:tmpl w:val="BF582A2C"/>
    <w:lvl w:ilvl="0">
      <w:start w:val="1"/>
      <w:numFmt w:val="upperRoman"/>
      <w:lvlText w:val="%1."/>
      <w:lvlJc w:val="left"/>
      <w:pPr>
        <w:ind w:left="1080" w:hanging="720"/>
      </w:pPr>
      <w:rPr>
        <w:rFonts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72917B1C"/>
    <w:multiLevelType w:val="hybridMultilevel"/>
    <w:tmpl w:val="BCA2262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73432C9A"/>
    <w:multiLevelType w:val="hybridMultilevel"/>
    <w:tmpl w:val="402A1FDA"/>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7DC7435"/>
    <w:multiLevelType w:val="hybridMultilevel"/>
    <w:tmpl w:val="20941B3A"/>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DDD"/>
    <w:rsid w:val="000319F8"/>
    <w:rsid w:val="000354F3"/>
    <w:rsid w:val="000422A5"/>
    <w:rsid w:val="00046F81"/>
    <w:rsid w:val="0004765F"/>
    <w:rsid w:val="00083E9C"/>
    <w:rsid w:val="00095439"/>
    <w:rsid w:val="000968F6"/>
    <w:rsid w:val="000A224E"/>
    <w:rsid w:val="000A4D4C"/>
    <w:rsid w:val="000B22DF"/>
    <w:rsid w:val="000D18C8"/>
    <w:rsid w:val="000E6E19"/>
    <w:rsid w:val="00104E8D"/>
    <w:rsid w:val="00105224"/>
    <w:rsid w:val="0011559B"/>
    <w:rsid w:val="00120B54"/>
    <w:rsid w:val="00124632"/>
    <w:rsid w:val="001336D8"/>
    <w:rsid w:val="001373C5"/>
    <w:rsid w:val="001519BD"/>
    <w:rsid w:val="001525EF"/>
    <w:rsid w:val="00156C4F"/>
    <w:rsid w:val="00191051"/>
    <w:rsid w:val="0019508F"/>
    <w:rsid w:val="001957AF"/>
    <w:rsid w:val="001A59C6"/>
    <w:rsid w:val="001B3BE7"/>
    <w:rsid w:val="001C25B0"/>
    <w:rsid w:val="001E29D2"/>
    <w:rsid w:val="002047ED"/>
    <w:rsid w:val="00216E37"/>
    <w:rsid w:val="0025541D"/>
    <w:rsid w:val="00255C49"/>
    <w:rsid w:val="0025632B"/>
    <w:rsid w:val="00263AF5"/>
    <w:rsid w:val="002702F1"/>
    <w:rsid w:val="00277125"/>
    <w:rsid w:val="00287475"/>
    <w:rsid w:val="00292F96"/>
    <w:rsid w:val="00294E1D"/>
    <w:rsid w:val="002F18E3"/>
    <w:rsid w:val="002F7815"/>
    <w:rsid w:val="003059B6"/>
    <w:rsid w:val="00317616"/>
    <w:rsid w:val="00321CC9"/>
    <w:rsid w:val="003234F0"/>
    <w:rsid w:val="00363BF9"/>
    <w:rsid w:val="0037629B"/>
    <w:rsid w:val="00382B81"/>
    <w:rsid w:val="003B0349"/>
    <w:rsid w:val="003B1AF4"/>
    <w:rsid w:val="003C3576"/>
    <w:rsid w:val="003C5C63"/>
    <w:rsid w:val="003D602F"/>
    <w:rsid w:val="003F3916"/>
    <w:rsid w:val="004018BF"/>
    <w:rsid w:val="00402552"/>
    <w:rsid w:val="00403D92"/>
    <w:rsid w:val="00412D5C"/>
    <w:rsid w:val="00427CE0"/>
    <w:rsid w:val="0045260F"/>
    <w:rsid w:val="0046537B"/>
    <w:rsid w:val="0047460B"/>
    <w:rsid w:val="0049537D"/>
    <w:rsid w:val="004B033E"/>
    <w:rsid w:val="004C023B"/>
    <w:rsid w:val="004C6F87"/>
    <w:rsid w:val="004D2DDD"/>
    <w:rsid w:val="004E15DE"/>
    <w:rsid w:val="004E4727"/>
    <w:rsid w:val="004E6D59"/>
    <w:rsid w:val="005048BF"/>
    <w:rsid w:val="005241B5"/>
    <w:rsid w:val="00535783"/>
    <w:rsid w:val="005526CD"/>
    <w:rsid w:val="00560B0B"/>
    <w:rsid w:val="00570D46"/>
    <w:rsid w:val="00590EE6"/>
    <w:rsid w:val="00594138"/>
    <w:rsid w:val="005A7B05"/>
    <w:rsid w:val="005B3180"/>
    <w:rsid w:val="005B726E"/>
    <w:rsid w:val="005C3A9C"/>
    <w:rsid w:val="005C5685"/>
    <w:rsid w:val="005D1DEC"/>
    <w:rsid w:val="005E3899"/>
    <w:rsid w:val="006155B1"/>
    <w:rsid w:val="00615ECC"/>
    <w:rsid w:val="00635B76"/>
    <w:rsid w:val="00637AC1"/>
    <w:rsid w:val="006461EA"/>
    <w:rsid w:val="0068530A"/>
    <w:rsid w:val="00692226"/>
    <w:rsid w:val="006A0543"/>
    <w:rsid w:val="006B11BB"/>
    <w:rsid w:val="006D1321"/>
    <w:rsid w:val="006D6D96"/>
    <w:rsid w:val="006E0BF3"/>
    <w:rsid w:val="006F172B"/>
    <w:rsid w:val="00725B5D"/>
    <w:rsid w:val="00727B60"/>
    <w:rsid w:val="00727FDF"/>
    <w:rsid w:val="007374ED"/>
    <w:rsid w:val="00742AAC"/>
    <w:rsid w:val="00747AD4"/>
    <w:rsid w:val="00752885"/>
    <w:rsid w:val="00756C98"/>
    <w:rsid w:val="0076727E"/>
    <w:rsid w:val="00767AA9"/>
    <w:rsid w:val="007744A4"/>
    <w:rsid w:val="00787F37"/>
    <w:rsid w:val="00794318"/>
    <w:rsid w:val="007A1781"/>
    <w:rsid w:val="007A17C0"/>
    <w:rsid w:val="007B2E6C"/>
    <w:rsid w:val="007C2366"/>
    <w:rsid w:val="007C4E93"/>
    <w:rsid w:val="007F198B"/>
    <w:rsid w:val="007F5CCF"/>
    <w:rsid w:val="00825157"/>
    <w:rsid w:val="008353BE"/>
    <w:rsid w:val="00845B38"/>
    <w:rsid w:val="00863227"/>
    <w:rsid w:val="00865081"/>
    <w:rsid w:val="00876782"/>
    <w:rsid w:val="00882C0E"/>
    <w:rsid w:val="00895619"/>
    <w:rsid w:val="008A68A7"/>
    <w:rsid w:val="008F3AC6"/>
    <w:rsid w:val="008F7156"/>
    <w:rsid w:val="00901B81"/>
    <w:rsid w:val="00912AA1"/>
    <w:rsid w:val="00927116"/>
    <w:rsid w:val="00933E04"/>
    <w:rsid w:val="009476EF"/>
    <w:rsid w:val="00954047"/>
    <w:rsid w:val="009662C2"/>
    <w:rsid w:val="009737F2"/>
    <w:rsid w:val="00974E24"/>
    <w:rsid w:val="00975B1E"/>
    <w:rsid w:val="009A61A7"/>
    <w:rsid w:val="009B53AC"/>
    <w:rsid w:val="00A01C72"/>
    <w:rsid w:val="00A154D9"/>
    <w:rsid w:val="00A2118A"/>
    <w:rsid w:val="00A300B9"/>
    <w:rsid w:val="00A72B5C"/>
    <w:rsid w:val="00A81E46"/>
    <w:rsid w:val="00AA16E0"/>
    <w:rsid w:val="00AA4C40"/>
    <w:rsid w:val="00AB748F"/>
    <w:rsid w:val="00AC73A7"/>
    <w:rsid w:val="00AD460D"/>
    <w:rsid w:val="00AF3ABE"/>
    <w:rsid w:val="00B20BED"/>
    <w:rsid w:val="00B31F7D"/>
    <w:rsid w:val="00B46AB9"/>
    <w:rsid w:val="00B674AE"/>
    <w:rsid w:val="00B719E7"/>
    <w:rsid w:val="00B75D9D"/>
    <w:rsid w:val="00B84152"/>
    <w:rsid w:val="00B93439"/>
    <w:rsid w:val="00BB590B"/>
    <w:rsid w:val="00BB797E"/>
    <w:rsid w:val="00BC56C8"/>
    <w:rsid w:val="00BD1039"/>
    <w:rsid w:val="00BE4EFD"/>
    <w:rsid w:val="00BF5BC5"/>
    <w:rsid w:val="00BF69A5"/>
    <w:rsid w:val="00C055F1"/>
    <w:rsid w:val="00C07774"/>
    <w:rsid w:val="00C20BEA"/>
    <w:rsid w:val="00C21FA8"/>
    <w:rsid w:val="00C2694C"/>
    <w:rsid w:val="00C33C2F"/>
    <w:rsid w:val="00C359D6"/>
    <w:rsid w:val="00C36628"/>
    <w:rsid w:val="00C51F5E"/>
    <w:rsid w:val="00C61229"/>
    <w:rsid w:val="00C61640"/>
    <w:rsid w:val="00C625CC"/>
    <w:rsid w:val="00CA37AA"/>
    <w:rsid w:val="00CE1207"/>
    <w:rsid w:val="00CE4973"/>
    <w:rsid w:val="00CF1F41"/>
    <w:rsid w:val="00CF5811"/>
    <w:rsid w:val="00D35832"/>
    <w:rsid w:val="00D41F71"/>
    <w:rsid w:val="00D46F79"/>
    <w:rsid w:val="00D5455B"/>
    <w:rsid w:val="00D557AC"/>
    <w:rsid w:val="00D56922"/>
    <w:rsid w:val="00D610EB"/>
    <w:rsid w:val="00D677AD"/>
    <w:rsid w:val="00D82482"/>
    <w:rsid w:val="00D84F10"/>
    <w:rsid w:val="00DA7544"/>
    <w:rsid w:val="00DB5D04"/>
    <w:rsid w:val="00DC7566"/>
    <w:rsid w:val="00DE0806"/>
    <w:rsid w:val="00DF540C"/>
    <w:rsid w:val="00E1000C"/>
    <w:rsid w:val="00E11992"/>
    <w:rsid w:val="00E13DB0"/>
    <w:rsid w:val="00E24B63"/>
    <w:rsid w:val="00E3571A"/>
    <w:rsid w:val="00E37AB7"/>
    <w:rsid w:val="00E404E3"/>
    <w:rsid w:val="00E5087E"/>
    <w:rsid w:val="00E836FA"/>
    <w:rsid w:val="00E9534A"/>
    <w:rsid w:val="00EA0096"/>
    <w:rsid w:val="00EA7547"/>
    <w:rsid w:val="00EB2417"/>
    <w:rsid w:val="00EB2F17"/>
    <w:rsid w:val="00EB71A2"/>
    <w:rsid w:val="00EE5970"/>
    <w:rsid w:val="00EF0EF4"/>
    <w:rsid w:val="00F0331A"/>
    <w:rsid w:val="00F071D9"/>
    <w:rsid w:val="00F50663"/>
    <w:rsid w:val="00F72EBF"/>
    <w:rsid w:val="00F76EF8"/>
    <w:rsid w:val="00F94C8C"/>
    <w:rsid w:val="00F97D5C"/>
    <w:rsid w:val="00FB3F83"/>
    <w:rsid w:val="00FB57E4"/>
    <w:rsid w:val="00FC4FF8"/>
    <w:rsid w:val="00FC5B32"/>
    <w:rsid w:val="00FE1CF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DD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uiPriority w:val="9"/>
    <w:qFormat/>
    <w:rsid w:val="0025632B"/>
    <w:pPr>
      <w:keepNext/>
      <w:keepLines/>
      <w:spacing w:after="24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E37AB7"/>
    <w:pPr>
      <w:keepNext/>
      <w:keepLines/>
      <w:spacing w:after="240"/>
      <w:ind w:left="1440" w:hanging="720"/>
      <w:outlineLvl w:val="1"/>
    </w:pPr>
    <w:rPr>
      <w:rFonts w:ascii="Times New Roman Bold" w:hAnsi="Times New Roman Bold"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4D2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rsid w:val="004D2DDD"/>
    <w:rPr>
      <w:rFonts w:ascii="Courier New" w:eastAsia="Courier New" w:hAnsi="Courier New" w:cs="Courier New"/>
      <w:sz w:val="20"/>
      <w:szCs w:val="20"/>
    </w:rPr>
  </w:style>
  <w:style w:type="paragraph" w:styleId="Footer">
    <w:name w:val="footer"/>
    <w:basedOn w:val="Normal"/>
    <w:link w:val="FooterChar"/>
    <w:uiPriority w:val="99"/>
    <w:rsid w:val="004D2DDD"/>
    <w:pPr>
      <w:tabs>
        <w:tab w:val="center" w:pos="4320"/>
        <w:tab w:val="right" w:pos="8640"/>
      </w:tabs>
    </w:pPr>
    <w:rPr>
      <w:sz w:val="20"/>
    </w:rPr>
  </w:style>
  <w:style w:type="character" w:customStyle="1" w:styleId="FooterChar">
    <w:name w:val="Footer Char"/>
    <w:basedOn w:val="DefaultParagraphFont"/>
    <w:link w:val="Footer"/>
    <w:uiPriority w:val="99"/>
    <w:rsid w:val="004D2DDD"/>
    <w:rPr>
      <w:rFonts w:ascii="Times New Roman" w:eastAsia="Times New Roman" w:hAnsi="Times New Roman" w:cs="Times New Roman"/>
      <w:sz w:val="20"/>
      <w:szCs w:val="20"/>
    </w:rPr>
  </w:style>
  <w:style w:type="character" w:styleId="Hyperlink">
    <w:name w:val="Hyperlink"/>
    <w:uiPriority w:val="99"/>
    <w:rsid w:val="004D2DDD"/>
    <w:rPr>
      <w:color w:val="0000FF"/>
      <w:u w:val="single"/>
    </w:rPr>
  </w:style>
  <w:style w:type="paragraph" w:styleId="Header">
    <w:name w:val="header"/>
    <w:basedOn w:val="Normal"/>
    <w:link w:val="HeaderChar"/>
    <w:uiPriority w:val="99"/>
    <w:unhideWhenUsed/>
    <w:rsid w:val="007C2366"/>
    <w:pPr>
      <w:tabs>
        <w:tab w:val="center" w:pos="4680"/>
        <w:tab w:val="right" w:pos="9360"/>
      </w:tabs>
    </w:pPr>
  </w:style>
  <w:style w:type="character" w:customStyle="1" w:styleId="HeaderChar">
    <w:name w:val="Header Char"/>
    <w:basedOn w:val="DefaultParagraphFont"/>
    <w:link w:val="Header"/>
    <w:uiPriority w:val="99"/>
    <w:rsid w:val="007C2366"/>
    <w:rPr>
      <w:rFonts w:ascii="Times New Roman" w:eastAsia="Times New Roman" w:hAnsi="Times New Roman" w:cs="Times New Roman"/>
      <w:sz w:val="24"/>
      <w:szCs w:val="20"/>
    </w:rPr>
  </w:style>
  <w:style w:type="paragraph" w:styleId="FootnoteText">
    <w:name w:val="footnote text"/>
    <w:aliases w:val="Footnote Text Cha,Footnote Text Char Char4 Char,Footnote Text Char Char4 Char1 Char Char,Footnote Text Char2,Footnote Text Char4 Char,Footnote Text Char4 Char1 Char Char,Footnote Text Char5 Char1 Char Char Char Char Char,fn"/>
    <w:basedOn w:val="Normal"/>
    <w:link w:val="FootnoteTextChar"/>
    <w:unhideWhenUsed/>
    <w:rsid w:val="00787F37"/>
    <w:rPr>
      <w:sz w:val="20"/>
    </w:rPr>
  </w:style>
  <w:style w:type="character" w:customStyle="1" w:styleId="FootnoteTextChar">
    <w:name w:val="Footnote Text Char"/>
    <w:aliases w:val="Footnote Text Cha Char,Footnote Text Char Char4 Char Char,Footnote Text Char Char4 Char1 Char Char Char,Footnote Text Char2 Char,Footnote Text Char4 Char Char,Footnote Text Char4 Char1 Char Char Char,fn Char"/>
    <w:basedOn w:val="DefaultParagraphFont"/>
    <w:link w:val="FootnoteText"/>
    <w:rsid w:val="00787F37"/>
    <w:rPr>
      <w:rFonts w:ascii="Times New Roman" w:eastAsia="Times New Roman" w:hAnsi="Times New Roman" w:cs="Times New Roman"/>
      <w:sz w:val="20"/>
      <w:szCs w:val="20"/>
    </w:rPr>
  </w:style>
  <w:style w:type="character" w:styleId="FootnoteReference">
    <w:name w:val="footnote reference"/>
    <w:aliases w:val="(NECG) Footnote Reference,Appel note de bas de p,Style 12,Style 124,Style 13,Style 3,fr,o"/>
    <w:basedOn w:val="DefaultParagraphFont"/>
    <w:unhideWhenUsed/>
    <w:rsid w:val="00787F37"/>
    <w:rPr>
      <w:vertAlign w:val="superscript"/>
    </w:rPr>
  </w:style>
  <w:style w:type="paragraph" w:styleId="BalloonText">
    <w:name w:val="Balloon Text"/>
    <w:basedOn w:val="Normal"/>
    <w:link w:val="BalloonTextChar"/>
    <w:uiPriority w:val="99"/>
    <w:semiHidden/>
    <w:unhideWhenUsed/>
    <w:rsid w:val="00DF54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40C"/>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BC56C8"/>
    <w:rPr>
      <w:color w:val="605E5C"/>
      <w:shd w:val="clear" w:color="auto" w:fill="E1DFDD"/>
    </w:rPr>
  </w:style>
  <w:style w:type="paragraph" w:styleId="ListParagraph">
    <w:name w:val="List Paragraph"/>
    <w:basedOn w:val="Normal"/>
    <w:uiPriority w:val="34"/>
    <w:qFormat/>
    <w:rsid w:val="00E1000C"/>
    <w:pPr>
      <w:ind w:left="720"/>
      <w:contextualSpacing/>
    </w:pPr>
  </w:style>
  <w:style w:type="character" w:styleId="CommentReference">
    <w:name w:val="annotation reference"/>
    <w:basedOn w:val="DefaultParagraphFont"/>
    <w:uiPriority w:val="99"/>
    <w:semiHidden/>
    <w:unhideWhenUsed/>
    <w:rsid w:val="00427CE0"/>
    <w:rPr>
      <w:sz w:val="16"/>
      <w:szCs w:val="16"/>
    </w:rPr>
  </w:style>
  <w:style w:type="paragraph" w:styleId="CommentText">
    <w:name w:val="annotation text"/>
    <w:basedOn w:val="Normal"/>
    <w:link w:val="CommentTextChar"/>
    <w:unhideWhenUsed/>
    <w:rsid w:val="00427CE0"/>
    <w:rPr>
      <w:sz w:val="20"/>
    </w:rPr>
  </w:style>
  <w:style w:type="character" w:customStyle="1" w:styleId="CommentTextChar">
    <w:name w:val="Comment Text Char"/>
    <w:basedOn w:val="DefaultParagraphFont"/>
    <w:link w:val="CommentText"/>
    <w:rsid w:val="00427CE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27CE0"/>
    <w:rPr>
      <w:b/>
      <w:bCs/>
    </w:rPr>
  </w:style>
  <w:style w:type="character" w:customStyle="1" w:styleId="CommentSubjectChar">
    <w:name w:val="Comment Subject Char"/>
    <w:basedOn w:val="CommentTextChar"/>
    <w:link w:val="CommentSubject"/>
    <w:uiPriority w:val="99"/>
    <w:semiHidden/>
    <w:rsid w:val="00427CE0"/>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25632B"/>
    <w:rPr>
      <w:rFonts w:ascii="Times New Roman" w:hAnsi="Times New Roman" w:eastAsiaTheme="majorEastAsia" w:cstheme="majorBidi"/>
      <w:b/>
      <w:sz w:val="24"/>
      <w:szCs w:val="32"/>
    </w:rPr>
  </w:style>
  <w:style w:type="paragraph" w:styleId="TOC1">
    <w:name w:val="toc 1"/>
    <w:basedOn w:val="Normal"/>
    <w:next w:val="Normal"/>
    <w:autoRedefine/>
    <w:uiPriority w:val="39"/>
    <w:unhideWhenUsed/>
    <w:qFormat/>
    <w:rsid w:val="004E15DE"/>
    <w:pPr>
      <w:tabs>
        <w:tab w:val="decimal" w:leader="dot" w:pos="9360"/>
      </w:tabs>
      <w:spacing w:after="240"/>
      <w:ind w:left="720" w:hanging="720"/>
      <w:outlineLvl w:val="0"/>
    </w:pPr>
    <w:rPr>
      <w:caps/>
    </w:rPr>
  </w:style>
  <w:style w:type="paragraph" w:styleId="TOC2">
    <w:name w:val="toc 2"/>
    <w:basedOn w:val="Normal"/>
    <w:next w:val="Normal"/>
    <w:autoRedefine/>
    <w:uiPriority w:val="39"/>
    <w:unhideWhenUsed/>
    <w:qFormat/>
    <w:rsid w:val="004E15DE"/>
    <w:pPr>
      <w:tabs>
        <w:tab w:val="decimal" w:leader="dot" w:pos="9360"/>
      </w:tabs>
      <w:spacing w:after="240"/>
      <w:ind w:left="1440" w:hanging="720"/>
      <w:outlineLvl w:val="1"/>
    </w:pPr>
  </w:style>
  <w:style w:type="character" w:customStyle="1" w:styleId="Heading2Char">
    <w:name w:val="Heading 2 Char"/>
    <w:basedOn w:val="DefaultParagraphFont"/>
    <w:link w:val="Heading2"/>
    <w:uiPriority w:val="9"/>
    <w:rsid w:val="00E37AB7"/>
    <w:rPr>
      <w:rFonts w:ascii="Times New Roman Bold" w:hAnsi="Times New Roman Bold" w:eastAsiaTheme="majorEastAsia" w:cstheme="majorBidi"/>
      <w:b/>
      <w:sz w:val="24"/>
      <w:szCs w:val="26"/>
    </w:rPr>
  </w:style>
  <w:style w:type="paragraph" w:styleId="BodyText">
    <w:name w:val="Body Text"/>
    <w:basedOn w:val="Normal"/>
    <w:link w:val="BodyTextChar"/>
    <w:uiPriority w:val="1"/>
    <w:qFormat/>
    <w:rsid w:val="001373C5"/>
    <w:pPr>
      <w:jc w:val="both"/>
    </w:pPr>
  </w:style>
  <w:style w:type="character" w:customStyle="1" w:styleId="BodyTextChar">
    <w:name w:val="Body Text Char"/>
    <w:basedOn w:val="DefaultParagraphFont"/>
    <w:link w:val="BodyText"/>
    <w:uiPriority w:val="1"/>
    <w:rsid w:val="001373C5"/>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1E29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hyperlink" Target="mailto:Steve.beeler@ohioattorneygenral.gov" TargetMode="External" /><Relationship Id="rId15" Type="http://schemas.openxmlformats.org/officeDocument/2006/relationships/hyperlink" Target="mailto:joliker@igsenergy.com" TargetMode="External" /><Relationship Id="rId16" Type="http://schemas.openxmlformats.org/officeDocument/2006/relationships/hyperlink" Target="mailto:Mnugent@igsenergy.com" TargetMode="External" /><Relationship Id="rId17" Type="http://schemas.openxmlformats.org/officeDocument/2006/relationships/hyperlink" Target="mailto:bethany.allen@igs.com" TargetMode="External" /><Relationship Id="rId18" Type="http://schemas.openxmlformats.org/officeDocument/2006/relationships/hyperlink" Target="mailto:gkrassen@bricker.com" TargetMode="External" /><Relationship Id="rId19" Type="http://schemas.openxmlformats.org/officeDocument/2006/relationships/hyperlink" Target="mailto:dstinson@bricker.com" TargetMode="External" /><Relationship Id="rId2" Type="http://schemas.openxmlformats.org/officeDocument/2006/relationships/settings" Target="settings.xml" /><Relationship Id="rId20" Type="http://schemas.openxmlformats.org/officeDocument/2006/relationships/hyperlink" Target="mailto:Megan.addison@puc.state.oh.us" TargetMode="External" /><Relationship Id="rId21" Type="http://schemas.openxmlformats.org/officeDocument/2006/relationships/hyperlink" Target="mailto:Gregory.price@puc.state.oh.us" TargetMode="External" /><Relationship Id="rId22" Type="http://schemas.openxmlformats.org/officeDocument/2006/relationships/hyperlink" Target="mailto:edanford@firstenergycorp.com" TargetMode="External" /><Relationship Id="rId23" Type="http://schemas.openxmlformats.org/officeDocument/2006/relationships/hyperlink" Target="mailto:cwatchorn@firstenergycorp.com" TargetMode="External" /><Relationship Id="rId24" Type="http://schemas.openxmlformats.org/officeDocument/2006/relationships/hyperlink" Target="mailto:whitt@whitt-sturtevant.com" TargetMode="External" /><Relationship Id="rId25" Type="http://schemas.openxmlformats.org/officeDocument/2006/relationships/hyperlink" Target="mailto:fykes@whitt-sturtevant.com" TargetMode="External" /><Relationship Id="rId26" Type="http://schemas.openxmlformats.org/officeDocument/2006/relationships/hyperlink" Target="mailto:mwager@taftlaw.com" TargetMode="External" /><Relationship Id="rId27" Type="http://schemas.openxmlformats.org/officeDocument/2006/relationships/hyperlink" Target="mailto:iavalon@taftlaw.com" TargetMode="External" /><Relationship Id="rId28" Type="http://schemas.openxmlformats.org/officeDocument/2006/relationships/hyperlink" Target="mailto:radoringo@jonesday.com" TargetMode="External" /><Relationship Id="rId29" Type="http://schemas.openxmlformats.org/officeDocument/2006/relationships/hyperlink" Target="mailto:thomas.mcnamee@ohioattorneygeneral.gov" TargetMode="External" /><Relationship Id="rId3" Type="http://schemas.openxmlformats.org/officeDocument/2006/relationships/webSettings" Target="webSettings.xml" /><Relationship Id="rId30" Type="http://schemas.openxmlformats.org/officeDocument/2006/relationships/hyperlink" Target="mailto:mkurtz@BKLlawfirm.com" TargetMode="External" /><Relationship Id="rId31" Type="http://schemas.openxmlformats.org/officeDocument/2006/relationships/hyperlink" Target="mailto:kboehm@BKLlawfirm.com" TargetMode="External" /><Relationship Id="rId32" Type="http://schemas.openxmlformats.org/officeDocument/2006/relationships/hyperlink" Target="mailto:jkylercohn@BKLlawfirm.com" TargetMode="External" /><Relationship Id="rId33" Type="http://schemas.openxmlformats.org/officeDocument/2006/relationships/hyperlink" Target="mailto:cdunn@firstenergycorp.com" TargetMode="External" /><Relationship Id="rId34" Type="http://schemas.openxmlformats.org/officeDocument/2006/relationships/hyperlink" Target="mailto:bknipe@firstenergycorp.com" TargetMode="External" /><Relationship Id="rId35" Type="http://schemas.openxmlformats.org/officeDocument/2006/relationships/hyperlink" Target="mailto:jlang@calfee.com" TargetMode="External" /><Relationship Id="rId36" Type="http://schemas.openxmlformats.org/officeDocument/2006/relationships/hyperlink" Target="mailto:khehmeyer@calfee.com" TargetMode="External" /><Relationship Id="rId37" Type="http://schemas.openxmlformats.org/officeDocument/2006/relationships/hyperlink" Target="mailto:mkeaney@calfee.com" TargetMode="External" /><Relationship Id="rId38" Type="http://schemas.openxmlformats.org/officeDocument/2006/relationships/hyperlink" Target="mailto:mpritchard@mcneeslaw.com" TargetMode="External" /><Relationship Id="rId39" Type="http://schemas.openxmlformats.org/officeDocument/2006/relationships/hyperlink" Target="mailto:fdarr@mcneeslaw.com" TargetMode="External" /><Relationship Id="rId4" Type="http://schemas.openxmlformats.org/officeDocument/2006/relationships/fontTable" Target="fontTable.xml" /><Relationship Id="rId40" Type="http://schemas.openxmlformats.org/officeDocument/2006/relationships/theme" Target="theme/theme1.xml" /><Relationship Id="rId41" Type="http://schemas.openxmlformats.org/officeDocument/2006/relationships/numbering" Target="numbering.xml" /><Relationship Id="rId42" Type="http://schemas.openxmlformats.org/officeDocument/2006/relationships/styles" Target="styles.xml" /><Relationship Id="rId5" Type="http://schemas.openxmlformats.org/officeDocument/2006/relationships/customXml" Target="../customXml/item1.xml" /><Relationship Id="rId6" Type="http://schemas.openxmlformats.org/officeDocument/2006/relationships/hyperlink" Target="mailto:Maureen.willis@occ.ohio.gov" TargetMode="External" /><Relationship Id="rId7" Type="http://schemas.openxmlformats.org/officeDocument/2006/relationships/hyperlink" Target="mailto:William.michael@occ.ohio.gov" TargetMode="External" /><Relationship Id="rId8" Type="http://schemas.openxmlformats.org/officeDocument/2006/relationships/hyperlink" Target="mailto:Angela.obrien@occ.ohio.gov" TargetMode="Externa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orbes.com/sites/nicholasreimann/2020/07/21/ohio-speaker-of-the-house-arrested-in-states-largest-bribery-scheme-ever/" TargetMode="External" /><Relationship Id="rId2" Type="http://schemas.openxmlformats.org/officeDocument/2006/relationships/hyperlink" Target="https://investors.firstenergycorp.com/Doc/Index?did=59960192" TargetMode="External" /><Relationship Id="rId3" Type="http://schemas.openxmlformats.org/officeDocument/2006/relationships/hyperlink" Target="https://www.ohioattorneygeneral.gov/Files/Briefing-Room/News-Releases/State-ex-rel-Yost-v-FirstEnergy-et-al-Complaint-Al.asp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64C6F-CDEC-4113-82C5-FE78E38CC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4428</Words>
  <Characters>25244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Reply to FE Memo contra FE .mrw (004).docx</vt:lpstr>
    </vt:vector>
  </TitlesOfParts>
  <Company/>
  <LinksUpToDate>false</LinksUpToDate>
  <CharactersWithSpaces>29613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2020-09-30T20:41:29Z</dcterms:created>
  <dcterms:modified xsi:type="dcterms:W3CDTF">2020-09-30T20:41:29Z</dcterms:modified>
</cp:coreProperties>
</file>