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BB315" w14:textId="77777777" w:rsidR="00CC376D" w:rsidRPr="0074234A" w:rsidRDefault="00CC376D" w:rsidP="00CC376D">
      <w:pPr>
        <w:suppressAutoHyphens/>
        <w:spacing w:line="240" w:lineRule="auto"/>
        <w:jc w:val="center"/>
        <w:rPr>
          <w:rFonts w:eastAsia="Calibri" w:cs="Times New Roman"/>
          <w:b/>
          <w:bCs/>
          <w:szCs w:val="24"/>
          <w:lang w:eastAsia="ar-SA"/>
        </w:rPr>
      </w:pPr>
      <w:r w:rsidRPr="0074234A">
        <w:rPr>
          <w:rFonts w:eastAsia="Calibri" w:cs="Times New Roman"/>
          <w:b/>
          <w:bCs/>
          <w:szCs w:val="24"/>
          <w:lang w:eastAsia="ar-SA"/>
        </w:rPr>
        <w:t xml:space="preserve">BEFORE </w:t>
      </w:r>
    </w:p>
    <w:p w14:paraId="609228B5" w14:textId="77777777" w:rsidR="00CC376D" w:rsidRDefault="00CC376D" w:rsidP="00CC376D">
      <w:pPr>
        <w:suppressAutoHyphens/>
        <w:spacing w:line="240" w:lineRule="auto"/>
        <w:jc w:val="center"/>
        <w:rPr>
          <w:rFonts w:eastAsia="Calibri" w:cs="Times New Roman"/>
          <w:b/>
          <w:bCs/>
          <w:szCs w:val="24"/>
          <w:lang w:eastAsia="ar-SA"/>
        </w:rPr>
      </w:pPr>
      <w:r w:rsidRPr="0074234A">
        <w:rPr>
          <w:rFonts w:eastAsia="Calibri" w:cs="Times New Roman"/>
          <w:b/>
          <w:bCs/>
          <w:szCs w:val="24"/>
          <w:lang w:eastAsia="ar-SA"/>
        </w:rPr>
        <w:t>THE PUBLIC UTILITIES COMMISSION OF OHIO</w:t>
      </w:r>
    </w:p>
    <w:p w14:paraId="6230A029" w14:textId="77777777" w:rsidR="002A4E02" w:rsidRPr="0074234A" w:rsidRDefault="002A4E02" w:rsidP="00CC376D">
      <w:pPr>
        <w:suppressAutoHyphens/>
        <w:spacing w:line="240" w:lineRule="auto"/>
        <w:jc w:val="center"/>
        <w:rPr>
          <w:rFonts w:eastAsia="Calibri" w:cs="Times New Roman"/>
          <w:szCs w:val="24"/>
          <w:lang w:eastAsia="ar-SA"/>
        </w:rPr>
      </w:pPr>
    </w:p>
    <w:tbl>
      <w:tblPr>
        <w:tblW w:w="9092" w:type="dxa"/>
        <w:tblLook w:val="01E0" w:firstRow="1" w:lastRow="1" w:firstColumn="1" w:lastColumn="1" w:noHBand="0" w:noVBand="0"/>
      </w:tblPr>
      <w:tblGrid>
        <w:gridCol w:w="4031"/>
        <w:gridCol w:w="1016"/>
        <w:gridCol w:w="4045"/>
      </w:tblGrid>
      <w:tr w:rsidR="00A81CF0" w:rsidRPr="00EE6A80" w14:paraId="106F77C6" w14:textId="77777777" w:rsidTr="00140B38">
        <w:trPr>
          <w:trHeight w:val="807"/>
        </w:trPr>
        <w:tc>
          <w:tcPr>
            <w:tcW w:w="4332" w:type="dxa"/>
            <w:shd w:val="clear" w:color="auto" w:fill="auto"/>
          </w:tcPr>
          <w:p w14:paraId="4C31BF4F" w14:textId="22AF2C9B" w:rsidR="00EE6A80" w:rsidRPr="00A81CF0" w:rsidRDefault="00EE6A80" w:rsidP="00A8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Courier New" w:cs="Bookman Old Style"/>
                <w:szCs w:val="20"/>
                <w:lang w:eastAsia="ar-SA"/>
              </w:rPr>
            </w:pPr>
            <w:r w:rsidRPr="00EE6A80">
              <w:rPr>
                <w:rFonts w:eastAsia="Courier New" w:cs="Bookman Old Style"/>
                <w:szCs w:val="20"/>
                <w:lang w:eastAsia="ar-SA"/>
              </w:rPr>
              <w:t xml:space="preserve">In the Matter of the </w:t>
            </w:r>
            <w:r w:rsidR="00A81CF0">
              <w:rPr>
                <w:rFonts w:eastAsia="Courier New" w:cs="Bookman Old Style"/>
                <w:szCs w:val="20"/>
                <w:lang w:eastAsia="ar-SA"/>
              </w:rPr>
              <w:t xml:space="preserve">Review of the Political and Charitable Spending by Ohio Edison Company, the Cleveland Electric Illuminating Company, and the Toledo Edison Company. </w:t>
            </w:r>
          </w:p>
        </w:tc>
        <w:tc>
          <w:tcPr>
            <w:tcW w:w="360" w:type="dxa"/>
            <w:shd w:val="clear" w:color="auto" w:fill="auto"/>
          </w:tcPr>
          <w:p w14:paraId="2B8526DF" w14:textId="77777777" w:rsidR="00EE6A80" w:rsidRPr="00EE6A80" w:rsidRDefault="00EE6A80"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eastAsia="Courier New" w:cs="Courier New"/>
                <w:szCs w:val="20"/>
                <w:lang w:eastAsia="ar-SA"/>
              </w:rPr>
            </w:pPr>
            <w:r w:rsidRPr="00EE6A80">
              <w:rPr>
                <w:rFonts w:eastAsia="Courier New" w:cs="Courier New"/>
                <w:szCs w:val="20"/>
                <w:lang w:eastAsia="ar-SA"/>
              </w:rPr>
              <w:t>)</w:t>
            </w:r>
          </w:p>
          <w:p w14:paraId="2E310571" w14:textId="77777777" w:rsidR="00EE6A80" w:rsidRPr="00EE6A80" w:rsidRDefault="00EE6A80"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eastAsia="Courier New" w:cs="Courier New"/>
                <w:szCs w:val="20"/>
                <w:lang w:eastAsia="ar-SA"/>
              </w:rPr>
            </w:pPr>
            <w:r w:rsidRPr="00EE6A80">
              <w:rPr>
                <w:rFonts w:eastAsia="Courier New" w:cs="Courier New"/>
                <w:szCs w:val="20"/>
                <w:lang w:eastAsia="ar-SA"/>
              </w:rPr>
              <w:t>)</w:t>
            </w:r>
          </w:p>
          <w:p w14:paraId="29AA7E05" w14:textId="77777777" w:rsidR="00EE6A80" w:rsidRPr="00EE6A80" w:rsidRDefault="00EE6A80"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eastAsia="Courier New" w:cs="Courier New"/>
                <w:szCs w:val="20"/>
                <w:lang w:eastAsia="ar-SA"/>
              </w:rPr>
            </w:pPr>
            <w:r w:rsidRPr="00EE6A80">
              <w:rPr>
                <w:rFonts w:eastAsia="Courier New" w:cs="Courier New"/>
                <w:szCs w:val="20"/>
                <w:lang w:eastAsia="ar-SA"/>
              </w:rPr>
              <w:t>)</w:t>
            </w:r>
          </w:p>
          <w:p w14:paraId="0CB1419D" w14:textId="77777777" w:rsidR="00EE6A80" w:rsidRPr="00EE6A80" w:rsidRDefault="00EE6A80"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eastAsia="Courier New" w:cs="Courier New"/>
                <w:szCs w:val="20"/>
                <w:lang w:eastAsia="ar-SA"/>
              </w:rPr>
            </w:pPr>
            <w:r w:rsidRPr="00EE6A80">
              <w:rPr>
                <w:rFonts w:eastAsia="Courier New" w:cs="Courier New"/>
                <w:szCs w:val="20"/>
                <w:lang w:eastAsia="ar-SA"/>
              </w:rPr>
              <w:t>)</w:t>
            </w:r>
          </w:p>
          <w:p w14:paraId="6005C187" w14:textId="11848209" w:rsidR="003A6DFA" w:rsidRPr="00EE6A80" w:rsidRDefault="00A81CF0" w:rsidP="00A8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eastAsia="Courier New" w:cs="Courier New"/>
                <w:szCs w:val="20"/>
                <w:lang w:eastAsia="ar-SA"/>
              </w:rPr>
            </w:pPr>
            <w:r>
              <w:rPr>
                <w:rFonts w:eastAsia="Courier New" w:cs="Courier New"/>
                <w:szCs w:val="20"/>
                <w:lang w:eastAsia="ar-SA"/>
              </w:rPr>
              <w:t>)</w:t>
            </w:r>
          </w:p>
        </w:tc>
        <w:tc>
          <w:tcPr>
            <w:tcW w:w="4400" w:type="dxa"/>
            <w:shd w:val="clear" w:color="auto" w:fill="auto"/>
          </w:tcPr>
          <w:p w14:paraId="57DE44B0" w14:textId="77777777" w:rsidR="00EE6A80" w:rsidRPr="00EE6A80" w:rsidRDefault="00EE6A80"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eastAsia="Courier New" w:cs="Courier New"/>
                <w:szCs w:val="20"/>
                <w:lang w:eastAsia="ar-SA"/>
              </w:rPr>
            </w:pPr>
          </w:p>
          <w:p w14:paraId="04FDFC51" w14:textId="77777777" w:rsidR="00EE6A80" w:rsidRPr="00EE6A80" w:rsidRDefault="00EE6A80" w:rsidP="00EE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eastAsia="Courier New" w:cs="Courier New"/>
                <w:szCs w:val="20"/>
                <w:lang w:eastAsia="ar-SA"/>
              </w:rPr>
            </w:pPr>
          </w:p>
          <w:p w14:paraId="36DE7D08" w14:textId="2D2AF3ED" w:rsidR="003A6DFA" w:rsidRPr="00EE6A80" w:rsidRDefault="00EE6A80" w:rsidP="00BB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rFonts w:eastAsia="Courier New" w:cs="Courier New"/>
                <w:szCs w:val="20"/>
                <w:lang w:eastAsia="ar-SA"/>
              </w:rPr>
            </w:pPr>
            <w:r w:rsidRPr="00EE6A80">
              <w:rPr>
                <w:rFonts w:eastAsia="Courier New" w:cs="Courier New"/>
                <w:szCs w:val="20"/>
                <w:lang w:eastAsia="ar-SA"/>
              </w:rPr>
              <w:t xml:space="preserve">         Case No. </w:t>
            </w:r>
            <w:r w:rsidR="00BB36A9">
              <w:rPr>
                <w:rFonts w:eastAsia="Courier New" w:cs="Courier New"/>
                <w:szCs w:val="20"/>
                <w:lang w:eastAsia="ar-SA"/>
              </w:rPr>
              <w:t>20</w:t>
            </w:r>
            <w:r w:rsidR="00CE65B0">
              <w:rPr>
                <w:rFonts w:eastAsia="Courier New" w:cs="Courier New"/>
                <w:szCs w:val="20"/>
                <w:lang w:eastAsia="ar-SA"/>
              </w:rPr>
              <w:t>-</w:t>
            </w:r>
            <w:r w:rsidR="00A81CF0">
              <w:rPr>
                <w:rFonts w:eastAsia="Courier New" w:cs="Courier New"/>
                <w:szCs w:val="20"/>
                <w:lang w:eastAsia="ar-SA"/>
              </w:rPr>
              <w:t>1502</w:t>
            </w:r>
            <w:r w:rsidR="00CE65B0">
              <w:rPr>
                <w:rFonts w:eastAsia="Courier New" w:cs="Courier New"/>
                <w:szCs w:val="20"/>
                <w:lang w:eastAsia="ar-SA"/>
              </w:rPr>
              <w:t>-EL-</w:t>
            </w:r>
            <w:r w:rsidR="00A81CF0">
              <w:rPr>
                <w:rFonts w:eastAsia="Courier New" w:cs="Courier New"/>
                <w:szCs w:val="20"/>
                <w:lang w:eastAsia="ar-SA"/>
              </w:rPr>
              <w:t>UNC</w:t>
            </w:r>
          </w:p>
        </w:tc>
      </w:tr>
    </w:tbl>
    <w:p w14:paraId="1F528E92" w14:textId="77777777" w:rsidR="00CC376D" w:rsidRPr="0074234A" w:rsidRDefault="00CC376D" w:rsidP="00CC376D">
      <w:pPr>
        <w:pBdr>
          <w:bottom w:val="single" w:sz="8" w:space="1" w:color="000000"/>
        </w:pBdr>
        <w:suppressAutoHyphens/>
        <w:spacing w:line="240" w:lineRule="auto"/>
        <w:rPr>
          <w:rFonts w:eastAsia="Calibri" w:cs="Times New Roman"/>
          <w:szCs w:val="20"/>
          <w:lang w:eastAsia="ar-SA"/>
        </w:rPr>
      </w:pPr>
    </w:p>
    <w:p w14:paraId="3D342DE3" w14:textId="77777777" w:rsidR="00CC376D" w:rsidRPr="0074234A" w:rsidRDefault="00CC376D" w:rsidP="00CC376D">
      <w:pPr>
        <w:suppressAutoHyphens/>
        <w:spacing w:line="240" w:lineRule="auto"/>
        <w:rPr>
          <w:rFonts w:eastAsia="Calibri" w:cs="Times New Roman"/>
          <w:sz w:val="16"/>
          <w:szCs w:val="16"/>
          <w:lang w:eastAsia="ar-SA"/>
        </w:rPr>
      </w:pPr>
    </w:p>
    <w:p w14:paraId="7A609427" w14:textId="77777777" w:rsidR="008C5BB3" w:rsidRDefault="008C5BB3" w:rsidP="00251FE3">
      <w:pPr>
        <w:suppressAutoHyphens/>
        <w:spacing w:line="240" w:lineRule="auto"/>
        <w:jc w:val="center"/>
        <w:rPr>
          <w:rFonts w:eastAsia="Calibri" w:cs="Times New Roman"/>
          <w:b/>
          <w:szCs w:val="24"/>
          <w:lang w:eastAsia="ar-SA"/>
        </w:rPr>
      </w:pPr>
      <w:r>
        <w:rPr>
          <w:rFonts w:eastAsia="Calibri" w:cs="Times New Roman"/>
          <w:b/>
          <w:szCs w:val="24"/>
          <w:lang w:eastAsia="ar-SA"/>
        </w:rPr>
        <w:t xml:space="preserve">THE ENVIRONMENTAL ADVOCATES’ REPLY </w:t>
      </w:r>
    </w:p>
    <w:p w14:paraId="0A5B4E70" w14:textId="77777777" w:rsidR="008C5BB3" w:rsidRDefault="008C5BB3" w:rsidP="00251FE3">
      <w:pPr>
        <w:suppressAutoHyphens/>
        <w:spacing w:line="240" w:lineRule="auto"/>
        <w:jc w:val="center"/>
        <w:rPr>
          <w:rFonts w:eastAsia="Calibri" w:cs="Times New Roman"/>
          <w:b/>
          <w:szCs w:val="24"/>
          <w:lang w:eastAsia="ar-SA"/>
        </w:rPr>
      </w:pPr>
      <w:r>
        <w:rPr>
          <w:rFonts w:eastAsia="Calibri" w:cs="Times New Roman"/>
          <w:b/>
          <w:szCs w:val="24"/>
          <w:lang w:eastAsia="ar-SA"/>
        </w:rPr>
        <w:t xml:space="preserve">TO FIRSTENERGY’S MEMORANDUM CONTRA </w:t>
      </w:r>
    </w:p>
    <w:p w14:paraId="4C8BDD7B" w14:textId="3C8743F9" w:rsidR="00643E10" w:rsidRDefault="00215DDF" w:rsidP="00251FE3">
      <w:pPr>
        <w:suppressAutoHyphens/>
        <w:spacing w:line="240" w:lineRule="auto"/>
        <w:jc w:val="center"/>
        <w:rPr>
          <w:rFonts w:eastAsia="Calibri" w:cs="Times New Roman"/>
          <w:b/>
          <w:szCs w:val="24"/>
          <w:lang w:eastAsia="ar-SA"/>
        </w:rPr>
      </w:pPr>
      <w:r>
        <w:rPr>
          <w:rFonts w:eastAsia="Calibri" w:cs="Times New Roman"/>
          <w:b/>
          <w:szCs w:val="24"/>
          <w:lang w:eastAsia="ar-SA"/>
        </w:rPr>
        <w:t xml:space="preserve">THE </w:t>
      </w:r>
      <w:r w:rsidR="00CC376D">
        <w:rPr>
          <w:rFonts w:eastAsia="Calibri" w:cs="Times New Roman"/>
          <w:b/>
          <w:szCs w:val="24"/>
          <w:lang w:eastAsia="ar-SA"/>
        </w:rPr>
        <w:t xml:space="preserve">MOTION TO </w:t>
      </w:r>
      <w:r w:rsidR="00251FE3">
        <w:rPr>
          <w:rFonts w:eastAsia="Calibri" w:cs="Times New Roman"/>
          <w:b/>
          <w:szCs w:val="24"/>
          <w:lang w:eastAsia="ar-SA"/>
        </w:rPr>
        <w:t xml:space="preserve">EXPAND THE SCOPE OF THE COMMISSION’S </w:t>
      </w:r>
      <w:r w:rsidR="00D25DD3">
        <w:rPr>
          <w:rFonts w:eastAsia="Calibri" w:cs="Times New Roman"/>
          <w:b/>
          <w:szCs w:val="24"/>
          <w:lang w:eastAsia="ar-SA"/>
        </w:rPr>
        <w:t xml:space="preserve">REVIEW OF </w:t>
      </w:r>
      <w:r w:rsidR="00251FE3">
        <w:rPr>
          <w:rFonts w:eastAsia="Calibri" w:cs="Times New Roman"/>
          <w:b/>
          <w:szCs w:val="24"/>
          <w:lang w:eastAsia="ar-SA"/>
        </w:rPr>
        <w:t>FIRSTENERGY</w:t>
      </w:r>
      <w:r w:rsidR="00D25DD3">
        <w:rPr>
          <w:rFonts w:eastAsia="Calibri" w:cs="Times New Roman"/>
          <w:b/>
          <w:szCs w:val="24"/>
          <w:lang w:eastAsia="ar-SA"/>
        </w:rPr>
        <w:t>’S POLITICAL AND CHARITABLE SPENDING</w:t>
      </w:r>
    </w:p>
    <w:p w14:paraId="1609FF99" w14:textId="77777777" w:rsidR="00CC376D" w:rsidRPr="0074234A" w:rsidRDefault="00CC376D" w:rsidP="00CC376D">
      <w:pPr>
        <w:pBdr>
          <w:bottom w:val="single" w:sz="8" w:space="1" w:color="000000"/>
        </w:pBdr>
        <w:suppressAutoHyphens/>
        <w:spacing w:line="240" w:lineRule="auto"/>
        <w:jc w:val="center"/>
        <w:rPr>
          <w:rFonts w:eastAsia="Calibri" w:cs="Times New Roman"/>
          <w:b/>
          <w:sz w:val="16"/>
          <w:szCs w:val="16"/>
          <w:lang w:eastAsia="ar-SA"/>
        </w:rPr>
      </w:pPr>
    </w:p>
    <w:p w14:paraId="4081E7F6" w14:textId="1715DBD7" w:rsidR="00CF03F9" w:rsidRDefault="00215DDF" w:rsidP="00CF03F9">
      <w:pPr>
        <w:pStyle w:val="Heading1"/>
        <w:spacing w:before="240"/>
      </w:pPr>
      <w:r w:rsidRPr="002369CA">
        <w:t>Introduction</w:t>
      </w:r>
    </w:p>
    <w:p w14:paraId="0F22D56A" w14:textId="1FF8EC3A" w:rsidR="004B11CA" w:rsidRDefault="00FE4F68" w:rsidP="00FE4F68">
      <w:r>
        <w:t>Despite</w:t>
      </w:r>
      <w:r w:rsidR="00B901BE">
        <w:t xml:space="preserve"> Ohio Edison Company, the Cleveland Electric Illuminating Company, and the Toledo Edison Company’s (collectively, </w:t>
      </w:r>
      <w:r>
        <w:t xml:space="preserve">the </w:t>
      </w:r>
      <w:r w:rsidR="00B901BE">
        <w:t>“</w:t>
      </w:r>
      <w:r>
        <w:t xml:space="preserve">FirstEnergy </w:t>
      </w:r>
      <w:r w:rsidR="00F32126">
        <w:t>U</w:t>
      </w:r>
      <w:r>
        <w:t>tilities</w:t>
      </w:r>
      <w:r w:rsidR="00B901BE">
        <w:t>”)</w:t>
      </w:r>
      <w:r>
        <w:t xml:space="preserve"> rhetoric to the contrary, </w:t>
      </w:r>
      <w:r w:rsidR="1EDE4168">
        <w:t>E</w:t>
      </w:r>
      <w:r w:rsidR="56629878">
        <w:t>nvironmental Advocate</w:t>
      </w:r>
      <w:r w:rsidR="1EDE4168">
        <w:t>s</w:t>
      </w:r>
      <w:r w:rsidR="00670041">
        <w:t>’</w:t>
      </w:r>
      <w:r w:rsidR="1EDE4168">
        <w:t xml:space="preserve"> </w:t>
      </w:r>
      <w:r>
        <w:t xml:space="preserve">motion simply asks the Commission to fulfill one of its key obligations: examining how utility and parent company actions impact regulated customers. In arguing against the Environmental Advocates’ motion to expand this investigation, the FirstEnergy </w:t>
      </w:r>
      <w:r w:rsidR="00F32126">
        <w:t>U</w:t>
      </w:r>
      <w:r>
        <w:t xml:space="preserve">tilities </w:t>
      </w:r>
      <w:r w:rsidR="00670041">
        <w:t xml:space="preserve">essentially </w:t>
      </w:r>
      <w:r>
        <w:t>assert</w:t>
      </w:r>
      <w:r w:rsidR="00670041">
        <w:t xml:space="preserve"> </w:t>
      </w:r>
      <w:r>
        <w:t>that the Commission should, in the midst of a</w:t>
      </w:r>
      <w:r w:rsidR="7C02DFEE">
        <w:t>n unprecedented</w:t>
      </w:r>
      <w:r>
        <w:t xml:space="preserve"> $61 million public corruption scandal tied closely to their parent company, allow them to police themselves.</w:t>
      </w:r>
      <w:r w:rsidR="325C718B">
        <w:t xml:space="preserve"> </w:t>
      </w:r>
      <w:r w:rsidR="00670041">
        <w:t xml:space="preserve">The </w:t>
      </w:r>
      <w:r w:rsidR="325C718B">
        <w:t>FirstEnergy</w:t>
      </w:r>
      <w:r w:rsidR="00670041">
        <w:t xml:space="preserve"> </w:t>
      </w:r>
      <w:r w:rsidR="00F32126">
        <w:t>U</w:t>
      </w:r>
      <w:r w:rsidR="00670041">
        <w:t>tilities’</w:t>
      </w:r>
      <w:r w:rsidR="325C718B">
        <w:t xml:space="preserve"> </w:t>
      </w:r>
      <w:r w:rsidR="00F32126">
        <w:t>M</w:t>
      </w:r>
      <w:r w:rsidR="00F53739">
        <w:t xml:space="preserve">emorandum </w:t>
      </w:r>
      <w:r w:rsidR="00F32126">
        <w:t>C</w:t>
      </w:r>
      <w:r w:rsidR="00F53739">
        <w:t>ontra</w:t>
      </w:r>
      <w:r w:rsidR="325C718B">
        <w:t xml:space="preserve"> completely ignores the importance of H</w:t>
      </w:r>
      <w:r w:rsidR="00670041">
        <w:t xml:space="preserve">ouse </w:t>
      </w:r>
      <w:r w:rsidR="325C718B">
        <w:t>B</w:t>
      </w:r>
      <w:r w:rsidR="00670041">
        <w:t>ill</w:t>
      </w:r>
      <w:r w:rsidR="325C718B">
        <w:t xml:space="preserve"> 6</w:t>
      </w:r>
      <w:r w:rsidR="00670041">
        <w:t xml:space="preserve"> (“H.B. 6”)</w:t>
      </w:r>
      <w:r w:rsidR="325C718B">
        <w:t xml:space="preserve"> </w:t>
      </w:r>
      <w:r w:rsidR="00670041">
        <w:t xml:space="preserve">to </w:t>
      </w:r>
      <w:r w:rsidR="325C718B">
        <w:t xml:space="preserve">the service </w:t>
      </w:r>
      <w:r w:rsidR="00B901BE">
        <w:t xml:space="preserve">their </w:t>
      </w:r>
      <w:r w:rsidR="325C718B">
        <w:t xml:space="preserve">customers receive, </w:t>
      </w:r>
      <w:r w:rsidR="6EB28992">
        <w:t xml:space="preserve">as </w:t>
      </w:r>
      <w:r w:rsidR="00670041">
        <w:t xml:space="preserve">that law </w:t>
      </w:r>
      <w:r w:rsidR="6EB28992">
        <w:t xml:space="preserve">changes important policies related to </w:t>
      </w:r>
      <w:r w:rsidR="00670041">
        <w:t xml:space="preserve">the </w:t>
      </w:r>
      <w:r w:rsidR="6EB28992">
        <w:t>FirstEnergy</w:t>
      </w:r>
      <w:r w:rsidR="00670041">
        <w:t xml:space="preserve"> </w:t>
      </w:r>
      <w:r w:rsidR="00F32126">
        <w:t>U</w:t>
      </w:r>
      <w:r w:rsidR="00670041">
        <w:t>tilities</w:t>
      </w:r>
      <w:r w:rsidR="6EB28992">
        <w:t xml:space="preserve">’ service to </w:t>
      </w:r>
      <w:r w:rsidR="00670041">
        <w:t xml:space="preserve">their </w:t>
      </w:r>
      <w:r w:rsidR="6EB28992">
        <w:t>customers.</w:t>
      </w:r>
      <w:r w:rsidR="00670041">
        <w:t xml:space="preserve"> </w:t>
      </w:r>
      <w:r w:rsidR="004B11CA">
        <w:t xml:space="preserve">The </w:t>
      </w:r>
      <w:r w:rsidR="00F32126">
        <w:t xml:space="preserve">U.S. Attorney for the Southern District of Ohio’s criminal complaint </w:t>
      </w:r>
      <w:r w:rsidR="004B11CA">
        <w:t xml:space="preserve">alleges a connection between </w:t>
      </w:r>
      <w:r w:rsidR="00F32126">
        <w:t>“</w:t>
      </w:r>
      <w:r w:rsidR="004B11CA">
        <w:t>Company A</w:t>
      </w:r>
      <w:r w:rsidR="00F32126">
        <w:t>”</w:t>
      </w:r>
      <w:r w:rsidR="004B11CA">
        <w:t xml:space="preserve"> (</w:t>
      </w:r>
      <w:r w:rsidR="00F32126">
        <w:t>widely regarded as FirstEnergy Corporation</w:t>
      </w:r>
      <w:r w:rsidR="004B11CA">
        <w:t>), Generation Now</w:t>
      </w:r>
      <w:r w:rsidR="00F32126">
        <w:t xml:space="preserve">, </w:t>
      </w:r>
      <w:r w:rsidR="004B11CA">
        <w:t>and “Householder’s Enterprise</w:t>
      </w:r>
      <w:r w:rsidR="00F32126">
        <w:t>”</w:t>
      </w:r>
      <w:r w:rsidR="004B11CA">
        <w:t xml:space="preserve"> that led to </w:t>
      </w:r>
      <w:r w:rsidR="007A7AE8">
        <w:t xml:space="preserve">the </w:t>
      </w:r>
      <w:r w:rsidR="004B11CA">
        <w:t xml:space="preserve">passage of H.B. 6. </w:t>
      </w:r>
      <w:r w:rsidR="008D61AD">
        <w:t>Criminal Complaint</w:t>
      </w:r>
      <w:r w:rsidR="00F32126">
        <w:t xml:space="preserve"> at 4</w:t>
      </w:r>
      <w:r w:rsidR="008D61AD">
        <w:t>, No. 1:20-MJ-00526 (</w:t>
      </w:r>
      <w:r w:rsidR="00F32126">
        <w:t xml:space="preserve">S.D. Ohio </w:t>
      </w:r>
      <w:r w:rsidR="008D61AD">
        <w:t>July 17, 2020)</w:t>
      </w:r>
      <w:r w:rsidR="00F32126">
        <w:t>.</w:t>
      </w:r>
      <w:r w:rsidR="008D61AD">
        <w:t xml:space="preserve"> </w:t>
      </w:r>
      <w:r w:rsidR="001660C5">
        <w:t>Not only did H.B. 6 bailout nuclear plants that benefitted</w:t>
      </w:r>
      <w:r w:rsidR="004B11CA">
        <w:t xml:space="preserve"> the unregulated FirstEnergy </w:t>
      </w:r>
      <w:r w:rsidR="00F32126">
        <w:t>Solutions Co</w:t>
      </w:r>
      <w:r w:rsidR="00FA044A">
        <w:t>rporation</w:t>
      </w:r>
      <w:r w:rsidR="00F32126">
        <w:t xml:space="preserve"> </w:t>
      </w:r>
      <w:r w:rsidR="008D61AD">
        <w:t xml:space="preserve">that is the subject of the </w:t>
      </w:r>
      <w:r w:rsidR="00F32126">
        <w:t xml:space="preserve">criminal </w:t>
      </w:r>
      <w:r w:rsidR="008D61AD">
        <w:t>complaint</w:t>
      </w:r>
      <w:r w:rsidR="001660C5">
        <w:t xml:space="preserve">, </w:t>
      </w:r>
      <w:r w:rsidR="00F32126">
        <w:lastRenderedPageBreak/>
        <w:t xml:space="preserve">but also </w:t>
      </w:r>
      <w:r w:rsidR="001660C5">
        <w:t>it eliminated energy efficienc</w:t>
      </w:r>
      <w:r w:rsidR="004B11CA">
        <w:t>y</w:t>
      </w:r>
      <w:r w:rsidR="008D61AD">
        <w:t xml:space="preserve"> and created a decoupling mechanism</w:t>
      </w:r>
      <w:r w:rsidR="005C3636">
        <w:t>.</w:t>
      </w:r>
      <w:r w:rsidR="005C3636">
        <w:rPr>
          <w:rStyle w:val="FootnoteReference"/>
        </w:rPr>
        <w:footnoteReference w:id="1"/>
      </w:r>
      <w:r w:rsidR="001660C5">
        <w:t xml:space="preserve"> </w:t>
      </w:r>
      <w:r w:rsidR="004B11CA">
        <w:t xml:space="preserve">These actions directly affected FirstEnergy Utilities’ customers. </w:t>
      </w:r>
    </w:p>
    <w:p w14:paraId="22E9FEF1" w14:textId="3BFE53A8" w:rsidR="00FE4F68" w:rsidRDefault="006D1CD0" w:rsidP="00FE4F68">
      <w:r>
        <w:t xml:space="preserve">The issue here is whether any of the FirstEnergy </w:t>
      </w:r>
      <w:r w:rsidR="00F32126">
        <w:t>companies’</w:t>
      </w:r>
      <w:r w:rsidR="008D61AD">
        <w:t xml:space="preserve"> activities</w:t>
      </w:r>
      <w:r>
        <w:t xml:space="preserve">, corporate or utility, adversely affected </w:t>
      </w:r>
      <w:r w:rsidR="007A7AE8">
        <w:t>their</w:t>
      </w:r>
      <w:r>
        <w:t xml:space="preserve"> regulated customers. </w:t>
      </w:r>
      <w:r w:rsidR="00F32126">
        <w:t xml:space="preserve">The </w:t>
      </w:r>
      <w:r>
        <w:t>FirstEnergy Utilities</w:t>
      </w:r>
      <w:r w:rsidR="00F32126">
        <w:t xml:space="preserve"> are</w:t>
      </w:r>
      <w:r>
        <w:t xml:space="preserve"> regulated monopol</w:t>
      </w:r>
      <w:r w:rsidR="00F32126">
        <w:t>ies</w:t>
      </w:r>
      <w:r>
        <w:t xml:space="preserve"> with obligations that go beyond complying with criminal laws</w:t>
      </w:r>
      <w:r w:rsidR="00F32126">
        <w:t xml:space="preserve">. They have obligations </w:t>
      </w:r>
      <w:r>
        <w:t>to comply with the public</w:t>
      </w:r>
      <w:r w:rsidR="00F32126">
        <w:t>-</w:t>
      </w:r>
      <w:r>
        <w:t xml:space="preserve">interest </w:t>
      </w:r>
      <w:r w:rsidR="008D61AD">
        <w:t>standards outlined</w:t>
      </w:r>
      <w:r w:rsidR="00F32126">
        <w:t xml:space="preserve"> under Ohio public utilities law.</w:t>
      </w:r>
      <w:r w:rsidR="008D61AD">
        <w:t xml:space="preserve"> Moreover, FirstEnergy Corporation should not </w:t>
      </w:r>
      <w:r w:rsidR="001157ED">
        <w:t>act</w:t>
      </w:r>
      <w:r w:rsidR="008D61AD">
        <w:t xml:space="preserve"> in ways that harm </w:t>
      </w:r>
      <w:r w:rsidR="001157ED">
        <w:t xml:space="preserve">the </w:t>
      </w:r>
      <w:r w:rsidR="008D61AD">
        <w:t>FirstEne</w:t>
      </w:r>
      <w:r w:rsidR="001157ED">
        <w:t>r</w:t>
      </w:r>
      <w:r w:rsidR="008D61AD">
        <w:t>gy</w:t>
      </w:r>
      <w:r w:rsidR="001157ED">
        <w:t xml:space="preserve"> Utilities</w:t>
      </w:r>
      <w:r w:rsidR="008D61AD">
        <w:t xml:space="preserve">’ customers, especially </w:t>
      </w:r>
      <w:r w:rsidR="001157ED">
        <w:t xml:space="preserve">if </w:t>
      </w:r>
      <w:r w:rsidR="00FA044A">
        <w:t xml:space="preserve">the parent company acted </w:t>
      </w:r>
      <w:r w:rsidR="008D61AD">
        <w:t xml:space="preserve">in coordination with </w:t>
      </w:r>
      <w:r w:rsidR="00FA044A">
        <w:t>its regulated u</w:t>
      </w:r>
      <w:r w:rsidR="008D61AD">
        <w:t xml:space="preserve">tilities. Hence, whether </w:t>
      </w:r>
      <w:r w:rsidR="00670041">
        <w:t xml:space="preserve">H.B. 6 was good policy is not the issue. Instead, the issue </w:t>
      </w:r>
      <w:r w:rsidR="00F53739">
        <w:t xml:space="preserve">is </w:t>
      </w:r>
      <w:r w:rsidR="00670041">
        <w:t xml:space="preserve">whether this Commission will take the steps necessary to examine how the FirstEnergy </w:t>
      </w:r>
      <w:r w:rsidR="00FA044A">
        <w:t>U</w:t>
      </w:r>
      <w:r w:rsidR="00670041">
        <w:t>tilities’ actions</w:t>
      </w:r>
      <w:r w:rsidR="00FA044A">
        <w:t>,</w:t>
      </w:r>
      <w:r w:rsidR="00670041">
        <w:t xml:space="preserve"> and those of its parent company on H.B.</w:t>
      </w:r>
      <w:r w:rsidR="00F53739">
        <w:t xml:space="preserve"> </w:t>
      </w:r>
      <w:r w:rsidR="00670041">
        <w:t>6</w:t>
      </w:r>
      <w:r w:rsidR="004917B0">
        <w:t>,</w:t>
      </w:r>
      <w:r w:rsidR="00670041">
        <w:t xml:space="preserve"> impacted ratepayers.</w:t>
      </w:r>
    </w:p>
    <w:p w14:paraId="3C9F82AD" w14:textId="53774DA1" w:rsidR="00CF03F9" w:rsidRDefault="00CF03F9" w:rsidP="00670041">
      <w:pPr>
        <w:pStyle w:val="Heading1"/>
      </w:pPr>
      <w:r>
        <w:t>argument</w:t>
      </w:r>
    </w:p>
    <w:p w14:paraId="59267935" w14:textId="2DCE4CCA" w:rsidR="00CF03F9" w:rsidRDefault="00CF03F9" w:rsidP="00670041">
      <w:pPr>
        <w:pStyle w:val="Heading2"/>
        <w:keepNext/>
        <w:keepLines/>
      </w:pPr>
      <w:r>
        <w:t xml:space="preserve">Revised Code 4905.05 and 4905.06 </w:t>
      </w:r>
      <w:r w:rsidR="007F1FB2">
        <w:t>G</w:t>
      </w:r>
      <w:r>
        <w:t xml:space="preserve">ive the Commission the </w:t>
      </w:r>
      <w:r w:rsidR="007F1FB2">
        <w:t>J</w:t>
      </w:r>
      <w:r>
        <w:t xml:space="preserve">urisdiction and </w:t>
      </w:r>
      <w:r w:rsidR="007F1FB2">
        <w:t>R</w:t>
      </w:r>
      <w:r>
        <w:t xml:space="preserve">esponsibility to </w:t>
      </w:r>
      <w:r w:rsidR="007F1FB2">
        <w:t>I</w:t>
      </w:r>
      <w:r>
        <w:t xml:space="preserve">nvestigate </w:t>
      </w:r>
      <w:r w:rsidR="007F1FB2">
        <w:t>B</w:t>
      </w:r>
      <w:r>
        <w:t xml:space="preserve">oth the FirstEnergy </w:t>
      </w:r>
      <w:r w:rsidR="007F1FB2">
        <w:t>U</w:t>
      </w:r>
      <w:r>
        <w:t xml:space="preserve">tilities and FirstEnergy Corporation on </w:t>
      </w:r>
      <w:r w:rsidR="007F1FB2">
        <w:t>C</w:t>
      </w:r>
      <w:r>
        <w:t xml:space="preserve">onduct that </w:t>
      </w:r>
      <w:r w:rsidR="007F1FB2">
        <w:t>C</w:t>
      </w:r>
      <w:r>
        <w:t xml:space="preserve">ould </w:t>
      </w:r>
      <w:r w:rsidR="00281FCE">
        <w:t>I</w:t>
      </w:r>
      <w:r>
        <w:t xml:space="preserve">mpact </w:t>
      </w:r>
      <w:r w:rsidR="007F1FB2">
        <w:t>R</w:t>
      </w:r>
      <w:r>
        <w:t xml:space="preserve">atepayer </w:t>
      </w:r>
      <w:r w:rsidR="007F1FB2">
        <w:t>S</w:t>
      </w:r>
      <w:r>
        <w:t xml:space="preserve">ervices or </w:t>
      </w:r>
      <w:r w:rsidR="007F1FB2">
        <w:t>R</w:t>
      </w:r>
      <w:r>
        <w:t>ates.</w:t>
      </w:r>
    </w:p>
    <w:p w14:paraId="0CA7E365" w14:textId="26DC166B" w:rsidR="00CB176B" w:rsidRDefault="000070A9">
      <w:r>
        <w:t>This Commission’s jurisdiction to expand</w:t>
      </w:r>
      <w:r w:rsidR="001157ED">
        <w:t xml:space="preserve"> </w:t>
      </w:r>
      <w:r w:rsidR="004917B0">
        <w:t>its</w:t>
      </w:r>
      <w:r>
        <w:t xml:space="preserve"> investigation </w:t>
      </w:r>
      <w:r w:rsidR="004917B0">
        <w:t xml:space="preserve">beyond campaign and charitable contributions </w:t>
      </w:r>
      <w:r>
        <w:t>should not be in question. However, t</w:t>
      </w:r>
      <w:r w:rsidR="00CB176B">
        <w:t>he FirstEnergy utilities</w:t>
      </w:r>
      <w:r w:rsidR="00F53739">
        <w:t xml:space="preserve"> attempt to</w:t>
      </w:r>
      <w:r w:rsidR="00CB176B">
        <w:t xml:space="preserve"> narrowly define this Commission’s jurisdiction, </w:t>
      </w:r>
      <w:r w:rsidR="00DA2A9E">
        <w:t>assert</w:t>
      </w:r>
      <w:r w:rsidR="00F53739">
        <w:t>ing</w:t>
      </w:r>
      <w:r w:rsidR="00DA2A9E">
        <w:t xml:space="preserve"> </w:t>
      </w:r>
      <w:r w:rsidR="002B050A">
        <w:t>that Commission</w:t>
      </w:r>
      <w:r w:rsidR="00DA2A9E">
        <w:t xml:space="preserve"> factfinding </w:t>
      </w:r>
      <w:r w:rsidR="00F53739">
        <w:t xml:space="preserve">about utility and parent company actions </w:t>
      </w:r>
      <w:r w:rsidR="002B050A">
        <w:t xml:space="preserve">tied to a significant change </w:t>
      </w:r>
      <w:r w:rsidR="00B901BE">
        <w:t xml:space="preserve">in </w:t>
      </w:r>
      <w:r w:rsidR="002B050A">
        <w:t>utility customer service and rates would be</w:t>
      </w:r>
      <w:r w:rsidR="00DA2A9E">
        <w:t xml:space="preserve"> outside of the </w:t>
      </w:r>
      <w:r w:rsidR="00CB176B">
        <w:t>Commission</w:t>
      </w:r>
      <w:r w:rsidR="00DA2A9E">
        <w:t xml:space="preserve">’s </w:t>
      </w:r>
      <w:r w:rsidR="002B050A">
        <w:t>authority</w:t>
      </w:r>
      <w:r w:rsidR="00DA2A9E">
        <w:t xml:space="preserve">. </w:t>
      </w:r>
      <w:r w:rsidR="00DA2A9E">
        <w:rPr>
          <w:i/>
        </w:rPr>
        <w:t xml:space="preserve">See </w:t>
      </w:r>
      <w:r w:rsidR="00DA2A9E">
        <w:t xml:space="preserve">Memorandum Contra at 6–7. </w:t>
      </w:r>
      <w:r w:rsidR="001157ED">
        <w:t xml:space="preserve">The </w:t>
      </w:r>
      <w:r w:rsidR="004917B0">
        <w:t>FirstEnergy</w:t>
      </w:r>
      <w:r w:rsidR="00CB176B">
        <w:t xml:space="preserve"> </w:t>
      </w:r>
      <w:r w:rsidR="001157ED">
        <w:t xml:space="preserve">Utilities </w:t>
      </w:r>
      <w:r w:rsidR="00CB176B">
        <w:t>misread the Ohio Revised Code. Section 4905.05 provides an expansive list of entities</w:t>
      </w:r>
      <w:r w:rsidR="002B050A">
        <w:t xml:space="preserve">, persons, and </w:t>
      </w:r>
      <w:r w:rsidR="00CB176B">
        <w:t>objects within this Commission’s jurisdiction</w:t>
      </w:r>
      <w:r w:rsidR="00A444CC">
        <w:t xml:space="preserve">, </w:t>
      </w:r>
      <w:r w:rsidR="00CB176B">
        <w:t>stat</w:t>
      </w:r>
      <w:r w:rsidR="00A444CC">
        <w:t>ing</w:t>
      </w:r>
      <w:r w:rsidR="00CB176B">
        <w:t xml:space="preserve"> that “the </w:t>
      </w:r>
      <w:r w:rsidR="00CB176B">
        <w:lastRenderedPageBreak/>
        <w:t xml:space="preserve">jurisdiction, supervision, powers, and duties of the public utilities commission extend to </w:t>
      </w:r>
      <w:r w:rsidR="00CB176B" w:rsidRPr="0C72CB3F">
        <w:rPr>
          <w:i/>
          <w:iCs/>
        </w:rPr>
        <w:t>every public utility</w:t>
      </w:r>
      <w:r w:rsidR="00CB176B">
        <w:t>, and railroad</w:t>
      </w:r>
      <w:r>
        <w:t>.</w:t>
      </w:r>
      <w:r w:rsidR="00CB176B">
        <w:t>”</w:t>
      </w:r>
      <w:r w:rsidR="00FA044A" w:rsidRPr="00FA044A">
        <w:t xml:space="preserve"> </w:t>
      </w:r>
      <w:r w:rsidR="00FA044A">
        <w:t>R.C. 4905.05</w:t>
      </w:r>
      <w:r w:rsidR="00CB176B">
        <w:t xml:space="preserve"> </w:t>
      </w:r>
      <w:r w:rsidR="00FA044A">
        <w:t xml:space="preserve">(emphasis added). </w:t>
      </w:r>
      <w:r w:rsidR="00DA2A9E">
        <w:t xml:space="preserve">That list also </w:t>
      </w:r>
      <w:r>
        <w:t xml:space="preserve">expressly includes </w:t>
      </w:r>
      <w:r w:rsidR="00DA2A9E">
        <w:t>under Commission jurisdiction</w:t>
      </w:r>
      <w:r>
        <w:t xml:space="preserve"> and supervision “</w:t>
      </w:r>
      <w:r w:rsidR="00CB176B">
        <w:t xml:space="preserve">persons or </w:t>
      </w:r>
      <w:r w:rsidR="00CB176B" w:rsidRPr="0C72CB3F">
        <w:rPr>
          <w:i/>
          <w:iCs/>
        </w:rPr>
        <w:t>companies owning</w:t>
      </w:r>
      <w:r w:rsidR="00CB176B">
        <w:t>, leasing, or operating such public utilities</w:t>
      </w:r>
      <w:r>
        <w:t>” and “</w:t>
      </w:r>
      <w:r w:rsidR="00CB176B">
        <w:t xml:space="preserve">the records and accounts of the business thereof done within this state.” </w:t>
      </w:r>
      <w:r w:rsidR="00FA044A">
        <w:rPr>
          <w:i/>
        </w:rPr>
        <w:t xml:space="preserve">Id. </w:t>
      </w:r>
      <w:r w:rsidR="00FA044A">
        <w:t xml:space="preserve">(emphasis added). </w:t>
      </w:r>
      <w:r w:rsidR="003229EA">
        <w:t xml:space="preserve">The FirstEnergy </w:t>
      </w:r>
      <w:r w:rsidR="001157ED">
        <w:t>U</w:t>
      </w:r>
      <w:r w:rsidR="003229EA">
        <w:t xml:space="preserve">tilities are certainly “public utilities” under R.C. 4905.05, and FirstEnergy Corporation is a company that </w:t>
      </w:r>
      <w:r w:rsidR="003229EA" w:rsidRPr="0C72CB3F">
        <w:rPr>
          <w:i/>
          <w:iCs/>
        </w:rPr>
        <w:t>owns</w:t>
      </w:r>
      <w:r w:rsidR="003229EA">
        <w:t xml:space="preserve"> the FirstEnergy </w:t>
      </w:r>
      <w:r w:rsidR="0090135C">
        <w:t>U</w:t>
      </w:r>
      <w:r w:rsidR="003229EA">
        <w:t xml:space="preserve">tilities. Thus, the </w:t>
      </w:r>
      <w:r w:rsidR="004917B0">
        <w:t xml:space="preserve">law clearly gives the </w:t>
      </w:r>
      <w:r w:rsidR="003229EA">
        <w:t xml:space="preserve">Commission jurisdiction over both the FirstEnergy </w:t>
      </w:r>
      <w:r w:rsidR="001157ED">
        <w:t>U</w:t>
      </w:r>
      <w:r w:rsidR="003229EA">
        <w:t>tilities and FirstEnergy Corporation</w:t>
      </w:r>
      <w:r w:rsidR="004917B0">
        <w:t>.</w:t>
      </w:r>
    </w:p>
    <w:p w14:paraId="1E76AB92" w14:textId="156ED89E" w:rsidR="00FE4F68" w:rsidRDefault="0014646E" w:rsidP="0C72CB3F">
      <w:r w:rsidRPr="00281FCE">
        <w:t xml:space="preserve">The </w:t>
      </w:r>
      <w:r w:rsidR="00DA2A9E">
        <w:t xml:space="preserve">larger flaw with the </w:t>
      </w:r>
      <w:r w:rsidR="00FA044A">
        <w:t>M</w:t>
      </w:r>
      <w:r w:rsidR="002B050A">
        <w:t xml:space="preserve">emorandum </w:t>
      </w:r>
      <w:r w:rsidR="00FA044A">
        <w:t>C</w:t>
      </w:r>
      <w:r w:rsidR="002B050A">
        <w:t>ontra</w:t>
      </w:r>
      <w:r w:rsidR="00DA2A9E">
        <w:t xml:space="preserve"> is the </w:t>
      </w:r>
      <w:r w:rsidRPr="00281FCE">
        <w:t xml:space="preserve">FirstEnergy </w:t>
      </w:r>
      <w:r w:rsidR="00FA044A">
        <w:t>U</w:t>
      </w:r>
      <w:r w:rsidRPr="00281FCE">
        <w:t>tilities</w:t>
      </w:r>
      <w:r w:rsidR="00DA2A9E">
        <w:t xml:space="preserve">’ misreading of the Commission’s </w:t>
      </w:r>
      <w:r w:rsidRPr="00281FCE">
        <w:t xml:space="preserve">general supervision over utilities and utility parent companies under R.C. </w:t>
      </w:r>
      <w:r w:rsidR="00FE4F68" w:rsidRPr="00281FCE">
        <w:t>4905.06</w:t>
      </w:r>
      <w:r w:rsidRPr="00281FCE">
        <w:t>.</w:t>
      </w:r>
      <w:r w:rsidR="00DA2A9E">
        <w:t xml:space="preserve"> T</w:t>
      </w:r>
      <w:r w:rsidRPr="00281FCE">
        <w:t xml:space="preserve">he FirstEnergy </w:t>
      </w:r>
      <w:r w:rsidR="001157ED">
        <w:t>U</w:t>
      </w:r>
      <w:r w:rsidRPr="00281FCE">
        <w:t>tilities seemingly argue that because none of the Commission investigations the Environmental Advocates cited dealt with the precise issue in this case</w:t>
      </w:r>
      <w:r w:rsidR="00281FCE" w:rsidRPr="00281FCE">
        <w:t>—</w:t>
      </w:r>
      <w:r w:rsidRPr="00281FCE">
        <w:t xml:space="preserve">an expanded investigation into the FirstEnergy </w:t>
      </w:r>
      <w:r w:rsidR="0090135C">
        <w:t>C</w:t>
      </w:r>
      <w:r w:rsidRPr="00281FCE">
        <w:t>ompanies</w:t>
      </w:r>
      <w:r w:rsidR="00281FCE" w:rsidRPr="00281FCE">
        <w:t xml:space="preserve">, both </w:t>
      </w:r>
      <w:r w:rsidRPr="00281FCE">
        <w:t>parent and utilities</w:t>
      </w:r>
      <w:r w:rsidR="00B901BE">
        <w:t>, due to unprecedented allegations of bribery</w:t>
      </w:r>
      <w:r w:rsidRPr="00281FCE">
        <w:t>—</w:t>
      </w:r>
      <w:r w:rsidR="00281FCE" w:rsidRPr="00281FCE">
        <w:t xml:space="preserve">the requested investigation </w:t>
      </w:r>
      <w:r w:rsidRPr="00281FCE">
        <w:t>is impermissible. Memorandum Contra at 6. However, the statutory language leaves no room for uncertainty</w:t>
      </w:r>
      <w:r w:rsidR="00281FCE" w:rsidRPr="00281FCE">
        <w:t xml:space="preserve"> about this Commission’s jurisdiction over FirstEnergy Corporation and the </w:t>
      </w:r>
      <w:r w:rsidR="0090135C">
        <w:t>U</w:t>
      </w:r>
      <w:r w:rsidR="00281FCE" w:rsidRPr="00281FCE">
        <w:t>tilities</w:t>
      </w:r>
      <w:r w:rsidRPr="00281FCE">
        <w:t xml:space="preserve">: “[t]he public utilities commission has </w:t>
      </w:r>
      <w:r w:rsidRPr="00281FCE">
        <w:rPr>
          <w:i/>
          <w:iCs/>
        </w:rPr>
        <w:t>general supervision over all public utilities</w:t>
      </w:r>
      <w:r w:rsidRPr="00281FCE">
        <w:t xml:space="preserve"> within its jurisdiction</w:t>
      </w:r>
      <w:r w:rsidR="00FE68AE" w:rsidRPr="00281FCE">
        <w:t xml:space="preserve">” and has “general supervision over </w:t>
      </w:r>
      <w:r w:rsidR="00FE68AE" w:rsidRPr="00281FCE">
        <w:rPr>
          <w:i/>
        </w:rPr>
        <w:t>all other companies referred to in section 4905.05</w:t>
      </w:r>
      <w:r w:rsidR="00FE68AE" w:rsidRPr="00281FCE">
        <w:t xml:space="preserve"> of the Revised Code.” R.C. 4905.06</w:t>
      </w:r>
      <w:r w:rsidR="000B704F">
        <w:t xml:space="preserve"> (emphasis added)</w:t>
      </w:r>
      <w:r w:rsidR="00FE68AE" w:rsidRPr="00281FCE">
        <w:t xml:space="preserve">. As discussed above, both the FirstEnergy </w:t>
      </w:r>
      <w:r w:rsidR="001157ED">
        <w:t>U</w:t>
      </w:r>
      <w:r w:rsidR="00FE68AE" w:rsidRPr="00281FCE">
        <w:t xml:space="preserve">tilities and FirstEnergy Corporation are covered under </w:t>
      </w:r>
      <w:r w:rsidR="00281FCE" w:rsidRPr="00281FCE">
        <w:t>§ 4905.05</w:t>
      </w:r>
      <w:r w:rsidR="00281FCE">
        <w:t xml:space="preserve">. Therefore, this Commission has jurisdiction to investigate not only the FirstEnergy </w:t>
      </w:r>
      <w:r w:rsidR="001157ED">
        <w:t>U</w:t>
      </w:r>
      <w:r w:rsidR="00281FCE">
        <w:t>tilities, but also FirstEnergy Corporation.</w:t>
      </w:r>
      <w:r w:rsidR="00DA2A9E">
        <w:t xml:space="preserve"> </w:t>
      </w:r>
    </w:p>
    <w:p w14:paraId="3DE744C7" w14:textId="260C9DA5" w:rsidR="00CF03F9" w:rsidRDefault="002276B4" w:rsidP="005A2ED8">
      <w:pPr>
        <w:pStyle w:val="Heading2"/>
        <w:keepNext/>
        <w:keepLines/>
      </w:pPr>
      <w:r>
        <w:lastRenderedPageBreak/>
        <w:t xml:space="preserve">Evidence </w:t>
      </w:r>
      <w:r w:rsidR="007F1FB2">
        <w:t xml:space="preserve">of a Violation of </w:t>
      </w:r>
      <w:r w:rsidR="0090135C">
        <w:t>a</w:t>
      </w:r>
      <w:r w:rsidR="007F1FB2">
        <w:t xml:space="preserve">n </w:t>
      </w:r>
      <w:r>
        <w:t xml:space="preserve">Ohio </w:t>
      </w:r>
      <w:r w:rsidR="007F1FB2">
        <w:t xml:space="preserve">Utility Law or </w:t>
      </w:r>
      <w:r>
        <w:t xml:space="preserve">Commission </w:t>
      </w:r>
      <w:r w:rsidR="007F1FB2">
        <w:t>Order Is Unnecessary to Open or Expand an Investigation</w:t>
      </w:r>
      <w:r w:rsidR="008579DA">
        <w:t>.</w:t>
      </w:r>
      <w:r w:rsidR="007F1FB2">
        <w:t xml:space="preserve"> </w:t>
      </w:r>
    </w:p>
    <w:p w14:paraId="595090FC" w14:textId="6454DE29" w:rsidR="00FE4F68" w:rsidRDefault="00FE4F68" w:rsidP="00FE4F68">
      <w:r>
        <w:t xml:space="preserve">Instead of looking to the statutory text and the long history of Commission investigations prompted by consumer concerns and public controversies, the FirstEnergy </w:t>
      </w:r>
      <w:r w:rsidR="001157ED">
        <w:t>U</w:t>
      </w:r>
      <w:r>
        <w:t xml:space="preserve">tilities attempt to constrain this Commission’s oversight by arguing that “the Commission’s jurisdiction is limited to cases or controversies.” Memorandum Contra at 7. The only support for that proposition, however, is dicta from a 2006 complaint proceeding in which the Commission noted that it need not address an ancillary question raised in the proceedings because there was not a “case or controversy on </w:t>
      </w:r>
      <w:proofErr w:type="spellStart"/>
      <w:r>
        <w:t>th</w:t>
      </w:r>
      <w:proofErr w:type="spellEnd"/>
      <w:r>
        <w:t xml:space="preserve">[at] issue at </w:t>
      </w:r>
      <w:proofErr w:type="spellStart"/>
      <w:r>
        <w:t>th</w:t>
      </w:r>
      <w:proofErr w:type="spellEnd"/>
      <w:r>
        <w:t xml:space="preserve">[e] time.” </w:t>
      </w:r>
      <w:r>
        <w:rPr>
          <w:i/>
        </w:rPr>
        <w:t>In the Matter of the Complaint of Ohio Power Company v. Consolidated Elec. Cooperative, Inc.</w:t>
      </w:r>
      <w:r>
        <w:t>, No. 06-890-EL-CSS, Opinion and Order at 16 (July 25, 2007).</w:t>
      </w:r>
      <w:r w:rsidR="009401D9">
        <w:t xml:space="preserve"> That dicta establish only that the Commission has discretion in determining when it will consider particular issues not raised in a complaint proceeding. It does not establish a jurisdictional standard, especially one that is found nowhere in the Ohio Revised Code. </w:t>
      </w:r>
    </w:p>
    <w:p w14:paraId="7F5C2D69" w14:textId="665A5FA6" w:rsidR="00281FCE" w:rsidRDefault="009401D9" w:rsidP="00FE4F68">
      <w:r>
        <w:t xml:space="preserve">The FirstEnergy </w:t>
      </w:r>
      <w:r w:rsidR="001157ED">
        <w:t>U</w:t>
      </w:r>
      <w:r>
        <w:t xml:space="preserve">tilities </w:t>
      </w:r>
      <w:r w:rsidR="004864B0">
        <w:t xml:space="preserve">similarly </w:t>
      </w:r>
      <w:r>
        <w:t xml:space="preserve">appear to confuse the complaint process, which does require specific allegations, with the investigation that the Environmental Advocates request. </w:t>
      </w:r>
      <w:r>
        <w:rPr>
          <w:i/>
        </w:rPr>
        <w:t xml:space="preserve">See </w:t>
      </w:r>
      <w:r>
        <w:t xml:space="preserve">Memorandum Contra at 8. </w:t>
      </w:r>
      <w:r w:rsidR="00121049">
        <w:t xml:space="preserve">The FirstEnergy </w:t>
      </w:r>
      <w:r w:rsidR="001157ED">
        <w:t>U</w:t>
      </w:r>
      <w:r w:rsidR="00121049">
        <w:t xml:space="preserve">tilities offer no support for the assertion that “their compliance [with R.C. 4905.06] necessarily requires the presence of an alleged wrongdoing or violation of a particular utility law, rule, or order by the utility.” </w:t>
      </w:r>
      <w:r w:rsidR="00324851">
        <w:t xml:space="preserve">Memorandum Contra </w:t>
      </w:r>
      <w:r w:rsidR="00121049">
        <w:t xml:space="preserve">at 9. To require specific allegations to open or expand investigations would call into question numerous investigations that the Commission has conducted without first receiving specific allegations of “wrongdoing or violation[s] of a particular utility law, rule, or order.” </w:t>
      </w:r>
      <w:r w:rsidR="00614C77">
        <w:t>Moreover,</w:t>
      </w:r>
      <w:r w:rsidR="00121049">
        <w:t xml:space="preserve"> this narrow interpretation of Commission jurisdiction would so significantly limit parent company and utility oversight given the great difficulty for the average ratepayer or interested organization to find </w:t>
      </w:r>
      <w:r w:rsidR="00121049">
        <w:lastRenderedPageBreak/>
        <w:t>evidence of a particular legal violation</w:t>
      </w:r>
      <w:r w:rsidR="002B050A" w:rsidRPr="002B050A">
        <w:t xml:space="preserve"> </w:t>
      </w:r>
      <w:r w:rsidR="002B050A">
        <w:t>prior to an investigation</w:t>
      </w:r>
      <w:r w:rsidR="00121049">
        <w:t xml:space="preserve">, that it would leave those entities to largely police themselves. </w:t>
      </w:r>
    </w:p>
    <w:p w14:paraId="48DF4B8F" w14:textId="36483807" w:rsidR="00CE3A3F" w:rsidRPr="00034825" w:rsidRDefault="00034825" w:rsidP="00FE4F68">
      <w:r>
        <w:t xml:space="preserve">Indeed, the FirstEnergy </w:t>
      </w:r>
      <w:r w:rsidR="001157ED">
        <w:t>U</w:t>
      </w:r>
      <w:r>
        <w:t xml:space="preserve">tilities ignore entirely that the Environmental Advocates’ motion clearly and repeatedly calls for an </w:t>
      </w:r>
      <w:r>
        <w:rPr>
          <w:i/>
        </w:rPr>
        <w:t>investigation</w:t>
      </w:r>
      <w:r w:rsidR="00281FCE">
        <w:t xml:space="preserve">, not a complaint. Black’s Law Dictionary defines an “investigation” as “[t]he activity of trying to find out the truth about something” and “an authoritative inquiry into certain facts.” </w:t>
      </w:r>
      <w:r w:rsidR="00281FCE">
        <w:rPr>
          <w:i/>
        </w:rPr>
        <w:t>Investigation</w:t>
      </w:r>
      <w:r w:rsidR="00281FCE">
        <w:t>,</w:t>
      </w:r>
      <w:r w:rsidR="00281FCE" w:rsidRPr="007B08E9">
        <w:rPr>
          <w:i/>
          <w:smallCaps/>
        </w:rPr>
        <w:t xml:space="preserve"> </w:t>
      </w:r>
      <w:r w:rsidR="00281FCE" w:rsidRPr="007B08E9">
        <w:rPr>
          <w:smallCaps/>
        </w:rPr>
        <w:t>Black’s Law Dictionary</w:t>
      </w:r>
      <w:r w:rsidR="00281FCE">
        <w:t xml:space="preserve"> (11th ed. 2019). </w:t>
      </w:r>
      <w:r w:rsidR="009C67E6">
        <w:t xml:space="preserve">The FirstEnergy </w:t>
      </w:r>
      <w:r w:rsidR="001157ED">
        <w:t>U</w:t>
      </w:r>
      <w:r w:rsidR="009C67E6">
        <w:t>tilities’ argument</w:t>
      </w:r>
      <w:r w:rsidR="00B901BE" w:rsidDel="00B901BE">
        <w:t xml:space="preserve"> </w:t>
      </w:r>
      <w:r w:rsidR="00B901BE">
        <w:t>—</w:t>
      </w:r>
      <w:r w:rsidR="009C67E6">
        <w:t xml:space="preserve">that the </w:t>
      </w:r>
      <w:r w:rsidR="00B901BE">
        <w:t xml:space="preserve">Environmental Advocates’ </w:t>
      </w:r>
      <w:r w:rsidR="009C67E6">
        <w:t>lack of evidence that the</w:t>
      </w:r>
      <w:r w:rsidR="00B901BE">
        <w:t xml:space="preserve"> utilities </w:t>
      </w:r>
      <w:r w:rsidR="009C67E6">
        <w:t>or their parent company violated the law</w:t>
      </w:r>
      <w:r w:rsidR="00B901BE">
        <w:t>—</w:t>
      </w:r>
      <w:r w:rsidR="009C67E6">
        <w:t>is unavailing. Memorandum Contra at 8. By definition, an investigation is meant to uncover the necessary evidence. That fact</w:t>
      </w:r>
      <w:r w:rsidR="007A7AE8">
        <w:t>-</w:t>
      </w:r>
      <w:r w:rsidR="009C67E6">
        <w:t>finding mission is all that Environmental Advocates request</w:t>
      </w:r>
      <w:r w:rsidR="00B55779">
        <w:t xml:space="preserve">, and the basis for the investigation is the </w:t>
      </w:r>
      <w:r w:rsidR="00FA044A">
        <w:t>U.S. Attorney’s criminal</w:t>
      </w:r>
      <w:r w:rsidR="00B55779">
        <w:t xml:space="preserve"> complaint </w:t>
      </w:r>
      <w:r w:rsidR="00042995">
        <w:t>that makes allegations related</w:t>
      </w:r>
      <w:r w:rsidR="002A77E8">
        <w:t xml:space="preserve"> to</w:t>
      </w:r>
      <w:r w:rsidR="00B55779">
        <w:t xml:space="preserve"> FirstEnergy </w:t>
      </w:r>
      <w:r w:rsidR="001157ED">
        <w:t>U</w:t>
      </w:r>
      <w:r w:rsidR="00B55779">
        <w:t>tilities and its parent corporation</w:t>
      </w:r>
      <w:r w:rsidR="009C67E6">
        <w:t>.</w:t>
      </w:r>
    </w:p>
    <w:p w14:paraId="119D0285" w14:textId="26DBBC30" w:rsidR="008579DA" w:rsidRDefault="008579DA" w:rsidP="008579DA">
      <w:pPr>
        <w:pStyle w:val="Heading2"/>
      </w:pPr>
      <w:r>
        <w:t xml:space="preserve">The FirstEnergy Utilities’ Argument that a More Thorough Investigation Would “Usurp the Management Role of Public Utilities” Is a </w:t>
      </w:r>
      <w:r w:rsidR="007A7AE8">
        <w:t>Non-</w:t>
      </w:r>
      <w:r>
        <w:t>Sequitur Because Environmental Advocates Request Only an Expanded Investigation, Not Specific Remedies.</w:t>
      </w:r>
    </w:p>
    <w:p w14:paraId="03D2EF33" w14:textId="077B08B6" w:rsidR="00766ABB" w:rsidRDefault="00CE3A3F" w:rsidP="00766ABB">
      <w:pPr>
        <w:ind w:firstLine="0"/>
      </w:pPr>
      <w:r>
        <w:tab/>
      </w:r>
      <w:r w:rsidR="008579DA">
        <w:t xml:space="preserve">The FirstEnergy </w:t>
      </w:r>
      <w:r w:rsidR="001157ED">
        <w:t>U</w:t>
      </w:r>
      <w:r w:rsidR="008579DA">
        <w:t>tilities attempt to warn the Commission away from this necessary investigation with the argument that an expanded investigation would be akin to “usurp[</w:t>
      </w:r>
      <w:proofErr w:type="spellStart"/>
      <w:r w:rsidR="008579DA">
        <w:t>ing</w:t>
      </w:r>
      <w:proofErr w:type="spellEnd"/>
      <w:r w:rsidR="008579DA">
        <w:t>] the management role of public utilities.” Memorandu</w:t>
      </w:r>
      <w:r w:rsidR="008579DA" w:rsidRPr="008579DA">
        <w:t>m Contra at 7. The FirstEnergy</w:t>
      </w:r>
      <w:r w:rsidR="008579DA">
        <w:t xml:space="preserve"> </w:t>
      </w:r>
      <w:r w:rsidR="001157ED">
        <w:t>U</w:t>
      </w:r>
      <w:r w:rsidR="008579DA">
        <w:t xml:space="preserve">tilities have apparently misunderstood the simple request that the Environmental Advocates make in their motion. The motion is for an investigation, not any specific remedy. </w:t>
      </w:r>
      <w:r>
        <w:t xml:space="preserve">Granting the </w:t>
      </w:r>
      <w:r w:rsidR="008579DA">
        <w:t>Environmental</w:t>
      </w:r>
      <w:r>
        <w:t xml:space="preserve"> </w:t>
      </w:r>
      <w:r w:rsidR="008579DA">
        <w:t xml:space="preserve">Advocates’ </w:t>
      </w:r>
      <w:r w:rsidR="002B050A">
        <w:t>motion</w:t>
      </w:r>
      <w:r w:rsidR="008579DA">
        <w:t xml:space="preserve"> might require the FirstEnergy </w:t>
      </w:r>
      <w:r w:rsidR="001157ED">
        <w:t>U</w:t>
      </w:r>
      <w:r w:rsidR="008579DA">
        <w:t>tilities to continue responding to discovery requests, provide the Commission with more documents and data, and participate in hearings</w:t>
      </w:r>
      <w:r w:rsidR="007E3509">
        <w:t xml:space="preserve"> given the magnitude of the H.B. 6 scandal</w:t>
      </w:r>
      <w:r w:rsidR="008579DA">
        <w:t xml:space="preserve">. That is not an onerous </w:t>
      </w:r>
      <w:r w:rsidR="002B050A">
        <w:t>task</w:t>
      </w:r>
      <w:r w:rsidR="008579DA">
        <w:t xml:space="preserve">, and it is within the ordinary course of any case. </w:t>
      </w:r>
      <w:r w:rsidR="00B901BE">
        <w:t xml:space="preserve">It is something that the FirstEnergy Utilities know they could be </w:t>
      </w:r>
      <w:r w:rsidR="00B901BE">
        <w:lastRenderedPageBreak/>
        <w:t xml:space="preserve">subject to in order to operate as a public utility in the state of Ohio. </w:t>
      </w:r>
      <w:r w:rsidR="008579DA">
        <w:t xml:space="preserve">The FirstEnergy </w:t>
      </w:r>
      <w:r w:rsidR="001157ED">
        <w:t>U</w:t>
      </w:r>
      <w:r w:rsidR="008579DA">
        <w:t xml:space="preserve">tilities’ arguments, if brought to a logical conclusion, seem to suggest that </w:t>
      </w:r>
      <w:r w:rsidR="008579DA" w:rsidRPr="00281FCE">
        <w:rPr>
          <w:i/>
        </w:rPr>
        <w:t xml:space="preserve">any </w:t>
      </w:r>
      <w:r w:rsidR="008579DA">
        <w:t xml:space="preserve">investigation would violate their “management role.” </w:t>
      </w:r>
      <w:r w:rsidR="008579DA" w:rsidRPr="009C67E6">
        <w:t>That is clearly nonsensical.</w:t>
      </w:r>
      <w:r w:rsidR="008579DA">
        <w:t xml:space="preserve"> </w:t>
      </w:r>
    </w:p>
    <w:p w14:paraId="0DA32A48" w14:textId="2AC8333E" w:rsidR="008579DA" w:rsidRPr="00720E4D" w:rsidRDefault="00527992" w:rsidP="00766ABB">
      <w:r>
        <w:t xml:space="preserve">The FirstEnergy </w:t>
      </w:r>
      <w:r w:rsidR="001157ED">
        <w:t>U</w:t>
      </w:r>
      <w:r>
        <w:t xml:space="preserve">tilities also attempt to wield the First Amendment as a shield against common regulatory oversight and assert that the investigation requested is into “the First Amendment exercise of political speech.” Memorandum Contra at 4. But this once again misreads the Environmental Advocates’ motion in order to distract from the conduct that should be under investigation: FirstEnergy Corporation and its subsidiaries’ involvement with the unprecedented $61 million corruption scandal related to H.B. 6. The Environmental Advocates have not asked for a specific </w:t>
      </w:r>
      <w:r>
        <w:rPr>
          <w:i/>
        </w:rPr>
        <w:t xml:space="preserve">enforcement action </w:t>
      </w:r>
      <w:r>
        <w:t>that could raise First Amendment issues.</w:t>
      </w:r>
      <w:r>
        <w:rPr>
          <w:rStyle w:val="FootnoteReference"/>
        </w:rPr>
        <w:footnoteReference w:id="2"/>
      </w:r>
      <w:r>
        <w:t xml:space="preserve"> Instead, the</w:t>
      </w:r>
      <w:r w:rsidR="00B901BE">
        <w:t xml:space="preserve"> Environmental Advocates </w:t>
      </w:r>
      <w:r>
        <w:t xml:space="preserve">merely </w:t>
      </w:r>
      <w:r w:rsidR="00B901BE">
        <w:t xml:space="preserve">request </w:t>
      </w:r>
      <w:r>
        <w:t xml:space="preserve">that the Commission use its normal investigatory powers to scrutinize </w:t>
      </w:r>
      <w:r w:rsidR="008579DA">
        <w:t xml:space="preserve">FirstEnergy Corporation and the FirstEnergy </w:t>
      </w:r>
      <w:r w:rsidR="001157ED">
        <w:t>U</w:t>
      </w:r>
      <w:r w:rsidR="008579DA">
        <w:t>tilities</w:t>
      </w:r>
      <w:r>
        <w:t xml:space="preserve">, which </w:t>
      </w:r>
      <w:r w:rsidR="008579DA">
        <w:t xml:space="preserve">are subject to Commission </w:t>
      </w:r>
      <w:r>
        <w:t>jurisdiction</w:t>
      </w:r>
      <w:r w:rsidR="008579DA">
        <w:t>.</w:t>
      </w:r>
      <w:r>
        <w:t xml:space="preserve"> </w:t>
      </w:r>
      <w:r w:rsidR="008579DA">
        <w:t xml:space="preserve"> </w:t>
      </w:r>
    </w:p>
    <w:p w14:paraId="2462471A" w14:textId="36F6567B" w:rsidR="008579DA" w:rsidRDefault="008579DA" w:rsidP="008579DA">
      <w:pPr>
        <w:pStyle w:val="Heading2"/>
      </w:pPr>
      <w:r>
        <w:t xml:space="preserve">There Are Sufficient Allegations and Questions to Support Expanding the Investigation. </w:t>
      </w:r>
    </w:p>
    <w:p w14:paraId="3196C5CA" w14:textId="26136F9C" w:rsidR="008579DA" w:rsidRDefault="00E11BD8" w:rsidP="00E11BD8">
      <w:pPr>
        <w:ind w:firstLine="0"/>
      </w:pPr>
      <w:r>
        <w:tab/>
      </w:r>
      <w:r w:rsidR="001157ED">
        <w:t xml:space="preserve">Although the Environmental Advocates’ motion is not required to meet a particular burden of proof, it still </w:t>
      </w:r>
      <w:r w:rsidR="009401D9">
        <w:t xml:space="preserve">presents sufficient </w:t>
      </w:r>
      <w:r w:rsidR="00281FCE">
        <w:t>support for the need to open a full investigation</w:t>
      </w:r>
      <w:r w:rsidR="009401D9">
        <w:t>. The criminal complaint</w:t>
      </w:r>
      <w:r w:rsidR="00281FCE">
        <w:t xml:space="preserve"> against former Speaker Larry Householder and his associates</w:t>
      </w:r>
      <w:r w:rsidR="009401D9">
        <w:t xml:space="preserve">, of course, does not name FirstEnergy or the FirstEnergy </w:t>
      </w:r>
      <w:r w:rsidR="001157ED">
        <w:t>U</w:t>
      </w:r>
      <w:r w:rsidR="009401D9">
        <w:t xml:space="preserve">tilities. That is not, as the FirstEnergy </w:t>
      </w:r>
      <w:r w:rsidR="001157ED">
        <w:t>U</w:t>
      </w:r>
      <w:r w:rsidR="009401D9">
        <w:t>tilities would like it to be, a smoking gun. Criminal proceedings operate under different standards</w:t>
      </w:r>
      <w:r w:rsidR="00281FCE">
        <w:t xml:space="preserve">, and the criminal complaint dealt with federal laws and issues that, though related to this proceeding, are </w:t>
      </w:r>
      <w:r w:rsidR="00281FCE">
        <w:lastRenderedPageBreak/>
        <w:t>not within the scope of the Commission</w:t>
      </w:r>
      <w:r w:rsidR="009401D9">
        <w:t xml:space="preserve">. </w:t>
      </w:r>
      <w:r w:rsidR="00281FCE">
        <w:t xml:space="preserve">However, the allegations </w:t>
      </w:r>
      <w:r w:rsidR="009401D9">
        <w:t>contained within that complaint</w:t>
      </w:r>
      <w:r w:rsidR="008F3EF7">
        <w:t xml:space="preserve"> and </w:t>
      </w:r>
      <w:r w:rsidR="009401D9">
        <w:t xml:space="preserve">the Attorney General’s </w:t>
      </w:r>
      <w:r w:rsidR="00281FCE">
        <w:t xml:space="preserve">more </w:t>
      </w:r>
      <w:r w:rsidR="009401D9">
        <w:t xml:space="preserve">recently filed </w:t>
      </w:r>
      <w:r w:rsidR="00281FCE">
        <w:t xml:space="preserve">civil </w:t>
      </w:r>
      <w:r w:rsidR="009401D9">
        <w:t>complaint</w:t>
      </w:r>
      <w:r w:rsidR="008F3EF7">
        <w:t>—and the recent news that the SEC is also investigating FirstEnergy Corporation</w:t>
      </w:r>
      <w:r w:rsidR="008F3EF7">
        <w:rPr>
          <w:rStyle w:val="FootnoteReference"/>
        </w:rPr>
        <w:footnoteReference w:id="3"/>
      </w:r>
      <w:r w:rsidR="008F3EF7">
        <w:t>—</w:t>
      </w:r>
      <w:r w:rsidR="009401D9">
        <w:t xml:space="preserve">certainly </w:t>
      </w:r>
      <w:r w:rsidR="00281FCE">
        <w:t xml:space="preserve">raise questions sufficient for this </w:t>
      </w:r>
      <w:r w:rsidR="009401D9">
        <w:t xml:space="preserve">Commission to exercise its broad regulatory authority.  </w:t>
      </w:r>
    </w:p>
    <w:p w14:paraId="4F3D7071" w14:textId="56CF497D" w:rsidR="009401D9" w:rsidRPr="009401D9" w:rsidRDefault="00E11BD8" w:rsidP="002A76FF">
      <w:pPr>
        <w:ind w:firstLine="0"/>
      </w:pPr>
      <w:r>
        <w:tab/>
        <w:t xml:space="preserve">The importance and magnitude of this issue also demonstrate the need for an expanded investigation. The FirstEnergy </w:t>
      </w:r>
      <w:r w:rsidR="001157ED">
        <w:t>U</w:t>
      </w:r>
      <w:r>
        <w:t>tilities insist that the Environmental Advocates “have not shown there is a case or controversy concerning the Companies’ provision of public utility service,”</w:t>
      </w:r>
      <w:r w:rsidR="001157ED">
        <w:t xml:space="preserve"> Memorandum Contra at 8,</w:t>
      </w:r>
      <w:r>
        <w:t xml:space="preserve"> but that ignores the direct ways </w:t>
      </w:r>
      <w:r w:rsidR="002A76FF">
        <w:t xml:space="preserve">H.B. 6 </w:t>
      </w:r>
      <w:r>
        <w:t xml:space="preserve">has and will </w:t>
      </w:r>
      <w:r w:rsidR="00B901BE">
        <w:t xml:space="preserve">continue to </w:t>
      </w:r>
      <w:r>
        <w:t xml:space="preserve">impact ratepayers. </w:t>
      </w:r>
      <w:r w:rsidR="002A76FF">
        <w:t xml:space="preserve">Regardless of the merits of H.B. 6—which, contrary to the FirstEnergy </w:t>
      </w:r>
      <w:r w:rsidR="0090135C">
        <w:t>U</w:t>
      </w:r>
      <w:r w:rsidR="002A76FF">
        <w:t xml:space="preserve">tilities’ response, the Environmental Advocates do not seek to litigate in this investigation—the law </w:t>
      </w:r>
      <w:r w:rsidR="00B901BE">
        <w:t xml:space="preserve">indisputably </w:t>
      </w:r>
      <w:r w:rsidR="002A76FF">
        <w:t xml:space="preserve">alters Ohio utility customers’ rates and service. Ratepayers soon will no longer pay for or be able to participate in energy efficiency portfolio programs </w:t>
      </w:r>
      <w:r w:rsidR="004B74A4">
        <w:t xml:space="preserve">but will face </w:t>
      </w:r>
      <w:r w:rsidR="00FA044A">
        <w:t>charges for</w:t>
      </w:r>
      <w:r w:rsidR="004B74A4">
        <w:t xml:space="preserve"> decoupling. </w:t>
      </w:r>
      <w:r w:rsidR="00FA044A">
        <w:rPr>
          <w:i/>
        </w:rPr>
        <w:t xml:space="preserve">See </w:t>
      </w:r>
      <w:r w:rsidR="00FA044A">
        <w:t>R.C. 4928.66</w:t>
      </w:r>
      <w:r w:rsidR="004631BA">
        <w:t xml:space="preserve">, 4928.47. </w:t>
      </w:r>
      <w:r w:rsidR="004B74A4">
        <w:t>Additionally, they</w:t>
      </w:r>
      <w:r w:rsidR="002A76FF">
        <w:t xml:space="preserve"> will </w:t>
      </w:r>
      <w:r w:rsidR="004B74A4">
        <w:t>pay</w:t>
      </w:r>
      <w:r w:rsidR="002A76FF">
        <w:t xml:space="preserve"> new charges to support Energy Harbor’s nuclear power plants. </w:t>
      </w:r>
      <w:r w:rsidR="004631BA">
        <w:t xml:space="preserve">R.C. 3706.46. </w:t>
      </w:r>
      <w:r w:rsidR="002A76FF">
        <w:t xml:space="preserve">Regardless of one’s feelings about the legislation, the potential involvement of FirstEnergy Corporation or its subsidiaries in the corruption scandal related to H.B. 6 and the legislation itself </w:t>
      </w:r>
      <w:r w:rsidR="007A7AE8">
        <w:t xml:space="preserve">has </w:t>
      </w:r>
      <w:r w:rsidR="002A76FF">
        <w:t xml:space="preserve">enormous implications for customer rates and services. </w:t>
      </w:r>
    </w:p>
    <w:p w14:paraId="31E879C9" w14:textId="3480F7CD" w:rsidR="007F1FB2" w:rsidRDefault="007F1FB2" w:rsidP="00D87061">
      <w:pPr>
        <w:pStyle w:val="Heading2"/>
        <w:keepNext/>
        <w:keepLines/>
      </w:pPr>
      <w:r>
        <w:t>An Expanded Investigation Is Necessary to Help the Commission Determine Whether Corporate Separation Requirements and Other Rules Need to Be Amended to Protect Ratepayers.</w:t>
      </w:r>
    </w:p>
    <w:p w14:paraId="52AF351C" w14:textId="60543E20" w:rsidR="00D87061" w:rsidRDefault="00233BCE" w:rsidP="00A32A86">
      <w:r>
        <w:t xml:space="preserve">The FirstEnergy utilities take special issue with the Environmental Advocates’ request for an investigation into any corporate separation violations or issues </w:t>
      </w:r>
      <w:r w:rsidR="00324851">
        <w:t>connected</w:t>
      </w:r>
      <w:r>
        <w:t xml:space="preserve"> to FirstEnergy </w:t>
      </w:r>
      <w:r>
        <w:lastRenderedPageBreak/>
        <w:t xml:space="preserve">Corporation or its subsidiaries’ conduct </w:t>
      </w:r>
      <w:r w:rsidR="00324851">
        <w:t>rel</w:t>
      </w:r>
      <w:r>
        <w:t xml:space="preserve">ated to H.B. 6. </w:t>
      </w:r>
      <w:r w:rsidR="00DA2A9E">
        <w:t xml:space="preserve">It is obvious from their motion that the Environmental Advocates believe that there may be violations of corporate separation requirements based on FirstEnergy Corporation’s actions. </w:t>
      </w:r>
      <w:r w:rsidR="002B050A">
        <w:t xml:space="preserve">But the FirstEnergy </w:t>
      </w:r>
      <w:r w:rsidR="0090135C">
        <w:t>U</w:t>
      </w:r>
      <w:r w:rsidR="002B050A">
        <w:t>tilities</w:t>
      </w:r>
      <w:r>
        <w:t xml:space="preserve"> argue that the request is “baseless” because the Environmental Advocates have “fail[ed] to rationally link the information in the federal criminal complaint and other press reports to any actual corporate separation requirements that the Companies have not adhered to.” Memorandum Contra at 12. </w:t>
      </w:r>
      <w:r w:rsidR="00DA2A9E">
        <w:t>In fact, t</w:t>
      </w:r>
      <w:r w:rsidR="00D87061">
        <w:t xml:space="preserve">he </w:t>
      </w:r>
      <w:r w:rsidR="0090135C">
        <w:t>M</w:t>
      </w:r>
      <w:r w:rsidR="002B050A">
        <w:t xml:space="preserve">emorandum </w:t>
      </w:r>
      <w:r w:rsidR="0090135C">
        <w:t>C</w:t>
      </w:r>
      <w:r w:rsidR="002B050A">
        <w:t>ontra</w:t>
      </w:r>
      <w:r w:rsidR="00D87061">
        <w:t xml:space="preserve"> makes it seem like the Corporation is exempt </w:t>
      </w:r>
      <w:r w:rsidR="00D87061" w:rsidRPr="005522CB">
        <w:t xml:space="preserve">from those requirements and only the actions of the utilities matter. But that is not the case. </w:t>
      </w:r>
      <w:r w:rsidR="00D87061" w:rsidRPr="005A2ED8">
        <w:rPr>
          <w:i/>
        </w:rPr>
        <w:t xml:space="preserve">See </w:t>
      </w:r>
      <w:r w:rsidR="0090135C" w:rsidRPr="005A2ED8">
        <w:t xml:space="preserve">Compliance Audit of the FirstEnergy Operation Companies with the Corporate Separation Audit, </w:t>
      </w:r>
      <w:r w:rsidR="001157ED" w:rsidRPr="005A2ED8">
        <w:rPr>
          <w:i/>
        </w:rPr>
        <w:t>In re Ohio Edison Co., the Cleveland Elec. Illuminating Co., and the Toledo Edison Co.’s Compliance with R.C. 4928.17</w:t>
      </w:r>
      <w:r w:rsidR="001157ED" w:rsidRPr="005A2ED8">
        <w:t xml:space="preserve">, </w:t>
      </w:r>
      <w:r w:rsidR="00D87061" w:rsidRPr="005A2ED8">
        <w:t>No. 17-974-EL-UNC</w:t>
      </w:r>
      <w:r w:rsidR="004B74A4" w:rsidRPr="005A2ED8">
        <w:t xml:space="preserve"> </w:t>
      </w:r>
      <w:r w:rsidR="001157ED" w:rsidRPr="005A2ED8">
        <w:t>(</w:t>
      </w:r>
      <w:r w:rsidR="00324851">
        <w:t>investigating</w:t>
      </w:r>
      <w:r w:rsidR="001157ED" w:rsidRPr="005A2ED8">
        <w:t xml:space="preserve"> in the compliance audit</w:t>
      </w:r>
      <w:r w:rsidR="00324851">
        <w:t xml:space="preserve"> how the FirstEnergy Utilities interacted with</w:t>
      </w:r>
      <w:r w:rsidR="001157ED" w:rsidRPr="005A2ED8">
        <w:t xml:space="preserve"> FirstEnergy Solutions Corporation</w:t>
      </w:r>
      <w:r w:rsidR="00324851">
        <w:t xml:space="preserve">, </w:t>
      </w:r>
      <w:r w:rsidR="001157ED" w:rsidRPr="005A2ED8">
        <w:t>FirstEnergy Corporation</w:t>
      </w:r>
      <w:r w:rsidR="00324851">
        <w:t>, and FirstEnergy Service Company</w:t>
      </w:r>
      <w:r w:rsidR="001157ED" w:rsidRPr="005A2ED8">
        <w:t xml:space="preserve">). </w:t>
      </w:r>
      <w:r w:rsidR="0090135C" w:rsidRPr="005A2ED8">
        <w:t>The Commission has done such comprehensive audits before, and this</w:t>
      </w:r>
      <w:r w:rsidR="00980EFC">
        <w:t xml:space="preserve"> unprecedented</w:t>
      </w:r>
      <w:r w:rsidR="0090135C" w:rsidRPr="005A2ED8">
        <w:t xml:space="preserve"> situation certainly calls for another. Furthermore, a</w:t>
      </w:r>
      <w:r w:rsidR="00DA2A9E" w:rsidRPr="005A2ED8">
        <w:t xml:space="preserve">s discussed above, the Environmental Advocates need not present evidence of wrongdoing before any factfinding </w:t>
      </w:r>
      <w:r w:rsidR="007B08E9" w:rsidRPr="005A2ED8">
        <w:t xml:space="preserve">can take </w:t>
      </w:r>
      <w:r w:rsidR="00DA2A9E" w:rsidRPr="005A2ED8">
        <w:t>place</w:t>
      </w:r>
      <w:r w:rsidR="007B08E9" w:rsidRPr="005A2ED8">
        <w:t>; the Commission need only determine that such factfinding would be beneficial</w:t>
      </w:r>
      <w:r w:rsidR="00DE2FF1" w:rsidRPr="005A2ED8">
        <w:t xml:space="preserve">. </w:t>
      </w:r>
      <w:r w:rsidR="00201FC1" w:rsidRPr="005A2ED8">
        <w:t>For example, we</w:t>
      </w:r>
      <w:r w:rsidR="007B08E9" w:rsidRPr="005A2ED8">
        <w:t xml:space="preserve"> </w:t>
      </w:r>
      <w:r w:rsidR="000B704F" w:rsidRPr="005A2ED8">
        <w:t>know that the legislation included decoupling</w:t>
      </w:r>
      <w:r w:rsidR="002372D0" w:rsidRPr="005A2ED8">
        <w:t xml:space="preserve"> while eliminating efficiency</w:t>
      </w:r>
      <w:r w:rsidR="000B704F" w:rsidRPr="005A2ED8">
        <w:t xml:space="preserve">, which is an issue specific to FirstEnergy </w:t>
      </w:r>
      <w:r w:rsidR="00201FC1" w:rsidRPr="005A2ED8">
        <w:t>U</w:t>
      </w:r>
      <w:r w:rsidR="000B704F" w:rsidRPr="005A2ED8">
        <w:t>tilities.</w:t>
      </w:r>
      <w:r w:rsidR="00201FC1" w:rsidRPr="005A2ED8">
        <w:t xml:space="preserve"> How that decoupling provision came to be in H.B. 6, and whether it was the Utilities or FirstEnergy Corporation that pushed for it raises questions that this Commission should seek answers for.</w:t>
      </w:r>
    </w:p>
    <w:p w14:paraId="024A741E" w14:textId="19BCD06F" w:rsidR="00D87061" w:rsidRPr="00D87061" w:rsidRDefault="00D87061" w:rsidP="00DA2A9E">
      <w:r>
        <w:t xml:space="preserve">The FirstEnergy </w:t>
      </w:r>
      <w:r w:rsidR="0090135C">
        <w:t>U</w:t>
      </w:r>
      <w:r>
        <w:t>tilities, however, are not wrong that the current corporate separation requirements may not translate perfectly to wrongdoing in this case. This is the very reason that an expanded investigation is necessary. The Commission</w:t>
      </w:r>
      <w:r w:rsidR="005A2ED8">
        <w:t xml:space="preserve">’s responsibility is to ensure that public </w:t>
      </w:r>
      <w:r w:rsidR="005A2ED8">
        <w:lastRenderedPageBreak/>
        <w:t xml:space="preserve">utilities are not abusing their market power to the detriment of ratepayers and the state of Ohio, and </w:t>
      </w:r>
      <w:r>
        <w:t xml:space="preserve">the public </w:t>
      </w:r>
      <w:r w:rsidR="005A2ED8">
        <w:t xml:space="preserve">deserves </w:t>
      </w:r>
      <w:r>
        <w:t xml:space="preserve">to </w:t>
      </w:r>
      <w:r w:rsidR="005A2ED8">
        <w:t xml:space="preserve">know whether that abuse has occurred. A full investigation </w:t>
      </w:r>
      <w:r w:rsidR="00324851">
        <w:t xml:space="preserve">is required </w:t>
      </w:r>
      <w:r w:rsidR="005A2ED8">
        <w:t xml:space="preserve">for the Commission and Ohioans to </w:t>
      </w:r>
      <w:r>
        <w:t>understand better what regulation is necessary to ensure</w:t>
      </w:r>
      <w:r w:rsidR="005A2ED8">
        <w:t xml:space="preserve"> </w:t>
      </w:r>
      <w:r w:rsidR="00324851">
        <w:t xml:space="preserve">that the FirstEnergy Companies </w:t>
      </w:r>
      <w:r w:rsidR="005A2ED8">
        <w:t xml:space="preserve">are complying with their obligations to their customers </w:t>
      </w:r>
      <w:r>
        <w:t xml:space="preserve">and </w:t>
      </w:r>
      <w:r w:rsidR="00324851">
        <w:t xml:space="preserve">the </w:t>
      </w:r>
      <w:r>
        <w:t>state of Ohio.</w:t>
      </w:r>
    </w:p>
    <w:p w14:paraId="0BC65C88" w14:textId="2DE56FBC" w:rsidR="00CF03F9" w:rsidRDefault="71390E61" w:rsidP="00CF03F9">
      <w:pPr>
        <w:pStyle w:val="Heading1"/>
      </w:pPr>
      <w:r>
        <w:t>conclusion</w:t>
      </w:r>
    </w:p>
    <w:p w14:paraId="31795C3F" w14:textId="5EF12B5F" w:rsidR="009C67E6" w:rsidRDefault="009C67E6" w:rsidP="009C67E6">
      <w:pPr>
        <w:spacing w:after="200"/>
        <w:contextualSpacing w:val="0"/>
      </w:pPr>
      <w:r>
        <w:t xml:space="preserve">The Environmental Advocates’ request for an expanded investigation </w:t>
      </w:r>
      <w:r w:rsidR="0030167B">
        <w:t xml:space="preserve">does not require the </w:t>
      </w:r>
      <w:r>
        <w:t xml:space="preserve">Commission </w:t>
      </w:r>
      <w:r w:rsidR="00175403">
        <w:t>to go beyond its authority.</w:t>
      </w:r>
      <w:r>
        <w:t xml:space="preserve"> Instead, it is a call for the Commission to make use of its </w:t>
      </w:r>
      <w:r w:rsidR="00175403">
        <w:t xml:space="preserve">oversight responsibility </w:t>
      </w:r>
      <w:r>
        <w:t>for fact</w:t>
      </w:r>
      <w:r w:rsidR="007A7AE8">
        <w:t>-</w:t>
      </w:r>
      <w:r>
        <w:t xml:space="preserve">finding </w:t>
      </w:r>
      <w:r w:rsidR="00C968E0">
        <w:t xml:space="preserve">purposes. This is a </w:t>
      </w:r>
      <w:r w:rsidR="00175403">
        <w:t>reasonable</w:t>
      </w:r>
      <w:r w:rsidR="00C968E0">
        <w:t xml:space="preserve"> request given the extraordinary and unprecedented public corruption scandal—in which FirstEnergy Corporation, the parent company of the FirstEnergy </w:t>
      </w:r>
      <w:r w:rsidR="0090135C">
        <w:t>U</w:t>
      </w:r>
      <w:r w:rsidR="00C968E0">
        <w:t>tilities, is implicated. A central responsibility of this Commission is to protect ratepayers and the integrity of public utility service in Ohio. The Environmental Advocates’ motion provides an avenue for the Commission to fulfill that role, and the Commission should grant the motion.</w:t>
      </w:r>
    </w:p>
    <w:p w14:paraId="38D901DF" w14:textId="6349884A" w:rsidR="00251FE3" w:rsidRPr="00EC5E0A" w:rsidRDefault="00251FE3" w:rsidP="00251FE3">
      <w:pPr>
        <w:spacing w:after="200" w:line="276" w:lineRule="auto"/>
        <w:ind w:firstLine="0"/>
        <w:contextualSpacing w:val="0"/>
        <w:rPr>
          <w:rFonts w:cs="Times New Roman"/>
          <w:color w:val="000000"/>
          <w:szCs w:val="24"/>
        </w:rPr>
      </w:pPr>
      <w:r w:rsidRPr="00EC5E0A">
        <w:rPr>
          <w:rFonts w:cs="Times New Roman"/>
          <w:color w:val="000000"/>
          <w:szCs w:val="24"/>
        </w:rPr>
        <w:t xml:space="preserve">Dated: </w:t>
      </w:r>
      <w:r>
        <w:rPr>
          <w:rFonts w:cs="Times New Roman"/>
          <w:color w:val="000000"/>
          <w:szCs w:val="24"/>
        </w:rPr>
        <w:fldChar w:fldCharType="begin"/>
      </w:r>
      <w:r>
        <w:rPr>
          <w:rFonts w:cs="Times New Roman"/>
          <w:color w:val="000000"/>
          <w:szCs w:val="24"/>
        </w:rPr>
        <w:instrText xml:space="preserve"> DATE  \@ "MMMM d, yyyy"  \* MERGEFORMAT </w:instrText>
      </w:r>
      <w:r>
        <w:rPr>
          <w:rFonts w:cs="Times New Roman"/>
          <w:color w:val="000000"/>
          <w:szCs w:val="24"/>
        </w:rPr>
        <w:fldChar w:fldCharType="separate"/>
      </w:r>
      <w:r w:rsidR="006F70EA">
        <w:rPr>
          <w:rFonts w:cs="Times New Roman"/>
          <w:noProof/>
          <w:color w:val="000000"/>
          <w:szCs w:val="24"/>
        </w:rPr>
        <w:t>October 21, 2020</w:t>
      </w:r>
      <w:r>
        <w:rPr>
          <w:rFonts w:cs="Times New Roman"/>
          <w:color w:val="000000"/>
          <w:szCs w:val="24"/>
        </w:rPr>
        <w:fldChar w:fldCharType="end"/>
      </w:r>
      <w:r w:rsidRPr="00EC5E0A">
        <w:rPr>
          <w:rFonts w:cs="Times New Roman"/>
          <w:color w:val="000000"/>
          <w:szCs w:val="24"/>
        </w:rPr>
        <w:tab/>
      </w:r>
      <w:r w:rsidRPr="00EC5E0A">
        <w:rPr>
          <w:rFonts w:cs="Times New Roman"/>
          <w:color w:val="000000"/>
          <w:szCs w:val="24"/>
        </w:rPr>
        <w:tab/>
      </w:r>
      <w:r w:rsidRPr="00EC5E0A">
        <w:rPr>
          <w:rFonts w:cs="Times New Roman"/>
          <w:color w:val="000000"/>
          <w:szCs w:val="24"/>
        </w:rPr>
        <w:tab/>
      </w:r>
      <w:r w:rsidRPr="00EC5E0A">
        <w:rPr>
          <w:rFonts w:cs="Times New Roman"/>
          <w:color w:val="000000"/>
          <w:szCs w:val="24"/>
        </w:rPr>
        <w:tab/>
      </w:r>
      <w:r>
        <w:rPr>
          <w:rFonts w:cs="Times New Roman"/>
          <w:color w:val="000000"/>
          <w:szCs w:val="24"/>
        </w:rPr>
        <w:tab/>
      </w:r>
      <w:r w:rsidRPr="00EC5E0A">
        <w:rPr>
          <w:rFonts w:cs="Times New Roman"/>
          <w:color w:val="000000"/>
          <w:szCs w:val="24"/>
        </w:rPr>
        <w:t xml:space="preserve">Respectfully </w:t>
      </w:r>
      <w:r>
        <w:rPr>
          <w:rFonts w:cs="Times New Roman"/>
          <w:color w:val="000000"/>
          <w:szCs w:val="24"/>
        </w:rPr>
        <w:t>s</w:t>
      </w:r>
      <w:r w:rsidRPr="00EC5E0A">
        <w:rPr>
          <w:rFonts w:cs="Times New Roman"/>
          <w:color w:val="000000"/>
          <w:szCs w:val="24"/>
        </w:rPr>
        <w:t>ubmitted,</w:t>
      </w:r>
    </w:p>
    <w:p w14:paraId="78299808" w14:textId="77777777" w:rsidR="00251FE3" w:rsidRDefault="00251FE3" w:rsidP="00251FE3">
      <w:pPr>
        <w:spacing w:line="240" w:lineRule="auto"/>
        <w:rPr>
          <w:rFonts w:eastAsia="Times New Roman" w:cs="Times New Roman"/>
          <w:u w:val="single"/>
        </w:rPr>
      </w:pPr>
      <w:r w:rsidRPr="00EC5E0A">
        <w:rPr>
          <w:rFonts w:cs="Times New Roman"/>
          <w:color w:val="000000"/>
          <w:szCs w:val="24"/>
        </w:rPr>
        <w:tab/>
      </w:r>
      <w:r w:rsidRPr="00EC5E0A">
        <w:rPr>
          <w:rFonts w:cs="Times New Roman"/>
          <w:color w:val="000000"/>
          <w:szCs w:val="24"/>
        </w:rPr>
        <w:tab/>
      </w:r>
      <w:r w:rsidRPr="00EC5E0A">
        <w:rPr>
          <w:rFonts w:cs="Times New Roman"/>
          <w:color w:val="000000"/>
          <w:szCs w:val="24"/>
        </w:rPr>
        <w:tab/>
      </w:r>
      <w:r w:rsidRPr="00EC5E0A">
        <w:rPr>
          <w:rFonts w:cs="Times New Roman"/>
          <w:color w:val="000000"/>
          <w:szCs w:val="24"/>
        </w:rPr>
        <w:tab/>
      </w:r>
      <w:r w:rsidRPr="00EC5E0A">
        <w:rPr>
          <w:rFonts w:cs="Times New Roman"/>
          <w:color w:val="000000"/>
          <w:szCs w:val="24"/>
        </w:rPr>
        <w:tab/>
      </w:r>
      <w:r w:rsidRPr="00EC5E0A">
        <w:rPr>
          <w:rFonts w:cs="Times New Roman"/>
          <w:color w:val="000000"/>
          <w:szCs w:val="24"/>
        </w:rPr>
        <w:tab/>
      </w:r>
      <w:r>
        <w:rPr>
          <w:rFonts w:cs="Times New Roman"/>
          <w:color w:val="000000"/>
          <w:szCs w:val="24"/>
        </w:rPr>
        <w:tab/>
      </w:r>
      <w:r w:rsidRPr="001C074B">
        <w:rPr>
          <w:rFonts w:eastAsia="Times New Roman" w:cs="Times New Roman"/>
          <w:u w:val="single"/>
        </w:rPr>
        <w:t xml:space="preserve">/s/ </w:t>
      </w:r>
      <w:r>
        <w:rPr>
          <w:rFonts w:eastAsia="Times New Roman" w:cs="Times New Roman"/>
          <w:u w:val="single"/>
        </w:rPr>
        <w:t>Robert Kelter</w:t>
      </w:r>
    </w:p>
    <w:p w14:paraId="6EBA6ACE" w14:textId="77777777" w:rsidR="00251FE3" w:rsidRDefault="00251FE3" w:rsidP="00251FE3">
      <w:pPr>
        <w:spacing w:line="240" w:lineRule="auto"/>
        <w:ind w:left="5760" w:firstLine="0"/>
        <w:rPr>
          <w:rFonts w:cs="Times New Roman"/>
        </w:rPr>
      </w:pPr>
      <w:r>
        <w:rPr>
          <w:rFonts w:cs="Times New Roman"/>
        </w:rPr>
        <w:t>Robert Kelter</w:t>
      </w:r>
    </w:p>
    <w:p w14:paraId="00A06371" w14:textId="77777777" w:rsidR="00251FE3" w:rsidRPr="00B56659" w:rsidRDefault="00251FE3" w:rsidP="00251FE3">
      <w:pPr>
        <w:spacing w:line="240" w:lineRule="auto"/>
        <w:ind w:left="5760" w:firstLine="0"/>
        <w:rPr>
          <w:rFonts w:cs="Times New Roman"/>
        </w:rPr>
      </w:pPr>
      <w:r>
        <w:rPr>
          <w:rFonts w:cs="Times New Roman"/>
        </w:rPr>
        <w:t>Counsel of Record</w:t>
      </w:r>
    </w:p>
    <w:p w14:paraId="24138A3E" w14:textId="77777777" w:rsidR="00251FE3" w:rsidRPr="00B56659" w:rsidRDefault="00251FE3" w:rsidP="00251FE3">
      <w:pPr>
        <w:spacing w:line="240" w:lineRule="auto"/>
        <w:ind w:left="5760" w:firstLine="0"/>
        <w:rPr>
          <w:rFonts w:cs="Times New Roman"/>
        </w:rPr>
      </w:pPr>
      <w:r w:rsidRPr="00B56659">
        <w:rPr>
          <w:rFonts w:cs="Times New Roman"/>
        </w:rPr>
        <w:t>Senior Attorney</w:t>
      </w:r>
    </w:p>
    <w:p w14:paraId="1CAB3C1A" w14:textId="77777777" w:rsidR="00251FE3" w:rsidRPr="00B56659" w:rsidRDefault="00251FE3" w:rsidP="00251FE3">
      <w:pPr>
        <w:spacing w:line="240" w:lineRule="auto"/>
        <w:ind w:left="5760" w:firstLine="0"/>
        <w:rPr>
          <w:rFonts w:cs="Times New Roman"/>
        </w:rPr>
      </w:pPr>
      <w:r w:rsidRPr="00B56659">
        <w:rPr>
          <w:rFonts w:cs="Times New Roman"/>
        </w:rPr>
        <w:t>Environmental Law &amp; Policy Center</w:t>
      </w:r>
    </w:p>
    <w:p w14:paraId="702D6CAC" w14:textId="77777777" w:rsidR="00251FE3" w:rsidRPr="00B56659" w:rsidRDefault="00251FE3" w:rsidP="00251FE3">
      <w:pPr>
        <w:spacing w:line="240" w:lineRule="auto"/>
        <w:ind w:left="5760" w:firstLine="0"/>
        <w:rPr>
          <w:rFonts w:cs="Times New Roman"/>
        </w:rPr>
      </w:pPr>
      <w:r w:rsidRPr="00B56659">
        <w:rPr>
          <w:rFonts w:cs="Times New Roman"/>
        </w:rPr>
        <w:t>35 E. Wacker Drive, Suite 1600</w:t>
      </w:r>
    </w:p>
    <w:p w14:paraId="19AF0606" w14:textId="77777777" w:rsidR="00251FE3" w:rsidRPr="00B56659" w:rsidRDefault="00251FE3" w:rsidP="00251FE3">
      <w:pPr>
        <w:spacing w:line="240" w:lineRule="auto"/>
        <w:ind w:left="5760" w:firstLine="0"/>
        <w:rPr>
          <w:rFonts w:cs="Times New Roman"/>
        </w:rPr>
      </w:pPr>
      <w:r w:rsidRPr="00B56659">
        <w:rPr>
          <w:rFonts w:cs="Times New Roman"/>
        </w:rPr>
        <w:t>Chicago, IL 60601</w:t>
      </w:r>
    </w:p>
    <w:p w14:paraId="6A86D5E4" w14:textId="77777777" w:rsidR="00251FE3" w:rsidRPr="00B56659" w:rsidRDefault="00251FE3" w:rsidP="00251FE3">
      <w:pPr>
        <w:spacing w:line="240" w:lineRule="auto"/>
        <w:ind w:left="5760" w:firstLine="0"/>
        <w:rPr>
          <w:rFonts w:cs="Times New Roman"/>
        </w:rPr>
      </w:pPr>
      <w:r w:rsidRPr="00B56659">
        <w:rPr>
          <w:rFonts w:cs="Times New Roman"/>
        </w:rPr>
        <w:t>(312) 796-3734</w:t>
      </w:r>
    </w:p>
    <w:p w14:paraId="51C87121" w14:textId="77777777" w:rsidR="00251FE3" w:rsidRDefault="006803F5" w:rsidP="00251FE3">
      <w:pPr>
        <w:spacing w:line="240" w:lineRule="auto"/>
        <w:ind w:left="5760" w:firstLine="0"/>
        <w:rPr>
          <w:rFonts w:cs="Times New Roman"/>
          <w:u w:val="single"/>
        </w:rPr>
      </w:pPr>
      <w:hyperlink r:id="rId11" w:history="1">
        <w:r w:rsidR="00251FE3" w:rsidRPr="00B453C6">
          <w:rPr>
            <w:rStyle w:val="Hyperlink"/>
          </w:rPr>
          <w:t>rkelter@elpc.org</w:t>
        </w:r>
      </w:hyperlink>
    </w:p>
    <w:p w14:paraId="11A8EF02" w14:textId="77777777" w:rsidR="00251FE3" w:rsidRPr="001C074B" w:rsidRDefault="00251FE3" w:rsidP="00251FE3">
      <w:pPr>
        <w:spacing w:line="240" w:lineRule="auto"/>
        <w:ind w:left="5760" w:firstLine="0"/>
        <w:rPr>
          <w:rFonts w:eastAsia="Times New Roman" w:cs="Times New Roman"/>
          <w:u w:val="single"/>
        </w:rPr>
      </w:pPr>
    </w:p>
    <w:p w14:paraId="18E5E869" w14:textId="30D22CBD" w:rsidR="00251FE3" w:rsidRDefault="00251FE3" w:rsidP="00251FE3">
      <w:pPr>
        <w:spacing w:line="240" w:lineRule="auto"/>
        <w:ind w:left="5760" w:firstLine="0"/>
        <w:rPr>
          <w:rFonts w:eastAsia="Times New Roman" w:cs="Times New Roman"/>
        </w:rPr>
      </w:pPr>
      <w:r w:rsidRPr="001C074B">
        <w:rPr>
          <w:rFonts w:eastAsia="Times New Roman" w:cs="Times New Roman"/>
        </w:rPr>
        <w:t>Caroline Cox</w:t>
      </w:r>
      <w:r>
        <w:rPr>
          <w:rFonts w:eastAsia="Times New Roman" w:cs="Times New Roman"/>
        </w:rPr>
        <w:t xml:space="preserve"> (0098175)</w:t>
      </w:r>
    </w:p>
    <w:p w14:paraId="0A0B1971" w14:textId="1DF0EAD8" w:rsidR="009C67E6" w:rsidRDefault="009C67E6" w:rsidP="00251FE3">
      <w:pPr>
        <w:spacing w:line="240" w:lineRule="auto"/>
        <w:ind w:left="5760" w:firstLine="0"/>
        <w:rPr>
          <w:rFonts w:eastAsia="Times New Roman" w:cs="Times New Roman"/>
        </w:rPr>
      </w:pPr>
      <w:r>
        <w:rPr>
          <w:rFonts w:eastAsia="Times New Roman" w:cs="Times New Roman"/>
        </w:rPr>
        <w:t>Associate Attorney</w:t>
      </w:r>
    </w:p>
    <w:p w14:paraId="4711BEF7" w14:textId="77777777" w:rsidR="00251FE3" w:rsidRPr="001C074B" w:rsidRDefault="00251FE3" w:rsidP="00251FE3">
      <w:pPr>
        <w:spacing w:line="240" w:lineRule="auto"/>
        <w:ind w:left="5760" w:firstLine="0"/>
        <w:rPr>
          <w:rFonts w:eastAsia="Times New Roman" w:cs="Times New Roman"/>
        </w:rPr>
      </w:pPr>
      <w:r w:rsidRPr="001C074B">
        <w:rPr>
          <w:rFonts w:eastAsia="Times New Roman" w:cs="Times New Roman"/>
        </w:rPr>
        <w:t>Environmental Law &amp; Policy Center</w:t>
      </w:r>
    </w:p>
    <w:p w14:paraId="0ED7D3C3" w14:textId="77777777" w:rsidR="00251FE3" w:rsidRDefault="00251FE3" w:rsidP="00251FE3">
      <w:pPr>
        <w:spacing w:line="240" w:lineRule="auto"/>
        <w:ind w:left="5760" w:firstLine="0"/>
        <w:rPr>
          <w:rFonts w:cs="Times New Roman"/>
        </w:rPr>
      </w:pPr>
      <w:r>
        <w:rPr>
          <w:rFonts w:cs="Times New Roman"/>
        </w:rPr>
        <w:t xml:space="preserve">21 W. Broad Street, 8th Floor  </w:t>
      </w:r>
    </w:p>
    <w:p w14:paraId="08E3A501" w14:textId="77777777" w:rsidR="00251FE3" w:rsidRPr="001C074B" w:rsidRDefault="00251FE3" w:rsidP="00251FE3">
      <w:pPr>
        <w:spacing w:line="240" w:lineRule="auto"/>
        <w:ind w:left="5760" w:firstLine="0"/>
        <w:rPr>
          <w:rFonts w:eastAsia="Times New Roman" w:cs="Times New Roman"/>
        </w:rPr>
      </w:pPr>
      <w:r w:rsidRPr="001C074B">
        <w:rPr>
          <w:rFonts w:eastAsia="Times New Roman" w:cs="Times New Roman"/>
        </w:rPr>
        <w:t>Columbus, OH 43215</w:t>
      </w:r>
    </w:p>
    <w:p w14:paraId="203DBD94" w14:textId="77777777" w:rsidR="00251FE3" w:rsidRDefault="00251FE3" w:rsidP="00251FE3">
      <w:pPr>
        <w:spacing w:line="240" w:lineRule="auto"/>
        <w:ind w:left="5760" w:firstLine="0"/>
        <w:rPr>
          <w:rFonts w:cs="Times New Roman"/>
        </w:rPr>
      </w:pPr>
      <w:r>
        <w:rPr>
          <w:rFonts w:cs="Times New Roman"/>
        </w:rPr>
        <w:t>(</w:t>
      </w:r>
      <w:r w:rsidRPr="0046632E">
        <w:rPr>
          <w:rFonts w:cs="Times New Roman"/>
        </w:rPr>
        <w:t>312</w:t>
      </w:r>
      <w:r>
        <w:rPr>
          <w:rFonts w:cs="Times New Roman"/>
        </w:rPr>
        <w:t xml:space="preserve">) </w:t>
      </w:r>
      <w:r w:rsidRPr="0046632E">
        <w:rPr>
          <w:rFonts w:cs="Times New Roman"/>
        </w:rPr>
        <w:t>795</w:t>
      </w:r>
      <w:r>
        <w:rPr>
          <w:rFonts w:cs="Times New Roman"/>
        </w:rPr>
        <w:t>-</w:t>
      </w:r>
      <w:r w:rsidRPr="0046632E">
        <w:rPr>
          <w:rFonts w:cs="Times New Roman"/>
        </w:rPr>
        <w:t xml:space="preserve">3742 </w:t>
      </w:r>
    </w:p>
    <w:p w14:paraId="7B9EA2AA" w14:textId="77777777" w:rsidR="00251FE3" w:rsidRPr="001C074B" w:rsidRDefault="006803F5" w:rsidP="00251FE3">
      <w:pPr>
        <w:spacing w:line="240" w:lineRule="auto"/>
        <w:ind w:left="5760" w:firstLine="0"/>
        <w:rPr>
          <w:rFonts w:eastAsia="Times New Roman" w:cs="Times New Roman"/>
        </w:rPr>
      </w:pPr>
      <w:hyperlink r:id="rId12" w:history="1">
        <w:r w:rsidR="00251FE3" w:rsidRPr="001C074B">
          <w:rPr>
            <w:rStyle w:val="Hyperlink"/>
            <w:rFonts w:eastAsia="Times New Roman"/>
          </w:rPr>
          <w:t>ccox@elpc.org</w:t>
        </w:r>
      </w:hyperlink>
    </w:p>
    <w:p w14:paraId="0FD3540A" w14:textId="77777777" w:rsidR="00251FE3" w:rsidRPr="001C074B" w:rsidRDefault="00251FE3" w:rsidP="00251FE3">
      <w:pPr>
        <w:spacing w:line="240" w:lineRule="auto"/>
        <w:ind w:left="5760" w:firstLine="0"/>
        <w:rPr>
          <w:rFonts w:eastAsia="Times New Roman" w:cs="Times New Roman"/>
        </w:rPr>
      </w:pPr>
    </w:p>
    <w:p w14:paraId="394BB5E9" w14:textId="77777777" w:rsidR="00251FE3" w:rsidRDefault="00251FE3" w:rsidP="00251FE3">
      <w:pPr>
        <w:spacing w:line="240" w:lineRule="auto"/>
        <w:ind w:left="5760" w:firstLine="0"/>
        <w:rPr>
          <w:rFonts w:eastAsia="Times New Roman" w:cs="Times New Roman"/>
          <w:i/>
        </w:rPr>
      </w:pPr>
      <w:r w:rsidRPr="001C074B">
        <w:rPr>
          <w:rFonts w:eastAsia="Times New Roman" w:cs="Times New Roman"/>
          <w:i/>
        </w:rPr>
        <w:t>Counsel for the Environmental Law &amp; Policy Center</w:t>
      </w:r>
    </w:p>
    <w:p w14:paraId="1756B1F1" w14:textId="77777777" w:rsidR="0048710F" w:rsidRDefault="0048710F" w:rsidP="00251FE3">
      <w:pPr>
        <w:ind w:firstLine="0"/>
        <w:rPr>
          <w:rFonts w:cs="Times New Roman"/>
          <w:szCs w:val="24"/>
        </w:rPr>
      </w:pPr>
    </w:p>
    <w:p w14:paraId="73F5394C" w14:textId="77777777" w:rsidR="0048710F" w:rsidRDefault="0048710F" w:rsidP="0048710F">
      <w:pPr>
        <w:pStyle w:val="NormalWeb"/>
        <w:spacing w:before="0" w:beforeAutospacing="0" w:after="0" w:afterAutospacing="0"/>
        <w:ind w:left="5040"/>
      </w:pPr>
      <w:r>
        <w:rPr>
          <w:color w:val="000000"/>
          <w:u w:val="single"/>
        </w:rPr>
        <w:t>/s/Miranda Leppla</w:t>
      </w:r>
      <w:r>
        <w:rPr>
          <w:color w:val="000000"/>
          <w:u w:val="single"/>
        </w:rPr>
        <w:tab/>
      </w:r>
      <w:r>
        <w:rPr>
          <w:color w:val="000000"/>
          <w:u w:val="single"/>
        </w:rPr>
        <w:tab/>
      </w:r>
    </w:p>
    <w:p w14:paraId="21A41524" w14:textId="77777777" w:rsidR="0048710F" w:rsidRDefault="0048710F" w:rsidP="0048710F">
      <w:pPr>
        <w:pStyle w:val="NormalWeb"/>
        <w:spacing w:before="0" w:beforeAutospacing="0" w:after="0" w:afterAutospacing="0"/>
        <w:ind w:left="5040"/>
      </w:pPr>
      <w:r>
        <w:rPr>
          <w:color w:val="000000"/>
        </w:rPr>
        <w:t>Miranda Leppla (0086351)</w:t>
      </w:r>
    </w:p>
    <w:p w14:paraId="2ECBDBB9" w14:textId="77777777" w:rsidR="0048710F" w:rsidRPr="00861CFE" w:rsidRDefault="0048710F" w:rsidP="0048710F">
      <w:pPr>
        <w:pStyle w:val="NormalWeb"/>
        <w:spacing w:before="0" w:beforeAutospacing="0" w:after="0" w:afterAutospacing="0"/>
        <w:ind w:left="5040"/>
      </w:pPr>
      <w:r w:rsidRPr="00CE68C4">
        <w:rPr>
          <w:bCs/>
          <w:color w:val="000000"/>
        </w:rPr>
        <w:t>Counsel of Record</w:t>
      </w:r>
    </w:p>
    <w:p w14:paraId="5DB91349" w14:textId="77777777" w:rsidR="0048710F" w:rsidRDefault="0048710F" w:rsidP="0048710F">
      <w:pPr>
        <w:pStyle w:val="NormalWeb"/>
        <w:spacing w:before="0" w:beforeAutospacing="0" w:after="0" w:afterAutospacing="0"/>
        <w:ind w:left="5040"/>
      </w:pPr>
      <w:r>
        <w:rPr>
          <w:color w:val="000000"/>
        </w:rPr>
        <w:t>Trent Dougherty (0079817)</w:t>
      </w:r>
    </w:p>
    <w:p w14:paraId="2025B183" w14:textId="77777777" w:rsidR="0048710F" w:rsidRDefault="0048710F" w:rsidP="0048710F">
      <w:pPr>
        <w:pStyle w:val="NormalWeb"/>
        <w:spacing w:before="0" w:beforeAutospacing="0" w:after="0" w:afterAutospacing="0"/>
        <w:ind w:left="5040"/>
      </w:pPr>
      <w:r>
        <w:rPr>
          <w:color w:val="000000"/>
        </w:rPr>
        <w:t>Chris Tavenor (0096642)</w:t>
      </w:r>
    </w:p>
    <w:p w14:paraId="4C098C29" w14:textId="05DE04C4" w:rsidR="002A76FF" w:rsidRDefault="002A76FF" w:rsidP="0048710F">
      <w:pPr>
        <w:pStyle w:val="NormalWeb"/>
        <w:spacing w:before="0" w:beforeAutospacing="0" w:after="0" w:afterAutospacing="0"/>
        <w:ind w:left="5040"/>
        <w:rPr>
          <w:color w:val="000000"/>
        </w:rPr>
      </w:pPr>
      <w:r>
        <w:rPr>
          <w:color w:val="000000"/>
        </w:rPr>
        <w:t>Ohio Environmental Council</w:t>
      </w:r>
    </w:p>
    <w:p w14:paraId="6117A7D5" w14:textId="35F3261A" w:rsidR="0048710F" w:rsidRDefault="0048710F" w:rsidP="0048710F">
      <w:pPr>
        <w:pStyle w:val="NormalWeb"/>
        <w:spacing w:before="0" w:beforeAutospacing="0" w:after="0" w:afterAutospacing="0"/>
        <w:ind w:left="5040"/>
      </w:pPr>
      <w:r>
        <w:rPr>
          <w:color w:val="000000"/>
        </w:rPr>
        <w:t>1145 Chesapeake Avenue, Suite I </w:t>
      </w:r>
    </w:p>
    <w:p w14:paraId="638E8DE3" w14:textId="77777777" w:rsidR="0048710F" w:rsidRDefault="0048710F" w:rsidP="0048710F">
      <w:pPr>
        <w:pStyle w:val="NormalWeb"/>
        <w:spacing w:before="0" w:beforeAutospacing="0" w:after="0" w:afterAutospacing="0"/>
        <w:ind w:left="5040"/>
      </w:pPr>
      <w:r>
        <w:rPr>
          <w:color w:val="000000"/>
        </w:rPr>
        <w:t>Columbus, Ohio 43212-3449</w:t>
      </w:r>
    </w:p>
    <w:p w14:paraId="6EE632CD" w14:textId="5AAB85AE" w:rsidR="0048710F" w:rsidRDefault="0048710F" w:rsidP="0048710F">
      <w:pPr>
        <w:pStyle w:val="NormalWeb"/>
        <w:spacing w:before="0" w:beforeAutospacing="0" w:after="0" w:afterAutospacing="0"/>
        <w:ind w:left="5040"/>
      </w:pPr>
      <w:r>
        <w:rPr>
          <w:color w:val="000000"/>
        </w:rPr>
        <w:t>(614) 487-7506</w:t>
      </w:r>
    </w:p>
    <w:p w14:paraId="1037CD8C" w14:textId="77777777" w:rsidR="0048710F" w:rsidRDefault="006803F5" w:rsidP="0048710F">
      <w:pPr>
        <w:pStyle w:val="NormalWeb"/>
        <w:spacing w:before="0" w:beforeAutospacing="0" w:after="0" w:afterAutospacing="0"/>
        <w:ind w:left="5040"/>
      </w:pPr>
      <w:hyperlink r:id="rId13" w:history="1">
        <w:r w:rsidR="0048710F">
          <w:rPr>
            <w:rStyle w:val="Hyperlink"/>
            <w:color w:val="3C78D8"/>
          </w:rPr>
          <w:t>mleppla@theOEC.org</w:t>
        </w:r>
      </w:hyperlink>
    </w:p>
    <w:p w14:paraId="47D53D10" w14:textId="77777777" w:rsidR="0048710F" w:rsidRDefault="006803F5" w:rsidP="0048710F">
      <w:pPr>
        <w:pStyle w:val="NormalWeb"/>
        <w:spacing w:before="0" w:beforeAutospacing="0" w:after="0" w:afterAutospacing="0"/>
        <w:ind w:left="5040"/>
      </w:pPr>
      <w:hyperlink r:id="rId14" w:history="1">
        <w:r w:rsidR="0048710F">
          <w:rPr>
            <w:rStyle w:val="Hyperlink"/>
            <w:color w:val="1155CC"/>
          </w:rPr>
          <w:t>tdougherty@theOEC.org</w:t>
        </w:r>
      </w:hyperlink>
      <w:r w:rsidR="0048710F">
        <w:rPr>
          <w:color w:val="3C78D8"/>
        </w:rPr>
        <w:t> </w:t>
      </w:r>
    </w:p>
    <w:p w14:paraId="5A947A69" w14:textId="77777777" w:rsidR="0048710F" w:rsidRDefault="006803F5" w:rsidP="0048710F">
      <w:pPr>
        <w:pStyle w:val="NormalWeb"/>
        <w:spacing w:before="0" w:beforeAutospacing="0" w:after="0" w:afterAutospacing="0"/>
        <w:ind w:left="5040"/>
      </w:pPr>
      <w:hyperlink r:id="rId15" w:history="1">
        <w:r w:rsidR="0048710F">
          <w:rPr>
            <w:rStyle w:val="Hyperlink"/>
            <w:color w:val="1155CC"/>
          </w:rPr>
          <w:t>ctavenor@theOEC.org</w:t>
        </w:r>
      </w:hyperlink>
      <w:r w:rsidR="0048710F">
        <w:rPr>
          <w:color w:val="3C78D8"/>
        </w:rPr>
        <w:t> </w:t>
      </w:r>
      <w:r w:rsidR="0048710F">
        <w:rPr>
          <w:color w:val="3C78D8"/>
        </w:rPr>
        <w:br/>
      </w:r>
    </w:p>
    <w:p w14:paraId="0D28E1B1" w14:textId="77777777" w:rsidR="0048710F" w:rsidRDefault="0048710F" w:rsidP="0048710F">
      <w:pPr>
        <w:pStyle w:val="NormalWeb"/>
        <w:spacing w:before="0" w:beforeAutospacing="0" w:after="0" w:afterAutospacing="0"/>
      </w:pP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i/>
          <w:iCs/>
          <w:color w:val="000000"/>
        </w:rPr>
        <w:tab/>
      </w:r>
      <w:r>
        <w:rPr>
          <w:rStyle w:val="apple-tab-span"/>
          <w:i/>
          <w:iCs/>
          <w:color w:val="000000"/>
        </w:rPr>
        <w:tab/>
      </w:r>
      <w:r>
        <w:rPr>
          <w:i/>
          <w:iCs/>
          <w:color w:val="000000"/>
        </w:rPr>
        <w:t>Counsel for the Ohio Environmental </w:t>
      </w:r>
    </w:p>
    <w:p w14:paraId="74670B14" w14:textId="77777777" w:rsidR="0048710F" w:rsidRDefault="0048710F" w:rsidP="0048710F">
      <w:pPr>
        <w:pStyle w:val="NormalWeb"/>
        <w:spacing w:before="0" w:beforeAutospacing="0" w:after="0" w:afterAutospacing="0"/>
        <w:ind w:left="5040"/>
      </w:pPr>
      <w:r>
        <w:rPr>
          <w:i/>
          <w:iCs/>
          <w:color w:val="000000"/>
        </w:rPr>
        <w:t>Council</w:t>
      </w:r>
    </w:p>
    <w:p w14:paraId="6C21CFD4" w14:textId="33B08E7A" w:rsidR="0048710F" w:rsidRDefault="0048710F" w:rsidP="00251FE3">
      <w:pPr>
        <w:ind w:firstLine="0"/>
        <w:rPr>
          <w:rFonts w:cs="Times New Roman"/>
          <w:szCs w:val="24"/>
        </w:rPr>
        <w:sectPr w:rsidR="0048710F" w:rsidSect="0026287D">
          <w:headerReference w:type="default" r:id="rId16"/>
          <w:footerReference w:type="default" r:id="rId17"/>
          <w:pgSz w:w="12240" w:h="15840"/>
          <w:pgMar w:top="1440" w:right="1440" w:bottom="1440" w:left="1440" w:header="720" w:footer="720" w:gutter="0"/>
          <w:pgNumType w:start="1"/>
          <w:cols w:space="720"/>
          <w:docGrid w:linePitch="360"/>
        </w:sectPr>
      </w:pPr>
    </w:p>
    <w:p w14:paraId="56774614" w14:textId="4D730DA0" w:rsidR="00215DDF" w:rsidRPr="00215DDF" w:rsidRDefault="00215DDF" w:rsidP="004820B9">
      <w:pPr>
        <w:autoSpaceDE w:val="0"/>
        <w:autoSpaceDN w:val="0"/>
        <w:adjustRightInd w:val="0"/>
        <w:jc w:val="center"/>
        <w:rPr>
          <w:rFonts w:eastAsia="Times New Roman" w:cs="Times New Roman"/>
          <w:b/>
          <w:bCs/>
          <w:color w:val="000000"/>
          <w:szCs w:val="24"/>
        </w:rPr>
      </w:pPr>
      <w:r w:rsidRPr="00215DDF">
        <w:rPr>
          <w:rFonts w:eastAsia="Times New Roman" w:cs="Times New Roman"/>
          <w:b/>
          <w:bCs/>
          <w:color w:val="000000"/>
          <w:szCs w:val="24"/>
        </w:rPr>
        <w:lastRenderedPageBreak/>
        <w:t>CERTIFICATE OF SERVICE</w:t>
      </w:r>
    </w:p>
    <w:p w14:paraId="3CC76F78" w14:textId="26A9510D" w:rsidR="00ED6E26" w:rsidRPr="00525B84" w:rsidRDefault="00215DDF" w:rsidP="00525B84">
      <w:pPr>
        <w:autoSpaceDE w:val="0"/>
        <w:autoSpaceDN w:val="0"/>
        <w:adjustRightInd w:val="0"/>
        <w:rPr>
          <w:rFonts w:eastAsia="Times New Roman" w:cs="Times New Roman"/>
          <w:b/>
          <w:bCs/>
          <w:color w:val="000000"/>
          <w:szCs w:val="24"/>
        </w:rPr>
      </w:pPr>
      <w:r w:rsidRPr="00215DDF">
        <w:rPr>
          <w:rFonts w:eastAsia="Times New Roman" w:cs="Times New Roman"/>
          <w:color w:val="000000"/>
          <w:szCs w:val="24"/>
        </w:rPr>
        <w:t xml:space="preserve">I hereby certify that a true copy of the foregoing </w:t>
      </w:r>
      <w:r w:rsidR="002276B4" w:rsidRPr="002276B4">
        <w:rPr>
          <w:rFonts w:eastAsia="Times New Roman" w:cs="Times New Roman"/>
          <w:i/>
          <w:color w:val="000000"/>
          <w:szCs w:val="24"/>
        </w:rPr>
        <w:t>The Environmental Advocates’ Reply to FirstEnergy’s Memorandum Contra the Motion to Expand the Scope of the Commission’s Review of FirstEnergy’s Political and Charitable Spending</w:t>
      </w:r>
      <w:r w:rsidR="002276B4">
        <w:rPr>
          <w:rFonts w:eastAsia="Times New Roman" w:cs="Times New Roman"/>
          <w:color w:val="000000"/>
          <w:szCs w:val="24"/>
        </w:rPr>
        <w:t xml:space="preserve"> </w:t>
      </w:r>
      <w:r w:rsidR="00643E10">
        <w:rPr>
          <w:rFonts w:eastAsia="Times New Roman" w:cs="Times New Roman"/>
          <w:color w:val="000000"/>
          <w:szCs w:val="24"/>
        </w:rPr>
        <w:t xml:space="preserve">was filed electronically through the Docketing Information System of the Public Utilities Commission of Ohio on </w:t>
      </w:r>
      <w:r w:rsidR="00643E10">
        <w:rPr>
          <w:rFonts w:eastAsia="Times New Roman" w:cs="Times New Roman"/>
          <w:color w:val="000000"/>
          <w:szCs w:val="24"/>
        </w:rPr>
        <w:fldChar w:fldCharType="begin"/>
      </w:r>
      <w:r w:rsidR="00643E10">
        <w:rPr>
          <w:rFonts w:eastAsia="Times New Roman" w:cs="Times New Roman"/>
          <w:color w:val="000000"/>
          <w:szCs w:val="24"/>
        </w:rPr>
        <w:instrText xml:space="preserve"> DATE \@ "MMMM d, yyyy" </w:instrText>
      </w:r>
      <w:r w:rsidR="00643E10">
        <w:rPr>
          <w:rFonts w:eastAsia="Times New Roman" w:cs="Times New Roman"/>
          <w:color w:val="000000"/>
          <w:szCs w:val="24"/>
        </w:rPr>
        <w:fldChar w:fldCharType="separate"/>
      </w:r>
      <w:r w:rsidR="006F70EA">
        <w:rPr>
          <w:rFonts w:eastAsia="Times New Roman" w:cs="Times New Roman"/>
          <w:noProof/>
          <w:color w:val="000000"/>
          <w:szCs w:val="24"/>
        </w:rPr>
        <w:t>October 21, 2020</w:t>
      </w:r>
      <w:r w:rsidR="00643E10">
        <w:rPr>
          <w:rFonts w:eastAsia="Times New Roman" w:cs="Times New Roman"/>
          <w:color w:val="000000"/>
          <w:szCs w:val="24"/>
        </w:rPr>
        <w:fldChar w:fldCharType="end"/>
      </w:r>
      <w:r w:rsidR="00643E10">
        <w:rPr>
          <w:rFonts w:eastAsia="Times New Roman" w:cs="Times New Roman"/>
          <w:color w:val="000000"/>
          <w:szCs w:val="24"/>
        </w:rPr>
        <w:t xml:space="preserve">. The PUCO’s e-filing system will electronically serve notice of the filing of this document on counsel for all parties. </w:t>
      </w:r>
      <w:r w:rsidR="00EF61A9">
        <w:rPr>
          <w:rFonts w:cs="Times New Roman"/>
          <w:color w:val="000000"/>
          <w:szCs w:val="24"/>
        </w:rPr>
        <w:tab/>
      </w:r>
    </w:p>
    <w:p w14:paraId="02AC00C5" w14:textId="77777777" w:rsidR="00251FE3" w:rsidRDefault="00ED6E26" w:rsidP="00251FE3">
      <w:pPr>
        <w:spacing w:line="240" w:lineRule="auto"/>
        <w:rPr>
          <w:rFonts w:eastAsia="Times New Roman" w:cs="Times New Roman"/>
          <w:u w:val="single"/>
        </w:rPr>
      </w:pPr>
      <w:r w:rsidRPr="00EC5E0A">
        <w:rPr>
          <w:rFonts w:cs="Times New Roman"/>
          <w:color w:val="000000"/>
          <w:szCs w:val="24"/>
        </w:rPr>
        <w:tab/>
      </w:r>
      <w:r w:rsidRPr="00EC5E0A">
        <w:rPr>
          <w:rFonts w:cs="Times New Roman"/>
          <w:color w:val="000000"/>
          <w:szCs w:val="24"/>
        </w:rPr>
        <w:tab/>
      </w:r>
      <w:r w:rsidRPr="00EC5E0A">
        <w:rPr>
          <w:rFonts w:cs="Times New Roman"/>
          <w:color w:val="000000"/>
          <w:szCs w:val="24"/>
        </w:rPr>
        <w:tab/>
      </w:r>
      <w:r w:rsidRPr="00EC5E0A">
        <w:rPr>
          <w:rFonts w:cs="Times New Roman"/>
          <w:color w:val="000000"/>
          <w:szCs w:val="24"/>
        </w:rPr>
        <w:tab/>
      </w:r>
      <w:r w:rsidRPr="00EC5E0A">
        <w:rPr>
          <w:rFonts w:cs="Times New Roman"/>
          <w:color w:val="000000"/>
          <w:szCs w:val="24"/>
        </w:rPr>
        <w:tab/>
      </w:r>
      <w:r w:rsidRPr="00EC5E0A">
        <w:rPr>
          <w:rFonts w:cs="Times New Roman"/>
          <w:color w:val="000000"/>
          <w:szCs w:val="24"/>
        </w:rPr>
        <w:tab/>
      </w:r>
      <w:r w:rsidRPr="00ED6E26">
        <w:rPr>
          <w:rFonts w:cs="Times New Roman"/>
          <w:szCs w:val="24"/>
        </w:rPr>
        <w:tab/>
      </w:r>
      <w:r w:rsidR="00251FE3" w:rsidRPr="001C074B">
        <w:rPr>
          <w:rFonts w:eastAsia="Times New Roman" w:cs="Times New Roman"/>
          <w:u w:val="single"/>
        </w:rPr>
        <w:t xml:space="preserve">/s/ </w:t>
      </w:r>
      <w:r w:rsidR="00251FE3">
        <w:rPr>
          <w:rFonts w:eastAsia="Times New Roman" w:cs="Times New Roman"/>
          <w:u w:val="single"/>
        </w:rPr>
        <w:t>Robert Kelter</w:t>
      </w:r>
    </w:p>
    <w:p w14:paraId="1BA64149" w14:textId="77777777" w:rsidR="00251FE3" w:rsidRDefault="00251FE3" w:rsidP="00251FE3">
      <w:pPr>
        <w:spacing w:line="240" w:lineRule="auto"/>
        <w:ind w:left="5760" w:firstLine="0"/>
        <w:rPr>
          <w:rFonts w:cs="Times New Roman"/>
        </w:rPr>
      </w:pPr>
      <w:r>
        <w:rPr>
          <w:rFonts w:cs="Times New Roman"/>
        </w:rPr>
        <w:t>Robert Kelter</w:t>
      </w:r>
    </w:p>
    <w:p w14:paraId="44190CBB" w14:textId="3218F642" w:rsidR="003A2DF2" w:rsidRPr="00ED6E26" w:rsidRDefault="003A2DF2" w:rsidP="00251FE3">
      <w:pPr>
        <w:spacing w:line="240" w:lineRule="auto"/>
        <w:rPr>
          <w:rFonts w:cs="Times New Roman"/>
          <w:color w:val="0000FF" w:themeColor="hyperlink"/>
          <w:szCs w:val="24"/>
          <w:u w:val="single"/>
        </w:rPr>
      </w:pPr>
    </w:p>
    <w:p w14:paraId="2A810B63" w14:textId="30D2874B" w:rsidR="00ED6E26" w:rsidRDefault="00ED6E26" w:rsidP="003A2DF2">
      <w:pPr>
        <w:spacing w:line="240" w:lineRule="auto"/>
        <w:rPr>
          <w:rFonts w:cs="Times New Roman"/>
          <w:b/>
          <w:szCs w:val="24"/>
        </w:rPr>
      </w:pPr>
    </w:p>
    <w:p w14:paraId="35A17D96" w14:textId="4469D0EE" w:rsidR="00FE51B7" w:rsidRPr="00FE51B7" w:rsidRDefault="00215DDF" w:rsidP="00ED6E26">
      <w:pPr>
        <w:spacing w:line="240" w:lineRule="auto"/>
        <w:ind w:firstLine="0"/>
        <w:rPr>
          <w:rFonts w:cs="Times New Roman"/>
          <w:b/>
          <w:szCs w:val="24"/>
        </w:rPr>
      </w:pPr>
      <w:r w:rsidRPr="00215DDF">
        <w:rPr>
          <w:rFonts w:cs="Times New Roman"/>
          <w:b/>
          <w:szCs w:val="24"/>
        </w:rPr>
        <w:t xml:space="preserve">Service 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E51B7" w14:paraId="2979BD86" w14:textId="77777777" w:rsidTr="00FE51B7">
        <w:tc>
          <w:tcPr>
            <w:tcW w:w="4675" w:type="dxa"/>
          </w:tcPr>
          <w:p w14:paraId="52820DC0" w14:textId="66EB12E8" w:rsidR="00FE51B7" w:rsidRDefault="00FE51B7" w:rsidP="00FE51B7">
            <w:pPr>
              <w:spacing w:line="237" w:lineRule="auto"/>
              <w:ind w:right="95" w:firstLine="0"/>
              <w:jc w:val="both"/>
            </w:pPr>
          </w:p>
        </w:tc>
        <w:tc>
          <w:tcPr>
            <w:tcW w:w="4675" w:type="dxa"/>
          </w:tcPr>
          <w:p w14:paraId="625672AA" w14:textId="1C460F2A" w:rsidR="00FE51B7" w:rsidRDefault="00FE51B7" w:rsidP="00FE51B7">
            <w:pPr>
              <w:spacing w:line="237" w:lineRule="auto"/>
              <w:ind w:right="95" w:firstLine="0"/>
              <w:jc w:val="both"/>
            </w:pPr>
          </w:p>
        </w:tc>
      </w:tr>
    </w:tbl>
    <w:p w14:paraId="2E3014A7" w14:textId="77777777" w:rsidR="004A1D05" w:rsidRDefault="004A1D05" w:rsidP="00027D54">
      <w:pPr>
        <w:spacing w:line="240" w:lineRule="auto"/>
        <w:ind w:firstLine="0"/>
        <w:rPr>
          <w:rFonts w:cs="Times New Roman"/>
          <w:szCs w:val="24"/>
        </w:rPr>
        <w:sectPr w:rsidR="004A1D05" w:rsidSect="0026287D">
          <w:headerReference w:type="default" r:id="rId18"/>
          <w:pgSz w:w="12240" w:h="15840"/>
          <w:pgMar w:top="1440" w:right="1440" w:bottom="1440" w:left="1440" w:header="720" w:footer="720" w:gutter="0"/>
          <w:pgNumType w:start="1"/>
          <w:cols w:space="720"/>
          <w:docGrid w:linePitch="360"/>
        </w:sectPr>
      </w:pPr>
    </w:p>
    <w:p w14:paraId="64FA8F55" w14:textId="77777777" w:rsidR="006803F5" w:rsidRDefault="006803F5" w:rsidP="00027D54">
      <w:pPr>
        <w:spacing w:line="240" w:lineRule="auto"/>
        <w:ind w:firstLine="0"/>
        <w:rPr>
          <w:rFonts w:cs="Times New Roman"/>
          <w:szCs w:val="24"/>
        </w:rPr>
      </w:pPr>
      <w:hyperlink r:id="rId19" w:history="1">
        <w:r w:rsidRPr="00C21BC7">
          <w:rPr>
            <w:rStyle w:val="Hyperlink"/>
            <w:rFonts w:cs="Times New Roman"/>
            <w:szCs w:val="24"/>
          </w:rPr>
          <w:t>Bethany.allen@igs.com</w:t>
        </w:r>
      </w:hyperlink>
    </w:p>
    <w:p w14:paraId="364FBAA5" w14:textId="77777777" w:rsidR="006803F5" w:rsidRDefault="006803F5" w:rsidP="00027D54">
      <w:pPr>
        <w:spacing w:line="240" w:lineRule="auto"/>
        <w:ind w:firstLine="0"/>
        <w:rPr>
          <w:rFonts w:cs="Times New Roman"/>
          <w:szCs w:val="24"/>
        </w:rPr>
      </w:pPr>
      <w:hyperlink r:id="rId20" w:history="1">
        <w:r w:rsidRPr="00C21BC7">
          <w:rPr>
            <w:rStyle w:val="Hyperlink"/>
            <w:rFonts w:cs="Times New Roman"/>
            <w:szCs w:val="24"/>
          </w:rPr>
          <w:t>bknipe@firstenergycorp.com</w:t>
        </w:r>
      </w:hyperlink>
    </w:p>
    <w:p w14:paraId="50779362" w14:textId="77777777" w:rsidR="006803F5" w:rsidRDefault="006803F5" w:rsidP="00027D54">
      <w:pPr>
        <w:spacing w:line="240" w:lineRule="auto"/>
        <w:ind w:firstLine="0"/>
        <w:rPr>
          <w:rFonts w:cs="Times New Roman"/>
          <w:szCs w:val="24"/>
        </w:rPr>
      </w:pPr>
      <w:hyperlink r:id="rId21" w:history="1">
        <w:r w:rsidRPr="00C21BC7">
          <w:rPr>
            <w:rStyle w:val="Hyperlink"/>
            <w:rFonts w:cs="Times New Roman"/>
            <w:szCs w:val="24"/>
          </w:rPr>
          <w:t>bojko@carpenterlipps.com</w:t>
        </w:r>
      </w:hyperlink>
    </w:p>
    <w:p w14:paraId="2CAFF2CB" w14:textId="77777777" w:rsidR="006803F5" w:rsidRDefault="006803F5" w:rsidP="00027D54">
      <w:pPr>
        <w:spacing w:line="240" w:lineRule="auto"/>
        <w:ind w:firstLine="0"/>
        <w:rPr>
          <w:rFonts w:cs="Times New Roman"/>
          <w:szCs w:val="24"/>
        </w:rPr>
      </w:pPr>
      <w:hyperlink r:id="rId22" w:history="1">
        <w:r w:rsidRPr="00C21BC7">
          <w:rPr>
            <w:rStyle w:val="Hyperlink"/>
            <w:rFonts w:cs="Times New Roman"/>
            <w:szCs w:val="24"/>
          </w:rPr>
          <w:t>ctavenor@tehoec.org</w:t>
        </w:r>
      </w:hyperlink>
    </w:p>
    <w:p w14:paraId="75022458" w14:textId="77777777" w:rsidR="006803F5" w:rsidRDefault="006803F5" w:rsidP="00027D54">
      <w:pPr>
        <w:spacing w:line="240" w:lineRule="auto"/>
        <w:ind w:firstLine="0"/>
        <w:rPr>
          <w:rFonts w:cs="Times New Roman"/>
          <w:szCs w:val="24"/>
        </w:rPr>
      </w:pPr>
      <w:hyperlink r:id="rId23" w:history="1">
        <w:r w:rsidRPr="00C21BC7">
          <w:rPr>
            <w:rStyle w:val="Hyperlink"/>
            <w:rFonts w:cs="Times New Roman"/>
            <w:szCs w:val="24"/>
          </w:rPr>
          <w:t>dborchers@bricker.com</w:t>
        </w:r>
      </w:hyperlink>
    </w:p>
    <w:p w14:paraId="6E39328F" w14:textId="77777777" w:rsidR="006803F5" w:rsidRDefault="006803F5" w:rsidP="00027D54">
      <w:pPr>
        <w:spacing w:line="240" w:lineRule="auto"/>
        <w:ind w:firstLine="0"/>
        <w:rPr>
          <w:rFonts w:cs="Times New Roman"/>
          <w:szCs w:val="24"/>
        </w:rPr>
      </w:pPr>
      <w:hyperlink r:id="rId24" w:history="1">
        <w:r w:rsidRPr="00C21BC7">
          <w:rPr>
            <w:rStyle w:val="Hyperlink"/>
            <w:rFonts w:cs="Times New Roman"/>
            <w:szCs w:val="24"/>
          </w:rPr>
          <w:t>Debra.bingham@occ.ohio.gov</w:t>
        </w:r>
      </w:hyperlink>
      <w:r>
        <w:rPr>
          <w:rFonts w:cs="Times New Roman"/>
          <w:szCs w:val="24"/>
        </w:rPr>
        <w:t xml:space="preserve"> </w:t>
      </w:r>
    </w:p>
    <w:p w14:paraId="23559C0D" w14:textId="77777777" w:rsidR="006803F5" w:rsidRDefault="006803F5" w:rsidP="00027D54">
      <w:pPr>
        <w:spacing w:line="240" w:lineRule="auto"/>
        <w:ind w:firstLine="0"/>
        <w:rPr>
          <w:rFonts w:cs="Times New Roman"/>
          <w:szCs w:val="24"/>
        </w:rPr>
      </w:pPr>
      <w:hyperlink r:id="rId25" w:history="1">
        <w:r w:rsidRPr="00C21BC7">
          <w:rPr>
            <w:rStyle w:val="Hyperlink"/>
            <w:rFonts w:cs="Times New Roman"/>
            <w:szCs w:val="24"/>
          </w:rPr>
          <w:t>docketing@puco.ohio.gov</w:t>
        </w:r>
      </w:hyperlink>
    </w:p>
    <w:p w14:paraId="26505B31" w14:textId="77777777" w:rsidR="006803F5" w:rsidRDefault="006803F5" w:rsidP="00027D54">
      <w:pPr>
        <w:spacing w:line="240" w:lineRule="auto"/>
        <w:ind w:firstLine="0"/>
        <w:rPr>
          <w:rFonts w:cs="Times New Roman"/>
          <w:szCs w:val="24"/>
        </w:rPr>
      </w:pPr>
      <w:hyperlink r:id="rId26" w:history="1">
        <w:r w:rsidRPr="00C21BC7">
          <w:rPr>
            <w:rStyle w:val="Hyperlink"/>
            <w:rFonts w:cs="Times New Roman"/>
            <w:szCs w:val="24"/>
          </w:rPr>
          <w:t>jdortch@kravitzllc.com</w:t>
        </w:r>
      </w:hyperlink>
    </w:p>
    <w:p w14:paraId="73C730AD" w14:textId="77777777" w:rsidR="006803F5" w:rsidRDefault="006803F5" w:rsidP="00027D54">
      <w:pPr>
        <w:spacing w:line="240" w:lineRule="auto"/>
        <w:ind w:firstLine="0"/>
        <w:rPr>
          <w:rFonts w:cs="Times New Roman"/>
          <w:szCs w:val="24"/>
        </w:rPr>
      </w:pPr>
      <w:hyperlink r:id="rId27" w:history="1">
        <w:r w:rsidRPr="00C21BC7">
          <w:rPr>
            <w:rStyle w:val="Hyperlink"/>
            <w:rFonts w:cs="Times New Roman"/>
            <w:szCs w:val="24"/>
          </w:rPr>
          <w:t>jlang@calfee.com</w:t>
        </w:r>
      </w:hyperlink>
      <w:r>
        <w:rPr>
          <w:rFonts w:cs="Times New Roman"/>
          <w:szCs w:val="24"/>
        </w:rPr>
        <w:t xml:space="preserve"> </w:t>
      </w:r>
    </w:p>
    <w:p w14:paraId="01F548E3" w14:textId="4343CD3E" w:rsidR="006803F5" w:rsidRDefault="006803F5" w:rsidP="00027D54">
      <w:pPr>
        <w:spacing w:line="240" w:lineRule="auto"/>
        <w:ind w:firstLine="0"/>
        <w:rPr>
          <w:rFonts w:cs="Times New Roman"/>
          <w:szCs w:val="24"/>
        </w:rPr>
      </w:pPr>
      <w:hyperlink r:id="rId28" w:history="1">
        <w:r w:rsidRPr="00C21BC7">
          <w:rPr>
            <w:rStyle w:val="Hyperlink"/>
            <w:rFonts w:cs="Times New Roman"/>
            <w:szCs w:val="24"/>
          </w:rPr>
          <w:t>Joe.oliker@igs.com</w:t>
        </w:r>
      </w:hyperlink>
    </w:p>
    <w:p w14:paraId="39F9E20A" w14:textId="2031794F" w:rsidR="006803F5" w:rsidRDefault="006803F5" w:rsidP="00027D54">
      <w:pPr>
        <w:spacing w:line="240" w:lineRule="auto"/>
        <w:ind w:firstLine="0"/>
        <w:rPr>
          <w:rFonts w:cs="Times New Roman"/>
          <w:szCs w:val="24"/>
        </w:rPr>
        <w:sectPr w:rsidR="006803F5" w:rsidSect="006803F5">
          <w:type w:val="continuous"/>
          <w:pgSz w:w="12240" w:h="15840"/>
          <w:pgMar w:top="1440" w:right="1440" w:bottom="1440" w:left="1440" w:header="720" w:footer="720" w:gutter="0"/>
          <w:pgNumType w:start="1"/>
          <w:cols w:num="2" w:space="720"/>
          <w:docGrid w:linePitch="360"/>
        </w:sectPr>
      </w:pPr>
      <w:hyperlink r:id="rId29" w:history="1">
        <w:r w:rsidRPr="00C21BC7">
          <w:rPr>
            <w:rStyle w:val="Hyperlink"/>
            <w:rFonts w:cs="Times New Roman"/>
            <w:szCs w:val="24"/>
          </w:rPr>
          <w:t>khehmeyer@calfee.com</w:t>
        </w:r>
      </w:hyperlink>
    </w:p>
    <w:p w14:paraId="42616E9B" w14:textId="0D060098" w:rsidR="006803F5" w:rsidRDefault="006803F5" w:rsidP="00027D54">
      <w:pPr>
        <w:spacing w:line="240" w:lineRule="auto"/>
        <w:ind w:firstLine="0"/>
        <w:rPr>
          <w:rFonts w:cs="Times New Roman"/>
          <w:szCs w:val="24"/>
        </w:rPr>
      </w:pPr>
      <w:hyperlink r:id="rId30" w:history="1">
        <w:r w:rsidRPr="00C21BC7">
          <w:rPr>
            <w:rStyle w:val="Hyperlink"/>
            <w:rFonts w:cs="Times New Roman"/>
            <w:szCs w:val="24"/>
          </w:rPr>
          <w:t>leslie.kovacik@toledo.oh.gov</w:t>
        </w:r>
      </w:hyperlink>
    </w:p>
    <w:p w14:paraId="2EDCFA0A" w14:textId="77777777" w:rsidR="006803F5" w:rsidRDefault="006803F5" w:rsidP="00027D54">
      <w:pPr>
        <w:spacing w:line="240" w:lineRule="auto"/>
        <w:ind w:firstLine="0"/>
        <w:rPr>
          <w:rFonts w:cs="Times New Roman"/>
          <w:szCs w:val="24"/>
        </w:rPr>
      </w:pPr>
      <w:hyperlink r:id="rId31" w:history="1">
        <w:r w:rsidRPr="00C21BC7">
          <w:rPr>
            <w:rStyle w:val="Hyperlink"/>
            <w:rFonts w:cs="Times New Roman"/>
            <w:szCs w:val="24"/>
          </w:rPr>
          <w:t>mary.fischer@puco.ohio.gov</w:t>
        </w:r>
      </w:hyperlink>
      <w:r>
        <w:rPr>
          <w:rFonts w:cs="Times New Roman"/>
          <w:szCs w:val="24"/>
        </w:rPr>
        <w:t xml:space="preserve"> </w:t>
      </w:r>
    </w:p>
    <w:p w14:paraId="6E712147" w14:textId="77777777" w:rsidR="006803F5" w:rsidRDefault="006803F5" w:rsidP="00027D54">
      <w:pPr>
        <w:spacing w:line="240" w:lineRule="auto"/>
        <w:ind w:firstLine="0"/>
        <w:rPr>
          <w:rFonts w:cs="Times New Roman"/>
          <w:szCs w:val="24"/>
        </w:rPr>
      </w:pPr>
      <w:hyperlink r:id="rId32" w:history="1">
        <w:r w:rsidRPr="00C21BC7">
          <w:rPr>
            <w:rStyle w:val="Hyperlink"/>
            <w:rFonts w:cs="Times New Roman"/>
            <w:szCs w:val="24"/>
          </w:rPr>
          <w:t>mdorch@kravitzille.com</w:t>
        </w:r>
      </w:hyperlink>
      <w:r>
        <w:rPr>
          <w:rFonts w:cs="Times New Roman"/>
          <w:szCs w:val="24"/>
        </w:rPr>
        <w:t xml:space="preserve"> </w:t>
      </w:r>
    </w:p>
    <w:p w14:paraId="0516A439" w14:textId="77777777" w:rsidR="006803F5" w:rsidRDefault="006803F5" w:rsidP="00027D54">
      <w:pPr>
        <w:spacing w:line="240" w:lineRule="auto"/>
        <w:ind w:firstLine="0"/>
        <w:rPr>
          <w:rFonts w:cs="Times New Roman"/>
          <w:szCs w:val="24"/>
        </w:rPr>
      </w:pPr>
      <w:hyperlink r:id="rId33" w:history="1">
        <w:r w:rsidRPr="00C21BC7">
          <w:rPr>
            <w:rStyle w:val="Hyperlink"/>
            <w:rFonts w:cs="Times New Roman"/>
            <w:szCs w:val="24"/>
          </w:rPr>
          <w:t>Michael.nugent@igs.com</w:t>
        </w:r>
      </w:hyperlink>
      <w:r>
        <w:rPr>
          <w:rFonts w:cs="Times New Roman"/>
          <w:szCs w:val="24"/>
        </w:rPr>
        <w:t xml:space="preserve"> </w:t>
      </w:r>
    </w:p>
    <w:p w14:paraId="288FC121" w14:textId="77777777" w:rsidR="006803F5" w:rsidRDefault="006803F5" w:rsidP="00027D54">
      <w:pPr>
        <w:spacing w:line="240" w:lineRule="auto"/>
        <w:ind w:firstLine="0"/>
        <w:rPr>
          <w:rFonts w:cs="Times New Roman"/>
          <w:szCs w:val="24"/>
        </w:rPr>
      </w:pPr>
      <w:hyperlink r:id="rId34" w:history="1">
        <w:r w:rsidRPr="00C21BC7">
          <w:rPr>
            <w:rStyle w:val="Hyperlink"/>
            <w:rFonts w:cs="Times New Roman"/>
            <w:szCs w:val="24"/>
          </w:rPr>
          <w:t>mpritchard@mcneeslaw.com</w:t>
        </w:r>
      </w:hyperlink>
    </w:p>
    <w:p w14:paraId="0D912528" w14:textId="77777777" w:rsidR="006803F5" w:rsidRDefault="006803F5" w:rsidP="00027D54">
      <w:pPr>
        <w:spacing w:line="240" w:lineRule="auto"/>
        <w:ind w:firstLine="0"/>
        <w:rPr>
          <w:rFonts w:cs="Times New Roman"/>
          <w:szCs w:val="24"/>
        </w:rPr>
      </w:pPr>
      <w:hyperlink r:id="rId35" w:history="1">
        <w:r w:rsidRPr="00C21BC7">
          <w:rPr>
            <w:rStyle w:val="Hyperlink"/>
            <w:rFonts w:cs="Times New Roman"/>
            <w:szCs w:val="24"/>
          </w:rPr>
          <w:t>rdove@keglerbrown.com</w:t>
        </w:r>
      </w:hyperlink>
    </w:p>
    <w:p w14:paraId="144B30CC" w14:textId="77777777" w:rsidR="006803F5" w:rsidRDefault="006803F5" w:rsidP="00027D54">
      <w:pPr>
        <w:spacing w:line="240" w:lineRule="auto"/>
        <w:ind w:firstLine="0"/>
        <w:rPr>
          <w:rFonts w:cs="Times New Roman"/>
          <w:szCs w:val="24"/>
        </w:rPr>
      </w:pPr>
      <w:hyperlink r:id="rId36" w:history="1">
        <w:r w:rsidRPr="00C21BC7">
          <w:rPr>
            <w:rStyle w:val="Hyperlink"/>
            <w:rFonts w:cs="Times New Roman"/>
            <w:szCs w:val="24"/>
          </w:rPr>
          <w:t>rglover@mcneeslaw.com</w:t>
        </w:r>
      </w:hyperlink>
    </w:p>
    <w:p w14:paraId="239BBD9B" w14:textId="77777777" w:rsidR="006803F5" w:rsidRDefault="006803F5" w:rsidP="00027D54">
      <w:pPr>
        <w:spacing w:line="240" w:lineRule="auto"/>
        <w:ind w:firstLine="0"/>
        <w:rPr>
          <w:rFonts w:cs="Times New Roman"/>
          <w:szCs w:val="24"/>
        </w:rPr>
      </w:pPr>
      <w:hyperlink r:id="rId37" w:history="1">
        <w:r w:rsidRPr="00C21BC7">
          <w:rPr>
            <w:rStyle w:val="Hyperlink"/>
            <w:rFonts w:cs="Times New Roman"/>
            <w:szCs w:val="24"/>
          </w:rPr>
          <w:t>tdougherty@theOEC.org</w:t>
        </w:r>
      </w:hyperlink>
      <w:r>
        <w:rPr>
          <w:rFonts w:cs="Times New Roman"/>
          <w:szCs w:val="24"/>
        </w:rPr>
        <w:t xml:space="preserve"> </w:t>
      </w:r>
    </w:p>
    <w:p w14:paraId="28C59F54" w14:textId="77777777" w:rsidR="006803F5" w:rsidRDefault="006803F5" w:rsidP="00027D54">
      <w:pPr>
        <w:spacing w:line="240" w:lineRule="auto"/>
        <w:ind w:firstLine="0"/>
        <w:rPr>
          <w:rFonts w:cs="Times New Roman"/>
          <w:szCs w:val="24"/>
        </w:rPr>
      </w:pPr>
      <w:hyperlink r:id="rId38" w:history="1">
        <w:r w:rsidRPr="00C21BC7">
          <w:rPr>
            <w:rStyle w:val="Hyperlink"/>
            <w:rFonts w:cs="Times New Roman"/>
            <w:szCs w:val="24"/>
          </w:rPr>
          <w:t>torahood@bricker.com</w:t>
        </w:r>
      </w:hyperlink>
    </w:p>
    <w:p w14:paraId="419C7D3A" w14:textId="5BC548E9" w:rsidR="006803F5" w:rsidRDefault="006803F5" w:rsidP="00027D54">
      <w:pPr>
        <w:spacing w:line="240" w:lineRule="auto"/>
        <w:ind w:firstLine="0"/>
        <w:rPr>
          <w:rFonts w:cs="Times New Roman"/>
          <w:szCs w:val="24"/>
        </w:rPr>
      </w:pPr>
      <w:hyperlink r:id="rId39" w:history="1">
        <w:r w:rsidRPr="00C21BC7">
          <w:rPr>
            <w:rStyle w:val="Hyperlink"/>
            <w:rFonts w:cs="Times New Roman"/>
            <w:szCs w:val="24"/>
          </w:rPr>
          <w:t>trhayslaw@gmail.com</w:t>
        </w:r>
      </w:hyperlink>
      <w:r>
        <w:rPr>
          <w:rFonts w:cs="Times New Roman"/>
          <w:szCs w:val="24"/>
        </w:rPr>
        <w:t xml:space="preserve"> </w:t>
      </w:r>
      <w:hyperlink r:id="rId40" w:history="1">
        <w:r w:rsidRPr="00C21BC7">
          <w:rPr>
            <w:rStyle w:val="Hyperlink"/>
            <w:rFonts w:cs="Times New Roman"/>
            <w:szCs w:val="24"/>
          </w:rPr>
          <w:t>Angela.obrien@occ.ohio.gov</w:t>
        </w:r>
      </w:hyperlink>
      <w:r>
        <w:rPr>
          <w:rFonts w:cs="Times New Roman"/>
          <w:szCs w:val="24"/>
        </w:rPr>
        <w:t xml:space="preserve"> </w:t>
      </w:r>
    </w:p>
    <w:p w14:paraId="2B7CECA5" w14:textId="33653728" w:rsidR="006803F5" w:rsidRDefault="006803F5" w:rsidP="00027D54">
      <w:pPr>
        <w:spacing w:line="240" w:lineRule="auto"/>
        <w:ind w:firstLine="0"/>
        <w:rPr>
          <w:rFonts w:cs="Times New Roman"/>
          <w:szCs w:val="24"/>
        </w:rPr>
      </w:pPr>
      <w:hyperlink r:id="rId41" w:history="1">
        <w:r w:rsidRPr="00C21BC7">
          <w:rPr>
            <w:rStyle w:val="Hyperlink"/>
            <w:rFonts w:cs="Times New Roman"/>
            <w:szCs w:val="24"/>
          </w:rPr>
          <w:t>ccox@elpc.org</w:t>
        </w:r>
      </w:hyperlink>
      <w:r>
        <w:rPr>
          <w:rFonts w:cs="Times New Roman"/>
          <w:szCs w:val="24"/>
        </w:rPr>
        <w:t xml:space="preserve"> </w:t>
      </w:r>
    </w:p>
    <w:p w14:paraId="728F2FDC" w14:textId="18272D61" w:rsidR="006803F5" w:rsidRDefault="006803F5" w:rsidP="00027D54">
      <w:pPr>
        <w:spacing w:line="240" w:lineRule="auto"/>
        <w:ind w:firstLine="0"/>
        <w:rPr>
          <w:rFonts w:cs="Times New Roman"/>
          <w:szCs w:val="24"/>
        </w:rPr>
      </w:pPr>
      <w:hyperlink r:id="rId42" w:history="1">
        <w:r w:rsidRPr="00C21BC7">
          <w:rPr>
            <w:rStyle w:val="Hyperlink"/>
            <w:rFonts w:cs="Times New Roman"/>
            <w:szCs w:val="24"/>
          </w:rPr>
          <w:t>Gregory.price@puco.ohio.gov</w:t>
        </w:r>
      </w:hyperlink>
      <w:r>
        <w:rPr>
          <w:rFonts w:cs="Times New Roman"/>
          <w:szCs w:val="24"/>
        </w:rPr>
        <w:t xml:space="preserve"> </w:t>
      </w:r>
    </w:p>
    <w:p w14:paraId="7A2BF46B" w14:textId="77162EE9" w:rsidR="006803F5" w:rsidRDefault="006803F5" w:rsidP="00027D54">
      <w:pPr>
        <w:spacing w:line="240" w:lineRule="auto"/>
        <w:ind w:firstLine="0"/>
        <w:rPr>
          <w:rFonts w:cs="Times New Roman"/>
          <w:szCs w:val="24"/>
        </w:rPr>
      </w:pPr>
      <w:hyperlink r:id="rId43" w:history="1">
        <w:r w:rsidRPr="00C21BC7">
          <w:rPr>
            <w:rStyle w:val="Hyperlink"/>
            <w:rFonts w:cs="Times New Roman"/>
            <w:szCs w:val="24"/>
          </w:rPr>
          <w:t>heather.chilcote@puco.ohio.gov</w:t>
        </w:r>
      </w:hyperlink>
      <w:r>
        <w:rPr>
          <w:rFonts w:cs="Times New Roman"/>
          <w:szCs w:val="24"/>
        </w:rPr>
        <w:t xml:space="preserve"> </w:t>
      </w:r>
    </w:p>
    <w:p w14:paraId="034CA37D" w14:textId="56664C99" w:rsidR="006803F5" w:rsidRDefault="006803F5" w:rsidP="00027D54">
      <w:pPr>
        <w:spacing w:line="240" w:lineRule="auto"/>
        <w:ind w:firstLine="0"/>
        <w:rPr>
          <w:rFonts w:cs="Times New Roman"/>
          <w:szCs w:val="24"/>
        </w:rPr>
      </w:pPr>
      <w:hyperlink r:id="rId44" w:history="1">
        <w:r w:rsidRPr="00C21BC7">
          <w:rPr>
            <w:rStyle w:val="Hyperlink"/>
            <w:rFonts w:cs="Times New Roman"/>
            <w:szCs w:val="24"/>
          </w:rPr>
          <w:t>jkylercohn@bkllawfirm.com</w:t>
        </w:r>
      </w:hyperlink>
      <w:r>
        <w:rPr>
          <w:rFonts w:cs="Times New Roman"/>
          <w:szCs w:val="24"/>
        </w:rPr>
        <w:t xml:space="preserve"> </w:t>
      </w:r>
    </w:p>
    <w:p w14:paraId="2E289434" w14:textId="719663CA" w:rsidR="006803F5" w:rsidRDefault="006803F5" w:rsidP="00027D54">
      <w:pPr>
        <w:spacing w:line="240" w:lineRule="auto"/>
        <w:ind w:firstLine="0"/>
        <w:rPr>
          <w:rFonts w:cs="Times New Roman"/>
          <w:szCs w:val="24"/>
        </w:rPr>
      </w:pPr>
      <w:hyperlink r:id="rId45" w:history="1">
        <w:r w:rsidRPr="00C21BC7">
          <w:rPr>
            <w:rStyle w:val="Hyperlink"/>
            <w:rFonts w:cs="Times New Roman"/>
            <w:szCs w:val="24"/>
          </w:rPr>
          <w:t>John.jones@ohioattorneygeneral.gov</w:t>
        </w:r>
      </w:hyperlink>
      <w:r>
        <w:rPr>
          <w:rFonts w:cs="Times New Roman"/>
          <w:szCs w:val="24"/>
        </w:rPr>
        <w:t xml:space="preserve"> </w:t>
      </w:r>
    </w:p>
    <w:p w14:paraId="65CA65A8" w14:textId="7B1261F6" w:rsidR="006803F5" w:rsidRDefault="006803F5" w:rsidP="00027D54">
      <w:pPr>
        <w:spacing w:line="240" w:lineRule="auto"/>
        <w:ind w:firstLine="0"/>
        <w:rPr>
          <w:rFonts w:cs="Times New Roman"/>
          <w:szCs w:val="24"/>
        </w:rPr>
      </w:pPr>
      <w:hyperlink r:id="rId46" w:history="1">
        <w:r w:rsidRPr="00C21BC7">
          <w:rPr>
            <w:rStyle w:val="Hyperlink"/>
            <w:rFonts w:cs="Times New Roman"/>
            <w:szCs w:val="24"/>
          </w:rPr>
          <w:t>kboehm@bkllawfirm.com</w:t>
        </w:r>
      </w:hyperlink>
      <w:r>
        <w:rPr>
          <w:rFonts w:cs="Times New Roman"/>
          <w:szCs w:val="24"/>
        </w:rPr>
        <w:t xml:space="preserve"> </w:t>
      </w:r>
    </w:p>
    <w:p w14:paraId="20AADBEA" w14:textId="650D974F" w:rsidR="006803F5" w:rsidRDefault="006803F5" w:rsidP="00027D54">
      <w:pPr>
        <w:spacing w:line="240" w:lineRule="auto"/>
        <w:ind w:firstLine="0"/>
        <w:rPr>
          <w:rFonts w:cs="Times New Roman"/>
          <w:szCs w:val="24"/>
        </w:rPr>
      </w:pPr>
      <w:hyperlink r:id="rId47" w:history="1">
        <w:r w:rsidRPr="00C21BC7">
          <w:rPr>
            <w:rStyle w:val="Hyperlink"/>
            <w:rFonts w:cs="Times New Roman"/>
            <w:szCs w:val="24"/>
          </w:rPr>
          <w:t>Maureen.willis@occ.ohio.gov</w:t>
        </w:r>
      </w:hyperlink>
    </w:p>
    <w:p w14:paraId="4A6F597A" w14:textId="7F76B904" w:rsidR="006803F5" w:rsidRDefault="006803F5" w:rsidP="00027D54">
      <w:pPr>
        <w:spacing w:line="240" w:lineRule="auto"/>
        <w:ind w:firstLine="0"/>
        <w:rPr>
          <w:rFonts w:cs="Times New Roman"/>
          <w:szCs w:val="24"/>
        </w:rPr>
        <w:sectPr w:rsidR="006803F5" w:rsidSect="006803F5">
          <w:type w:val="continuous"/>
          <w:pgSz w:w="12240" w:h="15840"/>
          <w:pgMar w:top="1440" w:right="1440" w:bottom="1440" w:left="1440" w:header="720" w:footer="720" w:gutter="0"/>
          <w:pgNumType w:start="1"/>
          <w:cols w:num="2" w:space="720"/>
          <w:docGrid w:linePitch="360"/>
        </w:sectPr>
      </w:pPr>
      <w:hyperlink r:id="rId48" w:history="1">
        <w:r w:rsidRPr="00C21BC7">
          <w:rPr>
            <w:rStyle w:val="Hyperlink"/>
            <w:rFonts w:cs="Times New Roman"/>
            <w:szCs w:val="24"/>
          </w:rPr>
          <w:t>mkurtz@bkllawfirm.com</w:t>
        </w:r>
      </w:hyperlink>
      <w:r>
        <w:rPr>
          <w:rFonts w:cs="Times New Roman"/>
          <w:szCs w:val="24"/>
        </w:rPr>
        <w:t xml:space="preserve"> </w:t>
      </w:r>
    </w:p>
    <w:p w14:paraId="424C835F" w14:textId="45D890A2" w:rsidR="006803F5" w:rsidRDefault="006803F5" w:rsidP="00027D54">
      <w:pPr>
        <w:spacing w:line="240" w:lineRule="auto"/>
        <w:ind w:firstLine="0"/>
        <w:rPr>
          <w:rFonts w:cs="Times New Roman"/>
          <w:szCs w:val="24"/>
        </w:rPr>
      </w:pPr>
      <w:hyperlink r:id="rId49" w:history="1">
        <w:r w:rsidRPr="00C21BC7">
          <w:rPr>
            <w:rStyle w:val="Hyperlink"/>
            <w:rFonts w:cs="Times New Roman"/>
            <w:szCs w:val="24"/>
          </w:rPr>
          <w:t>mleppla@theoec.org</w:t>
        </w:r>
      </w:hyperlink>
      <w:r>
        <w:rPr>
          <w:rFonts w:cs="Times New Roman"/>
          <w:szCs w:val="24"/>
        </w:rPr>
        <w:t xml:space="preserve"> </w:t>
      </w:r>
      <w:bookmarkStart w:id="0" w:name="_GoBack"/>
      <w:bookmarkEnd w:id="0"/>
    </w:p>
    <w:sectPr w:rsidR="006803F5" w:rsidSect="004A1D0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C48C5" w14:textId="77777777" w:rsidR="0038265C" w:rsidRDefault="0038265C" w:rsidP="00077B56">
      <w:pPr>
        <w:spacing w:line="240" w:lineRule="auto"/>
      </w:pPr>
      <w:r>
        <w:separator/>
      </w:r>
    </w:p>
  </w:endnote>
  <w:endnote w:type="continuationSeparator" w:id="0">
    <w:p w14:paraId="5BA1D812" w14:textId="77777777" w:rsidR="0038265C" w:rsidRDefault="0038265C" w:rsidP="00077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C7A9" w14:textId="4BCF01FE" w:rsidR="00CF0809" w:rsidRPr="00077B56" w:rsidRDefault="00CF0809" w:rsidP="00077B56">
    <w:pPr>
      <w:pStyle w:val="Footer"/>
      <w:jc w:val="center"/>
      <w:rPr>
        <w:rFonts w:cs="Times New Roman"/>
        <w:szCs w:val="24"/>
      </w:rPr>
    </w:pPr>
    <w:r>
      <w:rPr>
        <w:rFonts w:cs="Times New Roman"/>
        <w:szCs w:val="24"/>
      </w:rPr>
      <w:fldChar w:fldCharType="begin"/>
    </w:r>
    <w:r>
      <w:rPr>
        <w:rFonts w:cs="Times New Roman"/>
        <w:szCs w:val="24"/>
      </w:rPr>
      <w:instrText xml:space="preserve"> PAGE  \* Arabic  \* MERGEFORMAT </w:instrText>
    </w:r>
    <w:r>
      <w:rPr>
        <w:rFonts w:cs="Times New Roman"/>
        <w:szCs w:val="24"/>
      </w:rPr>
      <w:fldChar w:fldCharType="separate"/>
    </w:r>
    <w:r w:rsidR="00E6263F">
      <w:rPr>
        <w:rFonts w:cs="Times New Roman"/>
        <w:noProof/>
        <w:szCs w:val="24"/>
      </w:rPr>
      <w:t>1</w:t>
    </w:r>
    <w:r>
      <w:rPr>
        <w:rFonts w:cs="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94A1" w14:textId="77777777" w:rsidR="0038265C" w:rsidRDefault="0038265C" w:rsidP="00077B56">
      <w:pPr>
        <w:spacing w:line="240" w:lineRule="auto"/>
      </w:pPr>
      <w:r>
        <w:separator/>
      </w:r>
    </w:p>
  </w:footnote>
  <w:footnote w:type="continuationSeparator" w:id="0">
    <w:p w14:paraId="615C4C0B" w14:textId="77777777" w:rsidR="0038265C" w:rsidRDefault="0038265C" w:rsidP="00077B56">
      <w:pPr>
        <w:spacing w:line="240" w:lineRule="auto"/>
      </w:pPr>
      <w:r>
        <w:continuationSeparator/>
      </w:r>
    </w:p>
  </w:footnote>
  <w:footnote w:id="1">
    <w:p w14:paraId="7D503714" w14:textId="09ECE29C" w:rsidR="005C3636" w:rsidRDefault="005C3636">
      <w:pPr>
        <w:pStyle w:val="FootnoteText"/>
      </w:pPr>
      <w:r>
        <w:rPr>
          <w:rStyle w:val="FootnoteReference"/>
        </w:rPr>
        <w:footnoteRef/>
      </w:r>
      <w:r>
        <w:t xml:space="preserve"> </w:t>
      </w:r>
      <w:r w:rsidR="0090135C">
        <w:t>D</w:t>
      </w:r>
      <w:r>
        <w:t xml:space="preserve">ecoupling is supposed to compensate utilities from the loss of revenue stemming directly from energy efficiency programs. Thus, it’s highly ironic that the legislation would eliminate </w:t>
      </w:r>
      <w:r w:rsidR="0090135C">
        <w:t>energy efficiency</w:t>
      </w:r>
      <w:r>
        <w:t xml:space="preserve"> and allow decoupling in the same bill.</w:t>
      </w:r>
    </w:p>
  </w:footnote>
  <w:footnote w:id="2">
    <w:p w14:paraId="7CFE5342" w14:textId="170292CE" w:rsidR="00527992" w:rsidRPr="00E11BD8" w:rsidRDefault="00527992" w:rsidP="00E11BD8">
      <w:pPr>
        <w:pStyle w:val="FootnoteText"/>
      </w:pPr>
      <w:r>
        <w:rPr>
          <w:rStyle w:val="FootnoteReference"/>
        </w:rPr>
        <w:footnoteRef/>
      </w:r>
      <w:r>
        <w:t xml:space="preserve"> </w:t>
      </w:r>
      <w:r w:rsidR="00E11BD8">
        <w:t>Even if this were an enforcement action, t</w:t>
      </w:r>
      <w:r>
        <w:t xml:space="preserve">he </w:t>
      </w:r>
      <w:r w:rsidR="00E11BD8">
        <w:t xml:space="preserve">First Amendment’s protections are also not nearly as broad as the FirstEnergy utilities would have this Commission believe. For example, direct regulation of communication—which is not even at issue here—is permitted to protect against false, deceptive, and misleading statements or other violations of law. </w:t>
      </w:r>
      <w:r w:rsidR="00E11BD8">
        <w:rPr>
          <w:i/>
        </w:rPr>
        <w:t>See, e.g.</w:t>
      </w:r>
      <w:r w:rsidR="00E11BD8">
        <w:t xml:space="preserve">, </w:t>
      </w:r>
      <w:r w:rsidR="00E11BD8">
        <w:rPr>
          <w:i/>
        </w:rPr>
        <w:t>Ohralik v. Ohio State Bar Ass’n</w:t>
      </w:r>
      <w:r w:rsidR="00E11BD8">
        <w:t xml:space="preserve">, 436 U.S. 447, 456 (1978); </w:t>
      </w:r>
      <w:r w:rsidR="00E11BD8">
        <w:rPr>
          <w:i/>
        </w:rPr>
        <w:t>Sec. &amp; Exchange Comm’n v. Wall Street Publishing Inst.</w:t>
      </w:r>
      <w:r w:rsidR="00E11BD8">
        <w:t xml:space="preserve">, 851 F.2d 361, 376 (D.C. Cir. 1988). </w:t>
      </w:r>
    </w:p>
  </w:footnote>
  <w:footnote w:id="3">
    <w:p w14:paraId="52AD803F" w14:textId="6EBA37DF" w:rsidR="008F3EF7" w:rsidRPr="008F3EF7" w:rsidRDefault="008F3EF7">
      <w:pPr>
        <w:pStyle w:val="FootnoteText"/>
      </w:pPr>
      <w:r>
        <w:rPr>
          <w:rStyle w:val="FootnoteReference"/>
        </w:rPr>
        <w:footnoteRef/>
      </w:r>
      <w:r>
        <w:t xml:space="preserve"> </w:t>
      </w:r>
      <w:r>
        <w:rPr>
          <w:i/>
        </w:rPr>
        <w:t xml:space="preserve">See </w:t>
      </w:r>
      <w:r>
        <w:t xml:space="preserve">Jim Mackinnon, </w:t>
      </w:r>
      <w:r>
        <w:rPr>
          <w:i/>
        </w:rPr>
        <w:t>Federal Lawsuit Shows SEC Investigating FirstEnergy</w:t>
      </w:r>
      <w:r>
        <w:t xml:space="preserve">, </w:t>
      </w:r>
      <w:r w:rsidRPr="008F3EF7">
        <w:rPr>
          <w:smallCaps/>
        </w:rPr>
        <w:t>Columbus Dispatch</w:t>
      </w:r>
      <w:r>
        <w:t xml:space="preserve"> (Sept. 16, 2020), </w:t>
      </w:r>
      <w:hyperlink r:id="rId1" w:history="1">
        <w:r w:rsidRPr="005B7224">
          <w:rPr>
            <w:rStyle w:val="Hyperlink"/>
          </w:rPr>
          <w:t>https://www.dispatch.com/story/business/energy-resource/2020/09/16/federal-lawsuit-shows-sec-investigating-firstenergy/42632893/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C72CB3F" w14:paraId="6A8B7382" w14:textId="77777777" w:rsidTr="00670041">
      <w:tc>
        <w:tcPr>
          <w:tcW w:w="3120" w:type="dxa"/>
        </w:tcPr>
        <w:p w14:paraId="23F69B3F" w14:textId="6F135444" w:rsidR="0C72CB3F" w:rsidRDefault="0C72CB3F" w:rsidP="00670041"/>
      </w:tc>
      <w:tc>
        <w:tcPr>
          <w:tcW w:w="3120" w:type="dxa"/>
        </w:tcPr>
        <w:p w14:paraId="00FF7E56" w14:textId="1CD6A1B1" w:rsidR="0C72CB3F" w:rsidRDefault="0C72CB3F" w:rsidP="00670041"/>
      </w:tc>
      <w:tc>
        <w:tcPr>
          <w:tcW w:w="3120" w:type="dxa"/>
        </w:tcPr>
        <w:p w14:paraId="4948DD5F" w14:textId="1C09B85F" w:rsidR="0C72CB3F" w:rsidRDefault="0C72CB3F" w:rsidP="00670041"/>
      </w:tc>
    </w:tr>
  </w:tbl>
  <w:p w14:paraId="1E9CC2AA" w14:textId="68BF9C41" w:rsidR="0C72CB3F" w:rsidRDefault="0C72CB3F" w:rsidP="00670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C72CB3F" w14:paraId="1A3B0E9A" w14:textId="77777777" w:rsidTr="00670041">
      <w:tc>
        <w:tcPr>
          <w:tcW w:w="3120" w:type="dxa"/>
        </w:tcPr>
        <w:p w14:paraId="6E6BE794" w14:textId="169142C6" w:rsidR="0C72CB3F" w:rsidRDefault="0C72CB3F" w:rsidP="00670041"/>
      </w:tc>
      <w:tc>
        <w:tcPr>
          <w:tcW w:w="3120" w:type="dxa"/>
        </w:tcPr>
        <w:p w14:paraId="4BFD7C19" w14:textId="59957E96" w:rsidR="0C72CB3F" w:rsidRDefault="0C72CB3F" w:rsidP="00670041"/>
      </w:tc>
      <w:tc>
        <w:tcPr>
          <w:tcW w:w="3120" w:type="dxa"/>
        </w:tcPr>
        <w:p w14:paraId="0FB57925" w14:textId="066C109C" w:rsidR="0C72CB3F" w:rsidRDefault="0C72CB3F" w:rsidP="00670041"/>
      </w:tc>
    </w:tr>
  </w:tbl>
  <w:p w14:paraId="50944248" w14:textId="195E7C7A" w:rsidR="0C72CB3F" w:rsidRDefault="0C72CB3F" w:rsidP="00670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00D"/>
    <w:multiLevelType w:val="hybridMultilevel"/>
    <w:tmpl w:val="9BA472D2"/>
    <w:lvl w:ilvl="0" w:tplc="618214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371CD9"/>
    <w:multiLevelType w:val="hybridMultilevel"/>
    <w:tmpl w:val="E8F8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10B6"/>
    <w:multiLevelType w:val="hybridMultilevel"/>
    <w:tmpl w:val="B806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954964"/>
    <w:multiLevelType w:val="hybridMultilevel"/>
    <w:tmpl w:val="6F4C3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594045"/>
    <w:multiLevelType w:val="hybridMultilevel"/>
    <w:tmpl w:val="3138A5D4"/>
    <w:lvl w:ilvl="0" w:tplc="5C70AEF2">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C418C"/>
    <w:multiLevelType w:val="hybridMultilevel"/>
    <w:tmpl w:val="4D1ED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F3201"/>
    <w:multiLevelType w:val="hybridMultilevel"/>
    <w:tmpl w:val="414EB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D72FE0"/>
    <w:multiLevelType w:val="hybridMultilevel"/>
    <w:tmpl w:val="AB848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9B0069"/>
    <w:multiLevelType w:val="hybridMultilevel"/>
    <w:tmpl w:val="D7149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702404"/>
    <w:multiLevelType w:val="hybridMultilevel"/>
    <w:tmpl w:val="47D2CE16"/>
    <w:lvl w:ilvl="0" w:tplc="A92A21BA">
      <w:start w:val="1"/>
      <w:numFmt w:val="decimal"/>
      <w:pStyle w:val="Heading3"/>
      <w:lvlText w:val="%1."/>
      <w:lvlJc w:val="left"/>
      <w:pPr>
        <w:ind w:left="252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181CE7"/>
    <w:multiLevelType w:val="hybridMultilevel"/>
    <w:tmpl w:val="412213EE"/>
    <w:lvl w:ilvl="0" w:tplc="909E936C">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65417"/>
    <w:multiLevelType w:val="hybridMultilevel"/>
    <w:tmpl w:val="67D6D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5A452E"/>
    <w:multiLevelType w:val="hybridMultilevel"/>
    <w:tmpl w:val="7D58F932"/>
    <w:lvl w:ilvl="0" w:tplc="811CA44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5241F"/>
    <w:multiLevelType w:val="hybridMultilevel"/>
    <w:tmpl w:val="0B922FC0"/>
    <w:lvl w:ilvl="0" w:tplc="01FA5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0"/>
  </w:num>
  <w:num w:numId="4">
    <w:abstractNumId w:val="0"/>
  </w:num>
  <w:num w:numId="5">
    <w:abstractNumId w:val="12"/>
  </w:num>
  <w:num w:numId="6">
    <w:abstractNumId w:val="9"/>
  </w:num>
  <w:num w:numId="7">
    <w:abstractNumId w:val="9"/>
    <w:lvlOverride w:ilvl="0">
      <w:startOverride w:val="1"/>
    </w:lvlOverride>
  </w:num>
  <w:num w:numId="8">
    <w:abstractNumId w:val="9"/>
    <w:lvlOverride w:ilvl="0">
      <w:startOverride w:val="1"/>
    </w:lvlOverride>
  </w:num>
  <w:num w:numId="9">
    <w:abstractNumId w:val="6"/>
  </w:num>
  <w:num w:numId="10">
    <w:abstractNumId w:val="2"/>
  </w:num>
  <w:num w:numId="11">
    <w:abstractNumId w:val="8"/>
  </w:num>
  <w:num w:numId="12">
    <w:abstractNumId w:val="13"/>
  </w:num>
  <w:num w:numId="13">
    <w:abstractNumId w:val="4"/>
  </w:num>
  <w:num w:numId="14">
    <w:abstractNumId w:val="7"/>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tzQ3MjA3NzW3sDRW0lEKTi0uzszPAykwqgUAK9MooSwAAAA="/>
  </w:docVars>
  <w:rsids>
    <w:rsidRoot w:val="00182C76"/>
    <w:rsid w:val="00002C4E"/>
    <w:rsid w:val="00004242"/>
    <w:rsid w:val="000070A9"/>
    <w:rsid w:val="000105A5"/>
    <w:rsid w:val="00022C15"/>
    <w:rsid w:val="0002362A"/>
    <w:rsid w:val="00025F70"/>
    <w:rsid w:val="000263BB"/>
    <w:rsid w:val="00027D54"/>
    <w:rsid w:val="00032BEC"/>
    <w:rsid w:val="00034825"/>
    <w:rsid w:val="000349FD"/>
    <w:rsid w:val="000355FE"/>
    <w:rsid w:val="00042995"/>
    <w:rsid w:val="0004401E"/>
    <w:rsid w:val="00050D35"/>
    <w:rsid w:val="00051AD9"/>
    <w:rsid w:val="000543CD"/>
    <w:rsid w:val="00054850"/>
    <w:rsid w:val="00054876"/>
    <w:rsid w:val="00067C39"/>
    <w:rsid w:val="00077B56"/>
    <w:rsid w:val="00080BA4"/>
    <w:rsid w:val="000847D4"/>
    <w:rsid w:val="0009098C"/>
    <w:rsid w:val="00093267"/>
    <w:rsid w:val="000A2F77"/>
    <w:rsid w:val="000B34B0"/>
    <w:rsid w:val="000B704F"/>
    <w:rsid w:val="000B79F8"/>
    <w:rsid w:val="000C275D"/>
    <w:rsid w:val="000C2FE4"/>
    <w:rsid w:val="000D24DF"/>
    <w:rsid w:val="000D4163"/>
    <w:rsid w:val="000D5A71"/>
    <w:rsid w:val="000E6889"/>
    <w:rsid w:val="000F6043"/>
    <w:rsid w:val="000F761A"/>
    <w:rsid w:val="00101D6D"/>
    <w:rsid w:val="00101FF9"/>
    <w:rsid w:val="00102072"/>
    <w:rsid w:val="00102E1F"/>
    <w:rsid w:val="00103E59"/>
    <w:rsid w:val="001068CA"/>
    <w:rsid w:val="001126BF"/>
    <w:rsid w:val="001157ED"/>
    <w:rsid w:val="0011647E"/>
    <w:rsid w:val="00121049"/>
    <w:rsid w:val="00122661"/>
    <w:rsid w:val="001266E6"/>
    <w:rsid w:val="00130AD4"/>
    <w:rsid w:val="00140B38"/>
    <w:rsid w:val="00141F7D"/>
    <w:rsid w:val="0014646E"/>
    <w:rsid w:val="0016458E"/>
    <w:rsid w:val="001660C5"/>
    <w:rsid w:val="001725EA"/>
    <w:rsid w:val="00175403"/>
    <w:rsid w:val="00182976"/>
    <w:rsid w:val="00182C76"/>
    <w:rsid w:val="001A3192"/>
    <w:rsid w:val="001A3642"/>
    <w:rsid w:val="001B6A11"/>
    <w:rsid w:val="001B7661"/>
    <w:rsid w:val="001C33B1"/>
    <w:rsid w:val="001C6449"/>
    <w:rsid w:val="001D37A6"/>
    <w:rsid w:val="001D4C48"/>
    <w:rsid w:val="001E2411"/>
    <w:rsid w:val="001E600E"/>
    <w:rsid w:val="001F31DC"/>
    <w:rsid w:val="001F4641"/>
    <w:rsid w:val="001F6EBB"/>
    <w:rsid w:val="00201F9B"/>
    <w:rsid w:val="00201FC1"/>
    <w:rsid w:val="00212792"/>
    <w:rsid w:val="002135F9"/>
    <w:rsid w:val="00215DDF"/>
    <w:rsid w:val="002161AC"/>
    <w:rsid w:val="00216910"/>
    <w:rsid w:val="00225CAE"/>
    <w:rsid w:val="002276B4"/>
    <w:rsid w:val="00233885"/>
    <w:rsid w:val="00233BCE"/>
    <w:rsid w:val="002362B1"/>
    <w:rsid w:val="002369CA"/>
    <w:rsid w:val="002372D0"/>
    <w:rsid w:val="00240BF3"/>
    <w:rsid w:val="00242264"/>
    <w:rsid w:val="002455F8"/>
    <w:rsid w:val="00247E31"/>
    <w:rsid w:val="00251E23"/>
    <w:rsid w:val="00251FE3"/>
    <w:rsid w:val="00252D0C"/>
    <w:rsid w:val="00253DCA"/>
    <w:rsid w:val="00257B5E"/>
    <w:rsid w:val="0026287D"/>
    <w:rsid w:val="00265801"/>
    <w:rsid w:val="002713F1"/>
    <w:rsid w:val="00272E6E"/>
    <w:rsid w:val="002744ED"/>
    <w:rsid w:val="00276240"/>
    <w:rsid w:val="002771B0"/>
    <w:rsid w:val="002774C6"/>
    <w:rsid w:val="0028166D"/>
    <w:rsid w:val="00281777"/>
    <w:rsid w:val="00281FCE"/>
    <w:rsid w:val="00290468"/>
    <w:rsid w:val="002914B7"/>
    <w:rsid w:val="00293DFA"/>
    <w:rsid w:val="00295BFF"/>
    <w:rsid w:val="00297FA9"/>
    <w:rsid w:val="002A04FB"/>
    <w:rsid w:val="002A2A14"/>
    <w:rsid w:val="002A4E02"/>
    <w:rsid w:val="002A76FF"/>
    <w:rsid w:val="002A77E8"/>
    <w:rsid w:val="002A7D98"/>
    <w:rsid w:val="002B050A"/>
    <w:rsid w:val="002B060C"/>
    <w:rsid w:val="002C2083"/>
    <w:rsid w:val="002D4607"/>
    <w:rsid w:val="002D652B"/>
    <w:rsid w:val="002D6E21"/>
    <w:rsid w:val="002E1DA8"/>
    <w:rsid w:val="0030167B"/>
    <w:rsid w:val="0030437F"/>
    <w:rsid w:val="00304D86"/>
    <w:rsid w:val="003067DE"/>
    <w:rsid w:val="00310398"/>
    <w:rsid w:val="003114B8"/>
    <w:rsid w:val="00311850"/>
    <w:rsid w:val="003122D6"/>
    <w:rsid w:val="00316D15"/>
    <w:rsid w:val="00317CA7"/>
    <w:rsid w:val="0032006F"/>
    <w:rsid w:val="003214A9"/>
    <w:rsid w:val="003229EA"/>
    <w:rsid w:val="00323B66"/>
    <w:rsid w:val="003242C1"/>
    <w:rsid w:val="00324851"/>
    <w:rsid w:val="00324912"/>
    <w:rsid w:val="003308D6"/>
    <w:rsid w:val="00354C25"/>
    <w:rsid w:val="00363F6D"/>
    <w:rsid w:val="00367FBC"/>
    <w:rsid w:val="00372371"/>
    <w:rsid w:val="003746A0"/>
    <w:rsid w:val="00374BF3"/>
    <w:rsid w:val="0038177A"/>
    <w:rsid w:val="0038265C"/>
    <w:rsid w:val="00384F5E"/>
    <w:rsid w:val="00391CC1"/>
    <w:rsid w:val="003968BB"/>
    <w:rsid w:val="003A2DF2"/>
    <w:rsid w:val="003A3FE6"/>
    <w:rsid w:val="003A4483"/>
    <w:rsid w:val="003A6DFA"/>
    <w:rsid w:val="003B76ED"/>
    <w:rsid w:val="003C096D"/>
    <w:rsid w:val="003C0B30"/>
    <w:rsid w:val="003C27BB"/>
    <w:rsid w:val="003D2FAE"/>
    <w:rsid w:val="003D46F8"/>
    <w:rsid w:val="003D4D71"/>
    <w:rsid w:val="003D526E"/>
    <w:rsid w:val="003D5A04"/>
    <w:rsid w:val="003E0A31"/>
    <w:rsid w:val="003E3C08"/>
    <w:rsid w:val="003E4A17"/>
    <w:rsid w:val="003E69CA"/>
    <w:rsid w:val="003E6F96"/>
    <w:rsid w:val="003F7AF7"/>
    <w:rsid w:val="00401888"/>
    <w:rsid w:val="00405EC1"/>
    <w:rsid w:val="00416C88"/>
    <w:rsid w:val="00423DF6"/>
    <w:rsid w:val="00444F8A"/>
    <w:rsid w:val="0044667C"/>
    <w:rsid w:val="00446B86"/>
    <w:rsid w:val="004475B2"/>
    <w:rsid w:val="00454E37"/>
    <w:rsid w:val="004552B9"/>
    <w:rsid w:val="00455CE0"/>
    <w:rsid w:val="004569F3"/>
    <w:rsid w:val="00457328"/>
    <w:rsid w:val="004631BA"/>
    <w:rsid w:val="0046471A"/>
    <w:rsid w:val="00466A2E"/>
    <w:rsid w:val="004671A0"/>
    <w:rsid w:val="00467647"/>
    <w:rsid w:val="0047302D"/>
    <w:rsid w:val="004756BA"/>
    <w:rsid w:val="00476F80"/>
    <w:rsid w:val="00477338"/>
    <w:rsid w:val="004820B9"/>
    <w:rsid w:val="00484175"/>
    <w:rsid w:val="004845A2"/>
    <w:rsid w:val="00485B8F"/>
    <w:rsid w:val="004864B0"/>
    <w:rsid w:val="0048710F"/>
    <w:rsid w:val="004875B5"/>
    <w:rsid w:val="004917B0"/>
    <w:rsid w:val="004A1D05"/>
    <w:rsid w:val="004B11CA"/>
    <w:rsid w:val="004B61A4"/>
    <w:rsid w:val="004B65DA"/>
    <w:rsid w:val="004B74A4"/>
    <w:rsid w:val="004C57CF"/>
    <w:rsid w:val="004C6030"/>
    <w:rsid w:val="004D31E8"/>
    <w:rsid w:val="004D66A5"/>
    <w:rsid w:val="004D7969"/>
    <w:rsid w:val="004E2D98"/>
    <w:rsid w:val="004E334F"/>
    <w:rsid w:val="004F4F3F"/>
    <w:rsid w:val="00501572"/>
    <w:rsid w:val="00501A42"/>
    <w:rsid w:val="0050464D"/>
    <w:rsid w:val="005205C8"/>
    <w:rsid w:val="00525B84"/>
    <w:rsid w:val="00527992"/>
    <w:rsid w:val="00532F94"/>
    <w:rsid w:val="00541AF7"/>
    <w:rsid w:val="005454DA"/>
    <w:rsid w:val="00546B72"/>
    <w:rsid w:val="005522CB"/>
    <w:rsid w:val="00563DD7"/>
    <w:rsid w:val="00564086"/>
    <w:rsid w:val="00565309"/>
    <w:rsid w:val="00581195"/>
    <w:rsid w:val="005819C1"/>
    <w:rsid w:val="00581C50"/>
    <w:rsid w:val="00581CF1"/>
    <w:rsid w:val="0058344C"/>
    <w:rsid w:val="00591832"/>
    <w:rsid w:val="005A1836"/>
    <w:rsid w:val="005A2ED8"/>
    <w:rsid w:val="005A31EC"/>
    <w:rsid w:val="005A4FAB"/>
    <w:rsid w:val="005B100E"/>
    <w:rsid w:val="005B2596"/>
    <w:rsid w:val="005B46BA"/>
    <w:rsid w:val="005B77FA"/>
    <w:rsid w:val="005B7FAD"/>
    <w:rsid w:val="005C0868"/>
    <w:rsid w:val="005C3636"/>
    <w:rsid w:val="005C52A4"/>
    <w:rsid w:val="005F1965"/>
    <w:rsid w:val="005F378D"/>
    <w:rsid w:val="005F62FB"/>
    <w:rsid w:val="00614A82"/>
    <w:rsid w:val="00614C77"/>
    <w:rsid w:val="00615A2E"/>
    <w:rsid w:val="0062659A"/>
    <w:rsid w:val="00632017"/>
    <w:rsid w:val="00634B6F"/>
    <w:rsid w:val="006370E8"/>
    <w:rsid w:val="00642980"/>
    <w:rsid w:val="00643E10"/>
    <w:rsid w:val="00650D11"/>
    <w:rsid w:val="0065312F"/>
    <w:rsid w:val="0065500E"/>
    <w:rsid w:val="006606B7"/>
    <w:rsid w:val="00663769"/>
    <w:rsid w:val="006662D3"/>
    <w:rsid w:val="00670041"/>
    <w:rsid w:val="00672E96"/>
    <w:rsid w:val="006803F5"/>
    <w:rsid w:val="00680731"/>
    <w:rsid w:val="00681D51"/>
    <w:rsid w:val="006834EB"/>
    <w:rsid w:val="00693980"/>
    <w:rsid w:val="00694C01"/>
    <w:rsid w:val="006957F0"/>
    <w:rsid w:val="00696485"/>
    <w:rsid w:val="0069657E"/>
    <w:rsid w:val="006A10CF"/>
    <w:rsid w:val="006A275B"/>
    <w:rsid w:val="006B26A8"/>
    <w:rsid w:val="006B3BC9"/>
    <w:rsid w:val="006C00E4"/>
    <w:rsid w:val="006D1CD0"/>
    <w:rsid w:val="006E0179"/>
    <w:rsid w:val="006E1E28"/>
    <w:rsid w:val="006E45FE"/>
    <w:rsid w:val="006F70EA"/>
    <w:rsid w:val="00705299"/>
    <w:rsid w:val="00705F2A"/>
    <w:rsid w:val="00706179"/>
    <w:rsid w:val="00707B13"/>
    <w:rsid w:val="00713BF5"/>
    <w:rsid w:val="00715721"/>
    <w:rsid w:val="00720E4D"/>
    <w:rsid w:val="00733676"/>
    <w:rsid w:val="00740B90"/>
    <w:rsid w:val="00745136"/>
    <w:rsid w:val="00746003"/>
    <w:rsid w:val="00755D1F"/>
    <w:rsid w:val="00757206"/>
    <w:rsid w:val="00766ABB"/>
    <w:rsid w:val="00767624"/>
    <w:rsid w:val="007721A4"/>
    <w:rsid w:val="0077437D"/>
    <w:rsid w:val="00792098"/>
    <w:rsid w:val="007A11C7"/>
    <w:rsid w:val="007A1921"/>
    <w:rsid w:val="007A46D7"/>
    <w:rsid w:val="007A7AE8"/>
    <w:rsid w:val="007B08E9"/>
    <w:rsid w:val="007B3D27"/>
    <w:rsid w:val="007B5D93"/>
    <w:rsid w:val="007B6103"/>
    <w:rsid w:val="007C1DEF"/>
    <w:rsid w:val="007C6101"/>
    <w:rsid w:val="007C652F"/>
    <w:rsid w:val="007D3369"/>
    <w:rsid w:val="007E0092"/>
    <w:rsid w:val="007E3148"/>
    <w:rsid w:val="007E3509"/>
    <w:rsid w:val="007E7557"/>
    <w:rsid w:val="007F1FB2"/>
    <w:rsid w:val="007F20BE"/>
    <w:rsid w:val="007F7365"/>
    <w:rsid w:val="007F7A76"/>
    <w:rsid w:val="00802B52"/>
    <w:rsid w:val="00823955"/>
    <w:rsid w:val="00827779"/>
    <w:rsid w:val="00831B84"/>
    <w:rsid w:val="00834E47"/>
    <w:rsid w:val="008418B4"/>
    <w:rsid w:val="00855843"/>
    <w:rsid w:val="00855A57"/>
    <w:rsid w:val="00855F0E"/>
    <w:rsid w:val="008579DA"/>
    <w:rsid w:val="0086286B"/>
    <w:rsid w:val="00863BD2"/>
    <w:rsid w:val="008661D5"/>
    <w:rsid w:val="00870668"/>
    <w:rsid w:val="008718C6"/>
    <w:rsid w:val="00872B06"/>
    <w:rsid w:val="008751DF"/>
    <w:rsid w:val="00880F8C"/>
    <w:rsid w:val="0088219A"/>
    <w:rsid w:val="0089053C"/>
    <w:rsid w:val="00891F73"/>
    <w:rsid w:val="00892EC5"/>
    <w:rsid w:val="008978E9"/>
    <w:rsid w:val="008A0145"/>
    <w:rsid w:val="008B4F2B"/>
    <w:rsid w:val="008C080D"/>
    <w:rsid w:val="008C5BB3"/>
    <w:rsid w:val="008D06CF"/>
    <w:rsid w:val="008D61AD"/>
    <w:rsid w:val="008D7354"/>
    <w:rsid w:val="008E602A"/>
    <w:rsid w:val="008F3EF7"/>
    <w:rsid w:val="008F7DEC"/>
    <w:rsid w:val="008F7F21"/>
    <w:rsid w:val="0090135C"/>
    <w:rsid w:val="009022FC"/>
    <w:rsid w:val="00905F03"/>
    <w:rsid w:val="009071F2"/>
    <w:rsid w:val="00913BD8"/>
    <w:rsid w:val="00914022"/>
    <w:rsid w:val="00915971"/>
    <w:rsid w:val="00916BC4"/>
    <w:rsid w:val="00917A6A"/>
    <w:rsid w:val="00920F0F"/>
    <w:rsid w:val="00932241"/>
    <w:rsid w:val="009335CF"/>
    <w:rsid w:val="009339E3"/>
    <w:rsid w:val="00936EA1"/>
    <w:rsid w:val="009401D9"/>
    <w:rsid w:val="00942279"/>
    <w:rsid w:val="00944817"/>
    <w:rsid w:val="00944F38"/>
    <w:rsid w:val="009644E2"/>
    <w:rsid w:val="00971C4A"/>
    <w:rsid w:val="009720A7"/>
    <w:rsid w:val="00977D55"/>
    <w:rsid w:val="00980EFC"/>
    <w:rsid w:val="00986F83"/>
    <w:rsid w:val="009A2550"/>
    <w:rsid w:val="009B08A8"/>
    <w:rsid w:val="009B51C7"/>
    <w:rsid w:val="009C187D"/>
    <w:rsid w:val="009C67E6"/>
    <w:rsid w:val="009E300A"/>
    <w:rsid w:val="009E7C6F"/>
    <w:rsid w:val="009F5937"/>
    <w:rsid w:val="009F68CE"/>
    <w:rsid w:val="009F7CA1"/>
    <w:rsid w:val="00A113C9"/>
    <w:rsid w:val="00A17780"/>
    <w:rsid w:val="00A31AD5"/>
    <w:rsid w:val="00A32A86"/>
    <w:rsid w:val="00A33EF8"/>
    <w:rsid w:val="00A40806"/>
    <w:rsid w:val="00A444CC"/>
    <w:rsid w:val="00A47572"/>
    <w:rsid w:val="00A53156"/>
    <w:rsid w:val="00A60AD1"/>
    <w:rsid w:val="00A6216D"/>
    <w:rsid w:val="00A667D4"/>
    <w:rsid w:val="00A73D52"/>
    <w:rsid w:val="00A81CB6"/>
    <w:rsid w:val="00A81CF0"/>
    <w:rsid w:val="00A830AC"/>
    <w:rsid w:val="00A8755D"/>
    <w:rsid w:val="00A87EEF"/>
    <w:rsid w:val="00A928E0"/>
    <w:rsid w:val="00AA40A2"/>
    <w:rsid w:val="00AA577C"/>
    <w:rsid w:val="00AA7A1A"/>
    <w:rsid w:val="00AB5E7D"/>
    <w:rsid w:val="00AC1CF4"/>
    <w:rsid w:val="00AC367C"/>
    <w:rsid w:val="00AC47C1"/>
    <w:rsid w:val="00AD1581"/>
    <w:rsid w:val="00AD2A31"/>
    <w:rsid w:val="00AD3D2A"/>
    <w:rsid w:val="00AE072A"/>
    <w:rsid w:val="00AE11E2"/>
    <w:rsid w:val="00AE23C1"/>
    <w:rsid w:val="00AE6104"/>
    <w:rsid w:val="00AF2D18"/>
    <w:rsid w:val="00AF3D71"/>
    <w:rsid w:val="00AF51C8"/>
    <w:rsid w:val="00AF5461"/>
    <w:rsid w:val="00B027E1"/>
    <w:rsid w:val="00B07B7D"/>
    <w:rsid w:val="00B10B6E"/>
    <w:rsid w:val="00B146B8"/>
    <w:rsid w:val="00B33729"/>
    <w:rsid w:val="00B33F2D"/>
    <w:rsid w:val="00B34ACA"/>
    <w:rsid w:val="00B376F9"/>
    <w:rsid w:val="00B43F35"/>
    <w:rsid w:val="00B55643"/>
    <w:rsid w:val="00B55779"/>
    <w:rsid w:val="00B63AA5"/>
    <w:rsid w:val="00B66260"/>
    <w:rsid w:val="00B70BF8"/>
    <w:rsid w:val="00B7388A"/>
    <w:rsid w:val="00B80162"/>
    <w:rsid w:val="00B805A3"/>
    <w:rsid w:val="00B81916"/>
    <w:rsid w:val="00B822CB"/>
    <w:rsid w:val="00B82D16"/>
    <w:rsid w:val="00B901BE"/>
    <w:rsid w:val="00B9233C"/>
    <w:rsid w:val="00B966FA"/>
    <w:rsid w:val="00B9700E"/>
    <w:rsid w:val="00BA07C9"/>
    <w:rsid w:val="00BA2171"/>
    <w:rsid w:val="00BA6B9C"/>
    <w:rsid w:val="00BB2D29"/>
    <w:rsid w:val="00BB349B"/>
    <w:rsid w:val="00BB36A9"/>
    <w:rsid w:val="00BC086D"/>
    <w:rsid w:val="00BC3A47"/>
    <w:rsid w:val="00BC62E5"/>
    <w:rsid w:val="00BD6EEA"/>
    <w:rsid w:val="00BE5954"/>
    <w:rsid w:val="00BE74A2"/>
    <w:rsid w:val="00BF53CC"/>
    <w:rsid w:val="00BF5744"/>
    <w:rsid w:val="00BF5E48"/>
    <w:rsid w:val="00C04A2E"/>
    <w:rsid w:val="00C12574"/>
    <w:rsid w:val="00C14B48"/>
    <w:rsid w:val="00C26814"/>
    <w:rsid w:val="00C343E9"/>
    <w:rsid w:val="00C45121"/>
    <w:rsid w:val="00C463D7"/>
    <w:rsid w:val="00C46453"/>
    <w:rsid w:val="00C51AB6"/>
    <w:rsid w:val="00C53D1F"/>
    <w:rsid w:val="00C5411D"/>
    <w:rsid w:val="00C63905"/>
    <w:rsid w:val="00C64490"/>
    <w:rsid w:val="00C7122A"/>
    <w:rsid w:val="00C734EC"/>
    <w:rsid w:val="00C76A9D"/>
    <w:rsid w:val="00C968E0"/>
    <w:rsid w:val="00CA18ED"/>
    <w:rsid w:val="00CA395D"/>
    <w:rsid w:val="00CB176B"/>
    <w:rsid w:val="00CC376D"/>
    <w:rsid w:val="00CC37BA"/>
    <w:rsid w:val="00CC3A29"/>
    <w:rsid w:val="00CC47F7"/>
    <w:rsid w:val="00CD7F9C"/>
    <w:rsid w:val="00CE0A02"/>
    <w:rsid w:val="00CE19C9"/>
    <w:rsid w:val="00CE3642"/>
    <w:rsid w:val="00CE3A3F"/>
    <w:rsid w:val="00CE65B0"/>
    <w:rsid w:val="00CE65D9"/>
    <w:rsid w:val="00CE761C"/>
    <w:rsid w:val="00CF03F9"/>
    <w:rsid w:val="00CF0809"/>
    <w:rsid w:val="00CF2136"/>
    <w:rsid w:val="00CF76D2"/>
    <w:rsid w:val="00D03C86"/>
    <w:rsid w:val="00D0420C"/>
    <w:rsid w:val="00D05E77"/>
    <w:rsid w:val="00D0605E"/>
    <w:rsid w:val="00D10949"/>
    <w:rsid w:val="00D115AF"/>
    <w:rsid w:val="00D11ABC"/>
    <w:rsid w:val="00D2232E"/>
    <w:rsid w:val="00D24A6D"/>
    <w:rsid w:val="00D256C9"/>
    <w:rsid w:val="00D25DD3"/>
    <w:rsid w:val="00D267FE"/>
    <w:rsid w:val="00D27EE5"/>
    <w:rsid w:val="00D3407C"/>
    <w:rsid w:val="00D37A58"/>
    <w:rsid w:val="00D430AE"/>
    <w:rsid w:val="00D45DDA"/>
    <w:rsid w:val="00D55E60"/>
    <w:rsid w:val="00D6003B"/>
    <w:rsid w:val="00D65215"/>
    <w:rsid w:val="00D67E69"/>
    <w:rsid w:val="00D718CA"/>
    <w:rsid w:val="00D71A2D"/>
    <w:rsid w:val="00D77948"/>
    <w:rsid w:val="00D81773"/>
    <w:rsid w:val="00D829AC"/>
    <w:rsid w:val="00D82F76"/>
    <w:rsid w:val="00D87061"/>
    <w:rsid w:val="00DA10CC"/>
    <w:rsid w:val="00DA2A9E"/>
    <w:rsid w:val="00DA7667"/>
    <w:rsid w:val="00DB0B09"/>
    <w:rsid w:val="00DB2395"/>
    <w:rsid w:val="00DB63B1"/>
    <w:rsid w:val="00DC183B"/>
    <w:rsid w:val="00DC5908"/>
    <w:rsid w:val="00DC5D00"/>
    <w:rsid w:val="00DD147A"/>
    <w:rsid w:val="00DD2CB7"/>
    <w:rsid w:val="00DD3D23"/>
    <w:rsid w:val="00DE2977"/>
    <w:rsid w:val="00DE2FF1"/>
    <w:rsid w:val="00DE7658"/>
    <w:rsid w:val="00DF3B31"/>
    <w:rsid w:val="00DF4FA8"/>
    <w:rsid w:val="00E0731F"/>
    <w:rsid w:val="00E116E7"/>
    <w:rsid w:val="00E11BD8"/>
    <w:rsid w:val="00E1352A"/>
    <w:rsid w:val="00E15FFC"/>
    <w:rsid w:val="00E163C3"/>
    <w:rsid w:val="00E166AC"/>
    <w:rsid w:val="00E20246"/>
    <w:rsid w:val="00E6263F"/>
    <w:rsid w:val="00E638F4"/>
    <w:rsid w:val="00E70E67"/>
    <w:rsid w:val="00E71720"/>
    <w:rsid w:val="00E825A2"/>
    <w:rsid w:val="00E8351F"/>
    <w:rsid w:val="00E84491"/>
    <w:rsid w:val="00E860AC"/>
    <w:rsid w:val="00E90269"/>
    <w:rsid w:val="00E93D3E"/>
    <w:rsid w:val="00E96801"/>
    <w:rsid w:val="00EA1E2E"/>
    <w:rsid w:val="00EA4908"/>
    <w:rsid w:val="00EB1E22"/>
    <w:rsid w:val="00EC5E0A"/>
    <w:rsid w:val="00ED01BC"/>
    <w:rsid w:val="00ED0264"/>
    <w:rsid w:val="00ED3C87"/>
    <w:rsid w:val="00ED42BA"/>
    <w:rsid w:val="00ED52D3"/>
    <w:rsid w:val="00ED674E"/>
    <w:rsid w:val="00ED6E26"/>
    <w:rsid w:val="00EE6A80"/>
    <w:rsid w:val="00EE7766"/>
    <w:rsid w:val="00EF199D"/>
    <w:rsid w:val="00EF541D"/>
    <w:rsid w:val="00EF61A9"/>
    <w:rsid w:val="00F0154E"/>
    <w:rsid w:val="00F1000D"/>
    <w:rsid w:val="00F2119B"/>
    <w:rsid w:val="00F25B5A"/>
    <w:rsid w:val="00F2774D"/>
    <w:rsid w:val="00F32126"/>
    <w:rsid w:val="00F40A29"/>
    <w:rsid w:val="00F4179E"/>
    <w:rsid w:val="00F53739"/>
    <w:rsid w:val="00F542AF"/>
    <w:rsid w:val="00F57605"/>
    <w:rsid w:val="00F64BEC"/>
    <w:rsid w:val="00F653C5"/>
    <w:rsid w:val="00F671EA"/>
    <w:rsid w:val="00F72728"/>
    <w:rsid w:val="00F77B5E"/>
    <w:rsid w:val="00F825B4"/>
    <w:rsid w:val="00F858C2"/>
    <w:rsid w:val="00F91F1D"/>
    <w:rsid w:val="00FA044A"/>
    <w:rsid w:val="00FA4495"/>
    <w:rsid w:val="00FA664F"/>
    <w:rsid w:val="00FB051D"/>
    <w:rsid w:val="00FC43E8"/>
    <w:rsid w:val="00FD2EFF"/>
    <w:rsid w:val="00FD5BA2"/>
    <w:rsid w:val="00FE4B14"/>
    <w:rsid w:val="00FE4F68"/>
    <w:rsid w:val="00FE51B7"/>
    <w:rsid w:val="00FE5ECF"/>
    <w:rsid w:val="00FE68AE"/>
    <w:rsid w:val="00FF1F4B"/>
    <w:rsid w:val="00FF2594"/>
    <w:rsid w:val="00FF53DE"/>
    <w:rsid w:val="00FF57D8"/>
    <w:rsid w:val="0197F404"/>
    <w:rsid w:val="025317CD"/>
    <w:rsid w:val="096718C0"/>
    <w:rsid w:val="0BDE18EF"/>
    <w:rsid w:val="0C72CB3F"/>
    <w:rsid w:val="102E682E"/>
    <w:rsid w:val="10D2BD73"/>
    <w:rsid w:val="18EE5328"/>
    <w:rsid w:val="19852A10"/>
    <w:rsid w:val="1A7C0831"/>
    <w:rsid w:val="1AE13BA7"/>
    <w:rsid w:val="1EDE4168"/>
    <w:rsid w:val="319F8F2A"/>
    <w:rsid w:val="325C718B"/>
    <w:rsid w:val="327AA2FE"/>
    <w:rsid w:val="3586E97B"/>
    <w:rsid w:val="4804411D"/>
    <w:rsid w:val="4AB7A20E"/>
    <w:rsid w:val="4AEF922D"/>
    <w:rsid w:val="4C084D21"/>
    <w:rsid w:val="56629878"/>
    <w:rsid w:val="5830A5F0"/>
    <w:rsid w:val="59FBF7DF"/>
    <w:rsid w:val="5AB2739B"/>
    <w:rsid w:val="5C42F223"/>
    <w:rsid w:val="5C7B2C3F"/>
    <w:rsid w:val="5D2244E6"/>
    <w:rsid w:val="5D68FC0A"/>
    <w:rsid w:val="6C4251F9"/>
    <w:rsid w:val="6C5BEC66"/>
    <w:rsid w:val="6EB28992"/>
    <w:rsid w:val="71390E61"/>
    <w:rsid w:val="71FE5C18"/>
    <w:rsid w:val="7C02DFEE"/>
    <w:rsid w:val="7FB3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D42AE"/>
  <w15:docId w15:val="{43130513-EED5-494D-999B-FD196B15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CA"/>
    <w:pPr>
      <w:spacing w:after="0" w:line="480" w:lineRule="auto"/>
      <w:ind w:firstLine="720"/>
      <w:contextualSpacing/>
    </w:pPr>
    <w:rPr>
      <w:rFonts w:ascii="Times New Roman" w:hAnsi="Times New Roman"/>
      <w:sz w:val="24"/>
    </w:rPr>
  </w:style>
  <w:style w:type="paragraph" w:styleId="Heading1">
    <w:name w:val="heading 1"/>
    <w:basedOn w:val="Normal"/>
    <w:next w:val="Normal"/>
    <w:link w:val="Heading1Char"/>
    <w:uiPriority w:val="9"/>
    <w:qFormat/>
    <w:rsid w:val="0088219A"/>
    <w:pPr>
      <w:keepNext/>
      <w:keepLines/>
      <w:numPr>
        <w:numId w:val="3"/>
      </w:numPr>
      <w:spacing w:after="240" w:line="240" w:lineRule="auto"/>
      <w:ind w:left="720" w:hanging="720"/>
      <w:outlineLvl w:val="0"/>
    </w:pPr>
    <w:rPr>
      <w:rFonts w:eastAsiaTheme="majorEastAsia" w:cstheme="majorBidi"/>
      <w:b/>
      <w:caps/>
      <w:szCs w:val="32"/>
    </w:rPr>
  </w:style>
  <w:style w:type="paragraph" w:styleId="Heading2">
    <w:name w:val="heading 2"/>
    <w:basedOn w:val="ListParagraph"/>
    <w:next w:val="Normal"/>
    <w:link w:val="Heading2Char"/>
    <w:uiPriority w:val="9"/>
    <w:unhideWhenUsed/>
    <w:qFormat/>
    <w:rsid w:val="001B6A11"/>
    <w:pPr>
      <w:numPr>
        <w:numId w:val="13"/>
      </w:numPr>
      <w:spacing w:after="240" w:line="240" w:lineRule="auto"/>
      <w:outlineLvl w:val="1"/>
    </w:pPr>
    <w:rPr>
      <w:b/>
    </w:rPr>
  </w:style>
  <w:style w:type="paragraph" w:styleId="Heading3">
    <w:name w:val="heading 3"/>
    <w:basedOn w:val="Normal"/>
    <w:next w:val="Normal"/>
    <w:link w:val="Heading3Char"/>
    <w:uiPriority w:val="9"/>
    <w:unhideWhenUsed/>
    <w:qFormat/>
    <w:rsid w:val="00E860AC"/>
    <w:pPr>
      <w:keepNext/>
      <w:keepLines/>
      <w:numPr>
        <w:numId w:val="6"/>
      </w:numPr>
      <w:spacing w:after="240" w:line="240" w:lineRule="auto"/>
      <w:ind w:left="2880" w:hanging="72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C76"/>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182C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449"/>
    <w:pPr>
      <w:ind w:left="720"/>
    </w:pPr>
  </w:style>
  <w:style w:type="character" w:styleId="Hyperlink">
    <w:name w:val="Hyperlink"/>
    <w:basedOn w:val="DefaultParagraphFont"/>
    <w:uiPriority w:val="99"/>
    <w:unhideWhenUsed/>
    <w:rsid w:val="005F1965"/>
    <w:rPr>
      <w:color w:val="0000FF" w:themeColor="hyperlink"/>
      <w:u w:val="single"/>
    </w:rPr>
  </w:style>
  <w:style w:type="paragraph" w:styleId="BalloonText">
    <w:name w:val="Balloon Text"/>
    <w:basedOn w:val="Normal"/>
    <w:link w:val="BalloonTextChar"/>
    <w:uiPriority w:val="99"/>
    <w:semiHidden/>
    <w:unhideWhenUsed/>
    <w:rsid w:val="00863B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D2"/>
    <w:rPr>
      <w:rFonts w:ascii="Tahoma" w:hAnsi="Tahoma" w:cs="Tahoma"/>
      <w:sz w:val="16"/>
      <w:szCs w:val="16"/>
    </w:rPr>
  </w:style>
  <w:style w:type="paragraph" w:styleId="HTMLPreformatted">
    <w:name w:val="HTML Preformatted"/>
    <w:basedOn w:val="Normal"/>
    <w:link w:val="HTMLPreformattedChar"/>
    <w:rsid w:val="00CC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HTMLPreformattedChar">
    <w:name w:val="HTML Preformatted Char"/>
    <w:basedOn w:val="DefaultParagraphFont"/>
    <w:link w:val="HTMLPreformatted"/>
    <w:rsid w:val="00CC37BA"/>
    <w:rPr>
      <w:rFonts w:ascii="Courier New" w:eastAsia="Times New Roman" w:hAnsi="Courier New" w:cs="Courier New"/>
      <w:sz w:val="20"/>
      <w:szCs w:val="20"/>
      <w:lang w:eastAsia="ar-SA"/>
    </w:rPr>
  </w:style>
  <w:style w:type="paragraph" w:styleId="Header">
    <w:name w:val="header"/>
    <w:basedOn w:val="Normal"/>
    <w:link w:val="HeaderChar"/>
    <w:uiPriority w:val="99"/>
    <w:unhideWhenUsed/>
    <w:rsid w:val="00077B56"/>
    <w:pPr>
      <w:tabs>
        <w:tab w:val="center" w:pos="4680"/>
        <w:tab w:val="right" w:pos="9360"/>
      </w:tabs>
      <w:spacing w:line="240" w:lineRule="auto"/>
    </w:pPr>
  </w:style>
  <w:style w:type="character" w:customStyle="1" w:styleId="HeaderChar">
    <w:name w:val="Header Char"/>
    <w:basedOn w:val="DefaultParagraphFont"/>
    <w:link w:val="Header"/>
    <w:uiPriority w:val="99"/>
    <w:rsid w:val="00077B56"/>
  </w:style>
  <w:style w:type="paragraph" w:styleId="Footer">
    <w:name w:val="footer"/>
    <w:basedOn w:val="Normal"/>
    <w:link w:val="FooterChar"/>
    <w:uiPriority w:val="99"/>
    <w:unhideWhenUsed/>
    <w:rsid w:val="00077B56"/>
    <w:pPr>
      <w:tabs>
        <w:tab w:val="center" w:pos="4680"/>
        <w:tab w:val="right" w:pos="9360"/>
      </w:tabs>
      <w:spacing w:line="240" w:lineRule="auto"/>
    </w:pPr>
  </w:style>
  <w:style w:type="character" w:customStyle="1" w:styleId="FooterChar">
    <w:name w:val="Footer Char"/>
    <w:basedOn w:val="DefaultParagraphFont"/>
    <w:link w:val="Footer"/>
    <w:uiPriority w:val="99"/>
    <w:rsid w:val="00077B56"/>
  </w:style>
  <w:style w:type="paragraph" w:styleId="NoSpacing">
    <w:name w:val="No Spacing"/>
    <w:uiPriority w:val="1"/>
    <w:qFormat/>
    <w:rsid w:val="006834EB"/>
    <w:pPr>
      <w:spacing w:after="0" w:line="240" w:lineRule="auto"/>
    </w:pPr>
  </w:style>
  <w:style w:type="character" w:customStyle="1" w:styleId="UnresolvedMention1">
    <w:name w:val="Unresolved Mention1"/>
    <w:basedOn w:val="DefaultParagraphFont"/>
    <w:uiPriority w:val="99"/>
    <w:semiHidden/>
    <w:unhideWhenUsed/>
    <w:rsid w:val="003A6DFA"/>
    <w:rPr>
      <w:color w:val="605E5C"/>
      <w:shd w:val="clear" w:color="auto" w:fill="E1DFDD"/>
    </w:rPr>
  </w:style>
  <w:style w:type="paragraph" w:styleId="FootnoteText">
    <w:name w:val="footnote text"/>
    <w:basedOn w:val="Normal"/>
    <w:link w:val="FootnoteTextChar"/>
    <w:autoRedefine/>
    <w:uiPriority w:val="99"/>
    <w:unhideWhenUsed/>
    <w:rsid w:val="00E11BD8"/>
    <w:pPr>
      <w:spacing w:line="240" w:lineRule="auto"/>
      <w:ind w:firstLine="0"/>
    </w:pPr>
    <w:rPr>
      <w:rFonts w:ascii="Times" w:eastAsiaTheme="minorEastAsia" w:hAnsi="Times"/>
      <w:sz w:val="20"/>
      <w:szCs w:val="24"/>
    </w:rPr>
  </w:style>
  <w:style w:type="character" w:customStyle="1" w:styleId="FootnoteTextChar">
    <w:name w:val="Footnote Text Char"/>
    <w:basedOn w:val="DefaultParagraphFont"/>
    <w:link w:val="FootnoteText"/>
    <w:uiPriority w:val="99"/>
    <w:rsid w:val="00E11BD8"/>
    <w:rPr>
      <w:rFonts w:ascii="Times" w:eastAsiaTheme="minorEastAsia" w:hAnsi="Times"/>
      <w:sz w:val="20"/>
      <w:szCs w:val="24"/>
    </w:rPr>
  </w:style>
  <w:style w:type="character" w:styleId="FootnoteReference">
    <w:name w:val="footnote reference"/>
    <w:basedOn w:val="DefaultParagraphFont"/>
    <w:uiPriority w:val="99"/>
    <w:unhideWhenUsed/>
    <w:rsid w:val="00215DDF"/>
    <w:rPr>
      <w:vertAlign w:val="superscript"/>
    </w:rPr>
  </w:style>
  <w:style w:type="character" w:customStyle="1" w:styleId="Heading1Char">
    <w:name w:val="Heading 1 Char"/>
    <w:basedOn w:val="DefaultParagraphFont"/>
    <w:link w:val="Heading1"/>
    <w:uiPriority w:val="9"/>
    <w:rsid w:val="0088219A"/>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1B6A11"/>
    <w:rPr>
      <w:rFonts w:ascii="Times New Roman" w:hAnsi="Times New Roman"/>
      <w:b/>
      <w:sz w:val="24"/>
    </w:rPr>
  </w:style>
  <w:style w:type="character" w:customStyle="1" w:styleId="Heading3Char">
    <w:name w:val="Heading 3 Char"/>
    <w:basedOn w:val="DefaultParagraphFont"/>
    <w:link w:val="Heading3"/>
    <w:uiPriority w:val="9"/>
    <w:rsid w:val="00E860AC"/>
    <w:rPr>
      <w:rFonts w:ascii="Times New Roman" w:eastAsiaTheme="majorEastAsia" w:hAnsi="Times New Roman" w:cstheme="majorBidi"/>
      <w:i/>
      <w:sz w:val="24"/>
      <w:szCs w:val="24"/>
    </w:rPr>
  </w:style>
  <w:style w:type="character" w:styleId="CommentReference">
    <w:name w:val="annotation reference"/>
    <w:basedOn w:val="DefaultParagraphFont"/>
    <w:uiPriority w:val="99"/>
    <w:semiHidden/>
    <w:unhideWhenUsed/>
    <w:rsid w:val="000847D4"/>
    <w:rPr>
      <w:sz w:val="16"/>
      <w:szCs w:val="16"/>
    </w:rPr>
  </w:style>
  <w:style w:type="paragraph" w:styleId="CommentText">
    <w:name w:val="annotation text"/>
    <w:basedOn w:val="Normal"/>
    <w:link w:val="CommentTextChar"/>
    <w:uiPriority w:val="99"/>
    <w:semiHidden/>
    <w:unhideWhenUsed/>
    <w:rsid w:val="000847D4"/>
    <w:pPr>
      <w:spacing w:line="240" w:lineRule="auto"/>
    </w:pPr>
    <w:rPr>
      <w:sz w:val="20"/>
      <w:szCs w:val="20"/>
    </w:rPr>
  </w:style>
  <w:style w:type="character" w:customStyle="1" w:styleId="CommentTextChar">
    <w:name w:val="Comment Text Char"/>
    <w:basedOn w:val="DefaultParagraphFont"/>
    <w:link w:val="CommentText"/>
    <w:uiPriority w:val="99"/>
    <w:semiHidden/>
    <w:rsid w:val="000847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47D4"/>
    <w:rPr>
      <w:b/>
      <w:bCs/>
    </w:rPr>
  </w:style>
  <w:style w:type="character" w:customStyle="1" w:styleId="CommentSubjectChar">
    <w:name w:val="Comment Subject Char"/>
    <w:basedOn w:val="CommentTextChar"/>
    <w:link w:val="CommentSubject"/>
    <w:uiPriority w:val="99"/>
    <w:semiHidden/>
    <w:rsid w:val="000847D4"/>
    <w:rPr>
      <w:rFonts w:ascii="Times New Roman" w:hAnsi="Times New Roman"/>
      <w:b/>
      <w:bCs/>
      <w:sz w:val="20"/>
      <w:szCs w:val="20"/>
    </w:rPr>
  </w:style>
  <w:style w:type="paragraph" w:styleId="Revision">
    <w:name w:val="Revision"/>
    <w:hidden/>
    <w:uiPriority w:val="99"/>
    <w:semiHidden/>
    <w:rsid w:val="00FF57D8"/>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027D54"/>
    <w:rPr>
      <w:color w:val="605E5C"/>
      <w:shd w:val="clear" w:color="auto" w:fill="E1DFDD"/>
    </w:rPr>
  </w:style>
  <w:style w:type="character" w:customStyle="1" w:styleId="apple-tab-span">
    <w:name w:val="apple-tab-span"/>
    <w:basedOn w:val="DefaultParagraphFont"/>
    <w:rsid w:val="00D25DD3"/>
  </w:style>
  <w:style w:type="character" w:styleId="UnresolvedMention">
    <w:name w:val="Unresolved Mention"/>
    <w:basedOn w:val="DefaultParagraphFont"/>
    <w:uiPriority w:val="99"/>
    <w:semiHidden/>
    <w:unhideWhenUsed/>
    <w:rsid w:val="00CA1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4942">
      <w:bodyDiv w:val="1"/>
      <w:marLeft w:val="0"/>
      <w:marRight w:val="0"/>
      <w:marTop w:val="0"/>
      <w:marBottom w:val="0"/>
      <w:divBdr>
        <w:top w:val="none" w:sz="0" w:space="0" w:color="auto"/>
        <w:left w:val="none" w:sz="0" w:space="0" w:color="auto"/>
        <w:bottom w:val="none" w:sz="0" w:space="0" w:color="auto"/>
        <w:right w:val="none" w:sz="0" w:space="0" w:color="auto"/>
      </w:divBdr>
    </w:div>
    <w:div w:id="417824573">
      <w:bodyDiv w:val="1"/>
      <w:marLeft w:val="0"/>
      <w:marRight w:val="0"/>
      <w:marTop w:val="0"/>
      <w:marBottom w:val="0"/>
      <w:divBdr>
        <w:top w:val="none" w:sz="0" w:space="0" w:color="auto"/>
        <w:left w:val="none" w:sz="0" w:space="0" w:color="auto"/>
        <w:bottom w:val="none" w:sz="0" w:space="0" w:color="auto"/>
        <w:right w:val="none" w:sz="0" w:space="0" w:color="auto"/>
      </w:divBdr>
    </w:div>
    <w:div w:id="494566240">
      <w:bodyDiv w:val="1"/>
      <w:marLeft w:val="0"/>
      <w:marRight w:val="0"/>
      <w:marTop w:val="0"/>
      <w:marBottom w:val="0"/>
      <w:divBdr>
        <w:top w:val="none" w:sz="0" w:space="0" w:color="auto"/>
        <w:left w:val="none" w:sz="0" w:space="0" w:color="auto"/>
        <w:bottom w:val="none" w:sz="0" w:space="0" w:color="auto"/>
        <w:right w:val="none" w:sz="0" w:space="0" w:color="auto"/>
      </w:divBdr>
    </w:div>
    <w:div w:id="667368842">
      <w:bodyDiv w:val="1"/>
      <w:marLeft w:val="0"/>
      <w:marRight w:val="0"/>
      <w:marTop w:val="0"/>
      <w:marBottom w:val="0"/>
      <w:divBdr>
        <w:top w:val="none" w:sz="0" w:space="0" w:color="auto"/>
        <w:left w:val="none" w:sz="0" w:space="0" w:color="auto"/>
        <w:bottom w:val="none" w:sz="0" w:space="0" w:color="auto"/>
        <w:right w:val="none" w:sz="0" w:space="0" w:color="auto"/>
      </w:divBdr>
    </w:div>
    <w:div w:id="784080241">
      <w:bodyDiv w:val="1"/>
      <w:marLeft w:val="0"/>
      <w:marRight w:val="0"/>
      <w:marTop w:val="0"/>
      <w:marBottom w:val="0"/>
      <w:divBdr>
        <w:top w:val="none" w:sz="0" w:space="0" w:color="auto"/>
        <w:left w:val="none" w:sz="0" w:space="0" w:color="auto"/>
        <w:bottom w:val="none" w:sz="0" w:space="0" w:color="auto"/>
        <w:right w:val="none" w:sz="0" w:space="0" w:color="auto"/>
      </w:divBdr>
    </w:div>
    <w:div w:id="785347530">
      <w:bodyDiv w:val="1"/>
      <w:marLeft w:val="0"/>
      <w:marRight w:val="0"/>
      <w:marTop w:val="0"/>
      <w:marBottom w:val="0"/>
      <w:divBdr>
        <w:top w:val="none" w:sz="0" w:space="0" w:color="auto"/>
        <w:left w:val="none" w:sz="0" w:space="0" w:color="auto"/>
        <w:bottom w:val="none" w:sz="0" w:space="0" w:color="auto"/>
        <w:right w:val="none" w:sz="0" w:space="0" w:color="auto"/>
      </w:divBdr>
    </w:div>
    <w:div w:id="1081830187">
      <w:bodyDiv w:val="1"/>
      <w:marLeft w:val="0"/>
      <w:marRight w:val="0"/>
      <w:marTop w:val="0"/>
      <w:marBottom w:val="0"/>
      <w:divBdr>
        <w:top w:val="none" w:sz="0" w:space="0" w:color="auto"/>
        <w:left w:val="none" w:sz="0" w:space="0" w:color="auto"/>
        <w:bottom w:val="none" w:sz="0" w:space="0" w:color="auto"/>
        <w:right w:val="none" w:sz="0" w:space="0" w:color="auto"/>
      </w:divBdr>
    </w:div>
    <w:div w:id="1617174777">
      <w:bodyDiv w:val="1"/>
      <w:marLeft w:val="0"/>
      <w:marRight w:val="0"/>
      <w:marTop w:val="0"/>
      <w:marBottom w:val="0"/>
      <w:divBdr>
        <w:top w:val="none" w:sz="0" w:space="0" w:color="auto"/>
        <w:left w:val="none" w:sz="0" w:space="0" w:color="auto"/>
        <w:bottom w:val="none" w:sz="0" w:space="0" w:color="auto"/>
        <w:right w:val="none" w:sz="0" w:space="0" w:color="auto"/>
      </w:divBdr>
    </w:div>
    <w:div w:id="1665162006">
      <w:bodyDiv w:val="1"/>
      <w:marLeft w:val="0"/>
      <w:marRight w:val="0"/>
      <w:marTop w:val="0"/>
      <w:marBottom w:val="0"/>
      <w:divBdr>
        <w:top w:val="none" w:sz="0" w:space="0" w:color="auto"/>
        <w:left w:val="none" w:sz="0" w:space="0" w:color="auto"/>
        <w:bottom w:val="none" w:sz="0" w:space="0" w:color="auto"/>
        <w:right w:val="none" w:sz="0" w:space="0" w:color="auto"/>
      </w:divBdr>
    </w:div>
    <w:div w:id="1764573759">
      <w:bodyDiv w:val="1"/>
      <w:marLeft w:val="0"/>
      <w:marRight w:val="0"/>
      <w:marTop w:val="0"/>
      <w:marBottom w:val="0"/>
      <w:divBdr>
        <w:top w:val="none" w:sz="0" w:space="0" w:color="auto"/>
        <w:left w:val="none" w:sz="0" w:space="0" w:color="auto"/>
        <w:bottom w:val="none" w:sz="0" w:space="0" w:color="auto"/>
        <w:right w:val="none" w:sz="0" w:space="0" w:color="auto"/>
      </w:divBdr>
    </w:div>
    <w:div w:id="19002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eppla@theOEC.org" TargetMode="External"/><Relationship Id="rId18" Type="http://schemas.openxmlformats.org/officeDocument/2006/relationships/header" Target="header2.xml"/><Relationship Id="rId26" Type="http://schemas.openxmlformats.org/officeDocument/2006/relationships/hyperlink" Target="mailto:jdortch@kravitzllc.com" TargetMode="External"/><Relationship Id="rId39" Type="http://schemas.openxmlformats.org/officeDocument/2006/relationships/hyperlink" Target="mailto:trhayslaw@gmail.com" TargetMode="External"/><Relationship Id="rId3" Type="http://schemas.openxmlformats.org/officeDocument/2006/relationships/customXml" Target="../customXml/item3.xml"/><Relationship Id="rId21" Type="http://schemas.openxmlformats.org/officeDocument/2006/relationships/hyperlink" Target="mailto:bojko@carpenterlipps.com" TargetMode="External"/><Relationship Id="rId34" Type="http://schemas.openxmlformats.org/officeDocument/2006/relationships/hyperlink" Target="mailto:mpritchard@mcneeslaw.com" TargetMode="External"/><Relationship Id="rId42" Type="http://schemas.openxmlformats.org/officeDocument/2006/relationships/hyperlink" Target="mailto:Gregory.price@puco.ohio.gov" TargetMode="External"/><Relationship Id="rId47" Type="http://schemas.openxmlformats.org/officeDocument/2006/relationships/hyperlink" Target="mailto:Maureen.willis@occ.ohio.gov"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cox@elpc.org" TargetMode="External"/><Relationship Id="rId17" Type="http://schemas.openxmlformats.org/officeDocument/2006/relationships/footer" Target="footer1.xml"/><Relationship Id="rId25" Type="http://schemas.openxmlformats.org/officeDocument/2006/relationships/hyperlink" Target="mailto:docketing@puco.ohio.gov" TargetMode="External"/><Relationship Id="rId33" Type="http://schemas.openxmlformats.org/officeDocument/2006/relationships/hyperlink" Target="mailto:Michael.nugent@igs.com" TargetMode="External"/><Relationship Id="rId38" Type="http://schemas.openxmlformats.org/officeDocument/2006/relationships/hyperlink" Target="mailto:torahood@bricker.com" TargetMode="External"/><Relationship Id="rId46" Type="http://schemas.openxmlformats.org/officeDocument/2006/relationships/hyperlink" Target="mailto:kboehm@bkllawfirm.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bknipe@firstenergycorp.com" TargetMode="External"/><Relationship Id="rId29" Type="http://schemas.openxmlformats.org/officeDocument/2006/relationships/hyperlink" Target="mailto:khehmeyer@calfee.com" TargetMode="External"/><Relationship Id="rId41" Type="http://schemas.openxmlformats.org/officeDocument/2006/relationships/hyperlink" Target="mailto:ccox@elp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kelter@elpc.org" TargetMode="External"/><Relationship Id="rId24" Type="http://schemas.openxmlformats.org/officeDocument/2006/relationships/hyperlink" Target="mailto:Debra.bingham@occ.ohio.gov" TargetMode="External"/><Relationship Id="rId32" Type="http://schemas.openxmlformats.org/officeDocument/2006/relationships/hyperlink" Target="mailto:mdorch@kravitzille.com" TargetMode="External"/><Relationship Id="rId37" Type="http://schemas.openxmlformats.org/officeDocument/2006/relationships/hyperlink" Target="mailto:tdougherty@theOEC.org" TargetMode="External"/><Relationship Id="rId40" Type="http://schemas.openxmlformats.org/officeDocument/2006/relationships/hyperlink" Target="mailto:Angela.obrien@occ.ohio.gov" TargetMode="External"/><Relationship Id="rId45" Type="http://schemas.openxmlformats.org/officeDocument/2006/relationships/hyperlink" Target="mailto:John.jones@ohioattorneygeneral.gov" TargetMode="External"/><Relationship Id="rId5" Type="http://schemas.openxmlformats.org/officeDocument/2006/relationships/numbering" Target="numbering.xml"/><Relationship Id="rId15" Type="http://schemas.openxmlformats.org/officeDocument/2006/relationships/hyperlink" Target="mailto:ctavenor@theoec.org" TargetMode="External"/><Relationship Id="rId23" Type="http://schemas.openxmlformats.org/officeDocument/2006/relationships/hyperlink" Target="mailto:dborchers@bricker.com" TargetMode="External"/><Relationship Id="rId28" Type="http://schemas.openxmlformats.org/officeDocument/2006/relationships/hyperlink" Target="mailto:Joe.oliker@igs.com" TargetMode="External"/><Relationship Id="rId36" Type="http://schemas.openxmlformats.org/officeDocument/2006/relationships/hyperlink" Target="mailto:rglover@mcneeslaw.com" TargetMode="External"/><Relationship Id="rId49" Type="http://schemas.openxmlformats.org/officeDocument/2006/relationships/hyperlink" Target="mailto:mleppla@theoec.org" TargetMode="External"/><Relationship Id="rId10" Type="http://schemas.openxmlformats.org/officeDocument/2006/relationships/endnotes" Target="endnotes.xml"/><Relationship Id="rId19" Type="http://schemas.openxmlformats.org/officeDocument/2006/relationships/hyperlink" Target="mailto:Bethany.allen@igs.com" TargetMode="External"/><Relationship Id="rId31" Type="http://schemas.openxmlformats.org/officeDocument/2006/relationships/hyperlink" Target="mailto:mary.fischer@puco.ohio.gov" TargetMode="External"/><Relationship Id="rId44" Type="http://schemas.openxmlformats.org/officeDocument/2006/relationships/hyperlink" Target="mailto:jkylercohn@bkllawfir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dougherty@theOEC.org" TargetMode="External"/><Relationship Id="rId22" Type="http://schemas.openxmlformats.org/officeDocument/2006/relationships/hyperlink" Target="mailto:ctavenor@tehoec.org" TargetMode="External"/><Relationship Id="rId27" Type="http://schemas.openxmlformats.org/officeDocument/2006/relationships/hyperlink" Target="mailto:jlang@calfee.com" TargetMode="External"/><Relationship Id="rId30" Type="http://schemas.openxmlformats.org/officeDocument/2006/relationships/hyperlink" Target="mailto:leslie.kovacik@toledo.oh.gov" TargetMode="External"/><Relationship Id="rId35" Type="http://schemas.openxmlformats.org/officeDocument/2006/relationships/hyperlink" Target="mailto:rdove@keglerbrown.com" TargetMode="External"/><Relationship Id="rId43" Type="http://schemas.openxmlformats.org/officeDocument/2006/relationships/hyperlink" Target="mailto:heather.chilcote@puco.ohio.gov" TargetMode="External"/><Relationship Id="rId48" Type="http://schemas.openxmlformats.org/officeDocument/2006/relationships/hyperlink" Target="mailto:mkurtz@bkllawfirm.com"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spatch.com/story/business/energy-resource/2020/09/16/federal-lawsuit-shows-sec-investigating-firstenergy/4263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E3B2281C74B4D9D2D3BCA82D98ECE" ma:contentTypeVersion="7" ma:contentTypeDescription="Create a new document." ma:contentTypeScope="" ma:versionID="73af8561beded0ae03d44778f191b665">
  <xsd:schema xmlns:xsd="http://www.w3.org/2001/XMLSchema" xmlns:xs="http://www.w3.org/2001/XMLSchema" xmlns:p="http://schemas.microsoft.com/office/2006/metadata/properties" xmlns:ns3="acccd342-5827-41bd-a255-bc32394d76a6" xmlns:ns4="d3aa4012-c10f-42d2-8e86-1a781fab50f0" targetNamespace="http://schemas.microsoft.com/office/2006/metadata/properties" ma:root="true" ma:fieldsID="113e752fabc37c43773ed33c00a5ecaa" ns3:_="" ns4:_="">
    <xsd:import namespace="acccd342-5827-41bd-a255-bc32394d76a6"/>
    <xsd:import namespace="d3aa4012-c10f-42d2-8e86-1a781fab50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cd342-5827-41bd-a255-bc32394d7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a4012-c10f-42d2-8e86-1a781fab50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5C34-94C0-4212-AC01-A07403F1BDFA}">
  <ds:schemaRefs>
    <ds:schemaRef ds:uri="http://schemas.microsoft.com/sharepoint/v3/contenttype/forms"/>
  </ds:schemaRefs>
</ds:datastoreItem>
</file>

<file path=customXml/itemProps2.xml><?xml version="1.0" encoding="utf-8"?>
<ds:datastoreItem xmlns:ds="http://schemas.openxmlformats.org/officeDocument/2006/customXml" ds:itemID="{DFD126ED-6410-4E5E-8682-5A850ACE9A53}">
  <ds:schemaRefs>
    <ds:schemaRef ds:uri="http://purl.org/dc/terms/"/>
    <ds:schemaRef ds:uri="http://schemas.openxmlformats.org/package/2006/metadata/core-properties"/>
    <ds:schemaRef ds:uri="http://schemas.microsoft.com/office/2006/documentManagement/types"/>
    <ds:schemaRef ds:uri="d3aa4012-c10f-42d2-8e86-1a781fab50f0"/>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acccd342-5827-41bd-a255-bc32394d76a6"/>
  </ds:schemaRefs>
</ds:datastoreItem>
</file>

<file path=customXml/itemProps3.xml><?xml version="1.0" encoding="utf-8"?>
<ds:datastoreItem xmlns:ds="http://schemas.openxmlformats.org/officeDocument/2006/customXml" ds:itemID="{BB25B59B-E5E2-4318-A3DA-539DD08BD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cd342-5827-41bd-a255-bc32394d76a6"/>
    <ds:schemaRef ds:uri="d3aa4012-c10f-42d2-8e86-1a781fab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BAB70-7C8A-4699-8C39-779EC7DE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3254</Words>
  <Characters>17117</Characters>
  <Application>Microsoft Office Word</Application>
  <DocSecurity>0</DocSecurity>
  <Lines>280</Lines>
  <Paragraphs>84</Paragraphs>
  <ScaleCrop>false</ScaleCrop>
  <HeadingPairs>
    <vt:vector size="2" baseType="variant">
      <vt:variant>
        <vt:lpstr>Title</vt:lpstr>
      </vt:variant>
      <vt:variant>
        <vt:i4>1</vt:i4>
      </vt:variant>
    </vt:vector>
  </HeadingPairs>
  <TitlesOfParts>
    <vt:vector size="1" baseType="lpstr">
      <vt:lpstr/>
    </vt:vector>
  </TitlesOfParts>
  <Company>Environmental Law &amp; Policy Center of the Midwest</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Belak</dc:creator>
  <cp:keywords/>
  <dc:description/>
  <cp:lastModifiedBy>Ariel Salmon</cp:lastModifiedBy>
  <cp:revision>4</cp:revision>
  <cp:lastPrinted>2019-09-19T20:53:00Z</cp:lastPrinted>
  <dcterms:created xsi:type="dcterms:W3CDTF">2020-10-21T19:19:00Z</dcterms:created>
  <dcterms:modified xsi:type="dcterms:W3CDTF">2020-10-21T19:56:00Z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0x010100E1AE3B2281C74B4D9D2D3BCA82D98ECE</vt:lpwstr>
  </property>
</Properties>
</file>