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BF" w:rsidRPr="006A54BF" w:rsidRDefault="006A54BF" w:rsidP="006A54BF">
      <w:pPr>
        <w:jc w:val="center"/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BEFORE</w:t>
      </w:r>
    </w:p>
    <w:p w:rsidR="006A54BF" w:rsidRPr="006A54BF" w:rsidRDefault="006A54BF" w:rsidP="006A54BF">
      <w:pPr>
        <w:jc w:val="center"/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THE PUBLIC UTILTIES COMMISSION OF OHIO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4248"/>
        <w:gridCol w:w="4788"/>
      </w:tblGrid>
      <w:tr w:rsidR="006A54BF" w:rsidRPr="006A54BF" w:rsidTr="006A54BF">
        <w:tc>
          <w:tcPr>
            <w:tcW w:w="4248" w:type="dxa"/>
            <w:shd w:val="clear" w:color="auto" w:fill="auto"/>
          </w:tcPr>
          <w:p w:rsidR="006A54BF" w:rsidRP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F25C90">
            <w:pPr>
              <w:rPr>
                <w:rFonts w:ascii="Times New Roman" w:hAnsi="Times New Roman"/>
                <w:sz w:val="26"/>
                <w:szCs w:val="26"/>
              </w:rPr>
            </w:pPr>
            <w:r w:rsidRPr="006A54BF">
              <w:rPr>
                <w:rFonts w:ascii="Times New Roman" w:hAnsi="Times New Roman"/>
                <w:sz w:val="26"/>
                <w:szCs w:val="26"/>
              </w:rPr>
              <w:t xml:space="preserve">In the Matter of the </w:t>
            </w:r>
            <w:r w:rsidR="00F25C90">
              <w:rPr>
                <w:rFonts w:ascii="Times New Roman" w:hAnsi="Times New Roman"/>
                <w:sz w:val="26"/>
                <w:szCs w:val="26"/>
              </w:rPr>
              <w:t>Self-Complaint</w:t>
            </w:r>
            <w:r w:rsidRPr="006A54BF"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r w:rsidR="00F25C90">
              <w:rPr>
                <w:rFonts w:ascii="Times New Roman" w:hAnsi="Times New Roman"/>
                <w:sz w:val="26"/>
                <w:szCs w:val="26"/>
              </w:rPr>
              <w:t>Suburban Natural Gas</w:t>
            </w:r>
            <w:r w:rsidRPr="006A54BF">
              <w:rPr>
                <w:rFonts w:ascii="Times New Roman" w:hAnsi="Times New Roman"/>
                <w:sz w:val="26"/>
                <w:szCs w:val="26"/>
              </w:rPr>
              <w:t xml:space="preserve"> Company </w:t>
            </w:r>
            <w:r w:rsidR="00F25C90">
              <w:rPr>
                <w:rFonts w:ascii="Times New Roman" w:hAnsi="Times New Roman"/>
                <w:sz w:val="26"/>
                <w:szCs w:val="26"/>
              </w:rPr>
              <w:t>Concerning its Existing Tariff Provisions</w:t>
            </w:r>
            <w:r w:rsidRPr="006A54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  <w:r w:rsidRPr="006A54BF">
              <w:rPr>
                <w:rFonts w:ascii="Times New Roman" w:hAnsi="Times New Roman"/>
                <w:sz w:val="26"/>
                <w:szCs w:val="26"/>
              </w:rPr>
              <w:t>Case No.</w:t>
            </w:r>
            <w:r w:rsidRPr="006A54BF">
              <w:rPr>
                <w:rFonts w:ascii="Times New Roman" w:hAnsi="Times New Roman"/>
                <w:sz w:val="26"/>
                <w:szCs w:val="26"/>
              </w:rPr>
              <w:tab/>
            </w:r>
            <w:r w:rsidR="00F25C90">
              <w:rPr>
                <w:rFonts w:ascii="Times New Roman" w:hAnsi="Times New Roman"/>
                <w:sz w:val="26"/>
                <w:szCs w:val="26"/>
              </w:rPr>
              <w:t>11-5846-GA-SLF</w:t>
            </w:r>
          </w:p>
          <w:p w:rsidR="003D3DCB" w:rsidRPr="006A54BF" w:rsidRDefault="006A54BF" w:rsidP="003D3DCB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  <w:r w:rsidRPr="006A54BF">
              <w:rPr>
                <w:rFonts w:ascii="Times New Roman" w:hAnsi="Times New Roman"/>
                <w:sz w:val="26"/>
                <w:szCs w:val="26"/>
              </w:rPr>
              <w:tab/>
            </w:r>
            <w:r w:rsidRPr="006A54BF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4BF" w:rsidRPr="006A54BF" w:rsidTr="006A54BF">
        <w:tc>
          <w:tcPr>
            <w:tcW w:w="4248" w:type="dxa"/>
            <w:shd w:val="clear" w:color="auto" w:fill="auto"/>
          </w:tcPr>
          <w:p w:rsidR="006A54BF" w:rsidRP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4BF" w:rsidRPr="006A54BF" w:rsidTr="006A54BF">
        <w:tc>
          <w:tcPr>
            <w:tcW w:w="4248" w:type="dxa"/>
            <w:shd w:val="clear" w:color="auto" w:fill="auto"/>
          </w:tcPr>
          <w:p w:rsidR="006A54BF" w:rsidRP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  <w:p w:rsidR="006A54BF" w:rsidRPr="006A54BF" w:rsidRDefault="006A54BF" w:rsidP="006A54BF">
            <w:pPr>
              <w:ind w:left="79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54BF" w:rsidRDefault="006A54BF" w:rsidP="006A54BF">
      <w:pPr>
        <w:rPr>
          <w:rFonts w:ascii="Times New Roman" w:hAnsi="Times New Roman"/>
          <w:b/>
          <w:sz w:val="26"/>
          <w:szCs w:val="26"/>
        </w:rPr>
      </w:pPr>
    </w:p>
    <w:p w:rsidR="006A54BF" w:rsidRPr="006A54BF" w:rsidRDefault="006A54BF" w:rsidP="006A54BF">
      <w:pPr>
        <w:rPr>
          <w:rFonts w:ascii="Times New Roman" w:hAnsi="Times New Roman"/>
          <w:b/>
          <w:sz w:val="26"/>
          <w:szCs w:val="26"/>
        </w:rPr>
      </w:pPr>
    </w:p>
    <w:p w:rsidR="006A54BF" w:rsidRPr="006A54BF" w:rsidRDefault="006A54BF" w:rsidP="00BC3698">
      <w:pPr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______________________________________________</w:t>
      </w:r>
      <w:r w:rsidR="00066DE4">
        <w:rPr>
          <w:rFonts w:ascii="Times New Roman" w:hAnsi="Times New Roman"/>
          <w:b/>
          <w:sz w:val="26"/>
          <w:szCs w:val="26"/>
        </w:rPr>
        <w:t>_______________________</w:t>
      </w:r>
    </w:p>
    <w:p w:rsidR="006A54BF" w:rsidRPr="006A54BF" w:rsidRDefault="006A54BF" w:rsidP="00BC3698">
      <w:pPr>
        <w:rPr>
          <w:rFonts w:ascii="Times New Roman" w:hAnsi="Times New Roman"/>
          <w:b/>
          <w:sz w:val="26"/>
          <w:szCs w:val="26"/>
        </w:rPr>
      </w:pPr>
    </w:p>
    <w:p w:rsidR="006A54BF" w:rsidRPr="006A54BF" w:rsidRDefault="006A54BF" w:rsidP="006A54BF">
      <w:pPr>
        <w:jc w:val="center"/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INITIAL POST-HEARING BRIEF</w:t>
      </w:r>
    </w:p>
    <w:p w:rsidR="006A54BF" w:rsidRPr="006A54BF" w:rsidRDefault="006A54BF" w:rsidP="006A54BF">
      <w:pPr>
        <w:jc w:val="center"/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 xml:space="preserve">SUBMITTED BY THE STAFF OF </w:t>
      </w:r>
    </w:p>
    <w:p w:rsidR="006A54BF" w:rsidRPr="006A54BF" w:rsidRDefault="006A54BF" w:rsidP="006A54BF">
      <w:pPr>
        <w:jc w:val="center"/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6A54BF" w:rsidRPr="006A54BF" w:rsidRDefault="006A54BF" w:rsidP="00BC3698">
      <w:pPr>
        <w:rPr>
          <w:rFonts w:ascii="Times New Roman" w:hAnsi="Times New Roman"/>
          <w:b/>
          <w:sz w:val="26"/>
          <w:szCs w:val="26"/>
        </w:rPr>
      </w:pPr>
      <w:r w:rsidRPr="006A54BF">
        <w:rPr>
          <w:rFonts w:ascii="Times New Roman" w:hAnsi="Times New Roman"/>
          <w:b/>
          <w:sz w:val="26"/>
          <w:szCs w:val="26"/>
        </w:rPr>
        <w:t>______________________________________________</w:t>
      </w:r>
      <w:r w:rsidR="00066DE4">
        <w:rPr>
          <w:rFonts w:ascii="Times New Roman" w:hAnsi="Times New Roman"/>
          <w:b/>
          <w:sz w:val="26"/>
          <w:szCs w:val="26"/>
        </w:rPr>
        <w:t>_______________________</w:t>
      </w:r>
    </w:p>
    <w:p w:rsidR="006A54BF" w:rsidRPr="0021725B" w:rsidRDefault="003D3DCB" w:rsidP="006A54BF">
      <w:pPr>
        <w:tabs>
          <w:tab w:val="left" w:pos="6030"/>
        </w:tabs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Mike DeWine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Attorney General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</w:p>
    <w:p w:rsidR="006A54BF" w:rsidRPr="0021725B" w:rsidRDefault="003D3DCB" w:rsidP="006A54BF">
      <w:pPr>
        <w:tabs>
          <w:tab w:val="left" w:pos="6030"/>
        </w:tabs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Section Chief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</w:p>
    <w:p w:rsidR="006A54BF" w:rsidRPr="0021725B" w:rsidRDefault="006A54BF" w:rsidP="006A54BF">
      <w:pPr>
        <w:tabs>
          <w:tab w:val="left" w:pos="6030"/>
        </w:tabs>
        <w:ind w:left="5040"/>
        <w:rPr>
          <w:rFonts w:ascii="Times New Roman" w:hAnsi="Times New Roman"/>
          <w:b/>
          <w:sz w:val="26"/>
          <w:szCs w:val="26"/>
        </w:rPr>
      </w:pPr>
      <w:r w:rsidRPr="0021725B">
        <w:rPr>
          <w:rFonts w:ascii="Times New Roman" w:hAnsi="Times New Roman"/>
          <w:b/>
          <w:sz w:val="26"/>
          <w:szCs w:val="26"/>
        </w:rPr>
        <w:t>Thomas G. Lindgren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Assistant Attorney General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180 East Broad Street, 6</w:t>
      </w:r>
      <w:r w:rsidRPr="006A54BF">
        <w:rPr>
          <w:rFonts w:ascii="Times New Roman" w:hAnsi="Times New Roman"/>
          <w:sz w:val="26"/>
          <w:szCs w:val="26"/>
          <w:vertAlign w:val="superscript"/>
        </w:rPr>
        <w:t>th</w:t>
      </w:r>
      <w:r w:rsidRPr="006A54BF">
        <w:rPr>
          <w:rFonts w:ascii="Times New Roman" w:hAnsi="Times New Roman"/>
          <w:sz w:val="26"/>
          <w:szCs w:val="26"/>
        </w:rPr>
        <w:t xml:space="preserve"> Floor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Columbus, Ohio  43215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T:  (614) 466-4395</w:t>
      </w:r>
    </w:p>
    <w:p w:rsidR="006A54BF" w:rsidRPr="006A54BF" w:rsidRDefault="006A54BF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>F:  (614) 644-8764</w:t>
      </w:r>
    </w:p>
    <w:p w:rsidR="006A54BF" w:rsidRPr="006A54BF" w:rsidRDefault="00081D3E" w:rsidP="006A54BF">
      <w:pPr>
        <w:tabs>
          <w:tab w:val="left" w:pos="6030"/>
        </w:tabs>
        <w:ind w:left="5040"/>
        <w:rPr>
          <w:rFonts w:ascii="Times New Roman" w:hAnsi="Times New Roman"/>
          <w:sz w:val="26"/>
          <w:szCs w:val="26"/>
        </w:rPr>
      </w:pPr>
      <w:hyperlink r:id="rId8" w:history="1">
        <w:r w:rsidR="006A54BF" w:rsidRPr="006A54BF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6A54BF" w:rsidRPr="006A54BF" w:rsidRDefault="006A54BF" w:rsidP="00BC3698">
      <w:pPr>
        <w:rPr>
          <w:rFonts w:ascii="Times New Roman" w:hAnsi="Times New Roman"/>
          <w:sz w:val="26"/>
          <w:szCs w:val="26"/>
        </w:rPr>
      </w:pPr>
    </w:p>
    <w:p w:rsidR="006A54BF" w:rsidRDefault="006A54BF" w:rsidP="00BC3698">
      <w:pPr>
        <w:rPr>
          <w:rFonts w:ascii="Times New Roman" w:hAnsi="Times New Roman"/>
          <w:sz w:val="26"/>
          <w:szCs w:val="26"/>
        </w:rPr>
      </w:pPr>
    </w:p>
    <w:p w:rsidR="006A54BF" w:rsidRDefault="006A54BF" w:rsidP="00BC3698">
      <w:pPr>
        <w:rPr>
          <w:rFonts w:ascii="Times New Roman" w:hAnsi="Times New Roman"/>
          <w:sz w:val="26"/>
          <w:szCs w:val="26"/>
        </w:rPr>
      </w:pPr>
    </w:p>
    <w:p w:rsidR="006A54BF" w:rsidRDefault="006A54BF" w:rsidP="00BC3698">
      <w:pPr>
        <w:rPr>
          <w:rFonts w:ascii="Times New Roman" w:hAnsi="Times New Roman"/>
          <w:sz w:val="26"/>
          <w:szCs w:val="26"/>
        </w:rPr>
      </w:pPr>
    </w:p>
    <w:p w:rsidR="006A54BF" w:rsidRDefault="006A54BF" w:rsidP="00BC3698">
      <w:pPr>
        <w:rPr>
          <w:rFonts w:ascii="Times New Roman" w:hAnsi="Times New Roman"/>
          <w:sz w:val="26"/>
          <w:szCs w:val="26"/>
        </w:rPr>
      </w:pPr>
    </w:p>
    <w:p w:rsidR="006A54BF" w:rsidRPr="006A54BF" w:rsidRDefault="006A54BF" w:rsidP="00BC3698">
      <w:pPr>
        <w:rPr>
          <w:rFonts w:ascii="Times New Roman" w:hAnsi="Times New Roman"/>
          <w:sz w:val="26"/>
          <w:szCs w:val="26"/>
        </w:rPr>
      </w:pPr>
      <w:r w:rsidRPr="006A54BF">
        <w:rPr>
          <w:rFonts w:ascii="Times New Roman" w:hAnsi="Times New Roman"/>
          <w:sz w:val="26"/>
          <w:szCs w:val="26"/>
        </w:rPr>
        <w:t xml:space="preserve">Date submitted:  </w:t>
      </w:r>
      <w:r w:rsidR="003D3DCB">
        <w:rPr>
          <w:rFonts w:ascii="Times New Roman" w:hAnsi="Times New Roman"/>
          <w:sz w:val="26"/>
          <w:szCs w:val="26"/>
        </w:rPr>
        <w:t xml:space="preserve">July </w:t>
      </w:r>
      <w:r w:rsidRPr="006A54BF">
        <w:rPr>
          <w:rFonts w:ascii="Times New Roman" w:hAnsi="Times New Roman"/>
          <w:sz w:val="26"/>
          <w:szCs w:val="26"/>
        </w:rPr>
        <w:t>9, 20</w:t>
      </w:r>
      <w:r w:rsidR="003D3DCB">
        <w:rPr>
          <w:rFonts w:ascii="Times New Roman" w:hAnsi="Times New Roman"/>
          <w:sz w:val="26"/>
          <w:szCs w:val="26"/>
        </w:rPr>
        <w:t>12</w:t>
      </w:r>
    </w:p>
    <w:p w:rsidR="006A54BF" w:rsidRDefault="006A54BF" w:rsidP="00BC3698">
      <w:pPr>
        <w:rPr>
          <w:rFonts w:ascii="Times New Roman" w:hAnsi="Times New Roman"/>
          <w:b/>
          <w:sz w:val="26"/>
          <w:szCs w:val="26"/>
        </w:rPr>
        <w:sectPr w:rsidR="006A54BF" w:rsidSect="00E64F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A54BF" w:rsidRPr="0014041E" w:rsidRDefault="0014041E" w:rsidP="0014041E">
      <w:pPr>
        <w:pStyle w:val="Heading1"/>
      </w:pPr>
      <w:r w:rsidRPr="0014041E">
        <w:rPr>
          <w:bCs w:val="0"/>
        </w:rPr>
        <w:lastRenderedPageBreak/>
        <w:t>I</w:t>
      </w:r>
      <w:r w:rsidRPr="0014041E">
        <w:rPr>
          <w:b w:val="0"/>
          <w:bCs w:val="0"/>
        </w:rPr>
        <w:t>.</w:t>
      </w:r>
      <w:r>
        <w:tab/>
        <w:t>PROCEDURAL HISTORY</w:t>
      </w:r>
    </w:p>
    <w:p w:rsidR="00247669" w:rsidRDefault="0014041E" w:rsidP="0014041E">
      <w:pPr>
        <w:pStyle w:val="BodyTextFirstIndent"/>
      </w:pPr>
      <w:r>
        <w:t>On December 1, 20</w:t>
      </w:r>
      <w:r w:rsidR="00704411">
        <w:t>11</w:t>
      </w:r>
      <w:r>
        <w:t xml:space="preserve">, </w:t>
      </w:r>
      <w:r w:rsidR="00704411">
        <w:t>Suburban Natural Gas</w:t>
      </w:r>
      <w:r>
        <w:t xml:space="preserve"> Company</w:t>
      </w:r>
      <w:r w:rsidR="00704411">
        <w:t xml:space="preserve"> (Suburban)</w:t>
      </w:r>
      <w:r>
        <w:t xml:space="preserve"> filed </w:t>
      </w:r>
      <w:r w:rsidR="00704411">
        <w:t>a self-complaint alleging that its existing tariffs were unjust and unreasonable because they lacked a demand-side management (DSM) rider to permit recovery of costs incurred through assistance to builders in the construction of energy-efficient buildings.</w:t>
      </w:r>
      <w:r w:rsidR="009E6DD4">
        <w:t xml:space="preserve">  A proposed DSM rider was attached to the complaint as Exhibit A.</w:t>
      </w:r>
      <w:r w:rsidR="00704411">
        <w:t xml:space="preserve">  </w:t>
      </w:r>
    </w:p>
    <w:p w:rsidR="00247669" w:rsidRPr="0014041E" w:rsidRDefault="00247669" w:rsidP="00247669">
      <w:pPr>
        <w:pStyle w:val="BodyTextFirstIndent"/>
      </w:pPr>
      <w:r>
        <w:t xml:space="preserve">By entry dated </w:t>
      </w:r>
      <w:r w:rsidR="00233A5E">
        <w:t>March 7</w:t>
      </w:r>
      <w:r>
        <w:t>, 201</w:t>
      </w:r>
      <w:r w:rsidR="00233A5E">
        <w:t>2</w:t>
      </w:r>
      <w:r>
        <w:t xml:space="preserve">, the </w:t>
      </w:r>
      <w:r w:rsidR="00233A5E">
        <w:t>Commission directed the Attorney Examiner to schedule this matter for an evidentiary hearing</w:t>
      </w:r>
      <w:r>
        <w:t xml:space="preserve">.  </w:t>
      </w:r>
      <w:r w:rsidR="00233A5E">
        <w:t>By entry dated April 23, 2012, the Attorney Examiner ordered that the hearing be held on June 12, 2012.  The</w:t>
      </w:r>
      <w:r>
        <w:t xml:space="preserve"> hearing </w:t>
      </w:r>
      <w:r w:rsidR="00233A5E">
        <w:t>was then held on that date.</w:t>
      </w:r>
      <w:r>
        <w:t xml:space="preserve">  </w:t>
      </w:r>
      <w:r w:rsidR="00233A5E">
        <w:t>On June 13, 2012, Suburban filed a motion requesting permission to file post-hearing briefs</w:t>
      </w:r>
      <w:r>
        <w:t xml:space="preserve">.  </w:t>
      </w:r>
      <w:r w:rsidR="00233A5E">
        <w:t xml:space="preserve">By entry dated June 20, 2012, the Attorney Examiner directed that post-hearing briefs should be filed within ten days after the filing of the hearing transcript.  </w:t>
      </w:r>
      <w:r>
        <w:t xml:space="preserve">This initial post-hearing brief is timely submitted on behalf of the Commission Staff.  </w:t>
      </w:r>
    </w:p>
    <w:p w:rsidR="006A54BF" w:rsidRDefault="00247669" w:rsidP="00247669">
      <w:pPr>
        <w:pStyle w:val="Heading1"/>
      </w:pPr>
      <w:r>
        <w:t>II.</w:t>
      </w:r>
      <w:r>
        <w:tab/>
        <w:t>ARGUMENT</w:t>
      </w:r>
    </w:p>
    <w:p w:rsidR="00247669" w:rsidRDefault="00247669" w:rsidP="0057270A">
      <w:pPr>
        <w:pStyle w:val="Heading2"/>
      </w:pPr>
      <w:r>
        <w:t>The Com</w:t>
      </w:r>
      <w:r w:rsidR="009E4C68">
        <w:t>mission should reject the proposed rider</w:t>
      </w:r>
      <w:r>
        <w:t>.</w:t>
      </w:r>
    </w:p>
    <w:p w:rsidR="00247669" w:rsidRDefault="00BC1FDC" w:rsidP="008F1372">
      <w:pPr>
        <w:pStyle w:val="BodyTextFirstIndent"/>
      </w:pPr>
      <w:r>
        <w:t>Suburban filed its complaint pursuant to R.C. 4905.26</w:t>
      </w:r>
      <w:r w:rsidR="008F1372">
        <w:t>.</w:t>
      </w:r>
      <w:r>
        <w:t xml:space="preserve">  As the complainant, Suburban had the burden of proving its allegations.  </w:t>
      </w:r>
      <w:proofErr w:type="spellStart"/>
      <w:proofErr w:type="gramStart"/>
      <w:r w:rsidRPr="00F8148F">
        <w:rPr>
          <w:i/>
        </w:rPr>
        <w:t>Luntz</w:t>
      </w:r>
      <w:proofErr w:type="spellEnd"/>
      <w:r w:rsidRPr="00F8148F">
        <w:rPr>
          <w:i/>
        </w:rPr>
        <w:t xml:space="preserve"> Corp. v. Pub.</w:t>
      </w:r>
      <w:proofErr w:type="gramEnd"/>
      <w:r w:rsidRPr="00F8148F">
        <w:rPr>
          <w:i/>
        </w:rPr>
        <w:t xml:space="preserve"> </w:t>
      </w:r>
      <w:proofErr w:type="gramStart"/>
      <w:r w:rsidRPr="00F8148F">
        <w:rPr>
          <w:i/>
        </w:rPr>
        <w:t xml:space="preserve">Util. </w:t>
      </w:r>
      <w:proofErr w:type="spellStart"/>
      <w:r w:rsidRPr="00F8148F">
        <w:rPr>
          <w:i/>
        </w:rPr>
        <w:t>Comm’n</w:t>
      </w:r>
      <w:proofErr w:type="spellEnd"/>
      <w:r>
        <w:t>, 79 Ohio St. 3d 509</w:t>
      </w:r>
      <w:r w:rsidR="00F8148F">
        <w:t xml:space="preserve">, 684 N.E.2d 43 (1997); </w:t>
      </w:r>
      <w:r w:rsidR="00F8148F" w:rsidRPr="00F8148F">
        <w:rPr>
          <w:i/>
        </w:rPr>
        <w:t>Grossman v. Pub.</w:t>
      </w:r>
      <w:proofErr w:type="gramEnd"/>
      <w:r w:rsidR="00F8148F" w:rsidRPr="00F8148F">
        <w:rPr>
          <w:i/>
        </w:rPr>
        <w:t xml:space="preserve"> </w:t>
      </w:r>
      <w:proofErr w:type="gramStart"/>
      <w:r w:rsidR="00F8148F" w:rsidRPr="00F8148F">
        <w:rPr>
          <w:i/>
        </w:rPr>
        <w:t xml:space="preserve">Util. </w:t>
      </w:r>
      <w:proofErr w:type="spellStart"/>
      <w:r w:rsidR="00F8148F" w:rsidRPr="00F8148F">
        <w:rPr>
          <w:i/>
        </w:rPr>
        <w:t>Comm’n</w:t>
      </w:r>
      <w:proofErr w:type="spellEnd"/>
      <w:r w:rsidR="00F8148F">
        <w:t>, 5 Ohio St. 2d 189, 214 N.E.2d 666 (1966).</w:t>
      </w:r>
      <w:proofErr w:type="gramEnd"/>
      <w:r w:rsidR="00AF72E5">
        <w:t xml:space="preserve">  Suburban has failed to meet its burden of proof.</w:t>
      </w:r>
      <w:r>
        <w:t xml:space="preserve"> </w:t>
      </w:r>
    </w:p>
    <w:p w:rsidR="00D91F99" w:rsidRDefault="00D91F99" w:rsidP="008F1372">
      <w:pPr>
        <w:pStyle w:val="BodyTextFirstIndent"/>
      </w:pPr>
      <w:r>
        <w:lastRenderedPageBreak/>
        <w:t>Suburban has proposed a rider to permit the recovery of costs associated with providing assistance to homebuilders in the construction of energy-efficient homes.  According to Suburban’s complaint, this financial assistance would be offered only in those situations where a builder has received an offer from another natural gas company to provide service at the same location.</w:t>
      </w:r>
      <w:r w:rsidR="002A618C">
        <w:t xml:space="preserve">  </w:t>
      </w:r>
      <w:r w:rsidR="00DA13D2">
        <w:t>Suburban alleges that this rider is necessary in order for it to compete effectively.</w:t>
      </w:r>
    </w:p>
    <w:p w:rsidR="00953127" w:rsidRDefault="00953127" w:rsidP="008F1372">
      <w:pPr>
        <w:pStyle w:val="BodyTextFirstIndent"/>
      </w:pPr>
      <w:r>
        <w:t>As demonstrated by the Staff, Suburban’s proposal</w:t>
      </w:r>
      <w:r w:rsidR="002B3B65">
        <w:t xml:space="preserve"> is not just and reasonable. </w:t>
      </w:r>
      <w:r>
        <w:t xml:space="preserve"> Staff presented testimony by Stephen E. Puican, the Co-Chief of the </w:t>
      </w:r>
      <w:r w:rsidR="00944244">
        <w:t xml:space="preserve">Commission’s </w:t>
      </w:r>
      <w:r>
        <w:t>Rates and Tariffs</w:t>
      </w:r>
      <w:r w:rsidR="00944244">
        <w:t>/</w:t>
      </w:r>
      <w:r>
        <w:t>Energy and Water Division.</w:t>
      </w:r>
      <w:r w:rsidR="00101E85">
        <w:t xml:space="preserve">  </w:t>
      </w:r>
      <w:r w:rsidR="004602AA">
        <w:t>Staff Ex. 1</w:t>
      </w:r>
      <w:r w:rsidR="009E518E">
        <w:t xml:space="preserve"> at 2.</w:t>
      </w:r>
      <w:r w:rsidR="004602AA">
        <w:t xml:space="preserve">  In this capacity, </w:t>
      </w:r>
      <w:r w:rsidR="00101E85">
        <w:t xml:space="preserve">Mr. Puican has </w:t>
      </w:r>
      <w:r w:rsidR="004602AA">
        <w:t xml:space="preserve">had </w:t>
      </w:r>
      <w:r w:rsidR="00101E85">
        <w:t>extensive experience</w:t>
      </w:r>
      <w:r w:rsidR="004602AA">
        <w:t xml:space="preserve"> in the regulation of the natural gas industry.</w:t>
      </w:r>
      <w:r w:rsidR="00B02486">
        <w:t xml:space="preserve">  </w:t>
      </w:r>
      <w:r w:rsidR="006319F5" w:rsidRPr="006319F5">
        <w:rPr>
          <w:i/>
        </w:rPr>
        <w:t>Id</w:t>
      </w:r>
      <w:r w:rsidR="006319F5">
        <w:t xml:space="preserve">. </w:t>
      </w:r>
      <w:r w:rsidR="009E518E">
        <w:t xml:space="preserve"> Significantly for this proceeding, h</w:t>
      </w:r>
      <w:r w:rsidR="00B02486">
        <w:t>e has overseen Staff review of utilities’ DSM programs.</w:t>
      </w:r>
      <w:r w:rsidR="006319F5">
        <w:t xml:space="preserve">  </w:t>
      </w:r>
      <w:r w:rsidR="006319F5" w:rsidRPr="006319F5">
        <w:rPr>
          <w:i/>
        </w:rPr>
        <w:t>Id</w:t>
      </w:r>
      <w:r w:rsidR="006319F5">
        <w:t>.</w:t>
      </w:r>
    </w:p>
    <w:p w:rsidR="00C224C6" w:rsidRDefault="00EA63E5" w:rsidP="008F1372">
      <w:pPr>
        <w:pStyle w:val="BodyTextFirstIndent"/>
      </w:pPr>
      <w:r>
        <w:t xml:space="preserve">According to the testimony of Suburban’s President, David L. Pemberton, Columbia Gas of Ohio currently offers a DSM program to provide incentives to home builders.  </w:t>
      </w:r>
      <w:proofErr w:type="gramStart"/>
      <w:r>
        <w:t>Suburban Ex. 1</w:t>
      </w:r>
      <w:r w:rsidR="009E518E">
        <w:t xml:space="preserve"> at 3.</w:t>
      </w:r>
      <w:proofErr w:type="gramEnd"/>
      <w:r>
        <w:t xml:space="preserve">  </w:t>
      </w:r>
      <w:r w:rsidR="00143F90">
        <w:t>Suburban asserts that it is at a disadvantage in competing with Columbia because it does not have a DSM rider.</w:t>
      </w:r>
    </w:p>
    <w:p w:rsidR="00FC4DD6" w:rsidRDefault="00C224C6" w:rsidP="008F1372">
      <w:pPr>
        <w:pStyle w:val="BodyTextFirstIndent"/>
      </w:pPr>
      <w:r>
        <w:t>As explained by Staff witness Puican, however, Suburban is not proposing a program that is comparable to Columbia’s program.</w:t>
      </w:r>
      <w:r w:rsidR="001331B3">
        <w:t xml:space="preserve">  Columbia’s new home construction program is one part of a comprehensive portfolio of DSM programs designed to encourage a wide spectrum of customers to invest in energy-efficiency.</w:t>
      </w:r>
      <w:r w:rsidR="009E518E">
        <w:t xml:space="preserve">  Staff Ex. 1 at 4.</w:t>
      </w:r>
      <w:r w:rsidR="000A4DFC">
        <w:t xml:space="preserve">  This portfolio of programs was designed with input from a stakeholder group.</w:t>
      </w:r>
    </w:p>
    <w:p w:rsidR="00437CC2" w:rsidRDefault="00FC4DD6" w:rsidP="008F1372">
      <w:pPr>
        <w:pStyle w:val="BodyTextFirstIndent"/>
      </w:pPr>
      <w:r>
        <w:lastRenderedPageBreak/>
        <w:t xml:space="preserve">Columbia’s DSM portfolio was initially approved by the Commission in 2008.  </w:t>
      </w:r>
      <w:r w:rsidRPr="00FC4DD6">
        <w:rPr>
          <w:i/>
        </w:rPr>
        <w:t>In</w:t>
      </w:r>
      <w:r>
        <w:t xml:space="preserve"> </w:t>
      </w:r>
      <w:r w:rsidRPr="00FC4DD6">
        <w:rPr>
          <w:i/>
        </w:rPr>
        <w:t>the Matter of the Application of Columbia Gas of Ohio, Inc. for Approval of a Demand</w:t>
      </w:r>
      <w:r>
        <w:t xml:space="preserve"> </w:t>
      </w:r>
      <w:r w:rsidRPr="00FC4DD6">
        <w:rPr>
          <w:i/>
        </w:rPr>
        <w:t>Side Management Program for Residential and Commercial Customers</w:t>
      </w:r>
      <w:r>
        <w:t>, Case No. 08-833-GA-UNC (Finding and Order) ( July 23, 2008).</w:t>
      </w:r>
      <w:r w:rsidR="00016D8C">
        <w:t xml:space="preserve">  The approved portfolio included several programs for both residential and commercial customers.</w:t>
      </w:r>
      <w:r w:rsidR="002F3A4D">
        <w:t xml:space="preserve">  These programs are described in detail in Columbia’s application filed in that docket on July 1, 2008.</w:t>
      </w:r>
      <w:r w:rsidR="005038D9">
        <w:t xml:space="preserve">  There were programs designed to benefit existing homeowners as well as new home builders. </w:t>
      </w:r>
      <w:r w:rsidR="00AD145B">
        <w:t xml:space="preserve">Owners of existing homes could obtain assistance with home energy audits and weatherization, for example.  </w:t>
      </w:r>
      <w:r w:rsidR="005038D9">
        <w:t xml:space="preserve">Included in the portfolio was a special program for low-income customers.  Also, Columbia demonstrated the cost-effectiveness of each of these programs. </w:t>
      </w:r>
    </w:p>
    <w:p w:rsidR="005E0E21" w:rsidRDefault="00437CC2" w:rsidP="008F1372">
      <w:pPr>
        <w:pStyle w:val="BodyTextFirstIndent"/>
      </w:pPr>
      <w:r>
        <w:t xml:space="preserve">Certain modifications to Columbia’s programs were approved by the Commission in Case No. 10-2480-GA-UNC.  Subsequently, Columbia proposed an expansion of its existing programs as well as new programs such as high-efficiency heating system rebates.  The Commission approved this expanded portfolio as recommended by a unanimous stipulation signed by all parties.  </w:t>
      </w:r>
      <w:r w:rsidRPr="00437CC2">
        <w:rPr>
          <w:i/>
        </w:rPr>
        <w:t>In the Matter of the Application of Columbia Gas of Ohio, Inc. for Approval of Demand-Side Management Programs for its</w:t>
      </w:r>
      <w:r>
        <w:t xml:space="preserve"> </w:t>
      </w:r>
      <w:r w:rsidRPr="00437CC2">
        <w:rPr>
          <w:i/>
        </w:rPr>
        <w:t>Residential and Commercial Customers</w:t>
      </w:r>
      <w:r>
        <w:t>, Case No. 11-5028-GA-UNC (Finding and Order) (December 14, 2011).</w:t>
      </w:r>
      <w:r w:rsidR="00CA1D8D">
        <w:t xml:space="preserve">  As </w:t>
      </w:r>
      <w:r w:rsidR="005402AC">
        <w:t>approved by the Commission</w:t>
      </w:r>
      <w:r w:rsidR="00CA1D8D">
        <w:t xml:space="preserve">, Columbia has a diverse portfolio of programs intended to benefit a </w:t>
      </w:r>
      <w:r w:rsidR="005402AC">
        <w:t>wide range</w:t>
      </w:r>
      <w:r w:rsidR="00CA1D8D">
        <w:t xml:space="preserve"> of customers.</w:t>
      </w:r>
      <w:r>
        <w:t xml:space="preserve">  </w:t>
      </w:r>
    </w:p>
    <w:p w:rsidR="00E040B5" w:rsidRDefault="005E0E21" w:rsidP="008F1372">
      <w:pPr>
        <w:pStyle w:val="BodyTextFirstIndent"/>
      </w:pPr>
      <w:r>
        <w:lastRenderedPageBreak/>
        <w:t>As pointed out by Mr. Puican in his testimony, Suburban’s proposed program is not comparable to Columbia’s.  Staff Ex. 1 at 4.  Suburban’s proposed program is a stand-alone program that would only be</w:t>
      </w:r>
      <w:r w:rsidR="00E2268F">
        <w:t>nefit</w:t>
      </w:r>
      <w:r>
        <w:t xml:space="preserve"> a limited number of customers.  Suburban has not proposed any programs, such as energy audits or rebates on high-efficiency </w:t>
      </w:r>
      <w:proofErr w:type="gramStart"/>
      <w:r>
        <w:t>furnaces</w:t>
      </w:r>
      <w:r w:rsidR="009C12ED">
        <w:t>,</w:t>
      </w:r>
      <w:r>
        <w:t xml:space="preserve"> that</w:t>
      </w:r>
      <w:proofErr w:type="gramEnd"/>
      <w:r>
        <w:t xml:space="preserve"> would be available to owners of existing homes.</w:t>
      </w:r>
      <w:r w:rsidR="009C12ED">
        <w:t xml:space="preserve">  While all of Suburban’s customers would be obliged to pay for the program through the rider, very few would directly benefit.  </w:t>
      </w:r>
      <w:r w:rsidR="009C12ED" w:rsidRPr="009C12ED">
        <w:rPr>
          <w:i/>
        </w:rPr>
        <w:t>Id</w:t>
      </w:r>
      <w:r w:rsidR="009C12ED">
        <w:t>.</w:t>
      </w:r>
      <w:r w:rsidR="004F62EB">
        <w:t xml:space="preserve">  While Mr. Pemberton asserted in his testimony that all customers would eventually benefit if Suburban’s sales volumes increased as a result of having a DSM rider, these </w:t>
      </w:r>
      <w:r w:rsidR="00E040B5">
        <w:t xml:space="preserve">potential </w:t>
      </w:r>
      <w:r w:rsidR="004F62EB">
        <w:t>benefits would only be realized by the customers when Suburban chose to file a rate case</w:t>
      </w:r>
      <w:r w:rsidR="00884F6F">
        <w:t>.  This is far different from having programs immediately available to a wide range of customers.  In sum, an examination of Suburban’s proposal with Columbia’s DSM portfolio shows that they are not substantially similar.</w:t>
      </w:r>
      <w:r w:rsidR="007826B6">
        <w:t xml:space="preserve">  This is not an apples-to-apples comparison.</w:t>
      </w:r>
    </w:p>
    <w:p w:rsidR="004D1D0D" w:rsidRDefault="00E040B5" w:rsidP="008F1372">
      <w:pPr>
        <w:pStyle w:val="BodyTextFirstIndent"/>
      </w:pPr>
      <w:r>
        <w:t>While labeled as a DSM program, Suburban’s proposal is in reality a competitive response program, as Mr. Puican explains in his testimony.  Staff Ex. 1 at 5.</w:t>
      </w:r>
      <w:r w:rsidR="008037C8">
        <w:t xml:space="preserve">  It is strictly intended to help Suburban compete with Columbia for new load.  Staff is unaware of any case in which the Commission approved such a proposal.  Approval of Suburban’s proposal would set a precedent and open the door for other proposals of this type.</w:t>
      </w:r>
      <w:r w:rsidR="00EA3F37">
        <w:t xml:space="preserve">  </w:t>
      </w:r>
      <w:proofErr w:type="gramStart"/>
      <w:r w:rsidR="00EA3F37" w:rsidRPr="00EA3F37">
        <w:rPr>
          <w:i/>
        </w:rPr>
        <w:t>Id</w:t>
      </w:r>
      <w:r w:rsidR="00EA3F37">
        <w:t>. at 6.</w:t>
      </w:r>
      <w:proofErr w:type="gramEnd"/>
      <w:r w:rsidR="00FD7A69">
        <w:t xml:space="preserve">  The majority of natural gas customers would then end up paying for benefits to a select group of customers who are targeted for marketing.</w:t>
      </w:r>
      <w:r w:rsidR="00E2045F">
        <w:t xml:space="preserve">  Further, Mr. Pemberton acknowledged under questioning by the Attorney Examiner that Suburban has not been </w:t>
      </w:r>
      <w:r w:rsidR="00E2045F">
        <w:lastRenderedPageBreak/>
        <w:t xml:space="preserve">directly approached to provide these demand-side services but only that they “anticipate” such requests in the future.  Hearing Tr. at 19, lines 22-25.  </w:t>
      </w:r>
      <w:r w:rsidR="00EB3F89">
        <w:t>Suburban’s anticipation of a potential problem in the future is hardly justification for the Commission to set a new precedent by approving this competitive response rider.</w:t>
      </w:r>
    </w:p>
    <w:p w:rsidR="00EA63E5" w:rsidRDefault="004D1D0D" w:rsidP="008F1372">
      <w:pPr>
        <w:pStyle w:val="BodyTextFirstIndent"/>
      </w:pPr>
      <w:r>
        <w:t xml:space="preserve">While Suburban asserts that its proposal is consistent with Ohio’s policy to encourage energy efficiency and energy </w:t>
      </w:r>
      <w:proofErr w:type="gramStart"/>
      <w:r>
        <w:t xml:space="preserve">conservation, </w:t>
      </w:r>
      <w:r w:rsidR="00A53C3A">
        <w:t>that</w:t>
      </w:r>
      <w:proofErr w:type="gramEnd"/>
      <w:r w:rsidR="00A53C3A">
        <w:t xml:space="preserve"> does not mean that the Commission should approve every proposal that purports to promote energy</w:t>
      </w:r>
      <w:r w:rsidR="00E040B5">
        <w:t xml:space="preserve"> </w:t>
      </w:r>
      <w:r w:rsidR="00A53C3A">
        <w:t xml:space="preserve">efficiency.  As Mr. Puican explained under cross examination, it is important to evaluate each proposal to make sure that is cost-effective and makes sense for all customers.  </w:t>
      </w:r>
      <w:proofErr w:type="gramStart"/>
      <w:r w:rsidR="00A53C3A">
        <w:t>Hearing Tr. at 60.</w:t>
      </w:r>
      <w:proofErr w:type="gramEnd"/>
      <w:r w:rsidR="00622CBB">
        <w:t xml:space="preserve">  The same is true of Suburban’s assertion that its proposal will promote competition in alignment with state policy.  Again, the fact that a proposal might have an impact on competition does not in itself require that the Commission approve the proposal.</w:t>
      </w:r>
      <w:r w:rsidR="005B4E12">
        <w:t xml:space="preserve">  As the Ohio Supreme Court has explained, statutory policy statements are guidelines for the Commission to consider in </w:t>
      </w:r>
      <w:r w:rsidR="009F7FD6">
        <w:t xml:space="preserve">evaluating utility proposals, and the Commission has discretion as to how best to implement the policies.  </w:t>
      </w:r>
      <w:proofErr w:type="gramStart"/>
      <w:r w:rsidR="009F7FD6" w:rsidRPr="009F7FD6">
        <w:rPr>
          <w:i/>
        </w:rPr>
        <w:t>In re Application of</w:t>
      </w:r>
      <w:r w:rsidR="009F7FD6">
        <w:t xml:space="preserve"> </w:t>
      </w:r>
      <w:r w:rsidR="009F7FD6" w:rsidRPr="009F7FD6">
        <w:rPr>
          <w:i/>
        </w:rPr>
        <w:t>Columbus Southern Power Co</w:t>
      </w:r>
      <w:r w:rsidR="009F7FD6">
        <w:t>., 128 Ohio St. 3d 512, 947 N.E. 2d 655 (2011).</w:t>
      </w:r>
      <w:proofErr w:type="gramEnd"/>
      <w:r w:rsidR="001C7D8F">
        <w:t xml:space="preserve">  When viewed as a whole, Suburban’s proposal is not just and reasonable.</w:t>
      </w:r>
      <w:r w:rsidR="00622CBB">
        <w:t xml:space="preserve"> </w:t>
      </w:r>
      <w:r w:rsidR="00A53C3A">
        <w:t xml:space="preserve"> </w:t>
      </w:r>
      <w:r w:rsidR="004F62EB">
        <w:t xml:space="preserve">  </w:t>
      </w:r>
      <w:r w:rsidR="00437CC2">
        <w:t xml:space="preserve"> </w:t>
      </w:r>
      <w:r w:rsidR="00016D8C">
        <w:t xml:space="preserve"> </w:t>
      </w:r>
      <w:r w:rsidR="009E518E">
        <w:t xml:space="preserve"> </w:t>
      </w:r>
      <w:r w:rsidR="00EA63E5">
        <w:t xml:space="preserve">  </w:t>
      </w:r>
    </w:p>
    <w:p w:rsidR="009B6081" w:rsidRPr="006A54BF" w:rsidRDefault="009B6081" w:rsidP="00EA15EC">
      <w:pPr>
        <w:rPr>
          <w:rFonts w:ascii="Times New Roman" w:hAnsi="Times New Roman"/>
          <w:sz w:val="26"/>
          <w:szCs w:val="26"/>
        </w:rPr>
      </w:pPr>
    </w:p>
    <w:p w:rsidR="0057270A" w:rsidRDefault="0057270A" w:rsidP="0057270A">
      <w:pPr>
        <w:pStyle w:val="Heading1"/>
      </w:pPr>
      <w:r>
        <w:t>III.</w:t>
      </w:r>
      <w:r>
        <w:tab/>
        <w:t>CONCLUSION</w:t>
      </w:r>
    </w:p>
    <w:p w:rsidR="00066DE4" w:rsidRDefault="004617E6" w:rsidP="00A033F9">
      <w:pPr>
        <w:pStyle w:val="BodyTextFirstIndent"/>
      </w:pPr>
      <w:r>
        <w:t>For the foregoing reasons, t</w:t>
      </w:r>
      <w:r w:rsidR="00066DE4">
        <w:t>he Staff recommends that the Commission</w:t>
      </w:r>
      <w:r>
        <w:t xml:space="preserve"> not approve Suburban’s proposed rider.</w:t>
      </w:r>
      <w:r w:rsidR="00066DE4">
        <w:t xml:space="preserve"> </w:t>
      </w:r>
      <w:r w:rsidR="00066DE4">
        <w:br w:type="page"/>
      </w:r>
    </w:p>
    <w:p w:rsidR="00066DE4" w:rsidRDefault="00066DE4" w:rsidP="00066DE4"/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Respectfully submitted,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p w:rsidR="00066DE4" w:rsidRPr="00066DE4" w:rsidRDefault="002E34D0" w:rsidP="00066DE4">
      <w:pPr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Mike DeWine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Attorney General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p w:rsidR="00066DE4" w:rsidRPr="00066DE4" w:rsidRDefault="002E34D0" w:rsidP="00066DE4">
      <w:pPr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Section Chief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___________________________</w:t>
      </w:r>
    </w:p>
    <w:p w:rsidR="00066DE4" w:rsidRPr="00066DE4" w:rsidRDefault="00066DE4" w:rsidP="00066DE4">
      <w:pPr>
        <w:ind w:left="5040"/>
        <w:rPr>
          <w:rFonts w:ascii="Times New Roman" w:hAnsi="Times New Roman"/>
          <w:b/>
          <w:sz w:val="26"/>
          <w:szCs w:val="26"/>
        </w:rPr>
      </w:pPr>
      <w:r w:rsidRPr="00066DE4">
        <w:rPr>
          <w:rFonts w:ascii="Times New Roman" w:hAnsi="Times New Roman"/>
          <w:b/>
          <w:sz w:val="26"/>
          <w:szCs w:val="26"/>
        </w:rPr>
        <w:t>Thomas G. Lindgren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Assistant Attorney General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Public Utilities Section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180 East Broad Street, 6</w:t>
      </w:r>
      <w:r w:rsidRPr="00066DE4">
        <w:rPr>
          <w:rFonts w:ascii="Times New Roman" w:hAnsi="Times New Roman"/>
          <w:sz w:val="26"/>
          <w:szCs w:val="26"/>
          <w:vertAlign w:val="superscript"/>
        </w:rPr>
        <w:t>th</w:t>
      </w:r>
      <w:r w:rsidRPr="00066DE4">
        <w:rPr>
          <w:rFonts w:ascii="Times New Roman" w:hAnsi="Times New Roman"/>
          <w:sz w:val="26"/>
          <w:szCs w:val="26"/>
        </w:rPr>
        <w:t xml:space="preserve"> Floor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Columbus, Ohio  43215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T:  (614) 466-4395</w:t>
      </w: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  <w:r w:rsidRPr="00066DE4">
        <w:rPr>
          <w:rFonts w:ascii="Times New Roman" w:hAnsi="Times New Roman"/>
          <w:sz w:val="26"/>
          <w:szCs w:val="26"/>
        </w:rPr>
        <w:t>F:  (614) 644-8764</w:t>
      </w:r>
    </w:p>
    <w:p w:rsidR="00066DE4" w:rsidRPr="00066DE4" w:rsidRDefault="00081D3E" w:rsidP="00066DE4">
      <w:pPr>
        <w:ind w:left="5040"/>
        <w:rPr>
          <w:rFonts w:ascii="Times New Roman" w:hAnsi="Times New Roman"/>
          <w:sz w:val="26"/>
          <w:szCs w:val="26"/>
        </w:rPr>
      </w:pPr>
      <w:hyperlink r:id="rId15" w:history="1">
        <w:r w:rsidR="00066DE4" w:rsidRPr="00066DE4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  <w:r w:rsidR="00066DE4" w:rsidRPr="00066DE4">
        <w:rPr>
          <w:rFonts w:ascii="Times New Roman" w:hAnsi="Times New Roman"/>
          <w:sz w:val="26"/>
          <w:szCs w:val="26"/>
        </w:rPr>
        <w:t>’</w:t>
      </w:r>
    </w:p>
    <w:p w:rsidR="00066DE4" w:rsidRDefault="00066DE4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2E34D0" w:rsidRDefault="002E34D0" w:rsidP="00066DE4">
      <w:pPr>
        <w:jc w:val="center"/>
        <w:rPr>
          <w:rFonts w:ascii="Times New Roman" w:hAnsi="Times New Roman"/>
          <w:sz w:val="26"/>
          <w:szCs w:val="26"/>
        </w:rPr>
      </w:pPr>
    </w:p>
    <w:p w:rsidR="00066DE4" w:rsidRPr="00066DE4" w:rsidRDefault="00066DE4" w:rsidP="00066DE4">
      <w:pPr>
        <w:jc w:val="center"/>
        <w:rPr>
          <w:rFonts w:ascii="Times New Roman" w:hAnsi="Times New Roman"/>
          <w:b/>
          <w:sz w:val="26"/>
          <w:szCs w:val="26"/>
        </w:rPr>
      </w:pPr>
      <w:r w:rsidRPr="00066DE4">
        <w:rPr>
          <w:rFonts w:ascii="Times New Roman" w:hAnsi="Times New Roman"/>
          <w:b/>
          <w:sz w:val="26"/>
          <w:szCs w:val="26"/>
        </w:rPr>
        <w:lastRenderedPageBreak/>
        <w:t>CERTIFICATE OF SERVICE</w:t>
      </w:r>
    </w:p>
    <w:p w:rsidR="00066DE4" w:rsidRDefault="00066DE4" w:rsidP="00066DE4">
      <w:pPr>
        <w:rPr>
          <w:rFonts w:ascii="Times New Roman" w:hAnsi="Times New Roman"/>
          <w:sz w:val="26"/>
          <w:szCs w:val="26"/>
        </w:rPr>
      </w:pPr>
    </w:p>
    <w:p w:rsidR="00066DE4" w:rsidRDefault="00066DE4" w:rsidP="00066DE4">
      <w:pPr>
        <w:pStyle w:val="BodyTextFirstIndent"/>
      </w:pPr>
      <w:r>
        <w:tab/>
        <w:t xml:space="preserve">I certify that a copy of the foregoing </w:t>
      </w:r>
      <w:r>
        <w:rPr>
          <w:b/>
        </w:rPr>
        <w:t xml:space="preserve">Post-Hearing Brief </w:t>
      </w:r>
      <w:r>
        <w:t xml:space="preserve">submitted by the Staff of the Public Utilities of Ohio was sent by electronic mail </w:t>
      </w:r>
      <w:bookmarkStart w:id="0" w:name="_GoBack"/>
      <w:bookmarkEnd w:id="0"/>
      <w:r>
        <w:t xml:space="preserve">to the parties listed on </w:t>
      </w:r>
      <w:r w:rsidR="002E34D0">
        <w:t xml:space="preserve">July </w:t>
      </w:r>
      <w:r>
        <w:t>9, 201</w:t>
      </w:r>
      <w:r w:rsidR="002E34D0">
        <w:t>2</w:t>
      </w:r>
      <w:r>
        <w:t>.</w:t>
      </w:r>
    </w:p>
    <w:p w:rsidR="00066DE4" w:rsidRDefault="00066DE4" w:rsidP="00066DE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484C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92484C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92484C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92484C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92484C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066DE4" w:rsidRPr="00066DE4" w:rsidRDefault="00066DE4" w:rsidP="00B67A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DE4">
              <w:rPr>
                <w:rFonts w:ascii="Times New Roman" w:hAnsi="Times New Roman"/>
                <w:b/>
                <w:sz w:val="26"/>
                <w:szCs w:val="26"/>
              </w:rPr>
              <w:t>Thomas Lindgren</w:t>
            </w:r>
          </w:p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</w:rPr>
            </w:pPr>
            <w:r w:rsidRPr="0092484C">
              <w:rPr>
                <w:rFonts w:ascii="Times New Roman" w:hAnsi="Times New Roman"/>
                <w:sz w:val="26"/>
                <w:szCs w:val="26"/>
              </w:rPr>
              <w:t>Assistant Attorney General</w:t>
            </w:r>
          </w:p>
        </w:tc>
      </w:tr>
    </w:tbl>
    <w:p w:rsidR="00066DE4" w:rsidRPr="004E79D9" w:rsidRDefault="00066DE4" w:rsidP="00066DE4">
      <w:pPr>
        <w:rPr>
          <w:rFonts w:ascii="Times New Roman" w:hAnsi="Times New Roman"/>
          <w:sz w:val="26"/>
          <w:szCs w:val="26"/>
        </w:rPr>
      </w:pPr>
    </w:p>
    <w:p w:rsidR="00066DE4" w:rsidRDefault="00066DE4" w:rsidP="00066DE4">
      <w:pPr>
        <w:rPr>
          <w:rFonts w:ascii="Times New Roman" w:hAnsi="Times New Roman"/>
          <w:b/>
          <w:sz w:val="26"/>
          <w:szCs w:val="26"/>
        </w:rPr>
      </w:pPr>
      <w:r w:rsidRPr="00153D13">
        <w:rPr>
          <w:rFonts w:ascii="Times New Roman" w:hAnsi="Times New Roman"/>
          <w:b/>
          <w:sz w:val="26"/>
          <w:szCs w:val="26"/>
        </w:rPr>
        <w:t>PARTIES OF RECORD:</w:t>
      </w:r>
    </w:p>
    <w:p w:rsidR="002E34D0" w:rsidRDefault="002E34D0" w:rsidP="00066DE4">
      <w:pPr>
        <w:rPr>
          <w:rFonts w:ascii="Times New Roman" w:hAnsi="Times New Roman"/>
          <w:b/>
          <w:sz w:val="26"/>
          <w:szCs w:val="26"/>
        </w:rPr>
      </w:pPr>
    </w:p>
    <w:p w:rsidR="002E34D0" w:rsidRDefault="002E34D0" w:rsidP="00066DE4">
      <w:pPr>
        <w:rPr>
          <w:rFonts w:ascii="Times New Roman" w:hAnsi="Times New Roman"/>
          <w:sz w:val="26"/>
          <w:szCs w:val="26"/>
        </w:rPr>
      </w:pPr>
      <w:r w:rsidRPr="002E34D0">
        <w:rPr>
          <w:rFonts w:ascii="Times New Roman" w:hAnsi="Times New Roman"/>
          <w:sz w:val="26"/>
          <w:szCs w:val="26"/>
        </w:rPr>
        <w:t>William J. Michael</w:t>
      </w:r>
    </w:p>
    <w:p w:rsidR="002E34D0" w:rsidRDefault="002E34D0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Suburban Natural Gas Co.</w:t>
      </w:r>
    </w:p>
    <w:p w:rsidR="002E34D0" w:rsidRDefault="002E34D0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2626 Lewis Center Road</w:t>
      </w:r>
    </w:p>
    <w:p w:rsidR="002E34D0" w:rsidRDefault="002E34D0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Lewis Center, Ohio 43035</w:t>
      </w:r>
    </w:p>
    <w:p w:rsidR="005B4DBD" w:rsidRDefault="005B4DBD" w:rsidP="00066DE4">
      <w:pPr>
        <w:rPr>
          <w:rFonts w:ascii="Times New Roman" w:hAnsi="Times New Roman"/>
          <w:sz w:val="26"/>
          <w:szCs w:val="26"/>
        </w:rPr>
      </w:pPr>
    </w:p>
    <w:p w:rsidR="005B4DBD" w:rsidRDefault="005B4DBD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Mark S. </w:t>
      </w:r>
      <w:proofErr w:type="spellStart"/>
      <w:r>
        <w:rPr>
          <w:rFonts w:ascii="Times New Roman" w:hAnsi="Times New Roman"/>
          <w:sz w:val="26"/>
          <w:szCs w:val="26"/>
        </w:rPr>
        <w:t>Yurick</w:t>
      </w:r>
      <w:proofErr w:type="spellEnd"/>
    </w:p>
    <w:p w:rsidR="005B4DBD" w:rsidRDefault="005B4DBD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Taft Stettinius &amp; Hollister LLP</w:t>
      </w:r>
    </w:p>
    <w:p w:rsidR="005B4DBD" w:rsidRDefault="005B4DBD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 East State Street</w:t>
      </w:r>
    </w:p>
    <w:p w:rsidR="005B4DBD" w:rsidRDefault="005B4DBD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Suite 1000</w:t>
      </w:r>
    </w:p>
    <w:p w:rsidR="005B4DBD" w:rsidRPr="002E34D0" w:rsidRDefault="005B4DBD" w:rsidP="00066D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Ohio 43215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1336"/>
        <w:gridCol w:w="3452"/>
      </w:tblGrid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B67A8D">
        <w:trPr>
          <w:cantSplit/>
        </w:trPr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B67A8D">
        <w:tc>
          <w:tcPr>
            <w:tcW w:w="4788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CB3544">
        <w:tc>
          <w:tcPr>
            <w:tcW w:w="6124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452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CB3544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2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CB3544">
        <w:tc>
          <w:tcPr>
            <w:tcW w:w="6124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2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6DE4" w:rsidRPr="0092484C" w:rsidTr="00CB3544">
        <w:tc>
          <w:tcPr>
            <w:tcW w:w="6124" w:type="dxa"/>
            <w:gridSpan w:val="2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2" w:type="dxa"/>
            <w:shd w:val="clear" w:color="auto" w:fill="auto"/>
          </w:tcPr>
          <w:p w:rsidR="00066DE4" w:rsidRPr="0092484C" w:rsidRDefault="00066DE4" w:rsidP="00B67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6DE4" w:rsidRPr="00EA0C73" w:rsidRDefault="00066DE4" w:rsidP="00066DE4">
      <w:pPr>
        <w:rPr>
          <w:rFonts w:ascii="Times New Roman" w:hAnsi="Times New Roman"/>
          <w:sz w:val="26"/>
          <w:szCs w:val="26"/>
        </w:rPr>
      </w:pPr>
    </w:p>
    <w:p w:rsidR="00066DE4" w:rsidRPr="00066DE4" w:rsidRDefault="00066DE4" w:rsidP="00066DE4">
      <w:pPr>
        <w:ind w:left="5040"/>
        <w:rPr>
          <w:rFonts w:ascii="Times New Roman" w:hAnsi="Times New Roman"/>
          <w:sz w:val="26"/>
          <w:szCs w:val="26"/>
        </w:rPr>
      </w:pPr>
    </w:p>
    <w:sectPr w:rsidR="00066DE4" w:rsidRPr="00066DE4" w:rsidSect="00E64F15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0" w:rsidRDefault="002E34D0" w:rsidP="007B7F5B">
      <w:r>
        <w:separator/>
      </w:r>
    </w:p>
  </w:endnote>
  <w:endnote w:type="continuationSeparator" w:id="0">
    <w:p w:rsidR="002E34D0" w:rsidRDefault="002E34D0" w:rsidP="007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84109"/>
      <w:docPartObj>
        <w:docPartGallery w:val="Page Numbers (Bottom of Page)"/>
        <w:docPartUnique/>
      </w:docPartObj>
    </w:sdtPr>
    <w:sdtEndPr/>
    <w:sdtContent>
      <w:p w:rsidR="002E34D0" w:rsidRDefault="002E3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D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34D0" w:rsidRDefault="002E34D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0" w:rsidRDefault="002E34D0" w:rsidP="007B7F5B">
      <w:r>
        <w:separator/>
      </w:r>
    </w:p>
  </w:footnote>
  <w:footnote w:type="continuationSeparator" w:id="0">
    <w:p w:rsidR="002E34D0" w:rsidRDefault="002E34D0" w:rsidP="007B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0" w:rsidRDefault="002E34D0">
    <w:pPr>
      <w:pStyle w:val="Header"/>
      <w:jc w:val="center"/>
    </w:pPr>
  </w:p>
  <w:p w:rsidR="002E34D0" w:rsidRDefault="002E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0C1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2C4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EE5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BE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AA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E7D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667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4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F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5638AD"/>
    <w:multiLevelType w:val="hybridMultilevel"/>
    <w:tmpl w:val="5A861982"/>
    <w:lvl w:ilvl="0" w:tplc="50E6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4D12"/>
    <w:multiLevelType w:val="hybridMultilevel"/>
    <w:tmpl w:val="F7B21C8E"/>
    <w:lvl w:ilvl="0" w:tplc="1A9C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B634D"/>
    <w:multiLevelType w:val="hybridMultilevel"/>
    <w:tmpl w:val="4C5857D4"/>
    <w:lvl w:ilvl="0" w:tplc="DED0828C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698"/>
    <w:rsid w:val="00016D8C"/>
    <w:rsid w:val="00036C17"/>
    <w:rsid w:val="00052312"/>
    <w:rsid w:val="00066DE4"/>
    <w:rsid w:val="00081D3E"/>
    <w:rsid w:val="000A4DFC"/>
    <w:rsid w:val="000D336F"/>
    <w:rsid w:val="00101E85"/>
    <w:rsid w:val="001261C2"/>
    <w:rsid w:val="001331B3"/>
    <w:rsid w:val="0014041E"/>
    <w:rsid w:val="00143F90"/>
    <w:rsid w:val="001B2140"/>
    <w:rsid w:val="001B6035"/>
    <w:rsid w:val="001C7D8F"/>
    <w:rsid w:val="001E46D7"/>
    <w:rsid w:val="001E7A47"/>
    <w:rsid w:val="00212BC2"/>
    <w:rsid w:val="0021725B"/>
    <w:rsid w:val="00233A5E"/>
    <w:rsid w:val="00247669"/>
    <w:rsid w:val="002A618C"/>
    <w:rsid w:val="002B3B65"/>
    <w:rsid w:val="002E34D0"/>
    <w:rsid w:val="002F3A4D"/>
    <w:rsid w:val="00310A98"/>
    <w:rsid w:val="003D3DCB"/>
    <w:rsid w:val="00437CC2"/>
    <w:rsid w:val="004602AA"/>
    <w:rsid w:val="004617E6"/>
    <w:rsid w:val="004D1D0D"/>
    <w:rsid w:val="004F62EB"/>
    <w:rsid w:val="005038D9"/>
    <w:rsid w:val="005402AC"/>
    <w:rsid w:val="0057270A"/>
    <w:rsid w:val="005B4DBD"/>
    <w:rsid w:val="005B4E12"/>
    <w:rsid w:val="005E0E21"/>
    <w:rsid w:val="005F214B"/>
    <w:rsid w:val="005F3D87"/>
    <w:rsid w:val="006201A7"/>
    <w:rsid w:val="00622CBB"/>
    <w:rsid w:val="006319F5"/>
    <w:rsid w:val="006A54BF"/>
    <w:rsid w:val="006B51DA"/>
    <w:rsid w:val="00704411"/>
    <w:rsid w:val="007826B6"/>
    <w:rsid w:val="007B7F5B"/>
    <w:rsid w:val="007E2766"/>
    <w:rsid w:val="008037C8"/>
    <w:rsid w:val="00884F6F"/>
    <w:rsid w:val="008A17A2"/>
    <w:rsid w:val="008F1372"/>
    <w:rsid w:val="00944244"/>
    <w:rsid w:val="00953127"/>
    <w:rsid w:val="009A5B11"/>
    <w:rsid w:val="009B6081"/>
    <w:rsid w:val="009C12ED"/>
    <w:rsid w:val="009E4C68"/>
    <w:rsid w:val="009E518E"/>
    <w:rsid w:val="009E6DD4"/>
    <w:rsid w:val="009F7FD6"/>
    <w:rsid w:val="00A033F9"/>
    <w:rsid w:val="00A11C64"/>
    <w:rsid w:val="00A31902"/>
    <w:rsid w:val="00A53C3A"/>
    <w:rsid w:val="00AD145B"/>
    <w:rsid w:val="00AF72E5"/>
    <w:rsid w:val="00B02486"/>
    <w:rsid w:val="00B67A8D"/>
    <w:rsid w:val="00BC1FDC"/>
    <w:rsid w:val="00BC3698"/>
    <w:rsid w:val="00C224C6"/>
    <w:rsid w:val="00CA1D8D"/>
    <w:rsid w:val="00CB3544"/>
    <w:rsid w:val="00D0674C"/>
    <w:rsid w:val="00D91F99"/>
    <w:rsid w:val="00D97932"/>
    <w:rsid w:val="00DA13D2"/>
    <w:rsid w:val="00E040B5"/>
    <w:rsid w:val="00E2045F"/>
    <w:rsid w:val="00E2268F"/>
    <w:rsid w:val="00E33E2C"/>
    <w:rsid w:val="00E64F15"/>
    <w:rsid w:val="00EA15EC"/>
    <w:rsid w:val="00EA3F37"/>
    <w:rsid w:val="00EA63E5"/>
    <w:rsid w:val="00EB3F89"/>
    <w:rsid w:val="00F070A1"/>
    <w:rsid w:val="00F25C90"/>
    <w:rsid w:val="00F53A54"/>
    <w:rsid w:val="00F8148F"/>
    <w:rsid w:val="00FC4DD6"/>
    <w:rsid w:val="00FD7A69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1E"/>
    <w:pPr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4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270A"/>
    <w:pPr>
      <w:keepNext/>
      <w:numPr>
        <w:numId w:val="3"/>
      </w:numPr>
      <w:spacing w:before="240" w:after="120"/>
      <w:ind w:right="720"/>
      <w:outlineLvl w:val="1"/>
    </w:pPr>
    <w:rPr>
      <w:rFonts w:ascii="Times New Roman" w:eastAsiaTheme="majorEastAsia" w:hAnsi="Times New Roman" w:cstheme="majorBid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7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5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5B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6A54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041E"/>
    <w:rPr>
      <w:rFonts w:asciiTheme="majorHAnsi" w:eastAsiaTheme="majorEastAsia" w:hAnsiTheme="majorHAnsi" w:cstheme="majorBidi"/>
      <w:b/>
      <w:bCs/>
      <w:kern w:val="32"/>
      <w:sz w:val="26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40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041E"/>
    <w:rPr>
      <w:sz w:val="24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F1372"/>
    <w:pPr>
      <w:spacing w:before="240" w:after="0" w:line="480" w:lineRule="auto"/>
      <w:ind w:firstLine="720"/>
    </w:pPr>
    <w:rPr>
      <w:rFonts w:ascii="Times New Roman" w:hAnsi="Times New Roman"/>
      <w:sz w:val="2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F1372"/>
    <w:rPr>
      <w:rFonts w:ascii="Times New Roman" w:hAnsi="Times New Roman"/>
      <w:sz w:val="26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6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6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270A"/>
    <w:rPr>
      <w:rFonts w:ascii="Times New Roman" w:eastAsiaTheme="majorEastAsia" w:hAnsi="Times New Roman" w:cstheme="majorBidi"/>
      <w:b/>
      <w:bCs/>
      <w:iCs/>
      <w:sz w:val="26"/>
      <w:szCs w:val="28"/>
    </w:rPr>
  </w:style>
  <w:style w:type="paragraph" w:styleId="BlockText">
    <w:name w:val="Block Text"/>
    <w:basedOn w:val="Normal"/>
    <w:uiPriority w:val="99"/>
    <w:unhideWhenUsed/>
    <w:rsid w:val="00A11C64"/>
    <w:pPr>
      <w:spacing w:after="120"/>
      <w:ind w:left="1440" w:right="144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A11C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1C64"/>
    <w:rPr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7270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homas.lindgren@puc.state.oh.u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</dc:creator>
  <cp:lastModifiedBy>Lindgren, Thomas</cp:lastModifiedBy>
  <cp:revision>60</cp:revision>
  <cp:lastPrinted>2010-03-24T14:50:00Z</cp:lastPrinted>
  <dcterms:created xsi:type="dcterms:W3CDTF">2012-07-02T12:47:00Z</dcterms:created>
  <dcterms:modified xsi:type="dcterms:W3CDTF">2012-07-09T14:59:00Z</dcterms:modified>
</cp:coreProperties>
</file>