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798" w:rsidRPr="00072B32" w:rsidRDefault="00432798" w:rsidP="00DA67E3">
      <w:pPr>
        <w:spacing w:line="240" w:lineRule="auto"/>
        <w:ind w:firstLine="0"/>
        <w:jc w:val="center"/>
        <w:rPr>
          <w:rFonts w:eastAsia="Times New Roman" w:cs="Arial"/>
          <w:b/>
          <w:smallCaps/>
          <w:sz w:val="28"/>
        </w:rPr>
      </w:pPr>
      <w:r w:rsidRPr="00072B32">
        <w:rPr>
          <w:rFonts w:eastAsia="Times New Roman" w:cs="Arial"/>
          <w:b/>
          <w:smallCaps/>
          <w:sz w:val="28"/>
        </w:rPr>
        <w:t>Before</w:t>
      </w:r>
    </w:p>
    <w:p w:rsidR="00432798" w:rsidRPr="00072B32" w:rsidRDefault="00432798" w:rsidP="00DA67E3">
      <w:pPr>
        <w:spacing w:line="240" w:lineRule="auto"/>
        <w:ind w:firstLine="0"/>
        <w:jc w:val="center"/>
        <w:rPr>
          <w:rFonts w:eastAsia="Times New Roman" w:cs="Arial"/>
          <w:smallCaps/>
          <w:sz w:val="28"/>
        </w:rPr>
      </w:pPr>
      <w:r w:rsidRPr="00072B32">
        <w:rPr>
          <w:rFonts w:eastAsia="Times New Roman" w:cs="Arial"/>
          <w:b/>
          <w:smallCaps/>
          <w:sz w:val="28"/>
        </w:rPr>
        <w:t>The Public Utilities Commission of Ohio</w:t>
      </w:r>
    </w:p>
    <w:p w:rsidR="00432798" w:rsidRPr="00072B32" w:rsidRDefault="00432798" w:rsidP="00DA67E3">
      <w:pPr>
        <w:spacing w:line="240" w:lineRule="auto"/>
        <w:ind w:firstLine="0"/>
        <w:jc w:val="left"/>
        <w:rPr>
          <w:rFonts w:eastAsia="Times New Roman" w:cs="Arial"/>
        </w:rPr>
      </w:pPr>
    </w:p>
    <w:p w:rsidR="00432798" w:rsidRPr="00072B32" w:rsidRDefault="00432798" w:rsidP="00DA67E3">
      <w:pPr>
        <w:tabs>
          <w:tab w:val="left" w:pos="4680"/>
        </w:tabs>
        <w:spacing w:line="240" w:lineRule="auto"/>
        <w:ind w:firstLine="0"/>
        <w:rPr>
          <w:rFonts w:eastAsia="Times New Roman" w:cs="Arial"/>
        </w:rPr>
      </w:pPr>
      <w:r w:rsidRPr="00072B32">
        <w:rPr>
          <w:rFonts w:eastAsia="Times New Roman" w:cs="Arial"/>
        </w:rPr>
        <w:t xml:space="preserve">In the Matter of the Application of </w:t>
      </w:r>
      <w:r w:rsidRPr="00072B32">
        <w:rPr>
          <w:rFonts w:eastAsia="Times New Roman" w:cs="Arial"/>
        </w:rPr>
        <w:tab/>
        <w:t>)</w:t>
      </w:r>
    </w:p>
    <w:p w:rsidR="00432798" w:rsidRPr="00072B32" w:rsidRDefault="00432798" w:rsidP="00DA67E3">
      <w:pPr>
        <w:tabs>
          <w:tab w:val="left" w:pos="4680"/>
        </w:tabs>
        <w:spacing w:line="240" w:lineRule="auto"/>
        <w:ind w:firstLine="0"/>
        <w:rPr>
          <w:rFonts w:eastAsia="Times New Roman" w:cs="Arial"/>
        </w:rPr>
      </w:pPr>
      <w:r w:rsidRPr="00072B32">
        <w:rPr>
          <w:rFonts w:eastAsia="Times New Roman" w:cs="Arial"/>
        </w:rPr>
        <w:t>Ohio Power Company for Authority to</w:t>
      </w:r>
      <w:r w:rsidRPr="00072B32">
        <w:rPr>
          <w:rFonts w:eastAsia="Times New Roman" w:cs="Arial"/>
        </w:rPr>
        <w:tab/>
        <w:t>)</w:t>
      </w:r>
    </w:p>
    <w:p w:rsidR="00432798" w:rsidRPr="00072B32" w:rsidRDefault="00432798" w:rsidP="00DA67E3">
      <w:pPr>
        <w:tabs>
          <w:tab w:val="left" w:pos="4680"/>
        </w:tabs>
        <w:spacing w:line="240" w:lineRule="auto"/>
        <w:ind w:firstLine="0"/>
        <w:rPr>
          <w:rFonts w:eastAsia="Times New Roman" w:cs="Arial"/>
        </w:rPr>
      </w:pPr>
      <w:r w:rsidRPr="00072B32">
        <w:rPr>
          <w:rFonts w:eastAsia="Times New Roman" w:cs="Arial"/>
        </w:rPr>
        <w:t>Establish a Standard Service Offer</w:t>
      </w:r>
      <w:r w:rsidRPr="00072B32">
        <w:rPr>
          <w:rFonts w:eastAsia="Times New Roman" w:cs="Arial"/>
        </w:rPr>
        <w:tab/>
        <w:t xml:space="preserve">) </w:t>
      </w:r>
      <w:r w:rsidRPr="00072B32">
        <w:rPr>
          <w:rFonts w:eastAsia="Times New Roman" w:cs="Arial"/>
        </w:rPr>
        <w:tab/>
        <w:t>Case No. 13-2385-EL-SSO</w:t>
      </w:r>
    </w:p>
    <w:p w:rsidR="00432798" w:rsidRPr="00072B32" w:rsidRDefault="00432798" w:rsidP="00DA67E3">
      <w:pPr>
        <w:tabs>
          <w:tab w:val="left" w:pos="4680"/>
        </w:tabs>
        <w:spacing w:line="240" w:lineRule="auto"/>
        <w:ind w:firstLine="0"/>
        <w:rPr>
          <w:rFonts w:eastAsia="Times New Roman" w:cs="Arial"/>
        </w:rPr>
      </w:pPr>
      <w:r w:rsidRPr="00072B32">
        <w:rPr>
          <w:rFonts w:eastAsia="Times New Roman" w:cs="Arial"/>
        </w:rPr>
        <w:t>Pursuant to §4928.143, Revised Code,</w:t>
      </w:r>
      <w:r w:rsidRPr="00072B32">
        <w:rPr>
          <w:rFonts w:eastAsia="Times New Roman" w:cs="Arial"/>
        </w:rPr>
        <w:tab/>
        <w:t>)</w:t>
      </w:r>
    </w:p>
    <w:p w:rsidR="00432798" w:rsidRPr="00072B32" w:rsidRDefault="00432798" w:rsidP="00DA67E3">
      <w:pPr>
        <w:tabs>
          <w:tab w:val="left" w:pos="4680"/>
        </w:tabs>
        <w:spacing w:line="240" w:lineRule="auto"/>
        <w:ind w:firstLine="0"/>
        <w:rPr>
          <w:rFonts w:eastAsia="Times New Roman" w:cs="Arial"/>
        </w:rPr>
      </w:pPr>
      <w:r w:rsidRPr="00072B32">
        <w:rPr>
          <w:rFonts w:eastAsia="Times New Roman" w:cs="Arial"/>
        </w:rPr>
        <w:t>in the Form of an Electric Security Plan.</w:t>
      </w:r>
      <w:r w:rsidRPr="00072B32">
        <w:rPr>
          <w:rFonts w:eastAsia="Times New Roman" w:cs="Arial"/>
        </w:rPr>
        <w:tab/>
        <w:t>)</w:t>
      </w:r>
    </w:p>
    <w:p w:rsidR="00432798" w:rsidRPr="00072B32" w:rsidRDefault="00432798" w:rsidP="00DA67E3">
      <w:pPr>
        <w:tabs>
          <w:tab w:val="left" w:pos="4680"/>
        </w:tabs>
        <w:spacing w:line="240" w:lineRule="auto"/>
        <w:ind w:firstLine="0"/>
        <w:rPr>
          <w:rFonts w:eastAsia="Times New Roman" w:cs="Arial"/>
        </w:rPr>
      </w:pPr>
    </w:p>
    <w:p w:rsidR="00432798" w:rsidRPr="00072B32" w:rsidRDefault="00432798" w:rsidP="00DA67E3">
      <w:pPr>
        <w:tabs>
          <w:tab w:val="left" w:pos="4680"/>
        </w:tabs>
        <w:spacing w:line="240" w:lineRule="auto"/>
        <w:ind w:firstLine="0"/>
        <w:rPr>
          <w:rFonts w:eastAsia="Times New Roman" w:cs="Arial"/>
        </w:rPr>
      </w:pPr>
      <w:r w:rsidRPr="00072B32">
        <w:rPr>
          <w:rFonts w:eastAsia="Times New Roman" w:cs="Arial"/>
        </w:rPr>
        <w:t>In the Matter of the Application of</w:t>
      </w:r>
      <w:r w:rsidRPr="00072B32">
        <w:rPr>
          <w:rFonts w:eastAsia="Times New Roman" w:cs="Arial"/>
        </w:rPr>
        <w:tab/>
        <w:t>)</w:t>
      </w:r>
    </w:p>
    <w:p w:rsidR="00432798" w:rsidRPr="00072B32" w:rsidRDefault="00432798" w:rsidP="00DA67E3">
      <w:pPr>
        <w:tabs>
          <w:tab w:val="left" w:pos="4680"/>
        </w:tabs>
        <w:spacing w:line="240" w:lineRule="auto"/>
        <w:ind w:firstLine="0"/>
        <w:rPr>
          <w:rFonts w:eastAsia="Times New Roman" w:cs="Arial"/>
        </w:rPr>
      </w:pPr>
      <w:r w:rsidRPr="00072B32">
        <w:rPr>
          <w:rFonts w:eastAsia="Times New Roman" w:cs="Arial"/>
        </w:rPr>
        <w:t>Ohio Power Company for Approval of</w:t>
      </w:r>
      <w:r w:rsidRPr="00072B32">
        <w:rPr>
          <w:rFonts w:eastAsia="Times New Roman" w:cs="Arial"/>
        </w:rPr>
        <w:tab/>
        <w:t>)</w:t>
      </w:r>
      <w:r w:rsidRPr="00072B32">
        <w:rPr>
          <w:rFonts w:eastAsia="Times New Roman" w:cs="Arial"/>
        </w:rPr>
        <w:tab/>
        <w:t>Case No. 13-2386-EL-AAM</w:t>
      </w:r>
    </w:p>
    <w:p w:rsidR="00432798" w:rsidRPr="00072B32" w:rsidRDefault="00432798" w:rsidP="00DA67E3">
      <w:pPr>
        <w:tabs>
          <w:tab w:val="left" w:pos="4680"/>
        </w:tabs>
        <w:spacing w:line="240" w:lineRule="auto"/>
        <w:ind w:firstLine="0"/>
        <w:rPr>
          <w:rFonts w:eastAsia="Times New Roman" w:cs="Arial"/>
        </w:rPr>
      </w:pPr>
      <w:r w:rsidRPr="00072B32">
        <w:rPr>
          <w:rFonts w:eastAsia="Times New Roman" w:cs="Arial"/>
        </w:rPr>
        <w:t>Certain Accounting Authority.</w:t>
      </w:r>
      <w:r w:rsidRPr="00072B32">
        <w:rPr>
          <w:rFonts w:eastAsia="Times New Roman" w:cs="Arial"/>
        </w:rPr>
        <w:tab/>
        <w:t>)</w:t>
      </w:r>
    </w:p>
    <w:p w:rsidR="00432798" w:rsidRPr="00072B32" w:rsidRDefault="00432798" w:rsidP="00DA67E3">
      <w:pPr>
        <w:spacing w:line="240" w:lineRule="auto"/>
      </w:pPr>
    </w:p>
    <w:p w:rsidR="00432798" w:rsidRPr="00072B32" w:rsidRDefault="00432798" w:rsidP="0065358A">
      <w:pPr>
        <w:spacing w:after="240" w:line="240" w:lineRule="auto"/>
        <w:ind w:firstLine="0"/>
        <w:jc w:val="center"/>
        <w:rPr>
          <w:b/>
        </w:rPr>
      </w:pPr>
      <w:r w:rsidRPr="00072B32">
        <w:rPr>
          <w:b/>
        </w:rPr>
        <w:t>______________________________________________________________________</w:t>
      </w:r>
    </w:p>
    <w:p w:rsidR="00432798" w:rsidRPr="00072B32" w:rsidRDefault="00432798" w:rsidP="00DA67E3">
      <w:pPr>
        <w:spacing w:line="240" w:lineRule="auto"/>
        <w:ind w:firstLine="0"/>
        <w:jc w:val="center"/>
        <w:rPr>
          <w:b/>
        </w:rPr>
      </w:pPr>
      <w:r w:rsidRPr="00072B32">
        <w:rPr>
          <w:b/>
        </w:rPr>
        <w:t>INITIAL BRIEF OF INDUSTRIAL ENERGY USERS-OHIO</w:t>
      </w:r>
    </w:p>
    <w:p w:rsidR="00432798" w:rsidRPr="00072B32" w:rsidRDefault="00432798" w:rsidP="00DA67E3">
      <w:pPr>
        <w:spacing w:line="240" w:lineRule="auto"/>
        <w:ind w:firstLine="0"/>
        <w:jc w:val="center"/>
        <w:rPr>
          <w:b/>
        </w:rPr>
      </w:pPr>
      <w:r w:rsidRPr="00072B32">
        <w:rPr>
          <w:b/>
        </w:rPr>
        <w:t>______________________________________________________________________</w:t>
      </w:r>
    </w:p>
    <w:p w:rsidR="00432798" w:rsidRPr="00072B32" w:rsidRDefault="00432798" w:rsidP="00DA67E3">
      <w:pPr>
        <w:spacing w:line="240" w:lineRule="auto"/>
        <w:ind w:firstLine="0"/>
        <w:jc w:val="center"/>
        <w:rPr>
          <w:b/>
        </w:rPr>
      </w:pPr>
    </w:p>
    <w:p w:rsidR="00432798" w:rsidRPr="00072B32" w:rsidRDefault="00432798" w:rsidP="00DA67E3">
      <w:pPr>
        <w:spacing w:line="240" w:lineRule="auto"/>
        <w:ind w:firstLine="0"/>
        <w:rPr>
          <w:b/>
        </w:rPr>
      </w:pPr>
    </w:p>
    <w:p w:rsidR="00432798" w:rsidRPr="00072B32" w:rsidRDefault="00432798" w:rsidP="00DA67E3">
      <w:pPr>
        <w:spacing w:line="240" w:lineRule="auto"/>
        <w:ind w:firstLine="0"/>
        <w:jc w:val="center"/>
        <w:rPr>
          <w:b/>
        </w:rPr>
      </w:pPr>
    </w:p>
    <w:p w:rsidR="00FE0711" w:rsidRPr="00072B32" w:rsidRDefault="00FE0711" w:rsidP="00DA67E3">
      <w:pPr>
        <w:spacing w:line="240" w:lineRule="auto"/>
        <w:ind w:firstLine="0"/>
        <w:jc w:val="center"/>
        <w:rPr>
          <w:b/>
        </w:rPr>
      </w:pPr>
    </w:p>
    <w:p w:rsidR="00FE0711" w:rsidRPr="00072B32" w:rsidRDefault="00FE0711" w:rsidP="00DA67E3">
      <w:pPr>
        <w:spacing w:line="240" w:lineRule="auto"/>
        <w:ind w:firstLine="0"/>
        <w:jc w:val="center"/>
        <w:rPr>
          <w:b/>
        </w:rPr>
      </w:pPr>
    </w:p>
    <w:p w:rsidR="00FE0711" w:rsidRPr="00072B32" w:rsidRDefault="00FE0711" w:rsidP="00DA67E3">
      <w:pPr>
        <w:spacing w:line="240" w:lineRule="auto"/>
        <w:ind w:firstLine="0"/>
        <w:jc w:val="center"/>
        <w:rPr>
          <w:b/>
        </w:rPr>
      </w:pPr>
    </w:p>
    <w:p w:rsidR="00FE0711" w:rsidRPr="00072B32" w:rsidRDefault="00FE0711" w:rsidP="00DA67E3">
      <w:pPr>
        <w:spacing w:line="240" w:lineRule="auto"/>
        <w:ind w:firstLine="0"/>
        <w:jc w:val="center"/>
        <w:rPr>
          <w:b/>
        </w:rPr>
      </w:pPr>
    </w:p>
    <w:p w:rsidR="00FE0711" w:rsidRPr="00072B32" w:rsidRDefault="00FE0711" w:rsidP="00DA67E3">
      <w:pPr>
        <w:spacing w:line="240" w:lineRule="auto"/>
        <w:ind w:firstLine="0"/>
        <w:jc w:val="center"/>
        <w:rPr>
          <w:b/>
        </w:rPr>
      </w:pPr>
    </w:p>
    <w:p w:rsidR="00FE0711" w:rsidRPr="00072B32" w:rsidRDefault="00FE0711" w:rsidP="00DA67E3">
      <w:pPr>
        <w:spacing w:line="240" w:lineRule="auto"/>
        <w:ind w:firstLine="0"/>
        <w:jc w:val="center"/>
        <w:rPr>
          <w:b/>
        </w:rPr>
      </w:pPr>
    </w:p>
    <w:p w:rsidR="00FE0711" w:rsidRPr="00072B32" w:rsidRDefault="00FE0711" w:rsidP="00DA67E3">
      <w:pPr>
        <w:spacing w:line="240" w:lineRule="auto"/>
        <w:ind w:firstLine="0"/>
        <w:jc w:val="center"/>
        <w:rPr>
          <w:b/>
        </w:rPr>
      </w:pPr>
    </w:p>
    <w:p w:rsidR="00FE0711" w:rsidRPr="00072B32" w:rsidRDefault="00FE0711" w:rsidP="00DA67E3">
      <w:pPr>
        <w:spacing w:line="240" w:lineRule="auto"/>
        <w:ind w:firstLine="0"/>
        <w:jc w:val="center"/>
        <w:rPr>
          <w:b/>
        </w:rPr>
      </w:pPr>
    </w:p>
    <w:p w:rsidR="00FE0711" w:rsidRPr="00072B32" w:rsidRDefault="00FE0711" w:rsidP="00DA67E3">
      <w:pPr>
        <w:spacing w:line="240" w:lineRule="auto"/>
        <w:ind w:firstLine="0"/>
        <w:jc w:val="center"/>
        <w:rPr>
          <w:b/>
        </w:rPr>
      </w:pPr>
    </w:p>
    <w:p w:rsidR="00FE0711" w:rsidRPr="00072B32" w:rsidRDefault="00FE0711" w:rsidP="00DA67E3">
      <w:pPr>
        <w:spacing w:line="240" w:lineRule="auto"/>
        <w:ind w:firstLine="0"/>
        <w:jc w:val="center"/>
        <w:rPr>
          <w:b/>
        </w:rPr>
      </w:pPr>
    </w:p>
    <w:p w:rsidR="00FE0711" w:rsidRPr="00072B32" w:rsidRDefault="00FE0711" w:rsidP="00DA67E3">
      <w:pPr>
        <w:spacing w:line="240" w:lineRule="auto"/>
        <w:ind w:firstLine="0"/>
        <w:jc w:val="center"/>
        <w:rPr>
          <w:b/>
        </w:rPr>
      </w:pPr>
    </w:p>
    <w:p w:rsidR="00FE0711" w:rsidRPr="00072B32" w:rsidRDefault="00FE0711" w:rsidP="00DA67E3">
      <w:pPr>
        <w:spacing w:line="240" w:lineRule="auto"/>
        <w:ind w:firstLine="0"/>
        <w:jc w:val="center"/>
        <w:rPr>
          <w:b/>
        </w:rPr>
      </w:pPr>
    </w:p>
    <w:p w:rsidR="00432798" w:rsidRPr="00072B32" w:rsidRDefault="00432798" w:rsidP="00DA67E3">
      <w:pPr>
        <w:spacing w:line="240" w:lineRule="auto"/>
        <w:ind w:firstLine="0"/>
        <w:jc w:val="center"/>
        <w:rPr>
          <w:b/>
        </w:rPr>
      </w:pPr>
    </w:p>
    <w:p w:rsidR="0065358A" w:rsidRPr="00072B32" w:rsidRDefault="00DE3C1F" w:rsidP="0065358A">
      <w:pPr>
        <w:tabs>
          <w:tab w:val="left" w:pos="720"/>
          <w:tab w:val="left" w:pos="4320"/>
          <w:tab w:val="right" w:pos="8640"/>
        </w:tabs>
        <w:spacing w:line="240" w:lineRule="auto"/>
        <w:ind w:firstLine="0"/>
        <w:jc w:val="left"/>
        <w:rPr>
          <w:rFonts w:eastAsia="Calibri" w:cs="Arial"/>
        </w:rPr>
      </w:pPr>
      <w:r w:rsidRPr="00072B32">
        <w:rPr>
          <w:rFonts w:eastAsia="Calibri" w:cs="Arial"/>
        </w:rPr>
        <w:tab/>
      </w:r>
      <w:r w:rsidRPr="00072B32">
        <w:rPr>
          <w:rFonts w:eastAsia="Calibri" w:cs="Arial"/>
        </w:rPr>
        <w:tab/>
      </w:r>
      <w:r w:rsidRPr="00072B32">
        <w:rPr>
          <w:rFonts w:eastAsia="Calibri" w:cs="Arial"/>
          <w:bCs/>
        </w:rPr>
        <w:t xml:space="preserve">Frank P. Darr </w:t>
      </w:r>
      <w:r w:rsidR="0065358A" w:rsidRPr="00072B32">
        <w:rPr>
          <w:rFonts w:eastAsia="Calibri" w:cs="Arial"/>
        </w:rPr>
        <w:t>(Counsel of Record)</w:t>
      </w:r>
    </w:p>
    <w:p w:rsidR="00DE3C1F" w:rsidRPr="00072B32" w:rsidRDefault="0065358A" w:rsidP="0065358A">
      <w:pPr>
        <w:tabs>
          <w:tab w:val="left" w:pos="720"/>
          <w:tab w:val="left" w:pos="4320"/>
          <w:tab w:val="right" w:pos="8640"/>
        </w:tabs>
        <w:spacing w:line="240" w:lineRule="auto"/>
        <w:ind w:firstLine="0"/>
        <w:jc w:val="left"/>
        <w:rPr>
          <w:rFonts w:eastAsia="Calibri" w:cs="Arial"/>
          <w:bCs/>
        </w:rPr>
      </w:pPr>
      <w:r w:rsidRPr="00072B32">
        <w:rPr>
          <w:rFonts w:eastAsia="Calibri" w:cs="Arial"/>
        </w:rPr>
        <w:tab/>
      </w:r>
      <w:r w:rsidRPr="00072B32">
        <w:rPr>
          <w:rFonts w:eastAsia="Calibri" w:cs="Arial"/>
        </w:rPr>
        <w:tab/>
      </w:r>
      <w:r w:rsidR="00DE3C1F" w:rsidRPr="00072B32">
        <w:rPr>
          <w:rFonts w:eastAsia="Calibri" w:cs="Arial"/>
          <w:bCs/>
        </w:rPr>
        <w:t>(Reg. No. 0025469)</w:t>
      </w:r>
    </w:p>
    <w:p w:rsidR="00DE3C1F" w:rsidRPr="00072B32" w:rsidRDefault="00DE3C1F" w:rsidP="00DA67E3">
      <w:pPr>
        <w:widowControl w:val="0"/>
        <w:tabs>
          <w:tab w:val="left" w:pos="4320"/>
        </w:tabs>
        <w:spacing w:line="240" w:lineRule="auto"/>
        <w:ind w:left="4320" w:firstLine="0"/>
        <w:jc w:val="left"/>
        <w:rPr>
          <w:rFonts w:eastAsia="Calibri" w:cs="Arial"/>
          <w:b/>
          <w:bCs/>
        </w:rPr>
      </w:pPr>
      <w:r w:rsidRPr="00072B32">
        <w:rPr>
          <w:rFonts w:eastAsia="Calibri" w:cs="Arial"/>
          <w:bCs/>
        </w:rPr>
        <w:t>Matthew R. Pritchard (Reg. No. 0088070)</w:t>
      </w:r>
    </w:p>
    <w:p w:rsidR="00DE3C1F" w:rsidRPr="00072B32" w:rsidRDefault="00DE3C1F" w:rsidP="00DA67E3">
      <w:pPr>
        <w:widowControl w:val="0"/>
        <w:tabs>
          <w:tab w:val="left" w:pos="4320"/>
        </w:tabs>
        <w:spacing w:line="240" w:lineRule="auto"/>
        <w:ind w:left="4320" w:firstLine="0"/>
        <w:jc w:val="left"/>
        <w:rPr>
          <w:rFonts w:eastAsia="Calibri" w:cs="Arial"/>
          <w:b/>
          <w:bCs/>
          <w:smallCaps/>
        </w:rPr>
      </w:pPr>
      <w:r w:rsidRPr="00072B32">
        <w:rPr>
          <w:rFonts w:eastAsia="Calibri" w:cs="Arial"/>
          <w:bCs/>
          <w:smallCaps/>
        </w:rPr>
        <w:t>McNees Wallace &amp; Nurick LLC</w:t>
      </w:r>
    </w:p>
    <w:p w:rsidR="00DE3C1F" w:rsidRPr="00072B32" w:rsidRDefault="00DE3C1F" w:rsidP="00DA67E3">
      <w:pPr>
        <w:widowControl w:val="0"/>
        <w:tabs>
          <w:tab w:val="left" w:pos="4320"/>
        </w:tabs>
        <w:spacing w:line="240" w:lineRule="auto"/>
        <w:ind w:left="4320" w:firstLine="0"/>
        <w:jc w:val="left"/>
        <w:rPr>
          <w:rFonts w:eastAsia="Calibri" w:cs="Arial"/>
          <w:b/>
          <w:bCs/>
        </w:rPr>
      </w:pPr>
      <w:r w:rsidRPr="00072B32">
        <w:rPr>
          <w:rFonts w:eastAsia="Calibri" w:cs="Arial"/>
          <w:bCs/>
        </w:rPr>
        <w:t>21 East State Street, 17</w:t>
      </w:r>
      <w:r w:rsidRPr="00072B32">
        <w:rPr>
          <w:rFonts w:eastAsia="Calibri" w:cs="Arial"/>
          <w:bCs/>
          <w:vertAlign w:val="superscript"/>
        </w:rPr>
        <w:t>TH</w:t>
      </w:r>
      <w:r w:rsidRPr="00072B32">
        <w:rPr>
          <w:rFonts w:eastAsia="Calibri" w:cs="Arial"/>
          <w:bCs/>
        </w:rPr>
        <w:t xml:space="preserve"> Floor</w:t>
      </w:r>
    </w:p>
    <w:p w:rsidR="00DE3C1F" w:rsidRPr="00072B32" w:rsidRDefault="00DE3C1F" w:rsidP="00DA67E3">
      <w:pPr>
        <w:tabs>
          <w:tab w:val="left" w:pos="-1440"/>
          <w:tab w:val="left" w:pos="-720"/>
          <w:tab w:val="left" w:pos="4320"/>
          <w:tab w:val="left" w:pos="5040"/>
          <w:tab w:val="center" w:pos="7200"/>
        </w:tabs>
        <w:overflowPunct w:val="0"/>
        <w:autoSpaceDE w:val="0"/>
        <w:autoSpaceDN w:val="0"/>
        <w:adjustRightInd w:val="0"/>
        <w:spacing w:line="240" w:lineRule="auto"/>
        <w:ind w:left="4320" w:firstLine="0"/>
        <w:jc w:val="left"/>
        <w:rPr>
          <w:rFonts w:eastAsia="Calibri" w:cs="Arial"/>
        </w:rPr>
      </w:pPr>
      <w:r w:rsidRPr="00072B32">
        <w:rPr>
          <w:rFonts w:eastAsia="Calibri" w:cs="Arial"/>
        </w:rPr>
        <w:t>Columbus, OH  43215</w:t>
      </w:r>
    </w:p>
    <w:p w:rsidR="00DE3C1F" w:rsidRPr="00072B32" w:rsidRDefault="00DE3C1F" w:rsidP="00DA67E3">
      <w:pPr>
        <w:tabs>
          <w:tab w:val="left" w:pos="-1440"/>
          <w:tab w:val="left" w:pos="-720"/>
          <w:tab w:val="left" w:pos="4320"/>
          <w:tab w:val="left" w:pos="5040"/>
          <w:tab w:val="center" w:pos="7200"/>
        </w:tabs>
        <w:overflowPunct w:val="0"/>
        <w:autoSpaceDE w:val="0"/>
        <w:autoSpaceDN w:val="0"/>
        <w:adjustRightInd w:val="0"/>
        <w:spacing w:line="240" w:lineRule="auto"/>
        <w:ind w:left="4320" w:firstLine="0"/>
        <w:jc w:val="left"/>
        <w:rPr>
          <w:rFonts w:eastAsia="Calibri" w:cs="Arial"/>
        </w:rPr>
      </w:pPr>
      <w:r w:rsidRPr="00072B32">
        <w:rPr>
          <w:rFonts w:eastAsia="Calibri" w:cs="Arial"/>
        </w:rPr>
        <w:t>Telephone:  (614) 469-8000</w:t>
      </w:r>
    </w:p>
    <w:p w:rsidR="00DE3C1F" w:rsidRPr="00072B32" w:rsidRDefault="00DE3C1F" w:rsidP="00DA67E3">
      <w:pPr>
        <w:tabs>
          <w:tab w:val="left" w:pos="-1440"/>
          <w:tab w:val="left" w:pos="-720"/>
          <w:tab w:val="left" w:pos="4320"/>
          <w:tab w:val="left" w:pos="5040"/>
          <w:tab w:val="center" w:pos="7200"/>
        </w:tabs>
        <w:overflowPunct w:val="0"/>
        <w:autoSpaceDE w:val="0"/>
        <w:autoSpaceDN w:val="0"/>
        <w:adjustRightInd w:val="0"/>
        <w:spacing w:line="240" w:lineRule="auto"/>
        <w:ind w:left="4320" w:firstLine="0"/>
        <w:jc w:val="left"/>
        <w:rPr>
          <w:rFonts w:eastAsia="Calibri" w:cs="Arial"/>
        </w:rPr>
      </w:pPr>
      <w:r w:rsidRPr="00072B32">
        <w:rPr>
          <w:rFonts w:eastAsia="Calibri" w:cs="Arial"/>
        </w:rPr>
        <w:t>Telecopier:  (614) 469-4653</w:t>
      </w:r>
    </w:p>
    <w:p w:rsidR="00DE3C1F" w:rsidRPr="00876A53" w:rsidRDefault="000A2B34" w:rsidP="00DA67E3">
      <w:pPr>
        <w:tabs>
          <w:tab w:val="left" w:pos="-1440"/>
          <w:tab w:val="left" w:pos="-720"/>
          <w:tab w:val="left" w:pos="5040"/>
          <w:tab w:val="center" w:pos="7200"/>
        </w:tabs>
        <w:overflowPunct w:val="0"/>
        <w:autoSpaceDE w:val="0"/>
        <w:autoSpaceDN w:val="0"/>
        <w:adjustRightInd w:val="0"/>
        <w:spacing w:line="240" w:lineRule="auto"/>
        <w:ind w:left="4320" w:firstLine="0"/>
        <w:jc w:val="left"/>
        <w:rPr>
          <w:rFonts w:eastAsia="Calibri" w:cs="Arial"/>
          <w:u w:val="single"/>
        </w:rPr>
      </w:pPr>
      <w:r w:rsidRPr="00072B32">
        <w:rPr>
          <w:rFonts w:eastAsia="Calibri" w:cs="Arial"/>
        </w:rPr>
        <w:t>fdarr@mwncmh.com</w:t>
      </w:r>
    </w:p>
    <w:p w:rsidR="00DE3C1F" w:rsidRPr="00876A53" w:rsidRDefault="00DE3C1F" w:rsidP="00DA67E3">
      <w:pPr>
        <w:tabs>
          <w:tab w:val="left" w:pos="-1440"/>
          <w:tab w:val="left" w:pos="-720"/>
          <w:tab w:val="left" w:pos="5040"/>
          <w:tab w:val="center" w:pos="7200"/>
        </w:tabs>
        <w:overflowPunct w:val="0"/>
        <w:autoSpaceDE w:val="0"/>
        <w:autoSpaceDN w:val="0"/>
        <w:adjustRightInd w:val="0"/>
        <w:spacing w:line="240" w:lineRule="auto"/>
        <w:ind w:left="4320" w:firstLine="0"/>
        <w:jc w:val="left"/>
        <w:rPr>
          <w:rFonts w:eastAsia="Calibri" w:cs="Arial"/>
        </w:rPr>
      </w:pPr>
      <w:r w:rsidRPr="00876A53">
        <w:rPr>
          <w:rFonts w:eastAsia="Calibri" w:cs="Arial"/>
        </w:rPr>
        <w:t>(willing to accept service by e-mail)</w:t>
      </w:r>
    </w:p>
    <w:p w:rsidR="00DE3C1F" w:rsidRPr="00876A53" w:rsidRDefault="00DE3C1F" w:rsidP="00DA67E3">
      <w:pPr>
        <w:tabs>
          <w:tab w:val="left" w:pos="-1440"/>
          <w:tab w:val="left" w:pos="-720"/>
          <w:tab w:val="left" w:pos="5040"/>
          <w:tab w:val="center" w:pos="7200"/>
        </w:tabs>
        <w:overflowPunct w:val="0"/>
        <w:autoSpaceDE w:val="0"/>
        <w:autoSpaceDN w:val="0"/>
        <w:adjustRightInd w:val="0"/>
        <w:spacing w:line="240" w:lineRule="auto"/>
        <w:ind w:left="4320" w:firstLine="0"/>
        <w:jc w:val="left"/>
        <w:rPr>
          <w:rFonts w:eastAsia="Calibri" w:cs="Arial"/>
          <w:smallCaps/>
        </w:rPr>
      </w:pPr>
      <w:r w:rsidRPr="00876A53">
        <w:rPr>
          <w:rFonts w:eastAsia="Calibri" w:cs="Arial"/>
        </w:rPr>
        <w:t>mpritchard@mwncmh.com</w:t>
      </w:r>
    </w:p>
    <w:p w:rsidR="00DE3C1F" w:rsidRPr="00876A53" w:rsidRDefault="00DE3C1F" w:rsidP="00DA67E3">
      <w:pPr>
        <w:tabs>
          <w:tab w:val="left" w:pos="-1440"/>
          <w:tab w:val="left" w:pos="-720"/>
          <w:tab w:val="left" w:pos="5040"/>
          <w:tab w:val="center" w:pos="7200"/>
        </w:tabs>
        <w:overflowPunct w:val="0"/>
        <w:autoSpaceDE w:val="0"/>
        <w:autoSpaceDN w:val="0"/>
        <w:adjustRightInd w:val="0"/>
        <w:spacing w:line="240" w:lineRule="auto"/>
        <w:ind w:left="4320" w:firstLine="0"/>
        <w:jc w:val="left"/>
        <w:rPr>
          <w:rFonts w:eastAsia="Calibri" w:cs="Arial"/>
        </w:rPr>
      </w:pPr>
      <w:r w:rsidRPr="00876A53">
        <w:rPr>
          <w:rFonts w:eastAsia="Calibri" w:cs="Arial"/>
        </w:rPr>
        <w:t>(willing to accept service by e-mail)</w:t>
      </w:r>
    </w:p>
    <w:p w:rsidR="00DE3C1F" w:rsidRPr="00072B32" w:rsidRDefault="00DE3C1F" w:rsidP="00DA67E3">
      <w:pPr>
        <w:tabs>
          <w:tab w:val="left" w:pos="-1440"/>
          <w:tab w:val="left" w:pos="-720"/>
          <w:tab w:val="left" w:pos="5040"/>
          <w:tab w:val="center" w:pos="7200"/>
        </w:tabs>
        <w:overflowPunct w:val="0"/>
        <w:autoSpaceDE w:val="0"/>
        <w:autoSpaceDN w:val="0"/>
        <w:adjustRightInd w:val="0"/>
        <w:spacing w:line="240" w:lineRule="auto"/>
        <w:ind w:left="4320" w:firstLine="0"/>
        <w:jc w:val="left"/>
        <w:rPr>
          <w:rFonts w:eastAsia="Calibri" w:cs="Arial"/>
          <w:b/>
          <w:smallCaps/>
        </w:rPr>
      </w:pPr>
    </w:p>
    <w:p w:rsidR="0036434E" w:rsidRPr="0095700A" w:rsidRDefault="00DE3C1F" w:rsidP="00DA67E3">
      <w:pPr>
        <w:spacing w:line="240" w:lineRule="auto"/>
        <w:ind w:firstLine="0"/>
        <w:jc w:val="left"/>
        <w:rPr>
          <w:rFonts w:eastAsia="Calibri" w:cs="Arial"/>
          <w:b/>
        </w:rPr>
      </w:pPr>
      <w:r w:rsidRPr="0095700A">
        <w:rPr>
          <w:rFonts w:eastAsia="Calibri" w:cs="Arial"/>
          <w:b/>
        </w:rPr>
        <w:t>July 23, 2014</w:t>
      </w:r>
      <w:r w:rsidRPr="0095700A">
        <w:rPr>
          <w:rFonts w:eastAsia="Calibri" w:cs="Arial"/>
          <w:b/>
        </w:rPr>
        <w:tab/>
      </w:r>
      <w:r w:rsidRPr="0095700A">
        <w:rPr>
          <w:rFonts w:eastAsia="Calibri" w:cs="Arial"/>
          <w:b/>
        </w:rPr>
        <w:tab/>
      </w:r>
      <w:r w:rsidRPr="0095700A">
        <w:rPr>
          <w:rFonts w:eastAsia="Calibri" w:cs="Arial"/>
          <w:b/>
        </w:rPr>
        <w:tab/>
      </w:r>
      <w:r w:rsidRPr="0095700A">
        <w:rPr>
          <w:rFonts w:eastAsia="Calibri" w:cs="Arial"/>
          <w:b/>
        </w:rPr>
        <w:tab/>
        <w:t>Attorneys for Industrial Energy Users-Ohio</w:t>
      </w:r>
    </w:p>
    <w:p w:rsidR="00FE0711" w:rsidRPr="00876A53" w:rsidRDefault="00FE0711">
      <w:pPr>
        <w:spacing w:line="240" w:lineRule="auto"/>
        <w:ind w:firstLine="0"/>
        <w:jc w:val="left"/>
        <w:rPr>
          <w:rFonts w:eastAsia="Calibri" w:cs="Arial"/>
          <w:b/>
        </w:rPr>
        <w:sectPr w:rsidR="00FE0711" w:rsidRPr="00876A53" w:rsidSect="00FE071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80" w:left="1440" w:header="720" w:footer="720" w:gutter="0"/>
          <w:pgNumType w:start="1"/>
          <w:cols w:space="720"/>
          <w:titlePg/>
          <w:docGrid w:linePitch="360"/>
        </w:sectPr>
      </w:pPr>
    </w:p>
    <w:sdt>
      <w:sdtPr>
        <w:rPr>
          <w:b/>
          <w:caps/>
        </w:rPr>
        <w:id w:val="1064369500"/>
        <w:docPartObj>
          <w:docPartGallery w:val="Table of Contents"/>
          <w:docPartUnique/>
        </w:docPartObj>
      </w:sdtPr>
      <w:sdtEndPr>
        <w:rPr>
          <w:b w:val="0"/>
          <w:bCs/>
          <w:caps w:val="0"/>
          <w:noProof/>
        </w:rPr>
      </w:sdtEndPr>
      <w:sdtContent>
        <w:p w:rsidR="007C28E1" w:rsidRPr="00876A53" w:rsidRDefault="007C28E1" w:rsidP="007C28E1">
          <w:pPr>
            <w:spacing w:line="240" w:lineRule="auto"/>
            <w:jc w:val="right"/>
            <w:rPr>
              <w:u w:val="single"/>
            </w:rPr>
          </w:pPr>
        </w:p>
        <w:p w:rsidR="00653CA0" w:rsidRPr="00876A53" w:rsidRDefault="00E736DA">
          <w:pPr>
            <w:pStyle w:val="TOC1"/>
            <w:rPr>
              <w:rFonts w:asciiTheme="minorHAnsi" w:eastAsiaTheme="minorEastAsia" w:hAnsiTheme="minorHAnsi"/>
              <w:noProof/>
              <w:sz w:val="22"/>
              <w:szCs w:val="22"/>
            </w:rPr>
          </w:pPr>
          <w:r w:rsidRPr="00876A53">
            <w:fldChar w:fldCharType="begin"/>
          </w:r>
          <w:r w:rsidRPr="00876A53">
            <w:instrText xml:space="preserve"> TOC \o "1-3" \h \z \u </w:instrText>
          </w:r>
          <w:r w:rsidRPr="00876A53">
            <w:fldChar w:fldCharType="separate"/>
          </w:r>
          <w:hyperlink w:anchor="_Toc393878358" w:history="1">
            <w:r w:rsidR="00653CA0" w:rsidRPr="00876A53">
              <w:rPr>
                <w:rStyle w:val="Hyperlink"/>
                <w:noProof/>
                <w:color w:val="auto"/>
              </w:rPr>
              <w:t>I.</w:t>
            </w:r>
            <w:r w:rsidR="00653CA0" w:rsidRPr="00876A53">
              <w:rPr>
                <w:rFonts w:asciiTheme="minorHAnsi" w:eastAsiaTheme="minorEastAsia" w:hAnsiTheme="minorHAnsi"/>
                <w:noProof/>
                <w:sz w:val="22"/>
                <w:szCs w:val="22"/>
              </w:rPr>
              <w:tab/>
            </w:r>
            <w:r w:rsidR="00653CA0" w:rsidRPr="00876A53">
              <w:rPr>
                <w:rStyle w:val="Hyperlink"/>
                <w:caps/>
                <w:noProof/>
                <w:color w:val="auto"/>
              </w:rPr>
              <w:t>Introduction</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_Toc393878358 \h </w:instrText>
            </w:r>
            <w:r w:rsidR="00653CA0" w:rsidRPr="00876A53">
              <w:rPr>
                <w:noProof/>
                <w:webHidden/>
              </w:rPr>
            </w:r>
            <w:r w:rsidR="00653CA0" w:rsidRPr="00876A53">
              <w:rPr>
                <w:noProof/>
                <w:webHidden/>
              </w:rPr>
              <w:fldChar w:fldCharType="separate"/>
            </w:r>
            <w:r w:rsidR="00653CA0" w:rsidRPr="00876A53">
              <w:rPr>
                <w:noProof/>
                <w:webHidden/>
              </w:rPr>
              <w:t>1</w:t>
            </w:r>
            <w:r w:rsidR="00653CA0" w:rsidRPr="00876A53">
              <w:rPr>
                <w:noProof/>
                <w:webHidden/>
              </w:rPr>
              <w:fldChar w:fldCharType="end"/>
            </w:r>
          </w:hyperlink>
        </w:p>
        <w:p w:rsidR="00653CA0" w:rsidRPr="00876A53" w:rsidRDefault="002D40B2">
          <w:pPr>
            <w:pStyle w:val="TOC1"/>
            <w:rPr>
              <w:rFonts w:asciiTheme="minorHAnsi" w:eastAsiaTheme="minorEastAsia" w:hAnsiTheme="minorHAnsi"/>
              <w:noProof/>
              <w:sz w:val="22"/>
              <w:szCs w:val="22"/>
            </w:rPr>
          </w:pPr>
          <w:hyperlink w:anchor="_Toc393878359" w:history="1">
            <w:r w:rsidR="00653CA0" w:rsidRPr="00876A53">
              <w:rPr>
                <w:rStyle w:val="Hyperlink"/>
                <w:noProof/>
                <w:color w:val="auto"/>
              </w:rPr>
              <w:t>II.</w:t>
            </w:r>
            <w:r w:rsidR="00653CA0" w:rsidRPr="00876A53">
              <w:rPr>
                <w:rFonts w:asciiTheme="minorHAnsi" w:eastAsiaTheme="minorEastAsia" w:hAnsiTheme="minorHAnsi"/>
                <w:noProof/>
                <w:sz w:val="22"/>
                <w:szCs w:val="22"/>
              </w:rPr>
              <w:tab/>
            </w:r>
            <w:r w:rsidR="00653CA0" w:rsidRPr="00876A53">
              <w:rPr>
                <w:rStyle w:val="Hyperlink"/>
                <w:caps/>
                <w:noProof/>
                <w:color w:val="auto"/>
              </w:rPr>
              <w:t>The Commission should deny authorization of the PPAR</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_Toc393878359 \h </w:instrText>
            </w:r>
            <w:r w:rsidR="00653CA0" w:rsidRPr="00876A53">
              <w:rPr>
                <w:noProof/>
                <w:webHidden/>
              </w:rPr>
            </w:r>
            <w:r w:rsidR="00653CA0" w:rsidRPr="00876A53">
              <w:rPr>
                <w:noProof/>
                <w:webHidden/>
              </w:rPr>
              <w:fldChar w:fldCharType="separate"/>
            </w:r>
            <w:r w:rsidR="00653CA0" w:rsidRPr="00876A53">
              <w:rPr>
                <w:noProof/>
                <w:webHidden/>
              </w:rPr>
              <w:t>3</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60" w:history="1">
            <w:r w:rsidR="00653CA0" w:rsidRPr="00876A53">
              <w:rPr>
                <w:rStyle w:val="Hyperlink"/>
                <w:noProof/>
                <w:color w:val="auto"/>
              </w:rPr>
              <w:t>A.</w:t>
            </w:r>
            <w:r w:rsidR="00653CA0" w:rsidRPr="00876A53">
              <w:rPr>
                <w:rFonts w:asciiTheme="minorHAnsi" w:eastAsiaTheme="minorEastAsia" w:hAnsiTheme="minorHAnsi"/>
                <w:noProof/>
                <w:sz w:val="22"/>
                <w:szCs w:val="22"/>
              </w:rPr>
              <w:tab/>
            </w:r>
            <w:r w:rsidR="00653CA0" w:rsidRPr="00876A53">
              <w:rPr>
                <w:rStyle w:val="Hyperlink"/>
                <w:noProof/>
                <w:color w:val="auto"/>
              </w:rPr>
              <w:t>The PPAR is not authorized by R.C. 4928.143(B)(1) or (2)</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_Toc393878360 \h </w:instrText>
            </w:r>
            <w:r w:rsidR="00653CA0" w:rsidRPr="00876A53">
              <w:rPr>
                <w:noProof/>
                <w:webHidden/>
              </w:rPr>
            </w:r>
            <w:r w:rsidR="00653CA0" w:rsidRPr="00876A53">
              <w:rPr>
                <w:noProof/>
                <w:webHidden/>
              </w:rPr>
              <w:fldChar w:fldCharType="separate"/>
            </w:r>
            <w:r w:rsidR="00653CA0" w:rsidRPr="00876A53">
              <w:rPr>
                <w:noProof/>
                <w:webHidden/>
              </w:rPr>
              <w:t>7</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61" w:history="1">
            <w:r w:rsidR="00653CA0" w:rsidRPr="00876A53">
              <w:rPr>
                <w:rStyle w:val="Hyperlink"/>
                <w:noProof/>
                <w:color w:val="auto"/>
              </w:rPr>
              <w:t>B.</w:t>
            </w:r>
            <w:r w:rsidR="00653CA0" w:rsidRPr="00876A53">
              <w:rPr>
                <w:rFonts w:asciiTheme="minorHAnsi" w:eastAsiaTheme="minorEastAsia" w:hAnsiTheme="minorHAnsi"/>
                <w:noProof/>
                <w:sz w:val="22"/>
                <w:szCs w:val="22"/>
              </w:rPr>
              <w:tab/>
            </w:r>
            <w:r w:rsidR="00653CA0" w:rsidRPr="00876A53">
              <w:rPr>
                <w:rStyle w:val="Hyperlink"/>
                <w:noProof/>
                <w:color w:val="auto"/>
              </w:rPr>
              <w:t>Authorization of the PPAR would violate R.C. 4928.02(H)</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_Toc393878361 \h </w:instrText>
            </w:r>
            <w:r w:rsidR="00653CA0" w:rsidRPr="00876A53">
              <w:rPr>
                <w:noProof/>
                <w:webHidden/>
              </w:rPr>
            </w:r>
            <w:r w:rsidR="00653CA0" w:rsidRPr="00876A53">
              <w:rPr>
                <w:noProof/>
                <w:webHidden/>
              </w:rPr>
              <w:fldChar w:fldCharType="separate"/>
            </w:r>
            <w:r w:rsidR="00653CA0" w:rsidRPr="00876A53">
              <w:rPr>
                <w:noProof/>
                <w:webHidden/>
              </w:rPr>
              <w:t>13</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62" w:history="1">
            <w:r w:rsidR="00653CA0" w:rsidRPr="00876A53">
              <w:rPr>
                <w:rStyle w:val="Hyperlink"/>
                <w:noProof/>
                <w:color w:val="auto"/>
              </w:rPr>
              <w:t>C.</w:t>
            </w:r>
            <w:r w:rsidR="00653CA0" w:rsidRPr="00876A53">
              <w:rPr>
                <w:rFonts w:asciiTheme="minorHAnsi" w:eastAsiaTheme="minorEastAsia" w:hAnsiTheme="minorHAnsi"/>
                <w:noProof/>
                <w:sz w:val="22"/>
                <w:szCs w:val="22"/>
              </w:rPr>
              <w:tab/>
            </w:r>
            <w:r w:rsidR="00653CA0" w:rsidRPr="00876A53">
              <w:rPr>
                <w:rStyle w:val="Hyperlink"/>
                <w:noProof/>
                <w:color w:val="auto"/>
              </w:rPr>
              <w:t>Authorization of the PPAR would violate the prohibition of recovery of transition revenue or its equivalent contained in R.C. 4928.38 and AEP-Ohio’s ETP Stipulation</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_Toc393878362 \h </w:instrText>
            </w:r>
            <w:r w:rsidR="00653CA0" w:rsidRPr="00876A53">
              <w:rPr>
                <w:noProof/>
                <w:webHidden/>
              </w:rPr>
            </w:r>
            <w:r w:rsidR="00653CA0" w:rsidRPr="00876A53">
              <w:rPr>
                <w:noProof/>
                <w:webHidden/>
              </w:rPr>
              <w:fldChar w:fldCharType="separate"/>
            </w:r>
            <w:r w:rsidR="00653CA0" w:rsidRPr="00876A53">
              <w:rPr>
                <w:noProof/>
                <w:webHidden/>
              </w:rPr>
              <w:t>15</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63" w:history="1">
            <w:r w:rsidR="00653CA0" w:rsidRPr="00876A53">
              <w:rPr>
                <w:rStyle w:val="Hyperlink"/>
                <w:noProof/>
                <w:color w:val="auto"/>
              </w:rPr>
              <w:t>D.</w:t>
            </w:r>
            <w:r w:rsidR="00653CA0" w:rsidRPr="00876A53">
              <w:rPr>
                <w:rFonts w:asciiTheme="minorHAnsi" w:eastAsiaTheme="minorEastAsia" w:hAnsiTheme="minorHAnsi"/>
                <w:noProof/>
                <w:sz w:val="22"/>
                <w:szCs w:val="22"/>
              </w:rPr>
              <w:tab/>
            </w:r>
            <w:r w:rsidR="00653CA0" w:rsidRPr="00876A53">
              <w:rPr>
                <w:rStyle w:val="Hyperlink"/>
                <w:noProof/>
                <w:color w:val="auto"/>
              </w:rPr>
              <w:t>Authorization of the PPAR would exceed the Commission’s jurisdiction under state law because it increases AEP-Ohio’s compensation for wholesale electric services</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_Toc393878363 \h </w:instrText>
            </w:r>
            <w:r w:rsidR="00653CA0" w:rsidRPr="00876A53">
              <w:rPr>
                <w:noProof/>
                <w:webHidden/>
              </w:rPr>
            </w:r>
            <w:r w:rsidR="00653CA0" w:rsidRPr="00876A53">
              <w:rPr>
                <w:noProof/>
                <w:webHidden/>
              </w:rPr>
              <w:fldChar w:fldCharType="separate"/>
            </w:r>
            <w:r w:rsidR="00653CA0" w:rsidRPr="00876A53">
              <w:rPr>
                <w:noProof/>
                <w:webHidden/>
              </w:rPr>
              <w:t>18</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64" w:history="1">
            <w:r w:rsidR="00653CA0" w:rsidRPr="00876A53">
              <w:rPr>
                <w:rStyle w:val="Hyperlink"/>
                <w:noProof/>
                <w:color w:val="auto"/>
              </w:rPr>
              <w:t>E.</w:t>
            </w:r>
            <w:r w:rsidR="00653CA0" w:rsidRPr="00876A53">
              <w:rPr>
                <w:rFonts w:asciiTheme="minorHAnsi" w:eastAsiaTheme="minorEastAsia" w:hAnsiTheme="minorHAnsi"/>
                <w:noProof/>
                <w:sz w:val="22"/>
                <w:szCs w:val="22"/>
              </w:rPr>
              <w:tab/>
            </w:r>
            <w:r w:rsidR="00653CA0" w:rsidRPr="00876A53">
              <w:rPr>
                <w:rStyle w:val="Hyperlink"/>
                <w:noProof/>
                <w:color w:val="auto"/>
              </w:rPr>
              <w:t>Authorization of the PPAR is preempted by the Federal Power Act</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_Toc393878364 \h </w:instrText>
            </w:r>
            <w:r w:rsidR="00653CA0" w:rsidRPr="00876A53">
              <w:rPr>
                <w:noProof/>
                <w:webHidden/>
              </w:rPr>
            </w:r>
            <w:r w:rsidR="00653CA0" w:rsidRPr="00876A53">
              <w:rPr>
                <w:noProof/>
                <w:webHidden/>
              </w:rPr>
              <w:fldChar w:fldCharType="separate"/>
            </w:r>
            <w:r w:rsidR="00653CA0" w:rsidRPr="00876A53">
              <w:rPr>
                <w:noProof/>
                <w:webHidden/>
              </w:rPr>
              <w:t>20</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65" w:history="1">
            <w:r w:rsidR="00653CA0" w:rsidRPr="00876A53">
              <w:rPr>
                <w:rStyle w:val="Hyperlink"/>
                <w:noProof/>
                <w:color w:val="auto"/>
              </w:rPr>
              <w:t>F.</w:t>
            </w:r>
            <w:r w:rsidR="00653CA0" w:rsidRPr="00876A53">
              <w:rPr>
                <w:rFonts w:asciiTheme="minorHAnsi" w:eastAsiaTheme="minorEastAsia" w:hAnsiTheme="minorHAnsi"/>
                <w:noProof/>
                <w:sz w:val="22"/>
                <w:szCs w:val="22"/>
              </w:rPr>
              <w:tab/>
            </w:r>
            <w:r w:rsidR="00653CA0" w:rsidRPr="00876A53">
              <w:rPr>
                <w:rStyle w:val="Hyperlink"/>
                <w:noProof/>
                <w:color w:val="auto"/>
              </w:rPr>
              <w:t>The “hedge” is either, directionally, a potentially substantial cost or no benefit to customers and will fail to “hedge” the volatility of generation-related prices or charges resulting from other provisions of the proposed ESP</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_Toc393878365 \h </w:instrText>
            </w:r>
            <w:r w:rsidR="00653CA0" w:rsidRPr="00876A53">
              <w:rPr>
                <w:noProof/>
                <w:webHidden/>
              </w:rPr>
            </w:r>
            <w:r w:rsidR="00653CA0" w:rsidRPr="00876A53">
              <w:rPr>
                <w:noProof/>
                <w:webHidden/>
              </w:rPr>
              <w:fldChar w:fldCharType="separate"/>
            </w:r>
            <w:r w:rsidR="00653CA0" w:rsidRPr="00876A53">
              <w:rPr>
                <w:noProof/>
                <w:webHidden/>
              </w:rPr>
              <w:t>24</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66" w:history="1">
            <w:r w:rsidR="00653CA0" w:rsidRPr="00876A53">
              <w:rPr>
                <w:rStyle w:val="Hyperlink"/>
                <w:noProof/>
                <w:color w:val="auto"/>
              </w:rPr>
              <w:t>G.</w:t>
            </w:r>
            <w:r w:rsidR="00653CA0" w:rsidRPr="00876A53">
              <w:rPr>
                <w:rFonts w:asciiTheme="minorHAnsi" w:eastAsiaTheme="minorEastAsia" w:hAnsiTheme="minorHAnsi"/>
                <w:noProof/>
                <w:sz w:val="22"/>
                <w:szCs w:val="22"/>
              </w:rPr>
              <w:tab/>
            </w:r>
            <w:r w:rsidR="00653CA0" w:rsidRPr="00876A53">
              <w:rPr>
                <w:rStyle w:val="Hyperlink"/>
                <w:noProof/>
                <w:color w:val="auto"/>
              </w:rPr>
              <w:t>The PPAR is not necessary to support AEP-Ohio’s financial well-being and does not serve or advance market-based outcomes</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_Toc393878366 \h </w:instrText>
            </w:r>
            <w:r w:rsidR="00653CA0" w:rsidRPr="00876A53">
              <w:rPr>
                <w:noProof/>
                <w:webHidden/>
              </w:rPr>
            </w:r>
            <w:r w:rsidR="00653CA0" w:rsidRPr="00876A53">
              <w:rPr>
                <w:noProof/>
                <w:webHidden/>
              </w:rPr>
              <w:fldChar w:fldCharType="separate"/>
            </w:r>
            <w:r w:rsidR="00653CA0" w:rsidRPr="00876A53">
              <w:rPr>
                <w:noProof/>
                <w:webHidden/>
              </w:rPr>
              <w:t>29</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67" w:history="1">
            <w:r w:rsidR="00653CA0" w:rsidRPr="00876A53">
              <w:rPr>
                <w:rStyle w:val="Hyperlink"/>
                <w:noProof/>
                <w:color w:val="auto"/>
              </w:rPr>
              <w:t>H.</w:t>
            </w:r>
            <w:r w:rsidR="00653CA0" w:rsidRPr="00876A53">
              <w:rPr>
                <w:rFonts w:asciiTheme="minorHAnsi" w:eastAsiaTheme="minorEastAsia" w:hAnsiTheme="minorHAnsi"/>
                <w:noProof/>
                <w:sz w:val="22"/>
                <w:szCs w:val="22"/>
              </w:rPr>
              <w:tab/>
            </w:r>
            <w:r w:rsidR="00653CA0" w:rsidRPr="00876A53">
              <w:rPr>
                <w:rStyle w:val="Hyperlink"/>
                <w:noProof/>
                <w:color w:val="auto"/>
              </w:rPr>
              <w:t>AEP-Ohio can avoid the market risk of the OVEC Entitlement by assigning its interest to a third party</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_Toc393878367 \h </w:instrText>
            </w:r>
            <w:r w:rsidR="00653CA0" w:rsidRPr="00876A53">
              <w:rPr>
                <w:noProof/>
                <w:webHidden/>
              </w:rPr>
            </w:r>
            <w:r w:rsidR="00653CA0" w:rsidRPr="00876A53">
              <w:rPr>
                <w:noProof/>
                <w:webHidden/>
              </w:rPr>
              <w:fldChar w:fldCharType="separate"/>
            </w:r>
            <w:r w:rsidR="00653CA0" w:rsidRPr="00876A53">
              <w:rPr>
                <w:noProof/>
                <w:webHidden/>
              </w:rPr>
              <w:t>34</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68" w:history="1">
            <w:r w:rsidR="00653CA0" w:rsidRPr="00876A53">
              <w:rPr>
                <w:rStyle w:val="Hyperlink"/>
                <w:noProof/>
                <w:color w:val="auto"/>
              </w:rPr>
              <w:t>I.</w:t>
            </w:r>
            <w:r w:rsidR="00653CA0" w:rsidRPr="00876A53">
              <w:rPr>
                <w:rFonts w:asciiTheme="minorHAnsi" w:eastAsiaTheme="minorEastAsia" w:hAnsiTheme="minorHAnsi"/>
                <w:noProof/>
                <w:sz w:val="22"/>
                <w:szCs w:val="22"/>
              </w:rPr>
              <w:tab/>
            </w:r>
            <w:r w:rsidR="00653CA0" w:rsidRPr="00876A53">
              <w:rPr>
                <w:rStyle w:val="Hyperlink"/>
                <w:noProof/>
                <w:color w:val="auto"/>
              </w:rPr>
              <w:t>The Commission should modify the proposed ESP by removing the PPAR from the proposed ESP</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_Toc393878368 \h </w:instrText>
            </w:r>
            <w:r w:rsidR="00653CA0" w:rsidRPr="00876A53">
              <w:rPr>
                <w:noProof/>
                <w:webHidden/>
              </w:rPr>
            </w:r>
            <w:r w:rsidR="00653CA0" w:rsidRPr="00876A53">
              <w:rPr>
                <w:noProof/>
                <w:webHidden/>
              </w:rPr>
              <w:fldChar w:fldCharType="separate"/>
            </w:r>
            <w:r w:rsidR="00653CA0" w:rsidRPr="00876A53">
              <w:rPr>
                <w:noProof/>
                <w:webHidden/>
              </w:rPr>
              <w:t>36</w:t>
            </w:r>
            <w:r w:rsidR="00653CA0" w:rsidRPr="00876A53">
              <w:rPr>
                <w:noProof/>
                <w:webHidden/>
              </w:rPr>
              <w:fldChar w:fldCharType="end"/>
            </w:r>
          </w:hyperlink>
        </w:p>
        <w:p w:rsidR="00653CA0" w:rsidRPr="00876A53" w:rsidRDefault="002D40B2">
          <w:pPr>
            <w:pStyle w:val="TOC1"/>
            <w:rPr>
              <w:rFonts w:asciiTheme="minorHAnsi" w:eastAsiaTheme="minorEastAsia" w:hAnsiTheme="minorHAnsi"/>
              <w:noProof/>
              <w:sz w:val="22"/>
              <w:szCs w:val="22"/>
            </w:rPr>
          </w:pPr>
          <w:hyperlink w:anchor="_Toc393878369" w:history="1">
            <w:r w:rsidR="00653CA0" w:rsidRPr="00876A53">
              <w:rPr>
                <w:rStyle w:val="Hyperlink"/>
                <w:noProof/>
                <w:color w:val="auto"/>
              </w:rPr>
              <w:t>III.</w:t>
            </w:r>
            <w:r w:rsidR="00653CA0" w:rsidRPr="00876A53">
              <w:rPr>
                <w:rFonts w:asciiTheme="minorHAnsi" w:eastAsiaTheme="minorEastAsia" w:hAnsiTheme="minorHAnsi"/>
                <w:noProof/>
                <w:sz w:val="22"/>
                <w:szCs w:val="22"/>
              </w:rPr>
              <w:tab/>
            </w:r>
            <w:r w:rsidR="00653CA0" w:rsidRPr="00876A53">
              <w:rPr>
                <w:rStyle w:val="Hyperlink"/>
                <w:caps/>
                <w:noProof/>
                <w:color w:val="auto"/>
              </w:rPr>
              <w:t>The Commission should reject AEP-Ohio’s proposed nonbypassable BTCR</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_Toc393878369 \h </w:instrText>
            </w:r>
            <w:r w:rsidR="00653CA0" w:rsidRPr="00876A53">
              <w:rPr>
                <w:noProof/>
                <w:webHidden/>
              </w:rPr>
            </w:r>
            <w:r w:rsidR="00653CA0" w:rsidRPr="00876A53">
              <w:rPr>
                <w:noProof/>
                <w:webHidden/>
              </w:rPr>
              <w:fldChar w:fldCharType="separate"/>
            </w:r>
            <w:r w:rsidR="00653CA0" w:rsidRPr="00876A53">
              <w:rPr>
                <w:noProof/>
                <w:webHidden/>
              </w:rPr>
              <w:t>37</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70" w:history="1">
            <w:r w:rsidR="00653CA0" w:rsidRPr="00876A53">
              <w:rPr>
                <w:rStyle w:val="Hyperlink"/>
                <w:noProof/>
                <w:color w:val="auto"/>
              </w:rPr>
              <w:t>A.</w:t>
            </w:r>
            <w:r w:rsidR="00653CA0" w:rsidRPr="00876A53">
              <w:rPr>
                <w:rFonts w:asciiTheme="minorHAnsi" w:eastAsiaTheme="minorEastAsia" w:hAnsiTheme="minorHAnsi"/>
                <w:noProof/>
                <w:sz w:val="22"/>
                <w:szCs w:val="22"/>
              </w:rPr>
              <w:tab/>
            </w:r>
            <w:r w:rsidR="00653CA0" w:rsidRPr="00876A53">
              <w:rPr>
                <w:rStyle w:val="Hyperlink"/>
                <w:noProof/>
                <w:color w:val="auto"/>
              </w:rPr>
              <w:t>The BTCR will not result in uniformity of transmission pricing terms across the State</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_Toc393878370 \h </w:instrText>
            </w:r>
            <w:r w:rsidR="00653CA0" w:rsidRPr="00876A53">
              <w:rPr>
                <w:noProof/>
                <w:webHidden/>
              </w:rPr>
            </w:r>
            <w:r w:rsidR="00653CA0" w:rsidRPr="00876A53">
              <w:rPr>
                <w:noProof/>
                <w:webHidden/>
              </w:rPr>
              <w:fldChar w:fldCharType="separate"/>
            </w:r>
            <w:r w:rsidR="00653CA0" w:rsidRPr="00876A53">
              <w:rPr>
                <w:noProof/>
                <w:webHidden/>
              </w:rPr>
              <w:t>38</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71" w:history="1">
            <w:r w:rsidR="00653CA0" w:rsidRPr="00876A53">
              <w:rPr>
                <w:rStyle w:val="Hyperlink"/>
                <w:noProof/>
                <w:color w:val="auto"/>
              </w:rPr>
              <w:t>B.</w:t>
            </w:r>
            <w:r w:rsidR="00653CA0" w:rsidRPr="00876A53">
              <w:rPr>
                <w:rFonts w:asciiTheme="minorHAnsi" w:eastAsiaTheme="minorEastAsia" w:hAnsiTheme="minorHAnsi"/>
                <w:noProof/>
                <w:sz w:val="22"/>
                <w:szCs w:val="22"/>
              </w:rPr>
              <w:tab/>
            </w:r>
            <w:r w:rsidR="00653CA0" w:rsidRPr="00876A53">
              <w:rPr>
                <w:rStyle w:val="Hyperlink"/>
                <w:noProof/>
                <w:color w:val="auto"/>
              </w:rPr>
              <w:t>The BTCR could disrupt the contractual relationship between shopping customers and their CRES providers</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_Toc393878371 \h </w:instrText>
            </w:r>
            <w:r w:rsidR="00653CA0" w:rsidRPr="00876A53">
              <w:rPr>
                <w:noProof/>
                <w:webHidden/>
              </w:rPr>
            </w:r>
            <w:r w:rsidR="00653CA0" w:rsidRPr="00876A53">
              <w:rPr>
                <w:noProof/>
                <w:webHidden/>
              </w:rPr>
              <w:fldChar w:fldCharType="separate"/>
            </w:r>
            <w:r w:rsidR="00653CA0" w:rsidRPr="00876A53">
              <w:rPr>
                <w:noProof/>
                <w:webHidden/>
              </w:rPr>
              <w:t>39</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72" w:history="1">
            <w:r w:rsidR="00653CA0" w:rsidRPr="00876A53">
              <w:rPr>
                <w:rStyle w:val="Hyperlink"/>
                <w:noProof/>
                <w:color w:val="auto"/>
              </w:rPr>
              <w:t>C.</w:t>
            </w:r>
            <w:r w:rsidR="00653CA0" w:rsidRPr="00876A53">
              <w:rPr>
                <w:rFonts w:asciiTheme="minorHAnsi" w:eastAsiaTheme="minorEastAsia" w:hAnsiTheme="minorHAnsi"/>
                <w:noProof/>
                <w:sz w:val="22"/>
                <w:szCs w:val="22"/>
              </w:rPr>
              <w:tab/>
            </w:r>
            <w:r w:rsidR="00653CA0" w:rsidRPr="00876A53">
              <w:rPr>
                <w:rStyle w:val="Hyperlink"/>
                <w:noProof/>
                <w:color w:val="auto"/>
              </w:rPr>
              <w:t>The proposed BTCR conflicts with the state policy of providing customers with the ability to negotiate price, terms, and conditions of service that meet their respective needs</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_Toc393878372 \h </w:instrText>
            </w:r>
            <w:r w:rsidR="00653CA0" w:rsidRPr="00876A53">
              <w:rPr>
                <w:noProof/>
                <w:webHidden/>
              </w:rPr>
            </w:r>
            <w:r w:rsidR="00653CA0" w:rsidRPr="00876A53">
              <w:rPr>
                <w:noProof/>
                <w:webHidden/>
              </w:rPr>
              <w:fldChar w:fldCharType="separate"/>
            </w:r>
            <w:r w:rsidR="00653CA0" w:rsidRPr="00876A53">
              <w:rPr>
                <w:noProof/>
                <w:webHidden/>
              </w:rPr>
              <w:t>40</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73" w:history="1">
            <w:r w:rsidR="00653CA0" w:rsidRPr="00876A53">
              <w:rPr>
                <w:rStyle w:val="Hyperlink"/>
                <w:noProof/>
                <w:color w:val="auto"/>
              </w:rPr>
              <w:t>D.</w:t>
            </w:r>
            <w:r w:rsidR="00653CA0" w:rsidRPr="00876A53">
              <w:rPr>
                <w:rFonts w:asciiTheme="minorHAnsi" w:eastAsiaTheme="minorEastAsia" w:hAnsiTheme="minorHAnsi"/>
                <w:noProof/>
                <w:sz w:val="22"/>
                <w:szCs w:val="22"/>
              </w:rPr>
              <w:tab/>
            </w:r>
            <w:r w:rsidR="00653CA0" w:rsidRPr="00876A53">
              <w:rPr>
                <w:rStyle w:val="Hyperlink"/>
                <w:noProof/>
                <w:color w:val="auto"/>
              </w:rPr>
              <w:t>The BTCR does not provide customers with efficient price signals to reduce usage at times of peak demand</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_Toc393878373 \h </w:instrText>
            </w:r>
            <w:r w:rsidR="00653CA0" w:rsidRPr="00876A53">
              <w:rPr>
                <w:noProof/>
                <w:webHidden/>
              </w:rPr>
            </w:r>
            <w:r w:rsidR="00653CA0" w:rsidRPr="00876A53">
              <w:rPr>
                <w:noProof/>
                <w:webHidden/>
              </w:rPr>
              <w:fldChar w:fldCharType="separate"/>
            </w:r>
            <w:r w:rsidR="00653CA0" w:rsidRPr="00876A53">
              <w:rPr>
                <w:noProof/>
                <w:webHidden/>
              </w:rPr>
              <w:t>41</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74" w:history="1">
            <w:r w:rsidR="00653CA0" w:rsidRPr="00876A53">
              <w:rPr>
                <w:rStyle w:val="Hyperlink"/>
                <w:noProof/>
                <w:color w:val="auto"/>
              </w:rPr>
              <w:t>E.</w:t>
            </w:r>
            <w:r w:rsidR="00653CA0" w:rsidRPr="00876A53">
              <w:rPr>
                <w:rFonts w:asciiTheme="minorHAnsi" w:eastAsiaTheme="minorEastAsia" w:hAnsiTheme="minorHAnsi"/>
                <w:noProof/>
                <w:sz w:val="22"/>
                <w:szCs w:val="22"/>
              </w:rPr>
              <w:tab/>
            </w:r>
            <w:r w:rsidR="00653CA0" w:rsidRPr="00876A53">
              <w:rPr>
                <w:rStyle w:val="Hyperlink"/>
                <w:noProof/>
                <w:color w:val="auto"/>
              </w:rPr>
              <w:t>The BTCR is not needed to advance the competitive marketplace</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_Toc393878374 \h </w:instrText>
            </w:r>
            <w:r w:rsidR="00653CA0" w:rsidRPr="00876A53">
              <w:rPr>
                <w:noProof/>
                <w:webHidden/>
              </w:rPr>
            </w:r>
            <w:r w:rsidR="00653CA0" w:rsidRPr="00876A53">
              <w:rPr>
                <w:noProof/>
                <w:webHidden/>
              </w:rPr>
              <w:fldChar w:fldCharType="separate"/>
            </w:r>
            <w:r w:rsidR="00653CA0" w:rsidRPr="00876A53">
              <w:rPr>
                <w:noProof/>
                <w:webHidden/>
              </w:rPr>
              <w:t>43</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75" w:history="1">
            <w:r w:rsidR="00653CA0" w:rsidRPr="00876A53">
              <w:rPr>
                <w:rStyle w:val="Hyperlink"/>
                <w:noProof/>
                <w:color w:val="auto"/>
              </w:rPr>
              <w:t>F.</w:t>
            </w:r>
            <w:r w:rsidR="00653CA0" w:rsidRPr="00876A53">
              <w:rPr>
                <w:rFonts w:asciiTheme="minorHAnsi" w:eastAsiaTheme="minorEastAsia" w:hAnsiTheme="minorHAnsi"/>
                <w:noProof/>
                <w:sz w:val="22"/>
                <w:szCs w:val="22"/>
              </w:rPr>
              <w:tab/>
            </w:r>
            <w:r w:rsidR="00653CA0" w:rsidRPr="00876A53">
              <w:rPr>
                <w:rStyle w:val="Hyperlink"/>
                <w:noProof/>
                <w:color w:val="auto"/>
              </w:rPr>
              <w:t>If the Commission does not reject the BTCR for the foregoing reasons, it should at least modify the BTCR so that it ensures efficient price signals and does not result in double-billing</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_Toc393878375 \h </w:instrText>
            </w:r>
            <w:r w:rsidR="00653CA0" w:rsidRPr="00876A53">
              <w:rPr>
                <w:noProof/>
                <w:webHidden/>
              </w:rPr>
            </w:r>
            <w:r w:rsidR="00653CA0" w:rsidRPr="00876A53">
              <w:rPr>
                <w:noProof/>
                <w:webHidden/>
              </w:rPr>
              <w:fldChar w:fldCharType="separate"/>
            </w:r>
            <w:r w:rsidR="00653CA0" w:rsidRPr="00876A53">
              <w:rPr>
                <w:noProof/>
                <w:webHidden/>
              </w:rPr>
              <w:t>43</w:t>
            </w:r>
            <w:r w:rsidR="00653CA0" w:rsidRPr="00876A53">
              <w:rPr>
                <w:noProof/>
                <w:webHidden/>
              </w:rPr>
              <w:fldChar w:fldCharType="end"/>
            </w:r>
          </w:hyperlink>
        </w:p>
        <w:p w:rsidR="00653CA0" w:rsidRPr="00876A53" w:rsidRDefault="002D40B2">
          <w:pPr>
            <w:pStyle w:val="TOC1"/>
            <w:rPr>
              <w:rFonts w:asciiTheme="minorHAnsi" w:eastAsiaTheme="minorEastAsia" w:hAnsiTheme="minorHAnsi"/>
              <w:noProof/>
              <w:sz w:val="22"/>
              <w:szCs w:val="22"/>
            </w:rPr>
          </w:pPr>
          <w:hyperlink w:anchor="_Toc393878376" w:history="1">
            <w:r w:rsidR="00653CA0" w:rsidRPr="00876A53">
              <w:rPr>
                <w:rStyle w:val="Hyperlink"/>
                <w:noProof/>
                <w:color w:val="auto"/>
              </w:rPr>
              <w:t>IV.</w:t>
            </w:r>
            <w:r w:rsidR="00653CA0" w:rsidRPr="00876A53">
              <w:rPr>
                <w:rFonts w:asciiTheme="minorHAnsi" w:eastAsiaTheme="minorEastAsia" w:hAnsiTheme="minorHAnsi"/>
                <w:noProof/>
                <w:sz w:val="22"/>
                <w:szCs w:val="22"/>
              </w:rPr>
              <w:tab/>
            </w:r>
            <w:r w:rsidR="00653CA0" w:rsidRPr="00876A53">
              <w:rPr>
                <w:rStyle w:val="Hyperlink"/>
                <w:caps/>
                <w:noProof/>
                <w:color w:val="auto"/>
              </w:rPr>
              <w:t xml:space="preserve">The Commission should reject the POR program; if the Commission authorizes a POR, it should order that </w:t>
            </w:r>
            <w:r w:rsidR="00653CA0" w:rsidRPr="00876A53">
              <w:rPr>
                <w:rStyle w:val="Hyperlink"/>
                <w:caps/>
                <w:noProof/>
                <w:color w:val="auto"/>
              </w:rPr>
              <w:lastRenderedPageBreak/>
              <w:t>accounts receivable be purchased at a discount and deny authorization of the BDR</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_Toc393878376 \h </w:instrText>
            </w:r>
            <w:r w:rsidR="00653CA0" w:rsidRPr="00876A53">
              <w:rPr>
                <w:noProof/>
                <w:webHidden/>
              </w:rPr>
            </w:r>
            <w:r w:rsidR="00653CA0" w:rsidRPr="00876A53">
              <w:rPr>
                <w:noProof/>
                <w:webHidden/>
              </w:rPr>
              <w:fldChar w:fldCharType="separate"/>
            </w:r>
            <w:r w:rsidR="00653CA0" w:rsidRPr="00876A53">
              <w:rPr>
                <w:noProof/>
                <w:webHidden/>
              </w:rPr>
              <w:t>44</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77" w:history="1">
            <w:r w:rsidR="00653CA0" w:rsidRPr="00876A53">
              <w:rPr>
                <w:rStyle w:val="Hyperlink"/>
                <w:noProof/>
                <w:color w:val="auto"/>
              </w:rPr>
              <w:t>A.</w:t>
            </w:r>
            <w:r w:rsidR="00653CA0" w:rsidRPr="00876A53">
              <w:rPr>
                <w:rFonts w:asciiTheme="minorHAnsi" w:eastAsiaTheme="minorEastAsia" w:hAnsiTheme="minorHAnsi"/>
                <w:noProof/>
                <w:sz w:val="22"/>
                <w:szCs w:val="22"/>
              </w:rPr>
              <w:tab/>
            </w:r>
            <w:r w:rsidR="00653CA0" w:rsidRPr="00876A53">
              <w:rPr>
                <w:rStyle w:val="Hyperlink"/>
                <w:noProof/>
                <w:color w:val="auto"/>
              </w:rPr>
              <w:t>The POR program does not provide a quantitative or non-quantitative benefit to customers</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_Toc393878377 \h </w:instrText>
            </w:r>
            <w:r w:rsidR="00653CA0" w:rsidRPr="00876A53">
              <w:rPr>
                <w:noProof/>
                <w:webHidden/>
              </w:rPr>
            </w:r>
            <w:r w:rsidR="00653CA0" w:rsidRPr="00876A53">
              <w:rPr>
                <w:noProof/>
                <w:webHidden/>
              </w:rPr>
              <w:fldChar w:fldCharType="separate"/>
            </w:r>
            <w:r w:rsidR="00653CA0" w:rsidRPr="00876A53">
              <w:rPr>
                <w:noProof/>
                <w:webHidden/>
              </w:rPr>
              <w:t>46</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78" w:history="1">
            <w:r w:rsidR="00653CA0" w:rsidRPr="00876A53">
              <w:rPr>
                <w:rStyle w:val="Hyperlink"/>
                <w:noProof/>
                <w:color w:val="auto"/>
              </w:rPr>
              <w:t>B.</w:t>
            </w:r>
            <w:r w:rsidR="00653CA0" w:rsidRPr="00876A53">
              <w:rPr>
                <w:rFonts w:asciiTheme="minorHAnsi" w:eastAsiaTheme="minorEastAsia" w:hAnsiTheme="minorHAnsi"/>
                <w:noProof/>
                <w:sz w:val="22"/>
                <w:szCs w:val="22"/>
              </w:rPr>
              <w:tab/>
            </w:r>
            <w:r w:rsidR="00653CA0" w:rsidRPr="00876A53">
              <w:rPr>
                <w:rStyle w:val="Hyperlink"/>
                <w:noProof/>
                <w:color w:val="auto"/>
              </w:rPr>
              <w:t>AEP-Ohio’s reliance on the Duke Stipulation for authorization of the BDR is unwarranted and violates the terms of the Stipulation</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_Toc393878378 \h </w:instrText>
            </w:r>
            <w:r w:rsidR="00653CA0" w:rsidRPr="00876A53">
              <w:rPr>
                <w:noProof/>
                <w:webHidden/>
              </w:rPr>
            </w:r>
            <w:r w:rsidR="00653CA0" w:rsidRPr="00876A53">
              <w:rPr>
                <w:noProof/>
                <w:webHidden/>
              </w:rPr>
              <w:fldChar w:fldCharType="separate"/>
            </w:r>
            <w:r w:rsidR="00653CA0" w:rsidRPr="00876A53">
              <w:rPr>
                <w:noProof/>
                <w:webHidden/>
              </w:rPr>
              <w:t>49</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79" w:history="1">
            <w:r w:rsidR="00653CA0" w:rsidRPr="00876A53">
              <w:rPr>
                <w:rStyle w:val="Hyperlink"/>
                <w:noProof/>
                <w:color w:val="auto"/>
              </w:rPr>
              <w:t>C.</w:t>
            </w:r>
            <w:r w:rsidR="00653CA0" w:rsidRPr="00876A53">
              <w:rPr>
                <w:rFonts w:asciiTheme="minorHAnsi" w:eastAsiaTheme="minorEastAsia" w:hAnsiTheme="minorHAnsi"/>
                <w:noProof/>
                <w:sz w:val="22"/>
                <w:szCs w:val="22"/>
              </w:rPr>
              <w:tab/>
            </w:r>
            <w:r w:rsidR="00653CA0" w:rsidRPr="00876A53">
              <w:rPr>
                <w:rStyle w:val="Hyperlink"/>
                <w:noProof/>
                <w:color w:val="auto"/>
              </w:rPr>
              <w:t>The BDR will not enhance competition, but will unreasonably shift the market risk for bad debt to all customers of AEP-Ohio</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_Toc393878379 \h </w:instrText>
            </w:r>
            <w:r w:rsidR="00653CA0" w:rsidRPr="00876A53">
              <w:rPr>
                <w:noProof/>
                <w:webHidden/>
              </w:rPr>
            </w:r>
            <w:r w:rsidR="00653CA0" w:rsidRPr="00876A53">
              <w:rPr>
                <w:noProof/>
                <w:webHidden/>
              </w:rPr>
              <w:fldChar w:fldCharType="separate"/>
            </w:r>
            <w:r w:rsidR="00653CA0" w:rsidRPr="00876A53">
              <w:rPr>
                <w:noProof/>
                <w:webHidden/>
              </w:rPr>
              <w:t>50</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80" w:history="1">
            <w:r w:rsidR="00653CA0" w:rsidRPr="00876A53">
              <w:rPr>
                <w:rStyle w:val="Hyperlink"/>
                <w:noProof/>
                <w:color w:val="auto"/>
              </w:rPr>
              <w:t>D.</w:t>
            </w:r>
            <w:r w:rsidR="00653CA0" w:rsidRPr="00876A53">
              <w:rPr>
                <w:rFonts w:asciiTheme="minorHAnsi" w:eastAsiaTheme="minorEastAsia" w:hAnsiTheme="minorHAnsi"/>
                <w:noProof/>
                <w:sz w:val="22"/>
                <w:szCs w:val="22"/>
              </w:rPr>
              <w:tab/>
            </w:r>
            <w:r w:rsidR="00653CA0" w:rsidRPr="00876A53">
              <w:rPr>
                <w:rStyle w:val="Hyperlink"/>
                <w:noProof/>
                <w:color w:val="auto"/>
              </w:rPr>
              <w:t>If the Commission approves a POR program for AEP-Ohio, it should refuse to authorize the BDR and direct that AEP-Ohio purchase accounts receivable at a discount</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_Toc393878380 \h </w:instrText>
            </w:r>
            <w:r w:rsidR="00653CA0" w:rsidRPr="00876A53">
              <w:rPr>
                <w:noProof/>
                <w:webHidden/>
              </w:rPr>
            </w:r>
            <w:r w:rsidR="00653CA0" w:rsidRPr="00876A53">
              <w:rPr>
                <w:noProof/>
                <w:webHidden/>
              </w:rPr>
              <w:fldChar w:fldCharType="separate"/>
            </w:r>
            <w:r w:rsidR="00653CA0" w:rsidRPr="00876A53">
              <w:rPr>
                <w:noProof/>
                <w:webHidden/>
              </w:rPr>
              <w:t>51</w:t>
            </w:r>
            <w:r w:rsidR="00653CA0" w:rsidRPr="00876A53">
              <w:rPr>
                <w:noProof/>
                <w:webHidden/>
              </w:rPr>
              <w:fldChar w:fldCharType="end"/>
            </w:r>
          </w:hyperlink>
        </w:p>
        <w:p w:rsidR="00653CA0" w:rsidRPr="00876A53" w:rsidRDefault="002D40B2">
          <w:pPr>
            <w:pStyle w:val="TOC1"/>
            <w:rPr>
              <w:rFonts w:asciiTheme="minorHAnsi" w:eastAsiaTheme="minorEastAsia" w:hAnsiTheme="minorHAnsi"/>
              <w:noProof/>
              <w:sz w:val="22"/>
              <w:szCs w:val="22"/>
            </w:rPr>
          </w:pPr>
          <w:hyperlink w:anchor="_Toc393878381" w:history="1">
            <w:r w:rsidR="00653CA0" w:rsidRPr="00876A53">
              <w:rPr>
                <w:rStyle w:val="Hyperlink"/>
                <w:noProof/>
                <w:color w:val="auto"/>
              </w:rPr>
              <w:t>V.</w:t>
            </w:r>
            <w:r w:rsidR="00653CA0" w:rsidRPr="00876A53">
              <w:rPr>
                <w:rFonts w:asciiTheme="minorHAnsi" w:eastAsiaTheme="minorEastAsia" w:hAnsiTheme="minorHAnsi"/>
                <w:noProof/>
                <w:sz w:val="22"/>
                <w:szCs w:val="22"/>
              </w:rPr>
              <w:tab/>
            </w:r>
            <w:r w:rsidR="00653CA0" w:rsidRPr="00876A53">
              <w:rPr>
                <w:rStyle w:val="Hyperlink"/>
                <w:caps/>
                <w:noProof/>
                <w:color w:val="auto"/>
              </w:rPr>
              <w:t>The proposed ESP is not more favorable in the aggregate than aN MRO</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_Toc393878381 \h </w:instrText>
            </w:r>
            <w:r w:rsidR="00653CA0" w:rsidRPr="00876A53">
              <w:rPr>
                <w:noProof/>
                <w:webHidden/>
              </w:rPr>
            </w:r>
            <w:r w:rsidR="00653CA0" w:rsidRPr="00876A53">
              <w:rPr>
                <w:noProof/>
                <w:webHidden/>
              </w:rPr>
              <w:fldChar w:fldCharType="separate"/>
            </w:r>
            <w:r w:rsidR="00653CA0" w:rsidRPr="00876A53">
              <w:rPr>
                <w:noProof/>
                <w:webHidden/>
              </w:rPr>
              <w:t>51</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82" w:history="1">
            <w:r w:rsidR="00653CA0" w:rsidRPr="00876A53">
              <w:rPr>
                <w:rStyle w:val="Hyperlink"/>
                <w:noProof/>
                <w:color w:val="auto"/>
              </w:rPr>
              <w:t>A.</w:t>
            </w:r>
            <w:r w:rsidR="00653CA0" w:rsidRPr="00876A53">
              <w:rPr>
                <w:rFonts w:asciiTheme="minorHAnsi" w:eastAsiaTheme="minorEastAsia" w:hAnsiTheme="minorHAnsi"/>
                <w:noProof/>
                <w:sz w:val="22"/>
                <w:szCs w:val="22"/>
              </w:rPr>
              <w:tab/>
            </w:r>
            <w:r w:rsidR="00653CA0" w:rsidRPr="00876A53">
              <w:rPr>
                <w:rStyle w:val="Hyperlink"/>
                <w:noProof/>
                <w:color w:val="auto"/>
              </w:rPr>
              <w:t>The known costs of the PPAR must be accounted for in the ESP v. MRO Test</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_Toc393878382 \h </w:instrText>
            </w:r>
            <w:r w:rsidR="00653CA0" w:rsidRPr="00876A53">
              <w:rPr>
                <w:noProof/>
                <w:webHidden/>
              </w:rPr>
            </w:r>
            <w:r w:rsidR="00653CA0" w:rsidRPr="00876A53">
              <w:rPr>
                <w:noProof/>
                <w:webHidden/>
              </w:rPr>
              <w:fldChar w:fldCharType="separate"/>
            </w:r>
            <w:r w:rsidR="00653CA0" w:rsidRPr="00876A53">
              <w:rPr>
                <w:noProof/>
                <w:webHidden/>
              </w:rPr>
              <w:t>53</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83" w:history="1">
            <w:r w:rsidR="00653CA0" w:rsidRPr="00876A53">
              <w:rPr>
                <w:rStyle w:val="Hyperlink"/>
                <w:noProof/>
                <w:color w:val="auto"/>
              </w:rPr>
              <w:t>B.</w:t>
            </w:r>
            <w:r w:rsidR="00653CA0" w:rsidRPr="00876A53">
              <w:rPr>
                <w:rFonts w:asciiTheme="minorHAnsi" w:eastAsiaTheme="minorEastAsia" w:hAnsiTheme="minorHAnsi"/>
                <w:noProof/>
                <w:sz w:val="22"/>
                <w:szCs w:val="22"/>
              </w:rPr>
              <w:tab/>
            </w:r>
            <w:r w:rsidR="00653CA0" w:rsidRPr="00876A53">
              <w:rPr>
                <w:rStyle w:val="Hyperlink"/>
                <w:noProof/>
                <w:color w:val="auto"/>
              </w:rPr>
              <w:t>The known cost of the PPAR is $82 million to $116 million over the term of the proposed ESP; as a result, the proposed ESP is $38 million to $72 million worse than an MRO</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_Toc393878383 \h </w:instrText>
            </w:r>
            <w:r w:rsidR="00653CA0" w:rsidRPr="00876A53">
              <w:rPr>
                <w:noProof/>
                <w:webHidden/>
              </w:rPr>
            </w:r>
            <w:r w:rsidR="00653CA0" w:rsidRPr="00876A53">
              <w:rPr>
                <w:noProof/>
                <w:webHidden/>
              </w:rPr>
              <w:fldChar w:fldCharType="separate"/>
            </w:r>
            <w:r w:rsidR="00653CA0" w:rsidRPr="00876A53">
              <w:rPr>
                <w:noProof/>
                <w:webHidden/>
              </w:rPr>
              <w:t>54</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84" w:history="1">
            <w:r w:rsidR="00653CA0" w:rsidRPr="00876A53">
              <w:rPr>
                <w:rStyle w:val="Hyperlink"/>
                <w:noProof/>
                <w:color w:val="auto"/>
              </w:rPr>
              <w:t>C.</w:t>
            </w:r>
            <w:r w:rsidR="00653CA0" w:rsidRPr="00876A53">
              <w:rPr>
                <w:rFonts w:asciiTheme="minorHAnsi" w:eastAsiaTheme="minorEastAsia" w:hAnsiTheme="minorHAnsi"/>
                <w:noProof/>
                <w:sz w:val="22"/>
                <w:szCs w:val="22"/>
              </w:rPr>
              <w:tab/>
            </w:r>
            <w:r w:rsidR="00653CA0" w:rsidRPr="00876A53">
              <w:rPr>
                <w:rStyle w:val="Hyperlink"/>
                <w:noProof/>
                <w:color w:val="auto"/>
              </w:rPr>
              <w:t>The Commission may not lawfully weigh the non-quantifiable benefits against the quantifiable costs of the proposed ESP</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_Toc393878384 \h </w:instrText>
            </w:r>
            <w:r w:rsidR="00653CA0" w:rsidRPr="00876A53">
              <w:rPr>
                <w:noProof/>
                <w:webHidden/>
              </w:rPr>
            </w:r>
            <w:r w:rsidR="00653CA0" w:rsidRPr="00876A53">
              <w:rPr>
                <w:noProof/>
                <w:webHidden/>
              </w:rPr>
              <w:fldChar w:fldCharType="separate"/>
            </w:r>
            <w:r w:rsidR="00653CA0" w:rsidRPr="00876A53">
              <w:rPr>
                <w:noProof/>
                <w:webHidden/>
              </w:rPr>
              <w:t>56</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85" w:history="1">
            <w:r w:rsidR="00653CA0" w:rsidRPr="00876A53">
              <w:rPr>
                <w:rStyle w:val="Hyperlink"/>
                <w:noProof/>
                <w:color w:val="auto"/>
              </w:rPr>
              <w:t>D.</w:t>
            </w:r>
            <w:r w:rsidR="00653CA0" w:rsidRPr="00876A53">
              <w:rPr>
                <w:rFonts w:asciiTheme="minorHAnsi" w:eastAsiaTheme="minorEastAsia" w:hAnsiTheme="minorHAnsi"/>
                <w:noProof/>
                <w:sz w:val="22"/>
                <w:szCs w:val="22"/>
              </w:rPr>
              <w:tab/>
            </w:r>
            <w:r w:rsidR="00653CA0" w:rsidRPr="00876A53">
              <w:rPr>
                <w:rStyle w:val="Hyperlink"/>
                <w:noProof/>
                <w:color w:val="auto"/>
              </w:rPr>
              <w:t>If the Commission may consider the non-quantifiable benefits, AEP-Ohio has failed to demonstrate that the proposed ESP provides any non-quantifiable benefits to customers that “outweigh” its substantial costs</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_Toc393878385 \h </w:instrText>
            </w:r>
            <w:r w:rsidR="00653CA0" w:rsidRPr="00876A53">
              <w:rPr>
                <w:noProof/>
                <w:webHidden/>
              </w:rPr>
            </w:r>
            <w:r w:rsidR="00653CA0" w:rsidRPr="00876A53">
              <w:rPr>
                <w:noProof/>
                <w:webHidden/>
              </w:rPr>
              <w:fldChar w:fldCharType="separate"/>
            </w:r>
            <w:r w:rsidR="00653CA0" w:rsidRPr="00876A53">
              <w:rPr>
                <w:noProof/>
                <w:webHidden/>
              </w:rPr>
              <w:t>57</w:t>
            </w:r>
            <w:r w:rsidR="00653CA0" w:rsidRPr="00876A53">
              <w:rPr>
                <w:noProof/>
                <w:webHidden/>
              </w:rPr>
              <w:fldChar w:fldCharType="end"/>
            </w:r>
          </w:hyperlink>
        </w:p>
        <w:p w:rsidR="00653CA0" w:rsidRPr="00876A53" w:rsidRDefault="002D40B2">
          <w:pPr>
            <w:pStyle w:val="TOC3"/>
            <w:tabs>
              <w:tab w:val="left" w:pos="2160"/>
            </w:tabs>
            <w:rPr>
              <w:rFonts w:asciiTheme="minorHAnsi" w:eastAsiaTheme="minorEastAsia" w:hAnsiTheme="minorHAnsi"/>
              <w:noProof/>
              <w:sz w:val="22"/>
              <w:szCs w:val="22"/>
            </w:rPr>
          </w:pPr>
          <w:hyperlink w:anchor="_Toc393878386" w:history="1">
            <w:r w:rsidR="00653CA0" w:rsidRPr="00876A53">
              <w:rPr>
                <w:rStyle w:val="Hyperlink"/>
                <w:noProof/>
                <w:color w:val="auto"/>
              </w:rPr>
              <w:t>1.</w:t>
            </w:r>
            <w:r w:rsidR="00653CA0" w:rsidRPr="00876A53">
              <w:rPr>
                <w:rFonts w:asciiTheme="minorHAnsi" w:eastAsiaTheme="minorEastAsia" w:hAnsiTheme="minorHAnsi"/>
                <w:noProof/>
                <w:sz w:val="22"/>
                <w:szCs w:val="22"/>
              </w:rPr>
              <w:tab/>
            </w:r>
            <w:r w:rsidR="00653CA0" w:rsidRPr="00876A53">
              <w:rPr>
                <w:rStyle w:val="Hyperlink"/>
                <w:noProof/>
                <w:color w:val="auto"/>
              </w:rPr>
              <w:t>The Commission cannot lawfully and reasonably assign a benefit to the ESP because AEP-Ohio agrees to implement a CBP to fulfill its obligation to provide a default service offer</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_Toc393878386 \h </w:instrText>
            </w:r>
            <w:r w:rsidR="00653CA0" w:rsidRPr="00876A53">
              <w:rPr>
                <w:noProof/>
                <w:webHidden/>
              </w:rPr>
            </w:r>
            <w:r w:rsidR="00653CA0" w:rsidRPr="00876A53">
              <w:rPr>
                <w:noProof/>
                <w:webHidden/>
              </w:rPr>
              <w:fldChar w:fldCharType="separate"/>
            </w:r>
            <w:r w:rsidR="00653CA0" w:rsidRPr="00876A53">
              <w:rPr>
                <w:noProof/>
                <w:webHidden/>
              </w:rPr>
              <w:t>58</w:t>
            </w:r>
            <w:r w:rsidR="00653CA0" w:rsidRPr="00876A53">
              <w:rPr>
                <w:noProof/>
                <w:webHidden/>
              </w:rPr>
              <w:fldChar w:fldCharType="end"/>
            </w:r>
          </w:hyperlink>
        </w:p>
        <w:p w:rsidR="00653CA0" w:rsidRPr="00876A53" w:rsidRDefault="002D40B2">
          <w:pPr>
            <w:pStyle w:val="TOC3"/>
            <w:tabs>
              <w:tab w:val="left" w:pos="2160"/>
            </w:tabs>
            <w:rPr>
              <w:rFonts w:asciiTheme="minorHAnsi" w:eastAsiaTheme="minorEastAsia" w:hAnsiTheme="minorHAnsi"/>
              <w:noProof/>
              <w:sz w:val="22"/>
              <w:szCs w:val="22"/>
            </w:rPr>
          </w:pPr>
          <w:hyperlink w:anchor="_Toc393878387" w:history="1">
            <w:r w:rsidR="00653CA0" w:rsidRPr="00876A53">
              <w:rPr>
                <w:rStyle w:val="Hyperlink"/>
                <w:noProof/>
                <w:color w:val="auto"/>
              </w:rPr>
              <w:t>2.</w:t>
            </w:r>
            <w:r w:rsidR="00653CA0" w:rsidRPr="00876A53">
              <w:rPr>
                <w:rFonts w:asciiTheme="minorHAnsi" w:eastAsiaTheme="minorEastAsia" w:hAnsiTheme="minorHAnsi"/>
                <w:noProof/>
                <w:sz w:val="22"/>
                <w:szCs w:val="22"/>
              </w:rPr>
              <w:tab/>
            </w:r>
            <w:r w:rsidR="00653CA0" w:rsidRPr="00876A53">
              <w:rPr>
                <w:rStyle w:val="Hyperlink"/>
                <w:noProof/>
                <w:color w:val="auto"/>
              </w:rPr>
              <w:t>AEP-Ohio seeks to double-count the benefits of a faster move to a market-based SSO</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_Toc393878387 \h </w:instrText>
            </w:r>
            <w:r w:rsidR="00653CA0" w:rsidRPr="00876A53">
              <w:rPr>
                <w:noProof/>
                <w:webHidden/>
              </w:rPr>
            </w:r>
            <w:r w:rsidR="00653CA0" w:rsidRPr="00876A53">
              <w:rPr>
                <w:noProof/>
                <w:webHidden/>
              </w:rPr>
              <w:fldChar w:fldCharType="separate"/>
            </w:r>
            <w:r w:rsidR="00653CA0" w:rsidRPr="00876A53">
              <w:rPr>
                <w:noProof/>
                <w:webHidden/>
              </w:rPr>
              <w:t>59</w:t>
            </w:r>
            <w:r w:rsidR="00653CA0" w:rsidRPr="00876A53">
              <w:rPr>
                <w:noProof/>
                <w:webHidden/>
              </w:rPr>
              <w:fldChar w:fldCharType="end"/>
            </w:r>
          </w:hyperlink>
        </w:p>
        <w:p w:rsidR="00653CA0" w:rsidRPr="00876A53" w:rsidRDefault="002D40B2">
          <w:pPr>
            <w:pStyle w:val="TOC3"/>
            <w:tabs>
              <w:tab w:val="left" w:pos="2160"/>
            </w:tabs>
            <w:rPr>
              <w:rFonts w:asciiTheme="minorHAnsi" w:eastAsiaTheme="minorEastAsia" w:hAnsiTheme="minorHAnsi"/>
              <w:noProof/>
              <w:sz w:val="22"/>
              <w:szCs w:val="22"/>
            </w:rPr>
          </w:pPr>
          <w:hyperlink w:anchor="_Toc393878388" w:history="1">
            <w:r w:rsidR="00653CA0" w:rsidRPr="00876A53">
              <w:rPr>
                <w:rStyle w:val="Hyperlink"/>
                <w:noProof/>
                <w:color w:val="auto"/>
              </w:rPr>
              <w:t>3.</w:t>
            </w:r>
            <w:r w:rsidR="00653CA0" w:rsidRPr="00876A53">
              <w:rPr>
                <w:rFonts w:asciiTheme="minorHAnsi" w:eastAsiaTheme="minorEastAsia" w:hAnsiTheme="minorHAnsi"/>
                <w:noProof/>
                <w:sz w:val="22"/>
                <w:szCs w:val="22"/>
              </w:rPr>
              <w:tab/>
            </w:r>
            <w:r w:rsidR="00653CA0" w:rsidRPr="00876A53">
              <w:rPr>
                <w:rStyle w:val="Hyperlink"/>
                <w:noProof/>
                <w:color w:val="auto"/>
              </w:rPr>
              <w:t>The PPAR will harm customers and competition without providing price stability</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_Toc393878388 \h </w:instrText>
            </w:r>
            <w:r w:rsidR="00653CA0" w:rsidRPr="00876A53">
              <w:rPr>
                <w:noProof/>
                <w:webHidden/>
              </w:rPr>
            </w:r>
            <w:r w:rsidR="00653CA0" w:rsidRPr="00876A53">
              <w:rPr>
                <w:noProof/>
                <w:webHidden/>
              </w:rPr>
              <w:fldChar w:fldCharType="separate"/>
            </w:r>
            <w:r w:rsidR="00653CA0" w:rsidRPr="00876A53">
              <w:rPr>
                <w:noProof/>
                <w:webHidden/>
              </w:rPr>
              <w:t>60</w:t>
            </w:r>
            <w:r w:rsidR="00653CA0" w:rsidRPr="00876A53">
              <w:rPr>
                <w:noProof/>
                <w:webHidden/>
              </w:rPr>
              <w:fldChar w:fldCharType="end"/>
            </w:r>
          </w:hyperlink>
        </w:p>
        <w:p w:rsidR="00653CA0" w:rsidRPr="00876A53" w:rsidRDefault="002D40B2">
          <w:pPr>
            <w:pStyle w:val="TOC3"/>
            <w:tabs>
              <w:tab w:val="left" w:pos="2160"/>
            </w:tabs>
            <w:rPr>
              <w:rFonts w:asciiTheme="minorHAnsi" w:eastAsiaTheme="minorEastAsia" w:hAnsiTheme="minorHAnsi"/>
              <w:noProof/>
              <w:sz w:val="22"/>
              <w:szCs w:val="22"/>
            </w:rPr>
          </w:pPr>
          <w:hyperlink w:anchor="_Toc393878389" w:history="1">
            <w:r w:rsidR="00653CA0" w:rsidRPr="00876A53">
              <w:rPr>
                <w:rStyle w:val="Hyperlink"/>
                <w:noProof/>
                <w:color w:val="auto"/>
              </w:rPr>
              <w:t>4.</w:t>
            </w:r>
            <w:r w:rsidR="00653CA0" w:rsidRPr="00876A53">
              <w:rPr>
                <w:rFonts w:asciiTheme="minorHAnsi" w:eastAsiaTheme="minorEastAsia" w:hAnsiTheme="minorHAnsi"/>
                <w:noProof/>
                <w:sz w:val="22"/>
                <w:szCs w:val="22"/>
              </w:rPr>
              <w:tab/>
            </w:r>
            <w:r w:rsidR="00653CA0" w:rsidRPr="00876A53">
              <w:rPr>
                <w:rStyle w:val="Hyperlink"/>
                <w:noProof/>
                <w:color w:val="auto"/>
              </w:rPr>
              <w:t>The POR program will not provide a non-quantifiable benefit to customers</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_Toc393878389 \h </w:instrText>
            </w:r>
            <w:r w:rsidR="00653CA0" w:rsidRPr="00876A53">
              <w:rPr>
                <w:noProof/>
                <w:webHidden/>
              </w:rPr>
            </w:r>
            <w:r w:rsidR="00653CA0" w:rsidRPr="00876A53">
              <w:rPr>
                <w:noProof/>
                <w:webHidden/>
              </w:rPr>
              <w:fldChar w:fldCharType="separate"/>
            </w:r>
            <w:r w:rsidR="00653CA0" w:rsidRPr="00876A53">
              <w:rPr>
                <w:noProof/>
                <w:webHidden/>
              </w:rPr>
              <w:t>63</w:t>
            </w:r>
            <w:r w:rsidR="00653CA0" w:rsidRPr="00876A53">
              <w:rPr>
                <w:noProof/>
                <w:webHidden/>
              </w:rPr>
              <w:fldChar w:fldCharType="end"/>
            </w:r>
          </w:hyperlink>
        </w:p>
        <w:p w:rsidR="00653CA0" w:rsidRPr="00876A53" w:rsidRDefault="002D40B2">
          <w:pPr>
            <w:pStyle w:val="TOC3"/>
            <w:tabs>
              <w:tab w:val="left" w:pos="2160"/>
            </w:tabs>
            <w:rPr>
              <w:rFonts w:asciiTheme="minorHAnsi" w:eastAsiaTheme="minorEastAsia" w:hAnsiTheme="minorHAnsi"/>
              <w:noProof/>
              <w:sz w:val="22"/>
              <w:szCs w:val="22"/>
            </w:rPr>
          </w:pPr>
          <w:hyperlink w:anchor="_Toc393878390" w:history="1">
            <w:r w:rsidR="00653CA0" w:rsidRPr="00876A53">
              <w:rPr>
                <w:rStyle w:val="Hyperlink"/>
                <w:noProof/>
                <w:color w:val="auto"/>
              </w:rPr>
              <w:t>5.</w:t>
            </w:r>
            <w:r w:rsidR="00653CA0" w:rsidRPr="00876A53">
              <w:rPr>
                <w:rFonts w:asciiTheme="minorHAnsi" w:eastAsiaTheme="minorEastAsia" w:hAnsiTheme="minorHAnsi"/>
                <w:noProof/>
                <w:sz w:val="22"/>
                <w:szCs w:val="22"/>
              </w:rPr>
              <w:tab/>
            </w:r>
            <w:r w:rsidR="00653CA0" w:rsidRPr="00876A53">
              <w:rPr>
                <w:rStyle w:val="Hyperlink"/>
                <w:noProof/>
                <w:color w:val="auto"/>
              </w:rPr>
              <w:t>The distribution riders will not provide a non-quantifiable benefit because the same benefits can be realized under an MRO; further, AEP-Ohio failed to provide evidence showing that distribution investment will improve customer satisfaction or service quality</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_Toc393878390 \h </w:instrText>
            </w:r>
            <w:r w:rsidR="00653CA0" w:rsidRPr="00876A53">
              <w:rPr>
                <w:noProof/>
                <w:webHidden/>
              </w:rPr>
            </w:r>
            <w:r w:rsidR="00653CA0" w:rsidRPr="00876A53">
              <w:rPr>
                <w:noProof/>
                <w:webHidden/>
              </w:rPr>
              <w:fldChar w:fldCharType="separate"/>
            </w:r>
            <w:r w:rsidR="00653CA0" w:rsidRPr="00876A53">
              <w:rPr>
                <w:noProof/>
                <w:webHidden/>
              </w:rPr>
              <w:t>64</w:t>
            </w:r>
            <w:r w:rsidR="00653CA0" w:rsidRPr="00876A53">
              <w:rPr>
                <w:noProof/>
                <w:webHidden/>
              </w:rPr>
              <w:fldChar w:fldCharType="end"/>
            </w:r>
          </w:hyperlink>
        </w:p>
        <w:p w:rsidR="00653CA0" w:rsidRPr="00876A53" w:rsidRDefault="002D40B2">
          <w:pPr>
            <w:pStyle w:val="TOC2"/>
            <w:rPr>
              <w:rFonts w:asciiTheme="minorHAnsi" w:eastAsiaTheme="minorEastAsia" w:hAnsiTheme="minorHAnsi"/>
              <w:noProof/>
              <w:sz w:val="22"/>
              <w:szCs w:val="22"/>
            </w:rPr>
          </w:pPr>
          <w:hyperlink w:anchor="_Toc393878391" w:history="1">
            <w:r w:rsidR="00653CA0" w:rsidRPr="00876A53">
              <w:rPr>
                <w:rStyle w:val="Hyperlink"/>
                <w:noProof/>
                <w:color w:val="auto"/>
              </w:rPr>
              <w:t>E.</w:t>
            </w:r>
            <w:r w:rsidR="00653CA0" w:rsidRPr="00876A53">
              <w:rPr>
                <w:rFonts w:asciiTheme="minorHAnsi" w:eastAsiaTheme="minorEastAsia" w:hAnsiTheme="minorHAnsi"/>
                <w:noProof/>
                <w:sz w:val="22"/>
                <w:szCs w:val="22"/>
              </w:rPr>
              <w:tab/>
            </w:r>
            <w:r w:rsidR="00653CA0" w:rsidRPr="00876A53">
              <w:rPr>
                <w:rStyle w:val="Hyperlink"/>
                <w:noProof/>
                <w:color w:val="auto"/>
              </w:rPr>
              <w:t>Before approving the proposed ESP, the Commission must modify it to remove the unlawful and unreasonable riders and POR program</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_Toc393878391 \h </w:instrText>
            </w:r>
            <w:r w:rsidR="00653CA0" w:rsidRPr="00876A53">
              <w:rPr>
                <w:noProof/>
                <w:webHidden/>
              </w:rPr>
            </w:r>
            <w:r w:rsidR="00653CA0" w:rsidRPr="00876A53">
              <w:rPr>
                <w:noProof/>
                <w:webHidden/>
              </w:rPr>
              <w:fldChar w:fldCharType="separate"/>
            </w:r>
            <w:r w:rsidR="00653CA0" w:rsidRPr="00876A53">
              <w:rPr>
                <w:noProof/>
                <w:webHidden/>
              </w:rPr>
              <w:t>66</w:t>
            </w:r>
            <w:r w:rsidR="00653CA0" w:rsidRPr="00876A53">
              <w:rPr>
                <w:noProof/>
                <w:webHidden/>
              </w:rPr>
              <w:fldChar w:fldCharType="end"/>
            </w:r>
          </w:hyperlink>
        </w:p>
        <w:p w:rsidR="00653CA0" w:rsidRPr="00876A53" w:rsidRDefault="002D40B2">
          <w:pPr>
            <w:pStyle w:val="TOC1"/>
            <w:rPr>
              <w:rFonts w:asciiTheme="minorHAnsi" w:eastAsiaTheme="minorEastAsia" w:hAnsiTheme="minorHAnsi"/>
              <w:noProof/>
              <w:sz w:val="22"/>
              <w:szCs w:val="22"/>
            </w:rPr>
          </w:pPr>
          <w:hyperlink w:anchor="_Toc393878392" w:history="1">
            <w:r w:rsidR="00653CA0" w:rsidRPr="00876A53">
              <w:rPr>
                <w:rStyle w:val="Hyperlink"/>
                <w:noProof/>
                <w:color w:val="auto"/>
              </w:rPr>
              <w:t>VI.</w:t>
            </w:r>
            <w:r w:rsidR="00653CA0" w:rsidRPr="00876A53">
              <w:rPr>
                <w:rFonts w:asciiTheme="minorHAnsi" w:eastAsiaTheme="minorEastAsia" w:hAnsiTheme="minorHAnsi"/>
                <w:noProof/>
                <w:sz w:val="22"/>
                <w:szCs w:val="22"/>
              </w:rPr>
              <w:tab/>
            </w:r>
            <w:r w:rsidR="00653CA0" w:rsidRPr="00876A53">
              <w:rPr>
                <w:rStyle w:val="Hyperlink"/>
                <w:caps/>
                <w:noProof/>
                <w:color w:val="auto"/>
              </w:rPr>
              <w:t>Conclusion</w:t>
            </w:r>
            <w:r w:rsidR="00653CA0" w:rsidRPr="00876A53">
              <w:rPr>
                <w:noProof/>
                <w:webHidden/>
              </w:rPr>
              <w:tab/>
            </w:r>
            <w:r w:rsidR="00653CA0" w:rsidRPr="00876A53">
              <w:rPr>
                <w:noProof/>
                <w:webHidden/>
              </w:rPr>
              <w:fldChar w:fldCharType="begin"/>
            </w:r>
            <w:r w:rsidR="00653CA0" w:rsidRPr="00876A53">
              <w:rPr>
                <w:noProof/>
                <w:webHidden/>
              </w:rPr>
              <w:instrText xml:space="preserve"> PAGEREF _Toc393878392 \h </w:instrText>
            </w:r>
            <w:r w:rsidR="00653CA0" w:rsidRPr="00876A53">
              <w:rPr>
                <w:noProof/>
                <w:webHidden/>
              </w:rPr>
            </w:r>
            <w:r w:rsidR="00653CA0" w:rsidRPr="00876A53">
              <w:rPr>
                <w:noProof/>
                <w:webHidden/>
              </w:rPr>
              <w:fldChar w:fldCharType="separate"/>
            </w:r>
            <w:r w:rsidR="00653CA0" w:rsidRPr="00876A53">
              <w:rPr>
                <w:noProof/>
                <w:webHidden/>
              </w:rPr>
              <w:t>67</w:t>
            </w:r>
            <w:r w:rsidR="00653CA0" w:rsidRPr="00876A53">
              <w:rPr>
                <w:noProof/>
                <w:webHidden/>
              </w:rPr>
              <w:fldChar w:fldCharType="end"/>
            </w:r>
          </w:hyperlink>
        </w:p>
        <w:p w:rsidR="00E736DA" w:rsidRPr="00876A53" w:rsidRDefault="00E736DA" w:rsidP="009810F6">
          <w:pPr>
            <w:pStyle w:val="TOC1"/>
          </w:pPr>
          <w:r w:rsidRPr="00876A53">
            <w:rPr>
              <w:b/>
              <w:bCs/>
              <w:noProof/>
            </w:rPr>
            <w:fldChar w:fldCharType="end"/>
          </w:r>
        </w:p>
      </w:sdtContent>
    </w:sdt>
    <w:p w:rsidR="004C134D" w:rsidRPr="00876A53" w:rsidRDefault="004C134D" w:rsidP="00FE0711">
      <w:pPr>
        <w:pStyle w:val="S2Heading1"/>
        <w:numPr>
          <w:ilvl w:val="0"/>
          <w:numId w:val="0"/>
        </w:numPr>
      </w:pPr>
    </w:p>
    <w:p w:rsidR="0036434E" w:rsidRPr="00876A53" w:rsidRDefault="0036434E" w:rsidP="00DA67E3">
      <w:pPr>
        <w:spacing w:line="240" w:lineRule="auto"/>
        <w:ind w:firstLine="0"/>
        <w:jc w:val="left"/>
        <w:rPr>
          <w:rFonts w:eastAsia="Calibri" w:cs="Arial"/>
          <w:b/>
        </w:rPr>
        <w:sectPr w:rsidR="0036434E" w:rsidRPr="00876A53" w:rsidSect="00DA1A3D">
          <w:headerReference w:type="default" r:id="rId15"/>
          <w:footerReference w:type="default" r:id="rId16"/>
          <w:headerReference w:type="first" r:id="rId17"/>
          <w:footerReference w:type="first" r:id="rId18"/>
          <w:pgSz w:w="12240" w:h="15840" w:code="1"/>
          <w:pgMar w:top="1440" w:right="1440" w:bottom="1080" w:left="1440" w:header="720" w:footer="720" w:gutter="0"/>
          <w:pgNumType w:fmt="lowerRoman" w:start="1"/>
          <w:cols w:space="720"/>
          <w:docGrid w:linePitch="360"/>
        </w:sectPr>
      </w:pPr>
    </w:p>
    <w:p w:rsidR="00432798" w:rsidRPr="00876A53" w:rsidRDefault="00432798" w:rsidP="004C134D">
      <w:pPr>
        <w:spacing w:line="240" w:lineRule="auto"/>
        <w:ind w:firstLine="0"/>
        <w:jc w:val="center"/>
        <w:rPr>
          <w:rFonts w:eastAsia="Times New Roman" w:cs="Arial"/>
          <w:b/>
          <w:smallCaps/>
          <w:sz w:val="28"/>
        </w:rPr>
      </w:pPr>
      <w:r w:rsidRPr="00876A53">
        <w:rPr>
          <w:rFonts w:eastAsia="Times New Roman" w:cs="Arial"/>
          <w:b/>
          <w:smallCaps/>
          <w:sz w:val="28"/>
        </w:rPr>
        <w:lastRenderedPageBreak/>
        <w:t>Before</w:t>
      </w:r>
    </w:p>
    <w:p w:rsidR="00432798" w:rsidRPr="00876A53" w:rsidRDefault="00432798" w:rsidP="00DA67E3">
      <w:pPr>
        <w:spacing w:line="240" w:lineRule="auto"/>
        <w:ind w:firstLine="0"/>
        <w:jc w:val="center"/>
        <w:rPr>
          <w:rFonts w:eastAsia="Times New Roman" w:cs="Arial"/>
          <w:smallCaps/>
          <w:sz w:val="28"/>
        </w:rPr>
      </w:pPr>
      <w:r w:rsidRPr="00876A53">
        <w:rPr>
          <w:rFonts w:eastAsia="Times New Roman" w:cs="Arial"/>
          <w:b/>
          <w:smallCaps/>
          <w:sz w:val="28"/>
        </w:rPr>
        <w:t>The Public Utilities Commission of Ohio</w:t>
      </w:r>
    </w:p>
    <w:p w:rsidR="00432798" w:rsidRPr="00876A53" w:rsidRDefault="00432798" w:rsidP="00DA67E3">
      <w:pPr>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rPr>
          <w:rFonts w:eastAsia="Times New Roman" w:cs="Arial"/>
        </w:rPr>
      </w:pPr>
      <w:r w:rsidRPr="00876A53">
        <w:rPr>
          <w:rFonts w:eastAsia="Times New Roman" w:cs="Arial"/>
        </w:rPr>
        <w:t xml:space="preserve">In the Matter of the Application of </w:t>
      </w:r>
      <w:r w:rsidRPr="00876A53">
        <w:rPr>
          <w:rFonts w:eastAsia="Times New Roman" w:cs="Arial"/>
        </w:rPr>
        <w:tab/>
        <w:t>)</w:t>
      </w:r>
    </w:p>
    <w:p w:rsidR="00432798" w:rsidRPr="00876A53" w:rsidRDefault="00432798" w:rsidP="00DA67E3">
      <w:pPr>
        <w:tabs>
          <w:tab w:val="left" w:pos="4680"/>
        </w:tabs>
        <w:spacing w:line="240" w:lineRule="auto"/>
        <w:ind w:firstLine="0"/>
        <w:rPr>
          <w:rFonts w:eastAsia="Times New Roman" w:cs="Arial"/>
        </w:rPr>
      </w:pPr>
      <w:r w:rsidRPr="00876A53">
        <w:rPr>
          <w:rFonts w:eastAsia="Times New Roman" w:cs="Arial"/>
        </w:rPr>
        <w:t>Ohio Power Company for Authority to</w:t>
      </w:r>
      <w:r w:rsidRPr="00876A53">
        <w:rPr>
          <w:rFonts w:eastAsia="Times New Roman" w:cs="Arial"/>
        </w:rPr>
        <w:tab/>
        <w:t>)</w:t>
      </w:r>
    </w:p>
    <w:p w:rsidR="00432798" w:rsidRPr="00876A53" w:rsidRDefault="00432798" w:rsidP="00DA67E3">
      <w:pPr>
        <w:tabs>
          <w:tab w:val="left" w:pos="4680"/>
        </w:tabs>
        <w:spacing w:line="240" w:lineRule="auto"/>
        <w:ind w:firstLine="0"/>
        <w:rPr>
          <w:rFonts w:eastAsia="Times New Roman" w:cs="Arial"/>
        </w:rPr>
      </w:pPr>
      <w:r w:rsidRPr="00876A53">
        <w:rPr>
          <w:rFonts w:eastAsia="Times New Roman" w:cs="Arial"/>
        </w:rPr>
        <w:t>Establish a Standard Service Offer</w:t>
      </w:r>
      <w:r w:rsidRPr="00876A53">
        <w:rPr>
          <w:rFonts w:eastAsia="Times New Roman" w:cs="Arial"/>
        </w:rPr>
        <w:tab/>
        <w:t xml:space="preserve">) </w:t>
      </w:r>
      <w:r w:rsidRPr="00876A53">
        <w:rPr>
          <w:rFonts w:eastAsia="Times New Roman" w:cs="Arial"/>
        </w:rPr>
        <w:tab/>
        <w:t>Case No. 13-2385-EL-SSO</w:t>
      </w:r>
    </w:p>
    <w:p w:rsidR="00432798" w:rsidRPr="00876A53" w:rsidRDefault="00432798" w:rsidP="00DA67E3">
      <w:pPr>
        <w:tabs>
          <w:tab w:val="left" w:pos="4680"/>
        </w:tabs>
        <w:spacing w:line="240" w:lineRule="auto"/>
        <w:ind w:firstLine="0"/>
        <w:rPr>
          <w:rFonts w:eastAsia="Times New Roman" w:cs="Arial"/>
        </w:rPr>
      </w:pPr>
      <w:r w:rsidRPr="00876A53">
        <w:rPr>
          <w:rFonts w:eastAsia="Times New Roman" w:cs="Arial"/>
        </w:rPr>
        <w:t>Pursuant to §4928.143, Revised Code,</w:t>
      </w:r>
      <w:r w:rsidRPr="00876A53">
        <w:rPr>
          <w:rFonts w:eastAsia="Times New Roman" w:cs="Arial"/>
        </w:rPr>
        <w:tab/>
        <w:t>)</w:t>
      </w:r>
    </w:p>
    <w:p w:rsidR="00432798" w:rsidRPr="00876A53" w:rsidRDefault="00432798" w:rsidP="00DA67E3">
      <w:pPr>
        <w:tabs>
          <w:tab w:val="left" w:pos="4680"/>
        </w:tabs>
        <w:spacing w:line="240" w:lineRule="auto"/>
        <w:ind w:firstLine="0"/>
        <w:rPr>
          <w:rFonts w:eastAsia="Times New Roman" w:cs="Arial"/>
        </w:rPr>
      </w:pPr>
      <w:r w:rsidRPr="00876A53">
        <w:rPr>
          <w:rFonts w:eastAsia="Times New Roman" w:cs="Arial"/>
        </w:rPr>
        <w:t>in the Form of an Electric Security Plan.</w:t>
      </w:r>
      <w:r w:rsidRPr="00876A53">
        <w:rPr>
          <w:rFonts w:eastAsia="Times New Roman" w:cs="Arial"/>
        </w:rPr>
        <w:tab/>
        <w:t>)</w:t>
      </w:r>
    </w:p>
    <w:p w:rsidR="00432798" w:rsidRPr="00876A53" w:rsidRDefault="00432798" w:rsidP="00DA67E3">
      <w:pPr>
        <w:tabs>
          <w:tab w:val="left" w:pos="4680"/>
        </w:tabs>
        <w:spacing w:line="240" w:lineRule="auto"/>
        <w:ind w:firstLine="0"/>
        <w:rPr>
          <w:rFonts w:eastAsia="Times New Roman" w:cs="Arial"/>
        </w:rPr>
      </w:pPr>
    </w:p>
    <w:p w:rsidR="00432798" w:rsidRPr="00876A53" w:rsidRDefault="00432798" w:rsidP="00DA67E3">
      <w:pPr>
        <w:tabs>
          <w:tab w:val="left" w:pos="4680"/>
        </w:tabs>
        <w:spacing w:line="240" w:lineRule="auto"/>
        <w:ind w:firstLine="0"/>
        <w:rPr>
          <w:rFonts w:eastAsia="Times New Roman" w:cs="Arial"/>
        </w:rPr>
      </w:pPr>
      <w:r w:rsidRPr="00876A53">
        <w:rPr>
          <w:rFonts w:eastAsia="Times New Roman" w:cs="Arial"/>
        </w:rPr>
        <w:t>In the Matter of the Application of</w:t>
      </w:r>
      <w:r w:rsidRPr="00876A53">
        <w:rPr>
          <w:rFonts w:eastAsia="Times New Roman" w:cs="Arial"/>
        </w:rPr>
        <w:tab/>
        <w:t>)</w:t>
      </w:r>
    </w:p>
    <w:p w:rsidR="00432798" w:rsidRPr="00876A53" w:rsidRDefault="00432798" w:rsidP="00DA67E3">
      <w:pPr>
        <w:tabs>
          <w:tab w:val="left" w:pos="4680"/>
        </w:tabs>
        <w:spacing w:line="240" w:lineRule="auto"/>
        <w:ind w:firstLine="0"/>
        <w:rPr>
          <w:rFonts w:eastAsia="Times New Roman" w:cs="Arial"/>
        </w:rPr>
      </w:pPr>
      <w:r w:rsidRPr="00876A53">
        <w:rPr>
          <w:rFonts w:eastAsia="Times New Roman" w:cs="Arial"/>
        </w:rPr>
        <w:t>Ohio Power Company for Approval of</w:t>
      </w:r>
      <w:r w:rsidRPr="00876A53">
        <w:rPr>
          <w:rFonts w:eastAsia="Times New Roman" w:cs="Arial"/>
        </w:rPr>
        <w:tab/>
        <w:t>)</w:t>
      </w:r>
      <w:r w:rsidRPr="00876A53">
        <w:rPr>
          <w:rFonts w:eastAsia="Times New Roman" w:cs="Arial"/>
        </w:rPr>
        <w:tab/>
        <w:t>Case No. 13-2386-EL-AAM</w:t>
      </w:r>
    </w:p>
    <w:p w:rsidR="00432798" w:rsidRPr="00876A53" w:rsidRDefault="00432798" w:rsidP="00DA67E3">
      <w:pPr>
        <w:tabs>
          <w:tab w:val="left" w:pos="4680"/>
        </w:tabs>
        <w:spacing w:line="240" w:lineRule="auto"/>
        <w:ind w:firstLine="0"/>
        <w:rPr>
          <w:rFonts w:eastAsia="Times New Roman" w:cs="Arial"/>
        </w:rPr>
      </w:pPr>
      <w:r w:rsidRPr="00876A53">
        <w:rPr>
          <w:rFonts w:eastAsia="Times New Roman" w:cs="Arial"/>
        </w:rPr>
        <w:t>Certain Accounting Authority.</w:t>
      </w:r>
      <w:r w:rsidRPr="00876A53">
        <w:rPr>
          <w:rFonts w:eastAsia="Times New Roman" w:cs="Arial"/>
        </w:rPr>
        <w:tab/>
        <w:t>)</w:t>
      </w:r>
    </w:p>
    <w:p w:rsidR="00432798" w:rsidRPr="00876A53" w:rsidRDefault="00432798" w:rsidP="00DA67E3">
      <w:pPr>
        <w:spacing w:line="240" w:lineRule="auto"/>
        <w:ind w:firstLine="0"/>
      </w:pPr>
    </w:p>
    <w:p w:rsidR="00432798" w:rsidRPr="00876A53" w:rsidRDefault="00432798" w:rsidP="0065358A">
      <w:pPr>
        <w:spacing w:after="240" w:line="240" w:lineRule="auto"/>
        <w:ind w:firstLine="0"/>
        <w:jc w:val="center"/>
        <w:rPr>
          <w:b/>
        </w:rPr>
      </w:pPr>
      <w:r w:rsidRPr="00876A53">
        <w:rPr>
          <w:b/>
        </w:rPr>
        <w:t>______________________________________________________________________</w:t>
      </w:r>
    </w:p>
    <w:p w:rsidR="00432798" w:rsidRPr="00876A53" w:rsidRDefault="00432798" w:rsidP="00DA67E3">
      <w:pPr>
        <w:spacing w:line="240" w:lineRule="auto"/>
        <w:ind w:firstLine="0"/>
        <w:jc w:val="center"/>
        <w:rPr>
          <w:b/>
        </w:rPr>
      </w:pPr>
      <w:r w:rsidRPr="00876A53">
        <w:rPr>
          <w:b/>
        </w:rPr>
        <w:t>INITIAL BRIEF OF INDUSTRIAL ENERGY USERS-OHIO</w:t>
      </w:r>
    </w:p>
    <w:p w:rsidR="00432798" w:rsidRPr="00876A53" w:rsidRDefault="00432798" w:rsidP="00DA67E3">
      <w:pPr>
        <w:spacing w:line="240" w:lineRule="auto"/>
        <w:ind w:firstLine="0"/>
        <w:jc w:val="center"/>
        <w:rPr>
          <w:b/>
        </w:rPr>
      </w:pPr>
      <w:r w:rsidRPr="00876A53">
        <w:rPr>
          <w:b/>
        </w:rPr>
        <w:t>______________________________________________________________________</w:t>
      </w:r>
    </w:p>
    <w:p w:rsidR="00432798" w:rsidRPr="00876A53" w:rsidRDefault="00432798" w:rsidP="00DA67E3">
      <w:pPr>
        <w:spacing w:line="240" w:lineRule="auto"/>
        <w:ind w:firstLine="0"/>
      </w:pPr>
    </w:p>
    <w:p w:rsidR="00053F2C" w:rsidRPr="00876A53" w:rsidRDefault="00053F2C" w:rsidP="00FE0711">
      <w:pPr>
        <w:pStyle w:val="Heading1"/>
      </w:pPr>
      <w:bookmarkStart w:id="0" w:name="_Toc392930594"/>
      <w:bookmarkStart w:id="1" w:name="_Toc392930685"/>
      <w:bookmarkStart w:id="2" w:name="_Toc393524897"/>
      <w:bookmarkStart w:id="3" w:name="_Toc393878358"/>
      <w:r w:rsidRPr="00876A53">
        <w:t>Introduction</w:t>
      </w:r>
      <w:bookmarkEnd w:id="0"/>
      <w:bookmarkEnd w:id="1"/>
      <w:bookmarkEnd w:id="2"/>
      <w:bookmarkEnd w:id="3"/>
    </w:p>
    <w:p w:rsidR="00053F2C" w:rsidRPr="00876A53" w:rsidRDefault="00333013" w:rsidP="005C6107">
      <w:pPr>
        <w:ind w:firstLine="0"/>
      </w:pPr>
      <w:r w:rsidRPr="00876A53">
        <w:tab/>
      </w:r>
      <w:r w:rsidR="007B0E0B" w:rsidRPr="00876A53">
        <w:t xml:space="preserve">In </w:t>
      </w:r>
      <w:r w:rsidR="008D4A86" w:rsidRPr="00876A53">
        <w:t>its</w:t>
      </w:r>
      <w:r w:rsidR="007B0E0B" w:rsidRPr="00876A53">
        <w:t xml:space="preserve"> Application, the Ohio Power Company (“AEP-Ohio”) seeks authorization of an Electric Security Plan (“ESP” or “proposed ESP” as appropriate) for the period of June 1, 2015 to May 31, 2018.</w:t>
      </w:r>
      <w:r w:rsidR="007B0E0B" w:rsidRPr="00876A53">
        <w:rPr>
          <w:rStyle w:val="FootnoteReference"/>
        </w:rPr>
        <w:footnoteReference w:id="1"/>
      </w:r>
      <w:r w:rsidR="007B0E0B" w:rsidRPr="00876A53">
        <w:t xml:space="preserve">  The </w:t>
      </w:r>
      <w:r w:rsidR="008D4A86" w:rsidRPr="00876A53">
        <w:t>Ap</w:t>
      </w:r>
      <w:r w:rsidR="007B0E0B" w:rsidRPr="00876A53">
        <w:t xml:space="preserve">plication proposes to provide energy and capacity under the standard service offer (“SSO”) through </w:t>
      </w:r>
      <w:r w:rsidR="0065358A" w:rsidRPr="00876A53">
        <w:t>a competitive bidding process (“CBP”)</w:t>
      </w:r>
      <w:r w:rsidR="007B0E0B" w:rsidRPr="00876A53">
        <w:t>.</w:t>
      </w:r>
      <w:r w:rsidR="008D4A86" w:rsidRPr="00876A53">
        <w:rPr>
          <w:rStyle w:val="FootnoteReference"/>
        </w:rPr>
        <w:footnoteReference w:id="2"/>
      </w:r>
      <w:r w:rsidR="007B0E0B" w:rsidRPr="00876A53">
        <w:t xml:space="preserve">  It also </w:t>
      </w:r>
      <w:r w:rsidR="0065358A" w:rsidRPr="00876A53">
        <w:t>proposes</w:t>
      </w:r>
      <w:r w:rsidR="007B0E0B" w:rsidRPr="00876A53">
        <w:t xml:space="preserve"> several new nonbypassable riders.  The most significant </w:t>
      </w:r>
      <w:r w:rsidR="0065358A" w:rsidRPr="00876A53">
        <w:t>proposed</w:t>
      </w:r>
      <w:r w:rsidR="007B0E0B" w:rsidRPr="00876A53">
        <w:t xml:space="preserve"> nonbypassable rider is the </w:t>
      </w:r>
      <w:r w:rsidR="00680F93" w:rsidRPr="00876A53">
        <w:t>Power Purchase Agreement</w:t>
      </w:r>
      <w:r w:rsidR="0065358A" w:rsidRPr="00876A53">
        <w:t xml:space="preserve"> Rider (“PPAR</w:t>
      </w:r>
      <w:r w:rsidR="007B0E0B" w:rsidRPr="00876A53">
        <w:t xml:space="preserve">”), which would recover generation-related costs associated with </w:t>
      </w:r>
      <w:r w:rsidR="008D4A86" w:rsidRPr="00876A53">
        <w:t>AEP-Ohio</w:t>
      </w:r>
      <w:r w:rsidR="0065358A" w:rsidRPr="00876A53">
        <w:t>’s</w:t>
      </w:r>
      <w:r w:rsidR="008D4A86" w:rsidRPr="00876A53">
        <w:t xml:space="preserve"> retained interest in generation plants operated by Ohio Valley Electric Corporation (“OVEC”)</w:t>
      </w:r>
      <w:r w:rsidR="007B0E0B" w:rsidRPr="00876A53">
        <w:t>.</w:t>
      </w:r>
      <w:r w:rsidR="008D4A86" w:rsidRPr="00876A53">
        <w:rPr>
          <w:rStyle w:val="FootnoteReference"/>
        </w:rPr>
        <w:footnoteReference w:id="3"/>
      </w:r>
      <w:r w:rsidR="007B0E0B" w:rsidRPr="00876A53">
        <w:t xml:space="preserve">  </w:t>
      </w:r>
      <w:r w:rsidR="00DA67E3" w:rsidRPr="00876A53">
        <w:t xml:space="preserve">The Application also proposes to classify </w:t>
      </w:r>
      <w:r w:rsidR="0065358A" w:rsidRPr="00876A53">
        <w:t xml:space="preserve">some </w:t>
      </w:r>
      <w:r w:rsidR="00DA67E3" w:rsidRPr="00876A53">
        <w:t xml:space="preserve">transmission costs as </w:t>
      </w:r>
      <w:r w:rsidR="0065358A" w:rsidRPr="00876A53">
        <w:t xml:space="preserve">non-market-based </w:t>
      </w:r>
      <w:r w:rsidR="00DA67E3" w:rsidRPr="00876A53">
        <w:t xml:space="preserve">and collect these costs from retail customers through a nonbypassable Basic </w:t>
      </w:r>
      <w:r w:rsidR="00DA67E3" w:rsidRPr="00876A53">
        <w:lastRenderedPageBreak/>
        <w:t>Transmission Cost Rider (“BTCR”).</w:t>
      </w:r>
      <w:r w:rsidR="00DA67E3" w:rsidRPr="00876A53">
        <w:rPr>
          <w:rStyle w:val="FootnoteReference"/>
        </w:rPr>
        <w:footnoteReference w:id="4"/>
      </w:r>
      <w:r w:rsidR="00DA67E3" w:rsidRPr="00876A53">
        <w:t xml:space="preserve">  Additionally, </w:t>
      </w:r>
      <w:r w:rsidR="007B0E0B" w:rsidRPr="00876A53">
        <w:t xml:space="preserve">AEP-Ohio proposes a </w:t>
      </w:r>
      <w:r w:rsidR="008D4A86" w:rsidRPr="00876A53">
        <w:t>Purchase of Receivable</w:t>
      </w:r>
      <w:r w:rsidR="00FE0711" w:rsidRPr="00876A53">
        <w:t>s</w:t>
      </w:r>
      <w:r w:rsidR="008D4A86" w:rsidRPr="00876A53">
        <w:t xml:space="preserve"> </w:t>
      </w:r>
      <w:r w:rsidR="006E48F2" w:rsidRPr="00876A53">
        <w:t xml:space="preserve">(“POR”) </w:t>
      </w:r>
      <w:r w:rsidR="008D4A86" w:rsidRPr="00876A53">
        <w:t xml:space="preserve">program that includes a nonbypassable </w:t>
      </w:r>
      <w:r w:rsidR="007B0E0B" w:rsidRPr="00876A53">
        <w:t xml:space="preserve">Bad Debt Rider </w:t>
      </w:r>
      <w:r w:rsidR="00680F93" w:rsidRPr="00876A53">
        <w:t xml:space="preserve">(“BDR”) </w:t>
      </w:r>
      <w:r w:rsidR="007B0E0B" w:rsidRPr="00876A53">
        <w:t>to socialize the incremental bad debt costs in excess of amounts currently collected in distribution rates.</w:t>
      </w:r>
      <w:r w:rsidR="008D4A86" w:rsidRPr="00876A53">
        <w:rPr>
          <w:rStyle w:val="FootnoteReference"/>
        </w:rPr>
        <w:footnoteReference w:id="5"/>
      </w:r>
      <w:r w:rsidR="008D4A86" w:rsidRPr="00876A53">
        <w:t xml:space="preserve">  </w:t>
      </w:r>
    </w:p>
    <w:p w:rsidR="008052AF" w:rsidRPr="00876A53" w:rsidRDefault="008052AF" w:rsidP="005C6107">
      <w:pPr>
        <w:ind w:firstLine="0"/>
      </w:pPr>
      <w:r w:rsidRPr="00876A53">
        <w:tab/>
      </w:r>
      <w:r w:rsidR="00DA67E3" w:rsidRPr="00876A53">
        <w:t>To secure approval of its Application</w:t>
      </w:r>
      <w:r w:rsidRPr="00876A53">
        <w:t xml:space="preserve">, AEP-Ohio </w:t>
      </w:r>
      <w:r w:rsidR="0065358A" w:rsidRPr="00876A53">
        <w:t>argues</w:t>
      </w:r>
      <w:r w:rsidRPr="00876A53">
        <w:t xml:space="preserve"> that the proposed ESP satisfies the statutory requirement contained in R.C. 4928.143(C)(1), the “ESP v. MRO Test</w:t>
      </w:r>
      <w:r w:rsidR="00A1165C" w:rsidRPr="00876A53">
        <w:t>.</w:t>
      </w:r>
      <w:r w:rsidRPr="00876A53">
        <w:t xml:space="preserve">” </w:t>
      </w:r>
      <w:r w:rsidR="0058145F" w:rsidRPr="00876A53">
        <w:t xml:space="preserve"> </w:t>
      </w:r>
      <w:r w:rsidR="00A1165C" w:rsidRPr="00876A53">
        <w:t xml:space="preserve">The Test requires AEP-Ohio to meet its burden of proof to show that </w:t>
      </w:r>
      <w:r w:rsidRPr="00876A53">
        <w:t>the ESP is more favorable in the aggregate than a Market Rate Offer (“MRO”).</w:t>
      </w:r>
      <w:r w:rsidRPr="00876A53">
        <w:rPr>
          <w:rStyle w:val="FootnoteReference"/>
        </w:rPr>
        <w:footnoteReference w:id="6"/>
      </w:r>
      <w:r w:rsidRPr="00876A53">
        <w:t xml:space="preserve">  AEP-Ohio claims that the proposed ESP is $44.1 million quantitatively more favorable than an MRO and has several non-quantitative benefits.</w:t>
      </w:r>
      <w:r w:rsidRPr="00876A53">
        <w:rPr>
          <w:rStyle w:val="FootnoteReference"/>
        </w:rPr>
        <w:footnoteReference w:id="7"/>
      </w:r>
    </w:p>
    <w:p w:rsidR="00C92FA1" w:rsidRPr="0095700A" w:rsidRDefault="008052AF" w:rsidP="005C6107">
      <w:r w:rsidRPr="00876A53">
        <w:t>Based on the record produced by thirteen days of hearing</w:t>
      </w:r>
      <w:r w:rsidR="00C92FA1" w:rsidRPr="00876A53">
        <w:t xml:space="preserve">, </w:t>
      </w:r>
      <w:r w:rsidRPr="00876A53">
        <w:t>Industrial Energy Users</w:t>
      </w:r>
      <w:r w:rsidR="00680F93" w:rsidRPr="00876A53">
        <w:t>-</w:t>
      </w:r>
      <w:r w:rsidRPr="00876A53">
        <w:t xml:space="preserve">Ohio (“IEU-Ohio”) recommends that the </w:t>
      </w:r>
      <w:r w:rsidR="00FE0711" w:rsidRPr="00876A53">
        <w:t>Public Utilities Commission of Ohio (“</w:t>
      </w:r>
      <w:r w:rsidR="00C92FA1" w:rsidRPr="00876A53">
        <w:t>Commission</w:t>
      </w:r>
      <w:r w:rsidR="00FE0711" w:rsidRPr="00876A53">
        <w:t>”)</w:t>
      </w:r>
      <w:r w:rsidR="00C92FA1" w:rsidRPr="00876A53">
        <w:t xml:space="preserve"> </w:t>
      </w:r>
      <w:r w:rsidRPr="00876A53">
        <w:t>reject t</w:t>
      </w:r>
      <w:r w:rsidR="00C92FA1" w:rsidRPr="00876A53">
        <w:t xml:space="preserve">he PPAR because </w:t>
      </w:r>
      <w:r w:rsidRPr="00876A53">
        <w:t>authorization would be</w:t>
      </w:r>
      <w:r w:rsidR="00C92FA1" w:rsidRPr="00876A53">
        <w:t xml:space="preserve"> both illegal and unreasonable.  </w:t>
      </w:r>
      <w:r w:rsidR="00FD78F9" w:rsidRPr="00876A53">
        <w:t>The Commission also should not authorize the unreasonable BTCR as proposed because it would send incorrect price signals to customers</w:t>
      </w:r>
      <w:r w:rsidR="006A3030" w:rsidRPr="00876A53">
        <w:t>,</w:t>
      </w:r>
      <w:r w:rsidR="00FD78F9" w:rsidRPr="00876A53">
        <w:t xml:space="preserve"> </w:t>
      </w:r>
      <w:r w:rsidR="006A3030" w:rsidRPr="00876A53">
        <w:t xml:space="preserve">reduce their ability to manage their total electric bills, </w:t>
      </w:r>
      <w:r w:rsidR="00FD78F9" w:rsidRPr="00876A53">
        <w:t xml:space="preserve">and </w:t>
      </w:r>
      <w:r w:rsidR="006A3030" w:rsidRPr="00876A53">
        <w:t xml:space="preserve">probably </w:t>
      </w:r>
      <w:r w:rsidR="00FD78F9" w:rsidRPr="00876A53">
        <w:t xml:space="preserve">result in </w:t>
      </w:r>
      <w:r w:rsidR="006A3030" w:rsidRPr="00876A53">
        <w:t xml:space="preserve">the </w:t>
      </w:r>
      <w:r w:rsidR="005479D7" w:rsidRPr="00876A53">
        <w:t>double-</w:t>
      </w:r>
      <w:r w:rsidR="00FD78F9" w:rsidRPr="00876A53">
        <w:t xml:space="preserve">billing of transmission costs from shopping customers.  If the Commission, nonetheless, approves a nonbypassable BTCR, it </w:t>
      </w:r>
      <w:r w:rsidR="00842292" w:rsidRPr="00876A53">
        <w:t xml:space="preserve">also </w:t>
      </w:r>
      <w:r w:rsidR="00FD78F9" w:rsidRPr="00876A53">
        <w:t>should provide a mechanism so that current shopping customers are not billed twice for transmission-related services</w:t>
      </w:r>
      <w:r w:rsidR="00842292" w:rsidRPr="00876A53">
        <w:t>,</w:t>
      </w:r>
      <w:r w:rsidR="007D5348" w:rsidRPr="00876A53">
        <w:t xml:space="preserve"> and</w:t>
      </w:r>
      <w:r w:rsidR="00842292" w:rsidRPr="00876A53">
        <w:t xml:space="preserve"> the Commission should modify</w:t>
      </w:r>
      <w:r w:rsidR="007D5348" w:rsidRPr="00876A53">
        <w:t xml:space="preserve"> the </w:t>
      </w:r>
      <w:r w:rsidR="00842292" w:rsidRPr="00876A53">
        <w:t xml:space="preserve">proposed </w:t>
      </w:r>
      <w:r w:rsidR="007D5348" w:rsidRPr="00876A53">
        <w:t xml:space="preserve">rider </w:t>
      </w:r>
      <w:r w:rsidR="00842292" w:rsidRPr="00876A53">
        <w:t xml:space="preserve">so that it </w:t>
      </w:r>
      <w:r w:rsidR="007D5348" w:rsidRPr="00876A53">
        <w:t xml:space="preserve">provides efficient and </w:t>
      </w:r>
      <w:r w:rsidR="007D5348" w:rsidRPr="00876A53">
        <w:lastRenderedPageBreak/>
        <w:t>transparent price signals</w:t>
      </w:r>
      <w:r w:rsidR="00FD78F9" w:rsidRPr="00876A53">
        <w:t xml:space="preserve">.  </w:t>
      </w:r>
      <w:r w:rsidR="00C92FA1" w:rsidRPr="00876A53">
        <w:t xml:space="preserve">The Commission </w:t>
      </w:r>
      <w:r w:rsidR="004F1376" w:rsidRPr="00876A53">
        <w:t xml:space="preserve">also </w:t>
      </w:r>
      <w:r w:rsidR="00C92FA1" w:rsidRPr="00876A53">
        <w:t>should reject the POR</w:t>
      </w:r>
      <w:r w:rsidR="006E48F2" w:rsidRPr="00876A53">
        <w:t xml:space="preserve"> program</w:t>
      </w:r>
      <w:r w:rsidR="00C92FA1" w:rsidRPr="00876A53">
        <w:t xml:space="preserve"> </w:t>
      </w:r>
      <w:r w:rsidR="00FD78F9" w:rsidRPr="00876A53">
        <w:t xml:space="preserve">as filed </w:t>
      </w:r>
      <w:r w:rsidR="005F17C1" w:rsidRPr="00876A53">
        <w:t>because it is unreasonable.  If the Commission does authorize a POR</w:t>
      </w:r>
      <w:r w:rsidR="00842292" w:rsidRPr="00876A53">
        <w:t xml:space="preserve"> program</w:t>
      </w:r>
      <w:r w:rsidR="005F17C1" w:rsidRPr="00876A53">
        <w:t xml:space="preserve">, it </w:t>
      </w:r>
      <w:r w:rsidR="00226D7F" w:rsidRPr="00876A53">
        <w:t xml:space="preserve">should </w:t>
      </w:r>
      <w:r w:rsidR="00AF12C7" w:rsidRPr="00876A53">
        <w:t xml:space="preserve">remove the BDR and </w:t>
      </w:r>
      <w:r w:rsidR="00C92FA1" w:rsidRPr="00876A53">
        <w:t xml:space="preserve">modify </w:t>
      </w:r>
      <w:r w:rsidR="005F17C1" w:rsidRPr="00876A53">
        <w:t>the POR</w:t>
      </w:r>
      <w:r w:rsidR="00C92FA1" w:rsidRPr="00876A53">
        <w:t xml:space="preserve"> </w:t>
      </w:r>
      <w:r w:rsidR="00842292" w:rsidRPr="00876A53">
        <w:t xml:space="preserve">program </w:t>
      </w:r>
      <w:r w:rsidR="00C92FA1" w:rsidRPr="00876A53">
        <w:t xml:space="preserve">to provide that AEP-Ohio will purchase accounts </w:t>
      </w:r>
      <w:r w:rsidR="00C92FA1" w:rsidRPr="00072B32">
        <w:t xml:space="preserve">receivable at a discount.  </w:t>
      </w:r>
    </w:p>
    <w:p w:rsidR="00053F2C" w:rsidRPr="00876A53" w:rsidRDefault="00C92FA1" w:rsidP="005C6107">
      <w:pPr>
        <w:ind w:firstLine="0"/>
      </w:pPr>
      <w:r w:rsidRPr="00876A53">
        <w:tab/>
        <w:t>Additionally, the Commission should not approve the proposed ESP</w:t>
      </w:r>
      <w:r w:rsidR="006E48F2" w:rsidRPr="00876A53">
        <w:t xml:space="preserve"> as filed.  Unless the Commission removes the objectionable riders (particularly the PPAR), the proposed ESP</w:t>
      </w:r>
      <w:r w:rsidRPr="00876A53">
        <w:t xml:space="preserve"> fails an objective, cost-based application of the ESP</w:t>
      </w:r>
      <w:r w:rsidR="006E48F2" w:rsidRPr="00876A53">
        <w:t xml:space="preserve"> v. MRO Test.</w:t>
      </w:r>
    </w:p>
    <w:p w:rsidR="00053F2C" w:rsidRPr="00876A53" w:rsidRDefault="00053F2C" w:rsidP="00FE0711">
      <w:pPr>
        <w:pStyle w:val="Heading1"/>
      </w:pPr>
      <w:bookmarkStart w:id="4" w:name="_Toc392930595"/>
      <w:bookmarkStart w:id="5" w:name="_Toc392930686"/>
      <w:bookmarkStart w:id="6" w:name="_Toc393524898"/>
      <w:bookmarkStart w:id="7" w:name="_Toc393878359"/>
      <w:r w:rsidRPr="00876A53">
        <w:t xml:space="preserve">The Commission </w:t>
      </w:r>
      <w:r w:rsidR="00DA67E3" w:rsidRPr="00876A53">
        <w:t>should</w:t>
      </w:r>
      <w:r w:rsidRPr="00876A53">
        <w:t xml:space="preserve"> deny authorization of the PPAR</w:t>
      </w:r>
      <w:bookmarkEnd w:id="4"/>
      <w:bookmarkEnd w:id="5"/>
      <w:bookmarkEnd w:id="6"/>
      <w:bookmarkEnd w:id="7"/>
    </w:p>
    <w:p w:rsidR="00053F2C" w:rsidRPr="00876A53" w:rsidRDefault="00053F2C" w:rsidP="005C6107">
      <w:r w:rsidRPr="00876A53">
        <w:t>AEP-Ohio has requested authorization of a PPAR as a nonbypassable rider that will operate as a credit or charge.</w:t>
      </w:r>
      <w:r w:rsidRPr="00876A53">
        <w:rPr>
          <w:rStyle w:val="FootnoteReference"/>
        </w:rPr>
        <w:footnoteReference w:id="8"/>
      </w:r>
      <w:r w:rsidRPr="00876A53">
        <w:t xml:space="preserve">  The credit or charge will be estimated annually, at a time “near” the beginning of each planning year</w:t>
      </w:r>
      <w:r w:rsidR="004F1376" w:rsidRPr="00876A53">
        <w:t>.</w:t>
      </w:r>
      <w:r w:rsidRPr="00876A53">
        <w:rPr>
          <w:rStyle w:val="FootnoteReference"/>
        </w:rPr>
        <w:footnoteReference w:id="9"/>
      </w:r>
      <w:r w:rsidR="00AF12C7" w:rsidRPr="00876A53">
        <w:t xml:space="preserve"> </w:t>
      </w:r>
      <w:r w:rsidRPr="00876A53">
        <w:t xml:space="preserve"> </w:t>
      </w:r>
      <w:r w:rsidR="004F1376" w:rsidRPr="00876A53">
        <w:t xml:space="preserve">The charge or credit would be based on an estimate of the </w:t>
      </w:r>
      <w:r w:rsidR="00CD2971" w:rsidRPr="00876A53">
        <w:t xml:space="preserve">revenue necessary to recover or credit the </w:t>
      </w:r>
      <w:r w:rsidR="00F231D8" w:rsidRPr="00876A53">
        <w:t xml:space="preserve">difference between what </w:t>
      </w:r>
      <w:r w:rsidRPr="00876A53">
        <w:t xml:space="preserve">AEP-Ohio expects to </w:t>
      </w:r>
      <w:r w:rsidR="00CD2971" w:rsidRPr="00876A53">
        <w:t xml:space="preserve">realize </w:t>
      </w:r>
      <w:r w:rsidRPr="00876A53">
        <w:t xml:space="preserve">through the liquidation of its “entitlement” to power from its 19% share of the OVEC generation </w:t>
      </w:r>
      <w:r w:rsidR="006B7FA0" w:rsidRPr="00876A53">
        <w:t xml:space="preserve">units </w:t>
      </w:r>
      <w:r w:rsidRPr="00876A53">
        <w:t xml:space="preserve">(“OVEC Entitlement”) </w:t>
      </w:r>
      <w:r w:rsidR="006B7FA0" w:rsidRPr="00876A53">
        <w:t>and</w:t>
      </w:r>
      <w:r w:rsidRPr="00876A53">
        <w:t xml:space="preserve"> the costs AEP-Ohio is charged by OVEC.</w:t>
      </w:r>
      <w:r w:rsidRPr="00876A53">
        <w:rPr>
          <w:rStyle w:val="FootnoteReference"/>
        </w:rPr>
        <w:footnoteReference w:id="10"/>
      </w:r>
      <w:r w:rsidRPr="00876A53">
        <w:t xml:space="preserve">  </w:t>
      </w:r>
      <w:r w:rsidR="006B7FA0" w:rsidRPr="00876A53">
        <w:t>After the first year, t</w:t>
      </w:r>
      <w:r w:rsidRPr="00876A53">
        <w:t>he charge or credit will be further adjusted to account for under or over-recoveries of the PPAR relative to AEP-Ohio’s actual OVEC costs and revenue.</w:t>
      </w:r>
      <w:r w:rsidRPr="00876A53">
        <w:rPr>
          <w:rStyle w:val="FootnoteReference"/>
        </w:rPr>
        <w:footnoteReference w:id="11"/>
      </w:r>
      <w:r w:rsidRPr="00876A53">
        <w:t xml:space="preserve">  The amount of the over and under-recovery would include </w:t>
      </w:r>
      <w:r w:rsidR="00CD2971" w:rsidRPr="00876A53">
        <w:t xml:space="preserve">the cost of </w:t>
      </w:r>
      <w:r w:rsidRPr="00876A53">
        <w:t xml:space="preserve">interest at </w:t>
      </w:r>
      <w:r w:rsidR="00CD2971" w:rsidRPr="00876A53">
        <w:t xml:space="preserve">AEP-Ohio’s </w:t>
      </w:r>
      <w:r w:rsidRPr="00876A53">
        <w:t>weighted cost of debt.</w:t>
      </w:r>
      <w:r w:rsidRPr="00876A53">
        <w:rPr>
          <w:rStyle w:val="FootnoteReference"/>
        </w:rPr>
        <w:footnoteReference w:id="12"/>
      </w:r>
      <w:r w:rsidRPr="00876A53">
        <w:t xml:space="preserve">  </w:t>
      </w:r>
    </w:p>
    <w:p w:rsidR="00053F2C" w:rsidRPr="00876A53" w:rsidRDefault="00053F2C" w:rsidP="005C6107">
      <w:r w:rsidRPr="00876A53">
        <w:t xml:space="preserve">The OVEC Entitlement arises out of AEP-Ohio’s interest as a Sponsoring Company in two generation facilities that were constructed to provide electricity to the </w:t>
      </w:r>
      <w:r w:rsidRPr="00876A53">
        <w:lastRenderedPageBreak/>
        <w:t>Department of Energy for uranium enrichment</w:t>
      </w:r>
      <w:r w:rsidR="006B7FA0" w:rsidRPr="00876A53">
        <w:t xml:space="preserve"> in the 1950s</w:t>
      </w:r>
      <w:r w:rsidRPr="00876A53">
        <w:t>.</w:t>
      </w:r>
      <w:r w:rsidRPr="00876A53">
        <w:rPr>
          <w:rStyle w:val="FootnoteReference"/>
        </w:rPr>
        <w:footnoteReference w:id="13"/>
      </w:r>
      <w:r w:rsidRPr="00876A53">
        <w:t xml:space="preserve">  Under Article 5 of the Amended and Restated Inter-Company P</w:t>
      </w:r>
      <w:r w:rsidR="006B7FA0" w:rsidRPr="00876A53">
        <w:t xml:space="preserve">ower Agreement (“ICPA”), a </w:t>
      </w:r>
      <w:r w:rsidR="00680F93" w:rsidRPr="00876A53">
        <w:t>Federal Energy Regulatory Commission (“</w:t>
      </w:r>
      <w:r w:rsidR="006B7FA0" w:rsidRPr="00876A53">
        <w:t>FERC</w:t>
      </w:r>
      <w:r w:rsidR="00680F93" w:rsidRPr="00876A53">
        <w:t>”)</w:t>
      </w:r>
      <w:r w:rsidR="006B7FA0" w:rsidRPr="00876A53">
        <w:t>-</w:t>
      </w:r>
      <w:r w:rsidRPr="00876A53">
        <w:t xml:space="preserve">approved </w:t>
      </w:r>
      <w:r w:rsidR="006B7FA0" w:rsidRPr="00876A53">
        <w:t>contract</w:t>
      </w:r>
      <w:r w:rsidRPr="00876A53">
        <w:t xml:space="preserve">, OVEC charges the Sponsoring Companies for the </w:t>
      </w:r>
      <w:r w:rsidR="00CD2971" w:rsidRPr="00876A53">
        <w:t xml:space="preserve">actual </w:t>
      </w:r>
      <w:r w:rsidRPr="00876A53">
        <w:t xml:space="preserve">fixed and variable costs of operating the OVEC generation facilities </w:t>
      </w:r>
      <w:r w:rsidR="00CD2971" w:rsidRPr="00876A53">
        <w:t>including a return on equity</w:t>
      </w:r>
      <w:r w:rsidRPr="00876A53">
        <w:t>.</w:t>
      </w:r>
      <w:r w:rsidRPr="00876A53">
        <w:rPr>
          <w:rStyle w:val="FootnoteReference"/>
        </w:rPr>
        <w:footnoteReference w:id="14"/>
      </w:r>
      <w:r w:rsidRPr="00876A53">
        <w:t xml:space="preserve">  The cost-plus contract permits OVEC to charge the Sponsoring Companies for variable costs of energy production, fixed costs (</w:t>
      </w:r>
      <w:r w:rsidR="006B7FA0" w:rsidRPr="00876A53">
        <w:t>for example,</w:t>
      </w:r>
      <w:r w:rsidRPr="00876A53">
        <w:t xml:space="preserve"> debt costs and fixed operation and maintenance expenses), and transmission charges assessed by </w:t>
      </w:r>
      <w:r w:rsidR="00680F93" w:rsidRPr="00876A53">
        <w:t>PJM Interconnection, L</w:t>
      </w:r>
      <w:r w:rsidR="00FE0711" w:rsidRPr="00876A53">
        <w:t>.</w:t>
      </w:r>
      <w:r w:rsidR="00680F93" w:rsidRPr="00876A53">
        <w:t>L</w:t>
      </w:r>
      <w:r w:rsidR="00FE0711" w:rsidRPr="00876A53">
        <w:t>.</w:t>
      </w:r>
      <w:r w:rsidR="00680F93" w:rsidRPr="00876A53">
        <w:t>C</w:t>
      </w:r>
      <w:r w:rsidR="00FE0711" w:rsidRPr="00876A53">
        <w:t>.</w:t>
      </w:r>
      <w:r w:rsidR="00680F93" w:rsidRPr="00876A53">
        <w:t xml:space="preserve"> (“</w:t>
      </w:r>
      <w:r w:rsidRPr="00876A53">
        <w:t>PJM</w:t>
      </w:r>
      <w:r w:rsidR="00680F93" w:rsidRPr="00876A53">
        <w:t>”)</w:t>
      </w:r>
      <w:r w:rsidRPr="00876A53">
        <w:t>.  Under Article 7</w:t>
      </w:r>
      <w:r w:rsidR="00CD2971" w:rsidRPr="00876A53">
        <w:t xml:space="preserve"> of the ICPA</w:t>
      </w:r>
      <w:r w:rsidRPr="00876A53">
        <w:t>, Sponsoring Companies must also pay “Other Charges” such as replacement costs of plant, facility costs such as spare parts costs, post-agreement retirement benefit costs, and shut-down costs.</w:t>
      </w:r>
      <w:r w:rsidRPr="00876A53">
        <w:rPr>
          <w:rStyle w:val="FootnoteReference"/>
        </w:rPr>
        <w:footnoteReference w:id="15"/>
      </w:r>
      <w:r w:rsidRPr="00876A53">
        <w:t xml:space="preserve">  Under Article 8, the Sponsoring Companies are obligated to pay all fixed (demand) costs, transmission charges, and Other Charges “whether or not any Available Power or Available Energy are supplied” by OVEC.</w:t>
      </w:r>
      <w:r w:rsidRPr="00876A53">
        <w:rPr>
          <w:rStyle w:val="FootnoteReference"/>
        </w:rPr>
        <w:footnoteReference w:id="16"/>
      </w:r>
    </w:p>
    <w:p w:rsidR="00053F2C" w:rsidRPr="00876A53" w:rsidRDefault="00053F2C" w:rsidP="005C6107">
      <w:r w:rsidRPr="00876A53">
        <w:t xml:space="preserve">The cost of power provided by OVEC under the ICPA to the Sponsoring Companies is sensitive to the total generation output of the plants.  “In 2012, OVEC’s average power cost to the Sponsoring Companies was $62.86 per </w:t>
      </w:r>
      <w:r w:rsidR="00AE3D45" w:rsidRPr="00876A53">
        <w:t xml:space="preserve">megawatt-hour (“MWh”) </w:t>
      </w:r>
      <w:r w:rsidRPr="00876A53">
        <w:t xml:space="preserve">compared </w:t>
      </w:r>
      <w:r w:rsidR="00680F93" w:rsidRPr="00876A53">
        <w:t xml:space="preserve">with </w:t>
      </w:r>
      <w:r w:rsidRPr="00876A53">
        <w:t xml:space="preserve">$50.86 per </w:t>
      </w:r>
      <w:r w:rsidR="00AE3D45" w:rsidRPr="00876A53">
        <w:t xml:space="preserve">MWh </w:t>
      </w:r>
      <w:r w:rsidRPr="00876A53">
        <w:t>in 2011.”</w:t>
      </w:r>
      <w:r w:rsidRPr="00876A53">
        <w:rPr>
          <w:rStyle w:val="FootnoteReference"/>
        </w:rPr>
        <w:footnoteReference w:id="17"/>
      </w:r>
      <w:r w:rsidRPr="00876A53">
        <w:t xml:space="preserve">  The difference in </w:t>
      </w:r>
      <w:r w:rsidR="00CD2971" w:rsidRPr="00876A53">
        <w:t xml:space="preserve">the </w:t>
      </w:r>
      <w:r w:rsidRPr="00876A53">
        <w:t xml:space="preserve">cost was a function primarily of lower energy sales.  “Mild weather, a soft energy market and low-cost natural gas </w:t>
      </w:r>
      <w:r w:rsidR="006B7FA0" w:rsidRPr="00876A53">
        <w:t>generation</w:t>
      </w:r>
      <w:r w:rsidRPr="00876A53">
        <w:t xml:space="preserve"> were responsible for lower energy sales in 2012.”</w:t>
      </w:r>
      <w:r w:rsidRPr="00876A53">
        <w:rPr>
          <w:rStyle w:val="FootnoteReference"/>
        </w:rPr>
        <w:footnoteReference w:id="18"/>
      </w:r>
    </w:p>
    <w:p w:rsidR="00053F2C" w:rsidRPr="00876A53" w:rsidRDefault="00053F2C" w:rsidP="005C6107">
      <w:r w:rsidRPr="00876A53">
        <w:lastRenderedPageBreak/>
        <w:t xml:space="preserve">The OVEC Entitlement is </w:t>
      </w:r>
      <w:r w:rsidR="00FD78F9" w:rsidRPr="00876A53">
        <w:t>an</w:t>
      </w:r>
      <w:r w:rsidRPr="00876A53">
        <w:t xml:space="preserve"> asset that </w:t>
      </w:r>
      <w:r w:rsidR="00FD78F9" w:rsidRPr="00876A53">
        <w:t>AEP-Ohio intended to transfer</w:t>
      </w:r>
      <w:r w:rsidRPr="00876A53">
        <w:t xml:space="preserve"> to </w:t>
      </w:r>
      <w:r w:rsidR="00FD78F9" w:rsidRPr="00876A53">
        <w:t>it</w:t>
      </w:r>
      <w:r w:rsidRPr="00876A53">
        <w:t xml:space="preserve">s unregulated generation affiliate.  In 2012, the Commission approved AEP-Ohio’s request to divest its </w:t>
      </w:r>
      <w:r w:rsidR="00680F93" w:rsidRPr="00876A53">
        <w:t>generation-</w:t>
      </w:r>
      <w:r w:rsidRPr="00876A53">
        <w:t>related assets including the OVEC Entitlement by December 31, 2013.</w:t>
      </w:r>
      <w:r w:rsidRPr="00876A53">
        <w:rPr>
          <w:rStyle w:val="FootnoteReference"/>
        </w:rPr>
        <w:footnoteReference w:id="19"/>
      </w:r>
      <w:r w:rsidRPr="00876A53">
        <w:t xml:space="preserve">  In late 2013, however, AEP-Ohio reported that it was unable to secure approval </w:t>
      </w:r>
      <w:r w:rsidR="00CD2971" w:rsidRPr="00876A53">
        <w:t xml:space="preserve">for the transfer of the OVEC Entitlement </w:t>
      </w:r>
      <w:r w:rsidRPr="00876A53">
        <w:t>from an as-yet undisclosed Sponsoring Company or Companies.</w:t>
      </w:r>
      <w:r w:rsidRPr="00876A53">
        <w:rPr>
          <w:rStyle w:val="FootnoteReference"/>
        </w:rPr>
        <w:footnoteReference w:id="20"/>
      </w:r>
      <w:r w:rsidRPr="00876A53">
        <w:t xml:space="preserve">  AEP-Ohio then sought and received authority to retain the OVEC </w:t>
      </w:r>
      <w:r w:rsidR="006A3030" w:rsidRPr="00876A53">
        <w:t>E</w:t>
      </w:r>
      <w:r w:rsidRPr="00876A53">
        <w:t>ntitlement “until the OVEC contractual entitlements can be transferred to AEP Genco or otherwise divested, or until otherwise ordered by the Commission.”</w:t>
      </w:r>
      <w:r w:rsidRPr="00876A53">
        <w:rPr>
          <w:rStyle w:val="FootnoteReference"/>
        </w:rPr>
        <w:footnoteReference w:id="21"/>
      </w:r>
      <w:r w:rsidRPr="00876A53">
        <w:t xml:space="preserve">  As a condition of its </w:t>
      </w:r>
      <w:r w:rsidR="00CD2971" w:rsidRPr="00876A53">
        <w:t xml:space="preserve">temporary </w:t>
      </w:r>
      <w:r w:rsidRPr="00876A53">
        <w:t>retention of the OVEC Entitlement, the Commission ordered that AEP-Ohio liquidate its entitlement to energy and capacity in the PJM wholesale markets.</w:t>
      </w:r>
      <w:r w:rsidRPr="00876A53">
        <w:rPr>
          <w:rStyle w:val="FootnoteReference"/>
        </w:rPr>
        <w:footnoteReference w:id="22"/>
      </w:r>
      <w:r w:rsidRPr="00876A53">
        <w:t xml:space="preserve">  </w:t>
      </w:r>
      <w:r w:rsidR="00AD3252" w:rsidRPr="00876A53">
        <w:t>Since the Commission’s decision amending the order directing AEP-Ohio to divest the OVEC Entitlement</w:t>
      </w:r>
      <w:r w:rsidR="00CD2971" w:rsidRPr="00876A53">
        <w:t xml:space="preserve"> on December 4, 2013</w:t>
      </w:r>
      <w:r w:rsidR="00AD3252" w:rsidRPr="00876A53">
        <w:t xml:space="preserve">, </w:t>
      </w:r>
      <w:r w:rsidRPr="00876A53">
        <w:t xml:space="preserve">AEP-Ohio </w:t>
      </w:r>
      <w:r w:rsidR="00CD2971" w:rsidRPr="00876A53">
        <w:t>has</w:t>
      </w:r>
      <w:r w:rsidRPr="00876A53">
        <w:t xml:space="preserve"> not actively pursu</w:t>
      </w:r>
      <w:r w:rsidR="00CD2971" w:rsidRPr="00876A53">
        <w:t>ed</w:t>
      </w:r>
      <w:r w:rsidRPr="00876A53">
        <w:t xml:space="preserve"> disposition of the OVEC Entitlement</w:t>
      </w:r>
      <w:r w:rsidR="006A3030" w:rsidRPr="00876A53">
        <w:t>,</w:t>
      </w:r>
      <w:r w:rsidRPr="00876A53">
        <w:t xml:space="preserve"> and it has no intention of exercising its rights to assign the OVEC Entitlement until the Commission rules on its application for the proposed ESP</w:t>
      </w:r>
      <w:r w:rsidR="006A3030" w:rsidRPr="00876A53">
        <w:t>, including the PPAR</w:t>
      </w:r>
      <w:r w:rsidRPr="00876A53">
        <w:t>.</w:t>
      </w:r>
      <w:r w:rsidRPr="00876A53">
        <w:rPr>
          <w:rStyle w:val="FootnoteReference"/>
        </w:rPr>
        <w:footnoteReference w:id="23"/>
      </w:r>
      <w:r w:rsidRPr="00876A53">
        <w:t xml:space="preserve">  </w:t>
      </w:r>
    </w:p>
    <w:p w:rsidR="00871548" w:rsidRPr="00876A53" w:rsidRDefault="00CD2971" w:rsidP="005C6107">
      <w:r w:rsidRPr="00876A53">
        <w:t>The PPAR would not be utilized to provide physical generation supply to AEP-Ohio’s customers</w:t>
      </w:r>
      <w:r w:rsidR="00053F2C" w:rsidRPr="00876A53">
        <w:t>.  (</w:t>
      </w:r>
      <w:r w:rsidRPr="00876A53">
        <w:t xml:space="preserve">AEP-Ohio </w:t>
      </w:r>
      <w:r w:rsidR="006A3030" w:rsidRPr="00876A53">
        <w:t xml:space="preserve">also </w:t>
      </w:r>
      <w:r w:rsidR="00053F2C" w:rsidRPr="00876A53">
        <w:t xml:space="preserve">states that it will not bid its OVEC Entitlement into the SSO auctions to serve its default service customers to avoid affecting the bidding </w:t>
      </w:r>
      <w:r w:rsidR="00053F2C" w:rsidRPr="00876A53">
        <w:lastRenderedPageBreak/>
        <w:t>process adversely.</w:t>
      </w:r>
      <w:r w:rsidR="00053F2C" w:rsidRPr="00876A53">
        <w:rPr>
          <w:rStyle w:val="FootnoteReference"/>
        </w:rPr>
        <w:footnoteReference w:id="24"/>
      </w:r>
      <w:r w:rsidR="00053F2C" w:rsidRPr="00876A53">
        <w:t xml:space="preserve">)  </w:t>
      </w:r>
      <w:r w:rsidR="00871548" w:rsidRPr="00876A53">
        <w:t>As a result</w:t>
      </w:r>
      <w:r w:rsidR="006B7FA0" w:rsidRPr="00876A53">
        <w:t>, t</w:t>
      </w:r>
      <w:r w:rsidR="00053F2C" w:rsidRPr="00876A53">
        <w:t>he capacity and energy from OVEC will not be used to limit shopping by customers or provide standby, backup, or supplemental power service, or default service.</w:t>
      </w:r>
      <w:r w:rsidR="00AD3252" w:rsidRPr="00876A53">
        <w:rPr>
          <w:rStyle w:val="FootnoteReference"/>
        </w:rPr>
        <w:footnoteReference w:id="25"/>
      </w:r>
      <w:r w:rsidR="006B7FA0" w:rsidRPr="00876A53">
        <w:t xml:space="preserve"> </w:t>
      </w:r>
      <w:r w:rsidR="00053F2C" w:rsidRPr="00876A53">
        <w:t xml:space="preserve"> </w:t>
      </w:r>
    </w:p>
    <w:p w:rsidR="00261ACE" w:rsidRPr="00876A53" w:rsidRDefault="00871548" w:rsidP="005C6107">
      <w:r w:rsidRPr="00876A53">
        <w:t xml:space="preserve">Although the OVEC </w:t>
      </w:r>
      <w:r w:rsidR="00842292" w:rsidRPr="00876A53">
        <w:t>E</w:t>
      </w:r>
      <w:r w:rsidRPr="00876A53">
        <w:t>ntitlement will not be used to supply generation service to AEP-Ohio’s customers</w:t>
      </w:r>
      <w:r w:rsidR="00053F2C" w:rsidRPr="00876A53">
        <w:t>, AEP-Ohio</w:t>
      </w:r>
      <w:r w:rsidRPr="00876A53">
        <w:t xml:space="preserve"> seeks to recover the costs not recovered by liquidating the capacity and energy in the PJM markets on the</w:t>
      </w:r>
      <w:r w:rsidR="00053F2C" w:rsidRPr="00876A53">
        <w:t xml:space="preserve"> </w:t>
      </w:r>
      <w:r w:rsidR="00261ACE" w:rsidRPr="00876A53">
        <w:t>claim</w:t>
      </w:r>
      <w:r w:rsidRPr="00876A53">
        <w:t xml:space="preserve"> that</w:t>
      </w:r>
      <w:r w:rsidR="00261ACE" w:rsidRPr="00876A53">
        <w:t xml:space="preserve"> the rider will operate as a </w:t>
      </w:r>
      <w:r w:rsidR="00053F2C" w:rsidRPr="00876A53">
        <w:t>“hedge” that has the effect of lowering the volatility of electric prices for customers.</w:t>
      </w:r>
      <w:r w:rsidR="00053F2C" w:rsidRPr="00876A53">
        <w:rPr>
          <w:rStyle w:val="FootnoteReference"/>
        </w:rPr>
        <w:footnoteReference w:id="26"/>
      </w:r>
      <w:r w:rsidR="00053F2C" w:rsidRPr="00876A53">
        <w:t xml:space="preserve">  </w:t>
      </w:r>
      <w:r w:rsidR="00261ACE" w:rsidRPr="00876A53">
        <w:t xml:space="preserve">According to AEP-Ohio, the “hedge” will be small.  Its “best” estimate of the value of the hedge to customers over the term of the proposed ESP averages 7 cents per </w:t>
      </w:r>
      <w:r w:rsidR="00FE0711" w:rsidRPr="00876A53">
        <w:t>MW</w:t>
      </w:r>
      <w:r w:rsidR="00AE3D45" w:rsidRPr="00876A53">
        <w:t>h</w:t>
      </w:r>
      <w:r w:rsidR="00261ACE" w:rsidRPr="00876A53">
        <w:t xml:space="preserve"> (7</w:t>
      </w:r>
      <w:r w:rsidR="00261ACE" w:rsidRPr="00876A53">
        <w:rPr>
          <w:rFonts w:cs="Arial"/>
        </w:rPr>
        <w:t>¢</w:t>
      </w:r>
      <w:r w:rsidR="00261ACE" w:rsidRPr="00876A53">
        <w:t>/MWh).</w:t>
      </w:r>
      <w:r w:rsidR="00261ACE" w:rsidRPr="00876A53">
        <w:rPr>
          <w:rStyle w:val="FootnoteReference"/>
        </w:rPr>
        <w:footnoteReference w:id="27"/>
      </w:r>
      <w:r w:rsidR="00261ACE" w:rsidRPr="00876A53">
        <w:t xml:space="preserve">  As an AEP-Ohio witness conceded, AEP-Ohio’s best estimate of the PPAR’s anticipated effect on bills, the 7 cent solution, will not have an effect on residential customers’ investment decisions.</w:t>
      </w:r>
      <w:r w:rsidR="00261ACE" w:rsidRPr="00876A53">
        <w:rPr>
          <w:rStyle w:val="FootnoteReference"/>
        </w:rPr>
        <w:footnoteReference w:id="28"/>
      </w:r>
    </w:p>
    <w:p w:rsidR="00053F2C" w:rsidRPr="00876A53" w:rsidRDefault="00871548" w:rsidP="005C6107">
      <w:r w:rsidRPr="00876A53">
        <w:t xml:space="preserve">AEP-Ohio </w:t>
      </w:r>
      <w:r w:rsidR="00053F2C" w:rsidRPr="00876A53">
        <w:t>also states that the effect of the PPAR is to allow AEP-Ohio to recover fully the costs it is billed by OVEC for the OVEC Entitlement.</w:t>
      </w:r>
      <w:r w:rsidR="00053F2C" w:rsidRPr="00876A53">
        <w:rPr>
          <w:rStyle w:val="FootnoteReference"/>
        </w:rPr>
        <w:footnoteReference w:id="29"/>
      </w:r>
      <w:r w:rsidR="00053F2C" w:rsidRPr="00876A53">
        <w:t xml:space="preserve">  </w:t>
      </w:r>
      <w:r w:rsidR="006B7FA0" w:rsidRPr="00876A53">
        <w:t>Without the PPAR,</w:t>
      </w:r>
      <w:r w:rsidR="00053F2C" w:rsidRPr="00876A53">
        <w:t xml:space="preserve"> </w:t>
      </w:r>
      <w:r w:rsidR="00261ACE" w:rsidRPr="00876A53">
        <w:t xml:space="preserve">any </w:t>
      </w:r>
      <w:r w:rsidR="00053F2C" w:rsidRPr="00876A53">
        <w:t>above-market cost of the OVEC Entitlement would be stranded with AEP-Ohio.</w:t>
      </w:r>
      <w:r w:rsidR="00053F2C" w:rsidRPr="00876A53">
        <w:rPr>
          <w:rStyle w:val="FootnoteReference"/>
        </w:rPr>
        <w:footnoteReference w:id="30"/>
      </w:r>
    </w:p>
    <w:p w:rsidR="00053F2C" w:rsidRPr="0095700A" w:rsidRDefault="00842292" w:rsidP="005C6107">
      <w:r w:rsidRPr="00876A53">
        <w:t>O</w:t>
      </w:r>
      <w:r w:rsidR="00053F2C" w:rsidRPr="00876A53">
        <w:t xml:space="preserve">ther parties anticipate that the PPAR will </w:t>
      </w:r>
      <w:r w:rsidR="00871548" w:rsidRPr="00876A53">
        <w:t xml:space="preserve">be a </w:t>
      </w:r>
      <w:r w:rsidR="00053F2C" w:rsidRPr="00876A53">
        <w:t xml:space="preserve">significant cost </w:t>
      </w:r>
      <w:r w:rsidR="00A1165C" w:rsidRPr="00876A53">
        <w:t xml:space="preserve">to </w:t>
      </w:r>
      <w:r w:rsidR="00053F2C" w:rsidRPr="00876A53">
        <w:t xml:space="preserve">all customers.  </w:t>
      </w:r>
      <w:r w:rsidR="00A1165C" w:rsidRPr="00876A53">
        <w:t xml:space="preserve">Their </w:t>
      </w:r>
      <w:r w:rsidRPr="00876A53">
        <w:t xml:space="preserve">conclusions begin with the fact that AEP-Ohio’s initial estimate indicated that the </w:t>
      </w:r>
      <w:r w:rsidRPr="00876A53">
        <w:lastRenderedPageBreak/>
        <w:t>PPAR would cost customers $52 million over the term of the ESP.</w:t>
      </w:r>
      <w:r w:rsidRPr="00876A53">
        <w:rPr>
          <w:rStyle w:val="FootnoteReference"/>
        </w:rPr>
        <w:footnoteReference w:id="31"/>
      </w:r>
      <w:r w:rsidRPr="00876A53">
        <w:t xml:space="preserve">  </w:t>
      </w:r>
      <w:r w:rsidR="00261ACE" w:rsidRPr="00876A53">
        <w:t xml:space="preserve">After correcting for unsupported assumptions AEP-Ohio made in its </w:t>
      </w:r>
      <w:r w:rsidRPr="00876A53">
        <w:t xml:space="preserve">initial </w:t>
      </w:r>
      <w:r w:rsidR="00261ACE" w:rsidRPr="00876A53">
        <w:t xml:space="preserve">estimate of the PPAR rate impacts, </w:t>
      </w:r>
      <w:r w:rsidR="00053F2C" w:rsidRPr="00876A53">
        <w:t xml:space="preserve">IEU-Ohio and </w:t>
      </w:r>
      <w:r w:rsidR="00680F93" w:rsidRPr="00876A53">
        <w:t xml:space="preserve">the </w:t>
      </w:r>
      <w:r w:rsidR="00FE0711" w:rsidRPr="00876A53">
        <w:t xml:space="preserve">Office of the </w:t>
      </w:r>
      <w:r w:rsidR="00680F93" w:rsidRPr="00876A53">
        <w:t>Ohio Consumers’ Counsel (“</w:t>
      </w:r>
      <w:r w:rsidR="00053F2C" w:rsidRPr="00876A53">
        <w:t>OCC</w:t>
      </w:r>
      <w:r w:rsidR="00680F93" w:rsidRPr="00876A53">
        <w:t>”)</w:t>
      </w:r>
      <w:r w:rsidR="00053F2C" w:rsidRPr="00876A53">
        <w:t xml:space="preserve"> </w:t>
      </w:r>
      <w:r w:rsidR="00261ACE" w:rsidRPr="00876A53">
        <w:t xml:space="preserve">estimated that </w:t>
      </w:r>
      <w:r w:rsidR="00053F2C" w:rsidRPr="00876A53">
        <w:t xml:space="preserve">the actual cost of the PPAR </w:t>
      </w:r>
      <w:r w:rsidR="00035626" w:rsidRPr="00876A53">
        <w:t xml:space="preserve">would </w:t>
      </w:r>
      <w:r w:rsidR="00035626" w:rsidRPr="00072B32">
        <w:t xml:space="preserve">range </w:t>
      </w:r>
      <w:r w:rsidR="00053F2C" w:rsidRPr="00072B32">
        <w:t>from $</w:t>
      </w:r>
      <w:r w:rsidR="006B07F4" w:rsidRPr="00072B32">
        <w:t xml:space="preserve">82 </w:t>
      </w:r>
      <w:r w:rsidR="00053F2C" w:rsidRPr="00072B32">
        <w:t xml:space="preserve">million to $116 million over the term of the </w:t>
      </w:r>
      <w:r w:rsidR="00261ACE" w:rsidRPr="0095700A">
        <w:t xml:space="preserve">proposed </w:t>
      </w:r>
      <w:r w:rsidR="00053F2C" w:rsidRPr="0095700A">
        <w:t>ESP.</w:t>
      </w:r>
      <w:r w:rsidR="00053F2C" w:rsidRPr="0095700A">
        <w:rPr>
          <w:rStyle w:val="FootnoteReference"/>
        </w:rPr>
        <w:footnoteReference w:id="32"/>
      </w:r>
    </w:p>
    <w:p w:rsidR="00053F2C" w:rsidRPr="00876A53" w:rsidRDefault="00053F2C" w:rsidP="005C6107">
      <w:r w:rsidRPr="00876A53">
        <w:t xml:space="preserve">The Commission should not authorize the PPAR for several reasons.  Initially, the rider is not authorized by a provision of R.C. 4928.143(B).  Second, authorization of the PPAR would violate </w:t>
      </w:r>
      <w:r w:rsidR="000B36FC" w:rsidRPr="00876A53">
        <w:t>state energy policy</w:t>
      </w:r>
      <w:r w:rsidRPr="00876A53">
        <w:t xml:space="preserve">.  Third, the PPAR is barred by R.C. 4928.38 and the </w:t>
      </w:r>
      <w:r w:rsidR="004F1376" w:rsidRPr="00876A53">
        <w:t>s</w:t>
      </w:r>
      <w:r w:rsidRPr="00876A53">
        <w:t xml:space="preserve">tipulation AEP-Ohio entered to resolve its electric </w:t>
      </w:r>
      <w:r w:rsidR="00314EF2" w:rsidRPr="00876A53">
        <w:t xml:space="preserve">transition </w:t>
      </w:r>
      <w:r w:rsidRPr="00876A53">
        <w:t>plan</w:t>
      </w:r>
      <w:r w:rsidR="00871548" w:rsidRPr="00876A53">
        <w:t xml:space="preserve"> (“ETP”) application</w:t>
      </w:r>
      <w:r w:rsidRPr="00876A53">
        <w:t xml:space="preserve"> in 2000.  Fourth, </w:t>
      </w:r>
      <w:r w:rsidR="00280CBD" w:rsidRPr="00876A53">
        <w:t xml:space="preserve">the Commission cannot authorize an adjustment in the wholesale compensation of AEP-Ohio under Ohio law.  Fifth, </w:t>
      </w:r>
      <w:r w:rsidRPr="00876A53">
        <w:t>authorization of the PPAR is preempted by the Federal Power Act (“FPA”).  Finally, AEP-Ohio has not provided evidence supporting the reasonableness of the PPAR.  In addition to failing to demonstrate that the PPAR will operate as an effective hedge, AEP-Ohio has the option of assigning its OVEC Entitlement</w:t>
      </w:r>
      <w:r w:rsidR="006B7FA0" w:rsidRPr="00876A53">
        <w:t xml:space="preserve"> to a third party in fulfillment of the Commission’s directive to divest its interests in generation</w:t>
      </w:r>
      <w:r w:rsidRPr="00876A53">
        <w:t>.  Th</w:t>
      </w:r>
      <w:r w:rsidR="00871548" w:rsidRPr="00876A53">
        <w:t>us, th</w:t>
      </w:r>
      <w:r w:rsidRPr="00876A53">
        <w:t xml:space="preserve">ere is no reason, as a matter of law, policy, or fact, </w:t>
      </w:r>
      <w:r w:rsidR="00871548" w:rsidRPr="00876A53">
        <w:t>for the Commission to authorize</w:t>
      </w:r>
      <w:r w:rsidR="00261ACE" w:rsidRPr="00876A53">
        <w:t xml:space="preserve"> the PPAR</w:t>
      </w:r>
      <w:r w:rsidRPr="00876A53">
        <w:t>.</w:t>
      </w:r>
    </w:p>
    <w:p w:rsidR="00053F2C" w:rsidRPr="00876A53" w:rsidRDefault="00053F2C" w:rsidP="00FE0711">
      <w:pPr>
        <w:pStyle w:val="Heading2"/>
      </w:pPr>
      <w:bookmarkStart w:id="8" w:name="_Toc392930596"/>
      <w:bookmarkStart w:id="9" w:name="_Toc392930687"/>
      <w:bookmarkStart w:id="10" w:name="_Toc393524899"/>
      <w:bookmarkStart w:id="11" w:name="_Toc393878360"/>
      <w:r w:rsidRPr="00876A53">
        <w:t xml:space="preserve">The PPAR is not authorized </w:t>
      </w:r>
      <w:r w:rsidR="005F17C1" w:rsidRPr="00876A53">
        <w:t>by R.C. 4928.143(B)(1) or (2)</w:t>
      </w:r>
      <w:bookmarkEnd w:id="8"/>
      <w:bookmarkEnd w:id="9"/>
      <w:bookmarkEnd w:id="10"/>
      <w:bookmarkEnd w:id="11"/>
    </w:p>
    <w:p w:rsidR="00053F2C" w:rsidRPr="00876A53" w:rsidRDefault="00053F2C" w:rsidP="005C6107">
      <w:r w:rsidRPr="00876A53">
        <w:t>The Commission may authorize a term of the ESP only as provided by R.C. 4928.143(B).</w:t>
      </w:r>
      <w:r w:rsidRPr="00876A53">
        <w:rPr>
          <w:rStyle w:val="FootnoteReference"/>
        </w:rPr>
        <w:footnoteReference w:id="33"/>
      </w:r>
      <w:r w:rsidRPr="00876A53">
        <w:t xml:space="preserve">  As demonstrated by AEP-Ohio’s testimony and admissions on cross-examination, the PPAR is not authorized by any provision of </w:t>
      </w:r>
      <w:r w:rsidR="004F1376" w:rsidRPr="00876A53">
        <w:t xml:space="preserve">R.C. </w:t>
      </w:r>
      <w:r w:rsidRPr="00876A53">
        <w:t>4928.143(B)</w:t>
      </w:r>
      <w:r w:rsidR="006B7FA0" w:rsidRPr="00876A53">
        <w:t>(1) or (2)</w:t>
      </w:r>
      <w:r w:rsidRPr="00876A53">
        <w:t>.</w:t>
      </w:r>
    </w:p>
    <w:p w:rsidR="00053F2C" w:rsidRPr="00876A53" w:rsidRDefault="004F1376" w:rsidP="005C6107">
      <w:r w:rsidRPr="00876A53">
        <w:lastRenderedPageBreak/>
        <w:t xml:space="preserve">R.C. </w:t>
      </w:r>
      <w:r w:rsidR="00053F2C" w:rsidRPr="00876A53">
        <w:t>4928.143(B)(1) provides that an ESP must include “provisions relating to the supply and pricing</w:t>
      </w:r>
      <w:r w:rsidR="005F17C1" w:rsidRPr="00876A53">
        <w:t xml:space="preserve"> of electric generation service.</w:t>
      </w:r>
      <w:r w:rsidR="00053F2C" w:rsidRPr="00876A53">
        <w:t xml:space="preserve">”  As </w:t>
      </w:r>
      <w:r w:rsidR="00261ACE" w:rsidRPr="00876A53">
        <w:t xml:space="preserve">conceded </w:t>
      </w:r>
      <w:r w:rsidR="00053F2C" w:rsidRPr="00876A53">
        <w:t xml:space="preserve">by AEP-Ohio, the PPAR will have no effect on the supply of electric generation service.  AEP-Ohio will secure a supply of electric generation service through </w:t>
      </w:r>
      <w:r w:rsidR="006B7FA0" w:rsidRPr="00876A53">
        <w:t>the CBP</w:t>
      </w:r>
      <w:r w:rsidR="00053F2C" w:rsidRPr="00876A53">
        <w:t xml:space="preserve"> for the ESP.</w:t>
      </w:r>
      <w:r w:rsidR="00053F2C" w:rsidRPr="00876A53">
        <w:rPr>
          <w:rStyle w:val="FootnoteReference"/>
        </w:rPr>
        <w:footnoteReference w:id="34"/>
      </w:r>
      <w:r w:rsidR="00053F2C" w:rsidRPr="00876A53">
        <w:t xml:space="preserve">  As further explained by AEP-Ohio, it will not bid the OVEC generation assets into the </w:t>
      </w:r>
      <w:r w:rsidR="00261ACE" w:rsidRPr="00876A53">
        <w:t>CB</w:t>
      </w:r>
      <w:r w:rsidR="00FE0711" w:rsidRPr="00876A53">
        <w:t>P</w:t>
      </w:r>
      <w:r w:rsidR="00053F2C" w:rsidRPr="00876A53">
        <w:t>.</w:t>
      </w:r>
      <w:r w:rsidR="00053F2C" w:rsidRPr="00876A53">
        <w:rPr>
          <w:rStyle w:val="FootnoteReference"/>
        </w:rPr>
        <w:footnoteReference w:id="35"/>
      </w:r>
      <w:r w:rsidR="00053F2C" w:rsidRPr="00876A53">
        <w:t xml:space="preserve">  Thus, the PPAR is not a provision related to the supply of electric generation service.</w:t>
      </w:r>
    </w:p>
    <w:p w:rsidR="00053F2C" w:rsidRPr="0095700A" w:rsidRDefault="00053F2C" w:rsidP="005C6107">
      <w:r w:rsidRPr="00876A53">
        <w:t>The PPAR also is not a provision related to the pricing of electric generation service.  As Mr. Allen repeatedly stated during his cross-examination, the PPAR will not affect the price of generation service (although it will alter the total retail price the customer pays whether the customer takes generation service under the SSO or is shopping).</w:t>
      </w:r>
      <w:r w:rsidRPr="00876A53">
        <w:rPr>
          <w:rStyle w:val="FootnoteReference"/>
        </w:rPr>
        <w:footnoteReference w:id="36"/>
      </w:r>
      <w:r w:rsidRPr="00876A53">
        <w:t xml:space="preserve">  This assertion is consistent with the fact that the PPAR is proposed to be a nonbypassable rider.  It will neither raise nor lower the price of generation service; rather it will operate in the same way as any other nonbypassable distribution or distribution-like rider (</w:t>
      </w:r>
      <w:r w:rsidRPr="00876A53">
        <w:rPr>
          <w:i/>
        </w:rPr>
        <w:t>e.g.,</w:t>
      </w:r>
      <w:r w:rsidRPr="00876A53">
        <w:t xml:space="preserve"> the current R</w:t>
      </w:r>
      <w:r w:rsidR="00871548" w:rsidRPr="00876A53">
        <w:t>etail Stability Rider</w:t>
      </w:r>
      <w:r w:rsidRPr="00876A53">
        <w:t xml:space="preserve">), increasing total bills of both ESP and shopping customers.  As proposed, therefore, the PPAR does not relate to the pricing of electric generation </w:t>
      </w:r>
      <w:r w:rsidRPr="00072B32">
        <w:t>service</w:t>
      </w:r>
      <w:r w:rsidR="006B07F4" w:rsidRPr="00072B32">
        <w:t xml:space="preserve"> supplied under the ESP</w:t>
      </w:r>
      <w:r w:rsidRPr="00072B32">
        <w:t>.</w:t>
      </w:r>
    </w:p>
    <w:p w:rsidR="00053F2C" w:rsidRPr="00876A53" w:rsidRDefault="00053F2C" w:rsidP="005C6107">
      <w:r w:rsidRPr="00876A53">
        <w:t xml:space="preserve">To authorize a rider under R.C. 4928.143(B)(1), the Commission must find </w:t>
      </w:r>
      <w:r w:rsidR="005F17C1" w:rsidRPr="00876A53">
        <w:t>that</w:t>
      </w:r>
      <w:r w:rsidRPr="00876A53">
        <w:t xml:space="preserve"> the cost to be recovered relates to the supply and pricing of electric generation service.  Because the PPAR would not relate to either the supply or pricing of generation service, the Commission cannot authorize the PPAR as a provision of an ESP under R.C. 4928.143(B)(1).</w:t>
      </w:r>
    </w:p>
    <w:p w:rsidR="00053F2C" w:rsidRPr="00876A53" w:rsidRDefault="00053F2C" w:rsidP="005C6107">
      <w:r w:rsidRPr="00876A53">
        <w:lastRenderedPageBreak/>
        <w:t>R.C. 4928.143(B)(2)</w:t>
      </w:r>
      <w:r w:rsidR="005F17C1" w:rsidRPr="00876A53">
        <w:t>(a) through (i) identify</w:t>
      </w:r>
      <w:r w:rsidRPr="00876A53">
        <w:t xml:space="preserve"> the provisions the Commission may authorize in an ESP.  None authorizes the inclusion of a PPAR.</w:t>
      </w:r>
    </w:p>
    <w:p w:rsidR="00053F2C" w:rsidRPr="00072B32" w:rsidRDefault="00053F2C" w:rsidP="005C6107">
      <w:r w:rsidRPr="00876A53">
        <w:t>R.C. 4928.143(B)(2)(a) provides for authorization of an automatic recovery mechanism for prudently incurred cost of fuel used to generate electricity supplied under the offer, the cost of purchased power supplied under the offer, the cost of emission allowances</w:t>
      </w:r>
      <w:r w:rsidR="004F1376" w:rsidRPr="00876A53">
        <w:t>,</w:t>
      </w:r>
      <w:r w:rsidRPr="00876A53">
        <w:t xml:space="preserve"> and the cost of federally mandated carbon or energy taxes. </w:t>
      </w:r>
      <w:r w:rsidR="00072B32">
        <w:t xml:space="preserve"> The PPAR does not concern any costs of the ESP covered by this provision</w:t>
      </w:r>
      <w:r w:rsidR="006B7FA0" w:rsidRPr="00072B32">
        <w:t>;</w:t>
      </w:r>
      <w:r w:rsidRPr="00072B32">
        <w:t xml:space="preserve"> </w:t>
      </w:r>
      <w:r w:rsidR="006B7FA0" w:rsidRPr="00072B32">
        <w:t>a</w:t>
      </w:r>
      <w:r w:rsidRPr="00072B32">
        <w:t xml:space="preserve">s AEP-Ohio has made clear, the OVEC capacity and energy will not be contracted </w:t>
      </w:r>
      <w:r w:rsidR="00842292" w:rsidRPr="00072B32">
        <w:t>to serve the ESP</w:t>
      </w:r>
      <w:r w:rsidRPr="00072B32">
        <w:t>.  Accordingly, the Commission cannot authorize the PPAR under R.C. 4928.143(B)(2)(a).</w:t>
      </w:r>
    </w:p>
    <w:p w:rsidR="00053F2C" w:rsidRPr="00876A53" w:rsidRDefault="00053F2C" w:rsidP="005C6107">
      <w:r w:rsidRPr="0095700A">
        <w:t xml:space="preserve">R.C. 4928.143(B)(2)(b) and (c) provide for charges related to </w:t>
      </w:r>
      <w:r w:rsidR="003A1CD6" w:rsidRPr="0095700A">
        <w:t xml:space="preserve">costs of </w:t>
      </w:r>
      <w:r w:rsidRPr="00876A53">
        <w:t>construction</w:t>
      </w:r>
      <w:r w:rsidR="003A1CD6" w:rsidRPr="00876A53">
        <w:t xml:space="preserve"> work in progress</w:t>
      </w:r>
      <w:r w:rsidRPr="00876A53">
        <w:t xml:space="preserve"> commenced </w:t>
      </w:r>
      <w:r w:rsidR="003A1CD6" w:rsidRPr="00876A53">
        <w:t xml:space="preserve">after January 1, 2009 </w:t>
      </w:r>
      <w:r w:rsidRPr="00876A53">
        <w:t xml:space="preserve">or </w:t>
      </w:r>
      <w:r w:rsidR="003A1CD6" w:rsidRPr="00876A53">
        <w:t xml:space="preserve">costs related </w:t>
      </w:r>
      <w:r w:rsidR="0095005A" w:rsidRPr="00876A53">
        <w:t xml:space="preserve">to </w:t>
      </w:r>
      <w:r w:rsidR="003A1CD6" w:rsidRPr="00876A53">
        <w:t xml:space="preserve">a generating facility </w:t>
      </w:r>
      <w:r w:rsidRPr="00876A53">
        <w:t xml:space="preserve">which became </w:t>
      </w:r>
      <w:r w:rsidR="004F1376" w:rsidRPr="00876A53">
        <w:t xml:space="preserve">newly </w:t>
      </w:r>
      <w:r w:rsidRPr="00876A53">
        <w:t xml:space="preserve">used and useful after January 1, 2009 if other requirements are satisfied.  The PPAR would recover costs for generation facilities that have been in </w:t>
      </w:r>
      <w:r w:rsidR="006B7FA0" w:rsidRPr="00876A53">
        <w:t>service</w:t>
      </w:r>
      <w:r w:rsidRPr="00876A53">
        <w:t xml:space="preserve"> since the 1950s.</w:t>
      </w:r>
      <w:r w:rsidRPr="00876A53">
        <w:rPr>
          <w:rStyle w:val="FootnoteReference"/>
        </w:rPr>
        <w:footnoteReference w:id="37"/>
      </w:r>
      <w:r w:rsidRPr="00876A53">
        <w:t xml:space="preserve">  Thus, the Commission cannot authorize the PPAR under R.C. 4928.143(B)(2)(b) or (c).</w:t>
      </w:r>
    </w:p>
    <w:p w:rsidR="00053F2C" w:rsidRPr="00876A53" w:rsidRDefault="00053F2C" w:rsidP="005C6107">
      <w:r w:rsidRPr="00876A53">
        <w:t xml:space="preserve">R.C. 4928.143(B)(2)(d) provides for authorization of terms, conditions, or charges related to several items that have the effect of stabilizing or providing certainty regarding retail electric service.  Other than being a charge, the PPAR does not meet any of the requirements </w:t>
      </w:r>
      <w:r w:rsidR="00314EF2" w:rsidRPr="00876A53">
        <w:t xml:space="preserve">of </w:t>
      </w:r>
      <w:r w:rsidRPr="00876A53">
        <w:t>this division.</w:t>
      </w:r>
    </w:p>
    <w:p w:rsidR="00053F2C" w:rsidRPr="00876A53" w:rsidRDefault="00053F2C" w:rsidP="005C6107">
      <w:r w:rsidRPr="00876A53">
        <w:t xml:space="preserve">Under R.C. 4928.143(B)(2)(d), the charge must be related to limitations on customer shopping, bypassability, standby, backup, or supplemental power service, default service, carrying costs, amortization periods, </w:t>
      </w:r>
      <w:r w:rsidR="004F1376" w:rsidRPr="00876A53">
        <w:t xml:space="preserve">or </w:t>
      </w:r>
      <w:r w:rsidRPr="00876A53">
        <w:t xml:space="preserve">accounting or deferrals.  </w:t>
      </w:r>
      <w:r w:rsidR="00005373" w:rsidRPr="00876A53">
        <w:t>AEP-</w:t>
      </w:r>
      <w:r w:rsidR="00005373" w:rsidRPr="00876A53">
        <w:lastRenderedPageBreak/>
        <w:t xml:space="preserve">Ohio </w:t>
      </w:r>
      <w:r w:rsidR="00842292" w:rsidRPr="00876A53">
        <w:t>states</w:t>
      </w:r>
      <w:r w:rsidR="00005373" w:rsidRPr="00876A53">
        <w:t xml:space="preserve"> that the PPAR would not have the effect of limiting customer shopping.</w:t>
      </w:r>
      <w:r w:rsidR="00005373" w:rsidRPr="00876A53">
        <w:rPr>
          <w:rStyle w:val="FootnoteReference"/>
        </w:rPr>
        <w:footnoteReference w:id="38"/>
      </w:r>
      <w:r w:rsidR="00005373" w:rsidRPr="00876A53">
        <w:t xml:space="preserve">  </w:t>
      </w:r>
      <w:r w:rsidR="003A1CD6" w:rsidRPr="00876A53">
        <w:t>During</w:t>
      </w:r>
      <w:r w:rsidRPr="00876A53">
        <w:t xml:space="preserve"> cross-examination, Mr. Allen </w:t>
      </w:r>
      <w:r w:rsidR="00842292" w:rsidRPr="00876A53">
        <w:t xml:space="preserve">also </w:t>
      </w:r>
      <w:r w:rsidR="003A1CD6" w:rsidRPr="00876A53">
        <w:t xml:space="preserve">testified </w:t>
      </w:r>
      <w:r w:rsidRPr="00876A53">
        <w:t>that AEP-Ohio would not use the OVEC generation for standby, backup, supplemental, or default service.</w:t>
      </w:r>
      <w:r w:rsidRPr="00876A53">
        <w:rPr>
          <w:rStyle w:val="FootnoteReference"/>
        </w:rPr>
        <w:footnoteReference w:id="39"/>
      </w:r>
      <w:r w:rsidRPr="00876A53">
        <w:t xml:space="preserve">  Additionally, the PPAR has no relationship to bypassability o</w:t>
      </w:r>
      <w:r w:rsidR="00FE0711" w:rsidRPr="00876A53">
        <w:t>f generation-</w:t>
      </w:r>
      <w:r w:rsidRPr="00876A53">
        <w:t xml:space="preserve">related costs (other than being nonbypassable), carrying costs, amortization periods, or accounting or deferrals.  </w:t>
      </w:r>
      <w:r w:rsidR="00005373" w:rsidRPr="00876A53">
        <w:t>T</w:t>
      </w:r>
      <w:r w:rsidRPr="00876A53">
        <w:t xml:space="preserve">herefore, the PPAR is not related to any of the kinds of services or accounting issues that may be </w:t>
      </w:r>
      <w:r w:rsidR="003A1CD6" w:rsidRPr="00876A53">
        <w:t xml:space="preserve">addressed through a charge authorized </w:t>
      </w:r>
      <w:r w:rsidRPr="00876A53">
        <w:t>under R.C. 4928.143(B)(2)(d).</w:t>
      </w:r>
    </w:p>
    <w:p w:rsidR="00053F2C" w:rsidRPr="00876A53" w:rsidRDefault="00053F2C" w:rsidP="005C6107">
      <w:r w:rsidRPr="00876A53">
        <w:t xml:space="preserve">Further, the PPAR is not proposed to stabilize retail electric service in either a physical or economic sense.  In a physical sense, the PPAR will not expand the amount of generation service available to ESP customers.  The power </w:t>
      </w:r>
      <w:r w:rsidR="006A0848" w:rsidRPr="00876A53">
        <w:t>sold</w:t>
      </w:r>
      <w:r w:rsidRPr="00876A53">
        <w:t xml:space="preserve"> to </w:t>
      </w:r>
      <w:r w:rsidR="006A0848" w:rsidRPr="00876A53">
        <w:t xml:space="preserve">nonshopping </w:t>
      </w:r>
      <w:r w:rsidRPr="00876A53">
        <w:t xml:space="preserve">customers will be provided by successful </w:t>
      </w:r>
      <w:r w:rsidR="006B7FA0" w:rsidRPr="00876A53">
        <w:t xml:space="preserve">CBP </w:t>
      </w:r>
      <w:r w:rsidRPr="00876A53">
        <w:t>bidders.  The OVEC Entitlement will not be bid into the auctions used to serve ESP customers.  It also will not be used as a generation service to serve customers through a purchased power agreement, as is the case under the current ESP.</w:t>
      </w:r>
      <w:r w:rsidR="003A1CD6" w:rsidRPr="00876A53">
        <w:rPr>
          <w:rStyle w:val="FootnoteReference"/>
        </w:rPr>
        <w:footnoteReference w:id="40"/>
      </w:r>
      <w:r w:rsidRPr="00876A53">
        <w:t xml:space="preserve">  Thus, the PPAR will not have the effect of stabilizing or making more certain retail electric service in a physical sense.</w:t>
      </w:r>
    </w:p>
    <w:p w:rsidR="00053F2C" w:rsidRPr="00876A53" w:rsidRDefault="00053F2C" w:rsidP="005C6107">
      <w:r w:rsidRPr="00876A53">
        <w:t xml:space="preserve">Likewise, it will not have the effect of stabilizing or making more certain retail electric service in an economic sense; if anything, it will make prices less stable and </w:t>
      </w:r>
      <w:r w:rsidR="00005373" w:rsidRPr="00876A53">
        <w:t>more un</w:t>
      </w:r>
      <w:r w:rsidRPr="00876A53">
        <w:t>certain.  As proposed, the PPAR will increase or decrease all customers’ bills by some amount that is currently unknown.</w:t>
      </w:r>
      <w:r w:rsidRPr="00876A53">
        <w:rPr>
          <w:rStyle w:val="FootnoteReference"/>
        </w:rPr>
        <w:footnoteReference w:id="41"/>
      </w:r>
      <w:r w:rsidRPr="00876A53">
        <w:t xml:space="preserve">  AEP-Ohio will provide the Commission an estimate of the PPAR “</w:t>
      </w:r>
      <w:r w:rsidR="00AE3D45" w:rsidRPr="00876A53">
        <w:t>near</w:t>
      </w:r>
      <w:r w:rsidRPr="00876A53">
        <w:t>” the start of the ESP planning year.</w:t>
      </w:r>
      <w:r w:rsidRPr="00876A53">
        <w:rPr>
          <w:rStyle w:val="FootnoteReference"/>
        </w:rPr>
        <w:footnoteReference w:id="42"/>
      </w:r>
      <w:r w:rsidRPr="00876A53">
        <w:t xml:space="preserve">  That estimate will be </w:t>
      </w:r>
      <w:r w:rsidRPr="00876A53">
        <w:lastRenderedPageBreak/>
        <w:t xml:space="preserve">in effect for </w:t>
      </w:r>
      <w:r w:rsidR="006A0848" w:rsidRPr="00876A53">
        <w:t>twelve months</w:t>
      </w:r>
      <w:r w:rsidRPr="00876A53">
        <w:t xml:space="preserve">.  </w:t>
      </w:r>
      <w:r w:rsidR="00FE0711" w:rsidRPr="00876A53">
        <w:t>As the next twelve-</w:t>
      </w:r>
      <w:r w:rsidR="006A0848" w:rsidRPr="00876A53">
        <w:t>month period nears</w:t>
      </w:r>
      <w:r w:rsidRPr="00876A53">
        <w:t xml:space="preserve">, AEP-Ohio will provide a new estimate </w:t>
      </w:r>
      <w:r w:rsidR="006A0848" w:rsidRPr="00876A53">
        <w:t xml:space="preserve">of the difference between the PJM revenue it expects to receive and the amounts it will be billed by </w:t>
      </w:r>
      <w:r w:rsidR="00DF7E82" w:rsidRPr="00876A53">
        <w:t xml:space="preserve">OVEC </w:t>
      </w:r>
      <w:r w:rsidRPr="00876A53">
        <w:t xml:space="preserve">and an estimate of the over or under-recovery </w:t>
      </w:r>
      <w:r w:rsidR="006A0848" w:rsidRPr="00876A53">
        <w:t>based on</w:t>
      </w:r>
      <w:r w:rsidRPr="00876A53">
        <w:t xml:space="preserve"> the prior year’s receipts from PJM and the costs </w:t>
      </w:r>
      <w:r w:rsidR="006A0848" w:rsidRPr="00876A53">
        <w:t>billed by</w:t>
      </w:r>
      <w:r w:rsidRPr="00876A53">
        <w:t xml:space="preserve"> OVEC.  As the </w:t>
      </w:r>
      <w:r w:rsidR="003A1CD6" w:rsidRPr="00876A53">
        <w:t xml:space="preserve">actual </w:t>
      </w:r>
      <w:r w:rsidRPr="00876A53">
        <w:t xml:space="preserve">costs of </w:t>
      </w:r>
      <w:r w:rsidR="00DF7E82" w:rsidRPr="00876A53">
        <w:t xml:space="preserve">the </w:t>
      </w:r>
      <w:r w:rsidRPr="00876A53">
        <w:t>OVEC</w:t>
      </w:r>
      <w:r w:rsidR="00DF7E82" w:rsidRPr="00876A53">
        <w:t xml:space="preserve"> generation</w:t>
      </w:r>
      <w:r w:rsidRPr="00876A53">
        <w:t xml:space="preserve"> move significantly up an</w:t>
      </w:r>
      <w:r w:rsidR="006A0848" w:rsidRPr="00876A53">
        <w:t>d</w:t>
      </w:r>
      <w:r w:rsidRPr="00876A53">
        <w:t xml:space="preserve"> down depending on multiple factors which are not </w:t>
      </w:r>
      <w:r w:rsidR="003A1CD6" w:rsidRPr="00876A53">
        <w:t xml:space="preserve">predictable </w:t>
      </w:r>
      <w:r w:rsidR="006A0848" w:rsidRPr="00876A53">
        <w:t>(</w:t>
      </w:r>
      <w:r w:rsidRPr="00876A53">
        <w:t>such as weather, forced outages, and general economic conditions</w:t>
      </w:r>
      <w:r w:rsidR="006A0848" w:rsidRPr="00876A53">
        <w:t>)</w:t>
      </w:r>
      <w:r w:rsidRPr="00876A53">
        <w:t xml:space="preserve">, the actual value </w:t>
      </w:r>
      <w:r w:rsidR="003A1CD6" w:rsidRPr="00876A53">
        <w:t xml:space="preserve">of the PPAR </w:t>
      </w:r>
      <w:r w:rsidRPr="00876A53">
        <w:t>in any planning year is itself unknowable.</w:t>
      </w:r>
      <w:r w:rsidRPr="00876A53">
        <w:rPr>
          <w:rStyle w:val="FootnoteReference"/>
        </w:rPr>
        <w:footnoteReference w:id="43"/>
      </w:r>
      <w:r w:rsidRPr="00876A53">
        <w:t xml:space="preserve">  As Dr. McDermott admitted during cross-examination, </w:t>
      </w:r>
      <w:r w:rsidR="006A0848" w:rsidRPr="00876A53">
        <w:t xml:space="preserve">the design of </w:t>
      </w:r>
      <w:r w:rsidRPr="00876A53">
        <w:t xml:space="preserve">the PPAR </w:t>
      </w:r>
      <w:r w:rsidR="006A0848" w:rsidRPr="00876A53">
        <w:t>will</w:t>
      </w:r>
      <w:r w:rsidRPr="00876A53">
        <w:t xml:space="preserve"> inject additional volatility into the prices shopping </w:t>
      </w:r>
      <w:r w:rsidR="006A0848" w:rsidRPr="00876A53">
        <w:t xml:space="preserve">and nonshopping </w:t>
      </w:r>
      <w:r w:rsidRPr="00876A53">
        <w:t xml:space="preserve">customers will see </w:t>
      </w:r>
      <w:r w:rsidR="006A0848" w:rsidRPr="00876A53">
        <w:t xml:space="preserve">in their electric bills </w:t>
      </w:r>
      <w:r w:rsidRPr="00876A53">
        <w:t>if the Commission authorizes the PPAR.</w:t>
      </w:r>
      <w:r w:rsidRPr="00876A53">
        <w:rPr>
          <w:rStyle w:val="FootnoteReference"/>
        </w:rPr>
        <w:footnoteReference w:id="44"/>
      </w:r>
    </w:p>
    <w:p w:rsidR="00053F2C" w:rsidRPr="00876A53" w:rsidRDefault="006A0848" w:rsidP="005C6107">
      <w:r w:rsidRPr="00876A53">
        <w:t xml:space="preserve">Thus, AEP-Ohio has not demonstrated that the PPAR can be authorized under R.C. 4928.143(B)(2)(d).  Of the three requirements that must be demonstrated to support authorization under this </w:t>
      </w:r>
      <w:r w:rsidR="00226D7F" w:rsidRPr="00876A53">
        <w:t>division</w:t>
      </w:r>
      <w:r w:rsidRPr="00876A53">
        <w:t xml:space="preserve">, AEP-Ohio has shown only that the PPAR is a charge.  It has not demonstrated that the charge addresses any of the subjects covered by this division or that the charge will stabilize or make more </w:t>
      </w:r>
      <w:r w:rsidR="00226D7F" w:rsidRPr="00876A53">
        <w:t>certain</w:t>
      </w:r>
      <w:r w:rsidRPr="00876A53">
        <w:t xml:space="preserve"> retail electric service.  In fact, </w:t>
      </w:r>
      <w:r w:rsidR="00005373" w:rsidRPr="00876A53">
        <w:t>one of its witnesses concedes</w:t>
      </w:r>
      <w:r w:rsidR="003A1CD6" w:rsidRPr="00876A53">
        <w:t xml:space="preserve"> </w:t>
      </w:r>
      <w:r w:rsidRPr="00876A53">
        <w:t xml:space="preserve">that the PPAR will inject more uncertainty into retail </w:t>
      </w:r>
      <w:r w:rsidR="00DF7E82" w:rsidRPr="00876A53">
        <w:t>prices</w:t>
      </w:r>
      <w:r w:rsidRPr="00876A53">
        <w:t>.</w:t>
      </w:r>
    </w:p>
    <w:p w:rsidR="00053F2C" w:rsidRPr="00876A53" w:rsidRDefault="00053F2C" w:rsidP="005C6107">
      <w:r w:rsidRPr="00876A53">
        <w:t xml:space="preserve">R.C. 4928.143(B)(2)(e) authorizes automatic increases and decreases in any component of the </w:t>
      </w:r>
      <w:r w:rsidR="00D74C65" w:rsidRPr="00876A53">
        <w:t xml:space="preserve">SSO </w:t>
      </w:r>
      <w:r w:rsidRPr="00876A53">
        <w:t xml:space="preserve">price.  </w:t>
      </w:r>
      <w:r w:rsidR="003A1CD6" w:rsidRPr="00876A53">
        <w:t>The PPAR is proposed to be a nonbypassable charge</w:t>
      </w:r>
      <w:r w:rsidR="00D74C65" w:rsidRPr="00876A53">
        <w:t xml:space="preserve"> designed to assure that AEP-Ohio is held harmless from the wholesale price risk of the OVEC Entitlement.  </w:t>
      </w:r>
      <w:r w:rsidRPr="00876A53">
        <w:t xml:space="preserve">By its terms, the </w:t>
      </w:r>
      <w:r w:rsidR="00D74C65" w:rsidRPr="00876A53">
        <w:t xml:space="preserve">rider </w:t>
      </w:r>
      <w:r w:rsidRPr="00876A53">
        <w:t xml:space="preserve">does not increase or decrease automatically </w:t>
      </w:r>
      <w:r w:rsidRPr="00876A53">
        <w:lastRenderedPageBreak/>
        <w:t xml:space="preserve">any component of the </w:t>
      </w:r>
      <w:r w:rsidR="00D74C65" w:rsidRPr="00876A53">
        <w:t>SSO</w:t>
      </w:r>
      <w:r w:rsidRPr="00876A53">
        <w:t xml:space="preserve"> price.  Thus, R.C. 4928.143(B)(2)(e) does not provide a basis to authorize the PPAR.</w:t>
      </w:r>
    </w:p>
    <w:p w:rsidR="00053F2C" w:rsidRPr="00876A53" w:rsidRDefault="00053F2C" w:rsidP="005C6107">
      <w:r w:rsidRPr="00876A53">
        <w:t xml:space="preserve">R.C. 4928.143(B)(2)(f) provides for provisions related to the securitization of a phase-in and recovery of the </w:t>
      </w:r>
      <w:r w:rsidR="00FE0711" w:rsidRPr="00876A53">
        <w:t xml:space="preserve">electric distribution utility’s (“EDU”) </w:t>
      </w:r>
      <w:r w:rsidRPr="00876A53">
        <w:t xml:space="preserve">cost of </w:t>
      </w:r>
      <w:r w:rsidR="005F17C1" w:rsidRPr="00876A53">
        <w:t>securitization</w:t>
      </w:r>
      <w:r w:rsidRPr="00876A53">
        <w:t>.  By its terms, the PPAR is unrelated to a securitization.</w:t>
      </w:r>
    </w:p>
    <w:p w:rsidR="00053F2C" w:rsidRPr="00876A53" w:rsidRDefault="00053F2C" w:rsidP="005C6107">
      <w:r w:rsidRPr="00876A53">
        <w:t xml:space="preserve">R.C. 4928.143(B)(2)(g) provides for provisions relating to transmission, ancillary, congestion, or any related service required for the </w:t>
      </w:r>
      <w:r w:rsidR="00FE0711" w:rsidRPr="00876A53">
        <w:t>SSO</w:t>
      </w:r>
      <w:r w:rsidRPr="00876A53">
        <w:t xml:space="preserve">.  As previously noted, the charge or credit provided by the PPAR is unrelated to the services required by the </w:t>
      </w:r>
      <w:r w:rsidR="00D74C65" w:rsidRPr="00876A53">
        <w:t>SSO</w:t>
      </w:r>
      <w:r w:rsidRPr="00876A53">
        <w:t xml:space="preserve">.  </w:t>
      </w:r>
      <w:r w:rsidR="0058145F" w:rsidRPr="00876A53">
        <w:t>Thus,</w:t>
      </w:r>
      <w:r w:rsidRPr="00876A53">
        <w:t xml:space="preserve"> the PPAR will not be “required” for the </w:t>
      </w:r>
      <w:r w:rsidR="00D74C65" w:rsidRPr="00876A53">
        <w:t>SSO</w:t>
      </w:r>
      <w:r w:rsidRPr="00876A53">
        <w:t xml:space="preserve">.  Further, the charge or credit </w:t>
      </w:r>
      <w:r w:rsidR="00D74C65" w:rsidRPr="00876A53">
        <w:t xml:space="preserve">to customer bills resulting from the PPAR </w:t>
      </w:r>
      <w:r w:rsidRPr="00876A53">
        <w:t>is unrelated to transmission, ancillary, congestion, or a related service; instead</w:t>
      </w:r>
      <w:r w:rsidR="0083441C" w:rsidRPr="00876A53">
        <w:t>,</w:t>
      </w:r>
      <w:r w:rsidRPr="00876A53">
        <w:t xml:space="preserve"> the charge or credit is the difference between what AEP-Ohio is billed by OVEC and what </w:t>
      </w:r>
      <w:r w:rsidR="00D74C65" w:rsidRPr="00876A53">
        <w:t xml:space="preserve">AEP-Ohio </w:t>
      </w:r>
      <w:r w:rsidRPr="00876A53">
        <w:t xml:space="preserve">recovers when it liquidates </w:t>
      </w:r>
      <w:r w:rsidR="00D74C65" w:rsidRPr="00876A53">
        <w:t>the capacity and energy associated with the OVEC Entitlement</w:t>
      </w:r>
      <w:r w:rsidRPr="00876A53">
        <w:t xml:space="preserve"> into the PJM markets.  Accordingly, R.C. 4928.143(B)(2)(g) does not provide a basis to authorize the PPAR.</w:t>
      </w:r>
    </w:p>
    <w:p w:rsidR="00053F2C" w:rsidRPr="00876A53" w:rsidRDefault="00053F2C" w:rsidP="005C6107">
      <w:r w:rsidRPr="00876A53">
        <w:t xml:space="preserve">R.C. 4928.143(B)(2)(h) authorizes provisions related to the EDU’s distribution service.  By its terms, the PPAR is unrelated to the EDU’s distribution service although </w:t>
      </w:r>
      <w:r w:rsidR="00D74C65" w:rsidRPr="00876A53">
        <w:t xml:space="preserve">AEP-Ohio has proposed that </w:t>
      </w:r>
      <w:r w:rsidR="00FE0711" w:rsidRPr="00876A53">
        <w:t xml:space="preserve">the </w:t>
      </w:r>
      <w:r w:rsidR="00D74C65" w:rsidRPr="00876A53">
        <w:t xml:space="preserve">credit or charge be assessed on </w:t>
      </w:r>
      <w:r w:rsidRPr="00876A53">
        <w:t xml:space="preserve">a nonbypassable </w:t>
      </w:r>
      <w:r w:rsidR="00D74C65" w:rsidRPr="00876A53">
        <w:t>basis</w:t>
      </w:r>
      <w:r w:rsidRPr="00876A53">
        <w:t>.  Accordingly, the PPAR is not a provision that the Commission may authorize under R.C. 4928.143(B)(2)(h).</w:t>
      </w:r>
    </w:p>
    <w:p w:rsidR="00053F2C" w:rsidRPr="00876A53" w:rsidRDefault="00053F2C" w:rsidP="005C6107">
      <w:r w:rsidRPr="00876A53">
        <w:t xml:space="preserve">R.C. 4928.143(B)(2)(i) provides for provisions under which the EDU may implement economic development, job retention, and energy efficiency programs.  AEP-Ohio indicated that OVEC has a positive economic effect on certain counties </w:t>
      </w:r>
      <w:r w:rsidRPr="00876A53">
        <w:lastRenderedPageBreak/>
        <w:t>surrounding the OVEC Ohio-based facilities,</w:t>
      </w:r>
      <w:r w:rsidRPr="00876A53">
        <w:rPr>
          <w:rStyle w:val="FootnoteReference"/>
        </w:rPr>
        <w:footnoteReference w:id="45"/>
      </w:r>
      <w:r w:rsidRPr="00876A53">
        <w:t xml:space="preserve"> but Mr. Vegas </w:t>
      </w:r>
      <w:r w:rsidR="0083441C" w:rsidRPr="00876A53">
        <w:t>conceded that the regional benefits of the OVEC generation located in Ohio would not be affected if the Commission denied authorization of the PPAR</w:t>
      </w:r>
      <w:r w:rsidRPr="00876A53">
        <w:t>.</w:t>
      </w:r>
      <w:r w:rsidRPr="00876A53">
        <w:rPr>
          <w:rStyle w:val="FootnoteReference"/>
        </w:rPr>
        <w:footnoteReference w:id="46"/>
      </w:r>
      <w:r w:rsidRPr="00876A53">
        <w:t xml:space="preserve">  Thus, the rider is unrelated to economic development or job retention</w:t>
      </w:r>
      <w:r w:rsidR="006D2A2D" w:rsidRPr="00876A53">
        <w:t xml:space="preserve">.  </w:t>
      </w:r>
      <w:r w:rsidRPr="00876A53">
        <w:t>Additionally, AEP-Ohio specifically sought to continue an existing rider, the Economic Development Rider, which is designated to recover economic development and job retention costs.</w:t>
      </w:r>
      <w:r w:rsidRPr="00876A53">
        <w:rPr>
          <w:rStyle w:val="FootnoteReference"/>
        </w:rPr>
        <w:footnoteReference w:id="47"/>
      </w:r>
      <w:r w:rsidR="006D2A2D" w:rsidRPr="00876A53">
        <w:t xml:space="preserve">  Likewise, the rider does not recover costs associated with AEP-Ohio’s compliance with mandated energy </w:t>
      </w:r>
      <w:r w:rsidR="00957A6C" w:rsidRPr="00876A53">
        <w:t>portfolio</w:t>
      </w:r>
      <w:r w:rsidR="006D2A2D" w:rsidRPr="00876A53">
        <w:t xml:space="preserve"> </w:t>
      </w:r>
      <w:r w:rsidR="000A2B34" w:rsidRPr="00876A53">
        <w:t>requirements</w:t>
      </w:r>
      <w:r w:rsidR="006D2A2D" w:rsidRPr="00876A53">
        <w:t>.  (AEP-Ohio</w:t>
      </w:r>
      <w:r w:rsidRPr="00876A53">
        <w:t xml:space="preserve"> sought the continuation of two specific riders, the Alternative Energy Rider and the Energy Efficiency and Peak Demand Reduction Rider, to recover the costs of implementing its programs to comply with state-mandated alternative energy, peak demand reduction, and energy efficiency requirements.</w:t>
      </w:r>
      <w:r w:rsidRPr="00876A53">
        <w:rPr>
          <w:rStyle w:val="FootnoteReference"/>
        </w:rPr>
        <w:footnoteReference w:id="48"/>
      </w:r>
      <w:r w:rsidR="006D2A2D" w:rsidRPr="00876A53">
        <w:t>)</w:t>
      </w:r>
      <w:r w:rsidRPr="00876A53">
        <w:t xml:space="preserve">  Accordingly, R.C. 4928.143(B)(2)(i) does not provide the Commission a basis to authorize the PPAR.</w:t>
      </w:r>
    </w:p>
    <w:p w:rsidR="00053F2C" w:rsidRPr="00876A53" w:rsidRDefault="00053F2C" w:rsidP="005C6107">
      <w:r w:rsidRPr="00876A53">
        <w:t>As this discussion demonstrates, the PPAR is not a provision authorized under R.C. 4928.143(B).  Because it is not authorized by a specific provision, the Commission may not lawfully authorize the rider.</w:t>
      </w:r>
      <w:r w:rsidRPr="00876A53">
        <w:rPr>
          <w:rStyle w:val="FootnoteReference"/>
        </w:rPr>
        <w:footnoteReference w:id="49"/>
      </w:r>
    </w:p>
    <w:p w:rsidR="00053F2C" w:rsidRPr="00876A53" w:rsidRDefault="00053F2C" w:rsidP="00FE0711">
      <w:pPr>
        <w:pStyle w:val="Heading2"/>
      </w:pPr>
      <w:bookmarkStart w:id="12" w:name="_Toc392930597"/>
      <w:bookmarkStart w:id="13" w:name="_Toc392930688"/>
      <w:bookmarkStart w:id="14" w:name="_Toc393524900"/>
      <w:bookmarkStart w:id="15" w:name="_Toc393878361"/>
      <w:r w:rsidRPr="00876A53">
        <w:t>Authorization of the PPAR would violate R.C. 4928.02(H)</w:t>
      </w:r>
      <w:bookmarkEnd w:id="12"/>
      <w:bookmarkEnd w:id="13"/>
      <w:bookmarkEnd w:id="14"/>
      <w:bookmarkEnd w:id="15"/>
    </w:p>
    <w:p w:rsidR="00053F2C" w:rsidRPr="00876A53" w:rsidRDefault="00053F2C" w:rsidP="005C6107">
      <w:r w:rsidRPr="00876A53">
        <w:t>R.C. 4928</w:t>
      </w:r>
      <w:r w:rsidR="0083441C" w:rsidRPr="00876A53">
        <w:t xml:space="preserve">.02(H) provides that it is the </w:t>
      </w:r>
      <w:r w:rsidR="00D74C65" w:rsidRPr="00876A53">
        <w:t>policy of the State</w:t>
      </w:r>
      <w:r w:rsidRPr="00876A53">
        <w:t xml:space="preserve"> to ensure effective competition in the provision of retail electric service by avoiding anticompetitive subsidies flowing from a noncompetitive retail electric service to a competitive retail electric service or a product or service other than retail electric service</w:t>
      </w:r>
      <w:r w:rsidR="00005373" w:rsidRPr="00876A53">
        <w:t xml:space="preserve"> </w:t>
      </w:r>
      <w:r w:rsidR="00842292" w:rsidRPr="00876A53">
        <w:t xml:space="preserve">or </w:t>
      </w:r>
      <w:r w:rsidR="00005373" w:rsidRPr="00876A53">
        <w:t>vice versa</w:t>
      </w:r>
      <w:r w:rsidRPr="00876A53">
        <w:t xml:space="preserve">.  </w:t>
      </w:r>
      <w:r w:rsidRPr="00876A53">
        <w:lastRenderedPageBreak/>
        <w:t xml:space="preserve">Additionally, </w:t>
      </w:r>
      <w:r w:rsidR="0083441C" w:rsidRPr="00876A53">
        <w:t>R.C. 4928.02(H)</w:t>
      </w:r>
      <w:r w:rsidRPr="00876A53">
        <w:t xml:space="preserve"> prohibits the recovery of any generation-related costs through distribution or transmission rates.</w:t>
      </w:r>
      <w:r w:rsidR="003D4F50" w:rsidRPr="00876A53">
        <w:rPr>
          <w:rStyle w:val="FootnoteReference"/>
        </w:rPr>
        <w:footnoteReference w:id="50"/>
      </w:r>
    </w:p>
    <w:p w:rsidR="00053F2C" w:rsidRPr="00876A53" w:rsidRDefault="00053F2C" w:rsidP="005C6107">
      <w:r w:rsidRPr="00876A53">
        <w:t xml:space="preserve">Authorization of the PPAR would result in an anticompetitive subsidy to or from a noncompetitive retail electric service from or to a service other than retail electric service.  As proposed, </w:t>
      </w:r>
      <w:r w:rsidR="00842292" w:rsidRPr="00876A53">
        <w:t xml:space="preserve">the PPAR would require </w:t>
      </w:r>
      <w:r w:rsidRPr="00876A53">
        <w:t xml:space="preserve">all retail distribution customers </w:t>
      </w:r>
      <w:r w:rsidR="00842292" w:rsidRPr="00876A53">
        <w:t xml:space="preserve">to </w:t>
      </w:r>
      <w:r w:rsidRPr="00876A53">
        <w:t xml:space="preserve">incur a charge or credit </w:t>
      </w:r>
      <w:r w:rsidR="00D74C65" w:rsidRPr="00876A53">
        <w:t xml:space="preserve">designed to collect </w:t>
      </w:r>
      <w:r w:rsidRPr="00876A53">
        <w:t xml:space="preserve">the difference of AEP-Ohio’s costs and wholesale revenue related to </w:t>
      </w:r>
      <w:r w:rsidR="0083441C" w:rsidRPr="00876A53">
        <w:t>the OVEC E</w:t>
      </w:r>
      <w:r w:rsidRPr="00876A53">
        <w:t xml:space="preserve">ntitlement.  When the difference is a charge, AEP-Ohio </w:t>
      </w:r>
      <w:r w:rsidR="006D2A2D" w:rsidRPr="00876A53">
        <w:t xml:space="preserve">would </w:t>
      </w:r>
      <w:r w:rsidRPr="00876A53">
        <w:t>recover the cost</w:t>
      </w:r>
      <w:r w:rsidR="003D4F50" w:rsidRPr="00876A53">
        <w:t>s</w:t>
      </w:r>
      <w:r w:rsidRPr="00876A53">
        <w:t xml:space="preserve"> of </w:t>
      </w:r>
      <w:r w:rsidR="0083441C" w:rsidRPr="00876A53">
        <w:t>the OVEC E</w:t>
      </w:r>
      <w:r w:rsidRPr="00876A53">
        <w:t xml:space="preserve">ntitlement that exceed the market prices for the entitlement, a subsidy to AEP-Ohio.  When the difference is a credit (as unlikely as that may be), retail customers </w:t>
      </w:r>
      <w:r w:rsidR="008B6EAB" w:rsidRPr="00876A53">
        <w:t xml:space="preserve">would </w:t>
      </w:r>
      <w:r w:rsidRPr="00876A53">
        <w:t xml:space="preserve">receive a subsidy of </w:t>
      </w:r>
      <w:r w:rsidR="008B6EAB" w:rsidRPr="00876A53">
        <w:t xml:space="preserve">any </w:t>
      </w:r>
      <w:r w:rsidRPr="00876A53">
        <w:t>wholesale r</w:t>
      </w:r>
      <w:r w:rsidR="003D4F50" w:rsidRPr="00876A53">
        <w:t>evenue from the OVEC E</w:t>
      </w:r>
      <w:r w:rsidRPr="00876A53">
        <w:t xml:space="preserve">ntitlement that exceeds </w:t>
      </w:r>
      <w:r w:rsidR="008B6EAB" w:rsidRPr="00876A53">
        <w:t xml:space="preserve">AEP-Ohio’s </w:t>
      </w:r>
      <w:r w:rsidRPr="00876A53">
        <w:t>costs.  “In either case, the result runs afoul of Ohio’s pro</w:t>
      </w:r>
      <w:r w:rsidR="00690FA7" w:rsidRPr="00876A53">
        <w:t>-</w:t>
      </w:r>
      <w:r w:rsidRPr="00876A53">
        <w:t>competitive policies and law.”</w:t>
      </w:r>
      <w:r w:rsidRPr="00876A53">
        <w:rPr>
          <w:rStyle w:val="FootnoteReference"/>
        </w:rPr>
        <w:footnoteReference w:id="51"/>
      </w:r>
    </w:p>
    <w:p w:rsidR="00053F2C" w:rsidRPr="00876A53" w:rsidRDefault="00C32047" w:rsidP="005C6107">
      <w:r w:rsidRPr="00876A53">
        <w:t xml:space="preserve">A rejection of the request to authorize the PPAR would be consistent with the Commission’s </w:t>
      </w:r>
      <w:r w:rsidR="004F1376" w:rsidRPr="00876A53">
        <w:t xml:space="preserve">application of R.C. 4928.02(H) when it dismissed </w:t>
      </w:r>
      <w:r w:rsidR="00053F2C" w:rsidRPr="00876A53">
        <w:t>AEP-Ohio’s</w:t>
      </w:r>
      <w:r w:rsidRPr="00876A53">
        <w:t xml:space="preserve"> application to recover</w:t>
      </w:r>
      <w:r w:rsidR="00053F2C" w:rsidRPr="00876A53">
        <w:t xml:space="preserve"> plant closure costs for the Sporn 5 Unit.  </w:t>
      </w:r>
      <w:r w:rsidR="006D2A2D" w:rsidRPr="00876A53">
        <w:t>To collect the closure costs</w:t>
      </w:r>
      <w:r w:rsidR="00053F2C" w:rsidRPr="00876A53">
        <w:t>, AEP-Ohio sought a nonbypassable charge.</w:t>
      </w:r>
      <w:r w:rsidR="00053F2C" w:rsidRPr="00876A53">
        <w:rPr>
          <w:rStyle w:val="FootnoteReference"/>
        </w:rPr>
        <w:footnoteReference w:id="52"/>
      </w:r>
      <w:r w:rsidR="00053F2C" w:rsidRPr="00876A53">
        <w:t xml:space="preserve">  </w:t>
      </w:r>
      <w:r w:rsidR="004F1376" w:rsidRPr="00876A53">
        <w:t xml:space="preserve">In its Finding and Order dismissing the application, the Commission concluded that </w:t>
      </w:r>
      <w:r w:rsidR="00053F2C" w:rsidRPr="00876A53">
        <w:t xml:space="preserve">no provision </w:t>
      </w:r>
      <w:r w:rsidR="00842292" w:rsidRPr="00876A53">
        <w:t xml:space="preserve">of </w:t>
      </w:r>
      <w:r w:rsidR="00053F2C" w:rsidRPr="00876A53">
        <w:t>R.C. 4928.143 authorize</w:t>
      </w:r>
      <w:r w:rsidR="00842292" w:rsidRPr="00876A53">
        <w:t>d</w:t>
      </w:r>
      <w:r w:rsidR="00053F2C" w:rsidRPr="00876A53">
        <w:t xml:space="preserve"> a rider to recover the </w:t>
      </w:r>
      <w:r w:rsidR="004F1376" w:rsidRPr="00876A53">
        <w:t xml:space="preserve">plant closure </w:t>
      </w:r>
      <w:r w:rsidR="00053F2C" w:rsidRPr="00876A53">
        <w:t>costs</w:t>
      </w:r>
      <w:r w:rsidR="004F1376" w:rsidRPr="00876A53">
        <w:t xml:space="preserve"> and</w:t>
      </w:r>
      <w:r w:rsidR="00053F2C" w:rsidRPr="00876A53">
        <w:t xml:space="preserve"> further held that “[a]pproval of such a charge </w:t>
      </w:r>
      <w:r w:rsidR="00053F2C" w:rsidRPr="00876A53">
        <w:lastRenderedPageBreak/>
        <w:t>would effectively allow [AEP-Ohio] to recover competitive, generation-related costs through its noncompetitive, distribution rates, in contravention of [R.C. 4928.02(H)].”</w:t>
      </w:r>
      <w:r w:rsidR="00053F2C" w:rsidRPr="00876A53">
        <w:rPr>
          <w:rStyle w:val="FootnoteReference"/>
        </w:rPr>
        <w:footnoteReference w:id="53"/>
      </w:r>
      <w:r w:rsidR="00053F2C" w:rsidRPr="00876A53">
        <w:t xml:space="preserve">  </w:t>
      </w:r>
    </w:p>
    <w:p w:rsidR="00053F2C" w:rsidRPr="00876A53" w:rsidRDefault="00053F2C" w:rsidP="005C6107">
      <w:r w:rsidRPr="00876A53">
        <w:t xml:space="preserve">Authorization of the PPAR would trigger a violation similar to that presented by AEP-Ohio’s application to recover the closure costs of Sporn 5 through a nonbypassable rider.  The PPAR would authorize AEP-Ohio to recover the difference of the generation-related costs that OVEC charges AEP-Ohio under the ICPA (even though those costs do not provide generation service to the customers of AEP-Ohio) and the wholesale capacity and energy revenues that AEP-Ohio receives from PJM.  The recovery of the charge through a nonbypassable rider would result in a charge that is the same as a distribution charge; it </w:t>
      </w:r>
      <w:r w:rsidR="00541328" w:rsidRPr="00876A53">
        <w:t>would be</w:t>
      </w:r>
      <w:r w:rsidRPr="00876A53">
        <w:t xml:space="preserve"> applicable to all customers just as a distribution charge is.  As a result, the recovery of the incremental energy and capacity costs </w:t>
      </w:r>
      <w:r w:rsidR="004F1376" w:rsidRPr="00876A53">
        <w:t xml:space="preserve">related to the OVEC Entitlement </w:t>
      </w:r>
      <w:r w:rsidRPr="00876A53">
        <w:t xml:space="preserve">through a nonbypassable charge would </w:t>
      </w:r>
      <w:r w:rsidR="00C32047" w:rsidRPr="00876A53">
        <w:t>contravene the prohibition of the recovery of generation-related costs through a “distribution-like” rider contained in</w:t>
      </w:r>
      <w:r w:rsidRPr="00876A53">
        <w:t xml:space="preserve"> R.C. 4928.02(H).</w:t>
      </w:r>
    </w:p>
    <w:p w:rsidR="00053F2C" w:rsidRPr="00876A53" w:rsidRDefault="00053F2C" w:rsidP="00FE0711">
      <w:pPr>
        <w:pStyle w:val="Heading2"/>
      </w:pPr>
      <w:bookmarkStart w:id="16" w:name="_Toc392930598"/>
      <w:bookmarkStart w:id="17" w:name="_Toc392930689"/>
      <w:bookmarkStart w:id="18" w:name="_Toc393524901"/>
      <w:bookmarkStart w:id="19" w:name="_Toc393878362"/>
      <w:r w:rsidRPr="00876A53">
        <w:t>Authorization of the PPAR would violate the prohibition of recovery of transition revenue or its equivalent contained in R.C. 4928.38</w:t>
      </w:r>
      <w:bookmarkEnd w:id="16"/>
      <w:bookmarkEnd w:id="17"/>
      <w:r w:rsidR="00C32047" w:rsidRPr="00876A53">
        <w:t xml:space="preserve"> and AEP-Ohio’s </w:t>
      </w:r>
      <w:r w:rsidR="00541328" w:rsidRPr="00876A53">
        <w:t>ETP</w:t>
      </w:r>
      <w:r w:rsidR="00C32047" w:rsidRPr="00876A53">
        <w:t xml:space="preserve"> Stipulation</w:t>
      </w:r>
      <w:bookmarkEnd w:id="18"/>
      <w:bookmarkEnd w:id="19"/>
    </w:p>
    <w:p w:rsidR="00053F2C" w:rsidRPr="00876A53" w:rsidRDefault="00053F2C" w:rsidP="005C6107">
      <w:r w:rsidRPr="00876A53">
        <w:t xml:space="preserve">An EDU had a single opportunity to collect transition revenue from customers, but </w:t>
      </w:r>
      <w:r w:rsidR="00C32047" w:rsidRPr="00876A53">
        <w:t xml:space="preserve">it was required to demonstrate it had transition costs.  Further, the EDU had a limited </w:t>
      </w:r>
      <w:r w:rsidRPr="00876A53">
        <w:t xml:space="preserve">period </w:t>
      </w:r>
      <w:r w:rsidR="00C32047" w:rsidRPr="00876A53">
        <w:t>during which it could collect transition revenue</w:t>
      </w:r>
      <w:r w:rsidRPr="00876A53">
        <w:t xml:space="preserve">.  </w:t>
      </w:r>
      <w:r w:rsidR="00C32047" w:rsidRPr="00876A53">
        <w:t>A</w:t>
      </w:r>
      <w:r w:rsidRPr="00876A53">
        <w:t>EP-Ohio</w:t>
      </w:r>
      <w:r w:rsidR="00C32047" w:rsidRPr="00876A53">
        <w:t xml:space="preserve"> sought but </w:t>
      </w:r>
      <w:r w:rsidRPr="00876A53">
        <w:t xml:space="preserve"> gave up any claims it may have had to secure generation-related transition revenue through its settlement of its ETP.  Nonetheless, AEP-Ohio is seeking to recover additional transition revenue through the PPAR when the revenues it recovers from </w:t>
      </w:r>
      <w:r w:rsidRPr="00876A53">
        <w:lastRenderedPageBreak/>
        <w:t xml:space="preserve">PJM are less than the amounts it pays OVEC.  Because </w:t>
      </w:r>
      <w:r w:rsidR="00C32047" w:rsidRPr="00876A53">
        <w:t>AEP-Ohio has not presented a claim for transition revenue that complies with the statutory requirements, the time for such a claim has expired, and AEP-Ohio has stipulated that it will not seek generation-related transition revenue</w:t>
      </w:r>
      <w:r w:rsidRPr="00876A53">
        <w:t xml:space="preserve">, </w:t>
      </w:r>
      <w:r w:rsidR="00C32047" w:rsidRPr="00876A53">
        <w:t>the Commission</w:t>
      </w:r>
      <w:r w:rsidRPr="00876A53">
        <w:t xml:space="preserve"> cannot lawfully authorize the PPAR.</w:t>
      </w:r>
    </w:p>
    <w:p w:rsidR="00053F2C" w:rsidRPr="00876A53" w:rsidRDefault="00053F2C" w:rsidP="005C6107">
      <w:r w:rsidRPr="00876A53">
        <w:t xml:space="preserve">Amended Substitute Senate Bill 3 (“SB 3”) provided an EDU with a single opportunity to secure transition revenue.  Within 90 days of adoption of SB 3, an EDU was required to file an </w:t>
      </w:r>
      <w:r w:rsidR="004F1376" w:rsidRPr="00876A53">
        <w:t>ETP</w:t>
      </w:r>
      <w:r w:rsidRPr="00876A53">
        <w:t>.</w:t>
      </w:r>
      <w:r w:rsidRPr="00876A53">
        <w:rPr>
          <w:vertAlign w:val="superscript"/>
        </w:rPr>
        <w:footnoteReference w:id="54"/>
      </w:r>
      <w:r w:rsidRPr="00876A53">
        <w:t xml:space="preserve">  As part of that plan, it could request transition revenue.</w:t>
      </w:r>
      <w:r w:rsidRPr="00876A53">
        <w:rPr>
          <w:vertAlign w:val="superscript"/>
        </w:rPr>
        <w:footnoteReference w:id="55"/>
      </w:r>
      <w:r w:rsidRPr="00876A53">
        <w:t xml:space="preserve">  Before authorizing collection of any transition revenue, the Commission had to find that </w:t>
      </w:r>
      <w:r w:rsidR="00C32047" w:rsidRPr="00876A53">
        <w:t xml:space="preserve">the EDU had transition costs.  The EDU was required to prove that </w:t>
      </w:r>
      <w:r w:rsidRPr="00876A53">
        <w:t xml:space="preserve">the </w:t>
      </w:r>
      <w:r w:rsidR="00C32047" w:rsidRPr="00876A53">
        <w:t xml:space="preserve">claimed transition </w:t>
      </w:r>
      <w:r w:rsidRPr="00876A53">
        <w:t xml:space="preserve">costs were “prudently incurred,” “legitimate, net, verifiable, and directly assignable or allocable to retail electric generation service provided to electric consumers in this state,” </w:t>
      </w:r>
      <w:r w:rsidR="00800714" w:rsidRPr="00876A53">
        <w:t>and</w:t>
      </w:r>
      <w:r w:rsidR="00C32047" w:rsidRPr="00876A53">
        <w:t xml:space="preserve"> </w:t>
      </w:r>
      <w:r w:rsidRPr="00876A53">
        <w:t xml:space="preserve">“unrecoverable in a competitive market,” and </w:t>
      </w:r>
      <w:r w:rsidR="00800714" w:rsidRPr="00876A53">
        <w:t xml:space="preserve">that </w:t>
      </w:r>
      <w:r w:rsidRPr="00876A53">
        <w:t>the EDU “would otherwise be entitled an opportunity to recover the costs.”</w:t>
      </w:r>
      <w:r w:rsidRPr="00876A53">
        <w:rPr>
          <w:vertAlign w:val="superscript"/>
        </w:rPr>
        <w:footnoteReference w:id="56"/>
      </w:r>
      <w:r w:rsidRPr="00876A53">
        <w:t xml:space="preserve">  </w:t>
      </w:r>
    </w:p>
    <w:p w:rsidR="00053F2C" w:rsidRPr="00072B32" w:rsidRDefault="00053F2C" w:rsidP="005C6107">
      <w:r w:rsidRPr="00876A53">
        <w:t xml:space="preserve">If the Commission determined that the EDU had a legitimate claim to transition revenue, it could authorize the collection of transition revenue for a finite period.  For certain transition </w:t>
      </w:r>
      <w:r w:rsidR="003E572D" w:rsidRPr="00876A53">
        <w:t xml:space="preserve">cost </w:t>
      </w:r>
      <w:r w:rsidRPr="00876A53">
        <w:t>recovery, the period was defined by the Market Development Period (“MDP”) that could not extend beyond 2005.</w:t>
      </w:r>
      <w:r w:rsidRPr="00876A53">
        <w:rPr>
          <w:vertAlign w:val="superscript"/>
        </w:rPr>
        <w:footnoteReference w:id="57"/>
      </w:r>
      <w:r w:rsidRPr="00876A53">
        <w:t xml:space="preserve">  For transition costs identified as regulatory assets, the collection period could not extend beyond 2010.</w:t>
      </w:r>
      <w:r w:rsidRPr="00876A53">
        <w:rPr>
          <w:vertAlign w:val="superscript"/>
        </w:rPr>
        <w:footnoteReference w:id="58"/>
      </w:r>
      <w:r w:rsidRPr="00876A53">
        <w:t xml:space="preserve">  R.C. 4928.141, enacted as part of </w:t>
      </w:r>
      <w:r w:rsidR="004F1376" w:rsidRPr="00876A53">
        <w:t>Amended Substitute Senate Bill 221 (“</w:t>
      </w:r>
      <w:r w:rsidRPr="00876A53">
        <w:t>SB 221</w:t>
      </w:r>
      <w:r w:rsidR="004F1376" w:rsidRPr="00876A53">
        <w:t>”)</w:t>
      </w:r>
      <w:r w:rsidRPr="00876A53">
        <w:t xml:space="preserve">, precluded any further recovery of transition costs “effective on and after the date that the </w:t>
      </w:r>
      <w:r w:rsidRPr="00876A53">
        <w:lastRenderedPageBreak/>
        <w:t>allowance is scheduled to end under the utility’s rate plan.”</w:t>
      </w:r>
      <w:r w:rsidRPr="00876A53">
        <w:rPr>
          <w:vertAlign w:val="superscript"/>
        </w:rPr>
        <w:footnoteReference w:id="59"/>
      </w:r>
      <w:r w:rsidRPr="00876A53">
        <w:t xml:space="preserve">  </w:t>
      </w:r>
      <w:r w:rsidR="001026EE" w:rsidRPr="00876A53">
        <w:t xml:space="preserve">The Commission </w:t>
      </w:r>
      <w:r w:rsidR="0058145F" w:rsidRPr="00876A53">
        <w:t>cannot lawfully</w:t>
      </w:r>
      <w:r w:rsidR="001026EE" w:rsidRPr="00876A53">
        <w:t xml:space="preserve"> “authorize the receipt of transition revenues or any equivalent revenues by an electric utility except as expressly authorized in sections 4928.31 to 4928.40 of the Revised Code.”</w:t>
      </w:r>
      <w:r w:rsidR="001026EE" w:rsidRPr="00876A53">
        <w:rPr>
          <w:rStyle w:val="FootnoteReference"/>
        </w:rPr>
        <w:footnoteReference w:id="60"/>
      </w:r>
      <w:r w:rsidR="001026EE" w:rsidRPr="00876A53">
        <w:t xml:space="preserve">  </w:t>
      </w:r>
      <w:r w:rsidRPr="00876A53">
        <w:t xml:space="preserve">“With the termination of that approved revenue source, the utility </w:t>
      </w:r>
      <w:r w:rsidR="00800714" w:rsidRPr="00876A53">
        <w:t>[was to]</w:t>
      </w:r>
      <w:r w:rsidRPr="00876A53">
        <w:t xml:space="preserve"> be fully on its own in the competitive </w:t>
      </w:r>
      <w:r w:rsidRPr="00072B32">
        <w:t>market.</w:t>
      </w:r>
      <w:r w:rsidR="00800714" w:rsidRPr="00072B32">
        <w:t>”</w:t>
      </w:r>
      <w:r w:rsidR="006B07F4" w:rsidRPr="00072B32">
        <w:rPr>
          <w:rStyle w:val="FootnoteReference"/>
        </w:rPr>
        <w:footnoteReference w:id="61"/>
      </w:r>
      <w:r w:rsidR="00800714" w:rsidRPr="00072B32">
        <w:t xml:space="preserve">  </w:t>
      </w:r>
    </w:p>
    <w:p w:rsidR="00053F2C" w:rsidRPr="00876A53" w:rsidRDefault="00053F2C" w:rsidP="005C6107">
      <w:r w:rsidRPr="0095700A">
        <w:t xml:space="preserve">AEP-Ohio sought to recover transition revenue under SB 3 when it filed its </w:t>
      </w:r>
      <w:r w:rsidR="00FE0711" w:rsidRPr="0095700A">
        <w:t xml:space="preserve">ETP </w:t>
      </w:r>
      <w:r w:rsidRPr="00876A53">
        <w:t xml:space="preserve">in 1999.  The application was resolved </w:t>
      </w:r>
      <w:r w:rsidR="00800714" w:rsidRPr="00876A53">
        <w:t>by</w:t>
      </w:r>
      <w:r w:rsidRPr="00876A53">
        <w:t xml:space="preserve"> a stipulation</w:t>
      </w:r>
      <w:r w:rsidR="00800714" w:rsidRPr="00876A53">
        <w:t xml:space="preserve"> (“ETP Stipulation”)</w:t>
      </w:r>
      <w:r w:rsidRPr="00876A53">
        <w:t>, and  AEP-Ohio agreed to forgo collecting above-market transition revenue associated with its generation assets.</w:t>
      </w:r>
      <w:r w:rsidRPr="00876A53">
        <w:rPr>
          <w:rStyle w:val="FootnoteReference"/>
        </w:rPr>
        <w:footnoteReference w:id="62"/>
      </w:r>
    </w:p>
    <w:p w:rsidR="00053F2C" w:rsidRPr="00876A53" w:rsidRDefault="00053F2C" w:rsidP="005C6107">
      <w:r w:rsidRPr="00876A53">
        <w:t xml:space="preserve">If the Commission authorizes the PPAR, AEP-Ohio would collect additional transition revenue or its equivalent when the PPAR is a charge to customers.  The charge to customers </w:t>
      </w:r>
      <w:r w:rsidR="00541328" w:rsidRPr="00876A53">
        <w:t xml:space="preserve">would be </w:t>
      </w:r>
      <w:r w:rsidRPr="00876A53">
        <w:t>based on the difference between what AEP-Ohio receives from PJM for wholesale power and capacity and the amounts billed to it by OVEC under the ICPA.</w:t>
      </w:r>
      <w:r w:rsidRPr="00876A53">
        <w:rPr>
          <w:rStyle w:val="FootnoteReference"/>
        </w:rPr>
        <w:footnoteReference w:id="63"/>
      </w:r>
      <w:r w:rsidRPr="00876A53">
        <w:t xml:space="preserve">  The PJM revenues are determined by the market-based prices established by the PJM tariffs.  When the </w:t>
      </w:r>
      <w:r w:rsidR="00800714" w:rsidRPr="00876A53">
        <w:t xml:space="preserve">OVEC Entitlement </w:t>
      </w:r>
      <w:r w:rsidRPr="00876A53">
        <w:t xml:space="preserve">costs exceed the market-based revenue, the difference is “the costs </w:t>
      </w:r>
      <w:r w:rsidR="00AD3252" w:rsidRPr="00876A53">
        <w:t>…</w:t>
      </w:r>
      <w:r w:rsidR="00690FA7" w:rsidRPr="00876A53">
        <w:t xml:space="preserve"> </w:t>
      </w:r>
      <w:r w:rsidRPr="00876A53">
        <w:t>unrecoverable in a competitive market.”</w:t>
      </w:r>
      <w:r w:rsidRPr="00876A53">
        <w:rPr>
          <w:rStyle w:val="FootnoteReference"/>
        </w:rPr>
        <w:footnoteReference w:id="64"/>
      </w:r>
      <w:r w:rsidRPr="00876A53">
        <w:t xml:space="preserve">  As Dr. McDermott explained in a different context, these above</w:t>
      </w:r>
      <w:r w:rsidR="00AD3252" w:rsidRPr="00876A53">
        <w:t>-</w:t>
      </w:r>
      <w:r w:rsidRPr="00876A53">
        <w:t xml:space="preserve">market costs are “stranded” because AEP-Ohio’s investment cannot be recovered through market </w:t>
      </w:r>
      <w:r w:rsidRPr="00876A53">
        <w:lastRenderedPageBreak/>
        <w:t>prices.</w:t>
      </w:r>
      <w:r w:rsidRPr="00876A53">
        <w:rPr>
          <w:rStyle w:val="FootnoteReference"/>
        </w:rPr>
        <w:footnoteReference w:id="65"/>
      </w:r>
      <w:r w:rsidRPr="00876A53">
        <w:t xml:space="preserve">  AEP-Ohio would then recover these stranded costs through the PPAR.  The PPAR</w:t>
      </w:r>
      <w:r w:rsidR="00744647" w:rsidRPr="00876A53">
        <w:t>,</w:t>
      </w:r>
      <w:r w:rsidRPr="00876A53">
        <w:t xml:space="preserve"> thus</w:t>
      </w:r>
      <w:r w:rsidR="00744647" w:rsidRPr="00876A53">
        <w:t>,</w:t>
      </w:r>
      <w:r w:rsidRPr="00876A53">
        <w:t xml:space="preserve"> would permit AEP-Ohio to recover transition revenue or its equivalent.</w:t>
      </w:r>
    </w:p>
    <w:p w:rsidR="00053F2C" w:rsidRPr="00876A53" w:rsidRDefault="00053F2C" w:rsidP="005C6107">
      <w:r w:rsidRPr="00876A53">
        <w:t xml:space="preserve">R.C. 4928.38 bars the Commission from authorizing transition revenue or its equivalent in two respects.  First, the Commission may authorize the recovery of transition revenue only if </w:t>
      </w:r>
      <w:r w:rsidR="004F1376" w:rsidRPr="00876A53">
        <w:t xml:space="preserve">AEP-Ohio </w:t>
      </w:r>
      <w:r w:rsidRPr="00876A53">
        <w:t xml:space="preserve">complies with R.C. 4928.31 to 4928.40.  In particular, R.C. 4928.39 and 4928.40 provided detailed requirements for the authorization of transition revenue, none of which AEP-Ohio sought to satisfy in its Application and related testimony.  Second, the time by which the authorization of transition revenue or its equivalent </w:t>
      </w:r>
      <w:r w:rsidR="004F1376" w:rsidRPr="00876A53">
        <w:t xml:space="preserve">may be authorized and collected </w:t>
      </w:r>
      <w:r w:rsidRPr="00876A53">
        <w:t xml:space="preserve">has expired even if the evidence presented by AEP-Ohio were found to comply with the requirements of R.C. 4928.39 and 4928.40.  The MDP ended no later than December 31, 2005.  The period for recovery of regulatory assets ended no later than December 31, 2010.  Thus, </w:t>
      </w:r>
      <w:r w:rsidR="004F1376" w:rsidRPr="00876A53">
        <w:t xml:space="preserve">a </w:t>
      </w:r>
      <w:r w:rsidRPr="00876A53">
        <w:t>claim for transition revenue is time-barred.</w:t>
      </w:r>
    </w:p>
    <w:p w:rsidR="00053F2C" w:rsidRPr="00876A53" w:rsidRDefault="00053F2C" w:rsidP="005C6107">
      <w:r w:rsidRPr="00876A53">
        <w:t xml:space="preserve">Likewise, </w:t>
      </w:r>
      <w:r w:rsidR="00314EF2" w:rsidRPr="00876A53">
        <w:t xml:space="preserve">the </w:t>
      </w:r>
      <w:r w:rsidRPr="00876A53">
        <w:t xml:space="preserve">AEP-Ohio ETP Stipulation bars recovery of generation-related transition revenue.  AEP-Ohio specifically agreed to forgo any further recovery of generation-related transition revenue when it entered </w:t>
      </w:r>
      <w:r w:rsidR="00800714" w:rsidRPr="00876A53">
        <w:t>the ETP</w:t>
      </w:r>
      <w:r w:rsidRPr="00876A53">
        <w:t xml:space="preserve"> Stipulation.  Its Application in this case, however, seeks to recover above-market generation-related costs of OVEC through the PPAR.  That request is barred by AEP-Ohio</w:t>
      </w:r>
      <w:r w:rsidR="00314EF2" w:rsidRPr="00876A53">
        <w:t>’s</w:t>
      </w:r>
      <w:r w:rsidRPr="00876A53">
        <w:t xml:space="preserve"> prior agreement.</w:t>
      </w:r>
    </w:p>
    <w:p w:rsidR="00992C3E" w:rsidRPr="00876A53" w:rsidRDefault="00992C3E" w:rsidP="00EB4E17">
      <w:pPr>
        <w:pStyle w:val="Heading2"/>
      </w:pPr>
      <w:bookmarkStart w:id="20" w:name="_Toc393878363"/>
      <w:r w:rsidRPr="00876A53">
        <w:t xml:space="preserve">Authorization of the PPAR </w:t>
      </w:r>
      <w:r w:rsidR="00280CBD" w:rsidRPr="00876A53">
        <w:t>would exceed</w:t>
      </w:r>
      <w:r w:rsidRPr="00876A53">
        <w:t xml:space="preserve"> the Commission’s jurisdiction </w:t>
      </w:r>
      <w:r w:rsidR="00280CBD" w:rsidRPr="00876A53">
        <w:t xml:space="preserve">under state law </w:t>
      </w:r>
      <w:r w:rsidRPr="00876A53">
        <w:t xml:space="preserve">because it increases AEP-Ohio’s compensation for wholesale </w:t>
      </w:r>
      <w:r w:rsidR="00280CBD" w:rsidRPr="00876A53">
        <w:t xml:space="preserve">electric </w:t>
      </w:r>
      <w:r w:rsidRPr="00876A53">
        <w:t>service</w:t>
      </w:r>
      <w:r w:rsidR="00280CBD" w:rsidRPr="00876A53">
        <w:t>s</w:t>
      </w:r>
      <w:bookmarkEnd w:id="20"/>
    </w:p>
    <w:p w:rsidR="00992C3E" w:rsidRPr="00876A53" w:rsidRDefault="00280CBD" w:rsidP="005C6107">
      <w:r w:rsidRPr="00876A53">
        <w:lastRenderedPageBreak/>
        <w:t xml:space="preserve">By Commission order, AEP-Ohio will liquidate the OVEC Entitlement into the PJM wholesale markets.  As a result, </w:t>
      </w:r>
      <w:r w:rsidR="00992C3E" w:rsidRPr="00876A53">
        <w:t>AEP-Ohio is not providing any of the capacity or energy associated with the OVEC Entitlement to its retail customers</w:t>
      </w:r>
      <w:r w:rsidRPr="00876A53">
        <w:t xml:space="preserve">.  The PPAR, if authorized, would then adjust AEP-Ohio’s compensation from the OVEC Entitlement through either a charge or credit.  </w:t>
      </w:r>
      <w:r w:rsidR="00992C3E" w:rsidRPr="00876A53">
        <w:t xml:space="preserve">Because </w:t>
      </w:r>
      <w:r w:rsidRPr="00876A53">
        <w:t xml:space="preserve">the PPAR would adjust </w:t>
      </w:r>
      <w:r w:rsidR="00992C3E" w:rsidRPr="00876A53">
        <w:t xml:space="preserve">the compensation AEP-Ohio </w:t>
      </w:r>
      <w:r w:rsidRPr="00876A53">
        <w:t>receives for wholesale electric service, the Commission</w:t>
      </w:r>
      <w:r w:rsidR="00992C3E" w:rsidRPr="00876A53">
        <w:t xml:space="preserve"> has no authority to </w:t>
      </w:r>
      <w:r w:rsidRPr="00876A53">
        <w:t>authorize the PPAR under state law</w:t>
      </w:r>
      <w:r w:rsidR="00992C3E" w:rsidRPr="00876A53">
        <w:t>.</w:t>
      </w:r>
    </w:p>
    <w:p w:rsidR="00992C3E" w:rsidRPr="00876A53" w:rsidRDefault="00992C3E" w:rsidP="00992C3E">
      <w:r w:rsidRPr="00876A53">
        <w:t>The Commi</w:t>
      </w:r>
      <w:r w:rsidR="00EB4E17" w:rsidRPr="00876A53">
        <w:t xml:space="preserve">ssion’s </w:t>
      </w:r>
      <w:r w:rsidR="00280CBD" w:rsidRPr="00876A53">
        <w:t>jurisdiction</w:t>
      </w:r>
      <w:r w:rsidR="00EB4E17" w:rsidRPr="00876A53">
        <w:t xml:space="preserve"> to regulate an EDU such as AEP-Ohio </w:t>
      </w:r>
      <w:r w:rsidRPr="00876A53">
        <w:t xml:space="preserve">is governed by Chapters 4905, 4909, and 4928.  </w:t>
      </w:r>
      <w:r w:rsidR="006365D2" w:rsidRPr="00876A53">
        <w:t>For example, the Commission</w:t>
      </w:r>
      <w:r w:rsidR="00280CBD" w:rsidRPr="00876A53">
        <w:t>’s</w:t>
      </w:r>
      <w:r w:rsidR="006365D2" w:rsidRPr="00876A53">
        <w:t xml:space="preserve"> jurisdiction under </w:t>
      </w:r>
      <w:r w:rsidR="00280CBD" w:rsidRPr="00876A53">
        <w:t>Chapter</w:t>
      </w:r>
      <w:r w:rsidR="006365D2" w:rsidRPr="00876A53">
        <w:t xml:space="preserve"> 4905 and 4909 is </w:t>
      </w:r>
      <w:r w:rsidR="00EB4E17" w:rsidRPr="00876A53">
        <w:t>defined by R.C. 4905.02</w:t>
      </w:r>
      <w:r w:rsidR="00D31C97" w:rsidRPr="00876A53">
        <w:t>.</w:t>
      </w:r>
      <w:r w:rsidR="006365D2" w:rsidRPr="00876A53">
        <w:rPr>
          <w:rStyle w:val="FootnoteReference"/>
        </w:rPr>
        <w:footnoteReference w:id="66"/>
      </w:r>
      <w:r w:rsidRPr="00876A53">
        <w:t xml:space="preserve">  </w:t>
      </w:r>
      <w:r w:rsidR="00D31C97" w:rsidRPr="00876A53">
        <w:t>R.C.</w:t>
      </w:r>
      <w:r w:rsidRPr="00876A53">
        <w:t xml:space="preserve"> 4905.02</w:t>
      </w:r>
      <w:r w:rsidR="00D31C97" w:rsidRPr="00876A53">
        <w:t xml:space="preserve"> </w:t>
      </w:r>
      <w:r w:rsidRPr="00876A53">
        <w:t>provides</w:t>
      </w:r>
      <w:r w:rsidR="00D31C97" w:rsidRPr="00876A53">
        <w:t xml:space="preserve"> that a</w:t>
      </w:r>
      <w:r w:rsidRPr="00876A53">
        <w:t xml:space="preserve"> “‘public utility’ includes every corporation, company, copartnership, person, or association, the lessees, trustees, or receivers of the foregoing, defined in section 4905.03 of the Revised Code.”  </w:t>
      </w:r>
      <w:r w:rsidR="00D31C97" w:rsidRPr="00876A53">
        <w:t>R.C. 4905.03</w:t>
      </w:r>
      <w:r w:rsidRPr="00876A53">
        <w:t xml:space="preserve"> then provides a list of the types of public utilities subject to the Commission’s jurisdiction:</w:t>
      </w:r>
    </w:p>
    <w:p w:rsidR="00992C3E" w:rsidRPr="00876A53" w:rsidRDefault="00992C3E" w:rsidP="00D31C97">
      <w:pPr>
        <w:spacing w:line="240" w:lineRule="auto"/>
        <w:ind w:left="720" w:right="720"/>
      </w:pPr>
      <w:r w:rsidRPr="00876A53">
        <w:t>As used in this chapter, any person, firm, copartnership, voluntary association, joint-stock association, company, or corporation, wherever organized or incorporated, is:</w:t>
      </w:r>
    </w:p>
    <w:p w:rsidR="00992C3E" w:rsidRPr="00876A53" w:rsidRDefault="00992C3E" w:rsidP="00D31C97">
      <w:pPr>
        <w:spacing w:line="240" w:lineRule="auto"/>
        <w:ind w:left="720" w:right="720"/>
      </w:pPr>
      <w:r w:rsidRPr="00876A53">
        <w:t>...</w:t>
      </w:r>
    </w:p>
    <w:p w:rsidR="00992C3E" w:rsidRPr="00876A53" w:rsidRDefault="00992C3E" w:rsidP="00D31C97">
      <w:pPr>
        <w:spacing w:line="240" w:lineRule="auto"/>
        <w:ind w:left="720" w:right="720"/>
      </w:pPr>
      <w:r w:rsidRPr="00876A53">
        <w:t>(C) An electric light company, when engaged in the business of supplying electricity for light, heat, or power purposes to consumers within this state, including supplying electric transmission service</w:t>
      </w:r>
      <w:r w:rsidRPr="00876A53">
        <w:rPr>
          <w:i/>
        </w:rPr>
        <w:t xml:space="preserve"> for electricity delivered to consumers in this state</w:t>
      </w:r>
      <w:r w:rsidRPr="00876A53">
        <w:t xml:space="preserve">, but excluding a regional transmission organization approved by the federal </w:t>
      </w:r>
      <w:r w:rsidR="006365D2" w:rsidRPr="00876A53">
        <w:t>energy regulatory commission.  (E</w:t>
      </w:r>
      <w:r w:rsidRPr="00876A53">
        <w:t>mphasis added</w:t>
      </w:r>
      <w:r w:rsidR="006365D2" w:rsidRPr="00876A53">
        <w:t>.)</w:t>
      </w:r>
    </w:p>
    <w:p w:rsidR="00D31C97" w:rsidRPr="00876A53" w:rsidRDefault="00D31C97" w:rsidP="00D31C97">
      <w:pPr>
        <w:spacing w:line="240" w:lineRule="auto"/>
        <w:ind w:left="720" w:right="720"/>
      </w:pPr>
    </w:p>
    <w:p w:rsidR="00992C3E" w:rsidRPr="00876A53" w:rsidRDefault="006365D2" w:rsidP="00D31C97">
      <w:pPr>
        <w:ind w:firstLine="0"/>
      </w:pPr>
      <w:r w:rsidRPr="00876A53">
        <w:t>The same definition extends to the Commission’s jurisdiction under Chapter 4928.</w:t>
      </w:r>
      <w:r w:rsidRPr="00876A53">
        <w:rPr>
          <w:rStyle w:val="FootnoteReference"/>
        </w:rPr>
        <w:footnoteReference w:id="67"/>
      </w:r>
      <w:r w:rsidRPr="00876A53">
        <w:t xml:space="preserve">  </w:t>
      </w:r>
      <w:r w:rsidR="00992C3E" w:rsidRPr="00876A53">
        <w:t xml:space="preserve">This definition specifically limits the Commission’s jurisdiction over </w:t>
      </w:r>
      <w:r w:rsidRPr="00876A53">
        <w:t xml:space="preserve">electric light </w:t>
      </w:r>
      <w:r w:rsidRPr="00876A53">
        <w:lastRenderedPageBreak/>
        <w:t>companies, including EDUs,</w:t>
      </w:r>
      <w:r w:rsidR="00992C3E" w:rsidRPr="00876A53">
        <w:t xml:space="preserve"> to instances </w:t>
      </w:r>
      <w:r w:rsidR="00D31C97" w:rsidRPr="00876A53">
        <w:t>in which</w:t>
      </w:r>
      <w:r w:rsidR="00992C3E" w:rsidRPr="00876A53">
        <w:t xml:space="preserve"> a retail service is being provided, </w:t>
      </w:r>
      <w:r w:rsidR="00992C3E" w:rsidRPr="00876A53">
        <w:rPr>
          <w:i/>
        </w:rPr>
        <w:t>i.e.</w:t>
      </w:r>
      <w:r w:rsidR="00280CBD" w:rsidRPr="00876A53">
        <w:t xml:space="preserve"> electricity is being supplied</w:t>
      </w:r>
      <w:r w:rsidR="00992C3E" w:rsidRPr="00876A53">
        <w:t xml:space="preserve"> “to consumers.”  </w:t>
      </w:r>
      <w:r w:rsidR="00D31C97" w:rsidRPr="00876A53">
        <w:t>R.C.</w:t>
      </w:r>
      <w:r w:rsidR="00992C3E" w:rsidRPr="00876A53">
        <w:t xml:space="preserve"> 4905.03(C</w:t>
      </w:r>
      <w:r w:rsidR="00D31C97" w:rsidRPr="00876A53">
        <w:t xml:space="preserve">) </w:t>
      </w:r>
      <w:r w:rsidR="00992C3E" w:rsidRPr="00876A53">
        <w:t xml:space="preserve">also exempts </w:t>
      </w:r>
      <w:r w:rsidR="00A031C1" w:rsidRPr="00876A53">
        <w:t>regional transmission organizations (“</w:t>
      </w:r>
      <w:r w:rsidR="00992C3E" w:rsidRPr="00876A53">
        <w:t>RTOs</w:t>
      </w:r>
      <w:r w:rsidR="00A031C1" w:rsidRPr="00876A53">
        <w:t>”)</w:t>
      </w:r>
      <w:r w:rsidR="00992C3E" w:rsidRPr="00876A53">
        <w:t xml:space="preserve">, such as PJM, from the definition of an electric light company.  </w:t>
      </w:r>
      <w:r w:rsidR="00280CBD" w:rsidRPr="00876A53">
        <w:t>By</w:t>
      </w:r>
      <w:r w:rsidR="00992C3E" w:rsidRPr="00876A53">
        <w:t xml:space="preserve"> definition, </w:t>
      </w:r>
      <w:r w:rsidR="00280CBD" w:rsidRPr="00876A53">
        <w:t xml:space="preserve">therefore, the jurisdiction of the Commission </w:t>
      </w:r>
      <w:r w:rsidR="00992C3E" w:rsidRPr="00876A53">
        <w:t>do</w:t>
      </w:r>
      <w:r w:rsidR="00280CBD" w:rsidRPr="00876A53">
        <w:t>es</w:t>
      </w:r>
      <w:r w:rsidR="00992C3E" w:rsidRPr="00876A53">
        <w:t xml:space="preserve"> not </w:t>
      </w:r>
      <w:r w:rsidR="00280CBD" w:rsidRPr="00876A53">
        <w:t>extend</w:t>
      </w:r>
      <w:r w:rsidR="00992C3E" w:rsidRPr="00876A53">
        <w:t xml:space="preserve"> to wholesale electric</w:t>
      </w:r>
      <w:r w:rsidRPr="00876A53">
        <w:t xml:space="preserve"> </w:t>
      </w:r>
      <w:r w:rsidR="00992C3E" w:rsidRPr="00876A53">
        <w:t>services.</w:t>
      </w:r>
    </w:p>
    <w:p w:rsidR="00D31C97" w:rsidRPr="00876A53" w:rsidRDefault="00EB4E17" w:rsidP="00D31C97">
      <w:r w:rsidRPr="00876A53">
        <w:t xml:space="preserve">The PPAR would operate to adjust AEP-Ohio’s compensation for wholesale </w:t>
      </w:r>
      <w:r w:rsidR="006B07F4" w:rsidRPr="00072B32">
        <w:t xml:space="preserve">electric </w:t>
      </w:r>
      <w:r w:rsidRPr="00072B32">
        <w:t>services by increasing or decre</w:t>
      </w:r>
      <w:r w:rsidRPr="0095700A">
        <w:t xml:space="preserve">asing the compensation it receives from PJM to match the costs AEP-Ohio is charged by OVEC.  Because Ohio law </w:t>
      </w:r>
      <w:r w:rsidR="00280CBD" w:rsidRPr="00876A53">
        <w:t>limits</w:t>
      </w:r>
      <w:r w:rsidRPr="00876A53">
        <w:t xml:space="preserve"> the Commission</w:t>
      </w:r>
      <w:r w:rsidR="00280CBD" w:rsidRPr="00876A53">
        <w:t>’s</w:t>
      </w:r>
      <w:r w:rsidRPr="00876A53">
        <w:t xml:space="preserve"> </w:t>
      </w:r>
      <w:r w:rsidR="00280CBD" w:rsidRPr="00876A53">
        <w:t>jurisdiction</w:t>
      </w:r>
      <w:r w:rsidRPr="00876A53">
        <w:t xml:space="preserve"> to set charges for </w:t>
      </w:r>
      <w:r w:rsidR="00280CBD" w:rsidRPr="00876A53">
        <w:t>a</w:t>
      </w:r>
      <w:r w:rsidRPr="00876A53">
        <w:t xml:space="preserve"> service of </w:t>
      </w:r>
      <w:r w:rsidR="00280CBD" w:rsidRPr="00876A53">
        <w:t>an electric light company</w:t>
      </w:r>
      <w:r w:rsidRPr="00876A53">
        <w:t xml:space="preserve"> to electricity </w:t>
      </w:r>
      <w:r w:rsidR="00280CBD" w:rsidRPr="00876A53">
        <w:t>being supplied</w:t>
      </w:r>
      <w:r w:rsidRPr="00876A53">
        <w:t xml:space="preserve"> to consumers in Ohio, the Commission</w:t>
      </w:r>
      <w:r w:rsidR="00280CBD" w:rsidRPr="00876A53">
        <w:t>’s jurisdiction</w:t>
      </w:r>
      <w:r w:rsidRPr="00876A53">
        <w:t xml:space="preserve"> does not </w:t>
      </w:r>
      <w:r w:rsidR="00280CBD" w:rsidRPr="00876A53">
        <w:t>extend to establishing a charge or credit to adjust AEP-Ohio’s compensation for wholesale electric services</w:t>
      </w:r>
      <w:r w:rsidRPr="00876A53">
        <w:t xml:space="preserve">.  </w:t>
      </w:r>
      <w:r w:rsidR="00280CBD" w:rsidRPr="00876A53">
        <w:t>Accordingly,</w:t>
      </w:r>
      <w:r w:rsidRPr="00876A53">
        <w:t xml:space="preserve"> </w:t>
      </w:r>
      <w:r w:rsidR="00280CBD" w:rsidRPr="00876A53">
        <w:t xml:space="preserve">and in addition to the </w:t>
      </w:r>
      <w:r w:rsidRPr="00876A53">
        <w:t xml:space="preserve">constitutional </w:t>
      </w:r>
      <w:r w:rsidR="00280CBD" w:rsidRPr="00876A53">
        <w:t>bar that prevents the Commission from authorizing</w:t>
      </w:r>
      <w:r w:rsidR="00D31C97" w:rsidRPr="00876A53">
        <w:t xml:space="preserve"> </w:t>
      </w:r>
      <w:r w:rsidR="006365D2" w:rsidRPr="00876A53">
        <w:t xml:space="preserve">the PPAR </w:t>
      </w:r>
      <w:r w:rsidR="00D31C97" w:rsidRPr="00876A53">
        <w:t xml:space="preserve">discussed in the next section, the Commission is without </w:t>
      </w:r>
      <w:r w:rsidR="00280CBD" w:rsidRPr="00876A53">
        <w:t>authority</w:t>
      </w:r>
      <w:r w:rsidR="00D31C97" w:rsidRPr="00876A53">
        <w:t xml:space="preserve"> under Ohio law </w:t>
      </w:r>
      <w:r w:rsidR="00280CBD" w:rsidRPr="00876A53">
        <w:t>to authorize the PPAR.</w:t>
      </w:r>
      <w:r w:rsidR="00D31C97" w:rsidRPr="00876A53">
        <w:t xml:space="preserve">  </w:t>
      </w:r>
    </w:p>
    <w:p w:rsidR="00053F2C" w:rsidRPr="00876A53" w:rsidRDefault="00053F2C" w:rsidP="00FE0711">
      <w:pPr>
        <w:pStyle w:val="Heading2"/>
      </w:pPr>
      <w:bookmarkStart w:id="21" w:name="_Toc392930599"/>
      <w:bookmarkStart w:id="22" w:name="_Toc392930690"/>
      <w:bookmarkStart w:id="23" w:name="_Toc393524902"/>
      <w:bookmarkStart w:id="24" w:name="_Toc393878364"/>
      <w:r w:rsidRPr="00876A53">
        <w:t>Authorization of the PPAR is preempted by the Federal Power Act</w:t>
      </w:r>
      <w:bookmarkEnd w:id="21"/>
      <w:bookmarkEnd w:id="22"/>
      <w:bookmarkEnd w:id="23"/>
      <w:bookmarkEnd w:id="24"/>
    </w:p>
    <w:p w:rsidR="00053F2C" w:rsidRPr="00876A53" w:rsidRDefault="006365D2" w:rsidP="005C6107">
      <w:r w:rsidRPr="00876A53">
        <w:t xml:space="preserve">Even if the Commission was authorized to adjust AEP-Ohio’s compensation for a wholesale service by Ohio law, </w:t>
      </w:r>
      <w:r w:rsidR="00053F2C" w:rsidRPr="00876A53">
        <w:t>Commission action increasing AEP-Ohio</w:t>
      </w:r>
      <w:r w:rsidR="003E572D" w:rsidRPr="00876A53">
        <w:t>’s</w:t>
      </w:r>
      <w:r w:rsidR="00053F2C" w:rsidRPr="00876A53">
        <w:t xml:space="preserve"> total compensation for a wholesale electric service is preempted by the FPA.</w:t>
      </w:r>
    </w:p>
    <w:p w:rsidR="00B35702" w:rsidRPr="00072B32" w:rsidRDefault="00B35702" w:rsidP="005C6107">
      <w:r w:rsidRPr="002D40B2">
        <w:rPr>
          <w:rFonts w:cs="Arial"/>
          <w:shd w:val="clear" w:color="auto" w:fill="FFFFFF"/>
        </w:rPr>
        <w:t xml:space="preserve">Under the Supremacy Clause of the United States Constitution, state legislation and regulating authority may be preempted: (1) </w:t>
      </w:r>
      <w:r w:rsidR="00541328" w:rsidRPr="002D40B2">
        <w:rPr>
          <w:rFonts w:cs="Arial"/>
          <w:shd w:val="clear" w:color="auto" w:fill="FFFFFF"/>
        </w:rPr>
        <w:t xml:space="preserve">if </w:t>
      </w:r>
      <w:r w:rsidRPr="002D40B2">
        <w:rPr>
          <w:rFonts w:cs="Arial"/>
          <w:shd w:val="clear" w:color="auto" w:fill="FFFFFF"/>
        </w:rPr>
        <w:t xml:space="preserve">Congress, in enacting a federal statute, has expressed a clear intent to preempt state law; (2) </w:t>
      </w:r>
      <w:r w:rsidR="00541328" w:rsidRPr="002D40B2">
        <w:rPr>
          <w:rFonts w:cs="Arial"/>
          <w:shd w:val="clear" w:color="auto" w:fill="FFFFFF"/>
        </w:rPr>
        <w:t xml:space="preserve">if </w:t>
      </w:r>
      <w:r w:rsidRPr="002D40B2">
        <w:rPr>
          <w:rFonts w:cs="Arial"/>
          <w:shd w:val="clear" w:color="auto" w:fill="FFFFFF"/>
        </w:rPr>
        <w:t xml:space="preserve">it is clear, despite the absence of explicit preemptive language, that Congress has intended, by legislating comprehensively, to occupy an entire field of regulation and has left no room for the </w:t>
      </w:r>
      <w:r w:rsidRPr="002D40B2">
        <w:rPr>
          <w:rFonts w:cs="Arial"/>
          <w:shd w:val="clear" w:color="auto" w:fill="FFFFFF"/>
        </w:rPr>
        <w:lastRenderedPageBreak/>
        <w:t xml:space="preserve">states to supplement the federal law; </w:t>
      </w:r>
      <w:r w:rsidR="00541328" w:rsidRPr="002D40B2">
        <w:rPr>
          <w:rFonts w:cs="Arial"/>
          <w:shd w:val="clear" w:color="auto" w:fill="FFFFFF"/>
        </w:rPr>
        <w:t xml:space="preserve">or </w:t>
      </w:r>
      <w:r w:rsidRPr="002D40B2">
        <w:rPr>
          <w:rFonts w:cs="Arial"/>
          <w:shd w:val="clear" w:color="auto" w:fill="FFFFFF"/>
        </w:rPr>
        <w:t xml:space="preserve">(3) </w:t>
      </w:r>
      <w:r w:rsidR="00541328" w:rsidRPr="002D40B2">
        <w:rPr>
          <w:rFonts w:cs="Arial"/>
          <w:shd w:val="clear" w:color="auto" w:fill="FFFFFF"/>
        </w:rPr>
        <w:t xml:space="preserve">if </w:t>
      </w:r>
      <w:r w:rsidRPr="002D40B2">
        <w:rPr>
          <w:rFonts w:cs="Arial"/>
          <w:shd w:val="clear" w:color="auto" w:fill="FFFFFF"/>
        </w:rPr>
        <w:t>compliance with both state and federal law is impossible or when compliance with state law stands as an obstacle to the accomplishment and execution of the full purposes and objectives of the federal policies embodied in the laws at issue.</w:t>
      </w:r>
      <w:r w:rsidRPr="002D40B2">
        <w:rPr>
          <w:rStyle w:val="FootnoteReference"/>
          <w:rFonts w:cs="Arial"/>
          <w:shd w:val="clear" w:color="auto" w:fill="FFFFFF"/>
        </w:rPr>
        <w:footnoteReference w:id="68"/>
      </w:r>
    </w:p>
    <w:p w:rsidR="00053F2C" w:rsidRPr="00876A53" w:rsidRDefault="00053F2C" w:rsidP="005C6107">
      <w:r w:rsidRPr="0095700A">
        <w:t>Two recent federal district court decisions d</w:t>
      </w:r>
      <w:bookmarkStart w:id="25" w:name="_GoBack"/>
      <w:bookmarkEnd w:id="25"/>
      <w:r w:rsidRPr="0095700A">
        <w:t xml:space="preserve">emonstrate that attempts by states to </w:t>
      </w:r>
      <w:r w:rsidR="00800714" w:rsidRPr="00876A53">
        <w:t xml:space="preserve">increase the compensation of a </w:t>
      </w:r>
      <w:r w:rsidR="00FF4BFE" w:rsidRPr="00876A53">
        <w:t xml:space="preserve">generation </w:t>
      </w:r>
      <w:r w:rsidR="00800714" w:rsidRPr="00876A53">
        <w:t xml:space="preserve">owner for wholesale capacity and energy services </w:t>
      </w:r>
      <w:r w:rsidRPr="00876A53">
        <w:t xml:space="preserve">are preempted because they invade a field of regulation within the exclusive authority of FERC.  In the first decision, </w:t>
      </w:r>
      <w:r w:rsidRPr="00876A53">
        <w:rPr>
          <w:i/>
        </w:rPr>
        <w:t>PPL Energyplus, LLC v. Nazarian</w:t>
      </w:r>
      <w:r w:rsidRPr="00876A53">
        <w:t>,</w:t>
      </w:r>
      <w:r w:rsidRPr="00876A53">
        <w:rPr>
          <w:rStyle w:val="FootnoteReference"/>
        </w:rPr>
        <w:footnoteReference w:id="69"/>
      </w:r>
      <w:r w:rsidRPr="00876A53">
        <w:t xml:space="preserve"> a federal district court in Maryland reviewed an order of the Maryland Public Service Commission ("Maryland Commission") that increased compensation for the provision of wholesale electric services of an entity that was seeking to construct a generation plant (“Generation Owner”).  In the challenged order, the Maryland Commission directed the incumbent local electric utilities to enter into contracts with the Generation Owner.  The contracts would have required the local electric utilities to pay the Generation Owner the difference between what the Generation Owner received for market-based sales of capacity and energy to PJM and a contract price established by the Maryland Commission based on the cost of construction and operation of the plant for twenty years.  Any loss or gain that the local electric utilities incurred under the contracts ordered by the Maryland Commission was to be passed on to Maryland ratepayers by the local electric utilities.</w:t>
      </w:r>
      <w:r w:rsidRPr="00876A53">
        <w:rPr>
          <w:rStyle w:val="FootnoteReference"/>
        </w:rPr>
        <w:footnoteReference w:id="70"/>
      </w:r>
      <w:r w:rsidRPr="00876A53">
        <w:rPr>
          <w:i/>
        </w:rPr>
        <w:t xml:space="preserve">  </w:t>
      </w:r>
      <w:r w:rsidRPr="00876A53">
        <w:t xml:space="preserve">The federal court concluded that the Maryland Commission’s order fixed the monetary value of wholesale generation-related capacity and energy </w:t>
      </w:r>
      <w:r w:rsidRPr="00876A53">
        <w:lastRenderedPageBreak/>
        <w:t>services provided by the Generation Owner.</w:t>
      </w:r>
      <w:r w:rsidRPr="00876A53">
        <w:rPr>
          <w:rStyle w:val="FootnoteReference"/>
        </w:rPr>
        <w:footnoteReference w:id="71"/>
      </w:r>
      <w:r w:rsidRPr="00876A53">
        <w:t xml:space="preserve">  As a result, the court held that the Maryland Commission’s order was preempted because the Commission was without authority to establish the price for wholesale energy and capacity sales.</w:t>
      </w:r>
      <w:r w:rsidRPr="00876A53">
        <w:rPr>
          <w:rStyle w:val="FootnoteReference"/>
        </w:rPr>
        <w:footnoteReference w:id="72"/>
      </w:r>
      <w:r w:rsidRPr="00876A53">
        <w:t xml:space="preserve">  Based on the Court’s determination that FERC has exclusive authority in that field and has fixed the price for wholesale energy and capacity sales in the PJM markets as the market-based </w:t>
      </w:r>
      <w:r w:rsidR="00800714" w:rsidRPr="00876A53">
        <w:t>price</w:t>
      </w:r>
      <w:r w:rsidRPr="00876A53">
        <w:t xml:space="preserve"> produced by the auction processes approved by FERC and utilized by PJM, the Court declared the action of the Maryland Commission to be preempted.</w:t>
      </w:r>
      <w:r w:rsidRPr="00876A53">
        <w:rPr>
          <w:rStyle w:val="FootnoteReference"/>
        </w:rPr>
        <w:footnoteReference w:id="73"/>
      </w:r>
      <w:r w:rsidRPr="00876A53">
        <w:t xml:space="preserve">  </w:t>
      </w:r>
      <w:r w:rsidRPr="00072B32">
        <w:t xml:space="preserve">In the </w:t>
      </w:r>
      <w:r w:rsidR="006B07F4" w:rsidRPr="00072B32">
        <w:t xml:space="preserve">opinion </w:t>
      </w:r>
      <w:r w:rsidRPr="00072B32">
        <w:t xml:space="preserve">affirming the decision of the district court, the Fourth Circuit Court of Appeals </w:t>
      </w:r>
      <w:r w:rsidR="00541328" w:rsidRPr="0095700A">
        <w:t xml:space="preserve">agreed </w:t>
      </w:r>
      <w:r w:rsidRPr="0095700A">
        <w:t>that the Maryland Commission was preempted because the field of wholesale energy prices was exclusively within the jurisdiction of FERC.</w:t>
      </w:r>
      <w:r w:rsidRPr="00876A53">
        <w:rPr>
          <w:rStyle w:val="FootnoteReference"/>
        </w:rPr>
        <w:footnoteReference w:id="74"/>
      </w:r>
    </w:p>
    <w:p w:rsidR="00053F2C" w:rsidRPr="00876A53" w:rsidRDefault="00053F2C" w:rsidP="005C6107">
      <w:r w:rsidRPr="00876A53">
        <w:t xml:space="preserve">In </w:t>
      </w:r>
      <w:r w:rsidRPr="00876A53">
        <w:rPr>
          <w:i/>
        </w:rPr>
        <w:t>PPL Energy Plus, LLC, et al., v. Robert M. Hanna, et al.,</w:t>
      </w:r>
      <w:r w:rsidRPr="00876A53">
        <w:rPr>
          <w:rStyle w:val="FootnoteReference"/>
          <w:i/>
        </w:rPr>
        <w:footnoteReference w:id="75"/>
      </w:r>
      <w:r w:rsidRPr="00876A53">
        <w:rPr>
          <w:i/>
        </w:rPr>
        <w:t xml:space="preserve"> </w:t>
      </w:r>
      <w:r w:rsidRPr="00876A53">
        <w:t>a federal district court in New Jersey reached the same result, concluding that state legislation that attempted to encourage the construction of new generation plants by guaranteeing a price of capacity to the builder was preempted.  In the New Jersey case, the state legislature passed legislation “to provide a transaction structure that would result in new power plants being constructed in the PJM territories that benefit New Jersey.”</w:t>
      </w:r>
      <w:r w:rsidRPr="00876A53">
        <w:rPr>
          <w:rStyle w:val="FootnoteReference"/>
        </w:rPr>
        <w:footnoteReference w:id="76"/>
      </w:r>
      <w:r w:rsidRPr="00876A53">
        <w:t xml:space="preserve">  The law authorized the New Jersey Board of Public Utilities ("Board") to </w:t>
      </w:r>
      <w:r w:rsidRPr="00072B32">
        <w:t>issue a</w:t>
      </w:r>
      <w:r w:rsidR="006B07F4" w:rsidRPr="00072B32">
        <w:t>n</w:t>
      </w:r>
      <w:r w:rsidRPr="00072B32">
        <w:t xml:space="preserve"> </w:t>
      </w:r>
      <w:r w:rsidR="00FE0711" w:rsidRPr="00072B32">
        <w:t xml:space="preserve">SSO </w:t>
      </w:r>
      <w:r w:rsidRPr="0095700A">
        <w:t xml:space="preserve">capacity agreement and directed the state’s four </w:t>
      </w:r>
      <w:r w:rsidR="007C70F5" w:rsidRPr="0095700A">
        <w:t>EDU</w:t>
      </w:r>
      <w:r w:rsidR="00FE0711" w:rsidRPr="0095700A">
        <w:t>s</w:t>
      </w:r>
      <w:r w:rsidR="007C70F5" w:rsidRPr="0095700A">
        <w:t xml:space="preserve"> </w:t>
      </w:r>
      <w:r w:rsidRPr="0095700A">
        <w:t xml:space="preserve">to enter into contracts with </w:t>
      </w:r>
      <w:r w:rsidRPr="0095700A">
        <w:lastRenderedPageBreak/>
        <w:t xml:space="preserve">generators to pay any difference between the </w:t>
      </w:r>
      <w:r w:rsidR="00744647" w:rsidRPr="00876A53">
        <w:t>Reliability Pricing Model</w:t>
      </w:r>
      <w:r w:rsidRPr="00876A53">
        <w:t>-Based Price and the development costs of the generators that the Board approved.</w:t>
      </w:r>
      <w:r w:rsidRPr="00876A53">
        <w:rPr>
          <w:rStyle w:val="FootnoteReference"/>
        </w:rPr>
        <w:footnoteReference w:id="77"/>
      </w:r>
      <w:r w:rsidRPr="00876A53">
        <w:t xml:space="preserve">  Like the Maryland federal court, the New Jersey federal court found that the New Jersey legislation was preempted because the FPA occupied the field of wholesale electricity sales, including the price at which electricity is sold at wholesale.</w:t>
      </w:r>
      <w:r w:rsidRPr="00876A53">
        <w:rPr>
          <w:rStyle w:val="FootnoteReference"/>
        </w:rPr>
        <w:footnoteReference w:id="78"/>
      </w:r>
      <w:r w:rsidRPr="00876A53">
        <w:rPr>
          <w:i/>
        </w:rPr>
        <w:t xml:space="preserve">  </w:t>
      </w:r>
      <w:r w:rsidRPr="00876A53">
        <w:t>Based on its finding that the state law was preempted, the federal court declared the statute under which the Board had authorized above-market payments to the generator “null and void.”</w:t>
      </w:r>
      <w:r w:rsidRPr="00876A53">
        <w:rPr>
          <w:rStyle w:val="FootnoteReference"/>
        </w:rPr>
        <w:footnoteReference w:id="79"/>
      </w:r>
      <w:r w:rsidRPr="00876A53">
        <w:t xml:space="preserve">  </w:t>
      </w:r>
    </w:p>
    <w:p w:rsidR="00053F2C" w:rsidRPr="00876A53" w:rsidRDefault="00053F2C" w:rsidP="005C6107">
      <w:r w:rsidRPr="00876A53">
        <w:t xml:space="preserve">An order approving the PPAR likewise would be preempted by federal law.  </w:t>
      </w:r>
      <w:r w:rsidR="001E4C96" w:rsidRPr="00876A53">
        <w:t xml:space="preserve">Because </w:t>
      </w:r>
      <w:r w:rsidR="004F1376" w:rsidRPr="00876A53">
        <w:t xml:space="preserve">AEP-Ohio </w:t>
      </w:r>
      <w:r w:rsidR="001E4C96" w:rsidRPr="00876A53">
        <w:t>is liquidating the OVEC Entitlement into the PJM markets</w:t>
      </w:r>
      <w:r w:rsidRPr="00876A53">
        <w:t>, AEP-Ohio recover</w:t>
      </w:r>
      <w:r w:rsidR="003E572D" w:rsidRPr="00876A53">
        <w:t>s</w:t>
      </w:r>
      <w:r w:rsidRPr="00876A53">
        <w:t xml:space="preserve"> </w:t>
      </w:r>
      <w:r w:rsidR="001E4C96" w:rsidRPr="00876A53">
        <w:t xml:space="preserve">FERC-approved </w:t>
      </w:r>
      <w:r w:rsidRPr="00876A53">
        <w:t xml:space="preserve">wholesale capacity and energy revenues from PJM.  If the PPAR is authorized, however, it is guaranteed to recover the costs of </w:t>
      </w:r>
      <w:r w:rsidR="001E4C96" w:rsidRPr="00876A53">
        <w:t>the</w:t>
      </w:r>
      <w:r w:rsidRPr="00876A53">
        <w:t xml:space="preserve"> OVEC </w:t>
      </w:r>
      <w:r w:rsidR="001E4C96" w:rsidRPr="00876A53">
        <w:t>E</w:t>
      </w:r>
      <w:r w:rsidRPr="00876A53">
        <w:t>ntitlement under the ICPA.  Like the mechanism</w:t>
      </w:r>
      <w:r w:rsidR="004F1376" w:rsidRPr="00876A53">
        <w:t>s</w:t>
      </w:r>
      <w:r w:rsidRPr="00876A53">
        <w:t xml:space="preserve"> the federal court</w:t>
      </w:r>
      <w:r w:rsidR="00B35702" w:rsidRPr="00876A53">
        <w:t>s</w:t>
      </w:r>
      <w:r w:rsidRPr="00876A53">
        <w:t xml:space="preserve"> in Maryland</w:t>
      </w:r>
      <w:r w:rsidR="00B35702" w:rsidRPr="00876A53">
        <w:t xml:space="preserve"> and New Jersey</w:t>
      </w:r>
      <w:r w:rsidRPr="00876A53">
        <w:t xml:space="preserve"> held </w:t>
      </w:r>
      <w:r w:rsidR="00B35702" w:rsidRPr="00876A53">
        <w:t xml:space="preserve">were </w:t>
      </w:r>
      <w:r w:rsidRPr="00876A53">
        <w:t xml:space="preserve">preempted, the PPAR would make up the difference between the revenue that AEP-Ohio projects it will receive based on FERC-approved tariffs and the amounts it is billed by OVEC.  </w:t>
      </w:r>
      <w:r w:rsidR="00B85579" w:rsidRPr="00876A53">
        <w:t>(</w:t>
      </w:r>
      <w:r w:rsidRPr="00876A53">
        <w:t xml:space="preserve">Also, like the Maryland Commission, the Commission would be authorizing AEP-Ohio to shift the revenue responsibility of the shortfall to customers </w:t>
      </w:r>
      <w:r w:rsidR="00FF4BFE" w:rsidRPr="00876A53">
        <w:t>from</w:t>
      </w:r>
      <w:r w:rsidRPr="00876A53">
        <w:t xml:space="preserve"> AEP-Ohio’s sole shareholder.</w:t>
      </w:r>
      <w:r w:rsidR="00B85579" w:rsidRPr="00876A53">
        <w:t>)</w:t>
      </w:r>
      <w:r w:rsidRPr="00876A53">
        <w:t xml:space="preserve">  Through the same sort of mechanism</w:t>
      </w:r>
      <w:r w:rsidR="00072B32">
        <w:t>s</w:t>
      </w:r>
      <w:r w:rsidRPr="00072B32">
        <w:t xml:space="preserve"> the Maryland </w:t>
      </w:r>
      <w:r w:rsidR="00B85579" w:rsidRPr="00072B32">
        <w:t>and New Jers</w:t>
      </w:r>
      <w:r w:rsidR="00AE3D45" w:rsidRPr="00072B32">
        <w:t>e</w:t>
      </w:r>
      <w:r w:rsidR="00B85579" w:rsidRPr="00072B32">
        <w:t xml:space="preserve">y </w:t>
      </w:r>
      <w:r w:rsidR="00FF4BFE" w:rsidRPr="00072B32">
        <w:t xml:space="preserve">courts held </w:t>
      </w:r>
      <w:r w:rsidR="00072B32">
        <w:t>were</w:t>
      </w:r>
      <w:r w:rsidR="006B07F4" w:rsidRPr="00072B32">
        <w:t xml:space="preserve"> </w:t>
      </w:r>
      <w:r w:rsidR="00FF4BFE" w:rsidRPr="00072B32">
        <w:t>preempted by the FPA</w:t>
      </w:r>
      <w:r w:rsidRPr="00072B32">
        <w:t xml:space="preserve">, the PPAR would increase </w:t>
      </w:r>
      <w:r w:rsidRPr="0095700A">
        <w:t xml:space="preserve">the compensation for wholesale generation-related capacity and energy services AEP-Ohio receives.  </w:t>
      </w:r>
      <w:r w:rsidR="001E4C96" w:rsidRPr="00876A53">
        <w:t xml:space="preserve">Because wholesale electricity </w:t>
      </w:r>
      <w:r w:rsidR="004F1376" w:rsidRPr="00876A53">
        <w:t xml:space="preserve">compensation </w:t>
      </w:r>
      <w:r w:rsidR="001E4C96" w:rsidRPr="00876A53">
        <w:t xml:space="preserve">is within the </w:t>
      </w:r>
      <w:r w:rsidR="001E4C96" w:rsidRPr="00876A53">
        <w:lastRenderedPageBreak/>
        <w:t>exclusive jurisdiction of FERC, however, the Commission is preempted from authorizing the PPAR.</w:t>
      </w:r>
    </w:p>
    <w:p w:rsidR="00053F2C" w:rsidRPr="00876A53" w:rsidRDefault="00053F2C" w:rsidP="00FE0711">
      <w:pPr>
        <w:pStyle w:val="Heading2"/>
      </w:pPr>
      <w:bookmarkStart w:id="26" w:name="_Toc392930600"/>
      <w:bookmarkStart w:id="27" w:name="_Toc392930691"/>
      <w:bookmarkStart w:id="28" w:name="_Toc393524903"/>
      <w:bookmarkStart w:id="29" w:name="_Toc393878365"/>
      <w:r w:rsidRPr="00876A53">
        <w:t>The “hedge” is either</w:t>
      </w:r>
      <w:r w:rsidR="005B680B" w:rsidRPr="00876A53">
        <w:t>, directionally,</w:t>
      </w:r>
      <w:r w:rsidRPr="00876A53">
        <w:t xml:space="preserve"> a </w:t>
      </w:r>
      <w:r w:rsidR="005B680B" w:rsidRPr="00876A53">
        <w:t xml:space="preserve">potentially substantial </w:t>
      </w:r>
      <w:r w:rsidRPr="00876A53">
        <w:t>cost</w:t>
      </w:r>
      <w:r w:rsidR="005B680B" w:rsidRPr="00876A53">
        <w:t xml:space="preserve"> </w:t>
      </w:r>
      <w:r w:rsidRPr="00876A53">
        <w:t>or no benefit to customers</w:t>
      </w:r>
      <w:bookmarkEnd w:id="26"/>
      <w:bookmarkEnd w:id="27"/>
      <w:r w:rsidR="001A24A8" w:rsidRPr="00876A53">
        <w:t xml:space="preserve"> and will fail to “hedge” the volatility </w:t>
      </w:r>
      <w:r w:rsidR="003B09CC" w:rsidRPr="00876A53">
        <w:t xml:space="preserve">of generation-related prices or </w:t>
      </w:r>
      <w:r w:rsidR="00374F59" w:rsidRPr="00876A53">
        <w:t xml:space="preserve">charges </w:t>
      </w:r>
      <w:r w:rsidR="003B09CC" w:rsidRPr="00876A53">
        <w:t xml:space="preserve">resulting from </w:t>
      </w:r>
      <w:r w:rsidR="001A24A8" w:rsidRPr="00876A53">
        <w:t xml:space="preserve">other </w:t>
      </w:r>
      <w:r w:rsidR="00374F59" w:rsidRPr="00876A53">
        <w:t>provisions of the proposed ESP</w:t>
      </w:r>
      <w:bookmarkEnd w:id="28"/>
      <w:bookmarkEnd w:id="29"/>
    </w:p>
    <w:p w:rsidR="00053F2C" w:rsidRPr="00876A53" w:rsidRDefault="00053F2C" w:rsidP="005C6107">
      <w:r w:rsidRPr="00876A53">
        <w:t xml:space="preserve">AEP-Ohio states repeatedly that the reason for </w:t>
      </w:r>
      <w:r w:rsidR="00273E12" w:rsidRPr="00876A53">
        <w:t xml:space="preserve">authorizing </w:t>
      </w:r>
      <w:r w:rsidRPr="00876A53">
        <w:t>the PPAR is that it will benefit customers as a hedge to the volatility of market</w:t>
      </w:r>
      <w:r w:rsidR="003E572D" w:rsidRPr="00876A53">
        <w:t>-based</w:t>
      </w:r>
      <w:r w:rsidRPr="00876A53">
        <w:t xml:space="preserve"> prices</w:t>
      </w:r>
      <w:r w:rsidR="003E572D" w:rsidRPr="00876A53">
        <w:t xml:space="preserve"> for electricity</w:t>
      </w:r>
      <w:r w:rsidRPr="00876A53">
        <w:t>.</w:t>
      </w:r>
      <w:r w:rsidRPr="00876A53">
        <w:rPr>
          <w:rStyle w:val="FootnoteReference"/>
        </w:rPr>
        <w:footnoteReference w:id="80"/>
      </w:r>
      <w:r w:rsidRPr="00876A53">
        <w:t xml:space="preserve">  Further</w:t>
      </w:r>
      <w:r w:rsidR="004F1376" w:rsidRPr="00876A53">
        <w:t>,</w:t>
      </w:r>
      <w:r w:rsidRPr="00876A53">
        <w:t xml:space="preserve"> it claims that the PPAR will not have any negative effect on the generation market since the power will not be offered in the auctions.</w:t>
      </w:r>
      <w:r w:rsidRPr="00876A53">
        <w:rPr>
          <w:rStyle w:val="FootnoteReference"/>
        </w:rPr>
        <w:footnoteReference w:id="81"/>
      </w:r>
      <w:r w:rsidRPr="00876A53">
        <w:t xml:space="preserve">  The record does not support any of these claims.</w:t>
      </w:r>
    </w:p>
    <w:p w:rsidR="00053F2C" w:rsidRPr="00876A53" w:rsidRDefault="003E572D" w:rsidP="005C6107">
      <w:r w:rsidRPr="00876A53">
        <w:t>Although AEP-Ohio claims customers will see an $8 million benefit if the PPAR is authorized, it is more likely that c</w:t>
      </w:r>
      <w:r w:rsidR="00053F2C" w:rsidRPr="00876A53">
        <w:t xml:space="preserve">ustomers </w:t>
      </w:r>
      <w:r w:rsidR="00906505" w:rsidRPr="00876A53">
        <w:t xml:space="preserve">will </w:t>
      </w:r>
      <w:r w:rsidR="00053F2C" w:rsidRPr="00876A53">
        <w:t xml:space="preserve">incur a substantial cost in the range of </w:t>
      </w:r>
      <w:r w:rsidR="00053F2C" w:rsidRPr="00072B32">
        <w:t>$</w:t>
      </w:r>
      <w:r w:rsidR="006B07F4" w:rsidRPr="00072B32">
        <w:t xml:space="preserve">82 </w:t>
      </w:r>
      <w:r w:rsidR="00053F2C" w:rsidRPr="00072B32">
        <w:t xml:space="preserve">million (AEP-Ohio’s </w:t>
      </w:r>
      <w:r w:rsidR="001E4C96" w:rsidRPr="0095700A">
        <w:t xml:space="preserve">initial </w:t>
      </w:r>
      <w:r w:rsidR="00053F2C" w:rsidRPr="0095700A">
        <w:t>estimate) to $11</w:t>
      </w:r>
      <w:r w:rsidR="00906505" w:rsidRPr="0095700A">
        <w:t>6</w:t>
      </w:r>
      <w:r w:rsidR="00053F2C" w:rsidRPr="0095700A">
        <w:t xml:space="preserve"> million (OCC’s estimate</w:t>
      </w:r>
      <w:r w:rsidR="001E4C96" w:rsidRPr="0095700A">
        <w:t xml:space="preserve"> that correct</w:t>
      </w:r>
      <w:r w:rsidR="004F1376" w:rsidRPr="0095700A">
        <w:t>s</w:t>
      </w:r>
      <w:r w:rsidR="001E4C96" w:rsidRPr="0095700A">
        <w:t xml:space="preserve"> several errors in AEP-Ohio’s initial estimate</w:t>
      </w:r>
      <w:r w:rsidR="00053F2C" w:rsidRPr="00876A53">
        <w:t xml:space="preserve">) during </w:t>
      </w:r>
      <w:r w:rsidRPr="00876A53">
        <w:t xml:space="preserve">term of </w:t>
      </w:r>
      <w:r w:rsidR="00053F2C" w:rsidRPr="00876A53">
        <w:t xml:space="preserve">the </w:t>
      </w:r>
      <w:r w:rsidRPr="00876A53">
        <w:t xml:space="preserve">proposed </w:t>
      </w:r>
      <w:r w:rsidR="00053F2C" w:rsidRPr="00876A53">
        <w:t xml:space="preserve">ESP.  </w:t>
      </w:r>
      <w:r w:rsidRPr="00876A53">
        <w:t>Even if AEP-Ohio is correct that customers may realize an $8 million benefit, the hedge will be</w:t>
      </w:r>
      <w:r w:rsidR="00053F2C" w:rsidRPr="00876A53">
        <w:t xml:space="preserve"> 7¢/MWh</w:t>
      </w:r>
      <w:r w:rsidR="003B09CC" w:rsidRPr="00876A53">
        <w:t xml:space="preserve"> over the entire term of the proposed ESP</w:t>
      </w:r>
      <w:r w:rsidR="00053F2C" w:rsidRPr="00876A53">
        <w:t>.</w:t>
      </w:r>
      <w:r w:rsidR="00053F2C" w:rsidRPr="00876A53">
        <w:rPr>
          <w:rStyle w:val="FootnoteReference"/>
        </w:rPr>
        <w:footnoteReference w:id="82"/>
      </w:r>
      <w:r w:rsidR="00053F2C" w:rsidRPr="00876A53">
        <w:t xml:space="preserve">  </w:t>
      </w:r>
      <w:r w:rsidRPr="00876A53">
        <w:t>At that</w:t>
      </w:r>
      <w:r w:rsidR="00273E12" w:rsidRPr="00876A53">
        <w:t xml:space="preserve"> insignificant</w:t>
      </w:r>
      <w:r w:rsidRPr="00876A53">
        <w:t xml:space="preserve"> level, the</w:t>
      </w:r>
      <w:r w:rsidR="00E734DF" w:rsidRPr="00876A53">
        <w:t xml:space="preserve"> PPAR will not provide customers a hedge against market volatility.</w:t>
      </w:r>
    </w:p>
    <w:p w:rsidR="00437990" w:rsidRPr="00876A53" w:rsidRDefault="003B09CC" w:rsidP="005C6107">
      <w:r w:rsidRPr="00876A53">
        <w:t xml:space="preserve">More importantly, AEP-Ohio failed to demonstrate that customers will realize even the </w:t>
      </w:r>
      <w:r w:rsidR="00FE0711" w:rsidRPr="00876A53">
        <w:t xml:space="preserve">7¢ </w:t>
      </w:r>
      <w:r w:rsidRPr="00876A53">
        <w:t>benefit</w:t>
      </w:r>
      <w:r w:rsidR="00053F2C" w:rsidRPr="00876A53">
        <w:t xml:space="preserve">.  </w:t>
      </w:r>
      <w:r w:rsidRPr="00876A53">
        <w:t xml:space="preserve">The claim is based on </w:t>
      </w:r>
      <w:r w:rsidR="004F1376" w:rsidRPr="00876A53">
        <w:t>the</w:t>
      </w:r>
      <w:r w:rsidRPr="00876A53">
        <w:t xml:space="preserve"> costs</w:t>
      </w:r>
      <w:r w:rsidR="004F1376" w:rsidRPr="00876A53">
        <w:t xml:space="preserve"> of OVEC generation</w:t>
      </w:r>
      <w:r w:rsidRPr="00876A53">
        <w:t xml:space="preserve"> being stable</w:t>
      </w:r>
      <w:r w:rsidR="003E572D" w:rsidRPr="00876A53">
        <w:t>,</w:t>
      </w:r>
      <w:r w:rsidRPr="00876A53">
        <w:rPr>
          <w:rStyle w:val="FootnoteReference"/>
        </w:rPr>
        <w:footnoteReference w:id="83"/>
      </w:r>
      <w:r w:rsidR="00E734DF" w:rsidRPr="00876A53">
        <w:t xml:space="preserve"> </w:t>
      </w:r>
      <w:r w:rsidR="003E572D" w:rsidRPr="00876A53">
        <w:t xml:space="preserve">but </w:t>
      </w:r>
      <w:r w:rsidR="00255098" w:rsidRPr="00876A53">
        <w:t xml:space="preserve">OVEC costs can vary significantly from year to year.  </w:t>
      </w:r>
      <w:r w:rsidR="00E734DF" w:rsidRPr="00876A53">
        <w:t xml:space="preserve">One recent report indicates that OVEC costs shifted 24% due </w:t>
      </w:r>
      <w:r w:rsidR="00314EF2" w:rsidRPr="00876A53">
        <w:t xml:space="preserve">to </w:t>
      </w:r>
      <w:r w:rsidR="00E734DF" w:rsidRPr="00876A53">
        <w:t>a change in output</w:t>
      </w:r>
      <w:r w:rsidR="00437990" w:rsidRPr="00876A53">
        <w:t xml:space="preserve"> from 2011 to 2012</w:t>
      </w:r>
      <w:r w:rsidR="00DD1355" w:rsidRPr="00876A53">
        <w:t xml:space="preserve">, </w:t>
      </w:r>
      <w:r w:rsidR="00DD1355" w:rsidRPr="00876A53">
        <w:lastRenderedPageBreak/>
        <w:t>and output is</w:t>
      </w:r>
      <w:r w:rsidR="00437990" w:rsidRPr="00876A53">
        <w:t xml:space="preserve"> a function of several factors including weather, general economic conditions, and lower energy prices.</w:t>
      </w:r>
      <w:r w:rsidR="00E734DF" w:rsidRPr="00876A53">
        <w:rPr>
          <w:rStyle w:val="FootnoteReference"/>
        </w:rPr>
        <w:footnoteReference w:id="84"/>
      </w:r>
      <w:r w:rsidR="00E734DF" w:rsidRPr="00876A53">
        <w:t xml:space="preserve">  AEP-Ohio</w:t>
      </w:r>
      <w:r w:rsidR="001E4C96" w:rsidRPr="00876A53">
        <w:t xml:space="preserve"> concedes </w:t>
      </w:r>
      <w:r w:rsidR="00053F2C" w:rsidRPr="00876A53">
        <w:t>that it does not know how weather, economic conditions, or low power prices individually affect OVEC output.</w:t>
      </w:r>
      <w:r w:rsidR="00053F2C" w:rsidRPr="00876A53">
        <w:rPr>
          <w:rStyle w:val="FootnoteReference"/>
        </w:rPr>
        <w:footnoteReference w:id="85"/>
      </w:r>
      <w:r w:rsidR="00053F2C" w:rsidRPr="00876A53">
        <w:t xml:space="preserve">  </w:t>
      </w:r>
      <w:r w:rsidR="00437990" w:rsidRPr="00876A53">
        <w:t>On this record, AEP-Ohio cannot credibly claim that OVEC costs are relatively stable or could be expected to be so.</w:t>
      </w:r>
    </w:p>
    <w:p w:rsidR="00437990" w:rsidRPr="00876A53" w:rsidRDefault="00437990" w:rsidP="00437990">
      <w:r w:rsidRPr="00876A53">
        <w:t xml:space="preserve">Further, the </w:t>
      </w:r>
      <w:r w:rsidR="00FE0711" w:rsidRPr="00876A53">
        <w:t xml:space="preserve">7¢ </w:t>
      </w:r>
      <w:r w:rsidRPr="00876A53">
        <w:t xml:space="preserve">solution </w:t>
      </w:r>
      <w:r w:rsidR="00DD1355" w:rsidRPr="00876A53">
        <w:t xml:space="preserve">on which AEP-Ohio relies </w:t>
      </w:r>
      <w:r w:rsidRPr="00876A53">
        <w:t>is premised on OVEC cost reductions</w:t>
      </w:r>
      <w:r w:rsidR="000A47E2" w:rsidRPr="00876A53">
        <w:t>,</w:t>
      </w:r>
      <w:r w:rsidRPr="00876A53">
        <w:rPr>
          <w:rStyle w:val="FootnoteReference"/>
        </w:rPr>
        <w:footnoteReference w:id="86"/>
      </w:r>
      <w:r w:rsidRPr="00876A53">
        <w:t xml:space="preserve"> </w:t>
      </w:r>
      <w:r w:rsidR="000A47E2" w:rsidRPr="00876A53">
        <w:t xml:space="preserve">but those reductions are speculative. </w:t>
      </w:r>
      <w:r w:rsidRPr="00876A53">
        <w:t xml:space="preserve"> OVEC has not committed to those reductions, and AEP-Ohio makes no commitment to customers to flow</w:t>
      </w:r>
      <w:r w:rsidR="00FD55D5" w:rsidRPr="00876A53">
        <w:t>-</w:t>
      </w:r>
      <w:r w:rsidRPr="00876A53">
        <w:t>through the alleged customer benefit if OVEC fails to deliver the cost reductions.</w:t>
      </w:r>
      <w:r w:rsidRPr="00876A53">
        <w:rPr>
          <w:rStyle w:val="FootnoteReference"/>
        </w:rPr>
        <w:footnoteReference w:id="87"/>
      </w:r>
      <w:r w:rsidRPr="00876A53">
        <w:t xml:space="preserve">  Moreover, the cost reductions may have no effect on the costs charged to the OVEC Sponsoring Companies because other unrelated costs may increase.</w:t>
      </w:r>
      <w:r w:rsidRPr="00876A53">
        <w:rPr>
          <w:rStyle w:val="FootnoteReference"/>
        </w:rPr>
        <w:footnoteReference w:id="88"/>
      </w:r>
      <w:r w:rsidRPr="00876A53">
        <w:t xml:space="preserve"> </w:t>
      </w:r>
    </w:p>
    <w:p w:rsidR="00255098" w:rsidRPr="00876A53" w:rsidRDefault="00437990" w:rsidP="005C6107">
      <w:r w:rsidRPr="00876A53">
        <w:t>Additionally</w:t>
      </w:r>
      <w:r w:rsidR="00A0168B" w:rsidRPr="00876A53">
        <w:t>, AEP-Ohio has a poor (and for customers unfavorable) recent record when it projects expected costs of its riders.  In the 2012 and 2014 proceedings to adjust its rider to recover transmission costs, for example, it indicated that its prior projections were $36 million and $57 million too low.</w:t>
      </w:r>
      <w:r w:rsidR="00A0168B" w:rsidRPr="00876A53">
        <w:rPr>
          <w:rStyle w:val="FootnoteReference"/>
        </w:rPr>
        <w:footnoteReference w:id="89"/>
      </w:r>
      <w:r w:rsidR="00A0168B" w:rsidRPr="00876A53">
        <w:t xml:space="preserve">  </w:t>
      </w:r>
      <w:r w:rsidR="00255098" w:rsidRPr="00876A53">
        <w:t xml:space="preserve">After AEP-Ohio’s recent failures </w:t>
      </w:r>
      <w:r w:rsidR="00255098" w:rsidRPr="00876A53">
        <w:lastRenderedPageBreak/>
        <w:t>in estimating such things as transmission costs, i</w:t>
      </w:r>
      <w:r w:rsidR="00053F2C" w:rsidRPr="00876A53">
        <w:t xml:space="preserve">t would be </w:t>
      </w:r>
      <w:r w:rsidR="00314EF2" w:rsidRPr="00876A53">
        <w:t xml:space="preserve">an </w:t>
      </w:r>
      <w:r w:rsidR="00053F2C" w:rsidRPr="00876A53">
        <w:t xml:space="preserve">act of faith for the Commission to accept future estimates </w:t>
      </w:r>
      <w:r w:rsidRPr="00876A53">
        <w:t>of the “benefit” to customers of the PPAR</w:t>
      </w:r>
      <w:r w:rsidR="00053F2C" w:rsidRPr="00876A53">
        <w:t>.</w:t>
      </w:r>
      <w:r w:rsidR="00AE3D45" w:rsidRPr="00876A53">
        <w:t xml:space="preserve">  </w:t>
      </w:r>
    </w:p>
    <w:p w:rsidR="00053F2C" w:rsidRPr="00876A53" w:rsidRDefault="006B76EF" w:rsidP="005C6107">
      <w:r w:rsidRPr="00876A53">
        <w:t xml:space="preserve">Moreover, AEP-Ohio itself demonstrated little faith in its estimate that the ESP will provide a financial benefit to customers.  At least one of the estimates was available to it when it filed its ESP (the one showing that the PPAR would result in a $52 </w:t>
      </w:r>
      <w:r w:rsidR="00EE71F8" w:rsidRPr="00876A53">
        <w:t xml:space="preserve">million </w:t>
      </w:r>
      <w:r w:rsidRPr="00876A53">
        <w:t xml:space="preserve">cost to customers was prepared in </w:t>
      </w:r>
      <w:r w:rsidR="00255098" w:rsidRPr="00876A53">
        <w:t xml:space="preserve">August </w:t>
      </w:r>
      <w:r w:rsidRPr="00876A53">
        <w:t xml:space="preserve">2013, </w:t>
      </w:r>
      <w:r w:rsidR="00255098" w:rsidRPr="00876A53">
        <w:t>several months</w:t>
      </w:r>
      <w:r w:rsidRPr="00876A53">
        <w:t xml:space="preserve"> before </w:t>
      </w:r>
      <w:r w:rsidR="00072B32">
        <w:t xml:space="preserve">AEP-Ohio filed </w:t>
      </w:r>
      <w:r w:rsidRPr="00072B32">
        <w:t xml:space="preserve">the </w:t>
      </w:r>
      <w:r w:rsidR="00226D7F" w:rsidRPr="00072B32">
        <w:t>Application</w:t>
      </w:r>
      <w:r w:rsidR="006B07F4" w:rsidRPr="00072B32">
        <w:t>).</w:t>
      </w:r>
      <w:r w:rsidR="00255098" w:rsidRPr="00072B32">
        <w:rPr>
          <w:rStyle w:val="FootnoteReference"/>
        </w:rPr>
        <w:footnoteReference w:id="90"/>
      </w:r>
      <w:r w:rsidRPr="00072B32">
        <w:t xml:space="preserve">  </w:t>
      </w:r>
      <w:r w:rsidR="00BE05E8" w:rsidRPr="00072B32">
        <w:t>AEP-Ohio</w:t>
      </w:r>
      <w:r w:rsidRPr="00072B32">
        <w:t xml:space="preserve"> recognized that the cost of the rider would be unique to the ESP in the ESP v. MRO Test, </w:t>
      </w:r>
      <w:r w:rsidR="00BE05E8" w:rsidRPr="00072B32">
        <w:t xml:space="preserve">but </w:t>
      </w:r>
      <w:r w:rsidRPr="00072B32">
        <w:t>it did not include a value for the PPAR in the ESP side of the test.</w:t>
      </w:r>
      <w:r w:rsidRPr="00072B32">
        <w:rPr>
          <w:rStyle w:val="FootnoteReference"/>
        </w:rPr>
        <w:footnoteReference w:id="91"/>
      </w:r>
      <w:r w:rsidRPr="00072B32">
        <w:t xml:space="preserve">  AEP-Ohio also did not provide a value for the PPAR in its bill comparisons.</w:t>
      </w:r>
      <w:r w:rsidR="00DD1355" w:rsidRPr="0095700A">
        <w:rPr>
          <w:rStyle w:val="FootnoteReference"/>
        </w:rPr>
        <w:footnoteReference w:id="92"/>
      </w:r>
      <w:r w:rsidRPr="0095700A">
        <w:t xml:space="preserve">  According to </w:t>
      </w:r>
      <w:r w:rsidR="00BE05E8" w:rsidRPr="0095700A">
        <w:t>Mr. Roush, AEP-Ohio’s</w:t>
      </w:r>
      <w:r w:rsidRPr="0095700A">
        <w:t xml:space="preserve"> witness on the bill comparisons, Mr. Allen indicated tha</w:t>
      </w:r>
      <w:r w:rsidRPr="00876A53">
        <w:t xml:space="preserve">t the value of the rider could be positive or negative and directed Mr. Roush to </w:t>
      </w:r>
      <w:r w:rsidR="00BE05E8" w:rsidRPr="00876A53">
        <w:t xml:space="preserve">use </w:t>
      </w:r>
      <w:r w:rsidRPr="00876A53">
        <w:t>a value of zero to account for the effects of the PPAR in preparing the bill comparisons.</w:t>
      </w:r>
      <w:r w:rsidRPr="00876A53">
        <w:rPr>
          <w:rStyle w:val="FootnoteReference"/>
        </w:rPr>
        <w:footnoteReference w:id="93"/>
      </w:r>
      <w:r w:rsidRPr="00876A53">
        <w:t xml:space="preserve">  Thus, it is apparent that AEP-Ohio was unwilling to stand behind its claim that the PPAR will provide a financial benefit to customers until Mr. Allen decided to recalculate the alleged benefits on the first day of the hearing and offer his revision on the second day of hearing.</w:t>
      </w:r>
      <w:r w:rsidR="00DC6761" w:rsidRPr="00876A53">
        <w:rPr>
          <w:rStyle w:val="FootnoteReference"/>
        </w:rPr>
        <w:footnoteReference w:id="94"/>
      </w:r>
    </w:p>
    <w:p w:rsidR="00053F2C" w:rsidRPr="00876A53" w:rsidRDefault="00053F2C" w:rsidP="005C6107">
      <w:r w:rsidRPr="00876A53">
        <w:t xml:space="preserve">In contrast to its late found reliance on the 7 cent solution, AEP-Ohio initially provided three </w:t>
      </w:r>
      <w:r w:rsidR="00922546" w:rsidRPr="00876A53">
        <w:t>projections</w:t>
      </w:r>
      <w:r w:rsidRPr="00876A53">
        <w:t xml:space="preserve">.  According to AEP-Ohio, </w:t>
      </w:r>
      <w:r w:rsidR="003408D6" w:rsidRPr="00876A53">
        <w:t>a</w:t>
      </w:r>
      <w:r w:rsidRPr="00876A53">
        <w:t xml:space="preserve"> reason for choosing one </w:t>
      </w:r>
      <w:r w:rsidR="00922546" w:rsidRPr="00876A53">
        <w:t xml:space="preserve">projection </w:t>
      </w:r>
      <w:r w:rsidR="001A24A8" w:rsidRPr="00876A53">
        <w:t xml:space="preserve">over </w:t>
      </w:r>
      <w:r w:rsidRPr="00876A53">
        <w:t xml:space="preserve">another is the vintage of the data; the one relied upon by AEP-Ohio for </w:t>
      </w:r>
      <w:r w:rsidRPr="00876A53">
        <w:lastRenderedPageBreak/>
        <w:t>its 7 cent solution is based on more recently available information.</w:t>
      </w:r>
      <w:r w:rsidRPr="00876A53">
        <w:rPr>
          <w:rStyle w:val="FootnoteReference"/>
        </w:rPr>
        <w:footnoteReference w:id="95"/>
      </w:r>
      <w:r w:rsidRPr="00876A53">
        <w:t xml:space="preserve">  AEP-Ohio, however, concedes that each of the </w:t>
      </w:r>
      <w:r w:rsidR="00922546" w:rsidRPr="00876A53">
        <w:t xml:space="preserve">projections </w:t>
      </w:r>
      <w:r w:rsidRPr="00876A53">
        <w:t xml:space="preserve">is “reasonable” and that </w:t>
      </w:r>
      <w:r w:rsidR="000A47E2" w:rsidRPr="00876A53">
        <w:t xml:space="preserve">each </w:t>
      </w:r>
      <w:r w:rsidRPr="00876A53">
        <w:t>will be wrong.</w:t>
      </w:r>
      <w:r w:rsidRPr="00876A53">
        <w:rPr>
          <w:rStyle w:val="FootnoteReference"/>
        </w:rPr>
        <w:footnoteReference w:id="96"/>
      </w:r>
      <w:r w:rsidRPr="00876A53">
        <w:t xml:space="preserve">  If there is some direction to the </w:t>
      </w:r>
      <w:r w:rsidR="00922546" w:rsidRPr="00876A53">
        <w:t>projections</w:t>
      </w:r>
      <w:r w:rsidRPr="00876A53">
        <w:t xml:space="preserve">, however, it is clear that in each instance </w:t>
      </w:r>
      <w:r w:rsidR="006B76EF" w:rsidRPr="00876A53">
        <w:t xml:space="preserve">the </w:t>
      </w:r>
      <w:r w:rsidR="00922546" w:rsidRPr="00876A53">
        <w:t xml:space="preserve">projections </w:t>
      </w:r>
      <w:r w:rsidRPr="00876A53">
        <w:t xml:space="preserve">indicate in the near term </w:t>
      </w:r>
      <w:r w:rsidR="006B76EF" w:rsidRPr="00876A53">
        <w:t xml:space="preserve">that </w:t>
      </w:r>
      <w:r w:rsidRPr="00876A53">
        <w:t>the PPAR would result in a charge to customers.</w:t>
      </w:r>
      <w:r w:rsidRPr="00876A53">
        <w:rPr>
          <w:rStyle w:val="FootnoteReference"/>
        </w:rPr>
        <w:footnoteReference w:id="97"/>
      </w:r>
      <w:r w:rsidRPr="00876A53">
        <w:t xml:space="preserve">  Only if the Commission takes a longer view do the </w:t>
      </w:r>
      <w:r w:rsidR="00922546" w:rsidRPr="00876A53">
        <w:t>projections</w:t>
      </w:r>
      <w:r w:rsidR="001A24A8" w:rsidRPr="00876A53">
        <w:t xml:space="preserve"> </w:t>
      </w:r>
      <w:r w:rsidRPr="00876A53">
        <w:t xml:space="preserve">begin to indicate that customers </w:t>
      </w:r>
      <w:r w:rsidR="001A24A8" w:rsidRPr="00876A53">
        <w:t xml:space="preserve">may </w:t>
      </w:r>
      <w:r w:rsidRPr="00876A53">
        <w:t>see a benefit from the PPAR.</w:t>
      </w:r>
      <w:r w:rsidRPr="00876A53">
        <w:rPr>
          <w:rStyle w:val="FootnoteReference"/>
        </w:rPr>
        <w:footnoteReference w:id="98"/>
      </w:r>
    </w:p>
    <w:p w:rsidR="00053F2C" w:rsidRPr="00876A53" w:rsidRDefault="000A47E2" w:rsidP="005C6107">
      <w:r w:rsidRPr="00876A53">
        <w:t>In addition to the fact that the PPAR will likely result in a substantial additional charge to consumers</w:t>
      </w:r>
      <w:r w:rsidR="00053F2C" w:rsidRPr="00876A53">
        <w:t xml:space="preserve">, the </w:t>
      </w:r>
      <w:r w:rsidRPr="00876A53">
        <w:t xml:space="preserve">“hedging” effect of the PPAR, if any, </w:t>
      </w:r>
      <w:r w:rsidR="00E46092" w:rsidRPr="00876A53">
        <w:t>may</w:t>
      </w:r>
      <w:r w:rsidRPr="00876A53">
        <w:t xml:space="preserve"> be offset by the over and under-recovery accounting that AEP-Ohio proposes to assure</w:t>
      </w:r>
      <w:r w:rsidR="00E46092" w:rsidRPr="00876A53">
        <w:t xml:space="preserve"> i</w:t>
      </w:r>
      <w:r w:rsidR="00FE0711" w:rsidRPr="00876A53">
        <w:t>t</w:t>
      </w:r>
      <w:r w:rsidR="00E46092" w:rsidRPr="00876A53">
        <w:t xml:space="preserve"> does not face any price risk associated with the OVEC Entitlement</w:t>
      </w:r>
      <w:r w:rsidR="00053F2C" w:rsidRPr="00876A53">
        <w:t xml:space="preserve">.  As proposed, AEP-Ohio will annually adjust the PPAR for prior under and over-recoveries of the charge or credit.  </w:t>
      </w:r>
      <w:r w:rsidR="00BE05E8" w:rsidRPr="00876A53">
        <w:t>Adjustments to the PPAR due to under or over-recoveries</w:t>
      </w:r>
      <w:r w:rsidR="00053F2C" w:rsidRPr="00876A53">
        <w:t xml:space="preserve"> may be in either direction and could be greater or less than the </w:t>
      </w:r>
      <w:r w:rsidR="00E46092" w:rsidRPr="00876A53">
        <w:t>charge or credit for the next year based on the estimate of the expected PJM revenues and OVEC costs</w:t>
      </w:r>
      <w:r w:rsidR="00053F2C" w:rsidRPr="00876A53">
        <w:t xml:space="preserve">.  </w:t>
      </w:r>
      <w:r w:rsidR="00BE05E8" w:rsidRPr="00876A53">
        <w:t>Whether large or small</w:t>
      </w:r>
      <w:r w:rsidR="00053F2C" w:rsidRPr="00876A53">
        <w:t xml:space="preserve">, however, </w:t>
      </w:r>
      <w:r w:rsidR="00BE05E8" w:rsidRPr="00876A53">
        <w:t>the adjustments</w:t>
      </w:r>
      <w:r w:rsidR="00053F2C" w:rsidRPr="00876A53">
        <w:t xml:space="preserve"> would be the result of the missed estimates from the prior year and have nothing to do with the price of generation service in the coming year.  As a result, whatever hedge might be inherent in the design of the PPAR may be offset by under or over-recovery accounting.  </w:t>
      </w:r>
    </w:p>
    <w:p w:rsidR="00053F2C" w:rsidRPr="00876A53" w:rsidRDefault="00053F2C" w:rsidP="005C6107">
      <w:r w:rsidRPr="00876A53">
        <w:t xml:space="preserve">Moreover, the hedge </w:t>
      </w:r>
      <w:r w:rsidR="00922546" w:rsidRPr="00876A53">
        <w:t>would not address</w:t>
      </w:r>
      <w:r w:rsidRPr="00876A53">
        <w:t xml:space="preserve"> the volatility </w:t>
      </w:r>
      <w:r w:rsidR="00922546" w:rsidRPr="00876A53">
        <w:t>in customer charges that would result from the collection of riders that would make up a customer’s total bill</w:t>
      </w:r>
      <w:r w:rsidRPr="00876A53">
        <w:t xml:space="preserve">.  </w:t>
      </w:r>
      <w:r w:rsidR="003408D6" w:rsidRPr="00876A53">
        <w:t xml:space="preserve">The </w:t>
      </w:r>
      <w:r w:rsidRPr="00876A53">
        <w:lastRenderedPageBreak/>
        <w:t>proposed ESP contains up to 23 riders</w:t>
      </w:r>
      <w:r w:rsidR="001A24A8" w:rsidRPr="00876A53">
        <w:t>, many of them nonbypassable</w:t>
      </w:r>
      <w:r w:rsidRPr="00876A53">
        <w:t>.</w:t>
      </w:r>
      <w:r w:rsidRPr="00876A53">
        <w:rPr>
          <w:rStyle w:val="FootnoteReference"/>
        </w:rPr>
        <w:footnoteReference w:id="99"/>
      </w:r>
      <w:r w:rsidRPr="00876A53">
        <w:t xml:space="preserve">  Most of those riders adjust for costs that are unrelated to the market prices of generation-related services.</w:t>
      </w:r>
      <w:r w:rsidRPr="00876A53">
        <w:rPr>
          <w:rStyle w:val="FootnoteReference"/>
        </w:rPr>
        <w:footnoteReference w:id="100"/>
      </w:r>
      <w:r w:rsidRPr="00876A53">
        <w:t xml:space="preserve">  With regard to a substantial portion of </w:t>
      </w:r>
      <w:r w:rsidR="001A24A8" w:rsidRPr="00876A53">
        <w:t xml:space="preserve">either </w:t>
      </w:r>
      <w:r w:rsidR="00FE0711" w:rsidRPr="00876A53">
        <w:t xml:space="preserve">a </w:t>
      </w:r>
      <w:r w:rsidR="001A24A8" w:rsidRPr="00876A53">
        <w:t xml:space="preserve">shopping and nonshopping </w:t>
      </w:r>
      <w:r w:rsidRPr="00876A53">
        <w:t xml:space="preserve">customer’s bill, </w:t>
      </w:r>
      <w:r w:rsidR="00E46092" w:rsidRPr="00876A53">
        <w:t xml:space="preserve">therefore, </w:t>
      </w:r>
      <w:r w:rsidRPr="00876A53">
        <w:t xml:space="preserve">the “hedge” </w:t>
      </w:r>
      <w:r w:rsidR="00BE05E8" w:rsidRPr="00876A53">
        <w:t xml:space="preserve">is meaningless </w:t>
      </w:r>
      <w:r w:rsidRPr="00876A53">
        <w:t>because the riders make the total bill volatile regardless of the effect of the “hedge” provided by the PPAR.</w:t>
      </w:r>
    </w:p>
    <w:p w:rsidR="00053F2C" w:rsidRPr="00876A53" w:rsidRDefault="00053F2C" w:rsidP="005C6107">
      <w:r w:rsidRPr="00876A53">
        <w:t xml:space="preserve">The record thus demonstrates that AEP-Ohio’s </w:t>
      </w:r>
      <w:r w:rsidR="00BE05E8" w:rsidRPr="00876A53">
        <w:t>claim that the PPAR will be a benefit to customers is</w:t>
      </w:r>
      <w:r w:rsidRPr="00876A53">
        <w:t xml:space="preserve"> </w:t>
      </w:r>
      <w:r w:rsidR="00BE05E8" w:rsidRPr="00876A53">
        <w:t>wrong</w:t>
      </w:r>
      <w:r w:rsidR="00D07519" w:rsidRPr="00876A53">
        <w:t>:</w:t>
      </w:r>
      <w:r w:rsidRPr="00876A53">
        <w:t xml:space="preserve"> </w:t>
      </w:r>
      <w:r w:rsidR="00D07519" w:rsidRPr="00876A53">
        <w:t xml:space="preserve">either </w:t>
      </w:r>
      <w:r w:rsidRPr="00876A53">
        <w:t>the 7 cent solution</w:t>
      </w:r>
      <w:r w:rsidR="001A24A8" w:rsidRPr="00876A53">
        <w:t xml:space="preserve"> provides </w:t>
      </w:r>
      <w:r w:rsidR="003E572D" w:rsidRPr="00876A53">
        <w:t>little</w:t>
      </w:r>
      <w:r w:rsidR="001A24A8" w:rsidRPr="00876A53">
        <w:t xml:space="preserve"> benefit </w:t>
      </w:r>
      <w:r w:rsidR="003E572D" w:rsidRPr="00876A53">
        <w:t xml:space="preserve">or </w:t>
      </w:r>
      <w:r w:rsidR="001A24A8" w:rsidRPr="00876A53">
        <w:t>hedge</w:t>
      </w:r>
      <w:r w:rsidR="00D07519" w:rsidRPr="00876A53">
        <w:t>,</w:t>
      </w:r>
      <w:r w:rsidR="00273E12" w:rsidRPr="00876A53">
        <w:t xml:space="preserve"> or</w:t>
      </w:r>
      <w:r w:rsidR="00D07519" w:rsidRPr="00876A53">
        <w:t>, more likely,</w:t>
      </w:r>
      <w:r w:rsidRPr="00876A53">
        <w:t xml:space="preserve"> </w:t>
      </w:r>
      <w:r w:rsidR="00D07519" w:rsidRPr="00876A53">
        <w:t xml:space="preserve">the PPAR is </w:t>
      </w:r>
      <w:r w:rsidRPr="00876A53">
        <w:t>a substantial cost</w:t>
      </w:r>
      <w:r w:rsidR="00D07519" w:rsidRPr="00876A53">
        <w:t xml:space="preserve"> to customers. </w:t>
      </w:r>
      <w:r w:rsidRPr="00876A53">
        <w:t xml:space="preserve"> </w:t>
      </w:r>
      <w:r w:rsidR="00D07519" w:rsidRPr="00876A53">
        <w:t xml:space="preserve">Further, the PPAR will </w:t>
      </w:r>
      <w:r w:rsidR="00B84385" w:rsidRPr="00876A53">
        <w:t xml:space="preserve">likely </w:t>
      </w:r>
      <w:r w:rsidR="00D07519" w:rsidRPr="00876A53">
        <w:t xml:space="preserve">be </w:t>
      </w:r>
      <w:r w:rsidR="00B84385" w:rsidRPr="00876A53">
        <w:t xml:space="preserve">ineffective </w:t>
      </w:r>
      <w:r w:rsidRPr="00876A53">
        <w:t xml:space="preserve">because </w:t>
      </w:r>
      <w:r w:rsidR="001A24A8" w:rsidRPr="00876A53">
        <w:t>the design of the PPAR will account for historic over and under-recoveries</w:t>
      </w:r>
      <w:r w:rsidR="00A83C12" w:rsidRPr="00876A53">
        <w:t>.  It will also be ineffective because</w:t>
      </w:r>
      <w:r w:rsidR="001A24A8" w:rsidRPr="00876A53">
        <w:t xml:space="preserve"> </w:t>
      </w:r>
      <w:r w:rsidR="00A83C12" w:rsidRPr="00876A53">
        <w:t xml:space="preserve">the total customer bill is made up of </w:t>
      </w:r>
      <w:r w:rsidR="0058145F" w:rsidRPr="00876A53">
        <w:t xml:space="preserve">up to 23 </w:t>
      </w:r>
      <w:r w:rsidR="00A83C12" w:rsidRPr="00876A53">
        <w:t>riders that</w:t>
      </w:r>
      <w:r w:rsidR="001A24A8" w:rsidRPr="00876A53">
        <w:t xml:space="preserve"> inject additional volatility unrelated to generation-related costs or prices</w:t>
      </w:r>
      <w:r w:rsidR="00D07519" w:rsidRPr="00876A53">
        <w:t xml:space="preserve"> the PPAR is supposedly designed to hedge</w:t>
      </w:r>
      <w:r w:rsidRPr="00876A53">
        <w:t>.</w:t>
      </w:r>
    </w:p>
    <w:p w:rsidR="00957A6C" w:rsidRPr="00876A53" w:rsidRDefault="00957A6C">
      <w:pPr>
        <w:spacing w:line="240" w:lineRule="auto"/>
        <w:ind w:firstLine="0"/>
        <w:jc w:val="left"/>
        <w:rPr>
          <w:rFonts w:eastAsiaTheme="majorEastAsia" w:cs="Arial"/>
          <w:b/>
          <w:bCs/>
          <w:szCs w:val="26"/>
        </w:rPr>
      </w:pPr>
      <w:bookmarkStart w:id="30" w:name="_Toc392930601"/>
      <w:bookmarkStart w:id="31" w:name="_Toc392930692"/>
      <w:bookmarkStart w:id="32" w:name="_Toc393524904"/>
      <w:r w:rsidRPr="00876A53">
        <w:br w:type="page"/>
      </w:r>
    </w:p>
    <w:p w:rsidR="00053F2C" w:rsidRPr="00876A53" w:rsidRDefault="00053F2C" w:rsidP="00FE0711">
      <w:pPr>
        <w:pStyle w:val="Heading2"/>
      </w:pPr>
      <w:bookmarkStart w:id="33" w:name="_Toc393878366"/>
      <w:r w:rsidRPr="00876A53">
        <w:lastRenderedPageBreak/>
        <w:t>The PPAR is not necessary to support AEP-Ohio’s financial well-being</w:t>
      </w:r>
      <w:bookmarkEnd w:id="30"/>
      <w:bookmarkEnd w:id="31"/>
      <w:r w:rsidR="004F1376" w:rsidRPr="00876A53">
        <w:t xml:space="preserve"> and does not serve or advance market-based outcomes</w:t>
      </w:r>
      <w:bookmarkEnd w:id="32"/>
      <w:bookmarkEnd w:id="33"/>
    </w:p>
    <w:p w:rsidR="00053F2C" w:rsidRPr="00876A53" w:rsidRDefault="00053F2C" w:rsidP="005C6107">
      <w:r w:rsidRPr="00876A53">
        <w:t xml:space="preserve">In his testimony, Mr. Vegas stated that </w:t>
      </w:r>
      <w:r w:rsidR="00314EF2" w:rsidRPr="00876A53">
        <w:t xml:space="preserve">the </w:t>
      </w:r>
      <w:r w:rsidRPr="00876A53">
        <w:t xml:space="preserve">proposed ESP “will provide for AEP Ohio’s financial stability as shown in the </w:t>
      </w:r>
      <w:r w:rsidRPr="00876A53">
        <w:rPr>
          <w:i/>
        </w:rPr>
        <w:t>pro</w:t>
      </w:r>
      <w:r w:rsidR="00BE05E8" w:rsidRPr="00876A53">
        <w:rPr>
          <w:i/>
        </w:rPr>
        <w:t xml:space="preserve"> </w:t>
      </w:r>
      <w:r w:rsidRPr="00876A53">
        <w:rPr>
          <w:i/>
        </w:rPr>
        <w:t>forma</w:t>
      </w:r>
      <w:r w:rsidRPr="00876A53">
        <w:t xml:space="preserve"> financial projections </w:t>
      </w:r>
      <w:r w:rsidR="00EE71F8" w:rsidRPr="00876A53">
        <w:t xml:space="preserve">provided </w:t>
      </w:r>
      <w:r w:rsidRPr="00876A53">
        <w:t>in witness Kyle’s workpapers, and is critical to AEP Ohio’s financial stability during the ESP III term.”</w:t>
      </w:r>
      <w:r w:rsidRPr="00876A53">
        <w:rPr>
          <w:rStyle w:val="FootnoteReference"/>
        </w:rPr>
        <w:footnoteReference w:id="101"/>
      </w:r>
      <w:r w:rsidRPr="00876A53">
        <w:t xml:space="preserve">  The anticipated financial performance</w:t>
      </w:r>
      <w:r w:rsidR="00BE05E8" w:rsidRPr="00876A53">
        <w:t xml:space="preserve"> reflected in the </w:t>
      </w:r>
      <w:r w:rsidR="00BE05E8" w:rsidRPr="00876A53">
        <w:rPr>
          <w:i/>
        </w:rPr>
        <w:t>pro forma</w:t>
      </w:r>
      <w:r w:rsidR="00BE05E8" w:rsidRPr="00876A53">
        <w:t xml:space="preserve"> financial statements, however, </w:t>
      </w:r>
      <w:r w:rsidRPr="00876A53">
        <w:t>does not include any allowance for the PPAR because the rider would be earnings neutral for AEP-Ohio; it would permit AEP-Ohio to recover fully its cost of the OVEC Entitlement.</w:t>
      </w:r>
      <w:r w:rsidRPr="00876A53">
        <w:rPr>
          <w:rStyle w:val="FootnoteReference"/>
        </w:rPr>
        <w:footnoteReference w:id="102"/>
      </w:r>
      <w:r w:rsidRPr="00876A53">
        <w:t xml:space="preserve">  AEP-Ohio, moreover, did not provide any evidence of the effect on its earnings if the Commission did not authorize the PPAR.  As a result, AEP-Ohio has failed to demonstrate that the PPAR is required to support AEP-Ohio’s financial stability.</w:t>
      </w:r>
    </w:p>
    <w:p w:rsidR="00053F2C" w:rsidRPr="00876A53" w:rsidRDefault="00053F2C" w:rsidP="00981FBA">
      <w:r w:rsidRPr="00876A53">
        <w:t xml:space="preserve">Even if the Commission did consider </w:t>
      </w:r>
      <w:r w:rsidR="00BE05E8" w:rsidRPr="00876A53">
        <w:t>AEP-Ohio’s</w:t>
      </w:r>
      <w:r w:rsidRPr="00876A53">
        <w:t xml:space="preserve"> expected financial stability in the abstract (which </w:t>
      </w:r>
      <w:r w:rsidR="00382291" w:rsidRPr="00876A53">
        <w:t xml:space="preserve">is </w:t>
      </w:r>
      <w:r w:rsidRPr="00876A53">
        <w:t xml:space="preserve">all </w:t>
      </w:r>
      <w:r w:rsidR="008B6EAB" w:rsidRPr="00876A53">
        <w:t xml:space="preserve">the Commission </w:t>
      </w:r>
      <w:r w:rsidRPr="00876A53">
        <w:t xml:space="preserve">can do since AEP-Ohio failed to indicate what effect an ESP without the PPAR would have on revenue or earnings), the Commission should also account for the fact that AEP-Ohio is performing exceptionally well as a wires company under ESP II.  </w:t>
      </w:r>
      <w:r w:rsidR="00BE05E8" w:rsidRPr="00876A53">
        <w:t>(</w:t>
      </w:r>
      <w:r w:rsidRPr="00876A53">
        <w:t>Some care must be taken with this comparison of the effects of the ESP II financial results and those projected by AEP-Ohio under ESP III because AEP-Ohio is benefiting from the challenged Retail Stability Rider, a substantial portion of which goes to support a revenue target.</w:t>
      </w:r>
      <w:r w:rsidRPr="00876A53">
        <w:rPr>
          <w:rStyle w:val="FootnoteReference"/>
        </w:rPr>
        <w:footnoteReference w:id="103"/>
      </w:r>
      <w:r w:rsidR="00BE05E8" w:rsidRPr="00876A53">
        <w:t>)</w:t>
      </w:r>
      <w:r w:rsidRPr="00876A53">
        <w:t xml:space="preserve">  AEP-Ohio receives at least full </w:t>
      </w:r>
      <w:r w:rsidRPr="00876A53">
        <w:lastRenderedPageBreak/>
        <w:t>cost recovery for the purchased power it receives from OVEC.</w:t>
      </w:r>
      <w:r w:rsidRPr="00876A53">
        <w:rPr>
          <w:rStyle w:val="FootnoteReference"/>
        </w:rPr>
        <w:footnoteReference w:id="104"/>
      </w:r>
      <w:r w:rsidRPr="00876A53">
        <w:t xml:space="preserve">  Because it receives full cost recovery of its OVEC purchased power agreement, the OVEC Entitlement currently </w:t>
      </w:r>
      <w:r w:rsidR="00893610" w:rsidRPr="00876A53">
        <w:t xml:space="preserve">is at least </w:t>
      </w:r>
      <w:r w:rsidRPr="00876A53">
        <w:t>revenue neutral as well.</w:t>
      </w:r>
      <w:r w:rsidR="00893610" w:rsidRPr="00876A53">
        <w:t xml:space="preserve">  (Because there is an indication that purchase</w:t>
      </w:r>
      <w:r w:rsidR="00A83C12" w:rsidRPr="00876A53">
        <w:t>d</w:t>
      </w:r>
      <w:r w:rsidR="00FE0711" w:rsidRPr="00876A53">
        <w:t xml:space="preserve"> power costs may be double-</w:t>
      </w:r>
      <w:r w:rsidR="00893610" w:rsidRPr="00876A53">
        <w:t>recovered, AEP-Ohio may be over-recovering its OVEC-related costs.  That matter is currently under investigation in an AEP-Ohio fuel cost audit.)</w:t>
      </w:r>
      <w:r w:rsidRPr="00876A53">
        <w:t xml:space="preserve">  As a result of current approved rates, AEP-Ohio as a wires company secured a 13.1% return on equity from its regulated operations.</w:t>
      </w:r>
      <w:r w:rsidRPr="00876A53">
        <w:rPr>
          <w:rStyle w:val="FootnoteReference"/>
        </w:rPr>
        <w:footnoteReference w:id="105"/>
      </w:r>
      <w:r w:rsidRPr="00876A53">
        <w:t xml:space="preserve">  </w:t>
      </w:r>
      <w:r w:rsidR="00BE05E8" w:rsidRPr="00876A53">
        <w:t xml:space="preserve">AEP-Ohio provided </w:t>
      </w:r>
      <w:r w:rsidR="004F1376" w:rsidRPr="00876A53">
        <w:t>American Electric Power (“AEP”)</w:t>
      </w:r>
      <w:r w:rsidR="00BE05E8" w:rsidRPr="00876A53">
        <w:t xml:space="preserve"> 29% of its total system revenues.</w:t>
      </w:r>
      <w:r w:rsidR="00BE05E8" w:rsidRPr="00876A53">
        <w:rPr>
          <w:rStyle w:val="FootnoteReference"/>
        </w:rPr>
        <w:footnoteReference w:id="106"/>
      </w:r>
      <w:r w:rsidR="00BE05E8" w:rsidRPr="00876A53">
        <w:t xml:space="preserve">  </w:t>
      </w:r>
      <w:r w:rsidRPr="00876A53">
        <w:t xml:space="preserve">Of the $97 million in first quarter </w:t>
      </w:r>
      <w:r w:rsidR="00981FBA" w:rsidRPr="00876A53">
        <w:t xml:space="preserve">2014 </w:t>
      </w:r>
      <w:r w:rsidRPr="00876A53">
        <w:t>net income reported by</w:t>
      </w:r>
      <w:r w:rsidR="004F1376" w:rsidRPr="00876A53">
        <w:t xml:space="preserve"> AEP</w:t>
      </w:r>
      <w:r w:rsidRPr="00876A53">
        <w:t>, AEP-Ohio contributed $61 million.</w:t>
      </w:r>
      <w:r w:rsidRPr="00876A53">
        <w:rPr>
          <w:rStyle w:val="FootnoteReference"/>
        </w:rPr>
        <w:footnoteReference w:id="107"/>
      </w:r>
      <w:r w:rsidRPr="00876A53">
        <w:t xml:space="preserve">  Under current rates, AEP-Ohio has no fear of financial instability, and there is no evidence that its financial stability will be adversely affected if the Commission refuses to autho</w:t>
      </w:r>
      <w:r w:rsidR="00981FBA" w:rsidRPr="00876A53">
        <w:t>rize the rider as noted above.</w:t>
      </w:r>
    </w:p>
    <w:p w:rsidR="00981FBA" w:rsidRPr="00876A53" w:rsidRDefault="00981FBA" w:rsidP="005C6107">
      <w:r w:rsidRPr="00876A53">
        <w:t>The</w:t>
      </w:r>
      <w:r w:rsidR="00053F2C" w:rsidRPr="00876A53">
        <w:t xml:space="preserve"> Commission</w:t>
      </w:r>
      <w:r w:rsidRPr="00876A53">
        <w:t xml:space="preserve">, </w:t>
      </w:r>
      <w:r w:rsidR="00893610" w:rsidRPr="00876A53">
        <w:t>moreover</w:t>
      </w:r>
      <w:r w:rsidRPr="00876A53">
        <w:t>,</w:t>
      </w:r>
      <w:r w:rsidR="00053F2C" w:rsidRPr="00876A53">
        <w:t xml:space="preserve"> </w:t>
      </w:r>
      <w:r w:rsidR="00893610" w:rsidRPr="00876A53">
        <w:t>should not</w:t>
      </w:r>
      <w:r w:rsidR="00053F2C" w:rsidRPr="00876A53">
        <w:t xml:space="preserve"> </w:t>
      </w:r>
      <w:r w:rsidR="00893610" w:rsidRPr="00876A53">
        <w:t xml:space="preserve">consider authorizing </w:t>
      </w:r>
      <w:r w:rsidR="00053F2C" w:rsidRPr="00876A53">
        <w:t xml:space="preserve">the PPAR as a means of providing AEP-Ohio with financial stability.  As of January 1, 2014, AEP-Ohio (but for the OVEC Entitlement) </w:t>
      </w:r>
      <w:r w:rsidR="00DD1355" w:rsidRPr="00876A53">
        <w:t xml:space="preserve">has divested its generation assets and </w:t>
      </w:r>
      <w:r w:rsidR="00053F2C" w:rsidRPr="00876A53">
        <w:t xml:space="preserve">is a wires </w:t>
      </w:r>
      <w:r w:rsidR="00053F2C" w:rsidRPr="00876A53">
        <w:lastRenderedPageBreak/>
        <w:t>company.</w:t>
      </w:r>
      <w:r w:rsidR="00053F2C" w:rsidRPr="00876A53">
        <w:rPr>
          <w:rStyle w:val="FootnoteReference"/>
        </w:rPr>
        <w:footnoteReference w:id="108"/>
      </w:r>
      <w:r w:rsidR="00053F2C" w:rsidRPr="00876A53">
        <w:t xml:space="preserve">  As a wires company, it may seek to increase its distribution rates through the traditional rate making process if its return on investment in distribution assets is insufficient.  It can seek relief through FERC if its transmission asset returns on investment are insufficient.  </w:t>
      </w:r>
      <w:r w:rsidRPr="00876A53">
        <w:t>As a wires company, therefore, AEP-Ohio has the opportunity to secure regulatory relief if it believes that its rates do not afford it a sufficient return on investment to satisfy its sole shareholder.</w:t>
      </w:r>
    </w:p>
    <w:p w:rsidR="00053F2C" w:rsidRPr="0095700A" w:rsidRDefault="00981FBA" w:rsidP="005C6107">
      <w:r w:rsidRPr="00876A53">
        <w:t>Furthermore, r</w:t>
      </w:r>
      <w:r w:rsidR="00053F2C" w:rsidRPr="00876A53">
        <w:t>eliance on the Commission to protect an interest voluntarily retained by AEP-Ohio in the OVEC Entitlement (see discussion below regarding the choice AEP-Ohio has made to retain the OVEC Entitlement) is not supported by the provisions of</w:t>
      </w:r>
      <w:r w:rsidR="00C117EE" w:rsidRPr="00876A53">
        <w:t xml:space="preserve"> </w:t>
      </w:r>
      <w:r w:rsidR="00053F2C" w:rsidRPr="00876A53">
        <w:t xml:space="preserve">Chapter 4928 discussed above, and it also makes no sense in light of the fact that the financial stability of AEP-Ohio’s remaining “generation” business is no longer an issue the </w:t>
      </w:r>
      <w:r w:rsidR="00053F2C" w:rsidRPr="00072B32">
        <w:t>Commission should address in an ESP case.  As the Staff succinctly explained:</w:t>
      </w:r>
    </w:p>
    <w:p w:rsidR="00053F2C" w:rsidRPr="00876A53" w:rsidRDefault="00053F2C" w:rsidP="00406540">
      <w:pPr>
        <w:spacing w:line="240" w:lineRule="auto"/>
        <w:ind w:left="720" w:right="720" w:firstLine="0"/>
      </w:pPr>
      <w:r w:rsidRPr="00876A53">
        <w:t>Since AEP Ohio will no longer be in the business of selling electricity after May 31, 2015, Staff does not see a need for granting a PPA rider that is tied to electric generation.  None of the MWs coming out of AEP Ohio’s interests in the OVEC generation is being sold to AEP Ohio’s distribution customers.  It took over a decade for the Commission to transition the four Ohio EDUs to a fully competitive retail electricity market.  Granting a PPA rider is a move in the opposite direction.</w:t>
      </w:r>
      <w:r w:rsidRPr="00876A53">
        <w:rPr>
          <w:rStyle w:val="FootnoteReference"/>
        </w:rPr>
        <w:footnoteReference w:id="109"/>
      </w:r>
    </w:p>
    <w:p w:rsidR="00406540" w:rsidRPr="00876A53" w:rsidRDefault="00406540" w:rsidP="00406540">
      <w:pPr>
        <w:spacing w:line="240" w:lineRule="auto"/>
        <w:ind w:left="720" w:right="720" w:firstLine="0"/>
      </w:pPr>
    </w:p>
    <w:p w:rsidR="00053F2C" w:rsidRPr="00876A53" w:rsidRDefault="00981FBA" w:rsidP="005C6107">
      <w:r w:rsidRPr="00876A53">
        <w:t xml:space="preserve">Yet, AEP-Ohio is seeking a Commission order imposing a regulatory solution, the PPAR, to protect AEP-Ohio from the wholesale price risk of the OVEC </w:t>
      </w:r>
      <w:r w:rsidR="00A83C12" w:rsidRPr="00876A53">
        <w:t>Entitlement that</w:t>
      </w:r>
      <w:r w:rsidRPr="00876A53">
        <w:t xml:space="preserve"> </w:t>
      </w:r>
      <w:r w:rsidR="00111083" w:rsidRPr="00876A53">
        <w:t>it</w:t>
      </w:r>
      <w:r w:rsidRPr="00876A53">
        <w:t xml:space="preserve"> voluntarily retains.  </w:t>
      </w:r>
      <w:r w:rsidR="00893610" w:rsidRPr="00876A53">
        <w:t>In doing so, a</w:t>
      </w:r>
      <w:r w:rsidR="00053F2C" w:rsidRPr="00876A53">
        <w:t xml:space="preserve">s </w:t>
      </w:r>
      <w:r w:rsidR="00CE7C2E" w:rsidRPr="00876A53">
        <w:t>Dr</w:t>
      </w:r>
      <w:r w:rsidR="00053F2C" w:rsidRPr="00876A53">
        <w:t xml:space="preserve">. McDermott made clear, AEP-Ohio is asking the Commission to decide for customers how important rate stability is and whether to keep </w:t>
      </w:r>
      <w:r w:rsidR="00053F2C" w:rsidRPr="00876A53">
        <w:lastRenderedPageBreak/>
        <w:t>the option open to buy additional price certainty for consumers.</w:t>
      </w:r>
      <w:r w:rsidR="00053F2C" w:rsidRPr="00876A53">
        <w:rPr>
          <w:rStyle w:val="FootnoteReference"/>
        </w:rPr>
        <w:footnoteReference w:id="110"/>
      </w:r>
      <w:r w:rsidR="00053F2C" w:rsidRPr="00876A53">
        <w:t xml:space="preserve">  </w:t>
      </w:r>
      <w:r w:rsidR="00D07519" w:rsidRPr="00876A53">
        <w:t>(Dr. McDermott’s statement assumes</w:t>
      </w:r>
      <w:r w:rsidR="00A83C12" w:rsidRPr="00876A53">
        <w:t xml:space="preserve"> that the PPAR works as a hedge.</w:t>
      </w:r>
      <w:r w:rsidR="00D07519" w:rsidRPr="00876A53">
        <w:t xml:space="preserve">  As discussed above, that assumption is unsupported.)  </w:t>
      </w:r>
      <w:r w:rsidR="00053F2C" w:rsidRPr="00876A53">
        <w:t xml:space="preserve">The Commission, however, already has a clear directive from the General Assembly that customers should decide the level of market risk they are willing to absorb.  It is the </w:t>
      </w:r>
      <w:r w:rsidR="000B36FC" w:rsidRPr="00876A53">
        <w:t>policy of the State</w:t>
      </w:r>
      <w:r w:rsidR="00053F2C" w:rsidRPr="00876A53">
        <w:t xml:space="preserve"> to ensure the availability of unbundled and comparable retail electric service that provides consumers with the supplier, price, terms, conditions, and quality options they elect to meet their respective needs.</w:t>
      </w:r>
      <w:r w:rsidR="00053F2C" w:rsidRPr="00876A53">
        <w:rPr>
          <w:rStyle w:val="FootnoteReference"/>
        </w:rPr>
        <w:footnoteReference w:id="111"/>
      </w:r>
      <w:r w:rsidR="00053F2C" w:rsidRPr="00876A53">
        <w:t xml:space="preserve">  In keeping with that policy, it is not the Commission’s job to substitute its judgment of “how important rate stability is for retail customers.”  </w:t>
      </w:r>
    </w:p>
    <w:p w:rsidR="00053F2C" w:rsidRPr="00876A53" w:rsidRDefault="00111083" w:rsidP="005C6107">
      <w:r w:rsidRPr="00876A53">
        <w:t>In particular, t</w:t>
      </w:r>
      <w:r w:rsidR="00053F2C" w:rsidRPr="00876A53">
        <w:t xml:space="preserve">he one-size-fits-all (and applicable-to-all) solution offered by AEP-Ohio to address price stability is fundamentally inconsistent with </w:t>
      </w:r>
      <w:r w:rsidR="00893610" w:rsidRPr="00876A53">
        <w:t xml:space="preserve">the diversity of </w:t>
      </w:r>
      <w:r w:rsidR="00053F2C" w:rsidRPr="00876A53">
        <w:t xml:space="preserve">customer needs and expectations.  As </w:t>
      </w:r>
      <w:r w:rsidR="00893610" w:rsidRPr="00876A53">
        <w:t>D</w:t>
      </w:r>
      <w:r w:rsidR="00053F2C" w:rsidRPr="00876A53">
        <w:t xml:space="preserve">r. McDermott explained in his 2008 report for Compete Coalition, customers have varying degrees of risk tolerance and expectations.  It is the market, not a “plain vanilla” regulatory solution, that provides the customer with choices to meet those expectations.  If the customer wants a product that hedges price risk, </w:t>
      </w:r>
      <w:r w:rsidR="002C3E11" w:rsidRPr="00876A53">
        <w:t>competitive retail electric service (“</w:t>
      </w:r>
      <w:r w:rsidR="00053F2C" w:rsidRPr="00876A53">
        <w:t>CRES</w:t>
      </w:r>
      <w:r w:rsidR="002C3E11" w:rsidRPr="00876A53">
        <w:t>”)</w:t>
      </w:r>
      <w:r w:rsidR="00053F2C" w:rsidRPr="00876A53">
        <w:t xml:space="preserve"> providers are providing those products through </w:t>
      </w:r>
      <w:r w:rsidR="007C70F5" w:rsidRPr="00876A53">
        <w:t>fixed-</w:t>
      </w:r>
      <w:r w:rsidR="00053F2C" w:rsidRPr="00876A53">
        <w:t>price contracts and budget control products; if the customer is less risk averse, it can agree to contracts that track daily market prices.</w:t>
      </w:r>
      <w:r w:rsidR="00053F2C" w:rsidRPr="00876A53">
        <w:rPr>
          <w:rStyle w:val="FootnoteReference"/>
        </w:rPr>
        <w:footnoteReference w:id="112"/>
      </w:r>
      <w:r w:rsidR="00053F2C" w:rsidRPr="00876A53">
        <w:t xml:space="preserve">  As Dr. McDermott concluded, “those jurisdictions that continue to support and promote competitive retail electric markets will benefit from the innovation and ingenuity of different suppliers as they compete to provide customers with the products and services that are best suited </w:t>
      </w:r>
      <w:r w:rsidR="00053F2C" w:rsidRPr="00876A53">
        <w:lastRenderedPageBreak/>
        <w:t>to those customers.”</w:t>
      </w:r>
      <w:r w:rsidR="00053F2C" w:rsidRPr="00876A53">
        <w:rPr>
          <w:rStyle w:val="FootnoteReference"/>
        </w:rPr>
        <w:footnoteReference w:id="113"/>
      </w:r>
      <w:r w:rsidR="00053F2C" w:rsidRPr="00876A53">
        <w:t xml:space="preserve">  </w:t>
      </w:r>
      <w:r w:rsidRPr="00876A53">
        <w:t>In contrast to the market-based solution that is responsive to customer needs, t</w:t>
      </w:r>
      <w:r w:rsidR="00053F2C" w:rsidRPr="00876A53">
        <w:t xml:space="preserve">he PPAR, as </w:t>
      </w:r>
      <w:r w:rsidR="00F55B41" w:rsidRPr="00876A53">
        <w:t>D</w:t>
      </w:r>
      <w:r w:rsidR="00053F2C" w:rsidRPr="00876A53">
        <w:t>r. McDermott explained, would be a regulatory solution imposed by the Commission on customers</w:t>
      </w:r>
      <w:r w:rsidRPr="00876A53">
        <w:t xml:space="preserve"> for</w:t>
      </w:r>
      <w:r w:rsidR="00053F2C" w:rsidRPr="00876A53">
        <w:t xml:space="preserve"> a “service” </w:t>
      </w:r>
      <w:r w:rsidRPr="00876A53">
        <w:t xml:space="preserve">(which appears to be nonexistent because of the design of AEP-Ohio’s </w:t>
      </w:r>
      <w:r w:rsidR="00F55B41" w:rsidRPr="00876A53">
        <w:t xml:space="preserve">proposed PPAR and other </w:t>
      </w:r>
      <w:r w:rsidRPr="00876A53">
        <w:t xml:space="preserve">rates) </w:t>
      </w:r>
      <w:r w:rsidR="00053F2C" w:rsidRPr="00876A53">
        <w:t xml:space="preserve">the customer </w:t>
      </w:r>
      <w:r w:rsidR="00A83C12" w:rsidRPr="00876A53">
        <w:t xml:space="preserve">may not </w:t>
      </w:r>
      <w:r w:rsidR="00053F2C" w:rsidRPr="00876A53">
        <w:t xml:space="preserve">want or </w:t>
      </w:r>
      <w:r w:rsidR="00A83C12" w:rsidRPr="00876A53">
        <w:t xml:space="preserve">does not </w:t>
      </w:r>
      <w:r w:rsidR="00053F2C" w:rsidRPr="00876A53">
        <w:t>need.</w:t>
      </w:r>
      <w:r w:rsidR="00053F2C" w:rsidRPr="00876A53">
        <w:rPr>
          <w:rStyle w:val="FootnoteReference"/>
        </w:rPr>
        <w:footnoteReference w:id="114"/>
      </w:r>
      <w:r w:rsidR="00053F2C" w:rsidRPr="00876A53">
        <w:t xml:space="preserve">  The PPAR, thus, is the antithesis of the sort of market solutions provided by competitive suppliers that </w:t>
      </w:r>
      <w:r w:rsidRPr="00876A53">
        <w:t>offer</w:t>
      </w:r>
      <w:r w:rsidR="00053F2C" w:rsidRPr="00876A53">
        <w:t xml:space="preserve"> customers products and services best suited to </w:t>
      </w:r>
      <w:r w:rsidRPr="00876A53">
        <w:t>them</w:t>
      </w:r>
      <w:r w:rsidR="00053F2C" w:rsidRPr="00876A53">
        <w:t>.</w:t>
      </w:r>
    </w:p>
    <w:p w:rsidR="00053F2C" w:rsidRPr="00876A53" w:rsidRDefault="00053F2C" w:rsidP="005C6107">
      <w:r w:rsidRPr="00876A53">
        <w:t>The PPAR also is anticompetitive.  Because the PPAR would guarantee that AEP-Ohio would never be at risk for prices that are lower than the costs charged it by OVEC, AEP-Ohio would be immune from market price risk.</w:t>
      </w:r>
      <w:r w:rsidRPr="00876A53">
        <w:rPr>
          <w:rStyle w:val="FootnoteReference"/>
        </w:rPr>
        <w:footnoteReference w:id="115"/>
      </w:r>
      <w:r w:rsidRPr="00876A53">
        <w:t xml:space="preserve">  Further, AEP-Ohio would look to only its affiliated unregulated generation company as a source for any additional PPAs if it sought to expand the “hedge.”</w:t>
      </w:r>
      <w:r w:rsidRPr="00876A53">
        <w:rPr>
          <w:rStyle w:val="FootnoteReference"/>
        </w:rPr>
        <w:footnoteReference w:id="116"/>
      </w:r>
      <w:r w:rsidRPr="00876A53">
        <w:t xml:space="preserve">  In contrast, competitors </w:t>
      </w:r>
      <w:r w:rsidR="004F1376" w:rsidRPr="00876A53">
        <w:t xml:space="preserve">are facing and will face price risk daily and hourly and </w:t>
      </w:r>
      <w:r w:rsidRPr="00876A53">
        <w:t>do not have a regulatory backstop that AEP-Ohio would have if the PPAR is approved.  Contrary to AEP-Ohio</w:t>
      </w:r>
      <w:r w:rsidR="00382291" w:rsidRPr="00876A53">
        <w:t>’s</w:t>
      </w:r>
      <w:r w:rsidRPr="00876A53">
        <w:t xml:space="preserve"> repeated assertions,</w:t>
      </w:r>
      <w:r w:rsidRPr="00876A53">
        <w:rPr>
          <w:rStyle w:val="FootnoteReference"/>
        </w:rPr>
        <w:footnoteReference w:id="117"/>
      </w:r>
      <w:r w:rsidRPr="00876A53">
        <w:t xml:space="preserve"> the PPAR would place unregulated generation providers at </w:t>
      </w:r>
      <w:r w:rsidR="00F55B41" w:rsidRPr="00876A53">
        <w:t>a</w:t>
      </w:r>
      <w:r w:rsidRPr="00876A53">
        <w:t xml:space="preserve"> competitive disadvantage.</w:t>
      </w:r>
    </w:p>
    <w:p w:rsidR="00053F2C" w:rsidRPr="00072B32" w:rsidRDefault="00053F2C" w:rsidP="005C6107">
      <w:r w:rsidRPr="00876A53">
        <w:t xml:space="preserve">Further, </w:t>
      </w:r>
      <w:r w:rsidR="004F1376" w:rsidRPr="00876A53">
        <w:t xml:space="preserve">recent weather </w:t>
      </w:r>
      <w:r w:rsidR="003400F7" w:rsidRPr="00876A53">
        <w:t xml:space="preserve">events such as the “Polar Vortex” </w:t>
      </w:r>
      <w:r w:rsidR="004F1376" w:rsidRPr="00876A53">
        <w:t>and regulatory events such as the notice of rulemak</w:t>
      </w:r>
      <w:r w:rsidR="007C64FC" w:rsidRPr="00876A53">
        <w:t>i</w:t>
      </w:r>
      <w:r w:rsidR="004F1376" w:rsidRPr="00876A53">
        <w:t>ng by the U.S. Environmental Protection Agency do not provide any justification for the authorization of the PPAR</w:t>
      </w:r>
      <w:r w:rsidR="003E572D" w:rsidRPr="00876A53">
        <w:t xml:space="preserve"> as a means of improving the reliability or reducing the volatility of generation service</w:t>
      </w:r>
      <w:r w:rsidR="00EF0233" w:rsidRPr="00876A53">
        <w:t xml:space="preserve"> prices</w:t>
      </w:r>
      <w:r w:rsidR="004F1376" w:rsidRPr="00876A53">
        <w:t xml:space="preserve">.  </w:t>
      </w:r>
      <w:r w:rsidR="00994B80" w:rsidRPr="00876A53">
        <w:t>It</w:t>
      </w:r>
      <w:r w:rsidRPr="00876A53">
        <w:t xml:space="preserve"> is PJM’s role to assure </w:t>
      </w:r>
      <w:r w:rsidRPr="00876A53">
        <w:lastRenderedPageBreak/>
        <w:t xml:space="preserve">the reliability of service for the thirteen state region in which </w:t>
      </w:r>
      <w:r w:rsidR="00994B80" w:rsidRPr="00876A53">
        <w:t>AEP-Ohio</w:t>
      </w:r>
      <w:r w:rsidRPr="00876A53">
        <w:t xml:space="preserve"> operate</w:t>
      </w:r>
      <w:r w:rsidR="00994B80" w:rsidRPr="00876A53">
        <w:t>s</w:t>
      </w:r>
      <w:r w:rsidRPr="00876A53">
        <w:t>.</w:t>
      </w:r>
      <w:r w:rsidRPr="00876A53">
        <w:rPr>
          <w:rStyle w:val="FootnoteReference"/>
        </w:rPr>
        <w:footnoteReference w:id="118"/>
      </w:r>
      <w:r w:rsidRPr="00876A53">
        <w:t xml:space="preserve">  To the extent that reliability was recently at risk due to January 2014 weather events, PJM not only “survived the storm,” but is addressing the effects of adverse weather conditions on system reliability and volatility of prices.</w:t>
      </w:r>
      <w:r w:rsidRPr="00876A53">
        <w:rPr>
          <w:rStyle w:val="FootnoteReference"/>
        </w:rPr>
        <w:footnoteReference w:id="119"/>
      </w:r>
      <w:r w:rsidRPr="00876A53">
        <w:t xml:space="preserve">  Likewise, markets will adapt to address the volatility </w:t>
      </w:r>
      <w:r w:rsidR="00111083" w:rsidRPr="00876A53">
        <w:t>caused by</w:t>
      </w:r>
      <w:r w:rsidRPr="00876A53">
        <w:t xml:space="preserve"> events such as what occurred in January 2014.</w:t>
      </w:r>
      <w:r w:rsidRPr="00876A53">
        <w:rPr>
          <w:rStyle w:val="FootnoteReference"/>
        </w:rPr>
        <w:footnoteReference w:id="120"/>
      </w:r>
      <w:r w:rsidRPr="00876A53">
        <w:t xml:space="preserve">  </w:t>
      </w:r>
      <w:r w:rsidR="00994B80" w:rsidRPr="00876A53">
        <w:t>The</w:t>
      </w:r>
      <w:r w:rsidRPr="00876A53">
        <w:t xml:space="preserve"> recent rulemaking proceedings by </w:t>
      </w:r>
      <w:r w:rsidRPr="00072B32">
        <w:t xml:space="preserve">the </w:t>
      </w:r>
      <w:r w:rsidR="00072B32">
        <w:t>U.</w:t>
      </w:r>
      <w:r w:rsidR="00B76BB4" w:rsidRPr="00072B32">
        <w:t>S.</w:t>
      </w:r>
      <w:r w:rsidRPr="00072B32">
        <w:t xml:space="preserve"> Environmental Protection Agency regarding carbon dioxide emissions </w:t>
      </w:r>
      <w:r w:rsidR="00994B80" w:rsidRPr="00072B32">
        <w:t>also are irrelevant to the Commission’s decision concerning authorization of the PPAR</w:t>
      </w:r>
      <w:r w:rsidRPr="00072B32">
        <w:t xml:space="preserve">.  </w:t>
      </w:r>
      <w:r w:rsidR="00072B32">
        <w:t>While carbon dioxide emission regulation may affect electric generation resources in the future, a</w:t>
      </w:r>
      <w:r w:rsidR="00E107E8" w:rsidRPr="00072B32">
        <w:t xml:space="preserve">ny rules that emerge from the announcement </w:t>
      </w:r>
      <w:r w:rsidRPr="00072B32">
        <w:t xml:space="preserve">will take several years before </w:t>
      </w:r>
      <w:r w:rsidR="00E107E8" w:rsidRPr="00072B32">
        <w:t xml:space="preserve">they </w:t>
      </w:r>
      <w:r w:rsidRPr="00072B32">
        <w:t>may affect generation resources in the PJM region, and alternatives may replace the current proposal.</w:t>
      </w:r>
      <w:r w:rsidRPr="00072B32">
        <w:rPr>
          <w:rStyle w:val="FootnoteReference"/>
        </w:rPr>
        <w:footnoteReference w:id="121"/>
      </w:r>
      <w:r w:rsidRPr="00072B32">
        <w:t xml:space="preserve">  </w:t>
      </w:r>
      <w:r w:rsidR="0095700A">
        <w:t>AEP-Ohio did not provide evidence that the proposed rules may have some affect on availability of generation resources during the proposed ESP.</w:t>
      </w:r>
    </w:p>
    <w:p w:rsidR="00053F2C" w:rsidRPr="00876A53" w:rsidRDefault="0036434E" w:rsidP="005C6107">
      <w:r w:rsidRPr="0095700A">
        <w:t xml:space="preserve">AEP-Ohio’s </w:t>
      </w:r>
      <w:r w:rsidR="00053F2C" w:rsidRPr="0095700A">
        <w:t>PPAR</w:t>
      </w:r>
      <w:r w:rsidRPr="0095700A">
        <w:t>,</w:t>
      </w:r>
      <w:r w:rsidR="00053F2C" w:rsidRPr="0095700A">
        <w:t xml:space="preserve"> </w:t>
      </w:r>
      <w:r w:rsidRPr="0095700A">
        <w:t>therefore,</w:t>
      </w:r>
      <w:r w:rsidR="00053F2C" w:rsidRPr="0095700A">
        <w:t xml:space="preserve"> </w:t>
      </w:r>
      <w:r w:rsidRPr="0095700A">
        <w:t>should not be authorized for several reasons</w:t>
      </w:r>
      <w:r w:rsidR="00053F2C" w:rsidRPr="0095700A">
        <w:t xml:space="preserve">.  It frustrates competition, violates state policy, and will increase price risk for those customers that are seeking to reduce volatility.  Further, there is no demonstration that </w:t>
      </w:r>
      <w:r w:rsidR="00111083" w:rsidRPr="00876A53">
        <w:t xml:space="preserve">the PPAR </w:t>
      </w:r>
      <w:r w:rsidR="00053F2C" w:rsidRPr="00876A53">
        <w:t>can or would have any effect on reliability.  Rather than providing a non-quantifiable benefit to customers, the PPAR would be harmful to them.</w:t>
      </w:r>
    </w:p>
    <w:p w:rsidR="00053F2C" w:rsidRPr="00876A53" w:rsidRDefault="00053F2C" w:rsidP="00FE0711">
      <w:pPr>
        <w:pStyle w:val="Heading2"/>
      </w:pPr>
      <w:bookmarkStart w:id="34" w:name="_Toc392930603"/>
      <w:bookmarkStart w:id="35" w:name="_Toc392930694"/>
      <w:bookmarkStart w:id="36" w:name="_Toc393524905"/>
      <w:bookmarkStart w:id="37" w:name="_Toc393878367"/>
      <w:r w:rsidRPr="00876A53">
        <w:t>AEP-Ohio can avoid the market risk of the OVEC Entitlement by assigning its interest to a third party</w:t>
      </w:r>
      <w:bookmarkEnd w:id="34"/>
      <w:bookmarkEnd w:id="35"/>
      <w:bookmarkEnd w:id="36"/>
      <w:bookmarkEnd w:id="37"/>
    </w:p>
    <w:p w:rsidR="00053F2C" w:rsidRPr="00876A53" w:rsidRDefault="00994B80" w:rsidP="005C6107">
      <w:r w:rsidRPr="00876A53">
        <w:lastRenderedPageBreak/>
        <w:t>After AEP-Ohio failed to secure consent to transfer the OVEC Entitlement to its unregulated competitive affiliate, t</w:t>
      </w:r>
      <w:r w:rsidR="00053F2C" w:rsidRPr="00876A53">
        <w:t xml:space="preserve">he Commission </w:t>
      </w:r>
      <w:r w:rsidRPr="00876A53">
        <w:t xml:space="preserve">stated that AEP-Ohio </w:t>
      </w:r>
      <w:r w:rsidR="00053F2C" w:rsidRPr="00876A53">
        <w:t>could retain the asset until the Commission directed otherwise.</w:t>
      </w:r>
      <w:r w:rsidR="00053F2C" w:rsidRPr="00876A53">
        <w:rPr>
          <w:rStyle w:val="FootnoteReference"/>
        </w:rPr>
        <w:footnoteReference w:id="122"/>
      </w:r>
      <w:r w:rsidR="00053F2C" w:rsidRPr="00876A53">
        <w:t xml:space="preserve">  AEP-Ohio has taken the Commission’s decision to permit it to retain the OVEC Entitlement as an opportunity to protect its</w:t>
      </w:r>
      <w:r w:rsidRPr="00876A53">
        <w:t>elf</w:t>
      </w:r>
      <w:r w:rsidR="00053F2C" w:rsidRPr="00876A53">
        <w:t xml:space="preserve"> from wholesale price risk.  AEP-Ohio has no intention of taking any steps to assign the OVEC Entitlement until the Commission acts on the ESP application.</w:t>
      </w:r>
      <w:r w:rsidR="00053F2C" w:rsidRPr="00876A53">
        <w:rPr>
          <w:rStyle w:val="FootnoteReference"/>
        </w:rPr>
        <w:footnoteReference w:id="123"/>
      </w:r>
      <w:r w:rsidR="00053F2C" w:rsidRPr="00876A53">
        <w:t xml:space="preserve">  Customers, however, should not be required to hold AEP-Ohio harmless from the </w:t>
      </w:r>
      <w:r w:rsidR="00600187" w:rsidRPr="00876A53">
        <w:t xml:space="preserve">wholesale price </w:t>
      </w:r>
      <w:r w:rsidR="00053F2C" w:rsidRPr="00876A53">
        <w:t>risk</w:t>
      </w:r>
      <w:r w:rsidR="00600187" w:rsidRPr="00876A53">
        <w:t xml:space="preserve"> of the OVEC Entitlement</w:t>
      </w:r>
      <w:r w:rsidR="00053F2C" w:rsidRPr="00876A53">
        <w:t xml:space="preserve"> when AEP-Ohio may assign its interest in OVEC to a third party.</w:t>
      </w:r>
    </w:p>
    <w:p w:rsidR="00053F2C" w:rsidRPr="00876A53" w:rsidRDefault="00600187" w:rsidP="005C6107">
      <w:r w:rsidRPr="00876A53">
        <w:t>Although AEP-Ohio was unable to secure consent to transfer the OVEC Entitlement</w:t>
      </w:r>
      <w:r w:rsidR="00053F2C" w:rsidRPr="00876A53">
        <w:t xml:space="preserve">, </w:t>
      </w:r>
      <w:r w:rsidRPr="00876A53">
        <w:t>it</w:t>
      </w:r>
      <w:r w:rsidR="00053F2C" w:rsidRPr="00876A53">
        <w:t xml:space="preserve"> has additional options to </w:t>
      </w:r>
      <w:r w:rsidRPr="00876A53">
        <w:t>assign the OVEC Entitlement</w:t>
      </w:r>
      <w:r w:rsidR="00111083" w:rsidRPr="00876A53">
        <w:t xml:space="preserve"> </w:t>
      </w:r>
      <w:r w:rsidR="00994B80" w:rsidRPr="00876A53">
        <w:t xml:space="preserve">that do not require </w:t>
      </w:r>
      <w:r w:rsidR="00111083" w:rsidRPr="00876A53">
        <w:t>consent of the Sponsoring Companies</w:t>
      </w:r>
      <w:r w:rsidR="00053F2C" w:rsidRPr="00876A53">
        <w:t>.  Under Section 9.182</w:t>
      </w:r>
      <w:r w:rsidR="00C53037" w:rsidRPr="00876A53">
        <w:t xml:space="preserve"> of the ICPA</w:t>
      </w:r>
      <w:r w:rsidR="00053F2C" w:rsidRPr="00876A53">
        <w:t>, it may assign the OVEC Entitlement to a Permitted Assignee.</w:t>
      </w:r>
      <w:r w:rsidR="00053F2C" w:rsidRPr="00876A53">
        <w:rPr>
          <w:rStyle w:val="FootnoteReference"/>
        </w:rPr>
        <w:footnoteReference w:id="124"/>
      </w:r>
      <w:r w:rsidR="00053F2C" w:rsidRPr="00876A53">
        <w:t xml:space="preserve">  A Permitted Assignee includes another Sponsoring Party or its affiliate with credit ratings that are investment grade.</w:t>
      </w:r>
      <w:r w:rsidR="00053F2C" w:rsidRPr="00876A53">
        <w:rPr>
          <w:rStyle w:val="FootnoteReference"/>
        </w:rPr>
        <w:footnoteReference w:id="125"/>
      </w:r>
      <w:r w:rsidR="00053F2C" w:rsidRPr="00876A53">
        <w:t xml:space="preserve">  The other operating companies of AEP have the required credit ratings.</w:t>
      </w:r>
      <w:r w:rsidR="00053F2C" w:rsidRPr="00876A53">
        <w:rPr>
          <w:rStyle w:val="FootnoteReference"/>
        </w:rPr>
        <w:footnoteReference w:id="126"/>
      </w:r>
      <w:r w:rsidR="00053F2C" w:rsidRPr="00876A53">
        <w:t xml:space="preserve">  Thus, AEP-Ohio could assign its interest to another AEP operating company.</w:t>
      </w:r>
    </w:p>
    <w:p w:rsidR="00053F2C" w:rsidRPr="00876A53" w:rsidRDefault="00053F2C" w:rsidP="005C6107">
      <w:r w:rsidRPr="00876A53">
        <w:t xml:space="preserve">Under Section 9.183 of the ICPA, AEP-Ohio </w:t>
      </w:r>
      <w:r w:rsidR="00994B80" w:rsidRPr="00876A53">
        <w:t xml:space="preserve">also </w:t>
      </w:r>
      <w:r w:rsidRPr="00876A53">
        <w:t xml:space="preserve">could assign its OVEC Entitlement to a third party </w:t>
      </w:r>
      <w:r w:rsidR="00111083" w:rsidRPr="00876A53">
        <w:t>with an investment grade credit ra</w:t>
      </w:r>
      <w:r w:rsidR="00226D7F" w:rsidRPr="00876A53">
        <w:t>t</w:t>
      </w:r>
      <w:r w:rsidR="00111083" w:rsidRPr="00876A53">
        <w:t xml:space="preserve">ing and </w:t>
      </w:r>
      <w:r w:rsidRPr="00876A53">
        <w:t xml:space="preserve">without further action on the part of the Sponsoring Companies so long as it provides the Sponsoring </w:t>
      </w:r>
      <w:r w:rsidR="008F5507" w:rsidRPr="00876A53">
        <w:lastRenderedPageBreak/>
        <w:t>Companies</w:t>
      </w:r>
      <w:r w:rsidRPr="00876A53">
        <w:t xml:space="preserve"> a right of first refusal and secures approval of counsel for OVEC.</w:t>
      </w:r>
      <w:r w:rsidRPr="00876A53">
        <w:rPr>
          <w:rStyle w:val="FootnoteReference"/>
        </w:rPr>
        <w:footnoteReference w:id="127"/>
      </w:r>
      <w:r w:rsidRPr="00876A53">
        <w:t xml:space="preserve">  Securing OVEC counsel’s approval should not be a problem as AEP-Ohio shares its in-house attorneys with OVEC.</w:t>
      </w:r>
      <w:r w:rsidRPr="00876A53">
        <w:rPr>
          <w:rStyle w:val="FootnoteReference"/>
        </w:rPr>
        <w:footnoteReference w:id="128"/>
      </w:r>
      <w:r w:rsidRPr="00876A53">
        <w:t xml:space="preserve">  Therefore, AEP-Ohio could also assign its interest to a</w:t>
      </w:r>
      <w:r w:rsidR="00994B80" w:rsidRPr="00876A53">
        <w:t>n appropriate</w:t>
      </w:r>
      <w:r w:rsidRPr="00876A53">
        <w:t xml:space="preserve"> third party and relieve customers of the consequences associated with the OVEC Entitlement.</w:t>
      </w:r>
      <w:r w:rsidRPr="00876A53">
        <w:rPr>
          <w:rStyle w:val="FootnoteReference"/>
        </w:rPr>
        <w:footnoteReference w:id="129"/>
      </w:r>
    </w:p>
    <w:p w:rsidR="00053F2C" w:rsidRPr="00876A53" w:rsidRDefault="00053F2C" w:rsidP="00FE0711">
      <w:pPr>
        <w:pStyle w:val="Heading2"/>
      </w:pPr>
      <w:bookmarkStart w:id="38" w:name="_Toc392930604"/>
      <w:bookmarkStart w:id="39" w:name="_Toc392930695"/>
      <w:bookmarkStart w:id="40" w:name="_Toc393524906"/>
      <w:bookmarkStart w:id="41" w:name="_Toc393878368"/>
      <w:r w:rsidRPr="00876A53">
        <w:t>The Commission should modify the proposed ESP by removing the PPAR</w:t>
      </w:r>
      <w:r w:rsidR="00025999" w:rsidRPr="00876A53">
        <w:t xml:space="preserve"> from the proposed ESP</w:t>
      </w:r>
      <w:bookmarkEnd w:id="38"/>
      <w:bookmarkEnd w:id="39"/>
      <w:bookmarkEnd w:id="40"/>
      <w:bookmarkEnd w:id="41"/>
    </w:p>
    <w:p w:rsidR="00053F2C" w:rsidRPr="00876A53" w:rsidRDefault="00053F2C" w:rsidP="005C6107">
      <w:r w:rsidRPr="00876A53">
        <w:t>As noted previously, Dr. McDermott testified that the authorization of the PPAR presents the Commission with a policy decision.  The Commission, however, is a creature of statute and must exe</w:t>
      </w:r>
      <w:r w:rsidR="00226D7F" w:rsidRPr="00876A53">
        <w:t>r</w:t>
      </w:r>
      <w:r w:rsidRPr="00876A53">
        <w:t>cise its “policy making” within the bounds of Ohio law regardless of the policy outcomes it may wish to pursue.</w:t>
      </w:r>
      <w:r w:rsidRPr="00876A53">
        <w:rPr>
          <w:rStyle w:val="FootnoteReference"/>
        </w:rPr>
        <w:footnoteReference w:id="130"/>
      </w:r>
      <w:r w:rsidRPr="00876A53">
        <w:t xml:space="preserve">  </w:t>
      </w:r>
    </w:p>
    <w:p w:rsidR="00053F2C" w:rsidRPr="00876A53" w:rsidRDefault="003400F7" w:rsidP="005C6107">
      <w:r w:rsidRPr="00876A53">
        <w:t>As discussed above, a</w:t>
      </w:r>
      <w:r w:rsidR="004F1376" w:rsidRPr="00876A53">
        <w:t>uthoriz</w:t>
      </w:r>
      <w:r w:rsidRPr="00876A53">
        <w:t>ation of</w:t>
      </w:r>
      <w:r w:rsidR="004F1376" w:rsidRPr="00876A53">
        <w:t xml:space="preserve"> the</w:t>
      </w:r>
      <w:r w:rsidR="00053F2C" w:rsidRPr="00876A53">
        <w:t xml:space="preserve"> PPAR is unlawful for several reasons.  </w:t>
      </w:r>
      <w:r w:rsidRPr="00876A53">
        <w:t>Initially, n</w:t>
      </w:r>
      <w:r w:rsidR="00053F2C" w:rsidRPr="00876A53">
        <w:t>o provision of R.C. 4928.143(B) provides for authorization of the PPAR.  Additionally, the rider is prohibited because its authorization would result in an unlawful subsidy and the collection of transition revenue</w:t>
      </w:r>
      <w:r w:rsidRPr="00876A53">
        <w:t xml:space="preserve"> (when the value of the PPAR results in a charge)</w:t>
      </w:r>
      <w:r w:rsidR="00053F2C" w:rsidRPr="00876A53">
        <w:t xml:space="preserve">.  The authorization of the PPAR </w:t>
      </w:r>
      <w:r w:rsidR="00280CBD" w:rsidRPr="00876A53">
        <w:t xml:space="preserve">also is outside the jurisdiction of the Commission; </w:t>
      </w:r>
      <w:r w:rsidR="00053F2C" w:rsidRPr="00876A53">
        <w:t xml:space="preserve">the Commission is jurisdictionally barred </w:t>
      </w:r>
      <w:r w:rsidR="00280CBD" w:rsidRPr="00876A53">
        <w:t xml:space="preserve">by both state and federal law </w:t>
      </w:r>
      <w:r w:rsidR="00053F2C" w:rsidRPr="00876A53">
        <w:t xml:space="preserve">from increasing or decreasing the compensation of AEP-Ohio for the liquidation of its OVEC </w:t>
      </w:r>
      <w:r w:rsidR="002C3E11" w:rsidRPr="00876A53">
        <w:t>E</w:t>
      </w:r>
      <w:r w:rsidR="00053F2C" w:rsidRPr="00876A53">
        <w:t xml:space="preserve">ntitlement in the wholesale power markets.  </w:t>
      </w:r>
    </w:p>
    <w:p w:rsidR="00053F2C" w:rsidRPr="00876A53" w:rsidRDefault="00053F2C" w:rsidP="005C6107">
      <w:r w:rsidRPr="00876A53">
        <w:t xml:space="preserve">Additionally, the authorization of the PPAR would be unreasonable.  The record demonstrates that the PPAR would not and could not operate as a hedge as AEP-Ohio </w:t>
      </w:r>
      <w:r w:rsidRPr="00876A53">
        <w:lastRenderedPageBreak/>
        <w:t>claims.  Additionally, accepting the claims AEP-Ohio has made to support the likely effects of the PPAR would be an act of faith, not a decision based on any solid evidence</w:t>
      </w:r>
      <w:r w:rsidR="008F5507" w:rsidRPr="00876A53">
        <w:t xml:space="preserve"> in the record of this case</w:t>
      </w:r>
      <w:r w:rsidRPr="00876A53">
        <w:t xml:space="preserve">.  Further, the </w:t>
      </w:r>
      <w:r w:rsidR="008F5507" w:rsidRPr="00876A53">
        <w:t xml:space="preserve">authorization of the </w:t>
      </w:r>
      <w:r w:rsidRPr="00876A53">
        <w:t xml:space="preserve">PPAR </w:t>
      </w:r>
      <w:r w:rsidR="008F5507" w:rsidRPr="00876A53">
        <w:t xml:space="preserve">would be a retreat from the Commission’s recent effort to require AEP-Ohio to divest its generation assets and </w:t>
      </w:r>
      <w:r w:rsidRPr="00876A53">
        <w:t xml:space="preserve">is unnecessary as AEP-Ohio </w:t>
      </w:r>
      <w:r w:rsidR="00BA10DC" w:rsidRPr="00876A53">
        <w:t>may</w:t>
      </w:r>
      <w:r w:rsidRPr="00876A53">
        <w:t xml:space="preserve"> assign the OVEC Entitlement to a third party.  Accordingly, the Commission should not authorize the PPAR.</w:t>
      </w:r>
    </w:p>
    <w:p w:rsidR="00053F2C" w:rsidRPr="00876A53" w:rsidRDefault="00053F2C" w:rsidP="00FE0711">
      <w:pPr>
        <w:pStyle w:val="Heading1"/>
      </w:pPr>
      <w:bookmarkStart w:id="42" w:name="_Toc392930605"/>
      <w:bookmarkStart w:id="43" w:name="_Toc392930696"/>
      <w:bookmarkStart w:id="44" w:name="_Toc393524907"/>
      <w:bookmarkStart w:id="45" w:name="_Toc393878369"/>
      <w:r w:rsidRPr="00876A53">
        <w:t xml:space="preserve">The Commission should reject AEP-Ohio’s proposed </w:t>
      </w:r>
      <w:r w:rsidR="00D93084" w:rsidRPr="00876A53">
        <w:t>nonbypassable</w:t>
      </w:r>
      <w:r w:rsidRPr="00876A53">
        <w:t xml:space="preserve"> BTCR</w:t>
      </w:r>
      <w:bookmarkEnd w:id="42"/>
      <w:bookmarkEnd w:id="43"/>
      <w:bookmarkEnd w:id="44"/>
      <w:bookmarkEnd w:id="45"/>
      <w:r w:rsidRPr="00876A53">
        <w:t xml:space="preserve"> </w:t>
      </w:r>
    </w:p>
    <w:p w:rsidR="00053F2C" w:rsidRPr="00876A53" w:rsidRDefault="00D027F7" w:rsidP="005C6107">
      <w:r w:rsidRPr="00876A53">
        <w:t>AEP-Ohio proposes</w:t>
      </w:r>
      <w:r w:rsidR="00053F2C" w:rsidRPr="00876A53">
        <w:t xml:space="preserve"> to modify the current method </w:t>
      </w:r>
      <w:r w:rsidRPr="00876A53">
        <w:t>by</w:t>
      </w:r>
      <w:r w:rsidR="00053F2C" w:rsidRPr="00876A53">
        <w:t xml:space="preserve"> which transmission service is provided and costs are collected in </w:t>
      </w:r>
      <w:r w:rsidR="00114938" w:rsidRPr="00876A53">
        <w:t xml:space="preserve">its </w:t>
      </w:r>
      <w:r w:rsidR="00053F2C" w:rsidRPr="00876A53">
        <w:t>certified distribution service area.  Currently, AEP-Ohio provides transmission services to only SSO customers.</w:t>
      </w:r>
      <w:r w:rsidR="00053F2C" w:rsidRPr="00876A53">
        <w:rPr>
          <w:vertAlign w:val="superscript"/>
        </w:rPr>
        <w:footnoteReference w:id="131"/>
      </w:r>
      <w:r w:rsidR="00053F2C" w:rsidRPr="00876A53">
        <w:t xml:space="preserve">  AEP-Ohio proposes </w:t>
      </w:r>
      <w:r w:rsidRPr="00876A53">
        <w:t xml:space="preserve">to classify some transmission service as non-market-based, </w:t>
      </w:r>
      <w:r w:rsidR="00053F2C" w:rsidRPr="00876A53">
        <w:t>to provide only non</w:t>
      </w:r>
      <w:r w:rsidR="00553134" w:rsidRPr="00876A53">
        <w:t>-</w:t>
      </w:r>
      <w:r w:rsidR="00053F2C" w:rsidRPr="00876A53">
        <w:t xml:space="preserve">market-based transmission services, to provide those services </w:t>
      </w:r>
      <w:r w:rsidRPr="00876A53">
        <w:t xml:space="preserve">to </w:t>
      </w:r>
      <w:r w:rsidR="00053F2C" w:rsidRPr="00876A53">
        <w:t xml:space="preserve">both nonshopping and shopping customers, and to collect the costs of providing </w:t>
      </w:r>
      <w:r w:rsidR="004F1376" w:rsidRPr="00876A53">
        <w:t xml:space="preserve">those </w:t>
      </w:r>
      <w:r w:rsidR="00053F2C" w:rsidRPr="00876A53">
        <w:t>service</w:t>
      </w:r>
      <w:r w:rsidR="004F1376" w:rsidRPr="00876A53">
        <w:t>s</w:t>
      </w:r>
      <w:r w:rsidR="00053F2C" w:rsidRPr="00876A53">
        <w:t xml:space="preserve"> through the nonbypassable BTCR.</w:t>
      </w:r>
      <w:r w:rsidR="00053F2C" w:rsidRPr="00876A53">
        <w:rPr>
          <w:vertAlign w:val="superscript"/>
        </w:rPr>
        <w:footnoteReference w:id="132"/>
      </w:r>
      <w:r w:rsidR="00053F2C" w:rsidRPr="00876A53">
        <w:t xml:space="preserve">  Market-based transmission services will be part of the SSO auction product supplied by the SSO auction winners to nonshopping customers.</w:t>
      </w:r>
      <w:r w:rsidR="00053F2C" w:rsidRPr="00876A53">
        <w:rPr>
          <w:vertAlign w:val="superscript"/>
        </w:rPr>
        <w:footnoteReference w:id="133"/>
      </w:r>
      <w:r w:rsidR="00053F2C" w:rsidRPr="00876A53">
        <w:t xml:space="preserve">  </w:t>
      </w:r>
      <w:r w:rsidRPr="00876A53">
        <w:t xml:space="preserve">CRES </w:t>
      </w:r>
      <w:r w:rsidR="002C3E11" w:rsidRPr="00876A53">
        <w:t>p</w:t>
      </w:r>
      <w:r w:rsidRPr="00876A53">
        <w:t xml:space="preserve">roviders would supply </w:t>
      </w:r>
      <w:r w:rsidR="00053F2C" w:rsidRPr="00876A53">
        <w:t>market-based transmission services</w:t>
      </w:r>
      <w:r w:rsidR="00BA10DC" w:rsidRPr="00876A53">
        <w:t xml:space="preserve"> for shopping customers</w:t>
      </w:r>
      <w:r w:rsidR="00053F2C" w:rsidRPr="00876A53">
        <w:t>.</w:t>
      </w:r>
      <w:r w:rsidR="00053F2C" w:rsidRPr="00876A53">
        <w:rPr>
          <w:vertAlign w:val="superscript"/>
        </w:rPr>
        <w:footnoteReference w:id="134"/>
      </w:r>
    </w:p>
    <w:p w:rsidR="00EF0233" w:rsidRPr="00876A53" w:rsidRDefault="00053F2C" w:rsidP="00EF0233">
      <w:r w:rsidRPr="00876A53">
        <w:lastRenderedPageBreak/>
        <w:t xml:space="preserve">According to AEP-Ohio, </w:t>
      </w:r>
      <w:r w:rsidR="00FE7E15" w:rsidRPr="00876A53">
        <w:t>several reasons support authorization of</w:t>
      </w:r>
      <w:r w:rsidRPr="00876A53">
        <w:t xml:space="preserve"> the BTCR.</w:t>
      </w:r>
      <w:r w:rsidRPr="00876A53">
        <w:rPr>
          <w:rStyle w:val="FootnoteReference"/>
        </w:rPr>
        <w:footnoteReference w:id="135"/>
      </w:r>
      <w:r w:rsidRPr="00876A53">
        <w:t xml:space="preserve">  Initially, AEP-Ohio claims that the proposed changes will align AEP-Ohio’s transmission recovery mechanism with </w:t>
      </w:r>
      <w:r w:rsidR="00FE7E15" w:rsidRPr="00876A53">
        <w:t xml:space="preserve">those of </w:t>
      </w:r>
      <w:r w:rsidRPr="00876A53">
        <w:t xml:space="preserve">other EDUs, which will enable CRES providers and SSO suppliers to operate and provide offerings in a similar manner in different regions of the </w:t>
      </w:r>
      <w:r w:rsidR="002C3E11" w:rsidRPr="00876A53">
        <w:t>S</w:t>
      </w:r>
      <w:r w:rsidRPr="00876A53">
        <w:t>tate.</w:t>
      </w:r>
      <w:r w:rsidRPr="00876A53">
        <w:rPr>
          <w:rStyle w:val="FootnoteReference"/>
        </w:rPr>
        <w:footnoteReference w:id="136"/>
      </w:r>
      <w:r w:rsidRPr="00876A53">
        <w:t xml:space="preserve">  Additionally, Mr. Vegas testifies the change will result in shopping customers paying actual non</w:t>
      </w:r>
      <w:r w:rsidR="00553134" w:rsidRPr="00876A53">
        <w:t>-</w:t>
      </w:r>
      <w:r w:rsidRPr="00876A53">
        <w:t>market-based transmission costs, rather than estimated transmission costs.</w:t>
      </w:r>
      <w:r w:rsidRPr="00876A53">
        <w:rPr>
          <w:rStyle w:val="FootnoteReference"/>
        </w:rPr>
        <w:footnoteReference w:id="137"/>
      </w:r>
      <w:r w:rsidR="00EF0233" w:rsidRPr="00876A53">
        <w:t xml:space="preserve">  </w:t>
      </w:r>
      <w:r w:rsidR="00FE7E15" w:rsidRPr="00876A53">
        <w:t>Because AEP-Ohio’s justifications are without merit, t</w:t>
      </w:r>
      <w:r w:rsidRPr="00876A53">
        <w:t xml:space="preserve">he Commission should reject AEP-Ohio’s proposed BTCR.  </w:t>
      </w:r>
    </w:p>
    <w:p w:rsidR="00053F2C" w:rsidRPr="00876A53" w:rsidRDefault="00053F2C" w:rsidP="00EF0233">
      <w:r w:rsidRPr="00876A53">
        <w:t xml:space="preserve">Additionally, the proposed </w:t>
      </w:r>
      <w:r w:rsidR="00D93084" w:rsidRPr="00876A53">
        <w:t>nonbypassable</w:t>
      </w:r>
      <w:r w:rsidRPr="00876A53">
        <w:t xml:space="preserve"> BTCR could disrupt the contractual relationship</w:t>
      </w:r>
      <w:r w:rsidR="00994B80" w:rsidRPr="00876A53">
        <w:t>s</w:t>
      </w:r>
      <w:r w:rsidRPr="00876A53">
        <w:t xml:space="preserve"> between shopping customers and their CRES providers in AEP-Ohio’s territory.  Finally, the proposed </w:t>
      </w:r>
      <w:r w:rsidR="00D93084" w:rsidRPr="00876A53">
        <w:t>nonbypassable</w:t>
      </w:r>
      <w:r w:rsidRPr="00876A53">
        <w:t xml:space="preserve"> BTCR conflicts with state policies because it will not send customers efficient price signals and will reduce customers’ ability to obtain transmission service on “price, terms, conditions, and quality options they elect to meet their respective needs.”  </w:t>
      </w:r>
    </w:p>
    <w:p w:rsidR="00994B80" w:rsidRPr="0095700A" w:rsidRDefault="00994B80" w:rsidP="00FE0711">
      <w:pPr>
        <w:pStyle w:val="Heading2"/>
      </w:pPr>
      <w:bookmarkStart w:id="46" w:name="_Toc393878370"/>
      <w:bookmarkStart w:id="47" w:name="_Toc392930606"/>
      <w:bookmarkStart w:id="48" w:name="_Toc392930697"/>
      <w:bookmarkStart w:id="49" w:name="_Toc393524908"/>
      <w:r w:rsidRPr="00876A53">
        <w:t xml:space="preserve">The BTCR will not result in uniformity of transmission pricing terms </w:t>
      </w:r>
      <w:r w:rsidRPr="0095700A">
        <w:t xml:space="preserve">across the </w:t>
      </w:r>
      <w:r w:rsidR="00B76BB4" w:rsidRPr="0095700A">
        <w:t>State</w:t>
      </w:r>
      <w:bookmarkEnd w:id="46"/>
      <w:r w:rsidR="00B76BB4" w:rsidRPr="0095700A">
        <w:t xml:space="preserve"> </w:t>
      </w:r>
    </w:p>
    <w:p w:rsidR="00994B80" w:rsidRPr="00876A53" w:rsidRDefault="00994B80" w:rsidP="00994B80">
      <w:r w:rsidRPr="00876A53">
        <w:t>AEP-Ohio offers that the BTCR should be approved because it will align the treatment of transmission service across the four EDUs’ service areas.</w:t>
      </w:r>
      <w:r w:rsidRPr="00876A53">
        <w:rPr>
          <w:rStyle w:val="FootnoteReference"/>
        </w:rPr>
        <w:footnoteReference w:id="138"/>
      </w:r>
      <w:r w:rsidRPr="00876A53">
        <w:t xml:space="preserve">  AEP-Ohio also suggests that this uniformity will allow CRES providers to operate and provide offerings in a similar manner in different regions of the </w:t>
      </w:r>
      <w:r w:rsidR="002C3E11" w:rsidRPr="00876A53">
        <w:t>S</w:t>
      </w:r>
      <w:r w:rsidRPr="00876A53">
        <w:t>tate.</w:t>
      </w:r>
      <w:r w:rsidRPr="00876A53">
        <w:rPr>
          <w:rStyle w:val="FootnoteReference"/>
        </w:rPr>
        <w:footnoteReference w:id="139"/>
      </w:r>
      <w:r w:rsidRPr="00876A53">
        <w:t xml:space="preserve">  AEP-Ohio’s proposed </w:t>
      </w:r>
      <w:r w:rsidRPr="00876A53">
        <w:lastRenderedPageBreak/>
        <w:t>BTCR, however, will vary from each of the nonbypassable transmission riders in place for the other three EDUs.</w:t>
      </w:r>
      <w:r w:rsidRPr="00876A53">
        <w:rPr>
          <w:rStyle w:val="FootnoteReference"/>
        </w:rPr>
        <w:footnoteReference w:id="140"/>
      </w:r>
      <w:r w:rsidRPr="00876A53">
        <w:t xml:space="preserve">  Additionally, the other three EDUs have nonbypassable transmission riders that vary from each other.</w:t>
      </w:r>
      <w:r w:rsidRPr="00876A53">
        <w:rPr>
          <w:rStyle w:val="FootnoteReference"/>
        </w:rPr>
        <w:footnoteReference w:id="141"/>
      </w:r>
      <w:r w:rsidRPr="00876A53">
        <w:t xml:space="preserve">  Accordingly, there will not be uniformity no matter what AEP-Ohio proposes.  </w:t>
      </w:r>
    </w:p>
    <w:p w:rsidR="00994B80" w:rsidRPr="00876A53" w:rsidRDefault="00994B80" w:rsidP="00994B80">
      <w:r w:rsidRPr="00876A53">
        <w:t>Further, the amount of shopping that exists in AEP-Ohio’s territory, as well as the service areas of the other EDUs, suggests that CRES providers have no difficulty operating in Ohio and providing offers to customers across the State despite the current differences that exist among transmission rate tariffs of the EDUs.</w:t>
      </w:r>
    </w:p>
    <w:p w:rsidR="00994B80" w:rsidRPr="00876A53" w:rsidRDefault="00994B80" w:rsidP="00994B80">
      <w:r w:rsidRPr="00876A53">
        <w:t xml:space="preserve">Accordingly, the proposed BTCR should be rejected because AEP-Ohio’s claim that it will achieve uniformity across the </w:t>
      </w:r>
      <w:r w:rsidR="002C3E11" w:rsidRPr="00876A53">
        <w:t>S</w:t>
      </w:r>
      <w:r w:rsidRPr="00876A53">
        <w:t>tate is incorrect.</w:t>
      </w:r>
    </w:p>
    <w:p w:rsidR="00994B80" w:rsidRPr="00876A53" w:rsidRDefault="00994B80" w:rsidP="00FE0711">
      <w:pPr>
        <w:pStyle w:val="Heading2"/>
      </w:pPr>
      <w:bookmarkStart w:id="50" w:name="_Toc393878371"/>
      <w:r w:rsidRPr="00876A53">
        <w:t>The BTCR could disrupt the contractual relationship between shopping customers and their CRES providers</w:t>
      </w:r>
      <w:bookmarkEnd w:id="50"/>
    </w:p>
    <w:p w:rsidR="00994B80" w:rsidRPr="00876A53" w:rsidRDefault="00994B80" w:rsidP="00994B80">
      <w:r w:rsidRPr="00876A53">
        <w:t xml:space="preserve">AEP-Ohio’s proposed changes to </w:t>
      </w:r>
      <w:r w:rsidR="0058145F" w:rsidRPr="00876A53">
        <w:t xml:space="preserve">the </w:t>
      </w:r>
      <w:r w:rsidRPr="00876A53">
        <w:t>collection of transmission costs also could disrupt the contractual relationships between AEP-Ohio’s customers that are presently shopping (that constitute the majority of AEP-Ohio’s distribution sales) and their CRES providers.  As previously noted, shopping customers presently pay for transmission and ancillary services in the prices they pay to their CRES providers.  If the Commission approves AEP-Ohio’s proposed BTCR, shopping customers could be required to pay twice for non-market-based transmission and ancillary services.</w:t>
      </w:r>
    </w:p>
    <w:p w:rsidR="00994B80" w:rsidRPr="00876A53" w:rsidRDefault="00994B80" w:rsidP="00994B80">
      <w:r w:rsidRPr="00876A53">
        <w:t xml:space="preserve">AEP-Ohio has acknowledged that shopping customers may be double-billed for the same </w:t>
      </w:r>
      <w:r w:rsidRPr="0095700A">
        <w:t>transmission costs</w:t>
      </w:r>
      <w:r w:rsidR="00B76BB4" w:rsidRPr="0095700A">
        <w:t>.</w:t>
      </w:r>
      <w:r w:rsidRPr="0095700A">
        <w:rPr>
          <w:rStyle w:val="FootnoteReference"/>
        </w:rPr>
        <w:footnoteReference w:id="142"/>
      </w:r>
      <w:r w:rsidRPr="0095700A">
        <w:t xml:space="preserve">  </w:t>
      </w:r>
      <w:r w:rsidR="002C3E11" w:rsidRPr="0095700A">
        <w:t xml:space="preserve">FirstEnergy Solutions Corp.’s (“FES”) </w:t>
      </w:r>
      <w:r w:rsidRPr="0095700A">
        <w:t xml:space="preserve">Mr. D’Allesandris </w:t>
      </w:r>
      <w:r w:rsidRPr="0095700A">
        <w:lastRenderedPageBreak/>
        <w:t xml:space="preserve">also testified that to the extent a customer has a current fixed-price contract with FES, the fixed-price </w:t>
      </w:r>
      <w:r w:rsidR="002C3E11" w:rsidRPr="00876A53">
        <w:t xml:space="preserve">contract </w:t>
      </w:r>
      <w:r w:rsidRPr="00876A53">
        <w:t>will continue if the BTCR is authorized.</w:t>
      </w:r>
      <w:r w:rsidRPr="00876A53">
        <w:rPr>
          <w:rStyle w:val="FootnoteReference"/>
        </w:rPr>
        <w:footnoteReference w:id="143"/>
      </w:r>
      <w:r w:rsidRPr="00876A53">
        <w:t xml:space="preserve">  Thus, AEP-Ohio’s claim that approval of the proposed BTCR will “come at no cost to customers”</w:t>
      </w:r>
      <w:r w:rsidRPr="00876A53">
        <w:rPr>
          <w:rStyle w:val="FootnoteReference"/>
        </w:rPr>
        <w:footnoteReference w:id="144"/>
      </w:r>
      <w:r w:rsidRPr="00876A53">
        <w:t xml:space="preserve"> is simply inaccurate.</w:t>
      </w:r>
    </w:p>
    <w:p w:rsidR="00994B80" w:rsidRPr="00876A53" w:rsidRDefault="00994B80" w:rsidP="00994B80">
      <w:r w:rsidRPr="00876A53">
        <w:t>If the Commission approves the BTCR, shopping customers may be double-billed for transmission service unless the CRES provider takes affirmative steps to credit these shopping customers’ bills.  Accordingly, the proposed BTCR should be rejected because some shopping customers may be billed twice for non-market-based transmission service.</w:t>
      </w:r>
    </w:p>
    <w:p w:rsidR="00053F2C" w:rsidRPr="0095700A" w:rsidRDefault="00CF1690" w:rsidP="00FE0711">
      <w:pPr>
        <w:pStyle w:val="Heading2"/>
      </w:pPr>
      <w:bookmarkStart w:id="51" w:name="_Toc393878372"/>
      <w:r w:rsidRPr="00876A53">
        <w:t>The</w:t>
      </w:r>
      <w:r w:rsidR="00053F2C" w:rsidRPr="00876A53">
        <w:t xml:space="preserve"> proposed BTCR conflicts </w:t>
      </w:r>
      <w:r w:rsidR="00053F2C" w:rsidRPr="0095700A">
        <w:t xml:space="preserve">with the </w:t>
      </w:r>
      <w:r w:rsidR="00B76BB4" w:rsidRPr="0095700A">
        <w:t xml:space="preserve">state </w:t>
      </w:r>
      <w:r w:rsidR="00053F2C" w:rsidRPr="0095700A">
        <w:t>policy of providing customers with the ability to negotiate price, terms, and conditions of service that meet their respective needs</w:t>
      </w:r>
      <w:bookmarkEnd w:id="47"/>
      <w:bookmarkEnd w:id="48"/>
      <w:bookmarkEnd w:id="49"/>
      <w:bookmarkEnd w:id="51"/>
    </w:p>
    <w:p w:rsidR="00053F2C" w:rsidRPr="00876A53" w:rsidRDefault="00053F2C" w:rsidP="005C6107">
      <w:r w:rsidRPr="00876A53">
        <w:t>Ohio law supports leaving non</w:t>
      </w:r>
      <w:r w:rsidR="00553134" w:rsidRPr="00876A53">
        <w:t>-</w:t>
      </w:r>
      <w:r w:rsidRPr="00876A53">
        <w:t xml:space="preserve">market-based transmission charges bypassable.  </w:t>
      </w:r>
      <w:r w:rsidR="00CF1690" w:rsidRPr="00876A53">
        <w:t xml:space="preserve">R.C. </w:t>
      </w:r>
      <w:r w:rsidRPr="00876A53">
        <w:t>4928.02(B)</w:t>
      </w:r>
      <w:r w:rsidRPr="00876A53">
        <w:rPr>
          <w:rFonts w:cs="Arial"/>
        </w:rPr>
        <w:t xml:space="preserve"> provides that it is the policy of the </w:t>
      </w:r>
      <w:r w:rsidR="002C3E11" w:rsidRPr="00876A53">
        <w:rPr>
          <w:rFonts w:cs="Arial"/>
        </w:rPr>
        <w:t>S</w:t>
      </w:r>
      <w:r w:rsidRPr="00876A53">
        <w:rPr>
          <w:rFonts w:cs="Arial"/>
        </w:rPr>
        <w:t>tate to</w:t>
      </w:r>
      <w:r w:rsidR="00CF1690" w:rsidRPr="00876A53">
        <w:rPr>
          <w:rFonts w:cs="Arial"/>
        </w:rPr>
        <w:t xml:space="preserve"> </w:t>
      </w:r>
      <w:r w:rsidRPr="00876A53">
        <w:rPr>
          <w:rFonts w:cs="Arial"/>
        </w:rPr>
        <w:t>“[e]nsure the availability of unbundled and comparable retail electric service that provides consumers with the supplier, price, terms, conditions, and quality options they elect to meet their respective needs.”  The proposed BTCR removes customers’ ability to “elect” the price, terms, conditions, and quality options for non</w:t>
      </w:r>
      <w:r w:rsidR="00553134" w:rsidRPr="00876A53">
        <w:rPr>
          <w:rFonts w:cs="Arial"/>
        </w:rPr>
        <w:t>-</w:t>
      </w:r>
      <w:r w:rsidRPr="00876A53">
        <w:rPr>
          <w:rFonts w:cs="Arial"/>
        </w:rPr>
        <w:t xml:space="preserve">market-based transmission service.  </w:t>
      </w:r>
    </w:p>
    <w:p w:rsidR="00053F2C" w:rsidRPr="00876A53" w:rsidRDefault="00053F2C" w:rsidP="005C6107">
      <w:pPr>
        <w:rPr>
          <w:rFonts w:eastAsia="MS PGothic"/>
        </w:rPr>
      </w:pPr>
      <w:r w:rsidRPr="00876A53">
        <w:rPr>
          <w:rFonts w:eastAsia="MS PGothic"/>
        </w:rPr>
        <w:t>It is common practice for customers receiving service from a CRES provider to structure their contracts to treat transmission and ancillary services costs (</w:t>
      </w:r>
      <w:r w:rsidRPr="00876A53">
        <w:rPr>
          <w:rFonts w:eastAsia="MS PGothic"/>
          <w:i/>
        </w:rPr>
        <w:t>i.e.</w:t>
      </w:r>
      <w:r w:rsidRPr="00876A53">
        <w:rPr>
          <w:rFonts w:eastAsia="MS PGothic"/>
        </w:rPr>
        <w:t xml:space="preserve"> the costs </w:t>
      </w:r>
      <w:r w:rsidRPr="00876A53">
        <w:rPr>
          <w:rFonts w:eastAsia="MS PGothic"/>
        </w:rPr>
        <w:lastRenderedPageBreak/>
        <w:t>AEP-Ohio wants to collect through the BTCR) as either a cost reflected in a fixed-price offer or a pass-through cost.</w:t>
      </w:r>
      <w:r w:rsidRPr="00876A53">
        <w:rPr>
          <w:rStyle w:val="FootnoteReference"/>
          <w:rFonts w:eastAsia="MS PGothic"/>
        </w:rPr>
        <w:footnoteReference w:id="145"/>
      </w:r>
      <w:r w:rsidRPr="00876A53">
        <w:rPr>
          <w:rFonts w:eastAsia="MS PGothic"/>
        </w:rPr>
        <w:t xml:space="preserve">  Either approach may be viewed as beneficial from a customer standpoint.</w:t>
      </w:r>
      <w:r w:rsidRPr="00876A53">
        <w:rPr>
          <w:rStyle w:val="FootnoteReference"/>
          <w:rFonts w:eastAsia="MS PGothic"/>
        </w:rPr>
        <w:footnoteReference w:id="146"/>
      </w:r>
      <w:r w:rsidRPr="00876A53">
        <w:rPr>
          <w:rFonts w:eastAsia="MS PGothic"/>
        </w:rPr>
        <w:t xml:space="preserve">  Under a fixed-price approach, the CRES provider is assuming the transmission pricing risk</w:t>
      </w:r>
      <w:r w:rsidR="00CF1690" w:rsidRPr="00876A53">
        <w:rPr>
          <w:rFonts w:eastAsia="MS PGothic"/>
        </w:rPr>
        <w:t>,</w:t>
      </w:r>
      <w:r w:rsidRPr="00876A53">
        <w:rPr>
          <w:rFonts w:eastAsia="MS PGothic"/>
        </w:rPr>
        <w:t xml:space="preserve"> and this risk transfer can be valuable to the customer.</w:t>
      </w:r>
      <w:r w:rsidRPr="00876A53">
        <w:rPr>
          <w:rStyle w:val="FootnoteReference"/>
          <w:rFonts w:eastAsia="MS PGothic"/>
        </w:rPr>
        <w:footnoteReference w:id="147"/>
      </w:r>
      <w:r w:rsidRPr="00876A53">
        <w:rPr>
          <w:rFonts w:eastAsia="MS PGothic"/>
        </w:rPr>
        <w:t xml:space="preserve">  When transmission and ancillary services are treated as a pass-through cost, </w:t>
      </w:r>
      <w:r w:rsidR="00CF1690" w:rsidRPr="00876A53">
        <w:rPr>
          <w:rFonts w:eastAsia="MS PGothic"/>
        </w:rPr>
        <w:t>the pass</w:t>
      </w:r>
      <w:r w:rsidR="002C3E11" w:rsidRPr="00876A53">
        <w:rPr>
          <w:rFonts w:eastAsia="MS PGothic"/>
        </w:rPr>
        <w:t>-</w:t>
      </w:r>
      <w:r w:rsidR="00CF1690" w:rsidRPr="00876A53">
        <w:rPr>
          <w:rFonts w:eastAsia="MS PGothic"/>
        </w:rPr>
        <w:t xml:space="preserve">through </w:t>
      </w:r>
      <w:r w:rsidRPr="00876A53">
        <w:rPr>
          <w:rFonts w:eastAsia="MS PGothic"/>
        </w:rPr>
        <w:t>provides customers with the ability to proactively manage their usage and reduce their energy usage and resulting electricity bill during times of peak demand.</w:t>
      </w:r>
      <w:r w:rsidRPr="00876A53">
        <w:rPr>
          <w:rStyle w:val="FootnoteReference"/>
          <w:rFonts w:eastAsia="MS PGothic"/>
        </w:rPr>
        <w:footnoteReference w:id="148"/>
      </w:r>
      <w:r w:rsidRPr="00876A53">
        <w:tab/>
      </w:r>
    </w:p>
    <w:p w:rsidR="00053F2C" w:rsidRPr="00876A53" w:rsidRDefault="00053F2C" w:rsidP="005C6107">
      <w:pPr>
        <w:rPr>
          <w:rFonts w:ascii="Times New Roman" w:hAnsi="Times New Roman"/>
        </w:rPr>
      </w:pPr>
      <w:r w:rsidRPr="00876A53">
        <w:rPr>
          <w:rFonts w:cs="Arial"/>
        </w:rPr>
        <w:t xml:space="preserve">Because the proposed BTCR conflicts with the </w:t>
      </w:r>
      <w:r w:rsidR="00B76BB4" w:rsidRPr="00876A53">
        <w:rPr>
          <w:rFonts w:cs="Arial"/>
        </w:rPr>
        <w:t>state by reducing customer options</w:t>
      </w:r>
      <w:r w:rsidR="004F1376" w:rsidRPr="00876A53">
        <w:rPr>
          <w:rFonts w:cs="Arial"/>
        </w:rPr>
        <w:t>,</w:t>
      </w:r>
      <w:r w:rsidRPr="00876A53">
        <w:rPr>
          <w:rFonts w:cs="Arial"/>
        </w:rPr>
        <w:t xml:space="preserve"> it should be rejected.</w:t>
      </w:r>
    </w:p>
    <w:p w:rsidR="00053F2C" w:rsidRPr="00876A53" w:rsidRDefault="00CF1690" w:rsidP="00FE0711">
      <w:pPr>
        <w:pStyle w:val="Heading2"/>
      </w:pPr>
      <w:bookmarkStart w:id="52" w:name="_Toc392930607"/>
      <w:bookmarkStart w:id="53" w:name="_Toc392930698"/>
      <w:bookmarkStart w:id="54" w:name="_Toc393524909"/>
      <w:bookmarkStart w:id="55" w:name="_Toc393878373"/>
      <w:r w:rsidRPr="00876A53">
        <w:t>The</w:t>
      </w:r>
      <w:r w:rsidR="00053F2C" w:rsidRPr="00876A53">
        <w:t xml:space="preserve"> BTCR does not provide customers with efficient price signals to reduce usage at times of peak demand</w:t>
      </w:r>
      <w:bookmarkEnd w:id="52"/>
      <w:bookmarkEnd w:id="53"/>
      <w:bookmarkEnd w:id="54"/>
      <w:bookmarkEnd w:id="55"/>
    </w:p>
    <w:p w:rsidR="00053F2C" w:rsidRPr="00876A53" w:rsidRDefault="00053F2C" w:rsidP="005C6107">
      <w:r w:rsidRPr="00876A53">
        <w:t xml:space="preserve">The BTCR </w:t>
      </w:r>
      <w:r w:rsidR="00CF1690" w:rsidRPr="00876A53">
        <w:t xml:space="preserve">also </w:t>
      </w:r>
      <w:r w:rsidRPr="00876A53">
        <w:t>should be rejected because it will not send customers efficient price signals to reduce usage during times of peak demand.  The inefficient price signals are a result of AEP-Ohio’s proposal to assign costs to customer classes for some non</w:t>
      </w:r>
      <w:r w:rsidR="00553134" w:rsidRPr="00876A53">
        <w:t>-</w:t>
      </w:r>
      <w:r w:rsidRPr="00876A53">
        <w:t>market-based transmission costs in a manner that differs from how the costs are assigned by PJM and to bill for costs in a manner that differs from how costs are assigned by PJM.</w:t>
      </w:r>
    </w:p>
    <w:p w:rsidR="00053F2C" w:rsidRPr="00876A53" w:rsidRDefault="00053F2C" w:rsidP="005C6107">
      <w:r w:rsidRPr="00876A53">
        <w:t>Of the five non</w:t>
      </w:r>
      <w:r w:rsidR="00553134" w:rsidRPr="00876A53">
        <w:t>-</w:t>
      </w:r>
      <w:r w:rsidRPr="00876A53">
        <w:t>market-based cost categories listed on Exhibit AEM-3, attached to Ms. Moore’s testimony, PJM bills all but Scheduling on a one coincident peak (“1 CP”) basis.</w:t>
      </w:r>
      <w:r w:rsidRPr="00876A53">
        <w:rPr>
          <w:rStyle w:val="FootnoteReference"/>
        </w:rPr>
        <w:footnoteReference w:id="149"/>
      </w:r>
      <w:r w:rsidRPr="00876A53">
        <w:t xml:space="preserve">  Scheduling is billed on an energy basis to Load Serving Entities.  AEP-</w:t>
      </w:r>
      <w:r w:rsidRPr="00876A53">
        <w:lastRenderedPageBreak/>
        <w:t xml:space="preserve">Ohio </w:t>
      </w:r>
      <w:r w:rsidR="004F1376" w:rsidRPr="00876A53">
        <w:t xml:space="preserve">proposes </w:t>
      </w:r>
      <w:r w:rsidRPr="00876A53">
        <w:t>to allocate four of the five non</w:t>
      </w:r>
      <w:r w:rsidR="00553134" w:rsidRPr="00876A53">
        <w:t>-</w:t>
      </w:r>
      <w:r w:rsidRPr="00876A53">
        <w:t>market-based cost categories to the rate schedules in the same manner as PJM bills the costs; however, AEP-Ohio plans to assign reactive supply costs to the rate classes on an energy basis.</w:t>
      </w:r>
      <w:r w:rsidRPr="00876A53">
        <w:rPr>
          <w:rStyle w:val="FootnoteReference"/>
        </w:rPr>
        <w:footnoteReference w:id="150"/>
      </w:r>
      <w:r w:rsidRPr="00876A53">
        <w:t xml:space="preserve">  </w:t>
      </w:r>
    </w:p>
    <w:p w:rsidR="00053F2C" w:rsidRPr="00876A53" w:rsidRDefault="00053F2C" w:rsidP="005C6107">
      <w:r w:rsidRPr="00876A53">
        <w:t>After the charges are allocated to the rate schedules, AEP-Ohio plans to collect these costs through a combination of demand and energy charges.</w:t>
      </w:r>
      <w:r w:rsidRPr="00876A53">
        <w:rPr>
          <w:rStyle w:val="FootnoteReference"/>
        </w:rPr>
        <w:footnoteReference w:id="151"/>
      </w:r>
      <w:r w:rsidRPr="00876A53">
        <w:t xml:space="preserve">  However, AEP-Ohio does not plan to use </w:t>
      </w:r>
      <w:r w:rsidR="00FE7E15" w:rsidRPr="00876A53">
        <w:t xml:space="preserve">a demand-metered </w:t>
      </w:r>
      <w:r w:rsidRPr="00876A53">
        <w:t>customer</w:t>
      </w:r>
      <w:r w:rsidR="00FE7E15" w:rsidRPr="00876A53">
        <w:t>’s</w:t>
      </w:r>
      <w:r w:rsidRPr="00876A53">
        <w:t xml:space="preserve"> individual contribution to the 1 CP as the demand billing determinant.</w:t>
      </w:r>
      <w:r w:rsidRPr="00876A53">
        <w:rPr>
          <w:rStyle w:val="FootnoteReference"/>
        </w:rPr>
        <w:footnoteReference w:id="152"/>
      </w:r>
      <w:r w:rsidRPr="00876A53">
        <w:t xml:space="preserve">  Instead, AEP-Ohio plans to bill demand charges based upon a different demand-billing determinant, </w:t>
      </w:r>
      <w:r w:rsidR="00114938" w:rsidRPr="00876A53">
        <w:t xml:space="preserve">a </w:t>
      </w:r>
      <w:r w:rsidRPr="00876A53">
        <w:t>customer’s peak monthly demand (or through a demand ratchet).</w:t>
      </w:r>
      <w:r w:rsidRPr="00876A53">
        <w:rPr>
          <w:rStyle w:val="FootnoteReference"/>
        </w:rPr>
        <w:footnoteReference w:id="153"/>
      </w:r>
      <w:r w:rsidRPr="00876A53">
        <w:t xml:space="preserve">  </w:t>
      </w:r>
      <w:r w:rsidRPr="00876A53">
        <w:rPr>
          <w:rFonts w:eastAsia="MS PGothic" w:cs="Arial"/>
        </w:rPr>
        <w:t>A customer’s monthly peak demand or demand ratchet will have little, if any, relationship to the single zonal coincident peak within the PJM zone</w:t>
      </w:r>
      <w:r w:rsidR="00114938" w:rsidRPr="00876A53">
        <w:rPr>
          <w:rFonts w:eastAsia="MS PGothic" w:cs="Arial"/>
        </w:rPr>
        <w:t>.  As a result, the BTCR would</w:t>
      </w:r>
      <w:r w:rsidRPr="00876A53">
        <w:rPr>
          <w:rFonts w:eastAsia="MS PGothic" w:cs="Arial"/>
        </w:rPr>
        <w:t xml:space="preserve"> eliminate the demand response opportunity that is signaled to customers obtaining transmission service, directly or indirectly, through PJM.</w:t>
      </w:r>
      <w:r w:rsidRPr="00876A53">
        <w:rPr>
          <w:rStyle w:val="FootnoteReference"/>
          <w:rFonts w:eastAsia="MS PGothic" w:cs="Arial"/>
        </w:rPr>
        <w:footnoteReference w:id="154"/>
      </w:r>
      <w:r w:rsidRPr="00876A53">
        <w:rPr>
          <w:rFonts w:eastAsia="MS PGothic" w:cs="Arial"/>
        </w:rPr>
        <w:t xml:space="preserve">  </w:t>
      </w:r>
    </w:p>
    <w:p w:rsidR="00053F2C" w:rsidRPr="00876A53" w:rsidRDefault="00053F2C" w:rsidP="005C6107">
      <w:pPr>
        <w:rPr>
          <w:rFonts w:eastAsia="MS PGothic"/>
        </w:rPr>
      </w:pPr>
      <w:r w:rsidRPr="00876A53">
        <w:rPr>
          <w:rFonts w:eastAsia="MS PGothic"/>
        </w:rPr>
        <w:t xml:space="preserve">In contrast to the proposed BTCR, current pricing options available through CRES providers allow </w:t>
      </w:r>
      <w:r w:rsidR="00CF1690" w:rsidRPr="00876A53">
        <w:rPr>
          <w:rFonts w:eastAsia="MS PGothic"/>
        </w:rPr>
        <w:t>customers</w:t>
      </w:r>
      <w:r w:rsidRPr="00876A53">
        <w:rPr>
          <w:rFonts w:eastAsia="MS PGothic"/>
        </w:rPr>
        <w:t xml:space="preserve"> to contract for transmission service as </w:t>
      </w:r>
      <w:r w:rsidR="008B4F9F" w:rsidRPr="00876A53">
        <w:rPr>
          <w:rFonts w:eastAsia="MS PGothic"/>
        </w:rPr>
        <w:t xml:space="preserve">a portion of a </w:t>
      </w:r>
      <w:r w:rsidR="002C3E11" w:rsidRPr="00876A53">
        <w:rPr>
          <w:rFonts w:eastAsia="MS PGothic"/>
        </w:rPr>
        <w:t xml:space="preserve">fixed </w:t>
      </w:r>
      <w:r w:rsidR="008B4F9F" w:rsidRPr="00876A53">
        <w:rPr>
          <w:rFonts w:eastAsia="MS PGothic"/>
        </w:rPr>
        <w:t xml:space="preserve">price of all services provided by the CRES provider or </w:t>
      </w:r>
      <w:r w:rsidRPr="00876A53">
        <w:rPr>
          <w:rFonts w:eastAsia="MS PGothic"/>
        </w:rPr>
        <w:t>a pass-through.</w:t>
      </w:r>
      <w:r w:rsidRPr="00876A53">
        <w:rPr>
          <w:rStyle w:val="FootnoteReference"/>
          <w:rFonts w:eastAsia="MS PGothic"/>
        </w:rPr>
        <w:footnoteReference w:id="155"/>
      </w:r>
      <w:r w:rsidRPr="00876A53">
        <w:rPr>
          <w:rFonts w:eastAsia="MS PGothic"/>
        </w:rPr>
        <w:t xml:space="preserve"> </w:t>
      </w:r>
      <w:r w:rsidR="00FE7E15" w:rsidRPr="00876A53">
        <w:rPr>
          <w:rFonts w:eastAsia="MS PGothic"/>
        </w:rPr>
        <w:t xml:space="preserve"> </w:t>
      </w:r>
      <w:r w:rsidR="008B4F9F" w:rsidRPr="00876A53">
        <w:rPr>
          <w:rFonts w:eastAsia="MS PGothic"/>
        </w:rPr>
        <w:t xml:space="preserve">For a customer interested in managing </w:t>
      </w:r>
      <w:r w:rsidR="004F1376" w:rsidRPr="00876A53">
        <w:rPr>
          <w:rFonts w:eastAsia="MS PGothic"/>
        </w:rPr>
        <w:t xml:space="preserve">its </w:t>
      </w:r>
      <w:r w:rsidR="008B4F9F" w:rsidRPr="00876A53">
        <w:rPr>
          <w:rFonts w:eastAsia="MS PGothic"/>
        </w:rPr>
        <w:t>demand-related costs, a</w:t>
      </w:r>
      <w:r w:rsidR="00FE7E15" w:rsidRPr="00876A53">
        <w:rPr>
          <w:rFonts w:eastAsia="MS PGothic"/>
        </w:rPr>
        <w:t xml:space="preserve"> </w:t>
      </w:r>
      <w:r w:rsidR="001B1023" w:rsidRPr="00876A53">
        <w:rPr>
          <w:rFonts w:eastAsia="MS PGothic"/>
        </w:rPr>
        <w:t>pass-</w:t>
      </w:r>
      <w:r w:rsidR="00FE7E15" w:rsidRPr="00876A53">
        <w:rPr>
          <w:rFonts w:eastAsia="MS PGothic"/>
        </w:rPr>
        <w:t>through</w:t>
      </w:r>
      <w:r w:rsidRPr="00876A53">
        <w:rPr>
          <w:rFonts w:eastAsia="MS PGothic"/>
        </w:rPr>
        <w:t xml:space="preserve"> sends a transparent pricing signal to </w:t>
      </w:r>
      <w:r w:rsidR="008B4F9F" w:rsidRPr="00876A53">
        <w:rPr>
          <w:rFonts w:eastAsia="MS PGothic"/>
        </w:rPr>
        <w:t>the</w:t>
      </w:r>
      <w:r w:rsidRPr="00876A53">
        <w:rPr>
          <w:rFonts w:eastAsia="MS PGothic"/>
        </w:rPr>
        <w:t xml:space="preserve"> customer to reduce demand during peak load conditions and thereby reduce congestion that may otherwise result in higher prices or </w:t>
      </w:r>
      <w:r w:rsidRPr="00876A53">
        <w:rPr>
          <w:rFonts w:eastAsia="MS PGothic"/>
        </w:rPr>
        <w:lastRenderedPageBreak/>
        <w:t>degradation in reliability.</w:t>
      </w:r>
      <w:r w:rsidRPr="00876A53">
        <w:rPr>
          <w:rStyle w:val="FootnoteReference"/>
          <w:rFonts w:eastAsia="MS PGothic"/>
        </w:rPr>
        <w:footnoteReference w:id="156"/>
      </w:r>
      <w:r w:rsidRPr="00876A53">
        <w:rPr>
          <w:rFonts w:eastAsia="MS PGothic"/>
        </w:rPr>
        <w:t xml:space="preserve">  As Mr. Wilson testified for </w:t>
      </w:r>
      <w:r w:rsidR="002C3E11" w:rsidRPr="00876A53">
        <w:rPr>
          <w:rFonts w:eastAsia="MS PGothic"/>
        </w:rPr>
        <w:t>Interstate Gas Supply, Inc. (“</w:t>
      </w:r>
      <w:r w:rsidRPr="00876A53">
        <w:rPr>
          <w:rFonts w:eastAsia="MS PGothic"/>
        </w:rPr>
        <w:t>IGS</w:t>
      </w:r>
      <w:r w:rsidR="002C3E11" w:rsidRPr="00876A53">
        <w:rPr>
          <w:rFonts w:eastAsia="MS PGothic"/>
        </w:rPr>
        <w:t>”)</w:t>
      </w:r>
      <w:r w:rsidRPr="00876A53">
        <w:rPr>
          <w:rFonts w:eastAsia="MS PGothic"/>
        </w:rPr>
        <w:t>, rates based upon an individual customer’s contribution to the peak system demand send customers appropriate market signals to reduce usage during periods of peak demand on the electric grid.</w:t>
      </w:r>
      <w:r w:rsidRPr="00876A53">
        <w:rPr>
          <w:rStyle w:val="FootnoteReference"/>
          <w:rFonts w:eastAsia="MS PGothic"/>
        </w:rPr>
        <w:footnoteReference w:id="157"/>
      </w:r>
    </w:p>
    <w:p w:rsidR="00053F2C" w:rsidRPr="00876A53" w:rsidRDefault="00053F2C" w:rsidP="005C6107">
      <w:r w:rsidRPr="00876A53">
        <w:t xml:space="preserve">Accordingly, the proposed </w:t>
      </w:r>
      <w:r w:rsidR="00D93084" w:rsidRPr="00876A53">
        <w:t>nonbypassable</w:t>
      </w:r>
      <w:r w:rsidRPr="00876A53">
        <w:t xml:space="preserve"> BTCR should be rejected because it will not send efficient price signals to customers to reduce their usage during periods of peak demand on the transmission system.</w:t>
      </w:r>
    </w:p>
    <w:p w:rsidR="00053F2C" w:rsidRPr="00876A53" w:rsidRDefault="00053F2C" w:rsidP="00FE0711">
      <w:pPr>
        <w:pStyle w:val="Heading2"/>
      </w:pPr>
      <w:bookmarkStart w:id="56" w:name="_Toc392930610"/>
      <w:bookmarkStart w:id="57" w:name="_Toc392930701"/>
      <w:bookmarkStart w:id="58" w:name="_Toc393524912"/>
      <w:bookmarkStart w:id="59" w:name="_Toc393878374"/>
      <w:r w:rsidRPr="00876A53">
        <w:t>The BTCR is not needed to advance the competitive marketplace</w:t>
      </w:r>
      <w:bookmarkEnd w:id="56"/>
      <w:bookmarkEnd w:id="57"/>
      <w:bookmarkEnd w:id="58"/>
      <w:bookmarkEnd w:id="59"/>
    </w:p>
    <w:p w:rsidR="00053F2C" w:rsidRPr="00876A53" w:rsidRDefault="00A25939" w:rsidP="005C6107">
      <w:r w:rsidRPr="00876A53">
        <w:t>There</w:t>
      </w:r>
      <w:r w:rsidR="00053F2C" w:rsidRPr="00876A53">
        <w:t xml:space="preserve"> are </w:t>
      </w:r>
      <w:r w:rsidR="008B4F9F" w:rsidRPr="00876A53">
        <w:t>69</w:t>
      </w:r>
      <w:r w:rsidR="00053F2C" w:rsidRPr="00876A53">
        <w:t xml:space="preserve"> CRES providers registered in AEP-Ohio’s service area, </w:t>
      </w:r>
      <w:r w:rsidR="008B4F9F" w:rsidRPr="00876A53">
        <w:t>46</w:t>
      </w:r>
      <w:r w:rsidR="00053F2C" w:rsidRPr="00876A53">
        <w:t xml:space="preserve"> of which are actively serving customers.</w:t>
      </w:r>
      <w:r w:rsidRPr="00876A53">
        <w:rPr>
          <w:rStyle w:val="FootnoteReference"/>
        </w:rPr>
        <w:footnoteReference w:id="158"/>
      </w:r>
      <w:r w:rsidR="00053F2C" w:rsidRPr="00876A53">
        <w:t xml:space="preserve">  The competitive market is working in AEP-Ohio</w:t>
      </w:r>
      <w:r w:rsidR="00382291" w:rsidRPr="00876A53">
        <w:t>’s</w:t>
      </w:r>
      <w:r w:rsidR="00053F2C" w:rsidRPr="00876A53">
        <w:t xml:space="preserve"> certified distribution service area without the need for the proposed </w:t>
      </w:r>
      <w:r w:rsidR="00D93084" w:rsidRPr="00876A53">
        <w:t>nonbypassable</w:t>
      </w:r>
      <w:r w:rsidR="00053F2C" w:rsidRPr="00876A53">
        <w:t xml:space="preserve"> BTCR.  Thus, any claim that the rider is needed to advance the competitive marketplace is meritless.</w:t>
      </w:r>
    </w:p>
    <w:p w:rsidR="00053F2C" w:rsidRPr="00876A53" w:rsidRDefault="00053F2C" w:rsidP="00FE0711">
      <w:pPr>
        <w:pStyle w:val="Heading2"/>
      </w:pPr>
      <w:bookmarkStart w:id="60" w:name="_Toc392930611"/>
      <w:bookmarkStart w:id="61" w:name="_Toc392930702"/>
      <w:bookmarkStart w:id="62" w:name="_Toc393524913"/>
      <w:bookmarkStart w:id="63" w:name="_Toc393878375"/>
      <w:r w:rsidRPr="00876A53">
        <w:t xml:space="preserve">If the Commission does not reject the BTCR for the foregoing reasons, </w:t>
      </w:r>
      <w:r w:rsidR="005959A7" w:rsidRPr="00876A53">
        <w:t>it</w:t>
      </w:r>
      <w:r w:rsidRPr="00876A53">
        <w:t xml:space="preserve"> should at least modify the BTCR so that it ensures efficient price signals and does not result in double-billing</w:t>
      </w:r>
      <w:bookmarkEnd w:id="60"/>
      <w:bookmarkEnd w:id="61"/>
      <w:bookmarkEnd w:id="62"/>
      <w:bookmarkEnd w:id="63"/>
    </w:p>
    <w:p w:rsidR="00053F2C" w:rsidRPr="00876A53" w:rsidRDefault="00053F2C" w:rsidP="005C6107">
      <w:r w:rsidRPr="00876A53">
        <w:t xml:space="preserve">For the foregoing reasons, the Commission </w:t>
      </w:r>
      <w:r w:rsidR="00994B80" w:rsidRPr="00876A53">
        <w:t xml:space="preserve">should </w:t>
      </w:r>
      <w:r w:rsidRPr="00876A53">
        <w:t xml:space="preserve">reject the proposed BTCR.  </w:t>
      </w:r>
      <w:r w:rsidR="00994B80" w:rsidRPr="00876A53">
        <w:t>If</w:t>
      </w:r>
      <w:r w:rsidRPr="00876A53">
        <w:t xml:space="preserve"> the Commission does not reject the rider</w:t>
      </w:r>
      <w:r w:rsidR="00774D22" w:rsidRPr="00876A53">
        <w:t>,</w:t>
      </w:r>
      <w:r w:rsidRPr="00876A53">
        <w:t xml:space="preserve"> it </w:t>
      </w:r>
      <w:r w:rsidR="00114938" w:rsidRPr="00876A53">
        <w:t xml:space="preserve">should </w:t>
      </w:r>
      <w:r w:rsidR="00A25939" w:rsidRPr="00876A53">
        <w:t>order</w:t>
      </w:r>
      <w:r w:rsidRPr="00876A53">
        <w:t xml:space="preserve"> modifications </w:t>
      </w:r>
      <w:r w:rsidR="00A25939" w:rsidRPr="00876A53">
        <w:t xml:space="preserve">of the BTCR </w:t>
      </w:r>
      <w:r w:rsidRPr="00876A53">
        <w:t xml:space="preserve">to ensure that no customer is billed twice for the same service and </w:t>
      </w:r>
      <w:r w:rsidR="00A25939" w:rsidRPr="00876A53">
        <w:t>so</w:t>
      </w:r>
      <w:r w:rsidRPr="00876A53">
        <w:t xml:space="preserve"> that the BTCR sends customers efficient price signals.</w:t>
      </w:r>
    </w:p>
    <w:p w:rsidR="00053F2C" w:rsidRPr="00876A53" w:rsidRDefault="00A25939" w:rsidP="00994B80">
      <w:r w:rsidRPr="00876A53">
        <w:t xml:space="preserve">To avoid the potential for </w:t>
      </w:r>
      <w:r w:rsidR="005479D7" w:rsidRPr="00876A53">
        <w:t>double-</w:t>
      </w:r>
      <w:r w:rsidRPr="00876A53">
        <w:t>billing</w:t>
      </w:r>
      <w:r w:rsidR="00053F2C" w:rsidRPr="00876A53">
        <w:t xml:space="preserve">, the Commission should modify the proposed BTCR and allow any customer </w:t>
      </w:r>
      <w:r w:rsidR="00994B80" w:rsidRPr="00876A53">
        <w:t xml:space="preserve">that </w:t>
      </w:r>
      <w:r w:rsidR="00053F2C" w:rsidRPr="00876A53">
        <w:t xml:space="preserve">can affirmatively demonstrate that </w:t>
      </w:r>
      <w:r w:rsidR="004F1376" w:rsidRPr="00876A53">
        <w:t xml:space="preserve">its </w:t>
      </w:r>
      <w:r w:rsidR="00053F2C" w:rsidRPr="00876A53">
        <w:lastRenderedPageBreak/>
        <w:t xml:space="preserve">CRES provider has not removed the </w:t>
      </w:r>
      <w:r w:rsidRPr="00876A53">
        <w:t>non-market</w:t>
      </w:r>
      <w:r w:rsidR="00053F2C" w:rsidRPr="00876A53">
        <w:t xml:space="preserve">-based transmission service from </w:t>
      </w:r>
      <w:r w:rsidR="004F1376" w:rsidRPr="00876A53">
        <w:t xml:space="preserve">its </w:t>
      </w:r>
      <w:r w:rsidR="00053F2C" w:rsidRPr="00876A53">
        <w:t xml:space="preserve">bills to opt-out of the BTCR (or receive a credit under the rider) until such time as the shopping customer is no longer paying the CRES provider for </w:t>
      </w:r>
      <w:r w:rsidRPr="00876A53">
        <w:t>non-market</w:t>
      </w:r>
      <w:r w:rsidR="00053F2C" w:rsidRPr="00876A53">
        <w:t xml:space="preserve">-based transmission service.  </w:t>
      </w:r>
      <w:r w:rsidR="00994B80" w:rsidRPr="00876A53">
        <w:t>To address the problems of price transparency and efficiency, t</w:t>
      </w:r>
      <w:r w:rsidR="00053F2C" w:rsidRPr="00876A53">
        <w:t xml:space="preserve">he Commission should direct AEP-Ohio to assign reactive supply costs to customer classes on a 1 CP basis.  </w:t>
      </w:r>
      <w:r w:rsidR="00994B80" w:rsidRPr="00876A53">
        <w:t>The</w:t>
      </w:r>
      <w:r w:rsidR="00053F2C" w:rsidRPr="00876A53">
        <w:t xml:space="preserve"> Commission </w:t>
      </w:r>
      <w:r w:rsidR="00994B80" w:rsidRPr="00876A53">
        <w:t xml:space="preserve">also </w:t>
      </w:r>
      <w:r w:rsidR="00053F2C" w:rsidRPr="00876A53">
        <w:t>should direct AEP-Ohio to use a 1 CP billing determinant for demand-metered customers.</w:t>
      </w:r>
    </w:p>
    <w:p w:rsidR="00053F2C" w:rsidRPr="00876A53" w:rsidRDefault="00053F2C" w:rsidP="00FE0711">
      <w:pPr>
        <w:pStyle w:val="Heading1"/>
      </w:pPr>
      <w:bookmarkStart w:id="64" w:name="_Toc392930612"/>
      <w:bookmarkStart w:id="65" w:name="_Toc392930703"/>
      <w:bookmarkStart w:id="66" w:name="_Toc393524914"/>
      <w:bookmarkStart w:id="67" w:name="_Toc393878376"/>
      <w:r w:rsidRPr="00876A53">
        <w:t>The Commission should reject the POR</w:t>
      </w:r>
      <w:r w:rsidR="00553134" w:rsidRPr="00876A53">
        <w:t xml:space="preserve"> program</w:t>
      </w:r>
      <w:r w:rsidRPr="00876A53">
        <w:t>; if the Commission authorizes a POR</w:t>
      </w:r>
      <w:r w:rsidR="00553134" w:rsidRPr="00876A53">
        <w:t>,</w:t>
      </w:r>
      <w:r w:rsidRPr="00876A53">
        <w:t xml:space="preserve"> it should order that accounts receivable be purchased at a discount and deny authorization of the </w:t>
      </w:r>
      <w:bookmarkEnd w:id="64"/>
      <w:bookmarkEnd w:id="65"/>
      <w:r w:rsidR="0092196B" w:rsidRPr="00876A53">
        <w:t>BDR</w:t>
      </w:r>
      <w:bookmarkEnd w:id="66"/>
      <w:bookmarkEnd w:id="67"/>
    </w:p>
    <w:p w:rsidR="00053F2C" w:rsidRPr="00876A53" w:rsidRDefault="00053F2C" w:rsidP="005C6107">
      <w:r w:rsidRPr="00876A53">
        <w:t>AEP-Ohio proposes to implement a POR</w:t>
      </w:r>
      <w:r w:rsidR="00553134" w:rsidRPr="00876A53">
        <w:t xml:space="preserve"> program that includes a</w:t>
      </w:r>
      <w:r w:rsidRPr="00876A53">
        <w:t xml:space="preserve"> </w:t>
      </w:r>
      <w:r w:rsidR="0092196B" w:rsidRPr="00876A53">
        <w:t>BDR</w:t>
      </w:r>
      <w:r w:rsidRPr="00876A53">
        <w:t>.  Under the POR</w:t>
      </w:r>
      <w:r w:rsidR="003468FF" w:rsidRPr="00876A53">
        <w:t xml:space="preserve"> program</w:t>
      </w:r>
      <w:r w:rsidRPr="00876A53">
        <w:t>, AEP-Ohio would purchase CRES providers’ commodity</w:t>
      </w:r>
      <w:r w:rsidR="002C3E11" w:rsidRPr="00876A53">
        <w:t>-</w:t>
      </w:r>
      <w:r w:rsidRPr="00876A53">
        <w:t>related receivables without discount and without recourse.</w:t>
      </w:r>
      <w:r w:rsidRPr="00876A53">
        <w:rPr>
          <w:rStyle w:val="FootnoteReference"/>
        </w:rPr>
        <w:footnoteReference w:id="159"/>
      </w:r>
      <w:r w:rsidRPr="00876A53">
        <w:t xml:space="preserve">  According to Mr. Gabbard, the proposed POR </w:t>
      </w:r>
      <w:r w:rsidR="003468FF" w:rsidRPr="00876A53">
        <w:t xml:space="preserve">program </w:t>
      </w:r>
      <w:r w:rsidRPr="00876A53">
        <w:t xml:space="preserve">would encourage the entry of additional CRES providers, expand </w:t>
      </w:r>
      <w:r w:rsidR="00382291" w:rsidRPr="00876A53">
        <w:t xml:space="preserve">the </w:t>
      </w:r>
      <w:r w:rsidRPr="00876A53">
        <w:t>use of budget and average monthly billing programs, and simplify customer contacts.</w:t>
      </w:r>
      <w:r w:rsidRPr="00876A53">
        <w:rPr>
          <w:rStyle w:val="FootnoteReference"/>
        </w:rPr>
        <w:footnoteReference w:id="160"/>
      </w:r>
      <w:r w:rsidRPr="00876A53">
        <w:t xml:space="preserve">  CRES providers would benefit from the improved cash flow certainty afforded by the purchase of receivables without discount or risk of recourse and reduced contact with customers and </w:t>
      </w:r>
      <w:r w:rsidR="00553134" w:rsidRPr="00876A53">
        <w:t xml:space="preserve">their </w:t>
      </w:r>
      <w:r w:rsidRPr="00876A53">
        <w:t>billing issues.</w:t>
      </w:r>
      <w:r w:rsidRPr="00876A53">
        <w:rPr>
          <w:rStyle w:val="FootnoteReference"/>
        </w:rPr>
        <w:footnoteReference w:id="161"/>
      </w:r>
      <w:r w:rsidRPr="00876A53">
        <w:t xml:space="preserve">  AEP-Ohio would benefit from simplified customer service processes </w:t>
      </w:r>
      <w:r w:rsidR="003468FF" w:rsidRPr="00876A53">
        <w:t>associated with</w:t>
      </w:r>
      <w:r w:rsidRPr="00876A53">
        <w:t xml:space="preserve"> credit</w:t>
      </w:r>
      <w:r w:rsidR="003468FF" w:rsidRPr="00876A53">
        <w:t xml:space="preserve"> determinations</w:t>
      </w:r>
      <w:r w:rsidRPr="00876A53">
        <w:t xml:space="preserve"> and collections.</w:t>
      </w:r>
      <w:r w:rsidRPr="00876A53">
        <w:rPr>
          <w:rStyle w:val="FootnoteReference"/>
        </w:rPr>
        <w:footnoteReference w:id="162"/>
      </w:r>
      <w:r w:rsidRPr="00876A53">
        <w:t xml:space="preserve"> </w:t>
      </w:r>
    </w:p>
    <w:p w:rsidR="00053F2C" w:rsidRPr="00876A53" w:rsidRDefault="00053F2C" w:rsidP="005C6107">
      <w:r w:rsidRPr="00876A53">
        <w:lastRenderedPageBreak/>
        <w:t xml:space="preserve">In addition, AEP-Ohio is proposing that it be authorized to implement a </w:t>
      </w:r>
      <w:r w:rsidR="0092196B" w:rsidRPr="00876A53">
        <w:t>BDR</w:t>
      </w:r>
      <w:r w:rsidR="00553134" w:rsidRPr="00876A53">
        <w:t xml:space="preserve"> as part of the POR program</w:t>
      </w:r>
      <w:r w:rsidRPr="00876A53">
        <w:t xml:space="preserve">.  Through the </w:t>
      </w:r>
      <w:r w:rsidR="00553134" w:rsidRPr="00876A53">
        <w:t xml:space="preserve">nonbypassable </w:t>
      </w:r>
      <w:r w:rsidR="0092196B" w:rsidRPr="00876A53">
        <w:t>BDR</w:t>
      </w:r>
      <w:r w:rsidRPr="00876A53">
        <w:t>, AEP-Ohio would charge or credit the difference in bad debt expense in addition to or less than the bad debt expense embedded in current distribution rates (</w:t>
      </w:r>
      <w:r w:rsidR="00553134" w:rsidRPr="00876A53">
        <w:t>reduced</w:t>
      </w:r>
      <w:r w:rsidRPr="00876A53">
        <w:t xml:space="preserve"> by any revenue recovered through a proposed residential late payment charge</w:t>
      </w:r>
      <w:r w:rsidR="00553134" w:rsidRPr="00876A53">
        <w:t>)</w:t>
      </w:r>
      <w:r w:rsidRPr="00876A53">
        <w:t>.</w:t>
      </w:r>
      <w:r w:rsidRPr="00876A53">
        <w:rPr>
          <w:rStyle w:val="FootnoteReference"/>
        </w:rPr>
        <w:footnoteReference w:id="163"/>
      </w:r>
      <w:r w:rsidRPr="00876A53">
        <w:t xml:space="preserve">  AEP-Ohio argues that the Commission should authorize the </w:t>
      </w:r>
      <w:r w:rsidR="0092196B" w:rsidRPr="00876A53">
        <w:t>BDR</w:t>
      </w:r>
      <w:r w:rsidRPr="00876A53">
        <w:t xml:space="preserve"> because other EDUs such as Duke</w:t>
      </w:r>
      <w:r w:rsidR="00553134" w:rsidRPr="00876A53">
        <w:t xml:space="preserve"> Energy Ohio (“Duke”)</w:t>
      </w:r>
      <w:r w:rsidRPr="00876A53">
        <w:t xml:space="preserve"> have such a charge, that AEP-Ohio is at risk for under-recovery</w:t>
      </w:r>
      <w:r w:rsidR="00553134" w:rsidRPr="00876A53">
        <w:t xml:space="preserve"> of bad debt expense</w:t>
      </w:r>
      <w:r w:rsidRPr="00876A53">
        <w:t xml:space="preserve">, that the </w:t>
      </w:r>
      <w:r w:rsidR="0092196B" w:rsidRPr="00876A53">
        <w:t>BDR</w:t>
      </w:r>
      <w:r w:rsidRPr="00876A53">
        <w:t xml:space="preserve"> will allow accurate and timely recovery of bad debt expense, and that a nonbypassable rider will prevent cross-subsidization.</w:t>
      </w:r>
      <w:r w:rsidRPr="00876A53">
        <w:rPr>
          <w:rStyle w:val="FootnoteReference"/>
        </w:rPr>
        <w:footnoteReference w:id="164"/>
      </w:r>
    </w:p>
    <w:p w:rsidR="00053F2C" w:rsidRPr="00876A53" w:rsidRDefault="00053F2C" w:rsidP="005C6107">
      <w:r w:rsidRPr="00876A53">
        <w:t xml:space="preserve">The Commission should not authorize the POR and </w:t>
      </w:r>
      <w:r w:rsidR="0092196B" w:rsidRPr="00876A53">
        <w:t>BDR</w:t>
      </w:r>
      <w:r w:rsidRPr="00876A53">
        <w:t xml:space="preserve"> proposed by AEP-Ohio because AEP-Ohio has failed to demonstrate the need or benefits of either.  Further, approval of the </w:t>
      </w:r>
      <w:r w:rsidR="0092196B" w:rsidRPr="00876A53">
        <w:t>BDR</w:t>
      </w:r>
      <w:r w:rsidRPr="00876A53">
        <w:t xml:space="preserve"> would result in two poor policy decisions</w:t>
      </w:r>
      <w:r w:rsidR="004F1376" w:rsidRPr="00876A53">
        <w:t>:</w:t>
      </w:r>
      <w:r w:rsidR="002C3E11" w:rsidRPr="00876A53">
        <w:t xml:space="preserve"> </w:t>
      </w:r>
      <w:r w:rsidRPr="00876A53">
        <w:t xml:space="preserve"> it would allow AEP-Ohio to breach the terms of the Stipulation it signed </w:t>
      </w:r>
      <w:r w:rsidR="002C3E11" w:rsidRPr="00876A53">
        <w:t xml:space="preserve">to resolve the prior Duke ESP case (“Duke Stipulation”) </w:t>
      </w:r>
      <w:r w:rsidRPr="00876A53">
        <w:t>by using the Stipulation to support approval of the rider</w:t>
      </w:r>
      <w:r w:rsidR="004F1376" w:rsidRPr="00876A53">
        <w:t>;</w:t>
      </w:r>
      <w:r w:rsidRPr="00876A53">
        <w:t xml:space="preserve"> and the rider </w:t>
      </w:r>
      <w:r w:rsidR="003468FF" w:rsidRPr="00876A53">
        <w:t>creates a moral hazard because</w:t>
      </w:r>
      <w:r w:rsidRPr="00876A53">
        <w:t xml:space="preserve"> </w:t>
      </w:r>
      <w:r w:rsidR="003468FF" w:rsidRPr="00876A53">
        <w:t xml:space="preserve">it </w:t>
      </w:r>
      <w:r w:rsidRPr="00876A53">
        <w:t>frees CRES providers from market discipline</w:t>
      </w:r>
      <w:r w:rsidR="003468FF" w:rsidRPr="00876A53">
        <w:t xml:space="preserve"> by shifting the market risk (and resulting costs) of nonpayment for CRES to all customers</w:t>
      </w:r>
      <w:r w:rsidRPr="00876A53">
        <w:t>.  If the Commission approves a POR</w:t>
      </w:r>
      <w:r w:rsidR="002C3E11" w:rsidRPr="00876A53">
        <w:t xml:space="preserve"> program</w:t>
      </w:r>
      <w:r w:rsidRPr="00876A53">
        <w:t>, then the program should be based on a requirement tha</w:t>
      </w:r>
      <w:r w:rsidR="00226D7F" w:rsidRPr="00876A53">
        <w:t>t</w:t>
      </w:r>
      <w:r w:rsidRPr="00876A53">
        <w:t xml:space="preserve"> the accounts receivable be purchased at a discount.  If the Commission approves a POR </w:t>
      </w:r>
      <w:r w:rsidR="002C3E11" w:rsidRPr="00876A53">
        <w:t xml:space="preserve">program </w:t>
      </w:r>
      <w:r w:rsidRPr="00876A53">
        <w:t>modified to require that receivables be discounted, then there would</w:t>
      </w:r>
      <w:r w:rsidR="00553134" w:rsidRPr="00876A53">
        <w:t xml:space="preserve"> not</w:t>
      </w:r>
      <w:r w:rsidRPr="00876A53">
        <w:t xml:space="preserve"> be </w:t>
      </w:r>
      <w:r w:rsidR="00553134" w:rsidRPr="00876A53">
        <w:t>a</w:t>
      </w:r>
      <w:r w:rsidRPr="00876A53">
        <w:t xml:space="preserve"> need for a </w:t>
      </w:r>
      <w:r w:rsidR="0092196B" w:rsidRPr="00876A53">
        <w:t>BDR</w:t>
      </w:r>
      <w:r w:rsidRPr="00876A53">
        <w:t>.</w:t>
      </w:r>
    </w:p>
    <w:p w:rsidR="00053F2C" w:rsidRPr="00876A53" w:rsidRDefault="00957A6C" w:rsidP="00FE0711">
      <w:pPr>
        <w:pStyle w:val="Heading2"/>
      </w:pPr>
      <w:bookmarkStart w:id="68" w:name="_Toc392930613"/>
      <w:bookmarkStart w:id="69" w:name="_Toc392930704"/>
      <w:bookmarkStart w:id="70" w:name="_Toc393524915"/>
      <w:r w:rsidRPr="00876A53">
        <w:br w:type="column"/>
      </w:r>
      <w:bookmarkStart w:id="71" w:name="_Toc393878377"/>
      <w:r w:rsidR="00053F2C" w:rsidRPr="00876A53">
        <w:lastRenderedPageBreak/>
        <w:t xml:space="preserve">The POR </w:t>
      </w:r>
      <w:r w:rsidR="003468FF" w:rsidRPr="00876A53">
        <w:t xml:space="preserve">program </w:t>
      </w:r>
      <w:r w:rsidR="00053F2C" w:rsidRPr="00876A53">
        <w:t xml:space="preserve">does not provide a quantitative or </w:t>
      </w:r>
      <w:r w:rsidR="00653CA0" w:rsidRPr="00876A53">
        <w:t xml:space="preserve">non-quantitative </w:t>
      </w:r>
      <w:r w:rsidR="00053F2C" w:rsidRPr="00876A53">
        <w:t xml:space="preserve">benefit </w:t>
      </w:r>
      <w:r w:rsidR="00025999" w:rsidRPr="00876A53">
        <w:t>to customers</w:t>
      </w:r>
      <w:bookmarkEnd w:id="68"/>
      <w:bookmarkEnd w:id="69"/>
      <w:bookmarkEnd w:id="70"/>
      <w:bookmarkEnd w:id="71"/>
    </w:p>
    <w:p w:rsidR="00053F2C" w:rsidRPr="00876A53" w:rsidRDefault="00553134" w:rsidP="005C6107">
      <w:r w:rsidRPr="00876A53">
        <w:t>AEP-Ohio</w:t>
      </w:r>
      <w:r w:rsidR="00053F2C" w:rsidRPr="00876A53">
        <w:t xml:space="preserve"> concedes that customers and CRES providers will not receive </w:t>
      </w:r>
      <w:r w:rsidRPr="00876A53">
        <w:t xml:space="preserve">a </w:t>
      </w:r>
      <w:r w:rsidR="00053F2C" w:rsidRPr="00876A53">
        <w:t>quantitative benefit if the Commission authorizes the POR</w:t>
      </w:r>
      <w:r w:rsidRPr="00876A53">
        <w:t xml:space="preserve"> program</w:t>
      </w:r>
      <w:r w:rsidR="00053F2C" w:rsidRPr="00876A53">
        <w:t xml:space="preserve">, but asserts that customers and CRES providers will realize </w:t>
      </w:r>
      <w:r w:rsidRPr="00876A53">
        <w:t>non-quantitative</w:t>
      </w:r>
      <w:r w:rsidR="00053F2C" w:rsidRPr="00876A53">
        <w:t xml:space="preserve"> benefits through increased CRES participation and access to billing alternatives.</w:t>
      </w:r>
      <w:r w:rsidR="00053F2C" w:rsidRPr="00876A53">
        <w:rPr>
          <w:rStyle w:val="FootnoteReference"/>
        </w:rPr>
        <w:footnoteReference w:id="165"/>
      </w:r>
      <w:r w:rsidR="00053F2C" w:rsidRPr="00876A53">
        <w:t xml:space="preserve">  The record does not support these claims.</w:t>
      </w:r>
    </w:p>
    <w:p w:rsidR="00053F2C" w:rsidRPr="00876A53" w:rsidRDefault="00053F2C" w:rsidP="005C6107">
      <w:r w:rsidRPr="00876A53">
        <w:t xml:space="preserve">Although it asserts that a POR </w:t>
      </w:r>
      <w:r w:rsidR="00774D22" w:rsidRPr="00876A53">
        <w:t xml:space="preserve">program </w:t>
      </w:r>
      <w:r w:rsidRPr="00876A53">
        <w:t>would lower a barrier to entry of additional CRES providers, AEP-Ohio could not demonstrate that any additional CRES provider would enter the AEP-Ohio service territory if the Commission authorized a POR</w:t>
      </w:r>
      <w:r w:rsidR="00774D22" w:rsidRPr="00876A53">
        <w:t xml:space="preserve"> program</w:t>
      </w:r>
      <w:r w:rsidRPr="00876A53">
        <w:t>.</w:t>
      </w:r>
      <w:r w:rsidRPr="00876A53">
        <w:rPr>
          <w:rStyle w:val="FootnoteReference"/>
        </w:rPr>
        <w:footnoteReference w:id="166"/>
      </w:r>
      <w:r w:rsidRPr="00876A53">
        <w:t xml:space="preserve">  Further, AEP-Ohio could not point to any CRES provider not already serving customers that had contacted </w:t>
      </w:r>
      <w:r w:rsidR="00553134" w:rsidRPr="00876A53">
        <w:t>AEP-Ohio and requested</w:t>
      </w:r>
      <w:r w:rsidRPr="00876A53">
        <w:t xml:space="preserve"> a POR</w:t>
      </w:r>
      <w:r w:rsidR="00774D22" w:rsidRPr="00876A53">
        <w:t xml:space="preserve"> program</w:t>
      </w:r>
      <w:r w:rsidRPr="00876A53">
        <w:t>.</w:t>
      </w:r>
      <w:r w:rsidRPr="00876A53">
        <w:rPr>
          <w:rStyle w:val="FootnoteReference"/>
        </w:rPr>
        <w:footnoteReference w:id="167"/>
      </w:r>
    </w:p>
    <w:p w:rsidR="00053F2C" w:rsidRPr="00876A53" w:rsidRDefault="00053F2C" w:rsidP="005C6107">
      <w:r w:rsidRPr="00876A53">
        <w:t xml:space="preserve">AEP-Ohio’s </w:t>
      </w:r>
      <w:r w:rsidR="00553134" w:rsidRPr="00876A53">
        <w:t>claim</w:t>
      </w:r>
      <w:r w:rsidRPr="00876A53">
        <w:t xml:space="preserve"> that it expects CRES</w:t>
      </w:r>
      <w:r w:rsidR="00774D22" w:rsidRPr="00876A53">
        <w:t xml:space="preserve"> provider</w:t>
      </w:r>
      <w:r w:rsidRPr="00876A53">
        <w:t xml:space="preserve"> participation to increase also is simplistic.  The CRES provider’s decision to enter a market is affected by many more factors than whether the EDU has a POR</w:t>
      </w:r>
      <w:r w:rsidR="002C3E11" w:rsidRPr="00876A53">
        <w:t xml:space="preserve"> program</w:t>
      </w:r>
      <w:r w:rsidRPr="00876A53">
        <w:t>.  The CRES provider will consider the regulatory environment, existing market structure, EDU pricing of default service including nonbypassable riders, expected return on investment, and the long-term sustainability of entry (the</w:t>
      </w:r>
      <w:r w:rsidR="00A25939" w:rsidRPr="00876A53">
        <w:t xml:space="preserve"> </w:t>
      </w:r>
      <w:r w:rsidRPr="00876A53">
        <w:t>last of which Mr. Bennett, testifying for CRES providers, described as a “large component” of the decision).</w:t>
      </w:r>
      <w:r w:rsidRPr="00876A53">
        <w:rPr>
          <w:rStyle w:val="FootnoteReference"/>
        </w:rPr>
        <w:footnoteReference w:id="168"/>
      </w:r>
      <w:r w:rsidRPr="00876A53">
        <w:t xml:space="preserve">  As only one of many issues, the POR </w:t>
      </w:r>
      <w:r w:rsidR="002A01EC" w:rsidRPr="00876A53">
        <w:t xml:space="preserve">program </w:t>
      </w:r>
      <w:r w:rsidRPr="00876A53">
        <w:t>is an apparently minor factor affecting the decision to enter a particular service territory.</w:t>
      </w:r>
    </w:p>
    <w:p w:rsidR="00053F2C" w:rsidRPr="00876A53" w:rsidRDefault="00053F2C" w:rsidP="005C6107">
      <w:r w:rsidRPr="00876A53">
        <w:lastRenderedPageBreak/>
        <w:t>Additionally, there does not appear to be a shortage of CRES providers making CRES offers</w:t>
      </w:r>
      <w:r w:rsidR="00553134" w:rsidRPr="00876A53">
        <w:t xml:space="preserve"> or a lack in variety in the offers being made</w:t>
      </w:r>
      <w:r w:rsidRPr="00876A53">
        <w:t>.  Sixty-nine CRES providers are currently certified to serve the AEP-Ohio service territory; 46 are in contract with one or more customers.</w:t>
      </w:r>
      <w:r w:rsidRPr="00876A53">
        <w:rPr>
          <w:rStyle w:val="FootnoteReference"/>
        </w:rPr>
        <w:footnoteReference w:id="169"/>
      </w:r>
      <w:r w:rsidRPr="00876A53">
        <w:t xml:space="preserve">  The range of offers includes many that are for terms up to three years, and there are dozens more for periods of a few months to two years.</w:t>
      </w:r>
      <w:r w:rsidRPr="00876A53">
        <w:rPr>
          <w:rStyle w:val="FootnoteReference"/>
        </w:rPr>
        <w:footnoteReference w:id="170"/>
      </w:r>
      <w:r w:rsidRPr="00876A53">
        <w:t xml:space="preserve">  Further</w:t>
      </w:r>
      <w:r w:rsidR="00382291" w:rsidRPr="00876A53">
        <w:t>,</w:t>
      </w:r>
      <w:r w:rsidRPr="00876A53">
        <w:t xml:space="preserve"> the offers </w:t>
      </w:r>
      <w:r w:rsidR="005959A7" w:rsidRPr="00876A53">
        <w:t>include</w:t>
      </w:r>
      <w:r w:rsidRPr="00876A53">
        <w:t xml:space="preserve"> fixed </w:t>
      </w:r>
      <w:r w:rsidR="002A01EC" w:rsidRPr="00876A53">
        <w:t xml:space="preserve">and </w:t>
      </w:r>
      <w:r w:rsidR="005959A7" w:rsidRPr="00876A53">
        <w:t>variable pricing options</w:t>
      </w:r>
      <w:r w:rsidRPr="00876A53">
        <w:t>.</w:t>
      </w:r>
      <w:r w:rsidRPr="00876A53">
        <w:rPr>
          <w:rStyle w:val="FootnoteReference"/>
        </w:rPr>
        <w:footnoteReference w:id="171"/>
      </w:r>
      <w:r w:rsidRPr="00876A53">
        <w:t xml:space="preserve">  </w:t>
      </w:r>
    </w:p>
    <w:p w:rsidR="00053F2C" w:rsidRPr="00876A53" w:rsidRDefault="00053F2C" w:rsidP="005C6107">
      <w:r w:rsidRPr="00876A53">
        <w:t>AEP-Ohio also failed to demonstrate that additional CRES</w:t>
      </w:r>
      <w:r w:rsidR="002C3E11" w:rsidRPr="00876A53">
        <w:t xml:space="preserve"> provider</w:t>
      </w:r>
      <w:r w:rsidRPr="00876A53">
        <w:t xml:space="preserve"> entry will provide a benefit to customers.  The Application did not attempt to quantify any potential price benefit to customers, and </w:t>
      </w:r>
      <w:r w:rsidR="004F1376" w:rsidRPr="00876A53">
        <w:t xml:space="preserve">AEP-Ohio </w:t>
      </w:r>
      <w:r w:rsidRPr="00876A53">
        <w:t>conceded that it could not anticipate the likely product offerings that CRES providers might make.</w:t>
      </w:r>
      <w:r w:rsidRPr="00876A53">
        <w:rPr>
          <w:rStyle w:val="FootnoteReference"/>
        </w:rPr>
        <w:footnoteReference w:id="172"/>
      </w:r>
      <w:r w:rsidRPr="00876A53">
        <w:t xml:space="preserve">  Additionally, it testified that entry does not provide any guarantee of lower prices.  According to AEP-Ohio, there is little support in the economic literature that additional entry will result in lower prices.</w:t>
      </w:r>
      <w:r w:rsidRPr="00876A53">
        <w:rPr>
          <w:rStyle w:val="FootnoteReference"/>
        </w:rPr>
        <w:footnoteReference w:id="173"/>
      </w:r>
    </w:p>
    <w:p w:rsidR="00053F2C" w:rsidRPr="00876A53" w:rsidRDefault="00053F2C" w:rsidP="005C6107">
      <w:r w:rsidRPr="00876A53">
        <w:t>AEP-Ohio also asserts that customers would see an advantage if it prepared customer bills for those CRES providers participating in the POR</w:t>
      </w:r>
      <w:r w:rsidR="003468FF" w:rsidRPr="00876A53">
        <w:t xml:space="preserve"> program</w:t>
      </w:r>
      <w:r w:rsidRPr="00876A53">
        <w:t xml:space="preserve"> because the CRES customers could participate in average monthly and </w:t>
      </w:r>
      <w:r w:rsidR="00077A33" w:rsidRPr="00876A53">
        <w:t>budget-</w:t>
      </w:r>
      <w:r w:rsidRPr="00876A53">
        <w:t>billing programs.</w:t>
      </w:r>
      <w:r w:rsidRPr="00876A53">
        <w:rPr>
          <w:rStyle w:val="FootnoteReference"/>
        </w:rPr>
        <w:footnoteReference w:id="174"/>
      </w:r>
      <w:r w:rsidRPr="00876A53">
        <w:t xml:space="preserve">  If there is any benefit to such billing arrangements, there is no need for the Commission to impose a POR</w:t>
      </w:r>
      <w:r w:rsidR="003468FF" w:rsidRPr="00876A53">
        <w:t xml:space="preserve"> program</w:t>
      </w:r>
      <w:r w:rsidRPr="00876A53">
        <w:t xml:space="preserve">.  Large CRES providers could provide that </w:t>
      </w:r>
      <w:r w:rsidR="003468FF" w:rsidRPr="00876A53">
        <w:t xml:space="preserve">billing </w:t>
      </w:r>
      <w:r w:rsidRPr="00876A53">
        <w:t xml:space="preserve">service if </w:t>
      </w:r>
      <w:r w:rsidRPr="00876A53">
        <w:lastRenderedPageBreak/>
        <w:t xml:space="preserve">customers see value to it, and the large CRES providers could subcontract </w:t>
      </w:r>
      <w:r w:rsidR="003468FF" w:rsidRPr="00876A53">
        <w:t xml:space="preserve">similar </w:t>
      </w:r>
      <w:r w:rsidRPr="00876A53">
        <w:t>billing services to other CRES providers.</w:t>
      </w:r>
      <w:r w:rsidRPr="00876A53">
        <w:rPr>
          <w:rStyle w:val="FootnoteReference"/>
        </w:rPr>
        <w:footnoteReference w:id="175"/>
      </w:r>
    </w:p>
    <w:p w:rsidR="00053F2C" w:rsidRPr="00876A53" w:rsidRDefault="00053F2C" w:rsidP="005C6107">
      <w:r w:rsidRPr="00876A53">
        <w:t xml:space="preserve">AEP-Ohio and the Staff also assert that the POR </w:t>
      </w:r>
      <w:r w:rsidR="002C3E11" w:rsidRPr="00876A53">
        <w:t xml:space="preserve">program </w:t>
      </w:r>
      <w:r w:rsidRPr="00876A53">
        <w:t>will improve the customer contact with the EDU and the CRES provider because it would focus the</w:t>
      </w:r>
      <w:r w:rsidR="000C22A9" w:rsidRPr="00876A53">
        <w:t xml:space="preserve"> customer’s</w:t>
      </w:r>
      <w:r w:rsidRPr="00876A53">
        <w:t xml:space="preserve"> contacts on the EDU for a variety of issues.  AEP-Ohio provides no substantive support for these claims.</w:t>
      </w:r>
      <w:r w:rsidRPr="00876A53">
        <w:rPr>
          <w:vertAlign w:val="superscript"/>
        </w:rPr>
        <w:footnoteReference w:id="176"/>
      </w:r>
      <w:r w:rsidRPr="00876A53">
        <w:t xml:space="preserve">  </w:t>
      </w:r>
      <w:r w:rsidR="000C22A9" w:rsidRPr="00876A53">
        <w:t>If there is a benefit to focusing customer contacts on one entity</w:t>
      </w:r>
      <w:r w:rsidRPr="00876A53">
        <w:t xml:space="preserve">, it may make </w:t>
      </w:r>
      <w:r w:rsidR="003468FF" w:rsidRPr="00876A53">
        <w:t xml:space="preserve">as much </w:t>
      </w:r>
      <w:r w:rsidRPr="00876A53">
        <w:t xml:space="preserve">sense to permit </w:t>
      </w:r>
      <w:r w:rsidR="000C22A9" w:rsidRPr="00876A53">
        <w:t>customers</w:t>
      </w:r>
      <w:r w:rsidRPr="00876A53">
        <w:t xml:space="preserve"> to move their billing </w:t>
      </w:r>
      <w:r w:rsidR="000C22A9" w:rsidRPr="00876A53">
        <w:t xml:space="preserve">on a consolidated basis </w:t>
      </w:r>
      <w:r w:rsidRPr="00876A53">
        <w:t>to the CRES provider.  In fact, one intervenor sought explicit authorization of consolidated billing</w:t>
      </w:r>
      <w:r w:rsidR="000C22A9" w:rsidRPr="00876A53">
        <w:t xml:space="preserve"> by CRES providers</w:t>
      </w:r>
      <w:r w:rsidRPr="00876A53">
        <w:t>.</w:t>
      </w:r>
      <w:r w:rsidRPr="00876A53">
        <w:rPr>
          <w:rStyle w:val="FootnoteReference"/>
        </w:rPr>
        <w:footnoteReference w:id="177"/>
      </w:r>
      <w:r w:rsidRPr="00876A53">
        <w:t xml:space="preserve">  </w:t>
      </w:r>
    </w:p>
    <w:p w:rsidR="00053F2C" w:rsidRPr="00876A53" w:rsidRDefault="00053F2C" w:rsidP="005C6107">
      <w:r w:rsidRPr="00876A53">
        <w:t xml:space="preserve">Finally, the benefits of a POR </w:t>
      </w:r>
      <w:r w:rsidR="002A01EC" w:rsidRPr="00876A53">
        <w:t xml:space="preserve">program would be </w:t>
      </w:r>
      <w:r w:rsidRPr="00876A53">
        <w:t>limited to the residential class.</w:t>
      </w:r>
      <w:r w:rsidRPr="00876A53">
        <w:rPr>
          <w:rStyle w:val="FootnoteReference"/>
        </w:rPr>
        <w:footnoteReference w:id="178"/>
      </w:r>
      <w:r w:rsidRPr="00876A53">
        <w:t xml:space="preserve">  There is no evidence that CRES provide</w:t>
      </w:r>
      <w:r w:rsidR="004F1376" w:rsidRPr="00876A53">
        <w:t>r</w:t>
      </w:r>
      <w:r w:rsidRPr="00876A53">
        <w:t>s are not providing CRES to industrial and commercial customers due to the lack of a POR</w:t>
      </w:r>
      <w:r w:rsidR="002A01EC" w:rsidRPr="00876A53">
        <w:t xml:space="preserve"> program</w:t>
      </w:r>
      <w:r w:rsidRPr="00876A53">
        <w:t>.</w:t>
      </w:r>
      <w:r w:rsidRPr="00876A53">
        <w:rPr>
          <w:rStyle w:val="FootnoteReference"/>
        </w:rPr>
        <w:footnoteReference w:id="179"/>
      </w:r>
      <w:r w:rsidRPr="00876A53">
        <w:t xml:space="preserve">  </w:t>
      </w:r>
      <w:r w:rsidR="000C22A9" w:rsidRPr="00876A53">
        <w:t>(</w:t>
      </w:r>
      <w:r w:rsidRPr="00876A53">
        <w:t xml:space="preserve">For other reasons reflecting concerns about the effect of large customers on the </w:t>
      </w:r>
      <w:r w:rsidR="0092196B" w:rsidRPr="00876A53">
        <w:t>BDR</w:t>
      </w:r>
      <w:r w:rsidRPr="00876A53">
        <w:t xml:space="preserve">, Staff recommends removing large commercial and industrial customers from the </w:t>
      </w:r>
      <w:r w:rsidR="004F1376" w:rsidRPr="00876A53">
        <w:t xml:space="preserve">POR </w:t>
      </w:r>
      <w:r w:rsidRPr="00876A53">
        <w:t xml:space="preserve">program and the </w:t>
      </w:r>
      <w:r w:rsidR="0092196B" w:rsidRPr="00876A53">
        <w:t>BDR</w:t>
      </w:r>
      <w:r w:rsidRPr="00876A53">
        <w:t>.</w:t>
      </w:r>
      <w:r w:rsidRPr="00876A53">
        <w:rPr>
          <w:rStyle w:val="FootnoteReference"/>
        </w:rPr>
        <w:footnoteReference w:id="180"/>
      </w:r>
      <w:r w:rsidR="000C22A9" w:rsidRPr="00876A53">
        <w:t>)  Whatever benefits a POR program might provide (and the record shows they are unlikely), they do not extend to commercial and industrial customers.</w:t>
      </w:r>
    </w:p>
    <w:p w:rsidR="00957A6C" w:rsidRPr="00876A53" w:rsidRDefault="00957A6C">
      <w:pPr>
        <w:spacing w:line="240" w:lineRule="auto"/>
        <w:ind w:firstLine="0"/>
        <w:jc w:val="left"/>
        <w:rPr>
          <w:rFonts w:eastAsiaTheme="majorEastAsia" w:cs="Arial"/>
          <w:b/>
          <w:bCs/>
          <w:szCs w:val="26"/>
        </w:rPr>
      </w:pPr>
      <w:bookmarkStart w:id="72" w:name="_Toc392930614"/>
      <w:bookmarkStart w:id="73" w:name="_Toc392930705"/>
      <w:bookmarkStart w:id="74" w:name="_Toc393524916"/>
      <w:r w:rsidRPr="00876A53">
        <w:br w:type="page"/>
      </w:r>
    </w:p>
    <w:p w:rsidR="00053F2C" w:rsidRPr="00876A53" w:rsidRDefault="00F638AE" w:rsidP="00FE0711">
      <w:pPr>
        <w:pStyle w:val="Heading2"/>
      </w:pPr>
      <w:bookmarkStart w:id="75" w:name="_Toc393878378"/>
      <w:r w:rsidRPr="00876A53">
        <w:lastRenderedPageBreak/>
        <w:t>AEP-Ohio’s reliance on the Duke Stipulation</w:t>
      </w:r>
      <w:r w:rsidR="00C4754D" w:rsidRPr="00876A53">
        <w:t xml:space="preserve"> </w:t>
      </w:r>
      <w:r w:rsidR="003468FF" w:rsidRPr="00876A53">
        <w:t xml:space="preserve">for authorization of the BDR is unwarranted and </w:t>
      </w:r>
      <w:r w:rsidR="00C4754D" w:rsidRPr="00876A53">
        <w:t>violate</w:t>
      </w:r>
      <w:r w:rsidRPr="00876A53">
        <w:t>s</w:t>
      </w:r>
      <w:r w:rsidR="00C4754D" w:rsidRPr="00876A53">
        <w:t xml:space="preserve"> the terms of the Stipulation</w:t>
      </w:r>
      <w:bookmarkEnd w:id="72"/>
      <w:bookmarkEnd w:id="73"/>
      <w:bookmarkEnd w:id="74"/>
      <w:bookmarkEnd w:id="75"/>
    </w:p>
    <w:p w:rsidR="00C4754D" w:rsidRPr="00876A53" w:rsidRDefault="00053F2C" w:rsidP="00E15D02">
      <w:r w:rsidRPr="00876A53">
        <w:t xml:space="preserve">As noted above, AEP-Ohio offers four reasons to support authorization of the </w:t>
      </w:r>
      <w:r w:rsidR="0092196B" w:rsidRPr="00876A53">
        <w:t>BDR</w:t>
      </w:r>
      <w:r w:rsidRPr="00876A53">
        <w:t xml:space="preserve">.  AEP-Ohio’s first reason for seeking a </w:t>
      </w:r>
      <w:r w:rsidR="0092196B" w:rsidRPr="00876A53">
        <w:t>BDR</w:t>
      </w:r>
      <w:r w:rsidRPr="00876A53">
        <w:t xml:space="preserve"> is based on the logic that AEP-Ohio should have what Duke has.  This “reasoning”</w:t>
      </w:r>
      <w:r w:rsidRPr="00876A53">
        <w:rPr>
          <w:rStyle w:val="FootnoteReference"/>
        </w:rPr>
        <w:t xml:space="preserve"> </w:t>
      </w:r>
      <w:r w:rsidRPr="00876A53">
        <w:t xml:space="preserve">is not an argument as to why bad debt expense of CRES providers should be socialized.  In fact, Mr. Gabbard conceded that there was no value for customers if AEP-Ohio had a program including a </w:t>
      </w:r>
      <w:r w:rsidR="0092196B" w:rsidRPr="00876A53">
        <w:t>BDR</w:t>
      </w:r>
      <w:r w:rsidRPr="00876A53">
        <w:t xml:space="preserve"> similar to that of Duke.</w:t>
      </w:r>
      <w:r w:rsidRPr="00876A53">
        <w:rPr>
          <w:rStyle w:val="FootnoteReference"/>
        </w:rPr>
        <w:footnoteReference w:id="181"/>
      </w:r>
      <w:r w:rsidRPr="00876A53">
        <w:t xml:space="preserve">  Further, the claim is not based on any understanding of Duke’s </w:t>
      </w:r>
      <w:r w:rsidR="0092196B" w:rsidRPr="00876A53">
        <w:t>BDR</w:t>
      </w:r>
      <w:r w:rsidRPr="00876A53">
        <w:t>; Mr. Gabbard admitted that he had only a limited familiarity with Duke’s tariff.</w:t>
      </w:r>
      <w:r w:rsidRPr="00876A53">
        <w:rPr>
          <w:rStyle w:val="FootnoteReference"/>
        </w:rPr>
        <w:footnoteReference w:id="182"/>
      </w:r>
      <w:r w:rsidRPr="00876A53">
        <w:t xml:space="preserve">  </w:t>
      </w:r>
      <w:r w:rsidR="00C4754D" w:rsidRPr="00876A53">
        <w:t>AEP-Ohio</w:t>
      </w:r>
      <w:r w:rsidR="002A01EC" w:rsidRPr="00876A53">
        <w:t xml:space="preserve"> thus</w:t>
      </w:r>
      <w:r w:rsidR="00C4754D" w:rsidRPr="00876A53">
        <w:t xml:space="preserve"> failed to demonstrate that what Duke secured under its Stipulation is what AEP-Ohio should be authorized to implement.</w:t>
      </w:r>
    </w:p>
    <w:p w:rsidR="00053F2C" w:rsidRPr="00876A53" w:rsidRDefault="00C4754D" w:rsidP="005C6107">
      <w:r w:rsidRPr="00876A53">
        <w:t>Additionally</w:t>
      </w:r>
      <w:r w:rsidR="00053F2C" w:rsidRPr="00876A53">
        <w:t>,</w:t>
      </w:r>
      <w:r w:rsidRPr="00876A53">
        <w:t xml:space="preserve"> AEP-Ohio’s reliance on the Duke Stipulation violates the terms of an agreement that is binding on AEP-Ohio. </w:t>
      </w:r>
      <w:r w:rsidR="00053F2C" w:rsidRPr="00876A53">
        <w:t xml:space="preserve"> Duke’s </w:t>
      </w:r>
      <w:r w:rsidR="0092196B" w:rsidRPr="00876A53">
        <w:t>BDR</w:t>
      </w:r>
      <w:r w:rsidR="00053F2C" w:rsidRPr="00876A53">
        <w:t xml:space="preserve"> and POR </w:t>
      </w:r>
      <w:r w:rsidR="002A01EC" w:rsidRPr="00876A53">
        <w:t xml:space="preserve">program </w:t>
      </w:r>
      <w:r w:rsidR="00053F2C" w:rsidRPr="00876A53">
        <w:t>were authorized in a proceeding resolved by a Stipulation.  The Stipulation provides that it</w:t>
      </w:r>
      <w:r w:rsidR="002A01EC" w:rsidRPr="00876A53">
        <w:t xml:space="preserve"> was</w:t>
      </w:r>
      <w:r w:rsidR="00053F2C" w:rsidRPr="00876A53">
        <w:t xml:space="preserve"> “submitted for purposes of these proceedings only, and neither this Stipulation nor any Commission Order considering this Stipulation shall be deemed binding in any </w:t>
      </w:r>
      <w:r w:rsidR="000C22A9" w:rsidRPr="00876A53">
        <w:t>other</w:t>
      </w:r>
      <w:r w:rsidR="00053F2C" w:rsidRPr="00876A53">
        <w:t xml:space="preserve"> proceeding nor shall this Stipulation or any such Order be offered o</w:t>
      </w:r>
      <w:r w:rsidR="000C22A9" w:rsidRPr="00876A53">
        <w:t>r</w:t>
      </w:r>
      <w:r w:rsidR="00053F2C" w:rsidRPr="00876A53">
        <w:t xml:space="preserve"> relied upon in any other proceedings, except as necessary to enforce the terms of this Stipulation.”</w:t>
      </w:r>
      <w:r w:rsidR="00053F2C" w:rsidRPr="00876A53">
        <w:rPr>
          <w:rStyle w:val="FootnoteReference"/>
        </w:rPr>
        <w:footnoteReference w:id="183"/>
      </w:r>
      <w:r w:rsidR="00053F2C" w:rsidRPr="00876A53">
        <w:t xml:space="preserve">  Counsel for AEP-Ohio signed the Stipulation without reservation on behalf of Ohio Power Company’s predecessors, Columbus Southern Power Company and Ohio Power </w:t>
      </w:r>
      <w:r w:rsidR="00053F2C" w:rsidRPr="00876A53">
        <w:lastRenderedPageBreak/>
        <w:t>Company.</w:t>
      </w:r>
      <w:r w:rsidR="00053F2C" w:rsidRPr="00876A53">
        <w:rPr>
          <w:rStyle w:val="FootnoteReference"/>
        </w:rPr>
        <w:footnoteReference w:id="184"/>
      </w:r>
      <w:r w:rsidR="00053F2C" w:rsidRPr="00876A53">
        <w:t xml:space="preserve">  Thus, AEP-Ohio cannot lawfully rely on </w:t>
      </w:r>
      <w:r w:rsidR="002A01EC" w:rsidRPr="00876A53">
        <w:t>the Stipulation</w:t>
      </w:r>
      <w:r w:rsidR="00053F2C" w:rsidRPr="00876A53">
        <w:t xml:space="preserve"> to support approval of the </w:t>
      </w:r>
      <w:r w:rsidR="0092196B" w:rsidRPr="00876A53">
        <w:t>BDR</w:t>
      </w:r>
      <w:r w:rsidR="002A01EC" w:rsidRPr="00876A53">
        <w:t xml:space="preserve"> (or the POR program)</w:t>
      </w:r>
      <w:r w:rsidR="00053F2C" w:rsidRPr="00876A53">
        <w:t>.</w:t>
      </w:r>
    </w:p>
    <w:p w:rsidR="00F638AE" w:rsidRPr="0095700A" w:rsidRDefault="00F638AE" w:rsidP="00FE0711">
      <w:pPr>
        <w:pStyle w:val="Heading2"/>
      </w:pPr>
      <w:bookmarkStart w:id="76" w:name="_Toc393878379"/>
      <w:r w:rsidRPr="00876A53">
        <w:t>The BDR will not enhance competition</w:t>
      </w:r>
      <w:r w:rsidR="003468FF" w:rsidRPr="00876A53">
        <w:t>, but</w:t>
      </w:r>
      <w:r w:rsidRPr="00876A53">
        <w:t xml:space="preserve"> will unreasonably shift the market </w:t>
      </w:r>
      <w:r w:rsidRPr="0095700A">
        <w:t>risk for bad debt to all customers of AEP-Ohio</w:t>
      </w:r>
      <w:bookmarkEnd w:id="76"/>
    </w:p>
    <w:p w:rsidR="00053F2C" w:rsidRPr="00876A53" w:rsidRDefault="00C4754D" w:rsidP="005C6107">
      <w:r w:rsidRPr="00876A53">
        <w:t>While AEP-Ohio also indicates that a BDR will stimulate additional entry by CRES providers</w:t>
      </w:r>
      <w:r w:rsidR="00053F2C" w:rsidRPr="00876A53">
        <w:t xml:space="preserve">, there is no evidence that CRES providers are not making offers in the AEP-Ohio service territory because AEP-Ohio does not have a </w:t>
      </w:r>
      <w:r w:rsidR="0092196B" w:rsidRPr="00876A53">
        <w:t>BDR</w:t>
      </w:r>
      <w:r w:rsidR="00053F2C" w:rsidRPr="00876A53">
        <w:t xml:space="preserve"> tied to a POR </w:t>
      </w:r>
      <w:r w:rsidR="002C3E11" w:rsidRPr="00876A53">
        <w:t xml:space="preserve">program </w:t>
      </w:r>
      <w:r w:rsidR="00053F2C" w:rsidRPr="00876A53">
        <w:t>without a discount.</w:t>
      </w:r>
      <w:r w:rsidR="00053F2C" w:rsidRPr="00876A53">
        <w:rPr>
          <w:rStyle w:val="FootnoteReference"/>
        </w:rPr>
        <w:footnoteReference w:id="185"/>
      </w:r>
      <w:r w:rsidR="00053F2C" w:rsidRPr="00876A53">
        <w:t xml:space="preserve">  </w:t>
      </w:r>
      <w:r w:rsidR="004F1376" w:rsidRPr="00876A53">
        <w:t>The current competitive environment</w:t>
      </w:r>
      <w:r w:rsidRPr="00876A53">
        <w:t xml:space="preserve"> also</w:t>
      </w:r>
      <w:r w:rsidR="004F1376" w:rsidRPr="00876A53">
        <w:t xml:space="preserve"> is not likely to change</w:t>
      </w:r>
      <w:r w:rsidR="00053F2C" w:rsidRPr="00876A53">
        <w:t xml:space="preserve"> if the Commission does not approve a POR</w:t>
      </w:r>
      <w:r w:rsidR="002A01EC" w:rsidRPr="00876A53">
        <w:t xml:space="preserve"> program</w:t>
      </w:r>
      <w:r w:rsidR="00053F2C" w:rsidRPr="00876A53">
        <w:t xml:space="preserve"> and </w:t>
      </w:r>
      <w:r w:rsidR="0092196B" w:rsidRPr="00876A53">
        <w:t>BDR</w:t>
      </w:r>
      <w:r w:rsidR="00053F2C" w:rsidRPr="00876A53">
        <w:t>.</w:t>
      </w:r>
      <w:r w:rsidR="00053F2C" w:rsidRPr="00876A53">
        <w:rPr>
          <w:rStyle w:val="FootnoteReference"/>
        </w:rPr>
        <w:footnoteReference w:id="186"/>
      </w:r>
      <w:r w:rsidR="003468FF" w:rsidRPr="00876A53">
        <w:t xml:space="preserve">  </w:t>
      </w:r>
      <w:r w:rsidR="00053F2C" w:rsidRPr="00876A53">
        <w:t xml:space="preserve">Further, the alleged economic benefits of the </w:t>
      </w:r>
      <w:r w:rsidR="0092196B" w:rsidRPr="00876A53">
        <w:t>BDR</w:t>
      </w:r>
      <w:r w:rsidR="00053F2C" w:rsidRPr="00876A53">
        <w:t xml:space="preserve"> were not demonstrated.</w:t>
      </w:r>
      <w:r w:rsidR="00053F2C" w:rsidRPr="00876A53">
        <w:rPr>
          <w:rStyle w:val="FootnoteReference"/>
        </w:rPr>
        <w:footnoteReference w:id="187"/>
      </w:r>
    </w:p>
    <w:p w:rsidR="00053F2C" w:rsidRPr="00876A53" w:rsidRDefault="00053F2C" w:rsidP="005C6107">
      <w:r w:rsidRPr="00876A53">
        <w:t xml:space="preserve">The authorization of the POR </w:t>
      </w:r>
      <w:r w:rsidR="002C3E11" w:rsidRPr="00876A53">
        <w:t xml:space="preserve">program </w:t>
      </w:r>
      <w:r w:rsidRPr="00876A53">
        <w:t xml:space="preserve">and </w:t>
      </w:r>
      <w:r w:rsidR="0092196B" w:rsidRPr="00876A53">
        <w:t>BDR</w:t>
      </w:r>
      <w:r w:rsidRPr="00876A53">
        <w:t xml:space="preserve"> as proposed by AEP-Ohio, moreover, would be a bad policy choice.  Because AEP-Ohio would </w:t>
      </w:r>
      <w:r w:rsidRPr="0095700A">
        <w:t xml:space="preserve">purchase accounts </w:t>
      </w:r>
      <w:r w:rsidRPr="00876A53">
        <w:t>receivable without a discount</w:t>
      </w:r>
      <w:r w:rsidR="003468FF" w:rsidRPr="00876A53">
        <w:t xml:space="preserve"> and collect any resulting bad debt expense through the BDR</w:t>
      </w:r>
      <w:r w:rsidRPr="00876A53">
        <w:t>, the bad debt risk of CRES customers would be transferred from the CRES provider to AEP-Ohio and then to all customers.</w:t>
      </w:r>
      <w:r w:rsidR="003468FF" w:rsidRPr="00876A53">
        <w:t xml:space="preserve"> </w:t>
      </w:r>
      <w:r w:rsidRPr="00876A53">
        <w:t xml:space="preserve"> This mechanism</w:t>
      </w:r>
      <w:r w:rsidR="00077A33" w:rsidRPr="00876A53">
        <w:t>,</w:t>
      </w:r>
      <w:r w:rsidRPr="00876A53">
        <w:t xml:space="preserve"> thus</w:t>
      </w:r>
      <w:r w:rsidR="00077A33" w:rsidRPr="00876A53">
        <w:t>,</w:t>
      </w:r>
      <w:r w:rsidRPr="00876A53">
        <w:t xml:space="preserve"> removes the market discipline that encourages CRES providers to evaluate their customers and price their services appropriately.</w:t>
      </w:r>
      <w:r w:rsidRPr="00876A53">
        <w:rPr>
          <w:rStyle w:val="FootnoteReference"/>
        </w:rPr>
        <w:footnoteReference w:id="188"/>
      </w:r>
      <w:r w:rsidRPr="00876A53">
        <w:t xml:space="preserve">  </w:t>
      </w:r>
    </w:p>
    <w:p w:rsidR="00957A6C" w:rsidRPr="00876A53" w:rsidRDefault="00957A6C">
      <w:pPr>
        <w:spacing w:line="240" w:lineRule="auto"/>
        <w:ind w:firstLine="0"/>
        <w:jc w:val="left"/>
        <w:rPr>
          <w:rFonts w:eastAsiaTheme="majorEastAsia" w:cs="Arial"/>
          <w:b/>
          <w:bCs/>
          <w:szCs w:val="26"/>
        </w:rPr>
      </w:pPr>
      <w:bookmarkStart w:id="77" w:name="_Toc392930615"/>
      <w:bookmarkStart w:id="78" w:name="_Toc392930706"/>
      <w:bookmarkStart w:id="79" w:name="_Toc393524917"/>
      <w:r w:rsidRPr="00876A53">
        <w:br w:type="page"/>
      </w:r>
    </w:p>
    <w:p w:rsidR="00053F2C" w:rsidRPr="00876A53" w:rsidRDefault="00053F2C" w:rsidP="00FE0711">
      <w:pPr>
        <w:pStyle w:val="Heading2"/>
      </w:pPr>
      <w:bookmarkStart w:id="80" w:name="_Toc393878380"/>
      <w:r w:rsidRPr="00876A53">
        <w:lastRenderedPageBreak/>
        <w:t>If the Commission approves a POR</w:t>
      </w:r>
      <w:r w:rsidR="00F638AE" w:rsidRPr="00876A53">
        <w:t xml:space="preserve"> program for AEP-Ohio</w:t>
      </w:r>
      <w:r w:rsidRPr="00876A53">
        <w:t xml:space="preserve">, it </w:t>
      </w:r>
      <w:bookmarkEnd w:id="77"/>
      <w:bookmarkEnd w:id="78"/>
      <w:bookmarkEnd w:id="79"/>
      <w:r w:rsidR="00F638AE" w:rsidRPr="00876A53">
        <w:t xml:space="preserve">should </w:t>
      </w:r>
      <w:r w:rsidR="00766E7D" w:rsidRPr="00876A53">
        <w:t xml:space="preserve">refuse to </w:t>
      </w:r>
      <w:r w:rsidR="00F638AE" w:rsidRPr="00876A53">
        <w:t>authorize the BDR and direct that AEP-Ohio purchase accounts receivable at a discount</w:t>
      </w:r>
      <w:bookmarkEnd w:id="80"/>
    </w:p>
    <w:p w:rsidR="00053F2C" w:rsidRPr="00876A53" w:rsidRDefault="00053F2C" w:rsidP="005C6107">
      <w:r w:rsidRPr="00876A53">
        <w:t xml:space="preserve">AEP-Ohio has failed to demonstrate that the Commission should authorize the POR </w:t>
      </w:r>
      <w:r w:rsidR="003468FF" w:rsidRPr="00876A53">
        <w:t xml:space="preserve">program </w:t>
      </w:r>
      <w:r w:rsidRPr="00876A53">
        <w:t xml:space="preserve">and </w:t>
      </w:r>
      <w:r w:rsidR="0092196B" w:rsidRPr="00876A53">
        <w:t>BDR</w:t>
      </w:r>
      <w:r w:rsidRPr="00876A53">
        <w:t xml:space="preserve"> as proposed.  The Commission, however, has indicated its interest in having the EDUs present proposals for POR</w:t>
      </w:r>
      <w:r w:rsidR="00F638AE" w:rsidRPr="00876A53">
        <w:t xml:space="preserve"> programs</w:t>
      </w:r>
      <w:r w:rsidRPr="00876A53">
        <w:t>.</w:t>
      </w:r>
      <w:r w:rsidR="000C22A9" w:rsidRPr="00876A53">
        <w:rPr>
          <w:rStyle w:val="FootnoteReference"/>
        </w:rPr>
        <w:footnoteReference w:id="189"/>
      </w:r>
      <w:r w:rsidRPr="00876A53">
        <w:t xml:space="preserve">  If the Commission decides that AEP-Ohio should provide a POR</w:t>
      </w:r>
      <w:r w:rsidR="00F638AE" w:rsidRPr="00876A53">
        <w:t xml:space="preserve"> program</w:t>
      </w:r>
      <w:r w:rsidRPr="00876A53">
        <w:t xml:space="preserve">, the Commission should modify AEP-Ohio’s proposal.  As Mr. Bowser and Staff concluded, the POR </w:t>
      </w:r>
      <w:r w:rsidR="00E15D02" w:rsidRPr="00876A53">
        <w:t xml:space="preserve">program </w:t>
      </w:r>
      <w:r w:rsidRPr="00876A53">
        <w:t xml:space="preserve">should be approved only if the Commission </w:t>
      </w:r>
      <w:r w:rsidR="00F638AE" w:rsidRPr="00876A53">
        <w:t xml:space="preserve">refuses to authorize the BDR and </w:t>
      </w:r>
      <w:r w:rsidRPr="00876A53">
        <w:t>directs AEP-Ohio to purchase the receivables from CRES providers at a discount.</w:t>
      </w:r>
      <w:r w:rsidRPr="00876A53">
        <w:rPr>
          <w:rStyle w:val="FootnoteReference"/>
        </w:rPr>
        <w:footnoteReference w:id="190"/>
      </w:r>
      <w:r w:rsidRPr="00876A53">
        <w:t xml:space="preserve">  With these modifications, the CRES </w:t>
      </w:r>
      <w:r w:rsidR="00A940EB" w:rsidRPr="00876A53">
        <w:t>provider</w:t>
      </w:r>
      <w:r w:rsidR="003468FF" w:rsidRPr="00876A53">
        <w:t>s</w:t>
      </w:r>
      <w:r w:rsidR="00A940EB" w:rsidRPr="00876A53">
        <w:t xml:space="preserve"> </w:t>
      </w:r>
      <w:r w:rsidRPr="00876A53">
        <w:t xml:space="preserve">would </w:t>
      </w:r>
      <w:r w:rsidR="00382291" w:rsidRPr="00876A53">
        <w:t xml:space="preserve">be </w:t>
      </w:r>
      <w:r w:rsidRPr="00876A53">
        <w:t xml:space="preserve">responsible for </w:t>
      </w:r>
      <w:r w:rsidR="00E15D02" w:rsidRPr="00876A53">
        <w:t>the</w:t>
      </w:r>
      <w:r w:rsidRPr="00876A53">
        <w:t xml:space="preserve"> market risk associated with bad debt</w:t>
      </w:r>
      <w:r w:rsidR="003468FF" w:rsidRPr="00876A53">
        <w:t xml:space="preserve"> of their </w:t>
      </w:r>
      <w:r w:rsidR="00E15D02" w:rsidRPr="00876A53">
        <w:t xml:space="preserve">own </w:t>
      </w:r>
      <w:r w:rsidR="003468FF" w:rsidRPr="00876A53">
        <w:t>customers</w:t>
      </w:r>
      <w:r w:rsidRPr="00876A53">
        <w:t xml:space="preserve">, removing the moral hazard inherent </w:t>
      </w:r>
      <w:r w:rsidR="00A940EB" w:rsidRPr="00876A53">
        <w:t xml:space="preserve">in </w:t>
      </w:r>
      <w:r w:rsidRPr="00876A53">
        <w:t xml:space="preserve">AEP-Ohio’s proposal.  </w:t>
      </w:r>
    </w:p>
    <w:p w:rsidR="00053F2C" w:rsidRPr="00876A53" w:rsidRDefault="00053F2C" w:rsidP="00FE0711">
      <w:pPr>
        <w:pStyle w:val="Heading1"/>
      </w:pPr>
      <w:bookmarkStart w:id="81" w:name="_Toc392930616"/>
      <w:bookmarkStart w:id="82" w:name="_Toc392930707"/>
      <w:bookmarkStart w:id="83" w:name="_Toc393524918"/>
      <w:bookmarkStart w:id="84" w:name="_Toc393878381"/>
      <w:r w:rsidRPr="00876A53">
        <w:t>The proposed ESP is not more favorable in the aggregate than a</w:t>
      </w:r>
      <w:r w:rsidR="002C3E11" w:rsidRPr="00876A53">
        <w:t>N MRO</w:t>
      </w:r>
      <w:bookmarkEnd w:id="81"/>
      <w:bookmarkEnd w:id="82"/>
      <w:bookmarkEnd w:id="83"/>
      <w:bookmarkEnd w:id="84"/>
      <w:r w:rsidRPr="00876A53">
        <w:t xml:space="preserve"> </w:t>
      </w:r>
    </w:p>
    <w:p w:rsidR="00053F2C" w:rsidRPr="00876A53" w:rsidRDefault="00053F2C" w:rsidP="005C6107">
      <w:r w:rsidRPr="00876A53">
        <w:t>Under R.C. 4928.143(C)(1), the Commission may approve or modify and approve an ESP only if it finds “that the electric security plan so approved, including its pricing and all other terms and conditions, including any deferrals and any future recovery of deferrals, is more favorable in the aggregate as compared to the expected results that would otherwise apply under section 4928.142 of the Revised Code.”</w:t>
      </w:r>
      <w:r w:rsidRPr="00876A53">
        <w:rPr>
          <w:rStyle w:val="FootnoteReference"/>
        </w:rPr>
        <w:footnoteReference w:id="191"/>
      </w:r>
      <w:r w:rsidRPr="00876A53">
        <w:t xml:space="preserve">  </w:t>
      </w:r>
      <w:r w:rsidRPr="00876A53">
        <w:lastRenderedPageBreak/>
        <w:t>The proposed ESP fails this test</w:t>
      </w:r>
      <w:r w:rsidR="00A474C4" w:rsidRPr="00876A53">
        <w:t>.  As a result,</w:t>
      </w:r>
      <w:r w:rsidRPr="00876A53">
        <w:t xml:space="preserve"> the Commission must modify the proposed ESP before it can be approved.</w:t>
      </w:r>
    </w:p>
    <w:p w:rsidR="00053F2C" w:rsidRPr="00876A53" w:rsidRDefault="00053F2C" w:rsidP="005C6107">
      <w:r w:rsidRPr="00876A53">
        <w:t xml:space="preserve">AEP-Ohio’s testimony indicates that the proposed </w:t>
      </w:r>
      <w:r w:rsidR="00A474C4" w:rsidRPr="00876A53">
        <w:t xml:space="preserve">ESP </w:t>
      </w:r>
      <w:r w:rsidRPr="00876A53">
        <w:t xml:space="preserve">would be quantitatively more favorable than an MRO by $44.1 million over the </w:t>
      </w:r>
      <w:r w:rsidR="00930BD9" w:rsidRPr="00876A53">
        <w:t>three-</w:t>
      </w:r>
      <w:r w:rsidRPr="00876A53">
        <w:t>year term of the ESP.</w:t>
      </w:r>
      <w:r w:rsidRPr="00876A53">
        <w:rPr>
          <w:rStyle w:val="FootnoteReference"/>
        </w:rPr>
        <w:footnoteReference w:id="192"/>
      </w:r>
      <w:r w:rsidRPr="00876A53">
        <w:t xml:space="preserve">  (Only two years of the ESP term may be implemented if the Commission authorizes AEP-Ohio </w:t>
      </w:r>
      <w:r w:rsidR="00E15D02" w:rsidRPr="00876A53">
        <w:t>to have the option</w:t>
      </w:r>
      <w:r w:rsidRPr="00876A53">
        <w:t xml:space="preserve"> to terminate the ESP after two years as AEP-Ohio requests.</w:t>
      </w:r>
      <w:r w:rsidRPr="00876A53">
        <w:rPr>
          <w:rStyle w:val="FootnoteReference"/>
        </w:rPr>
        <w:footnoteReference w:id="193"/>
      </w:r>
      <w:r w:rsidRPr="00876A53">
        <w:t xml:space="preserve">)  According to AEP-Ohio, there is no comparative benefit resulting from the </w:t>
      </w:r>
      <w:r w:rsidR="00A474C4" w:rsidRPr="00876A53">
        <w:t>CBP</w:t>
      </w:r>
      <w:r w:rsidRPr="00876A53">
        <w:t xml:space="preserve"> since all SSO load would be secured through auctions under either an MRO or the proposed ESP.</w:t>
      </w:r>
      <w:r w:rsidRPr="00876A53">
        <w:rPr>
          <w:rStyle w:val="FootnoteReference"/>
        </w:rPr>
        <w:footnoteReference w:id="194"/>
      </w:r>
      <w:r w:rsidRPr="00876A53">
        <w:t xml:space="preserve">  The $44.1 million quantitative benefit would result from the extension of the </w:t>
      </w:r>
      <w:r w:rsidR="00F00A49" w:rsidRPr="00876A53">
        <w:t xml:space="preserve">Residential </w:t>
      </w:r>
      <w:r w:rsidRPr="00876A53">
        <w:t>Distribution Credit Rider, a credit to residential base distribution charges that would terminate on May 31, 2015 if not extended as a provision of the proposed ESP.</w:t>
      </w:r>
      <w:r w:rsidRPr="00876A53">
        <w:rPr>
          <w:rStyle w:val="FootnoteReference"/>
        </w:rPr>
        <w:footnoteReference w:id="195"/>
      </w:r>
      <w:r w:rsidRPr="00876A53">
        <w:t xml:space="preserve">  AEP-Ohio also notes that it would avoid the cost of a distribution rate case if its </w:t>
      </w:r>
      <w:r w:rsidR="002C3E11" w:rsidRPr="00876A53">
        <w:t>Distribution Investment Rider (“</w:t>
      </w:r>
      <w:r w:rsidRPr="00876A53">
        <w:t>DIR</w:t>
      </w:r>
      <w:r w:rsidR="002C3E11" w:rsidRPr="00876A53">
        <w:t>”)</w:t>
      </w:r>
      <w:r w:rsidRPr="00876A53">
        <w:t xml:space="preserve"> proposal is authorized,</w:t>
      </w:r>
      <w:r w:rsidRPr="00876A53">
        <w:rPr>
          <w:rStyle w:val="FootnoteReference"/>
        </w:rPr>
        <w:footnoteReference w:id="196"/>
      </w:r>
      <w:r w:rsidRPr="00876A53">
        <w:t xml:space="preserve"> but the testimony does not assign any quantitative value to that avoided cost.</w:t>
      </w:r>
      <w:r w:rsidRPr="00876A53">
        <w:rPr>
          <w:rStyle w:val="FootnoteReference"/>
        </w:rPr>
        <w:footnoteReference w:id="197"/>
      </w:r>
      <w:r w:rsidRPr="00876A53">
        <w:t xml:space="preserve">  According to AEP-Ohio, there are no other quantifiable costs or benefits of the proposed ESP.</w:t>
      </w:r>
      <w:r w:rsidRPr="00876A53">
        <w:rPr>
          <w:rStyle w:val="FootnoteReference"/>
        </w:rPr>
        <w:footnoteReference w:id="198"/>
      </w:r>
      <w:r w:rsidRPr="00876A53">
        <w:t xml:space="preserve">  Thus, the total quantitative benefit of the ESP identified by AEP-Ohio is $44.1 million.</w:t>
      </w:r>
    </w:p>
    <w:p w:rsidR="00053F2C" w:rsidRPr="00876A53" w:rsidRDefault="00053F2C" w:rsidP="005C6107">
      <w:r w:rsidRPr="00876A53">
        <w:lastRenderedPageBreak/>
        <w:t>AEP-Ohio also points to non-quantifiable benefits to support approval of the proposed ESP.  According to AEP-Ohio, the proposed ESP provides a faster move to a market-based SSO than would otherwise be available, provides through the PPAR a hedge for customers that will stabilize their prices, and provides benefits through the POR</w:t>
      </w:r>
      <w:r w:rsidR="00E15D02" w:rsidRPr="00876A53">
        <w:t xml:space="preserve"> program</w:t>
      </w:r>
      <w:r w:rsidRPr="00876A53">
        <w:t>.</w:t>
      </w:r>
      <w:r w:rsidRPr="00876A53">
        <w:rPr>
          <w:rStyle w:val="FootnoteReference"/>
        </w:rPr>
        <w:footnoteReference w:id="199"/>
      </w:r>
    </w:p>
    <w:p w:rsidR="00053F2C" w:rsidRPr="00876A53" w:rsidRDefault="00053F2C" w:rsidP="005C6107">
      <w:r w:rsidRPr="00876A53">
        <w:t xml:space="preserve">AEP-Ohio’s Application and testimony misapply the ESP v. MRO Test in two respects.  First, AEP-Ohio fails to quantify the effect of the PPAR on the ESP side of the ESP v. MRO Test.  The failure to assign a cost to the PPAR is not consistent with prior Commission decisions, and a proper accounting of the rider demonstrates that the ESP </w:t>
      </w:r>
      <w:r w:rsidR="00E954EA" w:rsidRPr="00876A53">
        <w:t>is quantitatively worse</w:t>
      </w:r>
      <w:r w:rsidRPr="00876A53">
        <w:t xml:space="preserve"> than an MRO.  Second, the non-quantifiable benefits on which AEP-Ohio relies to support approval of the proposed ESP are neither a lawful basis for such approval </w:t>
      </w:r>
      <w:r w:rsidR="00A474C4" w:rsidRPr="00876A53">
        <w:t xml:space="preserve">nor </w:t>
      </w:r>
      <w:r w:rsidRPr="00876A53">
        <w:t xml:space="preserve">supported by the evidence.  </w:t>
      </w:r>
      <w:r w:rsidR="00A474C4" w:rsidRPr="00876A53">
        <w:t>Therefore</w:t>
      </w:r>
      <w:r w:rsidRPr="00876A53">
        <w:t xml:space="preserve">, the </w:t>
      </w:r>
      <w:r w:rsidR="00A474C4" w:rsidRPr="00876A53">
        <w:t xml:space="preserve">proposed </w:t>
      </w:r>
      <w:r w:rsidRPr="00876A53">
        <w:t>ESP fails the ESP v. MRO Test.</w:t>
      </w:r>
      <w:r w:rsidRPr="00876A53">
        <w:rPr>
          <w:rStyle w:val="FootnoteReference"/>
        </w:rPr>
        <w:footnoteReference w:id="200"/>
      </w:r>
    </w:p>
    <w:p w:rsidR="00053F2C" w:rsidRPr="0095700A" w:rsidRDefault="00053F2C" w:rsidP="00FE0711">
      <w:pPr>
        <w:pStyle w:val="Heading2"/>
      </w:pPr>
      <w:bookmarkStart w:id="85" w:name="_Toc392930618"/>
      <w:bookmarkStart w:id="86" w:name="_Toc392930709"/>
      <w:bookmarkStart w:id="87" w:name="_Toc393524919"/>
      <w:bookmarkStart w:id="88" w:name="_Toc393878382"/>
      <w:r w:rsidRPr="00876A53">
        <w:t xml:space="preserve">The known costs of the PPAR must be accounted for in the ESP v. </w:t>
      </w:r>
      <w:r w:rsidRPr="0095700A">
        <w:t xml:space="preserve">MRO </w:t>
      </w:r>
      <w:bookmarkEnd w:id="85"/>
      <w:bookmarkEnd w:id="86"/>
      <w:bookmarkEnd w:id="87"/>
      <w:r w:rsidR="00653CA0" w:rsidRPr="0095700A">
        <w:t>Test</w:t>
      </w:r>
      <w:bookmarkEnd w:id="88"/>
    </w:p>
    <w:p w:rsidR="00053F2C" w:rsidRPr="00876A53" w:rsidRDefault="00053F2C" w:rsidP="005C6107">
      <w:r w:rsidRPr="00876A53">
        <w:t xml:space="preserve">In prior cases in which EDUs have sought approval of an ESP, the Commission has stated that the known costs of riders that could be approved in an ESP but not an MRO must be accounted for on the ESP side of the ESP v. MRO </w:t>
      </w:r>
      <w:r w:rsidR="00A942E4" w:rsidRPr="00876A53">
        <w:t>T</w:t>
      </w:r>
      <w:r w:rsidRPr="00876A53">
        <w:t xml:space="preserve">est.  In AEP-Ohio’s last ESP case, for example, AEP-Ohio sought and received authorization to include a Generation Resource Rider with a known cost of $8 million over the term of the ESP.  </w:t>
      </w:r>
      <w:r w:rsidRPr="00876A53">
        <w:lastRenderedPageBreak/>
        <w:t xml:space="preserve">Additionally, the Commission modified the ESP so that it included a </w:t>
      </w:r>
      <w:r w:rsidR="00112BDE" w:rsidRPr="00876A53">
        <w:t>Retail</w:t>
      </w:r>
      <w:r w:rsidRPr="00876A53">
        <w:t xml:space="preserve"> Stability Rider that cost approximately $388 million over the term of the ESP.  The Commission </w:t>
      </w:r>
      <w:r w:rsidR="00112BDE" w:rsidRPr="00876A53">
        <w:t xml:space="preserve">apparently concluded that it </w:t>
      </w:r>
      <w:r w:rsidRPr="00876A53">
        <w:t xml:space="preserve">could not lawfully approve either rider as a term of an MRO.  Offsetting </w:t>
      </w:r>
      <w:r w:rsidR="00A942E4" w:rsidRPr="00876A53">
        <w:t xml:space="preserve">the </w:t>
      </w:r>
      <w:r w:rsidRPr="00876A53">
        <w:t xml:space="preserve">known costs </w:t>
      </w:r>
      <w:r w:rsidR="00A942E4" w:rsidRPr="00876A53">
        <w:t xml:space="preserve">of the riders </w:t>
      </w:r>
      <w:r w:rsidRPr="00876A53">
        <w:t xml:space="preserve">by the $9.8 million benefit </w:t>
      </w:r>
      <w:r w:rsidR="00382291" w:rsidRPr="00876A53">
        <w:t xml:space="preserve">that </w:t>
      </w:r>
      <w:r w:rsidRPr="00876A53">
        <w:t>the Commission estimated resulted from the blending of the base generation, fuel, and auction prices the Commission approved, the Commission concluded that the ESP was $386 million worse than an MRO.</w:t>
      </w:r>
      <w:r w:rsidRPr="00876A53">
        <w:rPr>
          <w:rStyle w:val="FootnoteReference"/>
        </w:rPr>
        <w:footnoteReference w:id="201"/>
      </w:r>
      <w:r w:rsidRPr="00876A53">
        <w:t xml:space="preserve">  </w:t>
      </w:r>
    </w:p>
    <w:p w:rsidR="00053F2C" w:rsidRPr="00876A53" w:rsidRDefault="00053F2C" w:rsidP="005C6107">
      <w:r w:rsidRPr="00876A53">
        <w:t>As noted above, AEP-Ohio concedes in its direct testimony that the PPAR is not a provision available in an MRO.</w:t>
      </w:r>
      <w:r w:rsidR="00E15D02" w:rsidRPr="00876A53">
        <w:rPr>
          <w:rStyle w:val="FootnoteReference"/>
        </w:rPr>
        <w:footnoteReference w:id="202"/>
      </w:r>
      <w:r w:rsidRPr="00876A53">
        <w:t xml:space="preserve">  Thus, the Commission must account for the known costs of the PPAR on the ESP side of the ESP v. MRO Test.</w:t>
      </w:r>
    </w:p>
    <w:p w:rsidR="00053F2C" w:rsidRPr="00876A53" w:rsidRDefault="009C0E84" w:rsidP="00FE0711">
      <w:pPr>
        <w:pStyle w:val="Heading2"/>
      </w:pPr>
      <w:bookmarkStart w:id="89" w:name="_Toc392930619"/>
      <w:bookmarkStart w:id="90" w:name="_Toc392930710"/>
      <w:bookmarkStart w:id="91" w:name="_Toc393524920"/>
      <w:bookmarkStart w:id="92" w:name="_Toc393878383"/>
      <w:r w:rsidRPr="00876A53">
        <w:t>The known cost of the PPAR is $8</w:t>
      </w:r>
      <w:r w:rsidR="00053F2C" w:rsidRPr="00876A53">
        <w:t xml:space="preserve">2 million to $116 million over the term of the </w:t>
      </w:r>
      <w:r w:rsidR="00F638AE" w:rsidRPr="00876A53">
        <w:t xml:space="preserve">proposed </w:t>
      </w:r>
      <w:r w:rsidR="00053F2C" w:rsidRPr="00876A53">
        <w:t>ESP</w:t>
      </w:r>
      <w:bookmarkEnd w:id="89"/>
      <w:bookmarkEnd w:id="90"/>
      <w:bookmarkEnd w:id="91"/>
      <w:r w:rsidR="00766E7D" w:rsidRPr="00876A53">
        <w:t xml:space="preserve">; as a result, the proposed ESP is </w:t>
      </w:r>
      <w:r w:rsidRPr="00876A53">
        <w:t>$3</w:t>
      </w:r>
      <w:r w:rsidR="00766E7D" w:rsidRPr="00876A53">
        <w:t>8 million to $72 million worse than an MRO</w:t>
      </w:r>
      <w:bookmarkEnd w:id="92"/>
    </w:p>
    <w:p w:rsidR="00053F2C" w:rsidRPr="00876A53" w:rsidRDefault="00053F2C" w:rsidP="005C6107">
      <w:r w:rsidRPr="00876A53">
        <w:t>AEP-Ohio provided three estimates of the cost of the PPAR to customers.  Its initial estimate of the cost of the PPAR is $52 million.</w:t>
      </w:r>
      <w:r w:rsidRPr="00876A53">
        <w:rPr>
          <w:rStyle w:val="FootnoteReference"/>
        </w:rPr>
        <w:footnoteReference w:id="203"/>
      </w:r>
      <w:r w:rsidRPr="00876A53">
        <w:t xml:space="preserve">  This estimate includes an assumption that OVEC can realize </w:t>
      </w:r>
      <w:r w:rsidR="00112BDE" w:rsidRPr="00876A53">
        <w:t>substantial</w:t>
      </w:r>
      <w:r w:rsidRPr="00876A53">
        <w:t xml:space="preserve"> annual cost savings during the term of the ESP.  </w:t>
      </w:r>
      <w:r w:rsidR="00112BDE" w:rsidRPr="00876A53">
        <w:t>T</w:t>
      </w:r>
      <w:r w:rsidRPr="00876A53">
        <w:t>h</w:t>
      </w:r>
      <w:r w:rsidR="00E954EA" w:rsidRPr="00876A53">
        <w:t>o</w:t>
      </w:r>
      <w:r w:rsidRPr="00876A53">
        <w:t>se cost savings</w:t>
      </w:r>
      <w:r w:rsidR="00112BDE" w:rsidRPr="00876A53">
        <w:t>,</w:t>
      </w:r>
      <w:r w:rsidRPr="00876A53">
        <w:t xml:space="preserve"> </w:t>
      </w:r>
      <w:r w:rsidR="00112BDE" w:rsidRPr="00876A53">
        <w:t xml:space="preserve">however, </w:t>
      </w:r>
      <w:r w:rsidRPr="00876A53">
        <w:t>are speculative</w:t>
      </w:r>
      <w:r w:rsidR="00112BDE" w:rsidRPr="00876A53">
        <w:t xml:space="preserve"> because</w:t>
      </w:r>
      <w:r w:rsidRPr="00876A53">
        <w:t xml:space="preserve"> OVEC has not made any commitment to realize </w:t>
      </w:r>
      <w:r w:rsidR="00112BDE" w:rsidRPr="00876A53">
        <w:t>them</w:t>
      </w:r>
      <w:r w:rsidR="001B59C3" w:rsidRPr="00876A53">
        <w:t xml:space="preserve"> </w:t>
      </w:r>
      <w:r w:rsidR="004F1376" w:rsidRPr="00876A53">
        <w:t>and</w:t>
      </w:r>
      <w:r w:rsidR="001B59C3" w:rsidRPr="00876A53">
        <w:t xml:space="preserve"> AEP-Ohio has not committed to flow the anticipated cost reductions to customers if OVEC does not deliver them.</w:t>
      </w:r>
      <w:r w:rsidRPr="00876A53">
        <w:rPr>
          <w:rStyle w:val="FootnoteReference"/>
        </w:rPr>
        <w:footnoteReference w:id="204"/>
      </w:r>
      <w:r w:rsidRPr="00876A53">
        <w:t xml:space="preserve"> </w:t>
      </w:r>
      <w:r w:rsidR="001B59C3" w:rsidRPr="00876A53">
        <w:t xml:space="preserve"> </w:t>
      </w:r>
      <w:r w:rsidR="00112BDE" w:rsidRPr="00876A53">
        <w:t xml:space="preserve">If the </w:t>
      </w:r>
      <w:r w:rsidR="00112BDE" w:rsidRPr="00876A53">
        <w:lastRenderedPageBreak/>
        <w:t>speculative cost savings are removed</w:t>
      </w:r>
      <w:r w:rsidRPr="00876A53">
        <w:t>, a conservative estimate of the cost of the PPAR is $8</w:t>
      </w:r>
      <w:r w:rsidR="00A942E4" w:rsidRPr="00876A53">
        <w:t>2</w:t>
      </w:r>
      <w:r w:rsidRPr="00876A53">
        <w:t xml:space="preserve"> million </w:t>
      </w:r>
      <w:r w:rsidR="00A942E4" w:rsidRPr="00876A53">
        <w:t>during</w:t>
      </w:r>
      <w:r w:rsidRPr="00876A53">
        <w:t xml:space="preserve"> the term of the ESP.</w:t>
      </w:r>
      <w:r w:rsidR="001B59C3" w:rsidRPr="00876A53">
        <w:rPr>
          <w:rStyle w:val="FootnoteReference"/>
        </w:rPr>
        <w:footnoteReference w:id="205"/>
      </w:r>
    </w:p>
    <w:p w:rsidR="00053F2C" w:rsidRPr="00876A53" w:rsidRDefault="00053F2C" w:rsidP="005C6107">
      <w:r w:rsidRPr="00876A53">
        <w:t xml:space="preserve">An estimate updated for future energy prices and expected generation output suggests an even higher </w:t>
      </w:r>
      <w:r w:rsidR="004F1376" w:rsidRPr="00876A53">
        <w:t xml:space="preserve">cost </w:t>
      </w:r>
      <w:r w:rsidRPr="00876A53">
        <w:t>is likely.  OCC provided estimates of both the energy price corrected for the proper delivery point and generation output based on the recent history of the OVEC plants.</w:t>
      </w:r>
      <w:r w:rsidRPr="00876A53">
        <w:rPr>
          <w:rStyle w:val="FootnoteReference"/>
        </w:rPr>
        <w:footnoteReference w:id="206"/>
      </w:r>
      <w:r w:rsidRPr="00876A53">
        <w:t xml:space="preserve">  Based on these adjustments and the removal of the </w:t>
      </w:r>
      <w:r w:rsidR="00A942E4" w:rsidRPr="00876A53">
        <w:t xml:space="preserve">speculative </w:t>
      </w:r>
      <w:r w:rsidRPr="00876A53">
        <w:t>cost reductions previously noted, the cost to customers jumps to $116 million over the term of the ESP.</w:t>
      </w:r>
      <w:r w:rsidRPr="00876A53">
        <w:rPr>
          <w:rStyle w:val="FootnoteReference"/>
        </w:rPr>
        <w:footnoteReference w:id="207"/>
      </w:r>
    </w:p>
    <w:p w:rsidR="00053F2C" w:rsidRPr="00876A53" w:rsidRDefault="00112BDE" w:rsidP="005C6107">
      <w:r w:rsidRPr="00876A53">
        <w:t>As discussed above, AEP-Ohio initially concluded tha</w:t>
      </w:r>
      <w:r w:rsidR="00226D7F" w:rsidRPr="00876A53">
        <w:t>t</w:t>
      </w:r>
      <w:r w:rsidRPr="00876A53">
        <w:t xml:space="preserve"> the PPAR could be either a charge or credit and provided no estimate of its cost in the Application.  Once hearings began, it then claimed that the PPAR would produce an $8 million benefit.  These claims are inconsistent with all the other evidence in the record that demonstrates that the PPAR, directionally, will be a cost to consumers over the term of the ESP.  It is also inconsistent with Mr. Allen’s pre-Application conclusion that the PPAR could be either a charge or credit and therefore should be left out of the billing comparisons.  Thus, the claim that the PPAR will produce a customer benefit is unsupported and not credible.</w:t>
      </w:r>
    </w:p>
    <w:p w:rsidR="00053F2C" w:rsidRPr="00876A53" w:rsidRDefault="00837D7D" w:rsidP="005C6107">
      <w:r w:rsidRPr="00876A53">
        <w:t xml:space="preserve">The only other party suggesting the PPAR might benefit customers in any financial sense is </w:t>
      </w:r>
      <w:r w:rsidR="00A942E4" w:rsidRPr="00876A53">
        <w:t>Ohio Energy Group (“</w:t>
      </w:r>
      <w:r w:rsidRPr="00876A53">
        <w:t>OEG</w:t>
      </w:r>
      <w:r w:rsidR="00A942E4" w:rsidRPr="00876A53">
        <w:t>”)</w:t>
      </w:r>
      <w:r w:rsidRPr="00876A53">
        <w:t xml:space="preserve">.  </w:t>
      </w:r>
      <w:r w:rsidR="00053F2C" w:rsidRPr="00876A53">
        <w:t xml:space="preserve">OEG provides an estimate based on the same information as that used </w:t>
      </w:r>
      <w:r w:rsidR="00A942E4" w:rsidRPr="00876A53">
        <w:t>by AEP-Ohio to support its</w:t>
      </w:r>
      <w:r w:rsidR="00053F2C" w:rsidRPr="00876A53">
        <w:t xml:space="preserve"> </w:t>
      </w:r>
      <w:r w:rsidR="002521D1" w:rsidRPr="00876A53">
        <w:t>7</w:t>
      </w:r>
      <w:r w:rsidR="002521D1" w:rsidRPr="00876A53">
        <w:rPr>
          <w:rFonts w:cs="Arial"/>
        </w:rPr>
        <w:t>¢</w:t>
      </w:r>
      <w:r w:rsidR="002521D1" w:rsidRPr="00876A53">
        <w:t xml:space="preserve"> </w:t>
      </w:r>
      <w:r w:rsidR="00053F2C" w:rsidRPr="00876A53">
        <w:t xml:space="preserve">solution.  As OEG’s witness pointed out, </w:t>
      </w:r>
      <w:r w:rsidR="00A942E4" w:rsidRPr="00876A53">
        <w:t xml:space="preserve">however, </w:t>
      </w:r>
      <w:r w:rsidR="00053F2C" w:rsidRPr="00876A53">
        <w:t>he based his recommendation</w:t>
      </w:r>
      <w:r w:rsidRPr="00876A53">
        <w:t xml:space="preserve"> for</w:t>
      </w:r>
      <w:r w:rsidR="00053F2C" w:rsidRPr="00876A53">
        <w:t xml:space="preserve"> a PPAR with a term of </w:t>
      </w:r>
      <w:r w:rsidR="00053F2C" w:rsidRPr="00876A53">
        <w:lastRenderedPageBreak/>
        <w:t>9.5 years on the assumption that the PPAR would provide value to customers only if the PPAR remained in effect for a sufficient amount of time for electric prices to reach sufficient levels to offset the costs of OVEC’s operation.</w:t>
      </w:r>
      <w:r w:rsidR="00053F2C" w:rsidRPr="00876A53">
        <w:rPr>
          <w:rStyle w:val="FootnoteReference"/>
        </w:rPr>
        <w:footnoteReference w:id="208"/>
      </w:r>
      <w:r w:rsidR="00053F2C" w:rsidRPr="00876A53">
        <w:t xml:space="preserve">  In the shorter term covered by the proposed ESP, the rider will result in a charge to customers.</w:t>
      </w:r>
      <w:r w:rsidR="00053F2C" w:rsidRPr="00876A53">
        <w:rPr>
          <w:rStyle w:val="FootnoteReference"/>
        </w:rPr>
        <w:footnoteReference w:id="209"/>
      </w:r>
    </w:p>
    <w:p w:rsidR="00053F2C" w:rsidRPr="00876A53" w:rsidRDefault="00053F2C" w:rsidP="005C6107">
      <w:r w:rsidRPr="00876A53">
        <w:t xml:space="preserve">The credible evidence of the cost of the </w:t>
      </w:r>
      <w:r w:rsidR="00837D7D" w:rsidRPr="00876A53">
        <w:t>PPAR</w:t>
      </w:r>
      <w:r w:rsidRPr="00876A53">
        <w:t xml:space="preserve">, therefore, is that it </w:t>
      </w:r>
      <w:r w:rsidR="00837D7D" w:rsidRPr="00876A53">
        <w:t xml:space="preserve">is likely </w:t>
      </w:r>
      <w:r w:rsidR="000D06B5" w:rsidRPr="00876A53">
        <w:t>to result in an</w:t>
      </w:r>
      <w:r w:rsidRPr="00876A53">
        <w:t xml:space="preserve"> $</w:t>
      </w:r>
      <w:r w:rsidR="00A942E4" w:rsidRPr="00876A53">
        <w:t>8</w:t>
      </w:r>
      <w:r w:rsidRPr="00876A53">
        <w:t>2 million</w:t>
      </w:r>
      <w:r w:rsidR="000D06B5" w:rsidRPr="00876A53">
        <w:t xml:space="preserve"> charge to</w:t>
      </w:r>
      <w:r w:rsidR="00E954EA" w:rsidRPr="00876A53">
        <w:t xml:space="preserve"> customers</w:t>
      </w:r>
      <w:r w:rsidRPr="00876A53">
        <w:t xml:space="preserve">.  </w:t>
      </w:r>
      <w:r w:rsidR="00837D7D" w:rsidRPr="00876A53">
        <w:t>The amount it adversely affects customers may</w:t>
      </w:r>
      <w:r w:rsidRPr="00876A53">
        <w:t xml:space="preserve"> range </w:t>
      </w:r>
      <w:r w:rsidR="00837D7D" w:rsidRPr="00876A53">
        <w:t>from</w:t>
      </w:r>
      <w:r w:rsidRPr="00876A53">
        <w:t xml:space="preserve"> $82 million to $116 million.</w:t>
      </w:r>
      <w:r w:rsidRPr="00876A53">
        <w:rPr>
          <w:rStyle w:val="FootnoteReference"/>
        </w:rPr>
        <w:footnoteReference w:id="210"/>
      </w:r>
      <w:r w:rsidRPr="00876A53">
        <w:t xml:space="preserve">  When the cost of the PPAR is included on the ESP side of the ESP v. MRO Test, </w:t>
      </w:r>
      <w:r w:rsidR="00837D7D" w:rsidRPr="00876A53">
        <w:t xml:space="preserve">it offsets the $44.1 million benefit of the </w:t>
      </w:r>
      <w:r w:rsidR="00A942E4" w:rsidRPr="00876A53">
        <w:t xml:space="preserve">extension of the </w:t>
      </w:r>
      <w:r w:rsidR="00837D7D" w:rsidRPr="00876A53">
        <w:t xml:space="preserve">distribution credit, and </w:t>
      </w:r>
      <w:r w:rsidRPr="00876A53">
        <w:t>the proposed ESP is quantitatively $3</w:t>
      </w:r>
      <w:r w:rsidR="00837D7D" w:rsidRPr="00876A53">
        <w:t>8</w:t>
      </w:r>
      <w:r w:rsidRPr="00876A53">
        <w:t xml:space="preserve"> million to $72 million</w:t>
      </w:r>
      <w:r w:rsidR="00E954EA" w:rsidRPr="00876A53">
        <w:t xml:space="preserve"> worse than an MRO</w:t>
      </w:r>
      <w:r w:rsidRPr="00876A53">
        <w:t>.</w:t>
      </w:r>
    </w:p>
    <w:p w:rsidR="00053F2C" w:rsidRPr="00876A53" w:rsidRDefault="00053F2C" w:rsidP="00FE0711">
      <w:pPr>
        <w:pStyle w:val="Heading2"/>
      </w:pPr>
      <w:bookmarkStart w:id="93" w:name="_Toc392930620"/>
      <w:bookmarkStart w:id="94" w:name="_Toc392930711"/>
      <w:bookmarkStart w:id="95" w:name="_Toc393524921"/>
      <w:bookmarkStart w:id="96" w:name="_Toc393878384"/>
      <w:r w:rsidRPr="00876A53">
        <w:t xml:space="preserve">The Commission may not lawfully </w:t>
      </w:r>
      <w:r w:rsidR="00860B29" w:rsidRPr="00876A53">
        <w:t xml:space="preserve">weigh </w:t>
      </w:r>
      <w:r w:rsidRPr="00876A53">
        <w:t>the non-quantifiable benefits</w:t>
      </w:r>
      <w:bookmarkEnd w:id="93"/>
      <w:bookmarkEnd w:id="94"/>
      <w:bookmarkEnd w:id="95"/>
      <w:r w:rsidR="00860B29" w:rsidRPr="00876A53">
        <w:t xml:space="preserve"> against the quantifiable costs of the proposed ESP</w:t>
      </w:r>
      <w:bookmarkEnd w:id="96"/>
    </w:p>
    <w:p w:rsidR="00A942E4" w:rsidRPr="00876A53" w:rsidRDefault="00A942E4" w:rsidP="005C6107">
      <w:pPr>
        <w:rPr>
          <w:rFonts w:eastAsia="Calibri"/>
        </w:rPr>
      </w:pPr>
      <w:r w:rsidRPr="00876A53">
        <w:rPr>
          <w:rFonts w:eastAsia="Calibri"/>
        </w:rPr>
        <w:t xml:space="preserve">Although AEP-Ohio claimed that the proposed ESP was quantitatively more favorable that an MRO by $44.1 million, it also claimed that the proposed ESP would provide non-quantifiable benefits.  </w:t>
      </w:r>
      <w:r w:rsidR="00E954EA" w:rsidRPr="00876A53">
        <w:rPr>
          <w:rFonts w:eastAsia="Calibri"/>
        </w:rPr>
        <w:t xml:space="preserve">On the record in this case, the Commission cannot lawfully or reasonably approve the proposed ESP based on </w:t>
      </w:r>
      <w:r w:rsidR="000D06B5" w:rsidRPr="00876A53">
        <w:rPr>
          <w:rFonts w:eastAsia="Calibri"/>
        </w:rPr>
        <w:t>that claim.</w:t>
      </w:r>
    </w:p>
    <w:p w:rsidR="00053F2C" w:rsidRPr="00876A53" w:rsidRDefault="00053F2C" w:rsidP="005C6107">
      <w:pPr>
        <w:rPr>
          <w:rFonts w:eastAsia="Calibri"/>
        </w:rPr>
      </w:pPr>
      <w:r w:rsidRPr="00876A53">
        <w:rPr>
          <w:rFonts w:eastAsia="Calibri"/>
        </w:rPr>
        <w:t xml:space="preserve">In analyzing whether the proposed ESP satisfies the ESP </w:t>
      </w:r>
      <w:r w:rsidR="00837D7D" w:rsidRPr="00876A53">
        <w:rPr>
          <w:rFonts w:eastAsia="Calibri"/>
        </w:rPr>
        <w:t>v. MRO T</w:t>
      </w:r>
      <w:r w:rsidRPr="00876A53">
        <w:rPr>
          <w:rFonts w:eastAsia="Calibri"/>
        </w:rPr>
        <w:t xml:space="preserve">est, the Commission must engage in reasoned decision making.  In a contested case, R.C. 4903.09 requires the Commission to issue “findings of fact and [a] written opinion [] setting forth the reasons prompting the decision [] arrived at, based on said findings of fact.”  As the Ohio Supreme Court ("Court") has stated, the Commission in assessing </w:t>
      </w:r>
      <w:r w:rsidRPr="00876A53">
        <w:rPr>
          <w:rFonts w:eastAsia="Calibri"/>
        </w:rPr>
        <w:lastRenderedPageBreak/>
        <w:t>the record must explain its rationale, respond to contrary positions, and support its decision with appropriate evidence.</w:t>
      </w:r>
      <w:r w:rsidRPr="00876A53">
        <w:rPr>
          <w:rFonts w:eastAsia="Calibri"/>
          <w:vertAlign w:val="superscript"/>
        </w:rPr>
        <w:footnoteReference w:id="211"/>
      </w:r>
      <w:r w:rsidRPr="00876A53">
        <w:rPr>
          <w:rFonts w:eastAsia="Calibri"/>
        </w:rPr>
        <w:t xml:space="preserve">  “The commission cannot decide cases on subjective belief, wishful thinking, or folk wisdom.”</w:t>
      </w:r>
      <w:r w:rsidRPr="00876A53">
        <w:rPr>
          <w:rFonts w:eastAsia="Calibri"/>
          <w:vertAlign w:val="superscript"/>
        </w:rPr>
        <w:footnoteReference w:id="212"/>
      </w:r>
      <w:r w:rsidRPr="00876A53">
        <w:rPr>
          <w:rFonts w:eastAsia="Calibri"/>
        </w:rPr>
        <w:t xml:space="preserve">  Thus, R.C. 4903.09 imposes on the Commission a requirement to apply an objective standard to the ESP </w:t>
      </w:r>
      <w:r w:rsidR="00837D7D" w:rsidRPr="00876A53">
        <w:rPr>
          <w:rFonts w:eastAsia="Calibri"/>
        </w:rPr>
        <w:t>v. MRO T</w:t>
      </w:r>
      <w:r w:rsidRPr="00876A53">
        <w:rPr>
          <w:rFonts w:eastAsia="Calibri"/>
        </w:rPr>
        <w:t>est.</w:t>
      </w:r>
    </w:p>
    <w:p w:rsidR="00053F2C" w:rsidRPr="00876A53" w:rsidRDefault="00837D7D" w:rsidP="005C6107">
      <w:r w:rsidRPr="00876A53">
        <w:rPr>
          <w:rFonts w:eastAsia="Calibri"/>
        </w:rPr>
        <w:t>Although the Commission has “weighed” non-quantifiable benefits against the quantifiable costs of an ESP,</w:t>
      </w:r>
      <w:r w:rsidRPr="00876A53">
        <w:rPr>
          <w:rStyle w:val="FootnoteReference"/>
          <w:rFonts w:eastAsia="Calibri"/>
        </w:rPr>
        <w:footnoteReference w:id="213"/>
      </w:r>
      <w:r w:rsidRPr="00876A53">
        <w:rPr>
          <w:rFonts w:eastAsia="Calibri"/>
        </w:rPr>
        <w:t xml:space="preserve"> there must be some reasonable metric or other basis on which this weighing is done.  </w:t>
      </w:r>
      <w:r w:rsidR="00053F2C" w:rsidRPr="00876A53">
        <w:rPr>
          <w:rFonts w:eastAsia="Calibri"/>
        </w:rPr>
        <w:t xml:space="preserve">AEP-Ohio does not provide the Commission any basis on which it can “weigh” the non-quantifiable benefits against the costs that the </w:t>
      </w:r>
      <w:r w:rsidR="00860B29" w:rsidRPr="00876A53">
        <w:rPr>
          <w:rFonts w:eastAsia="Calibri"/>
        </w:rPr>
        <w:t xml:space="preserve">proposed </w:t>
      </w:r>
      <w:r w:rsidR="00053F2C" w:rsidRPr="00876A53">
        <w:rPr>
          <w:rFonts w:eastAsia="Calibri"/>
        </w:rPr>
        <w:t>ESP will impose on both shopping and nonshopping customers.  Reliance on these non-quantifiable benefits, therefore, would require the Commission to base its decis</w:t>
      </w:r>
      <w:r w:rsidR="00226D7F" w:rsidRPr="00876A53">
        <w:rPr>
          <w:rFonts w:eastAsia="Calibri"/>
        </w:rPr>
        <w:t>i</w:t>
      </w:r>
      <w:r w:rsidR="00053F2C" w:rsidRPr="00876A53">
        <w:rPr>
          <w:rFonts w:eastAsia="Calibri"/>
        </w:rPr>
        <w:t>on on subjective</w:t>
      </w:r>
      <w:r w:rsidR="0026538C" w:rsidRPr="00876A53">
        <w:rPr>
          <w:rFonts w:eastAsia="Calibri"/>
        </w:rPr>
        <w:t xml:space="preserve"> and unsupported</w:t>
      </w:r>
      <w:r w:rsidR="00053F2C" w:rsidRPr="00876A53">
        <w:rPr>
          <w:rFonts w:eastAsia="Calibri"/>
        </w:rPr>
        <w:t xml:space="preserve"> beliefs</w:t>
      </w:r>
      <w:r w:rsidR="0026538C" w:rsidRPr="00876A53">
        <w:rPr>
          <w:rFonts w:eastAsia="Calibri"/>
        </w:rPr>
        <w:t xml:space="preserve"> and guesses provided by AEP-Ohio</w:t>
      </w:r>
      <w:r w:rsidR="00053F2C" w:rsidRPr="00876A53">
        <w:rPr>
          <w:rFonts w:eastAsia="Calibri"/>
        </w:rPr>
        <w:t xml:space="preserve">.  R.C. 4903.09 requires more than </w:t>
      </w:r>
      <w:r w:rsidR="0026538C" w:rsidRPr="00876A53">
        <w:rPr>
          <w:rFonts w:eastAsia="Calibri"/>
        </w:rPr>
        <w:t xml:space="preserve">AEP-Ohio’s </w:t>
      </w:r>
      <w:r w:rsidR="00053F2C" w:rsidRPr="00876A53">
        <w:rPr>
          <w:rFonts w:eastAsia="Calibri"/>
        </w:rPr>
        <w:t>“trust me” approach.</w:t>
      </w:r>
    </w:p>
    <w:p w:rsidR="00053F2C" w:rsidRPr="00876A53" w:rsidRDefault="00053F2C" w:rsidP="00FE0711">
      <w:pPr>
        <w:pStyle w:val="Heading2"/>
      </w:pPr>
      <w:bookmarkStart w:id="97" w:name="_Toc392930621"/>
      <w:bookmarkStart w:id="98" w:name="_Toc392930712"/>
      <w:bookmarkStart w:id="99" w:name="_Toc393524922"/>
      <w:bookmarkStart w:id="100" w:name="_Toc393878385"/>
      <w:r w:rsidRPr="00876A53">
        <w:t>If the Commission may consider the non-quantifiable benefits, AEP-Ohio has failed to demonstrate that the proposed ESP provides any non</w:t>
      </w:r>
      <w:r w:rsidR="00CE7C2E" w:rsidRPr="00876A53">
        <w:t>-</w:t>
      </w:r>
      <w:r w:rsidRPr="00876A53">
        <w:t>quantifiable benefits to customers</w:t>
      </w:r>
      <w:bookmarkEnd w:id="97"/>
      <w:bookmarkEnd w:id="98"/>
      <w:bookmarkEnd w:id="99"/>
      <w:r w:rsidR="00860B29" w:rsidRPr="00876A53">
        <w:t xml:space="preserve"> that “outweigh” its substantial costs</w:t>
      </w:r>
      <w:bookmarkEnd w:id="100"/>
    </w:p>
    <w:p w:rsidR="00053F2C" w:rsidRPr="00876A53" w:rsidRDefault="00053F2C" w:rsidP="005C6107">
      <w:r w:rsidRPr="00876A53">
        <w:t xml:space="preserve">As noted above, AEP-Ohio claims that the non-quantifiable benefits of the proposed ESP consist of a faster transition to a market-based SSO than would be available under an MRO, increased price stability if the </w:t>
      </w:r>
      <w:r w:rsidRPr="0095700A">
        <w:t xml:space="preserve">PPAR is </w:t>
      </w:r>
      <w:r w:rsidR="00B76BB4" w:rsidRPr="0095700A">
        <w:t>authorized</w:t>
      </w:r>
      <w:r w:rsidRPr="0095700A">
        <w:t xml:space="preserve">, and customer benefits resulting from the POR.  </w:t>
      </w:r>
      <w:r w:rsidR="004F1376" w:rsidRPr="00876A53">
        <w:t xml:space="preserve">Statutory requirements including the </w:t>
      </w:r>
      <w:r w:rsidR="000B36FC" w:rsidRPr="00876A53">
        <w:t>s</w:t>
      </w:r>
      <w:r w:rsidR="004F1376" w:rsidRPr="00876A53">
        <w:t xml:space="preserve">tate </w:t>
      </w:r>
      <w:r w:rsidR="000B36FC" w:rsidRPr="00876A53">
        <w:t>e</w:t>
      </w:r>
      <w:r w:rsidR="004F1376" w:rsidRPr="00876A53">
        <w:t xml:space="preserve">nergy </w:t>
      </w:r>
      <w:r w:rsidR="000B36FC" w:rsidRPr="00876A53">
        <w:t>p</w:t>
      </w:r>
      <w:r w:rsidR="004F1376" w:rsidRPr="00876A53">
        <w:t>olicy, p</w:t>
      </w:r>
      <w:r w:rsidRPr="00876A53">
        <w:t>rior Commission orders</w:t>
      </w:r>
      <w:r w:rsidR="004F1376" w:rsidRPr="00876A53">
        <w:t>,</w:t>
      </w:r>
      <w:r w:rsidRPr="00876A53">
        <w:t xml:space="preserve"> and the record in this case, however, require the Commission to find that proposed ESP does not have non-quantifiable benefits and </w:t>
      </w:r>
      <w:r w:rsidRPr="00876A53">
        <w:lastRenderedPageBreak/>
        <w:t>whatever benefits may exist do not “outweigh” the substantial costs of the proposed ESP to customers.</w:t>
      </w:r>
    </w:p>
    <w:p w:rsidR="00B84385" w:rsidRPr="00876A53" w:rsidRDefault="00023E33" w:rsidP="00DA67E3">
      <w:pPr>
        <w:pStyle w:val="Heading3"/>
      </w:pPr>
      <w:bookmarkStart w:id="101" w:name="_Toc393524923"/>
      <w:bookmarkStart w:id="102" w:name="_Toc393878386"/>
      <w:bookmarkStart w:id="103" w:name="_Toc392930622"/>
      <w:bookmarkStart w:id="104" w:name="_Toc392930713"/>
      <w:r w:rsidRPr="00876A53">
        <w:t>The Commission cannot lawfully and reasonably assign a benefit to the ESP because AEP-Ohio agrees to implement a CBP to fulfill its obligation to provide a default service offer</w:t>
      </w:r>
      <w:bookmarkEnd w:id="101"/>
      <w:bookmarkEnd w:id="102"/>
    </w:p>
    <w:p w:rsidR="00B84385" w:rsidRPr="00876A53" w:rsidRDefault="00B84385" w:rsidP="007C64FC">
      <w:pPr>
        <w:rPr>
          <w:rFonts w:cs="Arial"/>
        </w:rPr>
      </w:pPr>
      <w:r w:rsidRPr="00876A53">
        <w:rPr>
          <w:rFonts w:cs="Arial"/>
        </w:rPr>
        <w:t xml:space="preserve">AEP-Ohio’s claim that the Commission should assign a benefit to a faster move to a CBP to set the default generation supply price is based on a fundamental misconception about the statutory outcomes required </w:t>
      </w:r>
      <w:r w:rsidRPr="0095700A">
        <w:rPr>
          <w:rFonts w:cs="Arial"/>
        </w:rPr>
        <w:t>by Chapter 4928.  The General Assembly has declared retail generation service to be a competitive service.</w:t>
      </w:r>
      <w:r w:rsidRPr="00876A53">
        <w:rPr>
          <w:rFonts w:cs="Arial"/>
          <w:vertAlign w:val="superscript"/>
        </w:rPr>
        <w:footnoteReference w:id="214"/>
      </w:r>
      <w:r w:rsidRPr="00876A53">
        <w:rPr>
          <w:rFonts w:cs="Arial"/>
        </w:rPr>
        <w:t xml:space="preserve">  The General Assembly’s expressed goal is to encourage customer choice through actions by individual customers having comparable and non-discriminatory access to a diverse group of CRES providers.</w:t>
      </w:r>
      <w:r w:rsidRPr="00876A53">
        <w:rPr>
          <w:rFonts w:cs="Arial"/>
          <w:vertAlign w:val="superscript"/>
        </w:rPr>
        <w:footnoteReference w:id="215"/>
      </w:r>
      <w:r w:rsidRPr="00876A53">
        <w:rPr>
          <w:rFonts w:cs="Arial"/>
        </w:rPr>
        <w:t xml:space="preserve">  The goal includes a statutory scheme that specifically limits the role of the EDU to that of a default supplier of competitive services and prohibits an EDU from being directly engaged in the business of providing competitive services.</w:t>
      </w:r>
      <w:r w:rsidRPr="00876A53">
        <w:rPr>
          <w:rFonts w:cs="Arial"/>
          <w:vertAlign w:val="superscript"/>
        </w:rPr>
        <w:footnoteReference w:id="216"/>
      </w:r>
      <w:r w:rsidRPr="00876A53">
        <w:rPr>
          <w:rFonts w:cs="Arial"/>
        </w:rPr>
        <w:t xml:space="preserve">  </w:t>
      </w:r>
      <w:r w:rsidR="00E954EA" w:rsidRPr="00876A53">
        <w:rPr>
          <w:rFonts w:cs="Arial"/>
        </w:rPr>
        <w:t>The SSO, whether based on an ESP or MRO, contains a default generation supply component for those customers not receiving competitive service from a CRES provider.</w:t>
      </w:r>
      <w:r w:rsidR="00E954EA" w:rsidRPr="00876A53">
        <w:rPr>
          <w:rFonts w:cs="Arial"/>
          <w:vertAlign w:val="superscript"/>
        </w:rPr>
        <w:footnoteReference w:id="217"/>
      </w:r>
      <w:r w:rsidR="00E954EA" w:rsidRPr="00876A53">
        <w:rPr>
          <w:rFonts w:cs="Arial"/>
        </w:rPr>
        <w:t xml:space="preserve">  Under the applicable requirements of an ESP or MRO, the SSO must be either market-tested (ESP) or market-based (MRO).  </w:t>
      </w:r>
      <w:r w:rsidRPr="00876A53">
        <w:rPr>
          <w:rFonts w:cs="Arial"/>
        </w:rPr>
        <w:t>The Commission cannot elevate the outcome already required by Ohio law</w:t>
      </w:r>
      <w:r w:rsidR="00860B29" w:rsidRPr="00876A53">
        <w:rPr>
          <w:rFonts w:cs="Arial"/>
        </w:rPr>
        <w:t>, a market-based SSO,</w:t>
      </w:r>
      <w:r w:rsidRPr="00876A53">
        <w:rPr>
          <w:rFonts w:cs="Arial"/>
        </w:rPr>
        <w:t xml:space="preserve"> to avoid a finding that the proposed ESP, which burdens customers with unlawful charges, is more favorable in the aggregate than an MRO.</w:t>
      </w:r>
    </w:p>
    <w:p w:rsidR="00B84385" w:rsidRPr="00876A53" w:rsidRDefault="00B84385" w:rsidP="00B84385">
      <w:pPr>
        <w:rPr>
          <w:rFonts w:cs="Arial"/>
        </w:rPr>
      </w:pPr>
      <w:r w:rsidRPr="00876A53">
        <w:rPr>
          <w:rFonts w:cs="Arial"/>
        </w:rPr>
        <w:lastRenderedPageBreak/>
        <w:t xml:space="preserve">By assigning some subjective, but apparently substantial, benefit to the “quicker” move to a competitively bid SSO, AEP-Ohio again seeks to unreasonably and unlawfully reverse the priorities clearly expressed in Ohio law.  </w:t>
      </w:r>
      <w:r w:rsidR="00860B29" w:rsidRPr="00876A53">
        <w:rPr>
          <w:rFonts w:cs="Arial"/>
        </w:rPr>
        <w:t>There is not any</w:t>
      </w:r>
      <w:r w:rsidRPr="00876A53">
        <w:rPr>
          <w:rFonts w:cs="Arial"/>
        </w:rPr>
        <w:t xml:space="preserve"> benefit to the </w:t>
      </w:r>
      <w:r w:rsidR="00860B29" w:rsidRPr="00876A53">
        <w:rPr>
          <w:rFonts w:cs="Arial"/>
        </w:rPr>
        <w:t xml:space="preserve">proposed </w:t>
      </w:r>
      <w:r w:rsidRPr="00876A53">
        <w:rPr>
          <w:rFonts w:cs="Arial"/>
        </w:rPr>
        <w:t>ESP because</w:t>
      </w:r>
      <w:r w:rsidR="00023E33" w:rsidRPr="00876A53">
        <w:rPr>
          <w:rFonts w:cs="Arial"/>
        </w:rPr>
        <w:t xml:space="preserve"> AEP-Ohio agrees to implement a CBP to fulfill its obligation to provide a default service offer</w:t>
      </w:r>
      <w:r w:rsidR="004F1376" w:rsidRPr="00876A53">
        <w:rPr>
          <w:rFonts w:cs="Arial"/>
        </w:rPr>
        <w:t xml:space="preserve"> </w:t>
      </w:r>
      <w:r w:rsidR="00E954EA" w:rsidRPr="00876A53">
        <w:rPr>
          <w:rFonts w:cs="Arial"/>
        </w:rPr>
        <w:t>that must already meet a market-based test</w:t>
      </w:r>
      <w:r w:rsidR="004F1376" w:rsidRPr="00876A53">
        <w:rPr>
          <w:rFonts w:cs="Arial"/>
        </w:rPr>
        <w:t>.</w:t>
      </w:r>
    </w:p>
    <w:p w:rsidR="00053F2C" w:rsidRPr="00876A53" w:rsidRDefault="00053F2C" w:rsidP="00DA67E3">
      <w:pPr>
        <w:pStyle w:val="Heading3"/>
      </w:pPr>
      <w:bookmarkStart w:id="105" w:name="_Toc393524924"/>
      <w:bookmarkStart w:id="106" w:name="_Toc393878387"/>
      <w:r w:rsidRPr="00876A53">
        <w:t>AEP-Ohio seeks to double-count the benefits of a faster move to a market-based SSO</w:t>
      </w:r>
      <w:bookmarkEnd w:id="103"/>
      <w:bookmarkEnd w:id="104"/>
      <w:bookmarkEnd w:id="105"/>
      <w:bookmarkEnd w:id="106"/>
    </w:p>
    <w:p w:rsidR="00053F2C" w:rsidRPr="00876A53" w:rsidRDefault="00053F2C" w:rsidP="005C6107">
      <w:r w:rsidRPr="00876A53">
        <w:t xml:space="preserve">As AEP-Ohio’s testimony indicates, the Commission previously recognized </w:t>
      </w:r>
      <w:r w:rsidR="00023E33" w:rsidRPr="00876A53">
        <w:t>the transition to an ESP based on a CBP</w:t>
      </w:r>
      <w:r w:rsidR="00837D7D" w:rsidRPr="00876A53">
        <w:t xml:space="preserve"> </w:t>
      </w:r>
      <w:r w:rsidRPr="00876A53">
        <w:t xml:space="preserve">as a non-quantifiable benefit of the ESP approved in AEP-Ohio’s </w:t>
      </w:r>
      <w:r w:rsidR="00860B29" w:rsidRPr="00876A53">
        <w:t>last SSO case</w:t>
      </w:r>
      <w:r w:rsidRPr="00876A53">
        <w:t>.</w:t>
      </w:r>
      <w:r w:rsidRPr="00876A53">
        <w:rPr>
          <w:rStyle w:val="FootnoteReference"/>
        </w:rPr>
        <w:footnoteReference w:id="218"/>
      </w:r>
      <w:r w:rsidRPr="00876A53">
        <w:t xml:space="preserve">  Based on the Commission’s prior holding that an EDU may not count as a benefit of the prop</w:t>
      </w:r>
      <w:r w:rsidR="00226D7F" w:rsidRPr="00876A53">
        <w:t>o</w:t>
      </w:r>
      <w:r w:rsidRPr="00876A53">
        <w:t xml:space="preserve">sed ESP a benefit previously recognized in the approval of a prior ESP, </w:t>
      </w:r>
      <w:r w:rsidR="0026538C" w:rsidRPr="00876A53">
        <w:t>the Commission</w:t>
      </w:r>
      <w:r w:rsidRPr="00876A53">
        <w:t xml:space="preserve"> cannot lawfully and reasonably “double count” the so-called faster move to market-based rates</w:t>
      </w:r>
      <w:r w:rsidR="0026538C" w:rsidRPr="00876A53">
        <w:t xml:space="preserve"> in this case</w:t>
      </w:r>
      <w:r w:rsidRPr="00876A53">
        <w:t>.</w:t>
      </w:r>
    </w:p>
    <w:p w:rsidR="00053F2C" w:rsidRPr="00876A53" w:rsidRDefault="00860B29" w:rsidP="005C6107">
      <w:r w:rsidRPr="00876A53">
        <w:t>Rejecting the double count is required by the Commission’s order in FirstEnergy’s</w:t>
      </w:r>
      <w:r w:rsidR="00053F2C" w:rsidRPr="00876A53">
        <w:t xml:space="preserve"> last ESP case</w:t>
      </w:r>
      <w:r w:rsidRPr="00876A53">
        <w:t>.  In that case,</w:t>
      </w:r>
      <w:r w:rsidR="00053F2C" w:rsidRPr="00876A53">
        <w:t xml:space="preserve"> FirstEnergy argued that its decision to forgo regional transmission expansion plan (“RTEP”) costs should be considered a quantifiable benefit of the proposed ESP.  Staff testified that forgoing recovery of the RTEP costs </w:t>
      </w:r>
      <w:r w:rsidR="00580F79" w:rsidRPr="00876A53">
        <w:t xml:space="preserve">should </w:t>
      </w:r>
      <w:r w:rsidR="00053F2C" w:rsidRPr="00876A53">
        <w:t>not be treated as a quantifiable benefit because FirstEnergy had agreed to forgo recovery of the RTEP costs in a prior ESP proceeding.  The Commission agreed, stating “that the benefit of this credit was a result of the Commission’s decision in the ESP 2 Case and cannot be considered a benefit of the ESP 3 to be reflected in the ESP v. MRO analysis.”</w:t>
      </w:r>
      <w:r w:rsidR="00053F2C" w:rsidRPr="00876A53">
        <w:rPr>
          <w:rStyle w:val="FootnoteReference"/>
        </w:rPr>
        <w:footnoteReference w:id="219"/>
      </w:r>
    </w:p>
    <w:p w:rsidR="00053F2C" w:rsidRPr="00876A53" w:rsidRDefault="00053F2C" w:rsidP="005C6107">
      <w:r w:rsidRPr="00876A53">
        <w:lastRenderedPageBreak/>
        <w:t>In AEP-Ohio’s ESP II case, the Commission recognized a non-quantifiable benefit of the ESP arising from a faster move to a market-based ESP than would occur under an MRO.</w:t>
      </w:r>
      <w:r w:rsidRPr="00876A53">
        <w:rPr>
          <w:rStyle w:val="FootnoteReference"/>
        </w:rPr>
        <w:footnoteReference w:id="220"/>
      </w:r>
      <w:r w:rsidRPr="00876A53">
        <w:t xml:space="preserve">  </w:t>
      </w:r>
      <w:r w:rsidR="00580F79" w:rsidRPr="00876A53">
        <w:t>Because</w:t>
      </w:r>
      <w:r w:rsidRPr="00876A53">
        <w:t xml:space="preserve"> the Commission previously credited AEP-Ohio with a non-quantifiable benefit of this “faster move,” </w:t>
      </w:r>
      <w:r w:rsidR="00580F79" w:rsidRPr="00876A53">
        <w:t>it would be unlawful and unreasonable to count it again as a benefit of the proposed ESP.</w:t>
      </w:r>
    </w:p>
    <w:p w:rsidR="00053F2C" w:rsidRPr="00876A53" w:rsidRDefault="00053F2C" w:rsidP="00DA67E3">
      <w:pPr>
        <w:pStyle w:val="Heading3"/>
      </w:pPr>
      <w:bookmarkStart w:id="107" w:name="_Toc392930623"/>
      <w:bookmarkStart w:id="108" w:name="_Toc392930714"/>
      <w:bookmarkStart w:id="109" w:name="_Toc393524925"/>
      <w:bookmarkStart w:id="110" w:name="_Toc393878388"/>
      <w:r w:rsidRPr="00876A53">
        <w:t xml:space="preserve">The PPAR </w:t>
      </w:r>
      <w:r w:rsidR="00653CA0" w:rsidRPr="005057ED">
        <w:t xml:space="preserve">will </w:t>
      </w:r>
      <w:r w:rsidRPr="00876A53">
        <w:t xml:space="preserve">harm customers and competition without providing </w:t>
      </w:r>
      <w:r w:rsidR="00E954EA" w:rsidRPr="00876A53">
        <w:t>price</w:t>
      </w:r>
      <w:r w:rsidRPr="00876A53">
        <w:t xml:space="preserve"> stability</w:t>
      </w:r>
      <w:bookmarkEnd w:id="107"/>
      <w:bookmarkEnd w:id="108"/>
      <w:bookmarkEnd w:id="109"/>
      <w:bookmarkEnd w:id="110"/>
    </w:p>
    <w:p w:rsidR="00053F2C" w:rsidRPr="00876A53" w:rsidRDefault="00053F2C" w:rsidP="005C6107">
      <w:r w:rsidRPr="00876A53">
        <w:t>AEP-Ohio further claims that the PPAR is a non-quantifiable benefit of the proposed ESP because “it provides increased rate stability for customers.”</w:t>
      </w:r>
      <w:r w:rsidRPr="00876A53">
        <w:rPr>
          <w:rStyle w:val="FootnoteReference"/>
        </w:rPr>
        <w:footnoteReference w:id="221"/>
      </w:r>
      <w:r w:rsidRPr="00876A53">
        <w:t xml:space="preserve">  The PPAR, however, will impose a significant new cost on customers through a nonbypassable rider and inject additional price volatility.</w:t>
      </w:r>
    </w:p>
    <w:p w:rsidR="00053F2C" w:rsidRPr="00876A53" w:rsidRDefault="00053F2C" w:rsidP="005C6107">
      <w:r w:rsidRPr="00876A53">
        <w:t xml:space="preserve">As discussed above, the PPAR likely will result in an additional charge on all customers during the term of </w:t>
      </w:r>
      <w:r w:rsidR="002521D1" w:rsidRPr="00876A53">
        <w:t xml:space="preserve">the </w:t>
      </w:r>
      <w:r w:rsidR="004F1376" w:rsidRPr="00876A53">
        <w:t xml:space="preserve">proposed </w:t>
      </w:r>
      <w:r w:rsidRPr="00876A53">
        <w:t>ESP</w:t>
      </w:r>
      <w:r w:rsidR="000B36FC" w:rsidRPr="00876A53">
        <w:t xml:space="preserve"> of $</w:t>
      </w:r>
      <w:r w:rsidR="0026538C" w:rsidRPr="00876A53">
        <w:t>8</w:t>
      </w:r>
      <w:r w:rsidR="000B36FC" w:rsidRPr="00876A53">
        <w:t>2 to $116 million</w:t>
      </w:r>
      <w:r w:rsidRPr="00876A53">
        <w:t xml:space="preserve">.  </w:t>
      </w:r>
      <w:r w:rsidR="003D15C9" w:rsidRPr="00876A53">
        <w:t xml:space="preserve">Further, as discussed previously, the design of the PPAR (which includes an over/under adjustment provision) and the structure of the </w:t>
      </w:r>
      <w:r w:rsidR="004F1376" w:rsidRPr="00876A53">
        <w:t xml:space="preserve">other </w:t>
      </w:r>
      <w:r w:rsidR="003D15C9" w:rsidRPr="00876A53">
        <w:t xml:space="preserve">riders </w:t>
      </w:r>
      <w:r w:rsidR="004F1376" w:rsidRPr="00876A53">
        <w:t xml:space="preserve">making up the rates of shopping and nonshopping customers </w:t>
      </w:r>
      <w:r w:rsidR="003D15C9" w:rsidRPr="00876A53">
        <w:t>(which include annual or more</w:t>
      </w:r>
      <w:r w:rsidR="004F1376" w:rsidRPr="00876A53">
        <w:t xml:space="preserve"> frequent</w:t>
      </w:r>
      <w:r w:rsidR="003D15C9" w:rsidRPr="00876A53">
        <w:t xml:space="preserve"> adjustments) make it unlikely that the </w:t>
      </w:r>
      <w:r w:rsidR="00580F79" w:rsidRPr="00876A53">
        <w:t>“</w:t>
      </w:r>
      <w:r w:rsidR="003D15C9" w:rsidRPr="00876A53">
        <w:t>hedge</w:t>
      </w:r>
      <w:r w:rsidR="00580F79" w:rsidRPr="00876A53">
        <w:t>”</w:t>
      </w:r>
      <w:r w:rsidR="003D15C9" w:rsidRPr="00876A53">
        <w:t xml:space="preserve"> will be of any benefit to customers.  </w:t>
      </w:r>
      <w:r w:rsidRPr="00876A53">
        <w:t>Based on the record in this case demonstrat</w:t>
      </w:r>
      <w:r w:rsidR="004F1376" w:rsidRPr="00876A53">
        <w:t>ing</w:t>
      </w:r>
      <w:r w:rsidRPr="00876A53">
        <w:t xml:space="preserve"> that the PPAR likely will increase customer rates or at best do nothing</w:t>
      </w:r>
      <w:r w:rsidR="003D15C9" w:rsidRPr="00876A53">
        <w:t xml:space="preserve"> to hedge customer bills</w:t>
      </w:r>
      <w:r w:rsidRPr="00876A53">
        <w:t xml:space="preserve">, the Commission cannot reasonably conclude that the rider provides a non-quantifiable benefit </w:t>
      </w:r>
      <w:r w:rsidR="000B36FC" w:rsidRPr="00876A53">
        <w:t>to customers</w:t>
      </w:r>
      <w:r w:rsidRPr="00876A53">
        <w:t>.</w:t>
      </w:r>
    </w:p>
    <w:p w:rsidR="00053F2C" w:rsidRPr="00876A53" w:rsidRDefault="00053F2C">
      <w:r w:rsidRPr="00876A53">
        <w:t xml:space="preserve">More practically, however, the PPAR would </w:t>
      </w:r>
      <w:r w:rsidR="003D15C9" w:rsidRPr="00876A53">
        <w:t xml:space="preserve">likely </w:t>
      </w:r>
      <w:r w:rsidRPr="00876A53">
        <w:t xml:space="preserve">inject additional volatility into prices for both shopping and nonshopping customers.  Shopping customers, including </w:t>
      </w:r>
      <w:r w:rsidRPr="00876A53">
        <w:lastRenderedPageBreak/>
        <w:t>residential customers, can secure long-term contracts of up to three years at a fixed rate.</w:t>
      </w:r>
      <w:r w:rsidRPr="00876A53">
        <w:rPr>
          <w:rStyle w:val="FootnoteReference"/>
        </w:rPr>
        <w:footnoteReference w:id="222"/>
      </w:r>
      <w:r w:rsidRPr="00876A53">
        <w:t xml:space="preserve">  </w:t>
      </w:r>
      <w:r w:rsidR="000B36FC" w:rsidRPr="00876A53">
        <w:t>Nonshopping</w:t>
      </w:r>
      <w:r w:rsidRPr="00876A53">
        <w:t xml:space="preserve"> customers would benefit from the stability provided by the laddering and staggering of the CBP.</w:t>
      </w:r>
      <w:r w:rsidRPr="00876A53">
        <w:rPr>
          <w:rStyle w:val="FootnoteReference"/>
        </w:rPr>
        <w:footnoteReference w:id="223"/>
      </w:r>
      <w:r w:rsidRPr="00876A53">
        <w:t xml:space="preserve">  </w:t>
      </w:r>
      <w:r w:rsidR="000B36FC" w:rsidRPr="00876A53">
        <w:t xml:space="preserve">Authorization of </w:t>
      </w:r>
      <w:r w:rsidRPr="00876A53">
        <w:t>the PPAR</w:t>
      </w:r>
      <w:r w:rsidR="000B36FC" w:rsidRPr="00876A53">
        <w:t>, however, would</w:t>
      </w:r>
      <w:r w:rsidRPr="00876A53">
        <w:t xml:space="preserve"> increase price risk for </w:t>
      </w:r>
      <w:r w:rsidR="000B36FC" w:rsidRPr="00876A53">
        <w:t xml:space="preserve">both shopping and nonshopping </w:t>
      </w:r>
      <w:r w:rsidRPr="00876A53">
        <w:t>customers.</w:t>
      </w:r>
      <w:r w:rsidRPr="00876A53">
        <w:rPr>
          <w:rStyle w:val="FootnoteReference"/>
        </w:rPr>
        <w:footnoteReference w:id="224"/>
      </w:r>
      <w:r w:rsidRPr="00876A53">
        <w:t xml:space="preserve">  </w:t>
      </w:r>
      <w:r w:rsidR="0026538C" w:rsidRPr="00876A53">
        <w:t>As</w:t>
      </w:r>
      <w:r w:rsidRPr="00876A53">
        <w:t xml:space="preserve"> Mr. Murray explained</w:t>
      </w:r>
      <w:r w:rsidR="0026538C" w:rsidRPr="00876A53">
        <w:t>:</w:t>
      </w:r>
      <w:r w:rsidRPr="00876A53">
        <w:t xml:space="preserve"> </w:t>
      </w:r>
    </w:p>
    <w:p w:rsidR="00053F2C" w:rsidRPr="00876A53" w:rsidRDefault="00053F2C" w:rsidP="005C6107">
      <w:pPr>
        <w:spacing w:line="240" w:lineRule="auto"/>
        <w:ind w:left="720" w:right="720" w:firstLine="0"/>
      </w:pPr>
      <w:r w:rsidRPr="00876A53">
        <w:t>The only stability provided by the PPA Rider is the stability provided AEP-Ohio (as an equity owner of OVEC) through a guaranteed return of and on its generation investments funded by captive retail distribution customers through the PPA Rider.  As proposed by AEP-Ohio, the PPA Rider provides no stability to any SSO or non-SSO customer at all because it is an unknown cost or credit that will vary in amount over the term of the proposed ESP III and the variation will be reflected in the charge that is periodically adjusted and reconciled as the PPA Rider is implemented along with the several othe</w:t>
      </w:r>
      <w:r w:rsidR="00226D7F" w:rsidRPr="00876A53">
        <w:t>r</w:t>
      </w:r>
      <w:r w:rsidRPr="00876A53">
        <w:t xml:space="preserve"> riders and adjustment mechanisms.  The only guarantee for shopping and non-shopping retail customers provided by the PPA Rider is that their rates will remain unpredictable for the entire term of the ESP III.  Indeed, for shopping customers who have selected fixed price offers from CRES providers, the proposed PPA Rider would add uncertainty and instability to their delivered price of electricity.</w:t>
      </w:r>
      <w:r w:rsidRPr="00876A53">
        <w:rPr>
          <w:rStyle w:val="FootnoteReference"/>
        </w:rPr>
        <w:footnoteReference w:id="225"/>
      </w:r>
    </w:p>
    <w:p w:rsidR="005C6107" w:rsidRPr="00876A53" w:rsidRDefault="005C6107" w:rsidP="005C6107">
      <w:pPr>
        <w:spacing w:line="240" w:lineRule="auto"/>
        <w:ind w:left="720" w:right="720" w:firstLine="0"/>
      </w:pPr>
    </w:p>
    <w:p w:rsidR="00053F2C" w:rsidRPr="00876A53" w:rsidRDefault="0026538C" w:rsidP="005C6107">
      <w:pPr>
        <w:ind w:firstLine="0"/>
      </w:pPr>
      <w:r w:rsidRPr="00876A53">
        <w:t>It</w:t>
      </w:r>
      <w:r w:rsidR="00053F2C" w:rsidRPr="00876A53">
        <w:t xml:space="preserve"> would be far easier to provide </w:t>
      </w:r>
      <w:r w:rsidR="003D15C9" w:rsidRPr="00876A53">
        <w:t xml:space="preserve">ESP </w:t>
      </w:r>
      <w:r w:rsidR="00053F2C" w:rsidRPr="00876A53">
        <w:t xml:space="preserve">customers with a stable generation price by directing AEP-Ohio to conduct a single, </w:t>
      </w:r>
      <w:r w:rsidR="00FB298A" w:rsidRPr="00876A53">
        <w:t>descending</w:t>
      </w:r>
      <w:r w:rsidR="00053F2C" w:rsidRPr="00876A53">
        <w:t xml:space="preserve"> clock auction for all SSO generation supply necessary for the entire ESP term or longer prior to the start of the proposed ESP.</w:t>
      </w:r>
      <w:r w:rsidR="00053F2C" w:rsidRPr="00876A53">
        <w:rPr>
          <w:rStyle w:val="FootnoteReference"/>
        </w:rPr>
        <w:footnoteReference w:id="226"/>
      </w:r>
      <w:r w:rsidR="00053F2C" w:rsidRPr="00876A53">
        <w:t xml:space="preserve">  Moreover, a single auction for generation service for SSO customers (and those wishing to return to the SSO), as opposed to the imposition of a nonbypassable generation-related charge that is not authorized by a provision of R.C. 4928.143, would </w:t>
      </w:r>
      <w:r w:rsidR="00053F2C" w:rsidRPr="00876A53">
        <w:lastRenderedPageBreak/>
        <w:t xml:space="preserve">have the added advantage </w:t>
      </w:r>
      <w:r w:rsidR="003D15C9" w:rsidRPr="00876A53">
        <w:t xml:space="preserve">over the PPAR </w:t>
      </w:r>
      <w:r w:rsidR="00053F2C" w:rsidRPr="00876A53">
        <w:t>of being legal</w:t>
      </w:r>
      <w:r w:rsidR="003D15C9" w:rsidRPr="00876A53">
        <w:t>ly authorized as a term of the proposed ESP</w:t>
      </w:r>
      <w:r w:rsidR="00053F2C" w:rsidRPr="00876A53">
        <w:t>.</w:t>
      </w:r>
    </w:p>
    <w:p w:rsidR="003D15C9" w:rsidRPr="00876A53" w:rsidRDefault="00053F2C" w:rsidP="005C6107">
      <w:r w:rsidRPr="00876A53">
        <w:t xml:space="preserve">As discussed previously, the PPAR also harms customers because it would frustrate the </w:t>
      </w:r>
      <w:r w:rsidR="000B36FC" w:rsidRPr="00876A53">
        <w:t>energy policy of the State</w:t>
      </w:r>
      <w:r w:rsidRPr="00876A53">
        <w:t xml:space="preserve"> to ensure customer choice.</w:t>
      </w:r>
      <w:r w:rsidRPr="00876A53">
        <w:rPr>
          <w:rStyle w:val="FootnoteReference"/>
        </w:rPr>
        <w:footnoteReference w:id="227"/>
      </w:r>
      <w:r w:rsidRPr="00876A53">
        <w:t xml:space="preserve">  In opposition to that policy, the PPAR would impose a </w:t>
      </w:r>
      <w:r w:rsidR="003D15C9" w:rsidRPr="00876A53">
        <w:t xml:space="preserve">charge </w:t>
      </w:r>
      <w:r w:rsidRPr="00876A53">
        <w:t>on customers</w:t>
      </w:r>
      <w:r w:rsidR="00900DD3" w:rsidRPr="00876A53">
        <w:t>, allegedly to secure</w:t>
      </w:r>
      <w:r w:rsidRPr="00876A53">
        <w:t xml:space="preserve"> </w:t>
      </w:r>
      <w:r w:rsidR="003D15C9" w:rsidRPr="00876A53">
        <w:t>price stability</w:t>
      </w:r>
      <w:r w:rsidR="00900DD3" w:rsidRPr="00876A53">
        <w:t>,</w:t>
      </w:r>
      <w:r w:rsidR="003D15C9" w:rsidRPr="00876A53">
        <w:t xml:space="preserve"> </w:t>
      </w:r>
      <w:r w:rsidR="004F1376" w:rsidRPr="00876A53">
        <w:t xml:space="preserve">when </w:t>
      </w:r>
      <w:r w:rsidRPr="00876A53">
        <w:t xml:space="preserve">they can already manage </w:t>
      </w:r>
      <w:r w:rsidR="004F1376" w:rsidRPr="00876A53">
        <w:t xml:space="preserve">price volatility </w:t>
      </w:r>
      <w:r w:rsidRPr="00876A53">
        <w:t>through their choice of many options available in the retail electricity market.</w:t>
      </w:r>
    </w:p>
    <w:p w:rsidR="00053F2C" w:rsidRPr="00876A53" w:rsidRDefault="00053F2C" w:rsidP="005C6107">
      <w:r w:rsidRPr="00876A53">
        <w:t xml:space="preserve">Further, as discussed above, the PPAR will have no effect on reliability of service; that role is a function of PJM, and it is already addressing </w:t>
      </w:r>
      <w:r w:rsidR="00E954EA" w:rsidRPr="00876A53">
        <w:t>concerns about</w:t>
      </w:r>
      <w:r w:rsidRPr="00876A53">
        <w:t xml:space="preserve"> reliability and </w:t>
      </w:r>
      <w:r w:rsidR="00E954EA" w:rsidRPr="00876A53">
        <w:t xml:space="preserve">price </w:t>
      </w:r>
      <w:r w:rsidRPr="00876A53">
        <w:t>volatility raised by the January 2014 weather events.</w:t>
      </w:r>
    </w:p>
    <w:p w:rsidR="00053F2C" w:rsidRPr="00876A53" w:rsidRDefault="00053F2C" w:rsidP="005C6107">
      <w:r w:rsidRPr="00876A53">
        <w:t>Also as noted above, the PPAR is anticompetitive.  If the PPAR is approved, AEP-Ohio faces no market price risk</w:t>
      </w:r>
      <w:r w:rsidR="001C2B01" w:rsidRPr="00876A53">
        <w:t xml:space="preserve"> for its OVEC Entitlement</w:t>
      </w:r>
      <w:r w:rsidRPr="00876A53">
        <w:t>, and AEP-Ohio would look to only its affiliated unregulated generation company as a source for any additional PPAs if it sought to expand the “hedge.”</w:t>
      </w:r>
      <w:r w:rsidRPr="00876A53">
        <w:rPr>
          <w:rStyle w:val="FootnoteReference"/>
        </w:rPr>
        <w:footnoteReference w:id="228"/>
      </w:r>
      <w:r w:rsidRPr="00876A53">
        <w:t xml:space="preserve">  In contrast, competitors </w:t>
      </w:r>
      <w:r w:rsidR="004F1376" w:rsidRPr="00876A53">
        <w:t xml:space="preserve">that face price risk hourly </w:t>
      </w:r>
      <w:r w:rsidRPr="00876A53">
        <w:t xml:space="preserve">do not have a regulatory backstop </w:t>
      </w:r>
      <w:r w:rsidR="00FB298A" w:rsidRPr="00876A53">
        <w:t>such as the PPAR</w:t>
      </w:r>
      <w:r w:rsidRPr="00876A53">
        <w:t>.  Contrary to AEP-</w:t>
      </w:r>
      <w:r w:rsidR="00957A6C" w:rsidRPr="00876A53">
        <w:t>Ohio’s</w:t>
      </w:r>
      <w:r w:rsidRPr="00876A53">
        <w:t xml:space="preserve"> repeated assertions,</w:t>
      </w:r>
      <w:r w:rsidRPr="00876A53">
        <w:rPr>
          <w:rStyle w:val="FootnoteReference"/>
        </w:rPr>
        <w:footnoteReference w:id="229"/>
      </w:r>
      <w:r w:rsidRPr="00876A53">
        <w:t xml:space="preserve"> the PPAR would place unregulated generation providers at a competitive disadvantage.</w:t>
      </w:r>
    </w:p>
    <w:p w:rsidR="00053F2C" w:rsidRPr="0095700A" w:rsidRDefault="00053F2C" w:rsidP="005C6107">
      <w:r w:rsidRPr="00876A53">
        <w:t xml:space="preserve">The PPAR thus fails to provide a non-quantifiable benefit in several ways.  It </w:t>
      </w:r>
      <w:r w:rsidR="008065E9" w:rsidRPr="00876A53">
        <w:t xml:space="preserve">would likely increase the customer’s bill while </w:t>
      </w:r>
      <w:r w:rsidRPr="00876A53">
        <w:t>frustrat</w:t>
      </w:r>
      <w:r w:rsidR="008065E9" w:rsidRPr="00876A53">
        <w:t>ing</w:t>
      </w:r>
      <w:r w:rsidRPr="00876A53">
        <w:t xml:space="preserve"> competition, violat</w:t>
      </w:r>
      <w:r w:rsidR="008065E9" w:rsidRPr="00876A53">
        <w:t>i</w:t>
      </w:r>
      <w:r w:rsidR="001C2B01" w:rsidRPr="00876A53">
        <w:t>ng</w:t>
      </w:r>
      <w:r w:rsidRPr="00876A53">
        <w:t xml:space="preserve"> state policy</w:t>
      </w:r>
      <w:r w:rsidR="001C2B01" w:rsidRPr="00876A53">
        <w:t xml:space="preserve"> supporting customer choice</w:t>
      </w:r>
      <w:r w:rsidRPr="00876A53">
        <w:t>, and increas</w:t>
      </w:r>
      <w:r w:rsidR="008065E9" w:rsidRPr="00876A53">
        <w:t>ing</w:t>
      </w:r>
      <w:r w:rsidRPr="00876A53">
        <w:t xml:space="preserve"> price risk for those customers that </w:t>
      </w:r>
      <w:r w:rsidRPr="00876A53">
        <w:lastRenderedPageBreak/>
        <w:t>are seeking to reduce volatility</w:t>
      </w:r>
      <w:r w:rsidR="008065E9" w:rsidRPr="00876A53">
        <w:t xml:space="preserve"> </w:t>
      </w:r>
      <w:r w:rsidR="008065E9" w:rsidRPr="0095700A">
        <w:t>through either CRES contracts or the SSO</w:t>
      </w:r>
      <w:r w:rsidRPr="0095700A">
        <w:t>.  Rather than providing a non-quantifiable benefit</w:t>
      </w:r>
      <w:r w:rsidR="00B76BB4" w:rsidRPr="0095700A">
        <w:t>,</w:t>
      </w:r>
      <w:r w:rsidRPr="0095700A">
        <w:t xml:space="preserve"> the PPAR would be harmful to </w:t>
      </w:r>
      <w:r w:rsidR="00B76BB4" w:rsidRPr="0095700A">
        <w:t>customers</w:t>
      </w:r>
      <w:r w:rsidRPr="0095700A">
        <w:t>.</w:t>
      </w:r>
    </w:p>
    <w:p w:rsidR="00053F2C" w:rsidRPr="00876A53" w:rsidRDefault="00053F2C" w:rsidP="00FB298A">
      <w:pPr>
        <w:pStyle w:val="Heading3"/>
      </w:pPr>
      <w:bookmarkStart w:id="111" w:name="_Toc392930624"/>
      <w:bookmarkStart w:id="112" w:name="_Toc392930715"/>
      <w:bookmarkStart w:id="113" w:name="_Toc393524926"/>
      <w:bookmarkStart w:id="114" w:name="_Toc393878389"/>
      <w:r w:rsidRPr="00876A53">
        <w:t xml:space="preserve">The POR </w:t>
      </w:r>
      <w:r w:rsidR="008065E9" w:rsidRPr="00876A53">
        <w:t xml:space="preserve">program </w:t>
      </w:r>
      <w:r w:rsidR="00F638AE" w:rsidRPr="00876A53">
        <w:t>will not provide</w:t>
      </w:r>
      <w:r w:rsidRPr="00876A53">
        <w:t xml:space="preserve"> a non</w:t>
      </w:r>
      <w:r w:rsidR="00423277" w:rsidRPr="00876A53">
        <w:t>-</w:t>
      </w:r>
      <w:r w:rsidRPr="00876A53">
        <w:t>quantifiable benefit</w:t>
      </w:r>
      <w:bookmarkEnd w:id="111"/>
      <w:bookmarkEnd w:id="112"/>
      <w:bookmarkEnd w:id="113"/>
      <w:r w:rsidR="00F638AE" w:rsidRPr="00876A53">
        <w:t xml:space="preserve"> to customers</w:t>
      </w:r>
      <w:bookmarkEnd w:id="114"/>
    </w:p>
    <w:p w:rsidR="00053F2C" w:rsidRPr="00876A53" w:rsidRDefault="00053F2C">
      <w:r w:rsidRPr="00876A53">
        <w:t xml:space="preserve">AEP-Ohio and Staff also state that the POR </w:t>
      </w:r>
      <w:r w:rsidR="00FB298A" w:rsidRPr="00876A53">
        <w:t xml:space="preserve">program would </w:t>
      </w:r>
      <w:r w:rsidRPr="00876A53">
        <w:t>provid</w:t>
      </w:r>
      <w:r w:rsidR="00FB298A" w:rsidRPr="00876A53">
        <w:t>e</w:t>
      </w:r>
      <w:r w:rsidRPr="00876A53">
        <w:t xml:space="preserve"> non-quantifiable benefits to customers.</w:t>
      </w:r>
      <w:r w:rsidRPr="00876A53">
        <w:rPr>
          <w:rStyle w:val="FootnoteReference"/>
        </w:rPr>
        <w:footnoteReference w:id="230"/>
      </w:r>
      <w:r w:rsidRPr="00876A53">
        <w:t xml:space="preserve">  </w:t>
      </w:r>
      <w:r w:rsidR="008065E9" w:rsidRPr="00876A53">
        <w:t xml:space="preserve">(The POR program recommended by Staff </w:t>
      </w:r>
      <w:r w:rsidR="00E954EA" w:rsidRPr="00876A53">
        <w:t xml:space="preserve">would </w:t>
      </w:r>
      <w:r w:rsidR="008065E9" w:rsidRPr="00876A53">
        <w:t xml:space="preserve">substantially </w:t>
      </w:r>
      <w:r w:rsidR="00E954EA" w:rsidRPr="00876A53">
        <w:t>modify</w:t>
      </w:r>
      <w:r w:rsidR="008065E9" w:rsidRPr="00876A53">
        <w:t xml:space="preserve"> AEP-Ohio</w:t>
      </w:r>
      <w:r w:rsidR="00E954EA" w:rsidRPr="00876A53">
        <w:t>’s proposal</w:t>
      </w:r>
      <w:r w:rsidR="008065E9" w:rsidRPr="00876A53">
        <w:t>.  The effect of those modifications</w:t>
      </w:r>
      <w:r w:rsidR="001C2B01" w:rsidRPr="00876A53">
        <w:t xml:space="preserve"> </w:t>
      </w:r>
      <w:r w:rsidR="008065E9" w:rsidRPr="00876A53">
        <w:t xml:space="preserve">would not result in the POR </w:t>
      </w:r>
      <w:r w:rsidR="00E954EA" w:rsidRPr="00876A53">
        <w:t xml:space="preserve">program </w:t>
      </w:r>
      <w:r w:rsidR="008065E9" w:rsidRPr="00876A53">
        <w:t>providing any unique benefit to customers</w:t>
      </w:r>
      <w:r w:rsidR="004F1376" w:rsidRPr="00876A53">
        <w:t>; however, Staff’s proposal would remove the negative effects of the BDR.</w:t>
      </w:r>
      <w:r w:rsidR="008065E9" w:rsidRPr="00876A53">
        <w:t xml:space="preserve">)  </w:t>
      </w:r>
      <w:r w:rsidRPr="00876A53">
        <w:t>If the POR</w:t>
      </w:r>
      <w:r w:rsidR="002521D1" w:rsidRPr="00876A53">
        <w:t xml:space="preserve"> program</w:t>
      </w:r>
      <w:r w:rsidRPr="00876A53">
        <w:t xml:space="preserve"> is authorized, </w:t>
      </w:r>
      <w:r w:rsidR="00277E81" w:rsidRPr="00876A53">
        <w:t xml:space="preserve">Staff </w:t>
      </w:r>
      <w:r w:rsidRPr="00876A53">
        <w:t>claim</w:t>
      </w:r>
      <w:r w:rsidR="00277E81" w:rsidRPr="00876A53">
        <w:t>s</w:t>
      </w:r>
      <w:r w:rsidRPr="00876A53">
        <w:t xml:space="preserve"> that it is likely to increase the number of registered CRES providers, provide additional payment options for customers, and provide CRES providers with more predictable payment.</w:t>
      </w:r>
      <w:r w:rsidRPr="00876A53">
        <w:rPr>
          <w:rStyle w:val="FootnoteReference"/>
        </w:rPr>
        <w:footnoteReference w:id="231"/>
      </w:r>
      <w:r w:rsidRPr="00876A53">
        <w:t xml:space="preserve">  According to AEP-Ohio, these benefits would not be available under an MRO.</w:t>
      </w:r>
      <w:r w:rsidRPr="00876A53">
        <w:rPr>
          <w:rStyle w:val="FootnoteReference"/>
        </w:rPr>
        <w:footnoteReference w:id="232"/>
      </w:r>
      <w:r w:rsidRPr="00876A53">
        <w:t xml:space="preserve">  The alleged benefits of the POR, however, did not withstand the rigors of a hearing: </w:t>
      </w:r>
      <w:r w:rsidR="001C2B01" w:rsidRPr="00876A53">
        <w:t xml:space="preserve">as previously discussed, </w:t>
      </w:r>
      <w:r w:rsidRPr="00876A53">
        <w:t xml:space="preserve">AEP-Ohio failed to demonstrate that customers will benefit from </w:t>
      </w:r>
      <w:r w:rsidR="008065E9" w:rsidRPr="00876A53">
        <w:t xml:space="preserve">its </w:t>
      </w:r>
      <w:r w:rsidRPr="00876A53">
        <w:t xml:space="preserve">POR </w:t>
      </w:r>
      <w:r w:rsidR="008065E9" w:rsidRPr="00876A53">
        <w:t xml:space="preserve">program </w:t>
      </w:r>
      <w:r w:rsidRPr="00876A53">
        <w:t>or that the benefits could not be realized through the market.</w:t>
      </w:r>
    </w:p>
    <w:p w:rsidR="00053F2C" w:rsidRPr="00876A53" w:rsidRDefault="008065E9" w:rsidP="005C6107">
      <w:r w:rsidRPr="00876A53">
        <w:t xml:space="preserve">The POR program also improperly shifts </w:t>
      </w:r>
      <w:r w:rsidR="00FD78F9" w:rsidRPr="00876A53">
        <w:t>the risk</w:t>
      </w:r>
      <w:r w:rsidRPr="00876A53">
        <w:t xml:space="preserve"> of bad debt expense</w:t>
      </w:r>
      <w:r w:rsidR="00FD78F9" w:rsidRPr="00876A53">
        <w:t xml:space="preserve"> of CRES</w:t>
      </w:r>
      <w:r w:rsidR="004F1376" w:rsidRPr="00876A53">
        <w:t xml:space="preserve"> providers</w:t>
      </w:r>
      <w:r w:rsidR="00FD78F9" w:rsidRPr="00876A53">
        <w:t xml:space="preserve"> to all customers</w:t>
      </w:r>
      <w:r w:rsidRPr="00876A53">
        <w:t xml:space="preserve">.  Under the </w:t>
      </w:r>
      <w:r w:rsidR="005204AC" w:rsidRPr="00876A53">
        <w:t xml:space="preserve">proposed </w:t>
      </w:r>
      <w:r w:rsidRPr="00876A53">
        <w:t>POR program, CRES providers will be relieved of the market discipline associated with bad debt by operation of the purchase of receivable</w:t>
      </w:r>
      <w:r w:rsidR="007E0276" w:rsidRPr="00876A53">
        <w:t>s without recourse and</w:t>
      </w:r>
      <w:r w:rsidRPr="00876A53">
        <w:t xml:space="preserve"> the </w:t>
      </w:r>
      <w:r w:rsidR="0092196B" w:rsidRPr="00876A53">
        <w:t>BDR</w:t>
      </w:r>
      <w:r w:rsidRPr="00876A53">
        <w:t>.</w:t>
      </w:r>
      <w:r w:rsidR="00FD78F9" w:rsidRPr="00876A53">
        <w:rPr>
          <w:rStyle w:val="FootnoteReference"/>
        </w:rPr>
        <w:footnoteReference w:id="233"/>
      </w:r>
      <w:r w:rsidRPr="00876A53">
        <w:t xml:space="preserve">  </w:t>
      </w:r>
      <w:r w:rsidR="00FD78F9" w:rsidRPr="00876A53">
        <w:t>The shift of this risk is not a benefit to customers.</w:t>
      </w:r>
      <w:r w:rsidR="007E0276" w:rsidRPr="00876A53">
        <w:t xml:space="preserve"> </w:t>
      </w:r>
    </w:p>
    <w:p w:rsidR="00053F2C" w:rsidRPr="00876A53" w:rsidRDefault="00053F2C" w:rsidP="00DA67E3">
      <w:pPr>
        <w:pStyle w:val="Heading3"/>
      </w:pPr>
      <w:bookmarkStart w:id="115" w:name="_Toc392930625"/>
      <w:bookmarkStart w:id="116" w:name="_Toc392930716"/>
      <w:bookmarkStart w:id="117" w:name="_Toc393524927"/>
      <w:bookmarkStart w:id="118" w:name="_Toc393878390"/>
      <w:r w:rsidRPr="00876A53">
        <w:lastRenderedPageBreak/>
        <w:t xml:space="preserve">The distribution riders </w:t>
      </w:r>
      <w:r w:rsidR="00F638AE" w:rsidRPr="00876A53">
        <w:t xml:space="preserve">will </w:t>
      </w:r>
      <w:r w:rsidRPr="00876A53">
        <w:t>not provide a non-quantifiable benefit because the same benefits can be realized under an MRO</w:t>
      </w:r>
      <w:r w:rsidR="00F638AE" w:rsidRPr="00876A53">
        <w:t>; further,</w:t>
      </w:r>
      <w:r w:rsidRPr="00876A53">
        <w:t xml:space="preserve"> AEP-Ohio failed to provide evidence showing that distribution investment will improve customer satisfaction or service quality</w:t>
      </w:r>
      <w:bookmarkEnd w:id="115"/>
      <w:bookmarkEnd w:id="116"/>
      <w:bookmarkEnd w:id="117"/>
      <w:bookmarkEnd w:id="118"/>
    </w:p>
    <w:p w:rsidR="00053F2C" w:rsidRPr="00876A53" w:rsidRDefault="00053F2C" w:rsidP="005C6107">
      <w:r w:rsidRPr="00876A53">
        <w:t xml:space="preserve">Staff offers that a non-quantifiable benefit of the proposed ESP results from </w:t>
      </w:r>
      <w:r w:rsidR="00B82565" w:rsidRPr="00876A53">
        <w:t xml:space="preserve">some of </w:t>
      </w:r>
      <w:r w:rsidRPr="00876A53">
        <w:t>the distribution riders AEP-Ohio is seeking to continue and expand.</w:t>
      </w:r>
      <w:r w:rsidRPr="00876A53">
        <w:rPr>
          <w:rStyle w:val="FootnoteReference"/>
        </w:rPr>
        <w:footnoteReference w:id="234"/>
      </w:r>
      <w:r w:rsidRPr="00876A53">
        <w:t xml:space="preserve">  The benefits of the distribution riders, however, can be realized through a base distribution case and thus are equally available under an MRO.</w:t>
      </w:r>
      <w:r w:rsidRPr="00876A53">
        <w:rPr>
          <w:rStyle w:val="FootnoteReference"/>
        </w:rPr>
        <w:footnoteReference w:id="235"/>
      </w:r>
      <w:r w:rsidRPr="00876A53">
        <w:t xml:space="preserve">  As the Commission has previously determined, “these costs should be considered substantially equal and removed from the ESP v. MRO analysis.”</w:t>
      </w:r>
      <w:r w:rsidRPr="00876A53">
        <w:rPr>
          <w:rStyle w:val="FootnoteReference"/>
        </w:rPr>
        <w:footnoteReference w:id="236"/>
      </w:r>
    </w:p>
    <w:p w:rsidR="00580F79" w:rsidRPr="00876A53" w:rsidRDefault="00053F2C" w:rsidP="005C6107">
      <w:r w:rsidRPr="00876A53">
        <w:t xml:space="preserve">Furthermore, AEP-Ohio failed to demonstrate that the distribution riders would provide the benefits it claimed.  According to </w:t>
      </w:r>
      <w:r w:rsidR="00580F79" w:rsidRPr="00876A53">
        <w:t xml:space="preserve">Mr. Dias, </w:t>
      </w:r>
      <w:r w:rsidRPr="00876A53">
        <w:t>AEP-Ohio</w:t>
      </w:r>
      <w:r w:rsidR="00277E81" w:rsidRPr="00876A53">
        <w:t>’s</w:t>
      </w:r>
      <w:r w:rsidRPr="00876A53">
        <w:t xml:space="preserve"> witness addressing the merits of the distribution riders, his claim that the distribution riders would provide increased customer satisfaction through increased investment in distribution infrastructure was based on</w:t>
      </w:r>
      <w:r w:rsidR="00FB298A" w:rsidRPr="00876A53">
        <w:t xml:space="preserve"> a</w:t>
      </w:r>
      <w:r w:rsidRPr="00876A53">
        <w:t xml:space="preserve"> </w:t>
      </w:r>
      <w:r w:rsidRPr="00876A53">
        <w:rPr>
          <w:i/>
        </w:rPr>
        <w:t>Public Utilities Fortnightly</w:t>
      </w:r>
      <w:r w:rsidRPr="00876A53">
        <w:t xml:space="preserve"> article appended to his testimony.</w:t>
      </w:r>
      <w:r w:rsidRPr="00876A53">
        <w:rPr>
          <w:rStyle w:val="FootnoteReference"/>
        </w:rPr>
        <w:footnoteReference w:id="237"/>
      </w:r>
      <w:r w:rsidRPr="00876A53">
        <w:t xml:space="preserve">  He “used this information to help </w:t>
      </w:r>
      <w:r w:rsidR="00FB298A" w:rsidRPr="00876A53">
        <w:t>[him]</w:t>
      </w:r>
      <w:r w:rsidRPr="00876A53">
        <w:t xml:space="preserve"> understand and validate [his] entire comprehensive plan.”</w:t>
      </w:r>
      <w:r w:rsidRPr="00876A53">
        <w:rPr>
          <w:rStyle w:val="FootnoteReference"/>
        </w:rPr>
        <w:footnoteReference w:id="238"/>
      </w:r>
      <w:r w:rsidRPr="00876A53">
        <w:t xml:space="preserve">  </w:t>
      </w:r>
    </w:p>
    <w:p w:rsidR="00053F2C" w:rsidRPr="00876A53" w:rsidRDefault="00053F2C" w:rsidP="005C6107">
      <w:r w:rsidRPr="00876A53">
        <w:t>AEP-Ohio’s reliance on the article</w:t>
      </w:r>
      <w:r w:rsidR="00580F79" w:rsidRPr="00876A53">
        <w:t xml:space="preserve">, however, </w:t>
      </w:r>
      <w:r w:rsidRPr="00876A53">
        <w:t xml:space="preserve">was misplaced.  AEP-Ohio could not provide the data on which the article was based, the study was not performed by </w:t>
      </w:r>
      <w:r w:rsidRPr="00876A53">
        <w:lastRenderedPageBreak/>
        <w:t>AEP-Ohio, the witness was not aware if AEP-Ohio had participated in the study, the witness was not aware of any independent review of the results of the study, and the authors of the study did not testify in support of it.</w:t>
      </w:r>
      <w:r w:rsidRPr="00876A53">
        <w:rPr>
          <w:rStyle w:val="FootnoteReference"/>
        </w:rPr>
        <w:footnoteReference w:id="239"/>
      </w:r>
    </w:p>
    <w:p w:rsidR="00053F2C" w:rsidRPr="00876A53" w:rsidRDefault="00053F2C" w:rsidP="005C6107">
      <w:r w:rsidRPr="00876A53">
        <w:t xml:space="preserve">In addition to the </w:t>
      </w:r>
      <w:r w:rsidR="005204AC" w:rsidRPr="00876A53">
        <w:t xml:space="preserve">evidentiary and </w:t>
      </w:r>
      <w:r w:rsidRPr="00876A53">
        <w:t>methodological issues the study presented</w:t>
      </w:r>
      <w:r w:rsidR="005204AC" w:rsidRPr="00876A53">
        <w:t>,</w:t>
      </w:r>
      <w:r w:rsidRPr="00876A53">
        <w:t xml:space="preserve"> the study </w:t>
      </w:r>
      <w:r w:rsidR="007964F7" w:rsidRPr="00876A53">
        <w:t xml:space="preserve">did </w:t>
      </w:r>
      <w:r w:rsidRPr="00876A53">
        <w:t>not provide statistical</w:t>
      </w:r>
      <w:r w:rsidR="001C2B01" w:rsidRPr="00876A53">
        <w:t>ly</w:t>
      </w:r>
      <w:r w:rsidRPr="00876A53">
        <w:t xml:space="preserve"> significant support for its claim that additional investment will positively affect customer satisfaction.  The study consist</w:t>
      </w:r>
      <w:r w:rsidR="007964F7" w:rsidRPr="00876A53">
        <w:t>ed</w:t>
      </w:r>
      <w:r w:rsidRPr="00876A53">
        <w:t xml:space="preserve"> of a regression analysis of several factors </w:t>
      </w:r>
      <w:r w:rsidR="007964F7" w:rsidRPr="00876A53">
        <w:t xml:space="preserve">and </w:t>
      </w:r>
      <w:r w:rsidR="001C2B01" w:rsidRPr="00876A53">
        <w:t>survey results of</w:t>
      </w:r>
      <w:r w:rsidRPr="00876A53">
        <w:t xml:space="preserve"> customer satisfaction.  As the </w:t>
      </w:r>
      <w:r w:rsidR="00FB298A" w:rsidRPr="00876A53">
        <w:t>article</w:t>
      </w:r>
      <w:r w:rsidRPr="00876A53">
        <w:t xml:space="preserve"> itself </w:t>
      </w:r>
      <w:r w:rsidR="005204AC" w:rsidRPr="00876A53">
        <w:t>conclude</w:t>
      </w:r>
      <w:r w:rsidR="007964F7" w:rsidRPr="00876A53">
        <w:t>d</w:t>
      </w:r>
      <w:r w:rsidRPr="00876A53">
        <w:t xml:space="preserve">, </w:t>
      </w:r>
      <w:r w:rsidR="00FB298A" w:rsidRPr="00876A53">
        <w:t xml:space="preserve">net distribution </w:t>
      </w:r>
      <w:r w:rsidRPr="00876A53">
        <w:t xml:space="preserve">investment </w:t>
      </w:r>
      <w:r w:rsidR="007964F7" w:rsidRPr="00876A53">
        <w:t xml:space="preserve">was </w:t>
      </w:r>
      <w:r w:rsidRPr="00876A53">
        <w:t xml:space="preserve">not statistically significant as an independent variable </w:t>
      </w:r>
      <w:r w:rsidR="001C2B01" w:rsidRPr="00876A53">
        <w:t xml:space="preserve">correlated with customer satisfaction </w:t>
      </w:r>
      <w:r w:rsidRPr="00876A53">
        <w:t>at the 1%, 5% or 10% levels of confidence.</w:t>
      </w:r>
      <w:r w:rsidRPr="00876A53">
        <w:rPr>
          <w:rStyle w:val="FootnoteReference"/>
        </w:rPr>
        <w:footnoteReference w:id="240"/>
      </w:r>
      <w:r w:rsidRPr="00876A53">
        <w:t xml:space="preserve">  Statistically, net investment in distribution </w:t>
      </w:r>
      <w:r w:rsidR="004F1376" w:rsidRPr="00876A53">
        <w:t xml:space="preserve">was </w:t>
      </w:r>
      <w:r w:rsidRPr="00876A53">
        <w:t>irrelevant.</w:t>
      </w:r>
    </w:p>
    <w:p w:rsidR="00053F2C" w:rsidRPr="00876A53" w:rsidRDefault="00053F2C" w:rsidP="005C6107">
      <w:r w:rsidRPr="00876A53">
        <w:t xml:space="preserve">AEP-Ohio also has not demonstrated that additional distribution investment will improve distribution reliability.  Mr. Dias stated that it is impossible to know if distribution service will improve if AEP-Ohio </w:t>
      </w:r>
      <w:r w:rsidR="0058145F" w:rsidRPr="00876A53">
        <w:t>increases its spending on distribution facilities</w:t>
      </w:r>
      <w:r w:rsidRPr="00876A53">
        <w:t>.</w:t>
      </w:r>
      <w:r w:rsidRPr="00876A53">
        <w:rPr>
          <w:rStyle w:val="FootnoteReference"/>
        </w:rPr>
        <w:footnoteReference w:id="241"/>
      </w:r>
    </w:p>
    <w:p w:rsidR="00053F2C" w:rsidRPr="00876A53" w:rsidRDefault="00053F2C" w:rsidP="005C6107">
      <w:r w:rsidRPr="00876A53">
        <w:t xml:space="preserve">In summary, </w:t>
      </w:r>
      <w:r w:rsidR="001C2B01" w:rsidRPr="00876A53">
        <w:t>the record does not</w:t>
      </w:r>
      <w:r w:rsidRPr="00876A53">
        <w:t xml:space="preserve"> demonstrate that the distribution riders provide a qualitative benefit that supports approval of the proposed ESP.  </w:t>
      </w:r>
      <w:r w:rsidR="00B82565" w:rsidRPr="00876A53">
        <w:t>Even if the Commission approves the whittled list of distribution riders recommended by the Staff, t</w:t>
      </w:r>
      <w:r w:rsidRPr="00876A53">
        <w:t xml:space="preserve">he Commission has already determined that </w:t>
      </w:r>
      <w:r w:rsidR="00B82565" w:rsidRPr="00876A53">
        <w:t xml:space="preserve">benefits of </w:t>
      </w:r>
      <w:r w:rsidRPr="00876A53">
        <w:t xml:space="preserve">distribution investment should be treated as a wash in the ESP v. MRO Test.  Further, AEP-Ohio failed to demonstrate that the evidence on which it relied to support its claim that </w:t>
      </w:r>
      <w:r w:rsidR="00E51D84" w:rsidRPr="00876A53">
        <w:t>its proposed distribution program</w:t>
      </w:r>
      <w:r w:rsidRPr="00876A53">
        <w:t xml:space="preserve"> would improve customer satisfaction was methodologically sound.  Even if the study was sound, the results indicate that any effect of net distribution investment on </w:t>
      </w:r>
      <w:r w:rsidRPr="00876A53">
        <w:lastRenderedPageBreak/>
        <w:t xml:space="preserve">customer satisfaction was statistically meaningless.  Finally, AEP-Ohio concedes that the increased distribution investment funding it is seeking will not guarantee improved distribution reliability.  Accordingly, there is no support for the Staff’s claim that </w:t>
      </w:r>
      <w:r w:rsidR="00FB298A" w:rsidRPr="00876A53">
        <w:t xml:space="preserve">the </w:t>
      </w:r>
      <w:r w:rsidRPr="00876A53">
        <w:t xml:space="preserve">distribution </w:t>
      </w:r>
      <w:r w:rsidR="00FB298A" w:rsidRPr="00876A53">
        <w:t>riders are</w:t>
      </w:r>
      <w:r w:rsidRPr="00876A53">
        <w:t xml:space="preserve"> a benefit</w:t>
      </w:r>
      <w:r w:rsidR="00FB298A" w:rsidRPr="00876A53">
        <w:t xml:space="preserve"> to customers of the proposed ESP</w:t>
      </w:r>
      <w:r w:rsidRPr="00876A53">
        <w:t>.</w:t>
      </w:r>
    </w:p>
    <w:p w:rsidR="00053F2C" w:rsidRPr="00876A53" w:rsidRDefault="00025999" w:rsidP="00FE0711">
      <w:pPr>
        <w:pStyle w:val="Heading2"/>
      </w:pPr>
      <w:bookmarkStart w:id="119" w:name="_Toc392930626"/>
      <w:bookmarkStart w:id="120" w:name="_Toc392930717"/>
      <w:bookmarkStart w:id="121" w:name="_Toc393524928"/>
      <w:bookmarkStart w:id="122" w:name="_Toc393878391"/>
      <w:r w:rsidRPr="00876A53">
        <w:t>Before approving</w:t>
      </w:r>
      <w:r w:rsidR="00053F2C" w:rsidRPr="00876A53">
        <w:t xml:space="preserve"> the proposed ESP, the Commission must</w:t>
      </w:r>
      <w:r w:rsidRPr="00876A53">
        <w:t xml:space="preserve"> modify it to</w:t>
      </w:r>
      <w:r w:rsidR="00053F2C" w:rsidRPr="00876A53">
        <w:t xml:space="preserve"> remove the unlawful and unreasonable </w:t>
      </w:r>
      <w:bookmarkEnd w:id="119"/>
      <w:bookmarkEnd w:id="120"/>
      <w:r w:rsidR="001C2B01" w:rsidRPr="00876A53">
        <w:t>riders and POR program</w:t>
      </w:r>
      <w:bookmarkEnd w:id="121"/>
      <w:bookmarkEnd w:id="122"/>
    </w:p>
    <w:p w:rsidR="00053F2C" w:rsidRPr="00876A53" w:rsidRDefault="00053F2C" w:rsidP="005C6107">
      <w:r w:rsidRPr="00876A53">
        <w:t xml:space="preserve">The Commission cannot approve the proposed ESP because it is less favorable in the aggregate than an MRO.  It is quantitatively less favorable than an MRO by tens of millions of dollars.  The non-quantifiable benefits cannot be “weighed” against the costs of the proposed ESP because </w:t>
      </w:r>
      <w:r w:rsidR="00263149" w:rsidRPr="00876A53">
        <w:t>AEP-Ohio did not provide any</w:t>
      </w:r>
      <w:r w:rsidRPr="00876A53">
        <w:t xml:space="preserve"> objective evidence to support that “weighing.”  Moreover, the provisions of the proposed ESP that AEP-Ohio (and Staff) alleged would produce non-quantifiable benefits either would not produ</w:t>
      </w:r>
      <w:r w:rsidR="00263149" w:rsidRPr="00876A53">
        <w:t>ce the claimed results, produce</w:t>
      </w:r>
      <w:r w:rsidRPr="00876A53">
        <w:t xml:space="preserve"> results that were negligible, or would </w:t>
      </w:r>
      <w:r w:rsidR="001C2B01" w:rsidRPr="00876A53">
        <w:t xml:space="preserve">more </w:t>
      </w:r>
      <w:r w:rsidRPr="00876A53">
        <w:t>likely be harmful to customers and customer choice.</w:t>
      </w:r>
    </w:p>
    <w:p w:rsidR="00053F2C" w:rsidRPr="00876A53" w:rsidRDefault="00053F2C" w:rsidP="005C6107">
      <w:r w:rsidRPr="00876A53">
        <w:t xml:space="preserve">Under R.C. 4928.143(C)(1), the Commission may modify and approve the </w:t>
      </w:r>
      <w:r w:rsidR="005204AC" w:rsidRPr="00876A53">
        <w:t xml:space="preserve">proposed </w:t>
      </w:r>
      <w:r w:rsidRPr="00876A53">
        <w:t xml:space="preserve">ESP.  To produce an ESP that would pass the ESP v. MRO Test, the Commission should remove the unlawful and unreasonable provisions.  The unlawful and unreasonable provisions include the PPAR, the POR </w:t>
      </w:r>
      <w:r w:rsidR="002521D1" w:rsidRPr="00876A53">
        <w:t xml:space="preserve">program </w:t>
      </w:r>
      <w:r w:rsidRPr="00876A53">
        <w:t xml:space="preserve">and </w:t>
      </w:r>
      <w:r w:rsidR="0092196B" w:rsidRPr="00876A53">
        <w:t>BDR</w:t>
      </w:r>
      <w:r w:rsidRPr="00876A53">
        <w:t xml:space="preserve"> as proposed, and the BTCR.</w:t>
      </w:r>
    </w:p>
    <w:p w:rsidR="00053F2C" w:rsidRPr="00876A53" w:rsidRDefault="00053F2C" w:rsidP="005C6107">
      <w:r w:rsidRPr="00876A53">
        <w:t xml:space="preserve">If the Commission removes the unlawful </w:t>
      </w:r>
      <w:r w:rsidR="005204AC" w:rsidRPr="00876A53">
        <w:t xml:space="preserve">and unreasonable </w:t>
      </w:r>
      <w:r w:rsidRPr="00876A53">
        <w:t xml:space="preserve">provisions, the proposed ESP as modified would satisfy an objective application of the ESP v. MRO Test.  By removing the PPAR, the proposed ESP would be quantitatively more </w:t>
      </w:r>
      <w:r w:rsidRPr="00876A53">
        <w:lastRenderedPageBreak/>
        <w:t>favorable in the aggregate than an MRO by $44.1 million.</w:t>
      </w:r>
      <w:r w:rsidRPr="00876A53">
        <w:rPr>
          <w:rStyle w:val="FootnoteReference"/>
        </w:rPr>
        <w:footnoteReference w:id="242"/>
      </w:r>
      <w:r w:rsidRPr="00876A53">
        <w:t xml:space="preserve">  Removing the PPAR and </w:t>
      </w:r>
      <w:r w:rsidR="0092196B" w:rsidRPr="00876A53">
        <w:t>BDR</w:t>
      </w:r>
      <w:r w:rsidRPr="00876A53">
        <w:t xml:space="preserve"> </w:t>
      </w:r>
      <w:r w:rsidR="00263149" w:rsidRPr="00876A53">
        <w:t xml:space="preserve">also </w:t>
      </w:r>
      <w:r w:rsidRPr="00876A53">
        <w:t xml:space="preserve">would eliminate the anticompetitive and anti-consumer harms these riders would cause.  Rejection of the BTCR would maintain the appropriate market signals </w:t>
      </w:r>
      <w:r w:rsidR="0031647E" w:rsidRPr="00876A53">
        <w:t xml:space="preserve">available to customers through customer </w:t>
      </w:r>
      <w:r w:rsidR="0031647E" w:rsidRPr="0095700A">
        <w:t>choice</w:t>
      </w:r>
      <w:r w:rsidR="009167A0" w:rsidRPr="0095700A">
        <w:t xml:space="preserve"> and remove the risk of double-billing</w:t>
      </w:r>
      <w:r w:rsidRPr="0095700A">
        <w:t xml:space="preserve">.  </w:t>
      </w:r>
      <w:r w:rsidRPr="00876A53">
        <w:t xml:space="preserve">Accordingly, </w:t>
      </w:r>
      <w:r w:rsidR="00900DD3" w:rsidRPr="00876A53">
        <w:t xml:space="preserve">the Commission should modify </w:t>
      </w:r>
      <w:r w:rsidRPr="00876A53">
        <w:t xml:space="preserve">the proposed ESP to remove the unlawful and unreasonable provisions </w:t>
      </w:r>
      <w:r w:rsidR="00900DD3" w:rsidRPr="00876A53">
        <w:t>and thereby bring the proposed ESP into compliance with the ESP v. MRO Test</w:t>
      </w:r>
      <w:r w:rsidRPr="00876A53">
        <w:t xml:space="preserve">. </w:t>
      </w:r>
    </w:p>
    <w:p w:rsidR="00053F2C" w:rsidRPr="00876A53" w:rsidRDefault="00053F2C" w:rsidP="00FE0711">
      <w:pPr>
        <w:pStyle w:val="Heading1"/>
      </w:pPr>
      <w:bookmarkStart w:id="123" w:name="_Toc392930627"/>
      <w:bookmarkStart w:id="124" w:name="_Toc392930718"/>
      <w:bookmarkStart w:id="125" w:name="_Toc393524929"/>
      <w:bookmarkStart w:id="126" w:name="_Toc393878392"/>
      <w:r w:rsidRPr="00876A53">
        <w:t>Conclusion</w:t>
      </w:r>
      <w:bookmarkEnd w:id="123"/>
      <w:bookmarkEnd w:id="124"/>
      <w:bookmarkEnd w:id="125"/>
      <w:bookmarkEnd w:id="126"/>
    </w:p>
    <w:p w:rsidR="00053F2C" w:rsidRPr="00876A53" w:rsidRDefault="00053F2C" w:rsidP="00B239E2">
      <w:pPr>
        <w:ind w:firstLine="0"/>
      </w:pPr>
      <w:r w:rsidRPr="00876A53">
        <w:tab/>
      </w:r>
      <w:r w:rsidR="009558EA" w:rsidRPr="00876A53">
        <w:t>Based on policy outcomes</w:t>
      </w:r>
      <w:r w:rsidR="00CB2E05" w:rsidRPr="00876A53">
        <w:t xml:space="preserve"> the Commission is to ensure, the law</w:t>
      </w:r>
      <w:r w:rsidR="009558EA" w:rsidRPr="00876A53">
        <w:t xml:space="preserve"> </w:t>
      </w:r>
      <w:r w:rsidR="00CB2E05" w:rsidRPr="00876A53">
        <w:t xml:space="preserve">the Commission is to apply, </w:t>
      </w:r>
      <w:r w:rsidR="009558EA" w:rsidRPr="00876A53">
        <w:t>and the record in this ca</w:t>
      </w:r>
      <w:r w:rsidR="00423277" w:rsidRPr="00876A53">
        <w:t>se</w:t>
      </w:r>
      <w:r w:rsidR="009558EA" w:rsidRPr="00876A53">
        <w:t xml:space="preserve">, </w:t>
      </w:r>
      <w:r w:rsidR="0092196B" w:rsidRPr="00876A53">
        <w:t xml:space="preserve">the Commission should not authorize </w:t>
      </w:r>
      <w:r w:rsidR="009558EA" w:rsidRPr="00876A53">
        <w:t>t</w:t>
      </w:r>
      <w:r w:rsidR="00615443" w:rsidRPr="00876A53">
        <w:t xml:space="preserve">he </w:t>
      </w:r>
      <w:r w:rsidR="004F1376" w:rsidRPr="00876A53">
        <w:t xml:space="preserve">PPAR, </w:t>
      </w:r>
      <w:r w:rsidR="00900DD3" w:rsidRPr="00876A53">
        <w:t xml:space="preserve">the </w:t>
      </w:r>
      <w:r w:rsidR="004F1376" w:rsidRPr="00876A53">
        <w:t xml:space="preserve">BTCR, and the POR program </w:t>
      </w:r>
      <w:r w:rsidR="00615443" w:rsidRPr="00876A53">
        <w:t xml:space="preserve">because </w:t>
      </w:r>
      <w:r w:rsidR="00263149" w:rsidRPr="00876A53">
        <w:t>they</w:t>
      </w:r>
      <w:r w:rsidR="00615443" w:rsidRPr="00876A53">
        <w:t xml:space="preserve"> </w:t>
      </w:r>
      <w:r w:rsidR="00263149" w:rsidRPr="00876A53">
        <w:t>are</w:t>
      </w:r>
      <w:r w:rsidR="00615443" w:rsidRPr="00876A53">
        <w:t xml:space="preserve"> </w:t>
      </w:r>
      <w:r w:rsidR="00263149" w:rsidRPr="00876A53">
        <w:t xml:space="preserve">illegal, </w:t>
      </w:r>
      <w:r w:rsidR="00615443" w:rsidRPr="00876A53">
        <w:t>unreasonable</w:t>
      </w:r>
      <w:r w:rsidR="00263149" w:rsidRPr="00876A53">
        <w:t>, or both</w:t>
      </w:r>
      <w:r w:rsidR="00615443" w:rsidRPr="00876A53">
        <w:t xml:space="preserve">.  </w:t>
      </w:r>
      <w:r w:rsidRPr="00876A53">
        <w:t xml:space="preserve">If the Commission </w:t>
      </w:r>
      <w:r w:rsidR="00CB2E05" w:rsidRPr="00876A53">
        <w:t xml:space="preserve">nonetheless </w:t>
      </w:r>
      <w:r w:rsidRPr="00876A53">
        <w:t xml:space="preserve">authorizes a POR program, the POR </w:t>
      </w:r>
      <w:r w:rsidR="0092196B" w:rsidRPr="00876A53">
        <w:t xml:space="preserve">program </w:t>
      </w:r>
      <w:r w:rsidRPr="00876A53">
        <w:t xml:space="preserve">should be modified </w:t>
      </w:r>
      <w:r w:rsidR="004F1376" w:rsidRPr="00876A53">
        <w:t xml:space="preserve">to remove the BDR and </w:t>
      </w:r>
      <w:r w:rsidRPr="00876A53">
        <w:t>provide that AEP-Ohio will purchase accounts receivable at a discount</w:t>
      </w:r>
      <w:r w:rsidR="004F1376" w:rsidRPr="00876A53">
        <w:t>.</w:t>
      </w:r>
      <w:r w:rsidR="00263149" w:rsidRPr="00876A53">
        <w:t xml:space="preserve"> </w:t>
      </w:r>
      <w:r w:rsidRPr="00876A53">
        <w:t xml:space="preserve"> If the Commission approves a nonbypassable BTCR, it </w:t>
      </w:r>
      <w:r w:rsidR="00263149" w:rsidRPr="00876A53">
        <w:t xml:space="preserve">also </w:t>
      </w:r>
      <w:r w:rsidRPr="00876A53">
        <w:t xml:space="preserve">should </w:t>
      </w:r>
      <w:r w:rsidR="00615443" w:rsidRPr="00876A53">
        <w:t>provide a mechanism</w:t>
      </w:r>
      <w:r w:rsidRPr="00876A53">
        <w:t xml:space="preserve"> so that current shopping customers are not</w:t>
      </w:r>
      <w:r w:rsidR="00263149" w:rsidRPr="00876A53">
        <w:t xml:space="preserve"> charged twice for transmission-</w:t>
      </w:r>
      <w:r w:rsidRPr="00876A53">
        <w:t>related services</w:t>
      </w:r>
      <w:r w:rsidR="00263149" w:rsidRPr="00876A53">
        <w:t xml:space="preserve">.  </w:t>
      </w:r>
      <w:r w:rsidR="00226D7F" w:rsidRPr="00876A53">
        <w:t>Additionally</w:t>
      </w:r>
      <w:r w:rsidR="00263149" w:rsidRPr="00876A53">
        <w:t xml:space="preserve">, the </w:t>
      </w:r>
      <w:r w:rsidR="008C4E25" w:rsidRPr="00876A53">
        <w:t xml:space="preserve">proposed </w:t>
      </w:r>
      <w:r w:rsidR="00263149" w:rsidRPr="00876A53">
        <w:t xml:space="preserve">BTCR should be </w:t>
      </w:r>
      <w:r w:rsidR="008C4E25" w:rsidRPr="00876A53">
        <w:t xml:space="preserve">modified </w:t>
      </w:r>
      <w:r w:rsidR="00263149" w:rsidRPr="00876A53">
        <w:t>to provide the correct price signals to customers</w:t>
      </w:r>
      <w:r w:rsidRPr="00876A53">
        <w:t>.</w:t>
      </w:r>
    </w:p>
    <w:p w:rsidR="00053F2C" w:rsidRPr="00876A53" w:rsidRDefault="00053F2C" w:rsidP="005C6107">
      <w:pPr>
        <w:ind w:firstLine="0"/>
      </w:pPr>
      <w:r w:rsidRPr="00876A53">
        <w:tab/>
        <w:t xml:space="preserve">Additionally, the Commission should not approve the proposed ESP </w:t>
      </w:r>
      <w:r w:rsidR="00263149" w:rsidRPr="00876A53">
        <w:t xml:space="preserve">without modifications </w:t>
      </w:r>
      <w:r w:rsidRPr="00876A53">
        <w:t xml:space="preserve">because it fails an objective, cost-based application of the ESP v. MRO Test.  If the Commission removes the objectionable riders (particularly the PPAR), </w:t>
      </w:r>
      <w:r w:rsidR="00BF01D0" w:rsidRPr="00876A53">
        <w:lastRenderedPageBreak/>
        <w:t>however, the proposed ESP</w:t>
      </w:r>
      <w:r w:rsidRPr="00876A53">
        <w:t xml:space="preserve"> would satisfy the statutory test that the ESP be more favorable in the aggregate than an MRO.</w:t>
      </w:r>
    </w:p>
    <w:p w:rsidR="00BF01D0" w:rsidRPr="00876A53" w:rsidRDefault="00BF01D0" w:rsidP="005C6107">
      <w:pPr>
        <w:ind w:firstLine="0"/>
      </w:pPr>
      <w:r w:rsidRPr="00876A53">
        <w:tab/>
      </w:r>
    </w:p>
    <w:p w:rsidR="006B20DD" w:rsidRPr="00876A53" w:rsidRDefault="006B20DD" w:rsidP="00DA67E3">
      <w:pPr>
        <w:pStyle w:val="ListParagraph"/>
        <w:jc w:val="both"/>
      </w:pPr>
    </w:p>
    <w:p w:rsidR="006B20DD" w:rsidRPr="00876A53" w:rsidRDefault="006B20DD" w:rsidP="00DA67E3">
      <w:pPr>
        <w:tabs>
          <w:tab w:val="left" w:pos="-1440"/>
          <w:tab w:val="left" w:pos="-720"/>
          <w:tab w:val="left" w:pos="4680"/>
          <w:tab w:val="left" w:pos="5040"/>
          <w:tab w:val="left" w:pos="8640"/>
        </w:tabs>
        <w:spacing w:line="240" w:lineRule="auto"/>
        <w:ind w:firstLine="4320"/>
        <w:rPr>
          <w:rFonts w:cs="Arial"/>
          <w:szCs w:val="20"/>
        </w:rPr>
      </w:pPr>
      <w:r w:rsidRPr="00876A53">
        <w:rPr>
          <w:rFonts w:cs="Arial"/>
        </w:rPr>
        <w:t>Respectfully submitted,</w:t>
      </w:r>
    </w:p>
    <w:p w:rsidR="006B20DD" w:rsidRPr="00876A53" w:rsidRDefault="006B20DD" w:rsidP="00DA67E3">
      <w:pPr>
        <w:tabs>
          <w:tab w:val="left" w:pos="-1440"/>
          <w:tab w:val="left" w:pos="-720"/>
          <w:tab w:val="left" w:pos="4680"/>
          <w:tab w:val="left" w:pos="5040"/>
          <w:tab w:val="left" w:pos="8640"/>
        </w:tabs>
        <w:spacing w:line="240" w:lineRule="auto"/>
        <w:rPr>
          <w:rFonts w:cs="Arial"/>
          <w:szCs w:val="20"/>
        </w:rPr>
      </w:pPr>
    </w:p>
    <w:p w:rsidR="006B20DD" w:rsidRPr="00876A53" w:rsidRDefault="006B20DD" w:rsidP="00DA67E3">
      <w:pPr>
        <w:tabs>
          <w:tab w:val="left" w:pos="-1440"/>
          <w:tab w:val="left" w:pos="-720"/>
          <w:tab w:val="left" w:pos="4680"/>
          <w:tab w:val="left" w:pos="8640"/>
        </w:tabs>
        <w:spacing w:line="240" w:lineRule="auto"/>
        <w:ind w:firstLine="4320"/>
        <w:rPr>
          <w:rFonts w:cs="Arial"/>
          <w:szCs w:val="20"/>
        </w:rPr>
      </w:pPr>
      <w:r w:rsidRPr="00876A53">
        <w:rPr>
          <w:rFonts w:cs="Arial"/>
          <w:u w:val="single"/>
        </w:rPr>
        <w:t>/s/ Frank P. Darr</w:t>
      </w:r>
      <w:r w:rsidRPr="00876A53">
        <w:rPr>
          <w:rFonts w:cs="Arial"/>
          <w:u w:val="single"/>
        </w:rPr>
        <w:tab/>
      </w:r>
      <w:r w:rsidRPr="00876A53">
        <w:rPr>
          <w:rFonts w:cs="Arial"/>
          <w:u w:val="single"/>
        </w:rPr>
        <w:tab/>
      </w:r>
    </w:p>
    <w:p w:rsidR="006B20DD" w:rsidRPr="00876A53" w:rsidRDefault="006B20DD" w:rsidP="00DA67E3">
      <w:pPr>
        <w:tabs>
          <w:tab w:val="left" w:pos="-1440"/>
          <w:tab w:val="left" w:pos="-720"/>
          <w:tab w:val="left" w:pos="4680"/>
          <w:tab w:val="left" w:pos="5040"/>
        </w:tabs>
        <w:spacing w:line="240" w:lineRule="auto"/>
        <w:ind w:firstLine="4320"/>
        <w:rPr>
          <w:rFonts w:cs="Arial"/>
        </w:rPr>
      </w:pPr>
      <w:r w:rsidRPr="00876A53">
        <w:rPr>
          <w:rFonts w:cs="Arial"/>
        </w:rPr>
        <w:t>Frank P. Darr (Counsel of Record)</w:t>
      </w:r>
    </w:p>
    <w:p w:rsidR="006B20DD" w:rsidRPr="00876A53" w:rsidRDefault="006B20DD" w:rsidP="00DA67E3">
      <w:pPr>
        <w:tabs>
          <w:tab w:val="left" w:pos="-1440"/>
          <w:tab w:val="left" w:pos="-720"/>
          <w:tab w:val="left" w:pos="4680"/>
          <w:tab w:val="left" w:pos="5040"/>
        </w:tabs>
        <w:spacing w:line="240" w:lineRule="auto"/>
        <w:ind w:firstLine="4320"/>
        <w:rPr>
          <w:rFonts w:cs="Arial"/>
        </w:rPr>
      </w:pPr>
      <w:r w:rsidRPr="00876A53">
        <w:rPr>
          <w:rFonts w:cs="Arial"/>
        </w:rPr>
        <w:t>Matthew Pritchard</w:t>
      </w:r>
    </w:p>
    <w:p w:rsidR="006B20DD" w:rsidRPr="00876A53" w:rsidRDefault="006B20DD" w:rsidP="00DA67E3">
      <w:pPr>
        <w:tabs>
          <w:tab w:val="left" w:pos="-1440"/>
          <w:tab w:val="left" w:pos="-720"/>
          <w:tab w:val="left" w:pos="4680"/>
          <w:tab w:val="left" w:pos="5040"/>
        </w:tabs>
        <w:spacing w:line="240" w:lineRule="auto"/>
        <w:ind w:firstLine="4320"/>
        <w:rPr>
          <w:rFonts w:cs="Arial"/>
          <w:sz w:val="16"/>
          <w:szCs w:val="20"/>
        </w:rPr>
      </w:pPr>
      <w:r w:rsidRPr="00876A53">
        <w:rPr>
          <w:rFonts w:cs="Arial"/>
          <w:smallCaps/>
        </w:rPr>
        <w:t>McNees Wallace &amp; Nurick LLC</w:t>
      </w:r>
    </w:p>
    <w:p w:rsidR="006B20DD" w:rsidRPr="00876A53" w:rsidRDefault="006B20DD" w:rsidP="00DA67E3">
      <w:pPr>
        <w:tabs>
          <w:tab w:val="left" w:pos="-1440"/>
          <w:tab w:val="left" w:pos="-720"/>
          <w:tab w:val="left" w:pos="4680"/>
          <w:tab w:val="left" w:pos="5040"/>
        </w:tabs>
        <w:spacing w:line="240" w:lineRule="auto"/>
        <w:ind w:firstLine="4320"/>
        <w:rPr>
          <w:rFonts w:cs="Arial"/>
          <w:szCs w:val="20"/>
        </w:rPr>
      </w:pPr>
      <w:r w:rsidRPr="00876A53">
        <w:rPr>
          <w:rFonts w:cs="Arial"/>
        </w:rPr>
        <w:t>Fifth Third Center</w:t>
      </w:r>
    </w:p>
    <w:p w:rsidR="006B20DD" w:rsidRPr="00876A53" w:rsidRDefault="006B20DD" w:rsidP="00DA67E3">
      <w:pPr>
        <w:tabs>
          <w:tab w:val="left" w:pos="-1440"/>
          <w:tab w:val="left" w:pos="-720"/>
          <w:tab w:val="left" w:pos="4680"/>
          <w:tab w:val="left" w:pos="5040"/>
        </w:tabs>
        <w:spacing w:line="240" w:lineRule="auto"/>
        <w:ind w:firstLine="4320"/>
        <w:rPr>
          <w:rFonts w:cs="Arial"/>
          <w:szCs w:val="20"/>
        </w:rPr>
      </w:pPr>
      <w:r w:rsidRPr="00876A53">
        <w:rPr>
          <w:rFonts w:cs="Arial"/>
        </w:rPr>
        <w:t>21 East State Street, 17</w:t>
      </w:r>
      <w:r w:rsidRPr="00876A53">
        <w:rPr>
          <w:rFonts w:cs="Arial"/>
          <w:vertAlign w:val="superscript"/>
        </w:rPr>
        <w:t>th</w:t>
      </w:r>
      <w:r w:rsidRPr="00876A53">
        <w:rPr>
          <w:rFonts w:cs="Arial"/>
        </w:rPr>
        <w:t xml:space="preserve"> Floor</w:t>
      </w:r>
    </w:p>
    <w:p w:rsidR="006B20DD" w:rsidRPr="00876A53" w:rsidRDefault="006B20DD" w:rsidP="00DA67E3">
      <w:pPr>
        <w:tabs>
          <w:tab w:val="left" w:pos="-1440"/>
          <w:tab w:val="left" w:pos="-720"/>
          <w:tab w:val="left" w:pos="4680"/>
          <w:tab w:val="left" w:pos="5040"/>
        </w:tabs>
        <w:spacing w:line="240" w:lineRule="auto"/>
        <w:ind w:firstLine="4320"/>
        <w:rPr>
          <w:rFonts w:cs="Arial"/>
        </w:rPr>
      </w:pPr>
      <w:r w:rsidRPr="00876A53">
        <w:rPr>
          <w:rFonts w:cs="Arial"/>
        </w:rPr>
        <w:t>Columbus, OH  43215-4228</w:t>
      </w:r>
    </w:p>
    <w:p w:rsidR="006B20DD" w:rsidRPr="00876A53" w:rsidRDefault="006B20DD" w:rsidP="00DA67E3">
      <w:pPr>
        <w:tabs>
          <w:tab w:val="left" w:pos="-1440"/>
          <w:tab w:val="left" w:pos="-720"/>
          <w:tab w:val="left" w:pos="4680"/>
          <w:tab w:val="left" w:pos="5040"/>
        </w:tabs>
        <w:spacing w:line="240" w:lineRule="auto"/>
        <w:ind w:firstLine="4320"/>
        <w:rPr>
          <w:rFonts w:cs="Arial"/>
          <w:szCs w:val="20"/>
        </w:rPr>
      </w:pPr>
      <w:r w:rsidRPr="00876A53">
        <w:rPr>
          <w:rFonts w:cs="Arial"/>
        </w:rPr>
        <w:t>Telephone:  (614) 469-8000</w:t>
      </w:r>
    </w:p>
    <w:p w:rsidR="006B20DD" w:rsidRPr="00876A53" w:rsidRDefault="006B20DD" w:rsidP="00DA67E3">
      <w:pPr>
        <w:tabs>
          <w:tab w:val="left" w:pos="-1440"/>
          <w:tab w:val="left" w:pos="-720"/>
          <w:tab w:val="left" w:pos="4680"/>
          <w:tab w:val="left" w:pos="5040"/>
        </w:tabs>
        <w:spacing w:line="240" w:lineRule="auto"/>
        <w:ind w:firstLine="4320"/>
        <w:rPr>
          <w:rFonts w:cs="Arial"/>
        </w:rPr>
      </w:pPr>
      <w:r w:rsidRPr="00876A53">
        <w:rPr>
          <w:rFonts w:cs="Arial"/>
        </w:rPr>
        <w:t>Telecopier:  (614) 469-4653</w:t>
      </w:r>
    </w:p>
    <w:p w:rsidR="006B20DD" w:rsidRPr="00876A53" w:rsidRDefault="006B20DD" w:rsidP="00DA67E3">
      <w:pPr>
        <w:tabs>
          <w:tab w:val="left" w:pos="-1440"/>
          <w:tab w:val="left" w:pos="-720"/>
          <w:tab w:val="left" w:pos="4680"/>
          <w:tab w:val="left" w:pos="5040"/>
        </w:tabs>
        <w:spacing w:line="240" w:lineRule="auto"/>
        <w:ind w:firstLine="4320"/>
        <w:rPr>
          <w:rFonts w:cs="Arial"/>
        </w:rPr>
      </w:pPr>
      <w:r w:rsidRPr="00876A53">
        <w:rPr>
          <w:rFonts w:cs="Arial"/>
        </w:rPr>
        <w:t>fdarr@mwncmh.com</w:t>
      </w:r>
    </w:p>
    <w:p w:rsidR="006B20DD" w:rsidRPr="00876A53" w:rsidRDefault="006B20DD" w:rsidP="00DA67E3">
      <w:pPr>
        <w:tabs>
          <w:tab w:val="left" w:pos="-1440"/>
          <w:tab w:val="left" w:pos="-720"/>
          <w:tab w:val="left" w:pos="4680"/>
          <w:tab w:val="left" w:pos="5040"/>
        </w:tabs>
        <w:spacing w:line="240" w:lineRule="auto"/>
        <w:ind w:firstLine="4320"/>
        <w:rPr>
          <w:rFonts w:cs="Arial"/>
          <w:szCs w:val="20"/>
        </w:rPr>
      </w:pPr>
    </w:p>
    <w:p w:rsidR="006B20DD" w:rsidRPr="00876A53" w:rsidRDefault="006B20DD" w:rsidP="0091450D">
      <w:pPr>
        <w:tabs>
          <w:tab w:val="left" w:pos="-1440"/>
          <w:tab w:val="left" w:pos="-720"/>
          <w:tab w:val="left" w:pos="4680"/>
          <w:tab w:val="left" w:pos="5040"/>
        </w:tabs>
        <w:spacing w:line="240" w:lineRule="auto"/>
        <w:ind w:right="-1008" w:firstLine="4320"/>
        <w:rPr>
          <w:rFonts w:cs="Arial"/>
          <w:b/>
          <w:szCs w:val="20"/>
        </w:rPr>
      </w:pPr>
      <w:r w:rsidRPr="00876A53">
        <w:rPr>
          <w:rFonts w:cs="Arial"/>
          <w:b/>
          <w:szCs w:val="20"/>
        </w:rPr>
        <w:t>Attorney for Industrial Energy Users-Ohio</w:t>
      </w:r>
    </w:p>
    <w:p w:rsidR="006B20DD" w:rsidRPr="00876A53" w:rsidRDefault="006B20DD" w:rsidP="00DA67E3">
      <w:pPr>
        <w:spacing w:line="240" w:lineRule="auto"/>
        <w:ind w:firstLine="0"/>
      </w:pPr>
    </w:p>
    <w:p w:rsidR="00053F2C" w:rsidRPr="00876A53" w:rsidRDefault="00053F2C" w:rsidP="00DA67E3">
      <w:pPr>
        <w:spacing w:line="240" w:lineRule="auto"/>
        <w:ind w:firstLine="0"/>
      </w:pPr>
      <w:r w:rsidRPr="00876A53">
        <w:tab/>
      </w:r>
      <w:r w:rsidR="00BF01D0" w:rsidRPr="00876A53">
        <w:t xml:space="preserve"> </w:t>
      </w:r>
    </w:p>
    <w:p w:rsidR="00053F2C" w:rsidRPr="00876A53" w:rsidRDefault="00053F2C" w:rsidP="00DA67E3">
      <w:pPr>
        <w:spacing w:line="240" w:lineRule="auto"/>
        <w:ind w:firstLine="0"/>
        <w:sectPr w:rsidR="00053F2C" w:rsidRPr="00876A53" w:rsidSect="004C134D">
          <w:headerReference w:type="default" r:id="rId19"/>
          <w:footerReference w:type="default" r:id="rId20"/>
          <w:headerReference w:type="first" r:id="rId21"/>
          <w:footerReference w:type="first" r:id="rId22"/>
          <w:pgSz w:w="12240" w:h="15840" w:code="1"/>
          <w:pgMar w:top="1440" w:right="1440" w:bottom="1440" w:left="1440" w:header="720" w:footer="720" w:gutter="0"/>
          <w:pgNumType w:start="1"/>
          <w:cols w:space="720"/>
          <w:titlePg/>
          <w:docGrid w:linePitch="360"/>
        </w:sectPr>
      </w:pPr>
    </w:p>
    <w:p w:rsidR="00432798" w:rsidRPr="00876A53" w:rsidRDefault="00432798" w:rsidP="00DA67E3">
      <w:pPr>
        <w:spacing w:line="240" w:lineRule="auto"/>
        <w:ind w:firstLine="0"/>
        <w:jc w:val="center"/>
        <w:rPr>
          <w:rFonts w:ascii="Arial Bold" w:eastAsia="Times New Roman" w:hAnsi="Arial Bold" w:cs="Times New Roman"/>
          <w:b/>
          <w:caps/>
          <w:szCs w:val="20"/>
          <w:u w:val="single"/>
        </w:rPr>
      </w:pPr>
      <w:r w:rsidRPr="00876A53">
        <w:rPr>
          <w:rFonts w:ascii="Arial Bold" w:eastAsia="Times New Roman" w:hAnsi="Arial Bold" w:cs="Times New Roman"/>
          <w:b/>
          <w:caps/>
          <w:szCs w:val="20"/>
          <w:u w:val="single"/>
        </w:rPr>
        <w:lastRenderedPageBreak/>
        <w:t>Certificate of Service</w:t>
      </w:r>
    </w:p>
    <w:p w:rsidR="00432798" w:rsidRPr="00876A53" w:rsidRDefault="00432798" w:rsidP="00DA67E3">
      <w:pPr>
        <w:spacing w:line="240" w:lineRule="auto"/>
        <w:ind w:firstLine="0"/>
        <w:jc w:val="left"/>
        <w:rPr>
          <w:rFonts w:eastAsia="Times New Roman" w:cs="Times New Roman"/>
          <w:szCs w:val="20"/>
        </w:rPr>
      </w:pPr>
    </w:p>
    <w:p w:rsidR="00DE3C1F" w:rsidRPr="00876A53" w:rsidRDefault="00DE3C1F" w:rsidP="0036434E">
      <w:pPr>
        <w:rPr>
          <w:rFonts w:ascii="Times New Roman" w:eastAsia="Times New Roman" w:hAnsi="Times New Roman" w:cs="Times New Roman"/>
        </w:rPr>
      </w:pPr>
      <w:r w:rsidRPr="00876A53">
        <w:rPr>
          <w:rFonts w:eastAsia="Times New Roman" w:cs="Arial"/>
        </w:rPr>
        <w:t>In Accordance with Rule 4901-1-</w:t>
      </w:r>
      <w:r w:rsidR="00690A60" w:rsidRPr="00876A53">
        <w:rPr>
          <w:rFonts w:eastAsia="Times New Roman" w:cs="Arial"/>
        </w:rPr>
        <w:t>05, Ohio Administrative Code, t</w:t>
      </w:r>
      <w:r w:rsidRPr="00876A53">
        <w:rPr>
          <w:rFonts w:eastAsia="Times New Roman" w:cs="Arial"/>
        </w:rPr>
        <w:t>he PUCO's e-filing system will electronically serve notice of the filing of this docum</w:t>
      </w:r>
      <w:r w:rsidR="00690A60" w:rsidRPr="00876A53">
        <w:rPr>
          <w:rFonts w:eastAsia="Times New Roman" w:cs="Arial"/>
        </w:rPr>
        <w:t>ent upon the following parties.</w:t>
      </w:r>
      <w:r w:rsidRPr="00876A53">
        <w:rPr>
          <w:rFonts w:eastAsia="Times New Roman" w:cs="Arial"/>
        </w:rPr>
        <w:t xml:space="preserve">  In addition, I hereby certify that a service copy of the foregoing </w:t>
      </w:r>
      <w:r w:rsidRPr="00876A53">
        <w:rPr>
          <w:rFonts w:eastAsia="Times New Roman" w:cs="Arial"/>
          <w:i/>
        </w:rPr>
        <w:t>Initial Brief of Industrial Energy Users-Ohio</w:t>
      </w:r>
      <w:r w:rsidRPr="00876A53">
        <w:rPr>
          <w:rFonts w:eastAsia="Times New Roman" w:cs="Arial"/>
        </w:rPr>
        <w:t xml:space="preserve"> was sent by, or on behalf of, the undersigned counsel for IEU-Ohio to the following parties of record this 23</w:t>
      </w:r>
      <w:r w:rsidRPr="00876A53">
        <w:rPr>
          <w:rFonts w:eastAsia="Times New Roman" w:cs="Arial"/>
          <w:vertAlign w:val="superscript"/>
        </w:rPr>
        <w:t>rd</w:t>
      </w:r>
      <w:r w:rsidRPr="00876A53">
        <w:rPr>
          <w:rFonts w:eastAsia="Times New Roman" w:cs="Arial"/>
        </w:rPr>
        <w:t xml:space="preserve"> day of July 2014, </w:t>
      </w:r>
      <w:r w:rsidRPr="00876A53">
        <w:rPr>
          <w:rFonts w:eastAsia="Times New Roman" w:cs="Arial"/>
          <w:i/>
        </w:rPr>
        <w:t>via</w:t>
      </w:r>
      <w:r w:rsidRPr="00876A53">
        <w:rPr>
          <w:rFonts w:eastAsia="Times New Roman" w:cs="Arial"/>
        </w:rPr>
        <w:t xml:space="preserve"> electronic transmission. </w:t>
      </w:r>
    </w:p>
    <w:p w:rsidR="00DE3C1F" w:rsidRPr="00876A53" w:rsidRDefault="00DE3C1F" w:rsidP="00DA67E3">
      <w:pPr>
        <w:tabs>
          <w:tab w:val="right" w:pos="8640"/>
        </w:tabs>
        <w:spacing w:line="240" w:lineRule="auto"/>
        <w:ind w:left="5040" w:firstLine="0"/>
        <w:jc w:val="left"/>
        <w:rPr>
          <w:rFonts w:eastAsia="Times New Roman" w:cs="Arial"/>
          <w:u w:val="single"/>
        </w:rPr>
      </w:pPr>
      <w:r w:rsidRPr="00876A53">
        <w:rPr>
          <w:rFonts w:eastAsia="Times New Roman" w:cs="Arial"/>
          <w:u w:val="single"/>
        </w:rPr>
        <w:t>/s/ Frank P. Darr</w:t>
      </w:r>
      <w:r w:rsidRPr="00876A53">
        <w:rPr>
          <w:rFonts w:eastAsia="Times New Roman" w:cs="Arial"/>
          <w:u w:val="single"/>
        </w:rPr>
        <w:tab/>
      </w:r>
    </w:p>
    <w:p w:rsidR="00DE3C1F" w:rsidRPr="00876A53" w:rsidRDefault="00DE3C1F" w:rsidP="00DA67E3">
      <w:pPr>
        <w:tabs>
          <w:tab w:val="left" w:pos="2160"/>
          <w:tab w:val="left" w:pos="2280"/>
        </w:tabs>
        <w:spacing w:line="240" w:lineRule="auto"/>
        <w:ind w:firstLine="0"/>
        <w:jc w:val="left"/>
        <w:rPr>
          <w:rFonts w:eastAsia="Times New Roman" w:cs="Arial"/>
        </w:rPr>
      </w:pPr>
      <w:r w:rsidRPr="00876A53">
        <w:rPr>
          <w:rFonts w:eastAsia="Times New Roman" w:cs="Arial"/>
        </w:rPr>
        <w:tab/>
      </w:r>
      <w:r w:rsidRPr="00876A53">
        <w:rPr>
          <w:rFonts w:eastAsia="Times New Roman" w:cs="Arial"/>
        </w:rPr>
        <w:tab/>
      </w:r>
      <w:r w:rsidRPr="00876A53">
        <w:rPr>
          <w:rFonts w:eastAsia="Times New Roman" w:cs="Arial"/>
        </w:rPr>
        <w:tab/>
      </w:r>
      <w:r w:rsidRPr="00876A53">
        <w:rPr>
          <w:rFonts w:eastAsia="Times New Roman" w:cs="Arial"/>
        </w:rPr>
        <w:tab/>
      </w:r>
      <w:r w:rsidRPr="00876A53">
        <w:rPr>
          <w:rFonts w:eastAsia="Times New Roman" w:cs="Arial"/>
        </w:rPr>
        <w:tab/>
      </w:r>
      <w:r w:rsidRPr="00876A53">
        <w:rPr>
          <w:rFonts w:eastAsia="Times New Roman" w:cs="Arial"/>
        </w:rPr>
        <w:tab/>
      </w:r>
      <w:r w:rsidRPr="00876A53">
        <w:rPr>
          <w:rFonts w:eastAsia="Times New Roman" w:cs="Arial"/>
        </w:rPr>
        <w:tab/>
        <w:t>Frank P. Darr</w:t>
      </w:r>
    </w:p>
    <w:p w:rsidR="00DE3C1F" w:rsidRPr="00876A53" w:rsidRDefault="00DE3C1F" w:rsidP="00DA67E3">
      <w:pPr>
        <w:autoSpaceDE w:val="0"/>
        <w:autoSpaceDN w:val="0"/>
        <w:adjustRightInd w:val="0"/>
        <w:spacing w:line="240" w:lineRule="auto"/>
        <w:ind w:firstLine="0"/>
        <w:jc w:val="left"/>
        <w:rPr>
          <w:rFonts w:eastAsia="Calibri" w:cs="Arial"/>
        </w:rPr>
        <w:sectPr w:rsidR="00DE3C1F" w:rsidRPr="00876A53">
          <w:headerReference w:type="default" r:id="rId23"/>
          <w:footerReference w:type="default" r:id="rId24"/>
          <w:headerReference w:type="first" r:id="rId25"/>
          <w:footerReference w:type="first" r:id="rId26"/>
          <w:pgSz w:w="12240" w:h="15840" w:code="1"/>
          <w:pgMar w:top="1440" w:right="1440" w:bottom="1141" w:left="1440" w:header="720" w:footer="720" w:gutter="0"/>
          <w:pgNumType w:start="1"/>
          <w:cols w:space="720"/>
          <w:titlePg/>
          <w:docGrid w:linePitch="326"/>
        </w:sectPr>
      </w:pPr>
    </w:p>
    <w:p w:rsidR="00432798" w:rsidRPr="00876A53" w:rsidRDefault="00432798" w:rsidP="00DA67E3">
      <w:pPr>
        <w:spacing w:line="240" w:lineRule="auto"/>
        <w:ind w:firstLine="0"/>
        <w:jc w:val="center"/>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Steven T. Nourse (0046705)</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Matthew J. Satterwhite (0071972)</w:t>
      </w:r>
    </w:p>
    <w:p w:rsidR="00432798" w:rsidRPr="00876A53" w:rsidRDefault="00432798"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American Electric Power Corporation</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1 Riverside Plaza, 29</w:t>
      </w:r>
      <w:r w:rsidRPr="00876A53">
        <w:rPr>
          <w:rFonts w:eastAsia="Times New Roman" w:cs="Times New Roman"/>
          <w:szCs w:val="20"/>
          <w:vertAlign w:val="superscript"/>
        </w:rPr>
        <w:t>th</w:t>
      </w:r>
      <w:r w:rsidRPr="00876A53">
        <w:rPr>
          <w:rFonts w:eastAsia="Times New Roman" w:cs="Times New Roman"/>
          <w:szCs w:val="20"/>
        </w:rPr>
        <w:t xml:space="preserve"> Floor</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Columbus, Ohio  43215-2373</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stnourse@aep.com</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mjsatterwhite@aep.com</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Daniel R. Conway (0023058)</w:t>
      </w:r>
    </w:p>
    <w:p w:rsidR="00432798" w:rsidRPr="00876A53" w:rsidRDefault="00432798"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Porter Wright Morris &amp; Arthur</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Huntington Center</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41 South High Street</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Columbus, Ohio 43215</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dconway@porterwright.com</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ascii="Arial Bold" w:eastAsia="Times New Roman" w:hAnsi="Arial Bold" w:cs="Times New Roman"/>
          <w:b/>
          <w:smallCaps/>
          <w:szCs w:val="20"/>
        </w:rPr>
      </w:pPr>
      <w:r w:rsidRPr="00876A53">
        <w:rPr>
          <w:rFonts w:ascii="Arial Bold" w:eastAsia="Times New Roman" w:hAnsi="Arial Bold" w:cs="Times New Roman"/>
          <w:b/>
          <w:smallCaps/>
          <w:szCs w:val="20"/>
        </w:rPr>
        <w:t>On Behalf of Ohio Power Company</w:t>
      </w:r>
    </w:p>
    <w:p w:rsidR="00432798" w:rsidRPr="00876A53" w:rsidRDefault="00432798" w:rsidP="00DA67E3">
      <w:pPr>
        <w:spacing w:line="240" w:lineRule="auto"/>
        <w:ind w:firstLine="0"/>
        <w:jc w:val="left"/>
        <w:rPr>
          <w:rFonts w:eastAsia="Times New Roman" w:cs="Times New Roman"/>
          <w:b/>
          <w:szCs w:val="20"/>
        </w:rPr>
      </w:pPr>
    </w:p>
    <w:p w:rsidR="00DE3C1F" w:rsidRPr="00876A53" w:rsidRDefault="00DE3C1F" w:rsidP="00DA67E3">
      <w:pPr>
        <w:spacing w:line="240" w:lineRule="auto"/>
        <w:ind w:firstLine="0"/>
        <w:jc w:val="left"/>
        <w:rPr>
          <w:rFonts w:eastAsia="Times New Roman" w:cs="Times New Roman"/>
          <w:szCs w:val="20"/>
        </w:rPr>
      </w:pPr>
      <w:r w:rsidRPr="00876A53">
        <w:rPr>
          <w:rFonts w:eastAsia="Times New Roman" w:cs="Times New Roman"/>
          <w:szCs w:val="20"/>
        </w:rPr>
        <w:t>David F. Boehm (0021881)</w:t>
      </w:r>
    </w:p>
    <w:p w:rsidR="00DE3C1F" w:rsidRPr="00876A53" w:rsidRDefault="00DE3C1F" w:rsidP="00DA67E3">
      <w:pPr>
        <w:spacing w:line="240" w:lineRule="auto"/>
        <w:ind w:firstLine="0"/>
        <w:jc w:val="left"/>
        <w:rPr>
          <w:rFonts w:eastAsia="Times New Roman" w:cs="Times New Roman"/>
          <w:szCs w:val="20"/>
        </w:rPr>
      </w:pPr>
      <w:r w:rsidRPr="00876A53">
        <w:rPr>
          <w:rFonts w:eastAsia="Times New Roman" w:cs="Times New Roman"/>
          <w:szCs w:val="20"/>
        </w:rPr>
        <w:t>Michael L. Kurtz (0033350)</w:t>
      </w:r>
    </w:p>
    <w:p w:rsidR="00DE3C1F" w:rsidRPr="00876A53" w:rsidRDefault="00DE3C1F" w:rsidP="00DA67E3">
      <w:pPr>
        <w:spacing w:line="240" w:lineRule="auto"/>
        <w:ind w:firstLine="0"/>
        <w:jc w:val="left"/>
        <w:rPr>
          <w:rFonts w:eastAsia="Times New Roman" w:cs="Times New Roman"/>
          <w:szCs w:val="20"/>
        </w:rPr>
      </w:pPr>
      <w:r w:rsidRPr="00876A53">
        <w:rPr>
          <w:rFonts w:eastAsia="Times New Roman" w:cs="Times New Roman"/>
          <w:szCs w:val="20"/>
        </w:rPr>
        <w:t>Jody Kyler Cohn (0085402)</w:t>
      </w:r>
    </w:p>
    <w:p w:rsidR="00DE3C1F" w:rsidRPr="00876A53" w:rsidRDefault="00DE3C1F"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Boehm, Kurtz &amp; Lowry</w:t>
      </w:r>
    </w:p>
    <w:p w:rsidR="00DE3C1F" w:rsidRPr="00876A53" w:rsidRDefault="00DE3C1F" w:rsidP="00DA67E3">
      <w:pPr>
        <w:spacing w:line="240" w:lineRule="auto"/>
        <w:ind w:firstLine="0"/>
        <w:jc w:val="left"/>
        <w:rPr>
          <w:rFonts w:eastAsia="Times New Roman" w:cs="Times New Roman"/>
          <w:szCs w:val="20"/>
        </w:rPr>
      </w:pPr>
      <w:r w:rsidRPr="00876A53">
        <w:rPr>
          <w:rFonts w:eastAsia="Times New Roman" w:cs="Times New Roman"/>
          <w:szCs w:val="20"/>
        </w:rPr>
        <w:t>36 East Seventh Street, Suite 1510</w:t>
      </w:r>
    </w:p>
    <w:p w:rsidR="00DE3C1F" w:rsidRPr="00876A53" w:rsidRDefault="00DE3C1F" w:rsidP="00DA67E3">
      <w:pPr>
        <w:spacing w:line="240" w:lineRule="auto"/>
        <w:ind w:firstLine="0"/>
        <w:jc w:val="left"/>
        <w:rPr>
          <w:rFonts w:eastAsia="Times New Roman" w:cs="Times New Roman"/>
          <w:szCs w:val="20"/>
        </w:rPr>
      </w:pPr>
      <w:r w:rsidRPr="00876A53">
        <w:rPr>
          <w:rFonts w:eastAsia="Times New Roman" w:cs="Times New Roman"/>
          <w:szCs w:val="20"/>
        </w:rPr>
        <w:t>Cincinnati, Ohio  45202</w:t>
      </w:r>
    </w:p>
    <w:p w:rsidR="00DE3C1F" w:rsidRPr="00876A53" w:rsidRDefault="00DE3C1F" w:rsidP="00DA67E3">
      <w:pPr>
        <w:spacing w:line="240" w:lineRule="auto"/>
        <w:ind w:firstLine="0"/>
        <w:jc w:val="left"/>
        <w:rPr>
          <w:rFonts w:eastAsia="Times New Roman" w:cs="Times New Roman"/>
          <w:szCs w:val="20"/>
        </w:rPr>
      </w:pPr>
      <w:r w:rsidRPr="00876A53">
        <w:rPr>
          <w:rFonts w:eastAsia="Times New Roman" w:cs="Times New Roman"/>
          <w:szCs w:val="20"/>
        </w:rPr>
        <w:t>dboehm@BKLlawfirm.com</w:t>
      </w:r>
    </w:p>
    <w:p w:rsidR="00DE3C1F" w:rsidRPr="00876A53" w:rsidRDefault="00DE3C1F" w:rsidP="00DA67E3">
      <w:pPr>
        <w:spacing w:line="240" w:lineRule="auto"/>
        <w:ind w:firstLine="0"/>
        <w:jc w:val="left"/>
        <w:rPr>
          <w:rFonts w:eastAsia="Times New Roman" w:cs="Times New Roman"/>
          <w:szCs w:val="20"/>
        </w:rPr>
      </w:pPr>
      <w:r w:rsidRPr="00876A53">
        <w:rPr>
          <w:rFonts w:eastAsia="Times New Roman" w:cs="Times New Roman"/>
          <w:szCs w:val="20"/>
        </w:rPr>
        <w:t>mkurtz@BKLlawfirm.com</w:t>
      </w:r>
    </w:p>
    <w:p w:rsidR="00DE3C1F" w:rsidRPr="00876A53" w:rsidRDefault="00DE3C1F" w:rsidP="00DA67E3">
      <w:pPr>
        <w:spacing w:line="240" w:lineRule="auto"/>
        <w:ind w:firstLine="0"/>
        <w:jc w:val="left"/>
        <w:rPr>
          <w:rFonts w:eastAsia="Times New Roman" w:cs="Times New Roman"/>
          <w:szCs w:val="20"/>
        </w:rPr>
      </w:pPr>
      <w:r w:rsidRPr="00876A53">
        <w:rPr>
          <w:rFonts w:eastAsia="Times New Roman" w:cs="Times New Roman"/>
          <w:szCs w:val="20"/>
        </w:rPr>
        <w:t>jkylercohn@BKLlawfirm.com</w:t>
      </w:r>
    </w:p>
    <w:p w:rsidR="00DE3C1F" w:rsidRPr="00876A53" w:rsidRDefault="00DE3C1F" w:rsidP="00DA67E3">
      <w:pPr>
        <w:spacing w:line="240" w:lineRule="auto"/>
        <w:ind w:firstLine="0"/>
        <w:jc w:val="left"/>
        <w:rPr>
          <w:rFonts w:eastAsia="Times New Roman" w:cs="Times New Roman"/>
          <w:szCs w:val="20"/>
        </w:rPr>
      </w:pPr>
    </w:p>
    <w:p w:rsidR="00DE3C1F" w:rsidRPr="00876A53" w:rsidRDefault="00DE3C1F" w:rsidP="00DA67E3">
      <w:pPr>
        <w:spacing w:line="240" w:lineRule="auto"/>
        <w:ind w:firstLine="0"/>
        <w:jc w:val="left"/>
        <w:rPr>
          <w:rFonts w:eastAsia="Times New Roman" w:cs="Times New Roman"/>
          <w:b/>
          <w:smallCaps/>
          <w:szCs w:val="20"/>
        </w:rPr>
      </w:pPr>
      <w:r w:rsidRPr="00876A53">
        <w:rPr>
          <w:rFonts w:eastAsia="Times New Roman" w:cs="Times New Roman"/>
          <w:b/>
          <w:smallCaps/>
          <w:szCs w:val="20"/>
        </w:rPr>
        <w:t>On Behalf of the Ohio Energy Group</w:t>
      </w:r>
    </w:p>
    <w:p w:rsidR="00DE3C1F" w:rsidRPr="00876A53" w:rsidRDefault="00DE3C1F" w:rsidP="00DA67E3">
      <w:pPr>
        <w:spacing w:line="240" w:lineRule="auto"/>
        <w:ind w:firstLine="0"/>
        <w:jc w:val="left"/>
        <w:rPr>
          <w:rFonts w:eastAsia="Times New Roman" w:cs="Times New Roman"/>
          <w:b/>
          <w:smallCaps/>
          <w:szCs w:val="20"/>
        </w:rPr>
      </w:pPr>
    </w:p>
    <w:p w:rsidR="00DE3C1F" w:rsidRPr="00876A53" w:rsidRDefault="00DE3C1F" w:rsidP="00DA67E3">
      <w:pPr>
        <w:spacing w:line="240" w:lineRule="auto"/>
        <w:ind w:firstLine="0"/>
        <w:jc w:val="left"/>
        <w:rPr>
          <w:rFonts w:eastAsia="Times New Roman" w:cs="Times New Roman"/>
          <w:szCs w:val="20"/>
        </w:rPr>
      </w:pPr>
    </w:p>
    <w:p w:rsidR="00D1678E" w:rsidRPr="00876A53" w:rsidRDefault="00D1678E"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William L. Wright (0018010)</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Werner Margard (0024858)</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Devin Parram (0082507)</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Katherine Johnson (0091064)</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Assistant Attorneys’ General</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180 E. Broad Street, 6</w:t>
      </w:r>
      <w:r w:rsidRPr="00876A53">
        <w:rPr>
          <w:rFonts w:eastAsia="Times New Roman" w:cs="Times New Roman"/>
          <w:szCs w:val="20"/>
          <w:vertAlign w:val="superscript"/>
        </w:rPr>
        <w:t>th</w:t>
      </w:r>
      <w:r w:rsidRPr="00876A53">
        <w:rPr>
          <w:rFonts w:eastAsia="Times New Roman" w:cs="Times New Roman"/>
          <w:szCs w:val="20"/>
        </w:rPr>
        <w:t xml:space="preserve"> Floor</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Columbus, Ohio  43215-3793</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William.wright@puc.state.oh.us</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werner.margard@puc.state.oh.us</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Devin.Parram@puc.state.oh.us</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katherine.johnson@puc.state.oh.us</w:t>
      </w:r>
    </w:p>
    <w:p w:rsidR="00432798" w:rsidRPr="00876A53" w:rsidRDefault="00432798" w:rsidP="00DA67E3">
      <w:pPr>
        <w:spacing w:line="240" w:lineRule="auto"/>
        <w:ind w:firstLine="0"/>
        <w:jc w:val="left"/>
        <w:rPr>
          <w:rFonts w:eastAsia="Times New Roman" w:cs="Times New Roman"/>
          <w:b/>
          <w:szCs w:val="20"/>
        </w:rPr>
      </w:pPr>
    </w:p>
    <w:p w:rsidR="00432798" w:rsidRPr="00876A53" w:rsidRDefault="00432798" w:rsidP="00DA67E3">
      <w:pPr>
        <w:spacing w:line="240" w:lineRule="auto"/>
        <w:ind w:firstLine="0"/>
        <w:jc w:val="left"/>
        <w:rPr>
          <w:rFonts w:ascii="Arial Bold" w:eastAsia="Times New Roman" w:hAnsi="Arial Bold" w:cs="Times New Roman"/>
          <w:b/>
          <w:smallCaps/>
          <w:szCs w:val="20"/>
        </w:rPr>
      </w:pPr>
      <w:r w:rsidRPr="00876A53">
        <w:rPr>
          <w:rFonts w:ascii="Arial Bold" w:eastAsia="Times New Roman" w:hAnsi="Arial Bold" w:cs="Times New Roman"/>
          <w:b/>
          <w:smallCaps/>
          <w:szCs w:val="20"/>
        </w:rPr>
        <w:t>On Behalf of the Staff of the Public</w:t>
      </w:r>
    </w:p>
    <w:p w:rsidR="00432798" w:rsidRPr="00876A53" w:rsidRDefault="00432798" w:rsidP="00DA67E3">
      <w:pPr>
        <w:spacing w:line="240" w:lineRule="auto"/>
        <w:ind w:firstLine="0"/>
        <w:jc w:val="left"/>
        <w:rPr>
          <w:rFonts w:eastAsia="Times New Roman" w:cs="Times New Roman"/>
          <w:b/>
          <w:szCs w:val="20"/>
        </w:rPr>
      </w:pPr>
      <w:r w:rsidRPr="00876A53">
        <w:rPr>
          <w:rFonts w:ascii="Arial Bold" w:eastAsia="Times New Roman" w:hAnsi="Arial Bold" w:cs="Times New Roman"/>
          <w:b/>
          <w:smallCaps/>
          <w:szCs w:val="20"/>
        </w:rPr>
        <w:t>Utilities Commission of Ohio</w:t>
      </w:r>
    </w:p>
    <w:p w:rsidR="000477E2" w:rsidRPr="00876A53" w:rsidRDefault="000477E2"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Maureen R. Grady (0020847)</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Assistant Consumers’ Counsel</w:t>
      </w:r>
    </w:p>
    <w:p w:rsidR="00432798" w:rsidRPr="00876A53" w:rsidRDefault="00432798"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Office of the Ohio Consumers’ Counsel</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10 West Broad Street, Suite 1800</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Columbus, Ohio  43215-3485</w:t>
      </w:r>
    </w:p>
    <w:p w:rsidR="00432798" w:rsidRPr="00876A53" w:rsidRDefault="002D40B2" w:rsidP="00DA67E3">
      <w:pPr>
        <w:spacing w:line="240" w:lineRule="auto"/>
        <w:ind w:firstLine="0"/>
        <w:jc w:val="left"/>
        <w:rPr>
          <w:rFonts w:eastAsia="Times New Roman" w:cs="Times New Roman"/>
          <w:szCs w:val="20"/>
        </w:rPr>
      </w:pPr>
      <w:hyperlink r:id="rId27" w:history="1">
        <w:r w:rsidR="00432798" w:rsidRPr="00876A53">
          <w:rPr>
            <w:rFonts w:eastAsia="Times New Roman" w:cs="Times New Roman"/>
            <w:szCs w:val="20"/>
          </w:rPr>
          <w:t>grady@occ.state.oh.us</w:t>
        </w:r>
      </w:hyperlink>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b/>
          <w:smallCaps/>
          <w:szCs w:val="20"/>
        </w:rPr>
      </w:pPr>
      <w:r w:rsidRPr="00876A53">
        <w:rPr>
          <w:rFonts w:eastAsia="Times New Roman" w:cs="Times New Roman"/>
          <w:b/>
          <w:smallCaps/>
          <w:szCs w:val="20"/>
        </w:rPr>
        <w:t>On Behalf of the Office of the Ohio Consumers’ Counsel</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sectPr w:rsidR="00432798" w:rsidRPr="00876A53" w:rsidSect="00053F2C">
          <w:headerReference w:type="even" r:id="rId28"/>
          <w:headerReference w:type="default" r:id="rId29"/>
          <w:footerReference w:type="even" r:id="rId30"/>
          <w:footerReference w:type="default" r:id="rId31"/>
          <w:headerReference w:type="first" r:id="rId32"/>
          <w:footerReference w:type="first" r:id="rId33"/>
          <w:type w:val="continuous"/>
          <w:pgSz w:w="12240" w:h="15840" w:code="1"/>
          <w:pgMar w:top="1440" w:right="1440" w:bottom="1440" w:left="1440" w:header="720" w:footer="720" w:gutter="0"/>
          <w:cols w:num="2" w:space="720"/>
          <w:titlePg/>
          <w:docGrid w:linePitch="360"/>
        </w:sect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lastRenderedPageBreak/>
        <w:t>Rocco D’Ascenzo (0077651)</w:t>
      </w:r>
    </w:p>
    <w:p w:rsidR="00432798" w:rsidRPr="00876A53" w:rsidRDefault="00432798"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Duke Energy Ohio, Inc.</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139 East Fourth Street</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Cincinnati, Ohio  45202</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Rocco.D’Ascenzo@duke-energy.com</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Elizabeth H. Watts</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Assistant General Counsel</w:t>
      </w:r>
    </w:p>
    <w:p w:rsidR="00432798" w:rsidRPr="00876A53" w:rsidRDefault="00432798"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Duke Energy Ohio</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155 East Broad Street, 21</w:t>
      </w:r>
      <w:r w:rsidRPr="00876A53">
        <w:rPr>
          <w:rFonts w:eastAsia="Times New Roman" w:cs="Times New Roman"/>
          <w:szCs w:val="20"/>
          <w:vertAlign w:val="superscript"/>
        </w:rPr>
        <w:t>st</w:t>
      </w:r>
      <w:r w:rsidRPr="00876A53">
        <w:rPr>
          <w:rFonts w:eastAsia="Times New Roman" w:cs="Times New Roman"/>
          <w:szCs w:val="20"/>
        </w:rPr>
        <w:t xml:space="preserve"> Floor</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Columbus, Ohio  43215</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Elizabeth.Watts@duke-energy.com</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b/>
          <w:smallCaps/>
          <w:szCs w:val="20"/>
        </w:rPr>
        <w:t>On Behalf of Duke Energy Ohio, Inc.</w:t>
      </w:r>
      <w:r w:rsidRPr="00876A53">
        <w:rPr>
          <w:rFonts w:eastAsia="Times New Roman" w:cs="Times New Roman"/>
          <w:szCs w:val="20"/>
        </w:rPr>
        <w:t xml:space="preserve"> </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Barth E. Royer (0016999)</w:t>
      </w:r>
    </w:p>
    <w:p w:rsidR="00432798" w:rsidRPr="00876A53" w:rsidRDefault="00432798"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Bell &amp; Royer Co,, LPA</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33 South Grant Avenue</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Columbus, Ohio 43215-3927</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BarthRoyer@aol.com</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Gary A. Jeffries (0071742)</w:t>
      </w:r>
    </w:p>
    <w:p w:rsidR="00432798" w:rsidRPr="00876A53" w:rsidRDefault="00432798"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Dominion Resources Services, Inc.</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501 Martindale Street, Suite 400</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Pittsburg, PA  15212-5817</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Gary.A.Jeffries@dom.com</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ascii="Arial Bold" w:eastAsia="Times New Roman" w:hAnsi="Arial Bold" w:cs="Times New Roman"/>
          <w:b/>
          <w:smallCaps/>
          <w:szCs w:val="20"/>
        </w:rPr>
      </w:pPr>
      <w:r w:rsidRPr="00876A53">
        <w:rPr>
          <w:rFonts w:ascii="Arial Bold" w:eastAsia="Times New Roman" w:hAnsi="Arial Bold" w:cs="Times New Roman"/>
          <w:b/>
          <w:smallCaps/>
          <w:szCs w:val="20"/>
        </w:rPr>
        <w:t>On Behalf of Dominion Retail, Inc. d/b/a Dominion Energy Solutions</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Richard L. Sites (0019887)</w:t>
      </w:r>
    </w:p>
    <w:p w:rsidR="00432798" w:rsidRPr="00876A53" w:rsidRDefault="00432798"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Ohio Hospital Association</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155 East Broad Street, 15</w:t>
      </w:r>
      <w:r w:rsidRPr="00876A53">
        <w:rPr>
          <w:rFonts w:eastAsia="Times New Roman" w:cs="Times New Roman"/>
          <w:szCs w:val="20"/>
          <w:vertAlign w:val="superscript"/>
        </w:rPr>
        <w:t>th</w:t>
      </w:r>
      <w:r w:rsidRPr="00876A53">
        <w:rPr>
          <w:rFonts w:eastAsia="Times New Roman" w:cs="Times New Roman"/>
          <w:szCs w:val="20"/>
        </w:rPr>
        <w:t xml:space="preserve"> Floor</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Columbus, Ohio  43215-3620</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ricks@ohanet.org</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Thomas J. O’Brien (0066249)</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Dylan F. Borchers (0090690)</w:t>
      </w:r>
    </w:p>
    <w:p w:rsidR="00432798" w:rsidRPr="00876A53" w:rsidRDefault="00432798"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Bricker &amp; Eckler LLP</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100 South Third Street</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Columbus, Ohio  43215-4291</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tobrien@bricker.com</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dborchers@bricker.com</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ascii="Arial Bold" w:eastAsia="Times New Roman" w:hAnsi="Arial Bold" w:cs="Times New Roman"/>
          <w:b/>
          <w:smallCaps/>
          <w:szCs w:val="20"/>
        </w:rPr>
      </w:pPr>
      <w:r w:rsidRPr="00876A53">
        <w:rPr>
          <w:rFonts w:ascii="Arial Bold" w:eastAsia="Times New Roman" w:hAnsi="Arial Bold" w:cs="Times New Roman"/>
          <w:b/>
          <w:smallCaps/>
          <w:szCs w:val="20"/>
        </w:rPr>
        <w:t>On Behalf of The Ohio Hospital Association</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lastRenderedPageBreak/>
        <w:t>Phillip B. Sineneng (0083406)</w:t>
      </w:r>
    </w:p>
    <w:p w:rsidR="00432798" w:rsidRPr="00876A53" w:rsidRDefault="00432798"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Thompson Hine LLP</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41 South High Street, Suite 1700</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Columbus, Ohio  43215</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PhilipSineneng@ThompsonHine.com</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ascii="Arial Bold" w:eastAsia="Times New Roman" w:hAnsi="Arial Bold" w:cs="Times New Roman"/>
          <w:b/>
          <w:smallCaps/>
          <w:szCs w:val="20"/>
        </w:rPr>
      </w:pPr>
      <w:r w:rsidRPr="00876A53">
        <w:rPr>
          <w:rFonts w:ascii="Arial Bold" w:eastAsia="Times New Roman" w:hAnsi="Arial Bold" w:cs="Times New Roman"/>
          <w:b/>
          <w:smallCaps/>
          <w:szCs w:val="20"/>
        </w:rPr>
        <w:t>On Behalf of Duke Energy Retail Sales, LLC and Duke Energy Commercial Asset Management, Inc.</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Mark A. Whitt (0067996)</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Andrew J. Campbell (0081485)</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Gregory L. Williams (0088758)</w:t>
      </w:r>
    </w:p>
    <w:p w:rsidR="00432798" w:rsidRPr="00876A53" w:rsidRDefault="00432798"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Whitt Sturtevant LLP</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The KeyBank Building, Suite 1590</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88 East Broad Street</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Columbus, Ohio  43215</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whit@whitt-sturtevant.com</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campbell@whitt-sturtevant.com</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williams@whitt-sturtevant.com</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Vincent Parisi (0073283)</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Lawrence Friedeman (0018902)</w:t>
      </w:r>
    </w:p>
    <w:p w:rsidR="00432798" w:rsidRPr="00876A53" w:rsidRDefault="00432798"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Interstate Gas Supply, Inc.</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6100 Emerald Parkway</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Dublin, Ohio  43016</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vparisi@igsenergy.com</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lfriedeman@igsenergy.com</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ascii="Arial Bold" w:eastAsia="Times New Roman" w:hAnsi="Arial Bold" w:cs="Times New Roman"/>
          <w:b/>
          <w:smallCaps/>
          <w:szCs w:val="20"/>
        </w:rPr>
      </w:pPr>
      <w:r w:rsidRPr="00876A53">
        <w:rPr>
          <w:rFonts w:ascii="Arial Bold" w:eastAsia="Times New Roman" w:hAnsi="Arial Bold" w:cs="Times New Roman"/>
          <w:b/>
          <w:smallCaps/>
          <w:szCs w:val="20"/>
        </w:rPr>
        <w:t>On Behalf of Interstate Gas Supply, Inc.</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Kimberly W. Bojko (0069402)</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Mallory M. Mohler (0089508)</w:t>
      </w:r>
    </w:p>
    <w:p w:rsidR="00432798" w:rsidRPr="00876A53" w:rsidRDefault="00432798"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Carpenter Lipps &amp; Leland LLP</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280 Plaza, Suite 1300</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280 North High Street</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Columbus, Ohio 43215</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Bojko@carpenterlipps.com</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Mohler@carpenterlipps.com</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ascii="Arial Bold" w:eastAsia="Times New Roman" w:hAnsi="Arial Bold" w:cs="Times New Roman"/>
          <w:b/>
          <w:smallCaps/>
          <w:szCs w:val="20"/>
        </w:rPr>
      </w:pPr>
      <w:r w:rsidRPr="00876A53">
        <w:rPr>
          <w:rFonts w:ascii="Arial Bold" w:eastAsia="Times New Roman" w:hAnsi="Arial Bold" w:cs="Times New Roman"/>
          <w:b/>
          <w:smallCaps/>
          <w:szCs w:val="20"/>
        </w:rPr>
        <w:t>On Behalf of OMA Energy Group</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eastAsia="Times New Roman" w:cs="Times New Roman"/>
          <w:szCs w:val="20"/>
        </w:rPr>
        <w:sectPr w:rsidR="00432798" w:rsidRPr="00876A53" w:rsidSect="00053F2C">
          <w:headerReference w:type="default" r:id="rId34"/>
          <w:footerReference w:type="default" r:id="rId35"/>
          <w:headerReference w:type="first" r:id="rId36"/>
          <w:footerReference w:type="first" r:id="rId37"/>
          <w:pgSz w:w="12240" w:h="15840" w:code="1"/>
          <w:pgMar w:top="1440" w:right="1440" w:bottom="1440" w:left="1440" w:header="720" w:footer="720" w:gutter="0"/>
          <w:cols w:num="2" w:space="720"/>
          <w:titlePg/>
          <w:docGrid w:linePitch="360"/>
        </w:sectPr>
      </w:pP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lastRenderedPageBreak/>
        <w:t>Mark A. Hayden (0081077)</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Jacob A. McDermott (0087187)</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Scott J. Casto (0085756)</w:t>
      </w:r>
    </w:p>
    <w:p w:rsidR="00432798" w:rsidRPr="00876A53" w:rsidRDefault="00432798" w:rsidP="00DA67E3">
      <w:pPr>
        <w:spacing w:line="240" w:lineRule="auto"/>
        <w:ind w:firstLine="0"/>
        <w:jc w:val="left"/>
        <w:rPr>
          <w:rFonts w:eastAsia="Times New Roman" w:cs="Times New Roman"/>
          <w:smallCaps/>
          <w:szCs w:val="20"/>
        </w:rPr>
      </w:pPr>
      <w:r w:rsidRPr="00876A53">
        <w:rPr>
          <w:rFonts w:eastAsia="Times New Roman" w:cs="Times New Roman"/>
          <w:smallCaps/>
          <w:szCs w:val="20"/>
        </w:rPr>
        <w:t>FirstEnergy Service Company</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76 South Main Street</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Akron, Ohio  44308</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haydenm@firstenergycorp.com</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jmcdermott@firstenergycorp.com</w:t>
      </w:r>
    </w:p>
    <w:p w:rsidR="00432798" w:rsidRPr="00876A53" w:rsidRDefault="00432798" w:rsidP="00DA67E3">
      <w:pPr>
        <w:spacing w:line="240" w:lineRule="auto"/>
        <w:ind w:firstLine="0"/>
        <w:jc w:val="left"/>
        <w:rPr>
          <w:rFonts w:eastAsia="Times New Roman" w:cs="Times New Roman"/>
          <w:szCs w:val="20"/>
        </w:rPr>
      </w:pPr>
      <w:r w:rsidRPr="00876A53">
        <w:rPr>
          <w:rFonts w:eastAsia="Times New Roman" w:cs="Times New Roman"/>
          <w:szCs w:val="20"/>
        </w:rPr>
        <w:t>scasto@firstenergycorp.com</w:t>
      </w:r>
    </w:p>
    <w:p w:rsidR="00432798" w:rsidRPr="00876A53" w:rsidRDefault="00432798" w:rsidP="00DA67E3">
      <w:pPr>
        <w:spacing w:line="240" w:lineRule="auto"/>
        <w:ind w:firstLine="0"/>
        <w:jc w:val="left"/>
        <w:rPr>
          <w:rFonts w:eastAsia="Times New Roman" w:cs="Times New Roman"/>
          <w:szCs w:val="20"/>
        </w:rPr>
      </w:pPr>
    </w:p>
    <w:p w:rsidR="00432798" w:rsidRPr="00876A53" w:rsidRDefault="00432798" w:rsidP="00DA67E3">
      <w:pPr>
        <w:spacing w:line="240" w:lineRule="auto"/>
        <w:ind w:firstLine="0"/>
        <w:jc w:val="left"/>
        <w:rPr>
          <w:rFonts w:ascii="Arial Bold" w:eastAsia="Times New Roman" w:hAnsi="Arial Bold" w:cs="Times New Roman"/>
          <w:b/>
          <w:smallCaps/>
          <w:szCs w:val="20"/>
        </w:rPr>
      </w:pPr>
      <w:r w:rsidRPr="00876A53">
        <w:rPr>
          <w:rFonts w:ascii="Arial Bold" w:eastAsia="Times New Roman" w:hAnsi="Arial Bold" w:cs="Times New Roman"/>
          <w:b/>
          <w:smallCaps/>
          <w:szCs w:val="20"/>
        </w:rPr>
        <w:t>On Behalf of FirstEnergy Solutions Corp.</w:t>
      </w:r>
    </w:p>
    <w:p w:rsidR="00432798" w:rsidRPr="00876A53" w:rsidRDefault="00432798" w:rsidP="00DA67E3">
      <w:pPr>
        <w:spacing w:line="240" w:lineRule="auto"/>
        <w:ind w:firstLine="0"/>
        <w:jc w:val="left"/>
        <w:rPr>
          <w:rFonts w:ascii="Arial Bold" w:eastAsia="Times New Roman" w:hAnsi="Arial Bold" w:cs="Times New Roman"/>
          <w:b/>
          <w:smallCaps/>
          <w:szCs w:val="20"/>
        </w:rPr>
      </w:pPr>
    </w:p>
    <w:p w:rsidR="00432798" w:rsidRPr="00876A53" w:rsidRDefault="00432798" w:rsidP="00DA67E3">
      <w:pPr>
        <w:spacing w:line="240" w:lineRule="auto"/>
        <w:ind w:firstLine="0"/>
        <w:jc w:val="left"/>
        <w:rPr>
          <w:rFonts w:eastAsia="Times New Roman" w:cs="Arial"/>
          <w:szCs w:val="20"/>
        </w:rPr>
      </w:pPr>
      <w:r w:rsidRPr="00876A53">
        <w:rPr>
          <w:rFonts w:eastAsia="Times New Roman" w:cs="Arial"/>
          <w:szCs w:val="20"/>
        </w:rPr>
        <w:t>Colleen L. Mooney (0015668)</w:t>
      </w:r>
    </w:p>
    <w:p w:rsidR="00432798" w:rsidRPr="00876A53" w:rsidRDefault="00432798" w:rsidP="00DA67E3">
      <w:pPr>
        <w:spacing w:line="240" w:lineRule="auto"/>
        <w:ind w:firstLine="0"/>
        <w:jc w:val="left"/>
        <w:rPr>
          <w:rFonts w:eastAsia="Times New Roman" w:cs="Arial"/>
          <w:szCs w:val="20"/>
        </w:rPr>
      </w:pPr>
      <w:r w:rsidRPr="00876A53">
        <w:rPr>
          <w:rFonts w:eastAsia="Times New Roman" w:cs="Arial"/>
          <w:szCs w:val="20"/>
        </w:rPr>
        <w:t>Cathryn N. Loucas (0073533)</w:t>
      </w:r>
    </w:p>
    <w:p w:rsidR="00432798" w:rsidRPr="00876A53" w:rsidRDefault="00432798" w:rsidP="00DA67E3">
      <w:pPr>
        <w:spacing w:line="240" w:lineRule="auto"/>
        <w:ind w:firstLine="0"/>
        <w:jc w:val="left"/>
        <w:rPr>
          <w:rFonts w:eastAsia="Times New Roman" w:cs="Arial"/>
          <w:smallCaps/>
          <w:szCs w:val="20"/>
        </w:rPr>
      </w:pPr>
      <w:r w:rsidRPr="00876A53">
        <w:rPr>
          <w:rFonts w:eastAsia="Times New Roman" w:cs="Arial"/>
          <w:smallCaps/>
          <w:szCs w:val="20"/>
        </w:rPr>
        <w:t>Ohio Partners for Affordable Energy</w:t>
      </w:r>
    </w:p>
    <w:p w:rsidR="00432798" w:rsidRPr="00876A53" w:rsidRDefault="00432798" w:rsidP="00DA67E3">
      <w:pPr>
        <w:spacing w:line="240" w:lineRule="auto"/>
        <w:ind w:firstLine="0"/>
        <w:jc w:val="left"/>
        <w:rPr>
          <w:rFonts w:eastAsia="Times New Roman" w:cs="Arial"/>
          <w:szCs w:val="20"/>
        </w:rPr>
      </w:pPr>
      <w:r w:rsidRPr="00876A53">
        <w:rPr>
          <w:rFonts w:eastAsia="Times New Roman" w:cs="Arial"/>
          <w:szCs w:val="20"/>
        </w:rPr>
        <w:t>231 West Lima Street</w:t>
      </w:r>
    </w:p>
    <w:p w:rsidR="00432798" w:rsidRPr="00876A53" w:rsidRDefault="00432798" w:rsidP="00DA67E3">
      <w:pPr>
        <w:spacing w:line="240" w:lineRule="auto"/>
        <w:ind w:firstLine="0"/>
        <w:jc w:val="left"/>
        <w:rPr>
          <w:rFonts w:eastAsia="Times New Roman" w:cs="Arial"/>
          <w:szCs w:val="20"/>
        </w:rPr>
      </w:pPr>
      <w:r w:rsidRPr="00876A53">
        <w:rPr>
          <w:rFonts w:eastAsia="Times New Roman" w:cs="Arial"/>
          <w:szCs w:val="20"/>
        </w:rPr>
        <w:t>Findlay, Ohio  45839-1793</w:t>
      </w:r>
    </w:p>
    <w:p w:rsidR="00432798" w:rsidRPr="00876A53" w:rsidRDefault="00432798" w:rsidP="00DA67E3">
      <w:pPr>
        <w:spacing w:line="240" w:lineRule="auto"/>
        <w:ind w:firstLine="0"/>
        <w:jc w:val="left"/>
        <w:rPr>
          <w:rFonts w:eastAsia="Times New Roman" w:cs="Arial"/>
          <w:szCs w:val="20"/>
        </w:rPr>
      </w:pPr>
      <w:r w:rsidRPr="00876A53">
        <w:rPr>
          <w:rFonts w:eastAsia="Times New Roman" w:cs="Arial"/>
          <w:szCs w:val="20"/>
        </w:rPr>
        <w:t>cmooney@ohiopartners.org</w:t>
      </w:r>
    </w:p>
    <w:p w:rsidR="00432798" w:rsidRPr="00876A53" w:rsidRDefault="00432798" w:rsidP="00DA67E3">
      <w:pPr>
        <w:spacing w:line="240" w:lineRule="auto"/>
        <w:ind w:firstLine="0"/>
        <w:jc w:val="left"/>
        <w:rPr>
          <w:rFonts w:eastAsia="Times New Roman" w:cs="Arial"/>
          <w:smallCaps/>
          <w:szCs w:val="20"/>
        </w:rPr>
      </w:pPr>
      <w:r w:rsidRPr="00876A53">
        <w:rPr>
          <w:rFonts w:eastAsia="Times New Roman" w:cs="Arial"/>
          <w:szCs w:val="20"/>
        </w:rPr>
        <w:t>cloucas@ohiopartners.org</w:t>
      </w:r>
    </w:p>
    <w:p w:rsidR="00432798" w:rsidRPr="00876A53" w:rsidRDefault="00432798" w:rsidP="00DA67E3">
      <w:pPr>
        <w:spacing w:line="240" w:lineRule="auto"/>
        <w:ind w:firstLine="0"/>
        <w:jc w:val="left"/>
        <w:rPr>
          <w:rFonts w:ascii="Arial Bold" w:eastAsia="Times New Roman" w:hAnsi="Arial Bold" w:cs="Times New Roman"/>
          <w:b/>
          <w:smallCaps/>
          <w:szCs w:val="20"/>
        </w:rPr>
      </w:pPr>
    </w:p>
    <w:p w:rsidR="00432798" w:rsidRPr="00876A53" w:rsidRDefault="00432798" w:rsidP="00DA67E3">
      <w:pPr>
        <w:spacing w:line="240" w:lineRule="auto"/>
        <w:ind w:firstLine="0"/>
        <w:jc w:val="left"/>
        <w:rPr>
          <w:rFonts w:ascii="Arial Bold" w:eastAsia="Times New Roman" w:hAnsi="Arial Bold" w:cs="Times New Roman"/>
          <w:b/>
          <w:smallCaps/>
          <w:szCs w:val="20"/>
        </w:rPr>
      </w:pPr>
      <w:r w:rsidRPr="00876A53">
        <w:rPr>
          <w:rFonts w:ascii="Arial Bold" w:eastAsia="Times New Roman" w:hAnsi="Arial Bold" w:cs="Times New Roman"/>
          <w:b/>
          <w:smallCaps/>
          <w:szCs w:val="20"/>
        </w:rPr>
        <w:t>On Behalf of Ohio Partners for Affordable Energy</w:t>
      </w:r>
    </w:p>
    <w:p w:rsidR="00432798" w:rsidRPr="00876A53" w:rsidRDefault="00432798" w:rsidP="00DA67E3">
      <w:pPr>
        <w:spacing w:line="240" w:lineRule="auto"/>
        <w:ind w:firstLine="0"/>
        <w:jc w:val="left"/>
        <w:rPr>
          <w:rFonts w:ascii="Arial Bold" w:eastAsia="Times New Roman" w:hAnsi="Arial Bold" w:cs="Times New Roman"/>
          <w:b/>
          <w:smallCaps/>
          <w:szCs w:val="20"/>
        </w:rPr>
      </w:pPr>
    </w:p>
    <w:p w:rsidR="00432798" w:rsidRPr="00876A53" w:rsidRDefault="00432798" w:rsidP="00DA67E3">
      <w:pPr>
        <w:spacing w:line="240" w:lineRule="auto"/>
        <w:ind w:firstLine="0"/>
        <w:jc w:val="left"/>
        <w:rPr>
          <w:rFonts w:eastAsia="Times New Roman" w:cs="Arial"/>
          <w:szCs w:val="20"/>
        </w:rPr>
      </w:pPr>
      <w:r w:rsidRPr="00876A53">
        <w:rPr>
          <w:rFonts w:eastAsia="Times New Roman" w:cs="Arial"/>
          <w:szCs w:val="20"/>
        </w:rPr>
        <w:t>Mark S. Yurick (0039176)</w:t>
      </w:r>
    </w:p>
    <w:p w:rsidR="00432798" w:rsidRPr="00876A53" w:rsidRDefault="00432798" w:rsidP="00DA67E3">
      <w:pPr>
        <w:spacing w:line="240" w:lineRule="auto"/>
        <w:ind w:firstLine="0"/>
        <w:jc w:val="left"/>
        <w:rPr>
          <w:rFonts w:eastAsia="Times New Roman" w:cs="Arial"/>
          <w:szCs w:val="20"/>
        </w:rPr>
      </w:pPr>
      <w:r w:rsidRPr="00876A53">
        <w:rPr>
          <w:rFonts w:eastAsia="Times New Roman" w:cs="Arial"/>
          <w:szCs w:val="20"/>
        </w:rPr>
        <w:t>Zachary D. Kravitz (0084238)</w:t>
      </w:r>
    </w:p>
    <w:p w:rsidR="00432798" w:rsidRPr="00876A53" w:rsidRDefault="00432798" w:rsidP="00DA67E3">
      <w:pPr>
        <w:spacing w:line="240" w:lineRule="auto"/>
        <w:ind w:firstLine="0"/>
        <w:jc w:val="left"/>
        <w:rPr>
          <w:rFonts w:eastAsia="Times New Roman" w:cs="Arial"/>
          <w:smallCaps/>
          <w:szCs w:val="20"/>
        </w:rPr>
      </w:pPr>
      <w:r w:rsidRPr="00876A53">
        <w:rPr>
          <w:rFonts w:eastAsia="Times New Roman" w:cs="Arial"/>
          <w:smallCaps/>
          <w:szCs w:val="20"/>
        </w:rPr>
        <w:t>Taft, Stettinius &amp; Hollister LLP</w:t>
      </w:r>
    </w:p>
    <w:p w:rsidR="00432798" w:rsidRPr="00876A53" w:rsidRDefault="00432798" w:rsidP="00DA67E3">
      <w:pPr>
        <w:spacing w:line="240" w:lineRule="auto"/>
        <w:ind w:firstLine="0"/>
        <w:jc w:val="left"/>
        <w:rPr>
          <w:rFonts w:eastAsia="Times New Roman" w:cs="Arial"/>
          <w:szCs w:val="20"/>
        </w:rPr>
      </w:pPr>
      <w:r w:rsidRPr="00876A53">
        <w:rPr>
          <w:rFonts w:eastAsia="Times New Roman" w:cs="Arial"/>
          <w:szCs w:val="20"/>
        </w:rPr>
        <w:t>65 East State Street, Suite 1000</w:t>
      </w:r>
    </w:p>
    <w:p w:rsidR="00432798" w:rsidRPr="00876A53" w:rsidRDefault="00432798" w:rsidP="00DA67E3">
      <w:pPr>
        <w:spacing w:line="240" w:lineRule="auto"/>
        <w:ind w:firstLine="0"/>
        <w:jc w:val="left"/>
        <w:rPr>
          <w:rFonts w:eastAsia="Times New Roman" w:cs="Arial"/>
          <w:szCs w:val="20"/>
        </w:rPr>
      </w:pPr>
      <w:r w:rsidRPr="00876A53">
        <w:rPr>
          <w:rFonts w:eastAsia="Times New Roman" w:cs="Arial"/>
          <w:szCs w:val="20"/>
        </w:rPr>
        <w:t>Columbus, Ohio  43215</w:t>
      </w:r>
    </w:p>
    <w:p w:rsidR="00432798" w:rsidRPr="00876A53" w:rsidRDefault="00432798" w:rsidP="00DA67E3">
      <w:pPr>
        <w:spacing w:line="240" w:lineRule="auto"/>
        <w:ind w:firstLine="0"/>
        <w:jc w:val="left"/>
        <w:rPr>
          <w:rFonts w:eastAsia="Times New Roman" w:cs="Arial"/>
          <w:szCs w:val="20"/>
        </w:rPr>
      </w:pPr>
      <w:r w:rsidRPr="00876A53">
        <w:rPr>
          <w:rFonts w:eastAsia="Times New Roman" w:cs="Arial"/>
          <w:szCs w:val="20"/>
        </w:rPr>
        <w:t>myurick@taftlaw.com</w:t>
      </w:r>
    </w:p>
    <w:p w:rsidR="00432798" w:rsidRPr="00876A53" w:rsidRDefault="00432798" w:rsidP="00DA67E3">
      <w:pPr>
        <w:spacing w:line="240" w:lineRule="auto"/>
        <w:ind w:firstLine="0"/>
        <w:jc w:val="left"/>
        <w:rPr>
          <w:rFonts w:eastAsia="Times New Roman" w:cs="Arial"/>
          <w:szCs w:val="20"/>
        </w:rPr>
      </w:pPr>
      <w:r w:rsidRPr="00876A53">
        <w:rPr>
          <w:rFonts w:eastAsia="Times New Roman" w:cs="Arial"/>
          <w:szCs w:val="20"/>
        </w:rPr>
        <w:t>zkravitz@taftlaw.com</w:t>
      </w:r>
    </w:p>
    <w:p w:rsidR="00432798" w:rsidRPr="00876A53" w:rsidRDefault="00432798" w:rsidP="00DA67E3">
      <w:pPr>
        <w:spacing w:line="240" w:lineRule="auto"/>
        <w:ind w:firstLine="0"/>
        <w:jc w:val="left"/>
        <w:rPr>
          <w:rFonts w:eastAsia="Times New Roman" w:cs="Arial"/>
          <w:szCs w:val="20"/>
        </w:rPr>
      </w:pPr>
    </w:p>
    <w:p w:rsidR="00432798" w:rsidRPr="00876A53" w:rsidRDefault="00432798" w:rsidP="00DA67E3">
      <w:pPr>
        <w:spacing w:line="240" w:lineRule="auto"/>
        <w:ind w:firstLine="0"/>
        <w:jc w:val="left"/>
        <w:rPr>
          <w:rFonts w:ascii="Arial Bold" w:eastAsia="Times New Roman" w:hAnsi="Arial Bold" w:cs="Arial"/>
          <w:b/>
          <w:smallCaps/>
          <w:szCs w:val="20"/>
        </w:rPr>
      </w:pPr>
      <w:r w:rsidRPr="00876A53">
        <w:rPr>
          <w:rFonts w:ascii="Arial Bold" w:eastAsia="Times New Roman" w:hAnsi="Arial Bold" w:cs="Arial"/>
          <w:b/>
          <w:smallCaps/>
          <w:szCs w:val="20"/>
        </w:rPr>
        <w:t>On Behalf of The Kroger Co.</w:t>
      </w:r>
    </w:p>
    <w:p w:rsidR="00432798" w:rsidRPr="00876A53" w:rsidRDefault="00432798" w:rsidP="00DA67E3">
      <w:pPr>
        <w:spacing w:line="240" w:lineRule="auto"/>
        <w:ind w:firstLine="0"/>
        <w:jc w:val="left"/>
        <w:rPr>
          <w:rFonts w:ascii="Arial Bold" w:eastAsia="Times New Roman" w:hAnsi="Arial Bold" w:cs="Arial"/>
          <w:b/>
          <w:smallCaps/>
          <w:szCs w:val="20"/>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Judi L. Sobecki (0067186)</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The Dayton Power and Light Company</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1065 Woodman Drive</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Dayton, Ohio  45432</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judi.sobecki@aes.com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ascii="Arial Bold" w:eastAsia="Times New Roman" w:hAnsi="Arial Bold" w:cs="Arial"/>
          <w:b/>
          <w:smallCaps/>
        </w:rPr>
      </w:pPr>
      <w:r w:rsidRPr="00876A53">
        <w:rPr>
          <w:rFonts w:ascii="Arial Bold" w:eastAsia="Times New Roman" w:hAnsi="Arial Bold" w:cs="Arial"/>
          <w:b/>
          <w:smallCaps/>
        </w:rPr>
        <w:t>On Behalf of The Dayton Power and Light Company</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br w:type="column"/>
      </w:r>
      <w:r w:rsidRPr="00876A53">
        <w:rPr>
          <w:rFonts w:eastAsia="Times New Roman" w:cs="Arial"/>
        </w:rPr>
        <w:lastRenderedPageBreak/>
        <w:t>Joseph M. Clark (0080711)</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Direct Energy</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21 East State Street, 19th Floor</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Columbus, Ohio  43215</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joseph.clark@directenergy.com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ascii="Arial Bold" w:eastAsia="Times New Roman" w:hAnsi="Arial Bold" w:cs="Arial"/>
          <w:b/>
          <w:smallCaps/>
        </w:rPr>
      </w:pPr>
      <w:r w:rsidRPr="00876A53">
        <w:rPr>
          <w:rFonts w:ascii="Arial Bold" w:eastAsia="Times New Roman" w:hAnsi="Arial Bold" w:cs="Arial"/>
          <w:b/>
          <w:smallCaps/>
        </w:rPr>
        <w:t>On</w:t>
      </w:r>
      <w:r w:rsidRPr="00876A53">
        <w:rPr>
          <w:rFonts w:ascii="Arial Bold" w:eastAsia="Times New Roman" w:hAnsi="Arial Bold" w:cs="Arial"/>
          <w:b/>
        </w:rPr>
        <w:t xml:space="preserve"> </w:t>
      </w:r>
      <w:r w:rsidRPr="00876A53">
        <w:rPr>
          <w:rFonts w:ascii="Arial Bold" w:eastAsia="Times New Roman" w:hAnsi="Arial Bold" w:cs="Arial"/>
          <w:b/>
          <w:smallCaps/>
        </w:rPr>
        <w:t>Behalf</w:t>
      </w:r>
      <w:r w:rsidRPr="00876A53">
        <w:rPr>
          <w:rFonts w:ascii="Arial Bold" w:eastAsia="Times New Roman" w:hAnsi="Arial Bold" w:cs="Arial"/>
          <w:b/>
        </w:rPr>
        <w:t xml:space="preserve"> </w:t>
      </w:r>
      <w:r w:rsidRPr="00876A53">
        <w:rPr>
          <w:rFonts w:ascii="Arial Bold" w:eastAsia="Times New Roman" w:hAnsi="Arial Bold" w:cs="Arial"/>
          <w:b/>
          <w:smallCaps/>
        </w:rPr>
        <w:t>of Direct Energy Services, LLC and Direct Energy Business, LLC</w:t>
      </w:r>
    </w:p>
    <w:p w:rsidR="00432798" w:rsidRPr="00876A53" w:rsidRDefault="00432798" w:rsidP="00DA67E3">
      <w:pPr>
        <w:tabs>
          <w:tab w:val="left" w:pos="4680"/>
        </w:tabs>
        <w:spacing w:line="240" w:lineRule="auto"/>
        <w:ind w:firstLine="0"/>
        <w:jc w:val="left"/>
        <w:rPr>
          <w:rFonts w:eastAsia="Times New Roman" w:cs="Arial"/>
          <w:smallCaps/>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Trent Dougherty (0079817)</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Ohio Environmental Council</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1207 Grandview Avenue, Suite 201</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Columbus, Ohio  43212-3449</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tdougherty@theOEC.org</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John Finnigan (0018689)</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Senior Regulatory Attorney</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Environmental Defense Fund</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128 Winding Brook Lane</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Terrace Park, Ohio  45174</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jfinnigan@edf.org</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ascii="Arial Bold" w:eastAsia="Times New Roman" w:hAnsi="Arial Bold" w:cs="Arial"/>
          <w:b/>
          <w:smallCaps/>
        </w:rPr>
      </w:pPr>
      <w:r w:rsidRPr="00876A53">
        <w:rPr>
          <w:rFonts w:ascii="Arial Bold" w:eastAsia="Times New Roman" w:hAnsi="Arial Bold" w:cs="Arial"/>
          <w:b/>
          <w:smallCaps/>
        </w:rPr>
        <w:t>On Behalf of the Ohio Environmental Council and Environmental Defense Fund</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Michael R. Smalz (0041897)</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Ohio Poverty Law Center</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555 Buttles Avenue</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Columbus, Ohio  43215-1137</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msmalz@ohiopovertylaw.com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Peggy P. Lee (0067912)</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Southeastern Ohio Legal Services</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964 E. State Street</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Athens, Ohio 45701</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plee@oslsa.org</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b/>
          <w:smallCaps/>
        </w:rPr>
      </w:pPr>
      <w:r w:rsidRPr="00876A53">
        <w:rPr>
          <w:rFonts w:eastAsia="Times New Roman" w:cs="Arial"/>
          <w:b/>
          <w:smallCaps/>
        </w:rPr>
        <w:t>On Behalf of the Appalachian Peace and Justice Network</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sectPr w:rsidR="00432798" w:rsidRPr="00876A53" w:rsidSect="00053F2C">
          <w:headerReference w:type="default" r:id="rId38"/>
          <w:footerReference w:type="default" r:id="rId39"/>
          <w:headerReference w:type="first" r:id="rId40"/>
          <w:footerReference w:type="first" r:id="rId41"/>
          <w:pgSz w:w="12240" w:h="15840" w:code="1"/>
          <w:pgMar w:top="1440" w:right="1440" w:bottom="1440" w:left="1440" w:header="720" w:footer="720" w:gutter="0"/>
          <w:cols w:num="2" w:space="720"/>
          <w:titlePg/>
          <w:docGrid w:linePitch="360"/>
        </w:sect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lastRenderedPageBreak/>
        <w:t>M. Howard Petricoff (0008287)</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Gretchen L. Petrucci (0046608)</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Vorys, Sater, Seymour and Pease LLP</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52 East Gay Street</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P.O. Box 1008</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Columbus, Ohio  43216-1008</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mhpetricoff@vorys.com</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glpetrucci@vorys.com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David I Fein</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Vice President, State Government Affairs-East</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Exelon Corporation</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10 South Dearborn Street, 47th Floor</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Chicago, IL  60603</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david.fein@exeloncorp.com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Cynthia Fonner Brady</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Assistant General Counsel</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Exelon Business Services Company</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4300 Winfield Road</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Warrenville, IL  60555</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cynthia.brady@constellation.com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Lael Campbell</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Exelon</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101 Constitution Avenue, NW</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Washington, DC  20001</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Lael.Campbell@constellation.com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b/>
          <w:smallCaps/>
        </w:rPr>
      </w:pPr>
      <w:r w:rsidRPr="00876A53">
        <w:rPr>
          <w:rFonts w:eastAsia="Times New Roman" w:cs="Arial"/>
          <w:b/>
          <w:smallCaps/>
        </w:rPr>
        <w:t>On Behalf of Constellation NewEnergy, Inc. and Exelon Generation Company, LLC</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M. Howard Petricoff</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Gretchen L. Petrucci</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Vorys, Sater, Seymour and Pease LLP</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52 East Gay Street</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P.O. Box 1008</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Columbus, Ohio  43216-1008</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mhpetricoff@vorys.com</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glpetrucci@vorys.com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b/>
          <w:smallCaps/>
        </w:rPr>
      </w:pPr>
      <w:r w:rsidRPr="00876A53">
        <w:rPr>
          <w:rFonts w:eastAsia="Times New Roman" w:cs="Arial"/>
          <w:b/>
          <w:smallCaps/>
        </w:rPr>
        <w:t>On Behalf of the Retail Energy Supply Association</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lastRenderedPageBreak/>
        <w:t>Nicholas McDaniel (0089817)</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Environmental Law &amp; Policy Center</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1207 Grandview Avenue, Suite 201</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Columbus, Ohio  43212</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NMcDaniel@elpc.org</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ascii="Arial Bold" w:eastAsia="Times New Roman" w:hAnsi="Arial Bold" w:cs="Arial"/>
          <w:b/>
          <w:smallCaps/>
        </w:rPr>
      </w:pPr>
      <w:r w:rsidRPr="00876A53">
        <w:rPr>
          <w:rFonts w:ascii="Arial Bold" w:eastAsia="Times New Roman" w:hAnsi="Arial Bold" w:cs="Arial"/>
          <w:b/>
          <w:smallCaps/>
        </w:rPr>
        <w:t>On Behalf of the Environmental Law and Policy Center</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Lisa M. Hawrot</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Spilman Thomas &amp; Battle, PLLC</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Century Centre Building</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1233 Main Street, Suite 4000</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P.O. Box 831</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Wheeling, WV  26003-8731</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lhawrot@spilmanlaw.com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Derrick Price Williamson</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Spilman Thomas &amp; Battle, PLLC</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1100 Bent Creek Blvd., Suite 101</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Mechanicsburg, PA  17050</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dwilliamson@spilmanlaw.com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Steve W. Chriss</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Senior Manager, Energy Regulatory Analysis</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Wal-Mart Stores, Inc.</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2001 SE 10th Street</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Bentonville, AR  72716-0550</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Stephen.Chriss@walmart.com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Tai C. Shadrick</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Spilman Thomas &amp; Battle, PLLC</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300 Kanawha Blvd. East</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Charleston, WV 25301</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tshadrick@spilmanlaw.com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b/>
          <w:smallCaps/>
        </w:rPr>
      </w:pPr>
      <w:r w:rsidRPr="00876A53">
        <w:rPr>
          <w:rFonts w:eastAsia="Times New Roman" w:cs="Arial"/>
          <w:b/>
          <w:smallCaps/>
        </w:rPr>
        <w:t>On Behalf of Wal-Mart Stores East, LP and Sam’s East, Inc.</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sectPr w:rsidR="00432798" w:rsidRPr="00876A53" w:rsidSect="00053F2C">
          <w:headerReference w:type="default" r:id="rId42"/>
          <w:footerReference w:type="default" r:id="rId43"/>
          <w:headerReference w:type="first" r:id="rId44"/>
          <w:footerReference w:type="first" r:id="rId45"/>
          <w:pgSz w:w="12240" w:h="15840" w:code="1"/>
          <w:pgMar w:top="1440" w:right="1440" w:bottom="1440" w:left="1440" w:header="720" w:footer="720" w:gutter="0"/>
          <w:cols w:num="2" w:space="720"/>
          <w:titlePg/>
          <w:docGrid w:linePitch="360"/>
        </w:sect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lastRenderedPageBreak/>
        <w:t>Samantha Williams</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Natural Resources Defense Council</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20 N. Wacker Drive, Suite 1600</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Chicago, IL  60606</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swilliams@nrdc.org</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b/>
          <w:smallCaps/>
        </w:rPr>
      </w:pPr>
      <w:r w:rsidRPr="00876A53">
        <w:rPr>
          <w:rFonts w:eastAsia="Times New Roman" w:cs="Arial"/>
          <w:b/>
          <w:smallCaps/>
        </w:rPr>
        <w:t>On Behalf of the Natural Resources Defense Council</w:t>
      </w:r>
    </w:p>
    <w:p w:rsidR="00432798" w:rsidRPr="00876A53" w:rsidRDefault="00432798" w:rsidP="00DA67E3">
      <w:pPr>
        <w:tabs>
          <w:tab w:val="left" w:pos="4680"/>
        </w:tabs>
        <w:spacing w:line="240" w:lineRule="auto"/>
        <w:ind w:firstLine="0"/>
        <w:jc w:val="left"/>
        <w:rPr>
          <w:rFonts w:eastAsia="Times New Roman" w:cs="Arial"/>
          <w:b/>
          <w:smallCaps/>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Kevin R. Schmidt (0086722)</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Energy Professionals of Ohio</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88 East Broad Street, Suite 1770</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Columbus, Ohio  43215</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Schmidt@sppgrp.com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ascii="Arial Bold" w:eastAsia="Times New Roman" w:hAnsi="Arial Bold" w:cs="Arial"/>
          <w:b/>
          <w:smallCaps/>
        </w:rPr>
      </w:pPr>
      <w:r w:rsidRPr="00876A53">
        <w:rPr>
          <w:rFonts w:ascii="Arial Bold" w:eastAsia="Times New Roman" w:hAnsi="Arial Bold" w:cs="Arial"/>
          <w:b/>
          <w:smallCaps/>
        </w:rPr>
        <w:t>On Behalf of the Energy Professionals of Ohio</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Stephanie M. Chmiel (0087555)</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Thompson Hine LLP</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41 S. High Street, Suite 1700</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Columbus, Ohio  43215</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Stephanie.Chmiel@ThompsonHine.com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b/>
          <w:smallCaps/>
        </w:rPr>
        <w:t>On Behalf of Border Energy Electric Services, Inc</w:t>
      </w:r>
      <w:r w:rsidRPr="00876A53">
        <w:rPr>
          <w:rFonts w:eastAsia="Times New Roman" w:cs="Arial"/>
        </w:rPr>
        <w:t>.</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Gregory J. Poulos (0070532)</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EnerNOC, Inc.</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471 E. Broad Street, Suite 1520</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Columbus, Ohio  43215</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gpoulos@enernoc.com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b/>
          <w:smallCaps/>
        </w:rPr>
      </w:pPr>
      <w:r w:rsidRPr="00876A53">
        <w:rPr>
          <w:rFonts w:eastAsia="Times New Roman" w:cs="Arial"/>
          <w:b/>
          <w:smallCaps/>
        </w:rPr>
        <w:t>On Behalf of EnerNOC, Inc.</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J. Thomas Siwo (0088069)</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Bricker &amp; Eckler LLP</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100 South Third Street</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Columbus, Ohio  43215-4291</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tsiwo@bricker.com</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b/>
          <w:smallCaps/>
        </w:rPr>
      </w:pPr>
      <w:r w:rsidRPr="00876A53">
        <w:rPr>
          <w:rFonts w:eastAsia="Times New Roman" w:cs="Arial"/>
          <w:b/>
          <w:smallCaps/>
        </w:rPr>
        <w:t>On Behalf of Paulding Wind Farm II LLC</w:t>
      </w:r>
    </w:p>
    <w:p w:rsidR="00432798" w:rsidRPr="00876A53" w:rsidRDefault="00432798" w:rsidP="00DA67E3">
      <w:pPr>
        <w:tabs>
          <w:tab w:val="left" w:pos="4680"/>
        </w:tabs>
        <w:spacing w:line="240" w:lineRule="auto"/>
        <w:ind w:firstLine="0"/>
        <w:jc w:val="left"/>
        <w:rPr>
          <w:rFonts w:eastAsia="Times New Roman" w:cs="Arial"/>
        </w:rPr>
      </w:pP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br w:type="column"/>
      </w:r>
      <w:r w:rsidRPr="00876A53">
        <w:rPr>
          <w:rFonts w:eastAsia="Times New Roman" w:cs="Arial"/>
        </w:rPr>
        <w:lastRenderedPageBreak/>
        <w:t>Sarah Parrot (0082197)</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 xml:space="preserve">Greta See </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Attorney Examiner</w:t>
      </w:r>
      <w:r w:rsidR="002521D1" w:rsidRPr="00876A53">
        <w:rPr>
          <w:rFonts w:eastAsia="Times New Roman" w:cs="Arial"/>
        </w:rPr>
        <w:t>s</w:t>
      </w:r>
    </w:p>
    <w:p w:rsidR="00432798" w:rsidRPr="00876A53" w:rsidRDefault="00432798" w:rsidP="00DA67E3">
      <w:pPr>
        <w:tabs>
          <w:tab w:val="left" w:pos="4680"/>
        </w:tabs>
        <w:spacing w:line="240" w:lineRule="auto"/>
        <w:ind w:firstLine="0"/>
        <w:jc w:val="left"/>
        <w:rPr>
          <w:rFonts w:eastAsia="Times New Roman" w:cs="Arial"/>
          <w:smallCaps/>
        </w:rPr>
      </w:pPr>
      <w:r w:rsidRPr="00876A53">
        <w:rPr>
          <w:rFonts w:eastAsia="Times New Roman" w:cs="Arial"/>
          <w:smallCaps/>
        </w:rPr>
        <w:t>Public Utilities Commission of Ohio</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180 East Broad Street, 12</w:t>
      </w:r>
      <w:r w:rsidRPr="00876A53">
        <w:rPr>
          <w:rFonts w:eastAsia="Times New Roman" w:cs="Arial"/>
          <w:vertAlign w:val="superscript"/>
        </w:rPr>
        <w:t>th</w:t>
      </w:r>
      <w:r w:rsidRPr="00876A53">
        <w:rPr>
          <w:rFonts w:eastAsia="Times New Roman" w:cs="Arial"/>
        </w:rPr>
        <w:t xml:space="preserve"> Floor</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Columbus, OH  43215</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sarah.parrot@puc.state.oh.us</w:t>
      </w:r>
    </w:p>
    <w:p w:rsidR="00432798" w:rsidRPr="00876A53" w:rsidRDefault="00432798" w:rsidP="00DA67E3">
      <w:pPr>
        <w:tabs>
          <w:tab w:val="left" w:pos="4680"/>
        </w:tabs>
        <w:spacing w:line="240" w:lineRule="auto"/>
        <w:ind w:firstLine="0"/>
        <w:jc w:val="left"/>
        <w:rPr>
          <w:rFonts w:eastAsia="Times New Roman" w:cs="Arial"/>
        </w:rPr>
      </w:pPr>
      <w:r w:rsidRPr="00876A53">
        <w:rPr>
          <w:rFonts w:eastAsia="Times New Roman" w:cs="Arial"/>
        </w:rPr>
        <w:t>Greta.See@puc.state.oh.us</w:t>
      </w:r>
    </w:p>
    <w:p w:rsidR="00432798" w:rsidRPr="00876A53" w:rsidRDefault="00432798" w:rsidP="00DA67E3">
      <w:pPr>
        <w:tabs>
          <w:tab w:val="left" w:pos="4680"/>
        </w:tabs>
        <w:spacing w:line="240" w:lineRule="auto"/>
        <w:ind w:firstLine="0"/>
        <w:jc w:val="left"/>
        <w:rPr>
          <w:rFonts w:eastAsia="Times New Roman" w:cs="Arial"/>
        </w:rPr>
      </w:pPr>
    </w:p>
    <w:p w:rsidR="00432798" w:rsidRPr="00072B32" w:rsidRDefault="00432798" w:rsidP="00DA67E3">
      <w:pPr>
        <w:tabs>
          <w:tab w:val="left" w:pos="2160"/>
          <w:tab w:val="left" w:pos="2280"/>
        </w:tabs>
        <w:spacing w:line="240" w:lineRule="auto"/>
        <w:ind w:firstLine="0"/>
        <w:jc w:val="left"/>
        <w:rPr>
          <w:rFonts w:ascii="Arial Bold" w:eastAsia="Times New Roman" w:hAnsi="Arial Bold" w:cs="Arial"/>
          <w:b/>
          <w:smallCaps/>
        </w:rPr>
      </w:pPr>
      <w:r w:rsidRPr="00876A53">
        <w:rPr>
          <w:rFonts w:eastAsia="Times New Roman" w:cs="Arial"/>
          <w:b/>
          <w:smallCaps/>
        </w:rPr>
        <w:t>Attorney Examiner</w:t>
      </w:r>
    </w:p>
    <w:p w:rsidR="00432798" w:rsidRPr="0095700A" w:rsidRDefault="00432798" w:rsidP="00DA67E3">
      <w:pPr>
        <w:spacing w:line="240" w:lineRule="auto"/>
        <w:ind w:firstLine="0"/>
        <w:jc w:val="left"/>
        <w:rPr>
          <w:rFonts w:eastAsia="Times New Roman" w:cs="Arial"/>
        </w:rPr>
      </w:pPr>
    </w:p>
    <w:p w:rsidR="00432798" w:rsidRPr="00876A53" w:rsidRDefault="00432798" w:rsidP="00DA67E3">
      <w:pPr>
        <w:spacing w:line="240" w:lineRule="auto"/>
        <w:ind w:firstLine="0"/>
        <w:jc w:val="left"/>
        <w:rPr>
          <w:rFonts w:eastAsia="Times New Roman" w:cs="Arial"/>
        </w:rPr>
      </w:pPr>
    </w:p>
    <w:p w:rsidR="00432798" w:rsidRPr="00876A53" w:rsidRDefault="00432798" w:rsidP="00DA67E3">
      <w:pPr>
        <w:spacing w:line="240" w:lineRule="auto"/>
        <w:ind w:firstLine="0"/>
        <w:jc w:val="left"/>
        <w:rPr>
          <w:rFonts w:eastAsia="Times New Roman" w:cs="Arial"/>
        </w:rPr>
      </w:pPr>
    </w:p>
    <w:p w:rsidR="008E3BF4" w:rsidRPr="00876A53" w:rsidRDefault="008E3BF4" w:rsidP="00DA67E3">
      <w:pPr>
        <w:spacing w:line="240" w:lineRule="auto"/>
        <w:ind w:firstLine="0"/>
      </w:pPr>
    </w:p>
    <w:sectPr w:rsidR="008E3BF4" w:rsidRPr="00876A53" w:rsidSect="00053F2C">
      <w:headerReference w:type="default" r:id="rId46"/>
      <w:footerReference w:type="default" r:id="rId47"/>
      <w:headerReference w:type="first" r:id="rId48"/>
      <w:footerReference w:type="first" r:id="rId49"/>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B32" w:rsidRDefault="00072B32" w:rsidP="00432798">
      <w:pPr>
        <w:spacing w:line="240" w:lineRule="auto"/>
      </w:pPr>
      <w:r>
        <w:separator/>
      </w:r>
    </w:p>
  </w:endnote>
  <w:endnote w:type="continuationSeparator" w:id="0">
    <w:p w:rsidR="00072B32" w:rsidRDefault="00072B32" w:rsidP="004327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0A" w:rsidRDefault="0095700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6F2FDB" w:rsidRDefault="002D40B2">
    <w:pPr>
      <w:pStyle w:val="Footer"/>
    </w:pPr>
    <w:r w:rsidRPr="002D40B2">
      <w:rPr>
        <w:noProof/>
        <w:sz w:val="16"/>
      </w:rPr>
      <w:t>{C44177:5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6F2FDB" w:rsidRDefault="002D40B2">
    <w:pPr>
      <w:pStyle w:val="Footer"/>
    </w:pPr>
    <w:r w:rsidRPr="002D40B2">
      <w:rPr>
        <w:noProof/>
        <w:sz w:val="16"/>
      </w:rPr>
      <w:t>{C44177:5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6F2FDB" w:rsidRDefault="002D40B2">
    <w:pPr>
      <w:pStyle w:val="Footer"/>
    </w:pPr>
    <w:r w:rsidRPr="002D40B2">
      <w:rPr>
        <w:noProof/>
        <w:sz w:val="16"/>
      </w:rPr>
      <w:t>{C44177:5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6F2FDB" w:rsidRDefault="002D40B2">
    <w:pPr>
      <w:pStyle w:val="Footer"/>
    </w:pPr>
    <w:r w:rsidRPr="002D40B2">
      <w:rPr>
        <w:noProof/>
        <w:sz w:val="16"/>
      </w:rPr>
      <w:t>{C44177:5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6F2FDB" w:rsidRDefault="002D40B2">
    <w:pPr>
      <w:pStyle w:val="Footer"/>
    </w:pPr>
    <w:r w:rsidRPr="002D40B2">
      <w:rPr>
        <w:noProof/>
        <w:sz w:val="16"/>
      </w:rPr>
      <w:t>{C44177:5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6F2FDB" w:rsidRDefault="002D40B2">
    <w:pPr>
      <w:pStyle w:val="Footer"/>
    </w:pPr>
    <w:r w:rsidRPr="002D40B2">
      <w:rPr>
        <w:noProof/>
        <w:sz w:val="16"/>
      </w:rPr>
      <w:t>{C44177:5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6F2FDB" w:rsidRDefault="002D40B2">
    <w:pPr>
      <w:pStyle w:val="Footer"/>
    </w:pPr>
    <w:r w:rsidRPr="002D40B2">
      <w:rPr>
        <w:noProof/>
        <w:sz w:val="16"/>
      </w:rPr>
      <w:t>{C44177:5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6F2FDB" w:rsidRDefault="002D40B2">
    <w:pPr>
      <w:pStyle w:val="Footer"/>
    </w:pPr>
    <w:r w:rsidRPr="002D40B2">
      <w:rPr>
        <w:noProof/>
        <w:sz w:val="16"/>
      </w:rPr>
      <w:t>{C44177:5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6F2FDB" w:rsidRDefault="002D40B2">
    <w:pPr>
      <w:pStyle w:val="Footer"/>
    </w:pPr>
    <w:r w:rsidRPr="002D40B2">
      <w:rPr>
        <w:noProof/>
        <w:sz w:val="16"/>
      </w:rPr>
      <w:t>{C44177:5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4C134D" w:rsidRDefault="002D40B2" w:rsidP="009A4C1E">
    <w:pPr>
      <w:pStyle w:val="Footer"/>
      <w:ind w:firstLine="0"/>
    </w:pPr>
    <w:r w:rsidRPr="002D40B2">
      <w:rPr>
        <w:noProof/>
        <w:sz w:val="16"/>
      </w:rPr>
      <w:t>{C44177:5 }</w:t>
    </w:r>
    <w:sdt>
      <w:sdtPr>
        <w:id w:val="1350220351"/>
        <w:docPartObj>
          <w:docPartGallery w:val="Page Numbers (Bottom of Page)"/>
          <w:docPartUnique/>
        </w:docPartObj>
      </w:sdtPr>
      <w:sdtEndPr>
        <w:rPr>
          <w:noProof/>
        </w:rPr>
      </w:sdtEndPr>
      <w:sdtContent>
        <w:r w:rsidR="00072B32">
          <w:tab/>
        </w:r>
        <w:r w:rsidR="00072B32" w:rsidRPr="004C134D">
          <w:fldChar w:fldCharType="begin"/>
        </w:r>
        <w:r w:rsidR="00072B32" w:rsidRPr="004C134D">
          <w:instrText xml:space="preserve"> PAGE   \* MERGEFORMAT </w:instrText>
        </w:r>
        <w:r w:rsidR="00072B32" w:rsidRPr="004C134D">
          <w:fldChar w:fldCharType="separate"/>
        </w:r>
        <w:r w:rsidR="00072B32">
          <w:rPr>
            <w:noProof/>
          </w:rPr>
          <w:t>68</w:t>
        </w:r>
        <w:r w:rsidR="00072B32" w:rsidRPr="004C134D">
          <w:rPr>
            <w:noProof/>
          </w:rPr>
          <w:fldChar w:fldCharType="end"/>
        </w:r>
      </w:sdtContent>
    </w:sdt>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6F2FDB" w:rsidRDefault="002D40B2">
    <w:pPr>
      <w:pStyle w:val="Footer"/>
    </w:pPr>
    <w:r w:rsidRPr="002D40B2">
      <w:rPr>
        <w:noProof/>
        <w:sz w:val="16"/>
      </w:rPr>
      <w:t>{C44177:5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4A225A" w:rsidRDefault="002D40B2" w:rsidP="00053F2C">
    <w:pPr>
      <w:pStyle w:val="Footer"/>
      <w:ind w:firstLine="0"/>
    </w:pPr>
    <w:r w:rsidRPr="002D40B2">
      <w:rPr>
        <w:noProof/>
        <w:sz w:val="16"/>
      </w:rPr>
      <w:t>{C44177:5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4C134D" w:rsidRDefault="002D40B2" w:rsidP="009A4C1E">
    <w:pPr>
      <w:pStyle w:val="Footer"/>
      <w:ind w:firstLine="0"/>
    </w:pPr>
    <w:r w:rsidRPr="002D40B2">
      <w:rPr>
        <w:noProof/>
        <w:sz w:val="16"/>
      </w:rPr>
      <w:t>{C44177:5 }</w:t>
    </w:r>
    <w:sdt>
      <w:sdtPr>
        <w:id w:val="-1702003762"/>
        <w:docPartObj>
          <w:docPartGallery w:val="Page Numbers (Bottom of Page)"/>
          <w:docPartUnique/>
        </w:docPartObj>
      </w:sdtPr>
      <w:sdtEndPr>
        <w:rPr>
          <w:noProof/>
        </w:rPr>
      </w:sdtEndPr>
      <w:sdtContent>
        <w:r w:rsidR="00072B32">
          <w:tab/>
        </w:r>
        <w:r w:rsidR="00072B32" w:rsidRPr="004C134D">
          <w:fldChar w:fldCharType="begin"/>
        </w:r>
        <w:r w:rsidR="00072B32" w:rsidRPr="004C134D">
          <w:instrText xml:space="preserve"> PAGE   \* MERGEFORMAT </w:instrText>
        </w:r>
        <w:r w:rsidR="00072B32" w:rsidRPr="004C134D">
          <w:fldChar w:fldCharType="separate"/>
        </w:r>
        <w:r>
          <w:rPr>
            <w:noProof/>
          </w:rPr>
          <w:t>iii</w:t>
        </w:r>
        <w:r w:rsidR="00072B32" w:rsidRPr="004C134D">
          <w:rPr>
            <w:noProof/>
          </w:rPr>
          <w:fldChar w:fldCharType="end"/>
        </w: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4A225A" w:rsidRDefault="00072B32" w:rsidP="00053F2C">
    <w:pPr>
      <w:pStyle w:val="Footer"/>
      <w:ind w:firstLine="0"/>
    </w:pPr>
    <w:r w:rsidRPr="00A031C1">
      <w:rPr>
        <w:noProof/>
        <w:sz w:val="16"/>
      </w:rPr>
      <w:t>{C44177:4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4C134D" w:rsidRDefault="002D40B2" w:rsidP="009A4C1E">
    <w:pPr>
      <w:pStyle w:val="Footer"/>
      <w:ind w:firstLine="0"/>
    </w:pPr>
    <w:r w:rsidRPr="002D40B2">
      <w:rPr>
        <w:noProof/>
        <w:sz w:val="16"/>
      </w:rPr>
      <w:t>{C44177:5 }</w:t>
    </w:r>
    <w:sdt>
      <w:sdtPr>
        <w:id w:val="-62730382"/>
        <w:docPartObj>
          <w:docPartGallery w:val="Page Numbers (Bottom of Page)"/>
          <w:docPartUnique/>
        </w:docPartObj>
      </w:sdtPr>
      <w:sdtEndPr>
        <w:rPr>
          <w:noProof/>
        </w:rPr>
      </w:sdtEndPr>
      <w:sdtContent>
        <w:r w:rsidR="00072B32">
          <w:tab/>
        </w:r>
        <w:r w:rsidR="00072B32" w:rsidRPr="004C134D">
          <w:fldChar w:fldCharType="begin"/>
        </w:r>
        <w:r w:rsidR="00072B32" w:rsidRPr="004C134D">
          <w:instrText xml:space="preserve"> PAGE   \* MERGEFORMAT </w:instrText>
        </w:r>
        <w:r w:rsidR="00072B32" w:rsidRPr="004C134D">
          <w:fldChar w:fldCharType="separate"/>
        </w:r>
        <w:r>
          <w:rPr>
            <w:noProof/>
          </w:rPr>
          <w:t>21</w:t>
        </w:r>
        <w:r w:rsidR="00072B32" w:rsidRPr="004C134D">
          <w:rPr>
            <w:noProof/>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4A225A" w:rsidRDefault="002D40B2" w:rsidP="00053F2C">
    <w:pPr>
      <w:pStyle w:val="Footer"/>
      <w:ind w:firstLine="0"/>
    </w:pPr>
    <w:r w:rsidRPr="002D40B2">
      <w:rPr>
        <w:noProof/>
        <w:sz w:val="16"/>
      </w:rPr>
      <w:t>{C44177:5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4C134D" w:rsidRDefault="002D40B2" w:rsidP="00F632CA">
    <w:pPr>
      <w:pStyle w:val="Footer"/>
      <w:ind w:firstLine="0"/>
    </w:pPr>
    <w:r w:rsidRPr="002D40B2">
      <w:rPr>
        <w:noProof/>
        <w:sz w:val="16"/>
      </w:rPr>
      <w:t>{C44177:5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8C3388" w:rsidRDefault="002D40B2">
    <w:pPr>
      <w:pStyle w:val="Footer"/>
      <w:rPr>
        <w:rFonts w:cs="Arial"/>
      </w:rPr>
    </w:pPr>
    <w:r w:rsidRPr="002D40B2">
      <w:rPr>
        <w:rFonts w:cs="Arial"/>
        <w:noProof/>
        <w:sz w:val="16"/>
      </w:rPr>
      <w:t>{C44177:5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B32" w:rsidRDefault="00072B32" w:rsidP="00432798">
      <w:pPr>
        <w:spacing w:line="240" w:lineRule="auto"/>
        <w:rPr>
          <w:noProof/>
        </w:rPr>
      </w:pPr>
      <w:r>
        <w:rPr>
          <w:noProof/>
        </w:rPr>
        <w:separator/>
      </w:r>
    </w:p>
  </w:footnote>
  <w:footnote w:type="continuationSeparator" w:id="0">
    <w:p w:rsidR="00072B32" w:rsidRDefault="00072B32" w:rsidP="00432798">
      <w:pPr>
        <w:spacing w:line="240" w:lineRule="auto"/>
      </w:pPr>
      <w:r>
        <w:continuationSeparator/>
      </w:r>
    </w:p>
  </w:footnote>
  <w:footnote w:id="1">
    <w:p w:rsidR="00072B32" w:rsidRDefault="00072B32" w:rsidP="00C15B0D">
      <w:pPr>
        <w:pStyle w:val="FootnoteText"/>
        <w:spacing w:after="120"/>
        <w:ind w:firstLine="0"/>
      </w:pPr>
      <w:r>
        <w:rPr>
          <w:rStyle w:val="FootnoteReference"/>
        </w:rPr>
        <w:footnoteRef/>
      </w:r>
      <w:r>
        <w:t xml:space="preserve"> AEP-Ohio Ex. 1 at 2.  AEP-Ohio also seeks authority to terminate the ESP one year early unilaterally. </w:t>
      </w:r>
      <w:r w:rsidRPr="0065358A">
        <w:rPr>
          <w:i/>
        </w:rPr>
        <w:t xml:space="preserve"> Id.</w:t>
      </w:r>
      <w:r>
        <w:t xml:space="preserve"> at 15.</w:t>
      </w:r>
    </w:p>
  </w:footnote>
  <w:footnote w:id="2">
    <w:p w:rsidR="00072B32" w:rsidRDefault="00072B32" w:rsidP="00C15B0D">
      <w:pPr>
        <w:pStyle w:val="FootnoteText"/>
        <w:spacing w:after="120"/>
        <w:ind w:firstLine="0"/>
      </w:pPr>
      <w:r>
        <w:rPr>
          <w:rStyle w:val="FootnoteReference"/>
        </w:rPr>
        <w:footnoteRef/>
      </w:r>
      <w:r w:rsidRPr="0065358A">
        <w:rPr>
          <w:i/>
        </w:rPr>
        <w:t xml:space="preserve"> Id.</w:t>
      </w:r>
      <w:r>
        <w:t xml:space="preserve"> at 7-8.</w:t>
      </w:r>
    </w:p>
  </w:footnote>
  <w:footnote w:id="3">
    <w:p w:rsidR="00072B32" w:rsidRDefault="00072B32" w:rsidP="00C15B0D">
      <w:pPr>
        <w:pStyle w:val="FootnoteText"/>
        <w:spacing w:after="120"/>
        <w:ind w:firstLine="0"/>
      </w:pPr>
      <w:r>
        <w:rPr>
          <w:rStyle w:val="FootnoteReference"/>
        </w:rPr>
        <w:footnoteRef/>
      </w:r>
      <w:r w:rsidRPr="0065358A">
        <w:rPr>
          <w:i/>
        </w:rPr>
        <w:t xml:space="preserve"> Id.</w:t>
      </w:r>
      <w:r>
        <w:t xml:space="preserve"> at 8-9.</w:t>
      </w:r>
    </w:p>
  </w:footnote>
  <w:footnote w:id="4">
    <w:p w:rsidR="00072B32" w:rsidRDefault="00072B32" w:rsidP="00DA67E3">
      <w:pPr>
        <w:pStyle w:val="FootnoteText"/>
        <w:spacing w:after="120"/>
        <w:ind w:firstLine="0"/>
      </w:pPr>
      <w:r>
        <w:rPr>
          <w:rStyle w:val="FootnoteReference"/>
        </w:rPr>
        <w:footnoteRef/>
      </w:r>
      <w:r w:rsidRPr="0065358A">
        <w:rPr>
          <w:i/>
        </w:rPr>
        <w:t xml:space="preserve"> Id.</w:t>
      </w:r>
      <w:r>
        <w:t xml:space="preserve"> at 12-13.</w:t>
      </w:r>
    </w:p>
  </w:footnote>
  <w:footnote w:id="5">
    <w:p w:rsidR="00072B32" w:rsidRDefault="00072B32" w:rsidP="00C15B0D">
      <w:pPr>
        <w:pStyle w:val="FootnoteText"/>
        <w:spacing w:after="120"/>
        <w:ind w:firstLine="0"/>
      </w:pPr>
      <w:r>
        <w:rPr>
          <w:rStyle w:val="FootnoteReference"/>
        </w:rPr>
        <w:footnoteRef/>
      </w:r>
      <w:r w:rsidRPr="0065358A">
        <w:rPr>
          <w:i/>
        </w:rPr>
        <w:t xml:space="preserve"> Id.</w:t>
      </w:r>
      <w:r>
        <w:t xml:space="preserve"> at 14.  As appropriate, the POR program refers to the combination of the POR and BDR proposed by AEP-Ohio.</w:t>
      </w:r>
    </w:p>
  </w:footnote>
  <w:footnote w:id="6">
    <w:p w:rsidR="00072B32" w:rsidRDefault="00072B32" w:rsidP="00C15B0D">
      <w:pPr>
        <w:pStyle w:val="FootnoteText"/>
        <w:spacing w:after="120"/>
        <w:ind w:firstLine="0"/>
      </w:pPr>
      <w:r>
        <w:rPr>
          <w:rStyle w:val="FootnoteReference"/>
        </w:rPr>
        <w:footnoteRef/>
      </w:r>
      <w:r w:rsidRPr="0065358A">
        <w:rPr>
          <w:i/>
        </w:rPr>
        <w:t xml:space="preserve"> Id.</w:t>
      </w:r>
      <w:r>
        <w:t xml:space="preserve"> at 2.</w:t>
      </w:r>
    </w:p>
  </w:footnote>
  <w:footnote w:id="7">
    <w:p w:rsidR="00072B32" w:rsidRDefault="00072B32" w:rsidP="00C15B0D">
      <w:pPr>
        <w:pStyle w:val="FootnoteText"/>
        <w:spacing w:after="120"/>
        <w:ind w:firstLine="0"/>
      </w:pPr>
      <w:r>
        <w:rPr>
          <w:rStyle w:val="FootnoteReference"/>
        </w:rPr>
        <w:footnoteRef/>
      </w:r>
      <w:r>
        <w:t xml:space="preserve"> AEP-Ohio Ex. 7 at 3-5.</w:t>
      </w:r>
    </w:p>
  </w:footnote>
  <w:footnote w:id="8">
    <w:p w:rsidR="00072B32" w:rsidRDefault="00072B32" w:rsidP="00C15B0D">
      <w:pPr>
        <w:pStyle w:val="FootnoteText"/>
        <w:spacing w:after="120"/>
        <w:ind w:firstLine="0"/>
      </w:pPr>
      <w:r>
        <w:rPr>
          <w:rStyle w:val="FootnoteReference"/>
        </w:rPr>
        <w:footnoteRef/>
      </w:r>
      <w:r>
        <w:t xml:space="preserve"> AEP-Ohio Ex. 1 at 8-9.</w:t>
      </w:r>
    </w:p>
  </w:footnote>
  <w:footnote w:id="9">
    <w:p w:rsidR="00072B32" w:rsidRDefault="00072B32" w:rsidP="00C15B0D">
      <w:pPr>
        <w:pStyle w:val="FootnoteText"/>
        <w:spacing w:after="120"/>
        <w:ind w:firstLine="0"/>
      </w:pPr>
      <w:r>
        <w:rPr>
          <w:rStyle w:val="FootnoteReference"/>
        </w:rPr>
        <w:footnoteRef/>
      </w:r>
      <w:r>
        <w:t xml:space="preserve"> Tr. Vol. I at 109-10.</w:t>
      </w:r>
    </w:p>
  </w:footnote>
  <w:footnote w:id="10">
    <w:p w:rsidR="00072B32" w:rsidRDefault="00072B32" w:rsidP="00C15B0D">
      <w:pPr>
        <w:pStyle w:val="FootnoteText"/>
        <w:spacing w:after="120"/>
        <w:ind w:firstLine="0"/>
      </w:pPr>
      <w:r>
        <w:rPr>
          <w:rStyle w:val="FootnoteReference"/>
        </w:rPr>
        <w:footnoteRef/>
      </w:r>
      <w:r>
        <w:t xml:space="preserve"> AEP-Ohio Ex. 7 at Ex. WAA-1.</w:t>
      </w:r>
    </w:p>
  </w:footnote>
  <w:footnote w:id="11">
    <w:p w:rsidR="00072B32" w:rsidRDefault="00072B32" w:rsidP="00C15B0D">
      <w:pPr>
        <w:pStyle w:val="FootnoteText"/>
        <w:spacing w:after="120"/>
        <w:ind w:firstLine="0"/>
      </w:pPr>
      <w:r>
        <w:rPr>
          <w:rStyle w:val="FootnoteReference"/>
        </w:rPr>
        <w:footnoteRef/>
      </w:r>
      <w:r>
        <w:t xml:space="preserve"> </w:t>
      </w:r>
      <w:r w:rsidRPr="006B7FA0">
        <w:rPr>
          <w:i/>
        </w:rPr>
        <w:t>Id</w:t>
      </w:r>
      <w:r>
        <w:t>. at 11.</w:t>
      </w:r>
    </w:p>
  </w:footnote>
  <w:footnote w:id="12">
    <w:p w:rsidR="00072B32" w:rsidRDefault="00072B32" w:rsidP="00C15B0D">
      <w:pPr>
        <w:pStyle w:val="FootnoteText"/>
        <w:spacing w:after="120"/>
        <w:ind w:firstLine="0"/>
      </w:pPr>
      <w:r>
        <w:rPr>
          <w:rStyle w:val="FootnoteReference"/>
        </w:rPr>
        <w:footnoteRef/>
      </w:r>
      <w:r>
        <w:t xml:space="preserve"> AEP-Ohio Ex. 13 at Ex. AEM-1 and AEP-Ohio Ex. 18 at 5.</w:t>
      </w:r>
    </w:p>
  </w:footnote>
  <w:footnote w:id="13">
    <w:p w:rsidR="00072B32" w:rsidRDefault="00072B32" w:rsidP="00C15B0D">
      <w:pPr>
        <w:pStyle w:val="FootnoteText"/>
        <w:spacing w:after="120"/>
        <w:ind w:firstLine="0"/>
      </w:pPr>
      <w:r>
        <w:rPr>
          <w:rStyle w:val="FootnoteReference"/>
        </w:rPr>
        <w:footnoteRef/>
      </w:r>
      <w:r>
        <w:t xml:space="preserve"> AEP-Ohio Ex. 7 at 8-9.</w:t>
      </w:r>
    </w:p>
  </w:footnote>
  <w:footnote w:id="14">
    <w:p w:rsidR="00072B32" w:rsidRDefault="00072B32" w:rsidP="00C15B0D">
      <w:pPr>
        <w:pStyle w:val="FootnoteText"/>
        <w:spacing w:after="120"/>
        <w:ind w:firstLine="0"/>
      </w:pPr>
      <w:r>
        <w:rPr>
          <w:rStyle w:val="FootnoteReference"/>
        </w:rPr>
        <w:footnoteRef/>
      </w:r>
      <w:r>
        <w:t xml:space="preserve"> IEU-Ohio Ex 1B at KMM-2, pages 7-11.</w:t>
      </w:r>
    </w:p>
  </w:footnote>
  <w:footnote w:id="15">
    <w:p w:rsidR="00072B32" w:rsidRDefault="00072B32" w:rsidP="00C15B0D">
      <w:pPr>
        <w:pStyle w:val="FootnoteText"/>
        <w:spacing w:after="120"/>
        <w:ind w:firstLine="0"/>
      </w:pPr>
      <w:r>
        <w:rPr>
          <w:rStyle w:val="FootnoteReference"/>
        </w:rPr>
        <w:footnoteRef/>
      </w:r>
      <w:r w:rsidRPr="0065358A">
        <w:rPr>
          <w:i/>
        </w:rPr>
        <w:t xml:space="preserve"> Id.</w:t>
      </w:r>
      <w:r>
        <w:t xml:space="preserve"> at KMM-2, pages 12-13.</w:t>
      </w:r>
    </w:p>
  </w:footnote>
  <w:footnote w:id="16">
    <w:p w:rsidR="00072B32" w:rsidRDefault="00072B32" w:rsidP="00C15B0D">
      <w:pPr>
        <w:pStyle w:val="FootnoteText"/>
        <w:spacing w:after="120"/>
        <w:ind w:firstLine="0"/>
      </w:pPr>
      <w:r>
        <w:rPr>
          <w:rStyle w:val="FootnoteReference"/>
        </w:rPr>
        <w:footnoteRef/>
      </w:r>
      <w:r w:rsidRPr="0065358A">
        <w:rPr>
          <w:i/>
        </w:rPr>
        <w:t xml:space="preserve"> Id.</w:t>
      </w:r>
      <w:r>
        <w:t xml:space="preserve"> at KMM-2, page 14.</w:t>
      </w:r>
    </w:p>
  </w:footnote>
  <w:footnote w:id="17">
    <w:p w:rsidR="00072B32" w:rsidRDefault="00072B32" w:rsidP="00C15B0D">
      <w:pPr>
        <w:pStyle w:val="FootnoteText"/>
        <w:spacing w:after="120"/>
        <w:ind w:firstLine="0"/>
      </w:pPr>
      <w:r>
        <w:rPr>
          <w:rStyle w:val="FootnoteReference"/>
        </w:rPr>
        <w:footnoteRef/>
      </w:r>
      <w:r w:rsidRPr="0065358A">
        <w:rPr>
          <w:i/>
        </w:rPr>
        <w:t xml:space="preserve"> Id.</w:t>
      </w:r>
      <w:r>
        <w:t xml:space="preserve"> at KMM-3, page 2.</w:t>
      </w:r>
    </w:p>
  </w:footnote>
  <w:footnote w:id="18">
    <w:p w:rsidR="00072B32" w:rsidRDefault="00072B32" w:rsidP="00C15B0D">
      <w:pPr>
        <w:pStyle w:val="FootnoteText"/>
        <w:spacing w:after="120"/>
        <w:ind w:firstLine="0"/>
      </w:pPr>
      <w:r>
        <w:rPr>
          <w:rStyle w:val="FootnoteReference"/>
        </w:rPr>
        <w:footnoteRef/>
      </w:r>
      <w:r w:rsidRPr="0065358A">
        <w:rPr>
          <w:i/>
        </w:rPr>
        <w:t xml:space="preserve"> Id.</w:t>
      </w:r>
    </w:p>
  </w:footnote>
  <w:footnote w:id="19">
    <w:p w:rsidR="00072B32" w:rsidRDefault="00072B32" w:rsidP="00C15B0D">
      <w:pPr>
        <w:pStyle w:val="FootnoteText"/>
        <w:spacing w:after="120"/>
        <w:ind w:firstLine="0"/>
      </w:pPr>
      <w:r>
        <w:rPr>
          <w:rStyle w:val="FootnoteReference"/>
        </w:rPr>
        <w:footnoteRef/>
      </w:r>
      <w:r>
        <w:t xml:space="preserve"> </w:t>
      </w:r>
      <w:r w:rsidRPr="00111083">
        <w:rPr>
          <w:i/>
        </w:rPr>
        <w:t>In the Matter of the Application of Ohio Power Company for Approval of an Amendment to its Corporate Separation Plan</w:t>
      </w:r>
      <w:r>
        <w:t>, Case No. 12-1126-EL-UNC, Finding and Order at 5 &amp; 24-25 (Oct. 17, 2012) (“</w:t>
      </w:r>
      <w:r w:rsidRPr="008F5507">
        <w:rPr>
          <w:i/>
        </w:rPr>
        <w:t>Corporate Separation Case</w:t>
      </w:r>
      <w:r>
        <w:t>”).</w:t>
      </w:r>
    </w:p>
  </w:footnote>
  <w:footnote w:id="20">
    <w:p w:rsidR="00072B32" w:rsidRDefault="00072B32" w:rsidP="00C15B0D">
      <w:pPr>
        <w:pStyle w:val="FootnoteText"/>
        <w:spacing w:after="120"/>
        <w:ind w:firstLine="0"/>
      </w:pPr>
      <w:r>
        <w:rPr>
          <w:rStyle w:val="FootnoteReference"/>
        </w:rPr>
        <w:footnoteRef/>
      </w:r>
      <w:r>
        <w:t xml:space="preserve"> AEP-Ohio does not remember which Sponsoring Company or Companies refused to approve the assignment of the OVEC Entitlement to AEP-Ohio’s unregulated generation affiliate.  </w:t>
      </w:r>
      <w:r w:rsidRPr="008B4AE5">
        <w:rPr>
          <w:i/>
        </w:rPr>
        <w:t>See, e.g.,</w:t>
      </w:r>
      <w:r>
        <w:t xml:space="preserve"> Tr. Vol. I at 22-23.</w:t>
      </w:r>
    </w:p>
  </w:footnote>
  <w:footnote w:id="21">
    <w:p w:rsidR="00072B32" w:rsidRDefault="00072B32" w:rsidP="00C15B0D">
      <w:pPr>
        <w:pStyle w:val="FootnoteText"/>
        <w:spacing w:after="120"/>
        <w:ind w:firstLine="0"/>
      </w:pPr>
      <w:r>
        <w:rPr>
          <w:rStyle w:val="FootnoteReference"/>
        </w:rPr>
        <w:footnoteRef/>
      </w:r>
      <w:r>
        <w:t xml:space="preserve"> </w:t>
      </w:r>
      <w:r w:rsidRPr="008B4AE5">
        <w:rPr>
          <w:i/>
        </w:rPr>
        <w:t>Corporate Separation Case</w:t>
      </w:r>
      <w:r>
        <w:t>, Finding and Order at 9 (Dec. 4, 2013).</w:t>
      </w:r>
    </w:p>
  </w:footnote>
  <w:footnote w:id="22">
    <w:p w:rsidR="00072B32" w:rsidRDefault="00072B32" w:rsidP="00C15B0D">
      <w:pPr>
        <w:pStyle w:val="FootnoteText"/>
        <w:spacing w:after="120"/>
        <w:ind w:firstLine="0"/>
      </w:pPr>
      <w:r>
        <w:rPr>
          <w:rStyle w:val="FootnoteReference"/>
        </w:rPr>
        <w:footnoteRef/>
      </w:r>
      <w:r w:rsidRPr="0065358A">
        <w:rPr>
          <w:i/>
        </w:rPr>
        <w:t xml:space="preserve"> Id.</w:t>
      </w:r>
      <w:r>
        <w:t xml:space="preserve"> at 8-9.</w:t>
      </w:r>
    </w:p>
  </w:footnote>
  <w:footnote w:id="23">
    <w:p w:rsidR="00072B32" w:rsidRDefault="00072B32" w:rsidP="00C15B0D">
      <w:pPr>
        <w:pStyle w:val="FootnoteText"/>
        <w:spacing w:after="120"/>
        <w:ind w:firstLine="0"/>
      </w:pPr>
      <w:r>
        <w:rPr>
          <w:rStyle w:val="FootnoteReference"/>
        </w:rPr>
        <w:footnoteRef/>
      </w:r>
      <w:r>
        <w:t xml:space="preserve"> Tr. Vol. I at 115; Tr. Vol. II at 577-78 &amp; 590.</w:t>
      </w:r>
    </w:p>
  </w:footnote>
  <w:footnote w:id="24">
    <w:p w:rsidR="00072B32" w:rsidRDefault="00072B32" w:rsidP="00C15B0D">
      <w:pPr>
        <w:pStyle w:val="FootnoteText"/>
        <w:spacing w:after="120"/>
        <w:ind w:firstLine="0"/>
      </w:pPr>
      <w:r>
        <w:rPr>
          <w:rStyle w:val="FootnoteReference"/>
        </w:rPr>
        <w:footnoteRef/>
      </w:r>
      <w:r>
        <w:t xml:space="preserve"> AEP-Ohio Ex. 7 at 10.</w:t>
      </w:r>
    </w:p>
  </w:footnote>
  <w:footnote w:id="25">
    <w:p w:rsidR="00072B32" w:rsidRDefault="00072B32" w:rsidP="008B4AE5">
      <w:pPr>
        <w:pStyle w:val="FootnoteText"/>
        <w:spacing w:after="120"/>
        <w:ind w:firstLine="0"/>
      </w:pPr>
      <w:r>
        <w:rPr>
          <w:rStyle w:val="FootnoteReference"/>
        </w:rPr>
        <w:footnoteRef/>
      </w:r>
      <w:r>
        <w:t xml:space="preserve"> Tr. Vol. II at 566-67.</w:t>
      </w:r>
    </w:p>
  </w:footnote>
  <w:footnote w:id="26">
    <w:p w:rsidR="00072B32" w:rsidRDefault="00072B32" w:rsidP="00C15B0D">
      <w:pPr>
        <w:pStyle w:val="FootnoteText"/>
        <w:spacing w:after="120"/>
        <w:ind w:firstLine="0"/>
      </w:pPr>
      <w:r>
        <w:rPr>
          <w:rStyle w:val="FootnoteReference"/>
        </w:rPr>
        <w:footnoteRef/>
      </w:r>
      <w:r>
        <w:t xml:space="preserve"> AEP-Ohio Ex. 7 at 10-11; Tr. Vol. II at 566.</w:t>
      </w:r>
    </w:p>
  </w:footnote>
  <w:footnote w:id="27">
    <w:p w:rsidR="00072B32" w:rsidRDefault="00072B32" w:rsidP="00261ACE">
      <w:pPr>
        <w:pStyle w:val="FootnoteText"/>
        <w:spacing w:after="120"/>
        <w:ind w:firstLine="0"/>
      </w:pPr>
      <w:r>
        <w:rPr>
          <w:rStyle w:val="FootnoteReference"/>
        </w:rPr>
        <w:footnoteRef/>
      </w:r>
      <w:r>
        <w:t xml:space="preserve"> AEP-Ohio Ex. 8B.  </w:t>
      </w:r>
    </w:p>
  </w:footnote>
  <w:footnote w:id="28">
    <w:p w:rsidR="00072B32" w:rsidRDefault="00072B32" w:rsidP="00261ACE">
      <w:pPr>
        <w:pStyle w:val="FootnoteText"/>
        <w:spacing w:after="120"/>
        <w:ind w:firstLine="0"/>
      </w:pPr>
      <w:r>
        <w:rPr>
          <w:rStyle w:val="FootnoteReference"/>
        </w:rPr>
        <w:footnoteRef/>
      </w:r>
      <w:r>
        <w:t xml:space="preserve"> Tr. Vol. XIII at 3156.</w:t>
      </w:r>
    </w:p>
  </w:footnote>
  <w:footnote w:id="29">
    <w:p w:rsidR="00072B32" w:rsidRDefault="00072B32" w:rsidP="00C15B0D">
      <w:pPr>
        <w:pStyle w:val="FootnoteText"/>
        <w:spacing w:after="120"/>
        <w:ind w:firstLine="0"/>
      </w:pPr>
      <w:r>
        <w:rPr>
          <w:rStyle w:val="FootnoteReference"/>
        </w:rPr>
        <w:footnoteRef/>
      </w:r>
      <w:r>
        <w:t xml:space="preserve"> Tr. Vol. I at 29-30.</w:t>
      </w:r>
    </w:p>
  </w:footnote>
  <w:footnote w:id="30">
    <w:p w:rsidR="00072B32" w:rsidRDefault="00072B32" w:rsidP="00C15B0D">
      <w:pPr>
        <w:pStyle w:val="FootnoteText"/>
        <w:spacing w:after="120"/>
        <w:ind w:firstLine="0"/>
      </w:pPr>
      <w:r>
        <w:rPr>
          <w:rStyle w:val="FootnoteReference"/>
        </w:rPr>
        <w:footnoteRef/>
      </w:r>
      <w:r>
        <w:t xml:space="preserve"> As Dr. McDermott defined stranded costs, it is the amount of investment that the owner cannot recover through market prices.  Tr. Vol. XIII at 3148-49.  Without the PPAR, AEP-Ohio would not be able to recover the cost related to the OVEC Entitlement in the market if the OVEC costs exceeded the price AEP-Ohio could secure for capacity and energy.  </w:t>
      </w:r>
    </w:p>
  </w:footnote>
  <w:footnote w:id="31">
    <w:p w:rsidR="00072B32" w:rsidRDefault="00072B32" w:rsidP="00EF0233">
      <w:pPr>
        <w:pStyle w:val="FootnoteText"/>
        <w:spacing w:after="120"/>
        <w:ind w:firstLine="0"/>
      </w:pPr>
      <w:r>
        <w:rPr>
          <w:rStyle w:val="FootnoteReference"/>
        </w:rPr>
        <w:footnoteRef/>
      </w:r>
      <w:r>
        <w:t xml:space="preserve"> IEU-Ohio Ex. 1B at Ex. KMM-5.</w:t>
      </w:r>
    </w:p>
  </w:footnote>
  <w:footnote w:id="32">
    <w:p w:rsidR="00072B32" w:rsidRDefault="00072B32" w:rsidP="00C15B0D">
      <w:pPr>
        <w:pStyle w:val="FootnoteText"/>
        <w:spacing w:after="120"/>
        <w:ind w:firstLine="0"/>
      </w:pPr>
      <w:r>
        <w:rPr>
          <w:rStyle w:val="FootnoteReference"/>
        </w:rPr>
        <w:footnoteRef/>
      </w:r>
      <w:r>
        <w:t xml:space="preserve"> IEU-Ohio Ex. 1B at 10-12; OCC Ex. 15A at 10-28. </w:t>
      </w:r>
    </w:p>
  </w:footnote>
  <w:footnote w:id="33">
    <w:p w:rsidR="00072B32" w:rsidRDefault="00072B32" w:rsidP="00C15B0D">
      <w:pPr>
        <w:pStyle w:val="FootnoteText"/>
        <w:spacing w:after="120"/>
        <w:ind w:firstLine="0"/>
      </w:pPr>
      <w:r>
        <w:rPr>
          <w:rStyle w:val="FootnoteReference"/>
        </w:rPr>
        <w:footnoteRef/>
      </w:r>
      <w:r>
        <w:t xml:space="preserve"> </w:t>
      </w:r>
      <w:r w:rsidRPr="006B7FA0">
        <w:rPr>
          <w:i/>
        </w:rPr>
        <w:t>In re Columbus S. Power Co</w:t>
      </w:r>
      <w:r>
        <w:t xml:space="preserve">., 128 Ohio St.3d 512 (2011). </w:t>
      </w:r>
    </w:p>
  </w:footnote>
  <w:footnote w:id="34">
    <w:p w:rsidR="00072B32" w:rsidRDefault="00072B32" w:rsidP="00C15B0D">
      <w:pPr>
        <w:pStyle w:val="FootnoteText"/>
        <w:spacing w:after="120"/>
        <w:ind w:firstLine="0"/>
      </w:pPr>
      <w:r>
        <w:rPr>
          <w:rStyle w:val="FootnoteReference"/>
        </w:rPr>
        <w:footnoteRef/>
      </w:r>
      <w:r>
        <w:t xml:space="preserve"> AEP-Ohio Ex. 1 at 7-8.</w:t>
      </w:r>
    </w:p>
  </w:footnote>
  <w:footnote w:id="35">
    <w:p w:rsidR="00072B32" w:rsidRDefault="00072B32" w:rsidP="00C15B0D">
      <w:pPr>
        <w:pStyle w:val="FootnoteText"/>
        <w:spacing w:after="120"/>
        <w:ind w:firstLine="0"/>
      </w:pPr>
      <w:r>
        <w:rPr>
          <w:rStyle w:val="FootnoteReference"/>
        </w:rPr>
        <w:footnoteRef/>
      </w:r>
      <w:r>
        <w:t xml:space="preserve"> AEP-Ohio Ex. 7 at 10.</w:t>
      </w:r>
    </w:p>
  </w:footnote>
  <w:footnote w:id="36">
    <w:p w:rsidR="00072B32" w:rsidRDefault="00072B32" w:rsidP="00C15B0D">
      <w:pPr>
        <w:pStyle w:val="FootnoteText"/>
        <w:spacing w:after="120"/>
        <w:ind w:firstLine="0"/>
      </w:pPr>
      <w:r>
        <w:rPr>
          <w:rStyle w:val="FootnoteReference"/>
        </w:rPr>
        <w:footnoteRef/>
      </w:r>
      <w:r>
        <w:t xml:space="preserve"> Tr. Vol. XIII at 3289-90.</w:t>
      </w:r>
    </w:p>
  </w:footnote>
  <w:footnote w:id="37">
    <w:p w:rsidR="00072B32" w:rsidRDefault="00072B32" w:rsidP="00C15B0D">
      <w:pPr>
        <w:pStyle w:val="FootnoteText"/>
        <w:spacing w:after="120"/>
        <w:ind w:firstLine="0"/>
      </w:pPr>
      <w:r>
        <w:rPr>
          <w:rStyle w:val="FootnoteReference"/>
        </w:rPr>
        <w:footnoteRef/>
      </w:r>
      <w:r>
        <w:t xml:space="preserve"> AEP-Ohio Ex. 7 at 8-9.</w:t>
      </w:r>
    </w:p>
  </w:footnote>
  <w:footnote w:id="38">
    <w:p w:rsidR="00072B32" w:rsidRDefault="00072B32" w:rsidP="00005373">
      <w:pPr>
        <w:pStyle w:val="FootnoteText"/>
        <w:spacing w:after="120"/>
        <w:ind w:firstLine="0"/>
      </w:pPr>
      <w:r>
        <w:rPr>
          <w:rStyle w:val="FootnoteReference"/>
        </w:rPr>
        <w:footnoteRef/>
      </w:r>
      <w:r>
        <w:t xml:space="preserve"> AEP-Ohio Ex. 7 at 10.</w:t>
      </w:r>
    </w:p>
  </w:footnote>
  <w:footnote w:id="39">
    <w:p w:rsidR="00072B32" w:rsidRDefault="00072B32" w:rsidP="00C15B0D">
      <w:pPr>
        <w:pStyle w:val="FootnoteText"/>
        <w:spacing w:after="120"/>
        <w:ind w:firstLine="0"/>
      </w:pPr>
      <w:r>
        <w:rPr>
          <w:rStyle w:val="FootnoteReference"/>
        </w:rPr>
        <w:footnoteRef/>
      </w:r>
      <w:r>
        <w:t xml:space="preserve"> Tr. Vol. II at 566-67.</w:t>
      </w:r>
    </w:p>
  </w:footnote>
  <w:footnote w:id="40">
    <w:p w:rsidR="00072B32" w:rsidRDefault="00072B32" w:rsidP="008B4AE5">
      <w:pPr>
        <w:pStyle w:val="FootnoteText"/>
        <w:spacing w:after="120"/>
        <w:ind w:firstLine="0"/>
      </w:pPr>
      <w:r>
        <w:rPr>
          <w:rStyle w:val="FootnoteReference"/>
        </w:rPr>
        <w:footnoteRef/>
      </w:r>
      <w:r>
        <w:t xml:space="preserve"> See discussion below regarding the recovery of power purchase costs of OVEC under the current ESP. </w:t>
      </w:r>
    </w:p>
  </w:footnote>
  <w:footnote w:id="41">
    <w:p w:rsidR="00072B32" w:rsidRDefault="00072B32" w:rsidP="00C15B0D">
      <w:pPr>
        <w:pStyle w:val="FootnoteText"/>
        <w:spacing w:after="120"/>
        <w:ind w:firstLine="0"/>
      </w:pPr>
      <w:r>
        <w:rPr>
          <w:rStyle w:val="FootnoteReference"/>
        </w:rPr>
        <w:footnoteRef/>
      </w:r>
      <w:r>
        <w:t xml:space="preserve"> Tr. Vol. XI at 2594.</w:t>
      </w:r>
    </w:p>
  </w:footnote>
  <w:footnote w:id="42">
    <w:p w:rsidR="00072B32" w:rsidRDefault="00072B32" w:rsidP="00C15B0D">
      <w:pPr>
        <w:pStyle w:val="FootnoteText"/>
        <w:spacing w:after="120"/>
        <w:ind w:firstLine="0"/>
      </w:pPr>
      <w:r>
        <w:rPr>
          <w:rStyle w:val="FootnoteReference"/>
        </w:rPr>
        <w:footnoteRef/>
      </w:r>
      <w:r>
        <w:t xml:space="preserve"> Tr. Vol. I at 109-10.</w:t>
      </w:r>
    </w:p>
  </w:footnote>
  <w:footnote w:id="43">
    <w:p w:rsidR="00072B32" w:rsidRDefault="00072B32" w:rsidP="00C15B0D">
      <w:pPr>
        <w:pStyle w:val="FootnoteText"/>
        <w:spacing w:after="120"/>
        <w:ind w:firstLine="0"/>
      </w:pPr>
      <w:r>
        <w:rPr>
          <w:rStyle w:val="FootnoteReference"/>
        </w:rPr>
        <w:footnoteRef/>
      </w:r>
      <w:r>
        <w:t xml:space="preserve"> Tr. Vol. II at 544-49.</w:t>
      </w:r>
    </w:p>
  </w:footnote>
  <w:footnote w:id="44">
    <w:p w:rsidR="00072B32" w:rsidRDefault="00072B32" w:rsidP="00C15B0D">
      <w:pPr>
        <w:pStyle w:val="FootnoteText"/>
        <w:spacing w:after="120"/>
        <w:ind w:firstLine="0"/>
      </w:pPr>
      <w:r>
        <w:rPr>
          <w:rStyle w:val="FootnoteReference"/>
        </w:rPr>
        <w:footnoteRef/>
      </w:r>
      <w:r>
        <w:t xml:space="preserve"> Tr. Vol. XIII at 3141.</w:t>
      </w:r>
    </w:p>
  </w:footnote>
  <w:footnote w:id="45">
    <w:p w:rsidR="00072B32" w:rsidRDefault="00072B32" w:rsidP="00C15B0D">
      <w:pPr>
        <w:pStyle w:val="FootnoteText"/>
        <w:spacing w:after="120"/>
        <w:ind w:firstLine="0"/>
      </w:pPr>
      <w:r>
        <w:rPr>
          <w:rStyle w:val="FootnoteReference"/>
        </w:rPr>
        <w:footnoteRef/>
      </w:r>
      <w:r>
        <w:t xml:space="preserve"> AEP-Ohio Ex. 7 at 9.</w:t>
      </w:r>
    </w:p>
  </w:footnote>
  <w:footnote w:id="46">
    <w:p w:rsidR="00072B32" w:rsidRDefault="00072B32" w:rsidP="00C15B0D">
      <w:pPr>
        <w:pStyle w:val="FootnoteText"/>
        <w:spacing w:after="120"/>
        <w:ind w:firstLine="0"/>
      </w:pPr>
      <w:r>
        <w:rPr>
          <w:rStyle w:val="FootnoteReference"/>
        </w:rPr>
        <w:footnoteRef/>
      </w:r>
      <w:r>
        <w:t xml:space="preserve"> Tr. Vol. I at 40.</w:t>
      </w:r>
    </w:p>
  </w:footnote>
  <w:footnote w:id="47">
    <w:p w:rsidR="00072B32" w:rsidRDefault="00072B32" w:rsidP="00C15B0D">
      <w:pPr>
        <w:pStyle w:val="FootnoteText"/>
        <w:spacing w:after="120"/>
        <w:ind w:firstLine="0"/>
      </w:pPr>
      <w:r>
        <w:rPr>
          <w:rStyle w:val="FootnoteReference"/>
        </w:rPr>
        <w:footnoteRef/>
      </w:r>
      <w:r>
        <w:t xml:space="preserve"> AEP-Ohio Ex. 1 at 13.</w:t>
      </w:r>
    </w:p>
  </w:footnote>
  <w:footnote w:id="48">
    <w:p w:rsidR="00072B32" w:rsidRDefault="00072B32" w:rsidP="00C15B0D">
      <w:pPr>
        <w:pStyle w:val="FootnoteText"/>
        <w:spacing w:after="120"/>
        <w:ind w:firstLine="0"/>
      </w:pPr>
      <w:r>
        <w:rPr>
          <w:rStyle w:val="FootnoteReference"/>
        </w:rPr>
        <w:footnoteRef/>
      </w:r>
      <w:r w:rsidRPr="0065358A">
        <w:rPr>
          <w:i/>
        </w:rPr>
        <w:t xml:space="preserve"> Id.</w:t>
      </w:r>
      <w:r>
        <w:t xml:space="preserve"> at 9 &amp; 13</w:t>
      </w:r>
    </w:p>
  </w:footnote>
  <w:footnote w:id="49">
    <w:p w:rsidR="00072B32" w:rsidRDefault="00072B32" w:rsidP="00C15B0D">
      <w:pPr>
        <w:pStyle w:val="FootnoteText"/>
        <w:spacing w:after="120"/>
        <w:ind w:firstLine="0"/>
      </w:pPr>
      <w:r>
        <w:rPr>
          <w:rStyle w:val="FootnoteReference"/>
        </w:rPr>
        <w:footnoteRef/>
      </w:r>
      <w:r>
        <w:t xml:space="preserve"> </w:t>
      </w:r>
      <w:r w:rsidRPr="003D4F50">
        <w:rPr>
          <w:i/>
        </w:rPr>
        <w:t>In re Columbus S. Power Co</w:t>
      </w:r>
      <w:r w:rsidRPr="000C5997">
        <w:t>., 128 Ohio St.3d 512 (2011).</w:t>
      </w:r>
    </w:p>
  </w:footnote>
  <w:footnote w:id="50">
    <w:p w:rsidR="00072B32" w:rsidRDefault="00072B32" w:rsidP="008B4AE5">
      <w:pPr>
        <w:pStyle w:val="FootnoteText"/>
        <w:spacing w:after="120"/>
        <w:ind w:firstLine="0"/>
      </w:pPr>
      <w:r>
        <w:rPr>
          <w:rStyle w:val="FootnoteReference"/>
        </w:rPr>
        <w:footnoteRef/>
      </w:r>
      <w:r>
        <w:t xml:space="preserve"> </w:t>
      </w:r>
      <w:r w:rsidRPr="003D4F50">
        <w:rPr>
          <w:i/>
        </w:rPr>
        <w:t>Elyria Foundry Co. v. Pub. Util. Comm’n of Ohio</w:t>
      </w:r>
      <w:r>
        <w:t>, 114 Ohio St.3d 305 (2007).</w:t>
      </w:r>
    </w:p>
  </w:footnote>
  <w:footnote w:id="51">
    <w:p w:rsidR="00072B32" w:rsidRDefault="00072B32" w:rsidP="00C15B0D">
      <w:pPr>
        <w:pStyle w:val="FootnoteText"/>
        <w:spacing w:after="120"/>
        <w:ind w:firstLine="0"/>
      </w:pPr>
      <w:r>
        <w:rPr>
          <w:rStyle w:val="FootnoteReference"/>
        </w:rPr>
        <w:footnoteRef/>
      </w:r>
      <w:r>
        <w:t xml:space="preserve"> IEU-Ohio Ex. 1B at 15.</w:t>
      </w:r>
    </w:p>
  </w:footnote>
  <w:footnote w:id="52">
    <w:p w:rsidR="00072B32" w:rsidRDefault="00072B32" w:rsidP="00C15B0D">
      <w:pPr>
        <w:pStyle w:val="FootnoteText"/>
        <w:spacing w:after="120"/>
        <w:ind w:firstLine="0"/>
      </w:pPr>
      <w:r>
        <w:rPr>
          <w:rStyle w:val="FootnoteReference"/>
        </w:rPr>
        <w:footnoteRef/>
      </w:r>
      <w:r>
        <w:t xml:space="preserve"> </w:t>
      </w:r>
      <w:r w:rsidRPr="00C32047">
        <w:rPr>
          <w:i/>
        </w:rPr>
        <w:t>In the Matter of the Application of Ohio Power Company for Approval of the Shutdown of Unit 5 of the Philip Sporn Generating Station and to Establish a Plant Shutdown Rider</w:t>
      </w:r>
      <w:r>
        <w:t>, Case No. 10-1454-EL-RDR, Finding and Order at 1-2 (Jan. 11, 2012).</w:t>
      </w:r>
    </w:p>
  </w:footnote>
  <w:footnote w:id="53">
    <w:p w:rsidR="00072B32" w:rsidRDefault="00072B32" w:rsidP="00C15B0D">
      <w:pPr>
        <w:pStyle w:val="FootnoteText"/>
        <w:spacing w:after="120"/>
        <w:ind w:firstLine="0"/>
      </w:pPr>
      <w:r>
        <w:rPr>
          <w:rStyle w:val="FootnoteReference"/>
        </w:rPr>
        <w:footnoteRef/>
      </w:r>
      <w:r w:rsidRPr="0065358A">
        <w:rPr>
          <w:i/>
        </w:rPr>
        <w:t xml:space="preserve"> Id.</w:t>
      </w:r>
      <w:r>
        <w:t xml:space="preserve"> at 19.</w:t>
      </w:r>
    </w:p>
  </w:footnote>
  <w:footnote w:id="54">
    <w:p w:rsidR="00072B32" w:rsidRDefault="00072B32" w:rsidP="00C15B0D">
      <w:pPr>
        <w:pStyle w:val="FootnoteText"/>
        <w:spacing w:after="120"/>
        <w:ind w:firstLine="0"/>
        <w:jc w:val="left"/>
      </w:pPr>
      <w:r>
        <w:rPr>
          <w:rStyle w:val="FootnoteReference"/>
        </w:rPr>
        <w:footnoteRef/>
      </w:r>
      <w:r>
        <w:t xml:space="preserve"> R.C. 4928.31(A).</w:t>
      </w:r>
    </w:p>
  </w:footnote>
  <w:footnote w:id="55">
    <w:p w:rsidR="00072B32" w:rsidRDefault="00072B32" w:rsidP="00C15B0D">
      <w:pPr>
        <w:pStyle w:val="FootnoteText"/>
        <w:spacing w:after="120"/>
        <w:ind w:firstLine="0"/>
        <w:jc w:val="left"/>
      </w:pPr>
      <w:r>
        <w:rPr>
          <w:rStyle w:val="FootnoteReference"/>
        </w:rPr>
        <w:footnoteRef/>
      </w:r>
      <w:r w:rsidRPr="0065358A">
        <w:rPr>
          <w:i/>
        </w:rPr>
        <w:t xml:space="preserve"> Id.</w:t>
      </w:r>
    </w:p>
  </w:footnote>
  <w:footnote w:id="56">
    <w:p w:rsidR="00072B32" w:rsidRDefault="00072B32" w:rsidP="00C15B0D">
      <w:pPr>
        <w:pStyle w:val="FootnoteText"/>
        <w:spacing w:after="120"/>
        <w:ind w:firstLine="0"/>
        <w:jc w:val="left"/>
        <w:rPr>
          <w:rFonts w:cs="Arial"/>
        </w:rPr>
      </w:pPr>
      <w:r>
        <w:rPr>
          <w:rStyle w:val="FootnoteReference"/>
          <w:rFonts w:cs="Arial"/>
        </w:rPr>
        <w:footnoteRef/>
      </w:r>
      <w:r>
        <w:rPr>
          <w:rFonts w:cs="Arial"/>
        </w:rPr>
        <w:t xml:space="preserve"> R.C. 4928.39.  </w:t>
      </w:r>
    </w:p>
  </w:footnote>
  <w:footnote w:id="57">
    <w:p w:rsidR="00072B32" w:rsidRDefault="00072B32" w:rsidP="00C15B0D">
      <w:pPr>
        <w:pStyle w:val="FootnoteText"/>
        <w:spacing w:after="120"/>
        <w:ind w:firstLine="0"/>
        <w:jc w:val="left"/>
      </w:pPr>
      <w:r>
        <w:rPr>
          <w:rStyle w:val="FootnoteReference"/>
        </w:rPr>
        <w:footnoteRef/>
      </w:r>
      <w:r>
        <w:t xml:space="preserve"> </w:t>
      </w:r>
      <w:r w:rsidRPr="008B4AE5">
        <w:rPr>
          <w:i/>
        </w:rPr>
        <w:t>Id</w:t>
      </w:r>
      <w:r>
        <w:t>.</w:t>
      </w:r>
    </w:p>
  </w:footnote>
  <w:footnote w:id="58">
    <w:p w:rsidR="00072B32" w:rsidRDefault="00072B32" w:rsidP="00C15B0D">
      <w:pPr>
        <w:pStyle w:val="FootnoteText"/>
        <w:spacing w:after="120"/>
        <w:ind w:firstLine="0"/>
        <w:jc w:val="left"/>
      </w:pPr>
      <w:r>
        <w:rPr>
          <w:rStyle w:val="FootnoteReference"/>
        </w:rPr>
        <w:footnoteRef/>
      </w:r>
      <w:r w:rsidRPr="0065358A">
        <w:rPr>
          <w:i/>
        </w:rPr>
        <w:t xml:space="preserve"> Id.</w:t>
      </w:r>
    </w:p>
  </w:footnote>
  <w:footnote w:id="59">
    <w:p w:rsidR="00072B32" w:rsidRDefault="00072B32" w:rsidP="00C15B0D">
      <w:pPr>
        <w:pStyle w:val="FootnoteText"/>
        <w:spacing w:after="120"/>
        <w:ind w:firstLine="0"/>
        <w:jc w:val="left"/>
      </w:pPr>
      <w:r>
        <w:rPr>
          <w:rStyle w:val="FootnoteReference"/>
        </w:rPr>
        <w:footnoteRef/>
      </w:r>
      <w:r>
        <w:t xml:space="preserve"> R.C. 4928.141.</w:t>
      </w:r>
    </w:p>
  </w:footnote>
  <w:footnote w:id="60">
    <w:p w:rsidR="00072B32" w:rsidRDefault="00072B32" w:rsidP="001026EE">
      <w:pPr>
        <w:pStyle w:val="FootnoteText"/>
        <w:spacing w:after="120"/>
        <w:ind w:firstLine="0"/>
      </w:pPr>
      <w:r>
        <w:rPr>
          <w:rStyle w:val="FootnoteReference"/>
        </w:rPr>
        <w:footnoteRef/>
      </w:r>
      <w:r>
        <w:t xml:space="preserve"> R.C. 4928.38.</w:t>
      </w:r>
    </w:p>
  </w:footnote>
  <w:footnote w:id="61">
    <w:p w:rsidR="00072B32" w:rsidRDefault="00072B32" w:rsidP="00072B32">
      <w:pPr>
        <w:pStyle w:val="FootnoteText"/>
        <w:spacing w:after="120"/>
        <w:ind w:firstLine="0"/>
      </w:pPr>
      <w:r>
        <w:rPr>
          <w:rStyle w:val="FootnoteReference"/>
        </w:rPr>
        <w:footnoteRef/>
      </w:r>
      <w:r>
        <w:t xml:space="preserve"> </w:t>
      </w:r>
      <w:r w:rsidRPr="00072B32">
        <w:rPr>
          <w:i/>
        </w:rPr>
        <w:t>Id</w:t>
      </w:r>
      <w:r>
        <w:t>.</w:t>
      </w:r>
    </w:p>
  </w:footnote>
  <w:footnote w:id="62">
    <w:p w:rsidR="00072B32" w:rsidRDefault="00072B32" w:rsidP="00C15B0D">
      <w:pPr>
        <w:pStyle w:val="FootnoteText"/>
        <w:spacing w:after="120"/>
        <w:ind w:firstLine="0"/>
      </w:pPr>
      <w:r>
        <w:rPr>
          <w:rStyle w:val="FootnoteReference"/>
        </w:rPr>
        <w:footnoteRef/>
      </w:r>
      <w:r>
        <w:t xml:space="preserve"> IEU-Ohio Ex. 1B at 16.</w:t>
      </w:r>
    </w:p>
  </w:footnote>
  <w:footnote w:id="63">
    <w:p w:rsidR="00072B32" w:rsidRDefault="00072B32" w:rsidP="00C15B0D">
      <w:pPr>
        <w:pStyle w:val="FootnoteText"/>
        <w:spacing w:after="120"/>
        <w:ind w:firstLine="0"/>
      </w:pPr>
      <w:r>
        <w:rPr>
          <w:rStyle w:val="FootnoteReference"/>
        </w:rPr>
        <w:footnoteRef/>
      </w:r>
      <w:r>
        <w:t xml:space="preserve"> </w:t>
      </w:r>
      <w:r w:rsidRPr="00800714">
        <w:rPr>
          <w:i/>
        </w:rPr>
        <w:t>Id</w:t>
      </w:r>
      <w:r>
        <w:t>.</w:t>
      </w:r>
    </w:p>
  </w:footnote>
  <w:footnote w:id="64">
    <w:p w:rsidR="00072B32" w:rsidRDefault="00072B32" w:rsidP="00C15B0D">
      <w:pPr>
        <w:pStyle w:val="FootnoteText"/>
        <w:spacing w:after="120"/>
        <w:ind w:firstLine="0"/>
      </w:pPr>
      <w:r>
        <w:rPr>
          <w:rStyle w:val="FootnoteReference"/>
        </w:rPr>
        <w:footnoteRef/>
      </w:r>
      <w:r>
        <w:t xml:space="preserve"> R.C. 4928.39(C).</w:t>
      </w:r>
    </w:p>
  </w:footnote>
  <w:footnote w:id="65">
    <w:p w:rsidR="00072B32" w:rsidRDefault="00072B32" w:rsidP="00C15B0D">
      <w:pPr>
        <w:pStyle w:val="FootnoteText"/>
        <w:spacing w:after="120"/>
        <w:ind w:firstLine="0"/>
      </w:pPr>
      <w:r>
        <w:rPr>
          <w:rStyle w:val="FootnoteReference"/>
        </w:rPr>
        <w:footnoteRef/>
      </w:r>
      <w:r>
        <w:t xml:space="preserve"> Tr. Vol. XIII at 3148-49.</w:t>
      </w:r>
    </w:p>
  </w:footnote>
  <w:footnote w:id="66">
    <w:p w:rsidR="00072B32" w:rsidRDefault="00072B32" w:rsidP="006365D2">
      <w:pPr>
        <w:pStyle w:val="FootnoteText"/>
        <w:spacing w:after="120"/>
        <w:ind w:firstLine="0"/>
      </w:pPr>
      <w:r>
        <w:rPr>
          <w:rStyle w:val="FootnoteReference"/>
        </w:rPr>
        <w:footnoteRef/>
      </w:r>
      <w:r>
        <w:t xml:space="preserve"> </w:t>
      </w:r>
      <w:r w:rsidRPr="006365D2">
        <w:rPr>
          <w:i/>
        </w:rPr>
        <w:t>See</w:t>
      </w:r>
      <w:r>
        <w:t xml:space="preserve"> R.C. 4909.01(B).</w:t>
      </w:r>
    </w:p>
  </w:footnote>
  <w:footnote w:id="67">
    <w:p w:rsidR="00072B32" w:rsidRDefault="00072B32" w:rsidP="006365D2">
      <w:pPr>
        <w:pStyle w:val="FootnoteText"/>
        <w:spacing w:after="120"/>
        <w:ind w:firstLine="0"/>
      </w:pPr>
      <w:r>
        <w:rPr>
          <w:rStyle w:val="FootnoteReference"/>
        </w:rPr>
        <w:footnoteRef/>
      </w:r>
      <w:r>
        <w:t xml:space="preserve"> </w:t>
      </w:r>
      <w:r w:rsidRPr="00A031C1">
        <w:rPr>
          <w:i/>
        </w:rPr>
        <w:t>See</w:t>
      </w:r>
      <w:r>
        <w:t>, e.g., R.C. 4928.01(A)(6)&amp; (7) &amp; 4928.05(A) (defining the Commission’s jurisdiction to supervise and regulate competitive and noncompetitive retail electric service supplied by an electric utility).</w:t>
      </w:r>
    </w:p>
  </w:footnote>
  <w:footnote w:id="68">
    <w:p w:rsidR="00072B32" w:rsidRDefault="00072B32" w:rsidP="008B4AE5">
      <w:pPr>
        <w:pStyle w:val="FootnoteText"/>
        <w:spacing w:after="120"/>
        <w:ind w:firstLine="0"/>
      </w:pPr>
      <w:r>
        <w:rPr>
          <w:rStyle w:val="FootnoteReference"/>
        </w:rPr>
        <w:footnoteRef/>
      </w:r>
      <w:r>
        <w:t xml:space="preserve"> </w:t>
      </w:r>
      <w:r w:rsidRPr="008B4AE5">
        <w:rPr>
          <w:i/>
        </w:rPr>
        <w:t>Marketing Research Services, Inc. v. Pub. Util. Comm’n of Ohio</w:t>
      </w:r>
      <w:r>
        <w:t>, 34 Ohio St.3d 52, 55 (1987).</w:t>
      </w:r>
    </w:p>
  </w:footnote>
  <w:footnote w:id="69">
    <w:p w:rsidR="00072B32" w:rsidRDefault="00072B32" w:rsidP="00C15B0D">
      <w:pPr>
        <w:pStyle w:val="FootnoteText"/>
        <w:spacing w:after="120"/>
        <w:ind w:firstLine="0"/>
      </w:pPr>
      <w:r>
        <w:rPr>
          <w:rStyle w:val="FootnoteReference"/>
        </w:rPr>
        <w:footnoteRef/>
      </w:r>
      <w:r>
        <w:t xml:space="preserve"> </w:t>
      </w:r>
      <w:r w:rsidRPr="00986FFA">
        <w:t>Case No. 1:12-cv-01286-MJG at 84-86, 2013 WL 5432346 *30 (D.MD Sept. 30, 2013) (“</w:t>
      </w:r>
      <w:r w:rsidRPr="00986FFA">
        <w:rPr>
          <w:i/>
        </w:rPr>
        <w:t>PPL I</w:t>
      </w:r>
      <w:r w:rsidRPr="00986FFA">
        <w:t>”)</w:t>
      </w:r>
      <w:r>
        <w:t xml:space="preserve">, </w:t>
      </w:r>
      <w:r w:rsidRPr="00800714">
        <w:rPr>
          <w:i/>
        </w:rPr>
        <w:t>aff’d, PPL Energy Plus, LLC et al. v. Nazarian</w:t>
      </w:r>
      <w:r>
        <w:t>, Case No. 13-2419, Slip Op. (4th Cir. June 2, 2014).</w:t>
      </w:r>
    </w:p>
  </w:footnote>
  <w:footnote w:id="70">
    <w:p w:rsidR="00072B32" w:rsidRDefault="00072B32" w:rsidP="00C15B0D">
      <w:pPr>
        <w:pStyle w:val="FootnoteText"/>
        <w:spacing w:after="120"/>
        <w:ind w:firstLine="0"/>
      </w:pPr>
      <w:r>
        <w:rPr>
          <w:rStyle w:val="FootnoteReference"/>
        </w:rPr>
        <w:footnoteRef/>
      </w:r>
      <w:r>
        <w:t xml:space="preserve"> </w:t>
      </w:r>
      <w:r w:rsidRPr="000B10E1">
        <w:rPr>
          <w:i/>
        </w:rPr>
        <w:t>Id.</w:t>
      </w:r>
      <w:r w:rsidRPr="000B10E1">
        <w:t xml:space="preserve"> at *33-*34.  </w:t>
      </w:r>
    </w:p>
  </w:footnote>
  <w:footnote w:id="71">
    <w:p w:rsidR="00072B32" w:rsidRDefault="00072B32" w:rsidP="00C15B0D">
      <w:pPr>
        <w:pStyle w:val="FootnoteText"/>
        <w:spacing w:after="120"/>
        <w:ind w:firstLine="0"/>
      </w:pPr>
      <w:r>
        <w:rPr>
          <w:rStyle w:val="FootnoteReference"/>
        </w:rPr>
        <w:footnoteRef/>
      </w:r>
      <w:r>
        <w:t xml:space="preserve"> </w:t>
      </w:r>
      <w:r w:rsidRPr="000B10E1">
        <w:rPr>
          <w:i/>
        </w:rPr>
        <w:t>Id</w:t>
      </w:r>
      <w:r w:rsidRPr="000B10E1">
        <w:t xml:space="preserve">. at *34.  </w:t>
      </w:r>
    </w:p>
  </w:footnote>
  <w:footnote w:id="72">
    <w:p w:rsidR="00072B32" w:rsidRDefault="00072B32" w:rsidP="00C15B0D">
      <w:pPr>
        <w:pStyle w:val="FootnoteText"/>
        <w:spacing w:after="120"/>
        <w:ind w:firstLine="0"/>
      </w:pPr>
      <w:r>
        <w:rPr>
          <w:rStyle w:val="FootnoteReference"/>
        </w:rPr>
        <w:footnoteRef/>
      </w:r>
      <w:r>
        <w:t xml:space="preserve"> </w:t>
      </w:r>
      <w:r w:rsidRPr="000B10E1">
        <w:rPr>
          <w:i/>
        </w:rPr>
        <w:t>Id</w:t>
      </w:r>
      <w:r w:rsidRPr="000B10E1">
        <w:t xml:space="preserve">. at *35.  </w:t>
      </w:r>
    </w:p>
  </w:footnote>
  <w:footnote w:id="73">
    <w:p w:rsidR="00072B32" w:rsidRDefault="00072B32" w:rsidP="00C15B0D">
      <w:pPr>
        <w:pStyle w:val="FootnoteText"/>
        <w:spacing w:after="120"/>
        <w:ind w:firstLine="0"/>
      </w:pPr>
      <w:r>
        <w:rPr>
          <w:rStyle w:val="FootnoteReference"/>
        </w:rPr>
        <w:footnoteRef/>
      </w:r>
      <w:r>
        <w:t xml:space="preserve"> </w:t>
      </w:r>
      <w:r w:rsidRPr="000B10E1">
        <w:rPr>
          <w:i/>
        </w:rPr>
        <w:t>Id</w:t>
      </w:r>
      <w:r w:rsidRPr="000B10E1">
        <w:t>. at *42.</w:t>
      </w:r>
    </w:p>
  </w:footnote>
  <w:footnote w:id="74">
    <w:p w:rsidR="00072B32" w:rsidRDefault="00072B32" w:rsidP="00C15B0D">
      <w:pPr>
        <w:pStyle w:val="FootnoteText"/>
        <w:spacing w:after="120"/>
        <w:ind w:firstLine="0"/>
      </w:pPr>
      <w:r>
        <w:rPr>
          <w:rStyle w:val="FootnoteReference"/>
        </w:rPr>
        <w:footnoteRef/>
      </w:r>
      <w:r>
        <w:t xml:space="preserve"> </w:t>
      </w:r>
      <w:r w:rsidRPr="00800714">
        <w:rPr>
          <w:i/>
        </w:rPr>
        <w:t>PPL Energy Plus, LLC et al. v. Nazarian</w:t>
      </w:r>
      <w:r w:rsidRPr="00FC3505">
        <w:t>, Case No. 13-2419, Slip Op.</w:t>
      </w:r>
      <w:r>
        <w:t xml:space="preserve"> </w:t>
      </w:r>
      <w:r w:rsidRPr="00FC3505">
        <w:t>(4th Cir. June 2, 2014).</w:t>
      </w:r>
      <w:r>
        <w:t xml:space="preserve">  It also found that the Maryland Commission’s order was preempted because it conflicted with the accomplishment of federal policies.  </w:t>
      </w:r>
      <w:r w:rsidRPr="008B4AE5">
        <w:rPr>
          <w:i/>
        </w:rPr>
        <w:t>Id</w:t>
      </w:r>
      <w:r>
        <w:t>., Slip Op. at 25.</w:t>
      </w:r>
    </w:p>
  </w:footnote>
  <w:footnote w:id="75">
    <w:p w:rsidR="00072B32" w:rsidRDefault="00072B32" w:rsidP="00C15B0D">
      <w:pPr>
        <w:pStyle w:val="FootnoteText"/>
        <w:spacing w:after="120"/>
        <w:ind w:firstLine="0"/>
      </w:pPr>
      <w:r>
        <w:rPr>
          <w:rStyle w:val="FootnoteReference"/>
        </w:rPr>
        <w:footnoteRef/>
      </w:r>
      <w:r>
        <w:t xml:space="preserve"> </w:t>
      </w:r>
      <w:r w:rsidRPr="000F1C14">
        <w:t>Civ. Action No. 11-745, 2013 WL 5603896 at *19 (D.N.J. Oct. 11, 2013) (“</w:t>
      </w:r>
      <w:r w:rsidRPr="000F1C14">
        <w:rPr>
          <w:i/>
        </w:rPr>
        <w:t>PPL II</w:t>
      </w:r>
      <w:r w:rsidRPr="000F1C14">
        <w:t>”),</w:t>
      </w:r>
    </w:p>
  </w:footnote>
  <w:footnote w:id="76">
    <w:p w:rsidR="00072B32" w:rsidRDefault="00072B32" w:rsidP="00C15B0D">
      <w:pPr>
        <w:pStyle w:val="FootnoteText"/>
        <w:spacing w:after="120"/>
        <w:ind w:firstLine="0"/>
      </w:pPr>
      <w:r>
        <w:rPr>
          <w:rStyle w:val="FootnoteReference"/>
        </w:rPr>
        <w:footnoteRef/>
      </w:r>
      <w:r>
        <w:t xml:space="preserve"> </w:t>
      </w:r>
      <w:r w:rsidRPr="000F1C14">
        <w:rPr>
          <w:i/>
        </w:rPr>
        <w:t>Id.</w:t>
      </w:r>
      <w:r w:rsidRPr="000F1C14">
        <w:t xml:space="preserve"> </w:t>
      </w:r>
    </w:p>
  </w:footnote>
  <w:footnote w:id="77">
    <w:p w:rsidR="00072B32" w:rsidRDefault="00072B32" w:rsidP="00C15B0D">
      <w:pPr>
        <w:pStyle w:val="FootnoteText"/>
        <w:spacing w:after="120"/>
        <w:ind w:firstLine="0"/>
      </w:pPr>
      <w:r>
        <w:rPr>
          <w:rStyle w:val="FootnoteReference"/>
        </w:rPr>
        <w:footnoteRef/>
      </w:r>
      <w:r>
        <w:t xml:space="preserve"> </w:t>
      </w:r>
      <w:r w:rsidRPr="000F1C14">
        <w:rPr>
          <w:i/>
        </w:rPr>
        <w:t>Id.</w:t>
      </w:r>
      <w:r w:rsidRPr="000F1C14">
        <w:t xml:space="preserve">  </w:t>
      </w:r>
    </w:p>
  </w:footnote>
  <w:footnote w:id="78">
    <w:p w:rsidR="00072B32" w:rsidRDefault="00072B32" w:rsidP="00C15B0D">
      <w:pPr>
        <w:pStyle w:val="FootnoteText"/>
        <w:spacing w:after="120"/>
        <w:ind w:firstLine="0"/>
      </w:pPr>
      <w:r>
        <w:rPr>
          <w:rStyle w:val="FootnoteReference"/>
        </w:rPr>
        <w:footnoteRef/>
      </w:r>
      <w:r>
        <w:t xml:space="preserve"> </w:t>
      </w:r>
      <w:r w:rsidRPr="000F1C14">
        <w:rPr>
          <w:i/>
        </w:rPr>
        <w:t>Id</w:t>
      </w:r>
      <w:r w:rsidRPr="000F1C14">
        <w:t xml:space="preserve">. at *35.  </w:t>
      </w:r>
    </w:p>
  </w:footnote>
  <w:footnote w:id="79">
    <w:p w:rsidR="00072B32" w:rsidRDefault="00072B32" w:rsidP="00C15B0D">
      <w:pPr>
        <w:pStyle w:val="FootnoteText"/>
        <w:spacing w:after="120"/>
        <w:ind w:firstLine="0"/>
      </w:pPr>
      <w:r>
        <w:rPr>
          <w:rStyle w:val="FootnoteReference"/>
        </w:rPr>
        <w:footnoteRef/>
      </w:r>
      <w:r>
        <w:t xml:space="preserve"> </w:t>
      </w:r>
      <w:r w:rsidRPr="000F1C14">
        <w:rPr>
          <w:i/>
        </w:rPr>
        <w:t>Id</w:t>
      </w:r>
      <w:r w:rsidRPr="000F1C14">
        <w:t>. at *38.</w:t>
      </w:r>
    </w:p>
  </w:footnote>
  <w:footnote w:id="80">
    <w:p w:rsidR="00072B32" w:rsidRDefault="00072B32" w:rsidP="00C15B0D">
      <w:pPr>
        <w:pStyle w:val="FootnoteText"/>
        <w:spacing w:after="120"/>
        <w:ind w:firstLine="0"/>
      </w:pPr>
      <w:r>
        <w:rPr>
          <w:rStyle w:val="FootnoteReference"/>
        </w:rPr>
        <w:footnoteRef/>
      </w:r>
      <w:r>
        <w:t xml:space="preserve"> </w:t>
      </w:r>
      <w:r w:rsidRPr="001E4C96">
        <w:rPr>
          <w:i/>
        </w:rPr>
        <w:t>See, e.g.</w:t>
      </w:r>
      <w:r>
        <w:t>, AEP-Ohio Ex. 7 at 11.</w:t>
      </w:r>
    </w:p>
  </w:footnote>
  <w:footnote w:id="81">
    <w:p w:rsidR="00072B32" w:rsidRDefault="00072B32" w:rsidP="00C15B0D">
      <w:pPr>
        <w:pStyle w:val="FootnoteText"/>
        <w:spacing w:after="120"/>
        <w:ind w:firstLine="0"/>
      </w:pPr>
      <w:r>
        <w:rPr>
          <w:rStyle w:val="FootnoteReference"/>
        </w:rPr>
        <w:footnoteRef/>
      </w:r>
      <w:r>
        <w:t xml:space="preserve"> </w:t>
      </w:r>
      <w:r w:rsidRPr="008B4AE5">
        <w:rPr>
          <w:i/>
        </w:rPr>
        <w:t>Id</w:t>
      </w:r>
      <w:r>
        <w:t>. at 10.</w:t>
      </w:r>
    </w:p>
  </w:footnote>
  <w:footnote w:id="82">
    <w:p w:rsidR="00072B32" w:rsidRDefault="00072B32" w:rsidP="00C15B0D">
      <w:pPr>
        <w:pStyle w:val="FootnoteText"/>
        <w:spacing w:after="120"/>
        <w:ind w:firstLine="0"/>
      </w:pPr>
      <w:r>
        <w:rPr>
          <w:rStyle w:val="FootnoteReference"/>
        </w:rPr>
        <w:footnoteRef/>
      </w:r>
      <w:r>
        <w:t xml:space="preserve"> AEP-Ohio Ex. 8A.</w:t>
      </w:r>
    </w:p>
  </w:footnote>
  <w:footnote w:id="83">
    <w:p w:rsidR="00072B32" w:rsidRDefault="00072B32" w:rsidP="008B4AE5">
      <w:pPr>
        <w:pStyle w:val="FootnoteText"/>
        <w:spacing w:after="120"/>
        <w:ind w:firstLine="0"/>
      </w:pPr>
      <w:r>
        <w:rPr>
          <w:rStyle w:val="FootnoteReference"/>
        </w:rPr>
        <w:footnoteRef/>
      </w:r>
      <w:r>
        <w:t xml:space="preserve"> AEP-Ohio Ex. 7 at 8.</w:t>
      </w:r>
    </w:p>
  </w:footnote>
  <w:footnote w:id="84">
    <w:p w:rsidR="00072B32" w:rsidRDefault="00072B32" w:rsidP="00E734DF">
      <w:pPr>
        <w:pStyle w:val="FootnoteText"/>
        <w:spacing w:after="120"/>
        <w:ind w:firstLine="0"/>
      </w:pPr>
      <w:r>
        <w:rPr>
          <w:rStyle w:val="FootnoteReference"/>
        </w:rPr>
        <w:footnoteRef/>
      </w:r>
      <w:r>
        <w:t xml:space="preserve"> IEU-Ohio Ex. 1B at Ex. KMM-3, page 2.</w:t>
      </w:r>
    </w:p>
  </w:footnote>
  <w:footnote w:id="85">
    <w:p w:rsidR="00072B32" w:rsidRDefault="00072B32" w:rsidP="00C15B0D">
      <w:pPr>
        <w:pStyle w:val="FootnoteText"/>
        <w:spacing w:after="120"/>
        <w:ind w:firstLine="0"/>
      </w:pPr>
      <w:r>
        <w:rPr>
          <w:rStyle w:val="FootnoteReference"/>
        </w:rPr>
        <w:footnoteRef/>
      </w:r>
      <w:r>
        <w:t xml:space="preserve"> Tr. Vol. II at 544-45.</w:t>
      </w:r>
    </w:p>
  </w:footnote>
  <w:footnote w:id="86">
    <w:p w:rsidR="00072B32" w:rsidRDefault="00072B32" w:rsidP="00437990">
      <w:pPr>
        <w:pStyle w:val="FootnoteText"/>
        <w:spacing w:after="120"/>
        <w:ind w:firstLine="0"/>
      </w:pPr>
      <w:r>
        <w:rPr>
          <w:rStyle w:val="FootnoteReference"/>
        </w:rPr>
        <w:footnoteRef/>
      </w:r>
      <w:r>
        <w:t xml:space="preserve"> Tr. Vol. XI at 2603-04.</w:t>
      </w:r>
    </w:p>
  </w:footnote>
  <w:footnote w:id="87">
    <w:p w:rsidR="00072B32" w:rsidRDefault="00072B32" w:rsidP="00437990">
      <w:pPr>
        <w:pStyle w:val="FootnoteText"/>
        <w:spacing w:after="120"/>
        <w:ind w:firstLine="0"/>
      </w:pPr>
      <w:r>
        <w:rPr>
          <w:rStyle w:val="FootnoteReference"/>
        </w:rPr>
        <w:footnoteRef/>
      </w:r>
      <w:r>
        <w:t xml:space="preserve"> Tr. Vol. II at 552.</w:t>
      </w:r>
    </w:p>
  </w:footnote>
  <w:footnote w:id="88">
    <w:p w:rsidR="00072B32" w:rsidRDefault="00072B32" w:rsidP="00437990">
      <w:pPr>
        <w:pStyle w:val="FootnoteText"/>
        <w:spacing w:after="120"/>
        <w:ind w:firstLine="0"/>
      </w:pPr>
      <w:r>
        <w:rPr>
          <w:rStyle w:val="FootnoteReference"/>
        </w:rPr>
        <w:footnoteRef/>
      </w:r>
      <w:r>
        <w:t xml:space="preserve"> Tr. Vol. III at 749-50.</w:t>
      </w:r>
    </w:p>
  </w:footnote>
  <w:footnote w:id="89">
    <w:p w:rsidR="00072B32" w:rsidRDefault="00072B32" w:rsidP="00EE71F8">
      <w:pPr>
        <w:pStyle w:val="FootnoteText"/>
        <w:spacing w:after="120"/>
        <w:ind w:firstLine="0"/>
      </w:pPr>
      <w:r>
        <w:rPr>
          <w:rStyle w:val="FootnoteReference"/>
        </w:rPr>
        <w:footnoteRef/>
      </w:r>
      <w:r>
        <w:t xml:space="preserve"> </w:t>
      </w:r>
      <w:r w:rsidRPr="006C7246">
        <w:rPr>
          <w:i/>
        </w:rPr>
        <w:t>See In the Matter of the Application of Ohio Power Company to Update its Transmission Cost Recovery Rider</w:t>
      </w:r>
      <w:r>
        <w:t xml:space="preserve">, Case No. 12-1046-EL-RDR, Application (June 15, 2012) (requesting a reconciliation adjustment of $36 million); </w:t>
      </w:r>
      <w:r w:rsidRPr="006C7246">
        <w:rPr>
          <w:i/>
        </w:rPr>
        <w:t>In the Matter of the Application of Ohio Power Company to Update its Transmission Cost Recovery Rider Rates</w:t>
      </w:r>
      <w:r>
        <w:t xml:space="preserve">, Case No. 14-1094-EL-UNC, Application (June 16, 2014) (identifying an under-recovery of $57 million).  AEP-Ohio’s forecast of residential participation in shopping also missed the actual outcome by a substantial amount.  </w:t>
      </w:r>
      <w:r>
        <w:rPr>
          <w:i/>
        </w:rPr>
        <w:t>C</w:t>
      </w:r>
      <w:r w:rsidRPr="006C7246">
        <w:rPr>
          <w:i/>
        </w:rPr>
        <w:t>ompare</w:t>
      </w:r>
      <w:r>
        <w:t xml:space="preserve"> </w:t>
      </w:r>
      <w:r w:rsidRPr="00981FBA">
        <w:rPr>
          <w:i/>
        </w:rPr>
        <w:t>In the Matter of the Application of Columbus Southern Power Company and Ohio Power Company for Authority to Establish a Standard Service Offer Pursuant to Section 4928.143, Revised Code, in the Form of an Electric Security Plan</w:t>
      </w:r>
      <w:r>
        <w:t xml:space="preserve">, Case Nos. 11-346-EL-SSO, </w:t>
      </w:r>
      <w:r w:rsidRPr="00981FBA">
        <w:rPr>
          <w:i/>
        </w:rPr>
        <w:t>et al</w:t>
      </w:r>
      <w:r>
        <w:t>., Opinion and Order at 34 (Aug 8, 2012)</w:t>
      </w:r>
      <w:r w:rsidRPr="00981FBA">
        <w:t xml:space="preserve"> </w:t>
      </w:r>
      <w:r>
        <w:t xml:space="preserve">(“ESP II”) (residential shopping estimated to be 65%) </w:t>
      </w:r>
      <w:r w:rsidRPr="008B4AE5">
        <w:rPr>
          <w:i/>
        </w:rPr>
        <w:t>with</w:t>
      </w:r>
      <w:r>
        <w:t xml:space="preserve"> AEP-Ohio Ex. 7 at 13 (residential shopping is 30%).</w:t>
      </w:r>
    </w:p>
  </w:footnote>
  <w:footnote w:id="90">
    <w:p w:rsidR="00072B32" w:rsidRDefault="00072B32" w:rsidP="00DC6761">
      <w:pPr>
        <w:pStyle w:val="FootnoteText"/>
        <w:spacing w:after="120"/>
        <w:ind w:firstLine="0"/>
      </w:pPr>
      <w:r>
        <w:rPr>
          <w:rStyle w:val="FootnoteReference"/>
        </w:rPr>
        <w:footnoteRef/>
      </w:r>
      <w:r>
        <w:t xml:space="preserve"> Tr. Vol. II at 494.</w:t>
      </w:r>
    </w:p>
  </w:footnote>
  <w:footnote w:id="91">
    <w:p w:rsidR="00072B32" w:rsidRDefault="00072B32" w:rsidP="006B76EF">
      <w:pPr>
        <w:pStyle w:val="FootnoteText"/>
        <w:spacing w:after="120"/>
        <w:ind w:firstLine="0"/>
      </w:pPr>
      <w:r>
        <w:rPr>
          <w:rStyle w:val="FootnoteReference"/>
        </w:rPr>
        <w:footnoteRef/>
      </w:r>
      <w:r>
        <w:t xml:space="preserve"> AEP-Ohio Ex. 7 at 5.</w:t>
      </w:r>
    </w:p>
  </w:footnote>
  <w:footnote w:id="92">
    <w:p w:rsidR="00072B32" w:rsidRDefault="00072B32" w:rsidP="008B4AE5">
      <w:pPr>
        <w:pStyle w:val="FootnoteText"/>
        <w:spacing w:after="120"/>
        <w:ind w:firstLine="0"/>
      </w:pPr>
      <w:r>
        <w:rPr>
          <w:rStyle w:val="FootnoteReference"/>
        </w:rPr>
        <w:footnoteRef/>
      </w:r>
      <w:r>
        <w:t xml:space="preserve"> </w:t>
      </w:r>
      <w:r w:rsidRPr="00DD1355">
        <w:t>Tr. Vol. III at 930.</w:t>
      </w:r>
    </w:p>
  </w:footnote>
  <w:footnote w:id="93">
    <w:p w:rsidR="00072B32" w:rsidRDefault="00072B32" w:rsidP="006B76EF">
      <w:pPr>
        <w:pStyle w:val="FootnoteText"/>
        <w:spacing w:after="120"/>
        <w:ind w:firstLine="0"/>
      </w:pPr>
      <w:r>
        <w:rPr>
          <w:rStyle w:val="FootnoteReference"/>
        </w:rPr>
        <w:footnoteRef/>
      </w:r>
      <w:r>
        <w:t xml:space="preserve"> Tr. Vol. III at 930.</w:t>
      </w:r>
    </w:p>
  </w:footnote>
  <w:footnote w:id="94">
    <w:p w:rsidR="00072B32" w:rsidRDefault="00072B32" w:rsidP="00DC6761">
      <w:pPr>
        <w:pStyle w:val="FootnoteText"/>
        <w:spacing w:after="120"/>
        <w:ind w:firstLine="0"/>
      </w:pPr>
      <w:r>
        <w:rPr>
          <w:rStyle w:val="FootnoteReference"/>
        </w:rPr>
        <w:footnoteRef/>
      </w:r>
      <w:r>
        <w:t xml:space="preserve"> Tr. Vol. II at 484.</w:t>
      </w:r>
    </w:p>
  </w:footnote>
  <w:footnote w:id="95">
    <w:p w:rsidR="00072B32" w:rsidRDefault="00072B32" w:rsidP="00C15B0D">
      <w:pPr>
        <w:pStyle w:val="FootnoteText"/>
        <w:spacing w:after="120"/>
        <w:ind w:firstLine="0"/>
      </w:pPr>
      <w:r w:rsidRPr="00DC6761">
        <w:rPr>
          <w:rStyle w:val="FootnoteReference"/>
        </w:rPr>
        <w:footnoteRef/>
      </w:r>
      <w:r>
        <w:t xml:space="preserve"> Tr. Vol. II at 498.</w:t>
      </w:r>
    </w:p>
  </w:footnote>
  <w:footnote w:id="96">
    <w:p w:rsidR="00072B32" w:rsidRDefault="00072B32" w:rsidP="00C15B0D">
      <w:pPr>
        <w:pStyle w:val="FootnoteText"/>
        <w:spacing w:after="120"/>
        <w:ind w:firstLine="0"/>
      </w:pPr>
      <w:r>
        <w:rPr>
          <w:rStyle w:val="FootnoteReference"/>
        </w:rPr>
        <w:footnoteRef/>
      </w:r>
      <w:r>
        <w:t xml:space="preserve"> Tr. Vol. I at 110.</w:t>
      </w:r>
    </w:p>
  </w:footnote>
  <w:footnote w:id="97">
    <w:p w:rsidR="00072B32" w:rsidRDefault="00072B32" w:rsidP="00C15B0D">
      <w:pPr>
        <w:pStyle w:val="FootnoteText"/>
        <w:spacing w:after="120"/>
        <w:ind w:firstLine="0"/>
      </w:pPr>
      <w:r>
        <w:rPr>
          <w:rStyle w:val="FootnoteReference"/>
        </w:rPr>
        <w:footnoteRef/>
      </w:r>
      <w:r>
        <w:t xml:space="preserve"> IEU-Ohio Ex. 1B at Ex. KMM-5, KMM-6, &amp; KMM-7.</w:t>
      </w:r>
    </w:p>
  </w:footnote>
  <w:footnote w:id="98">
    <w:p w:rsidR="00072B32" w:rsidRDefault="00072B32" w:rsidP="00C15B0D">
      <w:pPr>
        <w:pStyle w:val="FootnoteText"/>
        <w:spacing w:after="120"/>
        <w:ind w:firstLine="0"/>
      </w:pPr>
      <w:r>
        <w:rPr>
          <w:rStyle w:val="FootnoteReference"/>
        </w:rPr>
        <w:footnoteRef/>
      </w:r>
      <w:r>
        <w:t xml:space="preserve"> </w:t>
      </w:r>
      <w:r w:rsidRPr="006B76EF">
        <w:rPr>
          <w:i/>
        </w:rPr>
        <w:t>See</w:t>
      </w:r>
      <w:r>
        <w:t xml:space="preserve"> OEG Ex. 3 </w:t>
      </w:r>
      <w:r w:rsidRPr="006B76EF">
        <w:rPr>
          <w:i/>
        </w:rPr>
        <w:t>passim</w:t>
      </w:r>
      <w:r>
        <w:t>; Tr. Vol. XI at 2591.</w:t>
      </w:r>
    </w:p>
  </w:footnote>
  <w:footnote w:id="99">
    <w:p w:rsidR="00072B32" w:rsidRDefault="00072B32" w:rsidP="00C15B0D">
      <w:pPr>
        <w:pStyle w:val="FootnoteText"/>
        <w:spacing w:after="120"/>
        <w:ind w:firstLine="0"/>
      </w:pPr>
      <w:r>
        <w:rPr>
          <w:rStyle w:val="FootnoteReference"/>
        </w:rPr>
        <w:footnoteRef/>
      </w:r>
      <w:r>
        <w:t xml:space="preserve"> AEP-Ohio Ex. 13 at Ex. AEM-1.</w:t>
      </w:r>
    </w:p>
  </w:footnote>
  <w:footnote w:id="100">
    <w:p w:rsidR="00072B32" w:rsidRDefault="00072B32" w:rsidP="00C15B0D">
      <w:pPr>
        <w:pStyle w:val="FootnoteText"/>
        <w:spacing w:after="120"/>
        <w:ind w:firstLine="0"/>
      </w:pPr>
      <w:r>
        <w:rPr>
          <w:rStyle w:val="FootnoteReference"/>
        </w:rPr>
        <w:footnoteRef/>
      </w:r>
      <w:r>
        <w:t xml:space="preserve"> Tr. Vol. I at 107-08.</w:t>
      </w:r>
    </w:p>
  </w:footnote>
  <w:footnote w:id="101">
    <w:p w:rsidR="00072B32" w:rsidRDefault="00072B32" w:rsidP="00C15B0D">
      <w:pPr>
        <w:pStyle w:val="FootnoteText"/>
        <w:spacing w:after="120"/>
        <w:ind w:firstLine="0"/>
      </w:pPr>
      <w:r>
        <w:rPr>
          <w:rStyle w:val="FootnoteReference"/>
        </w:rPr>
        <w:footnoteRef/>
      </w:r>
      <w:r>
        <w:t xml:space="preserve"> AEP-Ohio Ex. 2 at 3.</w:t>
      </w:r>
    </w:p>
  </w:footnote>
  <w:footnote w:id="102">
    <w:p w:rsidR="00072B32" w:rsidRDefault="00072B32" w:rsidP="00C15B0D">
      <w:pPr>
        <w:pStyle w:val="FootnoteText"/>
        <w:spacing w:after="120"/>
        <w:ind w:firstLine="0"/>
      </w:pPr>
      <w:r>
        <w:rPr>
          <w:rStyle w:val="FootnoteReference"/>
        </w:rPr>
        <w:footnoteRef/>
      </w:r>
      <w:r>
        <w:t xml:space="preserve"> Tr. Vol. I at 84; Tr. Vol. IV at 1172-73.</w:t>
      </w:r>
    </w:p>
  </w:footnote>
  <w:footnote w:id="103">
    <w:p w:rsidR="00072B32" w:rsidRDefault="00072B32" w:rsidP="00C15B0D">
      <w:pPr>
        <w:pStyle w:val="FootnoteText"/>
        <w:spacing w:after="120"/>
        <w:ind w:firstLine="0"/>
      </w:pPr>
      <w:r>
        <w:rPr>
          <w:rStyle w:val="FootnoteReference"/>
        </w:rPr>
        <w:footnoteRef/>
      </w:r>
      <w:r>
        <w:t xml:space="preserve"> </w:t>
      </w:r>
      <w:r w:rsidRPr="00981FBA">
        <w:rPr>
          <w:i/>
        </w:rPr>
        <w:t>In the Matter of the Application of Columbus Southern Power Company and Ohio Power Company for Authority to Establish a Standard Service Offer Pursuant to Section 4928.143, Revised Code, in the Form of an Electric Security Plan</w:t>
      </w:r>
      <w:r>
        <w:t xml:space="preserve">, Case Nos. 11-346-EL-SSO, </w:t>
      </w:r>
      <w:r w:rsidRPr="00981FBA">
        <w:rPr>
          <w:i/>
        </w:rPr>
        <w:t>et al</w:t>
      </w:r>
      <w:r>
        <w:t>., Opinion and Order at 26-38 (Aug. 8, 2012)</w:t>
      </w:r>
      <w:r w:rsidRPr="00981FBA">
        <w:t xml:space="preserve"> </w:t>
      </w:r>
      <w:r>
        <w:t>(“ESP II”).</w:t>
      </w:r>
    </w:p>
  </w:footnote>
  <w:footnote w:id="104">
    <w:p w:rsidR="00072B32" w:rsidRDefault="00072B32" w:rsidP="00C15B0D">
      <w:pPr>
        <w:pStyle w:val="FootnoteText"/>
        <w:spacing w:after="120"/>
        <w:ind w:firstLine="0"/>
      </w:pPr>
      <w:r>
        <w:rPr>
          <w:rStyle w:val="FootnoteReference"/>
        </w:rPr>
        <w:footnoteRef/>
      </w:r>
      <w:r>
        <w:t xml:space="preserve"> </w:t>
      </w:r>
      <w:r w:rsidRPr="00FE0711">
        <w:rPr>
          <w:i/>
        </w:rPr>
        <w:t>In</w:t>
      </w:r>
      <w:r>
        <w:t xml:space="preserve"> </w:t>
      </w:r>
      <w:r w:rsidRPr="00981FBA">
        <w:rPr>
          <w:i/>
        </w:rPr>
        <w:t>the Matter of the Application of Columbus Southern Power Company for Approval of an Electric Security Plan; an Amendment to its Corporate Separation Plan; and the Sale or Transfer of Certain Generating Assets</w:t>
      </w:r>
      <w:r>
        <w:t xml:space="preserve">, Case Nos. 08-917-EL-SSO, </w:t>
      </w:r>
      <w:r w:rsidRPr="00981FBA">
        <w:rPr>
          <w:i/>
        </w:rPr>
        <w:t>et al</w:t>
      </w:r>
      <w:r>
        <w:t xml:space="preserve">., Opinion and Order at 14 (Mar. 18, 2009).  As a result of the orders in the ESP II case, the Commission continued the existing fuel adjustment clause.  </w:t>
      </w:r>
      <w:r w:rsidRPr="00981FBA">
        <w:rPr>
          <w:i/>
        </w:rPr>
        <w:t>ESP II</w:t>
      </w:r>
      <w:r>
        <w:t xml:space="preserve">, Opinion and Order at 16 (Aug. 8, 2012).  In a proceeding to implement the orders requiring the blending of energy purchased at auction to serve the SSO, the Commission approved a provision in the fuel adjustment clause that permits AEP-Ohio to recover the OVEC demand costs.  </w:t>
      </w:r>
      <w:r w:rsidRPr="00981FBA">
        <w:rPr>
          <w:i/>
        </w:rPr>
        <w:t xml:space="preserve">In the Matter of the Application of Ohio Power Company to Establish a </w:t>
      </w:r>
      <w:r>
        <w:rPr>
          <w:i/>
        </w:rPr>
        <w:t>C</w:t>
      </w:r>
      <w:r w:rsidRPr="00981FBA">
        <w:rPr>
          <w:i/>
        </w:rPr>
        <w:t>ompetitive Bidding Process for Procurement of Energy to Support its Standard Service Offer</w:t>
      </w:r>
      <w:r>
        <w:t xml:space="preserve">, Case No. 12-3254-EL-UNC, Opinion and Order at 15-16 (Nov. 13, 2013).  There is an ongoing investigation as to whether AEP-Ohio may be double-recovering its demand-related costs associated with OVEC.  </w:t>
      </w:r>
      <w:r w:rsidRPr="00B239E2">
        <w:rPr>
          <w:i/>
        </w:rPr>
        <w:t>In the Matter of the Application of the Fuel Adjustment Clauses for Columbus Southern Power Company and Ohio Power Company and Related Matters</w:t>
      </w:r>
      <w:r>
        <w:t xml:space="preserve">, Case No. 11-5906-EL-FAC, </w:t>
      </w:r>
      <w:r w:rsidRPr="00B239E2">
        <w:rPr>
          <w:i/>
        </w:rPr>
        <w:t>et al</w:t>
      </w:r>
      <w:r>
        <w:t>., Entry (May 21, 2014) (appointment of auditor to review fuel adjustment clauses for double-recovery).</w:t>
      </w:r>
    </w:p>
  </w:footnote>
  <w:footnote w:id="105">
    <w:p w:rsidR="00072B32" w:rsidRDefault="00072B32" w:rsidP="00C15B0D">
      <w:pPr>
        <w:pStyle w:val="FootnoteText"/>
        <w:spacing w:after="120"/>
        <w:ind w:firstLine="0"/>
      </w:pPr>
      <w:r>
        <w:rPr>
          <w:rStyle w:val="FootnoteReference"/>
        </w:rPr>
        <w:footnoteRef/>
      </w:r>
      <w:r>
        <w:t xml:space="preserve"> Tr. Vol. I at 86; IEU-Ohio Ex. 3 at 4.</w:t>
      </w:r>
    </w:p>
  </w:footnote>
  <w:footnote w:id="106">
    <w:p w:rsidR="00072B32" w:rsidRDefault="00072B32" w:rsidP="00BE05E8">
      <w:pPr>
        <w:pStyle w:val="FootnoteText"/>
        <w:spacing w:after="120"/>
        <w:ind w:firstLine="0"/>
      </w:pPr>
      <w:r>
        <w:rPr>
          <w:rStyle w:val="FootnoteReference"/>
        </w:rPr>
        <w:footnoteRef/>
      </w:r>
      <w:r>
        <w:t xml:space="preserve"> Tr. Vol. I at 93.</w:t>
      </w:r>
    </w:p>
  </w:footnote>
  <w:footnote w:id="107">
    <w:p w:rsidR="00072B32" w:rsidRDefault="00072B32" w:rsidP="00C15B0D">
      <w:pPr>
        <w:pStyle w:val="FootnoteText"/>
        <w:spacing w:after="120"/>
        <w:ind w:firstLine="0"/>
      </w:pPr>
      <w:r>
        <w:rPr>
          <w:rStyle w:val="FootnoteReference"/>
        </w:rPr>
        <w:footnoteRef/>
      </w:r>
      <w:r>
        <w:t xml:space="preserve"> Tr. Vol. I at 91.</w:t>
      </w:r>
    </w:p>
  </w:footnote>
  <w:footnote w:id="108">
    <w:p w:rsidR="00072B32" w:rsidRDefault="00072B32" w:rsidP="00C15B0D">
      <w:pPr>
        <w:pStyle w:val="FootnoteText"/>
        <w:spacing w:after="120"/>
        <w:ind w:firstLine="0"/>
      </w:pPr>
      <w:r>
        <w:rPr>
          <w:rStyle w:val="FootnoteReference"/>
        </w:rPr>
        <w:footnoteRef/>
      </w:r>
      <w:r>
        <w:t xml:space="preserve"> Tr. Vol. I at 83-84.</w:t>
      </w:r>
    </w:p>
  </w:footnote>
  <w:footnote w:id="109">
    <w:p w:rsidR="00072B32" w:rsidRDefault="00072B32" w:rsidP="00C15B0D">
      <w:pPr>
        <w:pStyle w:val="FootnoteText"/>
        <w:spacing w:after="120"/>
        <w:ind w:firstLine="0"/>
      </w:pPr>
      <w:r>
        <w:rPr>
          <w:rStyle w:val="FootnoteReference"/>
        </w:rPr>
        <w:footnoteRef/>
      </w:r>
      <w:r>
        <w:t xml:space="preserve"> Staff Ex. 18 at 9.</w:t>
      </w:r>
    </w:p>
  </w:footnote>
  <w:footnote w:id="110">
    <w:p w:rsidR="00072B32" w:rsidRDefault="00072B32" w:rsidP="00C15B0D">
      <w:pPr>
        <w:pStyle w:val="FootnoteText"/>
        <w:spacing w:after="120"/>
        <w:ind w:firstLine="0"/>
      </w:pPr>
      <w:r>
        <w:rPr>
          <w:rStyle w:val="FootnoteReference"/>
        </w:rPr>
        <w:footnoteRef/>
      </w:r>
      <w:r>
        <w:t xml:space="preserve"> </w:t>
      </w:r>
      <w:r w:rsidRPr="001B59C3">
        <w:t>AEP-Ohio Ex</w:t>
      </w:r>
      <w:r>
        <w:t>. 32 at 10.</w:t>
      </w:r>
    </w:p>
  </w:footnote>
  <w:footnote w:id="111">
    <w:p w:rsidR="00072B32" w:rsidRDefault="00072B32" w:rsidP="00C15B0D">
      <w:pPr>
        <w:pStyle w:val="FootnoteText"/>
        <w:spacing w:after="120"/>
        <w:ind w:firstLine="0"/>
      </w:pPr>
      <w:r>
        <w:rPr>
          <w:rStyle w:val="FootnoteReference"/>
        </w:rPr>
        <w:footnoteRef/>
      </w:r>
      <w:r>
        <w:t xml:space="preserve"> R.C. 4928.02(A) &amp; (B).</w:t>
      </w:r>
    </w:p>
  </w:footnote>
  <w:footnote w:id="112">
    <w:p w:rsidR="00072B32" w:rsidRDefault="00072B32" w:rsidP="00C15B0D">
      <w:pPr>
        <w:pStyle w:val="FootnoteText"/>
        <w:spacing w:after="120"/>
        <w:ind w:firstLine="0"/>
      </w:pPr>
      <w:r>
        <w:rPr>
          <w:rStyle w:val="FootnoteReference"/>
        </w:rPr>
        <w:footnoteRef/>
      </w:r>
      <w:r>
        <w:t xml:space="preserve"> IEU-Ohio Ex. 16 </w:t>
      </w:r>
      <w:r w:rsidRPr="00A128E0">
        <w:rPr>
          <w:i/>
        </w:rPr>
        <w:t>passim</w:t>
      </w:r>
      <w:r>
        <w:t>; Tr. Vol. XIII at 3160-63.</w:t>
      </w:r>
    </w:p>
  </w:footnote>
  <w:footnote w:id="113">
    <w:p w:rsidR="00072B32" w:rsidRDefault="00072B32" w:rsidP="00C15B0D">
      <w:pPr>
        <w:pStyle w:val="FootnoteText"/>
        <w:spacing w:after="120"/>
        <w:ind w:firstLine="0"/>
      </w:pPr>
      <w:r>
        <w:rPr>
          <w:rStyle w:val="FootnoteReference"/>
        </w:rPr>
        <w:footnoteRef/>
      </w:r>
      <w:r>
        <w:t xml:space="preserve"> IEU-Ohio Ex. 16 at 3.  On the issue of risk management, Dr. LaCasse similarly suggested that the regulated utility is not well-suited to address management of market risk; she indicated that risk management is better left to CRES providers and auction bidders that understand and have resources directed toward risk management.  Tr. Vol. IV at 1148-49.</w:t>
      </w:r>
    </w:p>
  </w:footnote>
  <w:footnote w:id="114">
    <w:p w:rsidR="00072B32" w:rsidRDefault="00072B32" w:rsidP="00C15B0D">
      <w:pPr>
        <w:pStyle w:val="FootnoteText"/>
        <w:spacing w:after="120"/>
        <w:ind w:firstLine="0"/>
      </w:pPr>
      <w:r>
        <w:rPr>
          <w:rStyle w:val="FootnoteReference"/>
        </w:rPr>
        <w:footnoteRef/>
      </w:r>
      <w:r>
        <w:t xml:space="preserve"> Tr. Vol. XIII at 3092.</w:t>
      </w:r>
    </w:p>
  </w:footnote>
  <w:footnote w:id="115">
    <w:p w:rsidR="00072B32" w:rsidRDefault="00072B32" w:rsidP="00C15B0D">
      <w:pPr>
        <w:pStyle w:val="FootnoteText"/>
        <w:spacing w:after="120"/>
        <w:ind w:firstLine="0"/>
      </w:pPr>
      <w:r>
        <w:rPr>
          <w:rStyle w:val="FootnoteReference"/>
        </w:rPr>
        <w:footnoteRef/>
      </w:r>
      <w:r>
        <w:t xml:space="preserve"> Tr. Vol. XI at 2598.</w:t>
      </w:r>
    </w:p>
  </w:footnote>
  <w:footnote w:id="116">
    <w:p w:rsidR="00072B32" w:rsidRDefault="00072B32" w:rsidP="00C15B0D">
      <w:pPr>
        <w:pStyle w:val="FootnoteText"/>
        <w:spacing w:after="120"/>
        <w:ind w:firstLine="0"/>
      </w:pPr>
      <w:r>
        <w:rPr>
          <w:rStyle w:val="FootnoteReference"/>
        </w:rPr>
        <w:footnoteRef/>
      </w:r>
      <w:r>
        <w:t xml:space="preserve"> Tr. Vol. I at 110-11.</w:t>
      </w:r>
    </w:p>
  </w:footnote>
  <w:footnote w:id="117">
    <w:p w:rsidR="00072B32" w:rsidRDefault="00072B32" w:rsidP="00C15B0D">
      <w:pPr>
        <w:pStyle w:val="FootnoteText"/>
        <w:spacing w:after="120"/>
        <w:ind w:firstLine="0"/>
      </w:pPr>
      <w:r>
        <w:rPr>
          <w:rStyle w:val="FootnoteReference"/>
        </w:rPr>
        <w:footnoteRef/>
      </w:r>
      <w:r>
        <w:t xml:space="preserve"> </w:t>
      </w:r>
      <w:r w:rsidRPr="00111083">
        <w:rPr>
          <w:i/>
        </w:rPr>
        <w:t>See, e.g</w:t>
      </w:r>
      <w:r>
        <w:t>., Tr. Vol. II at 566; AEP-Ohio Ex. 7 at 10.</w:t>
      </w:r>
    </w:p>
  </w:footnote>
  <w:footnote w:id="118">
    <w:p w:rsidR="00072B32" w:rsidRDefault="00072B32" w:rsidP="00C15B0D">
      <w:pPr>
        <w:pStyle w:val="FootnoteText"/>
        <w:spacing w:after="120"/>
        <w:ind w:firstLine="0"/>
      </w:pPr>
      <w:r>
        <w:rPr>
          <w:rStyle w:val="FootnoteReference"/>
        </w:rPr>
        <w:footnoteRef/>
      </w:r>
      <w:r>
        <w:t xml:space="preserve"> Tr. Vol. XI at 2592.</w:t>
      </w:r>
    </w:p>
  </w:footnote>
  <w:footnote w:id="119">
    <w:p w:rsidR="00072B32" w:rsidRDefault="00072B32" w:rsidP="00C15B0D">
      <w:pPr>
        <w:pStyle w:val="FootnoteText"/>
        <w:spacing w:after="120"/>
        <w:ind w:firstLine="0"/>
      </w:pPr>
      <w:r>
        <w:rPr>
          <w:rStyle w:val="FootnoteReference"/>
        </w:rPr>
        <w:footnoteRef/>
      </w:r>
      <w:r>
        <w:t xml:space="preserve"> </w:t>
      </w:r>
      <w:r w:rsidRPr="008B4AE5">
        <w:t>Tr. Vol. XI</w:t>
      </w:r>
      <w:r>
        <w:t xml:space="preserve"> at 2594; IEU-Ohio Ex. 15.</w:t>
      </w:r>
    </w:p>
  </w:footnote>
  <w:footnote w:id="120">
    <w:p w:rsidR="00072B32" w:rsidRDefault="00072B32" w:rsidP="00C15B0D">
      <w:pPr>
        <w:pStyle w:val="FootnoteText"/>
        <w:spacing w:after="120"/>
        <w:ind w:firstLine="0"/>
      </w:pPr>
      <w:r>
        <w:rPr>
          <w:rStyle w:val="FootnoteReference"/>
        </w:rPr>
        <w:footnoteRef/>
      </w:r>
      <w:r>
        <w:t xml:space="preserve"> Tr. Vol. XIII at 3152; IEU-Ohio Ex. 14 </w:t>
      </w:r>
      <w:r w:rsidRPr="008A5889">
        <w:rPr>
          <w:i/>
        </w:rPr>
        <w:t>passim</w:t>
      </w:r>
      <w:r>
        <w:t>.</w:t>
      </w:r>
    </w:p>
  </w:footnote>
  <w:footnote w:id="121">
    <w:p w:rsidR="00072B32" w:rsidRDefault="00072B32" w:rsidP="00C15B0D">
      <w:pPr>
        <w:pStyle w:val="FootnoteText"/>
        <w:spacing w:after="120"/>
        <w:ind w:firstLine="0"/>
      </w:pPr>
      <w:r>
        <w:rPr>
          <w:rStyle w:val="FootnoteReference"/>
        </w:rPr>
        <w:footnoteRef/>
      </w:r>
      <w:r>
        <w:t xml:space="preserve"> Tr. Vol. XI at 2600-02.</w:t>
      </w:r>
    </w:p>
  </w:footnote>
  <w:footnote w:id="122">
    <w:p w:rsidR="00072B32" w:rsidRDefault="00072B32" w:rsidP="00C15B0D">
      <w:pPr>
        <w:pStyle w:val="FootnoteText"/>
        <w:spacing w:after="120"/>
        <w:ind w:firstLine="0"/>
      </w:pPr>
      <w:r>
        <w:rPr>
          <w:rStyle w:val="FootnoteReference"/>
        </w:rPr>
        <w:footnoteRef/>
      </w:r>
      <w:r>
        <w:t xml:space="preserve"> </w:t>
      </w:r>
      <w:r w:rsidRPr="00111083">
        <w:rPr>
          <w:i/>
        </w:rPr>
        <w:t>Corporate Separation Case</w:t>
      </w:r>
      <w:r w:rsidRPr="0096725F">
        <w:t>, Finding and Order at 9 (Dec. 4, 2013).</w:t>
      </w:r>
    </w:p>
  </w:footnote>
  <w:footnote w:id="123">
    <w:p w:rsidR="00072B32" w:rsidRDefault="00072B32" w:rsidP="00C15B0D">
      <w:pPr>
        <w:pStyle w:val="FootnoteText"/>
        <w:spacing w:after="120"/>
        <w:ind w:firstLine="0"/>
      </w:pPr>
      <w:r>
        <w:rPr>
          <w:rStyle w:val="FootnoteReference"/>
        </w:rPr>
        <w:footnoteRef/>
      </w:r>
      <w:r>
        <w:t xml:space="preserve"> Tr. Vol. II at 590.</w:t>
      </w:r>
    </w:p>
  </w:footnote>
  <w:footnote w:id="124">
    <w:p w:rsidR="00072B32" w:rsidRDefault="00072B32" w:rsidP="00C15B0D">
      <w:pPr>
        <w:pStyle w:val="FootnoteText"/>
        <w:spacing w:after="120"/>
        <w:ind w:firstLine="0"/>
      </w:pPr>
      <w:r>
        <w:rPr>
          <w:rStyle w:val="FootnoteReference"/>
        </w:rPr>
        <w:footnoteRef/>
      </w:r>
      <w:r>
        <w:t xml:space="preserve"> IEU-Ohio Ex. 1B at Ex. KMM-2, page 20-21; Tr. Vol. II at 579.</w:t>
      </w:r>
    </w:p>
  </w:footnote>
  <w:footnote w:id="125">
    <w:p w:rsidR="00072B32" w:rsidRDefault="00072B32" w:rsidP="00C15B0D">
      <w:pPr>
        <w:pStyle w:val="FootnoteText"/>
        <w:spacing w:after="120"/>
        <w:ind w:firstLine="0"/>
      </w:pPr>
      <w:r>
        <w:rPr>
          <w:rStyle w:val="FootnoteReference"/>
        </w:rPr>
        <w:footnoteRef/>
      </w:r>
      <w:r>
        <w:t xml:space="preserve"> IEU-Ohio Ex. 1B at KMM-2, page 4.</w:t>
      </w:r>
    </w:p>
  </w:footnote>
  <w:footnote w:id="126">
    <w:p w:rsidR="00072B32" w:rsidRDefault="00072B32" w:rsidP="00C15B0D">
      <w:pPr>
        <w:pStyle w:val="FootnoteText"/>
        <w:spacing w:after="120"/>
        <w:ind w:firstLine="0"/>
      </w:pPr>
      <w:r>
        <w:rPr>
          <w:rStyle w:val="FootnoteReference"/>
        </w:rPr>
        <w:footnoteRef/>
      </w:r>
      <w:r>
        <w:t xml:space="preserve"> Tr. Vol. II at 580-82.</w:t>
      </w:r>
    </w:p>
  </w:footnote>
  <w:footnote w:id="127">
    <w:p w:rsidR="00072B32" w:rsidRDefault="00072B32" w:rsidP="00C15B0D">
      <w:pPr>
        <w:pStyle w:val="FootnoteText"/>
        <w:spacing w:after="120"/>
        <w:ind w:firstLine="0"/>
      </w:pPr>
      <w:r>
        <w:rPr>
          <w:rStyle w:val="FootnoteReference"/>
        </w:rPr>
        <w:footnoteRef/>
      </w:r>
      <w:r>
        <w:t xml:space="preserve"> IEU-Ohio Ex. 1B at Ex. KMM-2, page 21-23.</w:t>
      </w:r>
    </w:p>
  </w:footnote>
  <w:footnote w:id="128">
    <w:p w:rsidR="00072B32" w:rsidRDefault="00072B32" w:rsidP="00C15B0D">
      <w:pPr>
        <w:pStyle w:val="FootnoteText"/>
        <w:spacing w:after="120"/>
        <w:ind w:firstLine="0"/>
      </w:pPr>
      <w:r>
        <w:rPr>
          <w:rStyle w:val="FootnoteReference"/>
        </w:rPr>
        <w:footnoteRef/>
      </w:r>
      <w:r>
        <w:t xml:space="preserve"> Tr. Vol. II at 591.</w:t>
      </w:r>
    </w:p>
  </w:footnote>
  <w:footnote w:id="129">
    <w:p w:rsidR="00072B32" w:rsidRDefault="00072B32" w:rsidP="00C15B0D">
      <w:pPr>
        <w:pStyle w:val="FootnoteText"/>
        <w:spacing w:after="120"/>
        <w:ind w:firstLine="0"/>
      </w:pPr>
      <w:r>
        <w:rPr>
          <w:rStyle w:val="FootnoteReference"/>
        </w:rPr>
        <w:footnoteRef/>
      </w:r>
      <w:r>
        <w:t xml:space="preserve"> IEU-Ohio Ex. 1B at 14.</w:t>
      </w:r>
    </w:p>
  </w:footnote>
  <w:footnote w:id="130">
    <w:p w:rsidR="00072B32" w:rsidRDefault="00072B32" w:rsidP="00C15B0D">
      <w:pPr>
        <w:pStyle w:val="FootnoteText"/>
        <w:spacing w:after="120"/>
        <w:ind w:firstLine="0"/>
      </w:pPr>
      <w:r>
        <w:rPr>
          <w:rStyle w:val="FootnoteReference"/>
        </w:rPr>
        <w:footnoteRef/>
      </w:r>
      <w:r>
        <w:t xml:space="preserve"> </w:t>
      </w:r>
      <w:r w:rsidRPr="008F5507">
        <w:rPr>
          <w:i/>
        </w:rPr>
        <w:t>Ohio Consumers’ Counsel v. Pub. Util. Comm’n of Ohio</w:t>
      </w:r>
      <w:r>
        <w:t>, 67 Ohio St.2d 153, 166 (1981).</w:t>
      </w:r>
    </w:p>
  </w:footnote>
  <w:footnote w:id="131">
    <w:p w:rsidR="00072B32" w:rsidRDefault="00072B32" w:rsidP="00C15B0D">
      <w:pPr>
        <w:pStyle w:val="FootnoteText"/>
        <w:spacing w:after="120"/>
        <w:ind w:firstLine="0"/>
      </w:pPr>
      <w:r>
        <w:rPr>
          <w:rStyle w:val="FootnoteReference"/>
        </w:rPr>
        <w:footnoteRef/>
      </w:r>
      <w:r>
        <w:t xml:space="preserve"> IEU-Ohio Ex. 1B at 27.</w:t>
      </w:r>
    </w:p>
  </w:footnote>
  <w:footnote w:id="132">
    <w:p w:rsidR="00072B32" w:rsidRDefault="00072B32" w:rsidP="00C15B0D">
      <w:pPr>
        <w:pStyle w:val="FootnoteText"/>
        <w:spacing w:after="120"/>
        <w:ind w:firstLine="0"/>
      </w:pPr>
      <w:r>
        <w:rPr>
          <w:rStyle w:val="FootnoteReference"/>
        </w:rPr>
        <w:footnoteRef/>
      </w:r>
      <w:r>
        <w:t xml:space="preserve"> AEP-Ohio Ex. 1 at 12-13; IEU-Ohio Ex. 1B at 28.  “Non-market based transmission charges” are identified by AEP-Ohio as the following items:  ID# 1100 Network Integration Transmission Service; ID# 1108 Transmission Enhancement; ID# 1320 Transmission Owner Scheduling, System Control and Dispatch Service; ID# 1330 Reactive Supply and Voltage Control from Generation and Other Source Service; ID# 1450 Load Reconciliation for Transmission Owner Scheduling, System Control and Dispatch Service; ID# 2130 Firm Point-to-Point Transmission Service; and ID# 2140 Non-Firm Point to-Point Transmission Service.  AEP-Ohio Ex. 15 at Att. F (highlighted items); </w:t>
      </w:r>
      <w:r w:rsidRPr="008B4AE5">
        <w:rPr>
          <w:i/>
        </w:rPr>
        <w:t>see, also</w:t>
      </w:r>
      <w:r>
        <w:t>, IEU-Ohio Ex. 10.</w:t>
      </w:r>
    </w:p>
  </w:footnote>
  <w:footnote w:id="133">
    <w:p w:rsidR="00072B32" w:rsidRDefault="00072B32" w:rsidP="00C15B0D">
      <w:pPr>
        <w:pStyle w:val="FootnoteText"/>
        <w:spacing w:after="120"/>
        <w:ind w:firstLine="0"/>
      </w:pPr>
      <w:r>
        <w:rPr>
          <w:rStyle w:val="FootnoteReference"/>
        </w:rPr>
        <w:footnoteRef/>
      </w:r>
      <w:r>
        <w:t xml:space="preserve"> IEU-Ohio Ex. 1B at 28.</w:t>
      </w:r>
    </w:p>
  </w:footnote>
  <w:footnote w:id="134">
    <w:p w:rsidR="00072B32" w:rsidRDefault="00072B32" w:rsidP="00C15B0D">
      <w:pPr>
        <w:pStyle w:val="FootnoteText"/>
        <w:spacing w:after="120"/>
        <w:ind w:firstLine="0"/>
      </w:pPr>
      <w:r>
        <w:rPr>
          <w:rStyle w:val="FootnoteReference"/>
        </w:rPr>
        <w:footnoteRef/>
      </w:r>
      <w:r>
        <w:t xml:space="preserve"> </w:t>
      </w:r>
      <w:r w:rsidRPr="00FE7E15">
        <w:rPr>
          <w:i/>
        </w:rPr>
        <w:t>Id</w:t>
      </w:r>
      <w:r>
        <w:t>.</w:t>
      </w:r>
    </w:p>
  </w:footnote>
  <w:footnote w:id="135">
    <w:p w:rsidR="00072B32" w:rsidRDefault="00072B32" w:rsidP="00C15B0D">
      <w:pPr>
        <w:pStyle w:val="FootnoteText"/>
        <w:spacing w:after="120"/>
        <w:ind w:firstLine="0"/>
      </w:pPr>
      <w:r>
        <w:rPr>
          <w:rStyle w:val="FootnoteReference"/>
        </w:rPr>
        <w:footnoteRef/>
      </w:r>
      <w:r>
        <w:t xml:space="preserve"> AEP-Ohio Ex. 2 at 12.</w:t>
      </w:r>
    </w:p>
  </w:footnote>
  <w:footnote w:id="136">
    <w:p w:rsidR="00072B32" w:rsidRDefault="00072B32" w:rsidP="00C15B0D">
      <w:pPr>
        <w:pStyle w:val="FootnoteText"/>
        <w:spacing w:after="120"/>
        <w:ind w:firstLine="0"/>
        <w:rPr>
          <w:i/>
        </w:rPr>
      </w:pPr>
      <w:r>
        <w:rPr>
          <w:rStyle w:val="FootnoteReference"/>
        </w:rPr>
        <w:footnoteRef/>
      </w:r>
      <w:r>
        <w:t xml:space="preserve"> </w:t>
      </w:r>
      <w:r>
        <w:rPr>
          <w:i/>
        </w:rPr>
        <w:t>Id.</w:t>
      </w:r>
    </w:p>
  </w:footnote>
  <w:footnote w:id="137">
    <w:p w:rsidR="00072B32" w:rsidRDefault="00072B32" w:rsidP="00C15B0D">
      <w:pPr>
        <w:pStyle w:val="FootnoteText"/>
        <w:spacing w:after="120"/>
        <w:ind w:firstLine="0"/>
        <w:rPr>
          <w:i/>
        </w:rPr>
      </w:pPr>
      <w:r>
        <w:rPr>
          <w:rStyle w:val="FootnoteReference"/>
        </w:rPr>
        <w:footnoteRef/>
      </w:r>
      <w:r>
        <w:t xml:space="preserve"> </w:t>
      </w:r>
      <w:r>
        <w:rPr>
          <w:i/>
        </w:rPr>
        <w:t>Id.</w:t>
      </w:r>
    </w:p>
  </w:footnote>
  <w:footnote w:id="138">
    <w:p w:rsidR="00072B32" w:rsidRDefault="00072B32" w:rsidP="00994B80">
      <w:pPr>
        <w:pStyle w:val="FootnoteText"/>
        <w:spacing w:after="120"/>
        <w:ind w:firstLine="0"/>
      </w:pPr>
      <w:r>
        <w:rPr>
          <w:rStyle w:val="FootnoteReference"/>
        </w:rPr>
        <w:footnoteRef/>
      </w:r>
      <w:r>
        <w:t xml:space="preserve"> IEU-Ohio Ex. 1B at 29.</w:t>
      </w:r>
    </w:p>
  </w:footnote>
  <w:footnote w:id="139">
    <w:p w:rsidR="00072B32" w:rsidRDefault="00072B32" w:rsidP="00994B80">
      <w:pPr>
        <w:pStyle w:val="FootnoteText"/>
        <w:spacing w:after="120"/>
        <w:ind w:firstLine="0"/>
      </w:pPr>
      <w:r>
        <w:rPr>
          <w:rStyle w:val="FootnoteReference"/>
        </w:rPr>
        <w:footnoteRef/>
      </w:r>
      <w:r>
        <w:t xml:space="preserve"> </w:t>
      </w:r>
      <w:r w:rsidRPr="0091450D">
        <w:rPr>
          <w:i/>
        </w:rPr>
        <w:t>Id</w:t>
      </w:r>
      <w:r>
        <w:t>.</w:t>
      </w:r>
    </w:p>
  </w:footnote>
  <w:footnote w:id="140">
    <w:p w:rsidR="00072B32" w:rsidRDefault="00072B32" w:rsidP="00994B80">
      <w:pPr>
        <w:pStyle w:val="FootnoteText"/>
        <w:spacing w:after="120"/>
        <w:ind w:firstLine="0"/>
      </w:pPr>
      <w:r>
        <w:rPr>
          <w:rStyle w:val="FootnoteReference"/>
        </w:rPr>
        <w:footnoteRef/>
      </w:r>
      <w:r>
        <w:t xml:space="preserve"> IEU-Ohio Ex. 10; Tr. Vol. IV at 1056-60.</w:t>
      </w:r>
    </w:p>
  </w:footnote>
  <w:footnote w:id="141">
    <w:p w:rsidR="00072B32" w:rsidRDefault="00072B32" w:rsidP="00994B80">
      <w:pPr>
        <w:pStyle w:val="FootnoteText"/>
        <w:spacing w:after="120"/>
        <w:ind w:firstLine="0"/>
      </w:pPr>
      <w:r>
        <w:rPr>
          <w:rStyle w:val="FootnoteReference"/>
        </w:rPr>
        <w:footnoteRef/>
      </w:r>
      <w:r>
        <w:t xml:space="preserve"> IEU-Ohio Ex. 10.</w:t>
      </w:r>
    </w:p>
  </w:footnote>
  <w:footnote w:id="142">
    <w:p w:rsidR="00072B32" w:rsidRDefault="00072B32" w:rsidP="00994B80">
      <w:pPr>
        <w:pStyle w:val="FootnoteText"/>
        <w:spacing w:after="120"/>
        <w:ind w:firstLine="0"/>
      </w:pPr>
      <w:r>
        <w:rPr>
          <w:rStyle w:val="FootnoteReference"/>
        </w:rPr>
        <w:footnoteRef/>
      </w:r>
      <w:r>
        <w:t xml:space="preserve"> IEU-Ohio Ex. 1B at 30.</w:t>
      </w:r>
    </w:p>
  </w:footnote>
  <w:footnote w:id="143">
    <w:p w:rsidR="00072B32" w:rsidRPr="00263149" w:rsidRDefault="00072B32" w:rsidP="00994B80">
      <w:pPr>
        <w:spacing w:after="120" w:line="240" w:lineRule="auto"/>
        <w:ind w:firstLine="0"/>
        <w:rPr>
          <w:rFonts w:cs="Arial"/>
        </w:rPr>
      </w:pPr>
      <w:r>
        <w:rPr>
          <w:rStyle w:val="FootnoteReference"/>
        </w:rPr>
        <w:footnoteRef/>
      </w:r>
      <w:r>
        <w:t xml:space="preserve"> </w:t>
      </w:r>
      <w:r w:rsidRPr="00263149">
        <w:rPr>
          <w:rFonts w:cs="Arial"/>
          <w:sz w:val="20"/>
          <w:szCs w:val="20"/>
        </w:rPr>
        <w:t xml:space="preserve">Tr. </w:t>
      </w:r>
      <w:r>
        <w:rPr>
          <w:rFonts w:cs="Arial"/>
          <w:sz w:val="20"/>
          <w:szCs w:val="20"/>
        </w:rPr>
        <w:t>Vol. VI at 1390-</w:t>
      </w:r>
      <w:r w:rsidRPr="00263149">
        <w:rPr>
          <w:rFonts w:cs="Arial"/>
          <w:sz w:val="20"/>
          <w:szCs w:val="20"/>
        </w:rPr>
        <w:t xml:space="preserve">92.  </w:t>
      </w:r>
      <w:r w:rsidRPr="00263149">
        <w:rPr>
          <w:sz w:val="20"/>
          <w:szCs w:val="20"/>
        </w:rPr>
        <w:t xml:space="preserve">Mr. Campbell testified that when FirstEnergy’s distribution utilities became responsible for providing </w:t>
      </w:r>
      <w:r>
        <w:rPr>
          <w:sz w:val="20"/>
          <w:szCs w:val="20"/>
        </w:rPr>
        <w:t>Network Integration Transmission Service (“</w:t>
      </w:r>
      <w:r w:rsidRPr="00263149">
        <w:rPr>
          <w:sz w:val="20"/>
          <w:szCs w:val="20"/>
        </w:rPr>
        <w:t>NITS</w:t>
      </w:r>
      <w:r>
        <w:rPr>
          <w:sz w:val="20"/>
          <w:szCs w:val="20"/>
        </w:rPr>
        <w:t xml:space="preserve">”) </w:t>
      </w:r>
      <w:r w:rsidRPr="00263149">
        <w:rPr>
          <w:sz w:val="20"/>
          <w:szCs w:val="20"/>
        </w:rPr>
        <w:t>service in Pennsylvania, a service that had been provided by the competitive suppliers, Constellation credited customers with fixed contracts to remove the NITS cost that would be recovered from the utility.  Mr. Campbell further testified that he thinks it would be appropriate to do the same thing if the BTCR is approved, but indicated that Constellation had not yet agreed to do that, nor was he in a position to bind the c</w:t>
      </w:r>
      <w:r>
        <w:rPr>
          <w:sz w:val="20"/>
          <w:szCs w:val="20"/>
        </w:rPr>
        <w:t>ompany.  Tr. Vol. VII at 1577-</w:t>
      </w:r>
      <w:r w:rsidRPr="00263149">
        <w:rPr>
          <w:sz w:val="20"/>
          <w:szCs w:val="20"/>
        </w:rPr>
        <w:t>79.</w:t>
      </w:r>
    </w:p>
  </w:footnote>
  <w:footnote w:id="144">
    <w:p w:rsidR="00072B32" w:rsidRDefault="00072B32" w:rsidP="00994B80">
      <w:pPr>
        <w:pStyle w:val="FootnoteText"/>
        <w:spacing w:after="120"/>
        <w:ind w:firstLine="0"/>
      </w:pPr>
      <w:r>
        <w:rPr>
          <w:rStyle w:val="FootnoteReference"/>
        </w:rPr>
        <w:footnoteRef/>
      </w:r>
      <w:r>
        <w:t xml:space="preserve"> AEP-Ohio Ex. 2 at 11.</w:t>
      </w:r>
    </w:p>
  </w:footnote>
  <w:footnote w:id="145">
    <w:p w:rsidR="00072B32" w:rsidRDefault="00072B32" w:rsidP="00C15B0D">
      <w:pPr>
        <w:pStyle w:val="FootnoteText"/>
        <w:spacing w:after="120"/>
        <w:ind w:firstLine="0"/>
      </w:pPr>
      <w:r>
        <w:rPr>
          <w:rStyle w:val="FootnoteReference"/>
        </w:rPr>
        <w:footnoteRef/>
      </w:r>
      <w:r>
        <w:t xml:space="preserve"> IEU-Ohio Ex. 1B at 31.</w:t>
      </w:r>
    </w:p>
  </w:footnote>
  <w:footnote w:id="146">
    <w:p w:rsidR="00072B32" w:rsidRPr="009347C8" w:rsidRDefault="00072B32" w:rsidP="00C15B0D">
      <w:pPr>
        <w:pStyle w:val="FootnoteText"/>
        <w:spacing w:after="120"/>
        <w:ind w:firstLine="0"/>
        <w:rPr>
          <w:i/>
        </w:rPr>
      </w:pPr>
      <w:r>
        <w:rPr>
          <w:rStyle w:val="FootnoteReference"/>
        </w:rPr>
        <w:footnoteRef/>
      </w:r>
      <w:r>
        <w:t xml:space="preserve"> </w:t>
      </w:r>
      <w:r>
        <w:rPr>
          <w:i/>
        </w:rPr>
        <w:t>Id.</w:t>
      </w:r>
    </w:p>
  </w:footnote>
  <w:footnote w:id="147">
    <w:p w:rsidR="00072B32" w:rsidRPr="009347C8" w:rsidRDefault="00072B32" w:rsidP="00C15B0D">
      <w:pPr>
        <w:pStyle w:val="FootnoteText"/>
        <w:spacing w:after="120"/>
        <w:ind w:firstLine="0"/>
        <w:rPr>
          <w:i/>
        </w:rPr>
      </w:pPr>
      <w:r>
        <w:rPr>
          <w:rStyle w:val="FootnoteReference"/>
        </w:rPr>
        <w:footnoteRef/>
      </w:r>
      <w:r>
        <w:t xml:space="preserve"> </w:t>
      </w:r>
      <w:r>
        <w:rPr>
          <w:i/>
        </w:rPr>
        <w:t>Id.</w:t>
      </w:r>
    </w:p>
  </w:footnote>
  <w:footnote w:id="148">
    <w:p w:rsidR="00072B32" w:rsidRPr="009347C8" w:rsidRDefault="00072B32" w:rsidP="00C15B0D">
      <w:pPr>
        <w:pStyle w:val="FootnoteText"/>
        <w:spacing w:after="120"/>
        <w:ind w:firstLine="0"/>
        <w:rPr>
          <w:i/>
        </w:rPr>
      </w:pPr>
      <w:r>
        <w:rPr>
          <w:rStyle w:val="FootnoteReference"/>
        </w:rPr>
        <w:footnoteRef/>
      </w:r>
      <w:r>
        <w:t xml:space="preserve"> </w:t>
      </w:r>
      <w:r>
        <w:rPr>
          <w:i/>
        </w:rPr>
        <w:t>Id.</w:t>
      </w:r>
    </w:p>
  </w:footnote>
  <w:footnote w:id="149">
    <w:p w:rsidR="00072B32" w:rsidRDefault="00072B32" w:rsidP="00C15B0D">
      <w:pPr>
        <w:pStyle w:val="FootnoteText"/>
        <w:spacing w:after="120"/>
        <w:ind w:firstLine="0"/>
      </w:pPr>
      <w:r>
        <w:rPr>
          <w:rStyle w:val="FootnoteReference"/>
        </w:rPr>
        <w:footnoteRef/>
      </w:r>
      <w:r>
        <w:t xml:space="preserve"> Tr. Vol. IV at 1061-63.</w:t>
      </w:r>
    </w:p>
  </w:footnote>
  <w:footnote w:id="150">
    <w:p w:rsidR="00072B32" w:rsidRPr="00CF46B0" w:rsidRDefault="00072B32" w:rsidP="00C15B0D">
      <w:pPr>
        <w:pStyle w:val="FootnoteText"/>
        <w:spacing w:after="120"/>
        <w:ind w:firstLine="0"/>
      </w:pPr>
      <w:r>
        <w:rPr>
          <w:rStyle w:val="FootnoteReference"/>
        </w:rPr>
        <w:footnoteRef/>
      </w:r>
      <w:r>
        <w:t xml:space="preserve"> </w:t>
      </w:r>
      <w:r w:rsidRPr="008B4AE5">
        <w:t>Tr. Vol. IV</w:t>
      </w:r>
      <w:r>
        <w:t xml:space="preserve"> at 1064-65; AEP-Ohio Ex. 13 at AEM-3.</w:t>
      </w:r>
    </w:p>
  </w:footnote>
  <w:footnote w:id="151">
    <w:p w:rsidR="00072B32" w:rsidRDefault="00072B32" w:rsidP="00C15B0D">
      <w:pPr>
        <w:pStyle w:val="FootnoteText"/>
        <w:spacing w:after="120"/>
        <w:ind w:firstLine="0"/>
      </w:pPr>
      <w:r>
        <w:rPr>
          <w:rStyle w:val="FootnoteReference"/>
        </w:rPr>
        <w:footnoteRef/>
      </w:r>
      <w:r>
        <w:t xml:space="preserve"> Tr. Vol. IV at 1066-67.</w:t>
      </w:r>
    </w:p>
  </w:footnote>
  <w:footnote w:id="152">
    <w:p w:rsidR="00072B32" w:rsidRPr="00D125F2" w:rsidRDefault="00072B32" w:rsidP="00C15B0D">
      <w:pPr>
        <w:pStyle w:val="FootnoteText"/>
        <w:spacing w:after="120"/>
        <w:ind w:firstLine="0"/>
      </w:pPr>
      <w:r>
        <w:rPr>
          <w:rStyle w:val="FootnoteReference"/>
        </w:rPr>
        <w:footnoteRef/>
      </w:r>
      <w:r>
        <w:t xml:space="preserve"> </w:t>
      </w:r>
      <w:r w:rsidRPr="003915FB">
        <w:t>Tr. Vol. IV</w:t>
      </w:r>
      <w:r>
        <w:t xml:space="preserve"> at 1067.</w:t>
      </w:r>
    </w:p>
  </w:footnote>
  <w:footnote w:id="153">
    <w:p w:rsidR="00072B32" w:rsidRPr="00C85FCD" w:rsidRDefault="00072B32" w:rsidP="00C15B0D">
      <w:pPr>
        <w:pStyle w:val="FootnoteText"/>
        <w:spacing w:after="120"/>
        <w:ind w:firstLine="0"/>
      </w:pPr>
      <w:r>
        <w:rPr>
          <w:rStyle w:val="FootnoteReference"/>
        </w:rPr>
        <w:footnoteRef/>
      </w:r>
      <w:r>
        <w:t xml:space="preserve"> </w:t>
      </w:r>
      <w:r w:rsidRPr="003915FB">
        <w:t>Tr. Vol. IV at 1067</w:t>
      </w:r>
      <w:r>
        <w:t>; IEU-Ohio Ex. 1B at 32.</w:t>
      </w:r>
    </w:p>
  </w:footnote>
  <w:footnote w:id="154">
    <w:p w:rsidR="00072B32" w:rsidRDefault="00072B32" w:rsidP="00C15B0D">
      <w:pPr>
        <w:pStyle w:val="FootnoteText"/>
        <w:spacing w:after="120"/>
        <w:ind w:firstLine="0"/>
      </w:pPr>
      <w:r>
        <w:rPr>
          <w:rStyle w:val="FootnoteReference"/>
        </w:rPr>
        <w:footnoteRef/>
      </w:r>
      <w:r>
        <w:t xml:space="preserve"> </w:t>
      </w:r>
      <w:r w:rsidRPr="003915FB">
        <w:t>IEU-Ohio Ex. 1B at 32.</w:t>
      </w:r>
    </w:p>
  </w:footnote>
  <w:footnote w:id="155">
    <w:p w:rsidR="00072B32" w:rsidRDefault="00072B32" w:rsidP="00C15B0D">
      <w:pPr>
        <w:pStyle w:val="FootnoteText"/>
        <w:spacing w:after="120"/>
        <w:ind w:firstLine="0"/>
      </w:pPr>
      <w:r>
        <w:rPr>
          <w:rStyle w:val="FootnoteReference"/>
        </w:rPr>
        <w:footnoteRef/>
      </w:r>
      <w:r>
        <w:t xml:space="preserve"> </w:t>
      </w:r>
      <w:r w:rsidRPr="003915FB">
        <w:rPr>
          <w:i/>
        </w:rPr>
        <w:t>Id</w:t>
      </w:r>
      <w:r>
        <w:t>.</w:t>
      </w:r>
    </w:p>
  </w:footnote>
  <w:footnote w:id="156">
    <w:p w:rsidR="00072B32" w:rsidRDefault="00072B32" w:rsidP="00C15B0D">
      <w:pPr>
        <w:pStyle w:val="FootnoteText"/>
        <w:spacing w:after="120"/>
        <w:ind w:firstLine="0"/>
      </w:pPr>
      <w:r>
        <w:rPr>
          <w:rStyle w:val="FootnoteReference"/>
        </w:rPr>
        <w:footnoteRef/>
      </w:r>
      <w:r>
        <w:t xml:space="preserve"> </w:t>
      </w:r>
      <w:r w:rsidRPr="0091450D">
        <w:rPr>
          <w:i/>
        </w:rPr>
        <w:t>Id</w:t>
      </w:r>
      <w:r>
        <w:t>.</w:t>
      </w:r>
    </w:p>
  </w:footnote>
  <w:footnote w:id="157">
    <w:p w:rsidR="00072B32" w:rsidRDefault="00072B32" w:rsidP="00C15B0D">
      <w:pPr>
        <w:pStyle w:val="FootnoteText"/>
        <w:spacing w:after="120"/>
        <w:ind w:firstLine="0"/>
      </w:pPr>
      <w:r>
        <w:rPr>
          <w:rStyle w:val="FootnoteReference"/>
        </w:rPr>
        <w:footnoteRef/>
      </w:r>
      <w:r>
        <w:t xml:space="preserve"> IGS Ex. 3 at 4.</w:t>
      </w:r>
    </w:p>
  </w:footnote>
  <w:footnote w:id="158">
    <w:p w:rsidR="00072B32" w:rsidRDefault="00072B32" w:rsidP="00A25939">
      <w:pPr>
        <w:pStyle w:val="FootnoteText"/>
        <w:ind w:firstLine="0"/>
      </w:pPr>
      <w:r>
        <w:rPr>
          <w:rStyle w:val="FootnoteReference"/>
        </w:rPr>
        <w:footnoteRef/>
      </w:r>
      <w:r>
        <w:t xml:space="preserve"> Tr. Vol. III at 869.  The transcript states that there are 46 “customers” that have one or more active customers.  From the context, it is clear that the reference is to CRES providers.</w:t>
      </w:r>
    </w:p>
  </w:footnote>
  <w:footnote w:id="159">
    <w:p w:rsidR="00072B32" w:rsidRDefault="00072B32" w:rsidP="00C15B0D">
      <w:pPr>
        <w:pStyle w:val="FootnoteText"/>
        <w:spacing w:after="120"/>
        <w:ind w:firstLine="0"/>
      </w:pPr>
      <w:r>
        <w:rPr>
          <w:rStyle w:val="FootnoteReference"/>
        </w:rPr>
        <w:footnoteRef/>
      </w:r>
      <w:r>
        <w:t xml:space="preserve"> AEP-Ohio Ex. 11 at 3-4 &amp; 6-8; IEU-Ohio Ex. 2 at 3-5.</w:t>
      </w:r>
    </w:p>
  </w:footnote>
  <w:footnote w:id="160">
    <w:p w:rsidR="00072B32" w:rsidRDefault="00072B32" w:rsidP="00C15B0D">
      <w:pPr>
        <w:pStyle w:val="FootnoteText"/>
        <w:spacing w:after="120"/>
        <w:ind w:firstLine="0"/>
      </w:pPr>
      <w:r>
        <w:rPr>
          <w:rStyle w:val="FootnoteReference"/>
        </w:rPr>
        <w:footnoteRef/>
      </w:r>
      <w:r>
        <w:t xml:space="preserve"> AEP-Ohio Ex. 11 at 4-5.</w:t>
      </w:r>
    </w:p>
  </w:footnote>
  <w:footnote w:id="161">
    <w:p w:rsidR="00072B32" w:rsidRDefault="00072B32" w:rsidP="00C15B0D">
      <w:pPr>
        <w:pStyle w:val="FootnoteText"/>
        <w:spacing w:after="120"/>
        <w:ind w:firstLine="0"/>
      </w:pPr>
      <w:r>
        <w:rPr>
          <w:rStyle w:val="FootnoteReference"/>
        </w:rPr>
        <w:footnoteRef/>
      </w:r>
      <w:r w:rsidRPr="0065358A">
        <w:rPr>
          <w:i/>
        </w:rPr>
        <w:t xml:space="preserve"> Id.</w:t>
      </w:r>
      <w:r>
        <w:t xml:space="preserve"> at 5-6.</w:t>
      </w:r>
    </w:p>
  </w:footnote>
  <w:footnote w:id="162">
    <w:p w:rsidR="00072B32" w:rsidRDefault="00072B32" w:rsidP="00C15B0D">
      <w:pPr>
        <w:pStyle w:val="FootnoteText"/>
        <w:spacing w:after="120"/>
        <w:ind w:firstLine="0"/>
      </w:pPr>
      <w:r>
        <w:rPr>
          <w:rStyle w:val="FootnoteReference"/>
        </w:rPr>
        <w:footnoteRef/>
      </w:r>
      <w:r w:rsidRPr="0065358A">
        <w:rPr>
          <w:i/>
        </w:rPr>
        <w:t xml:space="preserve"> Id.</w:t>
      </w:r>
      <w:r>
        <w:t xml:space="preserve"> at 6.</w:t>
      </w:r>
    </w:p>
  </w:footnote>
  <w:footnote w:id="163">
    <w:p w:rsidR="00072B32" w:rsidRDefault="00072B32" w:rsidP="00C15B0D">
      <w:pPr>
        <w:pStyle w:val="FootnoteText"/>
        <w:spacing w:after="120"/>
        <w:ind w:firstLine="0"/>
      </w:pPr>
      <w:r>
        <w:rPr>
          <w:rStyle w:val="FootnoteReference"/>
        </w:rPr>
        <w:footnoteRef/>
      </w:r>
      <w:r>
        <w:t xml:space="preserve"> </w:t>
      </w:r>
      <w:r w:rsidRPr="008B4AE5">
        <w:rPr>
          <w:i/>
        </w:rPr>
        <w:t>Id</w:t>
      </w:r>
      <w:r>
        <w:t>.</w:t>
      </w:r>
      <w:r w:rsidRPr="00396F6C">
        <w:t xml:space="preserve"> at </w:t>
      </w:r>
      <w:r>
        <w:t>8-10.</w:t>
      </w:r>
    </w:p>
  </w:footnote>
  <w:footnote w:id="164">
    <w:p w:rsidR="00072B32" w:rsidRDefault="00072B32" w:rsidP="00C15B0D">
      <w:pPr>
        <w:pStyle w:val="FootnoteText"/>
        <w:spacing w:after="120"/>
        <w:ind w:firstLine="0"/>
      </w:pPr>
      <w:r>
        <w:rPr>
          <w:rStyle w:val="FootnoteReference"/>
        </w:rPr>
        <w:footnoteRef/>
      </w:r>
      <w:r w:rsidRPr="0065358A">
        <w:rPr>
          <w:i/>
        </w:rPr>
        <w:t xml:space="preserve"> Id.</w:t>
      </w:r>
      <w:r>
        <w:t xml:space="preserve"> at 8-9.</w:t>
      </w:r>
    </w:p>
  </w:footnote>
  <w:footnote w:id="165">
    <w:p w:rsidR="00072B32" w:rsidRDefault="00072B32" w:rsidP="00C15B0D">
      <w:pPr>
        <w:pStyle w:val="FootnoteText"/>
        <w:spacing w:after="120"/>
        <w:ind w:firstLine="0"/>
      </w:pPr>
      <w:r>
        <w:rPr>
          <w:rStyle w:val="FootnoteReference"/>
        </w:rPr>
        <w:footnoteRef/>
      </w:r>
      <w:r>
        <w:t xml:space="preserve"> AEP-Ohio Ex. 7 at 4-5; AEP-Ohio Ex. 11 at 4-5.</w:t>
      </w:r>
    </w:p>
  </w:footnote>
  <w:footnote w:id="166">
    <w:p w:rsidR="00072B32" w:rsidRDefault="00072B32" w:rsidP="00C15B0D">
      <w:pPr>
        <w:pStyle w:val="FootnoteText"/>
        <w:spacing w:after="120"/>
        <w:ind w:firstLine="0"/>
      </w:pPr>
      <w:r>
        <w:rPr>
          <w:rStyle w:val="FootnoteReference"/>
        </w:rPr>
        <w:footnoteRef/>
      </w:r>
      <w:r>
        <w:t xml:space="preserve"> Tr. Vol. III at 872.</w:t>
      </w:r>
    </w:p>
  </w:footnote>
  <w:footnote w:id="167">
    <w:p w:rsidR="00072B32" w:rsidRDefault="00072B32" w:rsidP="00C15B0D">
      <w:pPr>
        <w:pStyle w:val="FootnoteText"/>
        <w:spacing w:after="120"/>
        <w:ind w:firstLine="0"/>
      </w:pPr>
      <w:r>
        <w:rPr>
          <w:rStyle w:val="FootnoteReference"/>
        </w:rPr>
        <w:footnoteRef/>
      </w:r>
      <w:r>
        <w:t xml:space="preserve"> </w:t>
      </w:r>
      <w:r w:rsidRPr="00E52F2D">
        <w:rPr>
          <w:sz w:val="24"/>
          <w:szCs w:val="24"/>
        </w:rPr>
        <w:t xml:space="preserve"> </w:t>
      </w:r>
      <w:r w:rsidRPr="00E52F2D">
        <w:t>Tr. Vol. III</w:t>
      </w:r>
      <w:r>
        <w:t xml:space="preserve"> at 873.</w:t>
      </w:r>
    </w:p>
  </w:footnote>
  <w:footnote w:id="168">
    <w:p w:rsidR="00072B32" w:rsidRDefault="00072B32" w:rsidP="00C15B0D">
      <w:pPr>
        <w:pStyle w:val="FootnoteText"/>
        <w:spacing w:after="120"/>
        <w:ind w:firstLine="0"/>
      </w:pPr>
      <w:r>
        <w:rPr>
          <w:rStyle w:val="FootnoteReference"/>
        </w:rPr>
        <w:footnoteRef/>
      </w:r>
      <w:r>
        <w:t xml:space="preserve"> Tr. Vol. XI at 2659-64.</w:t>
      </w:r>
    </w:p>
  </w:footnote>
  <w:footnote w:id="169">
    <w:p w:rsidR="00072B32" w:rsidRDefault="00072B32" w:rsidP="00C15B0D">
      <w:pPr>
        <w:pStyle w:val="FootnoteText"/>
        <w:spacing w:after="120"/>
        <w:ind w:firstLine="0"/>
      </w:pPr>
      <w:r>
        <w:rPr>
          <w:rStyle w:val="FootnoteReference"/>
        </w:rPr>
        <w:footnoteRef/>
      </w:r>
      <w:r>
        <w:t xml:space="preserve"> Tr. Vol. III at 869.</w:t>
      </w:r>
    </w:p>
  </w:footnote>
  <w:footnote w:id="170">
    <w:p w:rsidR="00072B32" w:rsidRDefault="00072B32" w:rsidP="00C15B0D">
      <w:pPr>
        <w:pStyle w:val="FootnoteText"/>
        <w:spacing w:after="120"/>
        <w:ind w:firstLine="0"/>
      </w:pPr>
      <w:r>
        <w:rPr>
          <w:rStyle w:val="FootnoteReference"/>
        </w:rPr>
        <w:footnoteRef/>
      </w:r>
      <w:r>
        <w:t xml:space="preserve"> AEP-Ohio Ex. 33 at WAA-R3.</w:t>
      </w:r>
    </w:p>
  </w:footnote>
  <w:footnote w:id="171">
    <w:p w:rsidR="00072B32" w:rsidRDefault="00072B32" w:rsidP="00C15B0D">
      <w:pPr>
        <w:pStyle w:val="FootnoteText"/>
        <w:spacing w:after="120"/>
        <w:ind w:firstLine="0"/>
      </w:pPr>
      <w:r>
        <w:rPr>
          <w:rStyle w:val="FootnoteReference"/>
        </w:rPr>
        <w:footnoteRef/>
      </w:r>
      <w:r>
        <w:t xml:space="preserve"> </w:t>
      </w:r>
      <w:r w:rsidRPr="0022429B">
        <w:t>http://energychoice.ohio.gov/ApplesToApplesCategory.aspx?Category=Electric</w:t>
      </w:r>
    </w:p>
  </w:footnote>
  <w:footnote w:id="172">
    <w:p w:rsidR="00072B32" w:rsidRDefault="00072B32" w:rsidP="00C15B0D">
      <w:pPr>
        <w:pStyle w:val="FootnoteText"/>
        <w:spacing w:after="120"/>
        <w:ind w:firstLine="0"/>
      </w:pPr>
      <w:r>
        <w:rPr>
          <w:rStyle w:val="FootnoteReference"/>
        </w:rPr>
        <w:footnoteRef/>
      </w:r>
      <w:r>
        <w:t xml:space="preserve"> Tr. Vol. III at 874.</w:t>
      </w:r>
    </w:p>
  </w:footnote>
  <w:footnote w:id="173">
    <w:p w:rsidR="00072B32" w:rsidRDefault="00072B32" w:rsidP="00C15B0D">
      <w:pPr>
        <w:pStyle w:val="FootnoteText"/>
        <w:spacing w:after="120"/>
        <w:ind w:firstLine="0"/>
      </w:pPr>
      <w:r>
        <w:rPr>
          <w:rStyle w:val="FootnoteReference"/>
        </w:rPr>
        <w:footnoteRef/>
      </w:r>
      <w:r>
        <w:t xml:space="preserve"> Tr. Vol. III at 876; Tr. Vol. XIII at 3151-52.</w:t>
      </w:r>
    </w:p>
  </w:footnote>
  <w:footnote w:id="174">
    <w:p w:rsidR="00072B32" w:rsidRDefault="00072B32" w:rsidP="00C15B0D">
      <w:pPr>
        <w:pStyle w:val="FootnoteText"/>
        <w:spacing w:after="120"/>
        <w:ind w:firstLine="0"/>
      </w:pPr>
      <w:r>
        <w:rPr>
          <w:rStyle w:val="FootnoteReference"/>
        </w:rPr>
        <w:footnoteRef/>
      </w:r>
      <w:r>
        <w:t xml:space="preserve"> AEP-Ohio Ex. 11 at 4.</w:t>
      </w:r>
    </w:p>
  </w:footnote>
  <w:footnote w:id="175">
    <w:p w:rsidR="00072B32" w:rsidRDefault="00072B32" w:rsidP="00C15B0D">
      <w:pPr>
        <w:pStyle w:val="FootnoteText"/>
        <w:spacing w:after="120"/>
        <w:ind w:firstLine="0"/>
      </w:pPr>
      <w:r>
        <w:rPr>
          <w:rStyle w:val="FootnoteReference"/>
        </w:rPr>
        <w:footnoteRef/>
      </w:r>
      <w:r>
        <w:t xml:space="preserve"> Tr. Vol. II at 232-33; Tr. Vol. VII at 1652.</w:t>
      </w:r>
    </w:p>
  </w:footnote>
  <w:footnote w:id="176">
    <w:p w:rsidR="00072B32" w:rsidRDefault="00072B32" w:rsidP="00C15B0D">
      <w:pPr>
        <w:pStyle w:val="FootnoteText"/>
        <w:spacing w:after="120"/>
        <w:ind w:firstLine="0"/>
      </w:pPr>
      <w:r>
        <w:rPr>
          <w:rStyle w:val="FootnoteReference"/>
        </w:rPr>
        <w:footnoteRef/>
      </w:r>
      <w:r>
        <w:t xml:space="preserve"> IEU-Ohio Ex. 2 at 9.</w:t>
      </w:r>
    </w:p>
  </w:footnote>
  <w:footnote w:id="177">
    <w:p w:rsidR="00072B32" w:rsidRDefault="00072B32" w:rsidP="00C15B0D">
      <w:pPr>
        <w:pStyle w:val="FootnoteText"/>
        <w:spacing w:after="120"/>
        <w:ind w:firstLine="0"/>
      </w:pPr>
      <w:r>
        <w:rPr>
          <w:rStyle w:val="FootnoteReference"/>
        </w:rPr>
        <w:footnoteRef/>
      </w:r>
      <w:r>
        <w:t xml:space="preserve"> Direct Energy Ex. 1 at 6.</w:t>
      </w:r>
    </w:p>
  </w:footnote>
  <w:footnote w:id="178">
    <w:p w:rsidR="00072B32" w:rsidRDefault="00072B32" w:rsidP="00C15B0D">
      <w:pPr>
        <w:pStyle w:val="FootnoteText"/>
        <w:spacing w:after="120"/>
        <w:ind w:firstLine="0"/>
      </w:pPr>
      <w:r>
        <w:rPr>
          <w:rStyle w:val="FootnoteReference"/>
        </w:rPr>
        <w:footnoteRef/>
      </w:r>
      <w:r>
        <w:t xml:space="preserve"> IEU-Ohio Ex. 2 at 9.</w:t>
      </w:r>
    </w:p>
  </w:footnote>
  <w:footnote w:id="179">
    <w:p w:rsidR="00072B32" w:rsidRDefault="00072B32" w:rsidP="00C15B0D">
      <w:pPr>
        <w:pStyle w:val="FootnoteText"/>
        <w:spacing w:after="120"/>
        <w:ind w:firstLine="0"/>
      </w:pPr>
      <w:r>
        <w:rPr>
          <w:rStyle w:val="FootnoteReference"/>
        </w:rPr>
        <w:footnoteRef/>
      </w:r>
      <w:r>
        <w:t xml:space="preserve"> Tr. Vol. III at 869.</w:t>
      </w:r>
    </w:p>
  </w:footnote>
  <w:footnote w:id="180">
    <w:p w:rsidR="00072B32" w:rsidRDefault="00072B32" w:rsidP="00C15B0D">
      <w:pPr>
        <w:pStyle w:val="FootnoteText"/>
        <w:spacing w:after="120"/>
        <w:ind w:firstLine="0"/>
      </w:pPr>
      <w:r>
        <w:rPr>
          <w:rStyle w:val="FootnoteReference"/>
        </w:rPr>
        <w:footnoteRef/>
      </w:r>
      <w:r>
        <w:t xml:space="preserve"> Tr. Vol. VIII at 1893-95.</w:t>
      </w:r>
    </w:p>
  </w:footnote>
  <w:footnote w:id="181">
    <w:p w:rsidR="00072B32" w:rsidRDefault="00072B32" w:rsidP="00C15B0D">
      <w:pPr>
        <w:pStyle w:val="FootnoteText"/>
        <w:spacing w:after="120"/>
        <w:ind w:firstLine="0"/>
      </w:pPr>
      <w:r>
        <w:rPr>
          <w:rStyle w:val="FootnoteReference"/>
        </w:rPr>
        <w:footnoteRef/>
      </w:r>
      <w:r>
        <w:t xml:space="preserve"> Tr. Vol. III at 876.</w:t>
      </w:r>
    </w:p>
  </w:footnote>
  <w:footnote w:id="182">
    <w:p w:rsidR="00072B32" w:rsidRDefault="00072B32" w:rsidP="00C15B0D">
      <w:pPr>
        <w:pStyle w:val="FootnoteText"/>
        <w:spacing w:after="120"/>
        <w:ind w:firstLine="0"/>
      </w:pPr>
      <w:r>
        <w:rPr>
          <w:rStyle w:val="FootnoteReference"/>
        </w:rPr>
        <w:footnoteRef/>
      </w:r>
      <w:r>
        <w:t xml:space="preserve"> </w:t>
      </w:r>
      <w:r w:rsidRPr="008B4AE5">
        <w:t>Tr. Vol. III</w:t>
      </w:r>
      <w:r>
        <w:t xml:space="preserve"> at 875-76.</w:t>
      </w:r>
    </w:p>
  </w:footnote>
  <w:footnote w:id="183">
    <w:p w:rsidR="00072B32" w:rsidRDefault="00072B32" w:rsidP="00C15B0D">
      <w:pPr>
        <w:pStyle w:val="FootnoteText"/>
        <w:spacing w:after="120"/>
        <w:ind w:firstLine="0"/>
      </w:pPr>
      <w:r>
        <w:rPr>
          <w:rStyle w:val="FootnoteReference"/>
        </w:rPr>
        <w:footnoteRef/>
      </w:r>
      <w:r>
        <w:t xml:space="preserve"> </w:t>
      </w:r>
      <w:r w:rsidRPr="000C22A9">
        <w:rPr>
          <w:i/>
        </w:rPr>
        <w:t>In the Matter of the Application of Duke Energy Ohio for Authority to Establish a Standard Service Offer Pursuant to Section 4928.143, Revised Code, in the Form of an Electric Security Plan, Accounting Modifications and Tariffs for Generation Service</w:t>
      </w:r>
      <w:r>
        <w:t xml:space="preserve">, Case Nos. 11-3549-EL-SSO, </w:t>
      </w:r>
      <w:r w:rsidRPr="000C22A9">
        <w:rPr>
          <w:i/>
        </w:rPr>
        <w:t>et al.</w:t>
      </w:r>
      <w:r>
        <w:t>, Stipulation and Recommendation at 2 (Oct. 24, 2011).</w:t>
      </w:r>
    </w:p>
  </w:footnote>
  <w:footnote w:id="184">
    <w:p w:rsidR="00072B32" w:rsidRDefault="00072B32" w:rsidP="00C15B0D">
      <w:pPr>
        <w:pStyle w:val="FootnoteText"/>
        <w:spacing w:after="120"/>
        <w:ind w:firstLine="0"/>
      </w:pPr>
      <w:r>
        <w:rPr>
          <w:rStyle w:val="FootnoteReference"/>
        </w:rPr>
        <w:footnoteRef/>
      </w:r>
      <w:r w:rsidRPr="0065358A">
        <w:rPr>
          <w:i/>
        </w:rPr>
        <w:t xml:space="preserve"> Id.</w:t>
      </w:r>
      <w:r>
        <w:t xml:space="preserve"> at 48.</w:t>
      </w:r>
    </w:p>
  </w:footnote>
  <w:footnote w:id="185">
    <w:p w:rsidR="00072B32" w:rsidRDefault="00072B32" w:rsidP="00C15B0D">
      <w:pPr>
        <w:pStyle w:val="FootnoteText"/>
        <w:spacing w:after="120"/>
        <w:ind w:firstLine="0"/>
      </w:pPr>
      <w:r>
        <w:rPr>
          <w:rStyle w:val="FootnoteReference"/>
        </w:rPr>
        <w:footnoteRef/>
      </w:r>
      <w:r>
        <w:t xml:space="preserve"> IEU-Ohio Ex. 2 at 11-12; AEP-Ohio Ex. 33 at Ex. WAA-R3; Tr. Vol. VII at 1653-54.</w:t>
      </w:r>
    </w:p>
  </w:footnote>
  <w:footnote w:id="186">
    <w:p w:rsidR="00072B32" w:rsidRDefault="00072B32" w:rsidP="00C15B0D">
      <w:pPr>
        <w:pStyle w:val="FootnoteText"/>
        <w:spacing w:after="120"/>
        <w:ind w:firstLine="0"/>
      </w:pPr>
      <w:r>
        <w:rPr>
          <w:rStyle w:val="FootnoteReference"/>
        </w:rPr>
        <w:footnoteRef/>
      </w:r>
      <w:r>
        <w:t xml:space="preserve"> Tr. Vol. VII at 1652-53.</w:t>
      </w:r>
    </w:p>
  </w:footnote>
  <w:footnote w:id="187">
    <w:p w:rsidR="00072B32" w:rsidRDefault="00072B32" w:rsidP="00C15B0D">
      <w:pPr>
        <w:pStyle w:val="FootnoteText"/>
        <w:spacing w:after="120"/>
        <w:ind w:firstLine="0"/>
      </w:pPr>
      <w:r>
        <w:rPr>
          <w:rStyle w:val="FootnoteReference"/>
        </w:rPr>
        <w:footnoteRef/>
      </w:r>
      <w:r>
        <w:t xml:space="preserve"> IEU-Ohio Ex. 2 at 11.</w:t>
      </w:r>
    </w:p>
  </w:footnote>
  <w:footnote w:id="188">
    <w:p w:rsidR="00072B32" w:rsidRDefault="00072B32" w:rsidP="00C15B0D">
      <w:pPr>
        <w:pStyle w:val="FootnoteText"/>
        <w:spacing w:after="120"/>
        <w:ind w:firstLine="0"/>
      </w:pPr>
      <w:r>
        <w:rPr>
          <w:rStyle w:val="FootnoteReference"/>
        </w:rPr>
        <w:footnoteRef/>
      </w:r>
      <w:r>
        <w:t xml:space="preserve"> IEU-Ohio Ex. 2 at 13.</w:t>
      </w:r>
      <w:r w:rsidRPr="004F1376">
        <w:t xml:space="preserve"> </w:t>
      </w:r>
      <w:r>
        <w:t xml:space="preserve"> One additional check on whether the POR program represents good policy is to examine how AEP addresses internally the purchase of receivables.  AEP Credit purchases the receivables of the AEP operating companies and resells those accounts to third parties such as banks.  When AEP Credit purchases receivables, it purchases them without recourse but at a discount.</w:t>
      </w:r>
      <w:r w:rsidRPr="004F1376">
        <w:t xml:space="preserve"> </w:t>
      </w:r>
      <w:r>
        <w:t xml:space="preserve"> Tr. Vol. IV at 1195-97.</w:t>
      </w:r>
    </w:p>
  </w:footnote>
  <w:footnote w:id="189">
    <w:p w:rsidR="00072B32" w:rsidRDefault="00072B32" w:rsidP="00A940EB">
      <w:pPr>
        <w:pStyle w:val="FootnoteText"/>
        <w:spacing w:after="120"/>
        <w:ind w:firstLine="0"/>
      </w:pPr>
      <w:r>
        <w:rPr>
          <w:rStyle w:val="FootnoteReference"/>
        </w:rPr>
        <w:footnoteRef/>
      </w:r>
      <w:r>
        <w:t xml:space="preserve"> </w:t>
      </w:r>
      <w:r w:rsidRPr="00A940EB">
        <w:rPr>
          <w:i/>
        </w:rPr>
        <w:t>In the Matter of the Commission’s Investigation of Ohio’s Retail Electric Service Market</w:t>
      </w:r>
      <w:r>
        <w:t>, Case No. 12-3151-EL-UNC, Finding and Order at 21 (Mar. 26, 2014).</w:t>
      </w:r>
    </w:p>
  </w:footnote>
  <w:footnote w:id="190">
    <w:p w:rsidR="00072B32" w:rsidRDefault="00072B32" w:rsidP="00C15B0D">
      <w:pPr>
        <w:pStyle w:val="FootnoteText"/>
        <w:spacing w:after="120"/>
        <w:ind w:firstLine="0"/>
      </w:pPr>
      <w:r>
        <w:rPr>
          <w:rStyle w:val="FootnoteReference"/>
        </w:rPr>
        <w:footnoteRef/>
      </w:r>
      <w:r>
        <w:t xml:space="preserve"> IEU-Ohio Ex. 2 at 13-14; Staff Ex. 14 </w:t>
      </w:r>
      <w:r w:rsidRPr="00A574DB">
        <w:rPr>
          <w:i/>
        </w:rPr>
        <w:t>passim</w:t>
      </w:r>
      <w:r>
        <w:t>.  Retail Energy Supply Association (“</w:t>
      </w:r>
      <w:r w:rsidRPr="003468FF">
        <w:t>RESA</w:t>
      </w:r>
      <w:r>
        <w:t>”)</w:t>
      </w:r>
      <w:r w:rsidRPr="003468FF">
        <w:t xml:space="preserve"> agrees that a POR </w:t>
      </w:r>
      <w:r>
        <w:t xml:space="preserve">program </w:t>
      </w:r>
      <w:r w:rsidRPr="003468FF">
        <w:t xml:space="preserve">that required purchase of accounts receivable at a discount is acceptable. </w:t>
      </w:r>
      <w:r>
        <w:t xml:space="preserve"> Tr. Vol. XI at 2673-74.</w:t>
      </w:r>
    </w:p>
  </w:footnote>
  <w:footnote w:id="191">
    <w:p w:rsidR="00072B32" w:rsidRDefault="00072B32" w:rsidP="00C15B0D">
      <w:pPr>
        <w:pStyle w:val="FootnoteText"/>
        <w:spacing w:after="120"/>
        <w:ind w:firstLine="0"/>
      </w:pPr>
      <w:r>
        <w:rPr>
          <w:rStyle w:val="FootnoteReference"/>
        </w:rPr>
        <w:footnoteRef/>
      </w:r>
      <w:r>
        <w:t xml:space="preserve"> R.C. 4928.143(C).</w:t>
      </w:r>
    </w:p>
  </w:footnote>
  <w:footnote w:id="192">
    <w:p w:rsidR="00072B32" w:rsidRDefault="00072B32" w:rsidP="00C15B0D">
      <w:pPr>
        <w:pStyle w:val="FootnoteText"/>
        <w:spacing w:after="120"/>
        <w:ind w:firstLine="0"/>
      </w:pPr>
      <w:r>
        <w:rPr>
          <w:rStyle w:val="FootnoteReference"/>
        </w:rPr>
        <w:footnoteRef/>
      </w:r>
      <w:r>
        <w:t xml:space="preserve"> AEP-Ohio Ex. 7 at 4.</w:t>
      </w:r>
    </w:p>
  </w:footnote>
  <w:footnote w:id="193">
    <w:p w:rsidR="00072B32" w:rsidRDefault="00072B32" w:rsidP="00C15B0D">
      <w:pPr>
        <w:pStyle w:val="FootnoteText"/>
        <w:spacing w:after="120"/>
        <w:ind w:firstLine="0"/>
      </w:pPr>
      <w:r>
        <w:rPr>
          <w:rStyle w:val="FootnoteReference"/>
        </w:rPr>
        <w:footnoteRef/>
      </w:r>
      <w:r>
        <w:t xml:space="preserve"> AEP-Ohio Ex. 1 at 15.</w:t>
      </w:r>
    </w:p>
  </w:footnote>
  <w:footnote w:id="194">
    <w:p w:rsidR="00072B32" w:rsidRDefault="00072B32" w:rsidP="00C15B0D">
      <w:pPr>
        <w:pStyle w:val="FootnoteText"/>
        <w:spacing w:after="120"/>
        <w:ind w:firstLine="0"/>
      </w:pPr>
      <w:r>
        <w:rPr>
          <w:rStyle w:val="FootnoteReference"/>
        </w:rPr>
        <w:footnoteRef/>
      </w:r>
      <w:r>
        <w:t xml:space="preserve"> AEP-Ohio Ex. 7 at 4.</w:t>
      </w:r>
    </w:p>
  </w:footnote>
  <w:footnote w:id="195">
    <w:p w:rsidR="00072B32" w:rsidRDefault="00072B32" w:rsidP="00C15B0D">
      <w:pPr>
        <w:pStyle w:val="FootnoteText"/>
        <w:spacing w:after="120"/>
        <w:ind w:firstLine="0"/>
      </w:pPr>
      <w:r>
        <w:rPr>
          <w:rStyle w:val="FootnoteReference"/>
        </w:rPr>
        <w:footnoteRef/>
      </w:r>
      <w:r w:rsidRPr="0065358A">
        <w:rPr>
          <w:i/>
        </w:rPr>
        <w:t xml:space="preserve"> Id.</w:t>
      </w:r>
    </w:p>
  </w:footnote>
  <w:footnote w:id="196">
    <w:p w:rsidR="00072B32" w:rsidRDefault="00072B32" w:rsidP="00C15B0D">
      <w:pPr>
        <w:pStyle w:val="FootnoteText"/>
        <w:spacing w:after="120"/>
        <w:ind w:firstLine="0"/>
      </w:pPr>
      <w:r>
        <w:rPr>
          <w:rStyle w:val="FootnoteReference"/>
        </w:rPr>
        <w:footnoteRef/>
      </w:r>
      <w:r w:rsidRPr="0065358A">
        <w:rPr>
          <w:i/>
        </w:rPr>
        <w:t xml:space="preserve"> Id.</w:t>
      </w:r>
    </w:p>
  </w:footnote>
  <w:footnote w:id="197">
    <w:p w:rsidR="00072B32" w:rsidRDefault="00072B32" w:rsidP="00C15B0D">
      <w:pPr>
        <w:pStyle w:val="FootnoteText"/>
        <w:spacing w:after="120"/>
        <w:ind w:firstLine="0"/>
      </w:pPr>
      <w:r>
        <w:rPr>
          <w:rStyle w:val="FootnoteReference"/>
        </w:rPr>
        <w:footnoteRef/>
      </w:r>
      <w:r>
        <w:t xml:space="preserve"> Nor should any benefit to the DIR be included in the ESP v. MRO Test, based on prior Commission precedent.  IEU-Ohio Ex. 1B at 22, </w:t>
      </w:r>
      <w:r w:rsidRPr="00A474C4">
        <w:t>citing</w:t>
      </w:r>
      <w:r w:rsidRPr="00A474C4">
        <w:rPr>
          <w:i/>
        </w:rPr>
        <w:t xml:space="preserve"> In the Matter of Ohio Edison Company, The Cleveland Electric Illuminating Company, and The Toledo Edison Company for Authority to Provide for a Standard Service Offer Pursuant to Section 4928.143,</w:t>
      </w:r>
      <w:r>
        <w:t xml:space="preserve"> </w:t>
      </w:r>
      <w:r w:rsidRPr="00A474C4">
        <w:rPr>
          <w:i/>
        </w:rPr>
        <w:t>Revised Code, in the Form of an Electric Security Plan</w:t>
      </w:r>
      <w:r>
        <w:t>, Case No. 12-1230-EL-SSO, Opinion and Order at 10 (July 18, 2012) (“</w:t>
      </w:r>
      <w:r w:rsidRPr="00610F60">
        <w:rPr>
          <w:i/>
        </w:rPr>
        <w:t>FirstEnergy ESP III</w:t>
      </w:r>
      <w:r>
        <w:t>”) (the quantitative costs associated with recovery of incremental distribution investment through either a rider or a base rate case should be considered a wash).</w:t>
      </w:r>
    </w:p>
  </w:footnote>
  <w:footnote w:id="198">
    <w:p w:rsidR="00072B32" w:rsidRDefault="00072B32" w:rsidP="00C15B0D">
      <w:pPr>
        <w:pStyle w:val="FootnoteText"/>
        <w:spacing w:after="120"/>
        <w:ind w:firstLine="0"/>
      </w:pPr>
      <w:r>
        <w:rPr>
          <w:rStyle w:val="FootnoteReference"/>
        </w:rPr>
        <w:footnoteRef/>
      </w:r>
      <w:r>
        <w:t xml:space="preserve"> IEU-Ohio Ex. 1B at 20, citing response to OCC Interrogatory 3-025.</w:t>
      </w:r>
    </w:p>
  </w:footnote>
  <w:footnote w:id="199">
    <w:p w:rsidR="00072B32" w:rsidRDefault="00072B32" w:rsidP="00C15B0D">
      <w:pPr>
        <w:pStyle w:val="FootnoteText"/>
        <w:spacing w:after="120"/>
        <w:ind w:firstLine="0"/>
      </w:pPr>
      <w:r>
        <w:rPr>
          <w:rStyle w:val="FootnoteReference"/>
        </w:rPr>
        <w:footnoteRef/>
      </w:r>
      <w:r>
        <w:t xml:space="preserve"> AEP-Ohio Ex. 7 at 4-5.</w:t>
      </w:r>
    </w:p>
  </w:footnote>
  <w:footnote w:id="200">
    <w:p w:rsidR="00072B32" w:rsidRDefault="00072B32" w:rsidP="00C15B0D">
      <w:pPr>
        <w:pStyle w:val="FootnoteText"/>
        <w:spacing w:after="120"/>
        <w:ind w:firstLine="0"/>
      </w:pPr>
      <w:r>
        <w:rPr>
          <w:rStyle w:val="FootnoteReference"/>
        </w:rPr>
        <w:footnoteRef/>
      </w:r>
      <w:r>
        <w:t xml:space="preserve"> Staff also relies on non-quantifiable benefits to support its finding that the ESP, as modified by Staff’s removal of various riders including the PPAR, satisfies the ESP v. MRO Test.  On a quantified basis, Staff’s proposed ESP was $44.1 million more favorable in the aggregate than an MRO.  Staff Ex. 15 at 5.  As discussed below, the Commission may not rely on the non-quantifiable benefits identified by either AEP-Ohio or the Staff to support a finding that the proposed ESP is more favorable in the aggregate than an MRO.</w:t>
      </w:r>
    </w:p>
  </w:footnote>
  <w:footnote w:id="201">
    <w:p w:rsidR="00072B32" w:rsidRDefault="00072B32" w:rsidP="00C15B0D">
      <w:pPr>
        <w:pStyle w:val="FootnoteText"/>
        <w:spacing w:after="120"/>
        <w:ind w:firstLine="0"/>
      </w:pPr>
      <w:r>
        <w:rPr>
          <w:rStyle w:val="FootnoteReference"/>
        </w:rPr>
        <w:footnoteRef/>
      </w:r>
      <w:r>
        <w:t xml:space="preserve"> </w:t>
      </w:r>
      <w:r w:rsidRPr="00981FBA">
        <w:rPr>
          <w:i/>
        </w:rPr>
        <w:t>ESP II</w:t>
      </w:r>
      <w:r>
        <w:t xml:space="preserve">, Opinion and Order at 75.  As noted in IEU-Ohio’s appeal, the Commission’s calculation of the costs of the ESP II substantially understates its costs.  </w:t>
      </w:r>
      <w:r w:rsidRPr="00981FBA">
        <w:rPr>
          <w:i/>
        </w:rPr>
        <w:t>In the Matter of the Application of Columbus Southern Power Company and Ohio Power Company for Authority to Establish a Standard Service Offer Pursuant to Section 4928.143, Revised Code, in the Form of an Electric Security Plan</w:t>
      </w:r>
      <w:r>
        <w:t>, Sup. Ct. Case No. 2013-0521, First Merit Brief of Appellant Industrial Energy Users-Ohio at 11-23 (Aug. 12, 2013).</w:t>
      </w:r>
    </w:p>
  </w:footnote>
  <w:footnote w:id="202">
    <w:p w:rsidR="00072B32" w:rsidRDefault="00072B32" w:rsidP="00B239E2">
      <w:pPr>
        <w:pStyle w:val="FootnoteText"/>
        <w:spacing w:after="120"/>
        <w:ind w:firstLine="0"/>
      </w:pPr>
      <w:r>
        <w:rPr>
          <w:rStyle w:val="FootnoteReference"/>
        </w:rPr>
        <w:footnoteRef/>
      </w:r>
      <w:r>
        <w:t xml:space="preserve"> AEP-Ohio Ex. 7 at 5.</w:t>
      </w:r>
    </w:p>
  </w:footnote>
  <w:footnote w:id="203">
    <w:p w:rsidR="00072B32" w:rsidRDefault="00072B32" w:rsidP="00C15B0D">
      <w:pPr>
        <w:pStyle w:val="FootnoteText"/>
        <w:spacing w:after="120"/>
        <w:ind w:firstLine="0"/>
      </w:pPr>
      <w:r>
        <w:rPr>
          <w:rStyle w:val="FootnoteReference"/>
        </w:rPr>
        <w:footnoteRef/>
      </w:r>
      <w:r>
        <w:t xml:space="preserve"> IEU-Ohio Ex. 1B at KMM-5. </w:t>
      </w:r>
    </w:p>
  </w:footnote>
  <w:footnote w:id="204">
    <w:p w:rsidR="00072B32" w:rsidRDefault="00072B32" w:rsidP="00C15B0D">
      <w:pPr>
        <w:pStyle w:val="FootnoteText"/>
        <w:spacing w:after="120"/>
        <w:ind w:firstLine="0"/>
      </w:pPr>
      <w:r>
        <w:rPr>
          <w:rStyle w:val="FootnoteReference"/>
        </w:rPr>
        <w:footnoteRef/>
      </w:r>
      <w:r>
        <w:t xml:space="preserve"> Tr. Vol. II at 552.</w:t>
      </w:r>
    </w:p>
  </w:footnote>
  <w:footnote w:id="205">
    <w:p w:rsidR="00072B32" w:rsidRDefault="00072B32" w:rsidP="008B4AE5">
      <w:pPr>
        <w:pStyle w:val="FootnoteText"/>
        <w:spacing w:after="120"/>
        <w:ind w:firstLine="0"/>
      </w:pPr>
      <w:r>
        <w:rPr>
          <w:rStyle w:val="FootnoteReference"/>
        </w:rPr>
        <w:footnoteRef/>
      </w:r>
      <w:r>
        <w:t xml:space="preserve"> IEU-Ohio Ex. 1B at 21.</w:t>
      </w:r>
    </w:p>
  </w:footnote>
  <w:footnote w:id="206">
    <w:p w:rsidR="00072B32" w:rsidRDefault="00072B32" w:rsidP="00C15B0D">
      <w:pPr>
        <w:pStyle w:val="FootnoteText"/>
        <w:spacing w:after="120"/>
        <w:ind w:firstLine="0"/>
      </w:pPr>
      <w:r>
        <w:rPr>
          <w:rStyle w:val="FootnoteReference"/>
        </w:rPr>
        <w:footnoteRef/>
      </w:r>
      <w:r>
        <w:t xml:space="preserve"> </w:t>
      </w:r>
      <w:r w:rsidRPr="00837D7D">
        <w:rPr>
          <w:i/>
        </w:rPr>
        <w:t>Id</w:t>
      </w:r>
      <w:r>
        <w:t>. at 10-28.</w:t>
      </w:r>
    </w:p>
  </w:footnote>
  <w:footnote w:id="207">
    <w:p w:rsidR="00072B32" w:rsidRDefault="00072B32" w:rsidP="00C15B0D">
      <w:pPr>
        <w:pStyle w:val="FootnoteText"/>
        <w:spacing w:after="120"/>
        <w:ind w:firstLine="0"/>
      </w:pPr>
      <w:r>
        <w:rPr>
          <w:rStyle w:val="FootnoteReference"/>
        </w:rPr>
        <w:footnoteRef/>
      </w:r>
      <w:r>
        <w:t xml:space="preserve"> </w:t>
      </w:r>
      <w:r w:rsidRPr="00837D7D">
        <w:rPr>
          <w:i/>
        </w:rPr>
        <w:t>Id</w:t>
      </w:r>
      <w:r>
        <w:t>. at 7.</w:t>
      </w:r>
    </w:p>
  </w:footnote>
  <w:footnote w:id="208">
    <w:p w:rsidR="00072B32" w:rsidRDefault="00072B32" w:rsidP="00C15B0D">
      <w:pPr>
        <w:pStyle w:val="FootnoteText"/>
        <w:spacing w:after="120"/>
        <w:ind w:firstLine="0"/>
      </w:pPr>
      <w:r>
        <w:rPr>
          <w:rStyle w:val="FootnoteReference"/>
        </w:rPr>
        <w:footnoteRef/>
      </w:r>
      <w:r>
        <w:t xml:space="preserve"> OEG Ex. 3 at 15-16.</w:t>
      </w:r>
    </w:p>
  </w:footnote>
  <w:footnote w:id="209">
    <w:p w:rsidR="00072B32" w:rsidRDefault="00072B32" w:rsidP="00C15B0D">
      <w:pPr>
        <w:pStyle w:val="FootnoteText"/>
        <w:spacing w:after="120"/>
        <w:ind w:firstLine="0"/>
      </w:pPr>
      <w:r>
        <w:rPr>
          <w:rStyle w:val="FootnoteReference"/>
        </w:rPr>
        <w:footnoteRef/>
      </w:r>
      <w:r>
        <w:t xml:space="preserve"> </w:t>
      </w:r>
      <w:r w:rsidRPr="00837D7D">
        <w:rPr>
          <w:i/>
        </w:rPr>
        <w:t>Id</w:t>
      </w:r>
      <w:r>
        <w:rPr>
          <w:i/>
        </w:rPr>
        <w:t>.</w:t>
      </w:r>
      <w:r>
        <w:t xml:space="preserve"> at 14.</w:t>
      </w:r>
    </w:p>
  </w:footnote>
  <w:footnote w:id="210">
    <w:p w:rsidR="00072B32" w:rsidRDefault="00072B32" w:rsidP="00C15B0D">
      <w:pPr>
        <w:pStyle w:val="FootnoteText"/>
        <w:spacing w:after="120"/>
        <w:ind w:firstLine="0"/>
      </w:pPr>
      <w:r>
        <w:rPr>
          <w:rStyle w:val="FootnoteReference"/>
        </w:rPr>
        <w:footnoteRef/>
      </w:r>
      <w:r>
        <w:t xml:space="preserve"> IEU-Ohio Ex. 1B at 21; OCC Ex. 15 at 26. </w:t>
      </w:r>
    </w:p>
  </w:footnote>
  <w:footnote w:id="211">
    <w:p w:rsidR="00072B32" w:rsidRPr="00500BEA" w:rsidRDefault="00072B32" w:rsidP="00C15B0D">
      <w:pPr>
        <w:pStyle w:val="FootnoteText"/>
        <w:spacing w:after="120"/>
        <w:ind w:firstLine="0"/>
      </w:pPr>
      <w:r>
        <w:rPr>
          <w:rStyle w:val="FootnoteReference"/>
          <w:rFonts w:eastAsia="Calibri"/>
        </w:rPr>
        <w:footnoteRef/>
      </w:r>
      <w:r>
        <w:rPr>
          <w:i/>
        </w:rPr>
        <w:t xml:space="preserve"> In re Application of Columbus Southern Power Co.</w:t>
      </w:r>
      <w:r w:rsidRPr="002C4051">
        <w:rPr>
          <w:i/>
        </w:rPr>
        <w:t xml:space="preserve">, </w:t>
      </w:r>
      <w:r>
        <w:t>128 Ohio St.3d 512, 519 (2011).</w:t>
      </w:r>
      <w:r>
        <w:rPr>
          <w:i/>
        </w:rPr>
        <w:t xml:space="preserve"> </w:t>
      </w:r>
    </w:p>
  </w:footnote>
  <w:footnote w:id="212">
    <w:p w:rsidR="00072B32" w:rsidRDefault="00072B32" w:rsidP="00C15B0D">
      <w:pPr>
        <w:pStyle w:val="FootnoteText"/>
        <w:spacing w:after="120"/>
        <w:ind w:firstLine="0"/>
      </w:pPr>
      <w:r>
        <w:rPr>
          <w:rStyle w:val="FootnoteReference"/>
          <w:rFonts w:eastAsia="Calibri"/>
        </w:rPr>
        <w:footnoteRef/>
      </w:r>
      <w:r>
        <w:rPr>
          <w:i/>
          <w:iCs/>
        </w:rPr>
        <w:t>Consumers' Counsel v. Pub. Util. Comm’n of Ohio</w:t>
      </w:r>
      <w:r>
        <w:t>, 61 Ohio St.3d 396, 406 (1991) (</w:t>
      </w:r>
      <w:r>
        <w:rPr>
          <w:i/>
          <w:iCs/>
        </w:rPr>
        <w:t>quoting Columbus v. Pub. Util. Comm’n of Ohio</w:t>
      </w:r>
      <w:r>
        <w:t>, 58 Ohio St.2d 103, 104 (1979) (Brown, J., dissenting)).</w:t>
      </w:r>
    </w:p>
  </w:footnote>
  <w:footnote w:id="213">
    <w:p w:rsidR="00072B32" w:rsidRDefault="00072B32" w:rsidP="00837D7D">
      <w:pPr>
        <w:pStyle w:val="FootnoteText"/>
        <w:spacing w:after="120"/>
        <w:ind w:firstLine="0"/>
      </w:pPr>
      <w:r>
        <w:rPr>
          <w:rStyle w:val="FootnoteReference"/>
        </w:rPr>
        <w:footnoteRef/>
      </w:r>
      <w:r>
        <w:t xml:space="preserve"> </w:t>
      </w:r>
      <w:r w:rsidRPr="00837D7D">
        <w:rPr>
          <w:i/>
        </w:rPr>
        <w:t>ESP II</w:t>
      </w:r>
      <w:r>
        <w:t>, Opinion and Order at 77.</w:t>
      </w:r>
    </w:p>
  </w:footnote>
  <w:footnote w:id="214">
    <w:p w:rsidR="00072B32" w:rsidRDefault="00072B32" w:rsidP="003915FB">
      <w:pPr>
        <w:pStyle w:val="FootnoteText"/>
        <w:spacing w:after="120"/>
        <w:ind w:firstLine="0"/>
        <w:jc w:val="left"/>
      </w:pPr>
      <w:r>
        <w:rPr>
          <w:rStyle w:val="FootnoteReference"/>
        </w:rPr>
        <w:footnoteRef/>
      </w:r>
      <w:r>
        <w:t xml:space="preserve"> R.C. 4928.03. </w:t>
      </w:r>
    </w:p>
  </w:footnote>
  <w:footnote w:id="215">
    <w:p w:rsidR="00072B32" w:rsidRDefault="00072B32" w:rsidP="003915FB">
      <w:pPr>
        <w:pStyle w:val="FootnoteText"/>
        <w:spacing w:after="120"/>
        <w:ind w:firstLine="0"/>
        <w:jc w:val="left"/>
      </w:pPr>
      <w:r>
        <w:rPr>
          <w:rStyle w:val="FootnoteReference"/>
        </w:rPr>
        <w:footnoteRef/>
      </w:r>
      <w:r>
        <w:t xml:space="preserve"> R.C. 4928.02(A).</w:t>
      </w:r>
    </w:p>
  </w:footnote>
  <w:footnote w:id="216">
    <w:p w:rsidR="00072B32" w:rsidRDefault="00072B32" w:rsidP="003915FB">
      <w:pPr>
        <w:pStyle w:val="FootnoteText"/>
        <w:spacing w:after="120"/>
        <w:ind w:firstLine="0"/>
        <w:jc w:val="left"/>
      </w:pPr>
      <w:r>
        <w:rPr>
          <w:rStyle w:val="FootnoteReference"/>
        </w:rPr>
        <w:footnoteRef/>
      </w:r>
      <w:r>
        <w:t xml:space="preserve"> R.C. 4928.17.</w:t>
      </w:r>
    </w:p>
  </w:footnote>
  <w:footnote w:id="217">
    <w:p w:rsidR="00072B32" w:rsidRDefault="00072B32" w:rsidP="00E954EA">
      <w:pPr>
        <w:pStyle w:val="FootnoteText"/>
        <w:spacing w:after="120"/>
        <w:ind w:firstLine="0"/>
        <w:jc w:val="left"/>
      </w:pPr>
      <w:r>
        <w:rPr>
          <w:rStyle w:val="FootnoteReference"/>
        </w:rPr>
        <w:footnoteRef/>
      </w:r>
      <w:r>
        <w:t xml:space="preserve"> R.C. 4928.14.</w:t>
      </w:r>
    </w:p>
  </w:footnote>
  <w:footnote w:id="218">
    <w:p w:rsidR="00072B32" w:rsidRDefault="00072B32" w:rsidP="00C15B0D">
      <w:pPr>
        <w:pStyle w:val="FootnoteText"/>
        <w:spacing w:after="120"/>
        <w:ind w:firstLine="0"/>
      </w:pPr>
      <w:r w:rsidRPr="004F1376">
        <w:rPr>
          <w:rStyle w:val="FootnoteReference"/>
        </w:rPr>
        <w:footnoteRef/>
      </w:r>
      <w:r w:rsidRPr="0065358A">
        <w:rPr>
          <w:i/>
        </w:rPr>
        <w:t xml:space="preserve"> </w:t>
      </w:r>
      <w:r>
        <w:t>AEP Ohio Ex. 7 at 5.</w:t>
      </w:r>
    </w:p>
  </w:footnote>
  <w:footnote w:id="219">
    <w:p w:rsidR="00072B32" w:rsidRDefault="00072B32" w:rsidP="00C15B0D">
      <w:pPr>
        <w:pStyle w:val="FootnoteText"/>
        <w:spacing w:after="120"/>
        <w:ind w:firstLine="0"/>
      </w:pPr>
      <w:r>
        <w:rPr>
          <w:rStyle w:val="FootnoteReference"/>
        </w:rPr>
        <w:footnoteRef/>
      </w:r>
      <w:r>
        <w:rPr>
          <w:i/>
        </w:rPr>
        <w:t xml:space="preserve"> </w:t>
      </w:r>
      <w:r w:rsidRPr="00FB298A">
        <w:rPr>
          <w:i/>
        </w:rPr>
        <w:t>FirstEnergy ESP III</w:t>
      </w:r>
      <w:r>
        <w:t xml:space="preserve">, Opinion and Order at 55 (July 18, 2012). </w:t>
      </w:r>
    </w:p>
  </w:footnote>
  <w:footnote w:id="220">
    <w:p w:rsidR="00072B32" w:rsidRDefault="00072B32" w:rsidP="00C15B0D">
      <w:pPr>
        <w:pStyle w:val="FootnoteText"/>
        <w:spacing w:after="120"/>
        <w:ind w:firstLine="0"/>
      </w:pPr>
      <w:r>
        <w:rPr>
          <w:rStyle w:val="FootnoteReference"/>
        </w:rPr>
        <w:footnoteRef/>
      </w:r>
      <w:r>
        <w:t xml:space="preserve"> </w:t>
      </w:r>
      <w:r w:rsidRPr="00FB298A">
        <w:rPr>
          <w:i/>
        </w:rPr>
        <w:t>ESP II</w:t>
      </w:r>
      <w:r>
        <w:t>, Opinion and Order at 76 (Aug. 8, 2012).</w:t>
      </w:r>
    </w:p>
  </w:footnote>
  <w:footnote w:id="221">
    <w:p w:rsidR="00072B32" w:rsidRDefault="00072B32" w:rsidP="00C15B0D">
      <w:pPr>
        <w:pStyle w:val="FootnoteText"/>
        <w:spacing w:after="120"/>
        <w:ind w:firstLine="0"/>
      </w:pPr>
      <w:r>
        <w:rPr>
          <w:rStyle w:val="FootnoteReference"/>
        </w:rPr>
        <w:footnoteRef/>
      </w:r>
      <w:r>
        <w:t xml:space="preserve"> AEP-Ohio Ex. 7 at 5.</w:t>
      </w:r>
    </w:p>
  </w:footnote>
  <w:footnote w:id="222">
    <w:p w:rsidR="00072B32" w:rsidRDefault="00072B32" w:rsidP="00C15B0D">
      <w:pPr>
        <w:pStyle w:val="FootnoteText"/>
        <w:spacing w:after="120"/>
        <w:ind w:firstLine="0"/>
      </w:pPr>
      <w:r>
        <w:rPr>
          <w:rStyle w:val="FootnoteReference"/>
        </w:rPr>
        <w:footnoteRef/>
      </w:r>
      <w:r>
        <w:t xml:space="preserve"> AEP-Ohio Ex. 33 at Ex. WAA-R3; Tr. Vol. XIII at 3284-85.</w:t>
      </w:r>
    </w:p>
  </w:footnote>
  <w:footnote w:id="223">
    <w:p w:rsidR="00072B32" w:rsidRDefault="00072B32" w:rsidP="00C15B0D">
      <w:pPr>
        <w:pStyle w:val="FootnoteText"/>
        <w:spacing w:after="120"/>
        <w:ind w:firstLine="0"/>
      </w:pPr>
      <w:r>
        <w:rPr>
          <w:rStyle w:val="FootnoteReference"/>
        </w:rPr>
        <w:footnoteRef/>
      </w:r>
      <w:r>
        <w:t xml:space="preserve"> Staff Ex. 16 </w:t>
      </w:r>
      <w:r w:rsidRPr="0084703D">
        <w:rPr>
          <w:i/>
        </w:rPr>
        <w:t>passim</w:t>
      </w:r>
      <w:r>
        <w:t>; Tr. Vol. XIII at 3279-80.</w:t>
      </w:r>
    </w:p>
  </w:footnote>
  <w:footnote w:id="224">
    <w:p w:rsidR="00072B32" w:rsidRDefault="00072B32" w:rsidP="00C15B0D">
      <w:pPr>
        <w:pStyle w:val="FootnoteText"/>
        <w:spacing w:after="120"/>
        <w:ind w:firstLine="0"/>
      </w:pPr>
      <w:r>
        <w:rPr>
          <w:rStyle w:val="FootnoteReference"/>
        </w:rPr>
        <w:footnoteRef/>
      </w:r>
      <w:r>
        <w:t xml:space="preserve"> </w:t>
      </w:r>
      <w:r w:rsidRPr="00610F60">
        <w:t>Tr. Vol. XIII</w:t>
      </w:r>
      <w:r>
        <w:t xml:space="preserve"> at 3141.  As one witness supporting a modified PPAR pointed out, none of the factors driving the PPAR rate is known.  Tr. Vol. XI at 2594.</w:t>
      </w:r>
    </w:p>
  </w:footnote>
  <w:footnote w:id="225">
    <w:p w:rsidR="00072B32" w:rsidRDefault="00072B32" w:rsidP="00C15B0D">
      <w:pPr>
        <w:pStyle w:val="FootnoteText"/>
        <w:spacing w:after="120"/>
        <w:ind w:firstLine="0"/>
      </w:pPr>
      <w:r>
        <w:rPr>
          <w:rStyle w:val="FootnoteReference"/>
        </w:rPr>
        <w:footnoteRef/>
      </w:r>
      <w:r>
        <w:t xml:space="preserve"> IEU-Ohio Ex. 1B at 25-26.</w:t>
      </w:r>
    </w:p>
  </w:footnote>
  <w:footnote w:id="226">
    <w:p w:rsidR="00072B32" w:rsidRDefault="00072B32" w:rsidP="00C15B0D">
      <w:pPr>
        <w:pStyle w:val="FootnoteText"/>
        <w:spacing w:after="120"/>
        <w:ind w:firstLine="0"/>
      </w:pPr>
      <w:r>
        <w:rPr>
          <w:rStyle w:val="FootnoteReference"/>
        </w:rPr>
        <w:footnoteRef/>
      </w:r>
      <w:r w:rsidRPr="0065358A">
        <w:rPr>
          <w:i/>
        </w:rPr>
        <w:t xml:space="preserve"> Id.</w:t>
      </w:r>
      <w:r>
        <w:t xml:space="preserve"> at 26.</w:t>
      </w:r>
    </w:p>
  </w:footnote>
  <w:footnote w:id="227">
    <w:p w:rsidR="00072B32" w:rsidRDefault="00072B32" w:rsidP="00C15B0D">
      <w:pPr>
        <w:pStyle w:val="FootnoteText"/>
        <w:spacing w:after="120"/>
        <w:ind w:firstLine="0"/>
      </w:pPr>
      <w:r>
        <w:rPr>
          <w:rStyle w:val="FootnoteReference"/>
        </w:rPr>
        <w:footnoteRef/>
      </w:r>
      <w:r>
        <w:t xml:space="preserve"> R.C. 4928.02(A) &amp; (B).</w:t>
      </w:r>
    </w:p>
  </w:footnote>
  <w:footnote w:id="228">
    <w:p w:rsidR="00072B32" w:rsidRDefault="00072B32" w:rsidP="00C15B0D">
      <w:pPr>
        <w:pStyle w:val="FootnoteText"/>
        <w:spacing w:after="120"/>
        <w:ind w:firstLine="0"/>
      </w:pPr>
      <w:r>
        <w:rPr>
          <w:rStyle w:val="FootnoteReference"/>
        </w:rPr>
        <w:footnoteRef/>
      </w:r>
      <w:r>
        <w:t xml:space="preserve"> Tr. Vol. I at 110-11.</w:t>
      </w:r>
    </w:p>
  </w:footnote>
  <w:footnote w:id="229">
    <w:p w:rsidR="00072B32" w:rsidRDefault="00072B32" w:rsidP="00C15B0D">
      <w:pPr>
        <w:pStyle w:val="FootnoteText"/>
        <w:spacing w:after="120"/>
        <w:ind w:firstLine="0"/>
      </w:pPr>
      <w:r>
        <w:rPr>
          <w:rStyle w:val="FootnoteReference"/>
        </w:rPr>
        <w:footnoteRef/>
      </w:r>
      <w:r>
        <w:t xml:space="preserve"> </w:t>
      </w:r>
      <w:r w:rsidRPr="00FB298A">
        <w:rPr>
          <w:i/>
        </w:rPr>
        <w:t>See, e.g</w:t>
      </w:r>
      <w:r>
        <w:t>., Tr. Vol. II at 566; AEP-Ohio Ex. 7 at 10.</w:t>
      </w:r>
    </w:p>
  </w:footnote>
  <w:footnote w:id="230">
    <w:p w:rsidR="00072B32" w:rsidRDefault="00072B32" w:rsidP="00C15B0D">
      <w:pPr>
        <w:pStyle w:val="FootnoteText"/>
        <w:spacing w:after="120"/>
        <w:ind w:firstLine="0"/>
      </w:pPr>
      <w:r>
        <w:rPr>
          <w:rStyle w:val="FootnoteReference"/>
        </w:rPr>
        <w:footnoteRef/>
      </w:r>
      <w:r>
        <w:t xml:space="preserve"> AEP-Ohio Ex. 7 at 5; Staff Ex. 15 at 4-5.</w:t>
      </w:r>
    </w:p>
  </w:footnote>
  <w:footnote w:id="231">
    <w:p w:rsidR="00072B32" w:rsidRDefault="00072B32" w:rsidP="00C15B0D">
      <w:pPr>
        <w:pStyle w:val="FootnoteText"/>
        <w:spacing w:after="120"/>
        <w:ind w:firstLine="0"/>
      </w:pPr>
      <w:r>
        <w:rPr>
          <w:rStyle w:val="FootnoteReference"/>
        </w:rPr>
        <w:footnoteRef/>
      </w:r>
      <w:r>
        <w:t xml:space="preserve"> AEP-Ohio Ex. 7 at 5; AEP-Ohio Ex. 11 at 4-6; Staff Ex. 15 at 4-5.</w:t>
      </w:r>
    </w:p>
  </w:footnote>
  <w:footnote w:id="232">
    <w:p w:rsidR="00072B32" w:rsidRDefault="00072B32" w:rsidP="00C15B0D">
      <w:pPr>
        <w:pStyle w:val="FootnoteText"/>
        <w:spacing w:after="120"/>
        <w:ind w:firstLine="0"/>
      </w:pPr>
      <w:r>
        <w:rPr>
          <w:rStyle w:val="FootnoteReference"/>
        </w:rPr>
        <w:footnoteRef/>
      </w:r>
      <w:r>
        <w:t xml:space="preserve"> AEP-Ohio Ex. 7 at 5.</w:t>
      </w:r>
    </w:p>
  </w:footnote>
  <w:footnote w:id="233">
    <w:p w:rsidR="00072B32" w:rsidRDefault="00072B32" w:rsidP="008B4AE5">
      <w:pPr>
        <w:pStyle w:val="FootnoteText"/>
        <w:spacing w:after="120"/>
        <w:ind w:firstLine="0"/>
      </w:pPr>
      <w:r>
        <w:rPr>
          <w:rStyle w:val="FootnoteReference"/>
        </w:rPr>
        <w:footnoteRef/>
      </w:r>
      <w:r>
        <w:t xml:space="preserve"> AEP-Ohio Ex. 2 at 13.</w:t>
      </w:r>
    </w:p>
  </w:footnote>
  <w:footnote w:id="234">
    <w:p w:rsidR="00072B32" w:rsidRDefault="00072B32" w:rsidP="00C15B0D">
      <w:pPr>
        <w:pStyle w:val="FootnoteText"/>
        <w:spacing w:after="120"/>
        <w:ind w:firstLine="0"/>
      </w:pPr>
      <w:r>
        <w:rPr>
          <w:rStyle w:val="FootnoteReference"/>
        </w:rPr>
        <w:footnoteRef/>
      </w:r>
      <w:r>
        <w:t xml:space="preserve"> Staff Ex. 15 at 3-4.  Staff’s support of the distribution riders proposed by AEP-Ohio is limited in several ways.  First, Mr. Baker noted that Staff believed that existing distribution system was aligned with customer reliability expectations, but did not support the expansion of one rider as requested by AEP-Ohio.  Staff Ex. 10 </w:t>
      </w:r>
      <w:r w:rsidRPr="00B82565">
        <w:rPr>
          <w:i/>
        </w:rPr>
        <w:t>passim</w:t>
      </w:r>
      <w:r>
        <w:t>.  Mr. Lipthratt recommended significant modification of the Storm Damage Cost Recovery Rider.  Staff Ex. 12.  Mr. Willis recommended that the Commission refuse to authorize the Sustained and Skilled Workforce Rider.  Staff Ex. 8.</w:t>
      </w:r>
    </w:p>
  </w:footnote>
  <w:footnote w:id="235">
    <w:p w:rsidR="00072B32" w:rsidRDefault="00072B32" w:rsidP="00C15B0D">
      <w:pPr>
        <w:pStyle w:val="FootnoteText"/>
        <w:spacing w:after="120"/>
        <w:ind w:firstLine="0"/>
      </w:pPr>
      <w:r>
        <w:rPr>
          <w:rStyle w:val="FootnoteReference"/>
        </w:rPr>
        <w:footnoteRef/>
      </w:r>
      <w:r>
        <w:t xml:space="preserve"> AEP-Ohio Ex. 7 at 4.</w:t>
      </w:r>
    </w:p>
  </w:footnote>
  <w:footnote w:id="236">
    <w:p w:rsidR="00072B32" w:rsidRDefault="00072B32" w:rsidP="00C15B0D">
      <w:pPr>
        <w:pStyle w:val="FootnoteText"/>
        <w:spacing w:after="120"/>
        <w:ind w:firstLine="0"/>
      </w:pPr>
      <w:r>
        <w:rPr>
          <w:rStyle w:val="FootnoteReference"/>
        </w:rPr>
        <w:footnoteRef/>
      </w:r>
      <w:r>
        <w:t xml:space="preserve"> </w:t>
      </w:r>
      <w:r w:rsidRPr="00FB298A">
        <w:rPr>
          <w:i/>
        </w:rPr>
        <w:t>FirstEnergy ESP III</w:t>
      </w:r>
      <w:r>
        <w:t>, Opinion and Order at 56 (July 18, 2012).</w:t>
      </w:r>
    </w:p>
  </w:footnote>
  <w:footnote w:id="237">
    <w:p w:rsidR="00072B32" w:rsidRDefault="00072B32" w:rsidP="00C15B0D">
      <w:pPr>
        <w:pStyle w:val="FootnoteText"/>
        <w:spacing w:after="120"/>
        <w:ind w:firstLine="0"/>
      </w:pPr>
      <w:r>
        <w:rPr>
          <w:rStyle w:val="FootnoteReference"/>
        </w:rPr>
        <w:footnoteRef/>
      </w:r>
      <w:r>
        <w:t xml:space="preserve"> AEP-Ohio Ex. 4 at Ex. SJD-2.</w:t>
      </w:r>
    </w:p>
  </w:footnote>
  <w:footnote w:id="238">
    <w:p w:rsidR="00072B32" w:rsidRDefault="00072B32" w:rsidP="00C15B0D">
      <w:pPr>
        <w:pStyle w:val="FootnoteText"/>
        <w:spacing w:after="120"/>
        <w:ind w:firstLine="0"/>
      </w:pPr>
      <w:r>
        <w:rPr>
          <w:rStyle w:val="FootnoteReference"/>
        </w:rPr>
        <w:footnoteRef/>
      </w:r>
      <w:r>
        <w:t xml:space="preserve"> Tr. Vol. II at 361.</w:t>
      </w:r>
    </w:p>
  </w:footnote>
  <w:footnote w:id="239">
    <w:p w:rsidR="00072B32" w:rsidRDefault="00072B32" w:rsidP="00C15B0D">
      <w:pPr>
        <w:pStyle w:val="FootnoteText"/>
        <w:spacing w:after="120"/>
        <w:ind w:firstLine="0"/>
      </w:pPr>
      <w:r>
        <w:rPr>
          <w:rStyle w:val="FootnoteReference"/>
        </w:rPr>
        <w:footnoteRef/>
      </w:r>
      <w:r>
        <w:t xml:space="preserve"> </w:t>
      </w:r>
      <w:r w:rsidRPr="008B4AE5">
        <w:t>Tr. Vol. II</w:t>
      </w:r>
      <w:r>
        <w:t xml:space="preserve"> at 360-68</w:t>
      </w:r>
    </w:p>
  </w:footnote>
  <w:footnote w:id="240">
    <w:p w:rsidR="00072B32" w:rsidRDefault="00072B32" w:rsidP="00C15B0D">
      <w:pPr>
        <w:pStyle w:val="FootnoteText"/>
        <w:spacing w:after="120"/>
        <w:ind w:firstLine="0"/>
      </w:pPr>
      <w:r>
        <w:rPr>
          <w:rStyle w:val="FootnoteReference"/>
        </w:rPr>
        <w:footnoteRef/>
      </w:r>
      <w:r>
        <w:t xml:space="preserve"> </w:t>
      </w:r>
      <w:r w:rsidRPr="003A65D6">
        <w:t>AEP-Ohio Ex. 4 at Ex. SJD-2</w:t>
      </w:r>
      <w:r>
        <w:t xml:space="preserve"> at 6 (Fig. 6).</w:t>
      </w:r>
    </w:p>
  </w:footnote>
  <w:footnote w:id="241">
    <w:p w:rsidR="00072B32" w:rsidRDefault="00072B32" w:rsidP="00C15B0D">
      <w:pPr>
        <w:pStyle w:val="FootnoteText"/>
        <w:spacing w:after="120"/>
        <w:ind w:firstLine="0"/>
      </w:pPr>
      <w:r>
        <w:rPr>
          <w:rStyle w:val="FootnoteReference"/>
        </w:rPr>
        <w:footnoteRef/>
      </w:r>
      <w:r>
        <w:t xml:space="preserve"> Tr. Vol. II at 368-69.</w:t>
      </w:r>
    </w:p>
  </w:footnote>
  <w:footnote w:id="242">
    <w:p w:rsidR="00072B32" w:rsidRDefault="00072B32" w:rsidP="00C15B0D">
      <w:pPr>
        <w:pStyle w:val="FootnoteText"/>
        <w:spacing w:after="120"/>
        <w:ind w:firstLine="0"/>
      </w:pPr>
      <w:r>
        <w:rPr>
          <w:rStyle w:val="FootnoteReference"/>
        </w:rPr>
        <w:footnoteRef/>
      </w:r>
      <w:r>
        <w:t xml:space="preserve"> This claimed result is the same that occurs under the Staff’s position.  Staff’s recommendation to approve the ESP is based on the removal of all provisions the Staff does not support.  Staff Ex. 15 at 5; Tr. Vol. IX at 2206.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0A" w:rsidRDefault="0095700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rsidP="00432798">
    <w:pPr>
      <w:pStyle w:val="Header"/>
      <w:ind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00A" w:rsidRDefault="009570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rsidP="00DA1A3D">
    <w:pPr>
      <w:pStyle w:val="Header"/>
      <w:ind w:firstLine="0"/>
      <w:rPr>
        <w:b/>
        <w:u w:val="single"/>
      </w:rPr>
    </w:pPr>
  </w:p>
  <w:p w:rsidR="00072B32" w:rsidRPr="00DA1A3D" w:rsidRDefault="00072B32" w:rsidP="00DA1A3D">
    <w:pPr>
      <w:pStyle w:val="Header"/>
      <w:ind w:firstLine="0"/>
      <w:jc w:val="center"/>
      <w:rPr>
        <w:b/>
        <w:u w:val="single"/>
      </w:rPr>
    </w:pPr>
    <w:r w:rsidRPr="00DA1A3D">
      <w:rPr>
        <w:b/>
        <w:u w:val="single"/>
      </w:rPr>
      <w:t>TABLE OF CONTENTS</w:t>
    </w:r>
  </w:p>
  <w:p w:rsidR="00072B32" w:rsidRPr="00DA1A3D" w:rsidRDefault="00072B32" w:rsidP="00DA1A3D">
    <w:pPr>
      <w:pStyle w:val="Header"/>
      <w:ind w:firstLine="0"/>
      <w:jc w:val="right"/>
      <w:rPr>
        <w:u w:val="single"/>
      </w:rPr>
    </w:pPr>
    <w:r w:rsidRPr="00DA1A3D">
      <w:rPr>
        <w:u w:val="single"/>
      </w:rPr>
      <w:t>Page No.</w:t>
    </w:r>
  </w:p>
  <w:p w:rsidR="00072B32" w:rsidRPr="00DA1A3D" w:rsidRDefault="00072B32" w:rsidP="00DA1A3D">
    <w:pPr>
      <w:pStyle w:val="Header"/>
    </w:pPr>
  </w:p>
  <w:p w:rsidR="00072B32" w:rsidRDefault="00072B32" w:rsidP="00432798">
    <w:pPr>
      <w:pStyle w:val="Header"/>
      <w:ind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DA1A3D" w:rsidRDefault="00072B32" w:rsidP="00DA1A3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rsidP="00432798">
    <w:pPr>
      <w:pStyle w:val="Header"/>
      <w:ind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Pr="00DA1A3D" w:rsidRDefault="00072B32" w:rsidP="00DA1A3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rsidP="00432798">
    <w:pPr>
      <w:pStyle w:val="Header"/>
      <w:ind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B32" w:rsidRDefault="00072B32" w:rsidP="00053F2C">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21C"/>
    <w:multiLevelType w:val="multilevel"/>
    <w:tmpl w:val="39921BB2"/>
    <w:name w:val="IEU Basic--PUCO"/>
    <w:lvl w:ilvl="0">
      <w:start w:val="1"/>
      <w:numFmt w:val="upperRoman"/>
      <w:pStyle w:val="S2Heading1"/>
      <w:lvlText w:val="%1."/>
      <w:lvlJc w:val="left"/>
      <w:pPr>
        <w:tabs>
          <w:tab w:val="num" w:pos="720"/>
        </w:tabs>
        <w:ind w:left="720" w:hanging="720"/>
      </w:pPr>
      <w:rPr>
        <w:b/>
        <w:caps w:val="0"/>
        <w:color w:val="010000"/>
        <w:u w:val="none"/>
      </w:rPr>
    </w:lvl>
    <w:lvl w:ilvl="1">
      <w:start w:val="1"/>
      <w:numFmt w:val="upperLetter"/>
      <w:pStyle w:val="S2Heading2"/>
      <w:lvlText w:val="%2."/>
      <w:lvlJc w:val="left"/>
      <w:pPr>
        <w:tabs>
          <w:tab w:val="num" w:pos="1440"/>
        </w:tabs>
        <w:ind w:left="1440" w:hanging="720"/>
      </w:pPr>
      <w:rPr>
        <w:b/>
        <w:caps w:val="0"/>
        <w:color w:val="010000"/>
        <w:u w:val="none"/>
      </w:rPr>
    </w:lvl>
    <w:lvl w:ilvl="2">
      <w:start w:val="1"/>
      <w:numFmt w:val="decimal"/>
      <w:pStyle w:val="S2Heading3"/>
      <w:lvlText w:val="%3."/>
      <w:lvlJc w:val="left"/>
      <w:pPr>
        <w:tabs>
          <w:tab w:val="num" w:pos="2160"/>
        </w:tabs>
        <w:ind w:left="2160" w:hanging="720"/>
      </w:pPr>
      <w:rPr>
        <w:b/>
        <w:i w:val="0"/>
        <w:caps w:val="0"/>
        <w:color w:val="010000"/>
        <w:u w:val="none"/>
      </w:rPr>
    </w:lvl>
    <w:lvl w:ilvl="3">
      <w:start w:val="1"/>
      <w:numFmt w:val="lowerLetter"/>
      <w:pStyle w:val="S2Heading4"/>
      <w:lvlText w:val="%4."/>
      <w:lvlJc w:val="left"/>
      <w:pPr>
        <w:tabs>
          <w:tab w:val="num" w:pos="2880"/>
        </w:tabs>
        <w:ind w:left="2880" w:hanging="720"/>
      </w:pPr>
      <w:rPr>
        <w:b/>
        <w:i/>
        <w:caps w:val="0"/>
        <w:color w:val="010000"/>
        <w:u w:val="none"/>
      </w:rPr>
    </w:lvl>
    <w:lvl w:ilvl="4">
      <w:start w:val="1"/>
      <w:numFmt w:val="lowerRoman"/>
      <w:pStyle w:val="S2Heading5"/>
      <w:lvlText w:val="%5."/>
      <w:lvlJc w:val="left"/>
      <w:pPr>
        <w:tabs>
          <w:tab w:val="num" w:pos="3600"/>
        </w:tabs>
        <w:ind w:left="3600" w:hanging="720"/>
      </w:pPr>
      <w:rPr>
        <w:caps w:val="0"/>
        <w:color w:val="010000"/>
        <w:u w:val="none"/>
      </w:rPr>
    </w:lvl>
    <w:lvl w:ilvl="5">
      <w:start w:val="1"/>
      <w:numFmt w:val="lowerLetter"/>
      <w:pStyle w:val="S2Heading6"/>
      <w:lvlText w:val="(%6)"/>
      <w:lvlJc w:val="left"/>
      <w:pPr>
        <w:tabs>
          <w:tab w:val="num" w:pos="4320"/>
        </w:tabs>
        <w:ind w:left="4320" w:hanging="720"/>
      </w:pPr>
      <w:rPr>
        <w:caps w:val="0"/>
        <w:color w:val="010000"/>
        <w:u w:val="none"/>
      </w:rPr>
    </w:lvl>
    <w:lvl w:ilvl="6">
      <w:start w:val="1"/>
      <w:numFmt w:val="decimal"/>
      <w:pStyle w:val="S2Heading7"/>
      <w:lvlText w:val="(%7)"/>
      <w:lvlJc w:val="left"/>
      <w:pPr>
        <w:tabs>
          <w:tab w:val="num" w:pos="5040"/>
        </w:tabs>
        <w:ind w:left="5040" w:hanging="720"/>
      </w:pPr>
      <w:rPr>
        <w:caps w:val="0"/>
        <w:color w:val="010000"/>
        <w:u w:val="none"/>
      </w:rPr>
    </w:lvl>
    <w:lvl w:ilvl="7">
      <w:start w:val="1"/>
      <w:numFmt w:val="lowerRoman"/>
      <w:pStyle w:val="S2Heading8"/>
      <w:lvlText w:val="%8)"/>
      <w:lvlJc w:val="left"/>
      <w:pPr>
        <w:tabs>
          <w:tab w:val="num" w:pos="5760"/>
        </w:tabs>
        <w:ind w:left="5760" w:hanging="720"/>
      </w:pPr>
      <w:rPr>
        <w:caps w:val="0"/>
        <w:color w:val="010000"/>
        <w:u w:val="none"/>
      </w:rPr>
    </w:lvl>
    <w:lvl w:ilvl="8">
      <w:start w:val="1"/>
      <w:numFmt w:val="lowerLetter"/>
      <w:pStyle w:val="S2Heading9"/>
      <w:lvlText w:val="%9)"/>
      <w:lvlJc w:val="left"/>
      <w:pPr>
        <w:tabs>
          <w:tab w:val="num" w:pos="6480"/>
        </w:tabs>
        <w:ind w:left="6480" w:hanging="720"/>
      </w:pPr>
      <w:rPr>
        <w:caps w:val="0"/>
        <w:color w:val="010000"/>
        <w:u w:val="none"/>
      </w:rPr>
    </w:lvl>
  </w:abstractNum>
  <w:abstractNum w:abstractNumId="1">
    <w:nsid w:val="67B71568"/>
    <w:multiLevelType w:val="multilevel"/>
    <w:tmpl w:val="74427A6E"/>
    <w:name w:val="Ind. Energy Users Group"/>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DefaultNumberOfLevelsInTOCForThisScheme" w:val="3"/>
    <w:docVar w:name="ExcludeDirectFormattingInTOC" w:val="False"/>
    <w:docVar w:name="HyperlinkTOC" w:val="False"/>
    <w:docVar w:name="IncludeTOCAndPageHeadings" w:val="True"/>
    <w:docVar w:name="LastSchemeChoice" w:val="IEU Basic--PUCO"/>
    <w:docVar w:name="LastSchemeUniqueID" w:val="2"/>
    <w:docVar w:name="NoNumberLevel1TOC" w:val="False"/>
    <w:docVar w:name="Option0True" w:val="False"/>
    <w:docVar w:name="Option0TrueS2" w:val="False"/>
    <w:docVar w:name="Option1True" w:val="False"/>
    <w:docVar w:name="Option1TrueS2" w:val="False"/>
    <w:docVar w:name="Option2True" w:val="False"/>
    <w:docVar w:name="Option2TrueS2" w:val="False"/>
    <w:docVar w:name="TOCFormatConst" w:val="0"/>
    <w:docVar w:name="TOCFormatPreference" w:val="Leave TOC styles 'as is' in current document (default)"/>
    <w:docVar w:name="TOCHeadingAllCaps" w:val="True"/>
    <w:docVar w:name="TOCHeadingUnderlined" w:val="True"/>
    <w:docVar w:name="TOCIncludeNonHeadings" w:val="False"/>
    <w:docVar w:name="TOCIncludeSectionBreaks" w:val="False"/>
    <w:docVar w:name="TOCIncludeTCFields" w:val="False"/>
    <w:docVar w:name="TOCPageUnderlined" w:val="False"/>
    <w:docVar w:name="TOCPosition" w:val="Current cursor position"/>
    <w:docVar w:name="TOCRun" w:val="True"/>
    <w:docVar w:name="TOCSpecialLevels" w:val="False"/>
    <w:docVar w:name="UnderlineTOCLevel1" w:val="False"/>
    <w:docVar w:name="UpperLevelTOC" w:val="3"/>
  </w:docVars>
  <w:rsids>
    <w:rsidRoot w:val="00432798"/>
    <w:rsid w:val="00005373"/>
    <w:rsid w:val="00023E33"/>
    <w:rsid w:val="00025999"/>
    <w:rsid w:val="00035626"/>
    <w:rsid w:val="000477E2"/>
    <w:rsid w:val="00053F2C"/>
    <w:rsid w:val="00071D0E"/>
    <w:rsid w:val="00072B32"/>
    <w:rsid w:val="00077A33"/>
    <w:rsid w:val="000A2B34"/>
    <w:rsid w:val="000A47E2"/>
    <w:rsid w:val="000B36FC"/>
    <w:rsid w:val="000C22A9"/>
    <w:rsid w:val="000D06B5"/>
    <w:rsid w:val="000E2AA6"/>
    <w:rsid w:val="001026EE"/>
    <w:rsid w:val="0010733E"/>
    <w:rsid w:val="00111083"/>
    <w:rsid w:val="00112BDE"/>
    <w:rsid w:val="00114938"/>
    <w:rsid w:val="00173A0E"/>
    <w:rsid w:val="001A24A8"/>
    <w:rsid w:val="001B1023"/>
    <w:rsid w:val="001B59C3"/>
    <w:rsid w:val="001C2B01"/>
    <w:rsid w:val="001E4C96"/>
    <w:rsid w:val="00207DFA"/>
    <w:rsid w:val="00226D7F"/>
    <w:rsid w:val="002521D1"/>
    <w:rsid w:val="00255098"/>
    <w:rsid w:val="00261ACE"/>
    <w:rsid w:val="00263149"/>
    <w:rsid w:val="0026538C"/>
    <w:rsid w:val="00273E12"/>
    <w:rsid w:val="00277E81"/>
    <w:rsid w:val="00280278"/>
    <w:rsid w:val="00280CBD"/>
    <w:rsid w:val="002A01EC"/>
    <w:rsid w:val="002A4422"/>
    <w:rsid w:val="002C3E11"/>
    <w:rsid w:val="002D40B2"/>
    <w:rsid w:val="002D556E"/>
    <w:rsid w:val="00300B0A"/>
    <w:rsid w:val="00314EF2"/>
    <w:rsid w:val="0031647E"/>
    <w:rsid w:val="003170CD"/>
    <w:rsid w:val="00320CBF"/>
    <w:rsid w:val="00325362"/>
    <w:rsid w:val="00333013"/>
    <w:rsid w:val="003400F7"/>
    <w:rsid w:val="003408D6"/>
    <w:rsid w:val="003468FF"/>
    <w:rsid w:val="0036434E"/>
    <w:rsid w:val="00374F59"/>
    <w:rsid w:val="00382291"/>
    <w:rsid w:val="003915FB"/>
    <w:rsid w:val="003A1CD6"/>
    <w:rsid w:val="003B09CC"/>
    <w:rsid w:val="003C4863"/>
    <w:rsid w:val="003D15C9"/>
    <w:rsid w:val="003D4290"/>
    <w:rsid w:val="003D4F50"/>
    <w:rsid w:val="003E572D"/>
    <w:rsid w:val="00406540"/>
    <w:rsid w:val="00423277"/>
    <w:rsid w:val="00432798"/>
    <w:rsid w:val="00437990"/>
    <w:rsid w:val="00451954"/>
    <w:rsid w:val="0048052F"/>
    <w:rsid w:val="004C134D"/>
    <w:rsid w:val="004F1376"/>
    <w:rsid w:val="005008A4"/>
    <w:rsid w:val="005204AC"/>
    <w:rsid w:val="00541328"/>
    <w:rsid w:val="005479D7"/>
    <w:rsid w:val="00552819"/>
    <w:rsid w:val="00553134"/>
    <w:rsid w:val="00580F79"/>
    <w:rsid w:val="0058145F"/>
    <w:rsid w:val="0059239C"/>
    <w:rsid w:val="005959A7"/>
    <w:rsid w:val="005B680B"/>
    <w:rsid w:val="005B751F"/>
    <w:rsid w:val="005C6107"/>
    <w:rsid w:val="005F17C1"/>
    <w:rsid w:val="00600187"/>
    <w:rsid w:val="00601E5B"/>
    <w:rsid w:val="00610F60"/>
    <w:rsid w:val="00615443"/>
    <w:rsid w:val="006365D2"/>
    <w:rsid w:val="0065358A"/>
    <w:rsid w:val="00653CA0"/>
    <w:rsid w:val="006619FF"/>
    <w:rsid w:val="00680F93"/>
    <w:rsid w:val="00690A60"/>
    <w:rsid w:val="00690FA7"/>
    <w:rsid w:val="006A0848"/>
    <w:rsid w:val="006A3030"/>
    <w:rsid w:val="006B07F4"/>
    <w:rsid w:val="006B20DD"/>
    <w:rsid w:val="006B592A"/>
    <w:rsid w:val="006B5DF9"/>
    <w:rsid w:val="006B76EF"/>
    <w:rsid w:val="006B7FA0"/>
    <w:rsid w:val="006D2A2D"/>
    <w:rsid w:val="006E48F2"/>
    <w:rsid w:val="00744136"/>
    <w:rsid w:val="00744647"/>
    <w:rsid w:val="00766E7D"/>
    <w:rsid w:val="00774D22"/>
    <w:rsid w:val="007964F7"/>
    <w:rsid w:val="007B0E0B"/>
    <w:rsid w:val="007C28E1"/>
    <w:rsid w:val="007C64FC"/>
    <w:rsid w:val="007C70F5"/>
    <w:rsid w:val="007D5348"/>
    <w:rsid w:val="007E0276"/>
    <w:rsid w:val="007E149A"/>
    <w:rsid w:val="00800714"/>
    <w:rsid w:val="008048BD"/>
    <w:rsid w:val="008052AF"/>
    <w:rsid w:val="008065E9"/>
    <w:rsid w:val="0083441C"/>
    <w:rsid w:val="00837B49"/>
    <w:rsid w:val="00837D7D"/>
    <w:rsid w:val="00842292"/>
    <w:rsid w:val="00844EF1"/>
    <w:rsid w:val="00860B29"/>
    <w:rsid w:val="00863587"/>
    <w:rsid w:val="00871548"/>
    <w:rsid w:val="00876A53"/>
    <w:rsid w:val="00892030"/>
    <w:rsid w:val="00893610"/>
    <w:rsid w:val="008B4AE5"/>
    <w:rsid w:val="008B4F9F"/>
    <w:rsid w:val="008B6EAB"/>
    <w:rsid w:val="008C4E25"/>
    <w:rsid w:val="008D4A86"/>
    <w:rsid w:val="008E3BF4"/>
    <w:rsid w:val="008F5507"/>
    <w:rsid w:val="00900DD3"/>
    <w:rsid w:val="00906505"/>
    <w:rsid w:val="0091450D"/>
    <w:rsid w:val="009167A0"/>
    <w:rsid w:val="0092196B"/>
    <w:rsid w:val="00922546"/>
    <w:rsid w:val="00930BD9"/>
    <w:rsid w:val="0095005A"/>
    <w:rsid w:val="009558EA"/>
    <w:rsid w:val="0095700A"/>
    <w:rsid w:val="00957A6C"/>
    <w:rsid w:val="009810F6"/>
    <w:rsid w:val="00981FBA"/>
    <w:rsid w:val="00992C3E"/>
    <w:rsid w:val="00994B80"/>
    <w:rsid w:val="009A1CFB"/>
    <w:rsid w:val="009A4C1E"/>
    <w:rsid w:val="009C0E84"/>
    <w:rsid w:val="00A0168B"/>
    <w:rsid w:val="00A031C1"/>
    <w:rsid w:val="00A1165C"/>
    <w:rsid w:val="00A25939"/>
    <w:rsid w:val="00A474C4"/>
    <w:rsid w:val="00A5547C"/>
    <w:rsid w:val="00A83C12"/>
    <w:rsid w:val="00A940EB"/>
    <w:rsid w:val="00A942E4"/>
    <w:rsid w:val="00AC5C52"/>
    <w:rsid w:val="00AD3252"/>
    <w:rsid w:val="00AE3D45"/>
    <w:rsid w:val="00AF12C7"/>
    <w:rsid w:val="00B239E2"/>
    <w:rsid w:val="00B35702"/>
    <w:rsid w:val="00B76BB4"/>
    <w:rsid w:val="00B82565"/>
    <w:rsid w:val="00B836E0"/>
    <w:rsid w:val="00B84385"/>
    <w:rsid w:val="00B85579"/>
    <w:rsid w:val="00B9470D"/>
    <w:rsid w:val="00BA10DC"/>
    <w:rsid w:val="00BD226B"/>
    <w:rsid w:val="00BE05E8"/>
    <w:rsid w:val="00BF01D0"/>
    <w:rsid w:val="00C0405A"/>
    <w:rsid w:val="00C117EE"/>
    <w:rsid w:val="00C15B0D"/>
    <w:rsid w:val="00C16019"/>
    <w:rsid w:val="00C24BF4"/>
    <w:rsid w:val="00C32047"/>
    <w:rsid w:val="00C375F2"/>
    <w:rsid w:val="00C40438"/>
    <w:rsid w:val="00C4754D"/>
    <w:rsid w:val="00C53037"/>
    <w:rsid w:val="00C92FA1"/>
    <w:rsid w:val="00CB2E05"/>
    <w:rsid w:val="00CC50D6"/>
    <w:rsid w:val="00CD2971"/>
    <w:rsid w:val="00CE7C2E"/>
    <w:rsid w:val="00CF1690"/>
    <w:rsid w:val="00CF331A"/>
    <w:rsid w:val="00D027F7"/>
    <w:rsid w:val="00D07519"/>
    <w:rsid w:val="00D1678E"/>
    <w:rsid w:val="00D31C97"/>
    <w:rsid w:val="00D3392E"/>
    <w:rsid w:val="00D74C65"/>
    <w:rsid w:val="00D93084"/>
    <w:rsid w:val="00D9526E"/>
    <w:rsid w:val="00DA1A3D"/>
    <w:rsid w:val="00DA66D7"/>
    <w:rsid w:val="00DA67E3"/>
    <w:rsid w:val="00DC6761"/>
    <w:rsid w:val="00DD1355"/>
    <w:rsid w:val="00DD4018"/>
    <w:rsid w:val="00DE3C1F"/>
    <w:rsid w:val="00DF319A"/>
    <w:rsid w:val="00DF7E82"/>
    <w:rsid w:val="00E107E8"/>
    <w:rsid w:val="00E15D02"/>
    <w:rsid w:val="00E46092"/>
    <w:rsid w:val="00E51D84"/>
    <w:rsid w:val="00E52F2D"/>
    <w:rsid w:val="00E56FFE"/>
    <w:rsid w:val="00E734DF"/>
    <w:rsid w:val="00E736DA"/>
    <w:rsid w:val="00E758D8"/>
    <w:rsid w:val="00E954EA"/>
    <w:rsid w:val="00EB4E17"/>
    <w:rsid w:val="00EE71F8"/>
    <w:rsid w:val="00EF0233"/>
    <w:rsid w:val="00F00A49"/>
    <w:rsid w:val="00F05BB1"/>
    <w:rsid w:val="00F221FD"/>
    <w:rsid w:val="00F231D8"/>
    <w:rsid w:val="00F55B41"/>
    <w:rsid w:val="00F632CA"/>
    <w:rsid w:val="00F638AE"/>
    <w:rsid w:val="00FB298A"/>
    <w:rsid w:val="00FC434F"/>
    <w:rsid w:val="00FD55D5"/>
    <w:rsid w:val="00FD6C17"/>
    <w:rsid w:val="00FD78F9"/>
    <w:rsid w:val="00FE00CE"/>
    <w:rsid w:val="00FE0711"/>
    <w:rsid w:val="00FE7E15"/>
    <w:rsid w:val="00FF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798"/>
    <w:pPr>
      <w:spacing w:line="480" w:lineRule="auto"/>
      <w:ind w:firstLine="720"/>
      <w:jc w:val="both"/>
    </w:pPr>
  </w:style>
  <w:style w:type="paragraph" w:styleId="Heading1">
    <w:name w:val="heading 1"/>
    <w:basedOn w:val="Normal"/>
    <w:next w:val="Normal"/>
    <w:link w:val="Heading1Char"/>
    <w:uiPriority w:val="9"/>
    <w:qFormat/>
    <w:rsid w:val="00FE0711"/>
    <w:pPr>
      <w:numPr>
        <w:numId w:val="1"/>
      </w:numPr>
      <w:tabs>
        <w:tab w:val="clear" w:pos="720"/>
      </w:tabs>
      <w:spacing w:before="180"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FE0711"/>
    <w:pPr>
      <w:numPr>
        <w:ilvl w:val="1"/>
        <w:numId w:val="1"/>
      </w:numPr>
      <w:spacing w:before="120"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5F17C1"/>
    <w:pPr>
      <w:numPr>
        <w:ilvl w:val="2"/>
        <w:numId w:val="1"/>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unhideWhenUsed/>
    <w:qFormat/>
    <w:rsid w:val="005F17C1"/>
    <w:pPr>
      <w:numPr>
        <w:ilvl w:val="3"/>
        <w:numId w:val="1"/>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5F17C1"/>
    <w:pPr>
      <w:numPr>
        <w:ilvl w:val="4"/>
        <w:numId w:val="1"/>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5F17C1"/>
    <w:pPr>
      <w:numPr>
        <w:ilvl w:val="5"/>
        <w:numId w:val="1"/>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5F17C1"/>
    <w:pPr>
      <w:numPr>
        <w:ilvl w:val="6"/>
        <w:numId w:val="1"/>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5F17C1"/>
    <w:pPr>
      <w:numPr>
        <w:ilvl w:val="7"/>
        <w:numId w:val="1"/>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5F17C1"/>
    <w:pPr>
      <w:numPr>
        <w:ilvl w:val="8"/>
        <w:numId w:val="1"/>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798"/>
    <w:pPr>
      <w:tabs>
        <w:tab w:val="center" w:pos="4680"/>
        <w:tab w:val="right" w:pos="9360"/>
      </w:tabs>
      <w:spacing w:line="240" w:lineRule="auto"/>
    </w:pPr>
  </w:style>
  <w:style w:type="character" w:customStyle="1" w:styleId="HeaderChar">
    <w:name w:val="Header Char"/>
    <w:basedOn w:val="DefaultParagraphFont"/>
    <w:link w:val="Header"/>
    <w:uiPriority w:val="99"/>
    <w:rsid w:val="00432798"/>
  </w:style>
  <w:style w:type="paragraph" w:styleId="Footer">
    <w:name w:val="footer"/>
    <w:basedOn w:val="Normal"/>
    <w:link w:val="FooterChar"/>
    <w:uiPriority w:val="99"/>
    <w:unhideWhenUsed/>
    <w:rsid w:val="00432798"/>
    <w:pPr>
      <w:tabs>
        <w:tab w:val="center" w:pos="4680"/>
        <w:tab w:val="right" w:pos="9360"/>
      </w:tabs>
      <w:spacing w:line="240" w:lineRule="auto"/>
    </w:pPr>
  </w:style>
  <w:style w:type="character" w:customStyle="1" w:styleId="FooterChar">
    <w:name w:val="Footer Char"/>
    <w:basedOn w:val="DefaultParagraphFont"/>
    <w:link w:val="Footer"/>
    <w:uiPriority w:val="99"/>
    <w:rsid w:val="00432798"/>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 Char,fn,char,ft"/>
    <w:basedOn w:val="Normal"/>
    <w:link w:val="FootnoteTextChar"/>
    <w:uiPriority w:val="99"/>
    <w:unhideWhenUsed/>
    <w:qFormat/>
    <w:rsid w:val="00053F2C"/>
    <w:pPr>
      <w:spacing w:line="240" w:lineRule="auto"/>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053F2C"/>
    <w:rPr>
      <w:sz w:val="20"/>
      <w:szCs w:val="20"/>
    </w:rPr>
  </w:style>
  <w:style w:type="character" w:styleId="FootnoteReference">
    <w:name w:val="footnote reference"/>
    <w:aliases w:val="o,fr,(NECG) Footnote Reference,Style 17,Style 20,Style 13,Style 12,o1,fr1,o2,fr2,o3,fr3,Style 15,Style 8,Style 9,Style 18,Style 7,Style 19,Style 28,Style 42"/>
    <w:basedOn w:val="DefaultParagraphFont"/>
    <w:uiPriority w:val="99"/>
    <w:unhideWhenUsed/>
    <w:rsid w:val="00053F2C"/>
    <w:rPr>
      <w:vertAlign w:val="superscript"/>
    </w:rPr>
  </w:style>
  <w:style w:type="character" w:customStyle="1" w:styleId="Heading1Char">
    <w:name w:val="Heading 1 Char"/>
    <w:basedOn w:val="DefaultParagraphFont"/>
    <w:link w:val="Heading1"/>
    <w:uiPriority w:val="9"/>
    <w:rsid w:val="00FE0711"/>
    <w:rPr>
      <w:rFonts w:eastAsiaTheme="majorEastAsia" w:cs="Arial"/>
      <w:b/>
      <w:bCs/>
      <w:caps/>
      <w:szCs w:val="28"/>
      <w:u w:val="single"/>
    </w:rPr>
  </w:style>
  <w:style w:type="character" w:customStyle="1" w:styleId="Heading2Char">
    <w:name w:val="Heading 2 Char"/>
    <w:basedOn w:val="DefaultParagraphFont"/>
    <w:link w:val="Heading2"/>
    <w:uiPriority w:val="9"/>
    <w:rsid w:val="00FE0711"/>
    <w:rPr>
      <w:rFonts w:eastAsiaTheme="majorEastAsia" w:cs="Arial"/>
      <w:b/>
      <w:bCs/>
      <w:szCs w:val="26"/>
    </w:rPr>
  </w:style>
  <w:style w:type="character" w:customStyle="1" w:styleId="Heading3Char">
    <w:name w:val="Heading 3 Char"/>
    <w:basedOn w:val="DefaultParagraphFont"/>
    <w:link w:val="Heading3"/>
    <w:uiPriority w:val="9"/>
    <w:rsid w:val="005F17C1"/>
    <w:rPr>
      <w:rFonts w:eastAsiaTheme="majorEastAsia" w:cs="Arial"/>
      <w:b/>
      <w:bCs/>
    </w:rPr>
  </w:style>
  <w:style w:type="character" w:customStyle="1" w:styleId="Heading4Char">
    <w:name w:val="Heading 4 Char"/>
    <w:basedOn w:val="DefaultParagraphFont"/>
    <w:link w:val="Heading4"/>
    <w:uiPriority w:val="9"/>
    <w:rsid w:val="005F17C1"/>
    <w:rPr>
      <w:rFonts w:eastAsiaTheme="majorEastAsia" w:cs="Arial"/>
      <w:b/>
      <w:bCs/>
      <w:i/>
      <w:iCs/>
    </w:rPr>
  </w:style>
  <w:style w:type="paragraph" w:styleId="BalloonText">
    <w:name w:val="Balloon Text"/>
    <w:basedOn w:val="Normal"/>
    <w:link w:val="BalloonTextChar"/>
    <w:uiPriority w:val="99"/>
    <w:semiHidden/>
    <w:unhideWhenUsed/>
    <w:rsid w:val="00053F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F2C"/>
    <w:rPr>
      <w:rFonts w:ascii="Tahoma" w:hAnsi="Tahoma" w:cs="Tahoma"/>
      <w:sz w:val="16"/>
      <w:szCs w:val="16"/>
    </w:rPr>
  </w:style>
  <w:style w:type="character" w:customStyle="1" w:styleId="Heading5Char">
    <w:name w:val="Heading 5 Char"/>
    <w:basedOn w:val="DefaultParagraphFont"/>
    <w:link w:val="Heading5"/>
    <w:uiPriority w:val="9"/>
    <w:semiHidden/>
    <w:rsid w:val="005F17C1"/>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5F17C1"/>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5F17C1"/>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5F17C1"/>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5F17C1"/>
    <w:rPr>
      <w:rFonts w:asciiTheme="majorHAnsi" w:eastAsiaTheme="majorEastAsia" w:hAnsiTheme="majorHAnsi" w:cs="Arial"/>
      <w:iCs/>
      <w:color w:val="404040" w:themeColor="text1" w:themeTint="BF"/>
      <w:szCs w:val="20"/>
    </w:rPr>
  </w:style>
  <w:style w:type="paragraph" w:styleId="BodyText">
    <w:name w:val="Body Text"/>
    <w:basedOn w:val="Normal"/>
    <w:link w:val="BodyTextChar"/>
    <w:uiPriority w:val="99"/>
    <w:semiHidden/>
    <w:unhideWhenUsed/>
    <w:rsid w:val="005F17C1"/>
    <w:pPr>
      <w:spacing w:after="120"/>
    </w:pPr>
  </w:style>
  <w:style w:type="character" w:customStyle="1" w:styleId="BodyTextChar">
    <w:name w:val="Body Text Char"/>
    <w:basedOn w:val="DefaultParagraphFont"/>
    <w:link w:val="BodyText"/>
    <w:uiPriority w:val="99"/>
    <w:semiHidden/>
    <w:rsid w:val="005F17C1"/>
  </w:style>
  <w:style w:type="paragraph" w:styleId="ListParagraph">
    <w:name w:val="List Paragraph"/>
    <w:basedOn w:val="Normal"/>
    <w:uiPriority w:val="34"/>
    <w:qFormat/>
    <w:rsid w:val="006B20DD"/>
    <w:pPr>
      <w:spacing w:line="240" w:lineRule="auto"/>
      <w:ind w:left="720" w:firstLine="0"/>
      <w:contextualSpacing/>
      <w:jc w:val="left"/>
    </w:pPr>
  </w:style>
  <w:style w:type="paragraph" w:styleId="TOCHeading">
    <w:name w:val="TOC Heading"/>
    <w:basedOn w:val="Normal"/>
    <w:next w:val="TOC1"/>
    <w:uiPriority w:val="39"/>
    <w:unhideWhenUsed/>
    <w:qFormat/>
    <w:rsid w:val="00DA67E3"/>
    <w:pPr>
      <w:keepNext/>
      <w:keepLines/>
      <w:spacing w:before="480" w:after="240" w:line="240" w:lineRule="auto"/>
      <w:jc w:val="center"/>
    </w:pPr>
    <w:rPr>
      <w:rFonts w:cs="Arial"/>
      <w:b/>
      <w:caps/>
      <w:color w:val="365F91" w:themeColor="accent1" w:themeShade="BF"/>
      <w:u w:val="single"/>
    </w:rPr>
  </w:style>
  <w:style w:type="paragraph" w:styleId="TOC1">
    <w:name w:val="toc 1"/>
    <w:basedOn w:val="Normal"/>
    <w:next w:val="Normal"/>
    <w:autoRedefine/>
    <w:uiPriority w:val="39"/>
    <w:unhideWhenUsed/>
    <w:rsid w:val="00E736DA"/>
    <w:pPr>
      <w:tabs>
        <w:tab w:val="right" w:leader="dot" w:pos="9270"/>
      </w:tabs>
      <w:spacing w:after="100" w:line="240" w:lineRule="auto"/>
      <w:ind w:left="720" w:right="720" w:hanging="720"/>
    </w:pPr>
  </w:style>
  <w:style w:type="paragraph" w:styleId="TOC2">
    <w:name w:val="toc 2"/>
    <w:basedOn w:val="Normal"/>
    <w:next w:val="Normal"/>
    <w:autoRedefine/>
    <w:uiPriority w:val="39"/>
    <w:unhideWhenUsed/>
    <w:rsid w:val="00E736DA"/>
    <w:pPr>
      <w:tabs>
        <w:tab w:val="left" w:pos="1440"/>
        <w:tab w:val="right" w:leader="dot" w:pos="9270"/>
      </w:tabs>
      <w:spacing w:after="100" w:line="240" w:lineRule="auto"/>
      <w:ind w:left="1440" w:right="720" w:hanging="720"/>
    </w:pPr>
  </w:style>
  <w:style w:type="paragraph" w:styleId="TOC3">
    <w:name w:val="toc 3"/>
    <w:basedOn w:val="Normal"/>
    <w:next w:val="Normal"/>
    <w:autoRedefine/>
    <w:uiPriority w:val="39"/>
    <w:unhideWhenUsed/>
    <w:rsid w:val="00E736DA"/>
    <w:pPr>
      <w:tabs>
        <w:tab w:val="right" w:leader="dot" w:pos="9360"/>
      </w:tabs>
      <w:spacing w:after="100" w:line="240" w:lineRule="auto"/>
      <w:ind w:left="2160" w:right="720" w:hanging="720"/>
    </w:pPr>
  </w:style>
  <w:style w:type="paragraph" w:styleId="TOC4">
    <w:name w:val="toc 4"/>
    <w:basedOn w:val="Normal"/>
    <w:next w:val="Normal"/>
    <w:autoRedefine/>
    <w:uiPriority w:val="39"/>
    <w:semiHidden/>
    <w:unhideWhenUsed/>
    <w:rsid w:val="00DA67E3"/>
    <w:pPr>
      <w:spacing w:after="100"/>
      <w:ind w:left="720"/>
    </w:pPr>
  </w:style>
  <w:style w:type="paragraph" w:styleId="TOC5">
    <w:name w:val="toc 5"/>
    <w:basedOn w:val="Normal"/>
    <w:next w:val="Normal"/>
    <w:autoRedefine/>
    <w:uiPriority w:val="39"/>
    <w:semiHidden/>
    <w:unhideWhenUsed/>
    <w:rsid w:val="00DA67E3"/>
    <w:pPr>
      <w:spacing w:after="100"/>
      <w:ind w:left="960"/>
    </w:pPr>
  </w:style>
  <w:style w:type="paragraph" w:styleId="TOC6">
    <w:name w:val="toc 6"/>
    <w:basedOn w:val="Normal"/>
    <w:next w:val="Normal"/>
    <w:autoRedefine/>
    <w:uiPriority w:val="39"/>
    <w:semiHidden/>
    <w:unhideWhenUsed/>
    <w:rsid w:val="00DA67E3"/>
    <w:pPr>
      <w:spacing w:after="100"/>
      <w:ind w:left="1200"/>
    </w:pPr>
  </w:style>
  <w:style w:type="paragraph" w:styleId="TOC7">
    <w:name w:val="toc 7"/>
    <w:basedOn w:val="Normal"/>
    <w:next w:val="Normal"/>
    <w:autoRedefine/>
    <w:uiPriority w:val="39"/>
    <w:semiHidden/>
    <w:unhideWhenUsed/>
    <w:rsid w:val="00DA67E3"/>
    <w:pPr>
      <w:spacing w:after="100"/>
      <w:ind w:left="1440"/>
    </w:pPr>
  </w:style>
  <w:style w:type="paragraph" w:styleId="TOC8">
    <w:name w:val="toc 8"/>
    <w:basedOn w:val="Normal"/>
    <w:next w:val="Normal"/>
    <w:autoRedefine/>
    <w:uiPriority w:val="39"/>
    <w:semiHidden/>
    <w:unhideWhenUsed/>
    <w:rsid w:val="00DA67E3"/>
    <w:pPr>
      <w:spacing w:after="100"/>
      <w:ind w:left="1680"/>
    </w:pPr>
  </w:style>
  <w:style w:type="paragraph" w:styleId="TOC9">
    <w:name w:val="toc 9"/>
    <w:basedOn w:val="Normal"/>
    <w:next w:val="Normal"/>
    <w:autoRedefine/>
    <w:uiPriority w:val="39"/>
    <w:semiHidden/>
    <w:unhideWhenUsed/>
    <w:rsid w:val="00DA67E3"/>
    <w:pPr>
      <w:spacing w:after="100"/>
      <w:ind w:left="1920"/>
    </w:pPr>
  </w:style>
  <w:style w:type="paragraph" w:customStyle="1" w:styleId="TOCPage">
    <w:name w:val="TOC Page"/>
    <w:basedOn w:val="Normal"/>
    <w:next w:val="Normal"/>
    <w:link w:val="TOCPageChar"/>
    <w:rsid w:val="00DA67E3"/>
    <w:pPr>
      <w:spacing w:after="240" w:line="240" w:lineRule="auto"/>
      <w:ind w:firstLine="0"/>
      <w:jc w:val="right"/>
    </w:pPr>
    <w:rPr>
      <w:rFonts w:eastAsia="Calibri" w:cs="Arial"/>
      <w:b/>
    </w:rPr>
  </w:style>
  <w:style w:type="character" w:customStyle="1" w:styleId="TOCPageChar">
    <w:name w:val="TOC Page Char"/>
    <w:basedOn w:val="DefaultParagraphFont"/>
    <w:link w:val="TOCPage"/>
    <w:rsid w:val="00DA67E3"/>
    <w:rPr>
      <w:rFonts w:eastAsia="Calibri" w:cs="Arial"/>
      <w:b/>
    </w:rPr>
  </w:style>
  <w:style w:type="character" w:styleId="CommentReference">
    <w:name w:val="annotation reference"/>
    <w:basedOn w:val="DefaultParagraphFont"/>
    <w:uiPriority w:val="99"/>
    <w:semiHidden/>
    <w:unhideWhenUsed/>
    <w:rsid w:val="00680F93"/>
    <w:rPr>
      <w:sz w:val="16"/>
      <w:szCs w:val="16"/>
    </w:rPr>
  </w:style>
  <w:style w:type="paragraph" w:styleId="CommentText">
    <w:name w:val="annotation text"/>
    <w:basedOn w:val="Normal"/>
    <w:link w:val="CommentTextChar"/>
    <w:uiPriority w:val="99"/>
    <w:semiHidden/>
    <w:unhideWhenUsed/>
    <w:rsid w:val="00680F93"/>
    <w:pPr>
      <w:spacing w:line="240" w:lineRule="auto"/>
    </w:pPr>
    <w:rPr>
      <w:sz w:val="20"/>
      <w:szCs w:val="20"/>
    </w:rPr>
  </w:style>
  <w:style w:type="character" w:customStyle="1" w:styleId="CommentTextChar">
    <w:name w:val="Comment Text Char"/>
    <w:basedOn w:val="DefaultParagraphFont"/>
    <w:link w:val="CommentText"/>
    <w:uiPriority w:val="99"/>
    <w:semiHidden/>
    <w:rsid w:val="00680F93"/>
    <w:rPr>
      <w:sz w:val="20"/>
      <w:szCs w:val="20"/>
    </w:rPr>
  </w:style>
  <w:style w:type="paragraph" w:styleId="CommentSubject">
    <w:name w:val="annotation subject"/>
    <w:basedOn w:val="CommentText"/>
    <w:next w:val="CommentText"/>
    <w:link w:val="CommentSubjectChar"/>
    <w:uiPriority w:val="99"/>
    <w:semiHidden/>
    <w:unhideWhenUsed/>
    <w:rsid w:val="00680F93"/>
    <w:rPr>
      <w:b/>
      <w:bCs/>
    </w:rPr>
  </w:style>
  <w:style w:type="character" w:customStyle="1" w:styleId="CommentSubjectChar">
    <w:name w:val="Comment Subject Char"/>
    <w:basedOn w:val="CommentTextChar"/>
    <w:link w:val="CommentSubject"/>
    <w:uiPriority w:val="99"/>
    <w:semiHidden/>
    <w:rsid w:val="00680F93"/>
    <w:rPr>
      <w:b/>
      <w:bCs/>
      <w:sz w:val="20"/>
      <w:szCs w:val="20"/>
    </w:rPr>
  </w:style>
  <w:style w:type="paragraph" w:styleId="Revision">
    <w:name w:val="Revision"/>
    <w:hidden/>
    <w:uiPriority w:val="99"/>
    <w:semiHidden/>
    <w:rsid w:val="00680F93"/>
  </w:style>
  <w:style w:type="character" w:customStyle="1" w:styleId="apple-converted-space">
    <w:name w:val="apple-converted-space"/>
    <w:basedOn w:val="DefaultParagraphFont"/>
    <w:rsid w:val="00B35702"/>
  </w:style>
  <w:style w:type="character" w:styleId="Hyperlink">
    <w:name w:val="Hyperlink"/>
    <w:basedOn w:val="DefaultParagraphFont"/>
    <w:uiPriority w:val="99"/>
    <w:unhideWhenUsed/>
    <w:rsid w:val="00B35702"/>
    <w:rPr>
      <w:color w:val="0000FF"/>
      <w:u w:val="single"/>
    </w:rPr>
  </w:style>
  <w:style w:type="paragraph" w:customStyle="1" w:styleId="S2Heading1">
    <w:name w:val="S2.Heading 1"/>
    <w:basedOn w:val="Normal"/>
    <w:next w:val="Normal"/>
    <w:link w:val="S2Heading1Char"/>
    <w:rsid w:val="00FE0711"/>
    <w:pPr>
      <w:numPr>
        <w:numId w:val="2"/>
      </w:numPr>
      <w:tabs>
        <w:tab w:val="clear" w:pos="720"/>
      </w:tabs>
      <w:spacing w:after="240" w:line="240" w:lineRule="auto"/>
      <w:outlineLvl w:val="0"/>
    </w:pPr>
    <w:rPr>
      <w:rFonts w:eastAsia="Calibri" w:cs="Arial"/>
      <w:b/>
      <w:caps/>
      <w:u w:val="single"/>
    </w:rPr>
  </w:style>
  <w:style w:type="character" w:customStyle="1" w:styleId="S2Heading1Char">
    <w:name w:val="S2.Heading 1 Char"/>
    <w:basedOn w:val="DefaultParagraphFont"/>
    <w:link w:val="S2Heading1"/>
    <w:rsid w:val="00FE0711"/>
    <w:rPr>
      <w:rFonts w:eastAsia="Calibri" w:cs="Arial"/>
      <w:b/>
      <w:caps/>
      <w:u w:val="single"/>
    </w:rPr>
  </w:style>
  <w:style w:type="paragraph" w:customStyle="1" w:styleId="S2Heading2">
    <w:name w:val="S2.Heading 2"/>
    <w:basedOn w:val="Normal"/>
    <w:next w:val="Normal"/>
    <w:link w:val="S2Heading2Char"/>
    <w:rsid w:val="00FE0711"/>
    <w:pPr>
      <w:numPr>
        <w:ilvl w:val="1"/>
        <w:numId w:val="2"/>
      </w:numPr>
      <w:spacing w:after="240" w:line="240" w:lineRule="auto"/>
      <w:outlineLvl w:val="1"/>
    </w:pPr>
    <w:rPr>
      <w:rFonts w:eastAsia="Calibri" w:cs="Arial"/>
      <w:b/>
    </w:rPr>
  </w:style>
  <w:style w:type="character" w:customStyle="1" w:styleId="S2Heading2Char">
    <w:name w:val="S2.Heading 2 Char"/>
    <w:basedOn w:val="DefaultParagraphFont"/>
    <w:link w:val="S2Heading2"/>
    <w:rsid w:val="00FE0711"/>
    <w:rPr>
      <w:rFonts w:eastAsia="Calibri" w:cs="Arial"/>
      <w:b/>
    </w:rPr>
  </w:style>
  <w:style w:type="paragraph" w:customStyle="1" w:styleId="S2Heading3">
    <w:name w:val="S2.Heading 3"/>
    <w:basedOn w:val="Normal"/>
    <w:next w:val="Normal"/>
    <w:link w:val="S2Heading3Char"/>
    <w:rsid w:val="00FE0711"/>
    <w:pPr>
      <w:numPr>
        <w:ilvl w:val="2"/>
        <w:numId w:val="2"/>
      </w:numPr>
      <w:spacing w:after="240" w:line="240" w:lineRule="auto"/>
      <w:outlineLvl w:val="2"/>
    </w:pPr>
    <w:rPr>
      <w:rFonts w:eastAsia="Calibri" w:cs="Arial"/>
      <w:b/>
    </w:rPr>
  </w:style>
  <w:style w:type="character" w:customStyle="1" w:styleId="S2Heading3Char">
    <w:name w:val="S2.Heading 3 Char"/>
    <w:basedOn w:val="DefaultParagraphFont"/>
    <w:link w:val="S2Heading3"/>
    <w:rsid w:val="00FE0711"/>
    <w:rPr>
      <w:rFonts w:eastAsia="Calibri" w:cs="Arial"/>
      <w:b/>
    </w:rPr>
  </w:style>
  <w:style w:type="paragraph" w:customStyle="1" w:styleId="S2Heading4">
    <w:name w:val="S2.Heading 4"/>
    <w:basedOn w:val="Normal"/>
    <w:next w:val="Normal"/>
    <w:link w:val="S2Heading4Char"/>
    <w:rsid w:val="00FE0711"/>
    <w:pPr>
      <w:numPr>
        <w:ilvl w:val="3"/>
        <w:numId w:val="2"/>
      </w:numPr>
      <w:spacing w:after="240" w:line="240" w:lineRule="auto"/>
      <w:outlineLvl w:val="3"/>
    </w:pPr>
    <w:rPr>
      <w:rFonts w:eastAsia="Calibri" w:cs="Arial"/>
      <w:b/>
      <w:i/>
    </w:rPr>
  </w:style>
  <w:style w:type="character" w:customStyle="1" w:styleId="S2Heading4Char">
    <w:name w:val="S2.Heading 4 Char"/>
    <w:basedOn w:val="DefaultParagraphFont"/>
    <w:link w:val="S2Heading4"/>
    <w:rsid w:val="00FE0711"/>
    <w:rPr>
      <w:rFonts w:eastAsia="Calibri" w:cs="Arial"/>
      <w:b/>
      <w:i/>
    </w:rPr>
  </w:style>
  <w:style w:type="paragraph" w:customStyle="1" w:styleId="S2Heading5">
    <w:name w:val="S2.Heading 5"/>
    <w:basedOn w:val="Normal"/>
    <w:next w:val="Normal"/>
    <w:link w:val="S2Heading5Char"/>
    <w:rsid w:val="00FE0711"/>
    <w:pPr>
      <w:numPr>
        <w:ilvl w:val="4"/>
        <w:numId w:val="2"/>
      </w:numPr>
      <w:spacing w:after="240" w:line="240" w:lineRule="auto"/>
      <w:outlineLvl w:val="4"/>
    </w:pPr>
    <w:rPr>
      <w:rFonts w:asciiTheme="majorHAnsi" w:eastAsia="Calibri" w:hAnsiTheme="majorHAnsi" w:cs="Arial"/>
      <w:color w:val="243F60" w:themeColor="accent1" w:themeShade="7F"/>
    </w:rPr>
  </w:style>
  <w:style w:type="character" w:customStyle="1" w:styleId="S2Heading5Char">
    <w:name w:val="S2.Heading 5 Char"/>
    <w:basedOn w:val="DefaultParagraphFont"/>
    <w:link w:val="S2Heading5"/>
    <w:rsid w:val="00FE0711"/>
    <w:rPr>
      <w:rFonts w:asciiTheme="majorHAnsi" w:eastAsia="Calibri" w:hAnsiTheme="majorHAnsi" w:cs="Arial"/>
      <w:color w:val="243F60" w:themeColor="accent1" w:themeShade="7F"/>
    </w:rPr>
  </w:style>
  <w:style w:type="paragraph" w:customStyle="1" w:styleId="S2Heading6">
    <w:name w:val="S2.Heading 6"/>
    <w:basedOn w:val="Normal"/>
    <w:next w:val="Normal"/>
    <w:link w:val="S2Heading6Char"/>
    <w:rsid w:val="00FE0711"/>
    <w:pPr>
      <w:numPr>
        <w:ilvl w:val="5"/>
        <w:numId w:val="2"/>
      </w:numPr>
      <w:spacing w:after="240" w:line="240" w:lineRule="auto"/>
      <w:outlineLvl w:val="5"/>
    </w:pPr>
    <w:rPr>
      <w:rFonts w:asciiTheme="majorHAnsi" w:eastAsia="Calibri" w:hAnsiTheme="majorHAnsi" w:cs="Arial"/>
      <w:color w:val="243F60" w:themeColor="accent1" w:themeShade="7F"/>
    </w:rPr>
  </w:style>
  <w:style w:type="character" w:customStyle="1" w:styleId="S2Heading6Char">
    <w:name w:val="S2.Heading 6 Char"/>
    <w:basedOn w:val="DefaultParagraphFont"/>
    <w:link w:val="S2Heading6"/>
    <w:rsid w:val="00FE0711"/>
    <w:rPr>
      <w:rFonts w:asciiTheme="majorHAnsi" w:eastAsia="Calibri" w:hAnsiTheme="majorHAnsi" w:cs="Arial"/>
      <w:color w:val="243F60" w:themeColor="accent1" w:themeShade="7F"/>
    </w:rPr>
  </w:style>
  <w:style w:type="paragraph" w:customStyle="1" w:styleId="S2Heading7">
    <w:name w:val="S2.Heading 7"/>
    <w:basedOn w:val="Normal"/>
    <w:next w:val="Normal"/>
    <w:link w:val="S2Heading7Char"/>
    <w:rsid w:val="00FE0711"/>
    <w:pPr>
      <w:numPr>
        <w:ilvl w:val="6"/>
        <w:numId w:val="2"/>
      </w:numPr>
      <w:spacing w:after="240" w:line="240" w:lineRule="auto"/>
      <w:outlineLvl w:val="6"/>
    </w:pPr>
    <w:rPr>
      <w:rFonts w:asciiTheme="majorHAnsi" w:eastAsia="Calibri" w:hAnsiTheme="majorHAnsi" w:cs="Arial"/>
      <w:color w:val="404040" w:themeColor="text1" w:themeTint="BF"/>
    </w:rPr>
  </w:style>
  <w:style w:type="character" w:customStyle="1" w:styleId="S2Heading7Char">
    <w:name w:val="S2.Heading 7 Char"/>
    <w:basedOn w:val="DefaultParagraphFont"/>
    <w:link w:val="S2Heading7"/>
    <w:rsid w:val="00FE0711"/>
    <w:rPr>
      <w:rFonts w:asciiTheme="majorHAnsi" w:eastAsia="Calibri" w:hAnsiTheme="majorHAnsi" w:cs="Arial"/>
      <w:color w:val="404040" w:themeColor="text1" w:themeTint="BF"/>
    </w:rPr>
  </w:style>
  <w:style w:type="paragraph" w:customStyle="1" w:styleId="S2Heading8">
    <w:name w:val="S2.Heading 8"/>
    <w:basedOn w:val="Normal"/>
    <w:next w:val="Normal"/>
    <w:link w:val="S2Heading8Char"/>
    <w:rsid w:val="00FE0711"/>
    <w:pPr>
      <w:numPr>
        <w:ilvl w:val="7"/>
        <w:numId w:val="2"/>
      </w:numPr>
      <w:spacing w:after="240" w:line="240" w:lineRule="auto"/>
      <w:outlineLvl w:val="7"/>
    </w:pPr>
    <w:rPr>
      <w:rFonts w:asciiTheme="majorHAnsi" w:eastAsia="Calibri" w:hAnsiTheme="majorHAnsi" w:cs="Arial"/>
      <w:color w:val="404040" w:themeColor="text1" w:themeTint="BF"/>
    </w:rPr>
  </w:style>
  <w:style w:type="character" w:customStyle="1" w:styleId="S2Heading8Char">
    <w:name w:val="S2.Heading 8 Char"/>
    <w:basedOn w:val="DefaultParagraphFont"/>
    <w:link w:val="S2Heading8"/>
    <w:rsid w:val="00FE0711"/>
    <w:rPr>
      <w:rFonts w:asciiTheme="majorHAnsi" w:eastAsia="Calibri" w:hAnsiTheme="majorHAnsi" w:cs="Arial"/>
      <w:color w:val="404040" w:themeColor="text1" w:themeTint="BF"/>
    </w:rPr>
  </w:style>
  <w:style w:type="paragraph" w:customStyle="1" w:styleId="S2Heading9">
    <w:name w:val="S2.Heading 9"/>
    <w:basedOn w:val="Normal"/>
    <w:next w:val="Normal"/>
    <w:link w:val="S2Heading9Char"/>
    <w:rsid w:val="00FE0711"/>
    <w:pPr>
      <w:numPr>
        <w:ilvl w:val="8"/>
        <w:numId w:val="2"/>
      </w:numPr>
      <w:spacing w:after="240" w:line="240" w:lineRule="auto"/>
      <w:outlineLvl w:val="8"/>
    </w:pPr>
    <w:rPr>
      <w:rFonts w:asciiTheme="majorHAnsi" w:eastAsia="Calibri" w:hAnsiTheme="majorHAnsi" w:cs="Arial"/>
      <w:color w:val="404040" w:themeColor="text1" w:themeTint="BF"/>
    </w:rPr>
  </w:style>
  <w:style w:type="character" w:customStyle="1" w:styleId="S2Heading9Char">
    <w:name w:val="S2.Heading 9 Char"/>
    <w:basedOn w:val="DefaultParagraphFont"/>
    <w:link w:val="S2Heading9"/>
    <w:rsid w:val="00FE0711"/>
    <w:rPr>
      <w:rFonts w:asciiTheme="majorHAnsi" w:eastAsia="Calibri" w:hAnsiTheme="majorHAnsi" w:cs="Arial"/>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798"/>
    <w:pPr>
      <w:spacing w:line="480" w:lineRule="auto"/>
      <w:ind w:firstLine="720"/>
      <w:jc w:val="both"/>
    </w:pPr>
  </w:style>
  <w:style w:type="paragraph" w:styleId="Heading1">
    <w:name w:val="heading 1"/>
    <w:basedOn w:val="Normal"/>
    <w:next w:val="Normal"/>
    <w:link w:val="Heading1Char"/>
    <w:uiPriority w:val="9"/>
    <w:qFormat/>
    <w:rsid w:val="00FE0711"/>
    <w:pPr>
      <w:numPr>
        <w:numId w:val="1"/>
      </w:numPr>
      <w:tabs>
        <w:tab w:val="clear" w:pos="720"/>
      </w:tabs>
      <w:spacing w:before="180" w:after="240" w:line="240" w:lineRule="auto"/>
      <w:outlineLvl w:val="0"/>
    </w:pPr>
    <w:rPr>
      <w:rFonts w:eastAsiaTheme="majorEastAsia" w:cs="Arial"/>
      <w:b/>
      <w:bCs/>
      <w:caps/>
      <w:szCs w:val="28"/>
      <w:u w:val="single"/>
    </w:rPr>
  </w:style>
  <w:style w:type="paragraph" w:styleId="Heading2">
    <w:name w:val="heading 2"/>
    <w:basedOn w:val="Normal"/>
    <w:next w:val="Normal"/>
    <w:link w:val="Heading2Char"/>
    <w:uiPriority w:val="9"/>
    <w:qFormat/>
    <w:rsid w:val="00FE0711"/>
    <w:pPr>
      <w:numPr>
        <w:ilvl w:val="1"/>
        <w:numId w:val="1"/>
      </w:numPr>
      <w:spacing w:before="120" w:after="240" w:line="240" w:lineRule="auto"/>
      <w:outlineLvl w:val="1"/>
    </w:pPr>
    <w:rPr>
      <w:rFonts w:eastAsiaTheme="majorEastAsia" w:cs="Arial"/>
      <w:b/>
      <w:bCs/>
      <w:szCs w:val="26"/>
    </w:rPr>
  </w:style>
  <w:style w:type="paragraph" w:styleId="Heading3">
    <w:name w:val="heading 3"/>
    <w:basedOn w:val="Normal"/>
    <w:next w:val="Normal"/>
    <w:link w:val="Heading3Char"/>
    <w:uiPriority w:val="9"/>
    <w:qFormat/>
    <w:rsid w:val="005F17C1"/>
    <w:pPr>
      <w:numPr>
        <w:ilvl w:val="2"/>
        <w:numId w:val="1"/>
      </w:numPr>
      <w:spacing w:after="240" w:line="240" w:lineRule="auto"/>
      <w:outlineLvl w:val="2"/>
    </w:pPr>
    <w:rPr>
      <w:rFonts w:eastAsiaTheme="majorEastAsia" w:cs="Arial"/>
      <w:b/>
      <w:bCs/>
    </w:rPr>
  </w:style>
  <w:style w:type="paragraph" w:styleId="Heading4">
    <w:name w:val="heading 4"/>
    <w:basedOn w:val="Normal"/>
    <w:next w:val="Normal"/>
    <w:link w:val="Heading4Char"/>
    <w:uiPriority w:val="9"/>
    <w:unhideWhenUsed/>
    <w:qFormat/>
    <w:rsid w:val="005F17C1"/>
    <w:pPr>
      <w:numPr>
        <w:ilvl w:val="3"/>
        <w:numId w:val="1"/>
      </w:numPr>
      <w:spacing w:after="240" w:line="240" w:lineRule="auto"/>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5F17C1"/>
    <w:pPr>
      <w:numPr>
        <w:ilvl w:val="4"/>
        <w:numId w:val="1"/>
      </w:numPr>
      <w:spacing w:after="240" w:line="240" w:lineRule="auto"/>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5F17C1"/>
    <w:pPr>
      <w:numPr>
        <w:ilvl w:val="5"/>
        <w:numId w:val="1"/>
      </w:numPr>
      <w:spacing w:after="240" w:line="240" w:lineRule="auto"/>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5F17C1"/>
    <w:pPr>
      <w:numPr>
        <w:ilvl w:val="6"/>
        <w:numId w:val="1"/>
      </w:numPr>
      <w:spacing w:after="240" w:line="240" w:lineRule="auto"/>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5F17C1"/>
    <w:pPr>
      <w:numPr>
        <w:ilvl w:val="7"/>
        <w:numId w:val="1"/>
      </w:numPr>
      <w:spacing w:after="240" w:line="240" w:lineRule="auto"/>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5F17C1"/>
    <w:pPr>
      <w:numPr>
        <w:ilvl w:val="8"/>
        <w:numId w:val="1"/>
      </w:numPr>
      <w:spacing w:after="240" w:line="240" w:lineRule="auto"/>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798"/>
    <w:pPr>
      <w:tabs>
        <w:tab w:val="center" w:pos="4680"/>
        <w:tab w:val="right" w:pos="9360"/>
      </w:tabs>
      <w:spacing w:line="240" w:lineRule="auto"/>
    </w:pPr>
  </w:style>
  <w:style w:type="character" w:customStyle="1" w:styleId="HeaderChar">
    <w:name w:val="Header Char"/>
    <w:basedOn w:val="DefaultParagraphFont"/>
    <w:link w:val="Header"/>
    <w:uiPriority w:val="99"/>
    <w:rsid w:val="00432798"/>
  </w:style>
  <w:style w:type="paragraph" w:styleId="Footer">
    <w:name w:val="footer"/>
    <w:basedOn w:val="Normal"/>
    <w:link w:val="FooterChar"/>
    <w:uiPriority w:val="99"/>
    <w:unhideWhenUsed/>
    <w:rsid w:val="00432798"/>
    <w:pPr>
      <w:tabs>
        <w:tab w:val="center" w:pos="4680"/>
        <w:tab w:val="right" w:pos="9360"/>
      </w:tabs>
      <w:spacing w:line="240" w:lineRule="auto"/>
    </w:pPr>
  </w:style>
  <w:style w:type="character" w:customStyle="1" w:styleId="FooterChar">
    <w:name w:val="Footer Char"/>
    <w:basedOn w:val="DefaultParagraphFont"/>
    <w:link w:val="Footer"/>
    <w:uiPriority w:val="99"/>
    <w:rsid w:val="00432798"/>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 Char,fn,char,ft"/>
    <w:basedOn w:val="Normal"/>
    <w:link w:val="FootnoteTextChar"/>
    <w:uiPriority w:val="99"/>
    <w:unhideWhenUsed/>
    <w:qFormat/>
    <w:rsid w:val="00053F2C"/>
    <w:pPr>
      <w:spacing w:line="240" w:lineRule="auto"/>
    </w:pPr>
    <w:rPr>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053F2C"/>
    <w:rPr>
      <w:sz w:val="20"/>
      <w:szCs w:val="20"/>
    </w:rPr>
  </w:style>
  <w:style w:type="character" w:styleId="FootnoteReference">
    <w:name w:val="footnote reference"/>
    <w:aliases w:val="o,fr,(NECG) Footnote Reference,Style 17,Style 20,Style 13,Style 12,o1,fr1,o2,fr2,o3,fr3,Style 15,Style 8,Style 9,Style 18,Style 7,Style 19,Style 28,Style 42"/>
    <w:basedOn w:val="DefaultParagraphFont"/>
    <w:uiPriority w:val="99"/>
    <w:unhideWhenUsed/>
    <w:rsid w:val="00053F2C"/>
    <w:rPr>
      <w:vertAlign w:val="superscript"/>
    </w:rPr>
  </w:style>
  <w:style w:type="character" w:customStyle="1" w:styleId="Heading1Char">
    <w:name w:val="Heading 1 Char"/>
    <w:basedOn w:val="DefaultParagraphFont"/>
    <w:link w:val="Heading1"/>
    <w:uiPriority w:val="9"/>
    <w:rsid w:val="00FE0711"/>
    <w:rPr>
      <w:rFonts w:eastAsiaTheme="majorEastAsia" w:cs="Arial"/>
      <w:b/>
      <w:bCs/>
      <w:caps/>
      <w:szCs w:val="28"/>
      <w:u w:val="single"/>
    </w:rPr>
  </w:style>
  <w:style w:type="character" w:customStyle="1" w:styleId="Heading2Char">
    <w:name w:val="Heading 2 Char"/>
    <w:basedOn w:val="DefaultParagraphFont"/>
    <w:link w:val="Heading2"/>
    <w:uiPriority w:val="9"/>
    <w:rsid w:val="00FE0711"/>
    <w:rPr>
      <w:rFonts w:eastAsiaTheme="majorEastAsia" w:cs="Arial"/>
      <w:b/>
      <w:bCs/>
      <w:szCs w:val="26"/>
    </w:rPr>
  </w:style>
  <w:style w:type="character" w:customStyle="1" w:styleId="Heading3Char">
    <w:name w:val="Heading 3 Char"/>
    <w:basedOn w:val="DefaultParagraphFont"/>
    <w:link w:val="Heading3"/>
    <w:uiPriority w:val="9"/>
    <w:rsid w:val="005F17C1"/>
    <w:rPr>
      <w:rFonts w:eastAsiaTheme="majorEastAsia" w:cs="Arial"/>
      <w:b/>
      <w:bCs/>
    </w:rPr>
  </w:style>
  <w:style w:type="character" w:customStyle="1" w:styleId="Heading4Char">
    <w:name w:val="Heading 4 Char"/>
    <w:basedOn w:val="DefaultParagraphFont"/>
    <w:link w:val="Heading4"/>
    <w:uiPriority w:val="9"/>
    <w:rsid w:val="005F17C1"/>
    <w:rPr>
      <w:rFonts w:eastAsiaTheme="majorEastAsia" w:cs="Arial"/>
      <w:b/>
      <w:bCs/>
      <w:i/>
      <w:iCs/>
    </w:rPr>
  </w:style>
  <w:style w:type="paragraph" w:styleId="BalloonText">
    <w:name w:val="Balloon Text"/>
    <w:basedOn w:val="Normal"/>
    <w:link w:val="BalloonTextChar"/>
    <w:uiPriority w:val="99"/>
    <w:semiHidden/>
    <w:unhideWhenUsed/>
    <w:rsid w:val="00053F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F2C"/>
    <w:rPr>
      <w:rFonts w:ascii="Tahoma" w:hAnsi="Tahoma" w:cs="Tahoma"/>
      <w:sz w:val="16"/>
      <w:szCs w:val="16"/>
    </w:rPr>
  </w:style>
  <w:style w:type="character" w:customStyle="1" w:styleId="Heading5Char">
    <w:name w:val="Heading 5 Char"/>
    <w:basedOn w:val="DefaultParagraphFont"/>
    <w:link w:val="Heading5"/>
    <w:uiPriority w:val="9"/>
    <w:semiHidden/>
    <w:rsid w:val="005F17C1"/>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5F17C1"/>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5F17C1"/>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5F17C1"/>
    <w:rPr>
      <w:rFonts w:asciiTheme="majorHAnsi" w:eastAsiaTheme="majorEastAsia" w:hAnsiTheme="majorHAnsi" w:cs="Arial"/>
      <w:color w:val="404040" w:themeColor="text1" w:themeTint="BF"/>
      <w:szCs w:val="20"/>
    </w:rPr>
  </w:style>
  <w:style w:type="character" w:customStyle="1" w:styleId="Heading9Char">
    <w:name w:val="Heading 9 Char"/>
    <w:basedOn w:val="DefaultParagraphFont"/>
    <w:link w:val="Heading9"/>
    <w:uiPriority w:val="9"/>
    <w:semiHidden/>
    <w:rsid w:val="005F17C1"/>
    <w:rPr>
      <w:rFonts w:asciiTheme="majorHAnsi" w:eastAsiaTheme="majorEastAsia" w:hAnsiTheme="majorHAnsi" w:cs="Arial"/>
      <w:iCs/>
      <w:color w:val="404040" w:themeColor="text1" w:themeTint="BF"/>
      <w:szCs w:val="20"/>
    </w:rPr>
  </w:style>
  <w:style w:type="paragraph" w:styleId="BodyText">
    <w:name w:val="Body Text"/>
    <w:basedOn w:val="Normal"/>
    <w:link w:val="BodyTextChar"/>
    <w:uiPriority w:val="99"/>
    <w:semiHidden/>
    <w:unhideWhenUsed/>
    <w:rsid w:val="005F17C1"/>
    <w:pPr>
      <w:spacing w:after="120"/>
    </w:pPr>
  </w:style>
  <w:style w:type="character" w:customStyle="1" w:styleId="BodyTextChar">
    <w:name w:val="Body Text Char"/>
    <w:basedOn w:val="DefaultParagraphFont"/>
    <w:link w:val="BodyText"/>
    <w:uiPriority w:val="99"/>
    <w:semiHidden/>
    <w:rsid w:val="005F17C1"/>
  </w:style>
  <w:style w:type="paragraph" w:styleId="ListParagraph">
    <w:name w:val="List Paragraph"/>
    <w:basedOn w:val="Normal"/>
    <w:uiPriority w:val="34"/>
    <w:qFormat/>
    <w:rsid w:val="006B20DD"/>
    <w:pPr>
      <w:spacing w:line="240" w:lineRule="auto"/>
      <w:ind w:left="720" w:firstLine="0"/>
      <w:contextualSpacing/>
      <w:jc w:val="left"/>
    </w:pPr>
  </w:style>
  <w:style w:type="paragraph" w:styleId="TOCHeading">
    <w:name w:val="TOC Heading"/>
    <w:basedOn w:val="Normal"/>
    <w:next w:val="TOC1"/>
    <w:uiPriority w:val="39"/>
    <w:unhideWhenUsed/>
    <w:qFormat/>
    <w:rsid w:val="00DA67E3"/>
    <w:pPr>
      <w:keepNext/>
      <w:keepLines/>
      <w:spacing w:before="480" w:after="240" w:line="240" w:lineRule="auto"/>
      <w:jc w:val="center"/>
    </w:pPr>
    <w:rPr>
      <w:rFonts w:cs="Arial"/>
      <w:b/>
      <w:caps/>
      <w:color w:val="365F91" w:themeColor="accent1" w:themeShade="BF"/>
      <w:u w:val="single"/>
    </w:rPr>
  </w:style>
  <w:style w:type="paragraph" w:styleId="TOC1">
    <w:name w:val="toc 1"/>
    <w:basedOn w:val="Normal"/>
    <w:next w:val="Normal"/>
    <w:autoRedefine/>
    <w:uiPriority w:val="39"/>
    <w:unhideWhenUsed/>
    <w:rsid w:val="00E736DA"/>
    <w:pPr>
      <w:tabs>
        <w:tab w:val="right" w:leader="dot" w:pos="9270"/>
      </w:tabs>
      <w:spacing w:after="100" w:line="240" w:lineRule="auto"/>
      <w:ind w:left="720" w:right="720" w:hanging="720"/>
    </w:pPr>
  </w:style>
  <w:style w:type="paragraph" w:styleId="TOC2">
    <w:name w:val="toc 2"/>
    <w:basedOn w:val="Normal"/>
    <w:next w:val="Normal"/>
    <w:autoRedefine/>
    <w:uiPriority w:val="39"/>
    <w:unhideWhenUsed/>
    <w:rsid w:val="00E736DA"/>
    <w:pPr>
      <w:tabs>
        <w:tab w:val="left" w:pos="1440"/>
        <w:tab w:val="right" w:leader="dot" w:pos="9270"/>
      </w:tabs>
      <w:spacing w:after="100" w:line="240" w:lineRule="auto"/>
      <w:ind w:left="1440" w:right="720" w:hanging="720"/>
    </w:pPr>
  </w:style>
  <w:style w:type="paragraph" w:styleId="TOC3">
    <w:name w:val="toc 3"/>
    <w:basedOn w:val="Normal"/>
    <w:next w:val="Normal"/>
    <w:autoRedefine/>
    <w:uiPriority w:val="39"/>
    <w:unhideWhenUsed/>
    <w:rsid w:val="00E736DA"/>
    <w:pPr>
      <w:tabs>
        <w:tab w:val="right" w:leader="dot" w:pos="9360"/>
      </w:tabs>
      <w:spacing w:after="100" w:line="240" w:lineRule="auto"/>
      <w:ind w:left="2160" w:right="720" w:hanging="720"/>
    </w:pPr>
  </w:style>
  <w:style w:type="paragraph" w:styleId="TOC4">
    <w:name w:val="toc 4"/>
    <w:basedOn w:val="Normal"/>
    <w:next w:val="Normal"/>
    <w:autoRedefine/>
    <w:uiPriority w:val="39"/>
    <w:semiHidden/>
    <w:unhideWhenUsed/>
    <w:rsid w:val="00DA67E3"/>
    <w:pPr>
      <w:spacing w:after="100"/>
      <w:ind w:left="720"/>
    </w:pPr>
  </w:style>
  <w:style w:type="paragraph" w:styleId="TOC5">
    <w:name w:val="toc 5"/>
    <w:basedOn w:val="Normal"/>
    <w:next w:val="Normal"/>
    <w:autoRedefine/>
    <w:uiPriority w:val="39"/>
    <w:semiHidden/>
    <w:unhideWhenUsed/>
    <w:rsid w:val="00DA67E3"/>
    <w:pPr>
      <w:spacing w:after="100"/>
      <w:ind w:left="960"/>
    </w:pPr>
  </w:style>
  <w:style w:type="paragraph" w:styleId="TOC6">
    <w:name w:val="toc 6"/>
    <w:basedOn w:val="Normal"/>
    <w:next w:val="Normal"/>
    <w:autoRedefine/>
    <w:uiPriority w:val="39"/>
    <w:semiHidden/>
    <w:unhideWhenUsed/>
    <w:rsid w:val="00DA67E3"/>
    <w:pPr>
      <w:spacing w:after="100"/>
      <w:ind w:left="1200"/>
    </w:pPr>
  </w:style>
  <w:style w:type="paragraph" w:styleId="TOC7">
    <w:name w:val="toc 7"/>
    <w:basedOn w:val="Normal"/>
    <w:next w:val="Normal"/>
    <w:autoRedefine/>
    <w:uiPriority w:val="39"/>
    <w:semiHidden/>
    <w:unhideWhenUsed/>
    <w:rsid w:val="00DA67E3"/>
    <w:pPr>
      <w:spacing w:after="100"/>
      <w:ind w:left="1440"/>
    </w:pPr>
  </w:style>
  <w:style w:type="paragraph" w:styleId="TOC8">
    <w:name w:val="toc 8"/>
    <w:basedOn w:val="Normal"/>
    <w:next w:val="Normal"/>
    <w:autoRedefine/>
    <w:uiPriority w:val="39"/>
    <w:semiHidden/>
    <w:unhideWhenUsed/>
    <w:rsid w:val="00DA67E3"/>
    <w:pPr>
      <w:spacing w:after="100"/>
      <w:ind w:left="1680"/>
    </w:pPr>
  </w:style>
  <w:style w:type="paragraph" w:styleId="TOC9">
    <w:name w:val="toc 9"/>
    <w:basedOn w:val="Normal"/>
    <w:next w:val="Normal"/>
    <w:autoRedefine/>
    <w:uiPriority w:val="39"/>
    <w:semiHidden/>
    <w:unhideWhenUsed/>
    <w:rsid w:val="00DA67E3"/>
    <w:pPr>
      <w:spacing w:after="100"/>
      <w:ind w:left="1920"/>
    </w:pPr>
  </w:style>
  <w:style w:type="paragraph" w:customStyle="1" w:styleId="TOCPage">
    <w:name w:val="TOC Page"/>
    <w:basedOn w:val="Normal"/>
    <w:next w:val="Normal"/>
    <w:link w:val="TOCPageChar"/>
    <w:rsid w:val="00DA67E3"/>
    <w:pPr>
      <w:spacing w:after="240" w:line="240" w:lineRule="auto"/>
      <w:ind w:firstLine="0"/>
      <w:jc w:val="right"/>
    </w:pPr>
    <w:rPr>
      <w:rFonts w:eastAsia="Calibri" w:cs="Arial"/>
      <w:b/>
    </w:rPr>
  </w:style>
  <w:style w:type="character" w:customStyle="1" w:styleId="TOCPageChar">
    <w:name w:val="TOC Page Char"/>
    <w:basedOn w:val="DefaultParagraphFont"/>
    <w:link w:val="TOCPage"/>
    <w:rsid w:val="00DA67E3"/>
    <w:rPr>
      <w:rFonts w:eastAsia="Calibri" w:cs="Arial"/>
      <w:b/>
    </w:rPr>
  </w:style>
  <w:style w:type="character" w:styleId="CommentReference">
    <w:name w:val="annotation reference"/>
    <w:basedOn w:val="DefaultParagraphFont"/>
    <w:uiPriority w:val="99"/>
    <w:semiHidden/>
    <w:unhideWhenUsed/>
    <w:rsid w:val="00680F93"/>
    <w:rPr>
      <w:sz w:val="16"/>
      <w:szCs w:val="16"/>
    </w:rPr>
  </w:style>
  <w:style w:type="paragraph" w:styleId="CommentText">
    <w:name w:val="annotation text"/>
    <w:basedOn w:val="Normal"/>
    <w:link w:val="CommentTextChar"/>
    <w:uiPriority w:val="99"/>
    <w:semiHidden/>
    <w:unhideWhenUsed/>
    <w:rsid w:val="00680F93"/>
    <w:pPr>
      <w:spacing w:line="240" w:lineRule="auto"/>
    </w:pPr>
    <w:rPr>
      <w:sz w:val="20"/>
      <w:szCs w:val="20"/>
    </w:rPr>
  </w:style>
  <w:style w:type="character" w:customStyle="1" w:styleId="CommentTextChar">
    <w:name w:val="Comment Text Char"/>
    <w:basedOn w:val="DefaultParagraphFont"/>
    <w:link w:val="CommentText"/>
    <w:uiPriority w:val="99"/>
    <w:semiHidden/>
    <w:rsid w:val="00680F93"/>
    <w:rPr>
      <w:sz w:val="20"/>
      <w:szCs w:val="20"/>
    </w:rPr>
  </w:style>
  <w:style w:type="paragraph" w:styleId="CommentSubject">
    <w:name w:val="annotation subject"/>
    <w:basedOn w:val="CommentText"/>
    <w:next w:val="CommentText"/>
    <w:link w:val="CommentSubjectChar"/>
    <w:uiPriority w:val="99"/>
    <w:semiHidden/>
    <w:unhideWhenUsed/>
    <w:rsid w:val="00680F93"/>
    <w:rPr>
      <w:b/>
      <w:bCs/>
    </w:rPr>
  </w:style>
  <w:style w:type="character" w:customStyle="1" w:styleId="CommentSubjectChar">
    <w:name w:val="Comment Subject Char"/>
    <w:basedOn w:val="CommentTextChar"/>
    <w:link w:val="CommentSubject"/>
    <w:uiPriority w:val="99"/>
    <w:semiHidden/>
    <w:rsid w:val="00680F93"/>
    <w:rPr>
      <w:b/>
      <w:bCs/>
      <w:sz w:val="20"/>
      <w:szCs w:val="20"/>
    </w:rPr>
  </w:style>
  <w:style w:type="paragraph" w:styleId="Revision">
    <w:name w:val="Revision"/>
    <w:hidden/>
    <w:uiPriority w:val="99"/>
    <w:semiHidden/>
    <w:rsid w:val="00680F93"/>
  </w:style>
  <w:style w:type="character" w:customStyle="1" w:styleId="apple-converted-space">
    <w:name w:val="apple-converted-space"/>
    <w:basedOn w:val="DefaultParagraphFont"/>
    <w:rsid w:val="00B35702"/>
  </w:style>
  <w:style w:type="character" w:styleId="Hyperlink">
    <w:name w:val="Hyperlink"/>
    <w:basedOn w:val="DefaultParagraphFont"/>
    <w:uiPriority w:val="99"/>
    <w:unhideWhenUsed/>
    <w:rsid w:val="00B35702"/>
    <w:rPr>
      <w:color w:val="0000FF"/>
      <w:u w:val="single"/>
    </w:rPr>
  </w:style>
  <w:style w:type="paragraph" w:customStyle="1" w:styleId="S2Heading1">
    <w:name w:val="S2.Heading 1"/>
    <w:basedOn w:val="Normal"/>
    <w:next w:val="Normal"/>
    <w:link w:val="S2Heading1Char"/>
    <w:rsid w:val="00FE0711"/>
    <w:pPr>
      <w:numPr>
        <w:numId w:val="2"/>
      </w:numPr>
      <w:tabs>
        <w:tab w:val="clear" w:pos="720"/>
      </w:tabs>
      <w:spacing w:after="240" w:line="240" w:lineRule="auto"/>
      <w:outlineLvl w:val="0"/>
    </w:pPr>
    <w:rPr>
      <w:rFonts w:eastAsia="Calibri" w:cs="Arial"/>
      <w:b/>
      <w:caps/>
      <w:u w:val="single"/>
    </w:rPr>
  </w:style>
  <w:style w:type="character" w:customStyle="1" w:styleId="S2Heading1Char">
    <w:name w:val="S2.Heading 1 Char"/>
    <w:basedOn w:val="DefaultParagraphFont"/>
    <w:link w:val="S2Heading1"/>
    <w:rsid w:val="00FE0711"/>
    <w:rPr>
      <w:rFonts w:eastAsia="Calibri" w:cs="Arial"/>
      <w:b/>
      <w:caps/>
      <w:u w:val="single"/>
    </w:rPr>
  </w:style>
  <w:style w:type="paragraph" w:customStyle="1" w:styleId="S2Heading2">
    <w:name w:val="S2.Heading 2"/>
    <w:basedOn w:val="Normal"/>
    <w:next w:val="Normal"/>
    <w:link w:val="S2Heading2Char"/>
    <w:rsid w:val="00FE0711"/>
    <w:pPr>
      <w:numPr>
        <w:ilvl w:val="1"/>
        <w:numId w:val="2"/>
      </w:numPr>
      <w:spacing w:after="240" w:line="240" w:lineRule="auto"/>
      <w:outlineLvl w:val="1"/>
    </w:pPr>
    <w:rPr>
      <w:rFonts w:eastAsia="Calibri" w:cs="Arial"/>
      <w:b/>
    </w:rPr>
  </w:style>
  <w:style w:type="character" w:customStyle="1" w:styleId="S2Heading2Char">
    <w:name w:val="S2.Heading 2 Char"/>
    <w:basedOn w:val="DefaultParagraphFont"/>
    <w:link w:val="S2Heading2"/>
    <w:rsid w:val="00FE0711"/>
    <w:rPr>
      <w:rFonts w:eastAsia="Calibri" w:cs="Arial"/>
      <w:b/>
    </w:rPr>
  </w:style>
  <w:style w:type="paragraph" w:customStyle="1" w:styleId="S2Heading3">
    <w:name w:val="S2.Heading 3"/>
    <w:basedOn w:val="Normal"/>
    <w:next w:val="Normal"/>
    <w:link w:val="S2Heading3Char"/>
    <w:rsid w:val="00FE0711"/>
    <w:pPr>
      <w:numPr>
        <w:ilvl w:val="2"/>
        <w:numId w:val="2"/>
      </w:numPr>
      <w:spacing w:after="240" w:line="240" w:lineRule="auto"/>
      <w:outlineLvl w:val="2"/>
    </w:pPr>
    <w:rPr>
      <w:rFonts w:eastAsia="Calibri" w:cs="Arial"/>
      <w:b/>
    </w:rPr>
  </w:style>
  <w:style w:type="character" w:customStyle="1" w:styleId="S2Heading3Char">
    <w:name w:val="S2.Heading 3 Char"/>
    <w:basedOn w:val="DefaultParagraphFont"/>
    <w:link w:val="S2Heading3"/>
    <w:rsid w:val="00FE0711"/>
    <w:rPr>
      <w:rFonts w:eastAsia="Calibri" w:cs="Arial"/>
      <w:b/>
    </w:rPr>
  </w:style>
  <w:style w:type="paragraph" w:customStyle="1" w:styleId="S2Heading4">
    <w:name w:val="S2.Heading 4"/>
    <w:basedOn w:val="Normal"/>
    <w:next w:val="Normal"/>
    <w:link w:val="S2Heading4Char"/>
    <w:rsid w:val="00FE0711"/>
    <w:pPr>
      <w:numPr>
        <w:ilvl w:val="3"/>
        <w:numId w:val="2"/>
      </w:numPr>
      <w:spacing w:after="240" w:line="240" w:lineRule="auto"/>
      <w:outlineLvl w:val="3"/>
    </w:pPr>
    <w:rPr>
      <w:rFonts w:eastAsia="Calibri" w:cs="Arial"/>
      <w:b/>
      <w:i/>
    </w:rPr>
  </w:style>
  <w:style w:type="character" w:customStyle="1" w:styleId="S2Heading4Char">
    <w:name w:val="S2.Heading 4 Char"/>
    <w:basedOn w:val="DefaultParagraphFont"/>
    <w:link w:val="S2Heading4"/>
    <w:rsid w:val="00FE0711"/>
    <w:rPr>
      <w:rFonts w:eastAsia="Calibri" w:cs="Arial"/>
      <w:b/>
      <w:i/>
    </w:rPr>
  </w:style>
  <w:style w:type="paragraph" w:customStyle="1" w:styleId="S2Heading5">
    <w:name w:val="S2.Heading 5"/>
    <w:basedOn w:val="Normal"/>
    <w:next w:val="Normal"/>
    <w:link w:val="S2Heading5Char"/>
    <w:rsid w:val="00FE0711"/>
    <w:pPr>
      <w:numPr>
        <w:ilvl w:val="4"/>
        <w:numId w:val="2"/>
      </w:numPr>
      <w:spacing w:after="240" w:line="240" w:lineRule="auto"/>
      <w:outlineLvl w:val="4"/>
    </w:pPr>
    <w:rPr>
      <w:rFonts w:asciiTheme="majorHAnsi" w:eastAsia="Calibri" w:hAnsiTheme="majorHAnsi" w:cs="Arial"/>
      <w:color w:val="243F60" w:themeColor="accent1" w:themeShade="7F"/>
    </w:rPr>
  </w:style>
  <w:style w:type="character" w:customStyle="1" w:styleId="S2Heading5Char">
    <w:name w:val="S2.Heading 5 Char"/>
    <w:basedOn w:val="DefaultParagraphFont"/>
    <w:link w:val="S2Heading5"/>
    <w:rsid w:val="00FE0711"/>
    <w:rPr>
      <w:rFonts w:asciiTheme="majorHAnsi" w:eastAsia="Calibri" w:hAnsiTheme="majorHAnsi" w:cs="Arial"/>
      <w:color w:val="243F60" w:themeColor="accent1" w:themeShade="7F"/>
    </w:rPr>
  </w:style>
  <w:style w:type="paragraph" w:customStyle="1" w:styleId="S2Heading6">
    <w:name w:val="S2.Heading 6"/>
    <w:basedOn w:val="Normal"/>
    <w:next w:val="Normal"/>
    <w:link w:val="S2Heading6Char"/>
    <w:rsid w:val="00FE0711"/>
    <w:pPr>
      <w:numPr>
        <w:ilvl w:val="5"/>
        <w:numId w:val="2"/>
      </w:numPr>
      <w:spacing w:after="240" w:line="240" w:lineRule="auto"/>
      <w:outlineLvl w:val="5"/>
    </w:pPr>
    <w:rPr>
      <w:rFonts w:asciiTheme="majorHAnsi" w:eastAsia="Calibri" w:hAnsiTheme="majorHAnsi" w:cs="Arial"/>
      <w:color w:val="243F60" w:themeColor="accent1" w:themeShade="7F"/>
    </w:rPr>
  </w:style>
  <w:style w:type="character" w:customStyle="1" w:styleId="S2Heading6Char">
    <w:name w:val="S2.Heading 6 Char"/>
    <w:basedOn w:val="DefaultParagraphFont"/>
    <w:link w:val="S2Heading6"/>
    <w:rsid w:val="00FE0711"/>
    <w:rPr>
      <w:rFonts w:asciiTheme="majorHAnsi" w:eastAsia="Calibri" w:hAnsiTheme="majorHAnsi" w:cs="Arial"/>
      <w:color w:val="243F60" w:themeColor="accent1" w:themeShade="7F"/>
    </w:rPr>
  </w:style>
  <w:style w:type="paragraph" w:customStyle="1" w:styleId="S2Heading7">
    <w:name w:val="S2.Heading 7"/>
    <w:basedOn w:val="Normal"/>
    <w:next w:val="Normal"/>
    <w:link w:val="S2Heading7Char"/>
    <w:rsid w:val="00FE0711"/>
    <w:pPr>
      <w:numPr>
        <w:ilvl w:val="6"/>
        <w:numId w:val="2"/>
      </w:numPr>
      <w:spacing w:after="240" w:line="240" w:lineRule="auto"/>
      <w:outlineLvl w:val="6"/>
    </w:pPr>
    <w:rPr>
      <w:rFonts w:asciiTheme="majorHAnsi" w:eastAsia="Calibri" w:hAnsiTheme="majorHAnsi" w:cs="Arial"/>
      <w:color w:val="404040" w:themeColor="text1" w:themeTint="BF"/>
    </w:rPr>
  </w:style>
  <w:style w:type="character" w:customStyle="1" w:styleId="S2Heading7Char">
    <w:name w:val="S2.Heading 7 Char"/>
    <w:basedOn w:val="DefaultParagraphFont"/>
    <w:link w:val="S2Heading7"/>
    <w:rsid w:val="00FE0711"/>
    <w:rPr>
      <w:rFonts w:asciiTheme="majorHAnsi" w:eastAsia="Calibri" w:hAnsiTheme="majorHAnsi" w:cs="Arial"/>
      <w:color w:val="404040" w:themeColor="text1" w:themeTint="BF"/>
    </w:rPr>
  </w:style>
  <w:style w:type="paragraph" w:customStyle="1" w:styleId="S2Heading8">
    <w:name w:val="S2.Heading 8"/>
    <w:basedOn w:val="Normal"/>
    <w:next w:val="Normal"/>
    <w:link w:val="S2Heading8Char"/>
    <w:rsid w:val="00FE0711"/>
    <w:pPr>
      <w:numPr>
        <w:ilvl w:val="7"/>
        <w:numId w:val="2"/>
      </w:numPr>
      <w:spacing w:after="240" w:line="240" w:lineRule="auto"/>
      <w:outlineLvl w:val="7"/>
    </w:pPr>
    <w:rPr>
      <w:rFonts w:asciiTheme="majorHAnsi" w:eastAsia="Calibri" w:hAnsiTheme="majorHAnsi" w:cs="Arial"/>
      <w:color w:val="404040" w:themeColor="text1" w:themeTint="BF"/>
    </w:rPr>
  </w:style>
  <w:style w:type="character" w:customStyle="1" w:styleId="S2Heading8Char">
    <w:name w:val="S2.Heading 8 Char"/>
    <w:basedOn w:val="DefaultParagraphFont"/>
    <w:link w:val="S2Heading8"/>
    <w:rsid w:val="00FE0711"/>
    <w:rPr>
      <w:rFonts w:asciiTheme="majorHAnsi" w:eastAsia="Calibri" w:hAnsiTheme="majorHAnsi" w:cs="Arial"/>
      <w:color w:val="404040" w:themeColor="text1" w:themeTint="BF"/>
    </w:rPr>
  </w:style>
  <w:style w:type="paragraph" w:customStyle="1" w:styleId="S2Heading9">
    <w:name w:val="S2.Heading 9"/>
    <w:basedOn w:val="Normal"/>
    <w:next w:val="Normal"/>
    <w:link w:val="S2Heading9Char"/>
    <w:rsid w:val="00FE0711"/>
    <w:pPr>
      <w:numPr>
        <w:ilvl w:val="8"/>
        <w:numId w:val="2"/>
      </w:numPr>
      <w:spacing w:after="240" w:line="240" w:lineRule="auto"/>
      <w:outlineLvl w:val="8"/>
    </w:pPr>
    <w:rPr>
      <w:rFonts w:asciiTheme="majorHAnsi" w:eastAsia="Calibri" w:hAnsiTheme="majorHAnsi" w:cs="Arial"/>
      <w:color w:val="404040" w:themeColor="text1" w:themeTint="BF"/>
    </w:rPr>
  </w:style>
  <w:style w:type="character" w:customStyle="1" w:styleId="S2Heading9Char">
    <w:name w:val="S2.Heading 9 Char"/>
    <w:basedOn w:val="DefaultParagraphFont"/>
    <w:link w:val="S2Heading9"/>
    <w:rsid w:val="00FE0711"/>
    <w:rPr>
      <w:rFonts w:asciiTheme="majorHAnsi" w:eastAsia="Calibri" w:hAnsiTheme="majorHAnsi" w:cs="Arial"/>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51370">
      <w:bodyDiv w:val="1"/>
      <w:marLeft w:val="0"/>
      <w:marRight w:val="0"/>
      <w:marTop w:val="0"/>
      <w:marBottom w:val="0"/>
      <w:divBdr>
        <w:top w:val="none" w:sz="0" w:space="0" w:color="auto"/>
        <w:left w:val="none" w:sz="0" w:space="0" w:color="auto"/>
        <w:bottom w:val="none" w:sz="0" w:space="0" w:color="auto"/>
        <w:right w:val="none" w:sz="0" w:space="0" w:color="auto"/>
      </w:divBdr>
    </w:div>
    <w:div w:id="15901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mailto:grady@occ.state.oh.us" TargetMode="External"/><Relationship Id="rId30" Type="http://schemas.openxmlformats.org/officeDocument/2006/relationships/footer" Target="footer10.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header" Target="header20.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C6E56-DD01-4DF3-B8C5-EE774561D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77</Pages>
  <Words>18058</Words>
  <Characters>98900</Characters>
  <Application>Microsoft Office Word</Application>
  <DocSecurity>0</DocSecurity>
  <PresentationFormat/>
  <Lines>1904</Lines>
  <Paragraphs>561</Paragraphs>
  <ScaleCrop>false</ScaleCrop>
  <HeadingPairs>
    <vt:vector size="2" baseType="variant">
      <vt:variant>
        <vt:lpstr>Title</vt:lpstr>
      </vt:variant>
      <vt:variant>
        <vt:i4>1</vt:i4>
      </vt:variant>
    </vt:vector>
  </HeadingPairs>
  <TitlesOfParts>
    <vt:vector size="1" baseType="lpstr">
      <vt:lpstr>13-2385 Initial Brief of IEU-Ohio (C44177-5).DOCX</vt:lpstr>
    </vt:vector>
  </TitlesOfParts>
  <Company>Some Company, Inc.</Company>
  <LinksUpToDate>false</LinksUpToDate>
  <CharactersWithSpaces>116966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13-2385 Initial Brief of IEU-Ohio (C44177-5).DOCX</dc:title>
  <dc:subject>C44177:5 /font=8</dc:subject>
  <dc:creator>Karen Bowman</dc:creator>
  <cp:keywords/>
  <dc:description/>
  <cp:lastModifiedBy>_</cp:lastModifiedBy>
  <cp:revision>13</cp:revision>
  <cp:lastPrinted>2014-07-23T12:10:00Z</cp:lastPrinted>
  <dcterms:created xsi:type="dcterms:W3CDTF">2014-07-23T12:27:00Z</dcterms:created>
  <dcterms:modified xsi:type="dcterms:W3CDTF">2014-07-23T15:58:00Z</dcterms:modified>
</cp:coreProperties>
</file>