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0174" w14:textId="77777777" w:rsidR="00346E6A" w:rsidRPr="003A1A01" w:rsidRDefault="00346E6A" w:rsidP="00346E6A">
      <w:pPr>
        <w:spacing w:after="0"/>
        <w:jc w:val="center"/>
        <w:rPr>
          <w:rFonts w:ascii="Arial" w:hAnsi="Arial" w:cs="Arial"/>
          <w:b/>
        </w:rPr>
      </w:pPr>
      <w:bookmarkStart w:id="0" w:name="_GoBack"/>
      <w:bookmarkEnd w:id="0"/>
      <w:r w:rsidRPr="003A1A01">
        <w:rPr>
          <w:rFonts w:ascii="Arial" w:hAnsi="Arial" w:cs="Arial"/>
          <w:b/>
        </w:rPr>
        <w:t>BEFORE THE</w:t>
      </w:r>
    </w:p>
    <w:p w14:paraId="38D2A4F8" w14:textId="77777777" w:rsidR="00346E6A" w:rsidRPr="003A1A01" w:rsidRDefault="00346E6A" w:rsidP="00346E6A">
      <w:pPr>
        <w:jc w:val="center"/>
        <w:rPr>
          <w:rFonts w:ascii="Arial" w:hAnsi="Arial" w:cs="Arial"/>
          <w:b/>
        </w:rPr>
      </w:pPr>
      <w:r w:rsidRPr="003A1A01">
        <w:rPr>
          <w:rFonts w:ascii="Arial" w:hAnsi="Arial" w:cs="Arial"/>
          <w:b/>
        </w:rPr>
        <w:t>PUBLIC UTILITIES COMMISSION OF OHIO</w:t>
      </w:r>
    </w:p>
    <w:p w14:paraId="040F922B" w14:textId="77777777" w:rsidR="00346E6A" w:rsidRPr="003A1A01" w:rsidRDefault="00346E6A" w:rsidP="00346E6A">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720"/>
        <w:gridCol w:w="4140"/>
      </w:tblGrid>
      <w:tr w:rsidR="00475617" w:rsidRPr="003A1A01" w14:paraId="29E361EF" w14:textId="77777777" w:rsidTr="003A7633">
        <w:tc>
          <w:tcPr>
            <w:tcW w:w="4428" w:type="dxa"/>
          </w:tcPr>
          <w:p w14:paraId="64672774" w14:textId="77777777" w:rsidR="00475617" w:rsidRPr="00475617" w:rsidRDefault="00301B0F" w:rsidP="00475617">
            <w:pPr>
              <w:rPr>
                <w:rFonts w:ascii="Arial" w:hAnsi="Arial" w:cs="Arial"/>
              </w:rPr>
            </w:pPr>
            <w:r w:rsidRPr="00301B0F">
              <w:rPr>
                <w:rStyle w:val="CaptionText"/>
                <w:rFonts w:ascii="Arial" w:hAnsi="Arial" w:cs="Arial"/>
              </w:rPr>
              <w:t>In the Matter of the Application of The Dayton Power &amp; Light Company for Approval of Its Electric Security Plan</w:t>
            </w:r>
          </w:p>
        </w:tc>
        <w:tc>
          <w:tcPr>
            <w:tcW w:w="720" w:type="dxa"/>
          </w:tcPr>
          <w:p w14:paraId="646170F1" w14:textId="77777777" w:rsidR="00475617" w:rsidRPr="003A1A01" w:rsidRDefault="00475617" w:rsidP="00475617">
            <w:pPr>
              <w:rPr>
                <w:rFonts w:ascii="Arial" w:hAnsi="Arial" w:cs="Arial"/>
              </w:rPr>
            </w:pPr>
            <w:r w:rsidRPr="003A1A01">
              <w:rPr>
                <w:rFonts w:ascii="Arial" w:hAnsi="Arial" w:cs="Arial"/>
              </w:rPr>
              <w:t>)</w:t>
            </w:r>
          </w:p>
          <w:p w14:paraId="0936CBA9" w14:textId="77777777" w:rsidR="00475617" w:rsidRPr="003A1A01" w:rsidRDefault="00475617" w:rsidP="00475617">
            <w:pPr>
              <w:rPr>
                <w:rFonts w:ascii="Arial" w:hAnsi="Arial" w:cs="Arial"/>
              </w:rPr>
            </w:pPr>
            <w:r w:rsidRPr="003A1A01">
              <w:rPr>
                <w:rFonts w:ascii="Arial" w:hAnsi="Arial" w:cs="Arial"/>
              </w:rPr>
              <w:t>)</w:t>
            </w:r>
          </w:p>
          <w:p w14:paraId="162FBA69" w14:textId="77777777" w:rsidR="00475617" w:rsidRPr="003A1A01" w:rsidRDefault="00475617" w:rsidP="00475617">
            <w:pPr>
              <w:rPr>
                <w:rFonts w:ascii="Arial" w:hAnsi="Arial" w:cs="Arial"/>
              </w:rPr>
            </w:pPr>
            <w:r w:rsidRPr="003A1A01">
              <w:rPr>
                <w:rFonts w:ascii="Arial" w:hAnsi="Arial" w:cs="Arial"/>
              </w:rPr>
              <w:t>)</w:t>
            </w:r>
          </w:p>
        </w:tc>
        <w:tc>
          <w:tcPr>
            <w:tcW w:w="4140" w:type="dxa"/>
          </w:tcPr>
          <w:p w14:paraId="400F0179" w14:textId="77777777" w:rsidR="00475617" w:rsidRPr="003A1A01" w:rsidRDefault="00475617" w:rsidP="00475617">
            <w:pPr>
              <w:rPr>
                <w:rFonts w:ascii="Arial" w:hAnsi="Arial" w:cs="Arial"/>
              </w:rPr>
            </w:pPr>
          </w:p>
          <w:p w14:paraId="1AB842B2" w14:textId="77777777" w:rsidR="00475617" w:rsidRPr="003A1A01" w:rsidRDefault="00301B0F" w:rsidP="00475617">
            <w:pPr>
              <w:rPr>
                <w:rFonts w:ascii="Arial" w:hAnsi="Arial" w:cs="Arial"/>
              </w:rPr>
            </w:pPr>
            <w:r w:rsidRPr="00301B0F">
              <w:rPr>
                <w:rFonts w:ascii="Arial" w:hAnsi="Arial" w:cs="Arial"/>
              </w:rPr>
              <w:t>Case No. 16-0395-EL-SSO</w:t>
            </w:r>
          </w:p>
        </w:tc>
      </w:tr>
      <w:tr w:rsidR="00475617" w:rsidRPr="003A1A01" w14:paraId="340CE077" w14:textId="77777777" w:rsidTr="003A7633">
        <w:tc>
          <w:tcPr>
            <w:tcW w:w="4428" w:type="dxa"/>
          </w:tcPr>
          <w:p w14:paraId="1330DB4E" w14:textId="77777777" w:rsidR="00475617" w:rsidRPr="00475617" w:rsidRDefault="00475617" w:rsidP="00475617">
            <w:pPr>
              <w:rPr>
                <w:rFonts w:ascii="Arial" w:hAnsi="Arial" w:cs="Arial"/>
              </w:rPr>
            </w:pPr>
          </w:p>
        </w:tc>
        <w:tc>
          <w:tcPr>
            <w:tcW w:w="720" w:type="dxa"/>
          </w:tcPr>
          <w:p w14:paraId="5459EBC4" w14:textId="77777777" w:rsidR="00475617" w:rsidRPr="003A1A01" w:rsidRDefault="00475617" w:rsidP="00475617">
            <w:pPr>
              <w:rPr>
                <w:rFonts w:ascii="Arial" w:hAnsi="Arial" w:cs="Arial"/>
              </w:rPr>
            </w:pPr>
          </w:p>
        </w:tc>
        <w:tc>
          <w:tcPr>
            <w:tcW w:w="4140" w:type="dxa"/>
          </w:tcPr>
          <w:p w14:paraId="18B6B365" w14:textId="77777777" w:rsidR="00475617" w:rsidRPr="003A1A01" w:rsidRDefault="00475617" w:rsidP="00475617">
            <w:pPr>
              <w:rPr>
                <w:rFonts w:ascii="Arial" w:hAnsi="Arial" w:cs="Arial"/>
              </w:rPr>
            </w:pPr>
          </w:p>
        </w:tc>
      </w:tr>
      <w:tr w:rsidR="00475617" w:rsidRPr="003A1A01" w14:paraId="65267030" w14:textId="77777777" w:rsidTr="003A7633">
        <w:tc>
          <w:tcPr>
            <w:tcW w:w="4428" w:type="dxa"/>
          </w:tcPr>
          <w:p w14:paraId="6D0C069A" w14:textId="77777777" w:rsidR="00475617" w:rsidRPr="00475617" w:rsidRDefault="00301B0F" w:rsidP="00475617">
            <w:pPr>
              <w:rPr>
                <w:rFonts w:ascii="Arial" w:hAnsi="Arial" w:cs="Arial"/>
              </w:rPr>
            </w:pPr>
            <w:r w:rsidRPr="00301B0F">
              <w:rPr>
                <w:rStyle w:val="CaptionText"/>
                <w:rFonts w:ascii="Arial" w:hAnsi="Arial" w:cs="Arial"/>
              </w:rPr>
              <w:t>In the Matter of the Application of The Dayton Power &amp; Light Company for Approval of Revised Tariffs.</w:t>
            </w:r>
          </w:p>
        </w:tc>
        <w:tc>
          <w:tcPr>
            <w:tcW w:w="720" w:type="dxa"/>
          </w:tcPr>
          <w:p w14:paraId="016625D4" w14:textId="77777777" w:rsidR="00475617" w:rsidRPr="003A1A01" w:rsidRDefault="00475617" w:rsidP="00475617">
            <w:pPr>
              <w:rPr>
                <w:rFonts w:ascii="Arial" w:hAnsi="Arial" w:cs="Arial"/>
              </w:rPr>
            </w:pPr>
            <w:r w:rsidRPr="003A1A01">
              <w:rPr>
                <w:rFonts w:ascii="Arial" w:hAnsi="Arial" w:cs="Arial"/>
              </w:rPr>
              <w:t>)</w:t>
            </w:r>
          </w:p>
          <w:p w14:paraId="46C5EE70" w14:textId="77777777" w:rsidR="00475617" w:rsidRPr="003A1A01" w:rsidRDefault="00475617" w:rsidP="00475617">
            <w:pPr>
              <w:rPr>
                <w:rFonts w:ascii="Arial" w:hAnsi="Arial" w:cs="Arial"/>
              </w:rPr>
            </w:pPr>
            <w:r w:rsidRPr="003A1A01">
              <w:rPr>
                <w:rFonts w:ascii="Arial" w:hAnsi="Arial" w:cs="Arial"/>
              </w:rPr>
              <w:t>)</w:t>
            </w:r>
          </w:p>
          <w:p w14:paraId="32590FE9" w14:textId="77777777" w:rsidR="00475617" w:rsidRPr="003A1A01" w:rsidRDefault="00475617" w:rsidP="00475617">
            <w:pPr>
              <w:rPr>
                <w:rFonts w:ascii="Arial" w:hAnsi="Arial" w:cs="Arial"/>
              </w:rPr>
            </w:pPr>
            <w:r w:rsidRPr="003A1A01">
              <w:rPr>
                <w:rFonts w:ascii="Arial" w:hAnsi="Arial" w:cs="Arial"/>
              </w:rPr>
              <w:t>)</w:t>
            </w:r>
          </w:p>
        </w:tc>
        <w:tc>
          <w:tcPr>
            <w:tcW w:w="4140" w:type="dxa"/>
          </w:tcPr>
          <w:p w14:paraId="1DC43F0E" w14:textId="77777777" w:rsidR="00475617" w:rsidRPr="003A1A01" w:rsidRDefault="00475617" w:rsidP="00475617">
            <w:pPr>
              <w:rPr>
                <w:rFonts w:ascii="Arial" w:hAnsi="Arial" w:cs="Arial"/>
              </w:rPr>
            </w:pPr>
          </w:p>
          <w:p w14:paraId="0CB3B4A9" w14:textId="77777777" w:rsidR="00475617" w:rsidRPr="003A1A01" w:rsidRDefault="00301B0F" w:rsidP="00475617">
            <w:pPr>
              <w:rPr>
                <w:rFonts w:ascii="Arial" w:hAnsi="Arial" w:cs="Arial"/>
              </w:rPr>
            </w:pPr>
            <w:r w:rsidRPr="00301B0F">
              <w:rPr>
                <w:rFonts w:ascii="Arial" w:hAnsi="Arial" w:cs="Arial"/>
              </w:rPr>
              <w:t>Case No. 16-0396-EL-ATA</w:t>
            </w:r>
          </w:p>
        </w:tc>
      </w:tr>
      <w:tr w:rsidR="00475617" w:rsidRPr="003A1A01" w14:paraId="33AD02F5" w14:textId="77777777" w:rsidTr="003A7633">
        <w:tc>
          <w:tcPr>
            <w:tcW w:w="4428" w:type="dxa"/>
          </w:tcPr>
          <w:p w14:paraId="0EAAD581" w14:textId="77777777" w:rsidR="00475617" w:rsidRPr="00475617" w:rsidRDefault="00475617" w:rsidP="00475617">
            <w:pPr>
              <w:rPr>
                <w:rFonts w:ascii="Arial" w:hAnsi="Arial" w:cs="Arial"/>
              </w:rPr>
            </w:pPr>
          </w:p>
        </w:tc>
        <w:tc>
          <w:tcPr>
            <w:tcW w:w="720" w:type="dxa"/>
          </w:tcPr>
          <w:p w14:paraId="4ACD7733" w14:textId="77777777" w:rsidR="00475617" w:rsidRPr="003A1A01" w:rsidRDefault="00475617" w:rsidP="00475617">
            <w:pPr>
              <w:rPr>
                <w:rFonts w:ascii="Arial" w:hAnsi="Arial" w:cs="Arial"/>
              </w:rPr>
            </w:pPr>
          </w:p>
        </w:tc>
        <w:tc>
          <w:tcPr>
            <w:tcW w:w="4140" w:type="dxa"/>
          </w:tcPr>
          <w:p w14:paraId="4762C85A" w14:textId="77777777" w:rsidR="00475617" w:rsidRPr="003A1A01" w:rsidRDefault="00475617" w:rsidP="00475617">
            <w:pPr>
              <w:rPr>
                <w:rFonts w:ascii="Arial" w:hAnsi="Arial" w:cs="Arial"/>
              </w:rPr>
            </w:pPr>
          </w:p>
        </w:tc>
      </w:tr>
      <w:tr w:rsidR="00475617" w:rsidRPr="003A1A01" w14:paraId="585703E3" w14:textId="77777777" w:rsidTr="003A7633">
        <w:tc>
          <w:tcPr>
            <w:tcW w:w="4428" w:type="dxa"/>
          </w:tcPr>
          <w:p w14:paraId="0F5737D0" w14:textId="77777777" w:rsidR="00475617" w:rsidRPr="00475617" w:rsidRDefault="00301B0F" w:rsidP="00475617">
            <w:pPr>
              <w:rPr>
                <w:rFonts w:ascii="Arial" w:hAnsi="Arial" w:cs="Arial"/>
              </w:rPr>
            </w:pPr>
            <w:r w:rsidRPr="00301B0F">
              <w:rPr>
                <w:rStyle w:val="CaptionText"/>
                <w:rFonts w:ascii="Arial" w:hAnsi="Arial" w:cs="Arial"/>
              </w:rPr>
              <w:t>In the Matter of the Application of The Dayton Power &amp; Light Company for Approval of Certain Accounting Authority Pursuant to Ohio Rev. Code § 4905.13.</w:t>
            </w:r>
          </w:p>
        </w:tc>
        <w:tc>
          <w:tcPr>
            <w:tcW w:w="720" w:type="dxa"/>
          </w:tcPr>
          <w:p w14:paraId="2004F2FE" w14:textId="77777777" w:rsidR="00475617" w:rsidRPr="003A1A01" w:rsidRDefault="00475617" w:rsidP="00475617">
            <w:pPr>
              <w:rPr>
                <w:rFonts w:ascii="Arial" w:hAnsi="Arial" w:cs="Arial"/>
              </w:rPr>
            </w:pPr>
            <w:r w:rsidRPr="003A1A01">
              <w:rPr>
                <w:rFonts w:ascii="Arial" w:hAnsi="Arial" w:cs="Arial"/>
              </w:rPr>
              <w:t>)</w:t>
            </w:r>
          </w:p>
          <w:p w14:paraId="78EAB83C" w14:textId="77777777" w:rsidR="00475617" w:rsidRPr="003A1A01" w:rsidRDefault="00475617" w:rsidP="00475617">
            <w:pPr>
              <w:rPr>
                <w:rFonts w:ascii="Arial" w:hAnsi="Arial" w:cs="Arial"/>
              </w:rPr>
            </w:pPr>
            <w:r w:rsidRPr="003A1A01">
              <w:rPr>
                <w:rFonts w:ascii="Arial" w:hAnsi="Arial" w:cs="Arial"/>
              </w:rPr>
              <w:t>)</w:t>
            </w:r>
          </w:p>
          <w:p w14:paraId="5FAADE51" w14:textId="77777777" w:rsidR="00475617" w:rsidRPr="003A1A01" w:rsidRDefault="00475617" w:rsidP="00475617">
            <w:pPr>
              <w:rPr>
                <w:rFonts w:ascii="Arial" w:hAnsi="Arial" w:cs="Arial"/>
              </w:rPr>
            </w:pPr>
            <w:r w:rsidRPr="003A1A01">
              <w:rPr>
                <w:rFonts w:ascii="Arial" w:hAnsi="Arial" w:cs="Arial"/>
              </w:rPr>
              <w:t>)</w:t>
            </w:r>
          </w:p>
        </w:tc>
        <w:tc>
          <w:tcPr>
            <w:tcW w:w="4140" w:type="dxa"/>
          </w:tcPr>
          <w:p w14:paraId="391FA178" w14:textId="77777777" w:rsidR="00475617" w:rsidRPr="003A1A01" w:rsidRDefault="00475617" w:rsidP="00475617">
            <w:pPr>
              <w:rPr>
                <w:rFonts w:ascii="Arial" w:hAnsi="Arial" w:cs="Arial"/>
              </w:rPr>
            </w:pPr>
          </w:p>
          <w:p w14:paraId="0D823C7B" w14:textId="77777777" w:rsidR="00475617" w:rsidRPr="003A1A01" w:rsidRDefault="00301B0F" w:rsidP="00475617">
            <w:pPr>
              <w:rPr>
                <w:rFonts w:ascii="Arial" w:hAnsi="Arial" w:cs="Arial"/>
              </w:rPr>
            </w:pPr>
            <w:r w:rsidRPr="00301B0F">
              <w:rPr>
                <w:rFonts w:ascii="Arial" w:hAnsi="Arial" w:cs="Arial"/>
              </w:rPr>
              <w:t>Case No. 16-0397-EL-AAM</w:t>
            </w:r>
          </w:p>
        </w:tc>
      </w:tr>
    </w:tbl>
    <w:p w14:paraId="1D3D0710" w14:textId="77777777" w:rsidR="00346E6A" w:rsidRPr="003A1A01" w:rsidRDefault="00346E6A" w:rsidP="00346E6A">
      <w:pPr>
        <w:spacing w:after="0"/>
        <w:rPr>
          <w:rFonts w:ascii="Arial" w:hAnsi="Arial" w:cs="Arial"/>
        </w:rPr>
      </w:pPr>
    </w:p>
    <w:p w14:paraId="4944C45B" w14:textId="77777777" w:rsidR="00346E6A" w:rsidRPr="003A1A01" w:rsidRDefault="00346E6A" w:rsidP="00346E6A">
      <w:pPr>
        <w:spacing w:after="0"/>
        <w:rPr>
          <w:rFonts w:ascii="Arial" w:hAnsi="Arial" w:cs="Arial"/>
        </w:rPr>
      </w:pP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346E6A" w:rsidRPr="003A1A01" w14:paraId="081B8B3C" w14:textId="77777777" w:rsidTr="003A7633">
        <w:tc>
          <w:tcPr>
            <w:tcW w:w="9288" w:type="dxa"/>
          </w:tcPr>
          <w:p w14:paraId="6E2DC533" w14:textId="77777777" w:rsidR="00346E6A" w:rsidRPr="003A1A01" w:rsidRDefault="00346E6A" w:rsidP="003A7633">
            <w:pPr>
              <w:jc w:val="center"/>
              <w:rPr>
                <w:rFonts w:ascii="Arial" w:hAnsi="Arial" w:cs="Arial"/>
                <w:b/>
              </w:rPr>
            </w:pPr>
          </w:p>
          <w:p w14:paraId="6CF3362D" w14:textId="77777777" w:rsidR="00346E6A" w:rsidRPr="003A1A01" w:rsidRDefault="00346E6A" w:rsidP="003A7633">
            <w:pPr>
              <w:jc w:val="center"/>
              <w:rPr>
                <w:rFonts w:ascii="Arial" w:hAnsi="Arial" w:cs="Arial"/>
                <w:b/>
              </w:rPr>
            </w:pPr>
            <w:r w:rsidRPr="003A1A01">
              <w:rPr>
                <w:rFonts w:ascii="Arial" w:hAnsi="Arial" w:cs="Arial"/>
                <w:b/>
              </w:rPr>
              <w:t>D</w:t>
            </w:r>
            <w:r w:rsidR="00F80A3D">
              <w:rPr>
                <w:rFonts w:ascii="Arial" w:hAnsi="Arial" w:cs="Arial"/>
                <w:b/>
              </w:rPr>
              <w:t>IRECT TESTIMONY OF J. EDWARD HESS</w:t>
            </w:r>
          </w:p>
          <w:p w14:paraId="497257E7" w14:textId="77777777" w:rsidR="00346E6A" w:rsidRPr="003A1A01" w:rsidRDefault="00346E6A" w:rsidP="003A7633">
            <w:pPr>
              <w:jc w:val="center"/>
              <w:rPr>
                <w:rFonts w:ascii="Arial" w:hAnsi="Arial" w:cs="Arial"/>
                <w:b/>
              </w:rPr>
            </w:pPr>
            <w:r w:rsidRPr="003A1A01">
              <w:rPr>
                <w:rFonts w:ascii="Arial" w:hAnsi="Arial" w:cs="Arial"/>
                <w:b/>
              </w:rPr>
              <w:t>ON BEHALF OF</w:t>
            </w:r>
          </w:p>
          <w:p w14:paraId="30936BA5" w14:textId="77777777" w:rsidR="0075732D" w:rsidRDefault="0075732D" w:rsidP="002E7077">
            <w:pPr>
              <w:jc w:val="center"/>
              <w:rPr>
                <w:rFonts w:ascii="Arial" w:hAnsi="Arial" w:cs="Arial"/>
                <w:b/>
              </w:rPr>
            </w:pPr>
            <w:bookmarkStart w:id="1" w:name="_Hlk179507"/>
            <w:r>
              <w:rPr>
                <w:rFonts w:ascii="Arial" w:hAnsi="Arial" w:cs="Arial"/>
                <w:b/>
              </w:rPr>
              <w:t>INTERSTATE GAS SUPPLY, INC.</w:t>
            </w:r>
            <w:bookmarkEnd w:id="1"/>
          </w:p>
          <w:p w14:paraId="42A326FD" w14:textId="0F98FDA3" w:rsidR="00932BB5" w:rsidRPr="003A1A01" w:rsidRDefault="005B2F6C" w:rsidP="002E7077">
            <w:pPr>
              <w:jc w:val="center"/>
              <w:rPr>
                <w:rFonts w:ascii="Arial" w:hAnsi="Arial" w:cs="Arial"/>
                <w:b/>
              </w:rPr>
            </w:pPr>
            <w:r>
              <w:rPr>
                <w:rFonts w:ascii="Arial" w:hAnsi="Arial" w:cs="Arial"/>
                <w:b/>
              </w:rPr>
              <w:t>PUBLIC VERSION</w:t>
            </w:r>
          </w:p>
        </w:tc>
      </w:tr>
    </w:tbl>
    <w:p w14:paraId="23B92FAD" w14:textId="77777777" w:rsidR="00346E6A" w:rsidRPr="003A1A01" w:rsidRDefault="00346E6A" w:rsidP="00346E6A">
      <w:pPr>
        <w:spacing w:after="0"/>
        <w:jc w:val="center"/>
        <w:rPr>
          <w:rFonts w:ascii="Arial" w:hAnsi="Arial" w:cs="Arial"/>
          <w:b/>
        </w:rPr>
      </w:pPr>
    </w:p>
    <w:p w14:paraId="1266C024" w14:textId="77777777" w:rsidR="00346E6A" w:rsidRPr="003A1A01" w:rsidRDefault="00346E6A" w:rsidP="00346E6A">
      <w:pPr>
        <w:rPr>
          <w:rFonts w:ascii="Arial" w:hAnsi="Arial" w:cs="Arial"/>
        </w:rPr>
      </w:pPr>
    </w:p>
    <w:p w14:paraId="6E8955C3" w14:textId="3572FE6E" w:rsidR="00346E6A" w:rsidRDefault="00346E6A" w:rsidP="00346E6A">
      <w:pPr>
        <w:rPr>
          <w:rFonts w:ascii="Arial" w:hAnsi="Arial" w:cs="Arial"/>
        </w:rPr>
      </w:pPr>
    </w:p>
    <w:p w14:paraId="179781BA" w14:textId="2A588627" w:rsidR="007D72A7" w:rsidRDefault="007D72A7" w:rsidP="00346E6A">
      <w:pPr>
        <w:rPr>
          <w:rFonts w:ascii="Arial" w:hAnsi="Arial" w:cs="Arial"/>
        </w:rPr>
      </w:pPr>
    </w:p>
    <w:p w14:paraId="211F47E2" w14:textId="4815680B" w:rsidR="007D72A7" w:rsidRDefault="007D72A7" w:rsidP="00346E6A">
      <w:pPr>
        <w:rPr>
          <w:rFonts w:ascii="Arial" w:hAnsi="Arial" w:cs="Arial"/>
        </w:rPr>
      </w:pPr>
    </w:p>
    <w:p w14:paraId="784537A6" w14:textId="77777777" w:rsidR="007D72A7" w:rsidRPr="003A1A01" w:rsidRDefault="007D72A7" w:rsidP="00346E6A">
      <w:pPr>
        <w:rPr>
          <w:rFonts w:ascii="Arial" w:hAnsi="Arial" w:cs="Arial"/>
        </w:rPr>
      </w:pPr>
    </w:p>
    <w:p w14:paraId="25AC0211" w14:textId="77777777" w:rsidR="00346E6A" w:rsidRPr="003A1A01" w:rsidRDefault="00346E6A" w:rsidP="00346E6A">
      <w:pPr>
        <w:rPr>
          <w:rFonts w:ascii="Arial" w:hAnsi="Arial" w:cs="Arial"/>
        </w:rPr>
      </w:pPr>
    </w:p>
    <w:p w14:paraId="52D81320" w14:textId="77777777" w:rsidR="00346E6A" w:rsidRPr="003A1A01" w:rsidRDefault="00346E6A" w:rsidP="00346E6A">
      <w:pPr>
        <w:rPr>
          <w:rFonts w:ascii="Arial" w:hAnsi="Arial" w:cs="Arial"/>
        </w:rPr>
      </w:pPr>
    </w:p>
    <w:p w14:paraId="4662A15E" w14:textId="77777777" w:rsidR="00346E6A" w:rsidRPr="003A1A01" w:rsidRDefault="00346E6A" w:rsidP="00346E6A">
      <w:pPr>
        <w:rPr>
          <w:rFonts w:ascii="Arial" w:hAnsi="Arial" w:cs="Arial"/>
        </w:rPr>
      </w:pPr>
    </w:p>
    <w:p w14:paraId="50D57ED2" w14:textId="6C9D5A7C" w:rsidR="00346E6A" w:rsidRPr="006106A0" w:rsidRDefault="00301B0F" w:rsidP="00346E6A">
      <w:pPr>
        <w:jc w:val="right"/>
        <w:rPr>
          <w:rFonts w:ascii="Arial" w:hAnsi="Arial" w:cs="Arial"/>
        </w:rPr>
      </w:pPr>
      <w:r>
        <w:rPr>
          <w:rFonts w:ascii="Arial" w:hAnsi="Arial" w:cs="Arial"/>
        </w:rPr>
        <w:t xml:space="preserve">February </w:t>
      </w:r>
      <w:r w:rsidR="007D72A7">
        <w:rPr>
          <w:rFonts w:ascii="Arial" w:hAnsi="Arial" w:cs="Arial"/>
        </w:rPr>
        <w:t>12</w:t>
      </w:r>
      <w:r w:rsidR="00346E6A" w:rsidRPr="006106A0">
        <w:rPr>
          <w:rFonts w:ascii="Arial" w:hAnsi="Arial" w:cs="Arial"/>
        </w:rPr>
        <w:t>,</w:t>
      </w:r>
      <w:r w:rsidR="00F80A3D" w:rsidRPr="006106A0">
        <w:rPr>
          <w:rFonts w:ascii="Arial" w:hAnsi="Arial" w:cs="Arial"/>
        </w:rPr>
        <w:t xml:space="preserve"> 201</w:t>
      </w:r>
      <w:r>
        <w:rPr>
          <w:rFonts w:ascii="Arial" w:hAnsi="Arial" w:cs="Arial"/>
        </w:rPr>
        <w:t>9</w:t>
      </w:r>
    </w:p>
    <w:p w14:paraId="296F18CE" w14:textId="77777777" w:rsidR="00346E6A" w:rsidRPr="003A1A01" w:rsidRDefault="00346E6A" w:rsidP="00346E6A">
      <w:pPr>
        <w:widowControl w:val="0"/>
        <w:autoSpaceDE w:val="0"/>
        <w:autoSpaceDN w:val="0"/>
        <w:adjustRightInd w:val="0"/>
        <w:ind w:left="5760" w:firstLine="720"/>
        <w:rPr>
          <w:rFonts w:ascii="Arial" w:hAnsi="Arial" w:cs="Arial"/>
          <w:b/>
        </w:rPr>
      </w:pPr>
    </w:p>
    <w:p w14:paraId="21F3E1B7" w14:textId="77777777" w:rsidR="00346E6A" w:rsidRPr="003A1A01" w:rsidRDefault="00346E6A" w:rsidP="00346E6A">
      <w:pPr>
        <w:rPr>
          <w:rFonts w:ascii="Arial" w:hAnsi="Arial" w:cs="Arial"/>
          <w:b/>
        </w:rPr>
        <w:sectPr w:rsidR="00346E6A" w:rsidRPr="003A1A01" w:rsidSect="00346E6A">
          <w:headerReference w:type="even" r:id="rId8"/>
          <w:headerReference w:type="default" r:id="rId9"/>
          <w:footerReference w:type="even" r:id="rId10"/>
          <w:footerReference w:type="default" r:id="rId11"/>
          <w:headerReference w:type="first" r:id="rId12"/>
          <w:footerReference w:type="first" r:id="rId13"/>
          <w:pgSz w:w="12245" w:h="15703"/>
          <w:pgMar w:top="1440" w:right="1440" w:bottom="1440" w:left="1440" w:header="720" w:footer="720" w:gutter="0"/>
          <w:cols w:space="720"/>
          <w:noEndnote/>
          <w:docGrid w:linePitch="326"/>
        </w:sectPr>
      </w:pPr>
    </w:p>
    <w:p w14:paraId="2426F4DC" w14:textId="77777777" w:rsidR="00B67D6D" w:rsidRDefault="00B67D6D" w:rsidP="00164273">
      <w:pPr>
        <w:pStyle w:val="BodyText"/>
        <w:spacing w:line="480" w:lineRule="auto"/>
        <w:jc w:val="both"/>
        <w:rPr>
          <w:rFonts w:ascii="Arial" w:hAnsi="Arial" w:cs="Arial"/>
          <w:b/>
          <w:sz w:val="24"/>
          <w:szCs w:val="24"/>
        </w:rPr>
      </w:pPr>
      <w:r>
        <w:rPr>
          <w:rFonts w:ascii="Arial" w:hAnsi="Arial" w:cs="Arial"/>
          <w:b/>
          <w:sz w:val="24"/>
          <w:szCs w:val="24"/>
        </w:rPr>
        <w:lastRenderedPageBreak/>
        <w:t xml:space="preserve">I.   </w:t>
      </w:r>
      <w:r>
        <w:rPr>
          <w:rFonts w:ascii="Arial" w:hAnsi="Arial" w:cs="Arial"/>
          <w:b/>
          <w:sz w:val="24"/>
          <w:szCs w:val="24"/>
        </w:rPr>
        <w:tab/>
        <w:t>INTRODUCTION</w:t>
      </w:r>
    </w:p>
    <w:p w14:paraId="058C6B6D" w14:textId="77777777" w:rsidR="00164273" w:rsidRDefault="00346E6A" w:rsidP="00164273">
      <w:pPr>
        <w:pStyle w:val="BodyText"/>
        <w:spacing w:line="480" w:lineRule="auto"/>
        <w:jc w:val="both"/>
        <w:rPr>
          <w:rFonts w:ascii="Arial" w:hAnsi="Arial" w:cs="Arial"/>
          <w:b/>
          <w:sz w:val="24"/>
          <w:szCs w:val="24"/>
        </w:rPr>
      </w:pPr>
      <w:r w:rsidRPr="002E7077">
        <w:rPr>
          <w:rFonts w:ascii="Arial" w:hAnsi="Arial" w:cs="Arial"/>
          <w:b/>
          <w:sz w:val="24"/>
          <w:szCs w:val="24"/>
        </w:rPr>
        <w:t>Q.</w:t>
      </w:r>
      <w:r w:rsidRPr="002E7077">
        <w:rPr>
          <w:rFonts w:ascii="Arial" w:hAnsi="Arial" w:cs="Arial"/>
          <w:b/>
          <w:sz w:val="24"/>
          <w:szCs w:val="24"/>
        </w:rPr>
        <w:tab/>
        <w:t>Please state your name and title.</w:t>
      </w:r>
    </w:p>
    <w:p w14:paraId="7701DD5B" w14:textId="77777777" w:rsidR="00346E6A" w:rsidRPr="00164273" w:rsidRDefault="00164273" w:rsidP="00164273">
      <w:pPr>
        <w:pStyle w:val="BodyText"/>
        <w:spacing w:line="480" w:lineRule="auto"/>
        <w:jc w:val="both"/>
        <w:rPr>
          <w:rFonts w:ascii="Arial" w:hAnsi="Arial" w:cs="Arial"/>
          <w:b/>
          <w:sz w:val="24"/>
          <w:szCs w:val="24"/>
        </w:rPr>
      </w:pPr>
      <w:r>
        <w:rPr>
          <w:rFonts w:ascii="Arial" w:hAnsi="Arial" w:cs="Arial"/>
          <w:szCs w:val="24"/>
        </w:rPr>
        <w:t>A.</w:t>
      </w:r>
      <w:r>
        <w:rPr>
          <w:rFonts w:ascii="Arial" w:hAnsi="Arial" w:cs="Arial"/>
          <w:szCs w:val="24"/>
        </w:rPr>
        <w:tab/>
      </w:r>
      <w:r w:rsidR="00F80A3D" w:rsidRPr="00507DA9">
        <w:rPr>
          <w:rFonts w:ascii="Arial" w:hAnsi="Arial" w:cs="Arial"/>
          <w:sz w:val="24"/>
          <w:szCs w:val="24"/>
        </w:rPr>
        <w:t>My name is J. Edward Hess</w:t>
      </w:r>
      <w:r w:rsidR="00346E6A" w:rsidRPr="00507DA9">
        <w:rPr>
          <w:rFonts w:ascii="Arial" w:hAnsi="Arial" w:cs="Arial"/>
          <w:sz w:val="24"/>
          <w:szCs w:val="24"/>
        </w:rPr>
        <w:t xml:space="preserve">.  I am </w:t>
      </w:r>
      <w:r w:rsidR="00F80A3D" w:rsidRPr="00507DA9">
        <w:rPr>
          <w:rFonts w:ascii="Arial" w:hAnsi="Arial" w:cs="Arial"/>
          <w:sz w:val="24"/>
          <w:szCs w:val="24"/>
        </w:rPr>
        <w:t>a self-employed</w:t>
      </w:r>
      <w:r w:rsidR="002E7077" w:rsidRPr="00507DA9">
        <w:rPr>
          <w:rFonts w:ascii="Arial" w:hAnsi="Arial" w:cs="Arial"/>
          <w:sz w:val="24"/>
          <w:szCs w:val="24"/>
        </w:rPr>
        <w:t xml:space="preserve"> consultant</w:t>
      </w:r>
      <w:r w:rsidR="002E7077">
        <w:rPr>
          <w:rFonts w:ascii="Arial" w:hAnsi="Arial" w:cs="Arial"/>
          <w:szCs w:val="24"/>
        </w:rPr>
        <w:t>.</w:t>
      </w:r>
    </w:p>
    <w:p w14:paraId="1D95E512" w14:textId="77777777" w:rsidR="00346E6A" w:rsidRPr="003A1A01" w:rsidRDefault="00346E6A" w:rsidP="00346E6A">
      <w:pPr>
        <w:pStyle w:val="BodyText"/>
        <w:spacing w:line="480" w:lineRule="auto"/>
        <w:jc w:val="both"/>
        <w:rPr>
          <w:rFonts w:ascii="Arial" w:hAnsi="Arial" w:cs="Arial"/>
          <w:b/>
          <w:sz w:val="24"/>
          <w:szCs w:val="24"/>
        </w:rPr>
      </w:pPr>
      <w:r w:rsidRPr="003A1A01">
        <w:rPr>
          <w:rFonts w:ascii="Arial" w:hAnsi="Arial" w:cs="Arial"/>
          <w:b/>
          <w:sz w:val="24"/>
          <w:szCs w:val="24"/>
        </w:rPr>
        <w:t>Q.</w:t>
      </w:r>
      <w:r w:rsidRPr="003A1A01">
        <w:rPr>
          <w:rFonts w:ascii="Arial" w:hAnsi="Arial" w:cs="Arial"/>
          <w:b/>
          <w:sz w:val="24"/>
          <w:szCs w:val="24"/>
        </w:rPr>
        <w:tab/>
        <w:t>On whose behalf are you testifying?</w:t>
      </w:r>
    </w:p>
    <w:p w14:paraId="1A81A481" w14:textId="16DA9D9D" w:rsidR="00346E6A" w:rsidRPr="001B4167" w:rsidRDefault="00346E6A" w:rsidP="00346E6A">
      <w:pPr>
        <w:pStyle w:val="BodyText"/>
        <w:spacing w:line="480" w:lineRule="auto"/>
        <w:ind w:left="720" w:hanging="720"/>
        <w:jc w:val="both"/>
        <w:rPr>
          <w:rFonts w:ascii="Arial" w:hAnsi="Arial" w:cs="Arial"/>
          <w:sz w:val="24"/>
          <w:szCs w:val="24"/>
        </w:rPr>
      </w:pPr>
      <w:r w:rsidRPr="003A1A01">
        <w:rPr>
          <w:rFonts w:ascii="Arial" w:hAnsi="Arial" w:cs="Arial"/>
          <w:sz w:val="24"/>
          <w:szCs w:val="24"/>
        </w:rPr>
        <w:t>A.</w:t>
      </w:r>
      <w:r w:rsidRPr="003A1A01">
        <w:rPr>
          <w:rFonts w:ascii="Arial" w:hAnsi="Arial" w:cs="Arial"/>
          <w:sz w:val="24"/>
          <w:szCs w:val="24"/>
        </w:rPr>
        <w:tab/>
        <w:t xml:space="preserve">I am testifying on behalf </w:t>
      </w:r>
      <w:r w:rsidRPr="001B4167">
        <w:rPr>
          <w:rFonts w:ascii="Arial" w:hAnsi="Arial" w:cs="Arial"/>
          <w:sz w:val="24"/>
          <w:szCs w:val="24"/>
        </w:rPr>
        <w:t>of</w:t>
      </w:r>
      <w:r w:rsidR="001B4167" w:rsidRPr="001B4167">
        <w:rPr>
          <w:rFonts w:ascii="Arial" w:hAnsi="Arial" w:cs="Arial"/>
          <w:sz w:val="24"/>
          <w:szCs w:val="24"/>
        </w:rPr>
        <w:t xml:space="preserve"> </w:t>
      </w:r>
      <w:r w:rsidR="001B4167" w:rsidRPr="001B4167">
        <w:rPr>
          <w:rFonts w:ascii="Arial" w:hAnsi="Arial" w:cs="Arial"/>
        </w:rPr>
        <w:t>Interstate Gas Supply, Inc.</w:t>
      </w:r>
    </w:p>
    <w:p w14:paraId="7A90AED8" w14:textId="77777777" w:rsidR="006B50B1" w:rsidRDefault="00346E6A" w:rsidP="000D1FD2">
      <w:pPr>
        <w:pStyle w:val="BodyText"/>
        <w:spacing w:line="480" w:lineRule="auto"/>
        <w:ind w:left="720" w:hanging="810"/>
        <w:jc w:val="both"/>
        <w:rPr>
          <w:rFonts w:ascii="Arial" w:hAnsi="Arial" w:cs="Arial"/>
          <w:b/>
          <w:sz w:val="24"/>
          <w:szCs w:val="24"/>
        </w:rPr>
      </w:pPr>
      <w:r w:rsidRPr="003A1A01">
        <w:rPr>
          <w:rFonts w:ascii="Arial" w:hAnsi="Arial" w:cs="Arial"/>
          <w:b/>
          <w:sz w:val="24"/>
          <w:szCs w:val="24"/>
        </w:rPr>
        <w:t>Q.</w:t>
      </w:r>
      <w:r w:rsidRPr="003A1A01">
        <w:rPr>
          <w:rFonts w:ascii="Arial" w:hAnsi="Arial" w:cs="Arial"/>
          <w:b/>
          <w:sz w:val="24"/>
          <w:szCs w:val="24"/>
        </w:rPr>
        <w:tab/>
        <w:t>Please describe your educational background and work history.</w:t>
      </w:r>
    </w:p>
    <w:p w14:paraId="1B908756" w14:textId="14571DFC" w:rsidR="000D1FD2" w:rsidRDefault="000D1FD2" w:rsidP="000D1FD2">
      <w:pPr>
        <w:pStyle w:val="BodyText"/>
        <w:spacing w:line="480" w:lineRule="auto"/>
        <w:ind w:left="720" w:hanging="810"/>
        <w:jc w:val="both"/>
        <w:rPr>
          <w:rFonts w:ascii="Arial" w:hAnsi="Arial" w:cs="Arial"/>
          <w:b/>
          <w:sz w:val="24"/>
          <w:szCs w:val="24"/>
        </w:rPr>
      </w:pPr>
      <w:r>
        <w:rPr>
          <w:rFonts w:ascii="Arial" w:hAnsi="Arial" w:cs="Arial"/>
          <w:sz w:val="24"/>
          <w:szCs w:val="24"/>
        </w:rPr>
        <w:t>A.</w:t>
      </w:r>
      <w:r>
        <w:rPr>
          <w:rFonts w:ascii="Arial" w:hAnsi="Arial" w:cs="Arial"/>
          <w:sz w:val="24"/>
          <w:szCs w:val="24"/>
        </w:rPr>
        <w:tab/>
      </w:r>
      <w:r w:rsidR="006B50B1" w:rsidRPr="006B50B1">
        <w:rPr>
          <w:rFonts w:ascii="Arial" w:hAnsi="Arial" w:cs="Arial"/>
          <w:sz w:val="24"/>
          <w:szCs w:val="24"/>
        </w:rPr>
        <w:t xml:space="preserve">I have a </w:t>
      </w:r>
      <w:r w:rsidR="00F80A3D" w:rsidRPr="006B50B1">
        <w:rPr>
          <w:rFonts w:ascii="Arial" w:hAnsi="Arial" w:cs="Arial"/>
          <w:sz w:val="24"/>
          <w:szCs w:val="24"/>
        </w:rPr>
        <w:t xml:space="preserve">Bachelor of Business Administration degree from Ohio University </w:t>
      </w:r>
      <w:r w:rsidR="006B50B1" w:rsidRPr="006B50B1">
        <w:rPr>
          <w:rFonts w:ascii="Arial" w:hAnsi="Arial" w:cs="Arial"/>
          <w:sz w:val="24"/>
          <w:szCs w:val="24"/>
        </w:rPr>
        <w:t>and c</w:t>
      </w:r>
      <w:r w:rsidR="00F80A3D" w:rsidRPr="006B50B1">
        <w:rPr>
          <w:rFonts w:ascii="Arial" w:hAnsi="Arial" w:cs="Arial"/>
          <w:sz w:val="24"/>
          <w:szCs w:val="24"/>
        </w:rPr>
        <w:t xml:space="preserve">ompleted </w:t>
      </w:r>
      <w:r w:rsidR="006B50B1" w:rsidRPr="006B50B1">
        <w:rPr>
          <w:rFonts w:ascii="Arial" w:hAnsi="Arial" w:cs="Arial"/>
          <w:sz w:val="24"/>
          <w:szCs w:val="24"/>
        </w:rPr>
        <w:t>most of</w:t>
      </w:r>
      <w:r w:rsidR="00F80A3D" w:rsidRPr="006B50B1">
        <w:rPr>
          <w:rFonts w:ascii="Arial" w:hAnsi="Arial" w:cs="Arial"/>
          <w:sz w:val="24"/>
          <w:szCs w:val="24"/>
        </w:rPr>
        <w:t xml:space="preserve"> Capital University’s Master of Business A</w:t>
      </w:r>
      <w:r w:rsidR="006B50B1" w:rsidRPr="006B50B1">
        <w:rPr>
          <w:rFonts w:ascii="Arial" w:hAnsi="Arial" w:cs="Arial"/>
          <w:sz w:val="24"/>
          <w:szCs w:val="24"/>
        </w:rPr>
        <w:t>dministration program</w:t>
      </w:r>
      <w:r w:rsidR="00F80A3D" w:rsidRPr="006B50B1">
        <w:rPr>
          <w:rFonts w:ascii="Arial" w:hAnsi="Arial" w:cs="Arial"/>
          <w:sz w:val="24"/>
          <w:szCs w:val="24"/>
        </w:rPr>
        <w:t>.</w:t>
      </w:r>
      <w:r w:rsidR="006B50B1" w:rsidRPr="006B50B1">
        <w:rPr>
          <w:rFonts w:ascii="Arial" w:hAnsi="Arial" w:cs="Arial"/>
          <w:sz w:val="24"/>
          <w:szCs w:val="24"/>
        </w:rPr>
        <w:t xml:space="preserve"> I am a c</w:t>
      </w:r>
      <w:r w:rsidR="00F80A3D" w:rsidRPr="006B50B1">
        <w:rPr>
          <w:rFonts w:ascii="Arial" w:hAnsi="Arial" w:cs="Arial"/>
          <w:sz w:val="24"/>
          <w:szCs w:val="24"/>
        </w:rPr>
        <w:t xml:space="preserve">ertified </w:t>
      </w:r>
      <w:r w:rsidR="006B50B1" w:rsidRPr="006B50B1">
        <w:rPr>
          <w:rFonts w:ascii="Arial" w:hAnsi="Arial" w:cs="Arial"/>
          <w:sz w:val="24"/>
          <w:szCs w:val="24"/>
        </w:rPr>
        <w:t>public accountant (</w:t>
      </w:r>
      <w:r w:rsidR="00F80A3D" w:rsidRPr="006B50B1">
        <w:rPr>
          <w:rFonts w:ascii="Arial" w:hAnsi="Arial" w:cs="Arial"/>
          <w:sz w:val="24"/>
          <w:szCs w:val="24"/>
        </w:rPr>
        <w:t>presently inactive).</w:t>
      </w:r>
      <w:r w:rsidR="006B50B1">
        <w:rPr>
          <w:rFonts w:ascii="Arial" w:hAnsi="Arial" w:cs="Arial"/>
          <w:sz w:val="24"/>
          <w:szCs w:val="24"/>
        </w:rPr>
        <w:t xml:space="preserve">  </w:t>
      </w:r>
      <w:r w:rsidR="006B50B1" w:rsidRPr="006B50B1">
        <w:rPr>
          <w:rFonts w:ascii="Arial" w:hAnsi="Arial" w:cs="Arial"/>
          <w:sz w:val="24"/>
          <w:szCs w:val="24"/>
        </w:rPr>
        <w:t xml:space="preserve">I was employed by </w:t>
      </w:r>
      <w:r w:rsidR="00F80A3D" w:rsidRPr="006B50B1">
        <w:rPr>
          <w:rFonts w:ascii="Arial" w:hAnsi="Arial" w:cs="Arial"/>
          <w:sz w:val="24"/>
          <w:szCs w:val="24"/>
        </w:rPr>
        <w:t xml:space="preserve">the Public Utilities Commission of Ohio </w:t>
      </w:r>
      <w:r w:rsidR="001B4167">
        <w:rPr>
          <w:rFonts w:ascii="Arial" w:hAnsi="Arial" w:cs="Arial"/>
          <w:sz w:val="24"/>
          <w:szCs w:val="24"/>
        </w:rPr>
        <w:t xml:space="preserve">(Commission) </w:t>
      </w:r>
      <w:r w:rsidR="006B50B1" w:rsidRPr="006B50B1">
        <w:rPr>
          <w:rFonts w:ascii="Arial" w:hAnsi="Arial" w:cs="Arial"/>
          <w:sz w:val="24"/>
          <w:szCs w:val="24"/>
        </w:rPr>
        <w:t xml:space="preserve">in 1975 </w:t>
      </w:r>
      <w:r w:rsidR="00F80A3D" w:rsidRPr="006B50B1">
        <w:rPr>
          <w:rFonts w:ascii="Arial" w:hAnsi="Arial" w:cs="Arial"/>
          <w:sz w:val="24"/>
          <w:szCs w:val="24"/>
        </w:rPr>
        <w:t xml:space="preserve">as a field auditor.  I resigned from the Commission in 1977 and joined the public accounting firm of John Gerlach and Company.  I rejoined the Commission in July 1980.  In March 2009, I retired from the Commission after over 30 years of employment.  My last position with the Commission was as the Chief of the Accounting and Electricity Division of the Utilities Department.  In that capacity, I was responsible for ensuring statutory compliance with state and federal statutes, rules and procedures governing utility regulation with most of that responsibility focused on the electric sector.  I was also responsible for analyzing and testifying to a whole variety of financial data regarding all utilities regulated by the Commission. From October 2009 through May 2015, I was employed by McNees Wallace &amp; Nurick as a technical specialist where I provided practical insight and analytical expertise on regulatory and legislative issues to the business community.  I also provided expert </w:t>
      </w:r>
      <w:r w:rsidR="00F80A3D" w:rsidRPr="006B50B1">
        <w:rPr>
          <w:rFonts w:ascii="Arial" w:hAnsi="Arial" w:cs="Arial"/>
          <w:sz w:val="24"/>
          <w:szCs w:val="24"/>
        </w:rPr>
        <w:lastRenderedPageBreak/>
        <w:t xml:space="preserve">testimony on behalf of the firm’s clients in regulatory hearings before the </w:t>
      </w:r>
      <w:r w:rsidR="006B50B1" w:rsidRPr="006B50B1">
        <w:rPr>
          <w:rFonts w:ascii="Arial" w:hAnsi="Arial" w:cs="Arial"/>
          <w:sz w:val="24"/>
          <w:szCs w:val="24"/>
        </w:rPr>
        <w:t xml:space="preserve">Commission. </w:t>
      </w:r>
      <w:r w:rsidR="00F80A3D" w:rsidRPr="006B50B1">
        <w:rPr>
          <w:rFonts w:ascii="Arial" w:hAnsi="Arial" w:cs="Arial"/>
          <w:sz w:val="24"/>
          <w:szCs w:val="24"/>
        </w:rPr>
        <w:t>I have attended and completed numerous continuing education courses relevant to the regulation of public utilities and my accounting profession. I have also participated in regulatory conferences and training seminars and have served as a workshop presenter at the annual energy conference sponsored by the Manufacturers’ Education Council.</w:t>
      </w:r>
    </w:p>
    <w:p w14:paraId="12A4B341" w14:textId="77777777" w:rsidR="000D1FD2" w:rsidRDefault="00BD280F" w:rsidP="000D1FD2">
      <w:pPr>
        <w:pStyle w:val="BodyText"/>
        <w:spacing w:line="480" w:lineRule="auto"/>
        <w:ind w:left="720" w:hanging="810"/>
        <w:jc w:val="both"/>
        <w:rPr>
          <w:rFonts w:ascii="Arial" w:hAnsi="Arial" w:cs="Arial"/>
          <w:b/>
          <w:sz w:val="24"/>
          <w:szCs w:val="24"/>
        </w:rPr>
      </w:pPr>
      <w:r>
        <w:rPr>
          <w:rFonts w:ascii="Arial" w:hAnsi="Arial" w:cs="Arial"/>
          <w:b/>
          <w:sz w:val="24"/>
          <w:szCs w:val="24"/>
        </w:rPr>
        <w:t>Q.</w:t>
      </w:r>
      <w:r>
        <w:rPr>
          <w:rFonts w:ascii="Arial" w:hAnsi="Arial" w:cs="Arial"/>
          <w:b/>
          <w:sz w:val="24"/>
          <w:szCs w:val="24"/>
        </w:rPr>
        <w:tab/>
        <w:t>Were</w:t>
      </w:r>
      <w:r w:rsidR="004155CC">
        <w:rPr>
          <w:rFonts w:ascii="Arial" w:hAnsi="Arial" w:cs="Arial"/>
          <w:b/>
          <w:sz w:val="24"/>
          <w:szCs w:val="24"/>
        </w:rPr>
        <w:t xml:space="preserve"> you involved</w:t>
      </w:r>
      <w:r w:rsidR="00AC276D">
        <w:rPr>
          <w:rFonts w:ascii="Arial" w:hAnsi="Arial" w:cs="Arial"/>
          <w:b/>
          <w:sz w:val="24"/>
          <w:szCs w:val="24"/>
        </w:rPr>
        <w:t xml:space="preserve"> with Ohio’s electric restructuring</w:t>
      </w:r>
      <w:r>
        <w:rPr>
          <w:rFonts w:ascii="Arial" w:hAnsi="Arial" w:cs="Arial"/>
          <w:b/>
          <w:sz w:val="24"/>
          <w:szCs w:val="24"/>
        </w:rPr>
        <w:t xml:space="preserve"> as a member of the PUCO Staff</w:t>
      </w:r>
      <w:r w:rsidR="00AC276D">
        <w:rPr>
          <w:rFonts w:ascii="Arial" w:hAnsi="Arial" w:cs="Arial"/>
          <w:b/>
          <w:sz w:val="24"/>
          <w:szCs w:val="24"/>
        </w:rPr>
        <w:t>?</w:t>
      </w:r>
    </w:p>
    <w:p w14:paraId="537D8341" w14:textId="77777777" w:rsidR="000D1FD2" w:rsidRDefault="00AC276D" w:rsidP="000D1FD2">
      <w:pPr>
        <w:pStyle w:val="BodyText"/>
        <w:spacing w:line="480" w:lineRule="auto"/>
        <w:ind w:left="720" w:hanging="810"/>
        <w:jc w:val="both"/>
        <w:rPr>
          <w:rFonts w:ascii="Arial" w:hAnsi="Arial" w:cs="Arial"/>
          <w:b/>
          <w:sz w:val="24"/>
          <w:szCs w:val="24"/>
        </w:rPr>
      </w:pPr>
      <w:r w:rsidRPr="00AC276D">
        <w:rPr>
          <w:rFonts w:ascii="Arial" w:hAnsi="Arial" w:cs="Arial"/>
          <w:sz w:val="24"/>
          <w:szCs w:val="24"/>
        </w:rPr>
        <w:t>A.</w:t>
      </w:r>
      <w:r w:rsidRPr="00AC276D">
        <w:rPr>
          <w:rFonts w:ascii="Arial" w:hAnsi="Arial" w:cs="Arial"/>
          <w:sz w:val="24"/>
          <w:szCs w:val="24"/>
        </w:rPr>
        <w:tab/>
      </w:r>
      <w:r>
        <w:rPr>
          <w:rFonts w:ascii="Arial" w:hAnsi="Arial" w:cs="Arial"/>
          <w:sz w:val="24"/>
          <w:szCs w:val="24"/>
        </w:rPr>
        <w:t xml:space="preserve">Yes.  </w:t>
      </w:r>
      <w:r w:rsidRPr="00AC276D">
        <w:rPr>
          <w:rFonts w:ascii="Arial" w:hAnsi="Arial" w:cs="Arial"/>
          <w:sz w:val="24"/>
          <w:szCs w:val="24"/>
        </w:rPr>
        <w:t>In 1999, I began working with Chairman Glazer on the restructuring of the electric industry.  The first Johnson-Mead bill had been proposed, the utilities countered with their own version and everyone involved was working on the second version of Johnson-Mead that eventually became known as Senate Bill 3.  The bill passed in July 1999.  Before the bill was passed Alan Schreiber became the chairman of the PUCO and I continued my work on the legisl</w:t>
      </w:r>
      <w:r>
        <w:rPr>
          <w:rFonts w:ascii="Arial" w:hAnsi="Arial" w:cs="Arial"/>
          <w:sz w:val="24"/>
          <w:szCs w:val="24"/>
        </w:rPr>
        <w:t>ation with Chairman Schreiber</w:t>
      </w:r>
      <w:r w:rsidRPr="00AC276D">
        <w:rPr>
          <w:rFonts w:ascii="Arial" w:hAnsi="Arial" w:cs="Arial"/>
          <w:sz w:val="24"/>
          <w:szCs w:val="24"/>
        </w:rPr>
        <w:t>.</w:t>
      </w:r>
    </w:p>
    <w:p w14:paraId="112128C3" w14:textId="0F264656" w:rsidR="000D1FD2" w:rsidRPr="000240D1" w:rsidRDefault="000D1FD2" w:rsidP="00630627">
      <w:pPr>
        <w:pStyle w:val="BodyText"/>
        <w:spacing w:line="480" w:lineRule="auto"/>
        <w:ind w:left="720" w:hanging="810"/>
        <w:jc w:val="both"/>
        <w:rPr>
          <w:rFonts w:ascii="Arial" w:hAnsi="Arial" w:cs="Arial"/>
          <w:sz w:val="24"/>
          <w:szCs w:val="24"/>
        </w:rPr>
      </w:pPr>
      <w:r>
        <w:rPr>
          <w:rFonts w:ascii="Arial" w:hAnsi="Arial" w:cs="Arial"/>
          <w:sz w:val="24"/>
          <w:szCs w:val="24"/>
        </w:rPr>
        <w:tab/>
      </w:r>
      <w:r w:rsidR="00AC276D" w:rsidRPr="00AC276D">
        <w:rPr>
          <w:rFonts w:ascii="Arial" w:hAnsi="Arial" w:cs="Arial"/>
          <w:sz w:val="24"/>
          <w:szCs w:val="24"/>
        </w:rPr>
        <w:t>After the legislation pa</w:t>
      </w:r>
      <w:r w:rsidR="00AC276D">
        <w:rPr>
          <w:rFonts w:ascii="Arial" w:hAnsi="Arial" w:cs="Arial"/>
          <w:sz w:val="24"/>
          <w:szCs w:val="24"/>
        </w:rPr>
        <w:t>ssed, I was given</w:t>
      </w:r>
      <w:r w:rsidR="00AC276D" w:rsidRPr="00AC276D">
        <w:rPr>
          <w:rFonts w:ascii="Arial" w:hAnsi="Arial" w:cs="Arial"/>
          <w:sz w:val="24"/>
          <w:szCs w:val="24"/>
        </w:rPr>
        <w:t xml:space="preserve"> the responsibility of managing the Staff’s efforts to implement the bill.  That included processing electric transition plans (called “ETP”) and developing rules that were required by the legislation.  At the time of the legislation there were 8 electric distribution companies that were required to file transition plans per the legislation.  The issues that were addressed in the ETP filings and the rules that were required are too numerous to list here.  </w:t>
      </w:r>
      <w:r w:rsidR="00AC276D" w:rsidRPr="000240D1">
        <w:rPr>
          <w:rFonts w:ascii="Arial" w:hAnsi="Arial" w:cs="Arial"/>
          <w:sz w:val="24"/>
          <w:szCs w:val="24"/>
        </w:rPr>
        <w:t>We completed the required tasks on time and we wer</w:t>
      </w:r>
      <w:r w:rsidR="00EC15FC">
        <w:rPr>
          <w:rFonts w:ascii="Arial" w:hAnsi="Arial" w:cs="Arial"/>
          <w:sz w:val="24"/>
          <w:szCs w:val="24"/>
        </w:rPr>
        <w:t xml:space="preserve">e ready for the transition on January </w:t>
      </w:r>
      <w:r w:rsidR="00AC276D" w:rsidRPr="000240D1">
        <w:rPr>
          <w:rFonts w:ascii="Arial" w:hAnsi="Arial" w:cs="Arial"/>
          <w:sz w:val="24"/>
          <w:szCs w:val="24"/>
        </w:rPr>
        <w:t>1</w:t>
      </w:r>
      <w:r w:rsidR="00EC15FC">
        <w:rPr>
          <w:rFonts w:ascii="Arial" w:hAnsi="Arial" w:cs="Arial"/>
          <w:sz w:val="24"/>
          <w:szCs w:val="24"/>
        </w:rPr>
        <w:t>, 20</w:t>
      </w:r>
      <w:r w:rsidR="00AC276D" w:rsidRPr="000240D1">
        <w:rPr>
          <w:rFonts w:ascii="Arial" w:hAnsi="Arial" w:cs="Arial"/>
          <w:sz w:val="24"/>
          <w:szCs w:val="24"/>
        </w:rPr>
        <w:t>01.</w:t>
      </w:r>
    </w:p>
    <w:p w14:paraId="402573A4" w14:textId="2A038FB7" w:rsidR="000D1FD2" w:rsidRPr="000240D1" w:rsidRDefault="000D1FD2" w:rsidP="000D1FD2">
      <w:pPr>
        <w:pStyle w:val="BodyText"/>
        <w:spacing w:line="480" w:lineRule="auto"/>
        <w:ind w:left="720" w:hanging="810"/>
        <w:jc w:val="both"/>
        <w:rPr>
          <w:rFonts w:ascii="Arial" w:hAnsi="Arial" w:cs="Arial"/>
          <w:sz w:val="24"/>
          <w:szCs w:val="24"/>
        </w:rPr>
      </w:pPr>
      <w:r w:rsidRPr="000240D1">
        <w:rPr>
          <w:rFonts w:ascii="Arial" w:hAnsi="Arial" w:cs="Arial"/>
          <w:sz w:val="24"/>
          <w:szCs w:val="24"/>
        </w:rPr>
        <w:lastRenderedPageBreak/>
        <w:tab/>
      </w:r>
      <w:r w:rsidR="00AC276D" w:rsidRPr="000240D1">
        <w:rPr>
          <w:rFonts w:ascii="Arial" w:hAnsi="Arial" w:cs="Arial"/>
          <w:sz w:val="24"/>
          <w:szCs w:val="24"/>
        </w:rPr>
        <w:t xml:space="preserve">Sometime in late 2002 and early 2003 – shortly after the California Energy Crisis and Enron’s collapse -- there was a general belief that the Ohio industry was not ready for a flash cut to </w:t>
      </w:r>
      <w:r w:rsidR="007E71BA" w:rsidRPr="000240D1">
        <w:rPr>
          <w:rFonts w:ascii="Arial" w:hAnsi="Arial" w:cs="Arial"/>
          <w:sz w:val="24"/>
          <w:szCs w:val="24"/>
        </w:rPr>
        <w:t>market-based</w:t>
      </w:r>
      <w:r w:rsidR="00AC276D" w:rsidRPr="000240D1">
        <w:rPr>
          <w:rFonts w:ascii="Arial" w:hAnsi="Arial" w:cs="Arial"/>
          <w:sz w:val="24"/>
          <w:szCs w:val="24"/>
        </w:rPr>
        <w:t xml:space="preserve"> rates on January 1, 2006.  We began discussing a longer transition period with all interested parties.  I was again given the responsibility of coordinating the Staff efforts.  We successfully implemented rate stabilization plans for an additional three or four years with all the utility distribution companies except Monongahela Power Ohio.  Mon</w:t>
      </w:r>
      <w:r w:rsidR="00EC15FC">
        <w:rPr>
          <w:rFonts w:ascii="Arial" w:hAnsi="Arial" w:cs="Arial"/>
          <w:sz w:val="24"/>
          <w:szCs w:val="24"/>
        </w:rPr>
        <w:t>ongahela</w:t>
      </w:r>
      <w:r w:rsidR="00AC276D" w:rsidRPr="000240D1">
        <w:rPr>
          <w:rFonts w:ascii="Arial" w:hAnsi="Arial" w:cs="Arial"/>
          <w:sz w:val="24"/>
          <w:szCs w:val="24"/>
        </w:rPr>
        <w:t xml:space="preserve"> Power was eventually purchased by Columbus Southern after several negotiations and litigations.  Eventually, additional legislation, SB 221, was enacted.  </w:t>
      </w:r>
      <w:r w:rsidR="004155CC" w:rsidRPr="000240D1">
        <w:rPr>
          <w:rFonts w:ascii="Arial" w:hAnsi="Arial" w:cs="Arial"/>
          <w:sz w:val="24"/>
          <w:szCs w:val="24"/>
        </w:rPr>
        <w:t xml:space="preserve">Among other things, the legislation </w:t>
      </w:r>
      <w:r w:rsidR="00AC276D" w:rsidRPr="000240D1">
        <w:rPr>
          <w:rFonts w:ascii="Arial" w:hAnsi="Arial" w:cs="Arial"/>
          <w:sz w:val="24"/>
          <w:szCs w:val="24"/>
        </w:rPr>
        <w:t xml:space="preserve">provided the </w:t>
      </w:r>
      <w:r w:rsidR="001B4167">
        <w:rPr>
          <w:rFonts w:ascii="Arial" w:hAnsi="Arial" w:cs="Arial"/>
          <w:sz w:val="24"/>
          <w:szCs w:val="24"/>
        </w:rPr>
        <w:t>Commission</w:t>
      </w:r>
      <w:r w:rsidR="00AC276D" w:rsidRPr="000240D1">
        <w:rPr>
          <w:rFonts w:ascii="Arial" w:hAnsi="Arial" w:cs="Arial"/>
          <w:sz w:val="24"/>
          <w:szCs w:val="24"/>
        </w:rPr>
        <w:t xml:space="preserve"> with additional flexibility to deal with actual circumstances that were different than anticipated when SB 3 was enacted.  </w:t>
      </w:r>
    </w:p>
    <w:p w14:paraId="77D23A42" w14:textId="77777777" w:rsidR="00AC276D" w:rsidRPr="000240D1" w:rsidRDefault="000D1FD2" w:rsidP="000D1FD2">
      <w:pPr>
        <w:pStyle w:val="BodyText"/>
        <w:spacing w:line="480" w:lineRule="auto"/>
        <w:ind w:left="720" w:hanging="810"/>
        <w:jc w:val="both"/>
        <w:rPr>
          <w:rFonts w:ascii="Arial" w:hAnsi="Arial" w:cs="Arial"/>
          <w:sz w:val="24"/>
          <w:szCs w:val="24"/>
        </w:rPr>
      </w:pPr>
      <w:r w:rsidRPr="000240D1">
        <w:rPr>
          <w:rFonts w:ascii="Arial" w:hAnsi="Arial" w:cs="Arial"/>
          <w:sz w:val="24"/>
          <w:szCs w:val="24"/>
        </w:rPr>
        <w:tab/>
      </w:r>
      <w:r w:rsidR="004155CC" w:rsidRPr="000240D1">
        <w:rPr>
          <w:rFonts w:ascii="Arial" w:hAnsi="Arial" w:cs="Arial"/>
          <w:sz w:val="24"/>
          <w:szCs w:val="24"/>
        </w:rPr>
        <w:t xml:space="preserve">As a Staff member, </w:t>
      </w:r>
      <w:r w:rsidR="00AC276D" w:rsidRPr="000240D1">
        <w:rPr>
          <w:rFonts w:ascii="Arial" w:hAnsi="Arial" w:cs="Arial"/>
          <w:sz w:val="24"/>
          <w:szCs w:val="24"/>
        </w:rPr>
        <w:t xml:space="preserve">I did help with processing the first round of electric security plans </w:t>
      </w:r>
      <w:r w:rsidR="00EC15FC">
        <w:rPr>
          <w:rFonts w:ascii="Arial" w:hAnsi="Arial" w:cs="Arial"/>
          <w:sz w:val="24"/>
          <w:szCs w:val="24"/>
        </w:rPr>
        <w:t xml:space="preserve">for AEP and First Energy </w:t>
      </w:r>
      <w:r w:rsidR="00AC276D" w:rsidRPr="000240D1">
        <w:rPr>
          <w:rFonts w:ascii="Arial" w:hAnsi="Arial" w:cs="Arial"/>
          <w:sz w:val="24"/>
          <w:szCs w:val="24"/>
        </w:rPr>
        <w:t>that were put into effect in 2009</w:t>
      </w:r>
      <w:r w:rsidR="00EC15FC">
        <w:rPr>
          <w:rFonts w:ascii="Arial" w:hAnsi="Arial" w:cs="Arial"/>
          <w:sz w:val="24"/>
          <w:szCs w:val="24"/>
        </w:rPr>
        <w:t>.</w:t>
      </w:r>
    </w:p>
    <w:p w14:paraId="5711F474" w14:textId="1247B757" w:rsidR="000D1FD2" w:rsidRDefault="000D1FD2" w:rsidP="000D1FD2">
      <w:pPr>
        <w:pStyle w:val="BodyText"/>
        <w:spacing w:line="480" w:lineRule="auto"/>
        <w:ind w:left="720" w:hanging="810"/>
        <w:jc w:val="both"/>
        <w:rPr>
          <w:rFonts w:ascii="Arial" w:hAnsi="Arial" w:cs="Arial"/>
          <w:b/>
          <w:sz w:val="24"/>
          <w:szCs w:val="24"/>
        </w:rPr>
      </w:pPr>
      <w:r>
        <w:rPr>
          <w:rFonts w:ascii="Arial" w:hAnsi="Arial" w:cs="Arial"/>
          <w:b/>
          <w:sz w:val="24"/>
          <w:szCs w:val="24"/>
        </w:rPr>
        <w:t>Q.</w:t>
      </w:r>
      <w:r>
        <w:rPr>
          <w:rFonts w:ascii="Arial" w:hAnsi="Arial" w:cs="Arial"/>
          <w:b/>
          <w:sz w:val="24"/>
          <w:szCs w:val="24"/>
        </w:rPr>
        <w:tab/>
        <w:t xml:space="preserve">What was your </w:t>
      </w:r>
      <w:r w:rsidR="005341F6">
        <w:rPr>
          <w:rFonts w:ascii="Arial" w:hAnsi="Arial" w:cs="Arial"/>
          <w:b/>
          <w:sz w:val="24"/>
          <w:szCs w:val="24"/>
        </w:rPr>
        <w:t>invol</w:t>
      </w:r>
      <w:r w:rsidR="00587FFA">
        <w:rPr>
          <w:rFonts w:ascii="Arial" w:hAnsi="Arial" w:cs="Arial"/>
          <w:b/>
          <w:sz w:val="24"/>
          <w:szCs w:val="24"/>
        </w:rPr>
        <w:t>vem</w:t>
      </w:r>
      <w:r w:rsidR="005341F6">
        <w:rPr>
          <w:rFonts w:ascii="Arial" w:hAnsi="Arial" w:cs="Arial"/>
          <w:b/>
          <w:sz w:val="24"/>
          <w:szCs w:val="24"/>
        </w:rPr>
        <w:t>ent</w:t>
      </w:r>
      <w:r>
        <w:rPr>
          <w:rFonts w:ascii="Arial" w:hAnsi="Arial" w:cs="Arial"/>
          <w:b/>
          <w:sz w:val="24"/>
          <w:szCs w:val="24"/>
        </w:rPr>
        <w:t xml:space="preserve"> with Ohio’s electric restructuring as a membe</w:t>
      </w:r>
      <w:r w:rsidR="002C408D">
        <w:rPr>
          <w:rFonts w:ascii="Arial" w:hAnsi="Arial" w:cs="Arial"/>
          <w:b/>
          <w:sz w:val="24"/>
          <w:szCs w:val="24"/>
        </w:rPr>
        <w:t>r of the McNees Wallace and Nuri</w:t>
      </w:r>
      <w:r>
        <w:rPr>
          <w:rFonts w:ascii="Arial" w:hAnsi="Arial" w:cs="Arial"/>
          <w:b/>
          <w:sz w:val="24"/>
          <w:szCs w:val="24"/>
        </w:rPr>
        <w:t>ck?</w:t>
      </w:r>
    </w:p>
    <w:p w14:paraId="66DBF75B" w14:textId="2C89D4DB" w:rsidR="00BD280F" w:rsidRDefault="000D1FD2" w:rsidP="000D1FD2">
      <w:pPr>
        <w:pStyle w:val="BodyText"/>
        <w:spacing w:line="480" w:lineRule="auto"/>
        <w:ind w:left="720" w:hanging="810"/>
        <w:jc w:val="both"/>
        <w:rPr>
          <w:rFonts w:ascii="Arial" w:hAnsi="Arial" w:cs="Arial"/>
          <w:sz w:val="24"/>
          <w:szCs w:val="24"/>
        </w:rPr>
      </w:pPr>
      <w:r w:rsidRPr="000D1FD2">
        <w:rPr>
          <w:rFonts w:ascii="Arial" w:hAnsi="Arial" w:cs="Arial"/>
          <w:sz w:val="24"/>
          <w:szCs w:val="24"/>
        </w:rPr>
        <w:t>A.</w:t>
      </w:r>
      <w:r w:rsidRPr="000D1FD2">
        <w:rPr>
          <w:rFonts w:ascii="Arial" w:hAnsi="Arial" w:cs="Arial"/>
          <w:sz w:val="24"/>
          <w:szCs w:val="24"/>
        </w:rPr>
        <w:tab/>
        <w:t>I testified before the</w:t>
      </w:r>
      <w:r w:rsidR="001B4167">
        <w:rPr>
          <w:rFonts w:ascii="Arial" w:hAnsi="Arial" w:cs="Arial"/>
          <w:sz w:val="24"/>
          <w:szCs w:val="24"/>
        </w:rPr>
        <w:t xml:space="preserve"> Commission</w:t>
      </w:r>
      <w:r w:rsidRPr="000D1FD2">
        <w:rPr>
          <w:rFonts w:ascii="Arial" w:hAnsi="Arial" w:cs="Arial"/>
          <w:sz w:val="24"/>
          <w:szCs w:val="24"/>
        </w:rPr>
        <w:t xml:space="preserve"> in several SSO cases</w:t>
      </w:r>
      <w:r w:rsidR="00EC15FC">
        <w:rPr>
          <w:rFonts w:ascii="Arial" w:hAnsi="Arial" w:cs="Arial"/>
          <w:sz w:val="24"/>
          <w:szCs w:val="24"/>
        </w:rPr>
        <w:t xml:space="preserve"> that were filed in the second round of cases</w:t>
      </w:r>
      <w:r w:rsidRPr="000D1FD2">
        <w:rPr>
          <w:rFonts w:ascii="Arial" w:hAnsi="Arial" w:cs="Arial"/>
          <w:sz w:val="24"/>
          <w:szCs w:val="24"/>
        </w:rPr>
        <w:t>.</w:t>
      </w:r>
      <w:r w:rsidR="004645C6">
        <w:rPr>
          <w:rFonts w:ascii="Arial" w:hAnsi="Arial" w:cs="Arial"/>
          <w:sz w:val="24"/>
          <w:szCs w:val="24"/>
        </w:rPr>
        <w:t xml:space="preserve">  I also submitted testimony in Ohio Power Company’s and Columbus Southern Power Company’s Distribution Rate Case</w:t>
      </w:r>
      <w:r w:rsidR="00164273">
        <w:rPr>
          <w:rFonts w:ascii="Arial" w:hAnsi="Arial" w:cs="Arial"/>
          <w:sz w:val="24"/>
          <w:szCs w:val="24"/>
        </w:rPr>
        <w:t xml:space="preserve"> and Fuel cases</w:t>
      </w:r>
      <w:r w:rsidR="004645C6">
        <w:rPr>
          <w:rFonts w:ascii="Arial" w:hAnsi="Arial" w:cs="Arial"/>
          <w:sz w:val="24"/>
          <w:szCs w:val="24"/>
        </w:rPr>
        <w:t>.</w:t>
      </w:r>
    </w:p>
    <w:p w14:paraId="51A39308" w14:textId="77777777" w:rsidR="00A64C4B" w:rsidRPr="009D2C79" w:rsidRDefault="00A64C4B" w:rsidP="00A64C4B">
      <w:pPr>
        <w:pStyle w:val="BodyText"/>
        <w:spacing w:line="480" w:lineRule="auto"/>
        <w:ind w:left="720" w:hanging="720"/>
        <w:jc w:val="both"/>
        <w:rPr>
          <w:rFonts w:ascii="Arial" w:hAnsi="Arial" w:cs="Arial"/>
          <w:b/>
          <w:sz w:val="24"/>
          <w:szCs w:val="24"/>
        </w:rPr>
      </w:pPr>
      <w:r w:rsidRPr="009D2C79">
        <w:rPr>
          <w:rFonts w:ascii="Arial" w:hAnsi="Arial" w:cs="Arial"/>
          <w:b/>
          <w:sz w:val="24"/>
          <w:szCs w:val="24"/>
        </w:rPr>
        <w:t>Q.</w:t>
      </w:r>
      <w:r w:rsidRPr="009D2C79">
        <w:rPr>
          <w:rFonts w:ascii="Arial" w:hAnsi="Arial" w:cs="Arial"/>
          <w:b/>
          <w:sz w:val="24"/>
          <w:szCs w:val="24"/>
        </w:rPr>
        <w:tab/>
        <w:t>Do you have any practical insights into DP&amp;L and DPL’s past that may place DP&amp;L’ s current request into the correct context?</w:t>
      </w:r>
    </w:p>
    <w:p w14:paraId="778881F8" w14:textId="51655068" w:rsidR="00A64C4B" w:rsidRDefault="00A64C4B" w:rsidP="00A64C4B">
      <w:pPr>
        <w:pStyle w:val="BodyText"/>
        <w:spacing w:line="480" w:lineRule="auto"/>
        <w:ind w:left="720" w:hanging="720"/>
        <w:jc w:val="both"/>
        <w:rPr>
          <w:rFonts w:ascii="Arial" w:hAnsi="Arial" w:cs="Arial"/>
          <w:sz w:val="24"/>
          <w:szCs w:val="24"/>
        </w:rPr>
      </w:pPr>
      <w:r w:rsidRPr="00D910EB">
        <w:rPr>
          <w:rFonts w:ascii="Arial" w:hAnsi="Arial" w:cs="Arial"/>
          <w:sz w:val="24"/>
          <w:szCs w:val="24"/>
        </w:rPr>
        <w:lastRenderedPageBreak/>
        <w:t xml:space="preserve">A. </w:t>
      </w:r>
      <w:r w:rsidRPr="00D910EB">
        <w:rPr>
          <w:rFonts w:ascii="Arial" w:hAnsi="Arial" w:cs="Arial"/>
          <w:sz w:val="24"/>
          <w:szCs w:val="24"/>
        </w:rPr>
        <w:tab/>
        <w:t>I have been involved in regulatory matters with DP&amp;L for over 30 years.  Some of the major regulatory matters that I have been involved in with DP&amp;L include overseeing DP&amp;L’s electric transition plan application to transition to a restructured EDU, DP&amp;L’s rate stabilization plan to extend the market development period and create a rate stabilization plan, and later the extension of the rate stabilization plan as a member of the Commission’s Staff.  As a member of McNees Wallace and Nurick, I testified in DP&amp;L’s second electric security plan case to ensure that DPL’s unregulated activities did not result in negative financial consequences for the customers of DP&amp;L which the Supreme Court of Ohio determined that DP&amp;L’s recovery of a financial integrity charge to prop up the earnings of its generation business segment was an unlawful transition charge</w:t>
      </w:r>
      <w:r w:rsidR="00A2084F" w:rsidRPr="00D910EB">
        <w:rPr>
          <w:rFonts w:ascii="Arial" w:hAnsi="Arial" w:cs="Arial"/>
          <w:b/>
          <w:sz w:val="24"/>
          <w:szCs w:val="24"/>
        </w:rPr>
        <w:t>.</w:t>
      </w:r>
      <w:r w:rsidRPr="00D910EB">
        <w:rPr>
          <w:rFonts w:ascii="Arial" w:hAnsi="Arial" w:cs="Arial"/>
          <w:sz w:val="24"/>
          <w:szCs w:val="24"/>
        </w:rPr>
        <w:t xml:space="preserve"> </w:t>
      </w:r>
      <w:r w:rsidR="00486E19">
        <w:rPr>
          <w:rFonts w:ascii="Arial" w:hAnsi="Arial" w:cs="Arial"/>
          <w:sz w:val="24"/>
          <w:szCs w:val="24"/>
        </w:rPr>
        <w:t xml:space="preserve"> I have also been involved in all of the DP&amp;L base rate cases since the </w:t>
      </w:r>
      <w:r w:rsidR="00914002">
        <w:rPr>
          <w:rFonts w:ascii="Arial" w:hAnsi="Arial" w:cs="Arial"/>
          <w:sz w:val="24"/>
          <w:szCs w:val="24"/>
        </w:rPr>
        <w:t>mid-1980s</w:t>
      </w:r>
      <w:r w:rsidR="00486E19">
        <w:rPr>
          <w:rFonts w:ascii="Arial" w:hAnsi="Arial" w:cs="Arial"/>
          <w:sz w:val="24"/>
          <w:szCs w:val="24"/>
        </w:rPr>
        <w:t>.</w:t>
      </w:r>
    </w:p>
    <w:p w14:paraId="130FC0D2" w14:textId="77C669DF" w:rsidR="00827D0B" w:rsidRDefault="00827D0B" w:rsidP="00827D0B">
      <w:pPr>
        <w:pStyle w:val="BodyText"/>
        <w:spacing w:line="480" w:lineRule="auto"/>
        <w:ind w:left="720" w:hanging="720"/>
        <w:jc w:val="both"/>
        <w:rPr>
          <w:rFonts w:ascii="Arial" w:hAnsi="Arial" w:cs="Arial"/>
          <w:b/>
          <w:sz w:val="24"/>
          <w:szCs w:val="24"/>
        </w:rPr>
      </w:pPr>
      <w:r>
        <w:rPr>
          <w:rFonts w:ascii="Arial" w:hAnsi="Arial" w:cs="Arial"/>
          <w:b/>
          <w:sz w:val="24"/>
          <w:szCs w:val="24"/>
        </w:rPr>
        <w:t xml:space="preserve">II. </w:t>
      </w:r>
      <w:r>
        <w:rPr>
          <w:rFonts w:ascii="Arial" w:hAnsi="Arial" w:cs="Arial"/>
          <w:b/>
          <w:sz w:val="24"/>
          <w:szCs w:val="24"/>
        </w:rPr>
        <w:tab/>
        <w:t>B</w:t>
      </w:r>
      <w:r w:rsidR="0046038E">
        <w:rPr>
          <w:rFonts w:ascii="Arial" w:hAnsi="Arial" w:cs="Arial"/>
          <w:b/>
          <w:sz w:val="24"/>
          <w:szCs w:val="24"/>
        </w:rPr>
        <w:t>ACKGROUND</w:t>
      </w:r>
    </w:p>
    <w:p w14:paraId="1FAD4982" w14:textId="77777777" w:rsidR="00EA2E4A" w:rsidRDefault="0077270A" w:rsidP="00EA2E4A">
      <w:pPr>
        <w:pStyle w:val="BodyText"/>
        <w:spacing w:line="480" w:lineRule="auto"/>
        <w:ind w:left="720" w:hanging="810"/>
        <w:jc w:val="both"/>
        <w:rPr>
          <w:rFonts w:ascii="Arial" w:hAnsi="Arial" w:cs="Arial"/>
          <w:b/>
          <w:sz w:val="24"/>
          <w:szCs w:val="24"/>
        </w:rPr>
      </w:pPr>
      <w:r>
        <w:rPr>
          <w:rFonts w:ascii="Arial" w:hAnsi="Arial" w:cs="Arial"/>
          <w:b/>
          <w:sz w:val="24"/>
          <w:szCs w:val="24"/>
        </w:rPr>
        <w:t xml:space="preserve"> Q. </w:t>
      </w:r>
      <w:r w:rsidR="00EA2E4A">
        <w:rPr>
          <w:rFonts w:ascii="Arial" w:hAnsi="Arial" w:cs="Arial"/>
          <w:b/>
          <w:sz w:val="24"/>
          <w:szCs w:val="24"/>
        </w:rPr>
        <w:tab/>
        <w:t>Was a Stipulation filed in this case?</w:t>
      </w:r>
    </w:p>
    <w:p w14:paraId="55E9C5D5" w14:textId="3DE1849F" w:rsidR="00EA2E4A" w:rsidRDefault="00EA2E4A" w:rsidP="00EA2E4A">
      <w:pPr>
        <w:pStyle w:val="BodyText"/>
        <w:spacing w:line="480" w:lineRule="auto"/>
        <w:ind w:left="720" w:hanging="81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Yes</w:t>
      </w:r>
      <w:r w:rsidR="00587FFA">
        <w:rPr>
          <w:rFonts w:ascii="Arial" w:hAnsi="Arial" w:cs="Arial"/>
          <w:sz w:val="24"/>
          <w:szCs w:val="24"/>
        </w:rPr>
        <w:t xml:space="preserve">.  </w:t>
      </w:r>
      <w:r w:rsidR="00A02AA2">
        <w:rPr>
          <w:rFonts w:ascii="Arial" w:hAnsi="Arial" w:cs="Arial"/>
          <w:sz w:val="24"/>
          <w:szCs w:val="24"/>
        </w:rPr>
        <w:t>There was an initial Stipulation filed on January 30, 2017.   However, o</w:t>
      </w:r>
      <w:r w:rsidR="00587FFA">
        <w:rPr>
          <w:rFonts w:ascii="Arial" w:hAnsi="Arial" w:cs="Arial"/>
          <w:sz w:val="24"/>
          <w:szCs w:val="24"/>
        </w:rPr>
        <w:t xml:space="preserve">n </w:t>
      </w:r>
      <w:r w:rsidR="00914002">
        <w:rPr>
          <w:rFonts w:ascii="Arial" w:hAnsi="Arial" w:cs="Arial"/>
          <w:sz w:val="24"/>
          <w:szCs w:val="24"/>
        </w:rPr>
        <w:t>March 14, 201</w:t>
      </w:r>
      <w:r w:rsidR="00AC7052">
        <w:rPr>
          <w:rFonts w:ascii="Arial" w:hAnsi="Arial" w:cs="Arial"/>
          <w:sz w:val="24"/>
          <w:szCs w:val="24"/>
        </w:rPr>
        <w:t>7</w:t>
      </w:r>
      <w:r w:rsidR="00587FFA">
        <w:rPr>
          <w:rFonts w:ascii="Arial" w:hAnsi="Arial" w:cs="Arial"/>
          <w:sz w:val="24"/>
          <w:szCs w:val="24"/>
        </w:rPr>
        <w:t xml:space="preserve"> DP&amp;L </w:t>
      </w:r>
      <w:r>
        <w:rPr>
          <w:rFonts w:ascii="Arial" w:hAnsi="Arial" w:cs="Arial"/>
          <w:sz w:val="24"/>
          <w:szCs w:val="24"/>
        </w:rPr>
        <w:t xml:space="preserve">filed </w:t>
      </w:r>
      <w:r w:rsidR="00587FFA">
        <w:rPr>
          <w:rFonts w:ascii="Arial" w:hAnsi="Arial" w:cs="Arial"/>
          <w:sz w:val="24"/>
          <w:szCs w:val="24"/>
        </w:rPr>
        <w:t>a</w:t>
      </w:r>
      <w:r w:rsidR="00914002">
        <w:rPr>
          <w:rFonts w:ascii="Arial" w:hAnsi="Arial" w:cs="Arial"/>
          <w:sz w:val="24"/>
          <w:szCs w:val="24"/>
        </w:rPr>
        <w:t>n Amended</w:t>
      </w:r>
      <w:r w:rsidR="00587FFA">
        <w:rPr>
          <w:rFonts w:ascii="Arial" w:hAnsi="Arial" w:cs="Arial"/>
          <w:sz w:val="24"/>
          <w:szCs w:val="24"/>
        </w:rPr>
        <w:t xml:space="preserve"> </w:t>
      </w:r>
      <w:r>
        <w:rPr>
          <w:rFonts w:ascii="Arial" w:hAnsi="Arial" w:cs="Arial"/>
          <w:sz w:val="24"/>
          <w:szCs w:val="24"/>
        </w:rPr>
        <w:t>Stipulation and Recommendation</w:t>
      </w:r>
      <w:r w:rsidR="00D413F7">
        <w:rPr>
          <w:rFonts w:ascii="Arial" w:hAnsi="Arial" w:cs="Arial"/>
          <w:sz w:val="24"/>
          <w:szCs w:val="24"/>
        </w:rPr>
        <w:t>.  Throughout my testimony, I refer to the Amended Stipulation as the</w:t>
      </w:r>
      <w:r w:rsidR="00587FFA">
        <w:rPr>
          <w:rFonts w:ascii="Arial" w:hAnsi="Arial" w:cs="Arial"/>
          <w:sz w:val="24"/>
          <w:szCs w:val="24"/>
        </w:rPr>
        <w:t xml:space="preserve"> Stipulation</w:t>
      </w:r>
      <w:r>
        <w:rPr>
          <w:rFonts w:ascii="Arial" w:hAnsi="Arial" w:cs="Arial"/>
          <w:sz w:val="24"/>
          <w:szCs w:val="24"/>
        </w:rPr>
        <w:t>.  Among other things, the Stipulation proposes that the Commission approve Distribution Modernization Rider (“DMR”) and the Reconciliation Rider</w:t>
      </w:r>
      <w:r w:rsidR="00587FFA">
        <w:rPr>
          <w:rFonts w:ascii="Arial" w:hAnsi="Arial" w:cs="Arial"/>
          <w:sz w:val="24"/>
          <w:szCs w:val="24"/>
        </w:rPr>
        <w:t xml:space="preserve"> (RR)</w:t>
      </w:r>
      <w:r>
        <w:rPr>
          <w:rFonts w:ascii="Arial" w:hAnsi="Arial" w:cs="Arial"/>
          <w:sz w:val="24"/>
          <w:szCs w:val="24"/>
        </w:rPr>
        <w:t>.</w:t>
      </w:r>
    </w:p>
    <w:p w14:paraId="02265AD4" w14:textId="2C75FA98" w:rsidR="00587FFA" w:rsidRPr="005348E2" w:rsidRDefault="00587FFA" w:rsidP="00EA2E4A">
      <w:pPr>
        <w:pStyle w:val="BodyText"/>
        <w:spacing w:line="480" w:lineRule="auto"/>
        <w:ind w:left="720" w:hanging="810"/>
        <w:jc w:val="both"/>
        <w:rPr>
          <w:rFonts w:ascii="Arial" w:hAnsi="Arial" w:cs="Arial"/>
          <w:b/>
          <w:sz w:val="24"/>
          <w:szCs w:val="24"/>
        </w:rPr>
      </w:pPr>
      <w:r w:rsidRPr="005348E2">
        <w:rPr>
          <w:rFonts w:ascii="Arial" w:hAnsi="Arial" w:cs="Arial"/>
          <w:b/>
          <w:sz w:val="24"/>
          <w:szCs w:val="24"/>
        </w:rPr>
        <w:t>Q.</w:t>
      </w:r>
      <w:r w:rsidRPr="005348E2">
        <w:rPr>
          <w:rFonts w:ascii="Arial" w:hAnsi="Arial" w:cs="Arial"/>
          <w:b/>
          <w:sz w:val="24"/>
          <w:szCs w:val="24"/>
        </w:rPr>
        <w:tab/>
        <w:t>Did the Commission accept the Stipulation and Recommendation?</w:t>
      </w:r>
    </w:p>
    <w:p w14:paraId="451B5191" w14:textId="05FAD780" w:rsidR="00587FFA" w:rsidRDefault="00587FFA" w:rsidP="00EA2E4A">
      <w:pPr>
        <w:pStyle w:val="BodyText"/>
        <w:spacing w:line="480" w:lineRule="auto"/>
        <w:ind w:left="720" w:hanging="810"/>
        <w:jc w:val="both"/>
        <w:rPr>
          <w:rFonts w:ascii="Arial" w:hAnsi="Arial" w:cs="Arial"/>
          <w:b/>
          <w:sz w:val="24"/>
          <w:szCs w:val="24"/>
        </w:rPr>
      </w:pPr>
      <w:r>
        <w:rPr>
          <w:rFonts w:ascii="Arial" w:hAnsi="Arial" w:cs="Arial"/>
          <w:sz w:val="24"/>
          <w:szCs w:val="24"/>
        </w:rPr>
        <w:t>A.</w:t>
      </w:r>
      <w:r>
        <w:rPr>
          <w:rFonts w:ascii="Arial" w:hAnsi="Arial" w:cs="Arial"/>
          <w:sz w:val="24"/>
          <w:szCs w:val="24"/>
        </w:rPr>
        <w:tab/>
        <w:t xml:space="preserve">The Commission </w:t>
      </w:r>
      <w:r w:rsidR="00914002">
        <w:rPr>
          <w:rFonts w:ascii="Arial" w:hAnsi="Arial" w:cs="Arial"/>
          <w:sz w:val="24"/>
          <w:szCs w:val="24"/>
        </w:rPr>
        <w:t>modified</w:t>
      </w:r>
      <w:r>
        <w:rPr>
          <w:rFonts w:ascii="Arial" w:hAnsi="Arial" w:cs="Arial"/>
          <w:sz w:val="24"/>
          <w:szCs w:val="24"/>
        </w:rPr>
        <w:t xml:space="preserve"> the Stipulation by </w:t>
      </w:r>
      <w:r w:rsidR="005348E2">
        <w:rPr>
          <w:rFonts w:ascii="Arial" w:hAnsi="Arial" w:cs="Arial"/>
          <w:sz w:val="24"/>
          <w:szCs w:val="24"/>
        </w:rPr>
        <w:t xml:space="preserve">rejecting the provision that made the RR </w:t>
      </w:r>
      <w:r w:rsidR="006A10AB">
        <w:rPr>
          <w:rFonts w:ascii="Arial" w:hAnsi="Arial" w:cs="Arial"/>
          <w:sz w:val="24"/>
          <w:szCs w:val="24"/>
        </w:rPr>
        <w:t xml:space="preserve">a </w:t>
      </w:r>
      <w:r w:rsidR="005348E2">
        <w:rPr>
          <w:rFonts w:ascii="Arial" w:hAnsi="Arial" w:cs="Arial"/>
          <w:sz w:val="24"/>
          <w:szCs w:val="24"/>
        </w:rPr>
        <w:t>by-passable</w:t>
      </w:r>
      <w:r w:rsidR="006A10AB">
        <w:rPr>
          <w:rFonts w:ascii="Arial" w:hAnsi="Arial" w:cs="Arial"/>
          <w:sz w:val="24"/>
          <w:szCs w:val="24"/>
        </w:rPr>
        <w:t xml:space="preserve"> rider</w:t>
      </w:r>
      <w:r w:rsidR="005348E2">
        <w:rPr>
          <w:rFonts w:ascii="Arial" w:hAnsi="Arial" w:cs="Arial"/>
          <w:sz w:val="24"/>
          <w:szCs w:val="24"/>
        </w:rPr>
        <w:t>.  That was a material change to the settlement.</w:t>
      </w:r>
    </w:p>
    <w:p w14:paraId="43A22F2F" w14:textId="762A9610" w:rsidR="00EA2E4A" w:rsidRPr="00A64C4B" w:rsidRDefault="00EA2E4A" w:rsidP="00EA2E4A">
      <w:pPr>
        <w:pStyle w:val="BodyText"/>
        <w:spacing w:line="480" w:lineRule="auto"/>
        <w:ind w:left="720" w:hanging="810"/>
        <w:jc w:val="both"/>
        <w:rPr>
          <w:rFonts w:ascii="Arial" w:hAnsi="Arial" w:cs="Arial"/>
          <w:b/>
          <w:sz w:val="24"/>
          <w:szCs w:val="24"/>
        </w:rPr>
      </w:pPr>
      <w:r>
        <w:rPr>
          <w:rFonts w:ascii="Arial" w:hAnsi="Arial" w:cs="Arial"/>
          <w:b/>
        </w:rPr>
        <w:lastRenderedPageBreak/>
        <w:t>Q</w:t>
      </w:r>
      <w:r w:rsidR="00D7355B">
        <w:rPr>
          <w:rFonts w:ascii="Arial" w:hAnsi="Arial" w:cs="Arial"/>
          <w:b/>
        </w:rPr>
        <w:t>.</w:t>
      </w:r>
      <w:r>
        <w:rPr>
          <w:rFonts w:ascii="Arial" w:hAnsi="Arial" w:cs="Arial"/>
          <w:b/>
        </w:rPr>
        <w:tab/>
      </w:r>
      <w:r w:rsidRPr="00A64C4B">
        <w:rPr>
          <w:rFonts w:ascii="Arial" w:hAnsi="Arial" w:cs="Arial"/>
          <w:b/>
          <w:sz w:val="24"/>
          <w:szCs w:val="24"/>
        </w:rPr>
        <w:t>What is the RR?</w:t>
      </w:r>
    </w:p>
    <w:p w14:paraId="3FF907F3" w14:textId="6BD3207D" w:rsidR="00EA2E4A" w:rsidRPr="00A64C4B" w:rsidRDefault="00EA2E4A" w:rsidP="00EA2E4A">
      <w:pPr>
        <w:pStyle w:val="BodyText"/>
        <w:spacing w:line="480" w:lineRule="auto"/>
        <w:ind w:left="720" w:hanging="810"/>
        <w:jc w:val="both"/>
        <w:rPr>
          <w:rFonts w:ascii="Arial" w:hAnsi="Arial" w:cs="Arial"/>
          <w:sz w:val="24"/>
          <w:szCs w:val="24"/>
        </w:rPr>
      </w:pPr>
      <w:r w:rsidRPr="00A64C4B">
        <w:rPr>
          <w:rFonts w:ascii="Arial" w:hAnsi="Arial" w:cs="Arial"/>
          <w:sz w:val="24"/>
          <w:szCs w:val="24"/>
        </w:rPr>
        <w:t xml:space="preserve">A. </w:t>
      </w:r>
      <w:r w:rsidRPr="00A64C4B">
        <w:rPr>
          <w:rFonts w:ascii="Arial" w:hAnsi="Arial" w:cs="Arial"/>
          <w:sz w:val="24"/>
          <w:szCs w:val="24"/>
        </w:rPr>
        <w:tab/>
      </w:r>
      <w:r w:rsidR="005348E2" w:rsidRPr="00A64C4B">
        <w:rPr>
          <w:rFonts w:ascii="Arial" w:hAnsi="Arial" w:cs="Arial"/>
          <w:sz w:val="24"/>
          <w:szCs w:val="24"/>
        </w:rPr>
        <w:t>Th</w:t>
      </w:r>
      <w:r w:rsidR="000C7BDC">
        <w:rPr>
          <w:rFonts w:ascii="Arial" w:hAnsi="Arial" w:cs="Arial"/>
          <w:sz w:val="24"/>
          <w:szCs w:val="24"/>
        </w:rPr>
        <w:t>e RR is</w:t>
      </w:r>
      <w:r w:rsidR="005348E2" w:rsidRPr="00A64C4B">
        <w:rPr>
          <w:rFonts w:ascii="Arial" w:hAnsi="Arial" w:cs="Arial"/>
          <w:sz w:val="24"/>
          <w:szCs w:val="24"/>
        </w:rPr>
        <w:t xml:space="preserve"> a stranded cost recovery mechanism that</w:t>
      </w:r>
      <w:r w:rsidRPr="00A64C4B">
        <w:rPr>
          <w:rFonts w:ascii="Arial" w:hAnsi="Arial" w:cs="Arial"/>
          <w:sz w:val="24"/>
          <w:szCs w:val="24"/>
        </w:rPr>
        <w:t xml:space="preserve"> relates to DP&amp;L’s only remaining interest in generation assets, specifically the Ohio Valley Electric Corporation</w:t>
      </w:r>
      <w:r w:rsidR="00AC7052">
        <w:rPr>
          <w:rFonts w:ascii="Arial" w:hAnsi="Arial" w:cs="Arial"/>
          <w:sz w:val="24"/>
          <w:szCs w:val="24"/>
        </w:rPr>
        <w:t xml:space="preserve"> (OVEC)</w:t>
      </w:r>
      <w:r w:rsidRPr="00A64C4B">
        <w:rPr>
          <w:rFonts w:ascii="Arial" w:hAnsi="Arial" w:cs="Arial"/>
          <w:sz w:val="24"/>
          <w:szCs w:val="24"/>
        </w:rPr>
        <w:t xml:space="preserve">. DP&amp;L has a </w:t>
      </w:r>
      <w:r w:rsidR="00AC7052">
        <w:rPr>
          <w:rFonts w:ascii="Arial" w:hAnsi="Arial" w:cs="Arial"/>
          <w:sz w:val="24"/>
          <w:szCs w:val="24"/>
        </w:rPr>
        <w:t>power purchase agreement</w:t>
      </w:r>
      <w:r w:rsidRPr="00A64C4B">
        <w:rPr>
          <w:rFonts w:ascii="Arial" w:hAnsi="Arial" w:cs="Arial"/>
          <w:sz w:val="24"/>
          <w:szCs w:val="24"/>
        </w:rPr>
        <w:t xml:space="preserve"> with OVEC that is cost-based.  DP&amp;L would purchase power from OVEC and resell it into the wholesale market.  It will flow through </w:t>
      </w:r>
      <w:r w:rsidR="00AC7052">
        <w:rPr>
          <w:rFonts w:ascii="Arial" w:hAnsi="Arial" w:cs="Arial"/>
          <w:sz w:val="24"/>
          <w:szCs w:val="24"/>
        </w:rPr>
        <w:t xml:space="preserve">the </w:t>
      </w:r>
      <w:r w:rsidRPr="00A64C4B">
        <w:rPr>
          <w:rFonts w:ascii="Arial" w:hAnsi="Arial" w:cs="Arial"/>
          <w:sz w:val="24"/>
          <w:szCs w:val="24"/>
        </w:rPr>
        <w:t>difference between the cost-base rate paid to OVEC and the market-based sales through the non-bypassable RR, which is collected from all distribution customers.</w:t>
      </w:r>
      <w:r w:rsidR="00D413F7">
        <w:rPr>
          <w:rFonts w:ascii="Arial" w:hAnsi="Arial" w:cs="Arial"/>
          <w:sz w:val="24"/>
          <w:szCs w:val="24"/>
        </w:rPr>
        <w:t xml:space="preserve">  Because the RR would permit DP&amp;L to collect revenue from all customers to make up for DP&amp;L’s losses in the wholesale generation market, the RR is a stranded cost recovery mechanism.</w:t>
      </w:r>
    </w:p>
    <w:p w14:paraId="3ACF8C7E" w14:textId="65AFBF4B" w:rsidR="005348E2" w:rsidRPr="00EA2E4A" w:rsidRDefault="005348E2" w:rsidP="005348E2">
      <w:pPr>
        <w:pStyle w:val="BodyText"/>
        <w:spacing w:line="480" w:lineRule="auto"/>
        <w:ind w:left="720" w:hanging="81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r>
      <w:r w:rsidR="00002D2C">
        <w:rPr>
          <w:rFonts w:ascii="Arial" w:hAnsi="Arial" w:cs="Arial"/>
          <w:b/>
          <w:sz w:val="24"/>
          <w:szCs w:val="24"/>
        </w:rPr>
        <w:t>What is</w:t>
      </w:r>
      <w:r w:rsidRPr="00EA2E4A">
        <w:rPr>
          <w:rFonts w:ascii="Arial" w:hAnsi="Arial" w:cs="Arial"/>
          <w:b/>
          <w:sz w:val="24"/>
          <w:szCs w:val="24"/>
        </w:rPr>
        <w:t xml:space="preserve"> the DMR?</w:t>
      </w:r>
    </w:p>
    <w:p w14:paraId="474D9883" w14:textId="4742F0DF" w:rsidR="005348E2" w:rsidRDefault="005348E2" w:rsidP="005348E2">
      <w:pPr>
        <w:pStyle w:val="BodyText"/>
        <w:spacing w:line="480" w:lineRule="auto"/>
        <w:ind w:left="720" w:hanging="810"/>
        <w:jc w:val="both"/>
        <w:rPr>
          <w:rFonts w:ascii="Arial" w:hAnsi="Arial" w:cs="Arial"/>
          <w:b/>
          <w:sz w:val="24"/>
          <w:szCs w:val="24"/>
        </w:rPr>
      </w:pPr>
      <w:r w:rsidRPr="005348E2">
        <w:rPr>
          <w:rFonts w:ascii="Arial" w:hAnsi="Arial" w:cs="Arial"/>
          <w:sz w:val="24"/>
          <w:szCs w:val="24"/>
        </w:rPr>
        <w:t>A.</w:t>
      </w:r>
      <w:r w:rsidRPr="00EA2E4A">
        <w:rPr>
          <w:rFonts w:ascii="Arial" w:hAnsi="Arial" w:cs="Arial"/>
          <w:b/>
          <w:sz w:val="24"/>
          <w:szCs w:val="24"/>
        </w:rPr>
        <w:t xml:space="preserve"> </w:t>
      </w:r>
      <w:r w:rsidRPr="00EA2E4A">
        <w:rPr>
          <w:rFonts w:ascii="Arial" w:hAnsi="Arial" w:cs="Arial"/>
          <w:b/>
          <w:sz w:val="24"/>
          <w:szCs w:val="24"/>
        </w:rPr>
        <w:tab/>
      </w:r>
      <w:r w:rsidRPr="005348E2">
        <w:rPr>
          <w:rFonts w:ascii="Arial" w:hAnsi="Arial" w:cs="Arial"/>
          <w:sz w:val="24"/>
          <w:szCs w:val="24"/>
        </w:rPr>
        <w:t xml:space="preserve">The DMR is described as a rider that will enhance both DPL’s and DP&amp;L's financial integrity and provide for a more robust distribution service for customers. </w:t>
      </w:r>
      <w:r w:rsidRPr="005348E2">
        <w:rPr>
          <w:rFonts w:ascii="Arial" w:hAnsi="Arial" w:cs="Arial"/>
          <w:sz w:val="24"/>
          <w:szCs w:val="24"/>
        </w:rPr>
        <w:tab/>
        <w:t>It is a non-bypassable charge applicable to all distribution customers</w:t>
      </w:r>
      <w:r w:rsidRPr="00EA2E4A">
        <w:rPr>
          <w:rFonts w:ascii="Arial" w:hAnsi="Arial" w:cs="Arial"/>
          <w:b/>
          <w:sz w:val="24"/>
          <w:szCs w:val="24"/>
        </w:rPr>
        <w:t>.</w:t>
      </w:r>
    </w:p>
    <w:p w14:paraId="6E1F84CF" w14:textId="4169549D" w:rsidR="00F521BF" w:rsidRDefault="00F521BF" w:rsidP="005348E2">
      <w:pPr>
        <w:pStyle w:val="BodyText"/>
        <w:spacing w:line="480" w:lineRule="auto"/>
        <w:ind w:left="720" w:hanging="81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Are you familiar with the Commission’s criteria for reviewing Stipulations?</w:t>
      </w:r>
    </w:p>
    <w:p w14:paraId="00DFEEC5" w14:textId="1C089E68" w:rsidR="00F521BF" w:rsidRPr="00B83032" w:rsidRDefault="00F521BF" w:rsidP="005348E2">
      <w:pPr>
        <w:pStyle w:val="BodyText"/>
        <w:spacing w:line="480" w:lineRule="auto"/>
        <w:ind w:left="720" w:hanging="81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Yes, the Commission utilizes a </w:t>
      </w:r>
      <w:r w:rsidR="00B83032">
        <w:rPr>
          <w:rFonts w:ascii="Arial" w:hAnsi="Arial" w:cs="Arial"/>
          <w:sz w:val="24"/>
          <w:szCs w:val="24"/>
        </w:rPr>
        <w:t>three-prong</w:t>
      </w:r>
      <w:r>
        <w:rPr>
          <w:rFonts w:ascii="Arial" w:hAnsi="Arial" w:cs="Arial"/>
          <w:sz w:val="24"/>
          <w:szCs w:val="24"/>
        </w:rPr>
        <w:t xml:space="preserve"> test.  Specifically, the Commission evaluates whether a Stipulation is (1) the product of serious bargaining; (2) in the public interest; and (3) whether the Stipulation will violate any regulatory practice or principle.  As I discuss throughout my testimony, the Stipulation is not in the public interest and it violates several regulatory practices and principles.</w:t>
      </w:r>
    </w:p>
    <w:p w14:paraId="17C97A35" w14:textId="47C7C32D" w:rsidR="000D1FD2" w:rsidRDefault="00346E6A" w:rsidP="000D1FD2">
      <w:pPr>
        <w:pStyle w:val="BodyText"/>
        <w:ind w:left="720" w:hanging="720"/>
        <w:jc w:val="both"/>
        <w:rPr>
          <w:rFonts w:ascii="Arial" w:hAnsi="Arial" w:cs="Arial"/>
          <w:b/>
          <w:sz w:val="24"/>
          <w:szCs w:val="24"/>
        </w:rPr>
      </w:pPr>
      <w:r w:rsidRPr="003A1A01">
        <w:rPr>
          <w:rFonts w:ascii="Arial" w:hAnsi="Arial" w:cs="Arial"/>
          <w:b/>
          <w:sz w:val="24"/>
          <w:szCs w:val="24"/>
        </w:rPr>
        <w:t>Q.</w:t>
      </w:r>
      <w:r w:rsidRPr="003A1A01">
        <w:rPr>
          <w:rFonts w:ascii="Arial" w:hAnsi="Arial" w:cs="Arial"/>
          <w:b/>
          <w:sz w:val="24"/>
          <w:szCs w:val="24"/>
        </w:rPr>
        <w:tab/>
        <w:t>What is the purpose of your testimony?</w:t>
      </w:r>
    </w:p>
    <w:p w14:paraId="1FC70DF0" w14:textId="77777777" w:rsidR="00210414" w:rsidRDefault="00210414" w:rsidP="000D1FD2">
      <w:pPr>
        <w:pStyle w:val="BodyText"/>
        <w:ind w:left="720" w:hanging="720"/>
        <w:jc w:val="both"/>
        <w:rPr>
          <w:rFonts w:ascii="Arial" w:hAnsi="Arial" w:cs="Arial"/>
          <w:sz w:val="24"/>
          <w:szCs w:val="24"/>
        </w:rPr>
      </w:pPr>
    </w:p>
    <w:p w14:paraId="2761EE90" w14:textId="4A93ABD7" w:rsidR="00BD25B7" w:rsidRDefault="00346E6A" w:rsidP="00E14A08">
      <w:pPr>
        <w:pStyle w:val="BodyText"/>
        <w:spacing w:line="480" w:lineRule="auto"/>
        <w:ind w:left="720" w:hanging="720"/>
        <w:jc w:val="both"/>
        <w:rPr>
          <w:rFonts w:ascii="Arial" w:hAnsi="Arial" w:cs="Arial"/>
          <w:sz w:val="24"/>
          <w:szCs w:val="24"/>
        </w:rPr>
      </w:pPr>
      <w:r w:rsidRPr="003A1A01">
        <w:rPr>
          <w:rFonts w:ascii="Arial" w:hAnsi="Arial" w:cs="Arial"/>
          <w:sz w:val="24"/>
          <w:szCs w:val="24"/>
        </w:rPr>
        <w:lastRenderedPageBreak/>
        <w:t xml:space="preserve">A. </w:t>
      </w:r>
      <w:r w:rsidRPr="003A1A01">
        <w:rPr>
          <w:rFonts w:ascii="Arial" w:hAnsi="Arial" w:cs="Arial"/>
          <w:sz w:val="24"/>
          <w:szCs w:val="24"/>
        </w:rPr>
        <w:tab/>
      </w:r>
      <w:r w:rsidR="00AC756F">
        <w:rPr>
          <w:rFonts w:ascii="Arial" w:hAnsi="Arial" w:cs="Arial"/>
          <w:sz w:val="24"/>
          <w:szCs w:val="24"/>
        </w:rPr>
        <w:t xml:space="preserve">The purpose of my testimony is to address the </w:t>
      </w:r>
      <w:r w:rsidR="002C408D">
        <w:rPr>
          <w:rFonts w:ascii="Arial" w:hAnsi="Arial" w:cs="Arial"/>
          <w:sz w:val="24"/>
          <w:szCs w:val="24"/>
        </w:rPr>
        <w:t>improper</w:t>
      </w:r>
      <w:r w:rsidR="00AC756F">
        <w:rPr>
          <w:rFonts w:ascii="Arial" w:hAnsi="Arial" w:cs="Arial"/>
          <w:sz w:val="24"/>
          <w:szCs w:val="24"/>
        </w:rPr>
        <w:t xml:space="preserve"> DMR</w:t>
      </w:r>
      <w:r w:rsidR="002C408D">
        <w:rPr>
          <w:rFonts w:ascii="Arial" w:hAnsi="Arial" w:cs="Arial"/>
          <w:sz w:val="24"/>
          <w:szCs w:val="24"/>
        </w:rPr>
        <w:t>, as well as the potential misuse of funds from such rider</w:t>
      </w:r>
      <w:r w:rsidR="00AC7052">
        <w:rPr>
          <w:rFonts w:ascii="Arial" w:hAnsi="Arial" w:cs="Arial"/>
          <w:sz w:val="24"/>
          <w:szCs w:val="24"/>
        </w:rPr>
        <w:t xml:space="preserve"> and recommend accounting for the funds received from the DMR</w:t>
      </w:r>
      <w:r w:rsidR="00D413F7">
        <w:rPr>
          <w:rFonts w:ascii="Arial" w:hAnsi="Arial" w:cs="Arial"/>
          <w:sz w:val="24"/>
          <w:szCs w:val="24"/>
        </w:rPr>
        <w:t>, to the extent that the DMR is approved for any purpose</w:t>
      </w:r>
      <w:r w:rsidR="00AC756F">
        <w:rPr>
          <w:rFonts w:ascii="Arial" w:hAnsi="Arial" w:cs="Arial"/>
          <w:sz w:val="24"/>
          <w:szCs w:val="24"/>
        </w:rPr>
        <w:t>.</w:t>
      </w:r>
      <w:r w:rsidR="002C408D">
        <w:rPr>
          <w:rFonts w:ascii="Arial" w:hAnsi="Arial" w:cs="Arial"/>
          <w:sz w:val="24"/>
          <w:szCs w:val="24"/>
        </w:rPr>
        <w:t xml:space="preserve"> </w:t>
      </w:r>
      <w:r w:rsidR="007E1E62">
        <w:rPr>
          <w:rFonts w:ascii="Arial" w:hAnsi="Arial" w:cs="Arial"/>
          <w:sz w:val="24"/>
          <w:szCs w:val="24"/>
        </w:rPr>
        <w:t xml:space="preserve"> </w:t>
      </w:r>
      <w:r w:rsidR="00A621D5">
        <w:rPr>
          <w:rFonts w:ascii="Arial" w:hAnsi="Arial" w:cs="Arial"/>
          <w:sz w:val="24"/>
          <w:szCs w:val="24"/>
        </w:rPr>
        <w:t xml:space="preserve">I testify that the DMR payments </w:t>
      </w:r>
      <w:r w:rsidR="00B95DCD">
        <w:rPr>
          <w:rFonts w:ascii="Arial" w:hAnsi="Arial" w:cs="Arial"/>
          <w:sz w:val="24"/>
          <w:szCs w:val="24"/>
        </w:rPr>
        <w:t>that are</w:t>
      </w:r>
      <w:r w:rsidR="00E14A08">
        <w:rPr>
          <w:rFonts w:ascii="Arial" w:hAnsi="Arial" w:cs="Arial"/>
          <w:sz w:val="24"/>
          <w:szCs w:val="24"/>
        </w:rPr>
        <w:t xml:space="preserve"> used </w:t>
      </w:r>
      <w:r w:rsidR="00AC756F">
        <w:rPr>
          <w:rFonts w:ascii="Arial" w:hAnsi="Arial" w:cs="Arial"/>
          <w:sz w:val="24"/>
          <w:szCs w:val="24"/>
        </w:rPr>
        <w:t>to pay DPL for interest obligations, existing debt, and discretionary debt payments</w:t>
      </w:r>
      <w:r w:rsidR="00741A11">
        <w:rPr>
          <w:rFonts w:ascii="Arial" w:hAnsi="Arial" w:cs="Arial"/>
          <w:sz w:val="24"/>
          <w:szCs w:val="24"/>
        </w:rPr>
        <w:t xml:space="preserve"> is</w:t>
      </w:r>
      <w:r w:rsidR="00AC756F">
        <w:rPr>
          <w:rFonts w:ascii="Arial" w:hAnsi="Arial" w:cs="Arial"/>
          <w:sz w:val="24"/>
          <w:szCs w:val="24"/>
        </w:rPr>
        <w:t xml:space="preserve"> </w:t>
      </w:r>
      <w:r w:rsidR="00656BFD">
        <w:rPr>
          <w:rFonts w:ascii="Arial" w:hAnsi="Arial" w:cs="Arial"/>
          <w:sz w:val="24"/>
          <w:szCs w:val="24"/>
        </w:rPr>
        <w:t xml:space="preserve">a </w:t>
      </w:r>
      <w:r w:rsidR="00656BFD" w:rsidRPr="00656BFD">
        <w:rPr>
          <w:rFonts w:ascii="Arial" w:hAnsi="Arial" w:cs="Arial"/>
          <w:sz w:val="24"/>
          <w:szCs w:val="24"/>
        </w:rPr>
        <w:t>cross subsidy</w:t>
      </w:r>
      <w:r w:rsidR="002C408D">
        <w:rPr>
          <w:rFonts w:ascii="Arial" w:hAnsi="Arial" w:cs="Arial"/>
          <w:sz w:val="24"/>
          <w:szCs w:val="24"/>
        </w:rPr>
        <w:t xml:space="preserve"> to a non-regulated entity, which</w:t>
      </w:r>
      <w:r w:rsidR="00656BFD">
        <w:rPr>
          <w:rFonts w:ascii="Arial" w:hAnsi="Arial" w:cs="Arial"/>
          <w:sz w:val="24"/>
          <w:szCs w:val="24"/>
        </w:rPr>
        <w:t xml:space="preserve"> </w:t>
      </w:r>
      <w:r w:rsidR="00656BFD" w:rsidRPr="00656BFD">
        <w:rPr>
          <w:rFonts w:ascii="Arial" w:hAnsi="Arial" w:cs="Arial"/>
          <w:sz w:val="24"/>
          <w:szCs w:val="24"/>
        </w:rPr>
        <w:t>is inconsistent with the State’s policy to avoid anticompetitive subsidies flowing from a noncompetitive retail electric service to a competitive retail electric service or to a product or service other than retail electric service</w:t>
      </w:r>
      <w:r w:rsidR="002C408D" w:rsidRPr="00854FFB">
        <w:rPr>
          <w:rFonts w:ascii="Arial" w:hAnsi="Arial" w:cs="Arial"/>
          <w:sz w:val="24"/>
          <w:szCs w:val="24"/>
        </w:rPr>
        <w:t xml:space="preserve">.  </w:t>
      </w:r>
      <w:r w:rsidR="009034A0" w:rsidRPr="00854FFB">
        <w:rPr>
          <w:rFonts w:ascii="Arial" w:hAnsi="Arial" w:cs="Arial"/>
          <w:sz w:val="24"/>
          <w:szCs w:val="24"/>
        </w:rPr>
        <w:t xml:space="preserve"> </w:t>
      </w:r>
      <w:r w:rsidR="00AC7052" w:rsidRPr="00854FFB">
        <w:rPr>
          <w:rFonts w:ascii="Arial" w:hAnsi="Arial" w:cs="Arial"/>
          <w:sz w:val="24"/>
          <w:szCs w:val="24"/>
        </w:rPr>
        <w:t>I also believe that t</w:t>
      </w:r>
      <w:r w:rsidR="009034A0" w:rsidRPr="00854FFB">
        <w:rPr>
          <w:rFonts w:ascii="Arial" w:hAnsi="Arial" w:cs="Arial"/>
          <w:sz w:val="24"/>
          <w:szCs w:val="24"/>
        </w:rPr>
        <w:t xml:space="preserve">he Commission </w:t>
      </w:r>
      <w:r w:rsidR="002C408D" w:rsidRPr="00854FFB">
        <w:rPr>
          <w:rFonts w:ascii="Arial" w:hAnsi="Arial" w:cs="Arial"/>
          <w:sz w:val="24"/>
          <w:szCs w:val="24"/>
        </w:rPr>
        <w:t>lacks the</w:t>
      </w:r>
      <w:r w:rsidR="009034A0" w:rsidRPr="00854FFB">
        <w:rPr>
          <w:rFonts w:ascii="Arial" w:hAnsi="Arial" w:cs="Arial"/>
          <w:sz w:val="24"/>
          <w:szCs w:val="24"/>
        </w:rPr>
        <w:t xml:space="preserve"> authority to require </w:t>
      </w:r>
      <w:r w:rsidR="002C408D" w:rsidRPr="00854FFB">
        <w:rPr>
          <w:rFonts w:ascii="Arial" w:hAnsi="Arial" w:cs="Arial"/>
          <w:sz w:val="24"/>
          <w:szCs w:val="24"/>
        </w:rPr>
        <w:t xml:space="preserve">customers to pay the </w:t>
      </w:r>
      <w:r w:rsidR="009C5A1C" w:rsidRPr="00854FFB">
        <w:rPr>
          <w:rFonts w:ascii="Arial" w:hAnsi="Arial" w:cs="Arial"/>
          <w:sz w:val="24"/>
          <w:szCs w:val="24"/>
        </w:rPr>
        <w:t xml:space="preserve">DPL portion of the </w:t>
      </w:r>
      <w:r w:rsidR="002C408D" w:rsidRPr="00854FFB">
        <w:rPr>
          <w:rFonts w:ascii="Arial" w:hAnsi="Arial" w:cs="Arial"/>
          <w:sz w:val="24"/>
          <w:szCs w:val="24"/>
        </w:rPr>
        <w:t>DMR</w:t>
      </w:r>
      <w:r w:rsidR="00B95DCD" w:rsidRPr="00854FFB">
        <w:rPr>
          <w:rFonts w:ascii="Arial" w:hAnsi="Arial" w:cs="Arial"/>
          <w:sz w:val="24"/>
          <w:szCs w:val="24"/>
        </w:rPr>
        <w:t xml:space="preserve"> </w:t>
      </w:r>
      <w:r w:rsidR="007E1E62" w:rsidRPr="00854FFB">
        <w:rPr>
          <w:rFonts w:ascii="Arial" w:hAnsi="Arial" w:cs="Arial"/>
          <w:sz w:val="24"/>
          <w:szCs w:val="24"/>
        </w:rPr>
        <w:t xml:space="preserve">since the Commission has no regulatory authority or responsibility for DPL </w:t>
      </w:r>
      <w:r w:rsidR="00B95DCD" w:rsidRPr="00854FFB">
        <w:rPr>
          <w:rFonts w:ascii="Arial" w:hAnsi="Arial" w:cs="Arial"/>
          <w:sz w:val="24"/>
          <w:szCs w:val="24"/>
        </w:rPr>
        <w:t>and</w:t>
      </w:r>
      <w:r w:rsidR="002C408D" w:rsidRPr="00854FFB">
        <w:rPr>
          <w:rFonts w:ascii="Arial" w:hAnsi="Arial" w:cs="Arial"/>
          <w:sz w:val="24"/>
          <w:szCs w:val="24"/>
        </w:rPr>
        <w:t xml:space="preserve"> </w:t>
      </w:r>
      <w:r w:rsidR="009C5A1C" w:rsidRPr="00854FFB">
        <w:rPr>
          <w:rFonts w:ascii="Arial" w:hAnsi="Arial" w:cs="Arial"/>
          <w:sz w:val="24"/>
          <w:szCs w:val="24"/>
        </w:rPr>
        <w:t xml:space="preserve">the </w:t>
      </w:r>
      <w:r w:rsidR="009C5A1C">
        <w:rPr>
          <w:rFonts w:ascii="Arial" w:hAnsi="Arial" w:cs="Arial"/>
          <w:sz w:val="24"/>
          <w:szCs w:val="24"/>
        </w:rPr>
        <w:t xml:space="preserve">payment </w:t>
      </w:r>
      <w:r w:rsidR="002C408D">
        <w:rPr>
          <w:rFonts w:ascii="Arial" w:hAnsi="Arial" w:cs="Arial"/>
          <w:sz w:val="24"/>
          <w:szCs w:val="24"/>
        </w:rPr>
        <w:t>is</w:t>
      </w:r>
      <w:r w:rsidR="009034A0">
        <w:rPr>
          <w:rFonts w:ascii="Arial" w:hAnsi="Arial" w:cs="Arial"/>
          <w:sz w:val="24"/>
          <w:szCs w:val="24"/>
        </w:rPr>
        <w:t xml:space="preserve"> </w:t>
      </w:r>
      <w:r w:rsidR="00AC756F">
        <w:rPr>
          <w:rFonts w:ascii="Arial" w:hAnsi="Arial" w:cs="Arial"/>
          <w:sz w:val="24"/>
          <w:szCs w:val="24"/>
        </w:rPr>
        <w:t xml:space="preserve">in direct conflict with </w:t>
      </w:r>
      <w:r w:rsidR="00B72574">
        <w:rPr>
          <w:rFonts w:ascii="Arial" w:hAnsi="Arial" w:cs="Arial"/>
          <w:sz w:val="24"/>
          <w:szCs w:val="24"/>
        </w:rPr>
        <w:t xml:space="preserve">DP&amp;L’s and </w:t>
      </w:r>
      <w:r w:rsidR="00AC756F">
        <w:rPr>
          <w:rFonts w:ascii="Arial" w:hAnsi="Arial" w:cs="Arial"/>
          <w:sz w:val="24"/>
          <w:szCs w:val="24"/>
        </w:rPr>
        <w:t>th</w:t>
      </w:r>
      <w:r w:rsidR="00B72574">
        <w:rPr>
          <w:rFonts w:ascii="Arial" w:hAnsi="Arial" w:cs="Arial"/>
          <w:sz w:val="24"/>
          <w:szCs w:val="24"/>
        </w:rPr>
        <w:t>e</w:t>
      </w:r>
      <w:r w:rsidR="00AC756F">
        <w:rPr>
          <w:rFonts w:ascii="Arial" w:hAnsi="Arial" w:cs="Arial"/>
          <w:sz w:val="24"/>
          <w:szCs w:val="24"/>
        </w:rPr>
        <w:t xml:space="preserve"> Commission</w:t>
      </w:r>
      <w:r w:rsidR="00B67D6D">
        <w:rPr>
          <w:rFonts w:ascii="Arial" w:hAnsi="Arial" w:cs="Arial"/>
          <w:sz w:val="24"/>
          <w:szCs w:val="24"/>
        </w:rPr>
        <w:t>’s</w:t>
      </w:r>
      <w:r w:rsidR="00AC756F">
        <w:rPr>
          <w:rFonts w:ascii="Arial" w:hAnsi="Arial" w:cs="Arial"/>
          <w:sz w:val="24"/>
          <w:szCs w:val="24"/>
        </w:rPr>
        <w:t xml:space="preserve"> </w:t>
      </w:r>
      <w:r w:rsidR="00656BFD">
        <w:rPr>
          <w:rFonts w:ascii="Arial" w:hAnsi="Arial" w:cs="Arial"/>
          <w:sz w:val="24"/>
          <w:szCs w:val="24"/>
        </w:rPr>
        <w:t>repeated</w:t>
      </w:r>
      <w:r w:rsidR="00AC756F">
        <w:rPr>
          <w:rFonts w:ascii="Arial" w:hAnsi="Arial" w:cs="Arial"/>
          <w:sz w:val="24"/>
          <w:szCs w:val="24"/>
        </w:rPr>
        <w:t xml:space="preserve"> assurance to the DP&amp;L </w:t>
      </w:r>
      <w:r w:rsidR="00AC7052">
        <w:rPr>
          <w:rFonts w:ascii="Arial" w:hAnsi="Arial" w:cs="Arial"/>
          <w:sz w:val="24"/>
          <w:szCs w:val="24"/>
        </w:rPr>
        <w:t>customers</w:t>
      </w:r>
      <w:r w:rsidR="00AC756F">
        <w:rPr>
          <w:rFonts w:ascii="Arial" w:hAnsi="Arial" w:cs="Arial"/>
          <w:sz w:val="24"/>
          <w:szCs w:val="24"/>
        </w:rPr>
        <w:t xml:space="preserve"> that they are protected from any detrimental impact of DP&amp;L’s parent company and affiliated non-utility activities.</w:t>
      </w:r>
    </w:p>
    <w:p w14:paraId="5C7BFF26" w14:textId="67D46D9C" w:rsidR="00DD3511" w:rsidRDefault="00BD25B7">
      <w:pPr>
        <w:pStyle w:val="BodyText"/>
        <w:spacing w:line="480" w:lineRule="auto"/>
        <w:ind w:left="720" w:hanging="720"/>
        <w:jc w:val="both"/>
        <w:rPr>
          <w:rFonts w:ascii="Arial" w:hAnsi="Arial" w:cs="Arial"/>
          <w:sz w:val="24"/>
          <w:szCs w:val="24"/>
        </w:rPr>
      </w:pPr>
      <w:r>
        <w:rPr>
          <w:rFonts w:ascii="Arial" w:hAnsi="Arial" w:cs="Arial"/>
          <w:sz w:val="24"/>
          <w:szCs w:val="24"/>
        </w:rPr>
        <w:tab/>
      </w:r>
      <w:r w:rsidR="007E1E62">
        <w:rPr>
          <w:rFonts w:ascii="Arial" w:hAnsi="Arial" w:cs="Arial"/>
          <w:sz w:val="24"/>
          <w:szCs w:val="24"/>
        </w:rPr>
        <w:t xml:space="preserve">I testify that the DMR is simply unnecessary to support the financial stability of DP&amp;L given that DP&amp;L has divested its generating assets and the current rates give DP&amp;L an opportunity to earn a reasonable rate of return on its </w:t>
      </w:r>
      <w:r w:rsidR="009C5A1C">
        <w:rPr>
          <w:rFonts w:ascii="Arial" w:hAnsi="Arial" w:cs="Arial"/>
          <w:sz w:val="24"/>
          <w:szCs w:val="24"/>
        </w:rPr>
        <w:t xml:space="preserve">distribution </w:t>
      </w:r>
      <w:r w:rsidR="007E1E62">
        <w:rPr>
          <w:rFonts w:ascii="Arial" w:hAnsi="Arial" w:cs="Arial"/>
          <w:sz w:val="24"/>
          <w:szCs w:val="24"/>
        </w:rPr>
        <w:t>investments.</w:t>
      </w:r>
      <w:r w:rsidR="00F34585">
        <w:rPr>
          <w:rFonts w:ascii="Arial" w:hAnsi="Arial" w:cs="Arial"/>
          <w:sz w:val="24"/>
          <w:szCs w:val="24"/>
        </w:rPr>
        <w:t xml:space="preserve">  I also testify that the DMR should be included in the SEET test</w:t>
      </w:r>
      <w:r w:rsidR="00D7355B">
        <w:rPr>
          <w:rFonts w:ascii="Arial" w:hAnsi="Arial" w:cs="Arial"/>
          <w:sz w:val="24"/>
          <w:szCs w:val="24"/>
        </w:rPr>
        <w:t>, to the extent it is approved at all</w:t>
      </w:r>
      <w:r w:rsidR="00F34585">
        <w:rPr>
          <w:rFonts w:ascii="Arial" w:hAnsi="Arial" w:cs="Arial"/>
          <w:sz w:val="24"/>
          <w:szCs w:val="24"/>
        </w:rPr>
        <w:t>.</w:t>
      </w:r>
      <w:r w:rsidR="00D7355B">
        <w:rPr>
          <w:rFonts w:ascii="Arial" w:hAnsi="Arial" w:cs="Arial"/>
          <w:sz w:val="24"/>
          <w:szCs w:val="24"/>
        </w:rPr>
        <w:t xml:space="preserve">  </w:t>
      </w:r>
      <w:r w:rsidR="009C5A1C">
        <w:rPr>
          <w:rFonts w:ascii="Arial" w:hAnsi="Arial" w:cs="Arial"/>
          <w:sz w:val="24"/>
          <w:szCs w:val="24"/>
        </w:rPr>
        <w:t xml:space="preserve">However, if the Commission believes that it must require customers to provide DP&amp;L with funds through the DMR, </w:t>
      </w:r>
      <w:r w:rsidR="003470E8">
        <w:rPr>
          <w:rFonts w:ascii="Arial" w:hAnsi="Arial" w:cs="Arial"/>
          <w:sz w:val="24"/>
          <w:szCs w:val="24"/>
        </w:rPr>
        <w:t xml:space="preserve">I am recommending that the Commission require DP&amp;L to account for any </w:t>
      </w:r>
      <w:r w:rsidR="00B95DCD">
        <w:rPr>
          <w:rFonts w:ascii="Arial" w:hAnsi="Arial" w:cs="Arial"/>
          <w:sz w:val="24"/>
          <w:szCs w:val="24"/>
        </w:rPr>
        <w:t xml:space="preserve">customer provided DMR </w:t>
      </w:r>
      <w:bookmarkStart w:id="2" w:name="_Hlk535222739"/>
      <w:r w:rsidR="003470E8">
        <w:rPr>
          <w:rFonts w:ascii="Arial" w:hAnsi="Arial" w:cs="Arial"/>
          <w:sz w:val="24"/>
          <w:szCs w:val="24"/>
        </w:rPr>
        <w:t xml:space="preserve">as </w:t>
      </w:r>
      <w:r w:rsidR="00B95DCD">
        <w:rPr>
          <w:rFonts w:ascii="Arial" w:hAnsi="Arial" w:cs="Arial"/>
          <w:sz w:val="24"/>
          <w:szCs w:val="24"/>
        </w:rPr>
        <w:t>customer</w:t>
      </w:r>
      <w:r w:rsidR="003470E8">
        <w:rPr>
          <w:rFonts w:ascii="Arial" w:hAnsi="Arial" w:cs="Arial"/>
          <w:sz w:val="24"/>
          <w:szCs w:val="24"/>
        </w:rPr>
        <w:t xml:space="preserve"> contributed capital</w:t>
      </w:r>
      <w:bookmarkEnd w:id="2"/>
      <w:r w:rsidR="003470E8">
        <w:rPr>
          <w:rFonts w:ascii="Arial" w:hAnsi="Arial" w:cs="Arial"/>
          <w:sz w:val="24"/>
          <w:szCs w:val="24"/>
        </w:rPr>
        <w:t xml:space="preserve">. </w:t>
      </w:r>
      <w:r w:rsidR="00A621D5">
        <w:rPr>
          <w:rFonts w:ascii="Arial" w:hAnsi="Arial" w:cs="Arial"/>
          <w:sz w:val="24"/>
          <w:szCs w:val="24"/>
        </w:rPr>
        <w:t xml:space="preserve"> </w:t>
      </w:r>
      <w:r w:rsidR="003470E8">
        <w:rPr>
          <w:rFonts w:ascii="Arial" w:hAnsi="Arial" w:cs="Arial"/>
          <w:sz w:val="24"/>
          <w:szCs w:val="24"/>
        </w:rPr>
        <w:t>This accounting would assure the ratepayers that they won’t be paying for these investments/expenditures twice.</w:t>
      </w:r>
      <w:r w:rsidR="00EA2E4A">
        <w:rPr>
          <w:rFonts w:ascii="Arial" w:hAnsi="Arial" w:cs="Arial"/>
          <w:sz w:val="24"/>
          <w:szCs w:val="24"/>
        </w:rPr>
        <w:t xml:space="preserve">  </w:t>
      </w:r>
    </w:p>
    <w:p w14:paraId="2AF07F21" w14:textId="43109C72" w:rsidR="004053B9" w:rsidRDefault="003C4A50" w:rsidP="00B67D6D">
      <w:pPr>
        <w:pStyle w:val="BodyText"/>
        <w:spacing w:line="480" w:lineRule="auto"/>
        <w:ind w:left="720" w:hanging="720"/>
        <w:jc w:val="both"/>
        <w:rPr>
          <w:rFonts w:ascii="Arial" w:hAnsi="Arial" w:cs="Arial"/>
          <w:sz w:val="24"/>
          <w:szCs w:val="24"/>
        </w:rPr>
      </w:pPr>
      <w:r>
        <w:rPr>
          <w:rFonts w:ascii="Arial" w:hAnsi="Arial" w:cs="Arial"/>
          <w:b/>
          <w:sz w:val="24"/>
          <w:szCs w:val="24"/>
        </w:rPr>
        <w:lastRenderedPageBreak/>
        <w:t xml:space="preserve">Q. </w:t>
      </w:r>
      <w:r>
        <w:rPr>
          <w:rFonts w:ascii="Arial" w:hAnsi="Arial" w:cs="Arial"/>
          <w:b/>
          <w:sz w:val="24"/>
          <w:szCs w:val="24"/>
        </w:rPr>
        <w:tab/>
      </w:r>
      <w:r w:rsidR="004727A8">
        <w:rPr>
          <w:rFonts w:ascii="Arial" w:hAnsi="Arial" w:cs="Arial"/>
          <w:b/>
          <w:sz w:val="24"/>
          <w:szCs w:val="24"/>
        </w:rPr>
        <w:t xml:space="preserve">Will you describe </w:t>
      </w:r>
      <w:r w:rsidR="004727A8" w:rsidRPr="00EE4661">
        <w:rPr>
          <w:rFonts w:ascii="Arial" w:hAnsi="Arial" w:cs="Arial"/>
          <w:b/>
          <w:sz w:val="24"/>
          <w:szCs w:val="24"/>
        </w:rPr>
        <w:t>DPL</w:t>
      </w:r>
      <w:r w:rsidR="00864B03" w:rsidRPr="00EE4661">
        <w:rPr>
          <w:rFonts w:ascii="Arial" w:hAnsi="Arial" w:cs="Arial"/>
          <w:b/>
          <w:sz w:val="24"/>
          <w:szCs w:val="24"/>
        </w:rPr>
        <w:t xml:space="preserve"> and DP&amp;L</w:t>
      </w:r>
      <w:r w:rsidR="004053B9" w:rsidRPr="00EE4661">
        <w:rPr>
          <w:rFonts w:ascii="Arial" w:hAnsi="Arial" w:cs="Arial"/>
          <w:b/>
          <w:sz w:val="24"/>
          <w:szCs w:val="24"/>
        </w:rPr>
        <w:t>?</w:t>
      </w:r>
    </w:p>
    <w:p w14:paraId="556F65DE" w14:textId="78C95766" w:rsidR="00466F26" w:rsidRDefault="004053B9" w:rsidP="00B67D6D">
      <w:pPr>
        <w:pStyle w:val="BodyText"/>
        <w:spacing w:line="480" w:lineRule="auto"/>
        <w:ind w:left="720" w:hanging="720"/>
        <w:jc w:val="both"/>
        <w:rPr>
          <w:rFonts w:ascii="Arial" w:hAnsi="Arial" w:cs="Arial"/>
          <w:sz w:val="24"/>
          <w:szCs w:val="24"/>
        </w:rPr>
      </w:pPr>
      <w:r w:rsidRPr="00466F26">
        <w:rPr>
          <w:rFonts w:ascii="Arial" w:hAnsi="Arial" w:cs="Arial"/>
          <w:sz w:val="24"/>
          <w:szCs w:val="24"/>
        </w:rPr>
        <w:t xml:space="preserve">A. </w:t>
      </w:r>
      <w:r w:rsidRPr="00466F26">
        <w:rPr>
          <w:rFonts w:ascii="Arial" w:hAnsi="Arial" w:cs="Arial"/>
          <w:sz w:val="24"/>
          <w:szCs w:val="24"/>
        </w:rPr>
        <w:tab/>
      </w:r>
      <w:r w:rsidR="004727A8" w:rsidRPr="00466F26">
        <w:rPr>
          <w:rFonts w:ascii="Arial" w:hAnsi="Arial" w:cs="Arial"/>
          <w:bCs/>
          <w:sz w:val="24"/>
          <w:szCs w:val="24"/>
        </w:rPr>
        <w:t>DPL Inc.</w:t>
      </w:r>
      <w:r w:rsidR="004727A8" w:rsidRPr="00466F26">
        <w:rPr>
          <w:rFonts w:ascii="Arial" w:hAnsi="Arial" w:cs="Arial"/>
          <w:sz w:val="24"/>
          <w:szCs w:val="24"/>
        </w:rPr>
        <w:t xml:space="preserve"> </w:t>
      </w:r>
      <w:r w:rsidR="00AC7052">
        <w:rPr>
          <w:rFonts w:ascii="Arial" w:hAnsi="Arial" w:cs="Arial"/>
          <w:sz w:val="24"/>
          <w:szCs w:val="24"/>
        </w:rPr>
        <w:t xml:space="preserve">(DPL) </w:t>
      </w:r>
      <w:r w:rsidR="004727A8" w:rsidRPr="00466F26">
        <w:rPr>
          <w:rFonts w:ascii="Arial" w:hAnsi="Arial" w:cs="Arial"/>
          <w:sz w:val="24"/>
          <w:szCs w:val="24"/>
        </w:rPr>
        <w:t xml:space="preserve">is a regional energy provider </w:t>
      </w:r>
      <w:r w:rsidR="00466F26" w:rsidRPr="00466F26">
        <w:rPr>
          <w:rFonts w:ascii="Arial" w:hAnsi="Arial" w:cs="Arial"/>
          <w:bCs/>
          <w:sz w:val="24"/>
          <w:szCs w:val="24"/>
        </w:rPr>
        <w:t>that was</w:t>
      </w:r>
      <w:r w:rsidR="00466F26" w:rsidRPr="00466F26">
        <w:rPr>
          <w:rFonts w:ascii="Arial" w:hAnsi="Arial" w:cs="Arial"/>
          <w:sz w:val="24"/>
          <w:szCs w:val="24"/>
        </w:rPr>
        <w:t xml:space="preserve"> acquired by </w:t>
      </w:r>
      <w:r w:rsidR="00AC7052">
        <w:rPr>
          <w:rFonts w:ascii="Arial" w:hAnsi="Arial" w:cs="Arial"/>
          <w:sz w:val="24"/>
          <w:szCs w:val="24"/>
        </w:rPr>
        <w:t xml:space="preserve">the </w:t>
      </w:r>
      <w:r w:rsidR="00466F26" w:rsidRPr="00466F26">
        <w:rPr>
          <w:rFonts w:ascii="Arial" w:hAnsi="Arial" w:cs="Arial"/>
          <w:sz w:val="24"/>
          <w:szCs w:val="24"/>
        </w:rPr>
        <w:t xml:space="preserve">AES </w:t>
      </w:r>
      <w:r w:rsidR="00AC7052">
        <w:rPr>
          <w:rFonts w:ascii="Arial" w:hAnsi="Arial" w:cs="Arial"/>
          <w:sz w:val="24"/>
          <w:szCs w:val="24"/>
        </w:rPr>
        <w:t xml:space="preserve">Corporation (AES) </w:t>
      </w:r>
      <w:r w:rsidR="00466F26" w:rsidRPr="00466F26">
        <w:rPr>
          <w:rFonts w:ascii="Arial" w:hAnsi="Arial" w:cs="Arial"/>
          <w:sz w:val="24"/>
          <w:szCs w:val="24"/>
        </w:rPr>
        <w:t>on November 28, 2011 and is a wholly-owned subsidiary of AES</w:t>
      </w:r>
      <w:r w:rsidR="00466F26">
        <w:rPr>
          <w:rFonts w:ascii="Arial" w:hAnsi="Arial" w:cs="Arial"/>
          <w:sz w:val="24"/>
          <w:szCs w:val="24"/>
        </w:rPr>
        <w:t xml:space="preserve">.  </w:t>
      </w:r>
      <w:r w:rsidR="004727A8" w:rsidRPr="004727A8">
        <w:rPr>
          <w:rFonts w:ascii="Arial" w:hAnsi="Arial" w:cs="Arial"/>
          <w:sz w:val="24"/>
          <w:szCs w:val="24"/>
        </w:rPr>
        <w:t xml:space="preserve"> DPL’s significant subsidiaries include The Dayton Power and Light Company</w:t>
      </w:r>
      <w:r w:rsidR="00AC7052">
        <w:rPr>
          <w:rFonts w:ascii="Arial" w:hAnsi="Arial" w:cs="Arial"/>
          <w:sz w:val="24"/>
          <w:szCs w:val="24"/>
        </w:rPr>
        <w:t xml:space="preserve"> (DP&amp;L</w:t>
      </w:r>
      <w:r w:rsidR="007D586A">
        <w:rPr>
          <w:rFonts w:ascii="Arial" w:hAnsi="Arial" w:cs="Arial"/>
          <w:sz w:val="24"/>
          <w:szCs w:val="24"/>
        </w:rPr>
        <w:t>),</w:t>
      </w:r>
      <w:r w:rsidR="004727A8" w:rsidRPr="004727A8">
        <w:rPr>
          <w:rFonts w:ascii="Arial" w:hAnsi="Arial" w:cs="Arial"/>
          <w:sz w:val="24"/>
          <w:szCs w:val="24"/>
        </w:rPr>
        <w:t xml:space="preserve"> AES Ohio Generation, LLC (AES Ohio Gen), Miami Valley Insurance Company (MVIC), and Miami Valley Lighting, LLC (MVLt).</w:t>
      </w:r>
      <w:r w:rsidR="001023A1">
        <w:rPr>
          <w:rFonts w:ascii="Arial" w:hAnsi="Arial" w:cs="Arial"/>
          <w:sz w:val="24"/>
          <w:szCs w:val="24"/>
        </w:rPr>
        <w:t xml:space="preserve">  </w:t>
      </w:r>
      <w:bookmarkStart w:id="3" w:name="_Hlk180665"/>
      <w:r w:rsidR="001023A1">
        <w:rPr>
          <w:rFonts w:ascii="Arial" w:hAnsi="Arial" w:cs="Arial"/>
          <w:sz w:val="24"/>
          <w:szCs w:val="24"/>
        </w:rPr>
        <w:t xml:space="preserve">DPL is not </w:t>
      </w:r>
      <w:r w:rsidR="001B4167">
        <w:rPr>
          <w:rFonts w:ascii="Arial" w:hAnsi="Arial" w:cs="Arial"/>
          <w:sz w:val="24"/>
          <w:szCs w:val="24"/>
        </w:rPr>
        <w:t>regulated by the</w:t>
      </w:r>
      <w:r w:rsidR="001023A1">
        <w:rPr>
          <w:rFonts w:ascii="Arial" w:hAnsi="Arial" w:cs="Arial"/>
          <w:sz w:val="24"/>
          <w:szCs w:val="24"/>
        </w:rPr>
        <w:t xml:space="preserve"> Commission.  DPL is not a public utility subject to the Commission’s jurisdiction.  DPL has no right to </w:t>
      </w:r>
      <w:r w:rsidR="001B4167">
        <w:rPr>
          <w:rFonts w:ascii="Arial" w:hAnsi="Arial" w:cs="Arial"/>
          <w:sz w:val="24"/>
          <w:szCs w:val="24"/>
        </w:rPr>
        <w:t xml:space="preserve">receive payments directly from </w:t>
      </w:r>
      <w:r w:rsidR="00FC2C08">
        <w:rPr>
          <w:rFonts w:ascii="Arial" w:hAnsi="Arial" w:cs="Arial"/>
          <w:sz w:val="24"/>
          <w:szCs w:val="24"/>
        </w:rPr>
        <w:t xml:space="preserve">retail </w:t>
      </w:r>
      <w:r w:rsidR="00B5708D">
        <w:rPr>
          <w:rFonts w:ascii="Arial" w:hAnsi="Arial" w:cs="Arial"/>
          <w:sz w:val="24"/>
          <w:szCs w:val="24"/>
        </w:rPr>
        <w:t>customers.  DPL</w:t>
      </w:r>
      <w:r w:rsidR="00FC2C08">
        <w:rPr>
          <w:rFonts w:ascii="Arial" w:hAnsi="Arial" w:cs="Arial"/>
          <w:sz w:val="24"/>
          <w:szCs w:val="24"/>
        </w:rPr>
        <w:t xml:space="preserve"> has no rights to file</w:t>
      </w:r>
      <w:r w:rsidR="001023A1">
        <w:rPr>
          <w:rFonts w:ascii="Arial" w:hAnsi="Arial" w:cs="Arial"/>
          <w:sz w:val="24"/>
          <w:szCs w:val="24"/>
        </w:rPr>
        <w:t xml:space="preserve"> an application to the Commission</w:t>
      </w:r>
      <w:r w:rsidR="00FC2C08">
        <w:rPr>
          <w:rFonts w:ascii="Arial" w:hAnsi="Arial" w:cs="Arial"/>
          <w:sz w:val="24"/>
          <w:szCs w:val="24"/>
        </w:rPr>
        <w:t xml:space="preserve"> for any payments from retail customers</w:t>
      </w:r>
      <w:r w:rsidR="001023A1">
        <w:rPr>
          <w:rFonts w:ascii="Arial" w:hAnsi="Arial" w:cs="Arial"/>
          <w:sz w:val="24"/>
          <w:szCs w:val="24"/>
        </w:rPr>
        <w:t xml:space="preserve">.  Consequently, </w:t>
      </w:r>
      <w:r w:rsidR="00B5708D">
        <w:rPr>
          <w:rFonts w:ascii="Arial" w:hAnsi="Arial" w:cs="Arial"/>
          <w:sz w:val="24"/>
          <w:szCs w:val="24"/>
        </w:rPr>
        <w:t>its</w:t>
      </w:r>
      <w:r w:rsidR="001023A1">
        <w:rPr>
          <w:rFonts w:ascii="Arial" w:hAnsi="Arial" w:cs="Arial"/>
          <w:sz w:val="24"/>
          <w:szCs w:val="24"/>
        </w:rPr>
        <w:t xml:space="preserve"> subsidiary has filed the present application for its benefit</w:t>
      </w:r>
      <w:bookmarkEnd w:id="3"/>
      <w:r w:rsidR="001023A1">
        <w:rPr>
          <w:rFonts w:ascii="Arial" w:hAnsi="Arial" w:cs="Arial"/>
          <w:sz w:val="24"/>
          <w:szCs w:val="24"/>
        </w:rPr>
        <w:t>.</w:t>
      </w:r>
    </w:p>
    <w:p w14:paraId="7C3018DD" w14:textId="64736DE5" w:rsidR="00D1085D" w:rsidRDefault="00466F26" w:rsidP="00B67D6D">
      <w:pPr>
        <w:pStyle w:val="BodyText"/>
        <w:spacing w:line="480" w:lineRule="auto"/>
        <w:ind w:left="720" w:hanging="720"/>
        <w:jc w:val="both"/>
        <w:rPr>
          <w:rFonts w:ascii="Arial" w:hAnsi="Arial" w:cs="Arial"/>
          <w:sz w:val="24"/>
          <w:szCs w:val="24"/>
        </w:rPr>
      </w:pPr>
      <w:r>
        <w:rPr>
          <w:rFonts w:ascii="Arial" w:hAnsi="Arial" w:cs="Arial"/>
          <w:sz w:val="24"/>
          <w:szCs w:val="24"/>
        </w:rPr>
        <w:tab/>
      </w:r>
      <w:r w:rsidR="004053B9">
        <w:rPr>
          <w:rFonts w:ascii="Arial" w:hAnsi="Arial" w:cs="Arial"/>
          <w:sz w:val="24"/>
          <w:szCs w:val="24"/>
        </w:rPr>
        <w:t>DP&amp;L is a regulated electric distribution utility (“EDU”).</w:t>
      </w:r>
      <w:r w:rsidR="003C4A50">
        <w:rPr>
          <w:rFonts w:ascii="Arial" w:hAnsi="Arial" w:cs="Arial"/>
          <w:sz w:val="24"/>
          <w:szCs w:val="24"/>
        </w:rPr>
        <w:t xml:space="preserve">  It has one shareholder, DPL.</w:t>
      </w:r>
      <w:r w:rsidR="004053B9">
        <w:rPr>
          <w:rFonts w:ascii="Arial" w:hAnsi="Arial" w:cs="Arial"/>
          <w:sz w:val="24"/>
          <w:szCs w:val="24"/>
        </w:rPr>
        <w:t xml:space="preserve">  </w:t>
      </w:r>
      <w:bookmarkStart w:id="4" w:name="_Hlk344017"/>
      <w:r w:rsidR="00D1085D">
        <w:rPr>
          <w:rFonts w:ascii="Arial" w:hAnsi="Arial" w:cs="Arial"/>
          <w:sz w:val="24"/>
          <w:szCs w:val="24"/>
        </w:rPr>
        <w:t>In 2017, DP&amp;L transferred its generation assets to an unregulated affiliate</w:t>
      </w:r>
      <w:r w:rsidR="00517DC9">
        <w:rPr>
          <w:rFonts w:ascii="Arial" w:hAnsi="Arial" w:cs="Arial"/>
          <w:sz w:val="24"/>
          <w:szCs w:val="24"/>
        </w:rPr>
        <w:t xml:space="preserve">, </w:t>
      </w:r>
      <w:r w:rsidR="00517DC9" w:rsidRPr="004727A8">
        <w:rPr>
          <w:rFonts w:ascii="Arial" w:hAnsi="Arial" w:cs="Arial"/>
          <w:sz w:val="24"/>
          <w:szCs w:val="24"/>
        </w:rPr>
        <w:t>AES Ohio Gen</w:t>
      </w:r>
      <w:r w:rsidR="00D1085D">
        <w:rPr>
          <w:rFonts w:ascii="Arial" w:hAnsi="Arial" w:cs="Arial"/>
          <w:sz w:val="24"/>
          <w:szCs w:val="24"/>
        </w:rPr>
        <w:t xml:space="preserve">. </w:t>
      </w:r>
      <w:bookmarkEnd w:id="4"/>
      <w:r w:rsidR="004053B9">
        <w:rPr>
          <w:rFonts w:ascii="Arial" w:hAnsi="Arial" w:cs="Arial"/>
          <w:sz w:val="24"/>
          <w:szCs w:val="24"/>
        </w:rPr>
        <w:t xml:space="preserve">At the present time, it is simply a “wires” company that owns no generation assets </w:t>
      </w:r>
      <w:r w:rsidR="00B716EE">
        <w:rPr>
          <w:rFonts w:ascii="Arial" w:hAnsi="Arial" w:cs="Arial"/>
          <w:sz w:val="24"/>
          <w:szCs w:val="24"/>
        </w:rPr>
        <w:t>except for</w:t>
      </w:r>
      <w:r w:rsidR="004053B9">
        <w:rPr>
          <w:rFonts w:ascii="Arial" w:hAnsi="Arial" w:cs="Arial"/>
          <w:sz w:val="24"/>
          <w:szCs w:val="24"/>
        </w:rPr>
        <w:t xml:space="preserve"> its interest in the O</w:t>
      </w:r>
      <w:r w:rsidR="00517DC9">
        <w:rPr>
          <w:rFonts w:ascii="Arial" w:hAnsi="Arial" w:cs="Arial"/>
          <w:sz w:val="24"/>
          <w:szCs w:val="24"/>
        </w:rPr>
        <w:t>VEC</w:t>
      </w:r>
      <w:r w:rsidR="004053B9">
        <w:rPr>
          <w:rFonts w:ascii="Arial" w:hAnsi="Arial" w:cs="Arial"/>
          <w:sz w:val="24"/>
          <w:szCs w:val="24"/>
        </w:rPr>
        <w:t>.</w:t>
      </w:r>
    </w:p>
    <w:p w14:paraId="3E0734B5" w14:textId="477723B6" w:rsidR="002B72EA" w:rsidRDefault="002B72EA" w:rsidP="002B72EA">
      <w:pPr>
        <w:pStyle w:val="BodyText"/>
        <w:spacing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Can you give some background of the events that led to</w:t>
      </w:r>
      <w:r w:rsidR="00517DC9">
        <w:rPr>
          <w:rFonts w:ascii="Arial" w:hAnsi="Arial" w:cs="Arial"/>
          <w:b/>
          <w:sz w:val="24"/>
          <w:szCs w:val="24"/>
        </w:rPr>
        <w:t xml:space="preserve"> DP&amp;L’s request for DMR funds</w:t>
      </w:r>
      <w:r>
        <w:rPr>
          <w:rFonts w:ascii="Arial" w:hAnsi="Arial" w:cs="Arial"/>
          <w:b/>
          <w:sz w:val="24"/>
          <w:szCs w:val="24"/>
        </w:rPr>
        <w:t>?</w:t>
      </w:r>
    </w:p>
    <w:p w14:paraId="64163A38" w14:textId="6F41953A" w:rsidR="007B2CEB" w:rsidRDefault="002B72EA" w:rsidP="002B72EA">
      <w:pPr>
        <w:pStyle w:val="BodyText"/>
        <w:spacing w:line="480" w:lineRule="auto"/>
        <w:ind w:left="72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Yes, until </w:t>
      </w:r>
      <w:r w:rsidR="00165A8A">
        <w:rPr>
          <w:rFonts w:ascii="Arial" w:hAnsi="Arial" w:cs="Arial"/>
          <w:sz w:val="24"/>
          <w:szCs w:val="24"/>
        </w:rPr>
        <w:t xml:space="preserve">November 28, </w:t>
      </w:r>
      <w:r>
        <w:rPr>
          <w:rFonts w:ascii="Arial" w:hAnsi="Arial" w:cs="Arial"/>
          <w:sz w:val="24"/>
          <w:szCs w:val="24"/>
        </w:rPr>
        <w:t xml:space="preserve">2011, DP&amp;L operated as a wholly owned subsidiary of DPL Inc (“DPL”).  DP&amp;L was a vertically integrated </w:t>
      </w:r>
      <w:r w:rsidR="00530944">
        <w:rPr>
          <w:rFonts w:ascii="Arial" w:hAnsi="Arial" w:cs="Arial"/>
          <w:sz w:val="24"/>
          <w:szCs w:val="24"/>
        </w:rPr>
        <w:t>electric distribution utility (EDU)</w:t>
      </w:r>
      <w:r>
        <w:rPr>
          <w:rFonts w:ascii="Arial" w:hAnsi="Arial" w:cs="Arial"/>
          <w:sz w:val="24"/>
          <w:szCs w:val="24"/>
        </w:rPr>
        <w:t xml:space="preserve"> that owned generation</w:t>
      </w:r>
      <w:r w:rsidR="00530944">
        <w:rPr>
          <w:rFonts w:ascii="Arial" w:hAnsi="Arial" w:cs="Arial"/>
          <w:sz w:val="24"/>
          <w:szCs w:val="24"/>
        </w:rPr>
        <w:t xml:space="preserve">, transmission and distribution </w:t>
      </w:r>
      <w:r>
        <w:rPr>
          <w:rFonts w:ascii="Arial" w:hAnsi="Arial" w:cs="Arial"/>
          <w:sz w:val="24"/>
          <w:szCs w:val="24"/>
        </w:rPr>
        <w:t>assets</w:t>
      </w:r>
      <w:r w:rsidR="00517DC9">
        <w:rPr>
          <w:rFonts w:ascii="Arial" w:hAnsi="Arial" w:cs="Arial"/>
          <w:sz w:val="24"/>
          <w:szCs w:val="24"/>
        </w:rPr>
        <w:t xml:space="preserve"> but operated its generation, transmission and distribution businesses in separate units</w:t>
      </w:r>
      <w:r>
        <w:rPr>
          <w:rFonts w:ascii="Arial" w:hAnsi="Arial" w:cs="Arial"/>
          <w:sz w:val="24"/>
          <w:szCs w:val="24"/>
        </w:rPr>
        <w:t xml:space="preserve">.  DPL </w:t>
      </w:r>
      <w:r w:rsidR="00530944">
        <w:rPr>
          <w:rFonts w:ascii="Arial" w:hAnsi="Arial" w:cs="Arial"/>
          <w:sz w:val="24"/>
          <w:szCs w:val="24"/>
        </w:rPr>
        <w:t xml:space="preserve">also owned </w:t>
      </w:r>
      <w:r>
        <w:rPr>
          <w:rFonts w:ascii="Arial" w:hAnsi="Arial" w:cs="Arial"/>
          <w:sz w:val="24"/>
          <w:szCs w:val="24"/>
        </w:rPr>
        <w:t>DP&amp;L Energy Resources</w:t>
      </w:r>
      <w:r w:rsidR="00530944">
        <w:rPr>
          <w:rFonts w:ascii="Arial" w:hAnsi="Arial" w:cs="Arial"/>
          <w:sz w:val="24"/>
          <w:szCs w:val="24"/>
        </w:rPr>
        <w:t xml:space="preserve"> (DPLER) which sold</w:t>
      </w:r>
      <w:r w:rsidR="00530944" w:rsidRPr="00530944">
        <w:rPr>
          <w:rFonts w:ascii="Arial" w:hAnsi="Arial" w:cs="Arial"/>
          <w:sz w:val="24"/>
          <w:szCs w:val="24"/>
        </w:rPr>
        <w:t xml:space="preserve"> competitive retail electric service</w:t>
      </w:r>
      <w:r w:rsidR="00D413F7">
        <w:rPr>
          <w:rFonts w:ascii="Arial" w:hAnsi="Arial" w:cs="Arial"/>
          <w:sz w:val="24"/>
          <w:szCs w:val="24"/>
        </w:rPr>
        <w:t>, and</w:t>
      </w:r>
      <w:r>
        <w:rPr>
          <w:rFonts w:ascii="Arial" w:hAnsi="Arial" w:cs="Arial"/>
          <w:sz w:val="24"/>
          <w:szCs w:val="24"/>
        </w:rPr>
        <w:t xml:space="preserve"> </w:t>
      </w:r>
      <w:r w:rsidR="00530944">
        <w:rPr>
          <w:rFonts w:ascii="Arial" w:hAnsi="Arial" w:cs="Arial"/>
          <w:sz w:val="24"/>
          <w:szCs w:val="24"/>
        </w:rPr>
        <w:t xml:space="preserve">DPLE </w:t>
      </w:r>
      <w:r w:rsidR="00165A8A">
        <w:rPr>
          <w:rFonts w:ascii="Arial" w:hAnsi="Arial" w:cs="Arial"/>
          <w:sz w:val="24"/>
          <w:szCs w:val="24"/>
        </w:rPr>
        <w:t xml:space="preserve">which engaged in the operation of peaking generation facilities </w:t>
      </w:r>
      <w:r w:rsidR="00165A8A">
        <w:rPr>
          <w:rFonts w:ascii="Arial" w:hAnsi="Arial" w:cs="Arial"/>
          <w:sz w:val="24"/>
          <w:szCs w:val="24"/>
        </w:rPr>
        <w:lastRenderedPageBreak/>
        <w:t>and sold power in the whole sale markets</w:t>
      </w:r>
      <w:r>
        <w:rPr>
          <w:rFonts w:ascii="Arial" w:hAnsi="Arial" w:cs="Arial"/>
          <w:sz w:val="24"/>
          <w:szCs w:val="24"/>
        </w:rPr>
        <w:t xml:space="preserve">.  The total combined long-term debt of DPL </w:t>
      </w:r>
      <w:r w:rsidR="00165A8A">
        <w:rPr>
          <w:rFonts w:ascii="Arial" w:hAnsi="Arial" w:cs="Arial"/>
          <w:sz w:val="24"/>
          <w:szCs w:val="24"/>
        </w:rPr>
        <w:t xml:space="preserve">at the end of </w:t>
      </w:r>
      <w:r>
        <w:rPr>
          <w:rFonts w:ascii="Arial" w:hAnsi="Arial" w:cs="Arial"/>
          <w:sz w:val="24"/>
          <w:szCs w:val="24"/>
        </w:rPr>
        <w:t>2010 (which includes DP&amp;L’s debt) was $1,026.6 million.  DP&amp;L’s long-term debt at the time was $884</w:t>
      </w:r>
      <w:r w:rsidR="000B78F1">
        <w:rPr>
          <w:rFonts w:ascii="Arial" w:hAnsi="Arial" w:cs="Arial"/>
          <w:sz w:val="24"/>
          <w:szCs w:val="24"/>
        </w:rPr>
        <w:t>.0</w:t>
      </w:r>
      <w:r>
        <w:rPr>
          <w:rFonts w:ascii="Arial" w:hAnsi="Arial" w:cs="Arial"/>
          <w:sz w:val="24"/>
          <w:szCs w:val="24"/>
        </w:rPr>
        <w:t xml:space="preserve"> million.  DPL </w:t>
      </w:r>
      <w:r w:rsidR="00B13ED3">
        <w:rPr>
          <w:rFonts w:ascii="Arial" w:hAnsi="Arial" w:cs="Arial"/>
          <w:sz w:val="24"/>
          <w:szCs w:val="24"/>
        </w:rPr>
        <w:t xml:space="preserve">long-term </w:t>
      </w:r>
      <w:r>
        <w:rPr>
          <w:rFonts w:ascii="Arial" w:hAnsi="Arial" w:cs="Arial"/>
          <w:sz w:val="24"/>
          <w:szCs w:val="24"/>
        </w:rPr>
        <w:t>debt, exclusive of DP&amp;L was approximately $142</w:t>
      </w:r>
      <w:r w:rsidR="000B78F1">
        <w:rPr>
          <w:rFonts w:ascii="Arial" w:hAnsi="Arial" w:cs="Arial"/>
          <w:sz w:val="24"/>
          <w:szCs w:val="24"/>
        </w:rPr>
        <w:t>.6</w:t>
      </w:r>
      <w:r>
        <w:rPr>
          <w:rFonts w:ascii="Arial" w:hAnsi="Arial" w:cs="Arial"/>
          <w:sz w:val="24"/>
          <w:szCs w:val="24"/>
        </w:rPr>
        <w:t xml:space="preserve"> million at the end of 2010</w:t>
      </w:r>
      <w:r w:rsidR="00D7355B">
        <w:rPr>
          <w:rFonts w:ascii="Arial" w:hAnsi="Arial" w:cs="Arial"/>
          <w:sz w:val="24"/>
          <w:szCs w:val="24"/>
        </w:rPr>
        <w:t>.</w:t>
      </w:r>
      <w:r w:rsidR="007B2CEB">
        <w:rPr>
          <w:rStyle w:val="FootnoteReference"/>
          <w:rFonts w:ascii="Arial" w:hAnsi="Arial" w:cs="Arial"/>
          <w:sz w:val="24"/>
          <w:szCs w:val="24"/>
        </w:rPr>
        <w:footnoteReference w:id="1"/>
      </w:r>
      <w:r w:rsidR="007B2CEB">
        <w:rPr>
          <w:rFonts w:ascii="Arial" w:hAnsi="Arial" w:cs="Arial"/>
          <w:sz w:val="24"/>
          <w:szCs w:val="24"/>
        </w:rPr>
        <w:t xml:space="preserve">  </w:t>
      </w:r>
      <w:r w:rsidR="00517DC9">
        <w:rPr>
          <w:rFonts w:ascii="Arial" w:hAnsi="Arial" w:cs="Arial"/>
          <w:sz w:val="24"/>
          <w:szCs w:val="24"/>
        </w:rPr>
        <w:t>O</w:t>
      </w:r>
      <w:r w:rsidR="00517DC9" w:rsidRPr="00466F26">
        <w:rPr>
          <w:rFonts w:ascii="Arial" w:hAnsi="Arial" w:cs="Arial"/>
          <w:sz w:val="24"/>
          <w:szCs w:val="24"/>
        </w:rPr>
        <w:t>n November 28, 2011</w:t>
      </w:r>
      <w:r w:rsidR="00D7355B">
        <w:rPr>
          <w:rFonts w:ascii="Arial" w:hAnsi="Arial" w:cs="Arial"/>
          <w:sz w:val="24"/>
          <w:szCs w:val="24"/>
        </w:rPr>
        <w:t>,</w:t>
      </w:r>
      <w:r w:rsidR="00517DC9" w:rsidRPr="00466F26">
        <w:rPr>
          <w:rFonts w:ascii="Arial" w:hAnsi="Arial" w:cs="Arial"/>
          <w:sz w:val="24"/>
          <w:szCs w:val="24"/>
        </w:rPr>
        <w:t xml:space="preserve"> </w:t>
      </w:r>
      <w:r w:rsidR="00517DC9">
        <w:rPr>
          <w:rFonts w:ascii="Arial" w:hAnsi="Arial" w:cs="Arial"/>
          <w:sz w:val="24"/>
          <w:szCs w:val="24"/>
        </w:rPr>
        <w:t>AES purchased DPL’s assets for approximately $3.5 billion</w:t>
      </w:r>
      <w:r w:rsidR="00530944">
        <w:rPr>
          <w:rFonts w:ascii="Arial" w:hAnsi="Arial" w:cs="Arial"/>
          <w:sz w:val="24"/>
          <w:szCs w:val="24"/>
        </w:rPr>
        <w:t>.</w:t>
      </w:r>
      <w:r w:rsidR="00517DC9">
        <w:rPr>
          <w:rFonts w:ascii="Arial" w:hAnsi="Arial" w:cs="Arial"/>
          <w:sz w:val="24"/>
          <w:szCs w:val="24"/>
        </w:rPr>
        <w:t xml:space="preserve">  </w:t>
      </w:r>
      <w:r w:rsidR="007B2CEB">
        <w:rPr>
          <w:rFonts w:ascii="Arial" w:hAnsi="Arial" w:cs="Arial"/>
          <w:sz w:val="24"/>
          <w:szCs w:val="24"/>
        </w:rPr>
        <w:t>After the merger, DPL’s long-term debt increased to $2,628.9 million</w:t>
      </w:r>
      <w:r w:rsidR="00B13ED3">
        <w:rPr>
          <w:rFonts w:ascii="Arial" w:hAnsi="Arial" w:cs="Arial"/>
          <w:sz w:val="24"/>
          <w:szCs w:val="24"/>
        </w:rPr>
        <w:t xml:space="preserve"> by the end of 2011.  </w:t>
      </w:r>
      <w:r w:rsidR="007B2CEB">
        <w:rPr>
          <w:rFonts w:ascii="Arial" w:hAnsi="Arial" w:cs="Arial"/>
          <w:sz w:val="24"/>
          <w:szCs w:val="24"/>
        </w:rPr>
        <w:t xml:space="preserve">DP&amp;L’s long-term debt </w:t>
      </w:r>
      <w:r w:rsidR="00B13ED3">
        <w:rPr>
          <w:rFonts w:ascii="Arial" w:hAnsi="Arial" w:cs="Arial"/>
          <w:sz w:val="24"/>
          <w:szCs w:val="24"/>
        </w:rPr>
        <w:t xml:space="preserve">at the end of 2011 </w:t>
      </w:r>
      <w:r w:rsidR="007B2CEB">
        <w:rPr>
          <w:rFonts w:ascii="Arial" w:hAnsi="Arial" w:cs="Arial"/>
          <w:sz w:val="24"/>
          <w:szCs w:val="24"/>
        </w:rPr>
        <w:t>was reported at $9</w:t>
      </w:r>
      <w:r w:rsidR="00DF1E3A">
        <w:rPr>
          <w:rFonts w:ascii="Arial" w:hAnsi="Arial" w:cs="Arial"/>
          <w:sz w:val="24"/>
          <w:szCs w:val="24"/>
        </w:rPr>
        <w:t>34</w:t>
      </w:r>
      <w:r w:rsidR="007B2CEB">
        <w:rPr>
          <w:rFonts w:ascii="Arial" w:hAnsi="Arial" w:cs="Arial"/>
          <w:sz w:val="24"/>
          <w:szCs w:val="24"/>
        </w:rPr>
        <w:t>.0 million</w:t>
      </w:r>
      <w:r w:rsidR="00D7355B">
        <w:rPr>
          <w:rFonts w:ascii="Arial" w:hAnsi="Arial" w:cs="Arial"/>
          <w:sz w:val="24"/>
          <w:szCs w:val="24"/>
        </w:rPr>
        <w:t>.</w:t>
      </w:r>
      <w:r w:rsidR="007B2CEB">
        <w:rPr>
          <w:rStyle w:val="FootnoteReference"/>
          <w:rFonts w:ascii="Arial" w:hAnsi="Arial" w:cs="Arial"/>
          <w:sz w:val="24"/>
          <w:szCs w:val="24"/>
        </w:rPr>
        <w:footnoteReference w:id="2"/>
      </w:r>
      <w:r w:rsidR="007B2CEB">
        <w:rPr>
          <w:rFonts w:ascii="Arial" w:hAnsi="Arial" w:cs="Arial"/>
          <w:sz w:val="24"/>
          <w:szCs w:val="24"/>
        </w:rPr>
        <w:t xml:space="preserve">  DPL’s </w:t>
      </w:r>
      <w:r w:rsidR="00B13ED3">
        <w:rPr>
          <w:rFonts w:ascii="Arial" w:hAnsi="Arial" w:cs="Arial"/>
          <w:sz w:val="24"/>
          <w:szCs w:val="24"/>
        </w:rPr>
        <w:t xml:space="preserve">long-term </w:t>
      </w:r>
      <w:r w:rsidR="007B2CEB">
        <w:rPr>
          <w:rFonts w:ascii="Arial" w:hAnsi="Arial" w:cs="Arial"/>
          <w:sz w:val="24"/>
          <w:szCs w:val="24"/>
        </w:rPr>
        <w:t xml:space="preserve">debt </w:t>
      </w:r>
      <w:r w:rsidR="00B13ED3">
        <w:rPr>
          <w:rFonts w:ascii="Arial" w:hAnsi="Arial" w:cs="Arial"/>
          <w:sz w:val="24"/>
          <w:szCs w:val="24"/>
        </w:rPr>
        <w:t>exclusive</w:t>
      </w:r>
      <w:r w:rsidR="007B2CEB">
        <w:rPr>
          <w:rFonts w:ascii="Arial" w:hAnsi="Arial" w:cs="Arial"/>
          <w:sz w:val="24"/>
          <w:szCs w:val="24"/>
        </w:rPr>
        <w:t xml:space="preserve"> of DP</w:t>
      </w:r>
      <w:r w:rsidR="00B13ED3">
        <w:rPr>
          <w:rFonts w:ascii="Arial" w:hAnsi="Arial" w:cs="Arial"/>
          <w:sz w:val="24"/>
          <w:szCs w:val="24"/>
        </w:rPr>
        <w:t>&amp;</w:t>
      </w:r>
      <w:r w:rsidR="007B2CEB">
        <w:rPr>
          <w:rFonts w:ascii="Arial" w:hAnsi="Arial" w:cs="Arial"/>
          <w:sz w:val="24"/>
          <w:szCs w:val="24"/>
        </w:rPr>
        <w:t>L was $1,</w:t>
      </w:r>
      <w:r w:rsidR="00DF1E3A">
        <w:rPr>
          <w:rFonts w:ascii="Arial" w:hAnsi="Arial" w:cs="Arial"/>
          <w:sz w:val="24"/>
          <w:szCs w:val="24"/>
        </w:rPr>
        <w:t>694.9</w:t>
      </w:r>
      <w:r w:rsidR="007B2CEB">
        <w:rPr>
          <w:rFonts w:ascii="Arial" w:hAnsi="Arial" w:cs="Arial"/>
          <w:sz w:val="24"/>
          <w:szCs w:val="24"/>
        </w:rPr>
        <w:t xml:space="preserve">, </w:t>
      </w:r>
      <w:r w:rsidR="00B13ED3">
        <w:rPr>
          <w:rFonts w:ascii="Arial" w:hAnsi="Arial" w:cs="Arial"/>
          <w:sz w:val="24"/>
          <w:szCs w:val="24"/>
        </w:rPr>
        <w:t xml:space="preserve">or </w:t>
      </w:r>
      <w:r w:rsidR="007B2CEB">
        <w:rPr>
          <w:rFonts w:ascii="Arial" w:hAnsi="Arial" w:cs="Arial"/>
          <w:sz w:val="24"/>
          <w:szCs w:val="24"/>
        </w:rPr>
        <w:t>an increase of $1,5</w:t>
      </w:r>
      <w:r w:rsidR="00B56FA7">
        <w:rPr>
          <w:rFonts w:ascii="Arial" w:hAnsi="Arial" w:cs="Arial"/>
          <w:sz w:val="24"/>
          <w:szCs w:val="24"/>
        </w:rPr>
        <w:t>52.3</w:t>
      </w:r>
      <w:r w:rsidR="007B2CEB">
        <w:rPr>
          <w:rFonts w:ascii="Arial" w:hAnsi="Arial" w:cs="Arial"/>
          <w:sz w:val="24"/>
          <w:szCs w:val="24"/>
        </w:rPr>
        <w:t xml:space="preserve"> million</w:t>
      </w:r>
      <w:r w:rsidR="00165A8A">
        <w:rPr>
          <w:rFonts w:ascii="Arial" w:hAnsi="Arial" w:cs="Arial"/>
          <w:sz w:val="24"/>
          <w:szCs w:val="24"/>
        </w:rPr>
        <w:t xml:space="preserve"> from the end of 2010</w:t>
      </w:r>
      <w:r w:rsidR="007B2CEB">
        <w:rPr>
          <w:rFonts w:ascii="Arial" w:hAnsi="Arial" w:cs="Arial"/>
          <w:sz w:val="24"/>
          <w:szCs w:val="24"/>
        </w:rPr>
        <w:t>.</w:t>
      </w:r>
      <w:r w:rsidR="00B13ED3">
        <w:rPr>
          <w:rFonts w:ascii="Arial" w:hAnsi="Arial" w:cs="Arial"/>
          <w:sz w:val="24"/>
          <w:szCs w:val="24"/>
        </w:rPr>
        <w:t xml:space="preserve">  DPL’s long-term debt was significantly impacted by the acquisition by AES.</w:t>
      </w:r>
    </w:p>
    <w:p w14:paraId="7C5C3EE9" w14:textId="421AF743" w:rsidR="00B13ED3" w:rsidRPr="00D910EB" w:rsidRDefault="00B13ED3" w:rsidP="002B72EA">
      <w:pPr>
        <w:pStyle w:val="BodyText"/>
        <w:spacing w:line="480" w:lineRule="auto"/>
        <w:ind w:left="720" w:hanging="720"/>
        <w:jc w:val="both"/>
        <w:rPr>
          <w:rFonts w:ascii="Arial" w:hAnsi="Arial" w:cs="Arial"/>
          <w:b/>
          <w:sz w:val="24"/>
          <w:szCs w:val="24"/>
        </w:rPr>
      </w:pPr>
      <w:r w:rsidRPr="00D910EB">
        <w:rPr>
          <w:rFonts w:ascii="Arial" w:hAnsi="Arial" w:cs="Arial"/>
          <w:b/>
          <w:sz w:val="24"/>
          <w:szCs w:val="24"/>
        </w:rPr>
        <w:t>Q.</w:t>
      </w:r>
      <w:r w:rsidRPr="00D910EB">
        <w:rPr>
          <w:rFonts w:ascii="Arial" w:hAnsi="Arial" w:cs="Arial"/>
          <w:b/>
          <w:sz w:val="24"/>
          <w:szCs w:val="24"/>
        </w:rPr>
        <w:tab/>
        <w:t xml:space="preserve">Were there other significant financial impacts to the financial position of DPL that were a direct result of the </w:t>
      </w:r>
      <w:r w:rsidR="001B4167" w:rsidRPr="00D910EB">
        <w:rPr>
          <w:rFonts w:ascii="Arial" w:hAnsi="Arial" w:cs="Arial"/>
          <w:b/>
          <w:sz w:val="24"/>
          <w:szCs w:val="24"/>
        </w:rPr>
        <w:t>a</w:t>
      </w:r>
      <w:r w:rsidRPr="00D910EB">
        <w:rPr>
          <w:rFonts w:ascii="Arial" w:hAnsi="Arial" w:cs="Arial"/>
          <w:b/>
          <w:sz w:val="24"/>
          <w:szCs w:val="24"/>
        </w:rPr>
        <w:t>cquisition?</w:t>
      </w:r>
    </w:p>
    <w:p w14:paraId="797FF10C" w14:textId="2EC2A49D" w:rsidR="00B13ED3" w:rsidRDefault="00B13ED3" w:rsidP="002B72EA">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Yes.  </w:t>
      </w:r>
      <w:r w:rsidR="00782744">
        <w:rPr>
          <w:rFonts w:ascii="Arial" w:hAnsi="Arial" w:cs="Arial"/>
          <w:sz w:val="24"/>
          <w:szCs w:val="24"/>
        </w:rPr>
        <w:t xml:space="preserve">AES paid cash of approximately $3,483.6 million dollars for net identifiable assets worth approximately $994.3 million dollars.  </w:t>
      </w:r>
      <w:r>
        <w:rPr>
          <w:rFonts w:ascii="Arial" w:hAnsi="Arial" w:cs="Arial"/>
          <w:sz w:val="24"/>
          <w:szCs w:val="24"/>
        </w:rPr>
        <w:t xml:space="preserve">As a result of the purchase price, DPL was required to book a significant amount of </w:t>
      </w:r>
      <w:r w:rsidR="00782744">
        <w:rPr>
          <w:rFonts w:ascii="Arial" w:hAnsi="Arial" w:cs="Arial"/>
          <w:sz w:val="24"/>
          <w:szCs w:val="24"/>
        </w:rPr>
        <w:t>Goodwill</w:t>
      </w:r>
      <w:r w:rsidR="00B56FA7">
        <w:rPr>
          <w:rStyle w:val="FootnoteReference"/>
          <w:rFonts w:ascii="Arial" w:hAnsi="Arial" w:cs="Arial"/>
          <w:sz w:val="24"/>
          <w:szCs w:val="24"/>
        </w:rPr>
        <w:footnoteReference w:id="3"/>
      </w:r>
      <w:r w:rsidR="00782744">
        <w:rPr>
          <w:rFonts w:ascii="Arial" w:hAnsi="Arial" w:cs="Arial"/>
          <w:sz w:val="24"/>
          <w:szCs w:val="24"/>
        </w:rPr>
        <w:t xml:space="preserve"> of approximately $2,489.3 million</w:t>
      </w:r>
      <w:r w:rsidR="00782744">
        <w:rPr>
          <w:rStyle w:val="FootnoteReference"/>
          <w:rFonts w:ascii="Arial" w:hAnsi="Arial" w:cs="Arial"/>
          <w:sz w:val="24"/>
          <w:szCs w:val="24"/>
        </w:rPr>
        <w:footnoteReference w:id="4"/>
      </w:r>
      <w:r w:rsidR="00782744">
        <w:rPr>
          <w:rFonts w:ascii="Arial" w:hAnsi="Arial" w:cs="Arial"/>
          <w:sz w:val="24"/>
          <w:szCs w:val="24"/>
        </w:rPr>
        <w:t xml:space="preserve">.  </w:t>
      </w:r>
      <w:r w:rsidR="009169D1">
        <w:rPr>
          <w:rFonts w:ascii="Arial" w:hAnsi="Arial" w:cs="Arial"/>
          <w:sz w:val="24"/>
          <w:szCs w:val="24"/>
        </w:rPr>
        <w:t xml:space="preserve">During 2012, DPL recognized an impairment to the value of the goodwill and realized a loss </w:t>
      </w:r>
      <w:r w:rsidR="005E5EF7">
        <w:rPr>
          <w:rFonts w:ascii="Arial" w:hAnsi="Arial" w:cs="Arial"/>
          <w:sz w:val="24"/>
          <w:szCs w:val="24"/>
        </w:rPr>
        <w:t>of $</w:t>
      </w:r>
      <w:r w:rsidR="009169D1">
        <w:rPr>
          <w:rFonts w:ascii="Arial" w:hAnsi="Arial" w:cs="Arial"/>
          <w:sz w:val="24"/>
          <w:szCs w:val="24"/>
        </w:rPr>
        <w:t>1,817.2 million</w:t>
      </w:r>
      <w:r w:rsidR="00A435A9">
        <w:rPr>
          <w:rFonts w:ascii="Arial" w:hAnsi="Arial" w:cs="Arial"/>
          <w:sz w:val="24"/>
          <w:szCs w:val="24"/>
        </w:rPr>
        <w:t xml:space="preserve"> significantly impacting 2012 net income and December 31, 2012 retained earnings</w:t>
      </w:r>
      <w:r w:rsidR="009169D1">
        <w:rPr>
          <w:rFonts w:ascii="Arial" w:hAnsi="Arial" w:cs="Arial"/>
          <w:sz w:val="24"/>
          <w:szCs w:val="24"/>
        </w:rPr>
        <w:t>.</w:t>
      </w:r>
      <w:r w:rsidR="00A435A9">
        <w:rPr>
          <w:rFonts w:ascii="Arial" w:hAnsi="Arial" w:cs="Arial"/>
          <w:sz w:val="24"/>
          <w:szCs w:val="24"/>
        </w:rPr>
        <w:t xml:space="preserve">  The remaining balance of goodwill has been written off as of December 31, 2017.</w:t>
      </w:r>
    </w:p>
    <w:p w14:paraId="1669ABF2" w14:textId="422A64DA" w:rsidR="009A56CF" w:rsidRPr="00D910EB" w:rsidRDefault="004818A6" w:rsidP="002B72EA">
      <w:pPr>
        <w:pStyle w:val="BodyText"/>
        <w:spacing w:line="480" w:lineRule="auto"/>
        <w:ind w:left="720" w:hanging="720"/>
        <w:jc w:val="both"/>
        <w:rPr>
          <w:rFonts w:ascii="Arial" w:hAnsi="Arial" w:cs="Arial"/>
          <w:b/>
          <w:sz w:val="24"/>
          <w:szCs w:val="24"/>
        </w:rPr>
      </w:pPr>
      <w:r w:rsidRPr="00D910EB">
        <w:rPr>
          <w:rFonts w:ascii="Arial" w:hAnsi="Arial" w:cs="Arial"/>
          <w:b/>
          <w:sz w:val="24"/>
          <w:szCs w:val="24"/>
        </w:rPr>
        <w:lastRenderedPageBreak/>
        <w:t>Q.</w:t>
      </w:r>
      <w:r w:rsidRPr="00D910EB">
        <w:rPr>
          <w:rFonts w:ascii="Arial" w:hAnsi="Arial" w:cs="Arial"/>
          <w:b/>
          <w:sz w:val="24"/>
          <w:szCs w:val="24"/>
        </w:rPr>
        <w:tab/>
        <w:t>What were the Credit Ratings of DPL and DP&amp;L senior unsecured debt before and after the acquisition?</w:t>
      </w:r>
    </w:p>
    <w:p w14:paraId="183A634C" w14:textId="59C62714" w:rsidR="004818A6" w:rsidRPr="004818A6" w:rsidRDefault="004818A6" w:rsidP="004818A6">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4818A6">
        <w:rPr>
          <w:rFonts w:ascii="Arial" w:hAnsi="Arial" w:cs="Arial"/>
          <w:sz w:val="24"/>
          <w:szCs w:val="24"/>
        </w:rPr>
        <w:t xml:space="preserve">The following table outlines the debt credit ratings and outlook of each company, along with the effective dates of each rating and outlook for </w:t>
      </w:r>
      <w:r w:rsidRPr="004818A6">
        <w:rPr>
          <w:rFonts w:ascii="Arial" w:hAnsi="Arial" w:cs="Arial"/>
          <w:bCs/>
          <w:sz w:val="24"/>
          <w:szCs w:val="24"/>
        </w:rPr>
        <w:t xml:space="preserve">DPL </w:t>
      </w:r>
      <w:r w:rsidRPr="004818A6">
        <w:rPr>
          <w:rFonts w:ascii="Arial" w:hAnsi="Arial" w:cs="Arial"/>
          <w:sz w:val="24"/>
          <w:szCs w:val="24"/>
        </w:rPr>
        <w:t xml:space="preserve">and </w:t>
      </w:r>
      <w:r w:rsidRPr="004818A6">
        <w:rPr>
          <w:rFonts w:ascii="Arial" w:hAnsi="Arial" w:cs="Arial"/>
          <w:bCs/>
          <w:sz w:val="24"/>
          <w:szCs w:val="24"/>
        </w:rPr>
        <w:t>DP&amp;L</w:t>
      </w:r>
      <w:r w:rsidRPr="004818A6">
        <w:rPr>
          <w:rFonts w:ascii="Arial" w:hAnsi="Arial" w:cs="Arial"/>
          <w:sz w:val="24"/>
          <w:szCs w:val="24"/>
        </w:rPr>
        <w:t>.</w:t>
      </w:r>
      <w:r w:rsidR="00286930">
        <w:rPr>
          <w:rStyle w:val="FootnoteReference"/>
          <w:rFonts w:ascii="Arial" w:hAnsi="Arial" w:cs="Arial"/>
          <w:sz w:val="24"/>
          <w:szCs w:val="24"/>
        </w:rPr>
        <w:footnoteReference w:id="5"/>
      </w:r>
      <w:r w:rsidR="004D5527">
        <w:rPr>
          <w:rFonts w:ascii="Arial" w:hAnsi="Arial" w:cs="Arial"/>
          <w:sz w:val="24"/>
          <w:szCs w:val="24"/>
        </w:rPr>
        <w:t xml:space="preserve">  Three rating agencies downgraded senior unsecured debt of both DPL and DP&amp;L shortly after the acquisition.</w:t>
      </w:r>
    </w:p>
    <w:p w14:paraId="53703C9C" w14:textId="5BECEA5C" w:rsidR="00957090" w:rsidRDefault="002B54BA" w:rsidP="00957090">
      <w:pPr>
        <w:pStyle w:val="BodyText"/>
        <w:spacing w:line="480" w:lineRule="auto"/>
        <w:ind w:left="720" w:hanging="720"/>
        <w:jc w:val="center"/>
        <w:rPr>
          <w:rFonts w:ascii="Arial" w:hAnsi="Arial" w:cs="Arial"/>
          <w:sz w:val="24"/>
          <w:szCs w:val="24"/>
        </w:rPr>
      </w:pPr>
      <w:r w:rsidRPr="002B54BA">
        <w:rPr>
          <w:noProof/>
        </w:rPr>
        <w:drawing>
          <wp:inline distT="0" distB="0" distL="0" distR="0" wp14:anchorId="7A371772" wp14:editId="150DBCEF">
            <wp:extent cx="4524375" cy="1962150"/>
            <wp:effectExtent l="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4375" cy="1962150"/>
                    </a:xfrm>
                    <a:prstGeom prst="rect">
                      <a:avLst/>
                    </a:prstGeom>
                    <a:noFill/>
                    <a:ln>
                      <a:noFill/>
                    </a:ln>
                  </pic:spPr>
                </pic:pic>
              </a:graphicData>
            </a:graphic>
          </wp:inline>
        </w:drawing>
      </w:r>
    </w:p>
    <w:p w14:paraId="2AE7B838" w14:textId="7367178D" w:rsidR="005A78E5" w:rsidRPr="00957090" w:rsidRDefault="005A78E5" w:rsidP="00200210">
      <w:pPr>
        <w:pStyle w:val="BodyText"/>
        <w:spacing w:line="480" w:lineRule="auto"/>
        <w:ind w:left="720"/>
        <w:rPr>
          <w:rFonts w:ascii="Arial" w:hAnsi="Arial" w:cs="Arial"/>
          <w:sz w:val="24"/>
          <w:szCs w:val="24"/>
        </w:rPr>
      </w:pPr>
      <w:r>
        <w:rPr>
          <w:rFonts w:ascii="Arial" w:hAnsi="Arial" w:cs="Arial"/>
          <w:sz w:val="24"/>
          <w:szCs w:val="24"/>
        </w:rPr>
        <w:t>While the merger impacted the credit rating of DPL and DP&amp;L, it clearly had a greater impact on the credit rating of DPL.</w:t>
      </w:r>
    </w:p>
    <w:p w14:paraId="3DE07935" w14:textId="4C8BD11E" w:rsidR="00957090" w:rsidRPr="00D910EB" w:rsidRDefault="00957090" w:rsidP="002B72EA">
      <w:pPr>
        <w:pStyle w:val="BodyText"/>
        <w:spacing w:line="480" w:lineRule="auto"/>
        <w:ind w:left="720" w:hanging="720"/>
        <w:jc w:val="both"/>
        <w:rPr>
          <w:rFonts w:ascii="Arial" w:hAnsi="Arial" w:cs="Arial"/>
          <w:b/>
          <w:sz w:val="24"/>
          <w:szCs w:val="24"/>
        </w:rPr>
      </w:pPr>
      <w:r w:rsidRPr="00D910EB">
        <w:rPr>
          <w:rFonts w:ascii="Arial" w:hAnsi="Arial" w:cs="Arial"/>
          <w:b/>
          <w:sz w:val="24"/>
          <w:szCs w:val="24"/>
        </w:rPr>
        <w:t>Q.</w:t>
      </w:r>
      <w:r w:rsidRPr="00D910EB">
        <w:rPr>
          <w:rFonts w:ascii="Arial" w:hAnsi="Arial" w:cs="Arial"/>
          <w:b/>
          <w:sz w:val="24"/>
          <w:szCs w:val="24"/>
        </w:rPr>
        <w:tab/>
      </w:r>
      <w:r w:rsidR="002B54BA" w:rsidRPr="00D910EB">
        <w:rPr>
          <w:rFonts w:ascii="Arial" w:hAnsi="Arial" w:cs="Arial"/>
          <w:b/>
          <w:sz w:val="24"/>
          <w:szCs w:val="24"/>
        </w:rPr>
        <w:t>What was the financial impact of the AEP acquisition of DPL on DPL’s financial statements?</w:t>
      </w:r>
    </w:p>
    <w:p w14:paraId="5E271986" w14:textId="2DBF4DCB" w:rsidR="002B54BA" w:rsidRDefault="002B54BA" w:rsidP="002B72EA">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743AD6">
        <w:rPr>
          <w:rFonts w:ascii="Arial" w:hAnsi="Arial" w:cs="Arial"/>
          <w:sz w:val="24"/>
          <w:szCs w:val="24"/>
        </w:rPr>
        <w:t>The acquisition had a significant financial negative impact on DPL</w:t>
      </w:r>
      <w:r>
        <w:rPr>
          <w:rFonts w:ascii="Arial" w:hAnsi="Arial" w:cs="Arial"/>
          <w:sz w:val="24"/>
          <w:szCs w:val="24"/>
        </w:rPr>
        <w:t>.</w:t>
      </w:r>
      <w:r w:rsidRPr="002B54BA">
        <w:rPr>
          <w:rFonts w:ascii="Arial" w:hAnsi="Arial" w:cs="Arial"/>
          <w:sz w:val="24"/>
          <w:szCs w:val="24"/>
        </w:rPr>
        <w:t xml:space="preserve"> </w:t>
      </w:r>
      <w:r w:rsidR="00743AD6">
        <w:rPr>
          <w:rFonts w:ascii="Arial" w:hAnsi="Arial" w:cs="Arial"/>
          <w:sz w:val="24"/>
          <w:szCs w:val="24"/>
        </w:rPr>
        <w:t xml:space="preserve"> </w:t>
      </w:r>
      <w:r>
        <w:rPr>
          <w:rFonts w:ascii="Arial" w:hAnsi="Arial" w:cs="Arial"/>
          <w:sz w:val="24"/>
          <w:szCs w:val="24"/>
        </w:rPr>
        <w:t>A significant amount of debt was added to DPL’s balance sheet (approximately $</w:t>
      </w:r>
      <w:r w:rsidR="00B56FA7">
        <w:rPr>
          <w:rFonts w:ascii="Arial" w:hAnsi="Arial" w:cs="Arial"/>
          <w:sz w:val="24"/>
          <w:szCs w:val="24"/>
        </w:rPr>
        <w:t xml:space="preserve">1,552.3 </w:t>
      </w:r>
      <w:r>
        <w:rPr>
          <w:rFonts w:ascii="Arial" w:hAnsi="Arial" w:cs="Arial"/>
          <w:sz w:val="24"/>
          <w:szCs w:val="24"/>
        </w:rPr>
        <w:t>million)</w:t>
      </w:r>
      <w:r w:rsidR="00743AD6">
        <w:rPr>
          <w:rFonts w:ascii="Arial" w:hAnsi="Arial" w:cs="Arial"/>
          <w:sz w:val="24"/>
          <w:szCs w:val="24"/>
        </w:rPr>
        <w:t xml:space="preserve">, a </w:t>
      </w:r>
      <w:r>
        <w:rPr>
          <w:rFonts w:ascii="Arial" w:hAnsi="Arial" w:cs="Arial"/>
          <w:sz w:val="24"/>
          <w:szCs w:val="24"/>
        </w:rPr>
        <w:t xml:space="preserve">material amount of </w:t>
      </w:r>
      <w:r w:rsidR="00743AD6">
        <w:rPr>
          <w:rFonts w:ascii="Arial" w:hAnsi="Arial" w:cs="Arial"/>
          <w:sz w:val="24"/>
          <w:szCs w:val="24"/>
        </w:rPr>
        <w:t>assets</w:t>
      </w:r>
      <w:r>
        <w:rPr>
          <w:rFonts w:ascii="Arial" w:hAnsi="Arial" w:cs="Arial"/>
          <w:sz w:val="24"/>
          <w:szCs w:val="24"/>
        </w:rPr>
        <w:t xml:space="preserve"> (approximately $2,489.3 million) has been </w:t>
      </w:r>
      <w:r w:rsidR="00743AD6">
        <w:rPr>
          <w:rFonts w:ascii="Arial" w:hAnsi="Arial" w:cs="Arial"/>
          <w:sz w:val="24"/>
          <w:szCs w:val="24"/>
        </w:rPr>
        <w:t>lost</w:t>
      </w:r>
      <w:r w:rsidR="002469CE">
        <w:rPr>
          <w:rFonts w:ascii="Arial" w:hAnsi="Arial" w:cs="Arial"/>
          <w:sz w:val="24"/>
          <w:szCs w:val="24"/>
        </w:rPr>
        <w:t>,</w:t>
      </w:r>
      <w:r w:rsidR="00743AD6">
        <w:rPr>
          <w:rFonts w:ascii="Arial" w:hAnsi="Arial" w:cs="Arial"/>
          <w:sz w:val="24"/>
          <w:szCs w:val="24"/>
        </w:rPr>
        <w:t xml:space="preserve"> and </w:t>
      </w:r>
      <w:r w:rsidR="00D26F0E">
        <w:rPr>
          <w:rFonts w:ascii="Arial" w:hAnsi="Arial" w:cs="Arial"/>
          <w:sz w:val="24"/>
          <w:szCs w:val="24"/>
        </w:rPr>
        <w:t>all</w:t>
      </w:r>
      <w:r w:rsidR="00743AD6">
        <w:rPr>
          <w:rFonts w:ascii="Arial" w:hAnsi="Arial" w:cs="Arial"/>
          <w:sz w:val="24"/>
          <w:szCs w:val="24"/>
        </w:rPr>
        <w:t xml:space="preserve"> the credit ratings were downgraded immediately after the acquisition.  The increased debt </w:t>
      </w:r>
      <w:r w:rsidR="00D26F0E">
        <w:rPr>
          <w:rFonts w:ascii="Arial" w:hAnsi="Arial" w:cs="Arial"/>
          <w:sz w:val="24"/>
          <w:szCs w:val="24"/>
        </w:rPr>
        <w:t xml:space="preserve">has become increasingly difficult to service and the lost assets </w:t>
      </w:r>
      <w:r w:rsidR="00AF5125">
        <w:rPr>
          <w:rFonts w:ascii="Arial" w:hAnsi="Arial" w:cs="Arial"/>
          <w:sz w:val="24"/>
          <w:szCs w:val="24"/>
        </w:rPr>
        <w:lastRenderedPageBreak/>
        <w:t>drove</w:t>
      </w:r>
      <w:r w:rsidR="00D26F0E">
        <w:rPr>
          <w:rFonts w:ascii="Arial" w:hAnsi="Arial" w:cs="Arial"/>
          <w:sz w:val="24"/>
          <w:szCs w:val="24"/>
        </w:rPr>
        <w:t xml:space="preserve"> negative retained earnings. </w:t>
      </w:r>
      <w:r w:rsidR="00150808">
        <w:rPr>
          <w:rFonts w:ascii="Arial" w:hAnsi="Arial" w:cs="Arial"/>
          <w:sz w:val="24"/>
          <w:szCs w:val="24"/>
        </w:rPr>
        <w:t>DPL’s current negative financial position was clearly driven by the acquisition by AES.</w:t>
      </w:r>
    </w:p>
    <w:p w14:paraId="489C0209" w14:textId="595B88A0" w:rsidR="004053B9" w:rsidRPr="004727A8" w:rsidRDefault="00864B03" w:rsidP="004727A8">
      <w:pPr>
        <w:pStyle w:val="BodyText"/>
        <w:spacing w:line="480" w:lineRule="auto"/>
        <w:jc w:val="both"/>
        <w:rPr>
          <w:rFonts w:ascii="Arial" w:hAnsi="Arial" w:cs="Arial"/>
          <w:b/>
          <w:sz w:val="24"/>
          <w:szCs w:val="24"/>
        </w:rPr>
      </w:pPr>
      <w:r>
        <w:rPr>
          <w:rFonts w:ascii="Arial" w:hAnsi="Arial" w:cs="Arial"/>
          <w:b/>
          <w:sz w:val="24"/>
          <w:szCs w:val="24"/>
        </w:rPr>
        <w:t xml:space="preserve">III. </w:t>
      </w:r>
      <w:r>
        <w:rPr>
          <w:rFonts w:ascii="Arial" w:hAnsi="Arial" w:cs="Arial"/>
          <w:b/>
          <w:sz w:val="24"/>
          <w:szCs w:val="24"/>
        </w:rPr>
        <w:tab/>
        <w:t>T</w:t>
      </w:r>
      <w:r w:rsidR="0046038E">
        <w:rPr>
          <w:rFonts w:ascii="Arial" w:hAnsi="Arial" w:cs="Arial"/>
          <w:b/>
          <w:sz w:val="24"/>
          <w:szCs w:val="24"/>
        </w:rPr>
        <w:t>HE</w:t>
      </w:r>
      <w:r>
        <w:rPr>
          <w:rFonts w:ascii="Arial" w:hAnsi="Arial" w:cs="Arial"/>
          <w:b/>
          <w:sz w:val="24"/>
          <w:szCs w:val="24"/>
        </w:rPr>
        <w:t xml:space="preserve"> DMR</w:t>
      </w:r>
    </w:p>
    <w:p w14:paraId="3B5DFED7" w14:textId="77777777" w:rsidR="001E1E77" w:rsidRPr="00B67D6D" w:rsidRDefault="001E1E77" w:rsidP="00B67D6D">
      <w:pPr>
        <w:pStyle w:val="BodyText"/>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r>
      <w:r w:rsidRPr="00B67D6D">
        <w:rPr>
          <w:rFonts w:ascii="Arial" w:hAnsi="Arial" w:cs="Arial"/>
          <w:b/>
          <w:sz w:val="24"/>
          <w:szCs w:val="24"/>
        </w:rPr>
        <w:t>Will you describe the DMR?</w:t>
      </w:r>
    </w:p>
    <w:p w14:paraId="20065A7F" w14:textId="08719B42" w:rsidR="008A1E11" w:rsidRDefault="008A1E11" w:rsidP="00864B03">
      <w:pPr>
        <w:pStyle w:val="BodyText"/>
        <w:spacing w:line="480" w:lineRule="auto"/>
        <w:ind w:left="720" w:hanging="720"/>
        <w:jc w:val="both"/>
        <w:rPr>
          <w:rFonts w:ascii="Arial" w:hAnsi="Arial" w:cs="Arial"/>
          <w:sz w:val="24"/>
          <w:szCs w:val="24"/>
        </w:rPr>
      </w:pPr>
      <w:r w:rsidRPr="00E65997">
        <w:rPr>
          <w:rFonts w:ascii="Arial" w:hAnsi="Arial" w:cs="Arial"/>
          <w:sz w:val="24"/>
          <w:szCs w:val="24"/>
        </w:rPr>
        <w:t>A.</w:t>
      </w:r>
      <w:r w:rsidR="00966505" w:rsidRPr="00E65997">
        <w:rPr>
          <w:rFonts w:ascii="Arial" w:hAnsi="Arial" w:cs="Arial"/>
          <w:sz w:val="24"/>
          <w:szCs w:val="24"/>
        </w:rPr>
        <w:tab/>
      </w:r>
      <w:r w:rsidR="00E65997" w:rsidRPr="00E65997">
        <w:rPr>
          <w:rFonts w:ascii="Arial" w:hAnsi="Arial" w:cs="Arial"/>
          <w:sz w:val="24"/>
          <w:szCs w:val="24"/>
        </w:rPr>
        <w:t>T</w:t>
      </w:r>
      <w:r w:rsidR="00966505" w:rsidRPr="00E65997">
        <w:rPr>
          <w:rFonts w:ascii="Arial" w:hAnsi="Arial" w:cs="Arial"/>
          <w:sz w:val="24"/>
          <w:szCs w:val="24"/>
        </w:rPr>
        <w:t xml:space="preserve">he DMR </w:t>
      </w:r>
      <w:r w:rsidR="00E65997">
        <w:rPr>
          <w:rFonts w:ascii="Arial" w:hAnsi="Arial" w:cs="Arial"/>
          <w:sz w:val="24"/>
          <w:szCs w:val="24"/>
        </w:rPr>
        <w:t>is</w:t>
      </w:r>
      <w:r w:rsidR="00A621D5">
        <w:rPr>
          <w:rFonts w:ascii="Arial" w:hAnsi="Arial" w:cs="Arial"/>
          <w:sz w:val="24"/>
          <w:szCs w:val="24"/>
        </w:rPr>
        <w:t xml:space="preserve"> </w:t>
      </w:r>
      <w:r w:rsidR="009034A0">
        <w:rPr>
          <w:rFonts w:ascii="Arial" w:hAnsi="Arial" w:cs="Arial"/>
          <w:sz w:val="24"/>
          <w:szCs w:val="24"/>
        </w:rPr>
        <w:t xml:space="preserve">described as </w:t>
      </w:r>
      <w:r w:rsidR="00A621D5">
        <w:rPr>
          <w:rFonts w:ascii="Arial" w:hAnsi="Arial" w:cs="Arial"/>
          <w:sz w:val="24"/>
          <w:szCs w:val="24"/>
        </w:rPr>
        <w:t>a rider that will</w:t>
      </w:r>
      <w:r w:rsidR="00012010">
        <w:rPr>
          <w:rFonts w:ascii="Arial" w:hAnsi="Arial" w:cs="Arial"/>
          <w:sz w:val="24"/>
          <w:szCs w:val="24"/>
        </w:rPr>
        <w:t xml:space="preserve"> </w:t>
      </w:r>
      <w:r w:rsidR="00741A11" w:rsidRPr="00E65997">
        <w:rPr>
          <w:rFonts w:ascii="Arial" w:hAnsi="Arial" w:cs="Arial"/>
          <w:sz w:val="24"/>
          <w:szCs w:val="24"/>
        </w:rPr>
        <w:t>enhance</w:t>
      </w:r>
      <w:r w:rsidR="00966505" w:rsidRPr="00E65997">
        <w:rPr>
          <w:rFonts w:ascii="Arial" w:hAnsi="Arial" w:cs="Arial"/>
          <w:sz w:val="24"/>
          <w:szCs w:val="24"/>
        </w:rPr>
        <w:t xml:space="preserve"> DP&amp;L's </w:t>
      </w:r>
      <w:bookmarkStart w:id="6" w:name="_Hlk535396878"/>
      <w:r w:rsidR="00966505" w:rsidRPr="00E65997">
        <w:rPr>
          <w:rFonts w:ascii="Arial" w:hAnsi="Arial" w:cs="Arial"/>
          <w:sz w:val="24"/>
          <w:szCs w:val="24"/>
        </w:rPr>
        <w:t>financial integrity and provide for a more robust distribution service for customers</w:t>
      </w:r>
      <w:bookmarkEnd w:id="6"/>
      <w:r w:rsidR="00E65997" w:rsidRPr="00E65997">
        <w:rPr>
          <w:rFonts w:ascii="Arial" w:hAnsi="Arial" w:cs="Arial"/>
          <w:sz w:val="24"/>
          <w:szCs w:val="24"/>
        </w:rPr>
        <w:t>.</w:t>
      </w:r>
      <w:r w:rsidR="00E65997" w:rsidRPr="00E65997">
        <w:rPr>
          <w:rStyle w:val="FootnoteReference"/>
          <w:rFonts w:ascii="Arial" w:hAnsi="Arial" w:cs="Arial"/>
          <w:sz w:val="24"/>
          <w:szCs w:val="24"/>
        </w:rPr>
        <w:footnoteReference w:id="6"/>
      </w:r>
      <w:r w:rsidR="00E65997" w:rsidRPr="00E65997">
        <w:t xml:space="preserve"> </w:t>
      </w:r>
      <w:r w:rsidR="00E65997" w:rsidRPr="00E65997">
        <w:rPr>
          <w:rFonts w:ascii="Arial" w:hAnsi="Arial" w:cs="Arial"/>
          <w:sz w:val="24"/>
          <w:szCs w:val="24"/>
        </w:rPr>
        <w:t xml:space="preserve"> </w:t>
      </w:r>
      <w:r w:rsidR="009034A0">
        <w:rPr>
          <w:rFonts w:ascii="Arial" w:hAnsi="Arial" w:cs="Arial"/>
          <w:sz w:val="24"/>
          <w:szCs w:val="24"/>
        </w:rPr>
        <w:t>The DMR is a</w:t>
      </w:r>
      <w:r w:rsidR="00E65997" w:rsidRPr="00E65997">
        <w:rPr>
          <w:rFonts w:ascii="Arial" w:hAnsi="Arial" w:cs="Arial"/>
          <w:sz w:val="24"/>
          <w:szCs w:val="24"/>
        </w:rPr>
        <w:t xml:space="preserve"> non-</w:t>
      </w:r>
      <w:r w:rsidR="00A621D5" w:rsidRPr="00E65997">
        <w:rPr>
          <w:rFonts w:ascii="Arial" w:hAnsi="Arial" w:cs="Arial"/>
          <w:sz w:val="24"/>
          <w:szCs w:val="24"/>
        </w:rPr>
        <w:t>by passable</w:t>
      </w:r>
      <w:r w:rsidR="00E65997" w:rsidRPr="00E65997">
        <w:rPr>
          <w:rFonts w:ascii="Arial" w:hAnsi="Arial" w:cs="Arial"/>
          <w:sz w:val="24"/>
          <w:szCs w:val="24"/>
        </w:rPr>
        <w:t xml:space="preserve"> </w:t>
      </w:r>
      <w:r w:rsidR="009034A0">
        <w:rPr>
          <w:rFonts w:ascii="Arial" w:hAnsi="Arial" w:cs="Arial"/>
          <w:sz w:val="24"/>
          <w:szCs w:val="24"/>
        </w:rPr>
        <w:t>charge</w:t>
      </w:r>
      <w:r w:rsidR="00E14A08">
        <w:rPr>
          <w:rFonts w:ascii="Arial" w:hAnsi="Arial" w:cs="Arial"/>
          <w:sz w:val="24"/>
          <w:szCs w:val="24"/>
        </w:rPr>
        <w:t xml:space="preserve"> </w:t>
      </w:r>
      <w:r w:rsidR="00E65997" w:rsidRPr="00E65997">
        <w:rPr>
          <w:rFonts w:ascii="Arial" w:hAnsi="Arial" w:cs="Arial"/>
          <w:sz w:val="24"/>
          <w:szCs w:val="24"/>
        </w:rPr>
        <w:t>for years 1 through 3 of the term of the ESP</w:t>
      </w:r>
      <w:r w:rsidR="00A2084F">
        <w:rPr>
          <w:rFonts w:ascii="Arial" w:hAnsi="Arial" w:cs="Arial"/>
          <w:sz w:val="24"/>
          <w:szCs w:val="24"/>
        </w:rPr>
        <w:t xml:space="preserve">.  </w:t>
      </w:r>
      <w:r w:rsidR="00E65997" w:rsidRPr="00E65997">
        <w:rPr>
          <w:rFonts w:ascii="Arial" w:hAnsi="Arial" w:cs="Arial"/>
          <w:sz w:val="24"/>
          <w:szCs w:val="24"/>
        </w:rPr>
        <w:t>The DMR</w:t>
      </w:r>
      <w:r w:rsidR="00864B03">
        <w:rPr>
          <w:rFonts w:ascii="Arial" w:hAnsi="Arial" w:cs="Arial"/>
          <w:sz w:val="24"/>
          <w:szCs w:val="24"/>
        </w:rPr>
        <w:t xml:space="preserve"> is proposed to</w:t>
      </w:r>
      <w:r w:rsidR="00A2084F">
        <w:rPr>
          <w:rFonts w:ascii="Arial" w:hAnsi="Arial" w:cs="Arial"/>
          <w:sz w:val="24"/>
          <w:szCs w:val="24"/>
        </w:rPr>
        <w:t xml:space="preserve"> </w:t>
      </w:r>
      <w:r w:rsidR="00E65997" w:rsidRPr="00E65997">
        <w:rPr>
          <w:rFonts w:ascii="Arial" w:hAnsi="Arial" w:cs="Arial"/>
          <w:sz w:val="24"/>
          <w:szCs w:val="24"/>
        </w:rPr>
        <w:t>collect $105 million per year.</w:t>
      </w:r>
      <w:r w:rsidR="00A621D5">
        <w:rPr>
          <w:rFonts w:ascii="Arial" w:hAnsi="Arial" w:cs="Arial"/>
          <w:sz w:val="24"/>
          <w:szCs w:val="24"/>
        </w:rPr>
        <w:t xml:space="preserve"> </w:t>
      </w:r>
      <w:r w:rsidR="00E14A08" w:rsidRPr="00E14A08">
        <w:rPr>
          <w:rFonts w:ascii="Arial" w:hAnsi="Arial" w:cs="Arial"/>
          <w:sz w:val="24"/>
          <w:szCs w:val="24"/>
        </w:rPr>
        <w:t xml:space="preserve"> DP&amp;L </w:t>
      </w:r>
      <w:r w:rsidR="009034A0">
        <w:rPr>
          <w:rFonts w:ascii="Arial" w:hAnsi="Arial" w:cs="Arial"/>
          <w:sz w:val="24"/>
          <w:szCs w:val="24"/>
        </w:rPr>
        <w:t>has</w:t>
      </w:r>
      <w:r w:rsidR="00E14A08" w:rsidRPr="00E14A08">
        <w:rPr>
          <w:rFonts w:ascii="Arial" w:hAnsi="Arial" w:cs="Arial"/>
          <w:sz w:val="24"/>
          <w:szCs w:val="24"/>
        </w:rPr>
        <w:t xml:space="preserve"> the option of extending the duration of </w:t>
      </w:r>
      <w:r w:rsidR="00E14A08">
        <w:rPr>
          <w:rFonts w:ascii="Arial" w:hAnsi="Arial" w:cs="Arial"/>
          <w:sz w:val="24"/>
          <w:szCs w:val="24"/>
        </w:rPr>
        <w:t xml:space="preserve">the </w:t>
      </w:r>
      <w:r w:rsidR="00E14A08" w:rsidRPr="00E14A08">
        <w:rPr>
          <w:rFonts w:ascii="Arial" w:hAnsi="Arial" w:cs="Arial"/>
          <w:sz w:val="24"/>
          <w:szCs w:val="24"/>
        </w:rPr>
        <w:t xml:space="preserve">DMR </w:t>
      </w:r>
      <w:r w:rsidR="00E14A08">
        <w:rPr>
          <w:rFonts w:ascii="Arial" w:hAnsi="Arial" w:cs="Arial"/>
          <w:sz w:val="24"/>
          <w:szCs w:val="24"/>
        </w:rPr>
        <w:t xml:space="preserve">rider </w:t>
      </w:r>
      <w:r w:rsidR="00E14A08" w:rsidRPr="00E14A08">
        <w:rPr>
          <w:rFonts w:ascii="Arial" w:hAnsi="Arial" w:cs="Arial"/>
          <w:sz w:val="24"/>
          <w:szCs w:val="24"/>
        </w:rPr>
        <w:t>for an additional two years.</w:t>
      </w:r>
      <w:r w:rsidR="00E14A08">
        <w:rPr>
          <w:rFonts w:ascii="Arial" w:hAnsi="Arial" w:cs="Arial"/>
          <w:sz w:val="24"/>
          <w:szCs w:val="24"/>
        </w:rPr>
        <w:t xml:space="preserve">  </w:t>
      </w:r>
      <w:r w:rsidR="00E14A08" w:rsidRPr="00E14A08">
        <w:rPr>
          <w:rFonts w:ascii="Arial" w:hAnsi="Arial" w:cs="Arial"/>
          <w:sz w:val="24"/>
          <w:szCs w:val="24"/>
        </w:rPr>
        <w:t xml:space="preserve">Cash flow from the DMR will be used to </w:t>
      </w:r>
      <w:bookmarkStart w:id="7" w:name="_Hlk443640"/>
      <w:r w:rsidR="00E14A08" w:rsidRPr="00E14A08">
        <w:rPr>
          <w:rFonts w:ascii="Arial" w:hAnsi="Arial" w:cs="Arial"/>
          <w:sz w:val="24"/>
          <w:szCs w:val="24"/>
        </w:rPr>
        <w:t>(a) pay interest obligations on</w:t>
      </w:r>
      <w:r w:rsidR="00E14A08">
        <w:rPr>
          <w:rFonts w:ascii="Arial" w:hAnsi="Arial" w:cs="Arial"/>
          <w:sz w:val="24"/>
          <w:szCs w:val="24"/>
        </w:rPr>
        <w:t xml:space="preserve"> </w:t>
      </w:r>
      <w:r w:rsidR="00E14A08" w:rsidRPr="00E14A08">
        <w:rPr>
          <w:rFonts w:ascii="Arial" w:hAnsi="Arial" w:cs="Arial"/>
          <w:sz w:val="24"/>
          <w:szCs w:val="24"/>
        </w:rPr>
        <w:t xml:space="preserve">existing debt at DPL Inc. and DP&amp;L; (b) </w:t>
      </w:r>
      <w:bookmarkStart w:id="8" w:name="_Hlk338468"/>
      <w:r w:rsidR="00E14A08" w:rsidRPr="00E14A08">
        <w:rPr>
          <w:rFonts w:ascii="Arial" w:hAnsi="Arial" w:cs="Arial"/>
          <w:sz w:val="24"/>
          <w:szCs w:val="24"/>
        </w:rPr>
        <w:t>make discretionary debt</w:t>
      </w:r>
      <w:r w:rsidR="00E14A08">
        <w:rPr>
          <w:rFonts w:ascii="Arial" w:hAnsi="Arial" w:cs="Arial"/>
          <w:sz w:val="24"/>
          <w:szCs w:val="24"/>
        </w:rPr>
        <w:t xml:space="preserve"> </w:t>
      </w:r>
      <w:r w:rsidR="00E14A08" w:rsidRPr="00E14A08">
        <w:rPr>
          <w:rFonts w:ascii="Arial" w:hAnsi="Arial" w:cs="Arial"/>
          <w:sz w:val="24"/>
          <w:szCs w:val="24"/>
        </w:rPr>
        <w:t>prepayments at DPL Inc. and DP&amp;L; and (c) position DP&amp;L to make</w:t>
      </w:r>
      <w:r w:rsidR="00E14A08">
        <w:rPr>
          <w:rFonts w:ascii="Arial" w:hAnsi="Arial" w:cs="Arial"/>
          <w:sz w:val="24"/>
          <w:szCs w:val="24"/>
        </w:rPr>
        <w:t xml:space="preserve"> </w:t>
      </w:r>
      <w:r w:rsidR="00E14A08" w:rsidRPr="00E14A08">
        <w:rPr>
          <w:rFonts w:ascii="Arial" w:hAnsi="Arial" w:cs="Arial"/>
          <w:sz w:val="24"/>
          <w:szCs w:val="24"/>
        </w:rPr>
        <w:t>capital expenditures to modernize and/or maintain DP&amp;L's transmission</w:t>
      </w:r>
      <w:r w:rsidR="00E14A08">
        <w:rPr>
          <w:rFonts w:ascii="Arial" w:hAnsi="Arial" w:cs="Arial"/>
          <w:sz w:val="24"/>
          <w:szCs w:val="24"/>
        </w:rPr>
        <w:t xml:space="preserve"> </w:t>
      </w:r>
      <w:r w:rsidR="00E14A08" w:rsidRPr="00E14A08">
        <w:rPr>
          <w:rFonts w:ascii="Arial" w:hAnsi="Arial" w:cs="Arial"/>
          <w:sz w:val="24"/>
          <w:szCs w:val="24"/>
        </w:rPr>
        <w:t>and distribution infrastructure</w:t>
      </w:r>
      <w:bookmarkEnd w:id="7"/>
      <w:r w:rsidR="00E14A08" w:rsidRPr="00E14A08">
        <w:rPr>
          <w:rFonts w:ascii="Arial" w:hAnsi="Arial" w:cs="Arial"/>
          <w:sz w:val="24"/>
          <w:szCs w:val="24"/>
        </w:rPr>
        <w:t>.</w:t>
      </w:r>
      <w:bookmarkEnd w:id="8"/>
      <w:r w:rsidR="00E14A08">
        <w:rPr>
          <w:rFonts w:ascii="Arial" w:hAnsi="Arial" w:cs="Arial"/>
          <w:sz w:val="24"/>
          <w:szCs w:val="24"/>
        </w:rPr>
        <w:t xml:space="preserve">  </w:t>
      </w:r>
      <w:r w:rsidR="00E14A08" w:rsidRPr="00E14A08">
        <w:rPr>
          <w:rFonts w:ascii="Arial" w:hAnsi="Arial" w:cs="Arial"/>
          <w:sz w:val="24"/>
          <w:szCs w:val="24"/>
        </w:rPr>
        <w:t xml:space="preserve">DMR </w:t>
      </w:r>
      <w:r w:rsidR="00741A11">
        <w:rPr>
          <w:rFonts w:ascii="Arial" w:hAnsi="Arial" w:cs="Arial"/>
          <w:sz w:val="24"/>
          <w:szCs w:val="24"/>
        </w:rPr>
        <w:t>funds</w:t>
      </w:r>
      <w:r w:rsidR="00E14A08" w:rsidRPr="00E14A08">
        <w:rPr>
          <w:rFonts w:ascii="Arial" w:hAnsi="Arial" w:cs="Arial"/>
          <w:sz w:val="24"/>
          <w:szCs w:val="24"/>
        </w:rPr>
        <w:t xml:space="preserve"> </w:t>
      </w:r>
      <w:r w:rsidR="00A621D5">
        <w:rPr>
          <w:rFonts w:ascii="Arial" w:hAnsi="Arial" w:cs="Arial"/>
          <w:sz w:val="24"/>
          <w:szCs w:val="24"/>
        </w:rPr>
        <w:t xml:space="preserve">are to </w:t>
      </w:r>
      <w:r w:rsidR="00E14A08" w:rsidRPr="00E14A08">
        <w:rPr>
          <w:rFonts w:ascii="Arial" w:hAnsi="Arial" w:cs="Arial"/>
          <w:sz w:val="24"/>
          <w:szCs w:val="24"/>
        </w:rPr>
        <w:t>be excluded from Significantly Excessive</w:t>
      </w:r>
      <w:r w:rsidR="00741A11">
        <w:rPr>
          <w:rFonts w:ascii="Arial" w:hAnsi="Arial" w:cs="Arial"/>
          <w:sz w:val="24"/>
          <w:szCs w:val="24"/>
        </w:rPr>
        <w:t xml:space="preserve"> </w:t>
      </w:r>
      <w:r w:rsidR="00E14A08" w:rsidRPr="00E14A08">
        <w:rPr>
          <w:rFonts w:ascii="Arial" w:hAnsi="Arial" w:cs="Arial"/>
          <w:sz w:val="24"/>
          <w:szCs w:val="24"/>
        </w:rPr>
        <w:t>Earnings Test ("SEET") calculations</w:t>
      </w:r>
      <w:r w:rsidR="00741A11">
        <w:rPr>
          <w:rFonts w:ascii="Arial" w:hAnsi="Arial" w:cs="Arial"/>
          <w:sz w:val="24"/>
          <w:szCs w:val="24"/>
        </w:rPr>
        <w:t>.</w:t>
      </w:r>
    </w:p>
    <w:p w14:paraId="22AE09A6" w14:textId="63CA200F" w:rsidR="00B656B7" w:rsidRDefault="00B656B7" w:rsidP="00E14A08">
      <w:pPr>
        <w:pStyle w:val="BodyText"/>
        <w:spacing w:line="480" w:lineRule="auto"/>
        <w:ind w:left="720" w:hanging="720"/>
        <w:jc w:val="both"/>
        <w:rPr>
          <w:rFonts w:ascii="Arial" w:hAnsi="Arial" w:cs="Arial"/>
          <w:sz w:val="24"/>
          <w:szCs w:val="24"/>
        </w:rPr>
      </w:pPr>
      <w:r w:rsidRPr="00EB240D">
        <w:rPr>
          <w:rFonts w:ascii="Arial" w:hAnsi="Arial" w:cs="Arial"/>
          <w:b/>
          <w:sz w:val="24"/>
          <w:szCs w:val="24"/>
        </w:rPr>
        <w:t>Q</w:t>
      </w:r>
      <w:r>
        <w:rPr>
          <w:rFonts w:ascii="Arial" w:hAnsi="Arial" w:cs="Arial"/>
          <w:sz w:val="24"/>
          <w:szCs w:val="24"/>
        </w:rPr>
        <w:t>.</w:t>
      </w:r>
      <w:r>
        <w:rPr>
          <w:rFonts w:ascii="Arial" w:hAnsi="Arial" w:cs="Arial"/>
          <w:sz w:val="24"/>
          <w:szCs w:val="24"/>
        </w:rPr>
        <w:tab/>
      </w:r>
      <w:r w:rsidR="003A5B88">
        <w:rPr>
          <w:rFonts w:ascii="Arial" w:hAnsi="Arial" w:cs="Arial"/>
          <w:b/>
          <w:sz w:val="24"/>
          <w:szCs w:val="24"/>
        </w:rPr>
        <w:t>The Stipulation describes the DMR as revenue</w:t>
      </w:r>
      <w:r w:rsidR="005A78E5">
        <w:rPr>
          <w:rFonts w:ascii="Arial" w:hAnsi="Arial" w:cs="Arial"/>
          <w:b/>
          <w:sz w:val="24"/>
          <w:szCs w:val="24"/>
        </w:rPr>
        <w:t>.</w:t>
      </w:r>
      <w:r w:rsidR="003A5B88">
        <w:rPr>
          <w:rStyle w:val="FootnoteReference"/>
          <w:rFonts w:ascii="Arial" w:hAnsi="Arial" w:cs="Arial"/>
          <w:b/>
          <w:sz w:val="24"/>
          <w:szCs w:val="24"/>
        </w:rPr>
        <w:footnoteReference w:id="7"/>
      </w:r>
      <w:r w:rsidR="003A5B88">
        <w:rPr>
          <w:rFonts w:ascii="Arial" w:hAnsi="Arial" w:cs="Arial"/>
          <w:b/>
          <w:sz w:val="24"/>
          <w:szCs w:val="24"/>
        </w:rPr>
        <w:t xml:space="preserve">  Is the DMR revenue?</w:t>
      </w:r>
    </w:p>
    <w:p w14:paraId="09B4DFC1" w14:textId="523DA2DF" w:rsidR="00B656B7" w:rsidRDefault="00B656B7" w:rsidP="00E14A08">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3A5B88">
        <w:rPr>
          <w:rFonts w:ascii="Arial" w:hAnsi="Arial" w:cs="Arial"/>
          <w:sz w:val="24"/>
          <w:szCs w:val="24"/>
        </w:rPr>
        <w:t xml:space="preserve">No.  The DMR </w:t>
      </w:r>
      <w:r w:rsidR="00B77194">
        <w:rPr>
          <w:rFonts w:ascii="Arial" w:hAnsi="Arial" w:cs="Arial"/>
          <w:sz w:val="24"/>
          <w:szCs w:val="24"/>
        </w:rPr>
        <w:t>is custo</w:t>
      </w:r>
      <w:r w:rsidR="003A5B88">
        <w:rPr>
          <w:rFonts w:ascii="Arial" w:hAnsi="Arial" w:cs="Arial"/>
          <w:sz w:val="24"/>
          <w:szCs w:val="24"/>
        </w:rPr>
        <w:t>mer provided funding to</w:t>
      </w:r>
      <w:r w:rsidR="00F521BF">
        <w:rPr>
          <w:rFonts w:ascii="Arial" w:hAnsi="Arial" w:cs="Arial"/>
          <w:sz w:val="24"/>
          <w:szCs w:val="24"/>
        </w:rPr>
        <w:t xml:space="preserve"> allegedly</w:t>
      </w:r>
      <w:r w:rsidR="003A5B88">
        <w:rPr>
          <w:rFonts w:ascii="Arial" w:hAnsi="Arial" w:cs="Arial"/>
          <w:sz w:val="24"/>
          <w:szCs w:val="24"/>
        </w:rPr>
        <w:t xml:space="preserve"> improve the financial stability of </w:t>
      </w:r>
      <w:r w:rsidR="00EB240D">
        <w:rPr>
          <w:rFonts w:ascii="Arial" w:hAnsi="Arial" w:cs="Arial"/>
          <w:sz w:val="24"/>
          <w:szCs w:val="24"/>
        </w:rPr>
        <w:t xml:space="preserve">DPL </w:t>
      </w:r>
      <w:r w:rsidR="00EB240D" w:rsidRPr="002469CE">
        <w:rPr>
          <w:rFonts w:ascii="Arial" w:hAnsi="Arial" w:cs="Arial"/>
          <w:sz w:val="24"/>
          <w:szCs w:val="24"/>
        </w:rPr>
        <w:t xml:space="preserve">and </w:t>
      </w:r>
      <w:r w:rsidR="003A5B88" w:rsidRPr="002469CE">
        <w:rPr>
          <w:rFonts w:ascii="Arial" w:hAnsi="Arial" w:cs="Arial"/>
          <w:sz w:val="24"/>
          <w:szCs w:val="24"/>
        </w:rPr>
        <w:t>DP&amp;L and</w:t>
      </w:r>
      <w:r w:rsidR="007D586A" w:rsidRPr="002469CE">
        <w:rPr>
          <w:rFonts w:ascii="Arial" w:hAnsi="Arial" w:cs="Arial"/>
          <w:sz w:val="24"/>
          <w:szCs w:val="24"/>
        </w:rPr>
        <w:t>/or</w:t>
      </w:r>
      <w:r w:rsidR="003A5B88" w:rsidRPr="002469CE">
        <w:rPr>
          <w:rFonts w:ascii="Arial" w:hAnsi="Arial" w:cs="Arial"/>
          <w:sz w:val="24"/>
          <w:szCs w:val="24"/>
        </w:rPr>
        <w:t xml:space="preserve"> to provide funding to assist DP&amp;L</w:t>
      </w:r>
      <w:r w:rsidR="003A5B88">
        <w:rPr>
          <w:rFonts w:ascii="Arial" w:hAnsi="Arial" w:cs="Arial"/>
          <w:sz w:val="24"/>
          <w:szCs w:val="24"/>
        </w:rPr>
        <w:t xml:space="preserve"> to make</w:t>
      </w:r>
      <w:r w:rsidR="00B77194">
        <w:rPr>
          <w:rFonts w:ascii="Arial" w:hAnsi="Arial" w:cs="Arial"/>
          <w:sz w:val="24"/>
          <w:szCs w:val="24"/>
        </w:rPr>
        <w:t xml:space="preserve"> future</w:t>
      </w:r>
      <w:r w:rsidR="003A5B88">
        <w:rPr>
          <w:rFonts w:ascii="Arial" w:hAnsi="Arial" w:cs="Arial"/>
          <w:sz w:val="24"/>
          <w:szCs w:val="24"/>
        </w:rPr>
        <w:t xml:space="preserve"> capital </w:t>
      </w:r>
      <w:r w:rsidR="00B77194">
        <w:rPr>
          <w:rFonts w:ascii="Arial" w:hAnsi="Arial" w:cs="Arial"/>
          <w:sz w:val="24"/>
          <w:szCs w:val="24"/>
        </w:rPr>
        <w:t>expenditures to</w:t>
      </w:r>
      <w:r w:rsidR="003A5B88">
        <w:rPr>
          <w:rFonts w:ascii="Arial" w:hAnsi="Arial" w:cs="Arial"/>
          <w:sz w:val="24"/>
          <w:szCs w:val="24"/>
        </w:rPr>
        <w:t xml:space="preserve"> modernize and or maintain its transmission and distribution grid.  </w:t>
      </w:r>
      <w:r w:rsidR="00B77194">
        <w:rPr>
          <w:rFonts w:ascii="Arial" w:hAnsi="Arial" w:cs="Arial"/>
          <w:sz w:val="24"/>
          <w:szCs w:val="24"/>
        </w:rPr>
        <w:t>None of th</w:t>
      </w:r>
      <w:r w:rsidR="007D586A">
        <w:rPr>
          <w:rFonts w:ascii="Arial" w:hAnsi="Arial" w:cs="Arial"/>
          <w:sz w:val="24"/>
          <w:szCs w:val="24"/>
        </w:rPr>
        <w:t>ese D</w:t>
      </w:r>
      <w:r w:rsidR="00F521BF">
        <w:rPr>
          <w:rFonts w:ascii="Arial" w:hAnsi="Arial" w:cs="Arial"/>
          <w:sz w:val="24"/>
          <w:szCs w:val="24"/>
        </w:rPr>
        <w:t>MR</w:t>
      </w:r>
      <w:r w:rsidR="007D586A">
        <w:rPr>
          <w:rFonts w:ascii="Arial" w:hAnsi="Arial" w:cs="Arial"/>
          <w:sz w:val="24"/>
          <w:szCs w:val="24"/>
        </w:rPr>
        <w:t xml:space="preserve"> receipts are </w:t>
      </w:r>
      <w:r w:rsidR="00B77194">
        <w:rPr>
          <w:rFonts w:ascii="Arial" w:hAnsi="Arial" w:cs="Arial"/>
          <w:sz w:val="24"/>
          <w:szCs w:val="24"/>
        </w:rPr>
        <w:t>revenue</w:t>
      </w:r>
      <w:r w:rsidR="007D586A">
        <w:rPr>
          <w:rFonts w:ascii="Arial" w:hAnsi="Arial" w:cs="Arial"/>
          <w:sz w:val="24"/>
          <w:szCs w:val="24"/>
        </w:rPr>
        <w:t>, it is customer provided funding</w:t>
      </w:r>
      <w:r w:rsidR="00B77194">
        <w:rPr>
          <w:rFonts w:ascii="Arial" w:hAnsi="Arial" w:cs="Arial"/>
          <w:sz w:val="24"/>
          <w:szCs w:val="24"/>
        </w:rPr>
        <w:t>.  Since it is customer provided funding,</w:t>
      </w:r>
      <w:r w:rsidR="00F521BF">
        <w:rPr>
          <w:rFonts w:ascii="Arial" w:hAnsi="Arial" w:cs="Arial"/>
          <w:sz w:val="24"/>
          <w:szCs w:val="24"/>
        </w:rPr>
        <w:t xml:space="preserve"> to the extent the DMR is approve</w:t>
      </w:r>
      <w:r w:rsidR="00EB240D">
        <w:rPr>
          <w:rFonts w:ascii="Arial" w:hAnsi="Arial" w:cs="Arial"/>
          <w:sz w:val="24"/>
          <w:szCs w:val="24"/>
        </w:rPr>
        <w:t>d</w:t>
      </w:r>
      <w:r w:rsidR="00F521BF">
        <w:rPr>
          <w:rFonts w:ascii="Arial" w:hAnsi="Arial" w:cs="Arial"/>
          <w:sz w:val="24"/>
          <w:szCs w:val="24"/>
        </w:rPr>
        <w:t>,</w:t>
      </w:r>
      <w:r w:rsidR="00B77194">
        <w:rPr>
          <w:rFonts w:ascii="Arial" w:hAnsi="Arial" w:cs="Arial"/>
          <w:sz w:val="24"/>
          <w:szCs w:val="24"/>
        </w:rPr>
        <w:t xml:space="preserve"> the D</w:t>
      </w:r>
      <w:r w:rsidR="00F521BF">
        <w:rPr>
          <w:rFonts w:ascii="Arial" w:hAnsi="Arial" w:cs="Arial"/>
          <w:sz w:val="24"/>
          <w:szCs w:val="24"/>
        </w:rPr>
        <w:t>MR</w:t>
      </w:r>
      <w:r w:rsidR="00B77194">
        <w:rPr>
          <w:rFonts w:ascii="Arial" w:hAnsi="Arial" w:cs="Arial"/>
          <w:sz w:val="24"/>
          <w:szCs w:val="24"/>
        </w:rPr>
        <w:t xml:space="preserve"> </w:t>
      </w:r>
      <w:r w:rsidR="00B77194">
        <w:rPr>
          <w:rFonts w:ascii="Arial" w:hAnsi="Arial" w:cs="Arial"/>
          <w:sz w:val="24"/>
          <w:szCs w:val="24"/>
        </w:rPr>
        <w:lastRenderedPageBreak/>
        <w:t>receipts should be accounted for as a liability.</w:t>
      </w:r>
      <w:r w:rsidR="0055246B">
        <w:rPr>
          <w:rFonts w:ascii="Arial" w:hAnsi="Arial" w:cs="Arial"/>
          <w:sz w:val="24"/>
          <w:szCs w:val="24"/>
        </w:rPr>
        <w:t xml:space="preserve">  I will expand on this later in my testimony.</w:t>
      </w:r>
    </w:p>
    <w:p w14:paraId="7AF8964C" w14:textId="219B9EE9" w:rsidR="00B656B7" w:rsidRDefault="00827D0B" w:rsidP="00DD3511">
      <w:pPr>
        <w:pStyle w:val="BodyText"/>
        <w:spacing w:line="480" w:lineRule="auto"/>
        <w:ind w:left="720" w:hanging="720"/>
        <w:jc w:val="both"/>
        <w:rPr>
          <w:rFonts w:ascii="Arial" w:hAnsi="Arial" w:cs="Arial"/>
          <w:sz w:val="24"/>
          <w:szCs w:val="24"/>
        </w:rPr>
      </w:pPr>
      <w:r>
        <w:rPr>
          <w:rFonts w:ascii="Arial" w:hAnsi="Arial" w:cs="Arial"/>
          <w:b/>
          <w:sz w:val="24"/>
          <w:szCs w:val="24"/>
        </w:rPr>
        <w:t>IV.</w:t>
      </w:r>
      <w:r>
        <w:rPr>
          <w:rFonts w:ascii="Arial" w:hAnsi="Arial" w:cs="Arial"/>
          <w:b/>
          <w:sz w:val="24"/>
          <w:szCs w:val="24"/>
        </w:rPr>
        <w:tab/>
      </w:r>
      <w:r w:rsidR="00B656B7">
        <w:rPr>
          <w:rFonts w:ascii="Arial" w:hAnsi="Arial" w:cs="Arial"/>
          <w:b/>
          <w:sz w:val="24"/>
          <w:szCs w:val="24"/>
        </w:rPr>
        <w:t>DMR USED FOR DPL DEBT PAYMENTS</w:t>
      </w:r>
    </w:p>
    <w:p w14:paraId="2DAAE1BD" w14:textId="4C5211E9" w:rsidR="000A5F15" w:rsidRPr="00D910EB" w:rsidRDefault="000A5F15" w:rsidP="00DD3511">
      <w:pPr>
        <w:pStyle w:val="BodyText"/>
        <w:spacing w:line="480" w:lineRule="auto"/>
        <w:ind w:left="720" w:hanging="720"/>
        <w:jc w:val="both"/>
        <w:rPr>
          <w:rFonts w:ascii="Arial" w:hAnsi="Arial" w:cs="Arial"/>
          <w:b/>
          <w:sz w:val="24"/>
          <w:szCs w:val="24"/>
        </w:rPr>
      </w:pPr>
      <w:r w:rsidRPr="00D910EB">
        <w:rPr>
          <w:rFonts w:ascii="Arial" w:hAnsi="Arial" w:cs="Arial"/>
          <w:b/>
          <w:sz w:val="24"/>
          <w:szCs w:val="24"/>
        </w:rPr>
        <w:t>Q.</w:t>
      </w:r>
      <w:r w:rsidRPr="00D910EB">
        <w:rPr>
          <w:rFonts w:ascii="Arial" w:hAnsi="Arial" w:cs="Arial"/>
          <w:b/>
          <w:sz w:val="24"/>
          <w:szCs w:val="24"/>
        </w:rPr>
        <w:tab/>
        <w:t xml:space="preserve">Should the Commission </w:t>
      </w:r>
      <w:r w:rsidR="008E15EE" w:rsidRPr="00D910EB">
        <w:rPr>
          <w:rFonts w:ascii="Arial" w:hAnsi="Arial" w:cs="Arial"/>
          <w:b/>
          <w:sz w:val="24"/>
          <w:szCs w:val="24"/>
        </w:rPr>
        <w:t xml:space="preserve">require the DP&amp;L </w:t>
      </w:r>
      <w:r w:rsidR="00EB240D">
        <w:rPr>
          <w:rFonts w:ascii="Arial" w:hAnsi="Arial" w:cs="Arial"/>
          <w:b/>
          <w:sz w:val="24"/>
          <w:szCs w:val="24"/>
        </w:rPr>
        <w:t>customers</w:t>
      </w:r>
      <w:r w:rsidR="008E15EE" w:rsidRPr="00D910EB">
        <w:rPr>
          <w:rFonts w:ascii="Arial" w:hAnsi="Arial" w:cs="Arial"/>
          <w:b/>
          <w:sz w:val="24"/>
          <w:szCs w:val="24"/>
        </w:rPr>
        <w:t xml:space="preserve"> </w:t>
      </w:r>
      <w:bookmarkStart w:id="9" w:name="_Hlk535578108"/>
      <w:r w:rsidR="008E15EE" w:rsidRPr="00D910EB">
        <w:rPr>
          <w:rFonts w:ascii="Arial" w:hAnsi="Arial" w:cs="Arial"/>
          <w:b/>
          <w:sz w:val="24"/>
          <w:szCs w:val="24"/>
        </w:rPr>
        <w:t>to</w:t>
      </w:r>
      <w:r w:rsidR="00F521BF">
        <w:rPr>
          <w:rFonts w:ascii="Arial" w:hAnsi="Arial" w:cs="Arial"/>
          <w:b/>
          <w:sz w:val="24"/>
          <w:szCs w:val="24"/>
        </w:rPr>
        <w:t xml:space="preserve"> provide funds to permit DPL to</w:t>
      </w:r>
      <w:r w:rsidR="008E15EE" w:rsidRPr="00D910EB">
        <w:rPr>
          <w:rFonts w:ascii="Arial" w:hAnsi="Arial" w:cs="Arial"/>
          <w:b/>
          <w:sz w:val="24"/>
          <w:szCs w:val="24"/>
        </w:rPr>
        <w:t xml:space="preserve"> </w:t>
      </w:r>
      <w:bookmarkStart w:id="10" w:name="_Hlk535590508"/>
      <w:r w:rsidR="008E15EE" w:rsidRPr="00D910EB">
        <w:rPr>
          <w:rFonts w:ascii="Arial" w:hAnsi="Arial" w:cs="Arial"/>
          <w:b/>
          <w:sz w:val="24"/>
          <w:szCs w:val="24"/>
        </w:rPr>
        <w:t>pay for interest obligations, existing debt, and discretionary debt payments</w:t>
      </w:r>
      <w:bookmarkEnd w:id="9"/>
      <w:bookmarkEnd w:id="10"/>
      <w:r w:rsidR="008E15EE" w:rsidRPr="00D910EB">
        <w:rPr>
          <w:rFonts w:ascii="Arial" w:hAnsi="Arial" w:cs="Arial"/>
          <w:b/>
          <w:sz w:val="24"/>
          <w:szCs w:val="24"/>
        </w:rPr>
        <w:t>.</w:t>
      </w:r>
    </w:p>
    <w:p w14:paraId="0FA2DA84" w14:textId="64BAB002" w:rsidR="008E15EE" w:rsidRDefault="008E15EE" w:rsidP="00DD3511">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No.  </w:t>
      </w:r>
      <w:r w:rsidR="00F521BF">
        <w:rPr>
          <w:rFonts w:ascii="Arial" w:hAnsi="Arial" w:cs="Arial"/>
          <w:sz w:val="24"/>
          <w:szCs w:val="24"/>
        </w:rPr>
        <w:t>P</w:t>
      </w:r>
      <w:r>
        <w:rPr>
          <w:rFonts w:ascii="Arial" w:hAnsi="Arial" w:cs="Arial"/>
          <w:sz w:val="24"/>
          <w:szCs w:val="24"/>
        </w:rPr>
        <w:t>ayments to</w:t>
      </w:r>
      <w:r w:rsidR="00F521BF">
        <w:rPr>
          <w:rFonts w:ascii="Arial" w:hAnsi="Arial" w:cs="Arial"/>
          <w:sz w:val="24"/>
          <w:szCs w:val="24"/>
        </w:rPr>
        <w:t xml:space="preserve"> provide assistance to</w:t>
      </w:r>
      <w:r>
        <w:rPr>
          <w:rFonts w:ascii="Arial" w:hAnsi="Arial" w:cs="Arial"/>
          <w:sz w:val="24"/>
          <w:szCs w:val="24"/>
        </w:rPr>
        <w:t xml:space="preserve"> the </w:t>
      </w:r>
      <w:r w:rsidR="008B7AAF">
        <w:rPr>
          <w:rFonts w:ascii="Arial" w:hAnsi="Arial" w:cs="Arial"/>
          <w:sz w:val="24"/>
          <w:szCs w:val="24"/>
        </w:rPr>
        <w:t xml:space="preserve">unregulated </w:t>
      </w:r>
      <w:r>
        <w:rPr>
          <w:rFonts w:ascii="Arial" w:hAnsi="Arial" w:cs="Arial"/>
          <w:sz w:val="24"/>
          <w:szCs w:val="24"/>
        </w:rPr>
        <w:t xml:space="preserve">affiliated parent are </w:t>
      </w:r>
      <w:r w:rsidR="00FF38B6">
        <w:rPr>
          <w:rFonts w:ascii="Arial" w:hAnsi="Arial" w:cs="Arial"/>
          <w:sz w:val="24"/>
          <w:szCs w:val="24"/>
        </w:rPr>
        <w:t>an</w:t>
      </w:r>
      <w:r>
        <w:rPr>
          <w:rFonts w:ascii="Arial" w:hAnsi="Arial" w:cs="Arial"/>
          <w:sz w:val="24"/>
          <w:szCs w:val="24"/>
        </w:rPr>
        <w:t xml:space="preserve"> </w:t>
      </w:r>
      <w:r w:rsidRPr="00656BFD">
        <w:rPr>
          <w:rFonts w:ascii="Arial" w:hAnsi="Arial" w:cs="Arial"/>
          <w:sz w:val="24"/>
          <w:szCs w:val="24"/>
        </w:rPr>
        <w:t>anticompetitive subsid</w:t>
      </w:r>
      <w:r>
        <w:rPr>
          <w:rFonts w:ascii="Arial" w:hAnsi="Arial" w:cs="Arial"/>
          <w:sz w:val="24"/>
          <w:szCs w:val="24"/>
        </w:rPr>
        <w:t>y from the regulated affiliat</w:t>
      </w:r>
      <w:r w:rsidR="00F521BF">
        <w:rPr>
          <w:rFonts w:ascii="Arial" w:hAnsi="Arial" w:cs="Arial"/>
          <w:sz w:val="24"/>
          <w:szCs w:val="24"/>
        </w:rPr>
        <w:t>e</w:t>
      </w:r>
      <w:r>
        <w:rPr>
          <w:rFonts w:ascii="Arial" w:hAnsi="Arial" w:cs="Arial"/>
          <w:sz w:val="24"/>
          <w:szCs w:val="24"/>
        </w:rPr>
        <w:t xml:space="preserve"> to an unregulated affiliate that provides a competitive electric service</w:t>
      </w:r>
      <w:r w:rsidR="00F521BF">
        <w:rPr>
          <w:rFonts w:ascii="Arial" w:hAnsi="Arial" w:cs="Arial"/>
          <w:sz w:val="24"/>
          <w:szCs w:val="24"/>
        </w:rPr>
        <w:t xml:space="preserve"> and products and service other than retail electric service</w:t>
      </w:r>
      <w:r w:rsidR="002B67CD">
        <w:rPr>
          <w:rFonts w:ascii="Arial" w:hAnsi="Arial" w:cs="Arial"/>
          <w:sz w:val="24"/>
          <w:szCs w:val="24"/>
        </w:rPr>
        <w:t xml:space="preserve">.  Additionally, </w:t>
      </w:r>
      <w:bookmarkStart w:id="11" w:name="_Hlk535569974"/>
      <w:r w:rsidR="002B67CD">
        <w:rPr>
          <w:rFonts w:ascii="Arial" w:hAnsi="Arial" w:cs="Arial"/>
          <w:sz w:val="24"/>
          <w:szCs w:val="24"/>
        </w:rPr>
        <w:t>t</w:t>
      </w:r>
      <w:r>
        <w:rPr>
          <w:rFonts w:ascii="Arial" w:hAnsi="Arial" w:cs="Arial"/>
          <w:sz w:val="24"/>
          <w:szCs w:val="24"/>
        </w:rPr>
        <w:t>he Commission does not have oversite authority for the financial well being of DPL</w:t>
      </w:r>
      <w:bookmarkEnd w:id="11"/>
      <w:r w:rsidR="0055246B">
        <w:rPr>
          <w:rFonts w:ascii="Arial" w:hAnsi="Arial" w:cs="Arial"/>
          <w:sz w:val="24"/>
          <w:szCs w:val="24"/>
        </w:rPr>
        <w:t xml:space="preserve"> as it has explained in many past cases.</w:t>
      </w:r>
      <w:r w:rsidR="00F521BF">
        <w:rPr>
          <w:rFonts w:ascii="Arial" w:hAnsi="Arial" w:cs="Arial"/>
          <w:sz w:val="24"/>
          <w:szCs w:val="24"/>
        </w:rPr>
        <w:t xml:space="preserve">  There is simply no nexus between DPL and </w:t>
      </w:r>
      <w:r w:rsidR="00ED1254">
        <w:rPr>
          <w:rFonts w:ascii="Arial" w:hAnsi="Arial" w:cs="Arial"/>
          <w:sz w:val="24"/>
          <w:szCs w:val="24"/>
        </w:rPr>
        <w:t xml:space="preserve">a retail electric service provided by DP&amp;L to justify the imposition of a DMR.  </w:t>
      </w:r>
    </w:p>
    <w:p w14:paraId="75A5BF09" w14:textId="77777777" w:rsidR="00D90ED5" w:rsidRPr="00D910EB" w:rsidRDefault="00D90ED5" w:rsidP="00DD3511">
      <w:pPr>
        <w:pStyle w:val="BodyText"/>
        <w:spacing w:line="480" w:lineRule="auto"/>
        <w:ind w:left="720" w:hanging="720"/>
        <w:jc w:val="both"/>
        <w:rPr>
          <w:rFonts w:ascii="Arial" w:hAnsi="Arial" w:cs="Arial"/>
          <w:b/>
          <w:sz w:val="24"/>
          <w:szCs w:val="24"/>
        </w:rPr>
      </w:pPr>
      <w:r w:rsidRPr="00D910EB">
        <w:rPr>
          <w:rFonts w:ascii="Arial" w:hAnsi="Arial" w:cs="Arial"/>
          <w:b/>
          <w:sz w:val="24"/>
          <w:szCs w:val="24"/>
        </w:rPr>
        <w:t>Q.</w:t>
      </w:r>
      <w:r w:rsidRPr="00D910EB">
        <w:rPr>
          <w:rFonts w:ascii="Arial" w:hAnsi="Arial" w:cs="Arial"/>
          <w:b/>
          <w:sz w:val="24"/>
          <w:szCs w:val="24"/>
        </w:rPr>
        <w:tab/>
      </w:r>
      <w:r w:rsidR="00F50FA5" w:rsidRPr="00D910EB">
        <w:rPr>
          <w:rFonts w:ascii="Arial" w:hAnsi="Arial" w:cs="Arial"/>
          <w:b/>
          <w:sz w:val="24"/>
          <w:szCs w:val="24"/>
        </w:rPr>
        <w:t xml:space="preserve">Will you </w:t>
      </w:r>
      <w:r w:rsidR="008E15EE" w:rsidRPr="00D910EB">
        <w:rPr>
          <w:rFonts w:ascii="Arial" w:hAnsi="Arial" w:cs="Arial"/>
          <w:b/>
          <w:sz w:val="24"/>
          <w:szCs w:val="24"/>
        </w:rPr>
        <w:t>explain why these payments to an affiliated parent are anti-competitive.</w:t>
      </w:r>
    </w:p>
    <w:p w14:paraId="729EA83D" w14:textId="27DADD08" w:rsidR="00F50FA5" w:rsidRPr="00D9784A" w:rsidRDefault="00D90ED5" w:rsidP="00F50FA5">
      <w:pPr>
        <w:pStyle w:val="BodyText"/>
        <w:spacing w:line="480" w:lineRule="auto"/>
        <w:ind w:left="720" w:hanging="720"/>
        <w:rPr>
          <w:rFonts w:ascii="Arial" w:hAnsi="Arial" w:cs="Arial"/>
          <w:sz w:val="24"/>
          <w:szCs w:val="24"/>
        </w:rPr>
      </w:pPr>
      <w:r w:rsidRPr="00D9784A">
        <w:rPr>
          <w:rFonts w:ascii="Arial" w:hAnsi="Arial" w:cs="Arial"/>
          <w:sz w:val="24"/>
          <w:szCs w:val="24"/>
        </w:rPr>
        <w:t>A.</w:t>
      </w:r>
      <w:r w:rsidRPr="00D9784A">
        <w:rPr>
          <w:rFonts w:ascii="Arial" w:hAnsi="Arial" w:cs="Arial"/>
          <w:sz w:val="24"/>
          <w:szCs w:val="24"/>
        </w:rPr>
        <w:tab/>
      </w:r>
      <w:r w:rsidR="00F50FA5" w:rsidRPr="00D9784A">
        <w:rPr>
          <w:rFonts w:ascii="Arial" w:hAnsi="Arial" w:cs="Arial"/>
          <w:sz w:val="24"/>
          <w:szCs w:val="24"/>
        </w:rPr>
        <w:t>With the enactment of Amended Substitute Senate Bill 3 ("SB 3") in 1999, the structure of the vertically integrated industry changed significantly in part to break the link between ownership and control of assets within such an industry structure. With regard to competitive retail electric service such as generation supply and effective January 1, 2001, the</w:t>
      </w:r>
      <w:r w:rsidR="00B72574">
        <w:rPr>
          <w:rFonts w:ascii="Arial" w:hAnsi="Arial" w:cs="Arial"/>
          <w:sz w:val="24"/>
          <w:szCs w:val="24"/>
        </w:rPr>
        <w:t xml:space="preserve"> EDU</w:t>
      </w:r>
      <w:r w:rsidR="00F50FA5" w:rsidRPr="00D9784A">
        <w:rPr>
          <w:rFonts w:ascii="Arial" w:hAnsi="Arial" w:cs="Arial"/>
          <w:sz w:val="24"/>
          <w:szCs w:val="24"/>
        </w:rPr>
        <w:t xml:space="preserve"> was confined to the role of a default supplier to customers not receiving competitive service from a competitive retail electric service ("CRES") provider. This default supplier status currently </w:t>
      </w:r>
      <w:r w:rsidR="00F50FA5" w:rsidRPr="00D9784A">
        <w:rPr>
          <w:rFonts w:ascii="Arial" w:hAnsi="Arial" w:cs="Arial"/>
          <w:sz w:val="24"/>
          <w:szCs w:val="24"/>
        </w:rPr>
        <w:lastRenderedPageBreak/>
        <w:t xml:space="preserve">allows the EDU to obtain market-based or tested compensation for default supply </w:t>
      </w:r>
      <w:r w:rsidR="00F34585">
        <w:rPr>
          <w:rFonts w:ascii="Arial" w:hAnsi="Arial" w:cs="Arial"/>
          <w:sz w:val="24"/>
          <w:szCs w:val="24"/>
        </w:rPr>
        <w:t xml:space="preserve">standard service offer </w:t>
      </w:r>
      <w:r w:rsidR="00F50FA5" w:rsidRPr="00D9784A">
        <w:rPr>
          <w:rFonts w:ascii="Arial" w:hAnsi="Arial" w:cs="Arial"/>
          <w:sz w:val="24"/>
          <w:szCs w:val="24"/>
        </w:rPr>
        <w:t xml:space="preserve">SSO through </w:t>
      </w:r>
      <w:r w:rsidR="00B72574">
        <w:rPr>
          <w:rFonts w:ascii="Arial" w:hAnsi="Arial" w:cs="Arial"/>
          <w:sz w:val="24"/>
          <w:szCs w:val="24"/>
        </w:rPr>
        <w:t>an electric security plan (</w:t>
      </w:r>
      <w:r w:rsidR="00F50FA5" w:rsidRPr="00D9784A">
        <w:rPr>
          <w:rFonts w:ascii="Arial" w:hAnsi="Arial" w:cs="Arial"/>
          <w:sz w:val="24"/>
          <w:szCs w:val="24"/>
        </w:rPr>
        <w:t>ESP</w:t>
      </w:r>
      <w:r w:rsidR="00B72574">
        <w:rPr>
          <w:rFonts w:ascii="Arial" w:hAnsi="Arial" w:cs="Arial"/>
          <w:sz w:val="24"/>
          <w:szCs w:val="24"/>
        </w:rPr>
        <w:t>)</w:t>
      </w:r>
      <w:r w:rsidR="00F50FA5" w:rsidRPr="00D9784A">
        <w:rPr>
          <w:rFonts w:ascii="Arial" w:hAnsi="Arial" w:cs="Arial"/>
          <w:sz w:val="24"/>
          <w:szCs w:val="24"/>
        </w:rPr>
        <w:t xml:space="preserve"> or the market rate offer ("MRO") options.</w:t>
      </w:r>
    </w:p>
    <w:p w14:paraId="4BA9229F" w14:textId="61198DBE" w:rsidR="00F50FA5" w:rsidRPr="00D9784A" w:rsidRDefault="00F50FA5" w:rsidP="00F50FA5">
      <w:pPr>
        <w:pStyle w:val="BodyText"/>
        <w:spacing w:line="480" w:lineRule="auto"/>
        <w:ind w:left="720" w:hanging="720"/>
        <w:rPr>
          <w:rFonts w:ascii="Arial" w:hAnsi="Arial" w:cs="Arial"/>
          <w:sz w:val="24"/>
          <w:szCs w:val="24"/>
        </w:rPr>
      </w:pPr>
      <w:r w:rsidRPr="00D9784A">
        <w:rPr>
          <w:rFonts w:ascii="Arial" w:hAnsi="Arial" w:cs="Arial"/>
          <w:sz w:val="24"/>
          <w:szCs w:val="24"/>
        </w:rPr>
        <w:tab/>
      </w:r>
      <w:r w:rsidRPr="00F50FA5">
        <w:rPr>
          <w:rFonts w:ascii="Arial" w:hAnsi="Arial" w:cs="Arial"/>
          <w:sz w:val="24"/>
          <w:szCs w:val="24"/>
        </w:rPr>
        <w:t>In addition to the default supply role of an EDU, SB 3 imposed numerous requirements on an EDU to make sure that retail customers as well as CRES providers are not subjected to an EDU's discretion in ways that would allow the EDU to favor its owned or controlled assets or affiliated lines of busin</w:t>
      </w:r>
      <w:r w:rsidR="008B7AAF">
        <w:rPr>
          <w:rFonts w:ascii="Arial" w:hAnsi="Arial" w:cs="Arial"/>
          <w:sz w:val="24"/>
          <w:szCs w:val="24"/>
        </w:rPr>
        <w:t xml:space="preserve">ess.  </w:t>
      </w:r>
      <w:r w:rsidR="008B7AAF" w:rsidRPr="00EB240D">
        <w:rPr>
          <w:rFonts w:ascii="Arial" w:hAnsi="Arial" w:cs="Arial"/>
          <w:sz w:val="24"/>
          <w:szCs w:val="24"/>
        </w:rPr>
        <w:t>T</w:t>
      </w:r>
      <w:r w:rsidRPr="00EB240D">
        <w:rPr>
          <w:rFonts w:ascii="Arial" w:hAnsi="Arial" w:cs="Arial"/>
          <w:sz w:val="24"/>
          <w:szCs w:val="24"/>
        </w:rPr>
        <w:t xml:space="preserve">hese requirements </w:t>
      </w:r>
      <w:r w:rsidR="00EB240D" w:rsidRPr="00EB240D">
        <w:rPr>
          <w:rFonts w:ascii="Arial" w:hAnsi="Arial" w:cs="Arial"/>
          <w:sz w:val="24"/>
          <w:szCs w:val="24"/>
        </w:rPr>
        <w:t xml:space="preserve">cannot </w:t>
      </w:r>
      <w:r w:rsidRPr="00EB240D">
        <w:rPr>
          <w:rFonts w:ascii="Arial" w:hAnsi="Arial" w:cs="Arial"/>
          <w:sz w:val="24"/>
          <w:szCs w:val="24"/>
        </w:rPr>
        <w:t>be ignored</w:t>
      </w:r>
      <w:r w:rsidR="005A78E5">
        <w:rPr>
          <w:rFonts w:ascii="Arial" w:hAnsi="Arial" w:cs="Arial"/>
          <w:sz w:val="24"/>
          <w:szCs w:val="24"/>
        </w:rPr>
        <w:t xml:space="preserve">.  </w:t>
      </w:r>
      <w:r w:rsidRPr="00D9784A">
        <w:rPr>
          <w:rFonts w:ascii="Arial" w:hAnsi="Arial" w:cs="Arial"/>
          <w:sz w:val="24"/>
          <w:szCs w:val="24"/>
        </w:rPr>
        <w:t xml:space="preserve">When </w:t>
      </w:r>
      <w:r w:rsidR="00D9784A" w:rsidRPr="00D9784A">
        <w:rPr>
          <w:rFonts w:ascii="Arial" w:hAnsi="Arial" w:cs="Arial"/>
          <w:sz w:val="24"/>
          <w:szCs w:val="24"/>
        </w:rPr>
        <w:t>taken into</w:t>
      </w:r>
      <w:r w:rsidRPr="00F50FA5">
        <w:rPr>
          <w:rFonts w:ascii="Arial" w:hAnsi="Arial" w:cs="Arial"/>
          <w:sz w:val="24"/>
          <w:szCs w:val="24"/>
        </w:rPr>
        <w:t xml:space="preserve"> consideration, these requirements act as barriers to the type of proposals that DP&amp;L is advancing in th</w:t>
      </w:r>
      <w:r w:rsidR="008B7AAF">
        <w:rPr>
          <w:rFonts w:ascii="Arial" w:hAnsi="Arial" w:cs="Arial"/>
          <w:sz w:val="24"/>
          <w:szCs w:val="24"/>
        </w:rPr>
        <w:t>is</w:t>
      </w:r>
      <w:r w:rsidRPr="00F50FA5">
        <w:rPr>
          <w:rFonts w:ascii="Arial" w:hAnsi="Arial" w:cs="Arial"/>
          <w:sz w:val="24"/>
          <w:szCs w:val="24"/>
        </w:rPr>
        <w:t xml:space="preserve"> proceeding.  In 2008, Amended  Substitute  Senate Bill 221 ("SB 221") altered the means by which an EDU could be compensated for  its  default  generation  supply  service,  but  SB 221  did  not  change  the  core</w:t>
      </w:r>
      <w:r w:rsidRPr="00D9784A">
        <w:rPr>
          <w:rFonts w:ascii="Arial" w:eastAsia="Arial" w:hAnsi="Arial"/>
          <w:spacing w:val="-1"/>
          <w:sz w:val="24"/>
          <w:szCs w:val="24"/>
        </w:rPr>
        <w:t xml:space="preserve"> </w:t>
      </w:r>
      <w:r w:rsidRPr="00D9784A">
        <w:rPr>
          <w:rFonts w:ascii="Arial" w:hAnsi="Arial" w:cs="Arial"/>
          <w:sz w:val="24"/>
          <w:szCs w:val="24"/>
        </w:rPr>
        <w:t>elements of the electric restructuring architecture contained in SB 3 and specifically the requirements that an EDU cannot operate to favor its non- regulated affiliates or use its non-competitive lines of business to provide anticompetitive subsidies to its competitive lines of business.</w:t>
      </w:r>
    </w:p>
    <w:p w14:paraId="32A20E58" w14:textId="77777777" w:rsidR="00F50FA5" w:rsidRPr="00D910EB" w:rsidRDefault="00F50FA5" w:rsidP="00F50FA5">
      <w:pPr>
        <w:pStyle w:val="BodyText"/>
        <w:spacing w:line="480" w:lineRule="auto"/>
        <w:ind w:left="720" w:hanging="720"/>
        <w:rPr>
          <w:rFonts w:ascii="Arial" w:hAnsi="Arial" w:cs="Arial"/>
          <w:b/>
          <w:sz w:val="24"/>
          <w:szCs w:val="24"/>
        </w:rPr>
      </w:pPr>
      <w:r w:rsidRPr="00D910EB">
        <w:rPr>
          <w:rFonts w:ascii="Arial" w:hAnsi="Arial" w:cs="Arial"/>
          <w:b/>
          <w:sz w:val="24"/>
          <w:szCs w:val="24"/>
        </w:rPr>
        <w:t>Q.</w:t>
      </w:r>
      <w:r w:rsidRPr="00D910EB">
        <w:rPr>
          <w:rFonts w:ascii="Arial" w:hAnsi="Arial" w:cs="Arial"/>
          <w:b/>
          <w:sz w:val="24"/>
          <w:szCs w:val="24"/>
        </w:rPr>
        <w:tab/>
        <w:t>Has Ohio adopted laws and regulations governing the relationship between a regulated EDU and its affiliates providing competitive services?</w:t>
      </w:r>
    </w:p>
    <w:p w14:paraId="0E0D24FB" w14:textId="475E42F2" w:rsidR="00F50FA5" w:rsidRPr="00F50FA5" w:rsidRDefault="00F50FA5" w:rsidP="00F50FA5">
      <w:pPr>
        <w:pStyle w:val="BodyText"/>
        <w:spacing w:line="480" w:lineRule="auto"/>
        <w:ind w:left="720" w:hanging="720"/>
        <w:rPr>
          <w:rFonts w:ascii="Arial" w:hAnsi="Arial" w:cs="Arial"/>
          <w:sz w:val="24"/>
          <w:szCs w:val="24"/>
        </w:rPr>
      </w:pPr>
      <w:r w:rsidRPr="00D9784A">
        <w:rPr>
          <w:rFonts w:ascii="Arial" w:hAnsi="Arial" w:cs="Arial"/>
          <w:sz w:val="24"/>
          <w:szCs w:val="24"/>
        </w:rPr>
        <w:t>A.</w:t>
      </w:r>
      <w:r w:rsidRPr="00D9784A">
        <w:rPr>
          <w:rFonts w:ascii="Arial" w:hAnsi="Arial" w:cs="Arial"/>
          <w:sz w:val="24"/>
          <w:szCs w:val="24"/>
        </w:rPr>
        <w:tab/>
      </w:r>
      <w:r w:rsidR="00EA3FC0" w:rsidRPr="00F50FA5">
        <w:rPr>
          <w:rFonts w:ascii="Arial" w:hAnsi="Arial" w:cs="Arial"/>
          <w:sz w:val="24"/>
          <w:szCs w:val="24"/>
        </w:rPr>
        <w:t>Section 4928.17</w:t>
      </w:r>
      <w:r w:rsidRPr="00F50FA5">
        <w:rPr>
          <w:rFonts w:ascii="Arial" w:hAnsi="Arial" w:cs="Arial"/>
          <w:sz w:val="24"/>
          <w:szCs w:val="24"/>
        </w:rPr>
        <w:t xml:space="preserve">, </w:t>
      </w:r>
      <w:r w:rsidR="008E15EE">
        <w:rPr>
          <w:rFonts w:ascii="Arial" w:hAnsi="Arial" w:cs="Arial"/>
          <w:sz w:val="24"/>
          <w:szCs w:val="24"/>
        </w:rPr>
        <w:t xml:space="preserve">Ohio </w:t>
      </w:r>
      <w:r w:rsidR="008E15EE" w:rsidRPr="00F50FA5">
        <w:rPr>
          <w:rFonts w:ascii="Arial" w:hAnsi="Arial" w:cs="Arial"/>
          <w:sz w:val="24"/>
          <w:szCs w:val="24"/>
        </w:rPr>
        <w:t xml:space="preserve">Revised </w:t>
      </w:r>
      <w:r w:rsidR="008B7AAF" w:rsidRPr="00F50FA5">
        <w:rPr>
          <w:rFonts w:ascii="Arial" w:hAnsi="Arial" w:cs="Arial"/>
          <w:sz w:val="24"/>
          <w:szCs w:val="24"/>
        </w:rPr>
        <w:t xml:space="preserve">Code, </w:t>
      </w:r>
      <w:r w:rsidR="00F16B3B" w:rsidRPr="00F50FA5">
        <w:rPr>
          <w:rFonts w:ascii="Arial" w:hAnsi="Arial" w:cs="Arial"/>
          <w:sz w:val="24"/>
          <w:szCs w:val="24"/>
        </w:rPr>
        <w:t>requires a</w:t>
      </w:r>
      <w:r w:rsidRPr="00F50FA5">
        <w:rPr>
          <w:rFonts w:ascii="Arial" w:hAnsi="Arial" w:cs="Arial"/>
          <w:sz w:val="24"/>
          <w:szCs w:val="24"/>
        </w:rPr>
        <w:t xml:space="preserve"> corporate separation plan and defines many of the requirements of that plan. </w:t>
      </w:r>
      <w:r w:rsidR="00FC2DB4">
        <w:rPr>
          <w:rFonts w:ascii="Arial" w:hAnsi="Arial" w:cs="Arial"/>
          <w:sz w:val="24"/>
          <w:szCs w:val="24"/>
        </w:rPr>
        <w:t>T</w:t>
      </w:r>
      <w:r w:rsidRPr="00F50FA5">
        <w:rPr>
          <w:rFonts w:ascii="Arial" w:hAnsi="Arial" w:cs="Arial"/>
          <w:sz w:val="24"/>
          <w:szCs w:val="24"/>
        </w:rPr>
        <w:t>he PUCO adopted rules for these plans originally as a part of the standard filing requirements for electric transition plans [Rule 4901:1-20-16, Ohio Administrative Code ("O.A.C")] and later adopted a more permanent set of rules (Rule 4901: 1-37, O.A.C.).</w:t>
      </w:r>
    </w:p>
    <w:p w14:paraId="295070F3" w14:textId="77777777" w:rsidR="006B1688" w:rsidRPr="00D910EB" w:rsidRDefault="00047C70" w:rsidP="00D90ED5">
      <w:pPr>
        <w:pStyle w:val="BodyText"/>
        <w:spacing w:line="480" w:lineRule="auto"/>
        <w:ind w:left="720" w:hanging="720"/>
        <w:jc w:val="both"/>
        <w:rPr>
          <w:rFonts w:ascii="Arial" w:hAnsi="Arial" w:cs="Arial"/>
          <w:b/>
          <w:sz w:val="24"/>
          <w:szCs w:val="24"/>
        </w:rPr>
      </w:pPr>
      <w:r w:rsidRPr="00D910EB">
        <w:rPr>
          <w:rFonts w:ascii="Arial" w:hAnsi="Arial" w:cs="Arial"/>
          <w:b/>
          <w:sz w:val="24"/>
          <w:szCs w:val="24"/>
        </w:rPr>
        <w:lastRenderedPageBreak/>
        <w:t>Q.</w:t>
      </w:r>
      <w:r w:rsidR="006B1688" w:rsidRPr="00D910EB">
        <w:rPr>
          <w:rFonts w:ascii="Arial" w:hAnsi="Arial" w:cs="Arial"/>
          <w:b/>
          <w:sz w:val="24"/>
          <w:szCs w:val="24"/>
        </w:rPr>
        <w:tab/>
        <w:t>Does DPL provide competitive services?</w:t>
      </w:r>
    </w:p>
    <w:p w14:paraId="0E09E3DC" w14:textId="77777777" w:rsidR="006B1688" w:rsidRDefault="006B1688" w:rsidP="00D90ED5">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F16B3B">
        <w:rPr>
          <w:rFonts w:ascii="Arial" w:hAnsi="Arial" w:cs="Arial"/>
          <w:sz w:val="24"/>
          <w:szCs w:val="24"/>
        </w:rPr>
        <w:t xml:space="preserve">Yes.  </w:t>
      </w:r>
      <w:r w:rsidR="00236A9A">
        <w:rPr>
          <w:rFonts w:ascii="Arial" w:hAnsi="Arial" w:cs="Arial"/>
          <w:sz w:val="24"/>
          <w:szCs w:val="24"/>
        </w:rPr>
        <w:t>DPL is a wholly owned subsidiary of The AES Corporation.  AES Corporation is a Fortune 500 global power company that provides energy in 15 countries.  DPL</w:t>
      </w:r>
      <w:r w:rsidR="00BF0BE5">
        <w:rPr>
          <w:rFonts w:ascii="Arial" w:hAnsi="Arial" w:cs="Arial"/>
          <w:sz w:val="24"/>
          <w:szCs w:val="24"/>
        </w:rPr>
        <w:t xml:space="preserve"> is an energy holding company whose principal </w:t>
      </w:r>
      <w:r w:rsidR="005F0AB7">
        <w:rPr>
          <w:rFonts w:ascii="Arial" w:hAnsi="Arial" w:cs="Arial"/>
          <w:sz w:val="24"/>
          <w:szCs w:val="24"/>
        </w:rPr>
        <w:t xml:space="preserve">subsidiaries </w:t>
      </w:r>
      <w:r w:rsidR="004F3BC6">
        <w:rPr>
          <w:rFonts w:ascii="Arial" w:hAnsi="Arial" w:cs="Arial"/>
          <w:sz w:val="24"/>
          <w:szCs w:val="24"/>
        </w:rPr>
        <w:t>include AES</w:t>
      </w:r>
      <w:r>
        <w:rPr>
          <w:rFonts w:ascii="Arial" w:hAnsi="Arial" w:cs="Arial"/>
          <w:sz w:val="24"/>
          <w:szCs w:val="24"/>
        </w:rPr>
        <w:t xml:space="preserve"> Ohio Gen </w:t>
      </w:r>
      <w:r w:rsidR="008B7AAF">
        <w:rPr>
          <w:rFonts w:ascii="Arial" w:hAnsi="Arial" w:cs="Arial"/>
          <w:sz w:val="24"/>
          <w:szCs w:val="24"/>
        </w:rPr>
        <w:t xml:space="preserve">that </w:t>
      </w:r>
      <w:r>
        <w:rPr>
          <w:rFonts w:ascii="Arial" w:hAnsi="Arial" w:cs="Arial"/>
          <w:sz w:val="24"/>
          <w:szCs w:val="24"/>
        </w:rPr>
        <w:t xml:space="preserve">co-owns merchant generation </w:t>
      </w:r>
      <w:r w:rsidR="00047C70">
        <w:rPr>
          <w:rFonts w:ascii="Arial" w:hAnsi="Arial" w:cs="Arial"/>
          <w:sz w:val="24"/>
          <w:szCs w:val="24"/>
        </w:rPr>
        <w:t>facilities</w:t>
      </w:r>
      <w:r w:rsidR="004F6386">
        <w:rPr>
          <w:rFonts w:ascii="Arial" w:hAnsi="Arial" w:cs="Arial"/>
          <w:sz w:val="24"/>
          <w:szCs w:val="24"/>
        </w:rPr>
        <w:t xml:space="preserve">.  </w:t>
      </w:r>
      <w:r w:rsidR="005F0AB7" w:rsidRPr="005F0AB7">
        <w:rPr>
          <w:rFonts w:ascii="Arial" w:hAnsi="Arial" w:cs="Arial"/>
          <w:sz w:val="24"/>
          <w:szCs w:val="24"/>
        </w:rPr>
        <w:t xml:space="preserve">AES Ohio Generation, solely or through jointly-owned facilities, owns coal-fired and peaking generation units representing 2,125 MW located in Ohio and Indiana. </w:t>
      </w:r>
      <w:r w:rsidR="00FF38B6">
        <w:rPr>
          <w:rFonts w:ascii="Arial" w:hAnsi="Arial" w:cs="Arial"/>
          <w:sz w:val="24"/>
          <w:szCs w:val="24"/>
        </w:rPr>
        <w:t xml:space="preserve"> </w:t>
      </w:r>
      <w:r w:rsidR="005F0AB7" w:rsidRPr="005F0AB7">
        <w:rPr>
          <w:rFonts w:ascii="Arial" w:hAnsi="Arial" w:cs="Arial"/>
          <w:sz w:val="24"/>
          <w:szCs w:val="24"/>
        </w:rPr>
        <w:t>AES Ohio Generation sells all of its energy and capacity into the wholesale market.</w:t>
      </w:r>
      <w:r w:rsidR="00047C70">
        <w:rPr>
          <w:rStyle w:val="FootnoteReference"/>
          <w:rFonts w:ascii="Arial" w:hAnsi="Arial" w:cs="Arial"/>
          <w:sz w:val="24"/>
          <w:szCs w:val="24"/>
        </w:rPr>
        <w:footnoteReference w:id="8"/>
      </w:r>
    </w:p>
    <w:p w14:paraId="2C7730A3" w14:textId="0D9675CD" w:rsidR="004F3BC6" w:rsidRPr="00D910EB" w:rsidRDefault="004F3BC6" w:rsidP="00D90ED5">
      <w:pPr>
        <w:pStyle w:val="BodyText"/>
        <w:spacing w:line="480" w:lineRule="auto"/>
        <w:ind w:left="720" w:hanging="720"/>
        <w:jc w:val="both"/>
        <w:rPr>
          <w:rFonts w:ascii="Arial" w:hAnsi="Arial" w:cs="Arial"/>
          <w:b/>
          <w:sz w:val="24"/>
          <w:szCs w:val="24"/>
        </w:rPr>
      </w:pPr>
      <w:r w:rsidRPr="00D910EB">
        <w:rPr>
          <w:rFonts w:ascii="Arial" w:hAnsi="Arial" w:cs="Arial"/>
          <w:b/>
          <w:sz w:val="24"/>
          <w:szCs w:val="24"/>
        </w:rPr>
        <w:t>Q.</w:t>
      </w:r>
      <w:r w:rsidRPr="00D910EB">
        <w:rPr>
          <w:rFonts w:ascii="Arial" w:hAnsi="Arial" w:cs="Arial"/>
          <w:b/>
          <w:sz w:val="24"/>
          <w:szCs w:val="24"/>
        </w:rPr>
        <w:tab/>
        <w:t>Does DMR provide either AES</w:t>
      </w:r>
      <w:r w:rsidR="00671695">
        <w:rPr>
          <w:rFonts w:ascii="Arial" w:hAnsi="Arial" w:cs="Arial"/>
          <w:b/>
          <w:sz w:val="24"/>
          <w:szCs w:val="24"/>
        </w:rPr>
        <w:t xml:space="preserve">, DPL, </w:t>
      </w:r>
      <w:r w:rsidRPr="00D910EB">
        <w:rPr>
          <w:rFonts w:ascii="Arial" w:hAnsi="Arial" w:cs="Arial"/>
          <w:b/>
          <w:sz w:val="24"/>
          <w:szCs w:val="24"/>
        </w:rPr>
        <w:t xml:space="preserve">or </w:t>
      </w:r>
      <w:bookmarkStart w:id="12" w:name="_Hlk442905"/>
      <w:r w:rsidRPr="00D910EB">
        <w:rPr>
          <w:rFonts w:ascii="Arial" w:hAnsi="Arial" w:cs="Arial"/>
          <w:b/>
          <w:sz w:val="24"/>
          <w:szCs w:val="24"/>
        </w:rPr>
        <w:t xml:space="preserve">AES Ohio Generation </w:t>
      </w:r>
      <w:bookmarkEnd w:id="12"/>
      <w:r w:rsidRPr="00D910EB">
        <w:rPr>
          <w:rFonts w:ascii="Arial" w:hAnsi="Arial" w:cs="Arial"/>
          <w:b/>
          <w:sz w:val="24"/>
          <w:szCs w:val="24"/>
        </w:rPr>
        <w:t>a competitive advantage over other generation providers?</w:t>
      </w:r>
    </w:p>
    <w:p w14:paraId="73919C27" w14:textId="39342852" w:rsidR="004F3BC6" w:rsidRPr="00F34585" w:rsidRDefault="004F3BC6" w:rsidP="00D90ED5">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F34585">
        <w:rPr>
          <w:rFonts w:ascii="Arial" w:hAnsi="Arial" w:cs="Arial"/>
          <w:sz w:val="24"/>
          <w:szCs w:val="24"/>
        </w:rPr>
        <w:t>Yes.</w:t>
      </w:r>
      <w:r w:rsidR="00671695" w:rsidRPr="00F34585">
        <w:rPr>
          <w:rFonts w:ascii="Arial" w:hAnsi="Arial" w:cs="Arial"/>
          <w:sz w:val="24"/>
          <w:szCs w:val="24"/>
        </w:rPr>
        <w:t xml:space="preserve">  This </w:t>
      </w:r>
      <w:bookmarkStart w:id="13" w:name="_Hlk443848"/>
      <w:r w:rsidR="00671695" w:rsidRPr="00F34585">
        <w:rPr>
          <w:rFonts w:ascii="Arial" w:hAnsi="Arial" w:cs="Arial"/>
          <w:sz w:val="24"/>
          <w:szCs w:val="24"/>
        </w:rPr>
        <w:t>cross subsidy</w:t>
      </w:r>
      <w:r w:rsidR="002327DA" w:rsidRPr="00F34585">
        <w:rPr>
          <w:rFonts w:ascii="Arial" w:hAnsi="Arial" w:cs="Arial"/>
          <w:sz w:val="24"/>
          <w:szCs w:val="24"/>
        </w:rPr>
        <w:t xml:space="preserve"> which is </w:t>
      </w:r>
      <w:r w:rsidR="00671695" w:rsidRPr="00F34585">
        <w:rPr>
          <w:rFonts w:ascii="Arial" w:hAnsi="Arial" w:cs="Arial"/>
          <w:sz w:val="24"/>
          <w:szCs w:val="24"/>
        </w:rPr>
        <w:t>flowing from a noncompetitive retail electric service to a competitive retail electric service or to a product or service other than retail electric service</w:t>
      </w:r>
      <w:r w:rsidRPr="00F34585">
        <w:rPr>
          <w:rFonts w:ascii="Arial" w:hAnsi="Arial" w:cs="Arial"/>
          <w:sz w:val="24"/>
          <w:szCs w:val="24"/>
        </w:rPr>
        <w:t xml:space="preserve"> </w:t>
      </w:r>
      <w:bookmarkEnd w:id="13"/>
      <w:r w:rsidRPr="00F34585">
        <w:rPr>
          <w:rFonts w:ascii="Arial" w:hAnsi="Arial" w:cs="Arial"/>
          <w:sz w:val="24"/>
          <w:szCs w:val="24"/>
        </w:rPr>
        <w:t>free</w:t>
      </w:r>
      <w:r w:rsidR="002327DA" w:rsidRPr="00F34585">
        <w:rPr>
          <w:rFonts w:ascii="Arial" w:hAnsi="Arial" w:cs="Arial"/>
          <w:sz w:val="24"/>
          <w:szCs w:val="24"/>
        </w:rPr>
        <w:t>s</w:t>
      </w:r>
      <w:r w:rsidRPr="00F34585">
        <w:rPr>
          <w:rFonts w:ascii="Arial" w:hAnsi="Arial" w:cs="Arial"/>
          <w:sz w:val="24"/>
          <w:szCs w:val="24"/>
        </w:rPr>
        <w:t xml:space="preserve"> up funds that would be necessary to pay the DPL debts </w:t>
      </w:r>
      <w:r w:rsidR="008B7AAF" w:rsidRPr="00F34585">
        <w:rPr>
          <w:rFonts w:ascii="Arial" w:hAnsi="Arial" w:cs="Arial"/>
          <w:sz w:val="24"/>
          <w:szCs w:val="24"/>
        </w:rPr>
        <w:t xml:space="preserve">that are funded by the DMR payments </w:t>
      </w:r>
      <w:r w:rsidRPr="00F34585">
        <w:rPr>
          <w:rFonts w:ascii="Arial" w:hAnsi="Arial" w:cs="Arial"/>
          <w:sz w:val="24"/>
          <w:szCs w:val="24"/>
        </w:rPr>
        <w:t>and allows the affiliated generation suppliers to either enhance their current generation fleet or invest in new forms of generation.</w:t>
      </w:r>
    </w:p>
    <w:p w14:paraId="59D01D3C" w14:textId="4702CF66" w:rsidR="00F7562A" w:rsidRPr="00F34585" w:rsidRDefault="00CC3D22" w:rsidP="00D90ED5">
      <w:pPr>
        <w:pStyle w:val="BodyText"/>
        <w:spacing w:line="480" w:lineRule="auto"/>
        <w:ind w:left="720" w:hanging="720"/>
        <w:jc w:val="both"/>
        <w:rPr>
          <w:rFonts w:ascii="Arial" w:hAnsi="Arial" w:cs="Arial"/>
          <w:b/>
          <w:sz w:val="24"/>
          <w:szCs w:val="24"/>
        </w:rPr>
      </w:pPr>
      <w:r w:rsidRPr="00F34585">
        <w:rPr>
          <w:rFonts w:ascii="Arial" w:hAnsi="Arial" w:cs="Arial"/>
          <w:b/>
          <w:sz w:val="24"/>
          <w:szCs w:val="24"/>
        </w:rPr>
        <w:t>Q.</w:t>
      </w:r>
      <w:r w:rsidR="007D586A" w:rsidRPr="00F34585">
        <w:rPr>
          <w:rFonts w:ascii="Arial" w:hAnsi="Arial" w:cs="Arial"/>
          <w:b/>
          <w:sz w:val="24"/>
          <w:szCs w:val="24"/>
        </w:rPr>
        <w:tab/>
      </w:r>
      <w:r w:rsidR="002327DA" w:rsidRPr="00F34585">
        <w:rPr>
          <w:rFonts w:ascii="Arial" w:hAnsi="Arial" w:cs="Arial"/>
          <w:b/>
          <w:sz w:val="24"/>
          <w:szCs w:val="24"/>
        </w:rPr>
        <w:t>In addition to the generation owned by AES Ohio Generation, a</w:t>
      </w:r>
      <w:r w:rsidR="00CC7F6C" w:rsidRPr="00F34585">
        <w:rPr>
          <w:rFonts w:ascii="Arial" w:hAnsi="Arial" w:cs="Arial"/>
          <w:b/>
          <w:sz w:val="24"/>
          <w:szCs w:val="24"/>
        </w:rPr>
        <w:t>re you aware of any recent acquisitions b</w:t>
      </w:r>
      <w:r w:rsidR="004E5420" w:rsidRPr="00F34585">
        <w:rPr>
          <w:rFonts w:ascii="Arial" w:hAnsi="Arial" w:cs="Arial"/>
          <w:b/>
          <w:sz w:val="24"/>
          <w:szCs w:val="24"/>
        </w:rPr>
        <w:t>y</w:t>
      </w:r>
      <w:r w:rsidR="00CC7F6C" w:rsidRPr="00F34585">
        <w:rPr>
          <w:rFonts w:ascii="Arial" w:hAnsi="Arial" w:cs="Arial"/>
          <w:b/>
          <w:sz w:val="24"/>
          <w:szCs w:val="24"/>
        </w:rPr>
        <w:t xml:space="preserve"> either AES</w:t>
      </w:r>
      <w:r w:rsidR="00D259FC" w:rsidRPr="00F34585">
        <w:rPr>
          <w:rFonts w:ascii="Arial" w:hAnsi="Arial" w:cs="Arial"/>
          <w:b/>
          <w:sz w:val="24"/>
          <w:szCs w:val="24"/>
        </w:rPr>
        <w:t>,</w:t>
      </w:r>
      <w:r w:rsidR="00CC7F6C" w:rsidRPr="00F34585">
        <w:rPr>
          <w:rFonts w:ascii="Arial" w:hAnsi="Arial" w:cs="Arial"/>
          <w:b/>
          <w:sz w:val="24"/>
          <w:szCs w:val="24"/>
        </w:rPr>
        <w:t xml:space="preserve"> </w:t>
      </w:r>
      <w:r w:rsidR="00671695" w:rsidRPr="00F34585">
        <w:rPr>
          <w:rFonts w:ascii="Arial" w:hAnsi="Arial" w:cs="Arial"/>
          <w:b/>
          <w:sz w:val="24"/>
          <w:szCs w:val="24"/>
        </w:rPr>
        <w:t>DPL, or AES Ohio Generation that</w:t>
      </w:r>
      <w:r w:rsidR="00CC7F6C" w:rsidRPr="00F34585">
        <w:rPr>
          <w:rFonts w:ascii="Arial" w:hAnsi="Arial" w:cs="Arial"/>
          <w:b/>
          <w:sz w:val="24"/>
          <w:szCs w:val="24"/>
        </w:rPr>
        <w:t xml:space="preserve"> could </w:t>
      </w:r>
      <w:r w:rsidR="004E5420" w:rsidRPr="00F34585">
        <w:rPr>
          <w:rFonts w:ascii="Arial" w:hAnsi="Arial" w:cs="Arial"/>
          <w:b/>
          <w:sz w:val="24"/>
          <w:szCs w:val="24"/>
        </w:rPr>
        <w:t xml:space="preserve">be directly in competition with other </w:t>
      </w:r>
      <w:r w:rsidR="00CC7F6C" w:rsidRPr="00F34585">
        <w:rPr>
          <w:rFonts w:ascii="Arial" w:hAnsi="Arial" w:cs="Arial"/>
          <w:b/>
          <w:sz w:val="24"/>
          <w:szCs w:val="24"/>
        </w:rPr>
        <w:t>Ohio businesses that participate in the competitive generation markets?</w:t>
      </w:r>
    </w:p>
    <w:p w14:paraId="503015CA" w14:textId="73DA1C69" w:rsidR="007B3E6B" w:rsidRPr="00F34585" w:rsidRDefault="00CC7F6C" w:rsidP="000D5823">
      <w:pPr>
        <w:pStyle w:val="BodyText"/>
        <w:spacing w:line="480" w:lineRule="auto"/>
        <w:ind w:left="720" w:hanging="720"/>
        <w:jc w:val="both"/>
        <w:rPr>
          <w:rFonts w:ascii="Arial" w:hAnsi="Arial" w:cs="Arial"/>
          <w:sz w:val="24"/>
          <w:szCs w:val="24"/>
        </w:rPr>
      </w:pPr>
      <w:r w:rsidRPr="00F34585">
        <w:rPr>
          <w:rFonts w:ascii="Arial" w:hAnsi="Arial" w:cs="Arial"/>
          <w:sz w:val="24"/>
          <w:szCs w:val="24"/>
        </w:rPr>
        <w:lastRenderedPageBreak/>
        <w:t>A.</w:t>
      </w:r>
      <w:r w:rsidRPr="00F34585">
        <w:rPr>
          <w:rFonts w:ascii="Arial" w:hAnsi="Arial" w:cs="Arial"/>
          <w:sz w:val="24"/>
          <w:szCs w:val="24"/>
        </w:rPr>
        <w:tab/>
      </w:r>
      <w:r w:rsidR="002327DA" w:rsidRPr="00F34585">
        <w:rPr>
          <w:rFonts w:ascii="Arial" w:hAnsi="Arial" w:cs="Arial"/>
          <w:sz w:val="24"/>
          <w:szCs w:val="24"/>
        </w:rPr>
        <w:t xml:space="preserve">Yes. </w:t>
      </w:r>
      <w:r w:rsidR="005E7890" w:rsidRPr="00F34585">
        <w:rPr>
          <w:rFonts w:ascii="Arial" w:hAnsi="Arial" w:cs="Arial"/>
          <w:sz w:val="24"/>
          <w:szCs w:val="24"/>
        </w:rPr>
        <w:t xml:space="preserve">Shortly after the execution of </w:t>
      </w:r>
      <w:r w:rsidR="00ED1254" w:rsidRPr="00F34585">
        <w:rPr>
          <w:rFonts w:ascii="Arial" w:hAnsi="Arial" w:cs="Arial"/>
          <w:sz w:val="24"/>
          <w:szCs w:val="24"/>
        </w:rPr>
        <w:t>the January 30</w:t>
      </w:r>
      <w:r w:rsidR="0005386D" w:rsidRPr="00F34585">
        <w:rPr>
          <w:rFonts w:ascii="Arial" w:hAnsi="Arial" w:cs="Arial"/>
          <w:sz w:val="24"/>
          <w:szCs w:val="24"/>
        </w:rPr>
        <w:t>, 2017</w:t>
      </w:r>
      <w:r w:rsidR="005E7890" w:rsidRPr="00F34585">
        <w:rPr>
          <w:rFonts w:ascii="Arial" w:hAnsi="Arial" w:cs="Arial"/>
          <w:sz w:val="24"/>
          <w:szCs w:val="24"/>
        </w:rPr>
        <w:t xml:space="preserve"> Stipulation in this case, which included the DMR, on February 24, 2017, AES spent over $400 million to acquire approximately 50% interest in one of the largest solar and wind developers in the United States</w:t>
      </w:r>
      <w:r w:rsidR="00D129D1" w:rsidRPr="00F34585">
        <w:rPr>
          <w:rFonts w:ascii="Arial" w:hAnsi="Arial" w:cs="Arial"/>
          <w:sz w:val="24"/>
          <w:szCs w:val="24"/>
        </w:rPr>
        <w:t>, FTP Power LLC (</w:t>
      </w:r>
      <w:r w:rsidR="00E960FB">
        <w:rPr>
          <w:rFonts w:ascii="Arial" w:hAnsi="Arial" w:cs="Arial"/>
          <w:sz w:val="24"/>
          <w:szCs w:val="24"/>
        </w:rPr>
        <w:t>“</w:t>
      </w:r>
      <w:r w:rsidR="00D129D1" w:rsidRPr="00F34585">
        <w:rPr>
          <w:rFonts w:ascii="Arial" w:hAnsi="Arial" w:cs="Arial"/>
          <w:sz w:val="24"/>
          <w:szCs w:val="24"/>
        </w:rPr>
        <w:t>sPower</w:t>
      </w:r>
      <w:r w:rsidR="00E960FB">
        <w:rPr>
          <w:rFonts w:ascii="Arial" w:hAnsi="Arial" w:cs="Arial"/>
          <w:sz w:val="24"/>
          <w:szCs w:val="24"/>
        </w:rPr>
        <w:t>”</w:t>
      </w:r>
      <w:r w:rsidR="00D129D1" w:rsidRPr="00F34585">
        <w:rPr>
          <w:rFonts w:ascii="Arial" w:hAnsi="Arial" w:cs="Arial"/>
          <w:sz w:val="24"/>
          <w:szCs w:val="24"/>
        </w:rPr>
        <w:t>)</w:t>
      </w:r>
      <w:r w:rsidR="005E7890" w:rsidRPr="00F34585">
        <w:rPr>
          <w:rFonts w:ascii="Arial" w:hAnsi="Arial" w:cs="Arial"/>
          <w:sz w:val="24"/>
          <w:szCs w:val="24"/>
        </w:rPr>
        <w:t xml:space="preserve">.  </w:t>
      </w:r>
      <w:r w:rsidR="0092784A" w:rsidRPr="00F34585">
        <w:rPr>
          <w:rFonts w:ascii="Arial" w:hAnsi="Arial" w:cs="Arial"/>
          <w:sz w:val="24"/>
          <w:szCs w:val="24"/>
        </w:rPr>
        <w:t>I</w:t>
      </w:r>
      <w:r w:rsidR="000D5823" w:rsidRPr="00F34585">
        <w:rPr>
          <w:rFonts w:ascii="Arial" w:hAnsi="Arial" w:cs="Arial"/>
          <w:sz w:val="24"/>
          <w:szCs w:val="24"/>
        </w:rPr>
        <w:t>n conjunction with Alberta Investment Management Corporation (“AIMCo”), AES announced the acquisition of</w:t>
      </w:r>
      <w:r w:rsidR="00E960FB">
        <w:rPr>
          <w:rFonts w:ascii="Arial" w:hAnsi="Arial" w:cs="Arial"/>
          <w:sz w:val="24"/>
          <w:szCs w:val="24"/>
        </w:rPr>
        <w:t xml:space="preserve"> s</w:t>
      </w:r>
      <w:r w:rsidR="000D5823" w:rsidRPr="00F34585">
        <w:rPr>
          <w:rFonts w:ascii="Arial" w:hAnsi="Arial" w:cs="Arial"/>
          <w:sz w:val="24"/>
          <w:szCs w:val="24"/>
        </w:rPr>
        <w:t>Power for $853 million in cash, subject to adjustment, plus the assumption of $724 million in sPower’s non-recourse debt.”</w:t>
      </w:r>
      <w:r w:rsidR="00ED1254" w:rsidRPr="00F34585">
        <w:rPr>
          <w:rStyle w:val="FootnoteReference"/>
          <w:rFonts w:ascii="Arial" w:hAnsi="Arial" w:cs="Arial"/>
          <w:sz w:val="24"/>
          <w:szCs w:val="24"/>
        </w:rPr>
        <w:footnoteReference w:id="9"/>
      </w:r>
      <w:r w:rsidR="000D5823" w:rsidRPr="00F34585">
        <w:rPr>
          <w:rFonts w:ascii="Arial" w:hAnsi="Arial" w:cs="Arial"/>
          <w:sz w:val="24"/>
          <w:szCs w:val="24"/>
        </w:rPr>
        <w:t xml:space="preserve">  The acquisition was “funded with $90 million of subordinated debt to sPower, and the remaining amount of $763 million will be funded with equity from AES and AIMCo in equal proportion.”</w:t>
      </w:r>
      <w:r w:rsidR="00ED1254" w:rsidRPr="00F34585">
        <w:rPr>
          <w:rStyle w:val="FootnoteReference"/>
          <w:rFonts w:ascii="Arial" w:hAnsi="Arial" w:cs="Arial"/>
          <w:sz w:val="24"/>
          <w:szCs w:val="24"/>
        </w:rPr>
        <w:footnoteReference w:id="10"/>
      </w:r>
      <w:r w:rsidR="000D5823" w:rsidRPr="00F34585">
        <w:rPr>
          <w:rFonts w:ascii="Arial" w:hAnsi="Arial" w:cs="Arial"/>
          <w:sz w:val="24"/>
          <w:szCs w:val="24"/>
        </w:rPr>
        <w:t xml:space="preserve">  Thus, unlike the heavily leveraged acquisition of DPL, the acquisition of </w:t>
      </w:r>
      <w:r w:rsidR="00ED1254" w:rsidRPr="00F34585">
        <w:rPr>
          <w:rFonts w:ascii="Arial" w:hAnsi="Arial" w:cs="Arial"/>
          <w:sz w:val="24"/>
          <w:szCs w:val="24"/>
        </w:rPr>
        <w:t>s</w:t>
      </w:r>
      <w:r w:rsidR="000D5823" w:rsidRPr="00F34585">
        <w:rPr>
          <w:rFonts w:ascii="Arial" w:hAnsi="Arial" w:cs="Arial"/>
          <w:sz w:val="24"/>
          <w:szCs w:val="24"/>
        </w:rPr>
        <w:t xml:space="preserve">Power was funded </w:t>
      </w:r>
      <w:r w:rsidR="00ED1254" w:rsidRPr="00F34585">
        <w:rPr>
          <w:rFonts w:ascii="Arial" w:hAnsi="Arial" w:cs="Arial"/>
          <w:sz w:val="24"/>
          <w:szCs w:val="24"/>
        </w:rPr>
        <w:t>by primarily</w:t>
      </w:r>
      <w:r w:rsidR="000D5823" w:rsidRPr="00F34585">
        <w:rPr>
          <w:rFonts w:ascii="Arial" w:hAnsi="Arial" w:cs="Arial"/>
          <w:sz w:val="24"/>
          <w:szCs w:val="24"/>
        </w:rPr>
        <w:t xml:space="preserve"> cash/equity (89.4% equity and 10.6% debt). sPower portfolio includes 1,274 MW of solar and wind projects in operation or under construction and a development pipeline of more than 10,000 MW located in the United States.</w:t>
      </w:r>
      <w:r w:rsidR="007B3E6B" w:rsidRPr="00F34585">
        <w:rPr>
          <w:rFonts w:ascii="Arial" w:hAnsi="Arial" w:cs="Arial"/>
          <w:sz w:val="24"/>
          <w:szCs w:val="24"/>
        </w:rPr>
        <w:t xml:space="preserve">  On November 6, 2018, eighteen months after acquiring an interest in sPower, AES made an 8K filing with the SEC announcing that “[w]e also agreed to sell 24% of sPower's operating fleet and we will invest the proceeds in sPower's 10 GW development pipeline, yielding higher returns.”</w:t>
      </w:r>
      <w:r w:rsidR="007B3E6B" w:rsidRPr="00F34585">
        <w:rPr>
          <w:rFonts w:ascii="Arial" w:hAnsi="Arial" w:cs="Arial"/>
          <w:sz w:val="24"/>
          <w:szCs w:val="24"/>
          <w:vertAlign w:val="superscript"/>
        </w:rPr>
        <w:footnoteReference w:id="11"/>
      </w:r>
      <w:r w:rsidR="007B3E6B" w:rsidRPr="00F34585">
        <w:rPr>
          <w:rFonts w:ascii="Arial" w:hAnsi="Arial" w:cs="Arial"/>
          <w:sz w:val="24"/>
          <w:szCs w:val="24"/>
        </w:rPr>
        <w:t xml:space="preserve">  </w:t>
      </w:r>
      <w:r w:rsidR="0092784A" w:rsidRPr="00F34585">
        <w:rPr>
          <w:rFonts w:ascii="Arial" w:hAnsi="Arial" w:cs="Arial"/>
          <w:sz w:val="24"/>
          <w:szCs w:val="24"/>
        </w:rPr>
        <w:t>With this transaction, AES is now positioned to develop solar and wind projects in Ohio that compete with other Ohio businesses.</w:t>
      </w:r>
    </w:p>
    <w:p w14:paraId="4124F2C5" w14:textId="1B24BB15" w:rsidR="0092784A" w:rsidRPr="00F34585" w:rsidRDefault="0092784A" w:rsidP="000D5823">
      <w:pPr>
        <w:pStyle w:val="BodyText"/>
        <w:spacing w:line="480" w:lineRule="auto"/>
        <w:ind w:left="720" w:hanging="720"/>
        <w:jc w:val="both"/>
        <w:rPr>
          <w:rFonts w:ascii="Arial" w:hAnsi="Arial" w:cs="Arial"/>
          <w:b/>
          <w:sz w:val="24"/>
          <w:szCs w:val="24"/>
        </w:rPr>
      </w:pPr>
      <w:r w:rsidRPr="00F34585">
        <w:rPr>
          <w:rFonts w:ascii="Arial" w:hAnsi="Arial" w:cs="Arial"/>
          <w:b/>
          <w:sz w:val="24"/>
          <w:szCs w:val="24"/>
        </w:rPr>
        <w:t>Q.</w:t>
      </w:r>
      <w:r w:rsidRPr="00F34585">
        <w:rPr>
          <w:rFonts w:ascii="Arial" w:hAnsi="Arial" w:cs="Arial"/>
          <w:b/>
          <w:sz w:val="24"/>
          <w:szCs w:val="24"/>
        </w:rPr>
        <w:tab/>
        <w:t>Has sPower invested in any generation projects in the State o</w:t>
      </w:r>
      <w:r w:rsidR="005A78E5">
        <w:rPr>
          <w:rFonts w:ascii="Arial" w:hAnsi="Arial" w:cs="Arial"/>
          <w:b/>
          <w:sz w:val="24"/>
          <w:szCs w:val="24"/>
        </w:rPr>
        <w:t>f</w:t>
      </w:r>
      <w:r w:rsidRPr="00F34585">
        <w:rPr>
          <w:rFonts w:ascii="Arial" w:hAnsi="Arial" w:cs="Arial"/>
          <w:b/>
          <w:sz w:val="24"/>
          <w:szCs w:val="24"/>
        </w:rPr>
        <w:t xml:space="preserve"> Ohio?</w:t>
      </w:r>
    </w:p>
    <w:p w14:paraId="7A69A1FC" w14:textId="712F0C92" w:rsidR="00AF5C67" w:rsidRPr="00F34585" w:rsidRDefault="00210CA3" w:rsidP="000D5823">
      <w:pPr>
        <w:pStyle w:val="BodyText"/>
        <w:spacing w:line="480" w:lineRule="auto"/>
        <w:ind w:left="720" w:hanging="720"/>
        <w:jc w:val="both"/>
        <w:rPr>
          <w:rFonts w:ascii="Arial" w:hAnsi="Arial" w:cs="Arial"/>
          <w:sz w:val="24"/>
          <w:szCs w:val="24"/>
        </w:rPr>
      </w:pPr>
      <w:r w:rsidRPr="00F34585">
        <w:rPr>
          <w:rFonts w:ascii="Arial" w:hAnsi="Arial" w:cs="Arial"/>
          <w:sz w:val="24"/>
          <w:szCs w:val="24"/>
        </w:rPr>
        <w:lastRenderedPageBreak/>
        <w:t>A.</w:t>
      </w:r>
      <w:r w:rsidRPr="00F34585">
        <w:rPr>
          <w:rFonts w:ascii="Arial" w:hAnsi="Arial" w:cs="Arial"/>
          <w:sz w:val="24"/>
          <w:szCs w:val="24"/>
        </w:rPr>
        <w:tab/>
      </w:r>
      <w:r w:rsidR="00AF5C67" w:rsidRPr="00F34585">
        <w:rPr>
          <w:rFonts w:ascii="Arial" w:hAnsi="Arial" w:cs="Arial"/>
          <w:sz w:val="24"/>
          <w:szCs w:val="24"/>
        </w:rPr>
        <w:t>sPower recently filed an application before the Ohio Power Siting Board with respect to the Seneca Wind Farm, which is a proposed 212-megawatt project.</w:t>
      </w:r>
      <w:r w:rsidR="00AF5C67" w:rsidRPr="00F34585">
        <w:rPr>
          <w:rFonts w:ascii="Arial" w:hAnsi="Arial" w:cs="Arial"/>
          <w:sz w:val="24"/>
          <w:szCs w:val="24"/>
          <w:vertAlign w:val="superscript"/>
        </w:rPr>
        <w:footnoteReference w:id="12"/>
      </w:r>
      <w:r w:rsidRPr="00F34585">
        <w:rPr>
          <w:rFonts w:ascii="Times New Roman" w:hAnsi="Times New Roman" w:cs="Times New Roman"/>
          <w:sz w:val="24"/>
          <w:szCs w:val="24"/>
          <w:vertAlign w:val="superscript"/>
        </w:rPr>
        <w:t xml:space="preserve"> </w:t>
      </w:r>
      <w:r w:rsidRPr="00F34585">
        <w:rPr>
          <w:rFonts w:ascii="Arial" w:hAnsi="Arial" w:cs="Arial"/>
          <w:sz w:val="24"/>
          <w:szCs w:val="24"/>
        </w:rPr>
        <w:t>Seneca Wind LLC is a Delaware limited liability company and a wholly owned subsidiary of sPower Development Company, LLC (sPower).</w:t>
      </w:r>
      <w:r w:rsidRPr="00F34585">
        <w:rPr>
          <w:rStyle w:val="FootnoteReference"/>
          <w:rFonts w:ascii="Arial" w:hAnsi="Arial" w:cs="Arial"/>
          <w:sz w:val="24"/>
          <w:szCs w:val="24"/>
        </w:rPr>
        <w:footnoteReference w:id="13"/>
      </w:r>
    </w:p>
    <w:p w14:paraId="34207430" w14:textId="74565521" w:rsidR="00254B2B" w:rsidRPr="00D910EB" w:rsidRDefault="00254B2B" w:rsidP="00D90ED5">
      <w:pPr>
        <w:pStyle w:val="BodyText"/>
        <w:spacing w:line="480" w:lineRule="auto"/>
        <w:ind w:left="720" w:hanging="720"/>
        <w:jc w:val="both"/>
        <w:rPr>
          <w:rFonts w:ascii="Arial" w:hAnsi="Arial" w:cs="Arial"/>
          <w:b/>
          <w:sz w:val="24"/>
          <w:szCs w:val="24"/>
        </w:rPr>
      </w:pPr>
      <w:r w:rsidRPr="00D910EB">
        <w:rPr>
          <w:rFonts w:ascii="Arial" w:hAnsi="Arial" w:cs="Arial"/>
          <w:b/>
          <w:sz w:val="24"/>
          <w:szCs w:val="24"/>
        </w:rPr>
        <w:t>Q.</w:t>
      </w:r>
      <w:r w:rsidRPr="00D910EB">
        <w:rPr>
          <w:rFonts w:ascii="Arial" w:hAnsi="Arial" w:cs="Arial"/>
          <w:b/>
          <w:sz w:val="24"/>
          <w:szCs w:val="24"/>
        </w:rPr>
        <w:tab/>
      </w:r>
      <w:r w:rsidR="00FF38B6" w:rsidRPr="00D910EB">
        <w:rPr>
          <w:rFonts w:ascii="Arial" w:hAnsi="Arial" w:cs="Arial"/>
          <w:b/>
          <w:sz w:val="24"/>
          <w:szCs w:val="24"/>
        </w:rPr>
        <w:t>You also state that th</w:t>
      </w:r>
      <w:r w:rsidR="000D5823">
        <w:rPr>
          <w:rFonts w:ascii="Arial" w:hAnsi="Arial" w:cs="Arial"/>
          <w:b/>
          <w:sz w:val="24"/>
          <w:szCs w:val="24"/>
        </w:rPr>
        <w:t>e DMR</w:t>
      </w:r>
      <w:r w:rsidR="00FF38B6" w:rsidRPr="00D910EB">
        <w:rPr>
          <w:rFonts w:ascii="Arial" w:hAnsi="Arial" w:cs="Arial"/>
          <w:b/>
          <w:sz w:val="24"/>
          <w:szCs w:val="24"/>
        </w:rPr>
        <w:t xml:space="preserve"> payments should not be required because the Commission does not have oversite authority for the financial </w:t>
      </w:r>
      <w:r w:rsidR="008B7AAF" w:rsidRPr="00D910EB">
        <w:rPr>
          <w:rFonts w:ascii="Arial" w:hAnsi="Arial" w:cs="Arial"/>
          <w:b/>
          <w:sz w:val="24"/>
          <w:szCs w:val="24"/>
        </w:rPr>
        <w:t>wellbeing</w:t>
      </w:r>
      <w:r w:rsidR="00FF38B6" w:rsidRPr="00D910EB">
        <w:rPr>
          <w:rFonts w:ascii="Arial" w:hAnsi="Arial" w:cs="Arial"/>
          <w:b/>
          <w:sz w:val="24"/>
          <w:szCs w:val="24"/>
        </w:rPr>
        <w:t xml:space="preserve"> of DPL</w:t>
      </w:r>
      <w:r w:rsidR="000D5823">
        <w:rPr>
          <w:rFonts w:ascii="Arial" w:hAnsi="Arial" w:cs="Arial"/>
          <w:b/>
          <w:sz w:val="24"/>
          <w:szCs w:val="24"/>
        </w:rPr>
        <w:t>.  Will you explain?</w:t>
      </w:r>
    </w:p>
    <w:p w14:paraId="5C161E31" w14:textId="0F2C20B7" w:rsidR="0082409D" w:rsidRDefault="00254B2B" w:rsidP="00D90ED5">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0D5823">
        <w:rPr>
          <w:rFonts w:ascii="Arial" w:hAnsi="Arial" w:cs="Arial"/>
          <w:sz w:val="24"/>
          <w:szCs w:val="24"/>
        </w:rPr>
        <w:t>Yes</w:t>
      </w:r>
      <w:r>
        <w:rPr>
          <w:rFonts w:ascii="Arial" w:hAnsi="Arial" w:cs="Arial"/>
          <w:sz w:val="24"/>
          <w:szCs w:val="24"/>
        </w:rPr>
        <w:t xml:space="preserve">.  </w:t>
      </w:r>
      <w:r w:rsidR="00D212AF">
        <w:rPr>
          <w:rFonts w:ascii="Arial" w:hAnsi="Arial" w:cs="Arial"/>
          <w:sz w:val="24"/>
          <w:szCs w:val="24"/>
        </w:rPr>
        <w:t>T</w:t>
      </w:r>
      <w:r>
        <w:rPr>
          <w:rFonts w:ascii="Arial" w:hAnsi="Arial" w:cs="Arial"/>
          <w:sz w:val="24"/>
          <w:szCs w:val="24"/>
        </w:rPr>
        <w:t>he Commission’s regulatory oversite is limited to public utilities as defined by the Statute.</w:t>
      </w:r>
      <w:r w:rsidR="00FF38B6">
        <w:rPr>
          <w:rFonts w:ascii="Arial" w:hAnsi="Arial" w:cs="Arial"/>
          <w:sz w:val="24"/>
          <w:szCs w:val="24"/>
        </w:rPr>
        <w:t xml:space="preserve">  DPL is not a public utility as defined by the statute</w:t>
      </w:r>
      <w:r w:rsidR="00D212AF">
        <w:rPr>
          <w:rFonts w:ascii="Arial" w:hAnsi="Arial" w:cs="Arial"/>
          <w:sz w:val="24"/>
          <w:szCs w:val="24"/>
        </w:rPr>
        <w:t>, it</w:t>
      </w:r>
      <w:r w:rsidR="00FF38B6">
        <w:rPr>
          <w:rFonts w:ascii="Arial" w:hAnsi="Arial" w:cs="Arial"/>
          <w:sz w:val="24"/>
          <w:szCs w:val="24"/>
        </w:rPr>
        <w:t xml:space="preserve"> is not regulated by the Commission</w:t>
      </w:r>
      <w:r w:rsidR="00D212AF">
        <w:rPr>
          <w:rFonts w:ascii="Arial" w:hAnsi="Arial" w:cs="Arial"/>
          <w:sz w:val="24"/>
          <w:szCs w:val="24"/>
        </w:rPr>
        <w:t>, and it has no defined distribution service territory</w:t>
      </w:r>
      <w:r w:rsidR="005856A2">
        <w:rPr>
          <w:rFonts w:ascii="Arial" w:hAnsi="Arial" w:cs="Arial"/>
          <w:sz w:val="24"/>
          <w:szCs w:val="24"/>
        </w:rPr>
        <w:t>.</w:t>
      </w:r>
    </w:p>
    <w:p w14:paraId="1AAB604B" w14:textId="77777777" w:rsidR="00827D0B" w:rsidRDefault="005856A2" w:rsidP="00D90ED5">
      <w:pPr>
        <w:pStyle w:val="BodyText"/>
        <w:spacing w:line="480" w:lineRule="auto"/>
        <w:ind w:left="720" w:hanging="720"/>
        <w:jc w:val="both"/>
        <w:rPr>
          <w:rFonts w:ascii="Arial" w:hAnsi="Arial" w:cs="Arial"/>
          <w:b/>
          <w:sz w:val="24"/>
          <w:szCs w:val="24"/>
        </w:rPr>
      </w:pPr>
      <w:r w:rsidRPr="00D910EB">
        <w:rPr>
          <w:rFonts w:ascii="Arial" w:hAnsi="Arial" w:cs="Arial"/>
          <w:b/>
          <w:sz w:val="24"/>
          <w:szCs w:val="24"/>
        </w:rPr>
        <w:t>Q</w:t>
      </w:r>
      <w:r w:rsidR="0082409D" w:rsidRPr="00D910EB">
        <w:rPr>
          <w:rFonts w:ascii="Arial" w:hAnsi="Arial" w:cs="Arial"/>
          <w:b/>
          <w:sz w:val="24"/>
          <w:szCs w:val="24"/>
        </w:rPr>
        <w:t>.</w:t>
      </w:r>
      <w:r w:rsidRPr="00D910EB">
        <w:rPr>
          <w:rFonts w:ascii="Arial" w:hAnsi="Arial" w:cs="Arial"/>
          <w:b/>
          <w:sz w:val="24"/>
          <w:szCs w:val="24"/>
        </w:rPr>
        <w:tab/>
        <w:t>Does the Commission have the responsibility or the opportunity to review and approve DPL debt?</w:t>
      </w:r>
    </w:p>
    <w:p w14:paraId="7669C78C" w14:textId="5950B753" w:rsidR="00581EB3" w:rsidRDefault="005856A2">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No.  Again, DPL’s debt is not required to be reviewed by the Commission and I do not believe that the debt that is being paid for was ever approved by the Commission.</w:t>
      </w:r>
      <w:r w:rsidR="0082409D">
        <w:rPr>
          <w:rFonts w:ascii="Arial" w:hAnsi="Arial" w:cs="Arial"/>
          <w:sz w:val="24"/>
          <w:szCs w:val="24"/>
        </w:rPr>
        <w:tab/>
      </w:r>
      <w:r w:rsidR="00FF38B6">
        <w:rPr>
          <w:rFonts w:ascii="Arial" w:hAnsi="Arial" w:cs="Arial"/>
          <w:sz w:val="24"/>
          <w:szCs w:val="24"/>
        </w:rPr>
        <w:t xml:space="preserve"> </w:t>
      </w:r>
      <w:r w:rsidR="00253CA6">
        <w:rPr>
          <w:rFonts w:ascii="Arial" w:hAnsi="Arial" w:cs="Arial"/>
          <w:sz w:val="24"/>
          <w:szCs w:val="24"/>
        </w:rPr>
        <w:t>DP&amp;L indicated as much in response to discovery, stating, “</w:t>
      </w:r>
      <w:r w:rsidR="00253CA6" w:rsidRPr="00253CA6">
        <w:rPr>
          <w:rFonts w:ascii="Arial" w:hAnsi="Arial" w:cs="Arial"/>
          <w:sz w:val="24"/>
          <w:szCs w:val="24"/>
        </w:rPr>
        <w:t xml:space="preserve">DP&amp;L states that R.C. 4905.40 only applies to </w:t>
      </w:r>
      <w:r w:rsidR="00253CA6">
        <w:rPr>
          <w:rFonts w:ascii="Arial" w:hAnsi="Arial" w:cs="Arial"/>
          <w:sz w:val="24"/>
          <w:szCs w:val="24"/>
        </w:rPr>
        <w:t>‘</w:t>
      </w:r>
      <w:r w:rsidR="00253CA6" w:rsidRPr="00253CA6">
        <w:rPr>
          <w:rFonts w:ascii="Arial" w:hAnsi="Arial" w:cs="Arial"/>
          <w:sz w:val="24"/>
          <w:szCs w:val="24"/>
        </w:rPr>
        <w:t>public utilities" as that term</w:t>
      </w:r>
      <w:r w:rsidR="00253CA6">
        <w:rPr>
          <w:rFonts w:ascii="Arial" w:hAnsi="Arial" w:cs="Arial"/>
          <w:sz w:val="24"/>
          <w:szCs w:val="24"/>
        </w:rPr>
        <w:t xml:space="preserve"> </w:t>
      </w:r>
      <w:r w:rsidR="00253CA6" w:rsidRPr="00253CA6">
        <w:rPr>
          <w:rFonts w:ascii="Arial" w:hAnsi="Arial" w:cs="Arial"/>
          <w:sz w:val="24"/>
          <w:szCs w:val="24"/>
        </w:rPr>
        <w:t>is defined under R.C. 4905.02</w:t>
      </w:r>
      <w:r w:rsidR="00B56FA7" w:rsidRPr="00253CA6">
        <w:rPr>
          <w:rFonts w:ascii="Arial" w:hAnsi="Arial" w:cs="Arial"/>
          <w:sz w:val="24"/>
          <w:szCs w:val="24"/>
        </w:rPr>
        <w:t>;</w:t>
      </w:r>
      <w:r w:rsidR="00B56FA7">
        <w:rPr>
          <w:rFonts w:ascii="Arial" w:hAnsi="Arial" w:cs="Arial"/>
          <w:sz w:val="24"/>
          <w:szCs w:val="24"/>
        </w:rPr>
        <w:t xml:space="preserve"> </w:t>
      </w:r>
      <w:r w:rsidR="00B56FA7" w:rsidRPr="00253CA6">
        <w:rPr>
          <w:rFonts w:ascii="Arial" w:hAnsi="Arial" w:cs="Arial"/>
          <w:sz w:val="24"/>
          <w:szCs w:val="24"/>
        </w:rPr>
        <w:t>thus</w:t>
      </w:r>
      <w:r w:rsidR="00253CA6" w:rsidRPr="00253CA6">
        <w:rPr>
          <w:rFonts w:ascii="Arial" w:hAnsi="Arial" w:cs="Arial"/>
          <w:sz w:val="24"/>
          <w:szCs w:val="24"/>
        </w:rPr>
        <w:t>, DPL Inc. is not required to acquire Commission approval</w:t>
      </w:r>
      <w:r w:rsidR="00253CA6">
        <w:rPr>
          <w:rFonts w:ascii="Arial" w:hAnsi="Arial" w:cs="Arial"/>
          <w:sz w:val="24"/>
          <w:szCs w:val="24"/>
        </w:rPr>
        <w:t xml:space="preserve"> </w:t>
      </w:r>
      <w:r w:rsidR="00253CA6" w:rsidRPr="00253CA6">
        <w:rPr>
          <w:rFonts w:ascii="Arial" w:hAnsi="Arial" w:cs="Arial"/>
          <w:sz w:val="24"/>
          <w:szCs w:val="24"/>
        </w:rPr>
        <w:t>for long-term debt.</w:t>
      </w:r>
      <w:r w:rsidR="00253CA6">
        <w:rPr>
          <w:rFonts w:ascii="Arial" w:hAnsi="Arial" w:cs="Arial"/>
          <w:sz w:val="24"/>
          <w:szCs w:val="24"/>
        </w:rPr>
        <w:t>”</w:t>
      </w:r>
      <w:r w:rsidR="00253CA6">
        <w:rPr>
          <w:rStyle w:val="FootnoteReference"/>
          <w:rFonts w:ascii="Arial" w:hAnsi="Arial" w:cs="Arial"/>
          <w:sz w:val="24"/>
          <w:szCs w:val="24"/>
        </w:rPr>
        <w:footnoteReference w:id="14"/>
      </w:r>
    </w:p>
    <w:p w14:paraId="531931C1" w14:textId="77777777" w:rsidR="00581EB3" w:rsidRPr="00D910EB" w:rsidRDefault="00581EB3" w:rsidP="00D90ED5">
      <w:pPr>
        <w:pStyle w:val="BodyText"/>
        <w:spacing w:line="480" w:lineRule="auto"/>
        <w:ind w:left="720" w:hanging="720"/>
        <w:jc w:val="both"/>
        <w:rPr>
          <w:rFonts w:ascii="Arial" w:hAnsi="Arial" w:cs="Arial"/>
          <w:b/>
          <w:sz w:val="24"/>
          <w:szCs w:val="24"/>
        </w:rPr>
      </w:pPr>
      <w:r w:rsidRPr="00D910EB">
        <w:rPr>
          <w:rFonts w:ascii="Arial" w:hAnsi="Arial" w:cs="Arial"/>
          <w:b/>
          <w:sz w:val="24"/>
          <w:szCs w:val="24"/>
        </w:rPr>
        <w:lastRenderedPageBreak/>
        <w:t>Q.</w:t>
      </w:r>
      <w:r w:rsidRPr="00D910EB">
        <w:rPr>
          <w:rFonts w:ascii="Arial" w:hAnsi="Arial" w:cs="Arial"/>
          <w:b/>
          <w:sz w:val="24"/>
          <w:szCs w:val="24"/>
        </w:rPr>
        <w:tab/>
        <w:t>Does the Commission have the responsibility to assure that DPL is financially stable?</w:t>
      </w:r>
    </w:p>
    <w:p w14:paraId="16CC4712" w14:textId="34F7D031" w:rsidR="005856A2" w:rsidRDefault="00581EB3" w:rsidP="00D90ED5">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No.  Because the Commission has no regulatory oversight responsibilities for DPL, the Commission </w:t>
      </w:r>
      <w:r w:rsidR="002469CE">
        <w:rPr>
          <w:rFonts w:ascii="Arial" w:hAnsi="Arial" w:cs="Arial"/>
          <w:sz w:val="24"/>
          <w:szCs w:val="24"/>
        </w:rPr>
        <w:t>cannot</w:t>
      </w:r>
      <w:r>
        <w:rPr>
          <w:rFonts w:ascii="Arial" w:hAnsi="Arial" w:cs="Arial"/>
          <w:sz w:val="24"/>
          <w:szCs w:val="24"/>
        </w:rPr>
        <w:t xml:space="preserve"> assure its financial stability.</w:t>
      </w:r>
    </w:p>
    <w:p w14:paraId="35CF32F7" w14:textId="77777777" w:rsidR="002479D6" w:rsidRPr="00D910EB" w:rsidRDefault="00254B2B" w:rsidP="006B60F5">
      <w:pPr>
        <w:pStyle w:val="BodyText"/>
        <w:spacing w:line="480" w:lineRule="auto"/>
        <w:ind w:left="720" w:hanging="720"/>
        <w:jc w:val="both"/>
        <w:rPr>
          <w:rFonts w:ascii="Arial" w:hAnsi="Arial" w:cs="Arial"/>
          <w:b/>
          <w:sz w:val="24"/>
          <w:szCs w:val="24"/>
        </w:rPr>
      </w:pPr>
      <w:r w:rsidRPr="00D910EB">
        <w:rPr>
          <w:rFonts w:ascii="Arial" w:hAnsi="Arial" w:cs="Arial"/>
          <w:b/>
          <w:sz w:val="24"/>
          <w:szCs w:val="24"/>
        </w:rPr>
        <w:t>Q.</w:t>
      </w:r>
      <w:r w:rsidRPr="00D910EB">
        <w:rPr>
          <w:rFonts w:ascii="Arial" w:hAnsi="Arial" w:cs="Arial"/>
          <w:b/>
          <w:sz w:val="24"/>
          <w:szCs w:val="24"/>
        </w:rPr>
        <w:tab/>
        <w:t>Has the Commission reviewed the relationship of DPL to DP&amp;L</w:t>
      </w:r>
      <w:r w:rsidR="00FF38B6" w:rsidRPr="00D910EB">
        <w:rPr>
          <w:rFonts w:ascii="Arial" w:hAnsi="Arial" w:cs="Arial"/>
          <w:b/>
          <w:sz w:val="24"/>
          <w:szCs w:val="24"/>
        </w:rPr>
        <w:t xml:space="preserve"> in past cases</w:t>
      </w:r>
      <w:r w:rsidR="002479D6" w:rsidRPr="00D910EB">
        <w:rPr>
          <w:rFonts w:ascii="Arial" w:hAnsi="Arial" w:cs="Arial"/>
          <w:b/>
          <w:sz w:val="24"/>
          <w:szCs w:val="24"/>
        </w:rPr>
        <w:t>?</w:t>
      </w:r>
    </w:p>
    <w:p w14:paraId="68E2F4C3" w14:textId="77777777" w:rsidR="006B60F5" w:rsidRDefault="002479D6" w:rsidP="006B60F5">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Yes.  </w:t>
      </w:r>
      <w:r w:rsidR="00254B2B">
        <w:rPr>
          <w:rFonts w:ascii="Arial" w:hAnsi="Arial" w:cs="Arial"/>
          <w:sz w:val="24"/>
          <w:szCs w:val="24"/>
        </w:rPr>
        <w:t xml:space="preserve"> </w:t>
      </w:r>
      <w:r w:rsidR="00B6732A">
        <w:rPr>
          <w:rFonts w:ascii="Arial" w:hAnsi="Arial" w:cs="Arial"/>
          <w:sz w:val="24"/>
          <w:szCs w:val="24"/>
        </w:rPr>
        <w:t>The Commission reviewed the relationship between DPL and DP&amp;L in the below cases and consistently found that the Commission had no oversight responsibilities for DPL and that it would</w:t>
      </w:r>
      <w:r w:rsidR="00B6732A" w:rsidRPr="00E13701">
        <w:rPr>
          <w:rFonts w:ascii="Arial" w:hAnsi="Arial" w:cs="Arial"/>
          <w:sz w:val="24"/>
          <w:szCs w:val="24"/>
        </w:rPr>
        <w:t xml:space="preserve"> insulate DP&amp;L from the financial risks associated with DPL</w:t>
      </w:r>
      <w:r w:rsidR="00B6732A">
        <w:rPr>
          <w:rFonts w:ascii="Arial" w:hAnsi="Arial" w:cs="Arial"/>
          <w:sz w:val="24"/>
          <w:szCs w:val="24"/>
        </w:rPr>
        <w:t>.</w:t>
      </w:r>
    </w:p>
    <w:p w14:paraId="65D4BE2B" w14:textId="7C7F7A77" w:rsidR="006B60F5" w:rsidRDefault="006B60F5" w:rsidP="006B60F5">
      <w:pPr>
        <w:pStyle w:val="BodyText"/>
        <w:spacing w:line="480" w:lineRule="auto"/>
        <w:ind w:left="720" w:hanging="720"/>
        <w:jc w:val="both"/>
        <w:rPr>
          <w:rFonts w:ascii="Arial" w:eastAsia="Arial" w:hAnsi="Arial" w:cs="Arial"/>
          <w:spacing w:val="-1"/>
          <w:sz w:val="24"/>
          <w:szCs w:val="24"/>
        </w:rPr>
      </w:pPr>
      <w:r>
        <w:rPr>
          <w:rFonts w:ascii="Arial" w:hAnsi="Arial" w:cs="Arial"/>
          <w:sz w:val="24"/>
          <w:szCs w:val="24"/>
        </w:rPr>
        <w:tab/>
      </w:r>
      <w:r w:rsidR="00581EB3" w:rsidRPr="00302C7C">
        <w:rPr>
          <w:rFonts w:ascii="Arial" w:hAnsi="Arial" w:cs="Arial"/>
          <w:b/>
          <w:sz w:val="24"/>
          <w:szCs w:val="24"/>
        </w:rPr>
        <w:t>Case Nos. 99-1687-EL-ETP</w:t>
      </w:r>
      <w:r w:rsidRPr="006B60F5">
        <w:rPr>
          <w:rFonts w:ascii="Arial" w:hAnsi="Arial" w:cs="Arial"/>
          <w:sz w:val="24"/>
          <w:szCs w:val="24"/>
        </w:rPr>
        <w:t xml:space="preserve"> – DP&amp;L filed its Corporate Separation Plan.  Th</w:t>
      </w:r>
      <w:r w:rsidRPr="006B60F5">
        <w:rPr>
          <w:rFonts w:ascii="Arial" w:eastAsia="Arial" w:hAnsi="Arial" w:cs="Arial"/>
          <w:sz w:val="24"/>
          <w:szCs w:val="24"/>
        </w:rPr>
        <w:t>e</w:t>
      </w:r>
      <w:r w:rsidRPr="006B60F5">
        <w:rPr>
          <w:rFonts w:ascii="Arial" w:eastAsia="Arial" w:hAnsi="Arial" w:cs="Arial"/>
          <w:spacing w:val="37"/>
          <w:sz w:val="24"/>
          <w:szCs w:val="24"/>
        </w:rPr>
        <w:t xml:space="preserve"> </w:t>
      </w:r>
      <w:r w:rsidRPr="006B60F5">
        <w:rPr>
          <w:rFonts w:ascii="Arial" w:eastAsia="Arial" w:hAnsi="Arial" w:cs="Arial"/>
          <w:sz w:val="24"/>
          <w:szCs w:val="24"/>
        </w:rPr>
        <w:t>final</w:t>
      </w:r>
      <w:r w:rsidRPr="006B60F5">
        <w:rPr>
          <w:rFonts w:ascii="Arial" w:eastAsia="Arial" w:hAnsi="Arial" w:cs="Arial"/>
          <w:spacing w:val="39"/>
          <w:sz w:val="24"/>
          <w:szCs w:val="24"/>
        </w:rPr>
        <w:t xml:space="preserve"> </w:t>
      </w:r>
      <w:r w:rsidRPr="006B60F5">
        <w:rPr>
          <w:rFonts w:ascii="Arial" w:eastAsia="Arial" w:hAnsi="Arial" w:cs="Arial"/>
          <w:sz w:val="24"/>
          <w:szCs w:val="24"/>
        </w:rPr>
        <w:t>version</w:t>
      </w:r>
      <w:r w:rsidRPr="006B60F5">
        <w:rPr>
          <w:rFonts w:ascii="Arial" w:eastAsia="Arial" w:hAnsi="Arial" w:cs="Arial"/>
          <w:spacing w:val="48"/>
          <w:sz w:val="24"/>
          <w:szCs w:val="24"/>
        </w:rPr>
        <w:t xml:space="preserve"> </w:t>
      </w:r>
      <w:r w:rsidRPr="006B60F5">
        <w:rPr>
          <w:rFonts w:ascii="Arial" w:eastAsia="Arial" w:hAnsi="Arial" w:cs="Arial"/>
          <w:sz w:val="24"/>
          <w:szCs w:val="24"/>
        </w:rPr>
        <w:t>was</w:t>
      </w:r>
      <w:r w:rsidRPr="006B60F5">
        <w:rPr>
          <w:rFonts w:ascii="Arial" w:eastAsia="Arial" w:hAnsi="Arial" w:cs="Arial"/>
          <w:spacing w:val="43"/>
          <w:sz w:val="24"/>
          <w:szCs w:val="24"/>
        </w:rPr>
        <w:t xml:space="preserve"> </w:t>
      </w:r>
      <w:r w:rsidRPr="006B60F5">
        <w:rPr>
          <w:rFonts w:ascii="Arial" w:eastAsia="Arial" w:hAnsi="Arial" w:cs="Arial"/>
          <w:spacing w:val="-1"/>
          <w:sz w:val="24"/>
          <w:szCs w:val="24"/>
        </w:rPr>
        <w:t>filed</w:t>
      </w:r>
      <w:r w:rsidRPr="006B60F5">
        <w:rPr>
          <w:rFonts w:ascii="Arial" w:eastAsia="Arial" w:hAnsi="Arial" w:cs="Arial"/>
          <w:spacing w:val="36"/>
          <w:sz w:val="24"/>
          <w:szCs w:val="24"/>
        </w:rPr>
        <w:t xml:space="preserve"> </w:t>
      </w:r>
      <w:r w:rsidRPr="006B60F5">
        <w:rPr>
          <w:rFonts w:ascii="Arial" w:eastAsia="Arial" w:hAnsi="Arial" w:cs="Arial"/>
          <w:sz w:val="24"/>
          <w:szCs w:val="24"/>
        </w:rPr>
        <w:t>on</w:t>
      </w:r>
      <w:r w:rsidRPr="006B60F5">
        <w:rPr>
          <w:rFonts w:ascii="Arial" w:eastAsia="Arial" w:hAnsi="Arial" w:cs="Arial"/>
          <w:spacing w:val="53"/>
          <w:sz w:val="24"/>
          <w:szCs w:val="24"/>
        </w:rPr>
        <w:t xml:space="preserve"> </w:t>
      </w:r>
      <w:r w:rsidRPr="006B60F5">
        <w:rPr>
          <w:rFonts w:ascii="Arial" w:eastAsia="Arial" w:hAnsi="Arial" w:cs="Arial"/>
          <w:sz w:val="24"/>
          <w:szCs w:val="24"/>
        </w:rPr>
        <w:t>February</w:t>
      </w:r>
      <w:r w:rsidRPr="006B60F5">
        <w:rPr>
          <w:rFonts w:ascii="Arial" w:eastAsia="Arial" w:hAnsi="Arial" w:cs="Arial"/>
          <w:spacing w:val="39"/>
          <w:sz w:val="24"/>
          <w:szCs w:val="24"/>
        </w:rPr>
        <w:t xml:space="preserve"> </w:t>
      </w:r>
      <w:r w:rsidRPr="006B60F5">
        <w:rPr>
          <w:rFonts w:ascii="Arial" w:eastAsia="Arial" w:hAnsi="Arial" w:cs="Arial"/>
          <w:sz w:val="24"/>
          <w:szCs w:val="24"/>
        </w:rPr>
        <w:t>28,</w:t>
      </w:r>
      <w:r w:rsidRPr="006B60F5">
        <w:rPr>
          <w:rFonts w:ascii="Arial" w:eastAsia="Arial" w:hAnsi="Arial" w:cs="Arial"/>
          <w:spacing w:val="45"/>
          <w:sz w:val="24"/>
          <w:szCs w:val="24"/>
        </w:rPr>
        <w:t xml:space="preserve"> </w:t>
      </w:r>
      <w:r w:rsidRPr="006B60F5">
        <w:rPr>
          <w:rFonts w:ascii="Arial" w:eastAsia="Arial" w:hAnsi="Arial" w:cs="Arial"/>
          <w:sz w:val="24"/>
          <w:szCs w:val="24"/>
        </w:rPr>
        <w:t>2000</w:t>
      </w:r>
      <w:r w:rsidRPr="006B60F5">
        <w:rPr>
          <w:rFonts w:ascii="Arial" w:eastAsia="Arial" w:hAnsi="Arial" w:cs="Arial"/>
          <w:spacing w:val="48"/>
          <w:sz w:val="24"/>
          <w:szCs w:val="24"/>
        </w:rPr>
        <w:t xml:space="preserve"> </w:t>
      </w:r>
      <w:r w:rsidRPr="006B60F5">
        <w:rPr>
          <w:rFonts w:ascii="Arial" w:eastAsia="Arial" w:hAnsi="Arial" w:cs="Arial"/>
          <w:sz w:val="24"/>
          <w:szCs w:val="24"/>
        </w:rPr>
        <w:t>and</w:t>
      </w:r>
      <w:r w:rsidRPr="006B60F5">
        <w:rPr>
          <w:rFonts w:ascii="Arial" w:eastAsia="Arial" w:hAnsi="Arial" w:cs="Arial"/>
          <w:spacing w:val="40"/>
          <w:sz w:val="24"/>
          <w:szCs w:val="24"/>
        </w:rPr>
        <w:t xml:space="preserve"> </w:t>
      </w:r>
      <w:r w:rsidRPr="006B60F5">
        <w:rPr>
          <w:rFonts w:ascii="Arial" w:eastAsia="Arial" w:hAnsi="Arial" w:cs="Arial"/>
          <w:sz w:val="24"/>
          <w:szCs w:val="24"/>
        </w:rPr>
        <w:t>was</w:t>
      </w:r>
      <w:r w:rsidRPr="006B60F5">
        <w:rPr>
          <w:rFonts w:ascii="Arial" w:eastAsia="Arial" w:hAnsi="Arial" w:cs="Arial"/>
          <w:spacing w:val="52"/>
          <w:sz w:val="24"/>
          <w:szCs w:val="24"/>
        </w:rPr>
        <w:t xml:space="preserve"> </w:t>
      </w:r>
      <w:r w:rsidRPr="006B60F5">
        <w:rPr>
          <w:rFonts w:ascii="Arial" w:eastAsia="Arial" w:hAnsi="Arial" w:cs="Arial"/>
          <w:sz w:val="24"/>
          <w:szCs w:val="24"/>
        </w:rPr>
        <w:t xml:space="preserve">eventually supported </w:t>
      </w:r>
      <w:r w:rsidR="00D91723" w:rsidRPr="006B60F5">
        <w:rPr>
          <w:rFonts w:ascii="Arial" w:eastAsia="Arial" w:hAnsi="Arial" w:cs="Arial"/>
          <w:spacing w:val="18"/>
          <w:sz w:val="24"/>
          <w:szCs w:val="24"/>
        </w:rPr>
        <w:t>by</w:t>
      </w:r>
      <w:r w:rsidR="00D91723" w:rsidRPr="006B60F5">
        <w:rPr>
          <w:rFonts w:ascii="Arial" w:eastAsia="Arial" w:hAnsi="Arial" w:cs="Arial"/>
          <w:sz w:val="24"/>
          <w:szCs w:val="24"/>
        </w:rPr>
        <w:t xml:space="preserve"> DP</w:t>
      </w:r>
      <w:r w:rsidRPr="006B60F5">
        <w:rPr>
          <w:rFonts w:ascii="Arial" w:eastAsia="Arial" w:hAnsi="Arial" w:cs="Arial"/>
          <w:sz w:val="24"/>
          <w:szCs w:val="24"/>
        </w:rPr>
        <w:t>&amp;L</w:t>
      </w:r>
      <w:r w:rsidRPr="006B60F5">
        <w:rPr>
          <w:rFonts w:ascii="Arial" w:eastAsia="Arial" w:hAnsi="Arial" w:cs="Arial"/>
          <w:spacing w:val="46"/>
          <w:sz w:val="24"/>
          <w:szCs w:val="24"/>
        </w:rPr>
        <w:t xml:space="preserve"> </w:t>
      </w:r>
      <w:r w:rsidR="00C5010A" w:rsidRPr="006B60F5">
        <w:rPr>
          <w:rFonts w:ascii="Arial" w:eastAsia="Arial" w:hAnsi="Arial" w:cs="Arial"/>
          <w:sz w:val="24"/>
          <w:szCs w:val="24"/>
        </w:rPr>
        <w:t xml:space="preserve">witness </w:t>
      </w:r>
      <w:r w:rsidR="00C5010A" w:rsidRPr="006B60F5">
        <w:rPr>
          <w:rFonts w:ascii="Arial" w:eastAsia="Arial" w:hAnsi="Arial" w:cs="Arial"/>
          <w:spacing w:val="14"/>
          <w:sz w:val="24"/>
          <w:szCs w:val="24"/>
        </w:rPr>
        <w:t>Timothy</w:t>
      </w:r>
      <w:r w:rsidR="00C5010A" w:rsidRPr="006B60F5">
        <w:rPr>
          <w:rFonts w:ascii="Arial" w:eastAsia="Arial" w:hAnsi="Arial" w:cs="Arial"/>
          <w:sz w:val="24"/>
          <w:szCs w:val="24"/>
        </w:rPr>
        <w:t xml:space="preserve"> </w:t>
      </w:r>
      <w:r w:rsidR="00C5010A" w:rsidRPr="006B60F5">
        <w:rPr>
          <w:rFonts w:ascii="Arial" w:eastAsia="Arial" w:hAnsi="Arial" w:cs="Arial"/>
          <w:spacing w:val="11"/>
          <w:sz w:val="24"/>
          <w:szCs w:val="24"/>
        </w:rPr>
        <w:t>G.</w:t>
      </w:r>
      <w:r w:rsidR="00C5010A">
        <w:rPr>
          <w:rFonts w:ascii="Arial" w:eastAsia="Arial" w:hAnsi="Arial" w:cs="Arial"/>
          <w:sz w:val="24"/>
          <w:szCs w:val="24"/>
        </w:rPr>
        <w:t xml:space="preserve"> </w:t>
      </w:r>
      <w:r w:rsidRPr="006B60F5">
        <w:rPr>
          <w:rFonts w:ascii="Arial" w:eastAsia="Arial" w:hAnsi="Arial" w:cs="Arial"/>
          <w:spacing w:val="-4"/>
          <w:sz w:val="24"/>
          <w:szCs w:val="24"/>
        </w:rPr>
        <w:t>Ri</w:t>
      </w:r>
      <w:r w:rsidRPr="006B60F5">
        <w:rPr>
          <w:rFonts w:ascii="Arial" w:eastAsia="Arial" w:hAnsi="Arial" w:cs="Arial"/>
          <w:spacing w:val="-5"/>
          <w:sz w:val="24"/>
          <w:szCs w:val="24"/>
        </w:rPr>
        <w:t>ce.</w:t>
      </w:r>
      <w:r>
        <w:rPr>
          <w:rFonts w:ascii="Arial" w:eastAsia="Arial" w:hAnsi="Arial" w:cs="Arial"/>
          <w:spacing w:val="-5"/>
          <w:sz w:val="24"/>
          <w:szCs w:val="24"/>
        </w:rPr>
        <w:t xml:space="preserve">  </w:t>
      </w:r>
      <w:r w:rsidRPr="006B60F5">
        <w:rPr>
          <w:rFonts w:ascii="Arial" w:eastAsia="Arial" w:hAnsi="Arial" w:cs="Arial"/>
          <w:sz w:val="24"/>
          <w:szCs w:val="24"/>
        </w:rPr>
        <w:t>DP&amp;L's proposed</w:t>
      </w:r>
      <w:r w:rsidRPr="006B60F5">
        <w:rPr>
          <w:rFonts w:ascii="Arial" w:eastAsia="Arial" w:hAnsi="Arial" w:cs="Arial"/>
          <w:spacing w:val="61"/>
          <w:sz w:val="24"/>
          <w:szCs w:val="24"/>
        </w:rPr>
        <w:t xml:space="preserve"> </w:t>
      </w:r>
      <w:r w:rsidRPr="006B60F5">
        <w:rPr>
          <w:rFonts w:ascii="Arial" w:eastAsia="Arial" w:hAnsi="Arial" w:cs="Arial"/>
          <w:sz w:val="24"/>
          <w:szCs w:val="24"/>
        </w:rPr>
        <w:t>corporate separation</w:t>
      </w:r>
      <w:r w:rsidRPr="006B60F5">
        <w:rPr>
          <w:rFonts w:ascii="Arial" w:eastAsia="Arial" w:hAnsi="Arial" w:cs="Arial"/>
          <w:spacing w:val="13"/>
          <w:sz w:val="24"/>
          <w:szCs w:val="24"/>
        </w:rPr>
        <w:t xml:space="preserve"> </w:t>
      </w:r>
      <w:r w:rsidRPr="006B60F5">
        <w:rPr>
          <w:rFonts w:ascii="Arial" w:eastAsia="Arial" w:hAnsi="Arial" w:cs="Arial"/>
          <w:spacing w:val="-5"/>
          <w:sz w:val="24"/>
          <w:szCs w:val="24"/>
        </w:rPr>
        <w:t>plan</w:t>
      </w:r>
      <w:r w:rsidRPr="006B60F5">
        <w:rPr>
          <w:rFonts w:ascii="Arial" w:eastAsia="Arial" w:hAnsi="Arial" w:cs="Arial"/>
          <w:spacing w:val="-15"/>
          <w:sz w:val="24"/>
          <w:szCs w:val="24"/>
        </w:rPr>
        <w:t xml:space="preserve"> </w:t>
      </w:r>
      <w:r w:rsidRPr="006B60F5">
        <w:rPr>
          <w:rFonts w:ascii="Arial" w:eastAsia="Arial" w:hAnsi="Arial" w:cs="Arial"/>
          <w:sz w:val="24"/>
          <w:szCs w:val="24"/>
        </w:rPr>
        <w:t>was</w:t>
      </w:r>
      <w:r w:rsidRPr="006B60F5">
        <w:rPr>
          <w:rFonts w:ascii="Arial" w:eastAsia="Arial" w:hAnsi="Arial" w:cs="Arial"/>
          <w:spacing w:val="10"/>
          <w:sz w:val="24"/>
          <w:szCs w:val="24"/>
        </w:rPr>
        <w:t xml:space="preserve"> </w:t>
      </w:r>
      <w:r w:rsidRPr="006B60F5">
        <w:rPr>
          <w:rFonts w:ascii="Arial" w:eastAsia="Arial" w:hAnsi="Arial" w:cs="Arial"/>
          <w:sz w:val="24"/>
          <w:szCs w:val="24"/>
        </w:rPr>
        <w:t>approved</w:t>
      </w:r>
      <w:r w:rsidRPr="006B60F5">
        <w:rPr>
          <w:rFonts w:ascii="Arial" w:eastAsia="Arial" w:hAnsi="Arial" w:cs="Arial"/>
          <w:spacing w:val="8"/>
          <w:sz w:val="24"/>
          <w:szCs w:val="24"/>
        </w:rPr>
        <w:t xml:space="preserve"> </w:t>
      </w:r>
      <w:r w:rsidRPr="006B60F5">
        <w:rPr>
          <w:rFonts w:ascii="Arial" w:eastAsia="Arial" w:hAnsi="Arial" w:cs="Arial"/>
          <w:sz w:val="24"/>
          <w:szCs w:val="24"/>
        </w:rPr>
        <w:t>by</w:t>
      </w:r>
      <w:r w:rsidRPr="006B60F5">
        <w:rPr>
          <w:rFonts w:ascii="Arial" w:eastAsia="Arial" w:hAnsi="Arial" w:cs="Arial"/>
          <w:spacing w:val="-21"/>
          <w:sz w:val="24"/>
          <w:szCs w:val="24"/>
        </w:rPr>
        <w:t xml:space="preserve"> </w:t>
      </w:r>
      <w:r w:rsidRPr="006B60F5">
        <w:rPr>
          <w:rFonts w:ascii="Arial" w:eastAsia="Arial" w:hAnsi="Arial" w:cs="Arial"/>
          <w:sz w:val="24"/>
          <w:szCs w:val="24"/>
        </w:rPr>
        <w:t>the</w:t>
      </w:r>
      <w:r w:rsidRPr="006B60F5">
        <w:rPr>
          <w:rFonts w:ascii="Arial" w:eastAsia="Arial" w:hAnsi="Arial" w:cs="Arial"/>
          <w:spacing w:val="-4"/>
          <w:sz w:val="24"/>
          <w:szCs w:val="24"/>
        </w:rPr>
        <w:t xml:space="preserve"> </w:t>
      </w:r>
      <w:r w:rsidRPr="006B60F5">
        <w:rPr>
          <w:rFonts w:ascii="Arial" w:eastAsia="Arial" w:hAnsi="Arial" w:cs="Arial"/>
          <w:spacing w:val="-1"/>
          <w:sz w:val="24"/>
          <w:szCs w:val="24"/>
        </w:rPr>
        <w:t>Commission</w:t>
      </w:r>
      <w:r w:rsidRPr="006B60F5">
        <w:rPr>
          <w:rFonts w:ascii="Arial" w:eastAsia="Arial" w:hAnsi="Arial" w:cs="Arial"/>
          <w:spacing w:val="3"/>
          <w:sz w:val="24"/>
          <w:szCs w:val="24"/>
        </w:rPr>
        <w:t xml:space="preserve"> </w:t>
      </w:r>
      <w:r w:rsidRPr="006B60F5">
        <w:rPr>
          <w:rFonts w:ascii="Arial" w:eastAsia="Arial" w:hAnsi="Arial" w:cs="Arial"/>
          <w:sz w:val="24"/>
          <w:szCs w:val="24"/>
        </w:rPr>
        <w:t>as</w:t>
      </w:r>
      <w:r w:rsidRPr="006B60F5">
        <w:rPr>
          <w:rFonts w:ascii="Arial" w:eastAsia="Arial" w:hAnsi="Arial" w:cs="Arial"/>
          <w:spacing w:val="-2"/>
          <w:sz w:val="24"/>
          <w:szCs w:val="24"/>
        </w:rPr>
        <w:t xml:space="preserve"> </w:t>
      </w:r>
      <w:r w:rsidRPr="006B60F5">
        <w:rPr>
          <w:rFonts w:ascii="Arial" w:eastAsia="Arial" w:hAnsi="Arial" w:cs="Arial"/>
          <w:sz w:val="24"/>
          <w:szCs w:val="24"/>
        </w:rPr>
        <w:t>part</w:t>
      </w:r>
      <w:r w:rsidRPr="006B60F5">
        <w:rPr>
          <w:rFonts w:ascii="Arial" w:eastAsia="Arial" w:hAnsi="Arial" w:cs="Arial"/>
          <w:spacing w:val="-12"/>
          <w:sz w:val="24"/>
          <w:szCs w:val="24"/>
        </w:rPr>
        <w:t xml:space="preserve"> </w:t>
      </w:r>
      <w:r w:rsidRPr="006B60F5">
        <w:rPr>
          <w:rFonts w:ascii="Arial" w:eastAsia="Arial" w:hAnsi="Arial" w:cs="Arial"/>
          <w:sz w:val="24"/>
          <w:szCs w:val="24"/>
        </w:rPr>
        <w:t>of</w:t>
      </w:r>
      <w:r w:rsidRPr="006B60F5">
        <w:rPr>
          <w:rFonts w:ascii="Arial" w:eastAsia="Arial" w:hAnsi="Arial" w:cs="Arial"/>
          <w:spacing w:val="-12"/>
          <w:sz w:val="24"/>
          <w:szCs w:val="24"/>
        </w:rPr>
        <w:t xml:space="preserve"> </w:t>
      </w:r>
      <w:r w:rsidRPr="006B60F5">
        <w:rPr>
          <w:rFonts w:ascii="Arial" w:eastAsia="Arial" w:hAnsi="Arial" w:cs="Arial"/>
          <w:sz w:val="24"/>
          <w:szCs w:val="24"/>
        </w:rPr>
        <w:t>the</w:t>
      </w:r>
      <w:r w:rsidRPr="006B60F5">
        <w:rPr>
          <w:rFonts w:ascii="Arial" w:eastAsia="Arial" w:hAnsi="Arial" w:cs="Arial"/>
          <w:spacing w:val="4"/>
          <w:sz w:val="24"/>
          <w:szCs w:val="24"/>
        </w:rPr>
        <w:t xml:space="preserve"> </w:t>
      </w:r>
      <w:r w:rsidRPr="006B60F5">
        <w:rPr>
          <w:rFonts w:ascii="Arial" w:eastAsia="Arial" w:hAnsi="Arial" w:cs="Arial"/>
          <w:sz w:val="24"/>
          <w:szCs w:val="24"/>
        </w:rPr>
        <w:t>ETP</w:t>
      </w:r>
      <w:r w:rsidRPr="006B60F5">
        <w:rPr>
          <w:rFonts w:ascii="Arial" w:eastAsia="Arial" w:hAnsi="Arial" w:cs="Arial"/>
          <w:spacing w:val="-15"/>
          <w:sz w:val="24"/>
          <w:szCs w:val="24"/>
        </w:rPr>
        <w:t xml:space="preserve"> </w:t>
      </w:r>
      <w:r w:rsidRPr="006B60F5">
        <w:rPr>
          <w:rFonts w:ascii="Arial" w:eastAsia="Arial" w:hAnsi="Arial" w:cs="Arial"/>
          <w:spacing w:val="-1"/>
          <w:sz w:val="24"/>
          <w:szCs w:val="24"/>
        </w:rPr>
        <w:t>settlement.</w:t>
      </w:r>
      <w:r>
        <w:rPr>
          <w:rFonts w:ascii="Arial" w:eastAsia="Arial" w:hAnsi="Arial" w:cs="Arial"/>
          <w:spacing w:val="-1"/>
          <w:sz w:val="24"/>
          <w:szCs w:val="24"/>
        </w:rPr>
        <w:t xml:space="preserve">  DP&amp;L assured the Commission that it would abide by the Commission’s corporate separation rules, which include rules governing financial arrangements between affiliates</w:t>
      </w:r>
      <w:r w:rsidR="00E960FB">
        <w:rPr>
          <w:rFonts w:ascii="Arial" w:eastAsia="Arial" w:hAnsi="Arial" w:cs="Arial"/>
          <w:spacing w:val="-1"/>
          <w:sz w:val="24"/>
          <w:szCs w:val="24"/>
        </w:rPr>
        <w:t>.</w:t>
      </w:r>
      <w:r>
        <w:rPr>
          <w:rStyle w:val="FootnoteReference"/>
          <w:rFonts w:ascii="Arial" w:eastAsia="Arial" w:hAnsi="Arial" w:cs="Arial"/>
          <w:spacing w:val="-1"/>
          <w:sz w:val="24"/>
          <w:szCs w:val="24"/>
        </w:rPr>
        <w:footnoteReference w:id="15"/>
      </w:r>
    </w:p>
    <w:p w14:paraId="2D9075F4" w14:textId="77777777" w:rsidR="002479D6" w:rsidRPr="006B60F5" w:rsidRDefault="002479D6" w:rsidP="006B60F5">
      <w:pPr>
        <w:pStyle w:val="BodyText"/>
        <w:spacing w:line="480" w:lineRule="auto"/>
        <w:ind w:left="720" w:hanging="720"/>
        <w:jc w:val="both"/>
        <w:rPr>
          <w:rFonts w:ascii="Arial" w:eastAsia="Arial" w:hAnsi="Arial" w:cs="Arial"/>
          <w:sz w:val="24"/>
          <w:szCs w:val="24"/>
        </w:rPr>
      </w:pPr>
      <w:r>
        <w:rPr>
          <w:rFonts w:ascii="Arial" w:hAnsi="Arial" w:cs="Arial"/>
          <w:b/>
          <w:sz w:val="24"/>
          <w:szCs w:val="24"/>
        </w:rPr>
        <w:tab/>
        <w:t xml:space="preserve">02-2627-EL-COI </w:t>
      </w:r>
      <w:r w:rsidRPr="002479D6">
        <w:rPr>
          <w:rFonts w:ascii="Arial" w:hAnsi="Arial" w:cs="Arial"/>
          <w:sz w:val="24"/>
          <w:szCs w:val="24"/>
        </w:rPr>
        <w:t>– The Commission initiated this proceeding</w:t>
      </w:r>
      <w:r>
        <w:rPr>
          <w:rFonts w:ascii="Arial" w:hAnsi="Arial" w:cs="Arial"/>
          <w:sz w:val="24"/>
          <w:szCs w:val="24"/>
        </w:rPr>
        <w:t xml:space="preserve"> to identify measures available to the Commission to ensure that the regulated operations of Ohio public utilities are not impacted by adverse financial consequences of parent or affiliated companies unregulated operations.  The Commission recognized that its jurisdiction was limited in the Ohio Revised </w:t>
      </w:r>
      <w:r w:rsidR="008A181A">
        <w:rPr>
          <w:rFonts w:ascii="Arial" w:hAnsi="Arial" w:cs="Arial"/>
          <w:sz w:val="24"/>
          <w:szCs w:val="24"/>
        </w:rPr>
        <w:t>Code and</w:t>
      </w:r>
      <w:r>
        <w:rPr>
          <w:rFonts w:ascii="Arial" w:hAnsi="Arial" w:cs="Arial"/>
          <w:sz w:val="24"/>
          <w:szCs w:val="24"/>
        </w:rPr>
        <w:t xml:space="preserve"> did not intend to manage the </w:t>
      </w:r>
      <w:r>
        <w:rPr>
          <w:rFonts w:ascii="Arial" w:hAnsi="Arial" w:cs="Arial"/>
          <w:sz w:val="24"/>
          <w:szCs w:val="24"/>
        </w:rPr>
        <w:lastRenderedPageBreak/>
        <w:t>affairs of holding companies or companies located out of state.</w:t>
      </w:r>
      <w:r w:rsidR="008A181A">
        <w:rPr>
          <w:rFonts w:ascii="Arial" w:hAnsi="Arial" w:cs="Arial"/>
          <w:sz w:val="24"/>
          <w:szCs w:val="24"/>
        </w:rPr>
        <w:t xml:space="preserve">  The Case was closed in 2009 without a final Commission determination. </w:t>
      </w:r>
    </w:p>
    <w:p w14:paraId="1A09CE8F" w14:textId="77777777" w:rsidR="00E13701" w:rsidRPr="00E13701" w:rsidRDefault="00302C7C" w:rsidP="00E13701">
      <w:pPr>
        <w:pStyle w:val="BodyText"/>
        <w:spacing w:line="480" w:lineRule="auto"/>
        <w:ind w:left="720" w:hanging="720"/>
        <w:jc w:val="both"/>
        <w:rPr>
          <w:rFonts w:ascii="Arial" w:hAnsi="Arial" w:cs="Arial"/>
          <w:sz w:val="24"/>
          <w:szCs w:val="24"/>
        </w:rPr>
      </w:pPr>
      <w:r>
        <w:rPr>
          <w:rFonts w:ascii="Arial" w:hAnsi="Arial" w:cs="Arial"/>
          <w:sz w:val="24"/>
          <w:szCs w:val="24"/>
        </w:rPr>
        <w:tab/>
      </w:r>
      <w:r w:rsidR="000D4273" w:rsidRPr="00E13701">
        <w:rPr>
          <w:rFonts w:ascii="Arial" w:hAnsi="Arial" w:cs="Arial"/>
          <w:b/>
          <w:sz w:val="24"/>
          <w:szCs w:val="24"/>
        </w:rPr>
        <w:t>03-1297-EL-AIS</w:t>
      </w:r>
      <w:r w:rsidR="000D4273">
        <w:rPr>
          <w:rFonts w:ascii="Arial" w:hAnsi="Arial" w:cs="Arial"/>
          <w:sz w:val="24"/>
          <w:szCs w:val="24"/>
        </w:rPr>
        <w:t xml:space="preserve"> – </w:t>
      </w:r>
      <w:r w:rsidR="00E13701" w:rsidRPr="00E13701">
        <w:rPr>
          <w:rFonts w:ascii="Arial" w:hAnsi="Arial" w:cs="Arial"/>
          <w:sz w:val="24"/>
          <w:szCs w:val="24"/>
        </w:rPr>
        <w:t>On July 24, 2003, The Commission denied DP&amp;L’s request to issue up to $279 million of new bonds to refinance DPL notes.  The Commission later explained that that denial was intended, among other things, to insulate DP&amp;L from the financial risks associated with its unregulated parent company, DPL.</w:t>
      </w:r>
      <w:r w:rsidR="00E13701" w:rsidRPr="00E13701">
        <w:rPr>
          <w:rFonts w:ascii="Arial" w:hAnsi="Arial" w:cs="Arial"/>
          <w:sz w:val="24"/>
          <w:szCs w:val="24"/>
          <w:vertAlign w:val="superscript"/>
        </w:rPr>
        <w:footnoteReference w:id="16"/>
      </w:r>
    </w:p>
    <w:p w14:paraId="05461147" w14:textId="77777777" w:rsidR="00E13701" w:rsidRDefault="00E13701" w:rsidP="00302C7C">
      <w:pPr>
        <w:pStyle w:val="BodyText"/>
        <w:spacing w:line="480" w:lineRule="auto"/>
        <w:ind w:left="720" w:hanging="720"/>
        <w:jc w:val="both"/>
        <w:rPr>
          <w:rFonts w:ascii="Arial" w:hAnsi="Arial" w:cs="Arial"/>
          <w:sz w:val="24"/>
          <w:szCs w:val="24"/>
        </w:rPr>
      </w:pPr>
      <w:r>
        <w:rPr>
          <w:rFonts w:ascii="Arial" w:hAnsi="Arial" w:cs="Arial"/>
          <w:b/>
          <w:sz w:val="24"/>
          <w:szCs w:val="24"/>
        </w:rPr>
        <w:tab/>
      </w:r>
      <w:r w:rsidRPr="00E13701">
        <w:rPr>
          <w:rFonts w:ascii="Arial" w:hAnsi="Arial" w:cs="Arial"/>
          <w:b/>
          <w:sz w:val="24"/>
          <w:szCs w:val="24"/>
        </w:rPr>
        <w:t xml:space="preserve">04-486-EL-COI </w:t>
      </w:r>
      <w:r w:rsidRPr="00E13701">
        <w:rPr>
          <w:rFonts w:ascii="Arial" w:hAnsi="Arial" w:cs="Arial"/>
          <w:sz w:val="24"/>
          <w:szCs w:val="24"/>
        </w:rPr>
        <w:t>-</w:t>
      </w:r>
      <w:r>
        <w:rPr>
          <w:rFonts w:ascii="Arial" w:hAnsi="Arial" w:cs="Arial"/>
          <w:b/>
          <w:sz w:val="24"/>
          <w:szCs w:val="24"/>
        </w:rPr>
        <w:t xml:space="preserve"> </w:t>
      </w:r>
      <w:r>
        <w:rPr>
          <w:rFonts w:ascii="Arial" w:hAnsi="Arial" w:cs="Arial"/>
          <w:sz w:val="24"/>
          <w:szCs w:val="24"/>
        </w:rPr>
        <w:t>April 7, 2004, the Commission initiated a Commission Ordered Investigation with an Entry that directed the Staff to investigate DPL’s delay filing its Form 10K with the Securities and Exchange Commission pending completion of a review by the Audit Committee of DPL’s Board of Directors.  The Audit Committee was reviewing several areas of concern, including corporate governance, compensation policy, internal controls, and potential tax liabilities addressed in an internal memo from DPL’s controller to the chair of DPL’s Finance and Audit Review Committee.  The Commission planned to assess whether any of these matters have or will negatively impact DP&amp;L and, if so, how this might be both rectified and prevented in the future.</w:t>
      </w:r>
      <w:r>
        <w:rPr>
          <w:rStyle w:val="FootnoteReference"/>
          <w:rFonts w:ascii="Arial" w:hAnsi="Arial" w:cs="Arial"/>
          <w:sz w:val="24"/>
          <w:szCs w:val="24"/>
        </w:rPr>
        <w:footnoteReference w:id="17"/>
      </w:r>
      <w:r>
        <w:rPr>
          <w:rFonts w:ascii="Arial" w:hAnsi="Arial" w:cs="Arial"/>
          <w:b/>
          <w:sz w:val="24"/>
          <w:szCs w:val="24"/>
        </w:rPr>
        <w:t xml:space="preserve">  </w:t>
      </w:r>
      <w:r>
        <w:rPr>
          <w:rFonts w:ascii="Arial" w:hAnsi="Arial" w:cs="Arial"/>
          <w:sz w:val="24"/>
          <w:szCs w:val="24"/>
        </w:rPr>
        <w:t xml:space="preserve">The Staff reported that DPL’s Board of Directors announced that its Audit Committee had completed its review of the controller’s concerns and that it would immediately begin strengthening disclosures, communications, access to information, internal control and the culture of the corporation in certain areas.  The 2003 form 10-K was filed on </w:t>
      </w:r>
      <w:r>
        <w:rPr>
          <w:rFonts w:ascii="Arial" w:hAnsi="Arial" w:cs="Arial"/>
          <w:sz w:val="24"/>
          <w:szCs w:val="24"/>
        </w:rPr>
        <w:lastRenderedPageBreak/>
        <w:t>November 5, 2004.  There were numerous resignations from the Board of directors, the resignation of a group vice-president and interim chief financial officer, and the retirement of the president and chief executive officer.  In view of those developments, the Commission ordered DP&amp;L to develop and file a comprehensive plan of protection to insulate the regulated utility operations and ratepayers from any untoward impacts of the relationship between DP&amp;L and its parent and/or and nonregulated affiliate companies.</w:t>
      </w:r>
    </w:p>
    <w:p w14:paraId="6C1195A6" w14:textId="77777777" w:rsidR="00E13701" w:rsidRPr="00A817E8" w:rsidRDefault="00E13701" w:rsidP="00302C7C">
      <w:pPr>
        <w:pStyle w:val="BodyText"/>
        <w:spacing w:line="480" w:lineRule="auto"/>
        <w:ind w:left="720" w:hanging="720"/>
        <w:jc w:val="both"/>
        <w:rPr>
          <w:rFonts w:ascii="Arial" w:hAnsi="Arial" w:cs="Arial"/>
          <w:sz w:val="24"/>
          <w:szCs w:val="24"/>
        </w:rPr>
      </w:pPr>
      <w:r>
        <w:rPr>
          <w:rFonts w:ascii="Arial" w:hAnsi="Arial" w:cs="Arial"/>
          <w:b/>
          <w:sz w:val="24"/>
          <w:szCs w:val="24"/>
        </w:rPr>
        <w:tab/>
      </w:r>
      <w:r w:rsidR="008A181A">
        <w:rPr>
          <w:rFonts w:ascii="Arial" w:hAnsi="Arial" w:cs="Arial"/>
          <w:sz w:val="24"/>
          <w:szCs w:val="24"/>
        </w:rPr>
        <w:t>O</w:t>
      </w:r>
      <w:r w:rsidR="00656BFD">
        <w:rPr>
          <w:rFonts w:ascii="Arial" w:hAnsi="Arial" w:cs="Arial"/>
          <w:sz w:val="24"/>
          <w:szCs w:val="24"/>
        </w:rPr>
        <w:t xml:space="preserve">n February 4, 2005, DP&amp;L filed a Protection Plan (Plan).  The Plan included descriptions of the Management and Board changes, policy changes, operational changes, Sarbanes-Oxley benefits, financial safeguards that have been installed, and a description of system reliability </w:t>
      </w:r>
      <w:r w:rsidR="00656BFD" w:rsidRPr="00A817E8">
        <w:rPr>
          <w:rFonts w:ascii="Arial" w:hAnsi="Arial" w:cs="Arial"/>
          <w:sz w:val="24"/>
          <w:szCs w:val="24"/>
        </w:rPr>
        <w:t xml:space="preserve">changes. </w:t>
      </w:r>
      <w:r w:rsidR="008A181A" w:rsidRPr="00A817E8">
        <w:rPr>
          <w:rFonts w:ascii="Arial" w:hAnsi="Arial" w:cs="Arial"/>
          <w:sz w:val="24"/>
          <w:szCs w:val="24"/>
        </w:rPr>
        <w:t>The Plan was filed to ensure that DP&amp;L and its ratepayers were not harmed by the non-utility activities of its parent and affiliates.</w:t>
      </w:r>
    </w:p>
    <w:p w14:paraId="79A6FEBB" w14:textId="1D6ED14D" w:rsidR="00302C7C" w:rsidRDefault="000D4273" w:rsidP="00302C7C">
      <w:pPr>
        <w:pStyle w:val="BodyText"/>
        <w:spacing w:line="480" w:lineRule="auto"/>
        <w:ind w:left="720" w:hanging="720"/>
        <w:jc w:val="both"/>
        <w:rPr>
          <w:rFonts w:ascii="Arial" w:hAnsi="Arial" w:cs="Arial"/>
          <w:sz w:val="24"/>
          <w:szCs w:val="24"/>
        </w:rPr>
      </w:pPr>
      <w:r>
        <w:rPr>
          <w:rFonts w:ascii="Arial" w:hAnsi="Arial" w:cs="Arial"/>
          <w:b/>
          <w:sz w:val="24"/>
          <w:szCs w:val="24"/>
        </w:rPr>
        <w:tab/>
      </w:r>
      <w:r w:rsidR="00302C7C" w:rsidRPr="00302C7C">
        <w:rPr>
          <w:rFonts w:ascii="Arial" w:hAnsi="Arial" w:cs="Arial"/>
          <w:b/>
          <w:sz w:val="24"/>
          <w:szCs w:val="24"/>
        </w:rPr>
        <w:t>Case Nos. 08-1094-EL-SSO</w:t>
      </w:r>
      <w:r w:rsidR="00302C7C">
        <w:rPr>
          <w:rFonts w:ascii="Arial" w:hAnsi="Arial" w:cs="Arial"/>
          <w:sz w:val="24"/>
          <w:szCs w:val="24"/>
        </w:rPr>
        <w:t xml:space="preserve"> - </w:t>
      </w:r>
      <w:r w:rsidR="00302C7C" w:rsidRPr="00302C7C">
        <w:rPr>
          <w:rFonts w:ascii="Arial" w:hAnsi="Arial" w:cs="Arial"/>
          <w:sz w:val="24"/>
          <w:szCs w:val="24"/>
        </w:rPr>
        <w:t>DP&amp;L filed an updated corporate separation plan. The plan was filed as a part of its application and was supported by the testimony of DP&amp;L witness Timothy G. Rice. DP&amp;L agreed, as a part of the stipulation in that case, that its employees and representatives would not have the discretion to act in a manner that was inconsistent with the Commission's corporate separation rules or DP&amp;L's Second Amended Corporate Separation Plan. The stipulation was approved by the Commission.</w:t>
      </w:r>
    </w:p>
    <w:p w14:paraId="7DCE4DF4" w14:textId="48766F08" w:rsidR="00D212AF" w:rsidRPr="00CF57D5" w:rsidRDefault="00D212AF" w:rsidP="00D212AF">
      <w:pPr>
        <w:pStyle w:val="BodyText"/>
        <w:spacing w:line="480" w:lineRule="auto"/>
        <w:ind w:left="720"/>
        <w:jc w:val="both"/>
        <w:rPr>
          <w:rFonts w:ascii="Arial" w:hAnsi="Arial" w:cs="Arial"/>
          <w:sz w:val="24"/>
          <w:szCs w:val="24"/>
          <w:highlight w:val="yellow"/>
        </w:rPr>
      </w:pPr>
      <w:r w:rsidRPr="00CF57D5">
        <w:rPr>
          <w:rFonts w:ascii="Arial" w:hAnsi="Arial" w:cs="Arial"/>
          <w:b/>
          <w:sz w:val="24"/>
          <w:szCs w:val="24"/>
        </w:rPr>
        <w:t xml:space="preserve">11-3002-EL-MER Merger Case - </w:t>
      </w:r>
      <w:r w:rsidRPr="00CF57D5">
        <w:rPr>
          <w:rFonts w:ascii="Arial" w:hAnsi="Arial" w:cs="Arial"/>
          <w:sz w:val="24"/>
          <w:szCs w:val="24"/>
        </w:rPr>
        <w:t xml:space="preserve">AES, Dolphin Sub, Inc. (an AES subsidiary) DPL, and DP&amp;L filed an application for the Commission's approval of a merger of Dolphin Sub, Inc </w:t>
      </w:r>
      <w:r>
        <w:rPr>
          <w:rFonts w:ascii="Arial" w:hAnsi="Arial" w:cs="Arial"/>
          <w:sz w:val="24"/>
          <w:szCs w:val="24"/>
        </w:rPr>
        <w:t xml:space="preserve">with and into </w:t>
      </w:r>
      <w:r w:rsidRPr="00CF57D5">
        <w:rPr>
          <w:rFonts w:ascii="Arial" w:hAnsi="Arial" w:cs="Arial"/>
          <w:sz w:val="24"/>
          <w:szCs w:val="24"/>
        </w:rPr>
        <w:t>DPL Inc.</w:t>
      </w:r>
      <w:r>
        <w:rPr>
          <w:rFonts w:ascii="Arial" w:hAnsi="Arial" w:cs="Arial"/>
          <w:sz w:val="24"/>
          <w:szCs w:val="24"/>
        </w:rPr>
        <w:t xml:space="preserve">  DP&amp;L assured the Commission that </w:t>
      </w:r>
      <w:r w:rsidRPr="00537330">
        <w:rPr>
          <w:rFonts w:ascii="Arial" w:hAnsi="Arial" w:cs="Arial"/>
          <w:sz w:val="24"/>
          <w:szCs w:val="24"/>
        </w:rPr>
        <w:lastRenderedPageBreak/>
        <w:t xml:space="preserve">DP&amp;L's credit rating </w:t>
      </w:r>
      <w:r>
        <w:rPr>
          <w:rFonts w:ascii="Arial" w:hAnsi="Arial" w:cs="Arial"/>
          <w:sz w:val="24"/>
          <w:szCs w:val="24"/>
        </w:rPr>
        <w:t xml:space="preserve">would remain at </w:t>
      </w:r>
      <w:r w:rsidRPr="00537330">
        <w:rPr>
          <w:rFonts w:ascii="Arial" w:hAnsi="Arial" w:cs="Arial"/>
          <w:sz w:val="24"/>
          <w:szCs w:val="24"/>
        </w:rPr>
        <w:t xml:space="preserve">investment grade </w:t>
      </w:r>
      <w:r>
        <w:rPr>
          <w:rFonts w:ascii="Arial" w:hAnsi="Arial" w:cs="Arial"/>
          <w:sz w:val="24"/>
          <w:szCs w:val="24"/>
        </w:rPr>
        <w:t xml:space="preserve">and that it would seek </w:t>
      </w:r>
      <w:r w:rsidRPr="00537330">
        <w:rPr>
          <w:rFonts w:ascii="Arial" w:hAnsi="Arial" w:cs="Arial"/>
          <w:sz w:val="24"/>
          <w:szCs w:val="24"/>
        </w:rPr>
        <w:t>the Commission's direct authority under Ohio Rev. Code § 4905.42 to pre-approve any future</w:t>
      </w:r>
      <w:r>
        <w:rPr>
          <w:rFonts w:ascii="Arial" w:hAnsi="Arial" w:cs="Arial"/>
          <w:sz w:val="24"/>
          <w:szCs w:val="24"/>
        </w:rPr>
        <w:t xml:space="preserve"> </w:t>
      </w:r>
      <w:r w:rsidRPr="00537330">
        <w:rPr>
          <w:rFonts w:ascii="Arial" w:hAnsi="Arial" w:cs="Arial"/>
          <w:sz w:val="24"/>
          <w:szCs w:val="24"/>
        </w:rPr>
        <w:t>evidence of indebtedness</w:t>
      </w:r>
      <w:r>
        <w:rPr>
          <w:rFonts w:ascii="Arial" w:hAnsi="Arial" w:cs="Arial"/>
          <w:sz w:val="24"/>
          <w:szCs w:val="24"/>
        </w:rPr>
        <w:t>.  DP&amp;L also agreed that it would</w:t>
      </w:r>
      <w:r w:rsidRPr="00537330">
        <w:rPr>
          <w:rFonts w:ascii="Arial" w:hAnsi="Arial" w:cs="Arial"/>
          <w:sz w:val="24"/>
          <w:szCs w:val="24"/>
        </w:rPr>
        <w:t xml:space="preserve"> maintain a capital structure that includes an equity ratio of at least 50 percent</w:t>
      </w:r>
      <w:r>
        <w:rPr>
          <w:rFonts w:ascii="Arial" w:hAnsi="Arial" w:cs="Arial"/>
          <w:sz w:val="24"/>
          <w:szCs w:val="24"/>
        </w:rPr>
        <w:t xml:space="preserve"> and that it would</w:t>
      </w:r>
      <w:r w:rsidRPr="00817A28">
        <w:rPr>
          <w:rFonts w:ascii="Arial" w:hAnsi="Arial" w:cs="Arial"/>
          <w:sz w:val="24"/>
          <w:szCs w:val="24"/>
        </w:rPr>
        <w:t xml:space="preserve"> not have a negative retained earnings balance.</w:t>
      </w:r>
      <w:r>
        <w:rPr>
          <w:rFonts w:ascii="Arial" w:hAnsi="Arial" w:cs="Arial"/>
          <w:sz w:val="24"/>
          <w:szCs w:val="24"/>
        </w:rPr>
        <w:t xml:space="preserve"> The Commission approved the merger based on three stipulations that were filed.</w:t>
      </w:r>
    </w:p>
    <w:p w14:paraId="16874ED6" w14:textId="77777777" w:rsidR="007077B3" w:rsidRPr="00B973EB" w:rsidRDefault="00302C7C" w:rsidP="007077B3">
      <w:pPr>
        <w:pStyle w:val="BodyText"/>
        <w:spacing w:line="480" w:lineRule="auto"/>
        <w:ind w:left="720"/>
        <w:rPr>
          <w:rFonts w:ascii="Arial" w:hAnsi="Arial" w:cs="Arial"/>
          <w:sz w:val="24"/>
          <w:szCs w:val="24"/>
        </w:rPr>
      </w:pPr>
      <w:r w:rsidRPr="007077B3">
        <w:rPr>
          <w:rFonts w:ascii="Arial" w:hAnsi="Arial" w:cs="Arial"/>
          <w:b/>
          <w:sz w:val="24"/>
          <w:szCs w:val="24"/>
        </w:rPr>
        <w:t>Case No. 12-426-EL-SSO</w:t>
      </w:r>
      <w:r w:rsidRPr="007077B3">
        <w:rPr>
          <w:rFonts w:ascii="Arial" w:hAnsi="Arial" w:cs="Arial"/>
          <w:sz w:val="24"/>
          <w:szCs w:val="24"/>
        </w:rPr>
        <w:t xml:space="preserve"> - DP&amp;L proposed to update its corporate separation plan and has requested that the Commission approve the plan (Third Amended Corporate Separation Plan) in an order accepting DP&amp;L's ESP. </w:t>
      </w:r>
      <w:r w:rsidR="007077B3" w:rsidRPr="007077B3">
        <w:rPr>
          <w:rFonts w:ascii="Arial" w:hAnsi="Arial" w:cs="Arial"/>
          <w:sz w:val="24"/>
          <w:szCs w:val="24"/>
        </w:rPr>
        <w:t>T</w:t>
      </w:r>
      <w:r w:rsidRPr="007077B3">
        <w:rPr>
          <w:rFonts w:ascii="Arial" w:hAnsi="Arial" w:cs="Arial"/>
          <w:sz w:val="24"/>
          <w:szCs w:val="24"/>
        </w:rPr>
        <w:t xml:space="preserve">he changes to the Third Amended Corporate Separation Plan </w:t>
      </w:r>
      <w:r w:rsidR="007077B3" w:rsidRPr="007077B3">
        <w:rPr>
          <w:rFonts w:ascii="Arial" w:hAnsi="Arial" w:cs="Arial"/>
          <w:sz w:val="24"/>
          <w:szCs w:val="24"/>
        </w:rPr>
        <w:t xml:space="preserve">were described </w:t>
      </w:r>
      <w:r w:rsidRPr="007077B3">
        <w:rPr>
          <w:rFonts w:ascii="Arial" w:hAnsi="Arial" w:cs="Arial"/>
          <w:sz w:val="24"/>
          <w:szCs w:val="24"/>
        </w:rPr>
        <w:t>as non-substantive and limited to reflect DPL Energy Resources' ("DPLER") acquisition of MC Squared and the acquisition of DPL Inc. by AES Corporation.</w:t>
      </w:r>
      <w:r w:rsidR="00E91EDB" w:rsidRPr="007077B3">
        <w:rPr>
          <w:rFonts w:ascii="Arial" w:hAnsi="Arial" w:cs="Arial"/>
          <w:sz w:val="24"/>
          <w:szCs w:val="24"/>
        </w:rPr>
        <w:t xml:space="preserve">  At the time of this filing, DP&amp;L was still a vertically integrated utility company and requested</w:t>
      </w:r>
      <w:r w:rsidR="007077B3" w:rsidRPr="007077B3">
        <w:rPr>
          <w:rFonts w:ascii="Arial" w:hAnsi="Arial" w:cs="Arial"/>
          <w:sz w:val="24"/>
          <w:szCs w:val="24"/>
        </w:rPr>
        <w:t xml:space="preserve"> </w:t>
      </w:r>
      <w:r w:rsidR="00B973EB">
        <w:rPr>
          <w:rFonts w:ascii="Arial" w:hAnsi="Arial" w:cs="Arial"/>
          <w:sz w:val="24"/>
          <w:szCs w:val="24"/>
        </w:rPr>
        <w:t>two</w:t>
      </w:r>
      <w:r w:rsidR="007077B3" w:rsidRPr="007077B3">
        <w:rPr>
          <w:rFonts w:ascii="Arial" w:hAnsi="Arial" w:cs="Arial"/>
          <w:sz w:val="24"/>
          <w:szCs w:val="24"/>
        </w:rPr>
        <w:t xml:space="preserve"> riders to protect its total company financial integrity that included the generation function, the transmission function and the distribution function. </w:t>
      </w:r>
      <w:r w:rsidR="00B973EB">
        <w:rPr>
          <w:rFonts w:ascii="Arial" w:hAnsi="Arial" w:cs="Arial"/>
          <w:sz w:val="24"/>
          <w:szCs w:val="24"/>
        </w:rPr>
        <w:t>DP&amp;L stated that t</w:t>
      </w:r>
      <w:r w:rsidR="007077B3" w:rsidRPr="007077B3">
        <w:rPr>
          <w:rFonts w:ascii="Arial" w:hAnsi="Arial" w:cs="Arial"/>
          <w:sz w:val="24"/>
          <w:szCs w:val="24"/>
        </w:rPr>
        <w:t xml:space="preserve">he riders </w:t>
      </w:r>
      <w:r w:rsidR="00B973EB">
        <w:rPr>
          <w:rFonts w:ascii="Arial" w:hAnsi="Arial" w:cs="Arial"/>
          <w:sz w:val="24"/>
          <w:szCs w:val="24"/>
        </w:rPr>
        <w:t xml:space="preserve">were </w:t>
      </w:r>
      <w:r w:rsidR="007077B3" w:rsidRPr="007077B3">
        <w:rPr>
          <w:rFonts w:ascii="Arial" w:hAnsi="Arial" w:cs="Arial"/>
          <w:sz w:val="24"/>
          <w:szCs w:val="24"/>
        </w:rPr>
        <w:t>required due to the loss of</w:t>
      </w:r>
      <w:r w:rsidR="007077B3">
        <w:rPr>
          <w:rFonts w:ascii="Arial" w:hAnsi="Arial" w:cs="Arial"/>
          <w:sz w:val="24"/>
          <w:szCs w:val="24"/>
        </w:rPr>
        <w:t xml:space="preserve"> </w:t>
      </w:r>
      <w:r w:rsidR="007077B3" w:rsidRPr="007077B3">
        <w:rPr>
          <w:rFonts w:ascii="Arial" w:hAnsi="Arial" w:cs="Arial"/>
          <w:sz w:val="24"/>
          <w:szCs w:val="24"/>
        </w:rPr>
        <w:t>generation</w:t>
      </w:r>
      <w:r w:rsidR="007077B3">
        <w:rPr>
          <w:rFonts w:ascii="Arial" w:hAnsi="Arial" w:cs="Arial"/>
          <w:sz w:val="24"/>
          <w:szCs w:val="24"/>
        </w:rPr>
        <w:t xml:space="preserve"> </w:t>
      </w:r>
      <w:r w:rsidR="007077B3" w:rsidRPr="007077B3">
        <w:rPr>
          <w:rFonts w:ascii="Arial" w:hAnsi="Arial" w:cs="Arial"/>
          <w:sz w:val="24"/>
          <w:szCs w:val="24"/>
        </w:rPr>
        <w:t>and</w:t>
      </w:r>
      <w:r w:rsidR="007077B3">
        <w:rPr>
          <w:rFonts w:ascii="Arial" w:hAnsi="Arial" w:cs="Arial"/>
          <w:sz w:val="24"/>
          <w:szCs w:val="24"/>
        </w:rPr>
        <w:t xml:space="preserve"> </w:t>
      </w:r>
      <w:r w:rsidR="007077B3" w:rsidRPr="00B973EB">
        <w:rPr>
          <w:rFonts w:ascii="Arial" w:hAnsi="Arial" w:cs="Arial"/>
          <w:sz w:val="24"/>
          <w:szCs w:val="24"/>
        </w:rPr>
        <w:t>transmission revenue</w:t>
      </w:r>
      <w:r w:rsidR="007077B3" w:rsidRPr="00B973EB">
        <w:rPr>
          <w:rFonts w:ascii="Arial" w:hAnsi="Arial" w:cs="Arial"/>
          <w:b/>
          <w:sz w:val="24"/>
          <w:szCs w:val="24"/>
        </w:rPr>
        <w:t xml:space="preserve">.  </w:t>
      </w:r>
      <w:r w:rsidR="00B973EB" w:rsidRPr="00B973EB">
        <w:rPr>
          <w:rFonts w:ascii="Arial" w:hAnsi="Arial" w:cs="Arial"/>
          <w:sz w:val="24"/>
          <w:szCs w:val="24"/>
        </w:rPr>
        <w:t>The Commission approved the Service Stability Rider (SSR) and denied the Switching Tracker (ST).</w:t>
      </w:r>
      <w:r w:rsidR="00B973EB">
        <w:rPr>
          <w:rFonts w:ascii="Arial" w:hAnsi="Arial" w:cs="Arial"/>
          <w:sz w:val="24"/>
          <w:szCs w:val="24"/>
        </w:rPr>
        <w:t xml:space="preserve">  The Ohio Supreme Court eventually overturned the Commission’s authorization of the SSR.</w:t>
      </w:r>
    </w:p>
    <w:p w14:paraId="684BEF49" w14:textId="30E3A5FA" w:rsidR="00630005" w:rsidRDefault="00B6732A" w:rsidP="00302C7C">
      <w:pPr>
        <w:pStyle w:val="BodyText"/>
        <w:spacing w:line="480" w:lineRule="auto"/>
        <w:ind w:left="720" w:hanging="720"/>
        <w:jc w:val="both"/>
        <w:rPr>
          <w:rFonts w:ascii="Arial" w:hAnsi="Arial" w:cs="Arial"/>
          <w:sz w:val="24"/>
          <w:szCs w:val="24"/>
        </w:rPr>
      </w:pPr>
      <w:r w:rsidRPr="00817A28">
        <w:rPr>
          <w:rFonts w:ascii="Arial" w:hAnsi="Arial" w:cs="Arial"/>
          <w:sz w:val="24"/>
          <w:szCs w:val="24"/>
        </w:rPr>
        <w:tab/>
      </w:r>
      <w:r w:rsidRPr="00817A28">
        <w:rPr>
          <w:rFonts w:ascii="Arial" w:hAnsi="Arial" w:cs="Arial"/>
          <w:b/>
          <w:sz w:val="24"/>
          <w:szCs w:val="24"/>
        </w:rPr>
        <w:t xml:space="preserve">13-2420-EL-UNC Generation Transfer case </w:t>
      </w:r>
      <w:r w:rsidRPr="00E94E26">
        <w:rPr>
          <w:rFonts w:ascii="Arial" w:hAnsi="Arial" w:cs="Arial"/>
          <w:b/>
          <w:sz w:val="24"/>
          <w:szCs w:val="24"/>
        </w:rPr>
        <w:t>-</w:t>
      </w:r>
      <w:r w:rsidR="00E94E26">
        <w:rPr>
          <w:rFonts w:ascii="Arial" w:hAnsi="Arial" w:cs="Arial"/>
          <w:b/>
          <w:sz w:val="24"/>
          <w:szCs w:val="24"/>
        </w:rPr>
        <w:t xml:space="preserve"> </w:t>
      </w:r>
      <w:r w:rsidR="00C04A08" w:rsidRPr="00E94E26">
        <w:rPr>
          <w:rFonts w:ascii="Arial" w:hAnsi="Arial" w:cs="Arial"/>
          <w:sz w:val="24"/>
          <w:szCs w:val="24"/>
        </w:rPr>
        <w:t>DP</w:t>
      </w:r>
      <w:r w:rsidR="00C04A08" w:rsidRPr="00C04A08">
        <w:rPr>
          <w:rFonts w:ascii="Arial" w:hAnsi="Arial" w:cs="Arial"/>
          <w:sz w:val="24"/>
          <w:szCs w:val="24"/>
        </w:rPr>
        <w:t>&amp;L filed an amended supplemental application</w:t>
      </w:r>
      <w:r w:rsidR="00E94E26">
        <w:rPr>
          <w:rFonts w:ascii="Arial" w:hAnsi="Arial" w:cs="Arial"/>
          <w:sz w:val="24"/>
          <w:szCs w:val="24"/>
        </w:rPr>
        <w:t xml:space="preserve"> on May 23, 2014 to transfer its generation to an affiliate </w:t>
      </w:r>
      <w:r w:rsidR="00C04A08" w:rsidRPr="00C04A08">
        <w:rPr>
          <w:rFonts w:ascii="Arial" w:hAnsi="Arial" w:cs="Arial"/>
          <w:sz w:val="24"/>
          <w:szCs w:val="24"/>
        </w:rPr>
        <w:t xml:space="preserve">or to sell the generation assets to a third party. </w:t>
      </w:r>
      <w:r w:rsidR="00E94E26">
        <w:rPr>
          <w:rFonts w:ascii="Arial" w:hAnsi="Arial" w:cs="Arial"/>
          <w:sz w:val="24"/>
          <w:szCs w:val="24"/>
        </w:rPr>
        <w:t xml:space="preserve">On </w:t>
      </w:r>
      <w:r w:rsidR="00E94E26" w:rsidRPr="00E94E26">
        <w:rPr>
          <w:rFonts w:ascii="Arial" w:hAnsi="Arial" w:cs="Arial"/>
          <w:sz w:val="24"/>
          <w:szCs w:val="24"/>
        </w:rPr>
        <w:t xml:space="preserve">July 14, 2014, DP&amp;L filed a notice in this case with an attached press release indicating that DP&amp;L had decided </w:t>
      </w:r>
      <w:r w:rsidR="00E94E26" w:rsidRPr="00E94E26">
        <w:rPr>
          <w:rFonts w:ascii="Arial" w:hAnsi="Arial" w:cs="Arial"/>
          <w:sz w:val="24"/>
          <w:szCs w:val="24"/>
        </w:rPr>
        <w:lastRenderedPageBreak/>
        <w:t>to transfer its generation assets to an affiliate by January 1, 2017</w:t>
      </w:r>
      <w:r w:rsidR="00E94E26">
        <w:rPr>
          <w:rFonts w:ascii="Arial" w:hAnsi="Arial" w:cs="Arial"/>
          <w:sz w:val="24"/>
          <w:szCs w:val="24"/>
        </w:rPr>
        <w:t xml:space="preserve">.  The </w:t>
      </w:r>
      <w:r w:rsidR="00E94E26" w:rsidRPr="00E94E26">
        <w:rPr>
          <w:rFonts w:ascii="Arial" w:hAnsi="Arial" w:cs="Arial"/>
          <w:sz w:val="24"/>
          <w:szCs w:val="24"/>
        </w:rPr>
        <w:t>Commission f</w:t>
      </w:r>
      <w:r w:rsidR="00E94E26">
        <w:rPr>
          <w:rFonts w:ascii="Arial" w:hAnsi="Arial" w:cs="Arial"/>
          <w:sz w:val="24"/>
          <w:szCs w:val="24"/>
        </w:rPr>
        <w:t>ound</w:t>
      </w:r>
      <w:r w:rsidR="00E94E26" w:rsidRPr="00E94E26">
        <w:rPr>
          <w:rFonts w:ascii="Arial" w:hAnsi="Arial" w:cs="Arial"/>
          <w:sz w:val="24"/>
          <w:szCs w:val="24"/>
        </w:rPr>
        <w:t xml:space="preserve"> that the application </w:t>
      </w:r>
      <w:r w:rsidR="00E94E26">
        <w:rPr>
          <w:rFonts w:ascii="Arial" w:hAnsi="Arial" w:cs="Arial"/>
          <w:sz w:val="24"/>
          <w:szCs w:val="24"/>
        </w:rPr>
        <w:t>was</w:t>
      </w:r>
      <w:r w:rsidR="00E94E26" w:rsidRPr="00E94E26">
        <w:rPr>
          <w:rFonts w:ascii="Arial" w:hAnsi="Arial" w:cs="Arial"/>
          <w:sz w:val="24"/>
          <w:szCs w:val="24"/>
        </w:rPr>
        <w:t xml:space="preserve"> reasonable, complie</w:t>
      </w:r>
      <w:r w:rsidR="00E94E26">
        <w:rPr>
          <w:rFonts w:ascii="Arial" w:hAnsi="Arial" w:cs="Arial"/>
          <w:sz w:val="24"/>
          <w:szCs w:val="24"/>
        </w:rPr>
        <w:t>d</w:t>
      </w:r>
      <w:r w:rsidR="00E94E26" w:rsidRPr="00E94E26">
        <w:rPr>
          <w:rFonts w:ascii="Arial" w:hAnsi="Arial" w:cs="Arial"/>
          <w:sz w:val="24"/>
          <w:szCs w:val="24"/>
        </w:rPr>
        <w:t xml:space="preserve"> with </w:t>
      </w:r>
      <w:r w:rsidR="00E94E26">
        <w:rPr>
          <w:rFonts w:ascii="Arial" w:hAnsi="Arial" w:cs="Arial"/>
          <w:sz w:val="24"/>
          <w:szCs w:val="24"/>
        </w:rPr>
        <w:t xml:space="preserve">Ohio Revised Code </w:t>
      </w:r>
      <w:r w:rsidR="00E94E26" w:rsidRPr="00E94E26">
        <w:rPr>
          <w:rFonts w:ascii="Arial" w:hAnsi="Arial" w:cs="Arial"/>
          <w:sz w:val="24"/>
          <w:szCs w:val="24"/>
        </w:rPr>
        <w:t>4928.17 and Ohio Adm</w:t>
      </w:r>
      <w:r w:rsidR="00E94E26">
        <w:rPr>
          <w:rFonts w:ascii="Arial" w:hAnsi="Arial" w:cs="Arial"/>
          <w:sz w:val="24"/>
          <w:szCs w:val="24"/>
        </w:rPr>
        <w:t xml:space="preserve">inistrative </w:t>
      </w:r>
      <w:r w:rsidR="00E94E26" w:rsidRPr="00E94E26">
        <w:rPr>
          <w:rFonts w:ascii="Arial" w:hAnsi="Arial" w:cs="Arial"/>
          <w:sz w:val="24"/>
          <w:szCs w:val="24"/>
        </w:rPr>
        <w:t xml:space="preserve">Code Chapter 4901:1-37, and </w:t>
      </w:r>
      <w:r w:rsidR="00E94E26">
        <w:rPr>
          <w:rFonts w:ascii="Arial" w:hAnsi="Arial" w:cs="Arial"/>
          <w:sz w:val="24"/>
          <w:szCs w:val="24"/>
        </w:rPr>
        <w:t>was</w:t>
      </w:r>
      <w:r w:rsidR="00E94E26" w:rsidRPr="00E94E26">
        <w:rPr>
          <w:rFonts w:ascii="Arial" w:hAnsi="Arial" w:cs="Arial"/>
          <w:sz w:val="24"/>
          <w:szCs w:val="24"/>
        </w:rPr>
        <w:t xml:space="preserve"> in the public interest</w:t>
      </w:r>
      <w:r w:rsidR="00E94E26">
        <w:rPr>
          <w:rFonts w:ascii="Arial" w:hAnsi="Arial" w:cs="Arial"/>
          <w:sz w:val="24"/>
          <w:szCs w:val="24"/>
        </w:rPr>
        <w:t>.  The Commission approved the application</w:t>
      </w:r>
      <w:r w:rsidR="00E94E26" w:rsidRPr="00E94E26">
        <w:rPr>
          <w:rFonts w:ascii="Arial" w:hAnsi="Arial" w:cs="Arial"/>
          <w:sz w:val="24"/>
          <w:szCs w:val="24"/>
        </w:rPr>
        <w:t>.</w:t>
      </w:r>
      <w:r w:rsidR="001A4E6B">
        <w:rPr>
          <w:rFonts w:ascii="Arial" w:hAnsi="Arial" w:cs="Arial"/>
          <w:sz w:val="24"/>
          <w:szCs w:val="24"/>
        </w:rPr>
        <w:t xml:space="preserve">  </w:t>
      </w:r>
      <w:r w:rsidR="00070BBE">
        <w:rPr>
          <w:rFonts w:ascii="Arial" w:hAnsi="Arial" w:cs="Arial"/>
          <w:sz w:val="24"/>
          <w:szCs w:val="24"/>
        </w:rPr>
        <w:t xml:space="preserve">On October 1 2017, DP&amp;L transferred its generation assets to an unregulated affiliate, </w:t>
      </w:r>
      <w:r w:rsidR="00070BBE" w:rsidRPr="004727A8">
        <w:rPr>
          <w:rFonts w:ascii="Arial" w:hAnsi="Arial" w:cs="Arial"/>
          <w:sz w:val="24"/>
          <w:szCs w:val="24"/>
        </w:rPr>
        <w:t>AES Ohio Gen</w:t>
      </w:r>
      <w:r w:rsidR="00070BBE">
        <w:rPr>
          <w:rFonts w:ascii="Arial" w:hAnsi="Arial" w:cs="Arial"/>
          <w:sz w:val="24"/>
          <w:szCs w:val="24"/>
        </w:rPr>
        <w:t>.</w:t>
      </w:r>
    </w:p>
    <w:p w14:paraId="443625C2" w14:textId="3F8321FE" w:rsidR="006C2A83" w:rsidRPr="00DA5383" w:rsidRDefault="000740E9" w:rsidP="00302C7C">
      <w:pPr>
        <w:pStyle w:val="BodyText"/>
        <w:spacing w:line="480" w:lineRule="auto"/>
        <w:ind w:left="720" w:hanging="720"/>
        <w:jc w:val="both"/>
        <w:rPr>
          <w:rFonts w:ascii="Arial" w:hAnsi="Arial" w:cs="Arial"/>
          <w:sz w:val="24"/>
          <w:szCs w:val="24"/>
        </w:rPr>
      </w:pPr>
      <w:r>
        <w:rPr>
          <w:rFonts w:ascii="Arial" w:hAnsi="Arial" w:cs="Arial"/>
          <w:sz w:val="24"/>
          <w:szCs w:val="24"/>
        </w:rPr>
        <w:tab/>
      </w:r>
      <w:r w:rsidRPr="000740E9">
        <w:rPr>
          <w:rFonts w:ascii="Arial" w:hAnsi="Arial" w:cs="Arial"/>
          <w:sz w:val="24"/>
          <w:szCs w:val="24"/>
        </w:rPr>
        <w:t xml:space="preserve">In all these cases, DP&amp;L assured the Commission and the Commission assured the ratepayers that </w:t>
      </w:r>
      <w:r>
        <w:rPr>
          <w:rFonts w:ascii="Arial" w:hAnsi="Arial" w:cs="Arial"/>
          <w:sz w:val="24"/>
          <w:szCs w:val="24"/>
        </w:rPr>
        <w:t xml:space="preserve">they would not be </w:t>
      </w:r>
      <w:r w:rsidRPr="000740E9">
        <w:rPr>
          <w:rFonts w:ascii="Arial" w:hAnsi="Arial" w:cs="Arial"/>
          <w:sz w:val="24"/>
          <w:szCs w:val="24"/>
        </w:rPr>
        <w:t xml:space="preserve">harmed by the non-utility activities of its </w:t>
      </w:r>
      <w:r w:rsidRPr="00DA5383">
        <w:rPr>
          <w:rFonts w:ascii="Arial" w:hAnsi="Arial" w:cs="Arial"/>
          <w:sz w:val="24"/>
          <w:szCs w:val="24"/>
        </w:rPr>
        <w:t>parent and affiliates.</w:t>
      </w:r>
    </w:p>
    <w:p w14:paraId="24BBF188" w14:textId="33E40345" w:rsidR="00A3071C" w:rsidRPr="0005386D" w:rsidRDefault="00B74804" w:rsidP="00302C7C">
      <w:pPr>
        <w:pStyle w:val="BodyText"/>
        <w:spacing w:line="480" w:lineRule="auto"/>
        <w:ind w:left="720" w:hanging="720"/>
        <w:jc w:val="both"/>
        <w:rPr>
          <w:rFonts w:ascii="Arial" w:hAnsi="Arial" w:cs="Arial"/>
          <w:b/>
          <w:sz w:val="24"/>
          <w:szCs w:val="24"/>
        </w:rPr>
      </w:pPr>
      <w:r w:rsidRPr="0005386D">
        <w:rPr>
          <w:rFonts w:ascii="Arial" w:hAnsi="Arial" w:cs="Arial"/>
          <w:b/>
          <w:sz w:val="24"/>
          <w:szCs w:val="24"/>
        </w:rPr>
        <w:t>Q.</w:t>
      </w:r>
      <w:r w:rsidR="007D586A" w:rsidRPr="00DA5383">
        <w:rPr>
          <w:rFonts w:ascii="Arial" w:hAnsi="Arial" w:cs="Arial"/>
          <w:sz w:val="24"/>
          <w:szCs w:val="24"/>
        </w:rPr>
        <w:tab/>
      </w:r>
      <w:r w:rsidRPr="0005386D">
        <w:rPr>
          <w:rFonts w:ascii="Arial" w:hAnsi="Arial" w:cs="Arial"/>
          <w:b/>
          <w:sz w:val="24"/>
          <w:szCs w:val="24"/>
        </w:rPr>
        <w:t>Are you recommending that the Commission authorize the DMR revenues to pay interest obligations on existing debt at DPL or to make discretionary debt prepayments at DPL?</w:t>
      </w:r>
    </w:p>
    <w:p w14:paraId="6180B753" w14:textId="70D320D3" w:rsidR="00A3071C" w:rsidRDefault="00B74804" w:rsidP="00302C7C">
      <w:pPr>
        <w:pStyle w:val="BodyText"/>
        <w:spacing w:line="480" w:lineRule="auto"/>
        <w:ind w:left="720" w:hanging="720"/>
        <w:jc w:val="both"/>
        <w:rPr>
          <w:rFonts w:ascii="Arial" w:hAnsi="Arial" w:cs="Arial"/>
          <w:sz w:val="24"/>
          <w:szCs w:val="24"/>
        </w:rPr>
      </w:pPr>
      <w:r w:rsidRPr="00DA5383">
        <w:rPr>
          <w:rFonts w:ascii="Arial" w:hAnsi="Arial" w:cs="Arial"/>
          <w:sz w:val="24"/>
          <w:szCs w:val="24"/>
        </w:rPr>
        <w:t>A.</w:t>
      </w:r>
      <w:r w:rsidRPr="00DA5383">
        <w:rPr>
          <w:rFonts w:ascii="Arial" w:hAnsi="Arial" w:cs="Arial"/>
          <w:sz w:val="24"/>
          <w:szCs w:val="24"/>
        </w:rPr>
        <w:tab/>
        <w:t xml:space="preserve">No.  </w:t>
      </w:r>
      <w:r w:rsidR="00DA5383" w:rsidRPr="00DA5383">
        <w:rPr>
          <w:rFonts w:ascii="Arial" w:hAnsi="Arial" w:cs="Arial"/>
          <w:sz w:val="24"/>
          <w:szCs w:val="24"/>
        </w:rPr>
        <w:t xml:space="preserve">DPL’s financial problems were </w:t>
      </w:r>
      <w:r w:rsidR="00DA5383">
        <w:rPr>
          <w:rFonts w:ascii="Arial" w:hAnsi="Arial" w:cs="Arial"/>
          <w:sz w:val="24"/>
          <w:szCs w:val="24"/>
        </w:rPr>
        <w:t xml:space="preserve">the direct result of the AES acquisition and I do not believe that the Commission can and/or should require the customers of DP&amp;L to resolve that problem.  I also believe that this portion of the payment is </w:t>
      </w:r>
      <w:r w:rsidR="00D212AF">
        <w:rPr>
          <w:rFonts w:ascii="Arial" w:hAnsi="Arial" w:cs="Arial"/>
          <w:sz w:val="24"/>
          <w:szCs w:val="24"/>
        </w:rPr>
        <w:t xml:space="preserve">a </w:t>
      </w:r>
      <w:r w:rsidR="00DA5383" w:rsidRPr="00DA5383">
        <w:rPr>
          <w:rFonts w:ascii="Arial" w:hAnsi="Arial" w:cs="Arial"/>
          <w:sz w:val="24"/>
          <w:szCs w:val="24"/>
        </w:rPr>
        <w:t>cross subsidy which is flowing from a noncompetitive retail electric service to a competitive retail electric service or to a product or service other than retail electric service</w:t>
      </w:r>
      <w:r w:rsidR="00DA5383">
        <w:rPr>
          <w:rFonts w:ascii="Arial" w:hAnsi="Arial" w:cs="Arial"/>
          <w:sz w:val="24"/>
          <w:szCs w:val="24"/>
        </w:rPr>
        <w:t xml:space="preserve"> which is inconsistent with the policies of the State on Ohio and harmful to generation competition in the State.</w:t>
      </w:r>
    </w:p>
    <w:p w14:paraId="780D3821" w14:textId="748911E7" w:rsidR="004D5527" w:rsidRPr="00DF1E3A" w:rsidRDefault="0066622E" w:rsidP="00302C7C">
      <w:pPr>
        <w:pStyle w:val="BodyText"/>
        <w:spacing w:line="480" w:lineRule="auto"/>
        <w:ind w:left="720" w:hanging="720"/>
        <w:jc w:val="both"/>
        <w:rPr>
          <w:rFonts w:ascii="Arial" w:hAnsi="Arial" w:cs="Arial"/>
          <w:b/>
          <w:sz w:val="24"/>
          <w:szCs w:val="24"/>
        </w:rPr>
      </w:pPr>
      <w:r w:rsidRPr="00DF1E3A">
        <w:rPr>
          <w:rFonts w:ascii="Arial" w:hAnsi="Arial" w:cs="Arial"/>
          <w:b/>
          <w:sz w:val="24"/>
          <w:szCs w:val="24"/>
        </w:rPr>
        <w:t>Q.</w:t>
      </w:r>
      <w:r w:rsidRPr="00DF1E3A">
        <w:rPr>
          <w:rFonts w:ascii="Arial" w:hAnsi="Arial" w:cs="Arial"/>
          <w:b/>
          <w:sz w:val="24"/>
          <w:szCs w:val="24"/>
        </w:rPr>
        <w:tab/>
        <w:t xml:space="preserve">Has DP&amp;L provided </w:t>
      </w:r>
      <w:r w:rsidR="001B1FA1" w:rsidRPr="00DF1E3A">
        <w:rPr>
          <w:rFonts w:ascii="Arial" w:hAnsi="Arial" w:cs="Arial"/>
          <w:b/>
          <w:sz w:val="24"/>
          <w:szCs w:val="24"/>
        </w:rPr>
        <w:t>an estimate of the</w:t>
      </w:r>
      <w:r w:rsidRPr="00DF1E3A">
        <w:rPr>
          <w:rFonts w:ascii="Arial" w:hAnsi="Arial" w:cs="Arial"/>
          <w:b/>
          <w:sz w:val="24"/>
          <w:szCs w:val="24"/>
        </w:rPr>
        <w:t xml:space="preserve"> financial impact of DPL’s financial problems </w:t>
      </w:r>
      <w:r w:rsidR="001B1FA1" w:rsidRPr="00DF1E3A">
        <w:rPr>
          <w:rFonts w:ascii="Arial" w:hAnsi="Arial" w:cs="Arial"/>
          <w:b/>
          <w:sz w:val="24"/>
          <w:szCs w:val="24"/>
        </w:rPr>
        <w:t>on DP&amp;L?</w:t>
      </w:r>
    </w:p>
    <w:p w14:paraId="095F6C7D" w14:textId="25DBEA09" w:rsidR="001B1FA1" w:rsidRPr="00DF1E3A" w:rsidRDefault="001B1FA1" w:rsidP="001B1FA1">
      <w:pPr>
        <w:pStyle w:val="BodyText"/>
        <w:spacing w:line="480" w:lineRule="auto"/>
        <w:ind w:left="720" w:hanging="720"/>
        <w:jc w:val="both"/>
        <w:rPr>
          <w:rFonts w:ascii="Arial" w:hAnsi="Arial" w:cs="Arial"/>
          <w:sz w:val="24"/>
          <w:szCs w:val="24"/>
        </w:rPr>
      </w:pPr>
      <w:r w:rsidRPr="00DF1E3A">
        <w:rPr>
          <w:rFonts w:ascii="Arial" w:hAnsi="Arial" w:cs="Arial"/>
          <w:sz w:val="24"/>
          <w:szCs w:val="24"/>
        </w:rPr>
        <w:lastRenderedPageBreak/>
        <w:t>A.</w:t>
      </w:r>
      <w:r w:rsidR="004D5527" w:rsidRPr="00DF1E3A">
        <w:rPr>
          <w:rFonts w:ascii="Arial" w:hAnsi="Arial" w:cs="Arial"/>
          <w:sz w:val="24"/>
          <w:szCs w:val="24"/>
        </w:rPr>
        <w:tab/>
      </w:r>
      <w:r w:rsidR="004366EF" w:rsidRPr="00DF1E3A">
        <w:rPr>
          <w:rFonts w:ascii="Arial" w:hAnsi="Arial" w:cs="Arial"/>
          <w:sz w:val="24"/>
          <w:szCs w:val="24"/>
        </w:rPr>
        <w:t xml:space="preserve">No.  However, </w:t>
      </w:r>
      <w:r w:rsidR="004D5527" w:rsidRPr="00DF1E3A">
        <w:rPr>
          <w:rFonts w:ascii="Arial" w:hAnsi="Arial" w:cs="Arial"/>
          <w:sz w:val="24"/>
          <w:szCs w:val="24"/>
        </w:rPr>
        <w:t>DP&amp;L</w:t>
      </w:r>
      <w:r w:rsidR="004366EF" w:rsidRPr="00DF1E3A">
        <w:rPr>
          <w:rFonts w:ascii="Arial" w:hAnsi="Arial" w:cs="Arial"/>
          <w:sz w:val="24"/>
          <w:szCs w:val="24"/>
        </w:rPr>
        <w:t xml:space="preserve"> did</w:t>
      </w:r>
      <w:r w:rsidR="004D5527" w:rsidRPr="00DF1E3A">
        <w:rPr>
          <w:rFonts w:ascii="Arial" w:hAnsi="Arial" w:cs="Arial"/>
          <w:sz w:val="24"/>
          <w:szCs w:val="24"/>
        </w:rPr>
        <w:t xml:space="preserve"> </w:t>
      </w:r>
      <w:r w:rsidR="007D25F4" w:rsidRPr="00DF1E3A">
        <w:rPr>
          <w:rFonts w:ascii="Arial" w:hAnsi="Arial" w:cs="Arial"/>
          <w:sz w:val="24"/>
          <w:szCs w:val="24"/>
        </w:rPr>
        <w:t>provide</w:t>
      </w:r>
      <w:r w:rsidRPr="00DF1E3A">
        <w:rPr>
          <w:rFonts w:ascii="Arial" w:hAnsi="Arial" w:cs="Arial"/>
          <w:sz w:val="24"/>
          <w:szCs w:val="24"/>
        </w:rPr>
        <w:t xml:space="preserve"> a workpaper</w:t>
      </w:r>
      <w:r w:rsidR="00385AB4" w:rsidRPr="00DF1E3A">
        <w:rPr>
          <w:rStyle w:val="FootnoteReference"/>
          <w:rFonts w:ascii="Arial" w:hAnsi="Arial" w:cs="Arial"/>
          <w:sz w:val="24"/>
          <w:szCs w:val="24"/>
        </w:rPr>
        <w:footnoteReference w:id="18"/>
      </w:r>
      <w:r w:rsidRPr="00DF1E3A">
        <w:rPr>
          <w:rFonts w:ascii="Arial" w:hAnsi="Arial" w:cs="Arial"/>
          <w:sz w:val="24"/>
          <w:szCs w:val="24"/>
        </w:rPr>
        <w:t xml:space="preserve"> showing the expected “spread” in borrowing costs based upon different credit ratings.  The</w:t>
      </w:r>
      <w:r w:rsidR="00385AB4" w:rsidRPr="00DF1E3A">
        <w:rPr>
          <w:rFonts w:ascii="Arial" w:hAnsi="Arial" w:cs="Arial"/>
          <w:sz w:val="24"/>
          <w:szCs w:val="24"/>
        </w:rPr>
        <w:t xml:space="preserve"> </w:t>
      </w:r>
      <w:r w:rsidRPr="00DF1E3A">
        <w:rPr>
          <w:rFonts w:ascii="Arial" w:hAnsi="Arial" w:cs="Arial"/>
          <w:sz w:val="24"/>
          <w:szCs w:val="24"/>
        </w:rPr>
        <w:t xml:space="preserve">difference (between A and </w:t>
      </w:r>
      <w:r w:rsidR="00385AB4" w:rsidRPr="00DF1E3A">
        <w:rPr>
          <w:rFonts w:ascii="Arial" w:hAnsi="Arial" w:cs="Arial"/>
          <w:sz w:val="24"/>
          <w:szCs w:val="24"/>
        </w:rPr>
        <w:t>BB</w:t>
      </w:r>
      <w:r w:rsidRPr="00DF1E3A">
        <w:rPr>
          <w:rFonts w:ascii="Arial" w:hAnsi="Arial" w:cs="Arial"/>
          <w:sz w:val="24"/>
          <w:szCs w:val="24"/>
        </w:rPr>
        <w:t xml:space="preserve">B+) </w:t>
      </w:r>
      <w:r w:rsidRPr="00E960FB">
        <w:rPr>
          <w:rFonts w:ascii="Arial" w:hAnsi="Arial" w:cs="Arial"/>
          <w:sz w:val="24"/>
          <w:szCs w:val="24"/>
          <w:highlight w:val="yellow"/>
        </w:rPr>
        <w:t xml:space="preserve">is only </w:t>
      </w:r>
      <w:r w:rsidR="00385AB4" w:rsidRPr="00E960FB">
        <w:rPr>
          <w:rFonts w:ascii="Arial" w:hAnsi="Arial" w:cs="Arial"/>
          <w:sz w:val="24"/>
          <w:szCs w:val="24"/>
          <w:highlight w:val="yellow"/>
        </w:rPr>
        <w:t>1.350</w:t>
      </w:r>
      <w:r w:rsidRPr="00E960FB">
        <w:rPr>
          <w:rFonts w:ascii="Arial" w:hAnsi="Arial" w:cs="Arial"/>
          <w:sz w:val="24"/>
          <w:szCs w:val="24"/>
          <w:highlight w:val="yellow"/>
        </w:rPr>
        <w:t>% (for a 20-year note).</w:t>
      </w:r>
      <w:r w:rsidRPr="00DF1E3A">
        <w:rPr>
          <w:rFonts w:ascii="Arial" w:hAnsi="Arial" w:cs="Arial"/>
          <w:sz w:val="24"/>
          <w:szCs w:val="24"/>
        </w:rPr>
        <w:t xml:space="preserve">  Multiplied by $580 million, that spread is </w:t>
      </w:r>
      <w:r w:rsidRPr="00E960FB">
        <w:rPr>
          <w:rFonts w:ascii="Arial" w:hAnsi="Arial" w:cs="Arial"/>
          <w:sz w:val="24"/>
          <w:szCs w:val="24"/>
          <w:highlight w:val="yellow"/>
        </w:rPr>
        <w:t>only worth $</w:t>
      </w:r>
      <w:r w:rsidR="00385AB4" w:rsidRPr="00E960FB">
        <w:rPr>
          <w:rFonts w:ascii="Arial" w:hAnsi="Arial" w:cs="Arial"/>
          <w:sz w:val="24"/>
          <w:szCs w:val="24"/>
          <w:highlight w:val="yellow"/>
        </w:rPr>
        <w:t>7.83</w:t>
      </w:r>
      <w:r w:rsidRPr="00DF1E3A">
        <w:rPr>
          <w:rFonts w:ascii="Arial" w:hAnsi="Arial" w:cs="Arial"/>
          <w:sz w:val="24"/>
          <w:szCs w:val="24"/>
        </w:rPr>
        <w:t xml:space="preserve"> </w:t>
      </w:r>
      <w:r w:rsidRPr="00E960FB">
        <w:rPr>
          <w:rFonts w:ascii="Arial" w:hAnsi="Arial" w:cs="Arial"/>
          <w:sz w:val="24"/>
          <w:szCs w:val="24"/>
          <w:highlight w:val="yellow"/>
        </w:rPr>
        <w:t>million in additional borrowing costs per year</w:t>
      </w:r>
      <w:r w:rsidRPr="00DF1E3A">
        <w:rPr>
          <w:rFonts w:ascii="Arial" w:hAnsi="Arial" w:cs="Arial"/>
          <w:sz w:val="24"/>
          <w:szCs w:val="24"/>
        </w:rPr>
        <w:t xml:space="preserve">.  That is </w:t>
      </w:r>
      <w:r w:rsidRPr="00E960FB">
        <w:rPr>
          <w:rFonts w:ascii="Arial" w:hAnsi="Arial" w:cs="Arial"/>
          <w:sz w:val="24"/>
          <w:szCs w:val="24"/>
          <w:highlight w:val="yellow"/>
        </w:rPr>
        <w:t xml:space="preserve">considerably </w:t>
      </w:r>
      <w:r w:rsidR="00A765BE" w:rsidRPr="00ED3BC7">
        <w:rPr>
          <w:rFonts w:ascii="Arial" w:hAnsi="Arial" w:cs="Arial"/>
          <w:sz w:val="24"/>
          <w:szCs w:val="24"/>
          <w:highlight w:val="yellow"/>
        </w:rPr>
        <w:t>lower</w:t>
      </w:r>
      <w:r w:rsidRPr="00E960FB">
        <w:rPr>
          <w:rFonts w:ascii="Arial" w:hAnsi="Arial" w:cs="Arial"/>
          <w:sz w:val="24"/>
          <w:szCs w:val="24"/>
          <w:highlight w:val="yellow"/>
        </w:rPr>
        <w:t xml:space="preserve"> than </w:t>
      </w:r>
      <w:r w:rsidR="00385AB4" w:rsidRPr="00E960FB">
        <w:rPr>
          <w:rFonts w:ascii="Arial" w:hAnsi="Arial" w:cs="Arial"/>
          <w:sz w:val="24"/>
          <w:szCs w:val="24"/>
          <w:highlight w:val="yellow"/>
        </w:rPr>
        <w:t>an</w:t>
      </w:r>
      <w:r w:rsidRPr="00DF1E3A">
        <w:rPr>
          <w:rFonts w:ascii="Arial" w:hAnsi="Arial" w:cs="Arial"/>
          <w:sz w:val="24"/>
          <w:szCs w:val="24"/>
        </w:rPr>
        <w:t xml:space="preserve"> annual $105 million </w:t>
      </w:r>
      <w:r w:rsidR="00385AB4" w:rsidRPr="00DF1E3A">
        <w:rPr>
          <w:rFonts w:ascii="Arial" w:hAnsi="Arial" w:cs="Arial"/>
          <w:sz w:val="24"/>
          <w:szCs w:val="24"/>
        </w:rPr>
        <w:t xml:space="preserve">over three years </w:t>
      </w:r>
      <w:r w:rsidR="00385AB4" w:rsidRPr="00E960FB">
        <w:rPr>
          <w:rFonts w:ascii="Arial" w:hAnsi="Arial" w:cs="Arial"/>
          <w:sz w:val="24"/>
          <w:szCs w:val="24"/>
          <w:highlight w:val="yellow"/>
        </w:rPr>
        <w:t>that the current DMR provides.</w:t>
      </w:r>
    </w:p>
    <w:p w14:paraId="537C4DA2" w14:textId="331522E4" w:rsidR="002829E9" w:rsidRDefault="00827D0B" w:rsidP="00301B0F">
      <w:pPr>
        <w:pStyle w:val="BodyText"/>
        <w:spacing w:line="480" w:lineRule="auto"/>
        <w:ind w:left="720" w:hanging="720"/>
        <w:jc w:val="both"/>
        <w:rPr>
          <w:rFonts w:ascii="Arial" w:hAnsi="Arial" w:cs="Arial"/>
          <w:b/>
          <w:sz w:val="24"/>
          <w:szCs w:val="24"/>
        </w:rPr>
      </w:pPr>
      <w:r>
        <w:rPr>
          <w:rFonts w:ascii="Arial" w:hAnsi="Arial" w:cs="Arial"/>
          <w:b/>
          <w:sz w:val="24"/>
          <w:szCs w:val="24"/>
        </w:rPr>
        <w:t>V.</w:t>
      </w:r>
      <w:r>
        <w:rPr>
          <w:rFonts w:ascii="Arial" w:hAnsi="Arial" w:cs="Arial"/>
          <w:b/>
          <w:sz w:val="24"/>
          <w:szCs w:val="24"/>
        </w:rPr>
        <w:tab/>
      </w:r>
      <w:r w:rsidR="002829E9" w:rsidRPr="00DF755C">
        <w:rPr>
          <w:rFonts w:ascii="Arial" w:hAnsi="Arial" w:cs="Arial"/>
          <w:b/>
          <w:sz w:val="24"/>
          <w:szCs w:val="24"/>
        </w:rPr>
        <w:t xml:space="preserve">DMR PAYMENTS TO DP&amp;L </w:t>
      </w:r>
    </w:p>
    <w:p w14:paraId="0B3CF04B" w14:textId="6159A1A3" w:rsidR="00D212AF" w:rsidRPr="00F6496B" w:rsidRDefault="00150808">
      <w:pPr>
        <w:pStyle w:val="BodyText"/>
        <w:spacing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 xml:space="preserve">Is DP&amp;L’s </w:t>
      </w:r>
      <w:r w:rsidR="00B00CC6">
        <w:rPr>
          <w:rFonts w:ascii="Arial" w:hAnsi="Arial" w:cs="Arial"/>
          <w:b/>
          <w:sz w:val="24"/>
          <w:szCs w:val="24"/>
        </w:rPr>
        <w:t xml:space="preserve">distribution unit’s </w:t>
      </w:r>
      <w:r>
        <w:rPr>
          <w:rFonts w:ascii="Arial" w:hAnsi="Arial" w:cs="Arial"/>
          <w:b/>
          <w:sz w:val="24"/>
          <w:szCs w:val="24"/>
        </w:rPr>
        <w:t>financial integrity in jeopardy?</w:t>
      </w:r>
    </w:p>
    <w:p w14:paraId="63449153" w14:textId="57888DA4" w:rsidR="00D212AF" w:rsidRDefault="00150808" w:rsidP="00150808">
      <w:pPr>
        <w:pStyle w:val="BodyText"/>
        <w:spacing w:line="480" w:lineRule="auto"/>
        <w:ind w:left="72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No.</w:t>
      </w:r>
      <w:r w:rsidR="00D212AF">
        <w:rPr>
          <w:rFonts w:ascii="Arial" w:hAnsi="Arial" w:cs="Arial"/>
          <w:sz w:val="24"/>
          <w:szCs w:val="24"/>
        </w:rPr>
        <w:t xml:space="preserve">  After transferring its generating assets, it looks like DP&amp;L is doing just fine.</w:t>
      </w:r>
    </w:p>
    <w:p w14:paraId="3B735060" w14:textId="5D788339" w:rsidR="005653B5" w:rsidRDefault="00150808" w:rsidP="00F6496B">
      <w:pPr>
        <w:pStyle w:val="BodyText"/>
        <w:spacing w:line="480" w:lineRule="auto"/>
        <w:ind w:left="720"/>
        <w:jc w:val="both"/>
        <w:rPr>
          <w:rFonts w:ascii="Arial" w:hAnsi="Arial" w:cs="Arial"/>
          <w:sz w:val="24"/>
          <w:szCs w:val="24"/>
        </w:rPr>
      </w:pPr>
      <w:r>
        <w:rPr>
          <w:rFonts w:ascii="Arial" w:hAnsi="Arial" w:cs="Arial"/>
          <w:sz w:val="24"/>
          <w:szCs w:val="24"/>
        </w:rPr>
        <w:t xml:space="preserve">DP&amp;L recently recommended a stipulation to the Commission in its distribution rate case.  By its own admission, the stipulation will </w:t>
      </w:r>
      <w:r w:rsidRPr="009D45DD">
        <w:rPr>
          <w:rFonts w:ascii="Arial" w:hAnsi="Arial" w:cs="Arial"/>
          <w:sz w:val="24"/>
          <w:szCs w:val="24"/>
        </w:rPr>
        <w:t>enable</w:t>
      </w:r>
      <w:r>
        <w:rPr>
          <w:rFonts w:ascii="Arial" w:hAnsi="Arial" w:cs="Arial"/>
          <w:sz w:val="24"/>
          <w:szCs w:val="24"/>
        </w:rPr>
        <w:t xml:space="preserve"> </w:t>
      </w:r>
      <w:r w:rsidRPr="009D45DD">
        <w:rPr>
          <w:rFonts w:ascii="Arial" w:hAnsi="Arial" w:cs="Arial"/>
          <w:sz w:val="24"/>
          <w:szCs w:val="24"/>
        </w:rPr>
        <w:t>DP&amp;L to continue to provide safe and reliable service by promoting its financial condition by implementing just and reasonable rates, which will support DP&amp;L's ability to meet and maintain operational needs;</w:t>
      </w:r>
      <w:r w:rsidR="00227F7B">
        <w:rPr>
          <w:rFonts w:ascii="Arial" w:hAnsi="Arial" w:cs="Arial"/>
          <w:sz w:val="24"/>
          <w:szCs w:val="24"/>
        </w:rPr>
        <w:t xml:space="preserve"> </w:t>
      </w:r>
      <w:r w:rsidRPr="009D45DD">
        <w:rPr>
          <w:rFonts w:ascii="Arial" w:hAnsi="Arial" w:cs="Arial"/>
          <w:sz w:val="24"/>
          <w:szCs w:val="24"/>
        </w:rPr>
        <w:t>facilitate incremental distribution system investments; improve reliability by authorizing a deferral for future recovery of certain annual expenses for vegetation management; begin to</w:t>
      </w:r>
      <w:r>
        <w:rPr>
          <w:rFonts w:ascii="Arial" w:hAnsi="Arial" w:cs="Arial"/>
          <w:sz w:val="24"/>
          <w:szCs w:val="24"/>
        </w:rPr>
        <w:t xml:space="preserve"> </w:t>
      </w:r>
      <w:r w:rsidRPr="009D45DD">
        <w:rPr>
          <w:rFonts w:ascii="Arial" w:hAnsi="Arial" w:cs="Arial"/>
          <w:sz w:val="24"/>
          <w:szCs w:val="24"/>
        </w:rPr>
        <w:t xml:space="preserve">implement the lowered federal income tax rate of the </w:t>
      </w:r>
      <w:r w:rsidR="007D25F4">
        <w:rPr>
          <w:rFonts w:ascii="Arial" w:hAnsi="Arial" w:cs="Arial"/>
          <w:sz w:val="24"/>
          <w:szCs w:val="24"/>
        </w:rPr>
        <w:t>Tax Cuts and Jobs Act (</w:t>
      </w:r>
      <w:r w:rsidRPr="009D45DD">
        <w:rPr>
          <w:rFonts w:ascii="Arial" w:hAnsi="Arial" w:cs="Arial"/>
          <w:sz w:val="24"/>
          <w:szCs w:val="24"/>
        </w:rPr>
        <w:t>TCJA</w:t>
      </w:r>
      <w:r w:rsidR="007D25F4">
        <w:rPr>
          <w:rFonts w:ascii="Arial" w:hAnsi="Arial" w:cs="Arial"/>
          <w:sz w:val="24"/>
          <w:szCs w:val="24"/>
        </w:rPr>
        <w:t>)</w:t>
      </w:r>
      <w:r w:rsidRPr="009D45DD">
        <w:rPr>
          <w:rFonts w:ascii="Arial" w:hAnsi="Arial" w:cs="Arial"/>
          <w:sz w:val="24"/>
          <w:szCs w:val="24"/>
        </w:rPr>
        <w:t xml:space="preserve"> and establish a framework for returning benefits resulting from the TCJA to customers</w:t>
      </w:r>
      <w:r>
        <w:rPr>
          <w:rFonts w:ascii="Arial" w:hAnsi="Arial" w:cs="Arial"/>
          <w:sz w:val="24"/>
          <w:szCs w:val="24"/>
        </w:rPr>
        <w:t>.</w:t>
      </w:r>
      <w:r>
        <w:rPr>
          <w:rStyle w:val="FootnoteReference"/>
          <w:rFonts w:ascii="Arial" w:hAnsi="Arial" w:cs="Arial"/>
          <w:sz w:val="24"/>
          <w:szCs w:val="24"/>
        </w:rPr>
        <w:footnoteReference w:id="19"/>
      </w:r>
      <w:r>
        <w:rPr>
          <w:rFonts w:ascii="Arial" w:hAnsi="Arial" w:cs="Arial"/>
          <w:sz w:val="24"/>
          <w:szCs w:val="24"/>
        </w:rPr>
        <w:t xml:space="preserve">  </w:t>
      </w:r>
      <w:r w:rsidR="00D212AF">
        <w:rPr>
          <w:rFonts w:ascii="Arial" w:hAnsi="Arial" w:cs="Arial"/>
          <w:sz w:val="24"/>
          <w:szCs w:val="24"/>
        </w:rPr>
        <w:t xml:space="preserve">The </w:t>
      </w:r>
      <w:r>
        <w:rPr>
          <w:rFonts w:ascii="Arial" w:hAnsi="Arial" w:cs="Arial"/>
          <w:sz w:val="24"/>
          <w:szCs w:val="24"/>
        </w:rPr>
        <w:t>Commission accepted the recommendation and authorized DP&amp;L the opportunity to earn approximately $46.</w:t>
      </w:r>
      <w:r w:rsidRPr="00971809">
        <w:rPr>
          <w:rFonts w:ascii="Arial" w:hAnsi="Arial" w:cs="Arial"/>
          <w:sz w:val="24"/>
          <w:szCs w:val="24"/>
        </w:rPr>
        <w:t xml:space="preserve">784 million of operating income which represents a 7.27% return on </w:t>
      </w:r>
      <w:r w:rsidRPr="00971809">
        <w:rPr>
          <w:rFonts w:ascii="Arial" w:hAnsi="Arial" w:cs="Arial"/>
          <w:sz w:val="24"/>
          <w:szCs w:val="24"/>
        </w:rPr>
        <w:lastRenderedPageBreak/>
        <w:t xml:space="preserve">distribution rate </w:t>
      </w:r>
      <w:r w:rsidRPr="00A23929">
        <w:rPr>
          <w:rFonts w:ascii="Arial" w:hAnsi="Arial" w:cs="Arial"/>
          <w:sz w:val="24"/>
          <w:szCs w:val="24"/>
        </w:rPr>
        <w:t>base.</w:t>
      </w:r>
      <w:r w:rsidR="005653B5" w:rsidRPr="00A23929">
        <w:rPr>
          <w:rFonts w:ascii="Arial" w:hAnsi="Arial" w:cs="Arial"/>
          <w:sz w:val="24"/>
          <w:szCs w:val="24"/>
        </w:rPr>
        <w:t xml:space="preserve">  This operating income was established based upon a hypothetical capital structure, which incorporated a </w:t>
      </w:r>
      <w:r w:rsidR="00A23929" w:rsidRPr="00A23929">
        <w:rPr>
          <w:rFonts w:ascii="Arial" w:hAnsi="Arial" w:cs="Arial"/>
          <w:sz w:val="24"/>
          <w:szCs w:val="24"/>
        </w:rPr>
        <w:t xml:space="preserve">debt to equity ratio of </w:t>
      </w:r>
      <w:r w:rsidR="005653B5" w:rsidRPr="00A23929">
        <w:rPr>
          <w:rFonts w:ascii="Arial" w:hAnsi="Arial" w:cs="Arial"/>
          <w:sz w:val="24"/>
          <w:szCs w:val="24"/>
        </w:rPr>
        <w:t>5</w:t>
      </w:r>
      <w:r w:rsidR="00A23929" w:rsidRPr="00A23929">
        <w:rPr>
          <w:rFonts w:ascii="Arial" w:hAnsi="Arial" w:cs="Arial"/>
          <w:sz w:val="24"/>
          <w:szCs w:val="24"/>
        </w:rPr>
        <w:t>2</w:t>
      </w:r>
      <w:r w:rsidR="005653B5" w:rsidRPr="00A23929">
        <w:rPr>
          <w:rFonts w:ascii="Arial" w:hAnsi="Arial" w:cs="Arial"/>
          <w:sz w:val="24"/>
          <w:szCs w:val="24"/>
        </w:rPr>
        <w:t>/</w:t>
      </w:r>
      <w:r w:rsidR="00A23929" w:rsidRPr="00A23929">
        <w:rPr>
          <w:rFonts w:ascii="Arial" w:hAnsi="Arial" w:cs="Arial"/>
          <w:sz w:val="24"/>
          <w:szCs w:val="24"/>
        </w:rPr>
        <w:t>48</w:t>
      </w:r>
      <w:r w:rsidR="005653B5" w:rsidRPr="00A23929">
        <w:rPr>
          <w:rFonts w:ascii="Arial" w:hAnsi="Arial" w:cs="Arial"/>
          <w:sz w:val="24"/>
          <w:szCs w:val="24"/>
        </w:rPr>
        <w:t xml:space="preserve">, even though DP&amp;L’s equity structure was and remains below that level.  </w:t>
      </w:r>
      <w:r w:rsidR="00200210">
        <w:rPr>
          <w:rFonts w:ascii="Arial" w:hAnsi="Arial" w:cs="Arial"/>
          <w:sz w:val="24"/>
          <w:szCs w:val="24"/>
        </w:rPr>
        <w:t>The 2017 debt/equity ratio is approximately 66/34</w:t>
      </w:r>
      <w:r w:rsidR="001471FC">
        <w:rPr>
          <w:rFonts w:ascii="Arial" w:hAnsi="Arial" w:cs="Arial"/>
          <w:sz w:val="24"/>
          <w:szCs w:val="24"/>
        </w:rPr>
        <w:t>.</w:t>
      </w:r>
      <w:r w:rsidR="00D52B4E">
        <w:rPr>
          <w:rStyle w:val="FootnoteReference"/>
          <w:rFonts w:ascii="Arial" w:hAnsi="Arial" w:cs="Arial"/>
          <w:sz w:val="24"/>
          <w:szCs w:val="24"/>
        </w:rPr>
        <w:footnoteReference w:id="20"/>
      </w:r>
      <w:r w:rsidR="00200210">
        <w:rPr>
          <w:rFonts w:ascii="Arial" w:hAnsi="Arial" w:cs="Arial"/>
          <w:sz w:val="24"/>
          <w:szCs w:val="24"/>
        </w:rPr>
        <w:t xml:space="preserve">  </w:t>
      </w:r>
      <w:r w:rsidR="005653B5" w:rsidRPr="00A23929">
        <w:rPr>
          <w:rFonts w:ascii="Arial" w:hAnsi="Arial" w:cs="Arial"/>
          <w:sz w:val="24"/>
          <w:szCs w:val="24"/>
        </w:rPr>
        <w:t xml:space="preserve">Given that equity has a higher </w:t>
      </w:r>
      <w:r w:rsidR="00A23929" w:rsidRPr="00A23929">
        <w:rPr>
          <w:rFonts w:ascii="Arial" w:hAnsi="Arial" w:cs="Arial"/>
          <w:sz w:val="24"/>
          <w:szCs w:val="24"/>
        </w:rPr>
        <w:t>authorized rate of return</w:t>
      </w:r>
      <w:r w:rsidR="005653B5" w:rsidRPr="00A23929">
        <w:rPr>
          <w:rFonts w:ascii="Arial" w:hAnsi="Arial" w:cs="Arial"/>
          <w:sz w:val="24"/>
          <w:szCs w:val="24"/>
        </w:rPr>
        <w:t>, the rate of return authorized in the distribution rate case is inflated.</w:t>
      </w:r>
      <w:r w:rsidRPr="00971809">
        <w:rPr>
          <w:rFonts w:ascii="Arial" w:hAnsi="Arial" w:cs="Arial"/>
          <w:sz w:val="24"/>
          <w:szCs w:val="24"/>
        </w:rPr>
        <w:t xml:space="preserve">  </w:t>
      </w:r>
    </w:p>
    <w:p w14:paraId="5695822A" w14:textId="425A34C3" w:rsidR="005653B5" w:rsidRPr="00A23929" w:rsidRDefault="005653B5" w:rsidP="00F6496B">
      <w:pPr>
        <w:pStyle w:val="BodyText"/>
        <w:spacing w:line="480" w:lineRule="auto"/>
        <w:ind w:left="720"/>
        <w:jc w:val="both"/>
        <w:rPr>
          <w:rFonts w:ascii="Arial" w:hAnsi="Arial" w:cs="Arial"/>
          <w:b/>
          <w:sz w:val="24"/>
          <w:szCs w:val="24"/>
        </w:rPr>
      </w:pPr>
      <w:r>
        <w:rPr>
          <w:rFonts w:ascii="Arial" w:hAnsi="Arial" w:cs="Arial"/>
          <w:b/>
          <w:sz w:val="24"/>
          <w:szCs w:val="24"/>
        </w:rPr>
        <w:t>Can DP&amp;L meet its interest obligations based upon its existing distribution and transmission revenues?</w:t>
      </w:r>
    </w:p>
    <w:p w14:paraId="1B876E84" w14:textId="745BD725" w:rsidR="00150808" w:rsidRPr="00971809" w:rsidRDefault="00150808" w:rsidP="00A23929">
      <w:pPr>
        <w:pStyle w:val="BodyText"/>
        <w:spacing w:line="480" w:lineRule="auto"/>
        <w:ind w:left="720"/>
        <w:jc w:val="both"/>
        <w:rPr>
          <w:rFonts w:ascii="Arial" w:hAnsi="Arial" w:cs="Arial"/>
          <w:sz w:val="24"/>
          <w:szCs w:val="24"/>
        </w:rPr>
      </w:pPr>
      <w:r w:rsidRPr="00971809">
        <w:rPr>
          <w:rFonts w:ascii="Arial" w:hAnsi="Arial" w:cs="Arial"/>
          <w:sz w:val="24"/>
          <w:szCs w:val="24"/>
        </w:rPr>
        <w:t>DP&amp;L’s annual debt interest obligations for 2017 were approximately $</w:t>
      </w:r>
      <w:r w:rsidR="00C7515D" w:rsidRPr="00971809">
        <w:rPr>
          <w:rFonts w:ascii="Arial" w:hAnsi="Arial" w:cs="Arial"/>
          <w:sz w:val="24"/>
          <w:szCs w:val="24"/>
        </w:rPr>
        <w:t xml:space="preserve">30 </w:t>
      </w:r>
      <w:r w:rsidRPr="00971809">
        <w:rPr>
          <w:rFonts w:ascii="Arial" w:hAnsi="Arial" w:cs="Arial"/>
          <w:sz w:val="24"/>
          <w:szCs w:val="24"/>
        </w:rPr>
        <w:t>million</w:t>
      </w:r>
      <w:r w:rsidRPr="00971809">
        <w:rPr>
          <w:rStyle w:val="FootnoteReference"/>
          <w:rFonts w:ascii="Arial" w:hAnsi="Arial" w:cs="Arial"/>
          <w:sz w:val="24"/>
          <w:szCs w:val="24"/>
        </w:rPr>
        <w:footnoteReference w:id="21"/>
      </w:r>
      <w:r w:rsidRPr="00971809">
        <w:rPr>
          <w:rFonts w:ascii="Arial" w:hAnsi="Arial" w:cs="Arial"/>
          <w:sz w:val="24"/>
          <w:szCs w:val="24"/>
        </w:rPr>
        <w:t xml:space="preserve"> which are more than paid for by its distribution earnings</w:t>
      </w:r>
      <w:r w:rsidR="00A765BE">
        <w:rPr>
          <w:rFonts w:ascii="Arial" w:hAnsi="Arial" w:cs="Arial"/>
          <w:sz w:val="24"/>
          <w:szCs w:val="24"/>
        </w:rPr>
        <w:t>.</w:t>
      </w:r>
      <w:r w:rsidRPr="00971809">
        <w:rPr>
          <w:rFonts w:ascii="Arial" w:hAnsi="Arial" w:cs="Arial"/>
          <w:sz w:val="24"/>
          <w:szCs w:val="24"/>
        </w:rPr>
        <w:t xml:space="preserve"> </w:t>
      </w:r>
      <w:r w:rsidR="007D25F4">
        <w:rPr>
          <w:rFonts w:ascii="Arial" w:hAnsi="Arial" w:cs="Arial"/>
          <w:sz w:val="24"/>
          <w:szCs w:val="24"/>
        </w:rPr>
        <w:t xml:space="preserve">That is </w:t>
      </w:r>
      <w:r w:rsidRPr="00971809">
        <w:rPr>
          <w:rFonts w:ascii="Arial" w:hAnsi="Arial" w:cs="Arial"/>
          <w:sz w:val="24"/>
          <w:szCs w:val="24"/>
        </w:rPr>
        <w:t xml:space="preserve">without considering the additional </w:t>
      </w:r>
      <w:r w:rsidR="00CE64D6" w:rsidRPr="00971809">
        <w:rPr>
          <w:rFonts w:ascii="Arial" w:hAnsi="Arial" w:cs="Arial"/>
          <w:sz w:val="24"/>
          <w:szCs w:val="24"/>
        </w:rPr>
        <w:t>earnings</w:t>
      </w:r>
      <w:r w:rsidRPr="00971809">
        <w:rPr>
          <w:rFonts w:ascii="Arial" w:hAnsi="Arial" w:cs="Arial"/>
          <w:sz w:val="24"/>
          <w:szCs w:val="24"/>
        </w:rPr>
        <w:t xml:space="preserve"> that DP&amp;L will recover through its distribution riders</w:t>
      </w:r>
      <w:r w:rsidR="00A23929">
        <w:rPr>
          <w:rFonts w:ascii="Arial" w:hAnsi="Arial" w:cs="Arial"/>
          <w:sz w:val="24"/>
          <w:szCs w:val="24"/>
        </w:rPr>
        <w:t xml:space="preserve"> including</w:t>
      </w:r>
      <w:r w:rsidR="00D212AF">
        <w:rPr>
          <w:rFonts w:ascii="Arial" w:hAnsi="Arial" w:cs="Arial"/>
          <w:sz w:val="24"/>
          <w:szCs w:val="24"/>
        </w:rPr>
        <w:t xml:space="preserve"> the potential for $7 million per year after tax in energy efficiency program shared savings,</w:t>
      </w:r>
      <w:r w:rsidR="00D212AF">
        <w:rPr>
          <w:rStyle w:val="FootnoteReference"/>
          <w:rFonts w:ascii="Arial" w:hAnsi="Arial" w:cs="Arial"/>
          <w:sz w:val="24"/>
          <w:szCs w:val="24"/>
        </w:rPr>
        <w:footnoteReference w:id="22"/>
      </w:r>
      <w:r w:rsidRPr="00971809">
        <w:rPr>
          <w:rFonts w:ascii="Arial" w:hAnsi="Arial" w:cs="Arial"/>
          <w:sz w:val="24"/>
          <w:szCs w:val="24"/>
        </w:rPr>
        <w:t xml:space="preserve"> and its federally authorized transmission rates.</w:t>
      </w:r>
    </w:p>
    <w:p w14:paraId="20F17866" w14:textId="1F9CE37B" w:rsidR="00070BBE" w:rsidRPr="00A23929" w:rsidRDefault="00070BBE" w:rsidP="00150808">
      <w:pPr>
        <w:pStyle w:val="BodyText"/>
        <w:spacing w:line="480" w:lineRule="auto"/>
        <w:ind w:left="720" w:hanging="720"/>
        <w:jc w:val="both"/>
        <w:rPr>
          <w:rFonts w:ascii="Arial" w:hAnsi="Arial" w:cs="Arial"/>
          <w:b/>
          <w:sz w:val="24"/>
          <w:szCs w:val="24"/>
        </w:rPr>
      </w:pPr>
      <w:r w:rsidRPr="00D52B4E">
        <w:rPr>
          <w:rFonts w:ascii="Arial" w:hAnsi="Arial" w:cs="Arial"/>
          <w:b/>
          <w:sz w:val="24"/>
          <w:szCs w:val="24"/>
        </w:rPr>
        <w:t>Q.</w:t>
      </w:r>
      <w:r>
        <w:rPr>
          <w:rFonts w:ascii="Arial" w:hAnsi="Arial" w:cs="Arial"/>
          <w:sz w:val="24"/>
          <w:szCs w:val="24"/>
        </w:rPr>
        <w:tab/>
      </w:r>
      <w:r w:rsidR="00261AAE" w:rsidRPr="00A23929">
        <w:rPr>
          <w:rFonts w:ascii="Arial" w:hAnsi="Arial" w:cs="Arial"/>
          <w:b/>
          <w:sz w:val="24"/>
          <w:szCs w:val="24"/>
        </w:rPr>
        <w:t>Did DP&amp;L provide any financial information in this case to indicate that DP&amp;L is not under any financial stress?</w:t>
      </w:r>
    </w:p>
    <w:p w14:paraId="1EE8DFA1" w14:textId="0DCFDDE8" w:rsidR="00BA4502" w:rsidRDefault="00BA4502" w:rsidP="007D25F4">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130C5A" w:rsidRPr="00D52B4E">
        <w:rPr>
          <w:rFonts w:ascii="Arial" w:hAnsi="Arial" w:cs="Arial"/>
          <w:sz w:val="24"/>
          <w:szCs w:val="24"/>
          <w:highlight w:val="yellow"/>
        </w:rPr>
        <w:t xml:space="preserve">Yes.  Based on DP&amp;L’s estimates of </w:t>
      </w:r>
      <w:r w:rsidR="00827D0B" w:rsidRPr="00D52B4E">
        <w:rPr>
          <w:rFonts w:ascii="Arial" w:hAnsi="Arial" w:cs="Arial"/>
          <w:sz w:val="24"/>
          <w:szCs w:val="24"/>
          <w:highlight w:val="yellow"/>
        </w:rPr>
        <w:t xml:space="preserve">operating </w:t>
      </w:r>
      <w:r w:rsidR="00130C5A" w:rsidRPr="00D52B4E">
        <w:rPr>
          <w:rFonts w:ascii="Arial" w:hAnsi="Arial" w:cs="Arial"/>
          <w:sz w:val="24"/>
          <w:szCs w:val="24"/>
          <w:highlight w:val="yellow"/>
        </w:rPr>
        <w:t>income, depreciation expense and interest, DP&amp;L sho</w:t>
      </w:r>
      <w:r w:rsidR="00827D0B" w:rsidRPr="00D52B4E">
        <w:rPr>
          <w:rFonts w:ascii="Arial" w:hAnsi="Arial" w:cs="Arial"/>
          <w:sz w:val="24"/>
          <w:szCs w:val="24"/>
          <w:highlight w:val="yellow"/>
        </w:rPr>
        <w:t xml:space="preserve">uld be able to </w:t>
      </w:r>
      <w:r w:rsidR="00130C5A" w:rsidRPr="00D52B4E">
        <w:rPr>
          <w:rFonts w:ascii="Arial" w:hAnsi="Arial" w:cs="Arial"/>
          <w:sz w:val="24"/>
          <w:szCs w:val="24"/>
          <w:highlight w:val="yellow"/>
        </w:rPr>
        <w:t>fund its projected capital expenditures</w:t>
      </w:r>
      <w:r w:rsidR="00F746A8" w:rsidRPr="00D52B4E">
        <w:rPr>
          <w:rStyle w:val="FootnoteReference"/>
          <w:rFonts w:ascii="Arial" w:hAnsi="Arial" w:cs="Arial"/>
          <w:sz w:val="24"/>
          <w:szCs w:val="24"/>
          <w:highlight w:val="yellow"/>
        </w:rPr>
        <w:footnoteReference w:id="23"/>
      </w:r>
      <w:r w:rsidR="00381F9B" w:rsidRPr="00D52B4E">
        <w:rPr>
          <w:rFonts w:ascii="Arial" w:hAnsi="Arial" w:cs="Arial"/>
          <w:sz w:val="24"/>
          <w:szCs w:val="24"/>
          <w:highlight w:val="yellow"/>
        </w:rPr>
        <w:t xml:space="preserve">.  </w:t>
      </w:r>
      <w:r w:rsidR="00827D0B" w:rsidRPr="00D52B4E">
        <w:rPr>
          <w:rFonts w:ascii="Arial" w:hAnsi="Arial" w:cs="Arial"/>
          <w:sz w:val="24"/>
          <w:szCs w:val="24"/>
          <w:highlight w:val="yellow"/>
        </w:rPr>
        <w:t xml:space="preserve">The projected earnings plus the projected recovery of depreciation expense will provide </w:t>
      </w:r>
      <w:r w:rsidR="00827D0B" w:rsidRPr="00D52B4E">
        <w:rPr>
          <w:rFonts w:ascii="Arial" w:hAnsi="Arial" w:cs="Arial"/>
          <w:sz w:val="24"/>
          <w:szCs w:val="24"/>
          <w:highlight w:val="yellow"/>
        </w:rPr>
        <w:lastRenderedPageBreak/>
        <w:t>enough funds to pay its interest expense and fund its capital expenditures.  I have provided that calculation on my Exhibit JEH 1</w:t>
      </w:r>
      <w:r w:rsidR="00924E4D">
        <w:rPr>
          <w:rFonts w:ascii="Arial" w:hAnsi="Arial" w:cs="Arial"/>
          <w:sz w:val="24"/>
          <w:szCs w:val="24"/>
          <w:highlight w:val="yellow"/>
        </w:rPr>
        <w:t>1</w:t>
      </w:r>
      <w:r w:rsidR="00827D0B" w:rsidRPr="00D52B4E">
        <w:rPr>
          <w:rFonts w:ascii="Arial" w:hAnsi="Arial" w:cs="Arial"/>
          <w:sz w:val="24"/>
          <w:szCs w:val="24"/>
          <w:highlight w:val="yellow"/>
        </w:rPr>
        <w:t xml:space="preserve"> which is attached to this testimony</w:t>
      </w:r>
      <w:r w:rsidR="007D25F4" w:rsidRPr="00D52B4E">
        <w:rPr>
          <w:rFonts w:ascii="Arial" w:hAnsi="Arial" w:cs="Arial"/>
          <w:sz w:val="24"/>
          <w:szCs w:val="24"/>
          <w:highlight w:val="yellow"/>
        </w:rPr>
        <w:t xml:space="preserve"> and it is summarized below</w:t>
      </w:r>
      <w:r w:rsidR="00827D0B" w:rsidRPr="00D52B4E">
        <w:rPr>
          <w:rFonts w:ascii="Arial" w:hAnsi="Arial" w:cs="Arial"/>
          <w:sz w:val="24"/>
          <w:szCs w:val="24"/>
          <w:highlight w:val="yellow"/>
        </w:rPr>
        <w:t>.</w:t>
      </w:r>
    </w:p>
    <w:p w14:paraId="19A96B94" w14:textId="2B8D3272" w:rsidR="005653B5" w:rsidRDefault="005653B5" w:rsidP="007D25F4">
      <w:pPr>
        <w:pStyle w:val="BodyText"/>
        <w:spacing w:line="480" w:lineRule="auto"/>
        <w:ind w:left="720" w:hanging="720"/>
        <w:jc w:val="center"/>
        <w:rPr>
          <w:rFonts w:ascii="Arial" w:hAnsi="Arial" w:cs="Arial"/>
          <w:sz w:val="24"/>
          <w:szCs w:val="24"/>
        </w:rPr>
      </w:pPr>
      <w:r w:rsidRPr="001471FC">
        <w:rPr>
          <w:noProof/>
          <w:highlight w:val="yellow"/>
        </w:rPr>
        <w:drawing>
          <wp:inline distT="0" distB="0" distL="0" distR="0" wp14:anchorId="341612ED" wp14:editId="00F84421">
            <wp:extent cx="5781675" cy="106292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7952" cy="1075113"/>
                    </a:xfrm>
                    <a:prstGeom prst="rect">
                      <a:avLst/>
                    </a:prstGeom>
                    <a:noFill/>
                    <a:ln>
                      <a:noFill/>
                    </a:ln>
                  </pic:spPr>
                </pic:pic>
              </a:graphicData>
            </a:graphic>
          </wp:inline>
        </w:drawing>
      </w:r>
    </w:p>
    <w:p w14:paraId="60890F04" w14:textId="2F57643B" w:rsidR="007D25F4" w:rsidRDefault="007D25F4" w:rsidP="007D25F4">
      <w:pPr>
        <w:pStyle w:val="BodyText"/>
        <w:spacing w:line="480" w:lineRule="auto"/>
        <w:ind w:left="720" w:hanging="720"/>
        <w:jc w:val="both"/>
        <w:rPr>
          <w:rFonts w:ascii="Arial" w:hAnsi="Arial" w:cs="Arial"/>
          <w:sz w:val="24"/>
          <w:szCs w:val="24"/>
        </w:rPr>
      </w:pPr>
      <w:r>
        <w:rPr>
          <w:rFonts w:ascii="Arial" w:hAnsi="Arial" w:cs="Arial"/>
          <w:sz w:val="24"/>
          <w:szCs w:val="24"/>
        </w:rPr>
        <w:tab/>
      </w:r>
      <w:r w:rsidR="00E84902" w:rsidRPr="001471FC">
        <w:rPr>
          <w:rFonts w:ascii="Arial" w:hAnsi="Arial" w:cs="Arial"/>
          <w:sz w:val="24"/>
          <w:szCs w:val="24"/>
          <w:highlight w:val="yellow"/>
        </w:rPr>
        <w:t>Thus, the DMR is not needed to ensure that DP&amp;L can service its debt or fund projected capital expenditures.</w:t>
      </w:r>
    </w:p>
    <w:p w14:paraId="46ACEE0B" w14:textId="3B8A155B" w:rsidR="007D25F4" w:rsidRPr="00DF1E3A" w:rsidRDefault="007D25F4" w:rsidP="007D25F4">
      <w:pPr>
        <w:pStyle w:val="BodyText"/>
        <w:spacing w:line="480" w:lineRule="auto"/>
        <w:ind w:left="720" w:hanging="720"/>
        <w:jc w:val="both"/>
        <w:rPr>
          <w:rFonts w:ascii="Arial" w:hAnsi="Arial" w:cs="Arial"/>
          <w:b/>
          <w:sz w:val="24"/>
          <w:szCs w:val="24"/>
        </w:rPr>
      </w:pPr>
      <w:r w:rsidRPr="00DF1E3A">
        <w:rPr>
          <w:rFonts w:ascii="Arial" w:hAnsi="Arial" w:cs="Arial"/>
          <w:b/>
          <w:sz w:val="24"/>
          <w:szCs w:val="24"/>
        </w:rPr>
        <w:t>Q.</w:t>
      </w:r>
      <w:r w:rsidRPr="00DF1E3A">
        <w:rPr>
          <w:rFonts w:ascii="Arial" w:hAnsi="Arial" w:cs="Arial"/>
          <w:b/>
          <w:sz w:val="24"/>
          <w:szCs w:val="24"/>
        </w:rPr>
        <w:tab/>
      </w:r>
      <w:r w:rsidR="00277D70" w:rsidRPr="00DF1E3A">
        <w:rPr>
          <w:rFonts w:ascii="Arial" w:hAnsi="Arial" w:cs="Arial"/>
          <w:b/>
          <w:sz w:val="24"/>
          <w:szCs w:val="24"/>
        </w:rPr>
        <w:t>Is there rate relief available for DP&amp;L if their financial situation becomes a problem and they are not able to either satisfy their debt requirements or fund their required capital expenditures?</w:t>
      </w:r>
    </w:p>
    <w:p w14:paraId="3B620A91" w14:textId="5D246ECA" w:rsidR="00277D70" w:rsidRPr="00DF1E3A" w:rsidRDefault="00277D70" w:rsidP="007D25F4">
      <w:pPr>
        <w:pStyle w:val="BodyText"/>
        <w:spacing w:line="480" w:lineRule="auto"/>
        <w:ind w:left="720" w:hanging="720"/>
        <w:jc w:val="both"/>
        <w:rPr>
          <w:rFonts w:ascii="Arial" w:hAnsi="Arial" w:cs="Arial"/>
          <w:sz w:val="24"/>
          <w:szCs w:val="24"/>
        </w:rPr>
      </w:pPr>
      <w:r w:rsidRPr="00DF1E3A">
        <w:rPr>
          <w:rFonts w:ascii="Arial" w:hAnsi="Arial" w:cs="Arial"/>
          <w:sz w:val="24"/>
          <w:szCs w:val="24"/>
        </w:rPr>
        <w:t>A.</w:t>
      </w:r>
      <w:r w:rsidRPr="00DF1E3A">
        <w:rPr>
          <w:rFonts w:ascii="Arial" w:hAnsi="Arial" w:cs="Arial"/>
          <w:sz w:val="24"/>
          <w:szCs w:val="24"/>
        </w:rPr>
        <w:tab/>
      </w:r>
      <w:r w:rsidR="00FC2704" w:rsidRPr="00DF1E3A">
        <w:rPr>
          <w:rFonts w:ascii="Arial" w:hAnsi="Arial" w:cs="Arial"/>
          <w:sz w:val="24"/>
          <w:szCs w:val="24"/>
        </w:rPr>
        <w:t>Yes.  An EDU can file a base rate case or a rider case with the Commission seeking relief from cost increases at any time.  If the regulatory lag or statutory restrictions (</w:t>
      </w:r>
      <w:r w:rsidR="002D6841" w:rsidRPr="00DF1E3A">
        <w:rPr>
          <w:rFonts w:ascii="Arial" w:hAnsi="Arial" w:cs="Arial"/>
          <w:sz w:val="24"/>
          <w:szCs w:val="24"/>
        </w:rPr>
        <w:t>unable to file until a final order has been issued by the commission on any pending prior application or until two hundred seventy-five days after filing such application, whichever is sooner</w:t>
      </w:r>
      <w:r w:rsidR="00FC2704" w:rsidRPr="00DF1E3A">
        <w:rPr>
          <w:rFonts w:ascii="Arial" w:hAnsi="Arial" w:cs="Arial"/>
          <w:sz w:val="24"/>
          <w:szCs w:val="24"/>
        </w:rPr>
        <w:t xml:space="preserve">) </w:t>
      </w:r>
      <w:r w:rsidR="002D6841" w:rsidRPr="00DF1E3A">
        <w:rPr>
          <w:rFonts w:ascii="Arial" w:hAnsi="Arial" w:cs="Arial"/>
          <w:sz w:val="24"/>
          <w:szCs w:val="24"/>
        </w:rPr>
        <w:t>aren’t timely enough to satisfy the financial problems of the EDU, it can f</w:t>
      </w:r>
      <w:r w:rsidR="00AD2426" w:rsidRPr="00DF1E3A">
        <w:rPr>
          <w:rFonts w:ascii="Arial" w:hAnsi="Arial" w:cs="Arial"/>
          <w:sz w:val="24"/>
          <w:szCs w:val="24"/>
        </w:rPr>
        <w:t xml:space="preserve">ile for emergency rate relief and the Commission may temporarily alter, amend, or, with the consent of the public utility concerned, suspend any existing rates, schedules, or order relating to or affecting any public utility or part of any public utility in this state. The emergency rates take effect at such time and remain in force for such length of time as the commission prescribes.  </w:t>
      </w:r>
      <w:r w:rsidR="00AD2426" w:rsidRPr="00DF1E3A">
        <w:rPr>
          <w:rFonts w:ascii="Arial" w:hAnsi="Arial" w:cs="Arial"/>
          <w:sz w:val="24"/>
          <w:szCs w:val="24"/>
        </w:rPr>
        <w:lastRenderedPageBreak/>
        <w:t xml:space="preserve">The EDU can also file a request to defer costs (Application to change an accounting method, or AAM) for recovery of those costs </w:t>
      </w:r>
      <w:r w:rsidR="00A70303" w:rsidRPr="00DF1E3A">
        <w:rPr>
          <w:rFonts w:ascii="Arial" w:hAnsi="Arial" w:cs="Arial"/>
          <w:sz w:val="24"/>
          <w:szCs w:val="24"/>
        </w:rPr>
        <w:t xml:space="preserve">during a </w:t>
      </w:r>
      <w:r w:rsidR="00AD2426" w:rsidRPr="00DF1E3A">
        <w:rPr>
          <w:rFonts w:ascii="Arial" w:hAnsi="Arial" w:cs="Arial"/>
          <w:sz w:val="24"/>
          <w:szCs w:val="24"/>
        </w:rPr>
        <w:t xml:space="preserve">later </w:t>
      </w:r>
      <w:r w:rsidR="00A70303" w:rsidRPr="00DF1E3A">
        <w:rPr>
          <w:rFonts w:ascii="Arial" w:hAnsi="Arial" w:cs="Arial"/>
          <w:sz w:val="24"/>
          <w:szCs w:val="24"/>
        </w:rPr>
        <w:t>period</w:t>
      </w:r>
      <w:r w:rsidR="00AD2426" w:rsidRPr="00DF1E3A">
        <w:rPr>
          <w:rFonts w:ascii="Arial" w:hAnsi="Arial" w:cs="Arial"/>
          <w:sz w:val="24"/>
          <w:szCs w:val="24"/>
        </w:rPr>
        <w:t>.</w:t>
      </w:r>
    </w:p>
    <w:p w14:paraId="2DD54A3C" w14:textId="12910568" w:rsidR="00483DD2" w:rsidRPr="007D25F4" w:rsidRDefault="008707C7" w:rsidP="007D25F4">
      <w:pPr>
        <w:pStyle w:val="BodyText"/>
        <w:spacing w:line="480" w:lineRule="auto"/>
        <w:ind w:left="720" w:hanging="720"/>
        <w:jc w:val="both"/>
        <w:rPr>
          <w:rFonts w:ascii="Arial" w:hAnsi="Arial" w:cs="Arial"/>
          <w:sz w:val="24"/>
          <w:szCs w:val="24"/>
        </w:rPr>
      </w:pPr>
      <w:r>
        <w:rPr>
          <w:rFonts w:ascii="Arial" w:hAnsi="Arial" w:cs="Arial"/>
          <w:b/>
          <w:sz w:val="24"/>
          <w:szCs w:val="24"/>
        </w:rPr>
        <w:t>VI.</w:t>
      </w:r>
      <w:r>
        <w:rPr>
          <w:rFonts w:ascii="Arial" w:hAnsi="Arial" w:cs="Arial"/>
          <w:b/>
          <w:sz w:val="24"/>
          <w:szCs w:val="24"/>
        </w:rPr>
        <w:tab/>
      </w:r>
      <w:r w:rsidR="00A3071C">
        <w:rPr>
          <w:rFonts w:ascii="Arial" w:hAnsi="Arial" w:cs="Arial"/>
          <w:b/>
          <w:sz w:val="24"/>
          <w:szCs w:val="24"/>
        </w:rPr>
        <w:t>ACCOUNTING</w:t>
      </w:r>
    </w:p>
    <w:p w14:paraId="01EDA4B9" w14:textId="78F0B995" w:rsidR="002C7EC6" w:rsidRPr="002C7EC6" w:rsidRDefault="00483DD2" w:rsidP="002C7EC6">
      <w:pPr>
        <w:pStyle w:val="BodyText"/>
        <w:spacing w:line="480" w:lineRule="auto"/>
        <w:ind w:left="720" w:hanging="720"/>
        <w:jc w:val="both"/>
        <w:rPr>
          <w:rFonts w:ascii="Arial" w:hAnsi="Arial" w:cs="Arial"/>
          <w:b/>
          <w:sz w:val="24"/>
          <w:szCs w:val="24"/>
        </w:rPr>
      </w:pPr>
      <w:r w:rsidRPr="002C7EC6">
        <w:rPr>
          <w:rFonts w:ascii="Arial" w:hAnsi="Arial" w:cs="Arial"/>
          <w:b/>
          <w:sz w:val="24"/>
          <w:szCs w:val="24"/>
        </w:rPr>
        <w:t>Q.</w:t>
      </w:r>
      <w:r w:rsidRPr="002C7EC6">
        <w:rPr>
          <w:rFonts w:ascii="Arial" w:hAnsi="Arial" w:cs="Arial"/>
          <w:b/>
          <w:sz w:val="24"/>
          <w:szCs w:val="24"/>
        </w:rPr>
        <w:tab/>
        <w:t xml:space="preserve">If the Commission continues to authorize the DMR to </w:t>
      </w:r>
      <w:r w:rsidR="002C7EC6" w:rsidRPr="002C7EC6">
        <w:rPr>
          <w:rFonts w:ascii="Arial" w:hAnsi="Arial" w:cs="Arial"/>
          <w:b/>
          <w:sz w:val="24"/>
          <w:szCs w:val="24"/>
        </w:rPr>
        <w:t>enhance both DPL’s and DP&amp;L's financial integrity and provide for a more robust distribution service for customers, should the Commission require specific accounting for these funds?</w:t>
      </w:r>
    </w:p>
    <w:p w14:paraId="615C607F" w14:textId="7A14A08A" w:rsidR="00483DD2" w:rsidRDefault="002C7EC6" w:rsidP="00483DD2">
      <w:pPr>
        <w:pStyle w:val="BodyText"/>
        <w:spacing w:line="480" w:lineRule="auto"/>
        <w:ind w:left="720" w:hanging="720"/>
        <w:jc w:val="both"/>
        <w:rPr>
          <w:rFonts w:ascii="Arial" w:hAnsi="Arial" w:cs="Arial"/>
          <w:sz w:val="24"/>
          <w:szCs w:val="24"/>
        </w:rPr>
      </w:pPr>
      <w:r>
        <w:rPr>
          <w:rFonts w:ascii="Arial" w:hAnsi="Arial" w:cs="Arial"/>
          <w:sz w:val="24"/>
          <w:szCs w:val="24"/>
        </w:rPr>
        <w:t xml:space="preserve"> </w:t>
      </w:r>
      <w:r w:rsidR="00483DD2">
        <w:rPr>
          <w:rFonts w:ascii="Arial" w:hAnsi="Arial" w:cs="Arial"/>
          <w:sz w:val="24"/>
          <w:szCs w:val="24"/>
        </w:rPr>
        <w:t>A.</w:t>
      </w:r>
      <w:r w:rsidR="00483DD2">
        <w:rPr>
          <w:rFonts w:ascii="Arial" w:hAnsi="Arial" w:cs="Arial"/>
          <w:sz w:val="24"/>
          <w:szCs w:val="24"/>
        </w:rPr>
        <w:tab/>
        <w:t xml:space="preserve">Yes.  </w:t>
      </w:r>
      <w:r w:rsidR="00D6077A">
        <w:rPr>
          <w:rFonts w:ascii="Arial" w:hAnsi="Arial" w:cs="Arial"/>
          <w:sz w:val="24"/>
          <w:szCs w:val="24"/>
        </w:rPr>
        <w:t xml:space="preserve">If the Commission continues to believe that the customers should contribute to the financial stability of </w:t>
      </w:r>
      <w:r w:rsidR="00D6077A" w:rsidRPr="001471FC">
        <w:rPr>
          <w:rFonts w:ascii="Arial" w:hAnsi="Arial" w:cs="Arial"/>
          <w:sz w:val="24"/>
          <w:szCs w:val="24"/>
        </w:rPr>
        <w:t>DPL</w:t>
      </w:r>
      <w:r w:rsidR="00D6077A">
        <w:rPr>
          <w:rFonts w:ascii="Arial" w:hAnsi="Arial" w:cs="Arial"/>
          <w:sz w:val="24"/>
          <w:szCs w:val="24"/>
        </w:rPr>
        <w:t xml:space="preserve"> and DP&amp;L, the Commission should recognize the customers contribution by requiring the funds provided to be accounted for as customer contributed capital. </w:t>
      </w:r>
      <w:r w:rsidR="00C7515D">
        <w:rPr>
          <w:rFonts w:ascii="Arial" w:hAnsi="Arial" w:cs="Arial"/>
          <w:sz w:val="24"/>
          <w:szCs w:val="24"/>
        </w:rPr>
        <w:t xml:space="preserve">As I mentioned earlier, the Stipulation describes the DMR receipts as revenues.  </w:t>
      </w:r>
      <w:r w:rsidR="00483DD2">
        <w:rPr>
          <w:rFonts w:ascii="Arial" w:hAnsi="Arial" w:cs="Arial"/>
          <w:sz w:val="24"/>
          <w:szCs w:val="24"/>
        </w:rPr>
        <w:t>The Commission should not allow DP&amp;L to account for th</w:t>
      </w:r>
      <w:r w:rsidR="00C7515D">
        <w:rPr>
          <w:rFonts w:ascii="Arial" w:hAnsi="Arial" w:cs="Arial"/>
          <w:sz w:val="24"/>
          <w:szCs w:val="24"/>
        </w:rPr>
        <w:t>ese receipts</w:t>
      </w:r>
      <w:r w:rsidR="00483DD2">
        <w:rPr>
          <w:rFonts w:ascii="Arial" w:hAnsi="Arial" w:cs="Arial"/>
          <w:sz w:val="24"/>
          <w:szCs w:val="24"/>
        </w:rPr>
        <w:t xml:space="preserve"> as revenue when it is received from the </w:t>
      </w:r>
      <w:r>
        <w:rPr>
          <w:rFonts w:ascii="Arial" w:hAnsi="Arial" w:cs="Arial"/>
          <w:sz w:val="24"/>
          <w:szCs w:val="24"/>
        </w:rPr>
        <w:t>customers</w:t>
      </w:r>
      <w:r w:rsidR="00483DD2">
        <w:rPr>
          <w:rFonts w:ascii="Arial" w:hAnsi="Arial" w:cs="Arial"/>
          <w:sz w:val="24"/>
          <w:szCs w:val="24"/>
        </w:rPr>
        <w:t xml:space="preserve">.  Revenues are generally defined as inflows of assets and/or settlements of liabilities from delivering or producing goods, providing services, or other earning activities that constitute a company’s ongoing major or central operations during a period.  </w:t>
      </w:r>
      <w:r w:rsidR="00D6077A">
        <w:rPr>
          <w:rFonts w:ascii="Arial" w:hAnsi="Arial" w:cs="Arial"/>
          <w:sz w:val="24"/>
          <w:szCs w:val="24"/>
        </w:rPr>
        <w:t xml:space="preserve">The DMR does not qualify as revenues.  </w:t>
      </w:r>
      <w:r w:rsidR="00B22DF6">
        <w:rPr>
          <w:rFonts w:ascii="Arial" w:hAnsi="Arial" w:cs="Arial"/>
          <w:sz w:val="24"/>
          <w:szCs w:val="24"/>
        </w:rPr>
        <w:t>DMR is a funding mechanism</w:t>
      </w:r>
      <w:r w:rsidR="00456BEC">
        <w:rPr>
          <w:rFonts w:ascii="Arial" w:hAnsi="Arial" w:cs="Arial"/>
          <w:sz w:val="24"/>
          <w:szCs w:val="24"/>
        </w:rPr>
        <w:t xml:space="preserve"> and </w:t>
      </w:r>
      <w:r w:rsidR="00483DD2">
        <w:rPr>
          <w:rFonts w:ascii="Arial" w:hAnsi="Arial" w:cs="Arial"/>
          <w:sz w:val="24"/>
          <w:szCs w:val="24"/>
        </w:rPr>
        <w:t xml:space="preserve">DP&amp;L should account for the ratepayer receipts as a ratepayer contributed capital on the balance sheet, not as revenue.  These receipts </w:t>
      </w:r>
      <w:r w:rsidR="0066622E">
        <w:rPr>
          <w:rFonts w:ascii="Arial" w:hAnsi="Arial" w:cs="Arial"/>
          <w:sz w:val="24"/>
          <w:szCs w:val="24"/>
        </w:rPr>
        <w:t xml:space="preserve">should be accounted for as a refinancing mechanism which is customer provided, </w:t>
      </w:r>
      <w:r w:rsidR="00483DD2">
        <w:rPr>
          <w:rFonts w:ascii="Arial" w:hAnsi="Arial" w:cs="Arial"/>
          <w:sz w:val="24"/>
          <w:szCs w:val="24"/>
        </w:rPr>
        <w:t>not revenues for services</w:t>
      </w:r>
      <w:r w:rsidR="00D6077A">
        <w:rPr>
          <w:rFonts w:ascii="Arial" w:hAnsi="Arial" w:cs="Arial"/>
          <w:sz w:val="24"/>
          <w:szCs w:val="24"/>
        </w:rPr>
        <w:t>.</w:t>
      </w:r>
    </w:p>
    <w:p w14:paraId="3C64E86C" w14:textId="77FF344D" w:rsidR="00E84902" w:rsidRDefault="00E84902" w:rsidP="00483DD2">
      <w:pPr>
        <w:pStyle w:val="BodyText"/>
        <w:spacing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Is accounting for the DMR as revenue consistent with principles of public utility ratemaking?</w:t>
      </w:r>
    </w:p>
    <w:p w14:paraId="712BD6F3" w14:textId="03EBB0D9" w:rsidR="007F66EF" w:rsidRDefault="00E84902">
      <w:pPr>
        <w:pStyle w:val="BodyText"/>
        <w:spacing w:line="480" w:lineRule="auto"/>
        <w:ind w:left="720" w:hanging="720"/>
        <w:jc w:val="both"/>
        <w:rPr>
          <w:rFonts w:ascii="Arial" w:hAnsi="Arial" w:cs="Arial"/>
          <w:sz w:val="24"/>
          <w:szCs w:val="24"/>
        </w:rPr>
      </w:pPr>
      <w:r>
        <w:rPr>
          <w:rFonts w:ascii="Arial" w:hAnsi="Arial" w:cs="Arial"/>
          <w:sz w:val="24"/>
          <w:szCs w:val="24"/>
        </w:rPr>
        <w:lastRenderedPageBreak/>
        <w:t xml:space="preserve">A. </w:t>
      </w:r>
      <w:r>
        <w:rPr>
          <w:rFonts w:ascii="Arial" w:hAnsi="Arial" w:cs="Arial"/>
          <w:sz w:val="24"/>
          <w:szCs w:val="24"/>
        </w:rPr>
        <w:tab/>
        <w:t>No, it is completely at odds with the regulatory compact</w:t>
      </w:r>
      <w:r w:rsidR="009252A8">
        <w:rPr>
          <w:rFonts w:ascii="Arial" w:hAnsi="Arial" w:cs="Arial"/>
          <w:sz w:val="24"/>
          <w:szCs w:val="24"/>
        </w:rPr>
        <w:t xml:space="preserve"> and the regulatory formula</w:t>
      </w:r>
      <w:r>
        <w:rPr>
          <w:rFonts w:ascii="Arial" w:hAnsi="Arial" w:cs="Arial"/>
          <w:sz w:val="24"/>
          <w:szCs w:val="24"/>
        </w:rPr>
        <w:t>.  Utility ratemaking is premised on the concept that investors and lenders will be compensated for capital used to invest in utility asses.  Equity</w:t>
      </w:r>
      <w:r w:rsidR="00F9186D">
        <w:rPr>
          <w:rFonts w:ascii="Arial" w:hAnsi="Arial" w:cs="Arial"/>
          <w:sz w:val="24"/>
          <w:szCs w:val="24"/>
        </w:rPr>
        <w:t>, d</w:t>
      </w:r>
      <w:r>
        <w:rPr>
          <w:rFonts w:ascii="Arial" w:hAnsi="Arial" w:cs="Arial"/>
          <w:sz w:val="24"/>
          <w:szCs w:val="24"/>
        </w:rPr>
        <w:t xml:space="preserve">ebt </w:t>
      </w:r>
      <w:r w:rsidR="00F9186D">
        <w:rPr>
          <w:rFonts w:ascii="Arial" w:hAnsi="Arial" w:cs="Arial"/>
          <w:sz w:val="24"/>
          <w:szCs w:val="24"/>
        </w:rPr>
        <w:t xml:space="preserve">and customer provided funds are sources of capital.  </w:t>
      </w:r>
      <w:r>
        <w:rPr>
          <w:rFonts w:ascii="Arial" w:hAnsi="Arial" w:cs="Arial"/>
          <w:sz w:val="24"/>
          <w:szCs w:val="24"/>
        </w:rPr>
        <w:t xml:space="preserve">When capital is utilized to fund </w:t>
      </w:r>
      <w:r w:rsidR="007F66EF">
        <w:rPr>
          <w:rFonts w:ascii="Arial" w:hAnsi="Arial" w:cs="Arial"/>
          <w:sz w:val="24"/>
          <w:szCs w:val="24"/>
        </w:rPr>
        <w:t>a utility</w:t>
      </w:r>
      <w:r>
        <w:rPr>
          <w:rFonts w:ascii="Arial" w:hAnsi="Arial" w:cs="Arial"/>
          <w:sz w:val="24"/>
          <w:szCs w:val="24"/>
        </w:rPr>
        <w:t xml:space="preserve"> asset</w:t>
      </w:r>
      <w:r w:rsidR="007F66EF">
        <w:rPr>
          <w:rFonts w:ascii="Arial" w:hAnsi="Arial" w:cs="Arial"/>
          <w:sz w:val="24"/>
          <w:szCs w:val="24"/>
        </w:rPr>
        <w:t xml:space="preserve"> or fund operating and maintenance expenses</w:t>
      </w:r>
      <w:r>
        <w:rPr>
          <w:rFonts w:ascii="Arial" w:hAnsi="Arial" w:cs="Arial"/>
          <w:sz w:val="24"/>
          <w:szCs w:val="24"/>
        </w:rPr>
        <w:t xml:space="preserve">, the source of the capital </w:t>
      </w:r>
      <w:r w:rsidR="00F9186D">
        <w:rPr>
          <w:rFonts w:ascii="Arial" w:hAnsi="Arial" w:cs="Arial"/>
          <w:sz w:val="24"/>
          <w:szCs w:val="24"/>
        </w:rPr>
        <w:t xml:space="preserve">(principal) </w:t>
      </w:r>
      <w:r>
        <w:rPr>
          <w:rFonts w:ascii="Arial" w:hAnsi="Arial" w:cs="Arial"/>
          <w:sz w:val="24"/>
          <w:szCs w:val="24"/>
        </w:rPr>
        <w:t xml:space="preserve">is compensated for </w:t>
      </w:r>
      <w:r w:rsidR="00F9186D">
        <w:rPr>
          <w:rFonts w:ascii="Arial" w:hAnsi="Arial" w:cs="Arial"/>
          <w:sz w:val="24"/>
          <w:szCs w:val="24"/>
        </w:rPr>
        <w:t xml:space="preserve">by depreciating the asset providing service </w:t>
      </w:r>
      <w:r w:rsidR="007F66EF">
        <w:rPr>
          <w:rFonts w:ascii="Arial" w:hAnsi="Arial" w:cs="Arial"/>
          <w:sz w:val="24"/>
          <w:szCs w:val="24"/>
        </w:rPr>
        <w:t xml:space="preserve">or including the operation and maintenance expenses in the EDU’s revenue requirements.  The </w:t>
      </w:r>
      <w:r>
        <w:rPr>
          <w:rFonts w:ascii="Arial" w:hAnsi="Arial" w:cs="Arial"/>
          <w:sz w:val="24"/>
          <w:szCs w:val="24"/>
        </w:rPr>
        <w:t>interest</w:t>
      </w:r>
      <w:r w:rsidR="00F9186D">
        <w:rPr>
          <w:rFonts w:ascii="Arial" w:hAnsi="Arial" w:cs="Arial"/>
          <w:sz w:val="24"/>
          <w:szCs w:val="24"/>
        </w:rPr>
        <w:t xml:space="preserve"> </w:t>
      </w:r>
      <w:r w:rsidR="007F66EF">
        <w:rPr>
          <w:rFonts w:ascii="Arial" w:hAnsi="Arial" w:cs="Arial"/>
          <w:sz w:val="24"/>
          <w:szCs w:val="24"/>
        </w:rPr>
        <w:t xml:space="preserve">on the funds </w:t>
      </w:r>
      <w:r w:rsidR="00F9186D">
        <w:rPr>
          <w:rFonts w:ascii="Arial" w:hAnsi="Arial" w:cs="Arial"/>
          <w:sz w:val="24"/>
          <w:szCs w:val="24"/>
        </w:rPr>
        <w:t>is compensated for in the rate of return allowance</w:t>
      </w:r>
      <w:r w:rsidR="007F66EF">
        <w:rPr>
          <w:rFonts w:ascii="Arial" w:hAnsi="Arial" w:cs="Arial"/>
          <w:sz w:val="24"/>
          <w:szCs w:val="24"/>
        </w:rPr>
        <w:t xml:space="preserve"> </w:t>
      </w:r>
      <w:r w:rsidR="0066622E">
        <w:rPr>
          <w:rFonts w:ascii="Arial" w:hAnsi="Arial" w:cs="Arial"/>
          <w:sz w:val="24"/>
          <w:szCs w:val="24"/>
        </w:rPr>
        <w:t xml:space="preserve">which is also </w:t>
      </w:r>
      <w:r w:rsidR="007F66EF">
        <w:rPr>
          <w:rFonts w:ascii="Arial" w:hAnsi="Arial" w:cs="Arial"/>
          <w:sz w:val="24"/>
          <w:szCs w:val="24"/>
        </w:rPr>
        <w:t>included in the EDU’s revenue requirements</w:t>
      </w:r>
      <w:r>
        <w:rPr>
          <w:rFonts w:ascii="Arial" w:hAnsi="Arial" w:cs="Arial"/>
          <w:sz w:val="24"/>
          <w:szCs w:val="24"/>
        </w:rPr>
        <w:t>.</w:t>
      </w:r>
    </w:p>
    <w:p w14:paraId="3F46C7F2" w14:textId="77777777" w:rsidR="007F66EF" w:rsidRPr="00456BEC" w:rsidRDefault="007F66EF">
      <w:pPr>
        <w:pStyle w:val="BodyText"/>
        <w:spacing w:line="480" w:lineRule="auto"/>
        <w:ind w:left="720" w:hanging="720"/>
        <w:jc w:val="both"/>
        <w:rPr>
          <w:rFonts w:ascii="Arial" w:hAnsi="Arial" w:cs="Arial"/>
          <w:b/>
          <w:sz w:val="24"/>
          <w:szCs w:val="24"/>
        </w:rPr>
      </w:pPr>
      <w:r w:rsidRPr="00456BEC">
        <w:rPr>
          <w:rFonts w:ascii="Arial" w:hAnsi="Arial" w:cs="Arial"/>
          <w:b/>
          <w:sz w:val="24"/>
          <w:szCs w:val="24"/>
        </w:rPr>
        <w:t>Q.</w:t>
      </w:r>
      <w:r w:rsidRPr="00456BEC">
        <w:rPr>
          <w:rFonts w:ascii="Arial" w:hAnsi="Arial" w:cs="Arial"/>
          <w:b/>
          <w:sz w:val="24"/>
          <w:szCs w:val="24"/>
        </w:rPr>
        <w:tab/>
        <w:t>Will you give an example?</w:t>
      </w:r>
    </w:p>
    <w:p w14:paraId="2519D2F3" w14:textId="36C32185" w:rsidR="00E84902" w:rsidRPr="00F6496B" w:rsidRDefault="007F66EF">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E84902">
        <w:rPr>
          <w:rFonts w:ascii="Arial" w:hAnsi="Arial" w:cs="Arial"/>
          <w:sz w:val="24"/>
          <w:szCs w:val="24"/>
        </w:rPr>
        <w:t xml:space="preserve"> </w:t>
      </w:r>
      <w:r>
        <w:rPr>
          <w:rFonts w:ascii="Arial" w:hAnsi="Arial" w:cs="Arial"/>
          <w:sz w:val="24"/>
          <w:szCs w:val="24"/>
        </w:rPr>
        <w:t xml:space="preserve">Assume </w:t>
      </w:r>
      <w:r w:rsidR="00E84902">
        <w:rPr>
          <w:rFonts w:ascii="Arial" w:hAnsi="Arial" w:cs="Arial"/>
          <w:sz w:val="24"/>
          <w:szCs w:val="24"/>
        </w:rPr>
        <w:t xml:space="preserve">an EDU </w:t>
      </w:r>
      <w:r w:rsidR="00722EDE">
        <w:rPr>
          <w:rFonts w:ascii="Arial" w:hAnsi="Arial" w:cs="Arial"/>
          <w:sz w:val="24"/>
          <w:szCs w:val="24"/>
        </w:rPr>
        <w:t xml:space="preserve">borrows </w:t>
      </w:r>
      <w:r w:rsidR="00E84902">
        <w:rPr>
          <w:rFonts w:ascii="Arial" w:hAnsi="Arial" w:cs="Arial"/>
          <w:sz w:val="24"/>
          <w:szCs w:val="24"/>
        </w:rPr>
        <w:t>$100 million to replace poles and wires, with 50% funded by equity and 50% funded by debt</w:t>
      </w:r>
      <w:r w:rsidR="00722EDE">
        <w:rPr>
          <w:rFonts w:ascii="Arial" w:hAnsi="Arial" w:cs="Arial"/>
          <w:sz w:val="24"/>
          <w:szCs w:val="24"/>
        </w:rPr>
        <w:t xml:space="preserve">. </w:t>
      </w:r>
      <w:r w:rsidR="00E84902">
        <w:rPr>
          <w:rFonts w:ascii="Arial" w:hAnsi="Arial" w:cs="Arial"/>
          <w:sz w:val="24"/>
          <w:szCs w:val="24"/>
        </w:rPr>
        <w:t xml:space="preserve"> </w:t>
      </w:r>
      <w:r w:rsidR="00722EDE">
        <w:rPr>
          <w:rFonts w:ascii="Arial" w:hAnsi="Arial" w:cs="Arial"/>
          <w:sz w:val="24"/>
          <w:szCs w:val="24"/>
        </w:rPr>
        <w:t>T</w:t>
      </w:r>
      <w:r w:rsidR="00E84902">
        <w:rPr>
          <w:rFonts w:ascii="Arial" w:hAnsi="Arial" w:cs="Arial"/>
          <w:sz w:val="24"/>
          <w:szCs w:val="24"/>
        </w:rPr>
        <w:t xml:space="preserve">he EDU </w:t>
      </w:r>
      <w:r w:rsidR="00722EDE">
        <w:rPr>
          <w:rFonts w:ascii="Arial" w:hAnsi="Arial" w:cs="Arial"/>
          <w:sz w:val="24"/>
          <w:szCs w:val="24"/>
        </w:rPr>
        <w:t xml:space="preserve">uses these funds to purchase a $100 million of poles and wires.  The poles and wires are depreciated over their useful life and the undepreciated balance of the poles and wires is included in the EDU’s rate base.  The annual depreciation </w:t>
      </w:r>
      <w:r w:rsidR="00B22DF6">
        <w:rPr>
          <w:rFonts w:ascii="Arial" w:hAnsi="Arial" w:cs="Arial"/>
          <w:sz w:val="24"/>
          <w:szCs w:val="24"/>
        </w:rPr>
        <w:t>expense (return of investment) and the annual rate of return on the undepreciated asset (return on investment) are includable items in the EDU’s revenue</w:t>
      </w:r>
      <w:r w:rsidR="00722EDE">
        <w:rPr>
          <w:rFonts w:ascii="Arial" w:hAnsi="Arial" w:cs="Arial"/>
          <w:sz w:val="24"/>
          <w:szCs w:val="24"/>
        </w:rPr>
        <w:t xml:space="preserve"> </w:t>
      </w:r>
      <w:r w:rsidR="00B22DF6">
        <w:rPr>
          <w:rFonts w:ascii="Arial" w:hAnsi="Arial" w:cs="Arial"/>
          <w:sz w:val="24"/>
          <w:szCs w:val="24"/>
        </w:rPr>
        <w:t>requirements and are recovered through rates.  This formula allows the investors and debtors to fully recover the $100 million of invested/loaned funds that were used to purchase the assets.</w:t>
      </w:r>
      <w:r w:rsidR="00F6496B">
        <w:rPr>
          <w:rFonts w:ascii="Arial" w:hAnsi="Arial" w:cs="Arial"/>
          <w:sz w:val="24"/>
          <w:szCs w:val="24"/>
        </w:rPr>
        <w:t xml:space="preserve">  These two elements taken together provide compensation to lenders and equity investors of the EDU. </w:t>
      </w:r>
    </w:p>
    <w:p w14:paraId="2FEEDE13" w14:textId="77777777" w:rsidR="00483DD2" w:rsidRPr="00D910EB" w:rsidRDefault="00483DD2" w:rsidP="00483DD2">
      <w:pPr>
        <w:pStyle w:val="BodyText"/>
        <w:spacing w:line="480" w:lineRule="auto"/>
        <w:ind w:left="720" w:hanging="720"/>
        <w:jc w:val="both"/>
        <w:rPr>
          <w:rFonts w:ascii="Arial" w:hAnsi="Arial" w:cs="Arial"/>
          <w:b/>
          <w:sz w:val="24"/>
          <w:szCs w:val="24"/>
        </w:rPr>
      </w:pPr>
      <w:r w:rsidRPr="00D910EB">
        <w:rPr>
          <w:rFonts w:ascii="Arial" w:hAnsi="Arial" w:cs="Arial"/>
          <w:b/>
          <w:sz w:val="24"/>
          <w:szCs w:val="24"/>
        </w:rPr>
        <w:t>Q.</w:t>
      </w:r>
      <w:r w:rsidRPr="00D910EB">
        <w:rPr>
          <w:rFonts w:ascii="Arial" w:hAnsi="Arial" w:cs="Arial"/>
          <w:b/>
          <w:sz w:val="24"/>
          <w:szCs w:val="24"/>
        </w:rPr>
        <w:tab/>
        <w:t>What happens if it is accounted for as revenue?</w:t>
      </w:r>
    </w:p>
    <w:p w14:paraId="159DCADE" w14:textId="51CEECC4" w:rsidR="00E84902" w:rsidRPr="00F6496B" w:rsidRDefault="00483DD2">
      <w:pPr>
        <w:pStyle w:val="BodyText"/>
        <w:spacing w:line="480" w:lineRule="auto"/>
        <w:ind w:left="720" w:hanging="720"/>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t xml:space="preserve">If it is accounted for as revenue it will be </w:t>
      </w:r>
      <w:r w:rsidR="00B10CAE">
        <w:rPr>
          <w:rFonts w:ascii="Arial" w:hAnsi="Arial" w:cs="Arial"/>
          <w:sz w:val="24"/>
          <w:szCs w:val="24"/>
        </w:rPr>
        <w:t xml:space="preserve">included in income and </w:t>
      </w:r>
      <w:r>
        <w:rPr>
          <w:rFonts w:ascii="Arial" w:hAnsi="Arial" w:cs="Arial"/>
          <w:sz w:val="24"/>
          <w:szCs w:val="24"/>
        </w:rPr>
        <w:t xml:space="preserve">closed to retained earnings at the end of the year.  </w:t>
      </w:r>
      <w:r w:rsidR="00456BEC">
        <w:rPr>
          <w:rFonts w:ascii="Arial" w:hAnsi="Arial" w:cs="Arial"/>
          <w:sz w:val="24"/>
          <w:szCs w:val="24"/>
        </w:rPr>
        <w:t xml:space="preserve">Retained earnings is considered an equity contribution. </w:t>
      </w:r>
      <w:r>
        <w:rPr>
          <w:rFonts w:ascii="Arial" w:hAnsi="Arial" w:cs="Arial"/>
          <w:sz w:val="24"/>
          <w:szCs w:val="24"/>
        </w:rPr>
        <w:t>Since the Commission has not put any restrictions on how DP&amp;L can use its retained earnings, there is no accounting for it as customer provided funds and all of it will eventually flow through to the stockholders. The ratepayers will receive no benefit or service other the presumed overall financial stability of DPL</w:t>
      </w:r>
      <w:r w:rsidR="00D6077A">
        <w:rPr>
          <w:rFonts w:ascii="Arial" w:hAnsi="Arial" w:cs="Arial"/>
          <w:sz w:val="24"/>
          <w:szCs w:val="24"/>
        </w:rPr>
        <w:t xml:space="preserve"> and/or DP&amp;L</w:t>
      </w:r>
      <w:r>
        <w:rPr>
          <w:rFonts w:ascii="Arial" w:hAnsi="Arial" w:cs="Arial"/>
          <w:sz w:val="24"/>
          <w:szCs w:val="24"/>
        </w:rPr>
        <w:t>.</w:t>
      </w:r>
      <w:r w:rsidR="00A94386">
        <w:rPr>
          <w:rFonts w:ascii="Arial" w:hAnsi="Arial" w:cs="Arial"/>
          <w:sz w:val="24"/>
          <w:szCs w:val="24"/>
        </w:rPr>
        <w:t xml:space="preserve">  </w:t>
      </w:r>
    </w:p>
    <w:p w14:paraId="2872B7EF" w14:textId="77777777" w:rsidR="003303FF" w:rsidRPr="008707C7" w:rsidRDefault="003303FF" w:rsidP="00483DD2">
      <w:pPr>
        <w:pStyle w:val="BodyText"/>
        <w:spacing w:line="480" w:lineRule="auto"/>
        <w:ind w:left="720" w:hanging="720"/>
        <w:jc w:val="both"/>
        <w:rPr>
          <w:rFonts w:ascii="Arial" w:hAnsi="Arial" w:cs="Arial"/>
          <w:b/>
          <w:sz w:val="24"/>
          <w:szCs w:val="24"/>
        </w:rPr>
      </w:pPr>
      <w:r w:rsidRPr="008707C7">
        <w:rPr>
          <w:rFonts w:ascii="Arial" w:hAnsi="Arial" w:cs="Arial"/>
          <w:b/>
          <w:sz w:val="24"/>
          <w:szCs w:val="24"/>
        </w:rPr>
        <w:t>Q.</w:t>
      </w:r>
      <w:r w:rsidRPr="008707C7">
        <w:rPr>
          <w:rFonts w:ascii="Arial" w:hAnsi="Arial" w:cs="Arial"/>
          <w:b/>
          <w:sz w:val="24"/>
          <w:szCs w:val="24"/>
        </w:rPr>
        <w:tab/>
        <w:t>How will accounting for the DMR as revenues impact DP&amp;L’s earnings?</w:t>
      </w:r>
    </w:p>
    <w:p w14:paraId="79CA54FE" w14:textId="5EA2CAFE" w:rsidR="00483DD2" w:rsidRDefault="003303FF" w:rsidP="00483DD2">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B10CAE">
        <w:rPr>
          <w:rFonts w:ascii="Arial" w:hAnsi="Arial" w:cs="Arial"/>
          <w:sz w:val="24"/>
          <w:szCs w:val="24"/>
        </w:rPr>
        <w:t>Income</w:t>
      </w:r>
      <w:r w:rsidR="007E5AE5">
        <w:rPr>
          <w:rFonts w:ascii="Arial" w:hAnsi="Arial" w:cs="Arial"/>
          <w:sz w:val="24"/>
          <w:szCs w:val="24"/>
        </w:rPr>
        <w:t xml:space="preserve"> </w:t>
      </w:r>
      <w:r w:rsidR="00B10CAE">
        <w:rPr>
          <w:rFonts w:ascii="Arial" w:hAnsi="Arial" w:cs="Arial"/>
          <w:sz w:val="24"/>
          <w:szCs w:val="24"/>
        </w:rPr>
        <w:t>will</w:t>
      </w:r>
      <w:r w:rsidR="007E5AE5">
        <w:rPr>
          <w:rFonts w:ascii="Arial" w:hAnsi="Arial" w:cs="Arial"/>
          <w:sz w:val="24"/>
          <w:szCs w:val="24"/>
        </w:rPr>
        <w:t xml:space="preserve"> increase by $82.346 million</w:t>
      </w:r>
      <w:r>
        <w:rPr>
          <w:rFonts w:ascii="Arial" w:hAnsi="Arial" w:cs="Arial"/>
          <w:sz w:val="24"/>
          <w:szCs w:val="24"/>
        </w:rPr>
        <w:t xml:space="preserve"> i</w:t>
      </w:r>
      <w:r w:rsidR="007E5AE5">
        <w:rPr>
          <w:rFonts w:ascii="Arial" w:hAnsi="Arial" w:cs="Arial"/>
          <w:sz w:val="24"/>
          <w:szCs w:val="24"/>
        </w:rPr>
        <w:t>f it is accounted for as revenue</w:t>
      </w:r>
      <w:r w:rsidR="00B10CAE">
        <w:rPr>
          <w:rFonts w:ascii="Arial" w:hAnsi="Arial" w:cs="Arial"/>
          <w:sz w:val="24"/>
          <w:szCs w:val="24"/>
        </w:rPr>
        <w:t xml:space="preserve">.  With the increased income, </w:t>
      </w:r>
      <w:r w:rsidR="007E5AE5">
        <w:rPr>
          <w:rFonts w:ascii="Arial" w:hAnsi="Arial" w:cs="Arial"/>
          <w:sz w:val="24"/>
          <w:szCs w:val="24"/>
        </w:rPr>
        <w:t xml:space="preserve">DP&amp;L will significantly over earn on its investment to provide electric distribution services.  </w:t>
      </w:r>
      <w:r w:rsidR="00B10CAE">
        <w:rPr>
          <w:rFonts w:ascii="Arial" w:hAnsi="Arial" w:cs="Arial"/>
          <w:sz w:val="24"/>
          <w:szCs w:val="24"/>
        </w:rPr>
        <w:t xml:space="preserve">Using the authorized income from DP&amp;L’s last base rate case, </w:t>
      </w:r>
      <w:r w:rsidR="007E5AE5">
        <w:rPr>
          <w:rFonts w:ascii="Arial" w:hAnsi="Arial" w:cs="Arial"/>
          <w:sz w:val="24"/>
          <w:szCs w:val="24"/>
        </w:rPr>
        <w:t xml:space="preserve">I have estimated that the rate of return on rate base with DMR revenues would be </w:t>
      </w:r>
      <w:r w:rsidR="007E5AE5" w:rsidRPr="00E61623">
        <w:rPr>
          <w:rFonts w:ascii="Arial" w:hAnsi="Arial" w:cs="Arial"/>
          <w:sz w:val="24"/>
          <w:szCs w:val="24"/>
        </w:rPr>
        <w:t>approximately 20.07%.  This is materially higher than the authorized rate of return of 7.27%</w:t>
      </w:r>
      <w:r w:rsidR="007E5AE5">
        <w:rPr>
          <w:rStyle w:val="FootnoteReference"/>
          <w:rFonts w:ascii="Arial" w:hAnsi="Arial" w:cs="Arial"/>
          <w:sz w:val="24"/>
          <w:szCs w:val="24"/>
        </w:rPr>
        <w:footnoteReference w:id="24"/>
      </w:r>
      <w:r w:rsidR="007E5AE5" w:rsidRPr="00E61623">
        <w:rPr>
          <w:rFonts w:ascii="Arial" w:hAnsi="Arial" w:cs="Arial"/>
          <w:sz w:val="24"/>
          <w:szCs w:val="24"/>
        </w:rPr>
        <w:t>.</w:t>
      </w:r>
      <w:r w:rsidR="007E5AE5">
        <w:rPr>
          <w:rFonts w:ascii="Arial" w:hAnsi="Arial" w:cs="Arial"/>
          <w:sz w:val="24"/>
          <w:szCs w:val="24"/>
        </w:rPr>
        <w:t xml:space="preserve">  </w:t>
      </w:r>
    </w:p>
    <w:p w14:paraId="3884D42E" w14:textId="4C10A571" w:rsidR="007E5AE5" w:rsidRDefault="007E5AE5" w:rsidP="007E5AE5">
      <w:pPr>
        <w:pStyle w:val="BodyText"/>
        <w:spacing w:line="480" w:lineRule="auto"/>
        <w:ind w:left="720" w:hanging="720"/>
        <w:jc w:val="center"/>
        <w:rPr>
          <w:rFonts w:ascii="Arial" w:hAnsi="Arial" w:cs="Arial"/>
          <w:sz w:val="24"/>
          <w:szCs w:val="24"/>
        </w:rPr>
      </w:pPr>
      <w:r w:rsidRPr="007E5AE5">
        <w:rPr>
          <w:noProof/>
        </w:rPr>
        <w:drawing>
          <wp:inline distT="0" distB="0" distL="0" distR="0" wp14:anchorId="70595358" wp14:editId="1C0A23EB">
            <wp:extent cx="440055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0550" cy="1724025"/>
                    </a:xfrm>
                    <a:prstGeom prst="rect">
                      <a:avLst/>
                    </a:prstGeom>
                    <a:noFill/>
                    <a:ln>
                      <a:noFill/>
                    </a:ln>
                  </pic:spPr>
                </pic:pic>
              </a:graphicData>
            </a:graphic>
          </wp:inline>
        </w:drawing>
      </w:r>
    </w:p>
    <w:p w14:paraId="3A6B8E39" w14:textId="59832CAB" w:rsidR="00382B0A" w:rsidRPr="00382B0A" w:rsidRDefault="00E61623" w:rsidP="00382B0A">
      <w:pPr>
        <w:pStyle w:val="BodyText"/>
        <w:spacing w:line="480" w:lineRule="auto"/>
        <w:ind w:left="720" w:hanging="720"/>
        <w:rPr>
          <w:rFonts w:ascii="Arial" w:hAnsi="Arial" w:cs="Arial"/>
        </w:rPr>
      </w:pPr>
      <w:r>
        <w:rPr>
          <w:rFonts w:ascii="Arial" w:hAnsi="Arial" w:cs="Arial"/>
          <w:sz w:val="24"/>
          <w:szCs w:val="24"/>
        </w:rPr>
        <w:lastRenderedPageBreak/>
        <w:tab/>
      </w:r>
      <w:r w:rsidR="00382B0A">
        <w:rPr>
          <w:rFonts w:ascii="Arial" w:hAnsi="Arial" w:cs="Arial"/>
          <w:sz w:val="24"/>
          <w:szCs w:val="24"/>
        </w:rPr>
        <w:t xml:space="preserve">The 20.07% return on rate base would require a </w:t>
      </w:r>
      <w:r w:rsidR="00382B0A" w:rsidRPr="00382B0A">
        <w:rPr>
          <w:rFonts w:ascii="Arial" w:hAnsi="Arial" w:cs="Arial"/>
        </w:rPr>
        <w:t>36.</w:t>
      </w:r>
      <w:r w:rsidR="0037257B">
        <w:rPr>
          <w:rFonts w:ascii="Arial" w:hAnsi="Arial" w:cs="Arial"/>
        </w:rPr>
        <w:t>93</w:t>
      </w:r>
      <w:r w:rsidR="00382B0A" w:rsidRPr="00382B0A">
        <w:rPr>
          <w:rFonts w:ascii="Arial" w:hAnsi="Arial" w:cs="Arial"/>
        </w:rPr>
        <w:t>%</w:t>
      </w:r>
      <w:r w:rsidR="00382B0A">
        <w:rPr>
          <w:rFonts w:ascii="Arial" w:hAnsi="Arial" w:cs="Arial"/>
        </w:rPr>
        <w:t xml:space="preserve"> return on common equity.</w:t>
      </w:r>
      <w:r w:rsidR="00382B0A">
        <w:rPr>
          <w:rStyle w:val="FootnoteReference"/>
          <w:rFonts w:ascii="Arial" w:hAnsi="Arial" w:cs="Arial"/>
        </w:rPr>
        <w:footnoteReference w:id="25"/>
      </w:r>
    </w:p>
    <w:p w14:paraId="7B0886BE" w14:textId="727A4C7F" w:rsidR="00E61623" w:rsidRDefault="00B00CC6" w:rsidP="00B00CC6">
      <w:pPr>
        <w:pStyle w:val="BodyText"/>
        <w:spacing w:line="480" w:lineRule="auto"/>
        <w:ind w:left="720" w:hanging="720"/>
        <w:jc w:val="center"/>
        <w:rPr>
          <w:rFonts w:ascii="Arial" w:hAnsi="Arial" w:cs="Arial"/>
          <w:sz w:val="24"/>
          <w:szCs w:val="24"/>
        </w:rPr>
      </w:pPr>
      <w:r w:rsidRPr="00B00CC6">
        <w:rPr>
          <w:noProof/>
        </w:rPr>
        <w:drawing>
          <wp:inline distT="0" distB="0" distL="0" distR="0" wp14:anchorId="784172D6" wp14:editId="33D7A24E">
            <wp:extent cx="3971925" cy="1171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71925" cy="1171575"/>
                    </a:xfrm>
                    <a:prstGeom prst="rect">
                      <a:avLst/>
                    </a:prstGeom>
                    <a:noFill/>
                    <a:ln>
                      <a:noFill/>
                    </a:ln>
                  </pic:spPr>
                </pic:pic>
              </a:graphicData>
            </a:graphic>
          </wp:inline>
        </w:drawing>
      </w:r>
    </w:p>
    <w:p w14:paraId="622B8929" w14:textId="2D284791" w:rsidR="00483DD2" w:rsidRPr="00D910EB" w:rsidRDefault="00483DD2" w:rsidP="00483DD2">
      <w:pPr>
        <w:pStyle w:val="BodyText"/>
        <w:spacing w:line="480" w:lineRule="auto"/>
        <w:ind w:left="720" w:hanging="720"/>
        <w:jc w:val="both"/>
        <w:rPr>
          <w:rFonts w:ascii="Arial" w:hAnsi="Arial" w:cs="Arial"/>
          <w:b/>
          <w:sz w:val="24"/>
          <w:szCs w:val="24"/>
        </w:rPr>
      </w:pPr>
      <w:r w:rsidRPr="00D910EB">
        <w:rPr>
          <w:rFonts w:ascii="Arial" w:hAnsi="Arial" w:cs="Arial"/>
          <w:b/>
          <w:sz w:val="24"/>
          <w:szCs w:val="24"/>
        </w:rPr>
        <w:t>Q.</w:t>
      </w:r>
      <w:r w:rsidRPr="00D910EB">
        <w:rPr>
          <w:rFonts w:ascii="Arial" w:hAnsi="Arial" w:cs="Arial"/>
          <w:b/>
          <w:sz w:val="24"/>
          <w:szCs w:val="24"/>
        </w:rPr>
        <w:tab/>
        <w:t>AES has agreed to forgo collection of the Tax Sharing Liabilities payable throughout the DMR term, and DPL will not continue to accrue the Tax Sharing Liabilities in its financial statements.  The accrued amount will be converted to an additional equity investment.  Is the accounting for this similar to the accounting you are recommending for the DM</w:t>
      </w:r>
      <w:r w:rsidR="00F6496B">
        <w:rPr>
          <w:rFonts w:ascii="Arial" w:hAnsi="Arial" w:cs="Arial"/>
          <w:b/>
          <w:sz w:val="24"/>
          <w:szCs w:val="24"/>
        </w:rPr>
        <w:t>R</w:t>
      </w:r>
      <w:r w:rsidRPr="00D910EB">
        <w:rPr>
          <w:rFonts w:ascii="Arial" w:hAnsi="Arial" w:cs="Arial"/>
          <w:b/>
          <w:sz w:val="24"/>
          <w:szCs w:val="24"/>
        </w:rPr>
        <w:t>?</w:t>
      </w:r>
    </w:p>
    <w:p w14:paraId="3B39D185" w14:textId="301782B8" w:rsidR="00483DD2" w:rsidRDefault="00483DD2" w:rsidP="00483DD2">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Yes.  AES’s contribution to stabilize the financial position of DPL recognizes their equity investment in DPL</w:t>
      </w:r>
      <w:r w:rsidR="00D52B4E">
        <w:rPr>
          <w:rFonts w:ascii="Arial" w:hAnsi="Arial" w:cs="Arial"/>
          <w:sz w:val="24"/>
          <w:szCs w:val="24"/>
        </w:rPr>
        <w:t xml:space="preserve"> which will now be based on a 21% tax rate.</w:t>
      </w:r>
      <w:r>
        <w:rPr>
          <w:rFonts w:ascii="Arial" w:hAnsi="Arial" w:cs="Arial"/>
          <w:sz w:val="24"/>
          <w:szCs w:val="24"/>
        </w:rPr>
        <w:t xml:space="preserve">  I believe that a similar accounting should follow for DP&amp;L </w:t>
      </w:r>
      <w:r w:rsidR="00E44667">
        <w:rPr>
          <w:rFonts w:ascii="Arial" w:hAnsi="Arial" w:cs="Arial"/>
          <w:sz w:val="24"/>
          <w:szCs w:val="24"/>
        </w:rPr>
        <w:t>customers</w:t>
      </w:r>
      <w:r>
        <w:rPr>
          <w:rFonts w:ascii="Arial" w:hAnsi="Arial" w:cs="Arial"/>
          <w:sz w:val="24"/>
          <w:szCs w:val="24"/>
        </w:rPr>
        <w:t xml:space="preserve"> so that their contribution to DPL’s</w:t>
      </w:r>
      <w:r w:rsidR="00E61623">
        <w:rPr>
          <w:rFonts w:ascii="Arial" w:hAnsi="Arial" w:cs="Arial"/>
          <w:sz w:val="24"/>
          <w:szCs w:val="24"/>
        </w:rPr>
        <w:t xml:space="preserve"> and DP&amp;</w:t>
      </w:r>
      <w:r w:rsidR="00A3071C">
        <w:rPr>
          <w:rFonts w:ascii="Arial" w:hAnsi="Arial" w:cs="Arial"/>
          <w:sz w:val="24"/>
          <w:szCs w:val="24"/>
        </w:rPr>
        <w:t>L’s financial</w:t>
      </w:r>
      <w:r>
        <w:rPr>
          <w:rFonts w:ascii="Arial" w:hAnsi="Arial" w:cs="Arial"/>
          <w:sz w:val="24"/>
          <w:szCs w:val="24"/>
        </w:rPr>
        <w:t xml:space="preserve"> stability is recognized as their portion of the investment</w:t>
      </w:r>
      <w:r w:rsidR="00E61623">
        <w:rPr>
          <w:rFonts w:ascii="Arial" w:hAnsi="Arial" w:cs="Arial"/>
          <w:sz w:val="24"/>
          <w:szCs w:val="24"/>
        </w:rPr>
        <w:t xml:space="preserve"> in financial stability</w:t>
      </w:r>
      <w:r>
        <w:rPr>
          <w:rFonts w:ascii="Arial" w:hAnsi="Arial" w:cs="Arial"/>
          <w:sz w:val="24"/>
          <w:szCs w:val="24"/>
        </w:rPr>
        <w:t>.</w:t>
      </w:r>
      <w:r>
        <w:rPr>
          <w:rFonts w:ascii="Arial" w:hAnsi="Arial" w:cs="Arial"/>
          <w:sz w:val="24"/>
          <w:szCs w:val="24"/>
        </w:rPr>
        <w:tab/>
      </w:r>
    </w:p>
    <w:p w14:paraId="62BB1EC9" w14:textId="61CEA382" w:rsidR="002829E9" w:rsidRPr="00D910EB" w:rsidRDefault="002829E9" w:rsidP="00301B0F">
      <w:pPr>
        <w:pStyle w:val="BodyText"/>
        <w:spacing w:line="480" w:lineRule="auto"/>
        <w:ind w:left="720" w:hanging="720"/>
        <w:jc w:val="both"/>
        <w:rPr>
          <w:rFonts w:ascii="Arial" w:hAnsi="Arial" w:cs="Arial"/>
          <w:b/>
          <w:sz w:val="24"/>
          <w:szCs w:val="24"/>
        </w:rPr>
      </w:pPr>
      <w:r w:rsidRPr="00D910EB">
        <w:rPr>
          <w:rFonts w:ascii="Arial" w:hAnsi="Arial" w:cs="Arial"/>
          <w:b/>
          <w:sz w:val="24"/>
          <w:szCs w:val="24"/>
        </w:rPr>
        <w:t>Q.</w:t>
      </w:r>
      <w:r w:rsidRPr="00D910EB">
        <w:rPr>
          <w:rFonts w:ascii="Arial" w:hAnsi="Arial" w:cs="Arial"/>
          <w:b/>
          <w:sz w:val="24"/>
          <w:szCs w:val="24"/>
        </w:rPr>
        <w:tab/>
      </w:r>
      <w:r w:rsidR="0063177D">
        <w:rPr>
          <w:rFonts w:ascii="Arial" w:hAnsi="Arial" w:cs="Arial"/>
          <w:b/>
          <w:sz w:val="24"/>
          <w:szCs w:val="24"/>
        </w:rPr>
        <w:t xml:space="preserve">Is the portion of the </w:t>
      </w:r>
      <w:r w:rsidRPr="00D910EB">
        <w:rPr>
          <w:rFonts w:ascii="Arial" w:hAnsi="Arial" w:cs="Arial"/>
          <w:b/>
          <w:sz w:val="24"/>
          <w:szCs w:val="24"/>
        </w:rPr>
        <w:t>DMR payments to DP&amp;L for interest obligations on existing debt, di</w:t>
      </w:r>
      <w:r w:rsidR="00E84902">
        <w:rPr>
          <w:rFonts w:ascii="Arial" w:hAnsi="Arial" w:cs="Arial"/>
          <w:b/>
          <w:sz w:val="24"/>
          <w:szCs w:val="24"/>
        </w:rPr>
        <w:t>sc</w:t>
      </w:r>
      <w:r w:rsidRPr="00D910EB">
        <w:rPr>
          <w:rFonts w:ascii="Arial" w:hAnsi="Arial" w:cs="Arial"/>
          <w:b/>
          <w:sz w:val="24"/>
          <w:szCs w:val="24"/>
        </w:rPr>
        <w:t>re</w:t>
      </w:r>
      <w:r w:rsidR="00E84902">
        <w:rPr>
          <w:rFonts w:ascii="Arial" w:hAnsi="Arial" w:cs="Arial"/>
          <w:b/>
          <w:sz w:val="24"/>
          <w:szCs w:val="24"/>
        </w:rPr>
        <w:t>t</w:t>
      </w:r>
      <w:r w:rsidRPr="00D910EB">
        <w:rPr>
          <w:rFonts w:ascii="Arial" w:hAnsi="Arial" w:cs="Arial"/>
          <w:b/>
          <w:sz w:val="24"/>
          <w:szCs w:val="24"/>
        </w:rPr>
        <w:t>ionary debt prepayments, or to position DP&amp;L to make capital expenditures to modernize and/or maintain DP&amp;L’s transmission and distribution infrastructure consistent with sound regulatory policy?</w:t>
      </w:r>
    </w:p>
    <w:p w14:paraId="3F98E42E" w14:textId="768304AA" w:rsidR="002829E9" w:rsidRDefault="002829E9" w:rsidP="00301B0F">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No.  </w:t>
      </w:r>
      <w:r w:rsidR="00693786">
        <w:rPr>
          <w:rFonts w:ascii="Arial" w:hAnsi="Arial" w:cs="Arial"/>
          <w:sz w:val="24"/>
          <w:szCs w:val="24"/>
        </w:rPr>
        <w:t xml:space="preserve">Not the way it addressed in the Stipulation or approved by the Commission.  </w:t>
      </w:r>
      <w:r w:rsidR="00467956">
        <w:rPr>
          <w:rFonts w:ascii="Arial" w:hAnsi="Arial" w:cs="Arial"/>
          <w:sz w:val="24"/>
          <w:szCs w:val="24"/>
        </w:rPr>
        <w:t>As I mention above, t</w:t>
      </w:r>
      <w:r w:rsidR="00A4481E">
        <w:rPr>
          <w:rFonts w:ascii="Arial" w:hAnsi="Arial" w:cs="Arial"/>
          <w:sz w:val="24"/>
          <w:szCs w:val="24"/>
        </w:rPr>
        <w:t xml:space="preserve">he Commission has not required DP&amp;L to properly account </w:t>
      </w:r>
      <w:r w:rsidR="00A4481E">
        <w:rPr>
          <w:rFonts w:ascii="Arial" w:hAnsi="Arial" w:cs="Arial"/>
          <w:sz w:val="24"/>
          <w:szCs w:val="24"/>
        </w:rPr>
        <w:lastRenderedPageBreak/>
        <w:t xml:space="preserve">for the DSM funds </w:t>
      </w:r>
      <w:r w:rsidR="00467956">
        <w:rPr>
          <w:rFonts w:ascii="Arial" w:hAnsi="Arial" w:cs="Arial"/>
          <w:sz w:val="24"/>
          <w:szCs w:val="24"/>
        </w:rPr>
        <w:t xml:space="preserve">as customer contributed capital.  DP&amp;L’s existing debt and </w:t>
      </w:r>
      <w:r w:rsidR="00467956" w:rsidRPr="00467956">
        <w:rPr>
          <w:rFonts w:ascii="Arial" w:hAnsi="Arial" w:cs="Arial"/>
          <w:sz w:val="24"/>
          <w:szCs w:val="24"/>
        </w:rPr>
        <w:t>interest are currently recovered in rates.  DP&amp;L’s capital expenditures to modernize and/or maintain its transmission and distribution infrastructure will be included in a future rate case</w:t>
      </w:r>
      <w:r w:rsidR="001E67C0">
        <w:rPr>
          <w:rFonts w:ascii="Arial" w:hAnsi="Arial" w:cs="Arial"/>
          <w:sz w:val="24"/>
          <w:szCs w:val="24"/>
        </w:rPr>
        <w:t xml:space="preserve"> or rider</w:t>
      </w:r>
      <w:r w:rsidR="00467956">
        <w:rPr>
          <w:rFonts w:ascii="Arial" w:hAnsi="Arial" w:cs="Arial"/>
          <w:b/>
          <w:sz w:val="24"/>
          <w:szCs w:val="24"/>
        </w:rPr>
        <w:t>.</w:t>
      </w:r>
      <w:r w:rsidR="00467956">
        <w:rPr>
          <w:rFonts w:ascii="Arial" w:hAnsi="Arial" w:cs="Arial"/>
          <w:sz w:val="24"/>
          <w:szCs w:val="24"/>
        </w:rPr>
        <w:t xml:space="preserve">  Without specific accounting</w:t>
      </w:r>
      <w:r w:rsidR="009E7F2E">
        <w:rPr>
          <w:rFonts w:ascii="Arial" w:hAnsi="Arial" w:cs="Arial"/>
          <w:sz w:val="24"/>
          <w:szCs w:val="24"/>
        </w:rPr>
        <w:t xml:space="preserve"> requirements to account for these funds as customer contributed capital</w:t>
      </w:r>
      <w:r w:rsidR="00467956">
        <w:rPr>
          <w:rFonts w:ascii="Arial" w:hAnsi="Arial" w:cs="Arial"/>
          <w:sz w:val="24"/>
          <w:szCs w:val="24"/>
        </w:rPr>
        <w:t>, the customer will be required to pay for these investments twice</w:t>
      </w:r>
      <w:r w:rsidR="001E67C0">
        <w:rPr>
          <w:rFonts w:ascii="Arial" w:hAnsi="Arial" w:cs="Arial"/>
          <w:sz w:val="24"/>
          <w:szCs w:val="24"/>
        </w:rPr>
        <w:t>,</w:t>
      </w:r>
      <w:r w:rsidR="009E7F2E">
        <w:rPr>
          <w:rFonts w:ascii="Arial" w:hAnsi="Arial" w:cs="Arial"/>
          <w:sz w:val="24"/>
          <w:szCs w:val="24"/>
        </w:rPr>
        <w:t xml:space="preserve"> which is not consistent with sound regulatory policy</w:t>
      </w:r>
      <w:r w:rsidR="00467956">
        <w:rPr>
          <w:rFonts w:ascii="Arial" w:hAnsi="Arial" w:cs="Arial"/>
          <w:sz w:val="24"/>
          <w:szCs w:val="24"/>
        </w:rPr>
        <w:t>.</w:t>
      </w:r>
    </w:p>
    <w:p w14:paraId="67768669" w14:textId="77777777" w:rsidR="002829E9" w:rsidRPr="00D910EB" w:rsidRDefault="002829E9" w:rsidP="00301B0F">
      <w:pPr>
        <w:pStyle w:val="BodyText"/>
        <w:spacing w:line="480" w:lineRule="auto"/>
        <w:ind w:left="720" w:hanging="720"/>
        <w:jc w:val="both"/>
        <w:rPr>
          <w:rFonts w:ascii="Arial" w:hAnsi="Arial" w:cs="Arial"/>
          <w:b/>
          <w:sz w:val="24"/>
          <w:szCs w:val="24"/>
        </w:rPr>
      </w:pPr>
      <w:r w:rsidRPr="00D910EB">
        <w:rPr>
          <w:rFonts w:ascii="Arial" w:hAnsi="Arial" w:cs="Arial"/>
          <w:b/>
          <w:sz w:val="24"/>
          <w:szCs w:val="24"/>
        </w:rPr>
        <w:t>Q.</w:t>
      </w:r>
      <w:r w:rsidRPr="00D910EB">
        <w:rPr>
          <w:rFonts w:ascii="Arial" w:hAnsi="Arial" w:cs="Arial"/>
          <w:b/>
          <w:sz w:val="24"/>
          <w:szCs w:val="24"/>
        </w:rPr>
        <w:tab/>
        <w:t>Will you explain?</w:t>
      </w:r>
    </w:p>
    <w:p w14:paraId="6BC3B44B" w14:textId="55A62A10" w:rsidR="00F2033E" w:rsidRDefault="002829E9" w:rsidP="00301B0F">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577581">
        <w:rPr>
          <w:rFonts w:ascii="Arial" w:hAnsi="Arial" w:cs="Arial"/>
          <w:sz w:val="24"/>
          <w:szCs w:val="24"/>
        </w:rPr>
        <w:t xml:space="preserve">Let me </w:t>
      </w:r>
      <w:r w:rsidR="00DF755C">
        <w:rPr>
          <w:rFonts w:ascii="Arial" w:hAnsi="Arial" w:cs="Arial"/>
          <w:sz w:val="24"/>
          <w:szCs w:val="24"/>
        </w:rPr>
        <w:t xml:space="preserve">first </w:t>
      </w:r>
      <w:r w:rsidR="00577581">
        <w:rPr>
          <w:rFonts w:ascii="Arial" w:hAnsi="Arial" w:cs="Arial"/>
          <w:sz w:val="24"/>
          <w:szCs w:val="24"/>
        </w:rPr>
        <w:t xml:space="preserve">address the </w:t>
      </w:r>
      <w:r w:rsidR="00727395">
        <w:rPr>
          <w:rFonts w:ascii="Arial" w:hAnsi="Arial" w:cs="Arial"/>
          <w:sz w:val="24"/>
          <w:szCs w:val="24"/>
        </w:rPr>
        <w:t xml:space="preserve">DMR </w:t>
      </w:r>
      <w:r w:rsidR="00577581">
        <w:rPr>
          <w:rFonts w:ascii="Arial" w:hAnsi="Arial" w:cs="Arial"/>
          <w:sz w:val="24"/>
          <w:szCs w:val="24"/>
        </w:rPr>
        <w:t>funds collected for obligations on existing debt and di</w:t>
      </w:r>
      <w:r w:rsidR="00E84902">
        <w:rPr>
          <w:rFonts w:ascii="Arial" w:hAnsi="Arial" w:cs="Arial"/>
          <w:sz w:val="24"/>
          <w:szCs w:val="24"/>
        </w:rPr>
        <w:t>sc</w:t>
      </w:r>
      <w:r w:rsidR="00577581">
        <w:rPr>
          <w:rFonts w:ascii="Arial" w:hAnsi="Arial" w:cs="Arial"/>
          <w:sz w:val="24"/>
          <w:szCs w:val="24"/>
        </w:rPr>
        <w:t>re</w:t>
      </w:r>
      <w:r w:rsidR="00E84902">
        <w:rPr>
          <w:rFonts w:ascii="Arial" w:hAnsi="Arial" w:cs="Arial"/>
          <w:sz w:val="24"/>
          <w:szCs w:val="24"/>
        </w:rPr>
        <w:t>t</w:t>
      </w:r>
      <w:r w:rsidR="00577581">
        <w:rPr>
          <w:rFonts w:ascii="Arial" w:hAnsi="Arial" w:cs="Arial"/>
          <w:sz w:val="24"/>
          <w:szCs w:val="24"/>
        </w:rPr>
        <w:t>ionary debt prepayments</w:t>
      </w:r>
      <w:r w:rsidR="00140340">
        <w:rPr>
          <w:rFonts w:ascii="Arial" w:hAnsi="Arial" w:cs="Arial"/>
          <w:sz w:val="24"/>
          <w:szCs w:val="24"/>
        </w:rPr>
        <w:t xml:space="preserve"> to DP&amp;L</w:t>
      </w:r>
      <w:r w:rsidR="00577581">
        <w:rPr>
          <w:rFonts w:ascii="Arial" w:hAnsi="Arial" w:cs="Arial"/>
          <w:sz w:val="24"/>
          <w:szCs w:val="24"/>
        </w:rPr>
        <w:t xml:space="preserve">.  </w:t>
      </w:r>
      <w:r w:rsidR="001352C0">
        <w:rPr>
          <w:rFonts w:ascii="Arial" w:hAnsi="Arial" w:cs="Arial"/>
          <w:sz w:val="24"/>
          <w:szCs w:val="24"/>
        </w:rPr>
        <w:t xml:space="preserve">Debt is </w:t>
      </w:r>
      <w:r w:rsidR="00693786">
        <w:rPr>
          <w:rFonts w:ascii="Arial" w:hAnsi="Arial" w:cs="Arial"/>
          <w:sz w:val="24"/>
          <w:szCs w:val="24"/>
        </w:rPr>
        <w:t xml:space="preserve">fully </w:t>
      </w:r>
      <w:r w:rsidR="00577581">
        <w:rPr>
          <w:rFonts w:ascii="Arial" w:hAnsi="Arial" w:cs="Arial"/>
          <w:sz w:val="24"/>
          <w:szCs w:val="24"/>
        </w:rPr>
        <w:t>recovered through the regulatory calculation in a base rate case</w:t>
      </w:r>
      <w:r w:rsidR="00DF755C">
        <w:rPr>
          <w:rFonts w:ascii="Arial" w:hAnsi="Arial" w:cs="Arial"/>
          <w:sz w:val="24"/>
          <w:szCs w:val="24"/>
        </w:rPr>
        <w:t xml:space="preserve"> or through </w:t>
      </w:r>
      <w:r w:rsidR="00C809D2">
        <w:rPr>
          <w:rFonts w:ascii="Arial" w:hAnsi="Arial" w:cs="Arial"/>
          <w:sz w:val="24"/>
          <w:szCs w:val="24"/>
        </w:rPr>
        <w:t xml:space="preserve">a </w:t>
      </w:r>
      <w:r w:rsidR="00DF755C">
        <w:rPr>
          <w:rFonts w:ascii="Arial" w:hAnsi="Arial" w:cs="Arial"/>
          <w:sz w:val="24"/>
          <w:szCs w:val="24"/>
        </w:rPr>
        <w:t>rider recovery mechanism</w:t>
      </w:r>
      <w:r w:rsidR="00577581">
        <w:rPr>
          <w:rFonts w:ascii="Arial" w:hAnsi="Arial" w:cs="Arial"/>
          <w:sz w:val="24"/>
          <w:szCs w:val="24"/>
        </w:rPr>
        <w:t xml:space="preserve">.  The principle portion </w:t>
      </w:r>
      <w:r w:rsidR="00693786">
        <w:rPr>
          <w:rFonts w:ascii="Arial" w:hAnsi="Arial" w:cs="Arial"/>
          <w:sz w:val="24"/>
          <w:szCs w:val="24"/>
        </w:rPr>
        <w:t>of</w:t>
      </w:r>
      <w:r w:rsidR="00577581">
        <w:rPr>
          <w:rFonts w:ascii="Arial" w:hAnsi="Arial" w:cs="Arial"/>
          <w:sz w:val="24"/>
          <w:szCs w:val="24"/>
        </w:rPr>
        <w:t xml:space="preserve"> that debt is recovered when the utility company converts th</w:t>
      </w:r>
      <w:r w:rsidR="001357D7">
        <w:rPr>
          <w:rFonts w:ascii="Arial" w:hAnsi="Arial" w:cs="Arial"/>
          <w:sz w:val="24"/>
          <w:szCs w:val="24"/>
        </w:rPr>
        <w:t>at</w:t>
      </w:r>
      <w:r w:rsidR="00577581">
        <w:rPr>
          <w:rFonts w:ascii="Arial" w:hAnsi="Arial" w:cs="Arial"/>
          <w:sz w:val="24"/>
          <w:szCs w:val="24"/>
        </w:rPr>
        <w:t xml:space="preserve"> principle portion to an asset</w:t>
      </w:r>
      <w:r w:rsidR="00FF572E">
        <w:rPr>
          <w:rFonts w:ascii="Arial" w:hAnsi="Arial" w:cs="Arial"/>
          <w:sz w:val="24"/>
          <w:szCs w:val="24"/>
        </w:rPr>
        <w:t xml:space="preserve"> or uses the funds to operate and maintain the utility plant</w:t>
      </w:r>
      <w:r w:rsidR="00577581">
        <w:rPr>
          <w:rFonts w:ascii="Arial" w:hAnsi="Arial" w:cs="Arial"/>
          <w:sz w:val="24"/>
          <w:szCs w:val="24"/>
        </w:rPr>
        <w:t xml:space="preserve">. </w:t>
      </w:r>
      <w:r w:rsidR="00FF572E">
        <w:rPr>
          <w:rFonts w:ascii="Arial" w:hAnsi="Arial" w:cs="Arial"/>
          <w:sz w:val="24"/>
          <w:szCs w:val="24"/>
        </w:rPr>
        <w:t>If the use is to invest in an asset, t</w:t>
      </w:r>
      <w:r w:rsidR="00F2033E">
        <w:rPr>
          <w:rFonts w:ascii="Arial" w:hAnsi="Arial" w:cs="Arial"/>
          <w:sz w:val="24"/>
          <w:szCs w:val="24"/>
        </w:rPr>
        <w:t>he asset is depreciated over its useful life and expensed.</w:t>
      </w:r>
      <w:r w:rsidR="00F6496B">
        <w:rPr>
          <w:rFonts w:ascii="Arial" w:hAnsi="Arial" w:cs="Arial"/>
          <w:sz w:val="24"/>
          <w:szCs w:val="24"/>
        </w:rPr>
        <w:t xml:space="preserve">  As I mention above,</w:t>
      </w:r>
      <w:r w:rsidR="00F2033E">
        <w:rPr>
          <w:rFonts w:ascii="Arial" w:hAnsi="Arial" w:cs="Arial"/>
          <w:sz w:val="24"/>
          <w:szCs w:val="24"/>
        </w:rPr>
        <w:t xml:space="preserve"> </w:t>
      </w:r>
      <w:r w:rsidR="00F6496B">
        <w:rPr>
          <w:rFonts w:ascii="Arial" w:hAnsi="Arial" w:cs="Arial"/>
          <w:sz w:val="24"/>
          <w:szCs w:val="24"/>
        </w:rPr>
        <w:t>t</w:t>
      </w:r>
      <w:r w:rsidR="00F2033E">
        <w:rPr>
          <w:rFonts w:ascii="Arial" w:hAnsi="Arial" w:cs="Arial"/>
          <w:sz w:val="24"/>
          <w:szCs w:val="24"/>
        </w:rPr>
        <w:t xml:space="preserve">he depreciation expense is included in </w:t>
      </w:r>
      <w:r w:rsidR="001352C0">
        <w:rPr>
          <w:rFonts w:ascii="Arial" w:hAnsi="Arial" w:cs="Arial"/>
          <w:sz w:val="24"/>
          <w:szCs w:val="24"/>
        </w:rPr>
        <w:t>the</w:t>
      </w:r>
      <w:r w:rsidR="00F2033E">
        <w:rPr>
          <w:rFonts w:ascii="Arial" w:hAnsi="Arial" w:cs="Arial"/>
          <w:sz w:val="24"/>
          <w:szCs w:val="24"/>
        </w:rPr>
        <w:t xml:space="preserve"> revenue requirement as the return </w:t>
      </w:r>
      <w:r w:rsidR="00F2033E" w:rsidRPr="00E44667">
        <w:rPr>
          <w:rFonts w:ascii="Arial" w:hAnsi="Arial" w:cs="Arial"/>
          <w:sz w:val="24"/>
          <w:szCs w:val="24"/>
          <w:u w:val="single"/>
        </w:rPr>
        <w:t>of</w:t>
      </w:r>
      <w:r w:rsidR="00E44667" w:rsidRPr="00E44667">
        <w:rPr>
          <w:rFonts w:ascii="Arial" w:hAnsi="Arial" w:cs="Arial"/>
          <w:sz w:val="24"/>
          <w:szCs w:val="24"/>
        </w:rPr>
        <w:t xml:space="preserve"> the funds </w:t>
      </w:r>
      <w:r w:rsidR="00F2033E" w:rsidRPr="00E44667">
        <w:rPr>
          <w:rFonts w:ascii="Arial" w:hAnsi="Arial" w:cs="Arial"/>
          <w:sz w:val="24"/>
          <w:szCs w:val="24"/>
        </w:rPr>
        <w:t>invest</w:t>
      </w:r>
      <w:r w:rsidR="00E44667" w:rsidRPr="00E44667">
        <w:rPr>
          <w:rFonts w:ascii="Arial" w:hAnsi="Arial" w:cs="Arial"/>
          <w:sz w:val="24"/>
          <w:szCs w:val="24"/>
        </w:rPr>
        <w:t>ed</w:t>
      </w:r>
      <w:r w:rsidR="00F2033E">
        <w:rPr>
          <w:rFonts w:ascii="Arial" w:hAnsi="Arial" w:cs="Arial"/>
          <w:sz w:val="24"/>
          <w:szCs w:val="24"/>
        </w:rPr>
        <w:t xml:space="preserve">.  </w:t>
      </w:r>
      <w:r w:rsidR="00FF572E">
        <w:rPr>
          <w:rFonts w:ascii="Arial" w:hAnsi="Arial" w:cs="Arial"/>
          <w:sz w:val="24"/>
          <w:szCs w:val="24"/>
        </w:rPr>
        <w:t xml:space="preserve">If the use of the funds is to operate and maintain the plant, the operation and maintenance costs are </w:t>
      </w:r>
      <w:r w:rsidR="00C5010A">
        <w:rPr>
          <w:rFonts w:ascii="Arial" w:hAnsi="Arial" w:cs="Arial"/>
          <w:sz w:val="24"/>
          <w:szCs w:val="24"/>
        </w:rPr>
        <w:t>expensed,</w:t>
      </w:r>
      <w:r w:rsidR="00FF572E">
        <w:rPr>
          <w:rFonts w:ascii="Arial" w:hAnsi="Arial" w:cs="Arial"/>
          <w:sz w:val="24"/>
          <w:szCs w:val="24"/>
        </w:rPr>
        <w:t xml:space="preserve"> and those costs are also included in the revenue requirement calculation</w:t>
      </w:r>
      <w:r w:rsidR="00E44667">
        <w:rPr>
          <w:rFonts w:ascii="Arial" w:hAnsi="Arial" w:cs="Arial"/>
          <w:sz w:val="24"/>
          <w:szCs w:val="24"/>
        </w:rPr>
        <w:t xml:space="preserve">.  </w:t>
      </w:r>
      <w:r w:rsidR="00577581">
        <w:rPr>
          <w:rFonts w:ascii="Arial" w:hAnsi="Arial" w:cs="Arial"/>
          <w:sz w:val="24"/>
          <w:szCs w:val="24"/>
        </w:rPr>
        <w:t>The interest portion of the debt is included in the utility’s rate of return</w:t>
      </w:r>
      <w:r w:rsidR="00F2033E">
        <w:rPr>
          <w:rFonts w:ascii="Arial" w:hAnsi="Arial" w:cs="Arial"/>
          <w:sz w:val="24"/>
          <w:szCs w:val="24"/>
        </w:rPr>
        <w:t xml:space="preserve"> which is also included in DP&amp;L’s revenue requirement as the return </w:t>
      </w:r>
      <w:r w:rsidR="00F2033E" w:rsidRPr="001352C0">
        <w:rPr>
          <w:rFonts w:ascii="Arial" w:hAnsi="Arial" w:cs="Arial"/>
          <w:sz w:val="24"/>
          <w:szCs w:val="24"/>
          <w:u w:val="single"/>
        </w:rPr>
        <w:t>on</w:t>
      </w:r>
      <w:r w:rsidR="00F2033E">
        <w:rPr>
          <w:rFonts w:ascii="Arial" w:hAnsi="Arial" w:cs="Arial"/>
          <w:sz w:val="24"/>
          <w:szCs w:val="24"/>
        </w:rPr>
        <w:t xml:space="preserve"> </w:t>
      </w:r>
      <w:r w:rsidR="00E44667">
        <w:rPr>
          <w:rFonts w:ascii="Arial" w:hAnsi="Arial" w:cs="Arial"/>
          <w:sz w:val="24"/>
          <w:szCs w:val="24"/>
        </w:rPr>
        <w:t xml:space="preserve">the unrecovered </w:t>
      </w:r>
      <w:r w:rsidR="0063177D">
        <w:rPr>
          <w:rFonts w:ascii="Arial" w:hAnsi="Arial" w:cs="Arial"/>
          <w:sz w:val="24"/>
          <w:szCs w:val="24"/>
        </w:rPr>
        <w:t xml:space="preserve">funds </w:t>
      </w:r>
      <w:r w:rsidR="00F2033E">
        <w:rPr>
          <w:rFonts w:ascii="Arial" w:hAnsi="Arial" w:cs="Arial"/>
          <w:sz w:val="24"/>
          <w:szCs w:val="24"/>
        </w:rPr>
        <w:t>inves</w:t>
      </w:r>
      <w:r w:rsidR="0063177D">
        <w:rPr>
          <w:rFonts w:ascii="Arial" w:hAnsi="Arial" w:cs="Arial"/>
          <w:sz w:val="24"/>
          <w:szCs w:val="24"/>
        </w:rPr>
        <w:t>ted</w:t>
      </w:r>
      <w:r w:rsidR="00F2033E">
        <w:rPr>
          <w:rFonts w:ascii="Arial" w:hAnsi="Arial" w:cs="Arial"/>
          <w:sz w:val="24"/>
          <w:szCs w:val="24"/>
        </w:rPr>
        <w:t xml:space="preserve">.  </w:t>
      </w:r>
      <w:r w:rsidR="00C5010A">
        <w:rPr>
          <w:rFonts w:ascii="Arial" w:hAnsi="Arial" w:cs="Arial"/>
          <w:sz w:val="24"/>
          <w:szCs w:val="24"/>
        </w:rPr>
        <w:t>D</w:t>
      </w:r>
      <w:r w:rsidR="00577581">
        <w:rPr>
          <w:rFonts w:ascii="Arial" w:hAnsi="Arial" w:cs="Arial"/>
          <w:sz w:val="24"/>
          <w:szCs w:val="24"/>
        </w:rPr>
        <w:t>epreciation expense</w:t>
      </w:r>
      <w:r w:rsidR="00FF572E">
        <w:rPr>
          <w:rFonts w:ascii="Arial" w:hAnsi="Arial" w:cs="Arial"/>
          <w:sz w:val="24"/>
          <w:szCs w:val="24"/>
        </w:rPr>
        <w:t>, operation expense, maintenance expense</w:t>
      </w:r>
      <w:r w:rsidR="00577581">
        <w:rPr>
          <w:rFonts w:ascii="Arial" w:hAnsi="Arial" w:cs="Arial"/>
          <w:sz w:val="24"/>
          <w:szCs w:val="24"/>
        </w:rPr>
        <w:t xml:space="preserve"> and the rate of r</w:t>
      </w:r>
      <w:r w:rsidR="00F2033E">
        <w:rPr>
          <w:rFonts w:ascii="Arial" w:hAnsi="Arial" w:cs="Arial"/>
          <w:sz w:val="24"/>
          <w:szCs w:val="24"/>
        </w:rPr>
        <w:t xml:space="preserve">eturn </w:t>
      </w:r>
      <w:r w:rsidR="00577581">
        <w:rPr>
          <w:rFonts w:ascii="Arial" w:hAnsi="Arial" w:cs="Arial"/>
          <w:sz w:val="24"/>
          <w:szCs w:val="24"/>
        </w:rPr>
        <w:t xml:space="preserve">fully compensate </w:t>
      </w:r>
      <w:r w:rsidR="00F2033E">
        <w:rPr>
          <w:rFonts w:ascii="Arial" w:hAnsi="Arial" w:cs="Arial"/>
          <w:sz w:val="24"/>
          <w:szCs w:val="24"/>
        </w:rPr>
        <w:t>DP&amp;L</w:t>
      </w:r>
      <w:r w:rsidR="00577581">
        <w:rPr>
          <w:rFonts w:ascii="Arial" w:hAnsi="Arial" w:cs="Arial"/>
          <w:sz w:val="24"/>
          <w:szCs w:val="24"/>
        </w:rPr>
        <w:t xml:space="preserve"> for the borrowed funds</w:t>
      </w:r>
      <w:r w:rsidR="00E44667">
        <w:rPr>
          <w:rFonts w:ascii="Arial" w:hAnsi="Arial" w:cs="Arial"/>
          <w:sz w:val="24"/>
          <w:szCs w:val="24"/>
        </w:rPr>
        <w:t xml:space="preserve"> in a base rate case or a rider case</w:t>
      </w:r>
      <w:r w:rsidR="0063177D">
        <w:rPr>
          <w:rFonts w:ascii="Arial" w:hAnsi="Arial" w:cs="Arial"/>
          <w:sz w:val="24"/>
          <w:szCs w:val="24"/>
        </w:rPr>
        <w:t>.</w:t>
      </w:r>
    </w:p>
    <w:p w14:paraId="4DE87F81" w14:textId="7417914A" w:rsidR="00727395" w:rsidRDefault="00F2033E" w:rsidP="00301B0F">
      <w:pPr>
        <w:pStyle w:val="BodyText"/>
        <w:spacing w:line="480" w:lineRule="auto"/>
        <w:ind w:left="720" w:hanging="720"/>
        <w:jc w:val="both"/>
        <w:rPr>
          <w:rFonts w:ascii="Arial" w:hAnsi="Arial" w:cs="Arial"/>
          <w:sz w:val="24"/>
          <w:szCs w:val="24"/>
        </w:rPr>
      </w:pPr>
      <w:r>
        <w:rPr>
          <w:rFonts w:ascii="Arial" w:hAnsi="Arial" w:cs="Arial"/>
          <w:sz w:val="24"/>
          <w:szCs w:val="24"/>
        </w:rPr>
        <w:lastRenderedPageBreak/>
        <w:tab/>
      </w:r>
      <w:r w:rsidR="00727395">
        <w:rPr>
          <w:rFonts w:ascii="Arial" w:hAnsi="Arial" w:cs="Arial"/>
          <w:sz w:val="24"/>
          <w:szCs w:val="24"/>
        </w:rPr>
        <w:t xml:space="preserve">If the Commission doesn’t require proper accounting for this contribution, the </w:t>
      </w:r>
      <w:r w:rsidR="009E7F2E">
        <w:rPr>
          <w:rFonts w:ascii="Arial" w:hAnsi="Arial" w:cs="Arial"/>
          <w:sz w:val="24"/>
          <w:szCs w:val="24"/>
        </w:rPr>
        <w:t>DP&amp;L</w:t>
      </w:r>
      <w:r w:rsidR="00727395">
        <w:rPr>
          <w:rFonts w:ascii="Arial" w:hAnsi="Arial" w:cs="Arial"/>
          <w:sz w:val="24"/>
          <w:szCs w:val="24"/>
        </w:rPr>
        <w:t xml:space="preserve"> will recover the debt principle and/or its interest expense from ratepayers twice, first through the current rates where they are being fully compensated for debt and interest expense, and the second through the DMR.</w:t>
      </w:r>
    </w:p>
    <w:p w14:paraId="162622ED" w14:textId="77777777" w:rsidR="00301404" w:rsidRPr="008707C7" w:rsidRDefault="00301404" w:rsidP="00301404">
      <w:pPr>
        <w:pStyle w:val="BodyText"/>
        <w:spacing w:line="480" w:lineRule="auto"/>
        <w:ind w:left="720" w:hanging="720"/>
        <w:jc w:val="both"/>
        <w:rPr>
          <w:rFonts w:ascii="Arial" w:hAnsi="Arial" w:cs="Arial"/>
          <w:b/>
          <w:sz w:val="24"/>
          <w:szCs w:val="24"/>
        </w:rPr>
      </w:pPr>
      <w:r w:rsidRPr="008707C7">
        <w:rPr>
          <w:rFonts w:ascii="Arial" w:hAnsi="Arial" w:cs="Arial"/>
          <w:b/>
          <w:sz w:val="24"/>
          <w:szCs w:val="24"/>
        </w:rPr>
        <w:t>Q.</w:t>
      </w:r>
      <w:r w:rsidRPr="008707C7">
        <w:rPr>
          <w:rFonts w:ascii="Arial" w:hAnsi="Arial" w:cs="Arial"/>
          <w:b/>
          <w:sz w:val="24"/>
          <w:szCs w:val="24"/>
        </w:rPr>
        <w:tab/>
        <w:t>What about DMR funds that will be used to position DP&amp;L to make capital expenditures to modernize and/or maintain DP&amp;L’s transmission and distribution infrastructure?</w:t>
      </w:r>
    </w:p>
    <w:p w14:paraId="5016A893" w14:textId="7F846CBB" w:rsidR="00E21F7A" w:rsidRDefault="00DF755C" w:rsidP="00DF755C">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F74587">
        <w:rPr>
          <w:rFonts w:ascii="Arial" w:hAnsi="Arial" w:cs="Arial"/>
          <w:sz w:val="24"/>
          <w:szCs w:val="24"/>
        </w:rPr>
        <w:t xml:space="preserve">Whenever </w:t>
      </w:r>
      <w:r w:rsidR="00902D7F">
        <w:rPr>
          <w:rFonts w:ascii="Arial" w:hAnsi="Arial" w:cs="Arial"/>
          <w:sz w:val="24"/>
          <w:szCs w:val="24"/>
        </w:rPr>
        <w:t>customers</w:t>
      </w:r>
      <w:r w:rsidR="00F74587" w:rsidRPr="00F74587">
        <w:rPr>
          <w:rFonts w:ascii="Arial" w:hAnsi="Arial" w:cs="Arial"/>
          <w:sz w:val="24"/>
          <w:szCs w:val="24"/>
        </w:rPr>
        <w:t xml:space="preserve"> are required to prepay for plant investment or </w:t>
      </w:r>
      <w:r w:rsidR="00902D7F">
        <w:rPr>
          <w:rFonts w:ascii="Arial" w:hAnsi="Arial" w:cs="Arial"/>
          <w:sz w:val="24"/>
          <w:szCs w:val="24"/>
        </w:rPr>
        <w:t xml:space="preserve">fund its ability to </w:t>
      </w:r>
      <w:r w:rsidR="00F74587" w:rsidRPr="00F74587">
        <w:rPr>
          <w:rFonts w:ascii="Arial" w:hAnsi="Arial" w:cs="Arial"/>
          <w:sz w:val="24"/>
          <w:szCs w:val="24"/>
        </w:rPr>
        <w:t xml:space="preserve">position </w:t>
      </w:r>
      <w:r w:rsidR="00902D7F">
        <w:rPr>
          <w:rFonts w:ascii="Arial" w:hAnsi="Arial" w:cs="Arial"/>
          <w:sz w:val="24"/>
          <w:szCs w:val="24"/>
        </w:rPr>
        <w:t>itself</w:t>
      </w:r>
      <w:r w:rsidR="00F74587" w:rsidRPr="00F74587">
        <w:rPr>
          <w:rFonts w:ascii="Arial" w:hAnsi="Arial" w:cs="Arial"/>
          <w:sz w:val="24"/>
          <w:szCs w:val="24"/>
        </w:rPr>
        <w:t xml:space="preserve"> to invest in plant, the Commission must require the utility to account for those payments as </w:t>
      </w:r>
      <w:r w:rsidR="00F74587">
        <w:rPr>
          <w:rFonts w:ascii="Arial" w:hAnsi="Arial" w:cs="Arial"/>
          <w:sz w:val="24"/>
          <w:szCs w:val="24"/>
        </w:rPr>
        <w:t>a c</w:t>
      </w:r>
      <w:r w:rsidR="00F74587" w:rsidRPr="00F74587">
        <w:rPr>
          <w:rFonts w:ascii="Arial" w:hAnsi="Arial" w:cs="Arial"/>
          <w:sz w:val="24"/>
          <w:szCs w:val="24"/>
        </w:rPr>
        <w:t xml:space="preserve">ontributed </w:t>
      </w:r>
      <w:r w:rsidR="00F74587">
        <w:rPr>
          <w:rFonts w:ascii="Arial" w:hAnsi="Arial" w:cs="Arial"/>
          <w:sz w:val="24"/>
          <w:szCs w:val="24"/>
        </w:rPr>
        <w:t>c</w:t>
      </w:r>
      <w:r w:rsidR="00F74587" w:rsidRPr="00F74587">
        <w:rPr>
          <w:rFonts w:ascii="Arial" w:hAnsi="Arial" w:cs="Arial"/>
          <w:sz w:val="24"/>
          <w:szCs w:val="24"/>
        </w:rPr>
        <w:t>apital</w:t>
      </w:r>
      <w:r w:rsidR="0043414F">
        <w:rPr>
          <w:rFonts w:ascii="Arial" w:hAnsi="Arial" w:cs="Arial"/>
          <w:sz w:val="24"/>
          <w:szCs w:val="24"/>
        </w:rPr>
        <w:t xml:space="preserve"> e</w:t>
      </w:r>
      <w:r w:rsidR="001C58B3">
        <w:rPr>
          <w:rFonts w:ascii="Arial" w:hAnsi="Arial" w:cs="Arial"/>
          <w:sz w:val="24"/>
          <w:szCs w:val="24"/>
        </w:rPr>
        <w:t xml:space="preserve">ither </w:t>
      </w:r>
      <w:r w:rsidR="0043414F">
        <w:rPr>
          <w:rFonts w:ascii="Arial" w:hAnsi="Arial" w:cs="Arial"/>
          <w:sz w:val="24"/>
          <w:szCs w:val="24"/>
        </w:rPr>
        <w:t xml:space="preserve">as </w:t>
      </w:r>
      <w:r w:rsidR="001C58B3">
        <w:rPr>
          <w:rFonts w:ascii="Arial" w:hAnsi="Arial" w:cs="Arial"/>
          <w:sz w:val="24"/>
          <w:szCs w:val="24"/>
        </w:rPr>
        <w:t xml:space="preserve">customer advances for construction </w:t>
      </w:r>
      <w:r w:rsidR="0043414F">
        <w:rPr>
          <w:rFonts w:ascii="Arial" w:hAnsi="Arial" w:cs="Arial"/>
          <w:sz w:val="24"/>
          <w:szCs w:val="24"/>
        </w:rPr>
        <w:t>or as cont</w:t>
      </w:r>
      <w:r w:rsidRPr="00F74587">
        <w:rPr>
          <w:rFonts w:ascii="Arial" w:hAnsi="Arial" w:cs="Arial"/>
          <w:sz w:val="24"/>
          <w:szCs w:val="24"/>
        </w:rPr>
        <w:t xml:space="preserve">ributions in </w:t>
      </w:r>
      <w:r w:rsidR="001C58B3">
        <w:rPr>
          <w:rFonts w:ascii="Arial" w:hAnsi="Arial" w:cs="Arial"/>
          <w:sz w:val="24"/>
          <w:szCs w:val="24"/>
        </w:rPr>
        <w:t>a</w:t>
      </w:r>
      <w:r w:rsidRPr="00F74587">
        <w:rPr>
          <w:rFonts w:ascii="Arial" w:hAnsi="Arial" w:cs="Arial"/>
          <w:sz w:val="24"/>
          <w:szCs w:val="24"/>
        </w:rPr>
        <w:t xml:space="preserve">id of </w:t>
      </w:r>
      <w:r w:rsidR="001C58B3">
        <w:rPr>
          <w:rFonts w:ascii="Arial" w:hAnsi="Arial" w:cs="Arial"/>
          <w:sz w:val="24"/>
          <w:szCs w:val="24"/>
        </w:rPr>
        <w:t>c</w:t>
      </w:r>
      <w:r w:rsidRPr="00F74587">
        <w:rPr>
          <w:rFonts w:ascii="Arial" w:hAnsi="Arial" w:cs="Arial"/>
          <w:sz w:val="24"/>
          <w:szCs w:val="24"/>
        </w:rPr>
        <w:t>onstruction</w:t>
      </w:r>
      <w:r w:rsidR="00F74587">
        <w:rPr>
          <w:rFonts w:ascii="Arial" w:hAnsi="Arial" w:cs="Arial"/>
          <w:sz w:val="24"/>
          <w:szCs w:val="24"/>
        </w:rPr>
        <w:t>.</w:t>
      </w:r>
      <w:r w:rsidR="00F74587" w:rsidRPr="00F74587">
        <w:rPr>
          <w:rFonts w:ascii="Arial" w:hAnsi="Arial" w:cs="Arial"/>
          <w:sz w:val="24"/>
          <w:szCs w:val="24"/>
        </w:rPr>
        <w:t xml:space="preserve">  </w:t>
      </w:r>
      <w:r w:rsidRPr="00F74587">
        <w:rPr>
          <w:rFonts w:ascii="Arial" w:hAnsi="Arial" w:cs="Arial"/>
          <w:sz w:val="24"/>
          <w:szCs w:val="24"/>
        </w:rPr>
        <w:t>This is</w:t>
      </w:r>
      <w:r w:rsidR="00F74587" w:rsidRPr="00F74587">
        <w:rPr>
          <w:rFonts w:ascii="Arial" w:hAnsi="Arial" w:cs="Arial"/>
          <w:sz w:val="24"/>
          <w:szCs w:val="24"/>
        </w:rPr>
        <w:t xml:space="preserve"> standard </w:t>
      </w:r>
      <w:r w:rsidRPr="00F74587">
        <w:rPr>
          <w:rFonts w:ascii="Arial" w:hAnsi="Arial" w:cs="Arial"/>
          <w:sz w:val="24"/>
          <w:szCs w:val="24"/>
        </w:rPr>
        <w:t xml:space="preserve">accounting for funds </w:t>
      </w:r>
      <w:r w:rsidR="00902D7F">
        <w:rPr>
          <w:rFonts w:ascii="Arial" w:hAnsi="Arial" w:cs="Arial"/>
          <w:sz w:val="24"/>
          <w:szCs w:val="24"/>
        </w:rPr>
        <w:t xml:space="preserve">that are </w:t>
      </w:r>
      <w:r w:rsidRPr="00F74587">
        <w:rPr>
          <w:rFonts w:ascii="Arial" w:hAnsi="Arial" w:cs="Arial"/>
          <w:sz w:val="24"/>
          <w:szCs w:val="24"/>
        </w:rPr>
        <w:t xml:space="preserve">provided by customers to build plant.  </w:t>
      </w:r>
      <w:r w:rsidR="00E21F7A">
        <w:rPr>
          <w:rFonts w:ascii="Arial" w:hAnsi="Arial" w:cs="Arial"/>
          <w:sz w:val="24"/>
          <w:szCs w:val="24"/>
        </w:rPr>
        <w:t>If this contributed capital is a customer advance, DP&amp;L</w:t>
      </w:r>
      <w:r w:rsidRPr="00F74587">
        <w:rPr>
          <w:rFonts w:ascii="Arial" w:hAnsi="Arial" w:cs="Arial"/>
          <w:sz w:val="24"/>
          <w:szCs w:val="24"/>
        </w:rPr>
        <w:t xml:space="preserve"> </w:t>
      </w:r>
      <w:r w:rsidR="0046361C">
        <w:rPr>
          <w:rFonts w:ascii="Arial" w:hAnsi="Arial" w:cs="Arial"/>
          <w:sz w:val="24"/>
          <w:szCs w:val="24"/>
        </w:rPr>
        <w:t xml:space="preserve">should be required to </w:t>
      </w:r>
      <w:r w:rsidRPr="00F74587">
        <w:rPr>
          <w:rFonts w:ascii="Arial" w:hAnsi="Arial" w:cs="Arial"/>
          <w:sz w:val="24"/>
          <w:szCs w:val="24"/>
        </w:rPr>
        <w:t>debit</w:t>
      </w:r>
      <w:r w:rsidR="0046361C">
        <w:rPr>
          <w:rFonts w:ascii="Arial" w:hAnsi="Arial" w:cs="Arial"/>
          <w:sz w:val="24"/>
          <w:szCs w:val="24"/>
        </w:rPr>
        <w:t xml:space="preserve"> the </w:t>
      </w:r>
      <w:r w:rsidR="0046361C" w:rsidRPr="00F74587">
        <w:rPr>
          <w:rFonts w:ascii="Arial" w:hAnsi="Arial" w:cs="Arial"/>
          <w:sz w:val="24"/>
          <w:szCs w:val="24"/>
        </w:rPr>
        <w:t>cash</w:t>
      </w:r>
      <w:r w:rsidRPr="00F74587">
        <w:rPr>
          <w:rFonts w:ascii="Arial" w:hAnsi="Arial" w:cs="Arial"/>
          <w:sz w:val="24"/>
          <w:szCs w:val="24"/>
        </w:rPr>
        <w:t xml:space="preserve"> </w:t>
      </w:r>
      <w:r w:rsidR="0046361C">
        <w:rPr>
          <w:rFonts w:ascii="Arial" w:hAnsi="Arial" w:cs="Arial"/>
          <w:sz w:val="24"/>
          <w:szCs w:val="24"/>
        </w:rPr>
        <w:t xml:space="preserve">account </w:t>
      </w:r>
      <w:r w:rsidRPr="00F74587">
        <w:rPr>
          <w:rFonts w:ascii="Arial" w:hAnsi="Arial" w:cs="Arial"/>
          <w:sz w:val="24"/>
          <w:szCs w:val="24"/>
        </w:rPr>
        <w:t xml:space="preserve">and </w:t>
      </w:r>
      <w:r w:rsidR="0046361C">
        <w:rPr>
          <w:rFonts w:ascii="Arial" w:hAnsi="Arial" w:cs="Arial"/>
          <w:sz w:val="24"/>
          <w:szCs w:val="24"/>
        </w:rPr>
        <w:t xml:space="preserve">credit </w:t>
      </w:r>
      <w:r w:rsidR="0043414F">
        <w:rPr>
          <w:rFonts w:ascii="Arial" w:hAnsi="Arial" w:cs="Arial"/>
          <w:sz w:val="24"/>
          <w:szCs w:val="24"/>
        </w:rPr>
        <w:t>the</w:t>
      </w:r>
      <w:r w:rsidR="0046361C">
        <w:rPr>
          <w:rFonts w:ascii="Arial" w:hAnsi="Arial" w:cs="Arial"/>
          <w:sz w:val="24"/>
          <w:szCs w:val="24"/>
        </w:rPr>
        <w:t xml:space="preserve"> </w:t>
      </w:r>
      <w:r w:rsidR="00E21F7A">
        <w:rPr>
          <w:rFonts w:ascii="Arial" w:hAnsi="Arial" w:cs="Arial"/>
          <w:sz w:val="24"/>
          <w:szCs w:val="24"/>
        </w:rPr>
        <w:t>customer advance account</w:t>
      </w:r>
      <w:r w:rsidR="00301404">
        <w:rPr>
          <w:rFonts w:ascii="Arial" w:hAnsi="Arial" w:cs="Arial"/>
          <w:sz w:val="24"/>
          <w:szCs w:val="24"/>
        </w:rPr>
        <w:t xml:space="preserve"> when the DMR funds are received from ratepayers</w:t>
      </w:r>
      <w:r w:rsidR="0046361C">
        <w:rPr>
          <w:rFonts w:ascii="Arial" w:hAnsi="Arial" w:cs="Arial"/>
          <w:sz w:val="24"/>
          <w:szCs w:val="24"/>
        </w:rPr>
        <w:t>.</w:t>
      </w:r>
      <w:r w:rsidRPr="00F74587">
        <w:rPr>
          <w:rFonts w:ascii="Arial" w:hAnsi="Arial" w:cs="Arial"/>
          <w:sz w:val="24"/>
          <w:szCs w:val="24"/>
        </w:rPr>
        <w:t xml:space="preserve">  The </w:t>
      </w:r>
      <w:r w:rsidR="0046361C">
        <w:rPr>
          <w:rFonts w:ascii="Arial" w:hAnsi="Arial" w:cs="Arial"/>
          <w:sz w:val="24"/>
          <w:szCs w:val="24"/>
        </w:rPr>
        <w:t>contribution</w:t>
      </w:r>
      <w:r w:rsidRPr="00F74587">
        <w:rPr>
          <w:rFonts w:ascii="Arial" w:hAnsi="Arial" w:cs="Arial"/>
          <w:sz w:val="24"/>
          <w:szCs w:val="24"/>
        </w:rPr>
        <w:t xml:space="preserve"> </w:t>
      </w:r>
      <w:r w:rsidR="00C809D2">
        <w:rPr>
          <w:rFonts w:ascii="Arial" w:hAnsi="Arial" w:cs="Arial"/>
          <w:sz w:val="24"/>
          <w:szCs w:val="24"/>
        </w:rPr>
        <w:t xml:space="preserve">by customers should </w:t>
      </w:r>
      <w:r w:rsidRPr="00F74587">
        <w:rPr>
          <w:rFonts w:ascii="Arial" w:hAnsi="Arial" w:cs="Arial"/>
          <w:sz w:val="24"/>
          <w:szCs w:val="24"/>
        </w:rPr>
        <w:t>accumulate on the balance sheet</w:t>
      </w:r>
      <w:r w:rsidR="00F74587">
        <w:rPr>
          <w:rFonts w:ascii="Arial" w:hAnsi="Arial" w:cs="Arial"/>
          <w:sz w:val="24"/>
          <w:szCs w:val="24"/>
        </w:rPr>
        <w:t xml:space="preserve"> and</w:t>
      </w:r>
      <w:r w:rsidRPr="00F74587">
        <w:rPr>
          <w:rFonts w:ascii="Arial" w:hAnsi="Arial" w:cs="Arial"/>
          <w:sz w:val="24"/>
          <w:szCs w:val="24"/>
        </w:rPr>
        <w:t xml:space="preserve"> </w:t>
      </w:r>
      <w:r w:rsidR="00C809D2">
        <w:rPr>
          <w:rFonts w:ascii="Arial" w:hAnsi="Arial" w:cs="Arial"/>
          <w:sz w:val="24"/>
          <w:szCs w:val="24"/>
        </w:rPr>
        <w:t>will</w:t>
      </w:r>
      <w:r w:rsidRPr="00F74587">
        <w:rPr>
          <w:rFonts w:ascii="Arial" w:hAnsi="Arial" w:cs="Arial"/>
          <w:sz w:val="24"/>
          <w:szCs w:val="24"/>
        </w:rPr>
        <w:t xml:space="preserve"> used as a rate base offset in a future base rate case</w:t>
      </w:r>
      <w:r w:rsidR="00C809D2">
        <w:rPr>
          <w:rFonts w:ascii="Arial" w:hAnsi="Arial" w:cs="Arial"/>
          <w:sz w:val="24"/>
          <w:szCs w:val="24"/>
        </w:rPr>
        <w:t xml:space="preserve">.  The </w:t>
      </w:r>
      <w:r w:rsidRPr="00F74587">
        <w:rPr>
          <w:rFonts w:ascii="Arial" w:hAnsi="Arial" w:cs="Arial"/>
          <w:sz w:val="24"/>
          <w:szCs w:val="24"/>
        </w:rPr>
        <w:t>amortization of th</w:t>
      </w:r>
      <w:r w:rsidR="0046361C">
        <w:rPr>
          <w:rFonts w:ascii="Arial" w:hAnsi="Arial" w:cs="Arial"/>
          <w:sz w:val="24"/>
          <w:szCs w:val="24"/>
        </w:rPr>
        <w:t>e c</w:t>
      </w:r>
      <w:r w:rsidR="00E21F7A">
        <w:rPr>
          <w:rFonts w:ascii="Arial" w:hAnsi="Arial" w:cs="Arial"/>
          <w:sz w:val="24"/>
          <w:szCs w:val="24"/>
        </w:rPr>
        <w:t xml:space="preserve">ustomer advance </w:t>
      </w:r>
      <w:r w:rsidR="0046361C">
        <w:rPr>
          <w:rFonts w:ascii="Arial" w:hAnsi="Arial" w:cs="Arial"/>
          <w:sz w:val="24"/>
          <w:szCs w:val="24"/>
        </w:rPr>
        <w:t xml:space="preserve">account </w:t>
      </w:r>
      <w:r w:rsidR="00C809D2">
        <w:rPr>
          <w:rFonts w:ascii="Arial" w:hAnsi="Arial" w:cs="Arial"/>
          <w:sz w:val="24"/>
          <w:szCs w:val="24"/>
        </w:rPr>
        <w:t xml:space="preserve">should be </w:t>
      </w:r>
      <w:r w:rsidR="0046361C">
        <w:rPr>
          <w:rFonts w:ascii="Arial" w:hAnsi="Arial" w:cs="Arial"/>
          <w:sz w:val="24"/>
          <w:szCs w:val="24"/>
        </w:rPr>
        <w:t>used to off</w:t>
      </w:r>
      <w:r w:rsidRPr="00F74587">
        <w:rPr>
          <w:rFonts w:ascii="Arial" w:hAnsi="Arial" w:cs="Arial"/>
          <w:sz w:val="24"/>
          <w:szCs w:val="24"/>
        </w:rPr>
        <w:t xml:space="preserve">set the depreciation expense of the </w:t>
      </w:r>
      <w:r w:rsidR="0046361C">
        <w:rPr>
          <w:rFonts w:ascii="Arial" w:hAnsi="Arial" w:cs="Arial"/>
          <w:sz w:val="24"/>
          <w:szCs w:val="24"/>
        </w:rPr>
        <w:t>plant that the customers have already funded.</w:t>
      </w:r>
      <w:r w:rsidRPr="00F74587">
        <w:rPr>
          <w:rFonts w:ascii="Arial" w:hAnsi="Arial" w:cs="Arial"/>
          <w:sz w:val="24"/>
          <w:szCs w:val="24"/>
        </w:rPr>
        <w:t xml:space="preserve">  </w:t>
      </w:r>
      <w:r w:rsidR="0046361C">
        <w:rPr>
          <w:rFonts w:ascii="Arial" w:hAnsi="Arial" w:cs="Arial"/>
          <w:sz w:val="24"/>
          <w:szCs w:val="24"/>
        </w:rPr>
        <w:t xml:space="preserve">The </w:t>
      </w:r>
      <w:r w:rsidR="00C809D2">
        <w:rPr>
          <w:rFonts w:ascii="Arial" w:hAnsi="Arial" w:cs="Arial"/>
          <w:sz w:val="24"/>
          <w:szCs w:val="24"/>
        </w:rPr>
        <w:t xml:space="preserve">required accounting, the </w:t>
      </w:r>
      <w:r w:rsidR="0046361C">
        <w:rPr>
          <w:rFonts w:ascii="Arial" w:hAnsi="Arial" w:cs="Arial"/>
          <w:sz w:val="24"/>
          <w:szCs w:val="24"/>
        </w:rPr>
        <w:t xml:space="preserve">offset to rate base and </w:t>
      </w:r>
      <w:r w:rsidR="00C809D2">
        <w:rPr>
          <w:rFonts w:ascii="Arial" w:hAnsi="Arial" w:cs="Arial"/>
          <w:sz w:val="24"/>
          <w:szCs w:val="24"/>
        </w:rPr>
        <w:t xml:space="preserve">the amortization of the contributed capital </w:t>
      </w:r>
      <w:r w:rsidR="0046361C">
        <w:rPr>
          <w:rFonts w:ascii="Arial" w:hAnsi="Arial" w:cs="Arial"/>
          <w:sz w:val="24"/>
          <w:szCs w:val="24"/>
        </w:rPr>
        <w:t xml:space="preserve">is the mechanism that assures the ratepayer that they are not going to be asked to pay for their contributions twice.  </w:t>
      </w:r>
      <w:r w:rsidR="00E21F7A">
        <w:rPr>
          <w:rFonts w:ascii="Arial" w:hAnsi="Arial" w:cs="Arial"/>
          <w:sz w:val="24"/>
          <w:szCs w:val="24"/>
        </w:rPr>
        <w:t>If the contributed capital is a contribution in aid of construction, the contribution should be used to offset the plant in service balance.</w:t>
      </w:r>
    </w:p>
    <w:p w14:paraId="104DFE60" w14:textId="369B25E3" w:rsidR="00DF755C" w:rsidRDefault="00E21F7A" w:rsidP="00DF755C">
      <w:pPr>
        <w:pStyle w:val="BodyText"/>
        <w:spacing w:line="480" w:lineRule="auto"/>
        <w:ind w:left="720" w:hanging="720"/>
        <w:jc w:val="both"/>
        <w:rPr>
          <w:rFonts w:ascii="Arial" w:hAnsi="Arial" w:cs="Arial"/>
          <w:sz w:val="24"/>
          <w:szCs w:val="24"/>
        </w:rPr>
      </w:pPr>
      <w:r>
        <w:rPr>
          <w:rFonts w:ascii="Arial" w:hAnsi="Arial" w:cs="Arial"/>
          <w:sz w:val="24"/>
          <w:szCs w:val="24"/>
        </w:rPr>
        <w:lastRenderedPageBreak/>
        <w:tab/>
      </w:r>
      <w:r w:rsidR="0046361C">
        <w:rPr>
          <w:rFonts w:ascii="Arial" w:hAnsi="Arial" w:cs="Arial"/>
          <w:sz w:val="24"/>
          <w:szCs w:val="24"/>
        </w:rPr>
        <w:t xml:space="preserve">Without this accounting </w:t>
      </w:r>
      <w:r>
        <w:rPr>
          <w:rFonts w:ascii="Arial" w:hAnsi="Arial" w:cs="Arial"/>
          <w:sz w:val="24"/>
          <w:szCs w:val="24"/>
        </w:rPr>
        <w:t>treatment</w:t>
      </w:r>
      <w:r w:rsidR="0046361C">
        <w:rPr>
          <w:rFonts w:ascii="Arial" w:hAnsi="Arial" w:cs="Arial"/>
          <w:sz w:val="24"/>
          <w:szCs w:val="24"/>
        </w:rPr>
        <w:t>, the utility could account for these funds as revenue and pass the equity directly on to the shareholders</w:t>
      </w:r>
      <w:r w:rsidR="00C809D2">
        <w:rPr>
          <w:rFonts w:ascii="Arial" w:hAnsi="Arial" w:cs="Arial"/>
          <w:sz w:val="24"/>
          <w:szCs w:val="24"/>
        </w:rPr>
        <w:t xml:space="preserve"> and the ratepayer will be required to pay for its own investment </w:t>
      </w:r>
      <w:r>
        <w:rPr>
          <w:rFonts w:ascii="Arial" w:hAnsi="Arial" w:cs="Arial"/>
          <w:sz w:val="24"/>
          <w:szCs w:val="24"/>
        </w:rPr>
        <w:t>twice</w:t>
      </w:r>
      <w:r w:rsidR="00C809D2">
        <w:rPr>
          <w:rFonts w:ascii="Arial" w:hAnsi="Arial" w:cs="Arial"/>
          <w:sz w:val="24"/>
          <w:szCs w:val="24"/>
        </w:rPr>
        <w:t>.</w:t>
      </w:r>
      <w:r>
        <w:rPr>
          <w:rFonts w:ascii="Arial" w:hAnsi="Arial" w:cs="Arial"/>
          <w:sz w:val="24"/>
          <w:szCs w:val="24"/>
        </w:rPr>
        <w:t xml:space="preserve">  Once through the DMR and the second time when the investment is included in the rate base and depreciated.</w:t>
      </w:r>
    </w:p>
    <w:p w14:paraId="22E09188" w14:textId="1FCD8354" w:rsidR="00A01D1A" w:rsidRPr="00A01D1A" w:rsidRDefault="008707C7" w:rsidP="00A01D1A">
      <w:pPr>
        <w:keepNext/>
        <w:spacing w:line="480" w:lineRule="auto"/>
        <w:rPr>
          <w:rFonts w:ascii="Arial" w:hAnsi="Arial" w:cs="Arial"/>
          <w:b/>
        </w:rPr>
      </w:pPr>
      <w:r>
        <w:rPr>
          <w:rFonts w:ascii="Arial" w:hAnsi="Arial" w:cs="Arial"/>
          <w:b/>
        </w:rPr>
        <w:t>VII.</w:t>
      </w:r>
      <w:r>
        <w:rPr>
          <w:rFonts w:ascii="Arial" w:hAnsi="Arial" w:cs="Arial"/>
          <w:b/>
        </w:rPr>
        <w:tab/>
      </w:r>
      <w:r w:rsidRPr="00A01D1A">
        <w:rPr>
          <w:rFonts w:ascii="Arial" w:hAnsi="Arial" w:cs="Arial"/>
          <w:b/>
        </w:rPr>
        <w:t>THE ESP VS. MRO TEST</w:t>
      </w:r>
    </w:p>
    <w:p w14:paraId="6FD650CF" w14:textId="7612047C" w:rsidR="00A01D1A" w:rsidRDefault="00A01D1A" w:rsidP="00DF755C">
      <w:pPr>
        <w:pStyle w:val="BodyText"/>
        <w:spacing w:line="480" w:lineRule="auto"/>
        <w:ind w:left="720" w:hanging="720"/>
        <w:jc w:val="both"/>
        <w:rPr>
          <w:rFonts w:ascii="Arial" w:hAnsi="Arial" w:cs="Arial"/>
          <w:b/>
          <w:sz w:val="24"/>
          <w:szCs w:val="24"/>
        </w:rPr>
      </w:pPr>
      <w:r w:rsidRPr="00261AAE">
        <w:rPr>
          <w:rFonts w:ascii="Arial" w:hAnsi="Arial" w:cs="Arial"/>
          <w:b/>
          <w:sz w:val="24"/>
          <w:szCs w:val="24"/>
        </w:rPr>
        <w:t>Q.</w:t>
      </w:r>
      <w:r w:rsidRPr="00261AAE">
        <w:rPr>
          <w:rFonts w:ascii="Arial" w:hAnsi="Arial" w:cs="Arial"/>
          <w:b/>
          <w:sz w:val="24"/>
          <w:szCs w:val="24"/>
        </w:rPr>
        <w:tab/>
        <w:t>What</w:t>
      </w:r>
      <w:r w:rsidRPr="00A01D1A">
        <w:rPr>
          <w:rFonts w:ascii="Arial" w:hAnsi="Arial" w:cs="Arial"/>
          <w:b/>
          <w:sz w:val="24"/>
          <w:szCs w:val="24"/>
        </w:rPr>
        <w:t xml:space="preserve"> is the ESP vs. MRO Test?</w:t>
      </w:r>
    </w:p>
    <w:p w14:paraId="710040FC" w14:textId="78689C9E" w:rsidR="00A01D1A" w:rsidRDefault="00A01D1A" w:rsidP="00A01D1A">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F234E9" w:rsidRPr="00F234E9">
        <w:rPr>
          <w:rFonts w:ascii="Arial" w:hAnsi="Arial" w:cs="Arial"/>
          <w:sz w:val="24"/>
          <w:szCs w:val="24"/>
        </w:rPr>
        <w:t xml:space="preserve">Ohio law requires each EDU “to provide consumers, on a comparable and nondiscriminatory basis within its certified territory, a standard service offer of all competitive retail electric services necessary to maintain essential electric service to consumers, including a firm supply of electric generation service.”  </w:t>
      </w:r>
      <w:r w:rsidR="00F234E9" w:rsidRPr="00A01D1A">
        <w:rPr>
          <w:rFonts w:ascii="Arial" w:hAnsi="Arial" w:cs="Arial"/>
          <w:sz w:val="24"/>
          <w:szCs w:val="24"/>
        </w:rPr>
        <w:t xml:space="preserve">With the passage of SB 221, </w:t>
      </w:r>
      <w:r w:rsidR="00F234E9" w:rsidRPr="00F234E9">
        <w:rPr>
          <w:rFonts w:ascii="Arial" w:hAnsi="Arial" w:cs="Arial"/>
          <w:sz w:val="24"/>
          <w:szCs w:val="24"/>
        </w:rPr>
        <w:t xml:space="preserve">EDU’s were given the choice of establishing the SSO through an </w:t>
      </w:r>
      <w:r w:rsidR="00F234E9">
        <w:rPr>
          <w:rFonts w:ascii="Arial" w:hAnsi="Arial" w:cs="Arial"/>
          <w:sz w:val="24"/>
          <w:szCs w:val="24"/>
        </w:rPr>
        <w:t>electric security plan (</w:t>
      </w:r>
      <w:r w:rsidR="00F234E9" w:rsidRPr="00F234E9">
        <w:rPr>
          <w:rFonts w:ascii="Arial" w:hAnsi="Arial" w:cs="Arial"/>
          <w:sz w:val="24"/>
          <w:szCs w:val="24"/>
        </w:rPr>
        <w:t>ESP</w:t>
      </w:r>
      <w:r w:rsidR="00F234E9">
        <w:rPr>
          <w:rFonts w:ascii="Arial" w:hAnsi="Arial" w:cs="Arial"/>
          <w:sz w:val="24"/>
          <w:szCs w:val="24"/>
        </w:rPr>
        <w:t>)</w:t>
      </w:r>
      <w:r w:rsidR="00F234E9" w:rsidRPr="00F234E9">
        <w:rPr>
          <w:rFonts w:ascii="Arial" w:hAnsi="Arial" w:cs="Arial"/>
          <w:sz w:val="24"/>
          <w:szCs w:val="24"/>
        </w:rPr>
        <w:t xml:space="preserve"> or </w:t>
      </w:r>
      <w:r w:rsidR="007075F8" w:rsidRPr="00F234E9">
        <w:rPr>
          <w:rFonts w:ascii="Arial" w:hAnsi="Arial" w:cs="Arial"/>
          <w:sz w:val="24"/>
          <w:szCs w:val="24"/>
        </w:rPr>
        <w:t>a</w:t>
      </w:r>
      <w:r w:rsidR="00F234E9" w:rsidRPr="00F234E9">
        <w:rPr>
          <w:rFonts w:ascii="Arial" w:hAnsi="Arial" w:cs="Arial"/>
          <w:sz w:val="24"/>
          <w:szCs w:val="24"/>
        </w:rPr>
        <w:t xml:space="preserve"> </w:t>
      </w:r>
      <w:r w:rsidR="00F234E9">
        <w:rPr>
          <w:rFonts w:ascii="Arial" w:hAnsi="Arial" w:cs="Arial"/>
          <w:sz w:val="24"/>
          <w:szCs w:val="24"/>
        </w:rPr>
        <w:t>market rate offer (</w:t>
      </w:r>
      <w:r w:rsidR="00F234E9" w:rsidRPr="00F234E9">
        <w:rPr>
          <w:rFonts w:ascii="Arial" w:hAnsi="Arial" w:cs="Arial"/>
          <w:sz w:val="24"/>
          <w:szCs w:val="24"/>
        </w:rPr>
        <w:t>MRO</w:t>
      </w:r>
      <w:r w:rsidR="00F234E9">
        <w:rPr>
          <w:rFonts w:ascii="Arial" w:hAnsi="Arial" w:cs="Arial"/>
          <w:sz w:val="24"/>
          <w:szCs w:val="24"/>
        </w:rPr>
        <w:t>)</w:t>
      </w:r>
      <w:r w:rsidR="00F234E9" w:rsidRPr="00F234E9">
        <w:rPr>
          <w:rFonts w:ascii="Arial" w:hAnsi="Arial" w:cs="Arial"/>
          <w:sz w:val="24"/>
          <w:szCs w:val="24"/>
        </w:rPr>
        <w:t xml:space="preserve">.  </w:t>
      </w:r>
      <w:r w:rsidR="00F234E9">
        <w:rPr>
          <w:rFonts w:ascii="Arial" w:hAnsi="Arial" w:cs="Arial"/>
          <w:sz w:val="24"/>
          <w:szCs w:val="24"/>
        </w:rPr>
        <w:t>T</w:t>
      </w:r>
      <w:r w:rsidR="00F234E9" w:rsidRPr="00A01D1A">
        <w:rPr>
          <w:rFonts w:ascii="Arial" w:hAnsi="Arial" w:cs="Arial"/>
          <w:sz w:val="24"/>
          <w:szCs w:val="24"/>
        </w:rPr>
        <w:t>he General Assembly required the outcome of an ESP</w:t>
      </w:r>
      <w:r w:rsidR="00F234E9">
        <w:rPr>
          <w:rFonts w:ascii="Arial" w:hAnsi="Arial" w:cs="Arial"/>
          <w:sz w:val="24"/>
          <w:szCs w:val="24"/>
        </w:rPr>
        <w:t>,</w:t>
      </w:r>
      <w:r w:rsidR="00F234E9" w:rsidRPr="00A01D1A">
        <w:rPr>
          <w:rFonts w:ascii="Arial" w:hAnsi="Arial" w:cs="Arial"/>
          <w:sz w:val="24"/>
          <w:szCs w:val="24"/>
        </w:rPr>
        <w:t xml:space="preserve"> including its pricing and all other terms and conditions</w:t>
      </w:r>
      <w:r w:rsidR="00F234E9">
        <w:rPr>
          <w:rFonts w:ascii="Arial" w:hAnsi="Arial" w:cs="Arial"/>
          <w:sz w:val="24"/>
          <w:szCs w:val="24"/>
        </w:rPr>
        <w:t>,</w:t>
      </w:r>
      <w:r w:rsidR="00F234E9" w:rsidRPr="00A01D1A">
        <w:rPr>
          <w:rFonts w:ascii="Arial" w:hAnsi="Arial" w:cs="Arial"/>
          <w:sz w:val="24"/>
          <w:szCs w:val="24"/>
        </w:rPr>
        <w:t xml:space="preserve"> to be more favorable than the result that would otherwise apply under </w:t>
      </w:r>
      <w:r w:rsidR="00F234E9">
        <w:rPr>
          <w:rFonts w:ascii="Arial" w:hAnsi="Arial" w:cs="Arial"/>
          <w:sz w:val="24"/>
          <w:szCs w:val="24"/>
        </w:rPr>
        <w:t>the</w:t>
      </w:r>
      <w:r w:rsidR="00F234E9" w:rsidRPr="00A01D1A">
        <w:rPr>
          <w:rFonts w:ascii="Arial" w:hAnsi="Arial" w:cs="Arial"/>
          <w:sz w:val="24"/>
          <w:szCs w:val="24"/>
        </w:rPr>
        <w:t xml:space="preserve"> market rate authorized under</w:t>
      </w:r>
      <w:r w:rsidR="00F234E9">
        <w:rPr>
          <w:rFonts w:ascii="Arial" w:hAnsi="Arial" w:cs="Arial"/>
          <w:sz w:val="24"/>
          <w:szCs w:val="24"/>
        </w:rPr>
        <w:t xml:space="preserve"> an MRO. T</w:t>
      </w:r>
      <w:r w:rsidR="00F234E9" w:rsidRPr="00F234E9">
        <w:rPr>
          <w:rFonts w:ascii="Arial" w:hAnsi="Arial" w:cs="Arial"/>
          <w:sz w:val="24"/>
          <w:szCs w:val="24"/>
        </w:rPr>
        <w:t>he price comparison test does not apply if the EDU files an MRO, it only applies if the EDU files an ESP</w:t>
      </w:r>
      <w:r w:rsidR="00F234E9">
        <w:rPr>
          <w:rFonts w:ascii="Arial" w:hAnsi="Arial" w:cs="Arial"/>
          <w:sz w:val="24"/>
          <w:szCs w:val="24"/>
        </w:rPr>
        <w:t xml:space="preserve"> </w:t>
      </w:r>
    </w:p>
    <w:p w14:paraId="3B9E5B9A" w14:textId="77777777" w:rsidR="00A01D1A" w:rsidRPr="00A01D1A" w:rsidRDefault="00A01D1A" w:rsidP="00A01D1A">
      <w:pPr>
        <w:pStyle w:val="BodyText"/>
        <w:spacing w:line="480" w:lineRule="auto"/>
        <w:ind w:left="720" w:hanging="720"/>
        <w:jc w:val="both"/>
        <w:rPr>
          <w:rFonts w:ascii="Arial" w:hAnsi="Arial" w:cs="Arial"/>
          <w:b/>
          <w:sz w:val="24"/>
          <w:szCs w:val="24"/>
        </w:rPr>
      </w:pPr>
      <w:r w:rsidRPr="00261AAE">
        <w:rPr>
          <w:rFonts w:ascii="Arial" w:hAnsi="Arial" w:cs="Arial"/>
          <w:b/>
          <w:sz w:val="24"/>
          <w:szCs w:val="24"/>
        </w:rPr>
        <w:t>Q.</w:t>
      </w:r>
      <w:r w:rsidRPr="00261AAE">
        <w:rPr>
          <w:rFonts w:ascii="Arial" w:hAnsi="Arial" w:cs="Arial"/>
          <w:b/>
          <w:sz w:val="24"/>
          <w:szCs w:val="24"/>
        </w:rPr>
        <w:tab/>
      </w:r>
      <w:r w:rsidRPr="00A01D1A">
        <w:rPr>
          <w:rFonts w:ascii="Arial" w:hAnsi="Arial" w:cs="Arial"/>
          <w:b/>
          <w:sz w:val="24"/>
          <w:szCs w:val="24"/>
        </w:rPr>
        <w:t>Why would an ESP have to be more favorable than an MRO?</w:t>
      </w:r>
    </w:p>
    <w:p w14:paraId="16C51C75" w14:textId="2EF041AA" w:rsidR="00A01D1A" w:rsidRPr="00A01D1A" w:rsidRDefault="00A01D1A" w:rsidP="00A01D1A">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A01D1A">
        <w:rPr>
          <w:rFonts w:ascii="Arial" w:hAnsi="Arial" w:cs="Arial"/>
          <w:sz w:val="24"/>
          <w:szCs w:val="24"/>
        </w:rPr>
        <w:t xml:space="preserve">In order to understand the intent of this provision in the statute, historical context is necessary.  </w:t>
      </w:r>
      <w:r w:rsidR="00F234E9">
        <w:rPr>
          <w:rFonts w:ascii="Arial" w:hAnsi="Arial" w:cs="Arial"/>
          <w:sz w:val="24"/>
          <w:szCs w:val="24"/>
        </w:rPr>
        <w:t xml:space="preserve">As I stated above, an ESP and an MRO </w:t>
      </w:r>
      <w:r w:rsidRPr="00A01D1A">
        <w:rPr>
          <w:rFonts w:ascii="Arial" w:hAnsi="Arial" w:cs="Arial"/>
          <w:sz w:val="24"/>
          <w:szCs w:val="24"/>
        </w:rPr>
        <w:t xml:space="preserve">are the result of SB 221, which was passed in July of 2008.  At the time, </w:t>
      </w:r>
      <w:r>
        <w:rPr>
          <w:rFonts w:ascii="Arial" w:hAnsi="Arial" w:cs="Arial"/>
          <w:sz w:val="24"/>
          <w:szCs w:val="24"/>
        </w:rPr>
        <w:t xml:space="preserve">the EDUs were all providing service under Commission authorized rate stabilization plans </w:t>
      </w:r>
      <w:r w:rsidRPr="00A01D1A">
        <w:rPr>
          <w:rFonts w:ascii="Arial" w:hAnsi="Arial" w:cs="Arial"/>
          <w:sz w:val="24"/>
          <w:szCs w:val="24"/>
        </w:rPr>
        <w:t xml:space="preserve">which were put into place to ensure stable and reasonably priced default service prices.   </w:t>
      </w:r>
      <w:r>
        <w:rPr>
          <w:rFonts w:ascii="Arial" w:hAnsi="Arial" w:cs="Arial"/>
          <w:sz w:val="24"/>
          <w:szCs w:val="24"/>
        </w:rPr>
        <w:t xml:space="preserve">The AEP </w:t>
      </w:r>
      <w:r w:rsidR="00D517BE">
        <w:rPr>
          <w:rFonts w:ascii="Arial" w:hAnsi="Arial" w:cs="Arial"/>
          <w:sz w:val="24"/>
          <w:szCs w:val="24"/>
        </w:rPr>
        <w:t>EDUs</w:t>
      </w:r>
      <w:r>
        <w:rPr>
          <w:rFonts w:ascii="Arial" w:hAnsi="Arial" w:cs="Arial"/>
          <w:sz w:val="24"/>
          <w:szCs w:val="24"/>
        </w:rPr>
        <w:t xml:space="preserve">, Duke </w:t>
      </w:r>
      <w:r>
        <w:rPr>
          <w:rFonts w:ascii="Arial" w:hAnsi="Arial" w:cs="Arial"/>
          <w:sz w:val="24"/>
          <w:szCs w:val="24"/>
        </w:rPr>
        <w:lastRenderedPageBreak/>
        <w:t xml:space="preserve">and </w:t>
      </w:r>
      <w:r w:rsidR="00D517BE">
        <w:rPr>
          <w:rFonts w:ascii="Arial" w:hAnsi="Arial" w:cs="Arial"/>
          <w:sz w:val="24"/>
          <w:szCs w:val="24"/>
        </w:rPr>
        <w:t xml:space="preserve">DP&amp;L were still vertically integrated and were providing the standard service with their own generation.  The three First Energy EDUs were providing the standard service offer through its affiliate, FES.  </w:t>
      </w:r>
      <w:r w:rsidRPr="00A01D1A">
        <w:rPr>
          <w:rFonts w:ascii="Arial" w:hAnsi="Arial" w:cs="Arial"/>
          <w:sz w:val="24"/>
          <w:szCs w:val="24"/>
        </w:rPr>
        <w:t xml:space="preserve">Customer demand was rising steadily, as were wholesale electric prices.  Although there was still a preference for the provision of competitive services by the competitive market, the General Assembly provided a means through which EDUs could </w:t>
      </w:r>
      <w:r w:rsidR="00D517BE">
        <w:rPr>
          <w:rFonts w:ascii="Arial" w:hAnsi="Arial" w:cs="Arial"/>
          <w:sz w:val="24"/>
          <w:szCs w:val="24"/>
        </w:rPr>
        <w:t xml:space="preserve">continue to </w:t>
      </w:r>
      <w:r w:rsidRPr="00A01D1A">
        <w:rPr>
          <w:rFonts w:ascii="Arial" w:hAnsi="Arial" w:cs="Arial"/>
          <w:sz w:val="24"/>
          <w:szCs w:val="24"/>
        </w:rPr>
        <w:t xml:space="preserve">provide retail electric generation service to customers in their service territory if that service was priced more favorably than the outcome that would otherwise apply in a fully market-based paradigm.  At the time of SB 221, the EDUs with generation relied predominantly on coal-fired generation, with embedded cost of </w:t>
      </w:r>
      <w:r w:rsidR="00D517BE">
        <w:rPr>
          <w:rFonts w:ascii="Arial" w:hAnsi="Arial" w:cs="Arial"/>
          <w:sz w:val="24"/>
          <w:szCs w:val="24"/>
        </w:rPr>
        <w:t>service</w:t>
      </w:r>
      <w:r w:rsidRPr="00A01D1A">
        <w:rPr>
          <w:rFonts w:ascii="Arial" w:hAnsi="Arial" w:cs="Arial"/>
          <w:sz w:val="24"/>
          <w:szCs w:val="24"/>
        </w:rPr>
        <w:t xml:space="preserve"> that were competitive against the market.  EDUs that owned coal-fired assets in 2008 could provide SSO services at prices that were below the otherwise applicable market price.  </w:t>
      </w:r>
    </w:p>
    <w:p w14:paraId="21E80A6C" w14:textId="095D1794" w:rsidR="00A01D1A" w:rsidRDefault="00D517BE" w:rsidP="00A01D1A">
      <w:pPr>
        <w:pStyle w:val="BodyText"/>
        <w:spacing w:line="480" w:lineRule="auto"/>
        <w:ind w:left="720" w:hanging="720"/>
        <w:jc w:val="both"/>
        <w:rPr>
          <w:rFonts w:ascii="Arial" w:hAnsi="Arial" w:cs="Arial"/>
          <w:b/>
          <w:sz w:val="24"/>
          <w:szCs w:val="24"/>
        </w:rPr>
      </w:pPr>
      <w:r w:rsidRPr="00976ADC">
        <w:rPr>
          <w:rFonts w:ascii="Arial" w:hAnsi="Arial" w:cs="Arial"/>
          <w:b/>
          <w:sz w:val="24"/>
          <w:szCs w:val="24"/>
        </w:rPr>
        <w:t>Q.</w:t>
      </w:r>
      <w:r w:rsidRPr="00976ADC">
        <w:rPr>
          <w:rFonts w:ascii="Arial" w:hAnsi="Arial" w:cs="Arial"/>
          <w:b/>
          <w:sz w:val="24"/>
          <w:szCs w:val="24"/>
        </w:rPr>
        <w:tab/>
      </w:r>
      <w:r w:rsidR="00EB7C3E" w:rsidRPr="00976ADC">
        <w:rPr>
          <w:rFonts w:ascii="Arial" w:hAnsi="Arial" w:cs="Arial"/>
          <w:b/>
          <w:sz w:val="24"/>
          <w:szCs w:val="24"/>
        </w:rPr>
        <w:t>What pricing</w:t>
      </w:r>
      <w:r w:rsidR="00EB7C3E" w:rsidRPr="00EB7C3E">
        <w:rPr>
          <w:rFonts w:ascii="Arial" w:hAnsi="Arial" w:cs="Arial"/>
          <w:b/>
          <w:sz w:val="24"/>
          <w:szCs w:val="24"/>
        </w:rPr>
        <w:t xml:space="preserve"> and terms may be included within an MRO?</w:t>
      </w:r>
    </w:p>
    <w:p w14:paraId="22D48484" w14:textId="009CF915" w:rsidR="00EB7C3E" w:rsidRPr="00EB7C3E" w:rsidRDefault="00D517BE" w:rsidP="00EB7C3E">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EB7C3E">
        <w:rPr>
          <w:rFonts w:ascii="Arial" w:hAnsi="Arial" w:cs="Arial"/>
          <w:sz w:val="24"/>
          <w:szCs w:val="24"/>
        </w:rPr>
        <w:t>A</w:t>
      </w:r>
      <w:r w:rsidR="00EB7C3E" w:rsidRPr="00EB7C3E">
        <w:rPr>
          <w:rFonts w:ascii="Arial" w:hAnsi="Arial" w:cs="Arial"/>
          <w:sz w:val="24"/>
          <w:szCs w:val="24"/>
        </w:rPr>
        <w:t xml:space="preserve">n MRO facilitates market-based SSO pricing for retail electric generation through a competitive bidding process.  The first application filed by an EDU that owns generating assets </w:t>
      </w:r>
      <w:r w:rsidR="007E0EF6">
        <w:rPr>
          <w:rFonts w:ascii="Arial" w:hAnsi="Arial" w:cs="Arial"/>
          <w:sz w:val="24"/>
          <w:szCs w:val="24"/>
        </w:rPr>
        <w:t xml:space="preserve">as of July 31, 2008 </w:t>
      </w:r>
      <w:r w:rsidR="00EB7C3E" w:rsidRPr="00EB7C3E">
        <w:rPr>
          <w:rFonts w:ascii="Arial" w:hAnsi="Arial" w:cs="Arial"/>
          <w:sz w:val="24"/>
          <w:szCs w:val="24"/>
        </w:rPr>
        <w:t xml:space="preserve">must establish the SSO price based upon a blend of market pricing and legacy retail generation prices:  “the first five years of the market rate offer </w:t>
      </w:r>
      <w:r w:rsidR="001E67C0">
        <w:rPr>
          <w:rFonts w:ascii="Arial" w:hAnsi="Arial" w:cs="Arial"/>
          <w:sz w:val="24"/>
          <w:szCs w:val="24"/>
        </w:rPr>
        <w:t xml:space="preserve">[must] </w:t>
      </w:r>
      <w:r w:rsidR="00EB7C3E" w:rsidRPr="00EB7C3E">
        <w:rPr>
          <w:rFonts w:ascii="Arial" w:hAnsi="Arial" w:cs="Arial"/>
          <w:sz w:val="24"/>
          <w:szCs w:val="24"/>
        </w:rPr>
        <w:t xml:space="preserve">be competitively bid under division (A) of this section as follows: ten per cent of the load in year one, not more than twenty per cent in year two, thirty per cent in year three, forty per cent in year four, and fifty per cent in year five.”  The portion of the SSO price for retail electric generation that is not competitively bid shall be “equal to the electric distribution utility's most recent </w:t>
      </w:r>
      <w:r w:rsidR="00EB7C3E" w:rsidRPr="00EB7C3E">
        <w:rPr>
          <w:rFonts w:ascii="Arial" w:hAnsi="Arial" w:cs="Arial"/>
          <w:sz w:val="24"/>
          <w:szCs w:val="24"/>
        </w:rPr>
        <w:lastRenderedPageBreak/>
        <w:t xml:space="preserve">standard service offer price, adjusted upward or downward as the commission determines reasonable, relative to the jurisdictional portion of any known and measurable changes from the level of any one or more of the following costs as reflected in that most recent standard service offer price.”  </w:t>
      </w:r>
      <w:r w:rsidR="008B1461" w:rsidRPr="00EB7C3E">
        <w:rPr>
          <w:rFonts w:ascii="Arial" w:hAnsi="Arial" w:cs="Arial"/>
          <w:sz w:val="24"/>
          <w:szCs w:val="24"/>
        </w:rPr>
        <w:t>The EDU’s legacy SSO price for retail electric generation may be adjusted to reflect the following factors: (1) prudently incurred fuel used to provide electricity; (2) prudently incurred purchase power costs; (3</w:t>
      </w:r>
      <w:r w:rsidR="007652C4" w:rsidRPr="00EB7C3E">
        <w:rPr>
          <w:rFonts w:ascii="Arial" w:hAnsi="Arial" w:cs="Arial"/>
          <w:sz w:val="24"/>
          <w:szCs w:val="24"/>
        </w:rPr>
        <w:t>) its</w:t>
      </w:r>
      <w:r w:rsidR="008B1461" w:rsidRPr="00EB7C3E">
        <w:rPr>
          <w:rFonts w:ascii="Arial" w:hAnsi="Arial" w:cs="Arial"/>
          <w:sz w:val="24"/>
          <w:szCs w:val="24"/>
        </w:rPr>
        <w:t xml:space="preserve"> prudently incurred costs of satisfying the supply and demand portfolio requirements of this state; (4) its costs prudently incurred to comply with environmental laws and regulations.</w:t>
      </w:r>
    </w:p>
    <w:p w14:paraId="78D1BFFB" w14:textId="109D3C2F" w:rsidR="00D517BE" w:rsidRPr="007652C4" w:rsidRDefault="00EB7C3E" w:rsidP="00A01D1A">
      <w:pPr>
        <w:pStyle w:val="BodyText"/>
        <w:spacing w:line="480" w:lineRule="auto"/>
        <w:ind w:left="720" w:hanging="720"/>
        <w:jc w:val="both"/>
        <w:rPr>
          <w:rFonts w:ascii="Arial" w:hAnsi="Arial" w:cs="Arial"/>
          <w:b/>
          <w:sz w:val="24"/>
          <w:szCs w:val="24"/>
        </w:rPr>
      </w:pPr>
      <w:r w:rsidRPr="00976ADC">
        <w:rPr>
          <w:rFonts w:ascii="Arial" w:hAnsi="Arial" w:cs="Arial"/>
          <w:b/>
          <w:sz w:val="24"/>
          <w:szCs w:val="24"/>
        </w:rPr>
        <w:t>Q.</w:t>
      </w:r>
      <w:r w:rsidRPr="00976ADC">
        <w:rPr>
          <w:rFonts w:ascii="Arial" w:hAnsi="Arial" w:cs="Arial"/>
          <w:b/>
          <w:sz w:val="24"/>
          <w:szCs w:val="24"/>
        </w:rPr>
        <w:tab/>
        <w:t>Does</w:t>
      </w:r>
      <w:r w:rsidRPr="007652C4">
        <w:rPr>
          <w:rFonts w:ascii="Arial" w:hAnsi="Arial" w:cs="Arial"/>
          <w:b/>
          <w:sz w:val="24"/>
          <w:szCs w:val="24"/>
        </w:rPr>
        <w:t xml:space="preserve"> the MRO statute permit any </w:t>
      </w:r>
      <w:r w:rsidR="007652C4" w:rsidRPr="007652C4">
        <w:rPr>
          <w:rFonts w:ascii="Arial" w:hAnsi="Arial" w:cs="Arial"/>
          <w:b/>
          <w:sz w:val="24"/>
          <w:szCs w:val="24"/>
        </w:rPr>
        <w:t xml:space="preserve">other </w:t>
      </w:r>
      <w:r w:rsidRPr="007652C4">
        <w:rPr>
          <w:rFonts w:ascii="Arial" w:hAnsi="Arial" w:cs="Arial"/>
          <w:b/>
          <w:sz w:val="24"/>
          <w:szCs w:val="24"/>
        </w:rPr>
        <w:t>adjustments to the SSO price?</w:t>
      </w:r>
    </w:p>
    <w:p w14:paraId="5BFC279F" w14:textId="0A833E74" w:rsidR="006D4FFD" w:rsidRDefault="006D4FFD" w:rsidP="006D4FFD">
      <w:pPr>
        <w:pStyle w:val="BodyText"/>
        <w:spacing w:line="480" w:lineRule="auto"/>
        <w:ind w:left="720" w:hanging="720"/>
        <w:jc w:val="both"/>
        <w:rPr>
          <w:rFonts w:ascii="Arial" w:hAnsi="Arial" w:cs="Arial"/>
          <w:sz w:val="24"/>
          <w:szCs w:val="24"/>
        </w:rPr>
      </w:pPr>
      <w:r w:rsidRPr="007652C4">
        <w:rPr>
          <w:rFonts w:ascii="Arial" w:hAnsi="Arial" w:cs="Arial"/>
          <w:sz w:val="24"/>
          <w:szCs w:val="24"/>
        </w:rPr>
        <w:t>A.</w:t>
      </w:r>
      <w:r w:rsidRPr="007652C4">
        <w:rPr>
          <w:rFonts w:ascii="Arial" w:hAnsi="Arial" w:cs="Arial"/>
          <w:sz w:val="24"/>
          <w:szCs w:val="24"/>
        </w:rPr>
        <w:tab/>
        <w:t xml:space="preserve">Yes, the MRO statute provided a safety valve to ensure that an EDU is not required to provide retail electric generation service below </w:t>
      </w:r>
      <w:r w:rsidR="007E0EF6" w:rsidRPr="007652C4">
        <w:rPr>
          <w:rFonts w:ascii="Arial" w:hAnsi="Arial" w:cs="Arial"/>
          <w:sz w:val="24"/>
          <w:szCs w:val="24"/>
        </w:rPr>
        <w:t>or above its costs</w:t>
      </w:r>
      <w:r w:rsidRPr="007652C4">
        <w:rPr>
          <w:rFonts w:ascii="Arial" w:hAnsi="Arial" w:cs="Arial"/>
          <w:sz w:val="24"/>
          <w:szCs w:val="24"/>
        </w:rPr>
        <w:t>.  Specifically, the law states “</w:t>
      </w:r>
      <w:r w:rsidR="00E25C88" w:rsidRPr="007652C4">
        <w:rPr>
          <w:rFonts w:ascii="Arial" w:hAnsi="Arial" w:cs="Arial"/>
          <w:sz w:val="24"/>
          <w:szCs w:val="24"/>
        </w:rPr>
        <w:t>Additionally, the commission may adjust the electric distribution utility's most recent standard service offer price by such just and reasonable</w:t>
      </w:r>
      <w:r w:rsidR="00E25C88" w:rsidRPr="00E25C88">
        <w:rPr>
          <w:rFonts w:ascii="Arial" w:hAnsi="Arial" w:cs="Arial"/>
          <w:sz w:val="24"/>
          <w:szCs w:val="24"/>
        </w:rPr>
        <w:t xml:space="preserve"> amount that the commission determines necessary to address any emergency that threatens the utility's financial integrity or to ensure that the resulting revenue available to the utility for providing the standard service offer is not so inadequate as to result, directly or indirectly, in a taking of property without compensation pursuant to Section 19 of Article I, Ohio Constitution</w:t>
      </w:r>
      <w:r w:rsidRPr="006D4FFD">
        <w:rPr>
          <w:rFonts w:ascii="Arial" w:hAnsi="Arial" w:cs="Arial"/>
          <w:sz w:val="24"/>
          <w:szCs w:val="24"/>
        </w:rPr>
        <w:t>.”</w:t>
      </w:r>
    </w:p>
    <w:p w14:paraId="29F715CD" w14:textId="46334785" w:rsidR="00C1269A" w:rsidRDefault="00C1269A" w:rsidP="00C1269A">
      <w:pPr>
        <w:pStyle w:val="BodyText"/>
        <w:spacing w:line="480" w:lineRule="auto"/>
        <w:ind w:left="720" w:hanging="720"/>
        <w:jc w:val="both"/>
        <w:rPr>
          <w:rFonts w:ascii="Arial" w:hAnsi="Arial" w:cs="Arial"/>
          <w:b/>
          <w:sz w:val="24"/>
          <w:szCs w:val="24"/>
        </w:rPr>
      </w:pPr>
      <w:r w:rsidRPr="00C1269A">
        <w:rPr>
          <w:rFonts w:ascii="Arial" w:hAnsi="Arial" w:cs="Arial"/>
          <w:b/>
          <w:sz w:val="24"/>
          <w:szCs w:val="24"/>
        </w:rPr>
        <w:t>Q.</w:t>
      </w:r>
      <w:r w:rsidRPr="00C1269A">
        <w:rPr>
          <w:rFonts w:ascii="Arial" w:hAnsi="Arial" w:cs="Arial"/>
          <w:b/>
          <w:sz w:val="24"/>
          <w:szCs w:val="24"/>
        </w:rPr>
        <w:tab/>
        <w:t>Under the MRO provision, if Commission found an emergency threatened the EDU’s financial integrity or the resulting revenue available to provide the SSO is so inadequate to result in a taking of property without just compensation, what rate would be adjusted?</w:t>
      </w:r>
    </w:p>
    <w:p w14:paraId="070C2920" w14:textId="0750AFEF" w:rsidR="00C1269A" w:rsidRPr="00C1269A" w:rsidRDefault="00C1269A" w:rsidP="00C1269A">
      <w:pPr>
        <w:pStyle w:val="BodyText"/>
        <w:spacing w:line="480" w:lineRule="auto"/>
        <w:ind w:left="720" w:hanging="720"/>
        <w:jc w:val="both"/>
        <w:rPr>
          <w:rFonts w:ascii="Arial" w:hAnsi="Arial" w:cs="Arial"/>
          <w:sz w:val="24"/>
          <w:szCs w:val="24"/>
        </w:rPr>
      </w:pPr>
      <w:r w:rsidRPr="00C1269A">
        <w:rPr>
          <w:rFonts w:ascii="Arial" w:hAnsi="Arial" w:cs="Arial"/>
          <w:sz w:val="24"/>
          <w:szCs w:val="24"/>
        </w:rPr>
        <w:lastRenderedPageBreak/>
        <w:t>A.</w:t>
      </w:r>
      <w:r w:rsidRPr="00C1269A">
        <w:rPr>
          <w:rFonts w:ascii="Arial" w:hAnsi="Arial" w:cs="Arial"/>
          <w:sz w:val="24"/>
          <w:szCs w:val="24"/>
        </w:rPr>
        <w:tab/>
      </w:r>
      <w:r>
        <w:rPr>
          <w:rFonts w:ascii="Arial" w:hAnsi="Arial" w:cs="Arial"/>
          <w:sz w:val="24"/>
          <w:szCs w:val="24"/>
        </w:rPr>
        <w:t xml:space="preserve">The MRO provision is limited to establishing an SSO rate so any adjustments the Commission would deem necessary would </w:t>
      </w:r>
      <w:r w:rsidR="00735539">
        <w:rPr>
          <w:rFonts w:ascii="Arial" w:hAnsi="Arial" w:cs="Arial"/>
          <w:sz w:val="24"/>
          <w:szCs w:val="24"/>
        </w:rPr>
        <w:t xml:space="preserve">be </w:t>
      </w:r>
      <w:r>
        <w:rPr>
          <w:rFonts w:ascii="Arial" w:hAnsi="Arial" w:cs="Arial"/>
          <w:sz w:val="24"/>
          <w:szCs w:val="24"/>
        </w:rPr>
        <w:t>to the to the SSO rate</w:t>
      </w:r>
      <w:r w:rsidR="001E67C0">
        <w:rPr>
          <w:rFonts w:ascii="Arial" w:hAnsi="Arial" w:cs="Arial"/>
          <w:sz w:val="24"/>
          <w:szCs w:val="24"/>
        </w:rPr>
        <w:t>, which is a bypassable charge</w:t>
      </w:r>
      <w:r>
        <w:rPr>
          <w:rFonts w:ascii="Arial" w:hAnsi="Arial" w:cs="Arial"/>
          <w:sz w:val="24"/>
          <w:szCs w:val="24"/>
        </w:rPr>
        <w:t>.</w:t>
      </w:r>
    </w:p>
    <w:p w14:paraId="5303054B" w14:textId="27F6E153" w:rsidR="00A35894" w:rsidRDefault="00A35894" w:rsidP="006D4FFD">
      <w:pPr>
        <w:pStyle w:val="BodyText"/>
        <w:spacing w:line="480" w:lineRule="auto"/>
        <w:ind w:left="720" w:hanging="720"/>
        <w:jc w:val="both"/>
        <w:rPr>
          <w:rFonts w:ascii="Arial" w:hAnsi="Arial" w:cs="Arial"/>
          <w:b/>
          <w:sz w:val="24"/>
          <w:szCs w:val="24"/>
        </w:rPr>
      </w:pPr>
      <w:r w:rsidRPr="00976ADC">
        <w:rPr>
          <w:rFonts w:ascii="Arial" w:hAnsi="Arial" w:cs="Arial"/>
          <w:b/>
          <w:sz w:val="24"/>
          <w:szCs w:val="24"/>
        </w:rPr>
        <w:t>Q.</w:t>
      </w:r>
      <w:r w:rsidRPr="00976ADC">
        <w:rPr>
          <w:rFonts w:ascii="Arial" w:hAnsi="Arial" w:cs="Arial"/>
          <w:b/>
          <w:sz w:val="24"/>
          <w:szCs w:val="24"/>
        </w:rPr>
        <w:tab/>
      </w:r>
      <w:r w:rsidRPr="00A35894">
        <w:rPr>
          <w:rFonts w:ascii="Arial" w:hAnsi="Arial" w:cs="Arial"/>
          <w:b/>
          <w:sz w:val="24"/>
          <w:szCs w:val="24"/>
        </w:rPr>
        <w:t>Would the DMR be permitted in an MRO?</w:t>
      </w:r>
    </w:p>
    <w:p w14:paraId="6DAC67B9" w14:textId="0BE44B6C" w:rsidR="00A35894" w:rsidRDefault="00A35894" w:rsidP="00A35894">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A35894">
        <w:rPr>
          <w:rFonts w:ascii="Arial" w:hAnsi="Arial" w:cs="Arial"/>
          <w:sz w:val="24"/>
          <w:szCs w:val="24"/>
        </w:rPr>
        <w:t>No, it would not be permitted for several reasons.  First, the adjustments that the MRO statute provides relate to the portion of the SSO supplied by the EDU’s legacy generation. DP&amp;L is not providing any portion of the SSO price using its owned or operated generating assets; therefore, no adjustment is available. Second, even if an adjustment to the SSO price were available, as I describe above, the DMR is not necessary to permit DP&amp;L to address an emergency that threatens DP&amp;L’s financial integrity.  DP&amp;L has conceded that its distribution and transmission businesses are doing just fine.  While DPL may have some financial challenges, DPL is not an EDU and it has not filed an ESP or an MRO. Third, there can be no claim that resulting SSO revenues are so inadequate to result in a taking of property, given that the cost of providing the SSO revenue is treated as a purchase power expense for which DP&amp;L is fully compensated.</w:t>
      </w:r>
    </w:p>
    <w:p w14:paraId="502E1D5D" w14:textId="04E96769" w:rsidR="00C1269A" w:rsidRDefault="0078264C" w:rsidP="00A35894">
      <w:pPr>
        <w:pStyle w:val="BodyText"/>
        <w:spacing w:line="480" w:lineRule="auto"/>
        <w:ind w:left="720" w:hanging="720"/>
        <w:jc w:val="both"/>
        <w:rPr>
          <w:rFonts w:ascii="Arial" w:hAnsi="Arial" w:cs="Arial"/>
          <w:b/>
          <w:sz w:val="24"/>
          <w:szCs w:val="24"/>
        </w:rPr>
      </w:pPr>
      <w:r w:rsidRPr="0078264C">
        <w:rPr>
          <w:rFonts w:ascii="Arial" w:hAnsi="Arial" w:cs="Arial"/>
          <w:b/>
          <w:sz w:val="24"/>
          <w:szCs w:val="24"/>
        </w:rPr>
        <w:t>Q.</w:t>
      </w:r>
      <w:r w:rsidRPr="0078264C">
        <w:rPr>
          <w:rFonts w:ascii="Arial" w:hAnsi="Arial" w:cs="Arial"/>
          <w:b/>
          <w:sz w:val="24"/>
          <w:szCs w:val="24"/>
        </w:rPr>
        <w:tab/>
        <w:t>Given that the DMR would not be available under a MRO, what impact does that have on the ESP vs. MRO test?</w:t>
      </w:r>
    </w:p>
    <w:p w14:paraId="1FC98900" w14:textId="747332CA" w:rsidR="0078264C" w:rsidRPr="0078264C" w:rsidRDefault="0078264C" w:rsidP="0078264C">
      <w:pPr>
        <w:pStyle w:val="BodyText"/>
        <w:spacing w:line="480" w:lineRule="auto"/>
        <w:ind w:left="720" w:hanging="720"/>
        <w:jc w:val="both"/>
        <w:rPr>
          <w:rFonts w:ascii="Arial" w:hAnsi="Arial" w:cs="Arial"/>
          <w:sz w:val="24"/>
          <w:szCs w:val="24"/>
        </w:rPr>
      </w:pPr>
      <w:r>
        <w:rPr>
          <w:rFonts w:ascii="Arial" w:hAnsi="Arial" w:cs="Arial"/>
          <w:b/>
          <w:sz w:val="24"/>
          <w:szCs w:val="24"/>
        </w:rPr>
        <w:tab/>
      </w:r>
      <w:r w:rsidRPr="0078264C">
        <w:rPr>
          <w:rFonts w:ascii="Arial" w:hAnsi="Arial" w:cs="Arial"/>
          <w:sz w:val="24"/>
          <w:szCs w:val="24"/>
        </w:rPr>
        <w:t xml:space="preserve">It </w:t>
      </w:r>
      <w:r>
        <w:rPr>
          <w:rFonts w:ascii="Arial" w:hAnsi="Arial" w:cs="Arial"/>
          <w:sz w:val="24"/>
          <w:szCs w:val="24"/>
        </w:rPr>
        <w:t xml:space="preserve">would require </w:t>
      </w:r>
      <w:r w:rsidRPr="0078264C">
        <w:rPr>
          <w:rFonts w:ascii="Arial" w:hAnsi="Arial" w:cs="Arial"/>
          <w:sz w:val="24"/>
          <w:szCs w:val="24"/>
        </w:rPr>
        <w:t xml:space="preserve">the DMR </w:t>
      </w:r>
      <w:r>
        <w:rPr>
          <w:rFonts w:ascii="Arial" w:hAnsi="Arial" w:cs="Arial"/>
          <w:sz w:val="24"/>
          <w:szCs w:val="24"/>
        </w:rPr>
        <w:t>to be</w:t>
      </w:r>
      <w:r w:rsidRPr="0078264C">
        <w:rPr>
          <w:rFonts w:ascii="Arial" w:hAnsi="Arial" w:cs="Arial"/>
          <w:sz w:val="24"/>
          <w:szCs w:val="24"/>
        </w:rPr>
        <w:t xml:space="preserve"> considered a cost in each year of the ESP.  As a result, it </w:t>
      </w:r>
      <w:r>
        <w:rPr>
          <w:rFonts w:ascii="Arial" w:hAnsi="Arial" w:cs="Arial"/>
          <w:sz w:val="24"/>
          <w:szCs w:val="24"/>
        </w:rPr>
        <w:t xml:space="preserve">would </w:t>
      </w:r>
      <w:r w:rsidRPr="0078264C">
        <w:rPr>
          <w:rFonts w:ascii="Arial" w:hAnsi="Arial" w:cs="Arial"/>
          <w:sz w:val="24"/>
          <w:szCs w:val="24"/>
        </w:rPr>
        <w:t xml:space="preserve">cause the ESP to be less favorable than the MRO outcome by $315 million in the first three years, and the ESP </w:t>
      </w:r>
      <w:r w:rsidR="00D52B4E">
        <w:rPr>
          <w:rFonts w:ascii="Arial" w:hAnsi="Arial" w:cs="Arial"/>
          <w:sz w:val="24"/>
          <w:szCs w:val="24"/>
        </w:rPr>
        <w:t xml:space="preserve">less favorable </w:t>
      </w:r>
      <w:r w:rsidRPr="0078264C">
        <w:rPr>
          <w:rFonts w:ascii="Arial" w:hAnsi="Arial" w:cs="Arial"/>
          <w:sz w:val="24"/>
          <w:szCs w:val="24"/>
        </w:rPr>
        <w:t>by $525 million if you assume the DMR is held constant in the last two years of the ESP.</w:t>
      </w:r>
      <w:r w:rsidR="001E67C0">
        <w:rPr>
          <w:rFonts w:ascii="Arial" w:hAnsi="Arial" w:cs="Arial"/>
          <w:sz w:val="24"/>
          <w:szCs w:val="24"/>
        </w:rPr>
        <w:t xml:space="preserve">  These amounts are in addition to the negative values that must be attributed to the RR.</w:t>
      </w:r>
    </w:p>
    <w:p w14:paraId="0930C80B" w14:textId="4857C9A8" w:rsidR="0078264C" w:rsidRPr="00A70303" w:rsidRDefault="0078264C" w:rsidP="00A35894">
      <w:pPr>
        <w:pStyle w:val="BodyText"/>
        <w:spacing w:line="480" w:lineRule="auto"/>
        <w:ind w:left="720" w:hanging="720"/>
        <w:jc w:val="both"/>
        <w:rPr>
          <w:rFonts w:ascii="Arial" w:hAnsi="Arial" w:cs="Arial"/>
          <w:b/>
          <w:sz w:val="24"/>
          <w:szCs w:val="24"/>
        </w:rPr>
      </w:pPr>
      <w:r w:rsidRPr="00A70303">
        <w:rPr>
          <w:rFonts w:ascii="Arial" w:hAnsi="Arial" w:cs="Arial"/>
          <w:b/>
          <w:sz w:val="24"/>
          <w:szCs w:val="24"/>
        </w:rPr>
        <w:lastRenderedPageBreak/>
        <w:t>Q.</w:t>
      </w:r>
      <w:r w:rsidRPr="00A70303">
        <w:rPr>
          <w:rFonts w:ascii="Arial" w:hAnsi="Arial" w:cs="Arial"/>
          <w:b/>
          <w:sz w:val="24"/>
          <w:szCs w:val="24"/>
        </w:rPr>
        <w:tab/>
      </w:r>
      <w:bookmarkStart w:id="16" w:name="_Hlk508060"/>
      <w:r w:rsidRPr="00A70303">
        <w:rPr>
          <w:rFonts w:ascii="Arial" w:hAnsi="Arial" w:cs="Arial"/>
          <w:b/>
          <w:sz w:val="24"/>
          <w:szCs w:val="24"/>
        </w:rPr>
        <w:t xml:space="preserve">To the extent that the purpose of the DMR is to provide financial support for DPL, could it be authorized in a distribution </w:t>
      </w:r>
      <w:r w:rsidR="00530383" w:rsidRPr="00A70303">
        <w:rPr>
          <w:rFonts w:ascii="Arial" w:hAnsi="Arial" w:cs="Arial"/>
          <w:b/>
          <w:sz w:val="24"/>
          <w:szCs w:val="24"/>
        </w:rPr>
        <w:t xml:space="preserve">base </w:t>
      </w:r>
      <w:r w:rsidRPr="00A70303">
        <w:rPr>
          <w:rFonts w:ascii="Arial" w:hAnsi="Arial" w:cs="Arial"/>
          <w:b/>
          <w:sz w:val="24"/>
          <w:szCs w:val="24"/>
        </w:rPr>
        <w:t>rate case?</w:t>
      </w:r>
      <w:bookmarkEnd w:id="16"/>
    </w:p>
    <w:p w14:paraId="2E510E1A" w14:textId="55B37B58" w:rsidR="003E62C1" w:rsidRPr="00A70303" w:rsidRDefault="00530383" w:rsidP="00976ADC">
      <w:pPr>
        <w:pStyle w:val="BodyText"/>
        <w:spacing w:line="480" w:lineRule="auto"/>
        <w:ind w:left="720" w:hanging="720"/>
        <w:jc w:val="both"/>
        <w:rPr>
          <w:rFonts w:ascii="Arial" w:hAnsi="Arial" w:cs="Arial"/>
          <w:sz w:val="24"/>
          <w:szCs w:val="24"/>
        </w:rPr>
      </w:pPr>
      <w:r w:rsidRPr="00A70303">
        <w:rPr>
          <w:rFonts w:ascii="Arial" w:hAnsi="Arial" w:cs="Arial"/>
          <w:sz w:val="24"/>
          <w:szCs w:val="24"/>
        </w:rPr>
        <w:t>A.</w:t>
      </w:r>
      <w:r w:rsidRPr="00A70303">
        <w:rPr>
          <w:rFonts w:ascii="Arial" w:hAnsi="Arial" w:cs="Arial"/>
          <w:sz w:val="24"/>
          <w:szCs w:val="24"/>
        </w:rPr>
        <w:tab/>
        <w:t xml:space="preserve">I don’t believe that </w:t>
      </w:r>
      <w:r w:rsidR="003E62C1" w:rsidRPr="00A70303">
        <w:rPr>
          <w:rFonts w:ascii="Arial" w:hAnsi="Arial" w:cs="Arial"/>
          <w:sz w:val="24"/>
          <w:szCs w:val="24"/>
        </w:rPr>
        <w:t xml:space="preserve">financial support for an unregulated affiliate </w:t>
      </w:r>
      <w:r w:rsidRPr="00A70303">
        <w:rPr>
          <w:rFonts w:ascii="Arial" w:hAnsi="Arial" w:cs="Arial"/>
          <w:sz w:val="24"/>
          <w:szCs w:val="24"/>
        </w:rPr>
        <w:t>would qualify for recovery in a</w:t>
      </w:r>
      <w:r w:rsidR="00976ADC" w:rsidRPr="00A70303">
        <w:rPr>
          <w:rFonts w:ascii="Arial" w:hAnsi="Arial" w:cs="Arial"/>
          <w:sz w:val="24"/>
          <w:szCs w:val="24"/>
        </w:rPr>
        <w:t>ny rate recovery mechanism in the State.  As I mentioned before, I do not believe that this Commission has the authority/responsibility for the financial health of any unregulated affiliate, and I don’t believe that it can require the customers of individual EDUs to provide financial support to those unregulated affiliates.</w:t>
      </w:r>
    </w:p>
    <w:p w14:paraId="27A561D4" w14:textId="4C472B33" w:rsidR="00530383" w:rsidRPr="00530383" w:rsidRDefault="00976ADC" w:rsidP="00530383">
      <w:pPr>
        <w:pStyle w:val="BodyText"/>
        <w:spacing w:line="480" w:lineRule="auto"/>
        <w:ind w:left="720" w:hanging="720"/>
        <w:jc w:val="both"/>
        <w:rPr>
          <w:rFonts w:ascii="Arial" w:hAnsi="Arial" w:cs="Arial"/>
          <w:sz w:val="24"/>
          <w:szCs w:val="24"/>
        </w:rPr>
      </w:pPr>
      <w:r w:rsidRPr="00976ADC">
        <w:rPr>
          <w:rFonts w:ascii="Arial" w:hAnsi="Arial" w:cs="Arial"/>
          <w:b/>
          <w:sz w:val="24"/>
          <w:szCs w:val="24"/>
        </w:rPr>
        <w:t>Q.</w:t>
      </w:r>
      <w:r w:rsidRPr="00976ADC">
        <w:rPr>
          <w:rFonts w:ascii="Arial" w:hAnsi="Arial" w:cs="Arial"/>
          <w:b/>
          <w:sz w:val="24"/>
          <w:szCs w:val="24"/>
        </w:rPr>
        <w:tab/>
        <w:t>Does this conclude your testimony?</w:t>
      </w:r>
    </w:p>
    <w:p w14:paraId="452EEF50" w14:textId="483908A3" w:rsidR="00A35894" w:rsidRPr="006D4FFD" w:rsidRDefault="00976ADC" w:rsidP="006D4FFD">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976ADC">
        <w:rPr>
          <w:rFonts w:ascii="Arial" w:hAnsi="Arial" w:cs="Arial"/>
          <w:sz w:val="24"/>
          <w:szCs w:val="24"/>
        </w:rPr>
        <w:t>Yes, it does.  However, I reserve the right to further supplement my testimony.</w:t>
      </w:r>
    </w:p>
    <w:p w14:paraId="7B533B17" w14:textId="77777777" w:rsidR="00D9616F" w:rsidRDefault="00D9616F" w:rsidP="00D9616F">
      <w:pPr>
        <w:suppressLineNumbers/>
        <w:spacing w:after="0"/>
        <w:ind w:left="2160" w:firstLine="720"/>
        <w:rPr>
          <w:rFonts w:ascii="Arial" w:eastAsia="Arial" w:hAnsi="Arial" w:cs="Arial"/>
          <w:b/>
          <w:u w:val="single"/>
        </w:rPr>
      </w:pPr>
    </w:p>
    <w:p w14:paraId="2BC1FEA0" w14:textId="77777777" w:rsidR="00D9616F" w:rsidRDefault="00D9616F" w:rsidP="00D9616F">
      <w:pPr>
        <w:suppressLineNumbers/>
        <w:spacing w:after="0"/>
        <w:ind w:left="2160" w:firstLine="720"/>
        <w:rPr>
          <w:rFonts w:ascii="Arial" w:eastAsia="Arial" w:hAnsi="Arial" w:cs="Arial"/>
          <w:b/>
          <w:u w:val="single"/>
        </w:rPr>
      </w:pPr>
    </w:p>
    <w:p w14:paraId="078194C9" w14:textId="77777777" w:rsidR="00D9616F" w:rsidRDefault="00D9616F" w:rsidP="00D9616F">
      <w:pPr>
        <w:suppressLineNumbers/>
        <w:spacing w:after="0"/>
        <w:ind w:left="2160" w:firstLine="720"/>
        <w:rPr>
          <w:rFonts w:ascii="Arial" w:eastAsia="Arial" w:hAnsi="Arial" w:cs="Arial"/>
          <w:b/>
          <w:u w:val="single"/>
        </w:rPr>
      </w:pPr>
    </w:p>
    <w:p w14:paraId="74286B2E" w14:textId="77777777" w:rsidR="00D9616F" w:rsidRDefault="00D9616F" w:rsidP="00D9616F">
      <w:pPr>
        <w:suppressLineNumbers/>
        <w:spacing w:after="0"/>
        <w:ind w:left="2160" w:firstLine="720"/>
        <w:rPr>
          <w:rFonts w:ascii="Arial" w:eastAsia="Arial" w:hAnsi="Arial" w:cs="Arial"/>
          <w:b/>
          <w:u w:val="single"/>
        </w:rPr>
      </w:pPr>
    </w:p>
    <w:p w14:paraId="794A78B3" w14:textId="77777777" w:rsidR="00D9616F" w:rsidRDefault="00D9616F" w:rsidP="00D9616F">
      <w:pPr>
        <w:suppressLineNumbers/>
        <w:spacing w:after="0"/>
        <w:ind w:left="2160" w:firstLine="720"/>
        <w:rPr>
          <w:rFonts w:ascii="Arial" w:eastAsia="Arial" w:hAnsi="Arial" w:cs="Arial"/>
          <w:b/>
          <w:u w:val="single"/>
        </w:rPr>
      </w:pPr>
    </w:p>
    <w:p w14:paraId="45539B3C" w14:textId="77777777" w:rsidR="00D9616F" w:rsidRDefault="00D9616F" w:rsidP="00D9616F">
      <w:pPr>
        <w:suppressLineNumbers/>
        <w:spacing w:after="0"/>
        <w:ind w:left="2160" w:firstLine="720"/>
        <w:rPr>
          <w:rFonts w:ascii="Arial" w:eastAsia="Arial" w:hAnsi="Arial" w:cs="Arial"/>
          <w:b/>
          <w:u w:val="single"/>
        </w:rPr>
      </w:pPr>
    </w:p>
    <w:p w14:paraId="6EB66C82" w14:textId="77777777" w:rsidR="00D9616F" w:rsidRDefault="00D9616F" w:rsidP="00D9616F">
      <w:pPr>
        <w:suppressLineNumbers/>
        <w:spacing w:after="0"/>
        <w:ind w:left="2160" w:firstLine="720"/>
        <w:rPr>
          <w:rFonts w:ascii="Arial" w:eastAsia="Arial" w:hAnsi="Arial" w:cs="Arial"/>
          <w:b/>
          <w:u w:val="single"/>
        </w:rPr>
      </w:pPr>
    </w:p>
    <w:p w14:paraId="155DE077" w14:textId="77777777" w:rsidR="00D9616F" w:rsidRDefault="00D9616F" w:rsidP="00D9616F">
      <w:pPr>
        <w:suppressLineNumbers/>
        <w:spacing w:after="0"/>
        <w:ind w:left="2160" w:firstLine="720"/>
        <w:rPr>
          <w:rFonts w:ascii="Arial" w:eastAsia="Arial" w:hAnsi="Arial" w:cs="Arial"/>
          <w:b/>
          <w:u w:val="single"/>
        </w:rPr>
      </w:pPr>
    </w:p>
    <w:p w14:paraId="33AB1486" w14:textId="77777777" w:rsidR="00D9616F" w:rsidRDefault="00D9616F" w:rsidP="00D9616F">
      <w:pPr>
        <w:suppressLineNumbers/>
        <w:spacing w:after="0"/>
        <w:ind w:left="2160" w:firstLine="720"/>
        <w:rPr>
          <w:rFonts w:ascii="Arial" w:eastAsia="Arial" w:hAnsi="Arial" w:cs="Arial"/>
          <w:b/>
          <w:u w:val="single"/>
        </w:rPr>
      </w:pPr>
    </w:p>
    <w:p w14:paraId="20D22E93" w14:textId="77777777" w:rsidR="00D9616F" w:rsidRDefault="00D9616F" w:rsidP="00D9616F">
      <w:pPr>
        <w:suppressLineNumbers/>
        <w:spacing w:after="0"/>
        <w:ind w:left="2160" w:firstLine="720"/>
        <w:rPr>
          <w:rFonts w:ascii="Arial" w:eastAsia="Arial" w:hAnsi="Arial" w:cs="Arial"/>
          <w:b/>
          <w:u w:val="single"/>
        </w:rPr>
      </w:pPr>
    </w:p>
    <w:p w14:paraId="6C9CA5C1" w14:textId="77777777" w:rsidR="00D9616F" w:rsidRDefault="00D9616F" w:rsidP="00D9616F">
      <w:pPr>
        <w:suppressLineNumbers/>
        <w:spacing w:after="0"/>
        <w:ind w:left="2160" w:firstLine="720"/>
        <w:rPr>
          <w:rFonts w:ascii="Arial" w:eastAsia="Arial" w:hAnsi="Arial" w:cs="Arial"/>
          <w:b/>
          <w:u w:val="single"/>
        </w:rPr>
      </w:pPr>
    </w:p>
    <w:p w14:paraId="5FF603D9" w14:textId="77777777" w:rsidR="00D9616F" w:rsidRDefault="00D9616F" w:rsidP="00D9616F">
      <w:pPr>
        <w:suppressLineNumbers/>
        <w:spacing w:after="0"/>
        <w:ind w:left="2160" w:firstLine="720"/>
        <w:rPr>
          <w:rFonts w:ascii="Arial" w:eastAsia="Arial" w:hAnsi="Arial" w:cs="Arial"/>
          <w:b/>
          <w:u w:val="single"/>
        </w:rPr>
      </w:pPr>
    </w:p>
    <w:p w14:paraId="674134F2" w14:textId="77777777" w:rsidR="00D9616F" w:rsidRDefault="00D9616F" w:rsidP="00D9616F">
      <w:pPr>
        <w:suppressLineNumbers/>
        <w:spacing w:after="0"/>
        <w:ind w:left="2160" w:firstLine="720"/>
        <w:rPr>
          <w:rFonts w:ascii="Arial" w:eastAsia="Arial" w:hAnsi="Arial" w:cs="Arial"/>
          <w:b/>
          <w:u w:val="single"/>
        </w:rPr>
      </w:pPr>
    </w:p>
    <w:p w14:paraId="6EF05AB5" w14:textId="77777777" w:rsidR="00D9616F" w:rsidRDefault="00D9616F" w:rsidP="00D9616F">
      <w:pPr>
        <w:suppressLineNumbers/>
        <w:spacing w:after="0"/>
        <w:ind w:left="2160" w:firstLine="720"/>
        <w:rPr>
          <w:rFonts w:ascii="Arial" w:eastAsia="Arial" w:hAnsi="Arial" w:cs="Arial"/>
          <w:b/>
          <w:u w:val="single"/>
        </w:rPr>
      </w:pPr>
    </w:p>
    <w:p w14:paraId="3A80FABD" w14:textId="77777777" w:rsidR="00D9616F" w:rsidRDefault="00D9616F" w:rsidP="00D9616F">
      <w:pPr>
        <w:suppressLineNumbers/>
        <w:spacing w:after="0"/>
        <w:ind w:left="2160" w:firstLine="720"/>
        <w:rPr>
          <w:rFonts w:ascii="Arial" w:eastAsia="Arial" w:hAnsi="Arial" w:cs="Arial"/>
          <w:b/>
          <w:u w:val="single"/>
        </w:rPr>
      </w:pPr>
    </w:p>
    <w:p w14:paraId="6AF34987" w14:textId="77777777" w:rsidR="00D9616F" w:rsidRDefault="00D9616F" w:rsidP="00D9616F">
      <w:pPr>
        <w:suppressLineNumbers/>
        <w:spacing w:after="0"/>
        <w:ind w:left="2160" w:firstLine="720"/>
        <w:rPr>
          <w:rFonts w:ascii="Arial" w:eastAsia="Arial" w:hAnsi="Arial" w:cs="Arial"/>
          <w:b/>
          <w:u w:val="single"/>
        </w:rPr>
      </w:pPr>
    </w:p>
    <w:p w14:paraId="38BA55FC" w14:textId="77777777" w:rsidR="00D9616F" w:rsidRDefault="00D9616F" w:rsidP="00D9616F">
      <w:pPr>
        <w:suppressLineNumbers/>
        <w:spacing w:after="0"/>
        <w:ind w:left="2160" w:firstLine="720"/>
        <w:rPr>
          <w:rFonts w:ascii="Arial" w:eastAsia="Arial" w:hAnsi="Arial" w:cs="Arial"/>
          <w:b/>
          <w:u w:val="single"/>
        </w:rPr>
      </w:pPr>
    </w:p>
    <w:p w14:paraId="78697FF8" w14:textId="77777777" w:rsidR="00D9616F" w:rsidRDefault="00D9616F" w:rsidP="00D9616F">
      <w:pPr>
        <w:suppressLineNumbers/>
        <w:spacing w:after="0"/>
        <w:ind w:left="2160" w:firstLine="720"/>
        <w:rPr>
          <w:rFonts w:ascii="Arial" w:eastAsia="Arial" w:hAnsi="Arial" w:cs="Arial"/>
          <w:b/>
          <w:u w:val="single"/>
        </w:rPr>
      </w:pPr>
    </w:p>
    <w:p w14:paraId="7080C452" w14:textId="77777777" w:rsidR="00D9616F" w:rsidRDefault="00D9616F" w:rsidP="00D9616F">
      <w:pPr>
        <w:suppressLineNumbers/>
        <w:spacing w:after="0"/>
        <w:ind w:left="2160" w:firstLine="720"/>
        <w:rPr>
          <w:rFonts w:ascii="Arial" w:eastAsia="Arial" w:hAnsi="Arial" w:cs="Arial"/>
          <w:b/>
          <w:u w:val="single"/>
        </w:rPr>
      </w:pPr>
    </w:p>
    <w:p w14:paraId="0FEDD97D" w14:textId="77777777" w:rsidR="00D9616F" w:rsidRDefault="00D9616F" w:rsidP="00D9616F">
      <w:pPr>
        <w:suppressLineNumbers/>
        <w:spacing w:after="0"/>
        <w:ind w:left="2160" w:firstLine="720"/>
        <w:rPr>
          <w:rFonts w:ascii="Arial" w:eastAsia="Arial" w:hAnsi="Arial" w:cs="Arial"/>
          <w:b/>
          <w:u w:val="single"/>
        </w:rPr>
      </w:pPr>
    </w:p>
    <w:p w14:paraId="7C8FDB77" w14:textId="77777777" w:rsidR="00D9616F" w:rsidRDefault="00D9616F" w:rsidP="00D9616F">
      <w:pPr>
        <w:suppressLineNumbers/>
        <w:spacing w:after="0"/>
        <w:ind w:left="2160" w:firstLine="720"/>
        <w:rPr>
          <w:rFonts w:ascii="Arial" w:eastAsia="Arial" w:hAnsi="Arial" w:cs="Arial"/>
          <w:b/>
          <w:u w:val="single"/>
        </w:rPr>
      </w:pPr>
    </w:p>
    <w:p w14:paraId="64FABC0F" w14:textId="77777777" w:rsidR="00D9616F" w:rsidRDefault="00D9616F" w:rsidP="00D9616F">
      <w:pPr>
        <w:suppressLineNumbers/>
        <w:spacing w:after="0"/>
        <w:ind w:left="2160" w:firstLine="720"/>
        <w:rPr>
          <w:rFonts w:ascii="Arial" w:eastAsia="Arial" w:hAnsi="Arial" w:cs="Arial"/>
          <w:b/>
          <w:u w:val="single"/>
        </w:rPr>
      </w:pPr>
    </w:p>
    <w:p w14:paraId="26E65C16" w14:textId="77777777" w:rsidR="00D9616F" w:rsidRDefault="00D9616F" w:rsidP="00D9616F">
      <w:pPr>
        <w:suppressLineNumbers/>
        <w:spacing w:after="0"/>
        <w:ind w:left="2160" w:firstLine="720"/>
        <w:rPr>
          <w:rFonts w:ascii="Arial" w:eastAsia="Arial" w:hAnsi="Arial" w:cs="Arial"/>
          <w:b/>
          <w:u w:val="single"/>
        </w:rPr>
      </w:pPr>
    </w:p>
    <w:p w14:paraId="3036E055" w14:textId="77777777" w:rsidR="00D9616F" w:rsidRDefault="00D9616F" w:rsidP="00D9616F">
      <w:pPr>
        <w:suppressLineNumbers/>
        <w:spacing w:after="0"/>
        <w:ind w:left="2160" w:firstLine="720"/>
        <w:rPr>
          <w:rFonts w:ascii="Arial" w:eastAsia="Arial" w:hAnsi="Arial" w:cs="Arial"/>
          <w:b/>
          <w:u w:val="single"/>
        </w:rPr>
      </w:pPr>
    </w:p>
    <w:p w14:paraId="795DF3C0" w14:textId="77777777" w:rsidR="00D9616F" w:rsidRDefault="00D9616F" w:rsidP="00D9616F">
      <w:pPr>
        <w:suppressLineNumbers/>
        <w:spacing w:after="0"/>
        <w:ind w:left="2160" w:firstLine="720"/>
        <w:rPr>
          <w:rFonts w:ascii="Arial" w:eastAsia="Arial" w:hAnsi="Arial" w:cs="Arial"/>
          <w:b/>
          <w:u w:val="single"/>
        </w:rPr>
      </w:pPr>
    </w:p>
    <w:p w14:paraId="75CEEEBA" w14:textId="22B448EA" w:rsidR="00D9616F" w:rsidRPr="00D9616F" w:rsidRDefault="00D9616F" w:rsidP="00D9616F">
      <w:pPr>
        <w:suppressLineNumbers/>
        <w:spacing w:after="0"/>
        <w:ind w:left="2160" w:firstLine="720"/>
        <w:rPr>
          <w:rFonts w:ascii="Arial" w:eastAsia="Arial" w:hAnsi="Arial" w:cs="Arial"/>
          <w:b/>
          <w:u w:val="single"/>
        </w:rPr>
      </w:pPr>
      <w:r w:rsidRPr="00D9616F">
        <w:rPr>
          <w:rFonts w:ascii="Arial" w:eastAsia="Arial" w:hAnsi="Arial" w:cs="Arial"/>
          <w:b/>
          <w:u w:val="single"/>
        </w:rPr>
        <w:lastRenderedPageBreak/>
        <w:t>CERTIFICATE OF SERVICE</w:t>
      </w:r>
    </w:p>
    <w:p w14:paraId="1EA93FD2" w14:textId="77777777" w:rsidR="00D9616F" w:rsidRPr="00D9616F" w:rsidRDefault="00D9616F" w:rsidP="00D9616F">
      <w:pPr>
        <w:suppressLineNumbers/>
        <w:spacing w:after="0"/>
        <w:jc w:val="center"/>
        <w:rPr>
          <w:rFonts w:ascii="Arial" w:eastAsia="Arial" w:hAnsi="Arial" w:cs="Arial"/>
          <w:b/>
          <w:u w:val="single"/>
        </w:rPr>
      </w:pPr>
    </w:p>
    <w:p w14:paraId="5E0224A4" w14:textId="0A43FAEB" w:rsidR="00D9616F" w:rsidRPr="00D9616F" w:rsidRDefault="00D9616F" w:rsidP="00D9616F">
      <w:pPr>
        <w:suppressLineNumbers/>
        <w:spacing w:after="0"/>
        <w:jc w:val="both"/>
        <w:rPr>
          <w:rFonts w:ascii="Arial" w:eastAsiaTheme="minorEastAsia" w:hAnsi="Arial" w:cs="Arial"/>
        </w:rPr>
      </w:pPr>
      <w:r w:rsidRPr="00D9616F">
        <w:rPr>
          <w:rFonts w:ascii="Arial" w:eastAsia="Arial" w:hAnsi="Arial" w:cs="Arial"/>
        </w:rPr>
        <w:tab/>
      </w:r>
      <w:r w:rsidRPr="00D9616F">
        <w:rPr>
          <w:rFonts w:ascii="Arial" w:eastAsiaTheme="minorEastAsia" w:hAnsi="Arial" w:cs="Arial"/>
        </w:rPr>
        <w:t xml:space="preserve">I certify that this </w:t>
      </w:r>
      <w:r>
        <w:rPr>
          <w:rFonts w:ascii="Arial" w:eastAsiaTheme="minorEastAsia" w:hAnsi="Arial" w:cs="Arial"/>
        </w:rPr>
        <w:t xml:space="preserve">Direct Testimony of J. Edward Hess on behalf of Interstate </w:t>
      </w:r>
      <w:r w:rsidRPr="00D9616F">
        <w:rPr>
          <w:rFonts w:ascii="Arial" w:eastAsiaTheme="minorEastAsia" w:hAnsi="Arial" w:cs="Arial"/>
        </w:rPr>
        <w:t xml:space="preserve">Gas Supply, Inc. was served electronically on the following parties on this 12th day of February 2019. </w:t>
      </w:r>
    </w:p>
    <w:p w14:paraId="1344A11D" w14:textId="77777777" w:rsidR="00D9616F" w:rsidRPr="00D9616F" w:rsidRDefault="00D9616F" w:rsidP="00D9616F">
      <w:pPr>
        <w:suppressLineNumbers/>
        <w:spacing w:after="0"/>
        <w:jc w:val="both"/>
        <w:rPr>
          <w:rFonts w:ascii="Arial" w:eastAsia="Calibri" w:hAnsi="Arial" w:cs="Arial"/>
        </w:rPr>
      </w:pPr>
    </w:p>
    <w:p w14:paraId="4AE5A0D6" w14:textId="77777777" w:rsidR="00D9616F" w:rsidRPr="00D9616F" w:rsidRDefault="00D9616F" w:rsidP="00D9616F">
      <w:pPr>
        <w:suppressLineNumbers/>
        <w:spacing w:after="0"/>
        <w:rPr>
          <w:rFonts w:ascii="Arial" w:hAnsi="Arial" w:cs="Arial"/>
          <w:sz w:val="16"/>
          <w:szCs w:val="16"/>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417"/>
      </w:tblGrid>
      <w:tr w:rsidR="00D9616F" w:rsidRPr="00D9616F" w14:paraId="29D20402" w14:textId="77777777" w:rsidTr="00BC3604">
        <w:tc>
          <w:tcPr>
            <w:tcW w:w="4788" w:type="dxa"/>
          </w:tcPr>
          <w:p w14:paraId="665820A2" w14:textId="28BDB381" w:rsidR="00D9616F" w:rsidRPr="00D9616F" w:rsidRDefault="00D9616F" w:rsidP="00D9616F">
            <w:pPr>
              <w:rPr>
                <w:rFonts w:ascii="Arial" w:hAnsi="Arial" w:cs="Arial"/>
              </w:rPr>
            </w:pPr>
          </w:p>
          <w:p w14:paraId="5DE8E075" w14:textId="77777777" w:rsidR="00D9616F" w:rsidRPr="00D9616F" w:rsidRDefault="00162EA7" w:rsidP="00D9616F">
            <w:pPr>
              <w:rPr>
                <w:rFonts w:ascii="Arial" w:hAnsi="Arial" w:cs="Arial"/>
              </w:rPr>
            </w:pPr>
            <w:hyperlink r:id="rId18" w:history="1">
              <w:r w:rsidR="00D9616F" w:rsidRPr="00D9616F">
                <w:rPr>
                  <w:rFonts w:ascii="Arial" w:hAnsi="Arial" w:cs="Arial"/>
                  <w:color w:val="0000FF" w:themeColor="hyperlink"/>
                  <w:u w:val="single"/>
                </w:rPr>
                <w:t>djireland@ficlaw.com</w:t>
              </w:r>
            </w:hyperlink>
          </w:p>
          <w:p w14:paraId="49F7E123" w14:textId="77777777" w:rsidR="00D9616F" w:rsidRPr="00D9616F" w:rsidRDefault="00162EA7" w:rsidP="00D9616F">
            <w:pPr>
              <w:rPr>
                <w:rFonts w:ascii="Arial" w:hAnsi="Arial" w:cs="Arial"/>
              </w:rPr>
            </w:pPr>
            <w:hyperlink r:id="rId19" w:history="1">
              <w:r w:rsidR="00D9616F" w:rsidRPr="00D9616F">
                <w:rPr>
                  <w:rFonts w:ascii="Arial" w:hAnsi="Arial" w:cs="Arial"/>
                  <w:color w:val="0000FF" w:themeColor="hyperlink"/>
                  <w:u w:val="single"/>
                </w:rPr>
                <w:t>jsharkey@ficlaw.com</w:t>
              </w:r>
            </w:hyperlink>
          </w:p>
          <w:p w14:paraId="4584E67D" w14:textId="77777777" w:rsidR="00D9616F" w:rsidRPr="00D9616F" w:rsidRDefault="00162EA7" w:rsidP="00D9616F">
            <w:pPr>
              <w:rPr>
                <w:rFonts w:ascii="Arial" w:hAnsi="Arial" w:cs="Arial"/>
                <w:color w:val="0000FF" w:themeColor="hyperlink"/>
                <w:u w:val="single"/>
              </w:rPr>
            </w:pPr>
            <w:hyperlink r:id="rId20" w:history="1">
              <w:r w:rsidR="00D9616F" w:rsidRPr="00D9616F">
                <w:rPr>
                  <w:rFonts w:ascii="Arial" w:hAnsi="Arial" w:cs="Arial"/>
                  <w:color w:val="0000FF" w:themeColor="hyperlink"/>
                  <w:u w:val="single"/>
                </w:rPr>
                <w:t>mfleisher@elpc.org</w:t>
              </w:r>
            </w:hyperlink>
          </w:p>
          <w:p w14:paraId="168B1D08" w14:textId="77777777" w:rsidR="00D9616F" w:rsidRPr="00D9616F" w:rsidRDefault="00162EA7" w:rsidP="00D9616F">
            <w:pPr>
              <w:rPr>
                <w:rFonts w:ascii="Arial" w:eastAsia="Times New Roman" w:hAnsi="Arial" w:cs="Arial"/>
              </w:rPr>
            </w:pPr>
            <w:hyperlink r:id="rId21" w:history="1">
              <w:r w:rsidR="00D9616F" w:rsidRPr="00D9616F">
                <w:rPr>
                  <w:rFonts w:ascii="Arial" w:eastAsia="Times New Roman" w:hAnsi="Arial" w:cs="Arial"/>
                  <w:color w:val="0000FF" w:themeColor="hyperlink"/>
                  <w:u w:val="single"/>
                </w:rPr>
                <w:t>fdarr@mwncmh.com</w:t>
              </w:r>
            </w:hyperlink>
          </w:p>
          <w:p w14:paraId="71E58AA7" w14:textId="77777777" w:rsidR="00D9616F" w:rsidRPr="00D9616F" w:rsidRDefault="00162EA7" w:rsidP="00D9616F">
            <w:pPr>
              <w:rPr>
                <w:rFonts w:ascii="Arial" w:eastAsia="Times New Roman" w:hAnsi="Arial" w:cs="Arial"/>
              </w:rPr>
            </w:pPr>
            <w:hyperlink r:id="rId22" w:history="1">
              <w:r w:rsidR="00D9616F" w:rsidRPr="00D9616F">
                <w:rPr>
                  <w:rFonts w:ascii="Arial" w:eastAsia="Times New Roman" w:hAnsi="Arial" w:cs="Arial"/>
                  <w:color w:val="0000FF" w:themeColor="hyperlink"/>
                  <w:u w:val="single"/>
                </w:rPr>
                <w:t>mpritchard@mwncmh.com</w:t>
              </w:r>
            </w:hyperlink>
          </w:p>
          <w:p w14:paraId="0E052534" w14:textId="77777777" w:rsidR="00D9616F" w:rsidRPr="00D9616F" w:rsidRDefault="00162EA7" w:rsidP="00D9616F">
            <w:pPr>
              <w:rPr>
                <w:rFonts w:ascii="Arial" w:eastAsia="Times New Roman" w:hAnsi="Arial" w:cs="Arial"/>
              </w:rPr>
            </w:pPr>
            <w:hyperlink r:id="rId23" w:history="1">
              <w:r w:rsidR="00D9616F" w:rsidRPr="00D9616F">
                <w:rPr>
                  <w:rFonts w:ascii="Arial" w:eastAsia="Times New Roman" w:hAnsi="Arial" w:cs="Arial"/>
                  <w:color w:val="0000FF" w:themeColor="hyperlink"/>
                  <w:u w:val="single"/>
                </w:rPr>
                <w:t>jeffrey.mayes@monitoringanalytics.com</w:t>
              </w:r>
            </w:hyperlink>
          </w:p>
          <w:p w14:paraId="7670EB2B" w14:textId="77777777" w:rsidR="00D9616F" w:rsidRPr="00D9616F" w:rsidRDefault="00162EA7" w:rsidP="00D9616F">
            <w:pPr>
              <w:rPr>
                <w:rFonts w:ascii="Arial" w:eastAsia="Times New Roman" w:hAnsi="Arial" w:cs="Arial"/>
              </w:rPr>
            </w:pPr>
            <w:hyperlink r:id="rId24" w:history="1">
              <w:r w:rsidR="00D9616F" w:rsidRPr="00D9616F">
                <w:rPr>
                  <w:rFonts w:ascii="Arial" w:eastAsia="Times New Roman" w:hAnsi="Arial" w:cs="Arial"/>
                  <w:color w:val="0000FF" w:themeColor="hyperlink"/>
                  <w:u w:val="single"/>
                </w:rPr>
                <w:t>evelyn.robinson@pjm.com</w:t>
              </w:r>
            </w:hyperlink>
          </w:p>
          <w:p w14:paraId="64FAC210" w14:textId="77777777" w:rsidR="00D9616F" w:rsidRPr="00D9616F" w:rsidRDefault="00162EA7" w:rsidP="00D9616F">
            <w:pPr>
              <w:rPr>
                <w:rFonts w:ascii="Arial" w:eastAsia="Times New Roman" w:hAnsi="Arial" w:cs="Arial"/>
              </w:rPr>
            </w:pPr>
            <w:hyperlink r:id="rId25" w:history="1">
              <w:r w:rsidR="00D9616F" w:rsidRPr="00D9616F">
                <w:rPr>
                  <w:rFonts w:ascii="Arial" w:eastAsia="Times New Roman" w:hAnsi="Arial" w:cs="Arial"/>
                  <w:color w:val="0000FF" w:themeColor="hyperlink"/>
                  <w:u w:val="single"/>
                </w:rPr>
                <w:t>schmidt@sppgrp.com</w:t>
              </w:r>
            </w:hyperlink>
          </w:p>
          <w:p w14:paraId="02F3B9F5" w14:textId="77777777" w:rsidR="00D9616F" w:rsidRPr="00D9616F" w:rsidRDefault="00162EA7" w:rsidP="00D9616F">
            <w:pPr>
              <w:rPr>
                <w:rFonts w:ascii="Arial" w:eastAsia="Times New Roman" w:hAnsi="Arial" w:cs="Arial"/>
              </w:rPr>
            </w:pPr>
            <w:hyperlink r:id="rId26" w:history="1">
              <w:r w:rsidR="00D9616F" w:rsidRPr="00D9616F">
                <w:rPr>
                  <w:rFonts w:ascii="Arial" w:eastAsia="Times New Roman" w:hAnsi="Arial" w:cs="Arial"/>
                  <w:color w:val="0000FF" w:themeColor="hyperlink"/>
                  <w:u w:val="single"/>
                </w:rPr>
                <w:t>dboehm@BKLlawfirm.com</w:t>
              </w:r>
            </w:hyperlink>
          </w:p>
          <w:p w14:paraId="5B318CD2" w14:textId="77777777" w:rsidR="00D9616F" w:rsidRPr="00D9616F" w:rsidRDefault="00162EA7" w:rsidP="00D9616F">
            <w:pPr>
              <w:rPr>
                <w:rFonts w:ascii="Arial" w:eastAsia="Times New Roman" w:hAnsi="Arial" w:cs="Arial"/>
              </w:rPr>
            </w:pPr>
            <w:hyperlink r:id="rId27" w:history="1">
              <w:r w:rsidR="00D9616F" w:rsidRPr="00D9616F">
                <w:rPr>
                  <w:rFonts w:ascii="Arial" w:eastAsia="Times New Roman" w:hAnsi="Arial" w:cs="Arial"/>
                  <w:color w:val="0000FF" w:themeColor="hyperlink"/>
                  <w:u w:val="single"/>
                </w:rPr>
                <w:t>mkurtz@BKLlawfirm.com</w:t>
              </w:r>
            </w:hyperlink>
          </w:p>
          <w:p w14:paraId="16F44390" w14:textId="77777777" w:rsidR="00D9616F" w:rsidRPr="00D9616F" w:rsidRDefault="00162EA7" w:rsidP="00D9616F">
            <w:pPr>
              <w:rPr>
                <w:rFonts w:ascii="Arial" w:eastAsia="Times New Roman" w:hAnsi="Arial" w:cs="Arial"/>
              </w:rPr>
            </w:pPr>
            <w:hyperlink r:id="rId28" w:history="1">
              <w:r w:rsidR="00D9616F" w:rsidRPr="00D9616F">
                <w:rPr>
                  <w:rFonts w:ascii="Arial" w:eastAsia="Times New Roman" w:hAnsi="Arial" w:cs="Arial"/>
                  <w:color w:val="0000FF" w:themeColor="hyperlink"/>
                  <w:u w:val="single"/>
                </w:rPr>
                <w:t>kboehm@BKLlawfirm.com</w:t>
              </w:r>
            </w:hyperlink>
          </w:p>
          <w:p w14:paraId="33D0ABAD" w14:textId="77777777" w:rsidR="00D9616F" w:rsidRPr="00D9616F" w:rsidRDefault="00162EA7" w:rsidP="00D9616F">
            <w:pPr>
              <w:rPr>
                <w:rFonts w:ascii="Arial" w:eastAsia="Times New Roman" w:hAnsi="Arial" w:cs="Arial"/>
              </w:rPr>
            </w:pPr>
            <w:hyperlink r:id="rId29" w:history="1">
              <w:r w:rsidR="00D9616F" w:rsidRPr="00D9616F">
                <w:rPr>
                  <w:rFonts w:ascii="Arial" w:eastAsia="Times New Roman" w:hAnsi="Arial" w:cs="Arial"/>
                  <w:color w:val="0000FF" w:themeColor="hyperlink"/>
                  <w:u w:val="single"/>
                </w:rPr>
                <w:t>jkylercohn@BKLlawfirm.com</w:t>
              </w:r>
            </w:hyperlink>
            <w:r w:rsidR="00D9616F" w:rsidRPr="00D9616F">
              <w:rPr>
                <w:rFonts w:ascii="Arial" w:eastAsia="Times New Roman" w:hAnsi="Arial" w:cs="Arial"/>
                <w:color w:val="0000FF" w:themeColor="hyperlink"/>
                <w:u w:val="single"/>
              </w:rPr>
              <w:t xml:space="preserve"> </w:t>
            </w:r>
          </w:p>
          <w:p w14:paraId="6756E6CF" w14:textId="77777777" w:rsidR="00D9616F" w:rsidRPr="00D9616F" w:rsidRDefault="00162EA7" w:rsidP="00D9616F">
            <w:pPr>
              <w:rPr>
                <w:rFonts w:ascii="Arial" w:hAnsi="Arial" w:cs="Arial"/>
              </w:rPr>
            </w:pPr>
            <w:hyperlink r:id="rId30" w:history="1">
              <w:r w:rsidR="00D9616F" w:rsidRPr="00D9616F">
                <w:rPr>
                  <w:rFonts w:ascii="Arial" w:hAnsi="Arial" w:cs="Arial"/>
                  <w:color w:val="0000FF" w:themeColor="hyperlink"/>
                  <w:u w:val="single"/>
                </w:rPr>
                <w:t>william.wright@ohioattorneygeneral.gov</w:t>
              </w:r>
            </w:hyperlink>
          </w:p>
          <w:p w14:paraId="0BE180AC" w14:textId="77777777" w:rsidR="00D9616F" w:rsidRPr="00D9616F" w:rsidRDefault="00162EA7" w:rsidP="00D9616F">
            <w:pPr>
              <w:rPr>
                <w:rFonts w:ascii="Arial" w:hAnsi="Arial" w:cs="Arial"/>
              </w:rPr>
            </w:pPr>
            <w:hyperlink r:id="rId31" w:history="1">
              <w:r w:rsidR="00D9616F" w:rsidRPr="00D9616F">
                <w:rPr>
                  <w:rFonts w:ascii="Arial" w:hAnsi="Arial" w:cs="Arial"/>
                  <w:color w:val="0000FF" w:themeColor="hyperlink"/>
                  <w:u w:val="single"/>
                </w:rPr>
                <w:t>Michelle.d.grant@dynegy.com</w:t>
              </w:r>
            </w:hyperlink>
          </w:p>
          <w:p w14:paraId="6512086B" w14:textId="77777777" w:rsidR="00D9616F" w:rsidRPr="00D9616F" w:rsidRDefault="00162EA7" w:rsidP="00D9616F">
            <w:pPr>
              <w:rPr>
                <w:rFonts w:ascii="Arial" w:hAnsi="Arial" w:cs="Arial"/>
                <w:color w:val="0000FF" w:themeColor="hyperlink"/>
                <w:u w:val="single"/>
              </w:rPr>
            </w:pPr>
            <w:hyperlink r:id="rId32" w:history="1">
              <w:r w:rsidR="00D9616F" w:rsidRPr="00D9616F">
                <w:rPr>
                  <w:rFonts w:ascii="Arial" w:hAnsi="Arial" w:cs="Arial"/>
                  <w:color w:val="0000FF" w:themeColor="hyperlink"/>
                  <w:u w:val="single"/>
                </w:rPr>
                <w:t>rsahli@columbus.rr.com</w:t>
              </w:r>
            </w:hyperlink>
            <w:r w:rsidR="00D9616F" w:rsidRPr="00D9616F">
              <w:rPr>
                <w:rFonts w:ascii="Arial" w:hAnsi="Arial" w:cs="Arial"/>
              </w:rPr>
              <w:t xml:space="preserve"> </w:t>
            </w:r>
          </w:p>
          <w:p w14:paraId="7FD9EB13" w14:textId="77777777" w:rsidR="00D9616F" w:rsidRPr="00D9616F" w:rsidRDefault="00162EA7" w:rsidP="00D9616F">
            <w:pPr>
              <w:rPr>
                <w:rFonts w:ascii="Arial" w:hAnsi="Arial" w:cs="Arial"/>
              </w:rPr>
            </w:pPr>
            <w:hyperlink r:id="rId33" w:history="1">
              <w:r w:rsidR="00D9616F" w:rsidRPr="00D9616F">
                <w:rPr>
                  <w:rFonts w:ascii="Arial" w:hAnsi="Arial" w:cs="Arial"/>
                  <w:color w:val="0000FF" w:themeColor="hyperlink"/>
                  <w:u w:val="single"/>
                </w:rPr>
                <w:t>slesser@calfee.com</w:t>
              </w:r>
            </w:hyperlink>
          </w:p>
          <w:p w14:paraId="661C41EB" w14:textId="77777777" w:rsidR="00D9616F" w:rsidRPr="00D9616F" w:rsidRDefault="00162EA7" w:rsidP="00D9616F">
            <w:pPr>
              <w:rPr>
                <w:rFonts w:ascii="Arial" w:hAnsi="Arial" w:cs="Arial"/>
              </w:rPr>
            </w:pPr>
            <w:hyperlink r:id="rId34" w:history="1">
              <w:r w:rsidR="00D9616F" w:rsidRPr="00D9616F">
                <w:rPr>
                  <w:rFonts w:ascii="Arial" w:hAnsi="Arial" w:cs="Arial"/>
                  <w:color w:val="0000FF" w:themeColor="hyperlink"/>
                  <w:u w:val="single"/>
                </w:rPr>
                <w:t>jlang@calfee.com</w:t>
              </w:r>
            </w:hyperlink>
          </w:p>
          <w:p w14:paraId="6519C4B0" w14:textId="77777777" w:rsidR="00D9616F" w:rsidRPr="00D9616F" w:rsidRDefault="00162EA7" w:rsidP="00D9616F">
            <w:pPr>
              <w:rPr>
                <w:rFonts w:ascii="Arial" w:hAnsi="Arial" w:cs="Arial"/>
              </w:rPr>
            </w:pPr>
            <w:hyperlink r:id="rId35" w:history="1">
              <w:r w:rsidR="00D9616F" w:rsidRPr="00D9616F">
                <w:rPr>
                  <w:rFonts w:ascii="Arial" w:hAnsi="Arial" w:cs="Arial"/>
                  <w:color w:val="0000FF" w:themeColor="hyperlink"/>
                  <w:u w:val="single"/>
                </w:rPr>
                <w:t>talexander@calfee.com</w:t>
              </w:r>
            </w:hyperlink>
          </w:p>
          <w:p w14:paraId="289B787E" w14:textId="77777777" w:rsidR="00D9616F" w:rsidRPr="00D9616F" w:rsidRDefault="00162EA7" w:rsidP="00D9616F">
            <w:pPr>
              <w:rPr>
                <w:rFonts w:ascii="Arial" w:hAnsi="Arial" w:cs="Arial"/>
              </w:rPr>
            </w:pPr>
            <w:hyperlink r:id="rId36" w:history="1">
              <w:r w:rsidR="00D9616F" w:rsidRPr="00D9616F">
                <w:rPr>
                  <w:rFonts w:ascii="Arial" w:hAnsi="Arial" w:cs="Arial"/>
                  <w:color w:val="0000FF" w:themeColor="hyperlink"/>
                  <w:u w:val="single"/>
                </w:rPr>
                <w:t>lhawrot@spilmanlaw.com</w:t>
              </w:r>
            </w:hyperlink>
          </w:p>
          <w:p w14:paraId="6F6A4A78" w14:textId="77777777" w:rsidR="00D9616F" w:rsidRPr="00D9616F" w:rsidRDefault="00162EA7" w:rsidP="00D9616F">
            <w:pPr>
              <w:rPr>
                <w:rFonts w:ascii="Arial" w:hAnsi="Arial" w:cs="Arial"/>
              </w:rPr>
            </w:pPr>
            <w:hyperlink r:id="rId37" w:history="1">
              <w:r w:rsidR="00D9616F" w:rsidRPr="00D9616F">
                <w:rPr>
                  <w:rFonts w:ascii="Arial" w:hAnsi="Arial" w:cs="Arial"/>
                  <w:color w:val="0000FF" w:themeColor="hyperlink"/>
                  <w:u w:val="single"/>
                </w:rPr>
                <w:t>dwilliamson@spilmanlaw.com</w:t>
              </w:r>
            </w:hyperlink>
          </w:p>
          <w:p w14:paraId="5BB7CF7C" w14:textId="77777777" w:rsidR="00D9616F" w:rsidRPr="00D9616F" w:rsidRDefault="00162EA7" w:rsidP="00D9616F">
            <w:pPr>
              <w:rPr>
                <w:rFonts w:ascii="Arial" w:hAnsi="Arial" w:cs="Arial"/>
              </w:rPr>
            </w:pPr>
            <w:hyperlink r:id="rId38" w:history="1">
              <w:r w:rsidR="00D9616F" w:rsidRPr="00D9616F">
                <w:rPr>
                  <w:rFonts w:ascii="Arial" w:hAnsi="Arial" w:cs="Arial"/>
                  <w:color w:val="0000FF" w:themeColor="hyperlink"/>
                  <w:u w:val="single"/>
                </w:rPr>
                <w:t>charris@spilmanlaw.com</w:t>
              </w:r>
            </w:hyperlink>
          </w:p>
          <w:p w14:paraId="359FA57C" w14:textId="77777777" w:rsidR="00D9616F" w:rsidRPr="00D9616F" w:rsidRDefault="00162EA7" w:rsidP="00D9616F">
            <w:pPr>
              <w:rPr>
                <w:rFonts w:ascii="Arial" w:hAnsi="Arial" w:cs="Arial"/>
              </w:rPr>
            </w:pPr>
            <w:hyperlink r:id="rId39" w:history="1">
              <w:r w:rsidR="00D9616F" w:rsidRPr="00D9616F">
                <w:rPr>
                  <w:rFonts w:ascii="Arial" w:hAnsi="Arial" w:cs="Arial"/>
                  <w:color w:val="0000FF" w:themeColor="hyperlink"/>
                  <w:u w:val="single"/>
                </w:rPr>
                <w:t>gthomas@gtpowergroup.com</w:t>
              </w:r>
            </w:hyperlink>
          </w:p>
          <w:p w14:paraId="489C4CEE" w14:textId="77777777" w:rsidR="00D9616F" w:rsidRPr="00D9616F" w:rsidRDefault="00162EA7" w:rsidP="00D9616F">
            <w:pPr>
              <w:rPr>
                <w:rFonts w:ascii="Arial" w:hAnsi="Arial" w:cs="Arial"/>
              </w:rPr>
            </w:pPr>
            <w:hyperlink r:id="rId40" w:history="1">
              <w:r w:rsidR="00D9616F" w:rsidRPr="00D9616F">
                <w:rPr>
                  <w:rFonts w:ascii="Arial" w:hAnsi="Arial" w:cs="Arial"/>
                  <w:color w:val="0000FF" w:themeColor="hyperlink"/>
                  <w:u w:val="single"/>
                </w:rPr>
                <w:t>laurac@chappelleconsulting.net</w:t>
              </w:r>
            </w:hyperlink>
          </w:p>
          <w:p w14:paraId="2F4019DC" w14:textId="77777777" w:rsidR="00D9616F" w:rsidRPr="00D9616F" w:rsidRDefault="00162EA7" w:rsidP="00D9616F">
            <w:pPr>
              <w:rPr>
                <w:rFonts w:ascii="Arial" w:hAnsi="Arial" w:cs="Arial"/>
              </w:rPr>
            </w:pPr>
            <w:hyperlink r:id="rId41" w:history="1">
              <w:r w:rsidR="00D9616F" w:rsidRPr="00D9616F">
                <w:rPr>
                  <w:rFonts w:ascii="Arial" w:hAnsi="Arial" w:cs="Arial"/>
                  <w:color w:val="0000FF" w:themeColor="hyperlink"/>
                  <w:u w:val="single"/>
                </w:rPr>
                <w:t>stheodore@epsa.org</w:t>
              </w:r>
            </w:hyperlink>
          </w:p>
          <w:p w14:paraId="492CC6C4" w14:textId="77777777" w:rsidR="00D9616F" w:rsidRPr="00D9616F" w:rsidRDefault="00162EA7" w:rsidP="00D9616F">
            <w:pPr>
              <w:rPr>
                <w:rFonts w:ascii="Arial" w:hAnsi="Arial" w:cs="Arial"/>
              </w:rPr>
            </w:pPr>
            <w:hyperlink r:id="rId42" w:history="1">
              <w:r w:rsidR="00D9616F" w:rsidRPr="00D9616F">
                <w:rPr>
                  <w:rFonts w:ascii="Arial" w:hAnsi="Arial" w:cs="Arial"/>
                  <w:color w:val="0000FF" w:themeColor="hyperlink"/>
                  <w:u w:val="single"/>
                </w:rPr>
                <w:t>todonnell@dickinsonwright.com</w:t>
              </w:r>
            </w:hyperlink>
          </w:p>
          <w:p w14:paraId="55D22FBC" w14:textId="77777777" w:rsidR="00D9616F" w:rsidRPr="00D9616F" w:rsidRDefault="00162EA7" w:rsidP="00D9616F">
            <w:pPr>
              <w:rPr>
                <w:rFonts w:ascii="Arial" w:hAnsi="Arial" w:cs="Arial"/>
              </w:rPr>
            </w:pPr>
            <w:hyperlink r:id="rId43" w:history="1">
              <w:r w:rsidR="00D9616F" w:rsidRPr="00D9616F">
                <w:rPr>
                  <w:rFonts w:ascii="Arial" w:hAnsi="Arial" w:cs="Arial"/>
                  <w:color w:val="0000FF" w:themeColor="hyperlink"/>
                  <w:u w:val="single"/>
                </w:rPr>
                <w:t>rseiler@dickinsonwright.com</w:t>
              </w:r>
            </w:hyperlink>
          </w:p>
          <w:p w14:paraId="7B7E13AA" w14:textId="77777777" w:rsidR="00D9616F" w:rsidRPr="00D9616F" w:rsidRDefault="00162EA7" w:rsidP="00D9616F">
            <w:pPr>
              <w:rPr>
                <w:rFonts w:ascii="Arial" w:hAnsi="Arial" w:cs="Arial"/>
              </w:rPr>
            </w:pPr>
            <w:hyperlink r:id="rId44" w:history="1">
              <w:r w:rsidR="00D9616F" w:rsidRPr="00D9616F">
                <w:rPr>
                  <w:rFonts w:ascii="Arial" w:hAnsi="Arial" w:cs="Arial"/>
                  <w:color w:val="0000FF" w:themeColor="hyperlink"/>
                  <w:u w:val="single"/>
                </w:rPr>
                <w:t>jeanne.kingery@duke-energy.com</w:t>
              </w:r>
            </w:hyperlink>
            <w:r w:rsidR="00D9616F" w:rsidRPr="00D9616F">
              <w:rPr>
                <w:rFonts w:ascii="Arial" w:hAnsi="Arial" w:cs="Arial"/>
              </w:rPr>
              <w:t xml:space="preserve"> </w:t>
            </w:r>
          </w:p>
          <w:p w14:paraId="2EC54ED4" w14:textId="77777777" w:rsidR="00D9616F" w:rsidRPr="00D9616F" w:rsidRDefault="00162EA7" w:rsidP="00D9616F">
            <w:pPr>
              <w:rPr>
                <w:rFonts w:ascii="Arial" w:hAnsi="Arial" w:cs="Arial"/>
              </w:rPr>
            </w:pPr>
            <w:hyperlink r:id="rId45" w:history="1">
              <w:r w:rsidR="00D9616F" w:rsidRPr="00D9616F">
                <w:rPr>
                  <w:rFonts w:ascii="Arial" w:hAnsi="Arial" w:cs="Arial"/>
                  <w:color w:val="0000FF" w:themeColor="hyperlink"/>
                  <w:u w:val="single"/>
                </w:rPr>
                <w:t>kristin.henry@sierraclub.org</w:t>
              </w:r>
            </w:hyperlink>
            <w:r w:rsidR="00D9616F" w:rsidRPr="00D9616F">
              <w:rPr>
                <w:rFonts w:ascii="Arial" w:hAnsi="Arial" w:cs="Arial"/>
              </w:rPr>
              <w:t xml:space="preserve"> </w:t>
            </w:r>
          </w:p>
          <w:p w14:paraId="626DEE69" w14:textId="77777777" w:rsidR="00D9616F" w:rsidRPr="00D9616F" w:rsidRDefault="00162EA7" w:rsidP="00D9616F">
            <w:pPr>
              <w:rPr>
                <w:rFonts w:ascii="Arial" w:hAnsi="Arial" w:cs="Arial"/>
              </w:rPr>
            </w:pPr>
            <w:hyperlink r:id="rId46" w:history="1">
              <w:r w:rsidR="00D9616F" w:rsidRPr="00D9616F">
                <w:rPr>
                  <w:rFonts w:ascii="Arial" w:hAnsi="Arial" w:cs="Arial"/>
                  <w:color w:val="0000FF" w:themeColor="hyperlink"/>
                  <w:u w:val="single"/>
                </w:rPr>
                <w:t>thomas.mcnamee@ohioattorneygeneral.gov</w:t>
              </w:r>
            </w:hyperlink>
          </w:p>
        </w:tc>
        <w:tc>
          <w:tcPr>
            <w:tcW w:w="4788" w:type="dxa"/>
          </w:tcPr>
          <w:p w14:paraId="2E60125B" w14:textId="77777777" w:rsidR="00D9616F" w:rsidRPr="00D9616F" w:rsidRDefault="00162EA7" w:rsidP="00D9616F">
            <w:pPr>
              <w:rPr>
                <w:rFonts w:ascii="Arial" w:hAnsi="Arial" w:cs="Arial"/>
                <w:color w:val="0000FF" w:themeColor="hyperlink"/>
                <w:u w:val="single"/>
              </w:rPr>
            </w:pPr>
            <w:hyperlink r:id="rId47" w:history="1">
              <w:r w:rsidR="00D9616F" w:rsidRPr="00D9616F">
                <w:rPr>
                  <w:rFonts w:ascii="Arial" w:hAnsi="Arial" w:cs="Arial"/>
                  <w:color w:val="0000FF" w:themeColor="hyperlink"/>
                  <w:u w:val="single"/>
                </w:rPr>
                <w:t>joliker@igsenergy.com</w:t>
              </w:r>
            </w:hyperlink>
          </w:p>
          <w:p w14:paraId="36ACE93A" w14:textId="77777777" w:rsidR="00D9616F" w:rsidRPr="00D9616F" w:rsidRDefault="00162EA7" w:rsidP="00D9616F">
            <w:pPr>
              <w:rPr>
                <w:rFonts w:ascii="Arial" w:hAnsi="Arial" w:cs="Arial"/>
              </w:rPr>
            </w:pPr>
            <w:hyperlink r:id="rId48" w:history="1">
              <w:r w:rsidR="00D9616F" w:rsidRPr="00D9616F">
                <w:rPr>
                  <w:rFonts w:ascii="Arial" w:hAnsi="Arial" w:cs="Arial"/>
                  <w:color w:val="0000FF" w:themeColor="hyperlink"/>
                  <w:u w:val="single"/>
                </w:rPr>
                <w:t>bojko@carpenterlipps.com</w:t>
              </w:r>
            </w:hyperlink>
            <w:r w:rsidR="00D9616F" w:rsidRPr="00D9616F">
              <w:rPr>
                <w:rFonts w:ascii="Arial" w:hAnsi="Arial" w:cs="Arial"/>
              </w:rPr>
              <w:t xml:space="preserve"> </w:t>
            </w:r>
          </w:p>
          <w:p w14:paraId="227C2A71" w14:textId="77777777" w:rsidR="00D9616F" w:rsidRPr="00D9616F" w:rsidRDefault="00162EA7" w:rsidP="00D9616F">
            <w:pPr>
              <w:rPr>
                <w:rFonts w:ascii="Arial" w:hAnsi="Arial" w:cs="Arial"/>
              </w:rPr>
            </w:pPr>
            <w:hyperlink r:id="rId49" w:history="1">
              <w:r w:rsidR="00D9616F" w:rsidRPr="00D9616F">
                <w:rPr>
                  <w:rFonts w:ascii="Arial" w:hAnsi="Arial" w:cs="Arial"/>
                  <w:color w:val="0000FF" w:themeColor="hyperlink"/>
                  <w:u w:val="single"/>
                </w:rPr>
                <w:t>ghiloni@carpenterlipps.com</w:t>
              </w:r>
            </w:hyperlink>
            <w:r w:rsidR="00D9616F" w:rsidRPr="00D9616F">
              <w:rPr>
                <w:rFonts w:ascii="Arial" w:hAnsi="Arial" w:cs="Arial"/>
              </w:rPr>
              <w:t xml:space="preserve"> </w:t>
            </w:r>
          </w:p>
          <w:p w14:paraId="1074F8C3" w14:textId="77777777" w:rsidR="00D9616F" w:rsidRPr="00D9616F" w:rsidRDefault="00162EA7" w:rsidP="00D9616F">
            <w:pPr>
              <w:rPr>
                <w:rFonts w:ascii="Arial" w:hAnsi="Arial" w:cs="Arial"/>
              </w:rPr>
            </w:pPr>
            <w:hyperlink r:id="rId50" w:history="1">
              <w:r w:rsidR="00D9616F" w:rsidRPr="00D9616F">
                <w:rPr>
                  <w:rFonts w:ascii="Arial" w:hAnsi="Arial" w:cs="Arial"/>
                  <w:color w:val="0000FF" w:themeColor="hyperlink"/>
                  <w:u w:val="single"/>
                </w:rPr>
                <w:t>mjsettineri@vorys.com</w:t>
              </w:r>
            </w:hyperlink>
            <w:r w:rsidR="00D9616F" w:rsidRPr="00D9616F">
              <w:rPr>
                <w:rFonts w:ascii="Arial" w:hAnsi="Arial" w:cs="Arial"/>
              </w:rPr>
              <w:t xml:space="preserve"> </w:t>
            </w:r>
          </w:p>
          <w:p w14:paraId="7277FDCB" w14:textId="77777777" w:rsidR="00D9616F" w:rsidRPr="00D9616F" w:rsidRDefault="00162EA7" w:rsidP="00D9616F">
            <w:pPr>
              <w:autoSpaceDE w:val="0"/>
              <w:autoSpaceDN w:val="0"/>
              <w:adjustRightInd w:val="0"/>
              <w:rPr>
                <w:rFonts w:ascii="Arial" w:hAnsi="Arial" w:cs="Arial"/>
              </w:rPr>
            </w:pPr>
            <w:hyperlink r:id="rId51" w:history="1">
              <w:r w:rsidR="00D9616F" w:rsidRPr="00D9616F">
                <w:rPr>
                  <w:rFonts w:ascii="Arial" w:hAnsi="Arial" w:cs="Arial"/>
                  <w:color w:val="0000FF" w:themeColor="hyperlink"/>
                  <w:u w:val="single"/>
                </w:rPr>
                <w:t>smhoward@vorys.com</w:t>
              </w:r>
            </w:hyperlink>
            <w:r w:rsidR="00D9616F" w:rsidRPr="00D9616F">
              <w:rPr>
                <w:rFonts w:ascii="Arial" w:hAnsi="Arial" w:cs="Arial"/>
              </w:rPr>
              <w:t xml:space="preserve"> </w:t>
            </w:r>
          </w:p>
          <w:p w14:paraId="0050545A" w14:textId="77777777" w:rsidR="00D9616F" w:rsidRPr="00D9616F" w:rsidRDefault="00162EA7" w:rsidP="00D9616F">
            <w:pPr>
              <w:autoSpaceDE w:val="0"/>
              <w:autoSpaceDN w:val="0"/>
              <w:adjustRightInd w:val="0"/>
              <w:rPr>
                <w:rFonts w:ascii="Arial" w:hAnsi="Arial" w:cs="Arial"/>
              </w:rPr>
            </w:pPr>
            <w:hyperlink r:id="rId52" w:history="1">
              <w:r w:rsidR="00D9616F" w:rsidRPr="00D9616F">
                <w:rPr>
                  <w:rFonts w:ascii="Arial" w:hAnsi="Arial" w:cs="Arial"/>
                  <w:color w:val="0000FF" w:themeColor="hyperlink"/>
                  <w:u w:val="single"/>
                </w:rPr>
                <w:t>glpetrucci@vorys.com</w:t>
              </w:r>
            </w:hyperlink>
            <w:r w:rsidR="00D9616F" w:rsidRPr="00D9616F">
              <w:rPr>
                <w:rFonts w:ascii="Arial" w:hAnsi="Arial" w:cs="Arial"/>
              </w:rPr>
              <w:t xml:space="preserve"> </w:t>
            </w:r>
          </w:p>
          <w:p w14:paraId="24C0C110" w14:textId="77777777" w:rsidR="00D9616F" w:rsidRPr="00D9616F" w:rsidRDefault="00162EA7" w:rsidP="00D9616F">
            <w:pPr>
              <w:rPr>
                <w:rFonts w:ascii="Arial" w:hAnsi="Arial" w:cs="Arial"/>
                <w:color w:val="0000FF" w:themeColor="hyperlink"/>
                <w:u w:val="single"/>
              </w:rPr>
            </w:pPr>
            <w:hyperlink r:id="rId53" w:history="1">
              <w:r w:rsidR="00D9616F" w:rsidRPr="00D9616F">
                <w:rPr>
                  <w:rFonts w:ascii="Arial" w:hAnsi="Arial" w:cs="Arial"/>
                  <w:color w:val="0000FF" w:themeColor="hyperlink"/>
                  <w:u w:val="single"/>
                </w:rPr>
                <w:t>ibatikov@vorys.com</w:t>
              </w:r>
            </w:hyperlink>
          </w:p>
          <w:p w14:paraId="11BB376B" w14:textId="77777777" w:rsidR="00D9616F" w:rsidRPr="00D9616F" w:rsidRDefault="00D9616F" w:rsidP="00D9616F">
            <w:pPr>
              <w:rPr>
                <w:rFonts w:ascii="Arial" w:hAnsi="Arial" w:cs="Arial"/>
              </w:rPr>
            </w:pPr>
            <w:r w:rsidRPr="00D9616F">
              <w:rPr>
                <w:rFonts w:ascii="Arial" w:hAnsi="Arial" w:cs="Arial"/>
                <w:color w:val="0000FF" w:themeColor="hyperlink"/>
                <w:u w:val="single"/>
              </w:rPr>
              <w:t xml:space="preserve">wasieck@vorys.com </w:t>
            </w:r>
          </w:p>
          <w:p w14:paraId="5649B300" w14:textId="77777777" w:rsidR="00D9616F" w:rsidRPr="00D9616F" w:rsidRDefault="00162EA7" w:rsidP="00D9616F">
            <w:pPr>
              <w:rPr>
                <w:rFonts w:ascii="Arial" w:hAnsi="Arial" w:cs="Arial"/>
              </w:rPr>
            </w:pPr>
            <w:hyperlink r:id="rId54" w:history="1">
              <w:r w:rsidR="00D9616F" w:rsidRPr="00D9616F">
                <w:rPr>
                  <w:rFonts w:ascii="Arial" w:hAnsi="Arial" w:cs="Arial"/>
                  <w:color w:val="0000FF" w:themeColor="hyperlink"/>
                  <w:u w:val="single"/>
                </w:rPr>
                <w:t>william.michael@occ.ohio.gov</w:t>
              </w:r>
            </w:hyperlink>
            <w:r w:rsidR="00D9616F" w:rsidRPr="00D9616F">
              <w:rPr>
                <w:rFonts w:ascii="Arial" w:hAnsi="Arial" w:cs="Arial"/>
                <w:color w:val="0000FF"/>
              </w:rPr>
              <w:t xml:space="preserve"> </w:t>
            </w:r>
          </w:p>
          <w:p w14:paraId="6464EA81" w14:textId="77777777" w:rsidR="00D9616F" w:rsidRPr="00D9616F" w:rsidRDefault="00162EA7" w:rsidP="00D9616F">
            <w:pPr>
              <w:rPr>
                <w:rFonts w:ascii="Arial" w:hAnsi="Arial" w:cs="Arial"/>
              </w:rPr>
            </w:pPr>
            <w:hyperlink r:id="rId55" w:history="1">
              <w:r w:rsidR="00D9616F" w:rsidRPr="00D9616F">
                <w:rPr>
                  <w:rFonts w:ascii="Arial" w:hAnsi="Arial" w:cs="Arial"/>
                  <w:color w:val="0000FF" w:themeColor="hyperlink"/>
                  <w:u w:val="single"/>
                </w:rPr>
                <w:t>kevin.moore@occ.ohio.gov</w:t>
              </w:r>
            </w:hyperlink>
          </w:p>
          <w:p w14:paraId="0E853919" w14:textId="77777777" w:rsidR="00D9616F" w:rsidRPr="00D9616F" w:rsidRDefault="00162EA7" w:rsidP="00D9616F">
            <w:pPr>
              <w:rPr>
                <w:rFonts w:ascii="Arial" w:hAnsi="Arial" w:cs="Arial"/>
              </w:rPr>
            </w:pPr>
            <w:hyperlink r:id="rId56" w:history="1">
              <w:r w:rsidR="00D9616F" w:rsidRPr="00D9616F">
                <w:rPr>
                  <w:rFonts w:ascii="Arial" w:hAnsi="Arial" w:cs="Arial"/>
                  <w:color w:val="0000FF" w:themeColor="hyperlink"/>
                  <w:u w:val="single"/>
                </w:rPr>
                <w:t>mdortch@kravitzllc.com</w:t>
              </w:r>
            </w:hyperlink>
          </w:p>
          <w:p w14:paraId="27EC2C94" w14:textId="77777777" w:rsidR="00D9616F" w:rsidRPr="00D9616F" w:rsidRDefault="00162EA7" w:rsidP="00D9616F">
            <w:pPr>
              <w:rPr>
                <w:rFonts w:ascii="Arial" w:hAnsi="Arial" w:cs="Arial"/>
              </w:rPr>
            </w:pPr>
            <w:hyperlink r:id="rId57" w:history="1">
              <w:r w:rsidR="00D9616F" w:rsidRPr="00D9616F">
                <w:rPr>
                  <w:rFonts w:ascii="Arial" w:hAnsi="Arial" w:cs="Arial"/>
                  <w:color w:val="0000FF" w:themeColor="hyperlink"/>
                  <w:u w:val="single"/>
                </w:rPr>
                <w:t>tdougherty@theOEC.org</w:t>
              </w:r>
            </w:hyperlink>
          </w:p>
          <w:p w14:paraId="2A7701F5" w14:textId="77777777" w:rsidR="00D9616F" w:rsidRPr="00D9616F" w:rsidRDefault="00162EA7" w:rsidP="00D9616F">
            <w:pPr>
              <w:rPr>
                <w:rFonts w:ascii="Arial" w:hAnsi="Arial" w:cs="Arial"/>
              </w:rPr>
            </w:pPr>
            <w:hyperlink r:id="rId58" w:history="1">
              <w:r w:rsidR="00D9616F" w:rsidRPr="00D9616F">
                <w:rPr>
                  <w:rFonts w:ascii="Arial" w:hAnsi="Arial" w:cs="Arial"/>
                  <w:color w:val="0000FF" w:themeColor="hyperlink"/>
                  <w:u w:val="single"/>
                </w:rPr>
                <w:t>cmooney@ohiopartners.org</w:t>
              </w:r>
            </w:hyperlink>
          </w:p>
          <w:p w14:paraId="3292E5D4" w14:textId="77777777" w:rsidR="00D9616F" w:rsidRPr="00D9616F" w:rsidRDefault="00162EA7" w:rsidP="00D9616F">
            <w:pPr>
              <w:rPr>
                <w:rFonts w:ascii="Arial" w:hAnsi="Arial" w:cs="Arial"/>
              </w:rPr>
            </w:pPr>
            <w:hyperlink r:id="rId59" w:history="1">
              <w:r w:rsidR="00D9616F" w:rsidRPr="00D9616F">
                <w:rPr>
                  <w:rFonts w:ascii="Arial" w:hAnsi="Arial" w:cs="Arial"/>
                  <w:color w:val="0000FF" w:themeColor="hyperlink"/>
                  <w:u w:val="single"/>
                </w:rPr>
                <w:t>sechler@carpenterlipps.com</w:t>
              </w:r>
            </w:hyperlink>
          </w:p>
          <w:p w14:paraId="4887B6FA" w14:textId="77777777" w:rsidR="00D9616F" w:rsidRPr="00D9616F" w:rsidRDefault="00162EA7" w:rsidP="00D9616F">
            <w:pPr>
              <w:rPr>
                <w:rFonts w:ascii="Arial" w:hAnsi="Arial" w:cs="Arial"/>
              </w:rPr>
            </w:pPr>
            <w:hyperlink r:id="rId60" w:history="1">
              <w:r w:rsidR="00D9616F" w:rsidRPr="00D9616F">
                <w:rPr>
                  <w:rFonts w:ascii="Arial" w:hAnsi="Arial" w:cs="Arial"/>
                  <w:color w:val="0000FF" w:themeColor="hyperlink"/>
                  <w:u w:val="single"/>
                </w:rPr>
                <w:t>gpoulos@enernoc.com</w:t>
              </w:r>
            </w:hyperlink>
            <w:r w:rsidR="00D9616F" w:rsidRPr="00D9616F">
              <w:rPr>
                <w:rFonts w:ascii="Arial" w:hAnsi="Arial" w:cs="Arial"/>
              </w:rPr>
              <w:t xml:space="preserve"> </w:t>
            </w:r>
          </w:p>
          <w:p w14:paraId="1983812B" w14:textId="77777777" w:rsidR="00D9616F" w:rsidRPr="00D9616F" w:rsidRDefault="00162EA7" w:rsidP="00D9616F">
            <w:pPr>
              <w:rPr>
                <w:rFonts w:ascii="Arial" w:hAnsi="Arial" w:cs="Arial"/>
              </w:rPr>
            </w:pPr>
            <w:hyperlink r:id="rId61" w:history="1">
              <w:r w:rsidR="00D9616F" w:rsidRPr="00D9616F">
                <w:rPr>
                  <w:rFonts w:ascii="Arial" w:hAnsi="Arial" w:cs="Arial"/>
                  <w:color w:val="0000FF" w:themeColor="hyperlink"/>
                  <w:u w:val="single"/>
                </w:rPr>
                <w:t>rick.sites@ohiohospitals.org</w:t>
              </w:r>
            </w:hyperlink>
            <w:r w:rsidR="00D9616F" w:rsidRPr="00D9616F">
              <w:rPr>
                <w:rFonts w:ascii="Arial" w:hAnsi="Arial" w:cs="Arial"/>
              </w:rPr>
              <w:br/>
            </w:r>
            <w:hyperlink r:id="rId62" w:history="1">
              <w:r w:rsidR="00D9616F" w:rsidRPr="00D9616F">
                <w:rPr>
                  <w:rFonts w:ascii="Arial" w:hAnsi="Arial" w:cs="Arial"/>
                  <w:color w:val="0000FF" w:themeColor="hyperlink"/>
                  <w:u w:val="single"/>
                </w:rPr>
                <w:t>amy.spiller@duke-energy.com</w:t>
              </w:r>
            </w:hyperlink>
          </w:p>
          <w:p w14:paraId="64FF1B1F" w14:textId="77777777" w:rsidR="00D9616F" w:rsidRPr="00D9616F" w:rsidRDefault="00162EA7" w:rsidP="00D9616F">
            <w:pPr>
              <w:rPr>
                <w:rFonts w:ascii="Arial" w:hAnsi="Arial" w:cs="Arial"/>
              </w:rPr>
            </w:pPr>
            <w:hyperlink r:id="rId63" w:history="1">
              <w:r w:rsidR="00D9616F" w:rsidRPr="00D9616F">
                <w:rPr>
                  <w:rFonts w:ascii="Arial" w:hAnsi="Arial" w:cs="Arial"/>
                  <w:color w:val="0000FF" w:themeColor="hyperlink"/>
                  <w:u w:val="single"/>
                </w:rPr>
                <w:t>elizabeth.watts@duke-energy.com</w:t>
              </w:r>
            </w:hyperlink>
          </w:p>
          <w:p w14:paraId="29C05F90" w14:textId="77777777" w:rsidR="00D9616F" w:rsidRPr="00D9616F" w:rsidRDefault="00162EA7" w:rsidP="00D9616F">
            <w:pPr>
              <w:rPr>
                <w:rFonts w:ascii="Arial" w:hAnsi="Arial" w:cs="Arial"/>
              </w:rPr>
            </w:pPr>
            <w:hyperlink r:id="rId64" w:history="1">
              <w:r w:rsidR="00D9616F" w:rsidRPr="00D9616F">
                <w:rPr>
                  <w:rFonts w:ascii="Arial" w:hAnsi="Arial" w:cs="Arial"/>
                  <w:color w:val="0000FF" w:themeColor="hyperlink"/>
                  <w:u w:val="single"/>
                </w:rPr>
                <w:t>stephen.chriss@walmart.com</w:t>
              </w:r>
            </w:hyperlink>
          </w:p>
          <w:p w14:paraId="541ECEFC" w14:textId="77777777" w:rsidR="00D9616F" w:rsidRPr="00D9616F" w:rsidRDefault="00162EA7" w:rsidP="00D9616F">
            <w:pPr>
              <w:rPr>
                <w:rFonts w:ascii="Arial" w:hAnsi="Arial" w:cs="Arial"/>
              </w:rPr>
            </w:pPr>
            <w:hyperlink r:id="rId65" w:history="1">
              <w:r w:rsidR="00D9616F" w:rsidRPr="00D9616F">
                <w:rPr>
                  <w:rFonts w:ascii="Arial" w:hAnsi="Arial" w:cs="Arial"/>
                  <w:color w:val="0000FF" w:themeColor="hyperlink"/>
                  <w:u w:val="single"/>
                </w:rPr>
                <w:t>greg.tillman@walmart.com</w:t>
              </w:r>
            </w:hyperlink>
          </w:p>
          <w:p w14:paraId="3CF771D0" w14:textId="77777777" w:rsidR="00D9616F" w:rsidRPr="00D9616F" w:rsidRDefault="00162EA7" w:rsidP="00D9616F">
            <w:pPr>
              <w:ind w:right="-36"/>
              <w:rPr>
                <w:rFonts w:ascii="Arial" w:hAnsi="Arial" w:cs="Arial"/>
              </w:rPr>
            </w:pPr>
            <w:hyperlink r:id="rId66" w:history="1">
              <w:r w:rsidR="00D9616F" w:rsidRPr="00D9616F">
                <w:rPr>
                  <w:rFonts w:ascii="Arial" w:hAnsi="Arial" w:cs="Arial"/>
                  <w:color w:val="0000FF" w:themeColor="hyperlink"/>
                  <w:u w:val="single"/>
                </w:rPr>
                <w:t>mwarnock@bricker.com</w:t>
              </w:r>
            </w:hyperlink>
          </w:p>
          <w:p w14:paraId="7BD61159" w14:textId="77777777" w:rsidR="00D9616F" w:rsidRPr="00D9616F" w:rsidRDefault="00162EA7" w:rsidP="00D9616F">
            <w:pPr>
              <w:rPr>
                <w:rFonts w:ascii="Arial" w:hAnsi="Arial" w:cs="Arial"/>
                <w:color w:val="0000FF" w:themeColor="hyperlink"/>
                <w:u w:val="single"/>
              </w:rPr>
            </w:pPr>
            <w:hyperlink r:id="rId67" w:history="1">
              <w:r w:rsidR="00D9616F" w:rsidRPr="00D9616F">
                <w:rPr>
                  <w:rFonts w:ascii="Arial" w:hAnsi="Arial" w:cs="Arial"/>
                  <w:color w:val="0000FF" w:themeColor="hyperlink"/>
                  <w:u w:val="single"/>
                </w:rPr>
                <w:t>dborchers@bricker.com</w:t>
              </w:r>
            </w:hyperlink>
          </w:p>
          <w:p w14:paraId="5E648CE6" w14:textId="77777777" w:rsidR="00D9616F" w:rsidRPr="00D9616F" w:rsidRDefault="00162EA7" w:rsidP="00D9616F">
            <w:pPr>
              <w:rPr>
                <w:rFonts w:ascii="Arial" w:hAnsi="Arial" w:cs="Arial"/>
                <w:color w:val="0000FF" w:themeColor="hyperlink"/>
                <w:u w:val="single"/>
              </w:rPr>
            </w:pPr>
            <w:hyperlink r:id="rId68" w:history="1">
              <w:r w:rsidR="00D9616F" w:rsidRPr="00D9616F">
                <w:rPr>
                  <w:rFonts w:ascii="Arial" w:hAnsi="Arial" w:cs="Arial"/>
                  <w:color w:val="0000FF" w:themeColor="hyperlink"/>
                  <w:u w:val="single"/>
                </w:rPr>
                <w:t>ejacobs@ablelaw.org</w:t>
              </w:r>
            </w:hyperlink>
            <w:r w:rsidR="00D9616F" w:rsidRPr="00D9616F">
              <w:rPr>
                <w:rFonts w:ascii="Arial" w:hAnsi="Arial" w:cs="Arial"/>
                <w:color w:val="0000FF" w:themeColor="hyperlink"/>
                <w:u w:val="single"/>
              </w:rPr>
              <w:t xml:space="preserve"> </w:t>
            </w:r>
            <w:r w:rsidR="00D9616F" w:rsidRPr="00D9616F">
              <w:rPr>
                <w:rFonts w:ascii="Arial" w:hAnsi="Arial" w:cs="Arial"/>
                <w:color w:val="0000FF" w:themeColor="hyperlink"/>
                <w:u w:val="single"/>
              </w:rPr>
              <w:br/>
            </w:r>
            <w:hyperlink r:id="rId69" w:history="1">
              <w:r w:rsidR="00D9616F" w:rsidRPr="00D9616F">
                <w:rPr>
                  <w:rFonts w:ascii="Arial" w:hAnsi="Arial" w:cs="Arial"/>
                  <w:color w:val="0000FF" w:themeColor="hyperlink"/>
                  <w:u w:val="single"/>
                </w:rPr>
                <w:t>tony.mendoza@sierraclub.org</w:t>
              </w:r>
            </w:hyperlink>
            <w:r w:rsidR="00D9616F" w:rsidRPr="00D9616F">
              <w:rPr>
                <w:rFonts w:ascii="Arial" w:hAnsi="Arial" w:cs="Arial"/>
                <w:color w:val="0000FF" w:themeColor="hyperlink"/>
                <w:u w:val="single"/>
              </w:rPr>
              <w:t xml:space="preserve"> </w:t>
            </w:r>
          </w:p>
          <w:p w14:paraId="527E4046" w14:textId="77777777" w:rsidR="00D9616F" w:rsidRPr="00D9616F" w:rsidRDefault="00162EA7" w:rsidP="00D9616F">
            <w:pPr>
              <w:rPr>
                <w:rFonts w:ascii="Arial" w:hAnsi="Arial" w:cs="Arial"/>
                <w:color w:val="0000FF" w:themeColor="hyperlink"/>
                <w:u w:val="single"/>
              </w:rPr>
            </w:pPr>
            <w:hyperlink r:id="rId70" w:history="1">
              <w:r w:rsidR="00D9616F" w:rsidRPr="00D9616F">
                <w:rPr>
                  <w:rFonts w:ascii="Arial" w:hAnsi="Arial" w:cs="Arial"/>
                  <w:color w:val="0000FF" w:themeColor="hyperlink"/>
                  <w:u w:val="single"/>
                </w:rPr>
                <w:t>chris@envlaw.com</w:t>
              </w:r>
            </w:hyperlink>
            <w:r w:rsidR="00D9616F" w:rsidRPr="00D9616F">
              <w:rPr>
                <w:rFonts w:ascii="Arial" w:hAnsi="Arial" w:cs="Arial"/>
                <w:color w:val="0000FF" w:themeColor="hyperlink"/>
                <w:u w:val="single"/>
              </w:rPr>
              <w:t xml:space="preserve"> </w:t>
            </w:r>
          </w:p>
          <w:p w14:paraId="5074ACC6" w14:textId="77777777" w:rsidR="00D9616F" w:rsidRPr="00D9616F" w:rsidRDefault="00162EA7" w:rsidP="00D9616F">
            <w:pPr>
              <w:rPr>
                <w:rFonts w:ascii="Arial" w:hAnsi="Arial" w:cs="Arial"/>
                <w:color w:val="0000FF" w:themeColor="hyperlink"/>
                <w:u w:val="single"/>
              </w:rPr>
            </w:pPr>
            <w:hyperlink r:id="rId71" w:history="1">
              <w:r w:rsidR="00D9616F" w:rsidRPr="00D9616F">
                <w:rPr>
                  <w:rFonts w:ascii="Arial" w:hAnsi="Arial" w:cs="Arial"/>
                  <w:color w:val="0000FF" w:themeColor="hyperlink"/>
                  <w:u w:val="single"/>
                </w:rPr>
                <w:t>jdoll@djflawfirm.com</w:t>
              </w:r>
            </w:hyperlink>
          </w:p>
          <w:p w14:paraId="2714FEA0" w14:textId="77777777" w:rsidR="00D9616F" w:rsidRPr="00D9616F" w:rsidRDefault="00162EA7" w:rsidP="00D9616F">
            <w:pPr>
              <w:rPr>
                <w:rFonts w:ascii="Arial" w:hAnsi="Arial" w:cs="Arial"/>
                <w:color w:val="0000FF" w:themeColor="hyperlink"/>
                <w:u w:val="single"/>
              </w:rPr>
            </w:pPr>
            <w:hyperlink r:id="rId72" w:history="1">
              <w:r w:rsidR="00D9616F" w:rsidRPr="00D9616F">
                <w:rPr>
                  <w:rFonts w:ascii="Arial" w:hAnsi="Arial" w:cs="Arial"/>
                  <w:color w:val="0000FF" w:themeColor="hyperlink"/>
                  <w:u w:val="single"/>
                </w:rPr>
                <w:t>mcrawford@djflawfirm.com</w:t>
              </w:r>
            </w:hyperlink>
            <w:r w:rsidR="00D9616F" w:rsidRPr="00D9616F">
              <w:rPr>
                <w:rFonts w:ascii="Arial" w:hAnsi="Arial" w:cs="Arial"/>
                <w:color w:val="0000FF" w:themeColor="hyperlink"/>
                <w:u w:val="single"/>
              </w:rPr>
              <w:t xml:space="preserve"> </w:t>
            </w:r>
          </w:p>
          <w:p w14:paraId="6B78F9AB" w14:textId="77777777" w:rsidR="00D9616F" w:rsidRPr="00D9616F" w:rsidRDefault="00162EA7" w:rsidP="00D9616F">
            <w:pPr>
              <w:rPr>
                <w:rFonts w:ascii="Arial" w:hAnsi="Arial" w:cs="Arial"/>
              </w:rPr>
            </w:pPr>
            <w:hyperlink r:id="rId73" w:history="1">
              <w:r w:rsidR="00D9616F" w:rsidRPr="00D9616F">
                <w:rPr>
                  <w:rFonts w:ascii="Arial" w:hAnsi="Arial" w:cs="Arial"/>
                  <w:color w:val="0000FF" w:themeColor="hyperlink"/>
                  <w:u w:val="single"/>
                </w:rPr>
                <w:t>dparram@bricker.com</w:t>
              </w:r>
            </w:hyperlink>
            <w:r w:rsidR="00D9616F" w:rsidRPr="00D9616F">
              <w:rPr>
                <w:rFonts w:ascii="Arial" w:hAnsi="Arial" w:cs="Arial"/>
              </w:rPr>
              <w:t xml:space="preserve"> </w:t>
            </w:r>
          </w:p>
          <w:p w14:paraId="1B0F0225" w14:textId="77777777" w:rsidR="00D9616F" w:rsidRPr="00D9616F" w:rsidRDefault="00162EA7" w:rsidP="00D9616F">
            <w:pPr>
              <w:rPr>
                <w:rFonts w:ascii="Arial" w:hAnsi="Arial" w:cs="Arial"/>
              </w:rPr>
            </w:pPr>
            <w:hyperlink r:id="rId74" w:history="1">
              <w:r w:rsidR="00D9616F" w:rsidRPr="00D9616F">
                <w:rPr>
                  <w:rFonts w:ascii="Arial" w:hAnsi="Arial" w:cs="Arial"/>
                  <w:color w:val="0000FF" w:themeColor="hyperlink"/>
                  <w:u w:val="single"/>
                </w:rPr>
                <w:t>paul@carpenterlipps.com</w:t>
              </w:r>
            </w:hyperlink>
          </w:p>
        </w:tc>
      </w:tr>
    </w:tbl>
    <w:p w14:paraId="0D73618C" w14:textId="034AD5B6" w:rsidR="006D4FFD" w:rsidRDefault="00D9616F" w:rsidP="00D9616F">
      <w:pPr>
        <w:pStyle w:val="BodyText"/>
        <w:suppressLineNumbers/>
        <w:spacing w:line="48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8F55FE9" w14:textId="18C05F60" w:rsidR="00D9616F" w:rsidRDefault="00D9616F" w:rsidP="00D9616F">
      <w:pPr>
        <w:pStyle w:val="BodyText"/>
        <w:suppressLineNumbers/>
        <w:spacing w:line="48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B2F6C">
        <w:rPr>
          <w:rFonts w:ascii="Arial" w:hAnsi="Arial" w:cs="Arial"/>
          <w:sz w:val="24"/>
          <w:szCs w:val="24"/>
          <w:u w:val="single"/>
        </w:rPr>
        <w:t>/s/ Joseph Oliker</w:t>
      </w:r>
      <w:r>
        <w:rPr>
          <w:rFonts w:ascii="Arial" w:hAnsi="Arial" w:cs="Arial"/>
          <w:sz w:val="24"/>
          <w:szCs w:val="24"/>
        </w:rPr>
        <w:t>_________</w:t>
      </w:r>
    </w:p>
    <w:p w14:paraId="623E0BD5" w14:textId="5132A3E9" w:rsidR="00D9616F" w:rsidRPr="00D9616F" w:rsidRDefault="00D9616F" w:rsidP="00D9616F">
      <w:pPr>
        <w:pStyle w:val="BodyText"/>
        <w:suppressLineNumbers/>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Counsel for IGS Energy</w:t>
      </w:r>
    </w:p>
    <w:sectPr w:rsidR="00D9616F" w:rsidRPr="00D9616F" w:rsidSect="00EC15FC">
      <w:footerReference w:type="default" r:id="rId75"/>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9AEE2" w14:textId="77777777" w:rsidR="00162EA7" w:rsidRDefault="00162EA7" w:rsidP="00346E6A">
      <w:pPr>
        <w:spacing w:after="0"/>
      </w:pPr>
      <w:r>
        <w:separator/>
      </w:r>
    </w:p>
  </w:endnote>
  <w:endnote w:type="continuationSeparator" w:id="0">
    <w:p w14:paraId="2911E85C" w14:textId="77777777" w:rsidR="00162EA7" w:rsidRDefault="00162EA7" w:rsidP="00346E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ECAD4" w14:textId="77777777" w:rsidR="005A78E5" w:rsidRDefault="005A7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505642"/>
      <w:docPartObj>
        <w:docPartGallery w:val="Page Numbers (Bottom of Page)"/>
        <w:docPartUnique/>
      </w:docPartObj>
    </w:sdtPr>
    <w:sdtEndPr>
      <w:rPr>
        <w:noProof/>
      </w:rPr>
    </w:sdtEndPr>
    <w:sdtContent>
      <w:p w14:paraId="20691009" w14:textId="39A204D1" w:rsidR="005A78E5" w:rsidRDefault="005A78E5">
        <w:pPr>
          <w:pStyle w:val="Footer"/>
          <w:jc w:val="center"/>
        </w:pPr>
        <w:r>
          <w:fldChar w:fldCharType="begin"/>
        </w:r>
        <w:r>
          <w:instrText xml:space="preserve"> PAGE   \* MERGEFORMAT </w:instrText>
        </w:r>
        <w:r>
          <w:fldChar w:fldCharType="separate"/>
        </w:r>
        <w:r w:rsidR="00713E16">
          <w:rPr>
            <w:noProof/>
          </w:rPr>
          <w:t>1</w:t>
        </w:r>
        <w:r>
          <w:rPr>
            <w:noProof/>
          </w:rPr>
          <w:fldChar w:fldCharType="end"/>
        </w:r>
      </w:p>
    </w:sdtContent>
  </w:sdt>
  <w:p w14:paraId="7998F4A5" w14:textId="77777777" w:rsidR="005A78E5" w:rsidRDefault="005A78E5">
    <w:pPr>
      <w:pStyle w:val="Footer"/>
      <w:jc w:val="center"/>
      <w:rPr>
        <w:rFonts w:ascii="Times New Roman" w:hAnsi="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081A" w14:textId="77777777" w:rsidR="005A78E5" w:rsidRDefault="005A78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508139"/>
      <w:docPartObj>
        <w:docPartGallery w:val="Page Numbers (Bottom of Page)"/>
        <w:docPartUnique/>
      </w:docPartObj>
    </w:sdtPr>
    <w:sdtEndPr>
      <w:rPr>
        <w:noProof/>
      </w:rPr>
    </w:sdtEndPr>
    <w:sdtContent>
      <w:p w14:paraId="0CD89C01" w14:textId="3CBCC5D7" w:rsidR="005A78E5" w:rsidRDefault="005A78E5">
        <w:pPr>
          <w:pStyle w:val="Footer"/>
          <w:jc w:val="center"/>
        </w:pPr>
        <w:r>
          <w:fldChar w:fldCharType="begin"/>
        </w:r>
        <w:r>
          <w:instrText xml:space="preserve"> PAGE   \* MERGEFORMAT </w:instrText>
        </w:r>
        <w:r>
          <w:fldChar w:fldCharType="separate"/>
        </w:r>
        <w:r w:rsidR="00713E16">
          <w:rPr>
            <w:noProof/>
          </w:rPr>
          <w:t>21</w:t>
        </w:r>
        <w:r>
          <w:rPr>
            <w:noProof/>
          </w:rPr>
          <w:fldChar w:fldCharType="end"/>
        </w:r>
      </w:p>
    </w:sdtContent>
  </w:sdt>
  <w:p w14:paraId="6CE59CD7" w14:textId="77777777" w:rsidR="005A78E5" w:rsidRDefault="005A7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D8EF2" w14:textId="77777777" w:rsidR="00162EA7" w:rsidRDefault="00162EA7" w:rsidP="00346E6A">
      <w:pPr>
        <w:spacing w:after="0"/>
      </w:pPr>
      <w:r>
        <w:separator/>
      </w:r>
    </w:p>
  </w:footnote>
  <w:footnote w:type="continuationSeparator" w:id="0">
    <w:p w14:paraId="7A662838" w14:textId="77777777" w:rsidR="00162EA7" w:rsidRDefault="00162EA7" w:rsidP="00346E6A">
      <w:pPr>
        <w:spacing w:after="0"/>
      </w:pPr>
      <w:r>
        <w:continuationSeparator/>
      </w:r>
    </w:p>
  </w:footnote>
  <w:footnote w:id="1">
    <w:p w14:paraId="25EE211E" w14:textId="7ABCC953" w:rsidR="005A78E5" w:rsidRPr="0046038E" w:rsidRDefault="005A78E5">
      <w:pPr>
        <w:pStyle w:val="FootnoteText"/>
        <w:rPr>
          <w:rFonts w:ascii="Arial" w:hAnsi="Arial" w:cs="Arial"/>
        </w:rPr>
      </w:pPr>
      <w:r w:rsidRPr="0046038E">
        <w:rPr>
          <w:rStyle w:val="FootnoteReference"/>
          <w:rFonts w:ascii="Arial" w:hAnsi="Arial" w:cs="Arial"/>
        </w:rPr>
        <w:footnoteRef/>
      </w:r>
      <w:r w:rsidRPr="0046038E">
        <w:rPr>
          <w:rFonts w:ascii="Arial" w:hAnsi="Arial" w:cs="Arial"/>
        </w:rPr>
        <w:t xml:space="preserve"> </w:t>
      </w:r>
      <w:r w:rsidR="00A53040" w:rsidRPr="0046038E">
        <w:rPr>
          <w:rFonts w:ascii="Arial" w:hAnsi="Arial" w:cs="Arial"/>
        </w:rPr>
        <w:t>JEH-1 (</w:t>
      </w:r>
      <w:r w:rsidRPr="0046038E">
        <w:rPr>
          <w:rFonts w:ascii="Arial" w:hAnsi="Arial" w:cs="Arial"/>
        </w:rPr>
        <w:t>SEC form 10K for 2010</w:t>
      </w:r>
      <w:r w:rsidR="003473CF" w:rsidRPr="0046038E">
        <w:rPr>
          <w:rFonts w:ascii="Arial" w:hAnsi="Arial" w:cs="Arial"/>
        </w:rPr>
        <w:t>, page 97</w:t>
      </w:r>
      <w:r w:rsidR="00A53040" w:rsidRPr="0046038E">
        <w:rPr>
          <w:rFonts w:ascii="Arial" w:hAnsi="Arial" w:cs="Arial"/>
        </w:rPr>
        <w:t>)</w:t>
      </w:r>
      <w:r w:rsidR="0046038E" w:rsidRPr="0046038E">
        <w:rPr>
          <w:rFonts w:ascii="Arial" w:hAnsi="Arial" w:cs="Arial"/>
        </w:rPr>
        <w:t>.</w:t>
      </w:r>
    </w:p>
    <w:p w14:paraId="378480F8" w14:textId="77777777" w:rsidR="0046038E" w:rsidRPr="0046038E" w:rsidRDefault="0046038E">
      <w:pPr>
        <w:pStyle w:val="FootnoteText"/>
        <w:rPr>
          <w:rFonts w:ascii="Arial" w:hAnsi="Arial" w:cs="Arial"/>
        </w:rPr>
      </w:pPr>
    </w:p>
  </w:footnote>
  <w:footnote w:id="2">
    <w:p w14:paraId="5F82D482" w14:textId="29908155" w:rsidR="005A78E5" w:rsidRPr="0046038E" w:rsidRDefault="005A78E5">
      <w:pPr>
        <w:pStyle w:val="FootnoteText"/>
        <w:rPr>
          <w:rFonts w:ascii="Arial" w:hAnsi="Arial" w:cs="Arial"/>
        </w:rPr>
      </w:pPr>
      <w:r w:rsidRPr="0046038E">
        <w:rPr>
          <w:rStyle w:val="FootnoteReference"/>
          <w:rFonts w:ascii="Arial" w:hAnsi="Arial" w:cs="Arial"/>
        </w:rPr>
        <w:footnoteRef/>
      </w:r>
      <w:r w:rsidRPr="0046038E">
        <w:rPr>
          <w:rFonts w:ascii="Arial" w:hAnsi="Arial" w:cs="Arial"/>
        </w:rPr>
        <w:t xml:space="preserve"> </w:t>
      </w:r>
      <w:bookmarkStart w:id="5" w:name="_Hlk188217"/>
      <w:r w:rsidR="00A53040" w:rsidRPr="0046038E">
        <w:rPr>
          <w:rFonts w:ascii="Arial" w:hAnsi="Arial" w:cs="Arial"/>
        </w:rPr>
        <w:t>JEH-2 (</w:t>
      </w:r>
      <w:r w:rsidRPr="0046038E">
        <w:rPr>
          <w:rFonts w:ascii="Arial" w:hAnsi="Arial" w:cs="Arial"/>
        </w:rPr>
        <w:t>SEC form 10K for 2011</w:t>
      </w:r>
      <w:bookmarkEnd w:id="5"/>
      <w:r w:rsidR="00B56FA7" w:rsidRPr="0046038E">
        <w:rPr>
          <w:rFonts w:ascii="Arial" w:hAnsi="Arial" w:cs="Arial"/>
        </w:rPr>
        <w:t>, page 95</w:t>
      </w:r>
      <w:r w:rsidR="00A53040" w:rsidRPr="0046038E">
        <w:rPr>
          <w:rFonts w:ascii="Arial" w:hAnsi="Arial" w:cs="Arial"/>
        </w:rPr>
        <w:t>)</w:t>
      </w:r>
      <w:r w:rsidR="0046038E" w:rsidRPr="0046038E">
        <w:rPr>
          <w:rFonts w:ascii="Arial" w:hAnsi="Arial" w:cs="Arial"/>
        </w:rPr>
        <w:t>.</w:t>
      </w:r>
    </w:p>
    <w:p w14:paraId="27BE7345" w14:textId="77777777" w:rsidR="0046038E" w:rsidRPr="0046038E" w:rsidRDefault="0046038E">
      <w:pPr>
        <w:pStyle w:val="FootnoteText"/>
        <w:rPr>
          <w:rFonts w:ascii="Arial" w:hAnsi="Arial" w:cs="Arial"/>
        </w:rPr>
      </w:pPr>
    </w:p>
  </w:footnote>
  <w:footnote w:id="3">
    <w:p w14:paraId="7C31EB5B" w14:textId="77736299" w:rsidR="00B56FA7" w:rsidRDefault="00B56FA7">
      <w:pPr>
        <w:pStyle w:val="FootnoteText"/>
        <w:rPr>
          <w:rFonts w:ascii="Arial" w:hAnsi="Arial" w:cs="Arial"/>
        </w:rPr>
      </w:pPr>
      <w:r w:rsidRPr="0046038E">
        <w:rPr>
          <w:rStyle w:val="FootnoteReference"/>
          <w:rFonts w:ascii="Arial" w:hAnsi="Arial" w:cs="Arial"/>
        </w:rPr>
        <w:footnoteRef/>
      </w:r>
      <w:r w:rsidRPr="0046038E">
        <w:rPr>
          <w:rFonts w:ascii="Arial" w:hAnsi="Arial" w:cs="Arial"/>
        </w:rPr>
        <w:t xml:space="preserve"> Goodwill excess of cost over fair value of the identifiable net assets acquired.</w:t>
      </w:r>
    </w:p>
    <w:p w14:paraId="209A89BC" w14:textId="77777777" w:rsidR="0046038E" w:rsidRPr="0046038E" w:rsidRDefault="0046038E">
      <w:pPr>
        <w:pStyle w:val="FootnoteText"/>
        <w:rPr>
          <w:rFonts w:ascii="Arial" w:hAnsi="Arial" w:cs="Arial"/>
        </w:rPr>
      </w:pPr>
    </w:p>
  </w:footnote>
  <w:footnote w:id="4">
    <w:p w14:paraId="307C95A8" w14:textId="7FE0A52D" w:rsidR="005A78E5" w:rsidRPr="0046038E" w:rsidRDefault="005A78E5">
      <w:pPr>
        <w:pStyle w:val="FootnoteText"/>
        <w:rPr>
          <w:rFonts w:ascii="Arial" w:hAnsi="Arial" w:cs="Arial"/>
        </w:rPr>
      </w:pPr>
      <w:r w:rsidRPr="0046038E">
        <w:rPr>
          <w:rStyle w:val="FootnoteReference"/>
          <w:rFonts w:ascii="Arial" w:hAnsi="Arial" w:cs="Arial"/>
        </w:rPr>
        <w:footnoteRef/>
      </w:r>
      <w:r w:rsidRPr="0046038E">
        <w:rPr>
          <w:rFonts w:ascii="Arial" w:hAnsi="Arial" w:cs="Arial"/>
        </w:rPr>
        <w:t xml:space="preserve"> </w:t>
      </w:r>
      <w:r w:rsidR="00A53040" w:rsidRPr="0046038E">
        <w:rPr>
          <w:rFonts w:ascii="Arial" w:hAnsi="Arial" w:cs="Arial"/>
        </w:rPr>
        <w:t>JEH-2 (</w:t>
      </w:r>
      <w:r w:rsidR="00B56FA7" w:rsidRPr="0046038E">
        <w:rPr>
          <w:rFonts w:ascii="Arial" w:hAnsi="Arial" w:cs="Arial"/>
        </w:rPr>
        <w:t>SEC form 10K for 2011, page 89</w:t>
      </w:r>
      <w:r w:rsidR="00A53040" w:rsidRPr="0046038E">
        <w:rPr>
          <w:rFonts w:ascii="Arial" w:hAnsi="Arial" w:cs="Arial"/>
        </w:rPr>
        <w:t>)</w:t>
      </w:r>
    </w:p>
  </w:footnote>
  <w:footnote w:id="5">
    <w:p w14:paraId="559A28E7" w14:textId="2D22294E" w:rsidR="005A78E5" w:rsidRPr="0046038E" w:rsidRDefault="005A78E5">
      <w:pPr>
        <w:pStyle w:val="FootnoteText"/>
        <w:rPr>
          <w:rFonts w:ascii="Arial" w:hAnsi="Arial" w:cs="Arial"/>
        </w:rPr>
      </w:pPr>
      <w:r w:rsidRPr="0046038E">
        <w:rPr>
          <w:rStyle w:val="FootnoteReference"/>
          <w:rFonts w:ascii="Arial" w:hAnsi="Arial" w:cs="Arial"/>
        </w:rPr>
        <w:footnoteRef/>
      </w:r>
      <w:r w:rsidRPr="0046038E">
        <w:rPr>
          <w:rFonts w:ascii="Arial" w:hAnsi="Arial" w:cs="Arial"/>
        </w:rPr>
        <w:t xml:space="preserve"> </w:t>
      </w:r>
      <w:r w:rsidR="00A53040" w:rsidRPr="0046038E">
        <w:rPr>
          <w:rFonts w:ascii="Arial" w:hAnsi="Arial" w:cs="Arial"/>
        </w:rPr>
        <w:t>JEH-1, JEH-2 (</w:t>
      </w:r>
      <w:r w:rsidRPr="0046038E">
        <w:rPr>
          <w:rFonts w:ascii="Arial" w:hAnsi="Arial" w:cs="Arial"/>
        </w:rPr>
        <w:t>SEC forms 10K for 2010</w:t>
      </w:r>
      <w:r w:rsidR="003473CF" w:rsidRPr="0046038E">
        <w:rPr>
          <w:rFonts w:ascii="Arial" w:hAnsi="Arial" w:cs="Arial"/>
        </w:rPr>
        <w:t>, page 63</w:t>
      </w:r>
      <w:r w:rsidRPr="0046038E">
        <w:rPr>
          <w:rFonts w:ascii="Arial" w:hAnsi="Arial" w:cs="Arial"/>
        </w:rPr>
        <w:t xml:space="preserve"> and 2011</w:t>
      </w:r>
      <w:r w:rsidR="003473CF" w:rsidRPr="0046038E">
        <w:rPr>
          <w:rFonts w:ascii="Arial" w:hAnsi="Arial" w:cs="Arial"/>
        </w:rPr>
        <w:t xml:space="preserve">, page </w:t>
      </w:r>
      <w:r w:rsidR="00B56FA7" w:rsidRPr="0046038E">
        <w:rPr>
          <w:rFonts w:ascii="Arial" w:hAnsi="Arial" w:cs="Arial"/>
        </w:rPr>
        <w:t>63</w:t>
      </w:r>
      <w:r w:rsidR="00A53040" w:rsidRPr="0046038E">
        <w:rPr>
          <w:rFonts w:ascii="Arial" w:hAnsi="Arial" w:cs="Arial"/>
        </w:rPr>
        <w:t>)</w:t>
      </w:r>
      <w:r w:rsidR="0046038E">
        <w:rPr>
          <w:rFonts w:ascii="Arial" w:hAnsi="Arial" w:cs="Arial"/>
        </w:rPr>
        <w:t>.</w:t>
      </w:r>
    </w:p>
  </w:footnote>
  <w:footnote w:id="6">
    <w:p w14:paraId="1018C467" w14:textId="72521B4D" w:rsidR="005A78E5" w:rsidRDefault="005A78E5" w:rsidP="00E65997">
      <w:pPr>
        <w:pStyle w:val="FootnoteText"/>
        <w:rPr>
          <w:rFonts w:ascii="Arial" w:hAnsi="Arial" w:cs="Arial"/>
        </w:rPr>
      </w:pPr>
      <w:r w:rsidRPr="0046038E">
        <w:rPr>
          <w:rStyle w:val="FootnoteReference"/>
          <w:rFonts w:ascii="Arial" w:hAnsi="Arial" w:cs="Arial"/>
        </w:rPr>
        <w:footnoteRef/>
      </w:r>
      <w:r w:rsidRPr="0046038E">
        <w:rPr>
          <w:rFonts w:ascii="Arial" w:hAnsi="Arial" w:cs="Arial"/>
        </w:rPr>
        <w:t xml:space="preserve"> Direct Testimony of R. Jeffrey Malinak In Support of The Amended Stipulation and Recommendation, page 7. </w:t>
      </w:r>
    </w:p>
    <w:p w14:paraId="52EE4F95" w14:textId="77777777" w:rsidR="0046038E" w:rsidRPr="0046038E" w:rsidRDefault="0046038E" w:rsidP="00E65997">
      <w:pPr>
        <w:pStyle w:val="FootnoteText"/>
        <w:rPr>
          <w:rFonts w:ascii="Arial" w:hAnsi="Arial" w:cs="Arial"/>
        </w:rPr>
      </w:pPr>
    </w:p>
  </w:footnote>
  <w:footnote w:id="7">
    <w:p w14:paraId="6D2E0621" w14:textId="3781CCE1" w:rsidR="005A78E5" w:rsidRPr="0046038E" w:rsidRDefault="005A78E5">
      <w:pPr>
        <w:pStyle w:val="FootnoteText"/>
        <w:rPr>
          <w:rFonts w:ascii="Arial" w:hAnsi="Arial" w:cs="Arial"/>
        </w:rPr>
      </w:pPr>
      <w:r w:rsidRPr="0046038E">
        <w:rPr>
          <w:rStyle w:val="FootnoteReference"/>
          <w:rFonts w:ascii="Arial" w:hAnsi="Arial" w:cs="Arial"/>
        </w:rPr>
        <w:footnoteRef/>
      </w:r>
      <w:r w:rsidRPr="0046038E">
        <w:rPr>
          <w:rFonts w:ascii="Arial" w:hAnsi="Arial" w:cs="Arial"/>
        </w:rPr>
        <w:t xml:space="preserve"> Amended Stipulation and Recommendation, page 4.</w:t>
      </w:r>
    </w:p>
  </w:footnote>
  <w:footnote w:id="8">
    <w:p w14:paraId="21334D88" w14:textId="37D432E6" w:rsidR="005A78E5" w:rsidRPr="0046038E" w:rsidRDefault="005A78E5">
      <w:pPr>
        <w:pStyle w:val="FootnoteText"/>
        <w:rPr>
          <w:rFonts w:ascii="Arial" w:hAnsi="Arial" w:cs="Arial"/>
        </w:rPr>
      </w:pPr>
      <w:r w:rsidRPr="0046038E">
        <w:rPr>
          <w:rStyle w:val="FootnoteReference"/>
          <w:rFonts w:ascii="Arial" w:hAnsi="Arial" w:cs="Arial"/>
        </w:rPr>
        <w:footnoteRef/>
      </w:r>
      <w:r w:rsidRPr="0046038E">
        <w:rPr>
          <w:rFonts w:ascii="Arial" w:hAnsi="Arial" w:cs="Arial"/>
        </w:rPr>
        <w:t xml:space="preserve"> </w:t>
      </w:r>
      <w:r w:rsidR="005F299A" w:rsidRPr="0046038E">
        <w:rPr>
          <w:rFonts w:ascii="Arial" w:hAnsi="Arial" w:cs="Arial"/>
        </w:rPr>
        <w:t>JEH-3 (</w:t>
      </w:r>
      <w:r w:rsidRPr="0046038E">
        <w:rPr>
          <w:rFonts w:ascii="Arial" w:hAnsi="Arial" w:cs="Arial"/>
        </w:rPr>
        <w:t>AES 2017 Annual Report</w:t>
      </w:r>
      <w:r w:rsidR="005F299A" w:rsidRPr="0046038E">
        <w:rPr>
          <w:rFonts w:ascii="Arial" w:hAnsi="Arial" w:cs="Arial"/>
        </w:rPr>
        <w:t>)</w:t>
      </w:r>
      <w:r w:rsidR="00E960FB">
        <w:rPr>
          <w:rFonts w:ascii="Arial" w:hAnsi="Arial" w:cs="Arial"/>
        </w:rPr>
        <w:t>.</w:t>
      </w:r>
    </w:p>
  </w:footnote>
  <w:footnote w:id="9">
    <w:p w14:paraId="68D3A499" w14:textId="33E7D14C" w:rsidR="005A78E5" w:rsidRDefault="005A78E5">
      <w:pPr>
        <w:pStyle w:val="FootnoteText"/>
        <w:rPr>
          <w:rFonts w:ascii="Arial" w:hAnsi="Arial" w:cs="Arial"/>
        </w:rPr>
      </w:pPr>
      <w:r w:rsidRPr="0046038E">
        <w:rPr>
          <w:rStyle w:val="FootnoteReference"/>
          <w:rFonts w:ascii="Arial" w:hAnsi="Arial" w:cs="Arial"/>
        </w:rPr>
        <w:footnoteRef/>
      </w:r>
      <w:r w:rsidRPr="0046038E">
        <w:rPr>
          <w:rFonts w:ascii="Arial" w:hAnsi="Arial" w:cs="Arial"/>
        </w:rPr>
        <w:t xml:space="preserve"> </w:t>
      </w:r>
      <w:r w:rsidR="00732ED7" w:rsidRPr="0046038E">
        <w:rPr>
          <w:rFonts w:ascii="Arial" w:hAnsi="Arial" w:cs="Arial"/>
        </w:rPr>
        <w:t>JEH-4 (</w:t>
      </w:r>
      <w:r w:rsidRPr="0046038E">
        <w:rPr>
          <w:rFonts w:ascii="Arial" w:hAnsi="Arial" w:cs="Arial"/>
        </w:rPr>
        <w:t>AES Form 8-K</w:t>
      </w:r>
      <w:r w:rsidR="003473CF" w:rsidRPr="0046038E">
        <w:rPr>
          <w:rFonts w:ascii="Arial" w:hAnsi="Arial" w:cs="Arial"/>
        </w:rPr>
        <w:t xml:space="preserve">, page </w:t>
      </w:r>
      <w:r w:rsidRPr="0046038E">
        <w:rPr>
          <w:rFonts w:ascii="Arial" w:hAnsi="Arial" w:cs="Arial"/>
        </w:rPr>
        <w:t>6 (Feb. 24, 2017)</w:t>
      </w:r>
      <w:r w:rsidR="00732ED7" w:rsidRPr="0046038E">
        <w:rPr>
          <w:rFonts w:ascii="Arial" w:hAnsi="Arial" w:cs="Arial"/>
        </w:rPr>
        <w:t>)</w:t>
      </w:r>
      <w:r w:rsidR="00E960FB">
        <w:rPr>
          <w:rFonts w:ascii="Arial" w:hAnsi="Arial" w:cs="Arial"/>
        </w:rPr>
        <w:t>.</w:t>
      </w:r>
    </w:p>
    <w:p w14:paraId="5F551F5C" w14:textId="77777777" w:rsidR="00E960FB" w:rsidRPr="0046038E" w:rsidRDefault="00E960FB">
      <w:pPr>
        <w:pStyle w:val="FootnoteText"/>
        <w:rPr>
          <w:rFonts w:ascii="Arial" w:hAnsi="Arial" w:cs="Arial"/>
        </w:rPr>
      </w:pPr>
    </w:p>
  </w:footnote>
  <w:footnote w:id="10">
    <w:p w14:paraId="4B78B79F" w14:textId="5FA0E296" w:rsidR="005A78E5" w:rsidRDefault="005A78E5">
      <w:pPr>
        <w:pStyle w:val="FootnoteText"/>
        <w:rPr>
          <w:rFonts w:ascii="Arial" w:hAnsi="Arial" w:cs="Arial"/>
          <w:i/>
        </w:rPr>
      </w:pPr>
      <w:r w:rsidRPr="0046038E">
        <w:rPr>
          <w:rStyle w:val="FootnoteReference"/>
          <w:rFonts w:ascii="Arial" w:hAnsi="Arial" w:cs="Arial"/>
        </w:rPr>
        <w:footnoteRef/>
      </w:r>
      <w:r w:rsidRPr="0046038E">
        <w:rPr>
          <w:rFonts w:ascii="Arial" w:hAnsi="Arial" w:cs="Arial"/>
        </w:rPr>
        <w:t xml:space="preserve"> </w:t>
      </w:r>
      <w:r w:rsidRPr="0046038E">
        <w:rPr>
          <w:rFonts w:ascii="Arial" w:hAnsi="Arial" w:cs="Arial"/>
          <w:i/>
        </w:rPr>
        <w:t>Id.</w:t>
      </w:r>
    </w:p>
    <w:p w14:paraId="3A219059" w14:textId="77777777" w:rsidR="00E960FB" w:rsidRPr="0046038E" w:rsidRDefault="00E960FB">
      <w:pPr>
        <w:pStyle w:val="FootnoteText"/>
        <w:rPr>
          <w:rFonts w:ascii="Arial" w:hAnsi="Arial" w:cs="Arial"/>
          <w:i/>
        </w:rPr>
      </w:pPr>
    </w:p>
  </w:footnote>
  <w:footnote w:id="11">
    <w:p w14:paraId="1A14E90E" w14:textId="052735B7" w:rsidR="005A78E5" w:rsidRPr="0046038E" w:rsidRDefault="005A78E5" w:rsidP="007B3E6B">
      <w:pPr>
        <w:pStyle w:val="FootnoteText"/>
        <w:rPr>
          <w:rFonts w:ascii="Arial" w:hAnsi="Arial" w:cs="Arial"/>
        </w:rPr>
      </w:pPr>
      <w:r w:rsidRPr="0046038E">
        <w:rPr>
          <w:rStyle w:val="FootnoteReference"/>
          <w:rFonts w:ascii="Arial" w:hAnsi="Arial" w:cs="Arial"/>
        </w:rPr>
        <w:footnoteRef/>
      </w:r>
      <w:r w:rsidRPr="0046038E">
        <w:rPr>
          <w:rFonts w:ascii="Arial" w:hAnsi="Arial" w:cs="Arial"/>
        </w:rPr>
        <w:t xml:space="preserve"> </w:t>
      </w:r>
      <w:r w:rsidR="00732ED7" w:rsidRPr="0046038E">
        <w:rPr>
          <w:rFonts w:ascii="Arial" w:hAnsi="Arial" w:cs="Arial"/>
        </w:rPr>
        <w:t>JEH-5 (</w:t>
      </w:r>
      <w:r w:rsidRPr="0046038E">
        <w:rPr>
          <w:rFonts w:ascii="Arial" w:hAnsi="Arial" w:cs="Arial"/>
        </w:rPr>
        <w:t>AES Form 8-K</w:t>
      </w:r>
      <w:r w:rsidR="003473CF" w:rsidRPr="0046038E">
        <w:rPr>
          <w:rFonts w:ascii="Arial" w:hAnsi="Arial" w:cs="Arial"/>
        </w:rPr>
        <w:t>, page</w:t>
      </w:r>
      <w:r w:rsidRPr="0046038E">
        <w:rPr>
          <w:rFonts w:ascii="Arial" w:hAnsi="Arial" w:cs="Arial"/>
        </w:rPr>
        <w:t xml:space="preserve"> 5 (Nov. 6, 2018)</w:t>
      </w:r>
      <w:r w:rsidR="00732ED7" w:rsidRPr="0046038E">
        <w:rPr>
          <w:rFonts w:ascii="Arial" w:hAnsi="Arial" w:cs="Arial"/>
        </w:rPr>
        <w:t>)</w:t>
      </w:r>
      <w:r w:rsidRPr="0046038E">
        <w:rPr>
          <w:rFonts w:ascii="Arial" w:hAnsi="Arial" w:cs="Arial"/>
        </w:rPr>
        <w:t xml:space="preserve">. </w:t>
      </w:r>
    </w:p>
    <w:p w14:paraId="5178F831" w14:textId="77777777" w:rsidR="005A78E5" w:rsidRPr="0046038E" w:rsidRDefault="005A78E5" w:rsidP="007B3E6B">
      <w:pPr>
        <w:pStyle w:val="FootnoteText"/>
        <w:rPr>
          <w:rFonts w:ascii="Arial" w:hAnsi="Arial" w:cs="Arial"/>
        </w:rPr>
      </w:pPr>
    </w:p>
  </w:footnote>
  <w:footnote w:id="12">
    <w:p w14:paraId="54D3739A" w14:textId="47C04740" w:rsidR="005A78E5" w:rsidRDefault="005A78E5" w:rsidP="00AF5C67">
      <w:pPr>
        <w:pStyle w:val="FootnoteText"/>
        <w:rPr>
          <w:rFonts w:ascii="Arial" w:hAnsi="Arial" w:cs="Arial"/>
        </w:rPr>
      </w:pPr>
      <w:r w:rsidRPr="0046038E">
        <w:rPr>
          <w:rStyle w:val="FootnoteReference"/>
          <w:rFonts w:ascii="Arial" w:hAnsi="Arial" w:cs="Arial"/>
        </w:rPr>
        <w:footnoteRef/>
      </w:r>
      <w:r w:rsidRPr="0046038E">
        <w:rPr>
          <w:rFonts w:ascii="Arial" w:hAnsi="Arial" w:cs="Arial"/>
        </w:rPr>
        <w:t xml:space="preserve"> </w:t>
      </w:r>
      <w:r w:rsidR="000E7E1F" w:rsidRPr="0046038E">
        <w:rPr>
          <w:rFonts w:ascii="Arial" w:hAnsi="Arial" w:cs="Arial"/>
        </w:rPr>
        <w:t>JEH-6 (</w:t>
      </w:r>
      <w:r w:rsidRPr="0046038E">
        <w:rPr>
          <w:rFonts w:ascii="Arial" w:hAnsi="Arial" w:cs="Arial"/>
        </w:rPr>
        <w:t xml:space="preserve">Case No. 18-488-EL-BGN, </w:t>
      </w:r>
      <w:r w:rsidRPr="0046038E">
        <w:rPr>
          <w:rFonts w:ascii="Arial" w:hAnsi="Arial" w:cs="Arial"/>
          <w:i/>
        </w:rPr>
        <w:t>In the Matter of the Application of Seneca Wind, LLC for a Certificate of Environmental Compatibility and Public Need for a Wind-Powered Electric Generating Facility in Seneca and Sandusky Counties</w:t>
      </w:r>
      <w:r w:rsidRPr="0046038E">
        <w:rPr>
          <w:rFonts w:ascii="Arial" w:hAnsi="Arial" w:cs="Arial"/>
        </w:rPr>
        <w:t>, Application at 1 (Jul. 16, 2018)</w:t>
      </w:r>
      <w:r w:rsidR="000E7E1F" w:rsidRPr="0046038E">
        <w:rPr>
          <w:rFonts w:ascii="Arial" w:hAnsi="Arial" w:cs="Arial"/>
        </w:rPr>
        <w:t>)</w:t>
      </w:r>
      <w:r w:rsidR="00E960FB">
        <w:rPr>
          <w:rFonts w:ascii="Arial" w:hAnsi="Arial" w:cs="Arial"/>
        </w:rPr>
        <w:t>.</w:t>
      </w:r>
    </w:p>
    <w:p w14:paraId="367A3B7E" w14:textId="77777777" w:rsidR="00E960FB" w:rsidRPr="0046038E" w:rsidRDefault="00E960FB" w:rsidP="00AF5C67">
      <w:pPr>
        <w:pStyle w:val="FootnoteText"/>
        <w:rPr>
          <w:rFonts w:ascii="Arial" w:hAnsi="Arial" w:cs="Arial"/>
        </w:rPr>
      </w:pPr>
    </w:p>
  </w:footnote>
  <w:footnote w:id="13">
    <w:p w14:paraId="35022929" w14:textId="0A491111" w:rsidR="005A78E5" w:rsidRDefault="005A78E5">
      <w:pPr>
        <w:pStyle w:val="FootnoteText"/>
        <w:rPr>
          <w:rFonts w:ascii="Arial" w:hAnsi="Arial" w:cs="Arial"/>
        </w:rPr>
      </w:pPr>
      <w:r w:rsidRPr="0046038E">
        <w:rPr>
          <w:rStyle w:val="FootnoteReference"/>
          <w:rFonts w:ascii="Arial" w:hAnsi="Arial" w:cs="Arial"/>
          <w:i/>
        </w:rPr>
        <w:footnoteRef/>
      </w:r>
      <w:r w:rsidRPr="0046038E">
        <w:rPr>
          <w:rFonts w:ascii="Arial" w:hAnsi="Arial" w:cs="Arial"/>
        </w:rPr>
        <w:t xml:space="preserve"> </w:t>
      </w:r>
      <w:r w:rsidRPr="0046038E">
        <w:rPr>
          <w:rFonts w:ascii="Arial" w:hAnsi="Arial" w:cs="Arial"/>
          <w:i/>
        </w:rPr>
        <w:t>Id.</w:t>
      </w:r>
      <w:r w:rsidRPr="0046038E">
        <w:rPr>
          <w:rFonts w:ascii="Arial" w:hAnsi="Arial" w:cs="Arial"/>
        </w:rPr>
        <w:t xml:space="preserve"> at page 5.</w:t>
      </w:r>
    </w:p>
    <w:p w14:paraId="302066CF" w14:textId="77777777" w:rsidR="00E960FB" w:rsidRPr="0046038E" w:rsidRDefault="00E960FB">
      <w:pPr>
        <w:pStyle w:val="FootnoteText"/>
        <w:rPr>
          <w:rFonts w:ascii="Arial" w:hAnsi="Arial" w:cs="Arial"/>
        </w:rPr>
      </w:pPr>
    </w:p>
  </w:footnote>
  <w:footnote w:id="14">
    <w:p w14:paraId="181DCFF3" w14:textId="49A5E386" w:rsidR="00253CA6" w:rsidRPr="0046038E" w:rsidRDefault="00253CA6">
      <w:pPr>
        <w:pStyle w:val="FootnoteText"/>
        <w:rPr>
          <w:rFonts w:ascii="Arial" w:hAnsi="Arial" w:cs="Arial"/>
        </w:rPr>
      </w:pPr>
      <w:r w:rsidRPr="0046038E">
        <w:rPr>
          <w:rStyle w:val="FootnoteReference"/>
          <w:rFonts w:ascii="Arial" w:hAnsi="Arial" w:cs="Arial"/>
        </w:rPr>
        <w:footnoteRef/>
      </w:r>
      <w:r w:rsidRPr="0046038E">
        <w:rPr>
          <w:rFonts w:ascii="Arial" w:hAnsi="Arial" w:cs="Arial"/>
        </w:rPr>
        <w:t xml:space="preserve"> </w:t>
      </w:r>
      <w:r w:rsidR="000E7E1F" w:rsidRPr="0046038E">
        <w:rPr>
          <w:rFonts w:ascii="Arial" w:hAnsi="Arial" w:cs="Arial"/>
        </w:rPr>
        <w:t>JEH-7 (</w:t>
      </w:r>
      <w:r w:rsidRPr="0046038E">
        <w:rPr>
          <w:rFonts w:ascii="Arial" w:hAnsi="Arial" w:cs="Arial"/>
        </w:rPr>
        <w:t>DP&amp;L Response to IGS-INT-11-8</w:t>
      </w:r>
      <w:r w:rsidR="000E7E1F" w:rsidRPr="0046038E">
        <w:rPr>
          <w:rFonts w:ascii="Arial" w:hAnsi="Arial" w:cs="Arial"/>
        </w:rPr>
        <w:t>)</w:t>
      </w:r>
      <w:r w:rsidR="00E960FB">
        <w:rPr>
          <w:rFonts w:ascii="Arial" w:hAnsi="Arial" w:cs="Arial"/>
        </w:rPr>
        <w:t>.</w:t>
      </w:r>
    </w:p>
    <w:p w14:paraId="6D883171" w14:textId="77777777" w:rsidR="00253CA6" w:rsidRPr="0046038E" w:rsidRDefault="00253CA6">
      <w:pPr>
        <w:pStyle w:val="FootnoteText"/>
        <w:rPr>
          <w:rFonts w:ascii="Arial" w:hAnsi="Arial" w:cs="Arial"/>
        </w:rPr>
      </w:pPr>
    </w:p>
  </w:footnote>
  <w:footnote w:id="15">
    <w:p w14:paraId="48321107" w14:textId="77777777" w:rsidR="005A78E5" w:rsidRPr="0046038E" w:rsidRDefault="005A78E5">
      <w:pPr>
        <w:pStyle w:val="FootnoteText"/>
        <w:rPr>
          <w:rFonts w:ascii="Arial" w:hAnsi="Arial" w:cs="Arial"/>
        </w:rPr>
      </w:pPr>
      <w:r w:rsidRPr="0046038E">
        <w:rPr>
          <w:rStyle w:val="FootnoteReference"/>
          <w:rFonts w:ascii="Arial" w:hAnsi="Arial" w:cs="Arial"/>
        </w:rPr>
        <w:footnoteRef/>
      </w:r>
      <w:r w:rsidRPr="0046038E">
        <w:rPr>
          <w:rFonts w:ascii="Arial" w:hAnsi="Arial" w:cs="Arial"/>
        </w:rPr>
        <w:t xml:space="preserve"> Rule 4901:1-20-16 04 C, Ohio Administrative Code ("O.A.C")] and later adopted a more permanent set of rules (Rule 4901: 1-37 04 C, O.A.C.).</w:t>
      </w:r>
    </w:p>
  </w:footnote>
  <w:footnote w:id="16">
    <w:p w14:paraId="43C42358" w14:textId="0D6D8CD3" w:rsidR="005A78E5" w:rsidRDefault="005A78E5" w:rsidP="00E13701">
      <w:pPr>
        <w:pStyle w:val="FootnoteText"/>
        <w:rPr>
          <w:rFonts w:ascii="Arial" w:hAnsi="Arial" w:cs="Arial"/>
        </w:rPr>
      </w:pPr>
      <w:r w:rsidRPr="0046038E">
        <w:rPr>
          <w:rStyle w:val="FootnoteReference"/>
          <w:rFonts w:ascii="Arial" w:hAnsi="Arial" w:cs="Arial"/>
        </w:rPr>
        <w:footnoteRef/>
      </w:r>
      <w:r w:rsidRPr="0046038E">
        <w:rPr>
          <w:rFonts w:ascii="Arial" w:hAnsi="Arial" w:cs="Arial"/>
        </w:rPr>
        <w:t xml:space="preserve"> </w:t>
      </w:r>
      <w:r w:rsidR="00E960FB">
        <w:rPr>
          <w:rFonts w:ascii="Arial" w:hAnsi="Arial" w:cs="Arial"/>
          <w:i/>
        </w:rPr>
        <w:t xml:space="preserve">In the Matter of the Commission Investigation of the Financial Condition of Dayton Power and Light </w:t>
      </w:r>
      <w:r w:rsidR="00E960FB" w:rsidRPr="00E960FB">
        <w:rPr>
          <w:rFonts w:ascii="Arial" w:hAnsi="Arial" w:cs="Arial"/>
        </w:rPr>
        <w:t>Company</w:t>
      </w:r>
      <w:r w:rsidR="00E960FB">
        <w:rPr>
          <w:rFonts w:ascii="Arial" w:hAnsi="Arial" w:cs="Arial"/>
        </w:rPr>
        <w:t xml:space="preserve">, </w:t>
      </w:r>
      <w:r w:rsidR="00E960FB" w:rsidRPr="00E960FB">
        <w:rPr>
          <w:rFonts w:ascii="Arial" w:hAnsi="Arial" w:cs="Arial"/>
        </w:rPr>
        <w:t>C</w:t>
      </w:r>
      <w:r w:rsidRPr="00E960FB">
        <w:rPr>
          <w:rFonts w:ascii="Arial" w:hAnsi="Arial" w:cs="Arial"/>
        </w:rPr>
        <w:t>ase</w:t>
      </w:r>
      <w:r w:rsidRPr="0046038E">
        <w:rPr>
          <w:rFonts w:ascii="Arial" w:hAnsi="Arial" w:cs="Arial"/>
        </w:rPr>
        <w:t xml:space="preserve"> </w:t>
      </w:r>
      <w:r w:rsidR="00E960FB">
        <w:rPr>
          <w:rFonts w:ascii="Arial" w:hAnsi="Arial" w:cs="Arial"/>
        </w:rPr>
        <w:t>N</w:t>
      </w:r>
      <w:r w:rsidRPr="0046038E">
        <w:rPr>
          <w:rFonts w:ascii="Arial" w:hAnsi="Arial" w:cs="Arial"/>
        </w:rPr>
        <w:t>o. 04-486-EL-COI,</w:t>
      </w:r>
      <w:r w:rsidR="00E960FB">
        <w:rPr>
          <w:rFonts w:ascii="Arial" w:hAnsi="Arial" w:cs="Arial"/>
        </w:rPr>
        <w:t xml:space="preserve"> Entry at</w:t>
      </w:r>
      <w:r w:rsidRPr="0046038E">
        <w:rPr>
          <w:rFonts w:ascii="Arial" w:hAnsi="Arial" w:cs="Arial"/>
        </w:rPr>
        <w:t xml:space="preserve"> paragraph (4)</w:t>
      </w:r>
      <w:r w:rsidR="00E960FB">
        <w:rPr>
          <w:rFonts w:ascii="Arial" w:hAnsi="Arial" w:cs="Arial"/>
        </w:rPr>
        <w:t xml:space="preserve"> (Apr. 7, 2004).</w:t>
      </w:r>
    </w:p>
    <w:p w14:paraId="50139416" w14:textId="77777777" w:rsidR="00E960FB" w:rsidRPr="0046038E" w:rsidRDefault="00E960FB" w:rsidP="00E13701">
      <w:pPr>
        <w:pStyle w:val="FootnoteText"/>
        <w:rPr>
          <w:rFonts w:ascii="Arial" w:hAnsi="Arial" w:cs="Arial"/>
        </w:rPr>
      </w:pPr>
    </w:p>
  </w:footnote>
  <w:footnote w:id="17">
    <w:p w14:paraId="568CACBA" w14:textId="2FD367C0" w:rsidR="005A78E5" w:rsidRPr="0046038E" w:rsidRDefault="005A78E5" w:rsidP="00E13701">
      <w:pPr>
        <w:pStyle w:val="FootnoteText"/>
        <w:rPr>
          <w:rFonts w:ascii="Arial" w:hAnsi="Arial" w:cs="Arial"/>
        </w:rPr>
      </w:pPr>
      <w:r w:rsidRPr="0046038E">
        <w:rPr>
          <w:rStyle w:val="FootnoteReference"/>
          <w:rFonts w:ascii="Arial" w:hAnsi="Arial" w:cs="Arial"/>
        </w:rPr>
        <w:footnoteRef/>
      </w:r>
      <w:r w:rsidRPr="0046038E">
        <w:rPr>
          <w:rFonts w:ascii="Arial" w:hAnsi="Arial" w:cs="Arial"/>
        </w:rPr>
        <w:t xml:space="preserve"> </w:t>
      </w:r>
      <w:r w:rsidR="00E960FB">
        <w:rPr>
          <w:rFonts w:ascii="Arial" w:hAnsi="Arial" w:cs="Arial"/>
          <w:i/>
        </w:rPr>
        <w:t xml:space="preserve">Id. </w:t>
      </w:r>
      <w:r w:rsidR="00E960FB">
        <w:rPr>
          <w:rFonts w:ascii="Arial" w:hAnsi="Arial" w:cs="Arial"/>
        </w:rPr>
        <w:t xml:space="preserve">at </w:t>
      </w:r>
      <w:r w:rsidRPr="0046038E">
        <w:rPr>
          <w:rFonts w:ascii="Arial" w:hAnsi="Arial" w:cs="Arial"/>
        </w:rPr>
        <w:t>paragraphs (5)(a) and (6)</w:t>
      </w:r>
      <w:r w:rsidR="00E960FB">
        <w:rPr>
          <w:rFonts w:ascii="Arial" w:hAnsi="Arial" w:cs="Arial"/>
        </w:rPr>
        <w:t>.</w:t>
      </w:r>
    </w:p>
  </w:footnote>
  <w:footnote w:id="18">
    <w:p w14:paraId="49E44513" w14:textId="3E73B300" w:rsidR="005A78E5" w:rsidRDefault="005A78E5">
      <w:pPr>
        <w:pStyle w:val="FootnoteText"/>
        <w:rPr>
          <w:rFonts w:ascii="Arial" w:hAnsi="Arial" w:cs="Arial"/>
        </w:rPr>
      </w:pPr>
      <w:r w:rsidRPr="0046038E">
        <w:rPr>
          <w:rStyle w:val="FootnoteReference"/>
          <w:rFonts w:ascii="Arial" w:hAnsi="Arial" w:cs="Arial"/>
        </w:rPr>
        <w:footnoteRef/>
      </w:r>
      <w:r w:rsidRPr="0046038E">
        <w:rPr>
          <w:rFonts w:ascii="Arial" w:hAnsi="Arial" w:cs="Arial"/>
        </w:rPr>
        <w:t xml:space="preserve"> </w:t>
      </w:r>
      <w:r w:rsidR="00891DC2" w:rsidRPr="0046038E">
        <w:rPr>
          <w:rFonts w:ascii="Arial" w:hAnsi="Arial" w:cs="Arial"/>
        </w:rPr>
        <w:t>JEH-8 (</w:t>
      </w:r>
      <w:r w:rsidRPr="0046038E">
        <w:rPr>
          <w:rFonts w:ascii="Arial" w:hAnsi="Arial" w:cs="Arial"/>
        </w:rPr>
        <w:t>DP&amp;L’s response to IGS's Sixth Set of Discovery, RPD-6-2</w:t>
      </w:r>
      <w:r w:rsidR="00891DC2" w:rsidRPr="0046038E">
        <w:rPr>
          <w:rFonts w:ascii="Arial" w:hAnsi="Arial" w:cs="Arial"/>
        </w:rPr>
        <w:t>)</w:t>
      </w:r>
      <w:r w:rsidR="001471FC">
        <w:rPr>
          <w:rFonts w:ascii="Arial" w:hAnsi="Arial" w:cs="Arial"/>
        </w:rPr>
        <w:t>.</w:t>
      </w:r>
    </w:p>
    <w:p w14:paraId="77A6CCE8" w14:textId="77777777" w:rsidR="001471FC" w:rsidRPr="0046038E" w:rsidRDefault="001471FC">
      <w:pPr>
        <w:pStyle w:val="FootnoteText"/>
        <w:rPr>
          <w:rFonts w:ascii="Arial" w:hAnsi="Arial" w:cs="Arial"/>
        </w:rPr>
      </w:pPr>
    </w:p>
  </w:footnote>
  <w:footnote w:id="19">
    <w:p w14:paraId="35A78A88" w14:textId="550FCC2D" w:rsidR="005A78E5" w:rsidRPr="0046038E" w:rsidRDefault="005A78E5" w:rsidP="00150808">
      <w:pPr>
        <w:pStyle w:val="FootnoteText"/>
        <w:rPr>
          <w:rFonts w:ascii="Arial" w:hAnsi="Arial" w:cs="Arial"/>
        </w:rPr>
      </w:pPr>
      <w:r w:rsidRPr="0046038E">
        <w:rPr>
          <w:rStyle w:val="FootnoteReference"/>
          <w:rFonts w:ascii="Arial" w:hAnsi="Arial" w:cs="Arial"/>
        </w:rPr>
        <w:footnoteRef/>
      </w:r>
      <w:r w:rsidRPr="0046038E">
        <w:rPr>
          <w:rFonts w:ascii="Arial" w:hAnsi="Arial" w:cs="Arial"/>
        </w:rPr>
        <w:t xml:space="preserve"> </w:t>
      </w:r>
      <w:r w:rsidR="00891DC2" w:rsidRPr="0046038E">
        <w:rPr>
          <w:rFonts w:ascii="Arial" w:hAnsi="Arial" w:cs="Arial"/>
        </w:rPr>
        <w:t>JEH-9 (</w:t>
      </w:r>
      <w:r w:rsidRPr="0046038E">
        <w:rPr>
          <w:rFonts w:ascii="Arial" w:hAnsi="Arial" w:cs="Arial"/>
        </w:rPr>
        <w:t>Testimony of Sharon R. Schroder in Support of the Stipulation and Recommendation Page 7 of 16. Case No. 15-1830-EL-AIR</w:t>
      </w:r>
      <w:r w:rsidR="00891DC2" w:rsidRPr="0046038E">
        <w:rPr>
          <w:rFonts w:ascii="Arial" w:hAnsi="Arial" w:cs="Arial"/>
        </w:rPr>
        <w:t>)</w:t>
      </w:r>
      <w:r w:rsidR="001471FC">
        <w:rPr>
          <w:rFonts w:ascii="Arial" w:hAnsi="Arial" w:cs="Arial"/>
        </w:rPr>
        <w:t>.</w:t>
      </w:r>
    </w:p>
  </w:footnote>
  <w:footnote w:id="20">
    <w:p w14:paraId="3A6328F9" w14:textId="2555EF1F" w:rsidR="00D52B4E" w:rsidRDefault="00D52B4E">
      <w:pPr>
        <w:pStyle w:val="FootnoteText"/>
        <w:rPr>
          <w:rFonts w:ascii="Arial" w:hAnsi="Arial" w:cs="Arial"/>
        </w:rPr>
      </w:pPr>
      <w:r w:rsidRPr="0046038E">
        <w:rPr>
          <w:rStyle w:val="FootnoteReference"/>
          <w:rFonts w:ascii="Arial" w:hAnsi="Arial" w:cs="Arial"/>
        </w:rPr>
        <w:footnoteRef/>
      </w:r>
      <w:r w:rsidRPr="0046038E">
        <w:rPr>
          <w:rFonts w:ascii="Arial" w:hAnsi="Arial" w:cs="Arial"/>
        </w:rPr>
        <w:t xml:space="preserve"> </w:t>
      </w:r>
      <w:r w:rsidR="008556E2" w:rsidRPr="0046038E">
        <w:rPr>
          <w:rFonts w:ascii="Arial" w:hAnsi="Arial" w:cs="Arial"/>
        </w:rPr>
        <w:t>JEH-10 (</w:t>
      </w:r>
      <w:r w:rsidRPr="0046038E">
        <w:rPr>
          <w:rFonts w:ascii="Arial" w:hAnsi="Arial" w:cs="Arial"/>
        </w:rPr>
        <w:t>SEC form 10K for 2017, page 131</w:t>
      </w:r>
      <w:r w:rsidR="008556E2" w:rsidRPr="0046038E">
        <w:rPr>
          <w:rFonts w:ascii="Arial" w:hAnsi="Arial" w:cs="Arial"/>
        </w:rPr>
        <w:t>)</w:t>
      </w:r>
      <w:r w:rsidR="001471FC">
        <w:rPr>
          <w:rFonts w:ascii="Arial" w:hAnsi="Arial" w:cs="Arial"/>
        </w:rPr>
        <w:t>.</w:t>
      </w:r>
    </w:p>
    <w:p w14:paraId="6CC344C3" w14:textId="77777777" w:rsidR="001471FC" w:rsidRPr="0046038E" w:rsidRDefault="001471FC">
      <w:pPr>
        <w:pStyle w:val="FootnoteText"/>
        <w:rPr>
          <w:rFonts w:ascii="Arial" w:hAnsi="Arial" w:cs="Arial"/>
        </w:rPr>
      </w:pPr>
    </w:p>
  </w:footnote>
  <w:footnote w:id="21">
    <w:p w14:paraId="777A4F4E" w14:textId="22156F59" w:rsidR="005A78E5" w:rsidRDefault="005A78E5" w:rsidP="00150808">
      <w:pPr>
        <w:pStyle w:val="FootnoteText"/>
        <w:rPr>
          <w:rFonts w:ascii="Arial" w:hAnsi="Arial" w:cs="Arial"/>
        </w:rPr>
      </w:pPr>
      <w:r w:rsidRPr="0046038E">
        <w:rPr>
          <w:rStyle w:val="FootnoteReference"/>
          <w:rFonts w:ascii="Arial" w:hAnsi="Arial" w:cs="Arial"/>
        </w:rPr>
        <w:footnoteRef/>
      </w:r>
      <w:r w:rsidRPr="0046038E">
        <w:rPr>
          <w:rFonts w:ascii="Arial" w:hAnsi="Arial" w:cs="Arial"/>
        </w:rPr>
        <w:t xml:space="preserve"> </w:t>
      </w:r>
      <w:bookmarkStart w:id="14" w:name="_Hlk799596"/>
      <w:r w:rsidR="008556E2" w:rsidRPr="0046038E">
        <w:rPr>
          <w:rFonts w:ascii="Arial" w:hAnsi="Arial" w:cs="Arial"/>
        </w:rPr>
        <w:t>JEH-10 (</w:t>
      </w:r>
      <w:r w:rsidRPr="0046038E">
        <w:rPr>
          <w:rFonts w:ascii="Arial" w:hAnsi="Arial" w:cs="Arial"/>
        </w:rPr>
        <w:t>SEC form 10K for 2017</w:t>
      </w:r>
      <w:bookmarkEnd w:id="14"/>
      <w:r w:rsidR="00DF1E3A" w:rsidRPr="0046038E">
        <w:rPr>
          <w:rFonts w:ascii="Arial" w:hAnsi="Arial" w:cs="Arial"/>
        </w:rPr>
        <w:t>, page 129</w:t>
      </w:r>
      <w:r w:rsidR="008556E2" w:rsidRPr="0046038E">
        <w:rPr>
          <w:rFonts w:ascii="Arial" w:hAnsi="Arial" w:cs="Arial"/>
        </w:rPr>
        <w:t>)</w:t>
      </w:r>
      <w:r w:rsidR="001471FC">
        <w:rPr>
          <w:rFonts w:ascii="Arial" w:hAnsi="Arial" w:cs="Arial"/>
        </w:rPr>
        <w:t>.</w:t>
      </w:r>
    </w:p>
    <w:p w14:paraId="2B5D7C0E" w14:textId="77777777" w:rsidR="001471FC" w:rsidRPr="0046038E" w:rsidRDefault="001471FC" w:rsidP="00150808">
      <w:pPr>
        <w:pStyle w:val="FootnoteText"/>
        <w:rPr>
          <w:rFonts w:ascii="Arial" w:hAnsi="Arial" w:cs="Arial"/>
        </w:rPr>
      </w:pPr>
    </w:p>
  </w:footnote>
  <w:footnote w:id="22">
    <w:p w14:paraId="1BDEFCF2" w14:textId="08C5E639" w:rsidR="005A78E5" w:rsidRPr="0046038E" w:rsidRDefault="005A78E5" w:rsidP="00D212AF">
      <w:pPr>
        <w:pStyle w:val="FootnoteText"/>
        <w:rPr>
          <w:rFonts w:ascii="Arial" w:hAnsi="Arial" w:cs="Arial"/>
        </w:rPr>
      </w:pPr>
      <w:r w:rsidRPr="0046038E">
        <w:rPr>
          <w:rStyle w:val="FootnoteReference"/>
          <w:rFonts w:ascii="Arial" w:hAnsi="Arial" w:cs="Arial"/>
        </w:rPr>
        <w:footnoteRef/>
      </w:r>
      <w:r w:rsidRPr="0046038E">
        <w:rPr>
          <w:rFonts w:ascii="Arial" w:hAnsi="Arial" w:cs="Arial"/>
        </w:rPr>
        <w:t xml:space="preserve"> </w:t>
      </w:r>
      <w:r w:rsidRPr="0046038E">
        <w:rPr>
          <w:rFonts w:ascii="Arial" w:hAnsi="Arial" w:cs="Arial"/>
          <w:i/>
        </w:rPr>
        <w:t>In the Matter of the Application of The Dayton Power and Light Company for Approval of Its Energy Efficiency and Peak Demand Reduction Program Portfolio Plan for 2018 through 2020</w:t>
      </w:r>
      <w:r w:rsidRPr="0046038E">
        <w:rPr>
          <w:rFonts w:ascii="Arial" w:hAnsi="Arial" w:cs="Arial"/>
        </w:rPr>
        <w:t xml:space="preserve">, Case Nos. 17-1398-EL-POR, </w:t>
      </w:r>
      <w:r w:rsidRPr="0046038E">
        <w:rPr>
          <w:rFonts w:ascii="Arial" w:hAnsi="Arial" w:cs="Arial"/>
          <w:i/>
        </w:rPr>
        <w:t>et al.</w:t>
      </w:r>
      <w:r w:rsidRPr="0046038E">
        <w:rPr>
          <w:rFonts w:ascii="Arial" w:hAnsi="Arial" w:cs="Arial"/>
        </w:rPr>
        <w:t xml:space="preserve"> Opinion and Order at 6, 8 (Dec. 20, 2017).</w:t>
      </w:r>
    </w:p>
    <w:p w14:paraId="7D7C332B" w14:textId="77777777" w:rsidR="005A78E5" w:rsidRPr="0046038E" w:rsidRDefault="005A78E5" w:rsidP="00D212AF">
      <w:pPr>
        <w:pStyle w:val="FootnoteText"/>
        <w:rPr>
          <w:rFonts w:ascii="Arial" w:hAnsi="Arial" w:cs="Arial"/>
        </w:rPr>
      </w:pPr>
    </w:p>
  </w:footnote>
  <w:footnote w:id="23">
    <w:p w14:paraId="17F46C52" w14:textId="3C6CECF1" w:rsidR="005A78E5" w:rsidRPr="0046038E" w:rsidRDefault="005A78E5" w:rsidP="00F746A8">
      <w:pPr>
        <w:pStyle w:val="FootnoteText"/>
        <w:rPr>
          <w:rFonts w:ascii="Arial" w:hAnsi="Arial" w:cs="Arial"/>
        </w:rPr>
      </w:pPr>
      <w:r w:rsidRPr="0046038E">
        <w:rPr>
          <w:rStyle w:val="FootnoteReference"/>
          <w:rFonts w:ascii="Arial" w:hAnsi="Arial" w:cs="Arial"/>
        </w:rPr>
        <w:footnoteRef/>
      </w:r>
      <w:r w:rsidRPr="0046038E">
        <w:rPr>
          <w:rFonts w:ascii="Arial" w:hAnsi="Arial" w:cs="Arial"/>
        </w:rPr>
        <w:t xml:space="preserve"> </w:t>
      </w:r>
      <w:bookmarkStart w:id="15" w:name="_Hlk786998"/>
      <w:r w:rsidR="008556E2" w:rsidRPr="0046038E">
        <w:rPr>
          <w:rFonts w:ascii="Arial" w:hAnsi="Arial" w:cs="Arial"/>
        </w:rPr>
        <w:t>JEH-8 (</w:t>
      </w:r>
      <w:r w:rsidRPr="0046038E">
        <w:rPr>
          <w:rFonts w:ascii="Arial" w:hAnsi="Arial" w:cs="Arial"/>
        </w:rPr>
        <w:t>DP&amp;L’s response to IGS's Sixth Set of Discovery, RPD-6-2</w:t>
      </w:r>
      <w:bookmarkEnd w:id="15"/>
      <w:r w:rsidR="008556E2" w:rsidRPr="0046038E">
        <w:rPr>
          <w:rFonts w:ascii="Arial" w:hAnsi="Arial" w:cs="Arial"/>
        </w:rPr>
        <w:t>)</w:t>
      </w:r>
      <w:r w:rsidR="001471FC">
        <w:rPr>
          <w:rFonts w:ascii="Arial" w:hAnsi="Arial" w:cs="Arial"/>
        </w:rPr>
        <w:t>.</w:t>
      </w:r>
    </w:p>
  </w:footnote>
  <w:footnote w:id="24">
    <w:p w14:paraId="24A34D1F" w14:textId="152BBD35" w:rsidR="005A78E5" w:rsidRDefault="005A78E5" w:rsidP="007E5AE5">
      <w:pPr>
        <w:pStyle w:val="FootnoteText"/>
        <w:rPr>
          <w:rFonts w:ascii="Arial" w:hAnsi="Arial" w:cs="Arial"/>
        </w:rPr>
      </w:pPr>
      <w:r w:rsidRPr="0046038E">
        <w:rPr>
          <w:rStyle w:val="FootnoteReference"/>
          <w:rFonts w:ascii="Arial" w:hAnsi="Arial" w:cs="Arial"/>
        </w:rPr>
        <w:footnoteRef/>
      </w:r>
      <w:r w:rsidRPr="0046038E">
        <w:rPr>
          <w:rFonts w:ascii="Arial" w:hAnsi="Arial" w:cs="Arial"/>
        </w:rPr>
        <w:t xml:space="preserve"> </w:t>
      </w:r>
      <w:r w:rsidR="008556E2" w:rsidRPr="0046038E">
        <w:rPr>
          <w:rFonts w:ascii="Arial" w:hAnsi="Arial" w:cs="Arial"/>
        </w:rPr>
        <w:t>JEH-12 (</w:t>
      </w:r>
      <w:r w:rsidRPr="0046038E">
        <w:rPr>
          <w:rFonts w:ascii="Arial" w:hAnsi="Arial" w:cs="Arial"/>
        </w:rPr>
        <w:t>Opinion and Order, Case No. 15-1830-EL-AIR, page 46</w:t>
      </w:r>
      <w:r w:rsidR="008556E2" w:rsidRPr="0046038E">
        <w:rPr>
          <w:rFonts w:ascii="Arial" w:hAnsi="Arial" w:cs="Arial"/>
        </w:rPr>
        <w:t>)</w:t>
      </w:r>
      <w:r w:rsidR="0046038E">
        <w:rPr>
          <w:rFonts w:ascii="Arial" w:hAnsi="Arial" w:cs="Arial"/>
        </w:rPr>
        <w:t>.</w:t>
      </w:r>
    </w:p>
    <w:p w14:paraId="4A0663D5" w14:textId="77777777" w:rsidR="0046038E" w:rsidRPr="0046038E" w:rsidRDefault="0046038E" w:rsidP="007E5AE5">
      <w:pPr>
        <w:pStyle w:val="FootnoteText"/>
        <w:rPr>
          <w:rFonts w:ascii="Arial" w:hAnsi="Arial" w:cs="Arial"/>
        </w:rPr>
      </w:pPr>
    </w:p>
  </w:footnote>
  <w:footnote w:id="25">
    <w:p w14:paraId="58FFB949" w14:textId="2227AA9D" w:rsidR="005A78E5" w:rsidRPr="0046038E" w:rsidRDefault="005A78E5">
      <w:pPr>
        <w:pStyle w:val="FootnoteText"/>
        <w:rPr>
          <w:rFonts w:ascii="Arial" w:hAnsi="Arial" w:cs="Arial"/>
        </w:rPr>
      </w:pPr>
      <w:r w:rsidRPr="0046038E">
        <w:rPr>
          <w:rStyle w:val="FootnoteReference"/>
          <w:rFonts w:ascii="Arial" w:hAnsi="Arial" w:cs="Arial"/>
        </w:rPr>
        <w:footnoteRef/>
      </w:r>
      <w:r w:rsidRPr="0046038E">
        <w:rPr>
          <w:rFonts w:ascii="Arial" w:hAnsi="Arial" w:cs="Arial"/>
        </w:rPr>
        <w:t xml:space="preserve"> Calculated using the Staff Report Capital Structure (Schedule D-1) and stipulated weighted cost of debt (4.8% O&amp;O page 24), Case No. 15-1830-EL-AIR</w:t>
      </w:r>
      <w:r w:rsidR="0046038E">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6C1F4" w14:textId="77777777" w:rsidR="005A78E5" w:rsidRDefault="005A7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32A31" w14:textId="231FE7F1" w:rsidR="005A78E5" w:rsidRPr="00346E6A" w:rsidRDefault="005A78E5" w:rsidP="00346E6A">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1D50A" w14:textId="77777777" w:rsidR="005A78E5" w:rsidRDefault="005A78E5" w:rsidP="00346E6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A2B"/>
    <w:multiLevelType w:val="hybridMultilevel"/>
    <w:tmpl w:val="67BCF2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C62E7"/>
    <w:multiLevelType w:val="hybridMultilevel"/>
    <w:tmpl w:val="FB24402E"/>
    <w:lvl w:ilvl="0" w:tplc="02364310">
      <w:start w:val="1"/>
      <w:numFmt w:val="decimal"/>
      <w:lvlText w:val="(%1)"/>
      <w:lvlJc w:val="left"/>
      <w:pPr>
        <w:ind w:left="1170" w:hanging="360"/>
      </w:pPr>
      <w:rPr>
        <w:rFonts w:hint="default"/>
        <w:w w:val="1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787F19"/>
    <w:multiLevelType w:val="hybridMultilevel"/>
    <w:tmpl w:val="6C24FA60"/>
    <w:lvl w:ilvl="0" w:tplc="C64E13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25FAB"/>
    <w:multiLevelType w:val="hybridMultilevel"/>
    <w:tmpl w:val="BA82BA60"/>
    <w:lvl w:ilvl="0" w:tplc="ACA000FA">
      <w:start w:val="17"/>
      <w:numFmt w:val="decimal"/>
      <w:lvlText w:val="%1"/>
      <w:lvlJc w:val="left"/>
      <w:pPr>
        <w:ind w:left="1340" w:hanging="510"/>
      </w:pPr>
      <w:rPr>
        <w:rFonts w:ascii="Arial" w:eastAsia="Arial" w:hAnsi="Arial" w:hint="default"/>
        <w:w w:val="95"/>
        <w:sz w:val="20"/>
        <w:szCs w:val="20"/>
      </w:rPr>
    </w:lvl>
    <w:lvl w:ilvl="1" w:tplc="B1D6D0AE">
      <w:start w:val="1"/>
      <w:numFmt w:val="bullet"/>
      <w:lvlText w:val="•"/>
      <w:lvlJc w:val="left"/>
      <w:pPr>
        <w:ind w:left="2260" w:hanging="324"/>
      </w:pPr>
      <w:rPr>
        <w:rFonts w:ascii="Times New Roman" w:eastAsia="Times New Roman" w:hAnsi="Times New Roman" w:hint="default"/>
        <w:w w:val="145"/>
        <w:sz w:val="22"/>
        <w:szCs w:val="22"/>
      </w:rPr>
    </w:lvl>
    <w:lvl w:ilvl="2" w:tplc="55424F2E">
      <w:start w:val="1"/>
      <w:numFmt w:val="bullet"/>
      <w:lvlText w:val="•"/>
      <w:lvlJc w:val="left"/>
      <w:pPr>
        <w:ind w:left="3210" w:hanging="324"/>
      </w:pPr>
      <w:rPr>
        <w:rFonts w:hint="default"/>
      </w:rPr>
    </w:lvl>
    <w:lvl w:ilvl="3" w:tplc="EED039EC">
      <w:start w:val="1"/>
      <w:numFmt w:val="bullet"/>
      <w:lvlText w:val="•"/>
      <w:lvlJc w:val="left"/>
      <w:pPr>
        <w:ind w:left="4160" w:hanging="324"/>
      </w:pPr>
      <w:rPr>
        <w:rFonts w:hint="default"/>
      </w:rPr>
    </w:lvl>
    <w:lvl w:ilvl="4" w:tplc="A2D68162">
      <w:start w:val="1"/>
      <w:numFmt w:val="bullet"/>
      <w:lvlText w:val="•"/>
      <w:lvlJc w:val="left"/>
      <w:pPr>
        <w:ind w:left="5110" w:hanging="324"/>
      </w:pPr>
      <w:rPr>
        <w:rFonts w:hint="default"/>
      </w:rPr>
    </w:lvl>
    <w:lvl w:ilvl="5" w:tplc="0F3CBF68">
      <w:start w:val="1"/>
      <w:numFmt w:val="bullet"/>
      <w:lvlText w:val="•"/>
      <w:lvlJc w:val="left"/>
      <w:pPr>
        <w:ind w:left="6060" w:hanging="324"/>
      </w:pPr>
      <w:rPr>
        <w:rFonts w:hint="default"/>
      </w:rPr>
    </w:lvl>
    <w:lvl w:ilvl="6" w:tplc="78A25892">
      <w:start w:val="1"/>
      <w:numFmt w:val="bullet"/>
      <w:lvlText w:val="•"/>
      <w:lvlJc w:val="left"/>
      <w:pPr>
        <w:ind w:left="7011" w:hanging="324"/>
      </w:pPr>
      <w:rPr>
        <w:rFonts w:hint="default"/>
      </w:rPr>
    </w:lvl>
    <w:lvl w:ilvl="7" w:tplc="6AE2F112">
      <w:start w:val="1"/>
      <w:numFmt w:val="bullet"/>
      <w:lvlText w:val="•"/>
      <w:lvlJc w:val="left"/>
      <w:pPr>
        <w:ind w:left="7961" w:hanging="324"/>
      </w:pPr>
      <w:rPr>
        <w:rFonts w:hint="default"/>
      </w:rPr>
    </w:lvl>
    <w:lvl w:ilvl="8" w:tplc="E550AB0E">
      <w:start w:val="1"/>
      <w:numFmt w:val="bullet"/>
      <w:lvlText w:val="•"/>
      <w:lvlJc w:val="left"/>
      <w:pPr>
        <w:ind w:left="8911" w:hanging="324"/>
      </w:pPr>
      <w:rPr>
        <w:rFonts w:hint="default"/>
      </w:rPr>
    </w:lvl>
  </w:abstractNum>
  <w:abstractNum w:abstractNumId="4" w15:restartNumberingAfterBreak="0">
    <w:nsid w:val="252D7928"/>
    <w:multiLevelType w:val="hybridMultilevel"/>
    <w:tmpl w:val="80466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F9557F"/>
    <w:multiLevelType w:val="hybridMultilevel"/>
    <w:tmpl w:val="54629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05018"/>
    <w:multiLevelType w:val="hybridMultilevel"/>
    <w:tmpl w:val="C778C7A0"/>
    <w:lvl w:ilvl="0" w:tplc="D9C63A96">
      <w:start w:val="1"/>
      <w:numFmt w:val="decimal"/>
      <w:lvlText w:val="%1"/>
      <w:lvlJc w:val="left"/>
      <w:pPr>
        <w:ind w:left="102" w:hanging="1196"/>
        <w:jc w:val="right"/>
      </w:pPr>
      <w:rPr>
        <w:rFonts w:ascii="Arial" w:eastAsia="Arial" w:hAnsi="Arial" w:hint="default"/>
        <w:sz w:val="24"/>
        <w:szCs w:val="24"/>
      </w:rPr>
    </w:lvl>
    <w:lvl w:ilvl="1" w:tplc="EB7CA958">
      <w:start w:val="1"/>
      <w:numFmt w:val="bullet"/>
      <w:lvlText w:val="•"/>
      <w:lvlJc w:val="left"/>
      <w:pPr>
        <w:ind w:left="1113" w:hanging="1196"/>
      </w:pPr>
      <w:rPr>
        <w:rFonts w:hint="default"/>
      </w:rPr>
    </w:lvl>
    <w:lvl w:ilvl="2" w:tplc="35DC8E32">
      <w:start w:val="1"/>
      <w:numFmt w:val="bullet"/>
      <w:lvlText w:val="•"/>
      <w:lvlJc w:val="left"/>
      <w:pPr>
        <w:ind w:left="2124" w:hanging="1196"/>
      </w:pPr>
      <w:rPr>
        <w:rFonts w:hint="default"/>
      </w:rPr>
    </w:lvl>
    <w:lvl w:ilvl="3" w:tplc="AC9443F8">
      <w:start w:val="1"/>
      <w:numFmt w:val="bullet"/>
      <w:lvlText w:val="•"/>
      <w:lvlJc w:val="left"/>
      <w:pPr>
        <w:ind w:left="3135" w:hanging="1196"/>
      </w:pPr>
      <w:rPr>
        <w:rFonts w:hint="default"/>
      </w:rPr>
    </w:lvl>
    <w:lvl w:ilvl="4" w:tplc="122C92A4">
      <w:start w:val="1"/>
      <w:numFmt w:val="bullet"/>
      <w:lvlText w:val="•"/>
      <w:lvlJc w:val="left"/>
      <w:pPr>
        <w:ind w:left="4145" w:hanging="1196"/>
      </w:pPr>
      <w:rPr>
        <w:rFonts w:hint="default"/>
      </w:rPr>
    </w:lvl>
    <w:lvl w:ilvl="5" w:tplc="0030865A">
      <w:start w:val="1"/>
      <w:numFmt w:val="bullet"/>
      <w:lvlText w:val="•"/>
      <w:lvlJc w:val="left"/>
      <w:pPr>
        <w:ind w:left="5156" w:hanging="1196"/>
      </w:pPr>
      <w:rPr>
        <w:rFonts w:hint="default"/>
      </w:rPr>
    </w:lvl>
    <w:lvl w:ilvl="6" w:tplc="BAE2FD54">
      <w:start w:val="1"/>
      <w:numFmt w:val="bullet"/>
      <w:lvlText w:val="•"/>
      <w:lvlJc w:val="left"/>
      <w:pPr>
        <w:ind w:left="6167" w:hanging="1196"/>
      </w:pPr>
      <w:rPr>
        <w:rFonts w:hint="default"/>
      </w:rPr>
    </w:lvl>
    <w:lvl w:ilvl="7" w:tplc="15D4EAA6">
      <w:start w:val="1"/>
      <w:numFmt w:val="bullet"/>
      <w:lvlText w:val="•"/>
      <w:lvlJc w:val="left"/>
      <w:pPr>
        <w:ind w:left="7178" w:hanging="1196"/>
      </w:pPr>
      <w:rPr>
        <w:rFonts w:hint="default"/>
      </w:rPr>
    </w:lvl>
    <w:lvl w:ilvl="8" w:tplc="758C16AA">
      <w:start w:val="1"/>
      <w:numFmt w:val="bullet"/>
      <w:lvlText w:val="•"/>
      <w:lvlJc w:val="left"/>
      <w:pPr>
        <w:ind w:left="8189" w:hanging="1196"/>
      </w:pPr>
      <w:rPr>
        <w:rFonts w:hint="default"/>
      </w:rPr>
    </w:lvl>
  </w:abstractNum>
  <w:abstractNum w:abstractNumId="7" w15:restartNumberingAfterBreak="0">
    <w:nsid w:val="3CC06256"/>
    <w:multiLevelType w:val="hybridMultilevel"/>
    <w:tmpl w:val="95B858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DA7713C"/>
    <w:multiLevelType w:val="hybridMultilevel"/>
    <w:tmpl w:val="97F035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97FEA"/>
    <w:multiLevelType w:val="multilevel"/>
    <w:tmpl w:val="9E5CB584"/>
    <w:name w:val="(Unnamed Numbering Scheme)"/>
    <w:lvl w:ilvl="0">
      <w:start w:val="1"/>
      <w:numFmt w:val="none"/>
      <w:lvlText w:val="%1Q."/>
      <w:lvlJc w:val="left"/>
      <w:pPr>
        <w:tabs>
          <w:tab w:val="num" w:pos="720"/>
        </w:tabs>
        <w:ind w:left="720" w:hanging="720"/>
      </w:pPr>
      <w:rPr>
        <w:rFonts w:ascii="Times New Roman" w:hAnsi="Times New Roman" w:cs="Times New Roman" w:hint="default"/>
        <w:b/>
        <w:i w:val="0"/>
        <w:caps/>
        <w:smallCaps w:val="0"/>
        <w:color w:val="000000"/>
        <w:sz w:val="24"/>
        <w:u w:val="none"/>
      </w:rPr>
    </w:lvl>
    <w:lvl w:ilvl="1">
      <w:start w:val="3"/>
      <w:numFmt w:val="none"/>
      <w:lvlText w:val="A."/>
      <w:lvlJc w:val="left"/>
      <w:pPr>
        <w:tabs>
          <w:tab w:val="num" w:pos="720"/>
        </w:tabs>
        <w:ind w:left="720" w:hanging="720"/>
      </w:pPr>
      <w:rPr>
        <w:rFonts w:ascii="Times New Roman" w:hAnsi="Times New Roman" w:cs="Times New Roman" w:hint="default"/>
        <w:b w:val="0"/>
        <w:i w:val="0"/>
        <w:caps w:val="0"/>
        <w:color w:val="000000"/>
        <w:u w:val="none"/>
      </w:rPr>
    </w:lvl>
    <w:lvl w:ilvl="2">
      <w:start w:val="1"/>
      <w:numFmt w:val="upperRoman"/>
      <w:pStyle w:val="Heading3"/>
      <w:lvlText w:val="%3."/>
      <w:lvlJc w:val="right"/>
      <w:pPr>
        <w:tabs>
          <w:tab w:val="num" w:pos="720"/>
        </w:tabs>
        <w:ind w:left="720" w:hanging="720"/>
      </w:pPr>
      <w:rPr>
        <w:rFonts w:ascii="Arial" w:hAnsi="Arial" w:cs="Arial" w:hint="default"/>
        <w:b/>
        <w:i w:val="0"/>
        <w:caps w:val="0"/>
        <w:color w:val="000000"/>
        <w:sz w:val="24"/>
        <w:u w:val="none"/>
      </w:rPr>
    </w:lvl>
    <w:lvl w:ilvl="3">
      <w:start w:val="1"/>
      <w:numFmt w:val="none"/>
      <w:lvlText w:val=""/>
      <w:lvlJc w:val="left"/>
      <w:pPr>
        <w:tabs>
          <w:tab w:val="num" w:pos="1440"/>
        </w:tabs>
        <w:ind w:left="0" w:firstLine="0"/>
      </w:pPr>
      <w:rPr>
        <w:rFonts w:cs="Times New Roman" w:hint="default"/>
        <w:b w:val="0"/>
        <w:i w:val="0"/>
        <w:caps w:val="0"/>
        <w:color w:val="000000"/>
        <w:u w:val="none"/>
      </w:rPr>
    </w:lvl>
    <w:lvl w:ilvl="4">
      <w:start w:val="1"/>
      <w:numFmt w:val="none"/>
      <w:lvlText w:val=""/>
      <w:lvlJc w:val="left"/>
      <w:pPr>
        <w:tabs>
          <w:tab w:val="num" w:pos="1800"/>
        </w:tabs>
        <w:ind w:left="0" w:firstLine="0"/>
      </w:pPr>
      <w:rPr>
        <w:rFonts w:cs="Times New Roman" w:hint="default"/>
        <w:b w:val="0"/>
        <w:i w:val="0"/>
        <w:caps w:val="0"/>
        <w:color w:val="000000"/>
        <w:u w:val="none"/>
      </w:rPr>
    </w:lvl>
    <w:lvl w:ilvl="5">
      <w:start w:val="1"/>
      <w:numFmt w:val="none"/>
      <w:lvlText w:val=""/>
      <w:lvlJc w:val="left"/>
      <w:pPr>
        <w:tabs>
          <w:tab w:val="num" w:pos="2160"/>
        </w:tabs>
        <w:ind w:left="0" w:firstLine="0"/>
      </w:pPr>
      <w:rPr>
        <w:rFonts w:cs="Times New Roman" w:hint="default"/>
        <w:b w:val="0"/>
        <w:i w:val="0"/>
        <w:caps w:val="0"/>
        <w:color w:val="000000"/>
        <w:u w:val="none"/>
      </w:rPr>
    </w:lvl>
    <w:lvl w:ilvl="6">
      <w:start w:val="1"/>
      <w:numFmt w:val="none"/>
      <w:lvlText w:val=""/>
      <w:lvlJc w:val="left"/>
      <w:pPr>
        <w:tabs>
          <w:tab w:val="num" w:pos="2520"/>
        </w:tabs>
        <w:ind w:left="0" w:firstLine="0"/>
      </w:pPr>
      <w:rPr>
        <w:rFonts w:cs="Times New Roman" w:hint="default"/>
        <w:b w:val="0"/>
        <w:i w:val="0"/>
        <w:caps w:val="0"/>
        <w:color w:val="000000"/>
        <w:u w:val="none"/>
      </w:rPr>
    </w:lvl>
    <w:lvl w:ilvl="7">
      <w:start w:val="1"/>
      <w:numFmt w:val="none"/>
      <w:lvlText w:val=""/>
      <w:lvlJc w:val="left"/>
      <w:pPr>
        <w:tabs>
          <w:tab w:val="num" w:pos="2880"/>
        </w:tabs>
        <w:ind w:left="0" w:firstLine="0"/>
      </w:pPr>
      <w:rPr>
        <w:rFonts w:cs="Times New Roman" w:hint="default"/>
        <w:b w:val="0"/>
        <w:i w:val="0"/>
        <w:caps w:val="0"/>
        <w:color w:val="000000"/>
        <w:u w:val="none"/>
      </w:rPr>
    </w:lvl>
    <w:lvl w:ilvl="8">
      <w:start w:val="1"/>
      <w:numFmt w:val="none"/>
      <w:lvlText w:val=""/>
      <w:lvlJc w:val="left"/>
      <w:pPr>
        <w:tabs>
          <w:tab w:val="num" w:pos="3240"/>
        </w:tabs>
        <w:ind w:left="0" w:firstLine="0"/>
      </w:pPr>
      <w:rPr>
        <w:rFonts w:cs="Times New Roman" w:hint="default"/>
        <w:b w:val="0"/>
        <w:i w:val="0"/>
        <w:caps w:val="0"/>
        <w:color w:val="000000"/>
        <w:u w:val="none"/>
      </w:rPr>
    </w:lvl>
  </w:abstractNum>
  <w:abstractNum w:abstractNumId="10" w15:restartNumberingAfterBreak="0">
    <w:nsid w:val="4AC81FEC"/>
    <w:multiLevelType w:val="multilevel"/>
    <w:tmpl w:val="C25A84E2"/>
    <w:name w:val="Testimony"/>
    <w:lvl w:ilvl="0">
      <w:start w:val="1"/>
      <w:numFmt w:val="none"/>
      <w:pStyle w:val="Heading1"/>
      <w:lvlText w:val="%1Q."/>
      <w:lvlJc w:val="left"/>
      <w:pPr>
        <w:tabs>
          <w:tab w:val="num" w:pos="720"/>
        </w:tabs>
        <w:ind w:left="720" w:hanging="720"/>
      </w:pPr>
      <w:rPr>
        <w:rFonts w:ascii="Times New Roman" w:hAnsi="Times New Roman" w:cs="Times New Roman" w:hint="default"/>
        <w:b/>
        <w:i w:val="0"/>
        <w:caps/>
        <w:smallCaps w:val="0"/>
        <w:color w:val="000000"/>
        <w:sz w:val="24"/>
        <w:u w:val="none"/>
      </w:rPr>
    </w:lvl>
    <w:lvl w:ilvl="1">
      <w:start w:val="1"/>
      <w:numFmt w:val="none"/>
      <w:pStyle w:val="Heading2"/>
      <w:lvlText w:val="A."/>
      <w:lvlJc w:val="left"/>
      <w:pPr>
        <w:tabs>
          <w:tab w:val="num" w:pos="720"/>
        </w:tabs>
        <w:ind w:left="720" w:hanging="720"/>
      </w:pPr>
      <w:rPr>
        <w:rFonts w:ascii="Times New Roman" w:hAnsi="Times New Roman" w:cs="Times New Roman" w:hint="default"/>
        <w:b w:val="0"/>
        <w:i w:val="0"/>
        <w:caps w:val="0"/>
        <w:color w:val="000000"/>
        <w:u w:val="none"/>
      </w:rPr>
    </w:lvl>
    <w:lvl w:ilvl="2">
      <w:start w:val="1"/>
      <w:numFmt w:val="upperRoman"/>
      <w:lvlRestart w:val="0"/>
      <w:lvlText w:val="%3."/>
      <w:lvlJc w:val="left"/>
      <w:pPr>
        <w:tabs>
          <w:tab w:val="num" w:pos="720"/>
        </w:tabs>
        <w:ind w:left="720" w:hanging="720"/>
      </w:pPr>
      <w:rPr>
        <w:rFonts w:ascii="Arial" w:hAnsi="Arial" w:cs="Arial" w:hint="default"/>
        <w:b/>
        <w:i w:val="0"/>
        <w:caps w:val="0"/>
        <w:color w:val="000000"/>
        <w:u w:val="none"/>
      </w:rPr>
    </w:lvl>
    <w:lvl w:ilvl="3">
      <w:start w:val="1"/>
      <w:numFmt w:val="upperLetter"/>
      <w:lvlRestart w:val="0"/>
      <w:pStyle w:val="Heading4"/>
      <w:lvlText w:val="(%4)"/>
      <w:lvlJc w:val="left"/>
      <w:pPr>
        <w:tabs>
          <w:tab w:val="num" w:pos="1440"/>
        </w:tabs>
        <w:ind w:left="720" w:firstLine="0"/>
      </w:pPr>
      <w:rPr>
        <w:rFonts w:hint="default"/>
        <w:b/>
        <w:i/>
        <w:caps w:val="0"/>
        <w:color w:val="000000"/>
        <w:u w:val="none"/>
      </w:rPr>
    </w:lvl>
    <w:lvl w:ilvl="4">
      <w:start w:val="1"/>
      <w:numFmt w:val="none"/>
      <w:lvlText w:val=""/>
      <w:lvlJc w:val="left"/>
      <w:pPr>
        <w:tabs>
          <w:tab w:val="num" w:pos="1800"/>
        </w:tabs>
        <w:ind w:left="0" w:firstLine="0"/>
      </w:pPr>
      <w:rPr>
        <w:rFonts w:ascii="Courier New" w:hAnsi="Courier New" w:cs="Courier New" w:hint="default"/>
        <w:b w:val="0"/>
        <w:i w:val="0"/>
        <w:caps w:val="0"/>
        <w:color w:val="000000"/>
        <w:u w:val="none"/>
      </w:rPr>
    </w:lvl>
    <w:lvl w:ilvl="5">
      <w:start w:val="1"/>
      <w:numFmt w:val="none"/>
      <w:pStyle w:val="Heading6"/>
      <w:lvlText w:val=""/>
      <w:lvlJc w:val="left"/>
      <w:pPr>
        <w:tabs>
          <w:tab w:val="num" w:pos="2160"/>
        </w:tabs>
        <w:ind w:left="0" w:firstLine="0"/>
      </w:pPr>
      <w:rPr>
        <w:rFonts w:ascii="Times New Roman" w:hAnsi="Times New Roman" w:cs="Times New Roman" w:hint="default"/>
        <w:b w:val="0"/>
        <w:i w:val="0"/>
        <w:caps w:val="0"/>
        <w:color w:val="000000"/>
        <w:u w:val="none"/>
      </w:rPr>
    </w:lvl>
    <w:lvl w:ilvl="6">
      <w:start w:val="1"/>
      <w:numFmt w:val="none"/>
      <w:pStyle w:val="Heading7"/>
      <w:lvlText w:val=""/>
      <w:lvlJc w:val="left"/>
      <w:pPr>
        <w:tabs>
          <w:tab w:val="num" w:pos="2520"/>
        </w:tabs>
        <w:ind w:left="0" w:firstLine="0"/>
      </w:pPr>
      <w:rPr>
        <w:rFonts w:ascii="Times New Roman" w:hAnsi="Times New Roman" w:cs="Times New Roman" w:hint="default"/>
        <w:b w:val="0"/>
        <w:i w:val="0"/>
        <w:caps w:val="0"/>
        <w:color w:val="000000"/>
        <w:u w:val="none"/>
      </w:rPr>
    </w:lvl>
    <w:lvl w:ilvl="7">
      <w:start w:val="1"/>
      <w:numFmt w:val="none"/>
      <w:pStyle w:val="Heading8"/>
      <w:lvlText w:val=""/>
      <w:lvlJc w:val="left"/>
      <w:pPr>
        <w:tabs>
          <w:tab w:val="num" w:pos="2880"/>
        </w:tabs>
        <w:ind w:left="0" w:firstLine="0"/>
      </w:pPr>
      <w:rPr>
        <w:rFonts w:ascii="Courier New" w:hAnsi="Courier New" w:cs="Courier New" w:hint="default"/>
        <w:b w:val="0"/>
        <w:i w:val="0"/>
        <w:caps w:val="0"/>
        <w:color w:val="000000"/>
        <w:u w:val="none"/>
      </w:rPr>
    </w:lvl>
    <w:lvl w:ilvl="8">
      <w:start w:val="1"/>
      <w:numFmt w:val="none"/>
      <w:pStyle w:val="Heading9"/>
      <w:lvlText w:val=""/>
      <w:lvlJc w:val="left"/>
      <w:pPr>
        <w:tabs>
          <w:tab w:val="num" w:pos="3240"/>
        </w:tabs>
        <w:ind w:left="0" w:firstLine="0"/>
      </w:pPr>
      <w:rPr>
        <w:rFonts w:ascii="Times New Roman" w:hAnsi="Times New Roman" w:cs="Times New Roman" w:hint="default"/>
        <w:b w:val="0"/>
        <w:i w:val="0"/>
        <w:caps w:val="0"/>
        <w:color w:val="000000"/>
        <w:u w:val="none"/>
      </w:rPr>
    </w:lvl>
  </w:abstractNum>
  <w:abstractNum w:abstractNumId="11" w15:restartNumberingAfterBreak="0">
    <w:nsid w:val="50BE5903"/>
    <w:multiLevelType w:val="hybridMultilevel"/>
    <w:tmpl w:val="40BA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E3C03"/>
    <w:multiLevelType w:val="hybridMultilevel"/>
    <w:tmpl w:val="D85AAA80"/>
    <w:lvl w:ilvl="0" w:tplc="657CB22E">
      <w:start w:val="19"/>
      <w:numFmt w:val="decimal"/>
      <w:lvlText w:val="%1"/>
      <w:lvlJc w:val="left"/>
      <w:pPr>
        <w:ind w:left="738" w:hanging="605"/>
      </w:pPr>
      <w:rPr>
        <w:rFonts w:ascii="Arial" w:eastAsia="Arial" w:hAnsi="Arial" w:hint="default"/>
        <w:w w:val="101"/>
        <w:sz w:val="24"/>
        <w:szCs w:val="24"/>
      </w:rPr>
    </w:lvl>
    <w:lvl w:ilvl="1" w:tplc="2D3A5F44">
      <w:start w:val="1"/>
      <w:numFmt w:val="bullet"/>
      <w:lvlText w:val="•"/>
      <w:lvlJc w:val="left"/>
      <w:pPr>
        <w:ind w:left="1687" w:hanging="605"/>
      </w:pPr>
      <w:rPr>
        <w:rFonts w:hint="default"/>
      </w:rPr>
    </w:lvl>
    <w:lvl w:ilvl="2" w:tplc="489E500E">
      <w:start w:val="1"/>
      <w:numFmt w:val="bullet"/>
      <w:lvlText w:val="•"/>
      <w:lvlJc w:val="left"/>
      <w:pPr>
        <w:ind w:left="2636" w:hanging="605"/>
      </w:pPr>
      <w:rPr>
        <w:rFonts w:hint="default"/>
      </w:rPr>
    </w:lvl>
    <w:lvl w:ilvl="3" w:tplc="7D384C94">
      <w:start w:val="1"/>
      <w:numFmt w:val="bullet"/>
      <w:lvlText w:val="•"/>
      <w:lvlJc w:val="left"/>
      <w:pPr>
        <w:ind w:left="3586" w:hanging="605"/>
      </w:pPr>
      <w:rPr>
        <w:rFonts w:hint="default"/>
      </w:rPr>
    </w:lvl>
    <w:lvl w:ilvl="4" w:tplc="4BF0CAFC">
      <w:start w:val="1"/>
      <w:numFmt w:val="bullet"/>
      <w:lvlText w:val="•"/>
      <w:lvlJc w:val="left"/>
      <w:pPr>
        <w:ind w:left="4535" w:hanging="605"/>
      </w:pPr>
      <w:rPr>
        <w:rFonts w:hint="default"/>
      </w:rPr>
    </w:lvl>
    <w:lvl w:ilvl="5" w:tplc="A5C4E898">
      <w:start w:val="1"/>
      <w:numFmt w:val="bullet"/>
      <w:lvlText w:val="•"/>
      <w:lvlJc w:val="left"/>
      <w:pPr>
        <w:ind w:left="5484" w:hanging="605"/>
      </w:pPr>
      <w:rPr>
        <w:rFonts w:hint="default"/>
      </w:rPr>
    </w:lvl>
    <w:lvl w:ilvl="6" w:tplc="9C54B4B8">
      <w:start w:val="1"/>
      <w:numFmt w:val="bullet"/>
      <w:lvlText w:val="•"/>
      <w:lvlJc w:val="left"/>
      <w:pPr>
        <w:ind w:left="6434" w:hanging="605"/>
      </w:pPr>
      <w:rPr>
        <w:rFonts w:hint="default"/>
      </w:rPr>
    </w:lvl>
    <w:lvl w:ilvl="7" w:tplc="6E40EE72">
      <w:start w:val="1"/>
      <w:numFmt w:val="bullet"/>
      <w:lvlText w:val="•"/>
      <w:lvlJc w:val="left"/>
      <w:pPr>
        <w:ind w:left="7383" w:hanging="605"/>
      </w:pPr>
      <w:rPr>
        <w:rFonts w:hint="default"/>
      </w:rPr>
    </w:lvl>
    <w:lvl w:ilvl="8" w:tplc="1B8C12F0">
      <w:start w:val="1"/>
      <w:numFmt w:val="bullet"/>
      <w:lvlText w:val="•"/>
      <w:lvlJc w:val="left"/>
      <w:pPr>
        <w:ind w:left="8332" w:hanging="605"/>
      </w:pPr>
      <w:rPr>
        <w:rFonts w:hint="default"/>
      </w:rPr>
    </w:lvl>
  </w:abstractNum>
  <w:abstractNum w:abstractNumId="13" w15:restartNumberingAfterBreak="0">
    <w:nsid w:val="61582B08"/>
    <w:multiLevelType w:val="hybridMultilevel"/>
    <w:tmpl w:val="24EE3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C8340B"/>
    <w:multiLevelType w:val="hybridMultilevel"/>
    <w:tmpl w:val="AE86DFCA"/>
    <w:lvl w:ilvl="0" w:tplc="F5D46D32">
      <w:start w:val="12"/>
      <w:numFmt w:val="decimal"/>
      <w:lvlText w:val="%1"/>
      <w:lvlJc w:val="left"/>
      <w:pPr>
        <w:ind w:left="131" w:hanging="620"/>
      </w:pPr>
      <w:rPr>
        <w:rFonts w:ascii="Arial" w:eastAsia="Arial" w:hAnsi="Arial" w:hint="default"/>
        <w:w w:val="102"/>
        <w:sz w:val="24"/>
        <w:szCs w:val="24"/>
      </w:rPr>
    </w:lvl>
    <w:lvl w:ilvl="1" w:tplc="AE4C3920">
      <w:start w:val="1"/>
      <w:numFmt w:val="decimal"/>
      <w:lvlText w:val="%2"/>
      <w:lvlJc w:val="left"/>
      <w:pPr>
        <w:ind w:left="1494" w:hanging="1203"/>
      </w:pPr>
      <w:rPr>
        <w:rFonts w:ascii="Arial" w:eastAsia="Arial" w:hAnsi="Arial" w:hint="default"/>
        <w:w w:val="123"/>
        <w:sz w:val="24"/>
        <w:szCs w:val="24"/>
      </w:rPr>
    </w:lvl>
    <w:lvl w:ilvl="2" w:tplc="FA343BB6">
      <w:start w:val="1"/>
      <w:numFmt w:val="bullet"/>
      <w:lvlText w:val="•"/>
      <w:lvlJc w:val="left"/>
      <w:pPr>
        <w:ind w:left="1453" w:hanging="1203"/>
      </w:pPr>
      <w:rPr>
        <w:rFonts w:hint="default"/>
      </w:rPr>
    </w:lvl>
    <w:lvl w:ilvl="3" w:tplc="3E80073A">
      <w:start w:val="1"/>
      <w:numFmt w:val="bullet"/>
      <w:lvlText w:val="•"/>
      <w:lvlJc w:val="left"/>
      <w:pPr>
        <w:ind w:left="1411" w:hanging="1203"/>
      </w:pPr>
      <w:rPr>
        <w:rFonts w:hint="default"/>
      </w:rPr>
    </w:lvl>
    <w:lvl w:ilvl="4" w:tplc="B40EE990">
      <w:start w:val="1"/>
      <w:numFmt w:val="bullet"/>
      <w:lvlText w:val="•"/>
      <w:lvlJc w:val="left"/>
      <w:pPr>
        <w:ind w:left="1370" w:hanging="1203"/>
      </w:pPr>
      <w:rPr>
        <w:rFonts w:hint="default"/>
      </w:rPr>
    </w:lvl>
    <w:lvl w:ilvl="5" w:tplc="FB1C2A68">
      <w:start w:val="1"/>
      <w:numFmt w:val="bullet"/>
      <w:lvlText w:val="•"/>
      <w:lvlJc w:val="left"/>
      <w:pPr>
        <w:ind w:left="1329" w:hanging="1203"/>
      </w:pPr>
      <w:rPr>
        <w:rFonts w:hint="default"/>
      </w:rPr>
    </w:lvl>
    <w:lvl w:ilvl="6" w:tplc="237225AC">
      <w:start w:val="1"/>
      <w:numFmt w:val="bullet"/>
      <w:lvlText w:val="•"/>
      <w:lvlJc w:val="left"/>
      <w:pPr>
        <w:ind w:left="1287" w:hanging="1203"/>
      </w:pPr>
      <w:rPr>
        <w:rFonts w:hint="default"/>
      </w:rPr>
    </w:lvl>
    <w:lvl w:ilvl="7" w:tplc="99B065DC">
      <w:start w:val="1"/>
      <w:numFmt w:val="bullet"/>
      <w:lvlText w:val="•"/>
      <w:lvlJc w:val="left"/>
      <w:pPr>
        <w:ind w:left="1246" w:hanging="1203"/>
      </w:pPr>
      <w:rPr>
        <w:rFonts w:hint="default"/>
      </w:rPr>
    </w:lvl>
    <w:lvl w:ilvl="8" w:tplc="4272A410">
      <w:start w:val="1"/>
      <w:numFmt w:val="bullet"/>
      <w:lvlText w:val="•"/>
      <w:lvlJc w:val="left"/>
      <w:pPr>
        <w:ind w:left="1205" w:hanging="1203"/>
      </w:pPr>
      <w:rPr>
        <w:rFonts w:hint="default"/>
      </w:rPr>
    </w:lvl>
  </w:abstractNum>
  <w:num w:numId="1">
    <w:abstractNumId w:val="7"/>
  </w:num>
  <w:num w:numId="2">
    <w:abstractNumId w:val="10"/>
  </w:num>
  <w:num w:numId="3">
    <w:abstractNumId w:val="9"/>
  </w:num>
  <w:num w:numId="4">
    <w:abstractNumId w:val="1"/>
  </w:num>
  <w:num w:numId="5">
    <w:abstractNumId w:val="11"/>
  </w:num>
  <w:num w:numId="6">
    <w:abstractNumId w:val="13"/>
  </w:num>
  <w:num w:numId="7">
    <w:abstractNumId w:val="4"/>
  </w:num>
  <w:num w:numId="8">
    <w:abstractNumId w:val="10"/>
    <w:lvlOverride w:ilvl="0">
      <w:startOverride w:val="1"/>
    </w:lvlOverride>
    <w:lvlOverride w:ilvl="1">
      <w:startOverride w:val="1"/>
    </w:lvlOverride>
    <w:lvlOverride w:ilvl="2">
      <w:startOverride w:val="4"/>
    </w:lvlOverride>
  </w:num>
  <w:num w:numId="9">
    <w:abstractNumId w:val="2"/>
  </w:num>
  <w:num w:numId="10">
    <w:abstractNumId w:val="5"/>
  </w:num>
  <w:num w:numId="11">
    <w:abstractNumId w:val="0"/>
  </w:num>
  <w:num w:numId="12">
    <w:abstractNumId w:val="8"/>
  </w:num>
  <w:num w:numId="13">
    <w:abstractNumId w:val="6"/>
  </w:num>
  <w:num w:numId="14">
    <w:abstractNumId w:val="14"/>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6A"/>
    <w:rsid w:val="0000083B"/>
    <w:rsid w:val="00002D2C"/>
    <w:rsid w:val="00004F58"/>
    <w:rsid w:val="00005A13"/>
    <w:rsid w:val="00010CC7"/>
    <w:rsid w:val="00012010"/>
    <w:rsid w:val="00013808"/>
    <w:rsid w:val="000201D9"/>
    <w:rsid w:val="00023545"/>
    <w:rsid w:val="000238DF"/>
    <w:rsid w:val="000240D1"/>
    <w:rsid w:val="0002432C"/>
    <w:rsid w:val="00032B0E"/>
    <w:rsid w:val="00034CA3"/>
    <w:rsid w:val="00041A55"/>
    <w:rsid w:val="000451E0"/>
    <w:rsid w:val="000460E9"/>
    <w:rsid w:val="00047C70"/>
    <w:rsid w:val="0005386D"/>
    <w:rsid w:val="000639D4"/>
    <w:rsid w:val="00064C5B"/>
    <w:rsid w:val="000663BA"/>
    <w:rsid w:val="00070BBE"/>
    <w:rsid w:val="00074060"/>
    <w:rsid w:val="000740E9"/>
    <w:rsid w:val="0007708A"/>
    <w:rsid w:val="00082E32"/>
    <w:rsid w:val="00082FAF"/>
    <w:rsid w:val="00083A54"/>
    <w:rsid w:val="00086655"/>
    <w:rsid w:val="00093C7C"/>
    <w:rsid w:val="000944C9"/>
    <w:rsid w:val="000949C5"/>
    <w:rsid w:val="00094C75"/>
    <w:rsid w:val="00095104"/>
    <w:rsid w:val="000A02F8"/>
    <w:rsid w:val="000A18BB"/>
    <w:rsid w:val="000A237F"/>
    <w:rsid w:val="000A4667"/>
    <w:rsid w:val="000A5D8E"/>
    <w:rsid w:val="000A5F15"/>
    <w:rsid w:val="000A7D15"/>
    <w:rsid w:val="000B14E8"/>
    <w:rsid w:val="000B3413"/>
    <w:rsid w:val="000B3887"/>
    <w:rsid w:val="000B4E5F"/>
    <w:rsid w:val="000B4FE4"/>
    <w:rsid w:val="000B53AC"/>
    <w:rsid w:val="000B78F1"/>
    <w:rsid w:val="000C2494"/>
    <w:rsid w:val="000C262D"/>
    <w:rsid w:val="000C4199"/>
    <w:rsid w:val="000C5E46"/>
    <w:rsid w:val="000C7BDC"/>
    <w:rsid w:val="000D1E7C"/>
    <w:rsid w:val="000D1FD2"/>
    <w:rsid w:val="000D4273"/>
    <w:rsid w:val="000D4B96"/>
    <w:rsid w:val="000D5823"/>
    <w:rsid w:val="000E7E1F"/>
    <w:rsid w:val="000F0864"/>
    <w:rsid w:val="000F0C20"/>
    <w:rsid w:val="000F0C7F"/>
    <w:rsid w:val="000F2AF1"/>
    <w:rsid w:val="0010102B"/>
    <w:rsid w:val="001023A1"/>
    <w:rsid w:val="00102CE3"/>
    <w:rsid w:val="001071EB"/>
    <w:rsid w:val="00110A6C"/>
    <w:rsid w:val="001111EF"/>
    <w:rsid w:val="0011222D"/>
    <w:rsid w:val="00112A49"/>
    <w:rsid w:val="00113DAA"/>
    <w:rsid w:val="00117218"/>
    <w:rsid w:val="00117C83"/>
    <w:rsid w:val="00126111"/>
    <w:rsid w:val="00130C5A"/>
    <w:rsid w:val="001318EF"/>
    <w:rsid w:val="001321B8"/>
    <w:rsid w:val="00134194"/>
    <w:rsid w:val="001352C0"/>
    <w:rsid w:val="001357D7"/>
    <w:rsid w:val="0013649E"/>
    <w:rsid w:val="00140340"/>
    <w:rsid w:val="00142AB1"/>
    <w:rsid w:val="0014682B"/>
    <w:rsid w:val="001471FC"/>
    <w:rsid w:val="00147661"/>
    <w:rsid w:val="00150808"/>
    <w:rsid w:val="001513E5"/>
    <w:rsid w:val="00152803"/>
    <w:rsid w:val="001621C6"/>
    <w:rsid w:val="00162EA7"/>
    <w:rsid w:val="00164273"/>
    <w:rsid w:val="00165636"/>
    <w:rsid w:val="00165A8A"/>
    <w:rsid w:val="00171D8A"/>
    <w:rsid w:val="001777C2"/>
    <w:rsid w:val="00185FC5"/>
    <w:rsid w:val="00191652"/>
    <w:rsid w:val="001916DA"/>
    <w:rsid w:val="0019479A"/>
    <w:rsid w:val="00196BE3"/>
    <w:rsid w:val="001A2822"/>
    <w:rsid w:val="001A3B5F"/>
    <w:rsid w:val="001A4499"/>
    <w:rsid w:val="001A4E6B"/>
    <w:rsid w:val="001A5BA2"/>
    <w:rsid w:val="001B1FA1"/>
    <w:rsid w:val="001B4167"/>
    <w:rsid w:val="001B59AD"/>
    <w:rsid w:val="001C0CA6"/>
    <w:rsid w:val="001C1BB8"/>
    <w:rsid w:val="001C390B"/>
    <w:rsid w:val="001C5683"/>
    <w:rsid w:val="001C58B3"/>
    <w:rsid w:val="001C5A75"/>
    <w:rsid w:val="001C7571"/>
    <w:rsid w:val="001D32EB"/>
    <w:rsid w:val="001D3695"/>
    <w:rsid w:val="001E1E77"/>
    <w:rsid w:val="001E67C0"/>
    <w:rsid w:val="001F17B4"/>
    <w:rsid w:val="001F563F"/>
    <w:rsid w:val="00200210"/>
    <w:rsid w:val="00200BFC"/>
    <w:rsid w:val="00203F6B"/>
    <w:rsid w:val="00210414"/>
    <w:rsid w:val="00210CA3"/>
    <w:rsid w:val="0021153B"/>
    <w:rsid w:val="0021373E"/>
    <w:rsid w:val="0022114A"/>
    <w:rsid w:val="00227F7B"/>
    <w:rsid w:val="002319CE"/>
    <w:rsid w:val="002327DA"/>
    <w:rsid w:val="0023600A"/>
    <w:rsid w:val="00236A9A"/>
    <w:rsid w:val="00236F37"/>
    <w:rsid w:val="00240BE3"/>
    <w:rsid w:val="00241A1C"/>
    <w:rsid w:val="002462E8"/>
    <w:rsid w:val="002469CE"/>
    <w:rsid w:val="002479D6"/>
    <w:rsid w:val="00253CA6"/>
    <w:rsid w:val="00254B2B"/>
    <w:rsid w:val="002552C2"/>
    <w:rsid w:val="00261AAE"/>
    <w:rsid w:val="00267516"/>
    <w:rsid w:val="00277D70"/>
    <w:rsid w:val="00277EC7"/>
    <w:rsid w:val="002829E9"/>
    <w:rsid w:val="00286930"/>
    <w:rsid w:val="00287996"/>
    <w:rsid w:val="002979E1"/>
    <w:rsid w:val="002A7D02"/>
    <w:rsid w:val="002B00E1"/>
    <w:rsid w:val="002B2DE9"/>
    <w:rsid w:val="002B3236"/>
    <w:rsid w:val="002B3601"/>
    <w:rsid w:val="002B3CDC"/>
    <w:rsid w:val="002B54BA"/>
    <w:rsid w:val="002B67CD"/>
    <w:rsid w:val="002B697B"/>
    <w:rsid w:val="002B72EA"/>
    <w:rsid w:val="002B786B"/>
    <w:rsid w:val="002C3DBB"/>
    <w:rsid w:val="002C408D"/>
    <w:rsid w:val="002C64F8"/>
    <w:rsid w:val="002C701B"/>
    <w:rsid w:val="002C7A1B"/>
    <w:rsid w:val="002C7EC6"/>
    <w:rsid w:val="002D2873"/>
    <w:rsid w:val="002D6841"/>
    <w:rsid w:val="002E05AB"/>
    <w:rsid w:val="002E442C"/>
    <w:rsid w:val="002E55E1"/>
    <w:rsid w:val="002E590A"/>
    <w:rsid w:val="002E5934"/>
    <w:rsid w:val="002E5AFF"/>
    <w:rsid w:val="002E7077"/>
    <w:rsid w:val="002E7B8F"/>
    <w:rsid w:val="002F1A3F"/>
    <w:rsid w:val="002F33D9"/>
    <w:rsid w:val="002F4A81"/>
    <w:rsid w:val="002F62F9"/>
    <w:rsid w:val="002F7533"/>
    <w:rsid w:val="00301404"/>
    <w:rsid w:val="00301B0F"/>
    <w:rsid w:val="00302C7C"/>
    <w:rsid w:val="00302D78"/>
    <w:rsid w:val="003054DD"/>
    <w:rsid w:val="00313631"/>
    <w:rsid w:val="0031702E"/>
    <w:rsid w:val="00320D0B"/>
    <w:rsid w:val="00320FF3"/>
    <w:rsid w:val="00324CFB"/>
    <w:rsid w:val="00324E1A"/>
    <w:rsid w:val="003303FF"/>
    <w:rsid w:val="00331732"/>
    <w:rsid w:val="003329EE"/>
    <w:rsid w:val="003360B7"/>
    <w:rsid w:val="00336552"/>
    <w:rsid w:val="00337431"/>
    <w:rsid w:val="00337D7C"/>
    <w:rsid w:val="00344308"/>
    <w:rsid w:val="003462ED"/>
    <w:rsid w:val="00346E6A"/>
    <w:rsid w:val="003470E8"/>
    <w:rsid w:val="003473CF"/>
    <w:rsid w:val="00352D11"/>
    <w:rsid w:val="0035389A"/>
    <w:rsid w:val="00355DE4"/>
    <w:rsid w:val="0035613B"/>
    <w:rsid w:val="0035664C"/>
    <w:rsid w:val="003607A9"/>
    <w:rsid w:val="003610AB"/>
    <w:rsid w:val="0036162F"/>
    <w:rsid w:val="00362845"/>
    <w:rsid w:val="0037257B"/>
    <w:rsid w:val="003759B2"/>
    <w:rsid w:val="00381F9B"/>
    <w:rsid w:val="00382B0A"/>
    <w:rsid w:val="00385259"/>
    <w:rsid w:val="00385AB4"/>
    <w:rsid w:val="003876D7"/>
    <w:rsid w:val="003A028A"/>
    <w:rsid w:val="003A1A01"/>
    <w:rsid w:val="003A419D"/>
    <w:rsid w:val="003A5B88"/>
    <w:rsid w:val="003A6D9D"/>
    <w:rsid w:val="003A7244"/>
    <w:rsid w:val="003A7633"/>
    <w:rsid w:val="003B2DD0"/>
    <w:rsid w:val="003B3A9A"/>
    <w:rsid w:val="003B3B1F"/>
    <w:rsid w:val="003C00F3"/>
    <w:rsid w:val="003C14A2"/>
    <w:rsid w:val="003C2ECC"/>
    <w:rsid w:val="003C4A50"/>
    <w:rsid w:val="003C624F"/>
    <w:rsid w:val="003C7EF7"/>
    <w:rsid w:val="003D06D0"/>
    <w:rsid w:val="003D28F5"/>
    <w:rsid w:val="003D3C1D"/>
    <w:rsid w:val="003D56F9"/>
    <w:rsid w:val="003E0F5E"/>
    <w:rsid w:val="003E16A6"/>
    <w:rsid w:val="003E17E5"/>
    <w:rsid w:val="003E3C61"/>
    <w:rsid w:val="003E5A2B"/>
    <w:rsid w:val="003E62C1"/>
    <w:rsid w:val="003E6972"/>
    <w:rsid w:val="003E6D41"/>
    <w:rsid w:val="003E6F69"/>
    <w:rsid w:val="003F058F"/>
    <w:rsid w:val="003F0F81"/>
    <w:rsid w:val="003F259E"/>
    <w:rsid w:val="003F7DDE"/>
    <w:rsid w:val="0040214E"/>
    <w:rsid w:val="004041F4"/>
    <w:rsid w:val="00404B96"/>
    <w:rsid w:val="004053B9"/>
    <w:rsid w:val="00405C01"/>
    <w:rsid w:val="00410007"/>
    <w:rsid w:val="00412B52"/>
    <w:rsid w:val="0041363E"/>
    <w:rsid w:val="00415224"/>
    <w:rsid w:val="00415291"/>
    <w:rsid w:val="004155CC"/>
    <w:rsid w:val="00420D2E"/>
    <w:rsid w:val="004213BC"/>
    <w:rsid w:val="0043414F"/>
    <w:rsid w:val="00435D43"/>
    <w:rsid w:val="004366EF"/>
    <w:rsid w:val="00437F46"/>
    <w:rsid w:val="0044432F"/>
    <w:rsid w:val="0044737F"/>
    <w:rsid w:val="00447CFA"/>
    <w:rsid w:val="00450E65"/>
    <w:rsid w:val="00456BEC"/>
    <w:rsid w:val="0046038E"/>
    <w:rsid w:val="0046361C"/>
    <w:rsid w:val="004645C6"/>
    <w:rsid w:val="00466F26"/>
    <w:rsid w:val="00467956"/>
    <w:rsid w:val="004727A8"/>
    <w:rsid w:val="00474CCE"/>
    <w:rsid w:val="00474F8F"/>
    <w:rsid w:val="00475617"/>
    <w:rsid w:val="00476460"/>
    <w:rsid w:val="004775B5"/>
    <w:rsid w:val="004802B8"/>
    <w:rsid w:val="004818A6"/>
    <w:rsid w:val="00483097"/>
    <w:rsid w:val="00483DD2"/>
    <w:rsid w:val="00484EAC"/>
    <w:rsid w:val="00486316"/>
    <w:rsid w:val="00486E19"/>
    <w:rsid w:val="0049029B"/>
    <w:rsid w:val="00492A3D"/>
    <w:rsid w:val="00496BDD"/>
    <w:rsid w:val="00496CE9"/>
    <w:rsid w:val="004A1C6A"/>
    <w:rsid w:val="004A429F"/>
    <w:rsid w:val="004A550C"/>
    <w:rsid w:val="004B05DE"/>
    <w:rsid w:val="004B1CB0"/>
    <w:rsid w:val="004B3D9E"/>
    <w:rsid w:val="004B5FE9"/>
    <w:rsid w:val="004B68A0"/>
    <w:rsid w:val="004C3165"/>
    <w:rsid w:val="004C43A0"/>
    <w:rsid w:val="004C4B07"/>
    <w:rsid w:val="004C5BE7"/>
    <w:rsid w:val="004D0EF7"/>
    <w:rsid w:val="004D2B5E"/>
    <w:rsid w:val="004D46F2"/>
    <w:rsid w:val="004D5527"/>
    <w:rsid w:val="004D563D"/>
    <w:rsid w:val="004E307D"/>
    <w:rsid w:val="004E4ADF"/>
    <w:rsid w:val="004E522B"/>
    <w:rsid w:val="004E5420"/>
    <w:rsid w:val="004E6025"/>
    <w:rsid w:val="004E6DFA"/>
    <w:rsid w:val="004E7533"/>
    <w:rsid w:val="004E7ECE"/>
    <w:rsid w:val="004F0028"/>
    <w:rsid w:val="004F1221"/>
    <w:rsid w:val="004F3BC6"/>
    <w:rsid w:val="004F50D9"/>
    <w:rsid w:val="004F59C1"/>
    <w:rsid w:val="004F6386"/>
    <w:rsid w:val="0050020C"/>
    <w:rsid w:val="00500340"/>
    <w:rsid w:val="005075AC"/>
    <w:rsid w:val="00507DA9"/>
    <w:rsid w:val="00513A76"/>
    <w:rsid w:val="00514E06"/>
    <w:rsid w:val="00515FC7"/>
    <w:rsid w:val="00517DC9"/>
    <w:rsid w:val="00526C9A"/>
    <w:rsid w:val="00526EB6"/>
    <w:rsid w:val="00530383"/>
    <w:rsid w:val="00530944"/>
    <w:rsid w:val="00531BC6"/>
    <w:rsid w:val="00532C68"/>
    <w:rsid w:val="005341F6"/>
    <w:rsid w:val="005348E2"/>
    <w:rsid w:val="00537330"/>
    <w:rsid w:val="00542BF3"/>
    <w:rsid w:val="005448C7"/>
    <w:rsid w:val="00544D12"/>
    <w:rsid w:val="0055246B"/>
    <w:rsid w:val="005553F9"/>
    <w:rsid w:val="005564A4"/>
    <w:rsid w:val="005653B5"/>
    <w:rsid w:val="0057139D"/>
    <w:rsid w:val="00573171"/>
    <w:rsid w:val="0057436F"/>
    <w:rsid w:val="005744F6"/>
    <w:rsid w:val="00576878"/>
    <w:rsid w:val="00577581"/>
    <w:rsid w:val="00581EB3"/>
    <w:rsid w:val="005856A2"/>
    <w:rsid w:val="00585B35"/>
    <w:rsid w:val="00587FFA"/>
    <w:rsid w:val="00590BBB"/>
    <w:rsid w:val="00597810"/>
    <w:rsid w:val="005A1403"/>
    <w:rsid w:val="005A36AB"/>
    <w:rsid w:val="005A36F3"/>
    <w:rsid w:val="005A372D"/>
    <w:rsid w:val="005A4E86"/>
    <w:rsid w:val="005A4EE4"/>
    <w:rsid w:val="005A78E5"/>
    <w:rsid w:val="005B24F9"/>
    <w:rsid w:val="005B2F6C"/>
    <w:rsid w:val="005C0CF6"/>
    <w:rsid w:val="005C6175"/>
    <w:rsid w:val="005C659C"/>
    <w:rsid w:val="005E0BB8"/>
    <w:rsid w:val="005E1ED2"/>
    <w:rsid w:val="005E4A77"/>
    <w:rsid w:val="005E5EF7"/>
    <w:rsid w:val="005E66F3"/>
    <w:rsid w:val="005E67E6"/>
    <w:rsid w:val="005E7890"/>
    <w:rsid w:val="005F0AB7"/>
    <w:rsid w:val="005F22CF"/>
    <w:rsid w:val="005F2363"/>
    <w:rsid w:val="005F299A"/>
    <w:rsid w:val="005F2C86"/>
    <w:rsid w:val="00606AE3"/>
    <w:rsid w:val="006106A0"/>
    <w:rsid w:val="00612176"/>
    <w:rsid w:val="00615406"/>
    <w:rsid w:val="006207DD"/>
    <w:rsid w:val="00622581"/>
    <w:rsid w:val="006234AB"/>
    <w:rsid w:val="00630005"/>
    <w:rsid w:val="00630627"/>
    <w:rsid w:val="0063177D"/>
    <w:rsid w:val="00652CC1"/>
    <w:rsid w:val="00653482"/>
    <w:rsid w:val="00656BFD"/>
    <w:rsid w:val="00657689"/>
    <w:rsid w:val="00657A35"/>
    <w:rsid w:val="006605A3"/>
    <w:rsid w:val="00661327"/>
    <w:rsid w:val="0066622E"/>
    <w:rsid w:val="00666855"/>
    <w:rsid w:val="00667822"/>
    <w:rsid w:val="00671695"/>
    <w:rsid w:val="00681625"/>
    <w:rsid w:val="00683FAB"/>
    <w:rsid w:val="00684A7F"/>
    <w:rsid w:val="00685CBA"/>
    <w:rsid w:val="00685E87"/>
    <w:rsid w:val="00687FEB"/>
    <w:rsid w:val="006904E2"/>
    <w:rsid w:val="00693786"/>
    <w:rsid w:val="00696444"/>
    <w:rsid w:val="006A10AB"/>
    <w:rsid w:val="006A158E"/>
    <w:rsid w:val="006A2316"/>
    <w:rsid w:val="006A2A18"/>
    <w:rsid w:val="006B1688"/>
    <w:rsid w:val="006B176E"/>
    <w:rsid w:val="006B50B1"/>
    <w:rsid w:val="006B60F5"/>
    <w:rsid w:val="006C2A83"/>
    <w:rsid w:val="006C360D"/>
    <w:rsid w:val="006C4628"/>
    <w:rsid w:val="006C4833"/>
    <w:rsid w:val="006C516F"/>
    <w:rsid w:val="006C5669"/>
    <w:rsid w:val="006C59D4"/>
    <w:rsid w:val="006D19D3"/>
    <w:rsid w:val="006D3343"/>
    <w:rsid w:val="006D4FFD"/>
    <w:rsid w:val="006E00E6"/>
    <w:rsid w:val="006E2644"/>
    <w:rsid w:val="006E5446"/>
    <w:rsid w:val="006F4D23"/>
    <w:rsid w:val="00700BC9"/>
    <w:rsid w:val="007048F4"/>
    <w:rsid w:val="007075F8"/>
    <w:rsid w:val="007077B3"/>
    <w:rsid w:val="007120C2"/>
    <w:rsid w:val="00713E16"/>
    <w:rsid w:val="00722EDE"/>
    <w:rsid w:val="00724DCB"/>
    <w:rsid w:val="00724FDB"/>
    <w:rsid w:val="0072565F"/>
    <w:rsid w:val="00727395"/>
    <w:rsid w:val="00730BD4"/>
    <w:rsid w:val="00732ED7"/>
    <w:rsid w:val="00735539"/>
    <w:rsid w:val="00737AD2"/>
    <w:rsid w:val="00737EDA"/>
    <w:rsid w:val="00740ACD"/>
    <w:rsid w:val="00741A11"/>
    <w:rsid w:val="00743AD6"/>
    <w:rsid w:val="00751E5E"/>
    <w:rsid w:val="00755A05"/>
    <w:rsid w:val="0075732D"/>
    <w:rsid w:val="007612E5"/>
    <w:rsid w:val="0076362E"/>
    <w:rsid w:val="007637FC"/>
    <w:rsid w:val="00764D3C"/>
    <w:rsid w:val="007652C4"/>
    <w:rsid w:val="00770DBD"/>
    <w:rsid w:val="0077270A"/>
    <w:rsid w:val="00776F6B"/>
    <w:rsid w:val="00781231"/>
    <w:rsid w:val="0078264C"/>
    <w:rsid w:val="00782744"/>
    <w:rsid w:val="007936D3"/>
    <w:rsid w:val="007A180E"/>
    <w:rsid w:val="007A691E"/>
    <w:rsid w:val="007B17B7"/>
    <w:rsid w:val="007B2CEB"/>
    <w:rsid w:val="007B3E6B"/>
    <w:rsid w:val="007B4051"/>
    <w:rsid w:val="007B7149"/>
    <w:rsid w:val="007C018B"/>
    <w:rsid w:val="007C24BD"/>
    <w:rsid w:val="007C5485"/>
    <w:rsid w:val="007C6433"/>
    <w:rsid w:val="007C730F"/>
    <w:rsid w:val="007C7985"/>
    <w:rsid w:val="007D25F4"/>
    <w:rsid w:val="007D430F"/>
    <w:rsid w:val="007D586A"/>
    <w:rsid w:val="007D72A7"/>
    <w:rsid w:val="007E0EF6"/>
    <w:rsid w:val="007E1E62"/>
    <w:rsid w:val="007E4A66"/>
    <w:rsid w:val="007E5AE5"/>
    <w:rsid w:val="007E71BA"/>
    <w:rsid w:val="007F09C5"/>
    <w:rsid w:val="007F66EF"/>
    <w:rsid w:val="00800B0F"/>
    <w:rsid w:val="00801926"/>
    <w:rsid w:val="008027DB"/>
    <w:rsid w:val="008048E5"/>
    <w:rsid w:val="0081002D"/>
    <w:rsid w:val="00813AFC"/>
    <w:rsid w:val="00814146"/>
    <w:rsid w:val="0081466F"/>
    <w:rsid w:val="00815D7A"/>
    <w:rsid w:val="00817A28"/>
    <w:rsid w:val="008208D9"/>
    <w:rsid w:val="0082409D"/>
    <w:rsid w:val="0082441D"/>
    <w:rsid w:val="00827D0B"/>
    <w:rsid w:val="00830CEA"/>
    <w:rsid w:val="008345F9"/>
    <w:rsid w:val="00841CF1"/>
    <w:rsid w:val="00841F3A"/>
    <w:rsid w:val="00844462"/>
    <w:rsid w:val="0084663D"/>
    <w:rsid w:val="0084739D"/>
    <w:rsid w:val="00847D29"/>
    <w:rsid w:val="00850613"/>
    <w:rsid w:val="00852D36"/>
    <w:rsid w:val="00854FFB"/>
    <w:rsid w:val="008556E2"/>
    <w:rsid w:val="00856C33"/>
    <w:rsid w:val="00860EC2"/>
    <w:rsid w:val="008611FB"/>
    <w:rsid w:val="00864B03"/>
    <w:rsid w:val="008707C7"/>
    <w:rsid w:val="008707CD"/>
    <w:rsid w:val="0087697E"/>
    <w:rsid w:val="00883391"/>
    <w:rsid w:val="00891DC2"/>
    <w:rsid w:val="008A02EC"/>
    <w:rsid w:val="008A181A"/>
    <w:rsid w:val="008A1E11"/>
    <w:rsid w:val="008A2270"/>
    <w:rsid w:val="008A506E"/>
    <w:rsid w:val="008A5122"/>
    <w:rsid w:val="008A6FEA"/>
    <w:rsid w:val="008A792C"/>
    <w:rsid w:val="008B1461"/>
    <w:rsid w:val="008B2DAA"/>
    <w:rsid w:val="008B31BE"/>
    <w:rsid w:val="008B7AAF"/>
    <w:rsid w:val="008C1752"/>
    <w:rsid w:val="008D59CE"/>
    <w:rsid w:val="008E0008"/>
    <w:rsid w:val="008E066D"/>
    <w:rsid w:val="008E15EE"/>
    <w:rsid w:val="008E2C4E"/>
    <w:rsid w:val="008E33DA"/>
    <w:rsid w:val="008E4EE2"/>
    <w:rsid w:val="008F05E0"/>
    <w:rsid w:val="008F1E14"/>
    <w:rsid w:val="008F237F"/>
    <w:rsid w:val="008F3793"/>
    <w:rsid w:val="008F4514"/>
    <w:rsid w:val="008F5AF8"/>
    <w:rsid w:val="00900987"/>
    <w:rsid w:val="00902D7F"/>
    <w:rsid w:val="009034A0"/>
    <w:rsid w:val="009047E2"/>
    <w:rsid w:val="00910DBA"/>
    <w:rsid w:val="00912E39"/>
    <w:rsid w:val="009132E7"/>
    <w:rsid w:val="00914002"/>
    <w:rsid w:val="00915965"/>
    <w:rsid w:val="009169D1"/>
    <w:rsid w:val="00920A44"/>
    <w:rsid w:val="00921628"/>
    <w:rsid w:val="00924E4D"/>
    <w:rsid w:val="009252A8"/>
    <w:rsid w:val="0092784A"/>
    <w:rsid w:val="00932BB5"/>
    <w:rsid w:val="00936D76"/>
    <w:rsid w:val="00937998"/>
    <w:rsid w:val="009420A1"/>
    <w:rsid w:val="009457EA"/>
    <w:rsid w:val="009518A6"/>
    <w:rsid w:val="00955FAE"/>
    <w:rsid w:val="00957090"/>
    <w:rsid w:val="00963BC0"/>
    <w:rsid w:val="00966505"/>
    <w:rsid w:val="00971809"/>
    <w:rsid w:val="00976ADC"/>
    <w:rsid w:val="00976D60"/>
    <w:rsid w:val="00980FD1"/>
    <w:rsid w:val="00983008"/>
    <w:rsid w:val="0098398D"/>
    <w:rsid w:val="009901F9"/>
    <w:rsid w:val="009914E8"/>
    <w:rsid w:val="009A19E2"/>
    <w:rsid w:val="009A56CF"/>
    <w:rsid w:val="009A5D6B"/>
    <w:rsid w:val="009B0746"/>
    <w:rsid w:val="009B3179"/>
    <w:rsid w:val="009B7083"/>
    <w:rsid w:val="009C2075"/>
    <w:rsid w:val="009C2415"/>
    <w:rsid w:val="009C40F8"/>
    <w:rsid w:val="009C5A1C"/>
    <w:rsid w:val="009D00A1"/>
    <w:rsid w:val="009D0EC4"/>
    <w:rsid w:val="009D111F"/>
    <w:rsid w:val="009D2C79"/>
    <w:rsid w:val="009D45DD"/>
    <w:rsid w:val="009D6AE5"/>
    <w:rsid w:val="009E0FD6"/>
    <w:rsid w:val="009E18ED"/>
    <w:rsid w:val="009E7F2E"/>
    <w:rsid w:val="009F2FCE"/>
    <w:rsid w:val="009F419D"/>
    <w:rsid w:val="009F761B"/>
    <w:rsid w:val="009F7B15"/>
    <w:rsid w:val="00A00827"/>
    <w:rsid w:val="00A00AC1"/>
    <w:rsid w:val="00A0121D"/>
    <w:rsid w:val="00A01D1A"/>
    <w:rsid w:val="00A029DD"/>
    <w:rsid w:val="00A02AA2"/>
    <w:rsid w:val="00A0632B"/>
    <w:rsid w:val="00A11FBC"/>
    <w:rsid w:val="00A12AE5"/>
    <w:rsid w:val="00A202A3"/>
    <w:rsid w:val="00A2084F"/>
    <w:rsid w:val="00A23929"/>
    <w:rsid w:val="00A25F5D"/>
    <w:rsid w:val="00A266AF"/>
    <w:rsid w:val="00A27800"/>
    <w:rsid w:val="00A3071C"/>
    <w:rsid w:val="00A30F16"/>
    <w:rsid w:val="00A35894"/>
    <w:rsid w:val="00A423CF"/>
    <w:rsid w:val="00A435A9"/>
    <w:rsid w:val="00A441EC"/>
    <w:rsid w:val="00A4481E"/>
    <w:rsid w:val="00A46156"/>
    <w:rsid w:val="00A465FC"/>
    <w:rsid w:val="00A517C4"/>
    <w:rsid w:val="00A52D4E"/>
    <w:rsid w:val="00A53040"/>
    <w:rsid w:val="00A566A8"/>
    <w:rsid w:val="00A60E92"/>
    <w:rsid w:val="00A621D5"/>
    <w:rsid w:val="00A64C4B"/>
    <w:rsid w:val="00A70303"/>
    <w:rsid w:val="00A73667"/>
    <w:rsid w:val="00A765BE"/>
    <w:rsid w:val="00A8022C"/>
    <w:rsid w:val="00A817E8"/>
    <w:rsid w:val="00A82E19"/>
    <w:rsid w:val="00A83660"/>
    <w:rsid w:val="00A91238"/>
    <w:rsid w:val="00A94386"/>
    <w:rsid w:val="00AA2529"/>
    <w:rsid w:val="00AA50E4"/>
    <w:rsid w:val="00AC0D2F"/>
    <w:rsid w:val="00AC276D"/>
    <w:rsid w:val="00AC7052"/>
    <w:rsid w:val="00AC756F"/>
    <w:rsid w:val="00AD1ECF"/>
    <w:rsid w:val="00AD2426"/>
    <w:rsid w:val="00AD27C6"/>
    <w:rsid w:val="00AD282F"/>
    <w:rsid w:val="00AD33C6"/>
    <w:rsid w:val="00AD7596"/>
    <w:rsid w:val="00AD7AF3"/>
    <w:rsid w:val="00AE29F1"/>
    <w:rsid w:val="00AE3CD3"/>
    <w:rsid w:val="00AE3DA4"/>
    <w:rsid w:val="00AE4FA4"/>
    <w:rsid w:val="00AE5004"/>
    <w:rsid w:val="00AF1983"/>
    <w:rsid w:val="00AF19FA"/>
    <w:rsid w:val="00AF5125"/>
    <w:rsid w:val="00AF5C67"/>
    <w:rsid w:val="00B009DC"/>
    <w:rsid w:val="00B00CC6"/>
    <w:rsid w:val="00B076CF"/>
    <w:rsid w:val="00B10CAE"/>
    <w:rsid w:val="00B11088"/>
    <w:rsid w:val="00B11827"/>
    <w:rsid w:val="00B13ED3"/>
    <w:rsid w:val="00B22BB6"/>
    <w:rsid w:val="00B22DF6"/>
    <w:rsid w:val="00B240FC"/>
    <w:rsid w:val="00B3013C"/>
    <w:rsid w:val="00B35341"/>
    <w:rsid w:val="00B41CC1"/>
    <w:rsid w:val="00B50BDD"/>
    <w:rsid w:val="00B52D7C"/>
    <w:rsid w:val="00B53F84"/>
    <w:rsid w:val="00B56213"/>
    <w:rsid w:val="00B56FA7"/>
    <w:rsid w:val="00B5708D"/>
    <w:rsid w:val="00B57629"/>
    <w:rsid w:val="00B6479D"/>
    <w:rsid w:val="00B656B7"/>
    <w:rsid w:val="00B6593D"/>
    <w:rsid w:val="00B6732A"/>
    <w:rsid w:val="00B67AE9"/>
    <w:rsid w:val="00B67D6D"/>
    <w:rsid w:val="00B716EE"/>
    <w:rsid w:val="00B72574"/>
    <w:rsid w:val="00B74804"/>
    <w:rsid w:val="00B77194"/>
    <w:rsid w:val="00B772A5"/>
    <w:rsid w:val="00B81323"/>
    <w:rsid w:val="00B8285A"/>
    <w:rsid w:val="00B83032"/>
    <w:rsid w:val="00B841D3"/>
    <w:rsid w:val="00B87993"/>
    <w:rsid w:val="00B908AD"/>
    <w:rsid w:val="00B92B8D"/>
    <w:rsid w:val="00B95DCD"/>
    <w:rsid w:val="00B96C13"/>
    <w:rsid w:val="00B973EB"/>
    <w:rsid w:val="00B97749"/>
    <w:rsid w:val="00BA0331"/>
    <w:rsid w:val="00BA4502"/>
    <w:rsid w:val="00BA7EC7"/>
    <w:rsid w:val="00BB4341"/>
    <w:rsid w:val="00BB7966"/>
    <w:rsid w:val="00BD25B7"/>
    <w:rsid w:val="00BD280F"/>
    <w:rsid w:val="00BD36C2"/>
    <w:rsid w:val="00BD3E50"/>
    <w:rsid w:val="00BD778F"/>
    <w:rsid w:val="00BE0366"/>
    <w:rsid w:val="00BE045C"/>
    <w:rsid w:val="00BE229F"/>
    <w:rsid w:val="00BE3B53"/>
    <w:rsid w:val="00BE3B7F"/>
    <w:rsid w:val="00BE61CE"/>
    <w:rsid w:val="00BF00A6"/>
    <w:rsid w:val="00BF030A"/>
    <w:rsid w:val="00BF0BE5"/>
    <w:rsid w:val="00BF13C6"/>
    <w:rsid w:val="00BF2E2F"/>
    <w:rsid w:val="00BF6DDA"/>
    <w:rsid w:val="00BF768A"/>
    <w:rsid w:val="00C01552"/>
    <w:rsid w:val="00C01A2B"/>
    <w:rsid w:val="00C03B05"/>
    <w:rsid w:val="00C03B97"/>
    <w:rsid w:val="00C04A08"/>
    <w:rsid w:val="00C1269A"/>
    <w:rsid w:val="00C31084"/>
    <w:rsid w:val="00C34662"/>
    <w:rsid w:val="00C447EA"/>
    <w:rsid w:val="00C45359"/>
    <w:rsid w:val="00C462E1"/>
    <w:rsid w:val="00C47588"/>
    <w:rsid w:val="00C5010A"/>
    <w:rsid w:val="00C52EFE"/>
    <w:rsid w:val="00C644BE"/>
    <w:rsid w:val="00C721C1"/>
    <w:rsid w:val="00C7249F"/>
    <w:rsid w:val="00C72F29"/>
    <w:rsid w:val="00C7346F"/>
    <w:rsid w:val="00C7515D"/>
    <w:rsid w:val="00C757EB"/>
    <w:rsid w:val="00C809D2"/>
    <w:rsid w:val="00C81D71"/>
    <w:rsid w:val="00C838E7"/>
    <w:rsid w:val="00C86147"/>
    <w:rsid w:val="00C86A46"/>
    <w:rsid w:val="00C86E68"/>
    <w:rsid w:val="00C92B10"/>
    <w:rsid w:val="00CA2576"/>
    <w:rsid w:val="00CA2617"/>
    <w:rsid w:val="00CA77E6"/>
    <w:rsid w:val="00CB0390"/>
    <w:rsid w:val="00CB46E9"/>
    <w:rsid w:val="00CB51B0"/>
    <w:rsid w:val="00CB724D"/>
    <w:rsid w:val="00CB7907"/>
    <w:rsid w:val="00CC3D22"/>
    <w:rsid w:val="00CC5C90"/>
    <w:rsid w:val="00CC7F6C"/>
    <w:rsid w:val="00CD2B55"/>
    <w:rsid w:val="00CD5F67"/>
    <w:rsid w:val="00CE64D6"/>
    <w:rsid w:val="00CE68AD"/>
    <w:rsid w:val="00CF05A3"/>
    <w:rsid w:val="00CF3FE7"/>
    <w:rsid w:val="00CF4F7D"/>
    <w:rsid w:val="00CF57D5"/>
    <w:rsid w:val="00D07533"/>
    <w:rsid w:val="00D1085D"/>
    <w:rsid w:val="00D129D1"/>
    <w:rsid w:val="00D212AF"/>
    <w:rsid w:val="00D24A2E"/>
    <w:rsid w:val="00D256CB"/>
    <w:rsid w:val="00D259FC"/>
    <w:rsid w:val="00D26F0E"/>
    <w:rsid w:val="00D3104D"/>
    <w:rsid w:val="00D31D7A"/>
    <w:rsid w:val="00D3253E"/>
    <w:rsid w:val="00D34465"/>
    <w:rsid w:val="00D413F7"/>
    <w:rsid w:val="00D4300E"/>
    <w:rsid w:val="00D43F3A"/>
    <w:rsid w:val="00D46A3A"/>
    <w:rsid w:val="00D517BE"/>
    <w:rsid w:val="00D52B4E"/>
    <w:rsid w:val="00D556C5"/>
    <w:rsid w:val="00D55880"/>
    <w:rsid w:val="00D57697"/>
    <w:rsid w:val="00D6077A"/>
    <w:rsid w:val="00D609AE"/>
    <w:rsid w:val="00D611E8"/>
    <w:rsid w:val="00D61692"/>
    <w:rsid w:val="00D66621"/>
    <w:rsid w:val="00D7355B"/>
    <w:rsid w:val="00D74692"/>
    <w:rsid w:val="00D76C6E"/>
    <w:rsid w:val="00D80B6F"/>
    <w:rsid w:val="00D8136B"/>
    <w:rsid w:val="00D849A9"/>
    <w:rsid w:val="00D90ED5"/>
    <w:rsid w:val="00D910EB"/>
    <w:rsid w:val="00D91723"/>
    <w:rsid w:val="00D9616F"/>
    <w:rsid w:val="00D9784A"/>
    <w:rsid w:val="00D97951"/>
    <w:rsid w:val="00DA3954"/>
    <w:rsid w:val="00DA3E6B"/>
    <w:rsid w:val="00DA4696"/>
    <w:rsid w:val="00DA5383"/>
    <w:rsid w:val="00DB3392"/>
    <w:rsid w:val="00DB3DD8"/>
    <w:rsid w:val="00DB5AD5"/>
    <w:rsid w:val="00DB70E1"/>
    <w:rsid w:val="00DC0DC3"/>
    <w:rsid w:val="00DC373F"/>
    <w:rsid w:val="00DC4EF9"/>
    <w:rsid w:val="00DD3511"/>
    <w:rsid w:val="00DD463E"/>
    <w:rsid w:val="00DD7DFF"/>
    <w:rsid w:val="00DE1172"/>
    <w:rsid w:val="00DE19B4"/>
    <w:rsid w:val="00DE2AA9"/>
    <w:rsid w:val="00DE4E24"/>
    <w:rsid w:val="00DF1E3A"/>
    <w:rsid w:val="00DF755C"/>
    <w:rsid w:val="00E00436"/>
    <w:rsid w:val="00E0630D"/>
    <w:rsid w:val="00E13701"/>
    <w:rsid w:val="00E14A08"/>
    <w:rsid w:val="00E15A1D"/>
    <w:rsid w:val="00E16E3B"/>
    <w:rsid w:val="00E2071D"/>
    <w:rsid w:val="00E214F1"/>
    <w:rsid w:val="00E21F7A"/>
    <w:rsid w:val="00E25C88"/>
    <w:rsid w:val="00E26F75"/>
    <w:rsid w:val="00E27CAC"/>
    <w:rsid w:val="00E35BD2"/>
    <w:rsid w:val="00E37A6F"/>
    <w:rsid w:val="00E41AEA"/>
    <w:rsid w:val="00E437DF"/>
    <w:rsid w:val="00E44667"/>
    <w:rsid w:val="00E55112"/>
    <w:rsid w:val="00E61623"/>
    <w:rsid w:val="00E645DD"/>
    <w:rsid w:val="00E64629"/>
    <w:rsid w:val="00E65997"/>
    <w:rsid w:val="00E71319"/>
    <w:rsid w:val="00E81B5E"/>
    <w:rsid w:val="00E83A96"/>
    <w:rsid w:val="00E84902"/>
    <w:rsid w:val="00E865B1"/>
    <w:rsid w:val="00E90868"/>
    <w:rsid w:val="00E91EDB"/>
    <w:rsid w:val="00E924A9"/>
    <w:rsid w:val="00E94E26"/>
    <w:rsid w:val="00E960FB"/>
    <w:rsid w:val="00E96B44"/>
    <w:rsid w:val="00E96B7F"/>
    <w:rsid w:val="00EA13AE"/>
    <w:rsid w:val="00EA2E4A"/>
    <w:rsid w:val="00EA3FC0"/>
    <w:rsid w:val="00EB240D"/>
    <w:rsid w:val="00EB5AF4"/>
    <w:rsid w:val="00EB63BA"/>
    <w:rsid w:val="00EB6BC7"/>
    <w:rsid w:val="00EB7C3E"/>
    <w:rsid w:val="00EC15FC"/>
    <w:rsid w:val="00EC1E80"/>
    <w:rsid w:val="00EC61DA"/>
    <w:rsid w:val="00EC749A"/>
    <w:rsid w:val="00ED08A0"/>
    <w:rsid w:val="00ED1254"/>
    <w:rsid w:val="00ED3BC7"/>
    <w:rsid w:val="00ED3C55"/>
    <w:rsid w:val="00ED6149"/>
    <w:rsid w:val="00ED7508"/>
    <w:rsid w:val="00EE3E75"/>
    <w:rsid w:val="00EE4661"/>
    <w:rsid w:val="00EE5921"/>
    <w:rsid w:val="00EE7852"/>
    <w:rsid w:val="00EF2305"/>
    <w:rsid w:val="00EF2949"/>
    <w:rsid w:val="00EF4D6A"/>
    <w:rsid w:val="00EF5A38"/>
    <w:rsid w:val="00F03028"/>
    <w:rsid w:val="00F11DF8"/>
    <w:rsid w:val="00F13CA1"/>
    <w:rsid w:val="00F16B3B"/>
    <w:rsid w:val="00F2033E"/>
    <w:rsid w:val="00F206BB"/>
    <w:rsid w:val="00F234E9"/>
    <w:rsid w:val="00F244E9"/>
    <w:rsid w:val="00F3125F"/>
    <w:rsid w:val="00F32F76"/>
    <w:rsid w:val="00F34585"/>
    <w:rsid w:val="00F348C7"/>
    <w:rsid w:val="00F400C3"/>
    <w:rsid w:val="00F438AB"/>
    <w:rsid w:val="00F4659A"/>
    <w:rsid w:val="00F50FA5"/>
    <w:rsid w:val="00F521BF"/>
    <w:rsid w:val="00F5237C"/>
    <w:rsid w:val="00F6496B"/>
    <w:rsid w:val="00F665DA"/>
    <w:rsid w:val="00F670E2"/>
    <w:rsid w:val="00F74587"/>
    <w:rsid w:val="00F746A8"/>
    <w:rsid w:val="00F7562A"/>
    <w:rsid w:val="00F76275"/>
    <w:rsid w:val="00F80A3D"/>
    <w:rsid w:val="00F80B1B"/>
    <w:rsid w:val="00F9186D"/>
    <w:rsid w:val="00F927E1"/>
    <w:rsid w:val="00F9317A"/>
    <w:rsid w:val="00FA63A7"/>
    <w:rsid w:val="00FB3C2F"/>
    <w:rsid w:val="00FB4989"/>
    <w:rsid w:val="00FB6EC9"/>
    <w:rsid w:val="00FC047C"/>
    <w:rsid w:val="00FC0BD5"/>
    <w:rsid w:val="00FC2704"/>
    <w:rsid w:val="00FC2C08"/>
    <w:rsid w:val="00FC2DB4"/>
    <w:rsid w:val="00FC56C3"/>
    <w:rsid w:val="00FC6949"/>
    <w:rsid w:val="00FD05A8"/>
    <w:rsid w:val="00FD5B8D"/>
    <w:rsid w:val="00FD5E61"/>
    <w:rsid w:val="00FD5F5A"/>
    <w:rsid w:val="00FD7A0C"/>
    <w:rsid w:val="00FE029A"/>
    <w:rsid w:val="00FE3371"/>
    <w:rsid w:val="00FE39E0"/>
    <w:rsid w:val="00FF38B6"/>
    <w:rsid w:val="00FF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847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BB6"/>
  </w:style>
  <w:style w:type="paragraph" w:styleId="Heading1">
    <w:name w:val="heading 1"/>
    <w:basedOn w:val="Normal"/>
    <w:next w:val="BodyText"/>
    <w:link w:val="Heading1Char"/>
    <w:qFormat/>
    <w:rsid w:val="00346E6A"/>
    <w:pPr>
      <w:keepNext/>
      <w:numPr>
        <w:numId w:val="2"/>
      </w:numPr>
      <w:outlineLvl w:val="0"/>
    </w:pPr>
    <w:rPr>
      <w:rFonts w:eastAsiaTheme="majorEastAsia"/>
      <w:b/>
      <w:caps/>
      <w:szCs w:val="28"/>
    </w:rPr>
  </w:style>
  <w:style w:type="paragraph" w:styleId="Heading2">
    <w:name w:val="heading 2"/>
    <w:basedOn w:val="Normal"/>
    <w:next w:val="BodyText"/>
    <w:link w:val="Heading2Char"/>
    <w:unhideWhenUsed/>
    <w:qFormat/>
    <w:rsid w:val="00346E6A"/>
    <w:pPr>
      <w:numPr>
        <w:ilvl w:val="1"/>
        <w:numId w:val="2"/>
      </w:numPr>
      <w:spacing w:after="0" w:line="480" w:lineRule="auto"/>
      <w:outlineLvl w:val="1"/>
    </w:pPr>
    <w:rPr>
      <w:rFonts w:eastAsiaTheme="majorEastAsia"/>
      <w:bCs/>
      <w:szCs w:val="26"/>
    </w:rPr>
  </w:style>
  <w:style w:type="paragraph" w:styleId="Heading3">
    <w:name w:val="heading 3"/>
    <w:basedOn w:val="Normal"/>
    <w:next w:val="BodyText"/>
    <w:link w:val="Heading3Char"/>
    <w:unhideWhenUsed/>
    <w:qFormat/>
    <w:rsid w:val="00346E6A"/>
    <w:pPr>
      <w:keepNext/>
      <w:numPr>
        <w:ilvl w:val="2"/>
        <w:numId w:val="3"/>
      </w:numPr>
      <w:outlineLvl w:val="2"/>
    </w:pPr>
    <w:rPr>
      <w:rFonts w:eastAsiaTheme="majorEastAsia"/>
      <w:b/>
      <w:bCs/>
      <w:caps/>
      <w:u w:val="single"/>
    </w:rPr>
  </w:style>
  <w:style w:type="paragraph" w:styleId="Heading4">
    <w:name w:val="heading 4"/>
    <w:basedOn w:val="Normal"/>
    <w:next w:val="BodyText"/>
    <w:link w:val="Heading4Char"/>
    <w:unhideWhenUsed/>
    <w:qFormat/>
    <w:rsid w:val="00346E6A"/>
    <w:pPr>
      <w:keepNext/>
      <w:numPr>
        <w:ilvl w:val="3"/>
        <w:numId w:val="2"/>
      </w:numPr>
      <w:outlineLvl w:val="3"/>
    </w:pPr>
    <w:rPr>
      <w:rFonts w:eastAsiaTheme="majorEastAsia"/>
      <w:b/>
      <w:bCs/>
      <w:i/>
      <w:iCs/>
      <w:u w:val="single"/>
    </w:rPr>
  </w:style>
  <w:style w:type="paragraph" w:styleId="Heading6">
    <w:name w:val="heading 6"/>
    <w:basedOn w:val="Normal"/>
    <w:next w:val="BodyText"/>
    <w:link w:val="Heading6Char"/>
    <w:unhideWhenUsed/>
    <w:qFormat/>
    <w:rsid w:val="00346E6A"/>
    <w:pPr>
      <w:numPr>
        <w:ilvl w:val="5"/>
        <w:numId w:val="2"/>
      </w:numPr>
      <w:outlineLvl w:val="5"/>
    </w:pPr>
    <w:rPr>
      <w:rFonts w:eastAsiaTheme="majorEastAsia"/>
      <w:iCs/>
    </w:rPr>
  </w:style>
  <w:style w:type="paragraph" w:styleId="Heading7">
    <w:name w:val="heading 7"/>
    <w:basedOn w:val="Normal"/>
    <w:next w:val="BodyText"/>
    <w:link w:val="Heading7Char"/>
    <w:unhideWhenUsed/>
    <w:qFormat/>
    <w:rsid w:val="00346E6A"/>
    <w:pPr>
      <w:numPr>
        <w:ilvl w:val="6"/>
        <w:numId w:val="2"/>
      </w:numPr>
      <w:outlineLvl w:val="6"/>
    </w:pPr>
    <w:rPr>
      <w:rFonts w:eastAsiaTheme="majorEastAsia"/>
      <w:iCs/>
    </w:rPr>
  </w:style>
  <w:style w:type="paragraph" w:styleId="Heading8">
    <w:name w:val="heading 8"/>
    <w:basedOn w:val="Normal"/>
    <w:next w:val="BodyText"/>
    <w:link w:val="Heading8Char"/>
    <w:unhideWhenUsed/>
    <w:qFormat/>
    <w:rsid w:val="00346E6A"/>
    <w:pPr>
      <w:numPr>
        <w:ilvl w:val="7"/>
        <w:numId w:val="2"/>
      </w:numPr>
      <w:outlineLvl w:val="7"/>
    </w:pPr>
    <w:rPr>
      <w:rFonts w:eastAsiaTheme="majorEastAsia"/>
      <w:szCs w:val="20"/>
    </w:rPr>
  </w:style>
  <w:style w:type="paragraph" w:styleId="Heading9">
    <w:name w:val="heading 9"/>
    <w:basedOn w:val="Normal"/>
    <w:next w:val="BodyText"/>
    <w:link w:val="Heading9Char"/>
    <w:unhideWhenUsed/>
    <w:qFormat/>
    <w:rsid w:val="00346E6A"/>
    <w:pPr>
      <w:numPr>
        <w:ilvl w:val="8"/>
        <w:numId w:val="2"/>
      </w:numPr>
      <w:outlineLvl w:val="8"/>
    </w:pPr>
    <w:rPr>
      <w:rFonts w:eastAsiaTheme="majorEastAsia"/>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E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46E6A"/>
    <w:pPr>
      <w:spacing w:after="0"/>
    </w:pPr>
    <w:rPr>
      <w:rFonts w:ascii="Calisto MT" w:eastAsia="Times New Roman" w:hAnsi="Calisto MT"/>
      <w:sz w:val="26"/>
      <w:szCs w:val="26"/>
    </w:rPr>
  </w:style>
  <w:style w:type="character" w:customStyle="1" w:styleId="FooterChar">
    <w:name w:val="Footer Char"/>
    <w:basedOn w:val="DefaultParagraphFont"/>
    <w:link w:val="Footer"/>
    <w:uiPriority w:val="99"/>
    <w:rsid w:val="00346E6A"/>
    <w:rPr>
      <w:rFonts w:ascii="Calisto MT" w:eastAsia="Times New Roman" w:hAnsi="Calisto MT"/>
      <w:sz w:val="26"/>
      <w:szCs w:val="26"/>
    </w:rPr>
  </w:style>
  <w:style w:type="character" w:styleId="PageNumber">
    <w:name w:val="page number"/>
    <w:basedOn w:val="DefaultParagraphFont"/>
    <w:rsid w:val="00346E6A"/>
  </w:style>
  <w:style w:type="character" w:customStyle="1" w:styleId="Heading1Char">
    <w:name w:val="Heading 1 Char"/>
    <w:basedOn w:val="DefaultParagraphFont"/>
    <w:link w:val="Heading1"/>
    <w:rsid w:val="00346E6A"/>
    <w:rPr>
      <w:rFonts w:eastAsiaTheme="majorEastAsia"/>
      <w:b/>
      <w:caps/>
      <w:szCs w:val="28"/>
    </w:rPr>
  </w:style>
  <w:style w:type="character" w:customStyle="1" w:styleId="Heading2Char">
    <w:name w:val="Heading 2 Char"/>
    <w:basedOn w:val="DefaultParagraphFont"/>
    <w:link w:val="Heading2"/>
    <w:rsid w:val="00346E6A"/>
    <w:rPr>
      <w:rFonts w:eastAsiaTheme="majorEastAsia"/>
      <w:bCs/>
      <w:szCs w:val="26"/>
    </w:rPr>
  </w:style>
  <w:style w:type="character" w:customStyle="1" w:styleId="Heading3Char">
    <w:name w:val="Heading 3 Char"/>
    <w:basedOn w:val="DefaultParagraphFont"/>
    <w:link w:val="Heading3"/>
    <w:rsid w:val="00346E6A"/>
    <w:rPr>
      <w:rFonts w:eastAsiaTheme="majorEastAsia"/>
      <w:b/>
      <w:bCs/>
      <w:caps/>
      <w:u w:val="single"/>
    </w:rPr>
  </w:style>
  <w:style w:type="character" w:customStyle="1" w:styleId="Heading4Char">
    <w:name w:val="Heading 4 Char"/>
    <w:basedOn w:val="DefaultParagraphFont"/>
    <w:link w:val="Heading4"/>
    <w:rsid w:val="00346E6A"/>
    <w:rPr>
      <w:rFonts w:eastAsiaTheme="majorEastAsia"/>
      <w:b/>
      <w:bCs/>
      <w:i/>
      <w:iCs/>
      <w:u w:val="single"/>
    </w:rPr>
  </w:style>
  <w:style w:type="character" w:customStyle="1" w:styleId="Heading6Char">
    <w:name w:val="Heading 6 Char"/>
    <w:basedOn w:val="DefaultParagraphFont"/>
    <w:link w:val="Heading6"/>
    <w:rsid w:val="00346E6A"/>
    <w:rPr>
      <w:rFonts w:eastAsiaTheme="majorEastAsia"/>
      <w:iCs/>
    </w:rPr>
  </w:style>
  <w:style w:type="character" w:customStyle="1" w:styleId="Heading7Char">
    <w:name w:val="Heading 7 Char"/>
    <w:basedOn w:val="DefaultParagraphFont"/>
    <w:link w:val="Heading7"/>
    <w:rsid w:val="00346E6A"/>
    <w:rPr>
      <w:rFonts w:eastAsiaTheme="majorEastAsia"/>
      <w:iCs/>
    </w:rPr>
  </w:style>
  <w:style w:type="character" w:customStyle="1" w:styleId="Heading8Char">
    <w:name w:val="Heading 8 Char"/>
    <w:basedOn w:val="DefaultParagraphFont"/>
    <w:link w:val="Heading8"/>
    <w:rsid w:val="00346E6A"/>
    <w:rPr>
      <w:rFonts w:eastAsiaTheme="majorEastAsia"/>
      <w:szCs w:val="20"/>
    </w:rPr>
  </w:style>
  <w:style w:type="character" w:customStyle="1" w:styleId="Heading9Char">
    <w:name w:val="Heading 9 Char"/>
    <w:basedOn w:val="DefaultParagraphFont"/>
    <w:link w:val="Heading9"/>
    <w:rsid w:val="00346E6A"/>
    <w:rPr>
      <w:rFonts w:eastAsiaTheme="majorEastAsia"/>
      <w:iCs/>
      <w:szCs w:val="20"/>
    </w:rPr>
  </w:style>
  <w:style w:type="paragraph" w:styleId="FootnoteText">
    <w:name w:val="footnote text"/>
    <w:basedOn w:val="Normal"/>
    <w:link w:val="FootnoteTextChar"/>
    <w:uiPriority w:val="99"/>
    <w:semiHidden/>
    <w:unhideWhenUsed/>
    <w:rsid w:val="00346E6A"/>
    <w:pPr>
      <w:spacing w:after="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46E6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346E6A"/>
    <w:rPr>
      <w:vertAlign w:val="superscript"/>
    </w:rPr>
  </w:style>
  <w:style w:type="paragraph" w:styleId="ListParagraph">
    <w:name w:val="List Paragraph"/>
    <w:basedOn w:val="Normal"/>
    <w:uiPriority w:val="34"/>
    <w:qFormat/>
    <w:rsid w:val="00346E6A"/>
    <w:pPr>
      <w:spacing w:after="200" w:line="276" w:lineRule="auto"/>
      <w:ind w:left="720"/>
      <w:contextualSpacing/>
    </w:pPr>
    <w:rPr>
      <w:rFonts w:asciiTheme="minorHAnsi" w:hAnsiTheme="minorHAnsi" w:cstheme="minorBidi"/>
      <w:sz w:val="22"/>
      <w:szCs w:val="22"/>
    </w:rPr>
  </w:style>
  <w:style w:type="paragraph" w:styleId="BodyText">
    <w:name w:val="Body Text"/>
    <w:basedOn w:val="Normal"/>
    <w:link w:val="BodyTextChar"/>
    <w:uiPriority w:val="99"/>
    <w:unhideWhenUsed/>
    <w:rsid w:val="00346E6A"/>
    <w:pPr>
      <w:spacing w:after="120" w:line="259" w:lineRule="auto"/>
    </w:pPr>
    <w:rPr>
      <w:rFonts w:asciiTheme="minorHAnsi" w:hAnsiTheme="minorHAnsi" w:cstheme="minorBidi"/>
      <w:sz w:val="22"/>
      <w:szCs w:val="22"/>
    </w:rPr>
  </w:style>
  <w:style w:type="character" w:customStyle="1" w:styleId="BodyTextChar">
    <w:name w:val="Body Text Char"/>
    <w:basedOn w:val="DefaultParagraphFont"/>
    <w:link w:val="BodyText"/>
    <w:uiPriority w:val="99"/>
    <w:rsid w:val="00346E6A"/>
    <w:rPr>
      <w:rFonts w:asciiTheme="minorHAnsi" w:hAnsiTheme="minorHAnsi" w:cstheme="minorBidi"/>
      <w:sz w:val="22"/>
      <w:szCs w:val="22"/>
    </w:rPr>
  </w:style>
  <w:style w:type="character" w:styleId="LineNumber">
    <w:name w:val="line number"/>
    <w:basedOn w:val="DefaultParagraphFont"/>
    <w:uiPriority w:val="99"/>
    <w:semiHidden/>
    <w:unhideWhenUsed/>
    <w:rsid w:val="00346E6A"/>
  </w:style>
  <w:style w:type="paragraph" w:styleId="BalloonText">
    <w:name w:val="Balloon Text"/>
    <w:basedOn w:val="Normal"/>
    <w:link w:val="BalloonTextChar"/>
    <w:uiPriority w:val="99"/>
    <w:semiHidden/>
    <w:unhideWhenUsed/>
    <w:rsid w:val="00346E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E6A"/>
    <w:rPr>
      <w:rFonts w:ascii="Tahoma" w:hAnsi="Tahoma" w:cs="Tahoma"/>
      <w:sz w:val="16"/>
      <w:szCs w:val="16"/>
    </w:rPr>
  </w:style>
  <w:style w:type="character" w:styleId="Hyperlink">
    <w:name w:val="Hyperlink"/>
    <w:basedOn w:val="DefaultParagraphFont"/>
    <w:uiPriority w:val="99"/>
    <w:unhideWhenUsed/>
    <w:rsid w:val="00346E6A"/>
    <w:rPr>
      <w:color w:val="0000FF" w:themeColor="hyperlink"/>
      <w:u w:val="single"/>
    </w:rPr>
  </w:style>
  <w:style w:type="paragraph" w:styleId="Header">
    <w:name w:val="header"/>
    <w:basedOn w:val="Normal"/>
    <w:link w:val="HeaderChar"/>
    <w:uiPriority w:val="99"/>
    <w:unhideWhenUsed/>
    <w:rsid w:val="00346E6A"/>
    <w:pPr>
      <w:tabs>
        <w:tab w:val="center" w:pos="4680"/>
        <w:tab w:val="right" w:pos="9360"/>
      </w:tabs>
      <w:spacing w:after="0"/>
    </w:pPr>
  </w:style>
  <w:style w:type="character" w:customStyle="1" w:styleId="HeaderChar">
    <w:name w:val="Header Char"/>
    <w:basedOn w:val="DefaultParagraphFont"/>
    <w:link w:val="Header"/>
    <w:uiPriority w:val="99"/>
    <w:rsid w:val="00346E6A"/>
  </w:style>
  <w:style w:type="character" w:styleId="CommentReference">
    <w:name w:val="annotation reference"/>
    <w:basedOn w:val="DefaultParagraphFont"/>
    <w:uiPriority w:val="99"/>
    <w:semiHidden/>
    <w:unhideWhenUsed/>
    <w:rsid w:val="005C6175"/>
    <w:rPr>
      <w:sz w:val="16"/>
      <w:szCs w:val="16"/>
    </w:rPr>
  </w:style>
  <w:style w:type="paragraph" w:styleId="CommentText">
    <w:name w:val="annotation text"/>
    <w:basedOn w:val="Normal"/>
    <w:link w:val="CommentTextChar"/>
    <w:uiPriority w:val="99"/>
    <w:semiHidden/>
    <w:unhideWhenUsed/>
    <w:rsid w:val="005C6175"/>
    <w:rPr>
      <w:sz w:val="20"/>
      <w:szCs w:val="20"/>
    </w:rPr>
  </w:style>
  <w:style w:type="character" w:customStyle="1" w:styleId="CommentTextChar">
    <w:name w:val="Comment Text Char"/>
    <w:basedOn w:val="DefaultParagraphFont"/>
    <w:link w:val="CommentText"/>
    <w:uiPriority w:val="99"/>
    <w:semiHidden/>
    <w:rsid w:val="005C6175"/>
    <w:rPr>
      <w:sz w:val="20"/>
      <w:szCs w:val="20"/>
    </w:rPr>
  </w:style>
  <w:style w:type="paragraph" w:styleId="CommentSubject">
    <w:name w:val="annotation subject"/>
    <w:basedOn w:val="CommentText"/>
    <w:next w:val="CommentText"/>
    <w:link w:val="CommentSubjectChar"/>
    <w:uiPriority w:val="99"/>
    <w:semiHidden/>
    <w:unhideWhenUsed/>
    <w:rsid w:val="005C6175"/>
    <w:rPr>
      <w:b/>
      <w:bCs/>
    </w:rPr>
  </w:style>
  <w:style w:type="character" w:customStyle="1" w:styleId="CommentSubjectChar">
    <w:name w:val="Comment Subject Char"/>
    <w:basedOn w:val="CommentTextChar"/>
    <w:link w:val="CommentSubject"/>
    <w:uiPriority w:val="99"/>
    <w:semiHidden/>
    <w:rsid w:val="005C6175"/>
    <w:rPr>
      <w:b/>
      <w:bCs/>
      <w:sz w:val="20"/>
      <w:szCs w:val="20"/>
    </w:rPr>
  </w:style>
  <w:style w:type="paragraph" w:styleId="NormalWeb">
    <w:name w:val="Normal (Web)"/>
    <w:basedOn w:val="Normal"/>
    <w:uiPriority w:val="99"/>
    <w:semiHidden/>
    <w:unhideWhenUsed/>
    <w:rsid w:val="00412B52"/>
  </w:style>
  <w:style w:type="character" w:customStyle="1" w:styleId="CaptionText">
    <w:name w:val="Caption Text"/>
    <w:basedOn w:val="DefaultParagraphFont"/>
    <w:rsid w:val="00475617"/>
  </w:style>
  <w:style w:type="paragraph" w:styleId="EndnoteText">
    <w:name w:val="endnote text"/>
    <w:basedOn w:val="Normal"/>
    <w:link w:val="EndnoteTextChar"/>
    <w:uiPriority w:val="99"/>
    <w:unhideWhenUsed/>
    <w:rsid w:val="00EC1E80"/>
    <w:pPr>
      <w:spacing w:after="0"/>
    </w:pPr>
    <w:rPr>
      <w:sz w:val="20"/>
      <w:szCs w:val="20"/>
    </w:rPr>
  </w:style>
  <w:style w:type="character" w:customStyle="1" w:styleId="EndnoteTextChar">
    <w:name w:val="Endnote Text Char"/>
    <w:basedOn w:val="DefaultParagraphFont"/>
    <w:link w:val="EndnoteText"/>
    <w:uiPriority w:val="99"/>
    <w:rsid w:val="00EC1E80"/>
    <w:rPr>
      <w:sz w:val="20"/>
      <w:szCs w:val="20"/>
    </w:rPr>
  </w:style>
  <w:style w:type="character" w:styleId="EndnoteReference">
    <w:name w:val="endnote reference"/>
    <w:basedOn w:val="DefaultParagraphFont"/>
    <w:uiPriority w:val="99"/>
    <w:semiHidden/>
    <w:unhideWhenUsed/>
    <w:rsid w:val="00EC1E80"/>
    <w:rPr>
      <w:vertAlign w:val="superscript"/>
    </w:rPr>
  </w:style>
  <w:style w:type="table" w:customStyle="1" w:styleId="TableGrid2">
    <w:name w:val="Table Grid2"/>
    <w:basedOn w:val="TableNormal"/>
    <w:next w:val="TableGrid"/>
    <w:uiPriority w:val="59"/>
    <w:rsid w:val="00D9616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4207">
      <w:bodyDiv w:val="1"/>
      <w:marLeft w:val="0"/>
      <w:marRight w:val="0"/>
      <w:marTop w:val="0"/>
      <w:marBottom w:val="0"/>
      <w:divBdr>
        <w:top w:val="none" w:sz="0" w:space="0" w:color="auto"/>
        <w:left w:val="none" w:sz="0" w:space="0" w:color="auto"/>
        <w:bottom w:val="none" w:sz="0" w:space="0" w:color="auto"/>
        <w:right w:val="none" w:sz="0" w:space="0" w:color="auto"/>
      </w:divBdr>
    </w:div>
    <w:div w:id="148448225">
      <w:bodyDiv w:val="1"/>
      <w:marLeft w:val="0"/>
      <w:marRight w:val="0"/>
      <w:marTop w:val="0"/>
      <w:marBottom w:val="0"/>
      <w:divBdr>
        <w:top w:val="none" w:sz="0" w:space="0" w:color="auto"/>
        <w:left w:val="none" w:sz="0" w:space="0" w:color="auto"/>
        <w:bottom w:val="none" w:sz="0" w:space="0" w:color="auto"/>
        <w:right w:val="none" w:sz="0" w:space="0" w:color="auto"/>
      </w:divBdr>
    </w:div>
    <w:div w:id="156114385">
      <w:bodyDiv w:val="1"/>
      <w:marLeft w:val="0"/>
      <w:marRight w:val="0"/>
      <w:marTop w:val="0"/>
      <w:marBottom w:val="0"/>
      <w:divBdr>
        <w:top w:val="none" w:sz="0" w:space="0" w:color="auto"/>
        <w:left w:val="none" w:sz="0" w:space="0" w:color="auto"/>
        <w:bottom w:val="none" w:sz="0" w:space="0" w:color="auto"/>
        <w:right w:val="none" w:sz="0" w:space="0" w:color="auto"/>
      </w:divBdr>
    </w:div>
    <w:div w:id="189493926">
      <w:bodyDiv w:val="1"/>
      <w:marLeft w:val="0"/>
      <w:marRight w:val="0"/>
      <w:marTop w:val="0"/>
      <w:marBottom w:val="0"/>
      <w:divBdr>
        <w:top w:val="none" w:sz="0" w:space="0" w:color="auto"/>
        <w:left w:val="none" w:sz="0" w:space="0" w:color="auto"/>
        <w:bottom w:val="none" w:sz="0" w:space="0" w:color="auto"/>
        <w:right w:val="none" w:sz="0" w:space="0" w:color="auto"/>
      </w:divBdr>
    </w:div>
    <w:div w:id="243757786">
      <w:bodyDiv w:val="1"/>
      <w:marLeft w:val="0"/>
      <w:marRight w:val="0"/>
      <w:marTop w:val="0"/>
      <w:marBottom w:val="0"/>
      <w:divBdr>
        <w:top w:val="none" w:sz="0" w:space="0" w:color="auto"/>
        <w:left w:val="none" w:sz="0" w:space="0" w:color="auto"/>
        <w:bottom w:val="none" w:sz="0" w:space="0" w:color="auto"/>
        <w:right w:val="none" w:sz="0" w:space="0" w:color="auto"/>
      </w:divBdr>
    </w:div>
    <w:div w:id="525872972">
      <w:bodyDiv w:val="1"/>
      <w:marLeft w:val="0"/>
      <w:marRight w:val="0"/>
      <w:marTop w:val="0"/>
      <w:marBottom w:val="0"/>
      <w:divBdr>
        <w:top w:val="none" w:sz="0" w:space="0" w:color="auto"/>
        <w:left w:val="none" w:sz="0" w:space="0" w:color="auto"/>
        <w:bottom w:val="none" w:sz="0" w:space="0" w:color="auto"/>
        <w:right w:val="none" w:sz="0" w:space="0" w:color="auto"/>
      </w:divBdr>
    </w:div>
    <w:div w:id="599144234">
      <w:bodyDiv w:val="1"/>
      <w:marLeft w:val="0"/>
      <w:marRight w:val="0"/>
      <w:marTop w:val="0"/>
      <w:marBottom w:val="0"/>
      <w:divBdr>
        <w:top w:val="none" w:sz="0" w:space="0" w:color="auto"/>
        <w:left w:val="none" w:sz="0" w:space="0" w:color="auto"/>
        <w:bottom w:val="none" w:sz="0" w:space="0" w:color="auto"/>
        <w:right w:val="none" w:sz="0" w:space="0" w:color="auto"/>
      </w:divBdr>
    </w:div>
    <w:div w:id="618529738">
      <w:bodyDiv w:val="1"/>
      <w:marLeft w:val="0"/>
      <w:marRight w:val="0"/>
      <w:marTop w:val="0"/>
      <w:marBottom w:val="0"/>
      <w:divBdr>
        <w:top w:val="none" w:sz="0" w:space="0" w:color="auto"/>
        <w:left w:val="none" w:sz="0" w:space="0" w:color="auto"/>
        <w:bottom w:val="none" w:sz="0" w:space="0" w:color="auto"/>
        <w:right w:val="none" w:sz="0" w:space="0" w:color="auto"/>
      </w:divBdr>
    </w:div>
    <w:div w:id="1129980527">
      <w:bodyDiv w:val="1"/>
      <w:marLeft w:val="0"/>
      <w:marRight w:val="0"/>
      <w:marTop w:val="0"/>
      <w:marBottom w:val="0"/>
      <w:divBdr>
        <w:top w:val="none" w:sz="0" w:space="0" w:color="auto"/>
        <w:left w:val="none" w:sz="0" w:space="0" w:color="auto"/>
        <w:bottom w:val="none" w:sz="0" w:space="0" w:color="auto"/>
        <w:right w:val="none" w:sz="0" w:space="0" w:color="auto"/>
      </w:divBdr>
    </w:div>
    <w:div w:id="1223323708">
      <w:bodyDiv w:val="1"/>
      <w:marLeft w:val="0"/>
      <w:marRight w:val="0"/>
      <w:marTop w:val="0"/>
      <w:marBottom w:val="0"/>
      <w:divBdr>
        <w:top w:val="none" w:sz="0" w:space="0" w:color="auto"/>
        <w:left w:val="none" w:sz="0" w:space="0" w:color="auto"/>
        <w:bottom w:val="none" w:sz="0" w:space="0" w:color="auto"/>
        <w:right w:val="none" w:sz="0" w:space="0" w:color="auto"/>
      </w:divBdr>
    </w:div>
    <w:div w:id="1268198812">
      <w:bodyDiv w:val="1"/>
      <w:marLeft w:val="0"/>
      <w:marRight w:val="0"/>
      <w:marTop w:val="0"/>
      <w:marBottom w:val="0"/>
      <w:divBdr>
        <w:top w:val="none" w:sz="0" w:space="0" w:color="auto"/>
        <w:left w:val="none" w:sz="0" w:space="0" w:color="auto"/>
        <w:bottom w:val="none" w:sz="0" w:space="0" w:color="auto"/>
        <w:right w:val="none" w:sz="0" w:space="0" w:color="auto"/>
      </w:divBdr>
    </w:div>
    <w:div w:id="1291133449">
      <w:bodyDiv w:val="1"/>
      <w:marLeft w:val="0"/>
      <w:marRight w:val="0"/>
      <w:marTop w:val="0"/>
      <w:marBottom w:val="0"/>
      <w:divBdr>
        <w:top w:val="none" w:sz="0" w:space="0" w:color="auto"/>
        <w:left w:val="none" w:sz="0" w:space="0" w:color="auto"/>
        <w:bottom w:val="none" w:sz="0" w:space="0" w:color="auto"/>
        <w:right w:val="none" w:sz="0" w:space="0" w:color="auto"/>
      </w:divBdr>
    </w:div>
    <w:div w:id="1384602376">
      <w:bodyDiv w:val="1"/>
      <w:marLeft w:val="0"/>
      <w:marRight w:val="0"/>
      <w:marTop w:val="0"/>
      <w:marBottom w:val="0"/>
      <w:divBdr>
        <w:top w:val="none" w:sz="0" w:space="0" w:color="auto"/>
        <w:left w:val="none" w:sz="0" w:space="0" w:color="auto"/>
        <w:bottom w:val="none" w:sz="0" w:space="0" w:color="auto"/>
        <w:right w:val="none" w:sz="0" w:space="0" w:color="auto"/>
      </w:divBdr>
    </w:div>
    <w:div w:id="1419130090">
      <w:bodyDiv w:val="1"/>
      <w:marLeft w:val="0"/>
      <w:marRight w:val="0"/>
      <w:marTop w:val="0"/>
      <w:marBottom w:val="0"/>
      <w:divBdr>
        <w:top w:val="none" w:sz="0" w:space="0" w:color="auto"/>
        <w:left w:val="none" w:sz="0" w:space="0" w:color="auto"/>
        <w:bottom w:val="none" w:sz="0" w:space="0" w:color="auto"/>
        <w:right w:val="none" w:sz="0" w:space="0" w:color="auto"/>
      </w:divBdr>
    </w:div>
    <w:div w:id="1438450931">
      <w:bodyDiv w:val="1"/>
      <w:marLeft w:val="0"/>
      <w:marRight w:val="0"/>
      <w:marTop w:val="0"/>
      <w:marBottom w:val="0"/>
      <w:divBdr>
        <w:top w:val="none" w:sz="0" w:space="0" w:color="auto"/>
        <w:left w:val="none" w:sz="0" w:space="0" w:color="auto"/>
        <w:bottom w:val="none" w:sz="0" w:space="0" w:color="auto"/>
        <w:right w:val="none" w:sz="0" w:space="0" w:color="auto"/>
      </w:divBdr>
    </w:div>
    <w:div w:id="1480343386">
      <w:bodyDiv w:val="1"/>
      <w:marLeft w:val="0"/>
      <w:marRight w:val="0"/>
      <w:marTop w:val="0"/>
      <w:marBottom w:val="0"/>
      <w:divBdr>
        <w:top w:val="none" w:sz="0" w:space="0" w:color="auto"/>
        <w:left w:val="none" w:sz="0" w:space="0" w:color="auto"/>
        <w:bottom w:val="none" w:sz="0" w:space="0" w:color="auto"/>
        <w:right w:val="none" w:sz="0" w:space="0" w:color="auto"/>
      </w:divBdr>
    </w:div>
    <w:div w:id="1531649323">
      <w:bodyDiv w:val="1"/>
      <w:marLeft w:val="0"/>
      <w:marRight w:val="0"/>
      <w:marTop w:val="0"/>
      <w:marBottom w:val="0"/>
      <w:divBdr>
        <w:top w:val="none" w:sz="0" w:space="0" w:color="auto"/>
        <w:left w:val="none" w:sz="0" w:space="0" w:color="auto"/>
        <w:bottom w:val="none" w:sz="0" w:space="0" w:color="auto"/>
        <w:right w:val="none" w:sz="0" w:space="0" w:color="auto"/>
      </w:divBdr>
    </w:div>
    <w:div w:id="1658651469">
      <w:bodyDiv w:val="1"/>
      <w:marLeft w:val="0"/>
      <w:marRight w:val="0"/>
      <w:marTop w:val="0"/>
      <w:marBottom w:val="0"/>
      <w:divBdr>
        <w:top w:val="none" w:sz="0" w:space="0" w:color="auto"/>
        <w:left w:val="none" w:sz="0" w:space="0" w:color="auto"/>
        <w:bottom w:val="none" w:sz="0" w:space="0" w:color="auto"/>
        <w:right w:val="none" w:sz="0" w:space="0" w:color="auto"/>
      </w:divBdr>
    </w:div>
    <w:div w:id="1661956936">
      <w:bodyDiv w:val="1"/>
      <w:marLeft w:val="0"/>
      <w:marRight w:val="0"/>
      <w:marTop w:val="0"/>
      <w:marBottom w:val="0"/>
      <w:divBdr>
        <w:top w:val="none" w:sz="0" w:space="0" w:color="auto"/>
        <w:left w:val="none" w:sz="0" w:space="0" w:color="auto"/>
        <w:bottom w:val="none" w:sz="0" w:space="0" w:color="auto"/>
        <w:right w:val="none" w:sz="0" w:space="0" w:color="auto"/>
      </w:divBdr>
    </w:div>
    <w:div w:id="1719208330">
      <w:bodyDiv w:val="1"/>
      <w:marLeft w:val="0"/>
      <w:marRight w:val="0"/>
      <w:marTop w:val="0"/>
      <w:marBottom w:val="0"/>
      <w:divBdr>
        <w:top w:val="none" w:sz="0" w:space="0" w:color="auto"/>
        <w:left w:val="none" w:sz="0" w:space="0" w:color="auto"/>
        <w:bottom w:val="none" w:sz="0" w:space="0" w:color="auto"/>
        <w:right w:val="none" w:sz="0" w:space="0" w:color="auto"/>
      </w:divBdr>
    </w:div>
    <w:div w:id="1729112305">
      <w:bodyDiv w:val="1"/>
      <w:marLeft w:val="0"/>
      <w:marRight w:val="0"/>
      <w:marTop w:val="0"/>
      <w:marBottom w:val="0"/>
      <w:divBdr>
        <w:top w:val="none" w:sz="0" w:space="0" w:color="auto"/>
        <w:left w:val="none" w:sz="0" w:space="0" w:color="auto"/>
        <w:bottom w:val="none" w:sz="0" w:space="0" w:color="auto"/>
        <w:right w:val="none" w:sz="0" w:space="0" w:color="auto"/>
      </w:divBdr>
    </w:div>
    <w:div w:id="1740177756">
      <w:bodyDiv w:val="1"/>
      <w:marLeft w:val="0"/>
      <w:marRight w:val="0"/>
      <w:marTop w:val="0"/>
      <w:marBottom w:val="0"/>
      <w:divBdr>
        <w:top w:val="none" w:sz="0" w:space="0" w:color="auto"/>
        <w:left w:val="none" w:sz="0" w:space="0" w:color="auto"/>
        <w:bottom w:val="none" w:sz="0" w:space="0" w:color="auto"/>
        <w:right w:val="none" w:sz="0" w:space="0" w:color="auto"/>
      </w:divBdr>
    </w:div>
    <w:div w:id="1844927250">
      <w:bodyDiv w:val="1"/>
      <w:marLeft w:val="0"/>
      <w:marRight w:val="0"/>
      <w:marTop w:val="0"/>
      <w:marBottom w:val="0"/>
      <w:divBdr>
        <w:top w:val="none" w:sz="0" w:space="0" w:color="auto"/>
        <w:left w:val="none" w:sz="0" w:space="0" w:color="auto"/>
        <w:bottom w:val="none" w:sz="0" w:space="0" w:color="auto"/>
        <w:right w:val="none" w:sz="0" w:space="0" w:color="auto"/>
      </w:divBdr>
    </w:div>
    <w:div w:id="1927766531">
      <w:bodyDiv w:val="1"/>
      <w:marLeft w:val="0"/>
      <w:marRight w:val="0"/>
      <w:marTop w:val="0"/>
      <w:marBottom w:val="0"/>
      <w:divBdr>
        <w:top w:val="none" w:sz="0" w:space="0" w:color="auto"/>
        <w:left w:val="none" w:sz="0" w:space="0" w:color="auto"/>
        <w:bottom w:val="none" w:sz="0" w:space="0" w:color="auto"/>
        <w:right w:val="none" w:sz="0" w:space="0" w:color="auto"/>
      </w:divBdr>
    </w:div>
    <w:div w:id="199973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djireland@ficlaw.com" TargetMode="External"/><Relationship Id="rId26" Type="http://schemas.openxmlformats.org/officeDocument/2006/relationships/hyperlink" Target="mailto:dboehm@BKLlawfirm.com" TargetMode="External"/><Relationship Id="rId39" Type="http://schemas.openxmlformats.org/officeDocument/2006/relationships/hyperlink" Target="mailto:gthomas@gtpowergroup.com" TargetMode="External"/><Relationship Id="rId21" Type="http://schemas.openxmlformats.org/officeDocument/2006/relationships/hyperlink" Target="mailto:fdarr@mwncmh.com" TargetMode="External"/><Relationship Id="rId34" Type="http://schemas.openxmlformats.org/officeDocument/2006/relationships/hyperlink" Target="mailto:jlang@calfee.com" TargetMode="External"/><Relationship Id="rId42" Type="http://schemas.openxmlformats.org/officeDocument/2006/relationships/hyperlink" Target="mailto:todonnell@dickinsonwright.com" TargetMode="External"/><Relationship Id="rId47" Type="http://schemas.openxmlformats.org/officeDocument/2006/relationships/hyperlink" Target="mailto:joliker@igsenergy.com" TargetMode="External"/><Relationship Id="rId50" Type="http://schemas.openxmlformats.org/officeDocument/2006/relationships/hyperlink" Target="mailto:mjsettineri@vorys.com" TargetMode="External"/><Relationship Id="rId55" Type="http://schemas.openxmlformats.org/officeDocument/2006/relationships/hyperlink" Target="mailto:kevin.moore@occ.ohio.gov" TargetMode="External"/><Relationship Id="rId63" Type="http://schemas.openxmlformats.org/officeDocument/2006/relationships/hyperlink" Target="mailto:elizabeth.watts@duke-energy.com" TargetMode="External"/><Relationship Id="rId68" Type="http://schemas.openxmlformats.org/officeDocument/2006/relationships/hyperlink" Target="mailto:ejacobs@ablelaw.org"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jdoll@djflawfirm.com" TargetMode="Externa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hyperlink" Target="mailto:jkylercohn@BKLlawfirm.com" TargetMode="External"/><Relationship Id="rId11" Type="http://schemas.openxmlformats.org/officeDocument/2006/relationships/footer" Target="footer2.xml"/><Relationship Id="rId24" Type="http://schemas.openxmlformats.org/officeDocument/2006/relationships/hyperlink" Target="mailto:evelyn.robinson@pjm.com" TargetMode="External"/><Relationship Id="rId32" Type="http://schemas.openxmlformats.org/officeDocument/2006/relationships/hyperlink" Target="mailto:rsahli@columbus.rr.com" TargetMode="External"/><Relationship Id="rId37" Type="http://schemas.openxmlformats.org/officeDocument/2006/relationships/hyperlink" Target="mailto:dwilliamson@spilmanlaw.com" TargetMode="External"/><Relationship Id="rId40" Type="http://schemas.openxmlformats.org/officeDocument/2006/relationships/hyperlink" Target="mailto:laurac@chappelleconsulting.net" TargetMode="External"/><Relationship Id="rId45" Type="http://schemas.openxmlformats.org/officeDocument/2006/relationships/hyperlink" Target="mailto:kristin.henry@sierraclub.org" TargetMode="External"/><Relationship Id="rId53" Type="http://schemas.openxmlformats.org/officeDocument/2006/relationships/hyperlink" Target="mailto:ibatikov@vorys.com" TargetMode="External"/><Relationship Id="rId58" Type="http://schemas.openxmlformats.org/officeDocument/2006/relationships/hyperlink" Target="mailto:cmooney@ohiopartners.org" TargetMode="External"/><Relationship Id="rId66" Type="http://schemas.openxmlformats.org/officeDocument/2006/relationships/hyperlink" Target="mailto:mwarnock@bricker.com" TargetMode="External"/><Relationship Id="rId74" Type="http://schemas.openxmlformats.org/officeDocument/2006/relationships/hyperlink" Target="mailto:paul@carpenterlipps.com"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mailto:jeffrey.mayes@monitoringanalytics.com" TargetMode="External"/><Relationship Id="rId28" Type="http://schemas.openxmlformats.org/officeDocument/2006/relationships/hyperlink" Target="mailto:kboehm@BKLlawfirm.com" TargetMode="External"/><Relationship Id="rId36" Type="http://schemas.openxmlformats.org/officeDocument/2006/relationships/hyperlink" Target="mailto:lhawrot@spilmanlaw.com" TargetMode="External"/><Relationship Id="rId49" Type="http://schemas.openxmlformats.org/officeDocument/2006/relationships/hyperlink" Target="mailto:ghiloni@carpenterlipps.com" TargetMode="External"/><Relationship Id="rId57" Type="http://schemas.openxmlformats.org/officeDocument/2006/relationships/hyperlink" Target="mailto:tdougherty@theOEC.org" TargetMode="External"/><Relationship Id="rId61" Type="http://schemas.openxmlformats.org/officeDocument/2006/relationships/hyperlink" Target="mailto:rick.sites@ohiohospitals.org" TargetMode="External"/><Relationship Id="rId10" Type="http://schemas.openxmlformats.org/officeDocument/2006/relationships/footer" Target="footer1.xml"/><Relationship Id="rId19" Type="http://schemas.openxmlformats.org/officeDocument/2006/relationships/hyperlink" Target="mailto:jsharkey@ficlaw.com" TargetMode="External"/><Relationship Id="rId31" Type="http://schemas.openxmlformats.org/officeDocument/2006/relationships/hyperlink" Target="mailto:Michelle.d.grant@dynegy.com" TargetMode="External"/><Relationship Id="rId44" Type="http://schemas.openxmlformats.org/officeDocument/2006/relationships/hyperlink" Target="mailto:jeanne.kingery@duke-energy.com" TargetMode="External"/><Relationship Id="rId52" Type="http://schemas.openxmlformats.org/officeDocument/2006/relationships/hyperlink" Target="mailto:glpetrucci@vorys.com" TargetMode="External"/><Relationship Id="rId60" Type="http://schemas.openxmlformats.org/officeDocument/2006/relationships/hyperlink" Target="mailto:gpoulos@enernoc.com" TargetMode="External"/><Relationship Id="rId65" Type="http://schemas.openxmlformats.org/officeDocument/2006/relationships/hyperlink" Target="mailto:greg.tillman@walmart.com" TargetMode="External"/><Relationship Id="rId73" Type="http://schemas.openxmlformats.org/officeDocument/2006/relationships/hyperlink" Target="mailto:dparram@bricker.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hyperlink" Target="mailto:mpritchard@mwncmh.com" TargetMode="External"/><Relationship Id="rId27" Type="http://schemas.openxmlformats.org/officeDocument/2006/relationships/hyperlink" Target="mailto:mkurtz@BKLlawfirm.com" TargetMode="External"/><Relationship Id="rId30" Type="http://schemas.openxmlformats.org/officeDocument/2006/relationships/hyperlink" Target="mailto:william.wright@ohioattorneygeneral.gov" TargetMode="External"/><Relationship Id="rId35" Type="http://schemas.openxmlformats.org/officeDocument/2006/relationships/hyperlink" Target="mailto:talexander@calfee.com" TargetMode="External"/><Relationship Id="rId43" Type="http://schemas.openxmlformats.org/officeDocument/2006/relationships/hyperlink" Target="mailto:rseiler@dickinsonwright.com" TargetMode="External"/><Relationship Id="rId48" Type="http://schemas.openxmlformats.org/officeDocument/2006/relationships/hyperlink" Target="mailto:bojko@carpenterlipps.com" TargetMode="External"/><Relationship Id="rId56" Type="http://schemas.openxmlformats.org/officeDocument/2006/relationships/hyperlink" Target="mailto:mdortch@kravitzllc.com" TargetMode="External"/><Relationship Id="rId64" Type="http://schemas.openxmlformats.org/officeDocument/2006/relationships/hyperlink" Target="mailto:stephen.chriss@walmart.com" TargetMode="External"/><Relationship Id="rId69" Type="http://schemas.openxmlformats.org/officeDocument/2006/relationships/hyperlink" Target="mailto:tony.mendoza@sierraclub.org" TargetMode="Externa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mailto:smhoward@vorys.com" TargetMode="External"/><Relationship Id="rId72" Type="http://schemas.openxmlformats.org/officeDocument/2006/relationships/hyperlink" Target="mailto:mcrawford@djflawfirm.com"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hyperlink" Target="mailto:schmidt@sppgrp.com" TargetMode="External"/><Relationship Id="rId33" Type="http://schemas.openxmlformats.org/officeDocument/2006/relationships/hyperlink" Target="mailto:slesser@calfee.com" TargetMode="External"/><Relationship Id="rId38" Type="http://schemas.openxmlformats.org/officeDocument/2006/relationships/hyperlink" Target="mailto:charris@spilmanlaw.com" TargetMode="External"/><Relationship Id="rId46" Type="http://schemas.openxmlformats.org/officeDocument/2006/relationships/hyperlink" Target="mailto:thomas.mcnamee@ohioattorneygeneral.gov" TargetMode="External"/><Relationship Id="rId59" Type="http://schemas.openxmlformats.org/officeDocument/2006/relationships/hyperlink" Target="mailto:Sechler@carpenterlipps.com" TargetMode="External"/><Relationship Id="rId67" Type="http://schemas.openxmlformats.org/officeDocument/2006/relationships/hyperlink" Target="mailto:dborchers@bricker.com" TargetMode="External"/><Relationship Id="rId20" Type="http://schemas.openxmlformats.org/officeDocument/2006/relationships/hyperlink" Target="mailto:mfleisher@elpc.org" TargetMode="External"/><Relationship Id="rId41" Type="http://schemas.openxmlformats.org/officeDocument/2006/relationships/hyperlink" Target="mailto:stheodore@epsa.org" TargetMode="External"/><Relationship Id="rId54" Type="http://schemas.openxmlformats.org/officeDocument/2006/relationships/hyperlink" Target="mailto:william.michael@occ.ohio.gov" TargetMode="External"/><Relationship Id="rId62" Type="http://schemas.openxmlformats.org/officeDocument/2006/relationships/hyperlink" Target="mailto:amy.spiller@duke-energy.com" TargetMode="External"/><Relationship Id="rId70" Type="http://schemas.openxmlformats.org/officeDocument/2006/relationships/hyperlink" Target="mailto:chris@envlaw.com" TargetMode="Externa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53DF1-AAD0-4CFD-BBFF-782F5852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8312</Words>
  <Characters>47382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2019-02-12T22:26:00Z</dcterms:created>
  <dcterms:modified xsi:type="dcterms:W3CDTF">2019-02-12T22:26:00Z</dcterms:modified>
</cp:coreProperties>
</file>